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2540</wp:posOffset>
            </wp:positionV>
            <wp:extent cx="391604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6045" cy="24130"/>
                    </a:xfrm>
                    <a:prstGeom prst="rect">
                      <a:avLst/>
                    </a:prstGeom>
                    <a:noFill/>
                  </pic:spPr>
                </pic:pic>
              </a:graphicData>
            </a:graphic>
          </wp:anchor>
        </w:drawing>
      </w:r>
    </w:p>
    <w:p>
      <w:pPr>
        <w:spacing w:after="0" w:line="15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-102235</wp:posOffset>
            </wp:positionV>
            <wp:extent cx="39160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6045" cy="6350"/>
                    </a:xfrm>
                    <a:prstGeom prst="rect">
                      <a:avLst/>
                    </a:prstGeom>
                    <a:noFill/>
                  </pic:spPr>
                </pic:pic>
              </a:graphicData>
            </a:graphic>
          </wp:anchor>
        </w:drawing>
      </w:r>
    </w:p>
    <w:p>
      <w:pPr>
        <w:ind w:left="620"/>
        <w:spacing w:after="0" w:line="212"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WASHINGTON, D.C. 20549</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FORM 20-F</w:t>
      </w:r>
    </w:p>
    <w:p>
      <w:pPr>
        <w:ind w:left="1000"/>
        <w:spacing w:after="0" w:line="217" w:lineRule="auto"/>
        <w:rPr>
          <w:sz w:val="20"/>
          <w:szCs w:val="20"/>
          <w:color w:val="auto"/>
        </w:rPr>
      </w:pPr>
      <w:r>
        <w:rPr>
          <w:rFonts w:ascii="Times New Roman" w:cs="Times New Roman" w:eastAsia="Times New Roman" w:hAnsi="Times New Roman"/>
          <w:sz w:val="11"/>
          <w:szCs w:val="11"/>
          <w:b w:val="1"/>
          <w:bCs w:val="1"/>
          <w:color w:val="auto"/>
        </w:rPr>
        <w:t>REGISTRATION STATEMENT PURSUANT TO SECTION 12(b) OR (g) OF THE SECURITIES EXCHANGE ACT</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OF 1934</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OR</w:t>
      </w:r>
    </w:p>
    <w:p>
      <w:pPr>
        <w:ind w:left="1040" w:hanging="416"/>
        <w:spacing w:after="0" w:line="216" w:lineRule="auto"/>
        <w:tabs>
          <w:tab w:leader="none" w:pos="1040" w:val="left"/>
        </w:tabs>
        <w:numPr>
          <w:ilvl w:val="0"/>
          <w:numId w:val="1"/>
        </w:numPr>
        <w:rPr>
          <w:rFonts w:ascii="Wingdings 2" w:cs="Wingdings 2" w:eastAsia="Wingdings 2" w:hAnsi="Wingdings 2"/>
          <w:sz w:val="11"/>
          <w:szCs w:val="11"/>
          <w:b w:val="1"/>
          <w:bCs w:val="1"/>
          <w:color w:val="auto"/>
        </w:rPr>
      </w:pPr>
      <w:r>
        <w:rPr>
          <w:rFonts w:ascii="Times New Roman" w:cs="Times New Roman" w:eastAsia="Times New Roman" w:hAnsi="Times New Roman"/>
          <w:sz w:val="11"/>
          <w:szCs w:val="11"/>
          <w:b w:val="1"/>
          <w:bCs w:val="1"/>
          <w:color w:val="auto"/>
        </w:rPr>
        <w:t>ANNUAL REPORT PURSUANT TO SECTION 13 OR 15(d) OF THE SECURITIES EXCHANGE ACT OF</w:t>
      </w:r>
    </w:p>
    <w:p>
      <w:pPr>
        <w:ind w:left="620"/>
        <w:spacing w:after="0" w:line="216" w:lineRule="auto"/>
        <w:rPr>
          <w:rFonts w:ascii="Wingdings 2" w:cs="Wingdings 2" w:eastAsia="Wingdings 2" w:hAnsi="Wingdings 2"/>
          <w:sz w:val="11"/>
          <w:szCs w:val="11"/>
          <w:b w:val="1"/>
          <w:bCs w:val="1"/>
          <w:color w:val="auto"/>
        </w:rPr>
      </w:pPr>
      <w:r>
        <w:rPr>
          <w:rFonts w:ascii="Times New Roman" w:cs="Times New Roman" w:eastAsia="Times New Roman" w:hAnsi="Times New Roman"/>
          <w:sz w:val="11"/>
          <w:szCs w:val="11"/>
          <w:b w:val="1"/>
          <w:bCs w:val="1"/>
          <w:color w:val="auto"/>
        </w:rPr>
        <w:t>1934</w:t>
      </w:r>
    </w:p>
    <w:p>
      <w:pPr>
        <w:ind w:left="620"/>
        <w:spacing w:after="0" w:line="216" w:lineRule="auto"/>
        <w:rPr>
          <w:rFonts w:ascii="Wingdings 2" w:cs="Wingdings 2" w:eastAsia="Wingdings 2" w:hAnsi="Wingdings 2"/>
          <w:sz w:val="11"/>
          <w:szCs w:val="11"/>
          <w:b w:val="1"/>
          <w:bCs w:val="1"/>
          <w:color w:val="auto"/>
        </w:rPr>
      </w:pPr>
      <w:r>
        <w:rPr>
          <w:rFonts w:ascii="Times New Roman" w:cs="Times New Roman" w:eastAsia="Times New Roman" w:hAnsi="Times New Roman"/>
          <w:sz w:val="11"/>
          <w:szCs w:val="11"/>
          <w:b w:val="1"/>
          <w:bCs w:val="1"/>
          <w:color w:val="auto"/>
        </w:rPr>
        <w:t>For the fiscal year ended December 31, 2025</w:t>
      </w:r>
    </w:p>
    <w:p>
      <w:pPr>
        <w:ind w:left="620"/>
        <w:spacing w:after="0" w:line="216" w:lineRule="auto"/>
        <w:rPr>
          <w:rFonts w:ascii="Wingdings 2" w:cs="Wingdings 2" w:eastAsia="Wingdings 2" w:hAnsi="Wingdings 2"/>
          <w:sz w:val="11"/>
          <w:szCs w:val="11"/>
          <w:b w:val="1"/>
          <w:bCs w:val="1"/>
          <w:color w:val="auto"/>
        </w:rPr>
      </w:pPr>
      <w:r>
        <w:rPr>
          <w:rFonts w:ascii="Times New Roman" w:cs="Times New Roman" w:eastAsia="Times New Roman" w:hAnsi="Times New Roman"/>
          <w:sz w:val="11"/>
          <w:szCs w:val="11"/>
          <w:b w:val="1"/>
          <w:bCs w:val="1"/>
          <w:color w:val="auto"/>
        </w:rPr>
        <w:t>OR</w:t>
      </w:r>
    </w:p>
    <w:p>
      <w:pPr>
        <w:ind w:left="1000"/>
        <w:spacing w:after="0" w:line="217" w:lineRule="auto"/>
        <w:rPr>
          <w:sz w:val="20"/>
          <w:szCs w:val="20"/>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ind w:left="620"/>
        <w:spacing w:after="0" w:line="217" w:lineRule="auto"/>
        <w:tabs>
          <w:tab w:leader="none" w:pos="29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OR</w:t>
      </w:r>
    </w:p>
    <w:p>
      <w:pPr>
        <w:ind w:left="1000"/>
        <w:spacing w:after="0" w:line="217" w:lineRule="auto"/>
        <w:rPr>
          <w:sz w:val="20"/>
          <w:szCs w:val="20"/>
          <w:color w:val="auto"/>
        </w:rPr>
      </w:pPr>
      <w:r>
        <w:rPr>
          <w:rFonts w:ascii="Times New Roman" w:cs="Times New Roman" w:eastAsia="Times New Roman" w:hAnsi="Times New Roman"/>
          <w:sz w:val="11"/>
          <w:szCs w:val="11"/>
          <w:b w:val="1"/>
          <w:bCs w:val="1"/>
          <w:color w:val="auto"/>
        </w:rPr>
        <w:t>SHELL COMPANY REPORT PURSUANT TO SECTION 13 OR 15(d) OF THE SECURITIES EXCHANGE ACT OF</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1934</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Date of event requiring this shell company report ____</w:t>
      </w:r>
    </w:p>
    <w:p>
      <w:pPr>
        <w:ind w:left="620"/>
        <w:spacing w:after="0" w:line="217" w:lineRule="auto"/>
        <w:rPr>
          <w:sz w:val="20"/>
          <w:szCs w:val="20"/>
          <w:color w:val="auto"/>
        </w:rPr>
      </w:pPr>
      <w:r>
        <w:rPr>
          <w:rFonts w:ascii="Times New Roman" w:cs="Times New Roman" w:eastAsia="Times New Roman" w:hAnsi="Times New Roman"/>
          <w:sz w:val="11"/>
          <w:szCs w:val="11"/>
          <w:color w:val="auto"/>
        </w:rPr>
        <w:t>For the transition period from_____ to _____</w:t>
      </w:r>
    </w:p>
    <w:p>
      <w:pPr>
        <w:ind w:left="620"/>
        <w:spacing w:after="0" w:line="195" w:lineRule="auto"/>
        <w:rPr>
          <w:sz w:val="20"/>
          <w:szCs w:val="20"/>
          <w:color w:val="auto"/>
        </w:rPr>
      </w:pPr>
      <w:r>
        <w:rPr>
          <w:rFonts w:ascii="Times New Roman" w:cs="Times New Roman" w:eastAsia="Times New Roman" w:hAnsi="Times New Roman"/>
          <w:sz w:val="11"/>
          <w:szCs w:val="11"/>
          <w:b w:val="1"/>
          <w:bCs w:val="1"/>
          <w:color w:val="auto"/>
        </w:rPr>
        <w:t>Commission File number: 001-38976</w:t>
      </w:r>
    </w:p>
    <w:p>
      <w:pPr>
        <w:ind w:left="620"/>
        <w:spacing w:after="0" w:line="212" w:lineRule="auto"/>
        <w:rPr>
          <w:sz w:val="20"/>
          <w:szCs w:val="20"/>
          <w:color w:val="auto"/>
        </w:rPr>
      </w:pPr>
      <w:r>
        <w:rPr>
          <w:rFonts w:ascii="Times New Roman" w:cs="Times New Roman" w:eastAsia="Times New Roman" w:hAnsi="Times New Roman"/>
          <w:sz w:val="18"/>
          <w:szCs w:val="18"/>
          <w:b w:val="1"/>
          <w:bCs w:val="1"/>
          <w:color w:val="auto"/>
        </w:rPr>
        <w:t>Genmab A/S</w:t>
      </w:r>
    </w:p>
    <w:p>
      <w:pPr>
        <w:ind w:left="620"/>
        <w:spacing w:after="0" w:line="217" w:lineRule="auto"/>
        <w:rPr>
          <w:sz w:val="20"/>
          <w:szCs w:val="20"/>
          <w:color w:val="auto"/>
        </w:rPr>
      </w:pPr>
      <w:r>
        <w:rPr>
          <w:rFonts w:ascii="Times New Roman" w:cs="Times New Roman" w:eastAsia="Times New Roman" w:hAnsi="Times New Roman"/>
          <w:sz w:val="11"/>
          <w:szCs w:val="11"/>
          <w:color w:val="auto"/>
        </w:rPr>
        <w:t>(Exact name of Registrant as specified in its charter)</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Not Applicable</w:t>
      </w:r>
    </w:p>
    <w:p>
      <w:pPr>
        <w:ind w:left="660"/>
        <w:spacing w:after="0" w:line="217" w:lineRule="auto"/>
        <w:rPr>
          <w:sz w:val="20"/>
          <w:szCs w:val="20"/>
          <w:color w:val="auto"/>
        </w:rPr>
      </w:pPr>
      <w:r>
        <w:rPr>
          <w:rFonts w:ascii="Times New Roman" w:cs="Times New Roman" w:eastAsia="Times New Roman" w:hAnsi="Times New Roman"/>
          <w:sz w:val="11"/>
          <w:szCs w:val="11"/>
          <w:color w:val="auto"/>
        </w:rPr>
        <w:t>(Translation of Registrant’s name into English)</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The Kingdom of Denmark</w:t>
      </w:r>
    </w:p>
    <w:p>
      <w:pPr>
        <w:ind w:left="660"/>
        <w:spacing w:after="0" w:line="217" w:lineRule="auto"/>
        <w:rPr>
          <w:sz w:val="20"/>
          <w:szCs w:val="20"/>
          <w:color w:val="auto"/>
        </w:rPr>
      </w:pPr>
      <w:r>
        <w:rPr>
          <w:rFonts w:ascii="Times New Roman" w:cs="Times New Roman" w:eastAsia="Times New Roman" w:hAnsi="Times New Roman"/>
          <w:sz w:val="11"/>
          <w:szCs w:val="11"/>
          <w:color w:val="auto"/>
        </w:rPr>
        <w:t>(Jurisdiction of incorporation or organization)</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Carl Jacobsens Vej 30</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2500 Valby</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Denmark</w:t>
      </w:r>
    </w:p>
    <w:p>
      <w:pPr>
        <w:ind w:left="660"/>
        <w:spacing w:after="0" w:line="216" w:lineRule="auto"/>
        <w:rPr>
          <w:sz w:val="20"/>
          <w:szCs w:val="20"/>
          <w:color w:val="auto"/>
        </w:rPr>
      </w:pPr>
      <w:r>
        <w:rPr>
          <w:rFonts w:ascii="Times New Roman" w:cs="Times New Roman" w:eastAsia="Times New Roman" w:hAnsi="Times New Roman"/>
          <w:sz w:val="11"/>
          <w:szCs w:val="11"/>
          <w:color w:val="auto"/>
        </w:rPr>
        <w:t>(Address of principal executive offices)</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Anthony Pagano</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Executive Vice President and Chief Financial Officer</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Genmab A/S</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Carl Jacobsens Vej 30</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2500 Valby</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Denmark</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Tel: +45 7020 2728</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Fax: +45 7020 2729</w:t>
      </w:r>
    </w:p>
    <w:p>
      <w:pPr>
        <w:ind w:left="620"/>
        <w:spacing w:after="0" w:line="217" w:lineRule="auto"/>
        <w:rPr>
          <w:sz w:val="20"/>
          <w:szCs w:val="20"/>
          <w:color w:val="auto"/>
        </w:rPr>
      </w:pPr>
      <w:r>
        <w:rPr>
          <w:rFonts w:ascii="Times New Roman" w:cs="Times New Roman" w:eastAsia="Times New Roman" w:hAnsi="Times New Roman"/>
          <w:sz w:val="11"/>
          <w:szCs w:val="11"/>
          <w:b w:val="1"/>
          <w:bCs w:val="1"/>
          <w:color w:val="auto"/>
        </w:rPr>
        <w:t>(Name, telephone, e-mail and/or facsimile number and address of Company contact person)</w:t>
      </w:r>
    </w:p>
    <w:p>
      <w:pPr>
        <w:ind w:left="620"/>
        <w:spacing w:after="0"/>
        <w:rPr>
          <w:sz w:val="20"/>
          <w:szCs w:val="20"/>
          <w:color w:val="auto"/>
        </w:rPr>
      </w:pPr>
      <w:r>
        <w:rPr>
          <w:rFonts w:ascii="Times New Roman" w:cs="Times New Roman" w:eastAsia="Times New Roman" w:hAnsi="Times New Roman"/>
          <w:sz w:val="11"/>
          <w:szCs w:val="11"/>
          <w:color w:val="auto"/>
        </w:rPr>
        <w:t>Securities registered or to be registered pursuant to Section 12(b) of the Act.</w:t>
      </w:r>
    </w:p>
    <w:p>
      <w:pPr>
        <w:spacing w:after="0" w:line="9" w:lineRule="exact"/>
        <w:rPr>
          <w:sz w:val="24"/>
          <w:szCs w:val="24"/>
          <w:color w:val="auto"/>
        </w:rPr>
      </w:pPr>
    </w:p>
    <w:tbl>
      <w:tblPr>
        <w:tblLayout w:type="fixed"/>
        <w:tblInd w:w="640" w:type="dxa"/>
        <w:tblCellMar>
          <w:top w:w="0" w:type="dxa"/>
          <w:left w:w="0" w:type="dxa"/>
          <w:bottom w:w="0" w:type="dxa"/>
          <w:right w:w="0" w:type="dxa"/>
        </w:tblCellMar>
      </w:tblPr>
      <w:tr>
        <w:trPr>
          <w:trHeight w:val="150"/>
        </w:trPr>
        <w:tc>
          <w:tcPr>
            <w:tcW w:w="2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1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3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21"/>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American Depositary Shares, each representing</w:t>
            </w:r>
          </w:p>
        </w:tc>
        <w:tc>
          <w:tcPr>
            <w:tcW w:w="112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GMAB</w:t>
            </w:r>
          </w:p>
        </w:tc>
        <w:tc>
          <w:tcPr>
            <w:tcW w:w="23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The Nasdaq Stock Market LLC</w:t>
            </w:r>
          </w:p>
        </w:tc>
      </w:tr>
      <w:tr>
        <w:trPr>
          <w:trHeight w:val="148"/>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one-tenth of one ordinary share</w:t>
            </w:r>
          </w:p>
        </w:tc>
        <w:tc>
          <w:tcPr>
            <w:tcW w:w="112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362"/>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nominal value DKK 1 per share</w:t>
            </w:r>
          </w:p>
        </w:tc>
        <w:tc>
          <w:tcPr>
            <w:tcW w:w="11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GMAB</w:t>
            </w:r>
          </w:p>
        </w:tc>
        <w:tc>
          <w:tcPr>
            <w:tcW w:w="2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The Nasdaq Stock Market LLC*</w:t>
            </w:r>
          </w:p>
        </w:tc>
      </w:tr>
    </w:tbl>
    <w:p>
      <w:pPr>
        <w:spacing w:after="0" w:line="5" w:lineRule="exact"/>
        <w:rPr>
          <w:sz w:val="24"/>
          <w:szCs w:val="24"/>
          <w:color w:val="auto"/>
        </w:rPr>
      </w:pPr>
    </w:p>
    <w:p>
      <w:pPr>
        <w:ind w:left="620" w:right="2320" w:firstLine="4"/>
        <w:spacing w:after="0" w:line="257" w:lineRule="auto"/>
        <w:tabs>
          <w:tab w:leader="none" w:pos="706"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Not for trading, but only in connection with the registration of the American Depositary Shares on The Nasdaq Stock Market LLC. Securities registered or to be registered pursuant to Section 12(g) of the Act. </w:t>
      </w:r>
      <w:r>
        <w:rPr>
          <w:rFonts w:ascii="Times New Roman" w:cs="Times New Roman" w:eastAsia="Times New Roman" w:hAnsi="Times New Roman"/>
          <w:sz w:val="11"/>
          <w:szCs w:val="11"/>
          <w:b w:val="1"/>
          <w:bCs w:val="1"/>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6" w:lineRule="auto"/>
        <w:rPr>
          <w:sz w:val="20"/>
          <w:szCs w:val="20"/>
          <w:color w:val="auto"/>
        </w:rPr>
      </w:pPr>
      <w:r>
        <w:rPr>
          <w:rFonts w:ascii="Times New Roman" w:cs="Times New Roman" w:eastAsia="Times New Roman" w:hAnsi="Times New Roman"/>
          <w:sz w:val="11"/>
          <w:szCs w:val="11"/>
          <w:color w:val="auto"/>
        </w:rPr>
        <w:t xml:space="preserve">Securities for which there is a reporting obligation pursuant to Section 15(d) of the Act. </w:t>
      </w:r>
      <w:r>
        <w:rPr>
          <w:rFonts w:ascii="Times New Roman" w:cs="Times New Roman" w:eastAsia="Times New Roman" w:hAnsi="Times New Roman"/>
          <w:sz w:val="11"/>
          <w:szCs w:val="11"/>
          <w:b w:val="1"/>
          <w:bCs w:val="1"/>
          <w:color w:val="auto"/>
        </w:rPr>
        <w:t>None</w:t>
      </w:r>
    </w:p>
    <w:p>
      <w:pPr>
        <w:ind w:left="620" w:right="2160"/>
        <w:spacing w:after="0" w:line="225" w:lineRule="auto"/>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or common stock as of the close of the period covered by the annual report.</w:t>
      </w:r>
    </w:p>
    <w:p>
      <w:pPr>
        <w:ind w:left="660"/>
        <w:spacing w:after="0" w:line="218" w:lineRule="auto"/>
        <w:rPr>
          <w:sz w:val="20"/>
          <w:szCs w:val="20"/>
          <w:color w:val="auto"/>
        </w:rPr>
      </w:pPr>
      <w:r>
        <w:rPr>
          <w:rFonts w:ascii="Times New Roman" w:cs="Times New Roman" w:eastAsia="Times New Roman" w:hAnsi="Times New Roman"/>
          <w:sz w:val="11"/>
          <w:szCs w:val="11"/>
          <w:b w:val="1"/>
          <w:bCs w:val="1"/>
          <w:color w:val="auto"/>
        </w:rPr>
        <w:t>64,238,408 Ordinary Shares (including shares underlying American Depositary Shares)</w:t>
      </w:r>
    </w:p>
    <w:p>
      <w:pPr>
        <w:ind w:left="620"/>
        <w:spacing w:after="0" w:line="216" w:lineRule="auto"/>
        <w:rPr>
          <w:sz w:val="20"/>
          <w:szCs w:val="20"/>
          <w:color w:val="auto"/>
        </w:rPr>
      </w:pPr>
      <w:r>
        <w:rPr>
          <w:rFonts w:ascii="Times New Roman" w:cs="Times New Roman" w:eastAsia="Times New Roman" w:hAnsi="Times New Roman"/>
          <w:sz w:val="11"/>
          <w:szCs w:val="11"/>
          <w:b w:val="1"/>
          <w:bCs w:val="1"/>
          <w:color w:val="auto"/>
        </w:rPr>
        <w:t>64,377,450 American Depositary Shares</w:t>
      </w:r>
    </w:p>
    <w:p>
      <w:pPr>
        <w:ind w:left="620"/>
        <w:spacing w:after="0" w:line="217" w:lineRule="auto"/>
        <w:tabs>
          <w:tab w:leader="none" w:pos="6440" w:val="left"/>
        </w:tabs>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Wingdings 2" w:cs="Wingdings 2" w:eastAsia="Wingdings 2" w:hAnsi="Wingdings 2"/>
          <w:sz w:val="11"/>
          <w:szCs w:val="11"/>
          <w:b w:val="1"/>
          <w:bCs w:val="1"/>
          <w:color w:val="auto"/>
        </w:rPr>
        <w:t>S</w:t>
      </w:r>
      <w:r>
        <w:rPr>
          <w:rFonts w:ascii="Times New Roman" w:cs="Times New Roman" w:eastAsia="Times New Roman" w:hAnsi="Times New Roman"/>
          <w:sz w:val="11"/>
          <w:szCs w:val="11"/>
          <w:color w:val="auto"/>
        </w:rPr>
        <w:tab/>
        <w:t>No</w:t>
      </w:r>
    </w:p>
    <w:p>
      <w:pPr>
        <w:ind w:left="620" w:right="2140"/>
        <w:spacing w:after="0" w:line="216" w:lineRule="auto"/>
        <w:rPr>
          <w:sz w:val="20"/>
          <w:szCs w:val="20"/>
          <w:color w:val="auto"/>
        </w:rPr>
      </w:pPr>
      <w:r>
        <w:rPr>
          <w:rFonts w:ascii="Times New Roman" w:cs="Times New Roman" w:eastAsia="Times New Roman" w:hAnsi="Times New Roman"/>
          <w:sz w:val="11"/>
          <w:szCs w:val="11"/>
          <w:color w:val="auto"/>
        </w:rPr>
        <w:t xml:space="preserve">If this report is an annual or transition report, indicate by check mark if the registrant is not required to file reports pursuant to Section 13 or 15(d) of the Securities Exchange Act of 1934. Yes No </w:t>
      </w:r>
      <w:r>
        <w:rPr>
          <w:rFonts w:ascii="Wingdings 2" w:cs="Wingdings 2" w:eastAsia="Wingdings 2" w:hAnsi="Wingdings 2"/>
          <w:sz w:val="11"/>
          <w:szCs w:val="11"/>
          <w:b w:val="1"/>
          <w:bCs w:val="1"/>
          <w:color w:val="auto"/>
        </w:rPr>
        <w:t>S</w:t>
      </w:r>
    </w:p>
    <w:p>
      <w:pPr>
        <w:spacing w:after="0" w:line="1" w:lineRule="exact"/>
        <w:rPr>
          <w:sz w:val="24"/>
          <w:szCs w:val="24"/>
          <w:color w:val="auto"/>
        </w:rPr>
      </w:pPr>
    </w:p>
    <w:p>
      <w:pPr>
        <w:ind w:left="620" w:right="2280"/>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2" w:cs="Wingdings 2" w:eastAsia="Wingdings 2" w:hAnsi="Wingdings 2"/>
          <w:sz w:val="11"/>
          <w:szCs w:val="11"/>
          <w:b w:val="1"/>
          <w:bCs w:val="1"/>
          <w:color w:val="auto"/>
        </w:rPr>
        <w:t>S</w:t>
      </w:r>
      <w:r>
        <w:rPr>
          <w:rFonts w:ascii="Times New Roman" w:cs="Times New Roman" w:eastAsia="Times New Roman" w:hAnsi="Times New Roman"/>
          <w:sz w:val="11"/>
          <w:szCs w:val="11"/>
          <w:color w:val="auto"/>
        </w:rPr>
        <w:t xml:space="preserve"> No</w:t>
      </w:r>
    </w:p>
    <w:p>
      <w:pPr>
        <w:spacing w:after="0" w:line="77" w:lineRule="exact"/>
        <w:rPr>
          <w:sz w:val="24"/>
          <w:szCs w:val="24"/>
          <w:color w:val="auto"/>
        </w:rPr>
      </w:pPr>
    </w:p>
    <w:p>
      <w:pPr>
        <w:jc w:val="both"/>
        <w:ind w:left="620" w:right="2160"/>
        <w:spacing w:after="0" w:line="216"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2" w:cs="Wingdings 2" w:eastAsia="Wingdings 2" w:hAnsi="Wingdings 2"/>
          <w:sz w:val="11"/>
          <w:szCs w:val="11"/>
          <w:b w:val="1"/>
          <w:bCs w:val="1"/>
          <w:color w:val="auto"/>
        </w:rPr>
        <w:t>S</w:t>
      </w:r>
      <w:r>
        <w:rPr>
          <w:rFonts w:ascii="Times New Roman" w:cs="Times New Roman" w:eastAsia="Times New Roman" w:hAnsi="Times New Roman"/>
          <w:sz w:val="11"/>
          <w:szCs w:val="11"/>
          <w:color w:val="auto"/>
        </w:rPr>
        <w:t xml:space="preserve"> No</w:t>
      </w:r>
    </w:p>
    <w:p>
      <w:pPr>
        <w:spacing w:after="0" w:line="1" w:lineRule="exact"/>
        <w:rPr>
          <w:sz w:val="24"/>
          <w:szCs w:val="24"/>
          <w:color w:val="auto"/>
        </w:rPr>
      </w:pPr>
    </w:p>
    <w:p>
      <w:pPr>
        <w:ind w:left="620" w:right="2360"/>
        <w:spacing w:after="0" w:line="23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an emerging growth company in Rule 12b-2 of the Exchange Act. (Check one):</w:t>
      </w:r>
    </w:p>
    <w:p>
      <w:pPr>
        <w:ind w:left="640"/>
        <w:spacing w:after="0"/>
        <w:tabs>
          <w:tab w:leader="none" w:pos="2220" w:val="left"/>
          <w:tab w:leader="none" w:pos="3480" w:val="left"/>
          <w:tab w:leader="none" w:pos="502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Wingdings 2" w:cs="Wingdings 2" w:eastAsia="Wingdings 2" w:hAnsi="Wingdings 2"/>
          <w:sz w:val="11"/>
          <w:szCs w:val="11"/>
          <w:b w:val="1"/>
          <w:bCs w:val="1"/>
          <w:color w:val="auto"/>
        </w:rPr>
        <w:t>S</w:t>
      </w:r>
      <w:r>
        <w:rPr>
          <w:sz w:val="20"/>
          <w:szCs w:val="20"/>
          <w:color w:val="auto"/>
        </w:rPr>
        <w:tab/>
      </w:r>
      <w:r>
        <w:rPr>
          <w:rFonts w:ascii="Times New Roman" w:cs="Times New Roman" w:eastAsia="Times New Roman" w:hAnsi="Times New Roman"/>
          <w:sz w:val="11"/>
          <w:szCs w:val="11"/>
          <w:color w:val="auto"/>
        </w:rPr>
        <w:t>Accelerated filer</w:t>
      </w:r>
      <w:r>
        <w:rPr>
          <w:sz w:val="20"/>
          <w:szCs w:val="20"/>
          <w:color w:val="auto"/>
        </w:rPr>
        <w:tab/>
      </w:r>
      <w:r>
        <w:rPr>
          <w:rFonts w:ascii="Times New Roman" w:cs="Times New Roman" w:eastAsia="Times New Roman" w:hAnsi="Times New Roman"/>
          <w:sz w:val="11"/>
          <w:szCs w:val="11"/>
          <w:color w:val="auto"/>
        </w:rPr>
        <w:t>Non-accelerated filer</w:t>
      </w:r>
      <w:r>
        <w:rPr>
          <w:sz w:val="20"/>
          <w:szCs w:val="20"/>
          <w:color w:val="auto"/>
        </w:rPr>
        <w:tab/>
      </w:r>
      <w:r>
        <w:rPr>
          <w:rFonts w:ascii="Times New Roman" w:cs="Times New Roman" w:eastAsia="Times New Roman" w:hAnsi="Times New Roman"/>
          <w:sz w:val="11"/>
          <w:szCs w:val="11"/>
          <w:color w:val="auto"/>
        </w:rPr>
        <w:t>Emerging growth company</w:t>
      </w:r>
    </w:p>
    <w:p>
      <w:pPr>
        <w:spacing w:after="0" w:line="164" w:lineRule="exact"/>
        <w:rPr>
          <w:sz w:val="24"/>
          <w:szCs w:val="24"/>
          <w:color w:val="auto"/>
        </w:rPr>
      </w:pPr>
    </w:p>
    <w:p>
      <w:pPr>
        <w:ind w:left="620" w:right="2320"/>
        <w:spacing w:after="0" w:line="223" w:lineRule="auto"/>
        <w:rPr>
          <w:sz w:val="20"/>
          <w:szCs w:val="20"/>
          <w:color w:val="auto"/>
        </w:rPr>
      </w:pPr>
      <w:r>
        <w:rPr>
          <w:rFonts w:ascii="Times New Roman" w:cs="Times New Roman" w:eastAsia="Times New Roman" w:hAnsi="Times New Roman"/>
          <w:sz w:val="11"/>
          <w:szCs w:val="11"/>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7"/>
          <w:szCs w:val="7"/>
          <w:color w:val="auto"/>
        </w:rPr>
        <w:t>†</w:t>
      </w:r>
      <w:r>
        <w:rPr>
          <w:rFonts w:ascii="Times New Roman" w:cs="Times New Roman" w:eastAsia="Times New Roman" w:hAnsi="Times New Roman"/>
          <w:sz w:val="11"/>
          <w:szCs w:val="11"/>
          <w:color w:val="auto"/>
        </w:rPr>
        <w:t xml:space="preserve"> provided pursuant to Section 13(a) of the Exchange Act.</w:t>
      </w:r>
    </w:p>
    <w:p>
      <w:pPr>
        <w:spacing w:after="0" w:line="1" w:lineRule="exact"/>
        <w:rPr>
          <w:sz w:val="24"/>
          <w:szCs w:val="24"/>
          <w:color w:val="auto"/>
        </w:rPr>
      </w:pPr>
    </w:p>
    <w:p>
      <w:pPr>
        <w:ind w:left="620" w:right="2220" w:firstLine="4"/>
        <w:spacing w:after="0" w:line="199" w:lineRule="auto"/>
        <w:tabs>
          <w:tab w:leader="none" w:pos="699"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term new or revised financial accounting standard refers to any update issued by the Financial Accounting Standards Board to its Accounting Standards Codification after April 5, 2012.</w:t>
      </w:r>
    </w:p>
    <w:p>
      <w:pPr>
        <w:jc w:val="both"/>
        <w:ind w:left="620" w:right="2160"/>
        <w:spacing w:after="0" w:line="216"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2" w:cs="Wingdings 2" w:eastAsia="Wingdings 2" w:hAnsi="Wingdings 2"/>
          <w:sz w:val="11"/>
          <w:szCs w:val="11"/>
          <w:b w:val="1"/>
          <w:bCs w:val="1"/>
          <w:color w:val="auto"/>
        </w:rPr>
        <w:t>S</w:t>
      </w:r>
    </w:p>
    <w:p>
      <w:pPr>
        <w:spacing w:after="0" w:line="1" w:lineRule="exact"/>
        <w:rPr>
          <w:rFonts w:ascii="Times New Roman" w:cs="Times New Roman" w:eastAsia="Times New Roman" w:hAnsi="Times New Roman"/>
          <w:sz w:val="10"/>
          <w:szCs w:val="10"/>
          <w:color w:val="auto"/>
        </w:rPr>
      </w:pPr>
    </w:p>
    <w:p>
      <w:pPr>
        <w:ind w:left="620" w:right="2180"/>
        <w:spacing w:after="0" w:line="216"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 statements</w:t>
      </w:r>
    </w:p>
    <w:p>
      <w:pPr>
        <w:jc w:val="both"/>
        <w:ind w:left="620" w:right="2400"/>
        <w:spacing w:after="0" w:line="23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Indicate by check mark which basis of accounting the registrant has used to prepare the financial statements included in this filing:</w:t>
      </w:r>
    </w:p>
    <w:p>
      <w:pPr>
        <w:sectPr>
          <w:pgSz w:w="11900" w:h="16840" w:orient="portrait"/>
          <w:cols w:equalWidth="0" w:num="1">
            <w:col w:w="9020"/>
          </w:cols>
          <w:pgMar w:left="1440" w:top="551" w:right="1440" w:bottom="929" w:gutter="0" w:footer="0" w:header="0"/>
        </w:sectPr>
      </w:pPr>
    </w:p>
    <w:p>
      <w:pPr>
        <w:spacing w:after="0" w:line="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1"/>
          <w:szCs w:val="11"/>
          <w:color w:val="auto"/>
        </w:rPr>
        <w:t>US GAAP</w:t>
      </w:r>
    </w:p>
    <w:p>
      <w:pPr>
        <w:spacing w:after="0" w:line="20" w:lineRule="exact"/>
        <w:rPr>
          <w:sz w:val="24"/>
          <w:szCs w:val="24"/>
          <w:color w:val="auto"/>
        </w:rPr>
      </w:pPr>
      <w:r>
        <w:rPr>
          <w:sz w:val="24"/>
          <w:szCs w:val="24"/>
          <w:color w:val="auto"/>
        </w:rPr>
        <w:br w:type="column"/>
      </w:r>
    </w:p>
    <w:p>
      <w:pPr>
        <w:ind w:hanging="4"/>
        <w:spacing w:after="0" w:line="247" w:lineRule="auto"/>
        <w:rPr>
          <w:sz w:val="20"/>
          <w:szCs w:val="20"/>
          <w:color w:val="auto"/>
        </w:rPr>
      </w:pPr>
      <w:r>
        <w:rPr>
          <w:rFonts w:ascii="Wingdings 2" w:cs="Wingdings 2" w:eastAsia="Wingdings 2" w:hAnsi="Wingdings 2"/>
          <w:sz w:val="11"/>
          <w:szCs w:val="11"/>
          <w:b w:val="1"/>
          <w:bCs w:val="1"/>
          <w:color w:val="auto"/>
        </w:rPr>
        <w:t xml:space="preserve">S </w:t>
      </w:r>
      <w:r>
        <w:rPr>
          <w:rFonts w:ascii="Times New Roman" w:cs="Times New Roman" w:eastAsia="Times New Roman" w:hAnsi="Times New Roman"/>
          <w:sz w:val="11"/>
          <w:szCs w:val="11"/>
          <w:color w:val="auto"/>
        </w:rPr>
        <w:t>International Financial Reporting Standards as issued by the International Accounting</w:t>
      </w:r>
      <w:r>
        <w:rPr>
          <w:rFonts w:ascii="Wingdings 2" w:cs="Wingdings 2" w:eastAsia="Wingdings 2" w:hAnsi="Wingdings 2"/>
          <w:sz w:val="11"/>
          <w:szCs w:val="11"/>
          <w:b w:val="1"/>
          <w:bCs w:val="1"/>
          <w:color w:val="auto"/>
        </w:rPr>
        <w:t xml:space="preserve"> </w:t>
      </w:r>
      <w:r>
        <w:rPr>
          <w:rFonts w:ascii="Times New Roman" w:cs="Times New Roman" w:eastAsia="Times New Roman" w:hAnsi="Times New Roman"/>
          <w:sz w:val="11"/>
          <w:szCs w:val="11"/>
          <w:color w:val="auto"/>
        </w:rPr>
        <w:t>Standards Board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Other</w:t>
      </w:r>
    </w:p>
    <w:p>
      <w:pPr>
        <w:spacing w:after="0" w:line="153" w:lineRule="exact"/>
        <w:rPr>
          <w:sz w:val="24"/>
          <w:szCs w:val="24"/>
          <w:color w:val="auto"/>
        </w:rPr>
      </w:pPr>
    </w:p>
    <w:p>
      <w:pPr>
        <w:sectPr>
          <w:pgSz w:w="11900" w:h="16840" w:orient="portrait"/>
          <w:cols w:equalWidth="0" w:num="3">
            <w:col w:w="1200" w:space="460"/>
            <w:col w:w="4060" w:space="320"/>
            <w:col w:w="2980"/>
          </w:cols>
          <w:pgMar w:left="1440" w:top="551" w:right="1440" w:bottom="929" w:gutter="0" w:footer="0" w:header="0"/>
          <w:type w:val="continuous"/>
        </w:sectPr>
      </w:pPr>
    </w:p>
    <w:p>
      <w:pPr>
        <w:ind w:left="620" w:right="2260"/>
        <w:spacing w:after="0" w:line="228" w:lineRule="auto"/>
        <w:rPr>
          <w:sz w:val="20"/>
          <w:szCs w:val="20"/>
          <w:color w:val="auto"/>
        </w:rPr>
      </w:pPr>
      <w:r>
        <w:rPr>
          <w:rFonts w:ascii="Times New Roman" w:cs="Times New Roman" w:eastAsia="Times New Roman" w:hAnsi="Times New Roman"/>
          <w:sz w:val="11"/>
          <w:szCs w:val="11"/>
          <w:color w:val="auto"/>
        </w:rPr>
        <w:t>If “Other” has been checked in response to the previous question, indicate by check mark which financial statement item the registrant has elected to follow Item 17 Item 18</w:t>
      </w:r>
    </w:p>
    <w:p>
      <w:pPr>
        <w:ind w:left="620" w:right="2760"/>
        <w:spacing w:after="0" w:line="237" w:lineRule="auto"/>
        <w:rPr>
          <w:sz w:val="20"/>
          <w:szCs w:val="20"/>
          <w:color w:val="auto"/>
        </w:rPr>
      </w:pPr>
      <w:r>
        <w:rPr>
          <w:rFonts w:ascii="Times New Roman" w:cs="Times New Roman" w:eastAsia="Times New Roman" w:hAnsi="Times New Roman"/>
          <w:sz w:val="11"/>
          <w:szCs w:val="11"/>
          <w:color w:val="auto"/>
        </w:rPr>
        <w:t xml:space="preserve">If this is an annual report, indicate by check mark whether the registrant is a shell company (as defined in Rule 12b-2 of the Exchange Act). Yes No </w:t>
      </w:r>
      <w:r>
        <w:rPr>
          <w:rFonts w:ascii="Wingdings 2" w:cs="Wingdings 2" w:eastAsia="Wingdings 2" w:hAnsi="Wingdings 2"/>
          <w:sz w:val="11"/>
          <w:szCs w:val="11"/>
          <w:b w:val="1"/>
          <w:bCs w:val="1"/>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-8890</wp:posOffset>
            </wp:positionV>
            <wp:extent cx="39160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6045" cy="635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105410</wp:posOffset>
            </wp:positionV>
            <wp:extent cx="3916045"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6045" cy="24130"/>
                    </a:xfrm>
                    <a:prstGeom prst="rect">
                      <a:avLst/>
                    </a:prstGeom>
                    <a:noFill/>
                  </pic:spPr>
                </pic:pic>
              </a:graphicData>
            </a:graphic>
          </wp:anchor>
        </w:drawing>
      </w:r>
    </w:p>
    <w:p>
      <w:pPr>
        <w:sectPr>
          <w:pgSz w:w="11900" w:h="16840" w:orient="portrait"/>
          <w:cols w:equalWidth="0" w:num="1">
            <w:col w:w="9020"/>
          </w:cols>
          <w:pgMar w:left="1440" w:top="551" w:right="1440" w:bottom="929"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rPr>
          <w:sz w:val="20"/>
          <w:szCs w:val="20"/>
          <w:color w:val="auto"/>
        </w:rPr>
      </w:pPr>
      <w:r>
        <w:rPr>
          <w:rFonts w:ascii="Times New Roman" w:cs="Times New Roman" w:eastAsia="Times New Roman" w:hAnsi="Times New Roman"/>
          <w:sz w:val="12"/>
          <w:szCs w:val="12"/>
          <w:b w:val="1"/>
          <w:bCs w:val="1"/>
          <w:color w:val="auto"/>
        </w:rPr>
        <w:t>TABLE OF CONTENTS</w:t>
      </w:r>
    </w:p>
    <w:tbl>
      <w:tblPr>
        <w:tblLayout w:type="fixed"/>
        <w:tblInd w:w="640" w:type="dxa"/>
        <w:tblCellMar>
          <w:top w:w="0" w:type="dxa"/>
          <w:left w:w="0" w:type="dxa"/>
          <w:bottom w:w="0" w:type="dxa"/>
          <w:right w:w="0" w:type="dxa"/>
        </w:tblCellMar>
      </w:tblPr>
      <w:tr>
        <w:trPr>
          <w:trHeight w:val="134"/>
        </w:trPr>
        <w:tc>
          <w:tcPr>
            <w:tcW w:w="4980" w:type="dxa"/>
            <w:vAlign w:val="bottom"/>
            <w:gridSpan w:val="34"/>
          </w:tcPr>
          <w:p>
            <w:pPr>
              <w:spacing w:after="0" w:line="134" w:lineRule="exact"/>
              <w:rPr>
                <w:rFonts w:ascii="Times New Roman" w:cs="Times New Roman" w:eastAsia="Times New Roman" w:hAnsi="Times New Roman"/>
                <w:sz w:val="12"/>
                <w:szCs w:val="12"/>
                <w:color w:val="0E32E1"/>
              </w:rPr>
            </w:pPr>
            <w:hyperlink w:anchor="page2">
              <w:r>
                <w:rPr>
                  <w:rFonts w:ascii="Times New Roman" w:cs="Times New Roman" w:eastAsia="Times New Roman" w:hAnsi="Times New Roman"/>
                  <w:sz w:val="12"/>
                  <w:szCs w:val="12"/>
                  <w:color w:val="0E32E1"/>
                </w:rPr>
                <w:t>INTRODUCTION</w:t>
              </w:r>
            </w:hyperlink>
          </w:p>
        </w:tc>
        <w:tc>
          <w:tcPr>
            <w:tcW w:w="700" w:type="dxa"/>
            <w:vAlign w:val="bottom"/>
          </w:tcPr>
          <w:p>
            <w:pPr>
              <w:ind w:left="500"/>
              <w:spacing w:after="0" w:line="134" w:lineRule="exact"/>
              <w:rPr>
                <w:rFonts w:ascii="Times New Roman" w:cs="Times New Roman" w:eastAsia="Times New Roman" w:hAnsi="Times New Roman"/>
                <w:sz w:val="12"/>
                <w:szCs w:val="12"/>
                <w:color w:val="auto"/>
              </w:rPr>
            </w:pPr>
            <w:hyperlink w:anchor="page2">
              <w:r>
                <w:rPr>
                  <w:rFonts w:ascii="Times New Roman" w:cs="Times New Roman" w:eastAsia="Times New Roman" w:hAnsi="Times New Roman"/>
                  <w:sz w:val="12"/>
                  <w:szCs w:val="12"/>
                  <w:color w:val="auto"/>
                </w:rPr>
                <w:t>4</w:t>
              </w:r>
            </w:hyperlink>
          </w:p>
        </w:tc>
        <w:tc>
          <w:tcPr>
            <w:tcW w:w="0" w:type="dxa"/>
            <w:vAlign w:val="bottom"/>
          </w:tcPr>
          <w:p>
            <w:pPr>
              <w:spacing w:after="0"/>
              <w:rPr>
                <w:sz w:val="1"/>
                <w:szCs w:val="1"/>
                <w:color w:val="auto"/>
              </w:rPr>
            </w:pPr>
          </w:p>
        </w:tc>
      </w:tr>
      <w:tr>
        <w:trPr>
          <w:trHeight w:val="294"/>
        </w:trPr>
        <w:tc>
          <w:tcPr>
            <w:tcW w:w="640" w:type="dxa"/>
            <w:vAlign w:val="bottom"/>
            <w:tcBorders>
              <w:top w:val="single" w:sz="8" w:color="0E32E1"/>
            </w:tcBorders>
            <w:gridSpan w:val="5"/>
          </w:tcPr>
          <w:p>
            <w:pPr>
              <w:spacing w:after="0"/>
              <w:rPr>
                <w:rFonts w:ascii="Times New Roman" w:cs="Times New Roman" w:eastAsia="Times New Roman" w:hAnsi="Times New Roman"/>
                <w:sz w:val="12"/>
                <w:szCs w:val="12"/>
                <w:color w:val="0E32E1"/>
              </w:rPr>
            </w:pPr>
            <w:hyperlink w:anchor="page5">
              <w:r>
                <w:rPr>
                  <w:rFonts w:ascii="Times New Roman" w:cs="Times New Roman" w:eastAsia="Times New Roman" w:hAnsi="Times New Roman"/>
                  <w:sz w:val="12"/>
                  <w:szCs w:val="12"/>
                  <w:color w:val="0E32E1"/>
                </w:rPr>
                <w:t>PART I</w:t>
              </w:r>
            </w:hyperlink>
          </w:p>
        </w:tc>
        <w:tc>
          <w:tcPr>
            <w:tcW w:w="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500"/>
              <w:spacing w:after="0"/>
              <w:rPr>
                <w:rFonts w:ascii="Times New Roman" w:cs="Times New Roman" w:eastAsia="Times New Roman" w:hAnsi="Times New Roman"/>
                <w:sz w:val="12"/>
                <w:szCs w:val="12"/>
                <w:color w:val="auto"/>
              </w:rPr>
            </w:pPr>
            <w:hyperlink w:anchor="page5">
              <w:r>
                <w:rPr>
                  <w:rFonts w:ascii="Times New Roman" w:cs="Times New Roman" w:eastAsia="Times New Roman" w:hAnsi="Times New Roman"/>
                  <w:sz w:val="12"/>
                  <w:szCs w:val="12"/>
                  <w:color w:val="auto"/>
                </w:rPr>
                <w:t>7</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5">
              <w:r>
                <w:rPr>
                  <w:rFonts w:ascii="Times New Roman" w:cs="Times New Roman" w:eastAsia="Times New Roman" w:hAnsi="Times New Roman"/>
                  <w:sz w:val="12"/>
                  <w:szCs w:val="12"/>
                  <w:color w:val="0E32E1"/>
                  <w:w w:val="99"/>
                </w:rPr>
                <w:t>ITEM 1</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5">
              <w:r>
                <w:rPr>
                  <w:rFonts w:ascii="Times New Roman" w:cs="Times New Roman" w:eastAsia="Times New Roman" w:hAnsi="Times New Roman"/>
                  <w:sz w:val="12"/>
                  <w:szCs w:val="12"/>
                  <w:color w:val="0E32E1"/>
                </w:rPr>
                <w:t>IDENTITY OF DIRECTORS, SENIOR MANAGEMENT AND ADVISORS</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5">
              <w:r>
                <w:rPr>
                  <w:rFonts w:ascii="Times New Roman" w:cs="Times New Roman" w:eastAsia="Times New Roman" w:hAnsi="Times New Roman"/>
                  <w:sz w:val="12"/>
                  <w:szCs w:val="12"/>
                  <w:color w:val="auto"/>
                </w:rPr>
                <w:t>7</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5">
              <w:r>
                <w:rPr>
                  <w:rFonts w:ascii="Times New Roman" w:cs="Times New Roman" w:eastAsia="Times New Roman" w:hAnsi="Times New Roman"/>
                  <w:sz w:val="12"/>
                  <w:szCs w:val="12"/>
                  <w:color w:val="0E32E1"/>
                  <w:w w:val="99"/>
                </w:rPr>
                <w:t>ITEM 2</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5">
              <w:r>
                <w:rPr>
                  <w:rFonts w:ascii="Times New Roman" w:cs="Times New Roman" w:eastAsia="Times New Roman" w:hAnsi="Times New Roman"/>
                  <w:sz w:val="12"/>
                  <w:szCs w:val="12"/>
                  <w:color w:val="0E32E1"/>
                </w:rPr>
                <w:t>OFFER STATISTICS AND EXPECTED TIMETABLE</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5">
              <w:r>
                <w:rPr>
                  <w:rFonts w:ascii="Times New Roman" w:cs="Times New Roman" w:eastAsia="Times New Roman" w:hAnsi="Times New Roman"/>
                  <w:sz w:val="12"/>
                  <w:szCs w:val="12"/>
                  <w:color w:val="auto"/>
                </w:rPr>
                <w:t>7</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5">
              <w:r>
                <w:rPr>
                  <w:rFonts w:ascii="Times New Roman" w:cs="Times New Roman" w:eastAsia="Times New Roman" w:hAnsi="Times New Roman"/>
                  <w:sz w:val="12"/>
                  <w:szCs w:val="12"/>
                  <w:color w:val="0E32E1"/>
                  <w:w w:val="99"/>
                </w:rPr>
                <w:t>ITEM 3</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5">
              <w:r>
                <w:rPr>
                  <w:rFonts w:ascii="Times New Roman" w:cs="Times New Roman" w:eastAsia="Times New Roman" w:hAnsi="Times New Roman"/>
                  <w:sz w:val="12"/>
                  <w:szCs w:val="12"/>
                  <w:color w:val="0E32E1"/>
                </w:rPr>
                <w:t>KEY INFORMATION</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5">
              <w:r>
                <w:rPr>
                  <w:rFonts w:ascii="Times New Roman" w:cs="Times New Roman" w:eastAsia="Times New Roman" w:hAnsi="Times New Roman"/>
                  <w:sz w:val="12"/>
                  <w:szCs w:val="12"/>
                  <w:color w:val="auto"/>
                </w:rPr>
                <w:t>7</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26">
              <w:r>
                <w:rPr>
                  <w:rFonts w:ascii="Times New Roman" w:cs="Times New Roman" w:eastAsia="Times New Roman" w:hAnsi="Times New Roman"/>
                  <w:sz w:val="12"/>
                  <w:szCs w:val="12"/>
                  <w:color w:val="0E32E1"/>
                  <w:w w:val="99"/>
                </w:rPr>
                <w:t>ITEM 4</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26">
              <w:r>
                <w:rPr>
                  <w:rFonts w:ascii="Times New Roman" w:cs="Times New Roman" w:eastAsia="Times New Roman" w:hAnsi="Times New Roman"/>
                  <w:sz w:val="12"/>
                  <w:szCs w:val="12"/>
                  <w:color w:val="0E32E1"/>
                </w:rPr>
                <w:t>INFORMATION ON THE COMPANY</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26">
              <w:r>
                <w:rPr>
                  <w:rFonts w:ascii="Times New Roman" w:cs="Times New Roman" w:eastAsia="Times New Roman" w:hAnsi="Times New Roman"/>
                  <w:sz w:val="12"/>
                  <w:szCs w:val="12"/>
                  <w:color w:val="auto"/>
                </w:rPr>
                <w:t>40</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97"/>
              </w:rPr>
            </w:pPr>
            <w:hyperlink w:anchor="page49">
              <w:r>
                <w:rPr>
                  <w:rFonts w:ascii="Times New Roman" w:cs="Times New Roman" w:eastAsia="Times New Roman" w:hAnsi="Times New Roman"/>
                  <w:sz w:val="12"/>
                  <w:szCs w:val="12"/>
                  <w:color w:val="0E32E1"/>
                  <w:w w:val="97"/>
                </w:rPr>
                <w:t>ITEM 4A</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49">
              <w:r>
                <w:rPr>
                  <w:rFonts w:ascii="Times New Roman" w:cs="Times New Roman" w:eastAsia="Times New Roman" w:hAnsi="Times New Roman"/>
                  <w:sz w:val="12"/>
                  <w:szCs w:val="12"/>
                  <w:color w:val="0E32E1"/>
                </w:rPr>
                <w:t>UNRESOLVED STAFF COMMENTS</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49">
              <w:r>
                <w:rPr>
                  <w:rFonts w:ascii="Times New Roman" w:cs="Times New Roman" w:eastAsia="Times New Roman" w:hAnsi="Times New Roman"/>
                  <w:sz w:val="12"/>
                  <w:szCs w:val="12"/>
                  <w:color w:val="auto"/>
                </w:rPr>
                <w:t>75</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80" w:type="dxa"/>
            <w:vAlign w:val="bottom"/>
            <w:tcBorders>
              <w:left w:val="single" w:sz="8" w:color="0E32E1"/>
              <w:right w:val="single" w:sz="8" w:color="0E32E1"/>
            </w:tcBorders>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49">
              <w:r>
                <w:rPr>
                  <w:rFonts w:ascii="Times New Roman" w:cs="Times New Roman" w:eastAsia="Times New Roman" w:hAnsi="Times New Roman"/>
                  <w:sz w:val="12"/>
                  <w:szCs w:val="12"/>
                  <w:color w:val="0E32E1"/>
                  <w:w w:val="99"/>
                </w:rPr>
                <w:t>ITEM 5</w:t>
              </w:r>
            </w:hyperlink>
          </w:p>
        </w:tc>
        <w:tc>
          <w:tcPr>
            <w:tcW w:w="1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49">
              <w:r>
                <w:rPr>
                  <w:rFonts w:ascii="Times New Roman" w:cs="Times New Roman" w:eastAsia="Times New Roman" w:hAnsi="Times New Roman"/>
                  <w:sz w:val="12"/>
                  <w:szCs w:val="12"/>
                  <w:color w:val="0E32E1"/>
                </w:rPr>
                <w:t>OPERATING AND FINANCIAL REVIEW AND PROSPECTS</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49">
              <w:r>
                <w:rPr>
                  <w:rFonts w:ascii="Times New Roman" w:cs="Times New Roman" w:eastAsia="Times New Roman" w:hAnsi="Times New Roman"/>
                  <w:sz w:val="12"/>
                  <w:szCs w:val="12"/>
                  <w:color w:val="auto"/>
                </w:rPr>
                <w:t>75</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52">
              <w:r>
                <w:rPr>
                  <w:rFonts w:ascii="Times New Roman" w:cs="Times New Roman" w:eastAsia="Times New Roman" w:hAnsi="Times New Roman"/>
                  <w:sz w:val="12"/>
                  <w:szCs w:val="12"/>
                  <w:color w:val="0E32E1"/>
                  <w:w w:val="99"/>
                </w:rPr>
                <w:t>ITEM 6</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52">
              <w:r>
                <w:rPr>
                  <w:rFonts w:ascii="Times New Roman" w:cs="Times New Roman" w:eastAsia="Times New Roman" w:hAnsi="Times New Roman"/>
                  <w:sz w:val="12"/>
                  <w:szCs w:val="12"/>
                  <w:color w:val="0E32E1"/>
                </w:rPr>
                <w:t>DIRECTORS, SENIOR MANAGEMENT AND EMPLOYEES</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52">
              <w:r>
                <w:rPr>
                  <w:rFonts w:ascii="Times New Roman" w:cs="Times New Roman" w:eastAsia="Times New Roman" w:hAnsi="Times New Roman"/>
                  <w:sz w:val="12"/>
                  <w:szCs w:val="12"/>
                  <w:color w:val="auto"/>
                </w:rPr>
                <w:t>81</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60">
              <w:r>
                <w:rPr>
                  <w:rFonts w:ascii="Times New Roman" w:cs="Times New Roman" w:eastAsia="Times New Roman" w:hAnsi="Times New Roman"/>
                  <w:sz w:val="12"/>
                  <w:szCs w:val="12"/>
                  <w:color w:val="0E32E1"/>
                  <w:w w:val="99"/>
                </w:rPr>
                <w:t>ITEM 7</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60">
              <w:r>
                <w:rPr>
                  <w:rFonts w:ascii="Times New Roman" w:cs="Times New Roman" w:eastAsia="Times New Roman" w:hAnsi="Times New Roman"/>
                  <w:sz w:val="12"/>
                  <w:szCs w:val="12"/>
                  <w:color w:val="0E32E1"/>
                </w:rPr>
                <w:t>MAJOR SHAREHOLDERS AND RELATED PARTY TRANSACTIONS</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60">
              <w:r>
                <w:rPr>
                  <w:rFonts w:ascii="Times New Roman" w:cs="Times New Roman" w:eastAsia="Times New Roman" w:hAnsi="Times New Roman"/>
                  <w:sz w:val="12"/>
                  <w:szCs w:val="12"/>
                  <w:color w:val="auto"/>
                </w:rPr>
                <w:t>93</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80" w:type="dxa"/>
            <w:vAlign w:val="bottom"/>
            <w:tcBorders>
              <w:left w:val="single" w:sz="8" w:color="0E32E1"/>
            </w:tcBorders>
            <w:gridSpan w:val="2"/>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61">
              <w:r>
                <w:rPr>
                  <w:rFonts w:ascii="Times New Roman" w:cs="Times New Roman" w:eastAsia="Times New Roman" w:hAnsi="Times New Roman"/>
                  <w:sz w:val="12"/>
                  <w:szCs w:val="12"/>
                  <w:color w:val="0E32E1"/>
                  <w:w w:val="99"/>
                </w:rPr>
                <w:t>ITEM 8</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61">
              <w:r>
                <w:rPr>
                  <w:rFonts w:ascii="Times New Roman" w:cs="Times New Roman" w:eastAsia="Times New Roman" w:hAnsi="Times New Roman"/>
                  <w:sz w:val="12"/>
                  <w:szCs w:val="12"/>
                  <w:color w:val="0E32E1"/>
                </w:rPr>
                <w:t>FINANCIAL INFORMATION</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61">
              <w:r>
                <w:rPr>
                  <w:rFonts w:ascii="Times New Roman" w:cs="Times New Roman" w:eastAsia="Times New Roman" w:hAnsi="Times New Roman"/>
                  <w:sz w:val="12"/>
                  <w:szCs w:val="12"/>
                  <w:color w:val="auto"/>
                </w:rPr>
                <w:t>95</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 w:type="dxa"/>
            <w:vAlign w:val="bottom"/>
            <w:gridSpan w:val="2"/>
          </w:tcPr>
          <w:p>
            <w:pPr>
              <w:spacing w:after="0"/>
              <w:rPr>
                <w:rFonts w:ascii="Times New Roman" w:cs="Times New Roman" w:eastAsia="Times New Roman" w:hAnsi="Times New Roman"/>
                <w:sz w:val="12"/>
                <w:szCs w:val="12"/>
                <w:color w:val="0E32E1"/>
                <w:w w:val="99"/>
              </w:rPr>
            </w:pPr>
            <w:hyperlink w:anchor="page62">
              <w:r>
                <w:rPr>
                  <w:rFonts w:ascii="Times New Roman" w:cs="Times New Roman" w:eastAsia="Times New Roman" w:hAnsi="Times New Roman"/>
                  <w:sz w:val="12"/>
                  <w:szCs w:val="12"/>
                  <w:color w:val="0E32E1"/>
                  <w:w w:val="99"/>
                </w:rPr>
                <w:t>ITEM 9</w:t>
              </w:r>
            </w:hyperlink>
          </w:p>
        </w:tc>
        <w:tc>
          <w:tcPr>
            <w:tcW w:w="240" w:type="dxa"/>
            <w:vAlign w:val="bottom"/>
            <w:gridSpan w:val="3"/>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62">
              <w:r>
                <w:rPr>
                  <w:rFonts w:ascii="Times New Roman" w:cs="Times New Roman" w:eastAsia="Times New Roman" w:hAnsi="Times New Roman"/>
                  <w:sz w:val="12"/>
                  <w:szCs w:val="12"/>
                  <w:color w:val="0E32E1"/>
                </w:rPr>
                <w:t>THE OFFER AND LISTING</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62">
              <w:r>
                <w:rPr>
                  <w:rFonts w:ascii="Times New Roman" w:cs="Times New Roman" w:eastAsia="Times New Roman" w:hAnsi="Times New Roman"/>
                  <w:sz w:val="12"/>
                  <w:szCs w:val="12"/>
                  <w:color w:val="auto"/>
                </w:rPr>
                <w:t>96</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62">
              <w:r>
                <w:rPr>
                  <w:rFonts w:ascii="Times New Roman" w:cs="Times New Roman" w:eastAsia="Times New Roman" w:hAnsi="Times New Roman"/>
                  <w:sz w:val="12"/>
                  <w:szCs w:val="12"/>
                  <w:color w:val="0E32E1"/>
                  <w:w w:val="85"/>
                </w:rPr>
                <w:t>ITEM 10</w:t>
              </w:r>
            </w:hyperlink>
          </w:p>
        </w:tc>
        <w:tc>
          <w:tcPr>
            <w:tcW w:w="220" w:type="dxa"/>
            <w:vAlign w:val="bottom"/>
            <w:gridSpan w:val="2"/>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62">
              <w:r>
                <w:rPr>
                  <w:rFonts w:ascii="Times New Roman" w:cs="Times New Roman" w:eastAsia="Times New Roman" w:hAnsi="Times New Roman"/>
                  <w:sz w:val="12"/>
                  <w:szCs w:val="12"/>
                  <w:color w:val="0E32E1"/>
                </w:rPr>
                <w:t>ADDITIONAL INFORMATION</w:t>
              </w:r>
            </w:hyperlink>
          </w:p>
        </w:tc>
        <w:tc>
          <w:tcPr>
            <w:tcW w:w="700" w:type="dxa"/>
            <w:vAlign w:val="bottom"/>
          </w:tcPr>
          <w:p>
            <w:pPr>
              <w:ind w:left="500"/>
              <w:spacing w:after="0"/>
              <w:rPr>
                <w:rFonts w:ascii="Times New Roman" w:cs="Times New Roman" w:eastAsia="Times New Roman" w:hAnsi="Times New Roman"/>
                <w:sz w:val="12"/>
                <w:szCs w:val="12"/>
                <w:color w:val="auto"/>
              </w:rPr>
            </w:pPr>
            <w:hyperlink w:anchor="page62">
              <w:r>
                <w:rPr>
                  <w:rFonts w:ascii="Times New Roman" w:cs="Times New Roman" w:eastAsia="Times New Roman" w:hAnsi="Times New Roman"/>
                  <w:sz w:val="12"/>
                  <w:szCs w:val="12"/>
                  <w:color w:val="auto"/>
                </w:rPr>
                <w:t>96</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0">
              <w:r>
                <w:rPr>
                  <w:rFonts w:ascii="Times New Roman" w:cs="Times New Roman" w:eastAsia="Times New Roman" w:hAnsi="Times New Roman"/>
                  <w:sz w:val="12"/>
                  <w:szCs w:val="12"/>
                  <w:color w:val="0E32E1"/>
                  <w:w w:val="85"/>
                </w:rPr>
                <w:t>ITEM 11</w:t>
              </w:r>
            </w:hyperlink>
          </w:p>
        </w:tc>
        <w:tc>
          <w:tcPr>
            <w:tcW w:w="220" w:type="dxa"/>
            <w:vAlign w:val="bottom"/>
            <w:gridSpan w:val="2"/>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0">
              <w:r>
                <w:rPr>
                  <w:rFonts w:ascii="Times New Roman" w:cs="Times New Roman" w:eastAsia="Times New Roman" w:hAnsi="Times New Roman"/>
                  <w:sz w:val="12"/>
                  <w:szCs w:val="12"/>
                  <w:color w:val="0E32E1"/>
                </w:rPr>
                <w:t>QUALITATIVE AND QUANTITATIVE DISCLOSURES ABOUT MARKET RISKS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0">
              <w:r>
                <w:rPr>
                  <w:rFonts w:ascii="Times New Roman" w:cs="Times New Roman" w:eastAsia="Times New Roman" w:hAnsi="Times New Roman"/>
                  <w:sz w:val="12"/>
                  <w:szCs w:val="12"/>
                  <w:color w:val="auto"/>
                  <w:w w:val="99"/>
                </w:rPr>
                <w:t>108</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80" w:type="dxa"/>
            <w:vAlign w:val="bottom"/>
            <w:tcBorders>
              <w:left w:val="single" w:sz="8" w:color="0E32E1"/>
            </w:tcBorders>
            <w:gridSpan w:val="2"/>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0">
              <w:r>
                <w:rPr>
                  <w:rFonts w:ascii="Times New Roman" w:cs="Times New Roman" w:eastAsia="Times New Roman" w:hAnsi="Times New Roman"/>
                  <w:sz w:val="12"/>
                  <w:szCs w:val="12"/>
                  <w:color w:val="0E32E1"/>
                  <w:w w:val="85"/>
                </w:rPr>
                <w:t>ITEM 12</w:t>
              </w:r>
            </w:hyperlink>
          </w:p>
        </w:tc>
        <w:tc>
          <w:tcPr>
            <w:tcW w:w="220" w:type="dxa"/>
            <w:vAlign w:val="bottom"/>
            <w:gridSpan w:val="2"/>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0">
              <w:r>
                <w:rPr>
                  <w:rFonts w:ascii="Times New Roman" w:cs="Times New Roman" w:eastAsia="Times New Roman" w:hAnsi="Times New Roman"/>
                  <w:sz w:val="12"/>
                  <w:szCs w:val="12"/>
                  <w:color w:val="0E32E1"/>
                </w:rPr>
                <w:t>DESCRIPTION OF SECURITIES OTHER THAN EQUITY SECURITIES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0">
              <w:r>
                <w:rPr>
                  <w:rFonts w:ascii="Times New Roman" w:cs="Times New Roman" w:eastAsia="Times New Roman" w:hAnsi="Times New Roman"/>
                  <w:sz w:val="12"/>
                  <w:szCs w:val="12"/>
                  <w:color w:val="auto"/>
                  <w:w w:val="99"/>
                </w:rPr>
                <w:t>108</w:t>
              </w:r>
            </w:hyperlink>
          </w:p>
        </w:tc>
        <w:tc>
          <w:tcPr>
            <w:tcW w:w="0" w:type="dxa"/>
            <w:vAlign w:val="bottom"/>
          </w:tcPr>
          <w:p>
            <w:pPr>
              <w:spacing w:after="0"/>
              <w:rPr>
                <w:sz w:val="1"/>
                <w:szCs w:val="1"/>
                <w:color w:val="auto"/>
              </w:rPr>
            </w:pPr>
          </w:p>
        </w:tc>
      </w:tr>
      <w:tr>
        <w:trPr>
          <w:trHeight w:val="161"/>
        </w:trPr>
        <w:tc>
          <w:tcPr>
            <w:tcW w:w="420" w:type="dxa"/>
            <w:vAlign w:val="bottom"/>
            <w:tcBorders>
              <w:top w:val="single" w:sz="8" w:color="0E32E1"/>
            </w:tcBorders>
            <w:gridSpan w:val="3"/>
          </w:tcPr>
          <w:p>
            <w:pPr>
              <w:spacing w:after="0"/>
              <w:rPr>
                <w:rFonts w:ascii="Times New Roman" w:cs="Times New Roman" w:eastAsia="Times New Roman" w:hAnsi="Times New Roman"/>
                <w:sz w:val="12"/>
                <w:szCs w:val="12"/>
                <w:color w:val="0E32E1"/>
                <w:w w:val="91"/>
              </w:rPr>
            </w:pPr>
            <w:hyperlink w:anchor="page71">
              <w:r>
                <w:rPr>
                  <w:rFonts w:ascii="Times New Roman" w:cs="Times New Roman" w:eastAsia="Times New Roman" w:hAnsi="Times New Roman"/>
                  <w:sz w:val="12"/>
                  <w:szCs w:val="12"/>
                  <w:color w:val="0E32E1"/>
                  <w:w w:val="91"/>
                </w:rPr>
                <w:t>PART II</w:t>
              </w:r>
            </w:hyperlink>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280" w:type="dxa"/>
            <w:vAlign w:val="bottom"/>
            <w:tcBorders>
              <w:top w:val="single" w:sz="8" w:color="0E32E1"/>
            </w:tcBorders>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32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1">
              <w:r>
                <w:rPr>
                  <w:rFonts w:ascii="Times New Roman" w:cs="Times New Roman" w:eastAsia="Times New Roman" w:hAnsi="Times New Roman"/>
                  <w:sz w:val="12"/>
                  <w:szCs w:val="12"/>
                  <w:color w:val="auto"/>
                  <w:w w:val="99"/>
                </w:rPr>
                <w:t>110</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1">
              <w:r>
                <w:rPr>
                  <w:rFonts w:ascii="Times New Roman" w:cs="Times New Roman" w:eastAsia="Times New Roman" w:hAnsi="Times New Roman"/>
                  <w:sz w:val="12"/>
                  <w:szCs w:val="12"/>
                  <w:color w:val="0E32E1"/>
                  <w:w w:val="85"/>
                </w:rPr>
                <w:t>ITEM 13</w:t>
              </w:r>
            </w:hyperlink>
          </w:p>
        </w:tc>
        <w:tc>
          <w:tcPr>
            <w:tcW w:w="220" w:type="dxa"/>
            <w:vAlign w:val="bottom"/>
            <w:gridSpan w:val="2"/>
          </w:tcPr>
          <w:p>
            <w:pPr>
              <w:spacing w:after="0"/>
              <w:rPr>
                <w:sz w:val="15"/>
                <w:szCs w:val="15"/>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1">
              <w:r>
                <w:rPr>
                  <w:rFonts w:ascii="Times New Roman" w:cs="Times New Roman" w:eastAsia="Times New Roman" w:hAnsi="Times New Roman"/>
                  <w:sz w:val="12"/>
                  <w:szCs w:val="12"/>
                  <w:color w:val="0E32E1"/>
                </w:rPr>
                <w:t>DEFAULTS, DIVIDEND ARREARAGES AND DELINQUENCIES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1">
              <w:r>
                <w:rPr>
                  <w:rFonts w:ascii="Times New Roman" w:cs="Times New Roman" w:eastAsia="Times New Roman" w:hAnsi="Times New Roman"/>
                  <w:sz w:val="12"/>
                  <w:szCs w:val="12"/>
                  <w:color w:val="auto"/>
                  <w:w w:val="99"/>
                </w:rPr>
                <w:t>110</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80" w:type="dxa"/>
            <w:vAlign w:val="bottom"/>
            <w:tcBorders>
              <w:left w:val="single" w:sz="8" w:color="0E32E1"/>
            </w:tcBorders>
            <w:gridSpan w:val="2"/>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1">
              <w:r>
                <w:rPr>
                  <w:rFonts w:ascii="Times New Roman" w:cs="Times New Roman" w:eastAsia="Times New Roman" w:hAnsi="Times New Roman"/>
                  <w:sz w:val="12"/>
                  <w:szCs w:val="12"/>
                  <w:color w:val="0E32E1"/>
                  <w:w w:val="85"/>
                </w:rPr>
                <w:t>ITEM 14</w:t>
              </w:r>
            </w:hyperlink>
          </w:p>
        </w:tc>
        <w:tc>
          <w:tcPr>
            <w:tcW w:w="220" w:type="dxa"/>
            <w:vAlign w:val="bottom"/>
            <w:gridSpan w:val="2"/>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1">
              <w:r>
                <w:rPr>
                  <w:rFonts w:ascii="Times New Roman" w:cs="Times New Roman" w:eastAsia="Times New Roman" w:hAnsi="Times New Roman"/>
                  <w:sz w:val="12"/>
                  <w:szCs w:val="12"/>
                  <w:color w:val="0E32E1"/>
                </w:rPr>
                <w:t>MATERIAL MODIFICATIONS TO THE RIGHTS OF SECURITY HOLDERS AND</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1">
              <w:r>
                <w:rPr>
                  <w:rFonts w:ascii="Times New Roman" w:cs="Times New Roman" w:eastAsia="Times New Roman" w:hAnsi="Times New Roman"/>
                  <w:sz w:val="12"/>
                  <w:szCs w:val="12"/>
                  <w:color w:val="auto"/>
                  <w:w w:val="99"/>
                </w:rPr>
                <w:t>110</w:t>
              </w:r>
            </w:hyperlink>
          </w:p>
        </w:tc>
        <w:tc>
          <w:tcPr>
            <w:tcW w:w="0" w:type="dxa"/>
            <w:vAlign w:val="bottom"/>
          </w:tcPr>
          <w:p>
            <w:pPr>
              <w:spacing w:after="0"/>
              <w:rPr>
                <w:sz w:val="1"/>
                <w:szCs w:val="1"/>
                <w:color w:val="auto"/>
              </w:rPr>
            </w:pPr>
          </w:p>
        </w:tc>
      </w:tr>
      <w:tr>
        <w:trPr>
          <w:trHeight w:val="104"/>
        </w:trPr>
        <w:tc>
          <w:tcPr>
            <w:tcW w:w="380" w:type="dxa"/>
            <w:vAlign w:val="bottom"/>
            <w:tcBorders>
              <w:top w:val="single" w:sz="8" w:color="0E32E1"/>
            </w:tcBorders>
          </w:tcPr>
          <w:p>
            <w:pPr>
              <w:spacing w:after="0"/>
              <w:rPr>
                <w:sz w:val="9"/>
                <w:szCs w:val="9"/>
                <w:color w:val="auto"/>
              </w:rPr>
            </w:pPr>
          </w:p>
        </w:tc>
        <w:tc>
          <w:tcPr>
            <w:tcW w:w="20" w:type="dxa"/>
            <w:vAlign w:val="bottom"/>
            <w:tcBorders>
              <w:top w:val="single" w:sz="8" w:color="0E32E1"/>
            </w:tcBorders>
          </w:tcPr>
          <w:p>
            <w:pPr>
              <w:spacing w:after="0"/>
              <w:rPr>
                <w:sz w:val="9"/>
                <w:szCs w:val="9"/>
                <w:color w:val="auto"/>
              </w:rPr>
            </w:pPr>
          </w:p>
        </w:tc>
        <w:tc>
          <w:tcPr>
            <w:tcW w:w="20" w:type="dxa"/>
            <w:vAlign w:val="bottom"/>
            <w:tcBorders>
              <w:top w:val="single" w:sz="8" w:color="0E32E1"/>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0E32E1"/>
            </w:tcBorders>
          </w:tcPr>
          <w:p>
            <w:pPr>
              <w:spacing w:after="0"/>
              <w:rPr>
                <w:sz w:val="9"/>
                <w:szCs w:val="9"/>
                <w:color w:val="auto"/>
              </w:rPr>
            </w:pPr>
          </w:p>
        </w:tc>
        <w:tc>
          <w:tcPr>
            <w:tcW w:w="1120" w:type="dxa"/>
            <w:vAlign w:val="bottom"/>
            <w:tcBorders>
              <w:top w:val="single" w:sz="8" w:color="0E32E1"/>
              <w:bottom w:val="single" w:sz="8" w:color="0E32E1"/>
            </w:tcBorders>
            <w:gridSpan w:val="8"/>
          </w:tcPr>
          <w:p>
            <w:pPr>
              <w:spacing w:after="0" w:line="104" w:lineRule="exact"/>
              <w:rPr>
                <w:rFonts w:ascii="Times New Roman" w:cs="Times New Roman" w:eastAsia="Times New Roman" w:hAnsi="Times New Roman"/>
                <w:sz w:val="12"/>
                <w:szCs w:val="12"/>
                <w:color w:val="0E32E1"/>
              </w:rPr>
            </w:pPr>
            <w:hyperlink w:anchor="page71">
              <w:r>
                <w:rPr>
                  <w:rFonts w:ascii="Times New Roman" w:cs="Times New Roman" w:eastAsia="Times New Roman" w:hAnsi="Times New Roman"/>
                  <w:sz w:val="12"/>
                  <w:szCs w:val="12"/>
                  <w:color w:val="0E32E1"/>
                </w:rPr>
                <w:t>USE OF PROCEEDS</w:t>
              </w:r>
            </w:hyperlink>
          </w:p>
        </w:tc>
        <w:tc>
          <w:tcPr>
            <w:tcW w:w="3200" w:type="dxa"/>
            <w:vAlign w:val="bottom"/>
            <w:tcBorders>
              <w:top w:val="single" w:sz="8" w:color="0E32E1"/>
            </w:tcBorders>
            <w:gridSpan w:val="20"/>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1">
              <w:r>
                <w:rPr>
                  <w:rFonts w:ascii="Times New Roman" w:cs="Times New Roman" w:eastAsia="Times New Roman" w:hAnsi="Times New Roman"/>
                  <w:sz w:val="12"/>
                  <w:szCs w:val="12"/>
                  <w:color w:val="0E32E1"/>
                  <w:w w:val="85"/>
                </w:rPr>
                <w:t>ITEM 15</w:t>
              </w:r>
            </w:hyperlink>
          </w:p>
        </w:tc>
        <w:tc>
          <w:tcPr>
            <w:tcW w:w="220" w:type="dxa"/>
            <w:vAlign w:val="bottom"/>
            <w:gridSpan w:val="2"/>
          </w:tcPr>
          <w:p>
            <w:pPr>
              <w:spacing w:after="0"/>
              <w:rPr>
                <w:sz w:val="16"/>
                <w:szCs w:val="16"/>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1">
              <w:r>
                <w:rPr>
                  <w:rFonts w:ascii="Times New Roman" w:cs="Times New Roman" w:eastAsia="Times New Roman" w:hAnsi="Times New Roman"/>
                  <w:sz w:val="12"/>
                  <w:szCs w:val="12"/>
                  <w:color w:val="0E32E1"/>
                </w:rPr>
                <w:t>CONTROLS AND PROCEDURES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1">
              <w:r>
                <w:rPr>
                  <w:rFonts w:ascii="Times New Roman" w:cs="Times New Roman" w:eastAsia="Times New Roman" w:hAnsi="Times New Roman"/>
                  <w:sz w:val="12"/>
                  <w:szCs w:val="12"/>
                  <w:color w:val="auto"/>
                  <w:w w:val="99"/>
                </w:rPr>
                <w:t>110</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6"/>
              </w:rPr>
            </w:pPr>
            <w:hyperlink w:anchor="page72">
              <w:r>
                <w:rPr>
                  <w:rFonts w:ascii="Times New Roman" w:cs="Times New Roman" w:eastAsia="Times New Roman" w:hAnsi="Times New Roman"/>
                  <w:sz w:val="12"/>
                  <w:szCs w:val="12"/>
                  <w:color w:val="0E32E1"/>
                  <w:w w:val="86"/>
                </w:rPr>
                <w:t>ITEM 16A</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2">
              <w:r>
                <w:rPr>
                  <w:rFonts w:ascii="Times New Roman" w:cs="Times New Roman" w:eastAsia="Times New Roman" w:hAnsi="Times New Roman"/>
                  <w:sz w:val="12"/>
                  <w:szCs w:val="12"/>
                  <w:color w:val="0E32E1"/>
                </w:rPr>
                <w:t>AUDIT COMMITTEE FINANCIAL EXPERTS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2">
              <w:r>
                <w:rPr>
                  <w:rFonts w:ascii="Times New Roman" w:cs="Times New Roman" w:eastAsia="Times New Roman" w:hAnsi="Times New Roman"/>
                  <w:sz w:val="12"/>
                  <w:szCs w:val="12"/>
                  <w:color w:val="auto"/>
                  <w:w w:val="99"/>
                </w:rPr>
                <w:t>111</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760" w:type="dxa"/>
            <w:vAlign w:val="bottom"/>
            <w:tcBorders>
              <w:left w:val="single" w:sz="8" w:color="0E32E1"/>
            </w:tcBorders>
            <w:gridSpan w:val="3"/>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7"/>
              </w:rPr>
            </w:pPr>
            <w:hyperlink w:anchor="page72">
              <w:r>
                <w:rPr>
                  <w:rFonts w:ascii="Times New Roman" w:cs="Times New Roman" w:eastAsia="Times New Roman" w:hAnsi="Times New Roman"/>
                  <w:sz w:val="12"/>
                  <w:szCs w:val="12"/>
                  <w:color w:val="0E32E1"/>
                  <w:w w:val="87"/>
                </w:rPr>
                <w:t>ITEM 16B</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2">
              <w:r>
                <w:rPr>
                  <w:rFonts w:ascii="Times New Roman" w:cs="Times New Roman" w:eastAsia="Times New Roman" w:hAnsi="Times New Roman"/>
                  <w:sz w:val="12"/>
                  <w:szCs w:val="12"/>
                  <w:color w:val="0E32E1"/>
                </w:rPr>
                <w:t>CODE OF ETHICS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2">
              <w:r>
                <w:rPr>
                  <w:rFonts w:ascii="Times New Roman" w:cs="Times New Roman" w:eastAsia="Times New Roman" w:hAnsi="Times New Roman"/>
                  <w:sz w:val="12"/>
                  <w:szCs w:val="12"/>
                  <w:color w:val="auto"/>
                  <w:w w:val="99"/>
                </w:rPr>
                <w:t>111</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7"/>
              </w:rPr>
            </w:pPr>
            <w:hyperlink w:anchor="page72">
              <w:r>
                <w:rPr>
                  <w:rFonts w:ascii="Times New Roman" w:cs="Times New Roman" w:eastAsia="Times New Roman" w:hAnsi="Times New Roman"/>
                  <w:sz w:val="12"/>
                  <w:szCs w:val="12"/>
                  <w:color w:val="0E32E1"/>
                  <w:w w:val="87"/>
                </w:rPr>
                <w:t>ITEM 16C</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2">
              <w:r>
                <w:rPr>
                  <w:rFonts w:ascii="Times New Roman" w:cs="Times New Roman" w:eastAsia="Times New Roman" w:hAnsi="Times New Roman"/>
                  <w:sz w:val="12"/>
                  <w:szCs w:val="12"/>
                  <w:color w:val="0E32E1"/>
                </w:rPr>
                <w:t>PRINCIPAL ACCOUNTANT FEES AND SERVICES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2">
              <w:r>
                <w:rPr>
                  <w:rFonts w:ascii="Times New Roman" w:cs="Times New Roman" w:eastAsia="Times New Roman" w:hAnsi="Times New Roman"/>
                  <w:sz w:val="12"/>
                  <w:szCs w:val="12"/>
                  <w:color w:val="auto"/>
                  <w:w w:val="99"/>
                </w:rPr>
                <w:t>112</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100" w:type="dxa"/>
            <w:vAlign w:val="bottom"/>
            <w:tcBorders>
              <w:left w:val="single" w:sz="8" w:color="0E32E1"/>
            </w:tcBorders>
            <w:gridSpan w:val="4"/>
            <w:shd w:val="clear" w:color="auto" w:fill="0E32E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6"/>
              </w:rPr>
            </w:pPr>
            <w:hyperlink w:anchor="page73">
              <w:r>
                <w:rPr>
                  <w:rFonts w:ascii="Times New Roman" w:cs="Times New Roman" w:eastAsia="Times New Roman" w:hAnsi="Times New Roman"/>
                  <w:sz w:val="12"/>
                  <w:szCs w:val="12"/>
                  <w:color w:val="0E32E1"/>
                  <w:w w:val="86"/>
                </w:rPr>
                <w:t>ITEM 16D</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3">
              <w:r>
                <w:rPr>
                  <w:rFonts w:ascii="Times New Roman" w:cs="Times New Roman" w:eastAsia="Times New Roman" w:hAnsi="Times New Roman"/>
                  <w:sz w:val="12"/>
                  <w:szCs w:val="12"/>
                  <w:color w:val="0E32E1"/>
                </w:rPr>
                <w:t>EXEMPTIONS FROM THE LISTING STANDARDS FOR AUDIT COMMITTEES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3">
              <w:r>
                <w:rPr>
                  <w:rFonts w:ascii="Times New Roman" w:cs="Times New Roman" w:eastAsia="Times New Roman" w:hAnsi="Times New Roman"/>
                  <w:sz w:val="12"/>
                  <w:szCs w:val="12"/>
                  <w:color w:val="auto"/>
                  <w:w w:val="99"/>
                </w:rPr>
                <w:t>112</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580" w:type="dxa"/>
            <w:vAlign w:val="bottom"/>
            <w:tcBorders>
              <w:left w:val="single" w:sz="8" w:color="0E32E1"/>
            </w:tcBorders>
            <w:gridSpan w:val="6"/>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660" w:type="dxa"/>
            <w:vAlign w:val="bottom"/>
            <w:gridSpan w:val="5"/>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8"/>
              </w:rPr>
            </w:pPr>
            <w:hyperlink w:anchor="page73">
              <w:r>
                <w:rPr>
                  <w:rFonts w:ascii="Times New Roman" w:cs="Times New Roman" w:eastAsia="Times New Roman" w:hAnsi="Times New Roman"/>
                  <w:sz w:val="12"/>
                  <w:szCs w:val="12"/>
                  <w:color w:val="0E32E1"/>
                  <w:w w:val="88"/>
                </w:rPr>
                <w:t>ITEM 16E</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3">
              <w:r>
                <w:rPr>
                  <w:rFonts w:ascii="Times New Roman" w:cs="Times New Roman" w:eastAsia="Times New Roman" w:hAnsi="Times New Roman"/>
                  <w:sz w:val="12"/>
                  <w:szCs w:val="12"/>
                  <w:color w:val="0E32E1"/>
                </w:rPr>
                <w:t>PURCHASES OF EQUITY SECURITIES BY THE ISSUER AND AFFILIATED</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3">
              <w:r>
                <w:rPr>
                  <w:rFonts w:ascii="Times New Roman" w:cs="Times New Roman" w:eastAsia="Times New Roman" w:hAnsi="Times New Roman"/>
                  <w:sz w:val="12"/>
                  <w:szCs w:val="12"/>
                  <w:color w:val="auto"/>
                  <w:w w:val="99"/>
                </w:rPr>
                <w:t>112</w:t>
              </w:r>
            </w:hyperlink>
          </w:p>
        </w:tc>
        <w:tc>
          <w:tcPr>
            <w:tcW w:w="0" w:type="dxa"/>
            <w:vAlign w:val="bottom"/>
          </w:tcPr>
          <w:p>
            <w:pPr>
              <w:spacing w:after="0"/>
              <w:rPr>
                <w:sz w:val="1"/>
                <w:szCs w:val="1"/>
                <w:color w:val="auto"/>
              </w:rPr>
            </w:pPr>
          </w:p>
        </w:tc>
      </w:tr>
      <w:tr>
        <w:trPr>
          <w:trHeight w:val="104"/>
        </w:trPr>
        <w:tc>
          <w:tcPr>
            <w:tcW w:w="380" w:type="dxa"/>
            <w:vAlign w:val="bottom"/>
            <w:tcBorders>
              <w:top w:val="single" w:sz="8" w:color="0E32E1"/>
            </w:tcBorders>
          </w:tcPr>
          <w:p>
            <w:pPr>
              <w:spacing w:after="0"/>
              <w:rPr>
                <w:sz w:val="9"/>
                <w:szCs w:val="9"/>
                <w:color w:val="auto"/>
              </w:rPr>
            </w:pPr>
          </w:p>
        </w:tc>
        <w:tc>
          <w:tcPr>
            <w:tcW w:w="20" w:type="dxa"/>
            <w:vAlign w:val="bottom"/>
            <w:tcBorders>
              <w:top w:val="single" w:sz="8" w:color="0E32E1"/>
            </w:tcBorders>
          </w:tcPr>
          <w:p>
            <w:pPr>
              <w:spacing w:after="0"/>
              <w:rPr>
                <w:sz w:val="9"/>
                <w:szCs w:val="9"/>
                <w:color w:val="auto"/>
              </w:rPr>
            </w:pPr>
          </w:p>
        </w:tc>
        <w:tc>
          <w:tcPr>
            <w:tcW w:w="20" w:type="dxa"/>
            <w:vAlign w:val="bottom"/>
            <w:tcBorders>
              <w:top w:val="single" w:sz="8" w:color="0E32E1"/>
            </w:tcBorders>
          </w:tcPr>
          <w:p>
            <w:pPr>
              <w:spacing w:after="0"/>
              <w:rPr>
                <w:sz w:val="9"/>
                <w:szCs w:val="9"/>
                <w:color w:val="auto"/>
              </w:rPr>
            </w:pPr>
          </w:p>
        </w:tc>
        <w:tc>
          <w:tcPr>
            <w:tcW w:w="80" w:type="dxa"/>
            <w:vAlign w:val="bottom"/>
            <w:tcBorders>
              <w:top w:val="single" w:sz="8" w:color="0E32E1"/>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0E32E1"/>
            </w:tcBorders>
          </w:tcPr>
          <w:p>
            <w:pPr>
              <w:spacing w:after="0"/>
              <w:rPr>
                <w:sz w:val="9"/>
                <w:szCs w:val="9"/>
                <w:color w:val="auto"/>
              </w:rPr>
            </w:pPr>
          </w:p>
        </w:tc>
        <w:tc>
          <w:tcPr>
            <w:tcW w:w="780" w:type="dxa"/>
            <w:vAlign w:val="bottom"/>
            <w:tcBorders>
              <w:top w:val="single" w:sz="8" w:color="0E32E1"/>
              <w:bottom w:val="single" w:sz="8" w:color="0E32E1"/>
            </w:tcBorders>
            <w:gridSpan w:val="5"/>
          </w:tcPr>
          <w:p>
            <w:pPr>
              <w:spacing w:after="0" w:line="104" w:lineRule="exact"/>
              <w:rPr>
                <w:rFonts w:ascii="Times New Roman" w:cs="Times New Roman" w:eastAsia="Times New Roman" w:hAnsi="Times New Roman"/>
                <w:sz w:val="12"/>
                <w:szCs w:val="12"/>
                <w:color w:val="0E32E1"/>
                <w:w w:val="98"/>
              </w:rPr>
            </w:pPr>
            <w:hyperlink w:anchor="page73">
              <w:r>
                <w:rPr>
                  <w:rFonts w:ascii="Times New Roman" w:cs="Times New Roman" w:eastAsia="Times New Roman" w:hAnsi="Times New Roman"/>
                  <w:sz w:val="12"/>
                  <w:szCs w:val="12"/>
                  <w:color w:val="0E32E1"/>
                  <w:w w:val="98"/>
                </w:rPr>
                <w:t>PURCHASERS</w:t>
              </w:r>
            </w:hyperlink>
          </w:p>
        </w:tc>
        <w:tc>
          <w:tcPr>
            <w:tcW w:w="3320" w:type="dxa"/>
            <w:vAlign w:val="bottom"/>
            <w:tcBorders>
              <w:top w:val="single" w:sz="8" w:color="0E32E1"/>
            </w:tcBorders>
            <w:gridSpan w:val="20"/>
          </w:tcPr>
          <w:p>
            <w:pPr>
              <w:spacing w:after="0"/>
              <w:rPr>
                <w:sz w:val="9"/>
                <w:szCs w:val="9"/>
                <w:color w:val="auto"/>
              </w:rPr>
            </w:pPr>
          </w:p>
        </w:tc>
        <w:tc>
          <w:tcPr>
            <w:tcW w:w="22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00" w:type="dxa"/>
            <w:vAlign w:val="bottom"/>
            <w:gridSpan w:val="4"/>
          </w:tcPr>
          <w:p>
            <w:pPr>
              <w:spacing w:after="0"/>
              <w:rPr>
                <w:rFonts w:ascii="Times New Roman" w:cs="Times New Roman" w:eastAsia="Times New Roman" w:hAnsi="Times New Roman"/>
                <w:sz w:val="12"/>
                <w:szCs w:val="12"/>
                <w:color w:val="0E32E1"/>
                <w:w w:val="90"/>
              </w:rPr>
            </w:pPr>
            <w:hyperlink w:anchor="page73">
              <w:r>
                <w:rPr>
                  <w:rFonts w:ascii="Times New Roman" w:cs="Times New Roman" w:eastAsia="Times New Roman" w:hAnsi="Times New Roman"/>
                  <w:sz w:val="12"/>
                  <w:szCs w:val="12"/>
                  <w:color w:val="0E32E1"/>
                  <w:w w:val="90"/>
                </w:rPr>
                <w:t>ITEM 16F</w:t>
              </w:r>
            </w:hyperlink>
          </w:p>
        </w:tc>
        <w:tc>
          <w:tcPr>
            <w:tcW w:w="140" w:type="dxa"/>
            <w:vAlign w:val="bottom"/>
          </w:tcPr>
          <w:p>
            <w:pPr>
              <w:spacing w:after="0"/>
              <w:rPr>
                <w:sz w:val="16"/>
                <w:szCs w:val="16"/>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3">
              <w:r>
                <w:rPr>
                  <w:rFonts w:ascii="Times New Roman" w:cs="Times New Roman" w:eastAsia="Times New Roman" w:hAnsi="Times New Roman"/>
                  <w:sz w:val="12"/>
                  <w:szCs w:val="12"/>
                  <w:color w:val="0E32E1"/>
                </w:rPr>
                <w:t>CHANGE IN REGISTRANT’S CERTIFYING ACCOUNTANT</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3">
              <w:r>
                <w:rPr>
                  <w:rFonts w:ascii="Times New Roman" w:cs="Times New Roman" w:eastAsia="Times New Roman" w:hAnsi="Times New Roman"/>
                  <w:sz w:val="12"/>
                  <w:szCs w:val="12"/>
                  <w:color w:val="auto"/>
                  <w:w w:val="99"/>
                </w:rPr>
                <w:t>113</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20" w:type="dxa"/>
            <w:vAlign w:val="bottom"/>
            <w:gridSpan w:val="3"/>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580" w:type="dxa"/>
            <w:vAlign w:val="bottom"/>
            <w:tcBorders>
              <w:left w:val="single" w:sz="8" w:color="0E32E1"/>
            </w:tcBorders>
            <w:gridSpan w:val="6"/>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6"/>
              </w:rPr>
            </w:pPr>
            <w:hyperlink w:anchor="page73">
              <w:r>
                <w:rPr>
                  <w:rFonts w:ascii="Times New Roman" w:cs="Times New Roman" w:eastAsia="Times New Roman" w:hAnsi="Times New Roman"/>
                  <w:sz w:val="12"/>
                  <w:szCs w:val="12"/>
                  <w:color w:val="0E32E1"/>
                  <w:w w:val="86"/>
                </w:rPr>
                <w:t>ITEM 16G</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3">
              <w:r>
                <w:rPr>
                  <w:rFonts w:ascii="Times New Roman" w:cs="Times New Roman" w:eastAsia="Times New Roman" w:hAnsi="Times New Roman"/>
                  <w:sz w:val="12"/>
                  <w:szCs w:val="12"/>
                  <w:color w:val="0E32E1"/>
                </w:rPr>
                <w:t>CORPORATE GOVERNANCE</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3">
              <w:r>
                <w:rPr>
                  <w:rFonts w:ascii="Times New Roman" w:cs="Times New Roman" w:eastAsia="Times New Roman" w:hAnsi="Times New Roman"/>
                  <w:sz w:val="12"/>
                  <w:szCs w:val="12"/>
                  <w:color w:val="auto"/>
                  <w:w w:val="99"/>
                </w:rPr>
                <w:t>113</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20" w:type="dxa"/>
            <w:vAlign w:val="bottom"/>
            <w:gridSpan w:val="3"/>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6"/>
              </w:rPr>
            </w:pPr>
            <w:hyperlink w:anchor="page74">
              <w:r>
                <w:rPr>
                  <w:rFonts w:ascii="Times New Roman" w:cs="Times New Roman" w:eastAsia="Times New Roman" w:hAnsi="Times New Roman"/>
                  <w:sz w:val="12"/>
                  <w:szCs w:val="12"/>
                  <w:color w:val="0E32E1"/>
                  <w:w w:val="86"/>
                </w:rPr>
                <w:t>ITEM 16H</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4">
              <w:r>
                <w:rPr>
                  <w:rFonts w:ascii="Times New Roman" w:cs="Times New Roman" w:eastAsia="Times New Roman" w:hAnsi="Times New Roman"/>
                  <w:sz w:val="12"/>
                  <w:szCs w:val="12"/>
                  <w:color w:val="0E32E1"/>
                </w:rPr>
                <w:t>MINE SAFETY DISCLOSURE</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4">
              <w:r>
                <w:rPr>
                  <w:rFonts w:ascii="Times New Roman" w:cs="Times New Roman" w:eastAsia="Times New Roman" w:hAnsi="Times New Roman"/>
                  <w:sz w:val="12"/>
                  <w:szCs w:val="12"/>
                  <w:color w:val="auto"/>
                  <w:w w:val="99"/>
                </w:rPr>
                <w:t>114</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20" w:type="dxa"/>
            <w:vAlign w:val="bottom"/>
            <w:gridSpan w:val="3"/>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95"/>
              </w:rPr>
            </w:pPr>
            <w:hyperlink w:anchor="page74">
              <w:r>
                <w:rPr>
                  <w:rFonts w:ascii="Times New Roman" w:cs="Times New Roman" w:eastAsia="Times New Roman" w:hAnsi="Times New Roman"/>
                  <w:sz w:val="12"/>
                  <w:szCs w:val="12"/>
                  <w:color w:val="0E32E1"/>
                  <w:w w:val="95"/>
                </w:rPr>
                <w:t>ITEM 16I</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4">
              <w:r>
                <w:rPr>
                  <w:rFonts w:ascii="Times New Roman" w:cs="Times New Roman" w:eastAsia="Times New Roman" w:hAnsi="Times New Roman"/>
                  <w:sz w:val="12"/>
                  <w:szCs w:val="12"/>
                  <w:color w:val="0E32E1"/>
                </w:rPr>
                <w:t>DISCLOSURE REGARDING FOREIGN JURISDICTIONS THAT PREVENT</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4">
              <w:r>
                <w:rPr>
                  <w:rFonts w:ascii="Times New Roman" w:cs="Times New Roman" w:eastAsia="Times New Roman" w:hAnsi="Times New Roman"/>
                  <w:sz w:val="12"/>
                  <w:szCs w:val="12"/>
                  <w:color w:val="auto"/>
                  <w:w w:val="99"/>
                </w:rPr>
                <w:t>114</w:t>
              </w:r>
            </w:hyperlink>
          </w:p>
        </w:tc>
        <w:tc>
          <w:tcPr>
            <w:tcW w:w="0" w:type="dxa"/>
            <w:vAlign w:val="bottom"/>
          </w:tcPr>
          <w:p>
            <w:pPr>
              <w:spacing w:after="0"/>
              <w:rPr>
                <w:sz w:val="1"/>
                <w:szCs w:val="1"/>
                <w:color w:val="auto"/>
              </w:rPr>
            </w:pPr>
          </w:p>
        </w:tc>
      </w:tr>
      <w:tr>
        <w:trPr>
          <w:trHeight w:val="104"/>
        </w:trPr>
        <w:tc>
          <w:tcPr>
            <w:tcW w:w="380" w:type="dxa"/>
            <w:vAlign w:val="bottom"/>
            <w:tcBorders>
              <w:top w:val="single" w:sz="8" w:color="0E32E1"/>
            </w:tcBorders>
          </w:tcPr>
          <w:p>
            <w:pPr>
              <w:spacing w:after="0"/>
              <w:rPr>
                <w:sz w:val="9"/>
                <w:szCs w:val="9"/>
                <w:color w:val="auto"/>
              </w:rPr>
            </w:pPr>
          </w:p>
        </w:tc>
        <w:tc>
          <w:tcPr>
            <w:tcW w:w="20" w:type="dxa"/>
            <w:vAlign w:val="bottom"/>
            <w:tcBorders>
              <w:top w:val="single" w:sz="8" w:color="0E32E1"/>
            </w:tcBorders>
          </w:tcPr>
          <w:p>
            <w:pPr>
              <w:spacing w:after="0"/>
              <w:rPr>
                <w:sz w:val="9"/>
                <w:szCs w:val="9"/>
                <w:color w:val="auto"/>
              </w:rPr>
            </w:pPr>
          </w:p>
        </w:tc>
        <w:tc>
          <w:tcPr>
            <w:tcW w:w="20" w:type="dxa"/>
            <w:vAlign w:val="bottom"/>
            <w:tcBorders>
              <w:top w:val="single" w:sz="8" w:color="0E32E1"/>
            </w:tcBorders>
          </w:tcPr>
          <w:p>
            <w:pPr>
              <w:spacing w:after="0"/>
              <w:rPr>
                <w:sz w:val="9"/>
                <w:szCs w:val="9"/>
                <w:color w:val="auto"/>
              </w:rPr>
            </w:pPr>
          </w:p>
        </w:tc>
        <w:tc>
          <w:tcPr>
            <w:tcW w:w="80" w:type="dxa"/>
            <w:vAlign w:val="bottom"/>
            <w:tcBorders>
              <w:top w:val="single" w:sz="8" w:color="0E32E1"/>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980" w:type="dxa"/>
            <w:vAlign w:val="bottom"/>
            <w:tcBorders>
              <w:top w:val="single" w:sz="8" w:color="0E32E1"/>
            </w:tcBorders>
            <w:gridSpan w:val="24"/>
          </w:tcPr>
          <w:p>
            <w:pPr>
              <w:spacing w:after="0" w:line="104" w:lineRule="exact"/>
              <w:rPr>
                <w:rFonts w:ascii="Times New Roman" w:cs="Times New Roman" w:eastAsia="Times New Roman" w:hAnsi="Times New Roman"/>
                <w:sz w:val="12"/>
                <w:szCs w:val="12"/>
                <w:color w:val="0E32E1"/>
              </w:rPr>
            </w:pPr>
            <w:hyperlink w:anchor="page74">
              <w:r>
                <w:rPr>
                  <w:rFonts w:ascii="Times New Roman" w:cs="Times New Roman" w:eastAsia="Times New Roman" w:hAnsi="Times New Roman"/>
                  <w:sz w:val="12"/>
                  <w:szCs w:val="12"/>
                  <w:color w:val="0E32E1"/>
                </w:rPr>
                <w:t>INSPECTIONS</w:t>
              </w:r>
            </w:hyperlink>
          </w:p>
        </w:tc>
        <w:tc>
          <w:tcPr>
            <w:tcW w:w="340" w:type="dxa"/>
            <w:vAlign w:val="bottom"/>
            <w:gridSpan w:val="4"/>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gridSpan w:val="4"/>
          </w:tcPr>
          <w:p>
            <w:pPr>
              <w:spacing w:after="0"/>
              <w:rPr>
                <w:rFonts w:ascii="Times New Roman" w:cs="Times New Roman" w:eastAsia="Times New Roman" w:hAnsi="Times New Roman"/>
                <w:sz w:val="12"/>
                <w:szCs w:val="12"/>
                <w:color w:val="0E32E1"/>
                <w:w w:val="93"/>
              </w:rPr>
            </w:pPr>
            <w:hyperlink w:anchor="page74">
              <w:r>
                <w:rPr>
                  <w:rFonts w:ascii="Times New Roman" w:cs="Times New Roman" w:eastAsia="Times New Roman" w:hAnsi="Times New Roman"/>
                  <w:sz w:val="12"/>
                  <w:szCs w:val="12"/>
                  <w:color w:val="0E32E1"/>
                  <w:w w:val="93"/>
                </w:rPr>
                <w:t>ITEM 16J</w:t>
              </w:r>
            </w:hyperlink>
          </w:p>
        </w:tc>
        <w:tc>
          <w:tcPr>
            <w:tcW w:w="140" w:type="dxa"/>
            <w:vAlign w:val="bottom"/>
          </w:tcPr>
          <w:p>
            <w:pPr>
              <w:spacing w:after="0"/>
              <w:rPr>
                <w:sz w:val="16"/>
                <w:szCs w:val="16"/>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4">
              <w:r>
                <w:rPr>
                  <w:rFonts w:ascii="Times New Roman" w:cs="Times New Roman" w:eastAsia="Times New Roman" w:hAnsi="Times New Roman"/>
                  <w:sz w:val="12"/>
                  <w:szCs w:val="12"/>
                  <w:color w:val="0E32E1"/>
                </w:rPr>
                <w:t>INSIDER TRADING POLICIES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4">
              <w:r>
                <w:rPr>
                  <w:rFonts w:ascii="Times New Roman" w:cs="Times New Roman" w:eastAsia="Times New Roman" w:hAnsi="Times New Roman"/>
                  <w:sz w:val="12"/>
                  <w:szCs w:val="12"/>
                  <w:color w:val="auto"/>
                  <w:w w:val="99"/>
                </w:rPr>
                <w:t>114</w:t>
              </w:r>
            </w:hyperlink>
          </w:p>
        </w:tc>
        <w:tc>
          <w:tcPr>
            <w:tcW w:w="0" w:type="dxa"/>
            <w:vAlign w:val="bottom"/>
          </w:tcPr>
          <w:p>
            <w:pPr>
              <w:spacing w:after="0"/>
              <w:rPr>
                <w:sz w:val="1"/>
                <w:szCs w:val="1"/>
                <w:color w:val="auto"/>
              </w:rPr>
            </w:pPr>
          </w:p>
        </w:tc>
      </w:tr>
      <w:tr>
        <w:trPr>
          <w:trHeight w:val="20"/>
        </w:trPr>
        <w:tc>
          <w:tcPr>
            <w:tcW w:w="500" w:type="dxa"/>
            <w:vAlign w:val="bottom"/>
            <w:tcBorders>
              <w:right w:val="single" w:sz="8" w:color="0E32E1"/>
            </w:tcBorders>
            <w:gridSpan w:val="4"/>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440" w:type="dxa"/>
            <w:vAlign w:val="bottom"/>
            <w:gridSpan w:val="4"/>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40" w:type="dxa"/>
            <w:vAlign w:val="bottom"/>
            <w:tcBorders>
              <w:left w:val="single" w:sz="8" w:color="0E32E1"/>
            </w:tcBorders>
            <w:gridSpan w:val="2"/>
            <w:shd w:val="clear" w:color="auto" w:fill="0E32E1"/>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gridSpan w:val="4"/>
          </w:tcPr>
          <w:p>
            <w:pPr>
              <w:spacing w:after="0"/>
              <w:rPr>
                <w:rFonts w:ascii="Times New Roman" w:cs="Times New Roman" w:eastAsia="Times New Roman" w:hAnsi="Times New Roman"/>
                <w:sz w:val="12"/>
                <w:szCs w:val="12"/>
                <w:color w:val="0E32E1"/>
                <w:w w:val="86"/>
              </w:rPr>
            </w:pPr>
            <w:hyperlink w:anchor="page74">
              <w:r>
                <w:rPr>
                  <w:rFonts w:ascii="Times New Roman" w:cs="Times New Roman" w:eastAsia="Times New Roman" w:hAnsi="Times New Roman"/>
                  <w:sz w:val="12"/>
                  <w:szCs w:val="12"/>
                  <w:color w:val="0E32E1"/>
                  <w:w w:val="86"/>
                </w:rPr>
                <w:t>ITEM 16K</w:t>
              </w:r>
            </w:hyperlink>
          </w:p>
        </w:tc>
        <w:tc>
          <w:tcPr>
            <w:tcW w:w="140" w:type="dxa"/>
            <w:vAlign w:val="bottom"/>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4">
              <w:r>
                <w:rPr>
                  <w:rFonts w:ascii="Times New Roman" w:cs="Times New Roman" w:eastAsia="Times New Roman" w:hAnsi="Times New Roman"/>
                  <w:sz w:val="12"/>
                  <w:szCs w:val="12"/>
                  <w:color w:val="0E32E1"/>
                </w:rPr>
                <w:t>CYBERSECURITY</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4">
              <w:r>
                <w:rPr>
                  <w:rFonts w:ascii="Times New Roman" w:cs="Times New Roman" w:eastAsia="Times New Roman" w:hAnsi="Times New Roman"/>
                  <w:sz w:val="12"/>
                  <w:szCs w:val="12"/>
                  <w:color w:val="auto"/>
                  <w:w w:val="99"/>
                </w:rPr>
                <w:t>114</w:t>
              </w:r>
            </w:hyperlink>
          </w:p>
        </w:tc>
        <w:tc>
          <w:tcPr>
            <w:tcW w:w="0" w:type="dxa"/>
            <w:vAlign w:val="bottom"/>
          </w:tcPr>
          <w:p>
            <w:pPr>
              <w:spacing w:after="0"/>
              <w:rPr>
                <w:sz w:val="1"/>
                <w:szCs w:val="1"/>
                <w:color w:val="auto"/>
              </w:rPr>
            </w:pPr>
          </w:p>
        </w:tc>
      </w:tr>
      <w:tr>
        <w:trPr>
          <w:trHeight w:val="161"/>
        </w:trPr>
        <w:tc>
          <w:tcPr>
            <w:tcW w:w="500" w:type="dxa"/>
            <w:vAlign w:val="bottom"/>
            <w:tcBorders>
              <w:top w:val="single" w:sz="8" w:color="0E32E1"/>
              <w:bottom w:val="single" w:sz="8" w:color="0E32E1"/>
            </w:tcBorders>
            <w:gridSpan w:val="4"/>
          </w:tcPr>
          <w:p>
            <w:pPr>
              <w:spacing w:after="0"/>
              <w:rPr>
                <w:rFonts w:ascii="Times New Roman" w:cs="Times New Roman" w:eastAsia="Times New Roman" w:hAnsi="Times New Roman"/>
                <w:sz w:val="12"/>
                <w:szCs w:val="12"/>
                <w:color w:val="0E32E1"/>
              </w:rPr>
            </w:pPr>
            <w:hyperlink w:anchor="page75">
              <w:r>
                <w:rPr>
                  <w:rFonts w:ascii="Times New Roman" w:cs="Times New Roman" w:eastAsia="Times New Roman" w:hAnsi="Times New Roman"/>
                  <w:sz w:val="12"/>
                  <w:szCs w:val="12"/>
                  <w:color w:val="0E32E1"/>
                </w:rPr>
                <w:t>PART III</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280" w:type="dxa"/>
            <w:vAlign w:val="bottom"/>
            <w:tcBorders>
              <w:top w:val="single" w:sz="8" w:color="0E32E1"/>
            </w:tcBorders>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5">
              <w:r>
                <w:rPr>
                  <w:rFonts w:ascii="Times New Roman" w:cs="Times New Roman" w:eastAsia="Times New Roman" w:hAnsi="Times New Roman"/>
                  <w:sz w:val="12"/>
                  <w:szCs w:val="12"/>
                  <w:color w:val="auto"/>
                  <w:w w:val="99"/>
                </w:rPr>
                <w:t>116</w:t>
              </w:r>
            </w:hyperlink>
          </w:p>
        </w:tc>
        <w:tc>
          <w:tcPr>
            <w:tcW w:w="0" w:type="dxa"/>
            <w:vAlign w:val="bottom"/>
          </w:tcPr>
          <w:p>
            <w:pPr>
              <w:spacing w:after="0"/>
              <w:rPr>
                <w:sz w:val="1"/>
                <w:szCs w:val="1"/>
                <w:color w:val="auto"/>
              </w:rPr>
            </w:pPr>
          </w:p>
        </w:tc>
      </w:tr>
      <w:tr>
        <w:trPr>
          <w:trHeight w:val="180"/>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5">
              <w:r>
                <w:rPr>
                  <w:rFonts w:ascii="Times New Roman" w:cs="Times New Roman" w:eastAsia="Times New Roman" w:hAnsi="Times New Roman"/>
                  <w:sz w:val="12"/>
                  <w:szCs w:val="12"/>
                  <w:color w:val="0E32E1"/>
                  <w:w w:val="85"/>
                </w:rPr>
                <w:t>ITEM 17</w:t>
              </w:r>
            </w:hyperlink>
          </w:p>
        </w:tc>
        <w:tc>
          <w:tcPr>
            <w:tcW w:w="220" w:type="dxa"/>
            <w:vAlign w:val="bottom"/>
            <w:gridSpan w:val="2"/>
          </w:tcPr>
          <w:p>
            <w:pPr>
              <w:spacing w:after="0"/>
              <w:rPr>
                <w:sz w:val="15"/>
                <w:szCs w:val="15"/>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5">
              <w:r>
                <w:rPr>
                  <w:rFonts w:ascii="Times New Roman" w:cs="Times New Roman" w:eastAsia="Times New Roman" w:hAnsi="Times New Roman"/>
                  <w:sz w:val="12"/>
                  <w:szCs w:val="12"/>
                  <w:color w:val="0E32E1"/>
                </w:rPr>
                <w:t>FINANCIAL STATEMENTS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5">
              <w:r>
                <w:rPr>
                  <w:rFonts w:ascii="Times New Roman" w:cs="Times New Roman" w:eastAsia="Times New Roman" w:hAnsi="Times New Roman"/>
                  <w:sz w:val="12"/>
                  <w:szCs w:val="12"/>
                  <w:color w:val="auto"/>
                  <w:w w:val="99"/>
                </w:rPr>
                <w:t>116</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220" w:type="dxa"/>
            <w:vAlign w:val="bottom"/>
            <w:tcBorders>
              <w:left w:val="single" w:sz="8" w:color="0E32E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940" w:type="dxa"/>
            <w:vAlign w:val="bottom"/>
            <w:gridSpan w:val="7"/>
            <w:shd w:val="clear" w:color="auto" w:fill="0E32E1"/>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5">
              <w:r>
                <w:rPr>
                  <w:rFonts w:ascii="Times New Roman" w:cs="Times New Roman" w:eastAsia="Times New Roman" w:hAnsi="Times New Roman"/>
                  <w:sz w:val="12"/>
                  <w:szCs w:val="12"/>
                  <w:color w:val="0E32E1"/>
                  <w:w w:val="85"/>
                </w:rPr>
                <w:t>ITEM 18</w:t>
              </w:r>
            </w:hyperlink>
          </w:p>
        </w:tc>
        <w:tc>
          <w:tcPr>
            <w:tcW w:w="220" w:type="dxa"/>
            <w:vAlign w:val="bottom"/>
            <w:gridSpan w:val="2"/>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5">
              <w:r>
                <w:rPr>
                  <w:rFonts w:ascii="Times New Roman" w:cs="Times New Roman" w:eastAsia="Times New Roman" w:hAnsi="Times New Roman"/>
                  <w:sz w:val="12"/>
                  <w:szCs w:val="12"/>
                  <w:color w:val="0E32E1"/>
                </w:rPr>
                <w:t>FINANCIAL STATEMENTS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5">
              <w:r>
                <w:rPr>
                  <w:rFonts w:ascii="Times New Roman" w:cs="Times New Roman" w:eastAsia="Times New Roman" w:hAnsi="Times New Roman"/>
                  <w:sz w:val="12"/>
                  <w:szCs w:val="12"/>
                  <w:color w:val="auto"/>
                  <w:w w:val="99"/>
                </w:rPr>
                <w:t>116</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220" w:type="dxa"/>
            <w:vAlign w:val="bottom"/>
            <w:tcBorders>
              <w:left w:val="single" w:sz="8" w:color="0E32E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940" w:type="dxa"/>
            <w:vAlign w:val="bottom"/>
            <w:gridSpan w:val="7"/>
            <w:shd w:val="clear" w:color="auto" w:fill="0E32E1"/>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gridSpan w:val="3"/>
          </w:tcPr>
          <w:p>
            <w:pPr>
              <w:spacing w:after="0"/>
              <w:rPr>
                <w:rFonts w:ascii="Times New Roman" w:cs="Times New Roman" w:eastAsia="Times New Roman" w:hAnsi="Times New Roman"/>
                <w:sz w:val="12"/>
                <w:szCs w:val="12"/>
                <w:color w:val="0E32E1"/>
                <w:w w:val="85"/>
              </w:rPr>
            </w:pPr>
            <w:hyperlink w:anchor="page75">
              <w:r>
                <w:rPr>
                  <w:rFonts w:ascii="Times New Roman" w:cs="Times New Roman" w:eastAsia="Times New Roman" w:hAnsi="Times New Roman"/>
                  <w:sz w:val="12"/>
                  <w:szCs w:val="12"/>
                  <w:color w:val="0E32E1"/>
                  <w:w w:val="85"/>
                </w:rPr>
                <w:t>ITEM 19</w:t>
              </w:r>
            </w:hyperlink>
          </w:p>
        </w:tc>
        <w:tc>
          <w:tcPr>
            <w:tcW w:w="220" w:type="dxa"/>
            <w:vAlign w:val="bottom"/>
            <w:gridSpan w:val="2"/>
          </w:tcPr>
          <w:p>
            <w:pPr>
              <w:spacing w:after="0"/>
              <w:rPr>
                <w:sz w:val="13"/>
                <w:szCs w:val="13"/>
                <w:color w:val="auto"/>
              </w:rPr>
            </w:pPr>
          </w:p>
        </w:tc>
        <w:tc>
          <w:tcPr>
            <w:tcW w:w="4340" w:type="dxa"/>
            <w:vAlign w:val="bottom"/>
            <w:gridSpan w:val="29"/>
          </w:tcPr>
          <w:p>
            <w:pPr>
              <w:spacing w:after="0"/>
              <w:rPr>
                <w:rFonts w:ascii="Times New Roman" w:cs="Times New Roman" w:eastAsia="Times New Roman" w:hAnsi="Times New Roman"/>
                <w:sz w:val="12"/>
                <w:szCs w:val="12"/>
                <w:color w:val="0E32E1"/>
              </w:rPr>
            </w:pPr>
            <w:hyperlink w:anchor="page75">
              <w:r>
                <w:rPr>
                  <w:rFonts w:ascii="Times New Roman" w:cs="Times New Roman" w:eastAsia="Times New Roman" w:hAnsi="Times New Roman"/>
                  <w:sz w:val="12"/>
                  <w:szCs w:val="12"/>
                  <w:color w:val="0E32E1"/>
                </w:rPr>
                <w:t>EXHIBITS</w:t>
              </w:r>
            </w:hyperlink>
          </w:p>
        </w:tc>
        <w:tc>
          <w:tcPr>
            <w:tcW w:w="700" w:type="dxa"/>
            <w:vAlign w:val="bottom"/>
          </w:tcPr>
          <w:p>
            <w:pPr>
              <w:ind w:left="500"/>
              <w:spacing w:after="0"/>
              <w:rPr>
                <w:rFonts w:ascii="Times New Roman" w:cs="Times New Roman" w:eastAsia="Times New Roman" w:hAnsi="Times New Roman"/>
                <w:sz w:val="12"/>
                <w:szCs w:val="12"/>
                <w:color w:val="auto"/>
                <w:w w:val="99"/>
              </w:rPr>
            </w:pPr>
            <w:hyperlink w:anchor="page75">
              <w:r>
                <w:rPr>
                  <w:rFonts w:ascii="Times New Roman" w:cs="Times New Roman" w:eastAsia="Times New Roman" w:hAnsi="Times New Roman"/>
                  <w:sz w:val="12"/>
                  <w:szCs w:val="12"/>
                  <w:color w:val="auto"/>
                  <w:w w:val="99"/>
                </w:rPr>
                <w:t>116</w:t>
              </w:r>
            </w:hyperlink>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E32E1"/>
          </w:tcPr>
          <w:p>
            <w:pPr>
              <w:spacing w:after="0" w:line="20" w:lineRule="exact"/>
              <w:rPr>
                <w:sz w:val="1"/>
                <w:szCs w:val="1"/>
                <w:color w:val="auto"/>
              </w:rPr>
            </w:pPr>
          </w:p>
        </w:tc>
        <w:tc>
          <w:tcPr>
            <w:tcW w:w="240" w:type="dxa"/>
            <w:vAlign w:val="bottom"/>
            <w:tcBorders>
              <w:left w:val="single" w:sz="8" w:color="0E32E1"/>
            </w:tcBorders>
            <w:gridSpan w:val="3"/>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2780" w:type="dxa"/>
            <w:vAlign w:val="bottom"/>
            <w:gridSpan w:val="16"/>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vMerge w:val="restart"/>
          </w:tcPr>
          <w:p>
            <w:pPr>
              <w:ind w:left="500"/>
              <w:spacing w:after="0"/>
              <w:rPr>
                <w:rFonts w:ascii="Times New Roman" w:cs="Times New Roman" w:eastAsia="Times New Roman" w:hAnsi="Times New Roman"/>
                <w:sz w:val="12"/>
                <w:szCs w:val="12"/>
                <w:color w:val="auto"/>
                <w:w w:val="99"/>
              </w:rPr>
            </w:pPr>
            <w:hyperlink w:anchor="page77">
              <w:r>
                <w:rPr>
                  <w:rFonts w:ascii="Times New Roman" w:cs="Times New Roman" w:eastAsia="Times New Roman" w:hAnsi="Times New Roman"/>
                  <w:sz w:val="12"/>
                  <w:szCs w:val="12"/>
                  <w:color w:val="auto"/>
                  <w:w w:val="99"/>
                </w:rPr>
                <w:t>119</w:t>
              </w:r>
            </w:hyperlink>
          </w:p>
        </w:tc>
        <w:tc>
          <w:tcPr>
            <w:tcW w:w="0" w:type="dxa"/>
            <w:vAlign w:val="bottom"/>
          </w:tcPr>
          <w:p>
            <w:pPr>
              <w:spacing w:after="0" w:line="20" w:lineRule="exact"/>
              <w:rPr>
                <w:sz w:val="1"/>
                <w:szCs w:val="1"/>
                <w:color w:val="auto"/>
              </w:rPr>
            </w:pPr>
          </w:p>
        </w:tc>
      </w:tr>
      <w:tr>
        <w:trPr>
          <w:trHeight w:val="161"/>
        </w:trPr>
        <w:tc>
          <w:tcPr>
            <w:tcW w:w="4980" w:type="dxa"/>
            <w:vAlign w:val="bottom"/>
            <w:gridSpan w:val="34"/>
          </w:tcPr>
          <w:p>
            <w:pPr>
              <w:spacing w:after="0"/>
              <w:rPr>
                <w:rFonts w:ascii="Times New Roman" w:cs="Times New Roman" w:eastAsia="Times New Roman" w:hAnsi="Times New Roman"/>
                <w:sz w:val="12"/>
                <w:szCs w:val="12"/>
                <w:color w:val="0E32E1"/>
              </w:rPr>
            </w:pPr>
            <w:hyperlink w:anchor="page77">
              <w:r>
                <w:rPr>
                  <w:rFonts w:ascii="Times New Roman" w:cs="Times New Roman" w:eastAsia="Times New Roman" w:hAnsi="Times New Roman"/>
                  <w:sz w:val="12"/>
                  <w:szCs w:val="12"/>
                  <w:color w:val="0E32E1"/>
                </w:rPr>
                <w:t>SIGNATURES</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7"/>
            <w:shd w:val="clear" w:color="auto" w:fill="0E32E1"/>
          </w:tcPr>
          <w:p>
            <w:pPr>
              <w:spacing w:after="0" w:line="20" w:lineRule="exact"/>
              <w:rPr>
                <w:sz w:val="1"/>
                <w:szCs w:val="1"/>
                <w:color w:val="auto"/>
              </w:rPr>
            </w:pPr>
          </w:p>
        </w:tc>
        <w:tc>
          <w:tcPr>
            <w:tcW w:w="3220" w:type="dxa"/>
            <w:vAlign w:val="bottom"/>
            <w:gridSpan w:val="18"/>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700" w:type="dxa"/>
            <w:vAlign w:val="bottom"/>
            <w:vMerge w:val="restart"/>
          </w:tcPr>
          <w:p>
            <w:pPr>
              <w:ind w:left="500"/>
              <w:spacing w:after="0"/>
              <w:rPr>
                <w:rFonts w:ascii="Times New Roman" w:cs="Times New Roman" w:eastAsia="Times New Roman" w:hAnsi="Times New Roman"/>
                <w:sz w:val="12"/>
                <w:szCs w:val="12"/>
                <w:color w:val="auto"/>
                <w:w w:val="99"/>
              </w:rPr>
            </w:pPr>
            <w:hyperlink w:anchor="page78">
              <w:r>
                <w:rPr>
                  <w:rFonts w:ascii="Times New Roman" w:cs="Times New Roman" w:eastAsia="Times New Roman" w:hAnsi="Times New Roman"/>
                  <w:sz w:val="12"/>
                  <w:szCs w:val="12"/>
                  <w:color w:val="auto"/>
                  <w:w w:val="99"/>
                </w:rPr>
                <w:t>121</w:t>
              </w:r>
            </w:hyperlink>
          </w:p>
        </w:tc>
        <w:tc>
          <w:tcPr>
            <w:tcW w:w="0" w:type="dxa"/>
            <w:vAlign w:val="bottom"/>
          </w:tcPr>
          <w:p>
            <w:pPr>
              <w:spacing w:after="0" w:line="20" w:lineRule="exact"/>
              <w:rPr>
                <w:sz w:val="1"/>
                <w:szCs w:val="1"/>
                <w:color w:val="auto"/>
              </w:rPr>
            </w:pPr>
          </w:p>
        </w:tc>
      </w:tr>
      <w:tr>
        <w:trPr>
          <w:trHeight w:val="180"/>
        </w:trPr>
        <w:tc>
          <w:tcPr>
            <w:tcW w:w="4980" w:type="dxa"/>
            <w:vAlign w:val="bottom"/>
            <w:gridSpan w:val="34"/>
          </w:tcPr>
          <w:p>
            <w:pPr>
              <w:spacing w:after="0"/>
              <w:rPr>
                <w:rFonts w:ascii="Times New Roman" w:cs="Times New Roman" w:eastAsia="Times New Roman" w:hAnsi="Times New Roman"/>
                <w:sz w:val="12"/>
                <w:szCs w:val="12"/>
                <w:color w:val="0E32E1"/>
              </w:rPr>
            </w:pPr>
            <w:hyperlink w:anchor="page78">
              <w:r>
                <w:rPr>
                  <w:rFonts w:ascii="Times New Roman" w:cs="Times New Roman" w:eastAsia="Times New Roman" w:hAnsi="Times New Roman"/>
                  <w:sz w:val="12"/>
                  <w:szCs w:val="12"/>
                  <w:color w:val="0E32E1"/>
                </w:rPr>
                <w:t>REPORT OF INDEPENDENT REGISTERED PUBLIC ACCOUNTING FIRM</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tcBorders>
              <w:left w:val="single" w:sz="8" w:color="0E32E1"/>
              <w:righ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020"/>
          </w:cols>
          <w:pgMar w:left="1440" w:top="1440" w:right="1440" w:bottom="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INTRODUCTION</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In this Annual Report on Form 20-F the terms the “Company”, “Genmab”, “we”, “us”, “our” and the “Group” refer to the parent company Genmab A/S together with its consolidated subsidiaries. The term “Genmab A/S” is used when addressing issues specifically related to this legal entity.</w:t>
      </w:r>
    </w:p>
    <w:p>
      <w:pPr>
        <w:ind w:left="620"/>
        <w:spacing w:after="0"/>
        <w:rPr>
          <w:sz w:val="20"/>
          <w:szCs w:val="20"/>
          <w:color w:val="auto"/>
        </w:rPr>
      </w:pPr>
      <w:r>
        <w:rPr>
          <w:rFonts w:ascii="Times New Roman" w:cs="Times New Roman" w:eastAsia="Times New Roman" w:hAnsi="Times New Roman"/>
          <w:sz w:val="12"/>
          <w:szCs w:val="12"/>
          <w:color w:val="auto"/>
        </w:rPr>
        <w:t xml:space="preserve">Pursuant to Rule 12b-23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we incorporate</w:t>
      </w:r>
    </w:p>
    <w:p>
      <w:pPr>
        <w:sectPr>
          <w:pgSz w:w="11900" w:h="16840" w:orient="portrait"/>
          <w:cols w:equalWidth="0" w:num="1">
            <w:col w:w="9020"/>
          </w:cols>
          <w:pgMar w:left="1440" w:top="1440" w:right="1440" w:bottom="97" w:gutter="0" w:footer="0" w:header="0"/>
          <w:type w:val="continuous"/>
        </w:sectPr>
      </w:pPr>
    </w:p>
    <w:bookmarkStart w:id="2" w:name="page3"/>
    <w:bookmarkEnd w:id="2"/>
    <w:p>
      <w:pPr>
        <w:ind w:left="620" w:right="2280"/>
        <w:spacing w:after="0" w:line="220" w:lineRule="auto"/>
        <w:rPr>
          <w:sz w:val="20"/>
          <w:szCs w:val="20"/>
          <w:color w:val="auto"/>
        </w:rPr>
      </w:pPr>
      <w:r>
        <w:rPr>
          <w:rFonts w:ascii="Times New Roman" w:cs="Times New Roman" w:eastAsia="Times New Roman" w:hAnsi="Times New Roman"/>
          <w:sz w:val="12"/>
          <w:szCs w:val="12"/>
          <w:color w:val="auto"/>
        </w:rPr>
        <w:t xml:space="preserve">information for certain items of this Annual Report on Form 20-F by reference to certain pages of the Genmab A/S statutory Annual Report 2025 (the </w:t>
      </w:r>
      <w:r>
        <w:rPr>
          <w:rFonts w:ascii="Times New Roman" w:cs="Times New Roman" w:eastAsia="Times New Roman" w:hAnsi="Times New Roman"/>
          <w:sz w:val="12"/>
          <w:szCs w:val="12"/>
          <w:b w:val="1"/>
          <w:bCs w:val="1"/>
          <w:color w:val="auto"/>
        </w:rPr>
        <w:t>“Annual Report 2025”</w:t>
      </w:r>
      <w:r>
        <w:rPr>
          <w:rFonts w:ascii="Times New Roman" w:cs="Times New Roman" w:eastAsia="Times New Roman" w:hAnsi="Times New Roman"/>
          <w:sz w:val="12"/>
          <w:szCs w:val="12"/>
          <w:color w:val="auto"/>
        </w:rPr>
        <w:t>), filed together with this Form 20-F, as Exhibit 15.3. Therefore, the information in this Annual Report on Form 20-F should be read in conjunction with the incorporated portions of the Annual Report 2025. Items not contained or not specifically referenced within the Annual Report 2025 should not be deemed to be part of this Annual Report on Form 20-F.</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FORWARD-LOOKING STATEMENTS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This Annual Report on Form 20-F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 looking statements. In some cases, you can identify forward -looking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w:t>
      </w:r>
    </w:p>
    <w:p>
      <w:pPr>
        <w:ind w:left="620"/>
        <w:spacing w:after="0" w:line="216" w:lineRule="auto"/>
        <w:rPr>
          <w:sz w:val="20"/>
          <w:szCs w:val="20"/>
          <w:color w:val="auto"/>
        </w:rPr>
      </w:pPr>
      <w:r>
        <w:rPr>
          <w:rFonts w:ascii="Times New Roman" w:cs="Times New Roman" w:eastAsia="Times New Roman" w:hAnsi="Times New Roman"/>
          <w:sz w:val="12"/>
          <w:szCs w:val="12"/>
          <w:color w:val="auto"/>
        </w:rPr>
        <w:t>These forward-looking statements include, but are not limited to, statements about:</w:t>
      </w:r>
    </w:p>
    <w:p>
      <w:pPr>
        <w:ind w:left="620" w:right="2760"/>
        <w:spacing w:after="0" w:line="215" w:lineRule="auto"/>
        <w:rPr>
          <w:sz w:val="20"/>
          <w:szCs w:val="20"/>
          <w:color w:val="auto"/>
        </w:rPr>
      </w:pPr>
      <w:r>
        <w:rPr>
          <w:rFonts w:ascii="Times New Roman" w:cs="Times New Roman" w:eastAsia="Times New Roman" w:hAnsi="Times New Roman"/>
          <w:sz w:val="12"/>
          <w:szCs w:val="12"/>
          <w:color w:val="auto"/>
        </w:rPr>
        <w:t>•our expectations regarding sales and net sales, clinical development, regulatory approvals and commercialization of our partnered and proprietary approved products;</w:t>
      </w:r>
    </w:p>
    <w:p>
      <w:pPr>
        <w:jc w:val="both"/>
        <w:ind w:left="620" w:right="3000"/>
        <w:spacing w:after="0" w:line="215" w:lineRule="auto"/>
        <w:rPr>
          <w:sz w:val="20"/>
          <w:szCs w:val="20"/>
          <w:color w:val="auto"/>
        </w:rPr>
      </w:pPr>
      <w:r>
        <w:rPr>
          <w:rFonts w:ascii="Times New Roman" w:cs="Times New Roman" w:eastAsia="Times New Roman" w:hAnsi="Times New Roman"/>
          <w:sz w:val="12"/>
          <w:szCs w:val="12"/>
          <w:color w:val="auto"/>
        </w:rPr>
        <w:t>•our expectations with regard to our ability to create and develop additional product candidates and to submit investigational new drug (“</w:t>
      </w:r>
      <w:r>
        <w:rPr>
          <w:rFonts w:ascii="Times New Roman" w:cs="Times New Roman" w:eastAsia="Times New Roman" w:hAnsi="Times New Roman"/>
          <w:sz w:val="12"/>
          <w:szCs w:val="12"/>
          <w:b w:val="1"/>
          <w:bCs w:val="1"/>
          <w:color w:val="auto"/>
        </w:rPr>
        <w:t>IND</w:t>
      </w:r>
      <w:r>
        <w:rPr>
          <w:rFonts w:ascii="Times New Roman" w:cs="Times New Roman" w:eastAsia="Times New Roman" w:hAnsi="Times New Roman"/>
          <w:sz w:val="12"/>
          <w:szCs w:val="12"/>
          <w:color w:val="auto"/>
        </w:rPr>
        <w:t>”) applications and/or clinical trial applications (“</w:t>
      </w:r>
      <w:r>
        <w:rPr>
          <w:rFonts w:ascii="Times New Roman" w:cs="Times New Roman" w:eastAsia="Times New Roman" w:hAnsi="Times New Roman"/>
          <w:sz w:val="12"/>
          <w:szCs w:val="12"/>
          <w:b w:val="1"/>
          <w:bCs w:val="1"/>
          <w:color w:val="auto"/>
        </w:rPr>
        <w:t>CTAs</w:t>
      </w:r>
      <w:r>
        <w:rPr>
          <w:rFonts w:ascii="Times New Roman" w:cs="Times New Roman" w:eastAsia="Times New Roman" w:hAnsi="Times New Roman"/>
          <w:sz w:val="12"/>
          <w:szCs w:val="12"/>
          <w:color w:val="auto"/>
        </w:rPr>
        <w:t>”) for our preclinical product candidates;</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•our receipt of future milestone payments and royalties from our collaboration partners, and the expected amount and timing of such payments;</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•our estimates and expectations regarding the potential market size and the size of the patient populations for our products and product candidates;</w:t>
      </w: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•our expectations regarding the potential advantages of our products and product candidates over existing therapies or therapies currently in development;</w:t>
      </w:r>
    </w:p>
    <w:p>
      <w:pPr>
        <w:ind w:left="620" w:right="3100"/>
        <w:spacing w:after="0" w:line="215" w:lineRule="auto"/>
        <w:rPr>
          <w:sz w:val="20"/>
          <w:szCs w:val="20"/>
          <w:color w:val="auto"/>
        </w:rPr>
      </w:pPr>
      <w:r>
        <w:rPr>
          <w:rFonts w:ascii="Times New Roman" w:cs="Times New Roman" w:eastAsia="Times New Roman" w:hAnsi="Times New Roman"/>
          <w:sz w:val="12"/>
          <w:szCs w:val="12"/>
          <w:color w:val="auto"/>
        </w:rPr>
        <w:t>•our expectations regarding the potential advantages of our proprietary technologies over existing antibody technologies and the prospects for our ongoing and future technology collaborations;</w:t>
      </w:r>
    </w:p>
    <w:p>
      <w:pPr>
        <w:ind w:left="620"/>
        <w:spacing w:after="0" w:line="215" w:lineRule="auto"/>
        <w:rPr>
          <w:sz w:val="20"/>
          <w:szCs w:val="20"/>
          <w:color w:val="auto"/>
        </w:rPr>
      </w:pPr>
      <w:r>
        <w:rPr>
          <w:rFonts w:ascii="Times New Roman" w:cs="Times New Roman" w:eastAsia="Times New Roman" w:hAnsi="Times New Roman"/>
          <w:sz w:val="12"/>
          <w:szCs w:val="12"/>
          <w:color w:val="auto"/>
        </w:rPr>
        <w:t>•our plans to expand our translational research platform and the potential benefits of such platform;</w:t>
      </w:r>
    </w:p>
    <w:p>
      <w:pPr>
        <w:ind w:left="620" w:right="3000"/>
        <w:spacing w:after="0" w:line="215" w:lineRule="auto"/>
        <w:rPr>
          <w:sz w:val="20"/>
          <w:szCs w:val="20"/>
          <w:color w:val="auto"/>
        </w:rPr>
      </w:pPr>
      <w:r>
        <w:rPr>
          <w:rFonts w:ascii="Times New Roman" w:cs="Times New Roman" w:eastAsia="Times New Roman" w:hAnsi="Times New Roman"/>
          <w:sz w:val="12"/>
          <w:szCs w:val="12"/>
          <w:color w:val="auto"/>
        </w:rPr>
        <w:t>•our expectations with regard to the willingness and ability of our current and future collaboration partners to pursue the development, approval and commercialization of our products and product candidates;</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•our and our collaboration partners’ product discovery, development and commercialization plans with respect to our products and product candidates and our proprietary technologies; •our potential to enter into new collaborations;</w:t>
      </w:r>
    </w:p>
    <w:p>
      <w:pPr>
        <w:ind w:left="620" w:right="3240"/>
        <w:spacing w:after="0" w:line="234" w:lineRule="auto"/>
        <w:rPr>
          <w:sz w:val="20"/>
          <w:szCs w:val="20"/>
          <w:color w:val="auto"/>
        </w:rPr>
      </w:pPr>
      <w:r>
        <w:rPr>
          <w:rFonts w:ascii="Times New Roman" w:cs="Times New Roman" w:eastAsia="Times New Roman" w:hAnsi="Times New Roman"/>
          <w:sz w:val="12"/>
          <w:szCs w:val="12"/>
          <w:color w:val="auto"/>
        </w:rPr>
        <w:t>•our and our collaboration partners’ ability to develop, acquire and advance product candidates into, and successfully complete,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w:t>
      </w:r>
    </w:p>
    <w:p>
      <w:pPr>
        <w:ind w:left="620"/>
        <w:spacing w:after="0" w:line="215" w:lineRule="auto"/>
        <w:rPr>
          <w:rFonts w:ascii="Times New Roman" w:cs="Times New Roman" w:eastAsia="Times New Roman" w:hAnsi="Times New Roman"/>
          <w:sz w:val="12"/>
          <w:szCs w:val="12"/>
          <w:color w:val="0563C1"/>
        </w:rPr>
      </w:pPr>
      <w:hyperlink w:anchor="page2">
        <w:r>
          <w:rPr>
            <w:rFonts w:ascii="Times New Roman" w:cs="Times New Roman" w:eastAsia="Times New Roman" w:hAnsi="Times New Roman"/>
            <w:sz w:val="12"/>
            <w:szCs w:val="12"/>
            <w:u w:val="single" w:color="auto"/>
            <w:color w:val="0563C1"/>
          </w:rPr>
          <w:t>T</w:t>
        </w:r>
        <w:r>
          <w:rPr>
            <w:rFonts w:ascii="Times New Roman" w:cs="Times New Roman" w:eastAsia="Times New Roman" w:hAnsi="Times New Roman"/>
            <w:sz w:val="12"/>
            <w:szCs w:val="12"/>
            <w:color w:val="0563C1"/>
          </w:rPr>
          <w:t>able of Contents</w:t>
        </w:r>
      </w:hyperlink>
    </w:p>
    <w:p>
      <w:pPr>
        <w:ind w:left="620" w:right="3160"/>
        <w:spacing w:after="0" w:line="215"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color w:val="auto"/>
          <w:highlight w:val="white"/>
        </w:rPr>
        <w:t>initiation, timing, progress and results of our preclinical trials and clinical trials, and our research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development programs;</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color w:val="auto"/>
          <w:highlight w:val="white"/>
        </w:rPr>
        <w:t>timing or likelihood of regulatory filings and approvals for our products and product candidates;</w:t>
      </w:r>
    </w:p>
    <w:p>
      <w:pPr>
        <w:ind w:left="620" w:right="282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ability to identify, and to negotiate contracts with, suitable contract manufacturing organizations (“</w:t>
      </w:r>
      <w:r>
        <w:rPr>
          <w:rFonts w:ascii="Times New Roman" w:cs="Times New Roman" w:eastAsia="Times New Roman" w:hAnsi="Times New Roman"/>
          <w:sz w:val="12"/>
          <w:szCs w:val="12"/>
          <w:b w:val="1"/>
          <w:bCs w:val="1"/>
          <w:color w:val="auto"/>
          <w:highlight w:val="white"/>
        </w:rPr>
        <w:t>CMOs</w:t>
      </w:r>
      <w:r>
        <w:rPr>
          <w:rFonts w:ascii="Times New Roman" w:cs="Times New Roman" w:eastAsia="Times New Roman" w:hAnsi="Times New Roman"/>
          <w:sz w:val="12"/>
          <w:szCs w:val="12"/>
          <w:color w:val="auto"/>
          <w:highlight w:val="white"/>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and the ability of such CMOs to manufacture sufficient quantities of our products and product candidates for clinical trials or commercialization in compliance with current Good Manufacturing Practices (“</w:t>
      </w:r>
      <w:r>
        <w:rPr>
          <w:rFonts w:ascii="Times New Roman" w:cs="Times New Roman" w:eastAsia="Times New Roman" w:hAnsi="Times New Roman"/>
          <w:sz w:val="12"/>
          <w:szCs w:val="12"/>
          <w:b w:val="1"/>
          <w:bCs w:val="1"/>
          <w:color w:val="auto"/>
          <w:highlight w:val="white"/>
        </w:rPr>
        <w:t>cGMPs</w:t>
      </w:r>
      <w:r>
        <w:rPr>
          <w:rFonts w:ascii="Times New Roman" w:cs="Times New Roman" w:eastAsia="Times New Roman" w:hAnsi="Times New Roman"/>
          <w:sz w:val="12"/>
          <w:szCs w:val="12"/>
          <w:color w:val="auto"/>
          <w:highlight w:val="white"/>
        </w:rPr>
        <w:t>”) (as defined herein);</w:t>
      </w:r>
    </w:p>
    <w:p>
      <w:pPr>
        <w:ind w:left="620" w:right="284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and our collaboration partners’ ability to identify, and to negotiate contracts with, suitable contract research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organizations (“</w:t>
      </w:r>
      <w:r>
        <w:rPr>
          <w:rFonts w:ascii="Times New Roman" w:cs="Times New Roman" w:eastAsia="Times New Roman" w:hAnsi="Times New Roman"/>
          <w:sz w:val="12"/>
          <w:szCs w:val="12"/>
          <w:b w:val="1"/>
          <w:bCs w:val="1"/>
          <w:color w:val="auto"/>
          <w:highlight w:val="white"/>
        </w:rPr>
        <w:t>CROs</w:t>
      </w:r>
      <w:r>
        <w:rPr>
          <w:rFonts w:ascii="Times New Roman" w:cs="Times New Roman" w:eastAsia="Times New Roman" w:hAnsi="Times New Roman"/>
          <w:sz w:val="12"/>
          <w:szCs w:val="12"/>
          <w:color w:val="auto"/>
          <w:highlight w:val="white"/>
        </w:rPr>
        <w:t>”) and the ability of such CROs to conduct clinical trials on our product candidates in compliance with Good Clinical Practices (“</w:t>
      </w:r>
      <w:r>
        <w:rPr>
          <w:rFonts w:ascii="Times New Roman" w:cs="Times New Roman" w:eastAsia="Times New Roman" w:hAnsi="Times New Roman"/>
          <w:sz w:val="12"/>
          <w:szCs w:val="12"/>
          <w:b w:val="1"/>
          <w:bCs w:val="1"/>
          <w:color w:val="auto"/>
          <w:highlight w:val="white"/>
        </w:rPr>
        <w:t>GCPs</w:t>
      </w:r>
      <w:r>
        <w:rPr>
          <w:rFonts w:ascii="Times New Roman" w:cs="Times New Roman" w:eastAsia="Times New Roman" w:hAnsi="Times New Roman"/>
          <w:sz w:val="12"/>
          <w:szCs w:val="12"/>
          <w:color w:val="auto"/>
          <w:highlight w:val="white"/>
        </w:rPr>
        <w:t>”) (as defined herein);</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color w:val="auto"/>
          <w:highlight w:val="white"/>
        </w:rPr>
        <w:t>commercialization and market acceptance of our products and product candidates;</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plans to continue to develop our commercialization capabilities;</w:t>
      </w:r>
    </w:p>
    <w:p>
      <w:pPr>
        <w:ind w:left="620"/>
        <w:spacing w:after="0" w:line="216"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color w:val="auto"/>
          <w:highlight w:val="white"/>
        </w:rPr>
        <w:t>pricing of and reimbursement for our approved products in existing and additional key markets;</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color w:val="auto"/>
          <w:highlight w:val="white"/>
        </w:rPr>
        <w:t>implementation of our business model and strategic plans for our business, products, product candidates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technologies;</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ability to operate our business without violating applicable laws and regulations;</w:t>
      </w:r>
    </w:p>
    <w:p>
      <w:pPr>
        <w:ind w:left="620" w:right="286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and our collaboration partners’ ability to operate our businesses without infringing the intellectual property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rights and proprietary technology of third parties;</w:t>
      </w:r>
    </w:p>
    <w:p>
      <w:pPr>
        <w:ind w:left="620" w:right="3080"/>
        <w:spacing w:after="0" w:line="215"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color w:val="auto"/>
          <w:highlight w:val="white"/>
        </w:rPr>
        <w:t>scope of protection we and our collaboration partners are able to establish and maintain for intellectual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property rights covering our products, product candidates and technologies;</w:t>
      </w:r>
    </w:p>
    <w:p>
      <w:pPr>
        <w:ind w:left="620" w:right="284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analysis of potential patent infringement claims and our or our collaboration partners’ rights with respect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such claims;</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•estimates </w:t>
      </w:r>
      <w:r>
        <w:rPr>
          <w:rFonts w:ascii="Times New Roman" w:cs="Times New Roman" w:eastAsia="Times New Roman" w:hAnsi="Times New Roman"/>
          <w:sz w:val="12"/>
          <w:szCs w:val="12"/>
          <w:color w:val="auto"/>
          <w:highlight w:val="white"/>
        </w:rPr>
        <w:t>of our future expenses and revenue;</w:t>
      </w:r>
    </w:p>
    <w:p>
      <w:pPr>
        <w:ind w:left="620" w:right="284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expectations regarding regulatory and geopolitical developments in the United States (“</w:t>
      </w:r>
      <w:r>
        <w:rPr>
          <w:rFonts w:ascii="Times New Roman" w:cs="Times New Roman" w:eastAsia="Times New Roman" w:hAnsi="Times New Roman"/>
          <w:sz w:val="12"/>
          <w:szCs w:val="12"/>
          <w:b w:val="1"/>
          <w:bCs w:val="1"/>
          <w:color w:val="auto"/>
          <w:highlight w:val="white"/>
        </w:rPr>
        <w:t>US</w:t>
      </w:r>
      <w:r>
        <w:rPr>
          <w:rFonts w:ascii="Times New Roman" w:cs="Times New Roman" w:eastAsia="Times New Roman" w:hAnsi="Times New Roman"/>
          <w:sz w:val="12"/>
          <w:szCs w:val="12"/>
          <w:color w:val="auto"/>
          <w:highlight w:val="white"/>
        </w:rPr>
        <w:t>”), the European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Union (“</w:t>
      </w:r>
      <w:r>
        <w:rPr>
          <w:rFonts w:ascii="Times New Roman" w:cs="Times New Roman" w:eastAsia="Times New Roman" w:hAnsi="Times New Roman"/>
          <w:sz w:val="12"/>
          <w:szCs w:val="12"/>
          <w:b w:val="1"/>
          <w:bCs w:val="1"/>
          <w:color w:val="auto"/>
          <w:highlight w:val="white"/>
        </w:rPr>
        <w:t>EU</w:t>
      </w:r>
      <w:r>
        <w:rPr>
          <w:rFonts w:ascii="Times New Roman" w:cs="Times New Roman" w:eastAsia="Times New Roman" w:hAnsi="Times New Roman"/>
          <w:sz w:val="12"/>
          <w:szCs w:val="12"/>
          <w:color w:val="auto"/>
          <w:highlight w:val="white"/>
        </w:rPr>
        <w:t>”), Japan and other jurisdictions;</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ability to effectively manage our anticipated growth;</w:t>
      </w:r>
    </w:p>
    <w:p>
      <w:pPr>
        <w:ind w:left="620" w:right="3460"/>
        <w:spacing w:after="0" w:line="215" w:lineRule="auto"/>
        <w:rPr>
          <w:sz w:val="20"/>
          <w:szCs w:val="20"/>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color w:val="auto"/>
          <w:highlight w:val="white"/>
        </w:rPr>
        <w:t>ability to attract and retain suitably qualified employees and key personnel, particularly for 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commercialization efforts;</w:t>
      </w: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•the anticipated benefits of the acquisition of Merus which may not be fully realized or may take longer to realize than expected;</w:t>
      </w:r>
    </w:p>
    <w:p>
      <w:pPr>
        <w:ind w:left="620"/>
        <w:spacing w:after="0" w:line="215" w:lineRule="auto"/>
        <w:rPr>
          <w:sz w:val="20"/>
          <w:szCs w:val="20"/>
          <w:color w:val="auto"/>
        </w:rPr>
      </w:pPr>
      <w:r>
        <w:rPr>
          <w:rFonts w:ascii="Times New Roman" w:cs="Times New Roman" w:eastAsia="Times New Roman" w:hAnsi="Times New Roman"/>
          <w:sz w:val="12"/>
          <w:szCs w:val="12"/>
          <w:color w:val="auto"/>
        </w:rPr>
        <w:t>•our future financial performance; and</w:t>
      </w:r>
    </w:p>
    <w:p>
      <w:pPr>
        <w:ind w:left="620" w:right="2920"/>
        <w:spacing w:after="0" w:line="215" w:lineRule="auto"/>
        <w:rPr>
          <w:sz w:val="20"/>
          <w:szCs w:val="20"/>
          <w:color w:val="auto"/>
        </w:rPr>
      </w:pPr>
      <w:r>
        <w:rPr>
          <w:rFonts w:ascii="Times New Roman" w:cs="Times New Roman" w:eastAsia="Times New Roman" w:hAnsi="Times New Roman"/>
          <w:sz w:val="12"/>
          <w:szCs w:val="12"/>
          <w:color w:val="auto"/>
        </w:rPr>
        <w:t>•developments and projections relating to our competitors and our industry, including competing therapies and technologies.</w:t>
      </w:r>
    </w:p>
    <w:p>
      <w:pPr>
        <w:ind w:left="620" w:right="2500"/>
        <w:spacing w:after="0" w:line="228" w:lineRule="auto"/>
        <w:rPr>
          <w:sz w:val="20"/>
          <w:szCs w:val="20"/>
          <w:color w:val="auto"/>
        </w:rPr>
      </w:pPr>
      <w:r>
        <w:rPr>
          <w:rFonts w:ascii="Times New Roman" w:cs="Times New Roman" w:eastAsia="Times New Roman" w:hAnsi="Times New Roman"/>
          <w:sz w:val="12"/>
          <w:szCs w:val="12"/>
          <w:color w:val="auto"/>
        </w:rPr>
        <w:t>The forward-looking statements contained herein involve a number of known and unknown risks and uncertainties that could cause our future results, performance, or achievements to differ significantly from the results, performance or achievements expressed or implied by such forward-looking statements.</w:t>
      </w:r>
    </w:p>
    <w:p>
      <w:pPr>
        <w:sectPr>
          <w:pgSz w:w="11900" w:h="16840" w:orient="portrait"/>
          <w:cols w:equalWidth="0" w:num="1">
            <w:col w:w="9020"/>
          </w:cols>
          <w:pgMar w:left="1440" w:top="559"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 xml:space="preserve">You should understand that many important factors, in addition to those discussed or incorporated by reference in this report, could cause our results to differ materially from those expressed in the forward-looking statements. Potential factors that could affect our results include, in addition to others not described in this report, those described under </w:t>
      </w:r>
      <w:r>
        <w:rPr>
          <w:rFonts w:ascii="Times New Roman" w:cs="Times New Roman" w:eastAsia="Times New Roman" w:hAnsi="Times New Roman"/>
          <w:sz w:val="12"/>
          <w:szCs w:val="12"/>
          <w:i w:val="1"/>
          <w:iCs w:val="1"/>
          <w:color w:val="auto"/>
        </w:rPr>
        <w:t>“Item 3.D—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Risk Factors.” </w:t>
      </w:r>
      <w:r>
        <w:rPr>
          <w:rFonts w:ascii="Times New Roman" w:cs="Times New Roman" w:eastAsia="Times New Roman" w:hAnsi="Times New Roman"/>
          <w:sz w:val="12"/>
          <w:szCs w:val="12"/>
          <w:color w:val="auto"/>
        </w:rPr>
        <w:t>These are factors that we think could cause our actual results to differ materially from expected results.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Forward looking statements speak only as of the date on which they are made, and we undertake no obligation to</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update any forward -looking statements or other information contained in this report, whether as a result of new information, future events or otherwise. You are advised, however, to consult any additional disclosures we make in our reports on Form 6-K furnished or filed with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xml:space="preserve">"). Please also see the cautionary discussion of risks and uncertainties under </w:t>
      </w:r>
      <w:r>
        <w:rPr>
          <w:rFonts w:ascii="Times New Roman" w:cs="Times New Roman" w:eastAsia="Times New Roman" w:hAnsi="Times New Roman"/>
          <w:sz w:val="12"/>
          <w:szCs w:val="12"/>
          <w:i w:val="1"/>
          <w:iCs w:val="1"/>
          <w:color w:val="auto"/>
        </w:rPr>
        <w:t>“Item 3.D—Risk Factors.”</w:t>
      </w:r>
      <w:r>
        <w:rPr>
          <w:rFonts w:ascii="Times New Roman" w:cs="Times New Roman" w:eastAsia="Times New Roman" w:hAnsi="Times New Roman"/>
          <w:sz w:val="12"/>
          <w:szCs w:val="12"/>
          <w:color w:val="auto"/>
        </w:rPr>
        <w:t xml:space="preserve"> This discussion is provided as permitted by the Private Securities Litigation Reform Act of 1995.</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PRESENTATION OF FINANCIAL AND OTHER INFORMATION</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We maintain our books and records in US Dollars and report under IFRS Accounting Standards as issued by the International Accounting Standards Board (“</w:t>
      </w:r>
      <w:r>
        <w:rPr>
          <w:rFonts w:ascii="Times New Roman" w:cs="Times New Roman" w:eastAsia="Times New Roman" w:hAnsi="Times New Roman"/>
          <w:sz w:val="12"/>
          <w:szCs w:val="12"/>
          <w:b w:val="1"/>
          <w:bCs w:val="1"/>
          <w:color w:val="auto"/>
        </w:rPr>
        <w:t>IASB</w:t>
      </w:r>
      <w:r>
        <w:rPr>
          <w:rFonts w:ascii="Times New Roman" w:cs="Times New Roman" w:eastAsia="Times New Roman" w:hAnsi="Times New Roman"/>
          <w:sz w:val="12"/>
          <w:szCs w:val="12"/>
          <w:color w:val="auto"/>
        </w:rPr>
        <w:t>”) and as endorsed by the EU (“</w:t>
      </w:r>
      <w:r>
        <w:rPr>
          <w:rFonts w:ascii="Times New Roman" w:cs="Times New Roman" w:eastAsia="Times New Roman" w:hAnsi="Times New Roman"/>
          <w:sz w:val="12"/>
          <w:szCs w:val="12"/>
          <w:b w:val="1"/>
          <w:bCs w:val="1"/>
          <w:color w:val="auto"/>
        </w:rPr>
        <w:t>IFRS Accounting Standards</w:t>
      </w:r>
      <w:r>
        <w:rPr>
          <w:rFonts w:ascii="Times New Roman" w:cs="Times New Roman" w:eastAsia="Times New Roman" w:hAnsi="Times New Roman"/>
          <w:sz w:val="12"/>
          <w:szCs w:val="12"/>
          <w:color w:val="auto"/>
        </w:rPr>
        <w:t>”). Our application of IFRS Accounting Standards results in no difference between IFRS as issued by the IASB and IFRS as endorsed by the EU. None of the audited consolidated financial statements (the “</w:t>
      </w:r>
      <w:r>
        <w:rPr>
          <w:rFonts w:ascii="Times New Roman" w:cs="Times New Roman" w:eastAsia="Times New Roman" w:hAnsi="Times New Roman"/>
          <w:sz w:val="12"/>
          <w:szCs w:val="12"/>
          <w:b w:val="1"/>
          <w:bCs w:val="1"/>
          <w:color w:val="auto"/>
        </w:rPr>
        <w:t>Audited Financial Statements</w:t>
      </w:r>
      <w:r>
        <w:rPr>
          <w:rFonts w:ascii="Times New Roman" w:cs="Times New Roman" w:eastAsia="Times New Roman" w:hAnsi="Times New Roman"/>
          <w:sz w:val="12"/>
          <w:szCs w:val="12"/>
          <w:color w:val="auto"/>
        </w:rPr>
        <w:t>”) included in our Annual Report 2025 and incorporated by reference into this Annual Report on Form 20- F were prepared in accordance with accounting principles generally accepted in the US. We use the symbol “$ ” to refer to the US dollar, “DKK” to refer to the Danish kroner and the symbol “€” to refer to the Euro herein. While our financial results disclosed herein are presented in USD, certain amounts paid or payable to or by us under certain of our collaborations are presented in the currencies in which payments under such collaborations are denominated.</w:t>
      </w:r>
    </w:p>
    <w:p>
      <w:pPr>
        <w:spacing w:after="0" w:line="1" w:lineRule="exact"/>
        <w:rPr>
          <w:sz w:val="20"/>
          <w:szCs w:val="20"/>
          <w:color w:val="auto"/>
        </w:rPr>
      </w:pP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All references to “shares” in this Annual Report on Form 20-F refer to ordinary shares of Genmab A/S with a nominal value of DKK 1 per share.</w:t>
      </w:r>
    </w:p>
    <w:p>
      <w:pPr>
        <w:ind w:left="620"/>
        <w:spacing w:after="0" w:line="215" w:lineRule="auto"/>
        <w:rPr>
          <w:sz w:val="20"/>
          <w:szCs w:val="20"/>
          <w:color w:val="auto"/>
        </w:rPr>
      </w:pPr>
      <w:r>
        <w:rPr>
          <w:rFonts w:ascii="Times New Roman" w:cs="Times New Roman" w:eastAsia="Times New Roman" w:hAnsi="Times New Roman"/>
          <w:sz w:val="12"/>
          <w:szCs w:val="12"/>
          <w:color w:val="auto"/>
        </w:rPr>
        <w:t>This Annual Report on Form 20-F includes trademarks, trade names and service marks, certain of which belong to us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and others that are the property of other organizations. Solely for convenience, trademarks, trade names and service marks referred to in this Annual Report on Form 20-F appear without the ®, ™ and SM symbols, but the absence of those symbols is not intended to indicate, in any way, that we will not assert our rights or that the applicable owner will not assert its rights to these trademarks, trade names and service marks to the fullest extent under applicable law. We do not intend our use or display of other parties’ trademarks, trade names or service marks to imply, and such use or display should not be construed to imply, a relationship with us, or endorsement or sponsorship of us, by these other parties.</w:t>
      </w:r>
    </w:p>
    <w:p>
      <w:pPr>
        <w:spacing w:after="0" w:line="1" w:lineRule="exact"/>
        <w:rPr>
          <w:sz w:val="20"/>
          <w:szCs w:val="20"/>
          <w:color w:val="auto"/>
        </w:rPr>
      </w:pPr>
    </w:p>
    <w:p>
      <w:pPr>
        <w:ind w:left="620" w:right="2280"/>
        <w:spacing w:after="0"/>
        <w:rPr>
          <w:sz w:val="20"/>
          <w:szCs w:val="20"/>
          <w:color w:val="auto"/>
        </w:rPr>
      </w:pPr>
      <w:r>
        <w:rPr>
          <w:rFonts w:ascii="Times New Roman" w:cs="Times New Roman" w:eastAsia="Times New Roman" w:hAnsi="Times New Roman"/>
          <w:sz w:val="12"/>
          <w:szCs w:val="12"/>
          <w:color w:val="auto"/>
        </w:rPr>
        <w:t>This Annual Report on Form 20- F contains estimates, projections and other information concerning our industry, our business and the markets for our products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trials and similar data prepared by market research firms and other third parties, industry, medical and general publications, government data and similar sources. Management estimates are derived from publicly available information, our knowledge of our industry and assumptions based on such information and knowledge, which we believe to be reasonable.</w:t>
      </w:r>
    </w:p>
    <w:p>
      <w:pPr>
        <w:spacing w:after="0" w:line="10" w:lineRule="exact"/>
        <w:rPr>
          <w:sz w:val="20"/>
          <w:szCs w:val="20"/>
          <w:color w:val="auto"/>
        </w:rPr>
      </w:pPr>
    </w:p>
    <w:p>
      <w:pPr>
        <w:ind w:left="620" w:right="2440"/>
        <w:spacing w:after="0" w:line="215" w:lineRule="auto"/>
        <w:rPr>
          <w:sz w:val="20"/>
          <w:szCs w:val="20"/>
          <w:color w:val="auto"/>
        </w:rPr>
      </w:pPr>
      <w:r>
        <w:rPr>
          <w:rFonts w:ascii="Times New Roman" w:cs="Times New Roman" w:eastAsia="Times New Roman" w:hAnsi="Times New Roman"/>
          <w:sz w:val="12"/>
          <w:szCs w:val="12"/>
          <w:color w:val="auto"/>
        </w:rPr>
        <w:t xml:space="preserve">In addition, assumptions and estimates of our and our industry’s future performance are necessarily subject to a high degree of uncertainty and risk due to a variety of factors, including those described in </w:t>
      </w:r>
      <w:r>
        <w:rPr>
          <w:rFonts w:ascii="Times New Roman" w:cs="Times New Roman" w:eastAsia="Times New Roman" w:hAnsi="Times New Roman"/>
          <w:sz w:val="12"/>
          <w:szCs w:val="12"/>
          <w:i w:val="1"/>
          <w:iCs w:val="1"/>
          <w:color w:val="auto"/>
        </w:rPr>
        <w:t>“Item 3.D —Risk Factors.”</w:t>
      </w:r>
      <w:r>
        <w:rPr>
          <w:rFonts w:ascii="Times New Roman" w:cs="Times New Roman" w:eastAsia="Times New Roman" w:hAnsi="Times New Roman"/>
          <w:sz w:val="12"/>
          <w:szCs w:val="12"/>
          <w:color w:val="auto"/>
        </w:rPr>
        <w:t xml:space="preserve"> These and other factors could cause our future performance to differ materially from our assumptions and estimates. See </w:t>
      </w:r>
      <w:r>
        <w:rPr>
          <w:rFonts w:ascii="Times New Roman" w:cs="Times New Roman" w:eastAsia="Times New Roman" w:hAnsi="Times New Roman"/>
          <w:sz w:val="12"/>
          <w:szCs w:val="12"/>
          <w:i w:val="1"/>
          <w:iCs w:val="1"/>
          <w:color w:val="auto"/>
        </w:rPr>
        <w:t xml:space="preserve">“Forward-Looking Statements” </w:t>
      </w:r>
      <w:r>
        <w:rPr>
          <w:rFonts w:ascii="Times New Roman" w:cs="Times New Roman" w:eastAsia="Times New Roman" w:hAnsi="Times New Roman"/>
          <w:sz w:val="12"/>
          <w:szCs w:val="12"/>
          <w:color w:val="auto"/>
        </w:rPr>
        <w:t>above.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ENFORCEABILITY OF CIVIL LIABILITIES</w:t>
      </w:r>
    </w:p>
    <w:p>
      <w:pPr>
        <w:spacing w:after="0" w:line="1" w:lineRule="exact"/>
        <w:rPr>
          <w:sz w:val="20"/>
          <w:szCs w:val="20"/>
          <w:color w:val="auto"/>
        </w:rPr>
      </w:pPr>
    </w:p>
    <w:p>
      <w:pPr>
        <w:ind w:left="620" w:right="2840"/>
        <w:spacing w:after="0" w:line="215" w:lineRule="auto"/>
        <w:rPr>
          <w:sz w:val="20"/>
          <w:szCs w:val="20"/>
          <w:color w:val="auto"/>
        </w:rPr>
      </w:pPr>
      <w:r>
        <w:rPr>
          <w:rFonts w:ascii="Times New Roman" w:cs="Times New Roman" w:eastAsia="Times New Roman" w:hAnsi="Times New Roman"/>
          <w:sz w:val="12"/>
          <w:szCs w:val="12"/>
          <w:color w:val="auto"/>
        </w:rPr>
        <w:t>We are organized under the laws of Denmark, with a domicile in the district of Valby within the municipality of Copenhagen, Denmark.</w:t>
      </w:r>
    </w:p>
    <w:p>
      <w:pPr>
        <w:ind w:left="620" w:right="2360"/>
        <w:spacing w:after="0" w:line="234" w:lineRule="auto"/>
        <w:rPr>
          <w:sz w:val="20"/>
          <w:szCs w:val="20"/>
          <w:color w:val="auto"/>
        </w:rPr>
      </w:pPr>
      <w:r>
        <w:rPr>
          <w:rFonts w:ascii="Times New Roman" w:cs="Times New Roman" w:eastAsia="Times New Roman" w:hAnsi="Times New Roman"/>
          <w:sz w:val="12"/>
          <w:szCs w:val="12"/>
          <w:color w:val="auto"/>
        </w:rPr>
        <w:t>Several members of our Board of Directors and Executive Management are residents of Denmark or other jurisdictions outside the US. A substantial portion of our and such persons’ assets are located in Denmark or other jurisdictions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the US. As a result, it may not be possible for investors to effect service of process upon such persons or us with respect to litigation that may arise under US law or to enforce against them or our company judgments obtained in US courts, whether or not such judgments were made pursuant to civil liability provisions of the federal or state securities laws of the US or any other laws of the US</w:t>
      </w:r>
    </w:p>
    <w:p>
      <w:pPr>
        <w:ind w:left="620" w:right="2360"/>
        <w:spacing w:after="0"/>
        <w:rPr>
          <w:sz w:val="20"/>
          <w:szCs w:val="20"/>
          <w:color w:val="auto"/>
        </w:rPr>
      </w:pPr>
      <w:r>
        <w:rPr>
          <w:rFonts w:ascii="Times New Roman" w:cs="Times New Roman" w:eastAsia="Times New Roman" w:hAnsi="Times New Roman"/>
          <w:sz w:val="12"/>
          <w:szCs w:val="12"/>
          <w:color w:val="auto"/>
        </w:rPr>
        <w:t>The US and Denmark do not have a treaty providing for reciprocal recognition and enforceability of judgments rendered in connection with civil and commercial disputes and, accordingly, a final judgment (other than an arbitration award) rendered by a US court based on civil liability would not be enforceable in Denmark. However, if the party in whose favor such final judgment is rendered brings the lawsuit in a competent court in Denmark, that party may submit to the Danish court the final judgment that has been rendered in the US. A judgment by a federal or state court in the US against the Company will neither be recognized nor enforced by a Danish court, but such judgment may serve as evidence in a similar action in a Danish court.</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b w:val="1"/>
          <w:bCs w:val="1"/>
          <w:color w:val="auto"/>
        </w:rPr>
        <w:t>PART I</w:t>
      </w:r>
    </w:p>
    <w:p>
      <w:pPr>
        <w:ind w:left="620"/>
        <w:spacing w:after="0"/>
        <w:rPr>
          <w:sz w:val="20"/>
          <w:szCs w:val="20"/>
          <w:color w:val="auto"/>
        </w:rPr>
      </w:pPr>
      <w:r>
        <w:rPr>
          <w:rFonts w:ascii="Times New Roman" w:cs="Times New Roman" w:eastAsia="Times New Roman" w:hAnsi="Times New Roman"/>
          <w:sz w:val="12"/>
          <w:szCs w:val="12"/>
          <w:b w:val="1"/>
          <w:bCs w:val="1"/>
          <w:color w:val="auto"/>
        </w:rPr>
        <w:t>ITEM 1  IDENTITY OF DIRECTORS, SENIOR MANAGEMENT AND ADVISORS</w:t>
      </w:r>
    </w:p>
    <w:p>
      <w:pPr>
        <w:sectPr>
          <w:pgSz w:w="11900" w:h="16840" w:orient="portrait"/>
          <w:cols w:equalWidth="0" w:num="1">
            <w:col w:w="9020"/>
          </w:cols>
          <w:pgMar w:left="1440" w:top="1440" w:right="1440" w:bottom="78" w:gutter="0" w:footer="0" w:header="0"/>
        </w:sectPr>
      </w:pPr>
    </w:p>
    <w:bookmarkStart w:id="4" w:name="page5"/>
    <w:bookmarkEnd w:id="4"/>
    <w:p>
      <w:pPr>
        <w:ind w:left="620"/>
        <w:spacing w:after="0"/>
        <w:rPr>
          <w:sz w:val="20"/>
          <w:szCs w:val="20"/>
          <w:color w:val="auto"/>
        </w:rPr>
      </w:pPr>
      <w:r>
        <w:rPr>
          <w:rFonts w:ascii="Times New Roman" w:cs="Times New Roman" w:eastAsia="Times New Roman" w:hAnsi="Times New Roman"/>
          <w:sz w:val="12"/>
          <w:szCs w:val="12"/>
          <w:color w:val="auto"/>
        </w:rPr>
        <w:t>Not applicable.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2  OFFER STATISTICS AND EXPECTED TIMETABLE</w:t>
      </w:r>
    </w:p>
    <w:p>
      <w:pPr>
        <w:ind w:left="840"/>
        <w:spacing w:after="0" w:line="215" w:lineRule="auto"/>
        <w:rPr>
          <w:sz w:val="20"/>
          <w:szCs w:val="20"/>
          <w:color w:val="auto"/>
        </w:rPr>
      </w:pPr>
      <w:r>
        <w:rPr>
          <w:rFonts w:ascii="Times New Roman" w:cs="Times New Roman" w:eastAsia="Times New Roman" w:hAnsi="Times New Roman"/>
          <w:sz w:val="12"/>
          <w:szCs w:val="12"/>
          <w:color w:val="auto"/>
        </w:rPr>
        <w:t>Not applicable.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3 KEY INFORMATION</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B. Capitalization and Indebtedness</w:t>
      </w:r>
    </w:p>
    <w:p>
      <w:pPr>
        <w:ind w:left="840"/>
        <w:spacing w:after="0" w:line="215" w:lineRule="auto"/>
        <w:rPr>
          <w:sz w:val="20"/>
          <w:szCs w:val="20"/>
          <w:color w:val="auto"/>
        </w:rPr>
      </w:pPr>
      <w:r>
        <w:rPr>
          <w:rFonts w:ascii="Times New Roman" w:cs="Times New Roman" w:eastAsia="Times New Roman" w:hAnsi="Times New Roman"/>
          <w:sz w:val="12"/>
          <w:szCs w:val="12"/>
          <w:color w:val="auto"/>
        </w:rPr>
        <w:t>Not applicable.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C. Reasons for the Offer and Use of Proceeds</w:t>
      </w:r>
    </w:p>
    <w:p>
      <w:pPr>
        <w:ind w:left="840"/>
        <w:spacing w:after="0" w:line="215" w:lineRule="auto"/>
        <w:rPr>
          <w:sz w:val="20"/>
          <w:szCs w:val="20"/>
          <w:color w:val="auto"/>
        </w:rPr>
      </w:pPr>
      <w:r>
        <w:rPr>
          <w:rFonts w:ascii="Times New Roman" w:cs="Times New Roman" w:eastAsia="Times New Roman" w:hAnsi="Times New Roman"/>
          <w:sz w:val="12"/>
          <w:szCs w:val="12"/>
          <w:color w:val="auto"/>
        </w:rPr>
        <w:t>Not applicable.</w:t>
      </w:r>
    </w:p>
    <w:p>
      <w:pPr>
        <w:ind w:left="620" w:right="7520" w:firstLine="4"/>
        <w:spacing w:after="0" w:line="215" w:lineRule="auto"/>
        <w:tabs>
          <w:tab w:leader="none" w:pos="833"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Risk Factors </w:t>
      </w:r>
      <w:r>
        <w:rPr>
          <w:rFonts w:ascii="Times New Roman" w:cs="Times New Roman" w:eastAsia="Times New Roman" w:hAnsi="Times New Roman"/>
          <w:sz w:val="12"/>
          <w:szCs w:val="12"/>
          <w:b w:val="1"/>
          <w:bCs w:val="1"/>
          <w:i w:val="1"/>
          <w:iCs w:val="1"/>
          <w:color w:val="auto"/>
        </w:rPr>
        <w:t>Summary</w:t>
      </w:r>
    </w:p>
    <w:p>
      <w:pPr>
        <w:ind w:left="620" w:right="250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business is subject to numerous risks and uncertainties. You should carefully consider these risks and uncertainties when investing in our ordinary shares or American depositary shares (“</w:t>
      </w:r>
      <w:r>
        <w:rPr>
          <w:rFonts w:ascii="Times New Roman" w:cs="Times New Roman" w:eastAsia="Times New Roman" w:hAnsi="Times New Roman"/>
          <w:sz w:val="12"/>
          <w:szCs w:val="12"/>
          <w:b w:val="1"/>
          <w:bCs w:val="1"/>
          <w:color w:val="auto"/>
        </w:rPr>
        <w:t>ADSs</w:t>
      </w:r>
      <w:r>
        <w:rPr>
          <w:rFonts w:ascii="Times New Roman" w:cs="Times New Roman" w:eastAsia="Times New Roman" w:hAnsi="Times New Roman"/>
          <w:sz w:val="12"/>
          <w:szCs w:val="12"/>
          <w:color w:val="auto"/>
        </w:rPr>
        <w:t>”). The principal risks and uncertainties affecting our business include the following:</w:t>
      </w:r>
    </w:p>
    <w:p>
      <w:pPr>
        <w:ind w:left="620" w:right="268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substantial majority of our revenue comes from royalties on sales of DARZALEX, and our patents underlying these royalties will start to expire in the late 2020s.</w:t>
      </w:r>
    </w:p>
    <w:p>
      <w:pPr>
        <w:ind w:left="620" w:right="288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launch of a new product or of an existing product in a new indication or territory is subject to a number of risks and uncertainties and may not be successful.</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business and operations have experienced rapid growth that needs to be carefully managed.</w:t>
      </w:r>
    </w:p>
    <w:p>
      <w:pPr>
        <w:ind w:left="620" w:right="270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may acquire businesses or products, form collaborations or enter into other strategic transactions in the future, but we may not realize their benefits, and we may need to raise additional capital to fund these transactions. •Sales of our products will depend on the degree of market acceptance by physicians, patients, healthcare payers and others in the medical community.</w:t>
      </w:r>
    </w:p>
    <w:p>
      <w:pPr>
        <w:ind w:left="6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rely on our collaboration partners in many aspects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•We rely on third parties to conduct clinical trials.</w:t>
      </w:r>
    </w:p>
    <w:p>
      <w:pPr>
        <w:ind w:left="620"/>
        <w:spacing w:after="0" w:line="215" w:lineRule="auto"/>
        <w:rPr>
          <w:sz w:val="20"/>
          <w:szCs w:val="20"/>
          <w:color w:val="auto"/>
        </w:rPr>
      </w:pPr>
      <w:r>
        <w:rPr>
          <w:rFonts w:ascii="Times New Roman" w:cs="Times New Roman" w:eastAsia="Times New Roman" w:hAnsi="Times New Roman"/>
          <w:sz w:val="12"/>
          <w:szCs w:val="12"/>
          <w:color w:val="auto"/>
        </w:rPr>
        <w:t>•We rely on a limited number of third-party manufacturers for our product supply.</w:t>
      </w:r>
    </w:p>
    <w:p>
      <w:pPr>
        <w:ind w:left="620"/>
        <w:spacing w:after="0" w:line="215" w:lineRule="auto"/>
        <w:rPr>
          <w:sz w:val="20"/>
          <w:szCs w:val="20"/>
          <w:color w:val="auto"/>
        </w:rPr>
      </w:pPr>
      <w:r>
        <w:rPr>
          <w:rFonts w:ascii="Times New Roman" w:cs="Times New Roman" w:eastAsia="Times New Roman" w:hAnsi="Times New Roman"/>
          <w:sz w:val="12"/>
          <w:szCs w:val="12"/>
          <w:color w:val="auto"/>
        </w:rPr>
        <w:t>•Biopharmaceutical product development involves a substantial degree of uncertainty.</w:t>
      </w: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•Our product candidates will need to undergo clinical trials that are time-consuming and expensive, the outcomes of which are unpredictable, and for which there is a high risk of failure.</w:t>
      </w: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•Any approval granted for our products or product candidates in the US does not assure approval of such products in Japan and the EU or other foreign jurisdictions.</w:t>
      </w:r>
    </w:p>
    <w:p>
      <w:pPr>
        <w:ind w:left="620"/>
        <w:spacing w:after="0" w:line="215" w:lineRule="auto"/>
        <w:rPr>
          <w:sz w:val="20"/>
          <w:szCs w:val="20"/>
          <w:color w:val="auto"/>
        </w:rPr>
      </w:pPr>
      <w:r>
        <w:rPr>
          <w:rFonts w:ascii="Times New Roman" w:cs="Times New Roman" w:eastAsia="Times New Roman" w:hAnsi="Times New Roman"/>
          <w:sz w:val="12"/>
          <w:szCs w:val="12"/>
          <w:color w:val="auto"/>
        </w:rPr>
        <w:t>•We may be affected by reports of adverse events or safety concerns relating to our products or product candidates.</w:t>
      </w:r>
    </w:p>
    <w:p>
      <w:pPr>
        <w:ind w:left="620"/>
        <w:spacing w:after="0" w:line="215" w:lineRule="auto"/>
        <w:rPr>
          <w:sz w:val="20"/>
          <w:szCs w:val="20"/>
          <w:color w:val="auto"/>
        </w:rPr>
      </w:pPr>
      <w:r>
        <w:rPr>
          <w:rFonts w:ascii="Times New Roman" w:cs="Times New Roman" w:eastAsia="Times New Roman" w:hAnsi="Times New Roman"/>
          <w:sz w:val="12"/>
          <w:szCs w:val="12"/>
          <w:color w:val="auto"/>
        </w:rPr>
        <w:t>•We may face product liability claims related to the use or misuse of our products or technologies.</w:t>
      </w: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•Our business applications and information technology (“</w:t>
      </w:r>
      <w:r>
        <w:rPr>
          <w:rFonts w:ascii="Times New Roman" w:cs="Times New Roman" w:eastAsia="Times New Roman" w:hAnsi="Times New Roman"/>
          <w:sz w:val="12"/>
          <w:szCs w:val="12"/>
          <w:b w:val="1"/>
          <w:bCs w:val="1"/>
          <w:color w:val="auto"/>
        </w:rPr>
        <w:t>IT</w:t>
      </w:r>
      <w:r>
        <w:rPr>
          <w:rFonts w:ascii="Times New Roman" w:cs="Times New Roman" w:eastAsia="Times New Roman" w:hAnsi="Times New Roman"/>
          <w:sz w:val="12"/>
          <w:szCs w:val="12"/>
          <w:color w:val="auto"/>
        </w:rPr>
        <w:t>”) infrastructure, or those of our collaboration partners, contractors or consultants, may fail or suffer cyber security breaches, and the use of novel technologies may subject us to additional risks.</w:t>
      </w: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•Our ability to compete may decline if we or our collaboration partners are unable to or do not adequately protect intellectual property rights or if our intellectual property rights are inadequate.</w:t>
      </w:r>
    </w:p>
    <w:p>
      <w:pPr>
        <w:ind w:left="620" w:right="3080"/>
        <w:spacing w:after="0" w:line="215" w:lineRule="auto"/>
        <w:rPr>
          <w:sz w:val="20"/>
          <w:szCs w:val="20"/>
          <w:color w:val="auto"/>
        </w:rPr>
      </w:pPr>
      <w:r>
        <w:rPr>
          <w:rFonts w:ascii="Times New Roman" w:cs="Times New Roman" w:eastAsia="Times New Roman" w:hAnsi="Times New Roman"/>
          <w:sz w:val="12"/>
          <w:szCs w:val="12"/>
          <w:color w:val="auto"/>
        </w:rPr>
        <w:t>•Government restrictions on pricing and reimbursement, as well as other healthcare payer cost-containment initiatives, may negatively impact our ability to generate revenue.</w:t>
      </w: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ind w:left="620"/>
        <w:spacing w:after="0" w:line="215" w:lineRule="auto"/>
        <w:rPr>
          <w:sz w:val="20"/>
          <w:szCs w:val="20"/>
          <w:color w:val="auto"/>
        </w:rPr>
      </w:pPr>
      <w:r>
        <w:rPr>
          <w:rFonts w:ascii="Times New Roman" w:cs="Times New Roman" w:eastAsia="Times New Roman" w:hAnsi="Times New Roman"/>
          <w:sz w:val="12"/>
          <w:szCs w:val="12"/>
          <w:color w:val="auto"/>
        </w:rPr>
        <w:t>•Future laws and regulations and changes to existing ones may have an adverse impact on our business.</w:t>
      </w:r>
    </w:p>
    <w:p>
      <w:pPr>
        <w:spacing w:after="0" w:line="1" w:lineRule="exact"/>
        <w:rPr>
          <w:sz w:val="20"/>
          <w:szCs w:val="20"/>
          <w:color w:val="auto"/>
        </w:rPr>
      </w:pPr>
    </w:p>
    <w:p>
      <w:pPr>
        <w:ind w:left="620" w:right="2920"/>
        <w:spacing w:after="0" w:line="215" w:lineRule="auto"/>
        <w:rPr>
          <w:sz w:val="20"/>
          <w:szCs w:val="20"/>
          <w:color w:val="auto"/>
        </w:rPr>
      </w:pPr>
      <w:r>
        <w:rPr>
          <w:rFonts w:ascii="Times New Roman" w:cs="Times New Roman" w:eastAsia="Times New Roman" w:hAnsi="Times New Roman"/>
          <w:sz w:val="12"/>
          <w:szCs w:val="12"/>
          <w:color w:val="auto"/>
        </w:rPr>
        <w:t>•We and our business arrangements with third parties are subject to fraud, abuse and other healthcare laws and regulations.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We may not realize the anticipated benefits from the acquisition of Merus.</w:t>
      </w:r>
    </w:p>
    <w:p>
      <w:pPr>
        <w:ind w:left="620"/>
        <w:spacing w:after="0" w:line="215" w:lineRule="auto"/>
        <w:rPr>
          <w:sz w:val="20"/>
          <w:szCs w:val="20"/>
          <w:color w:val="auto"/>
        </w:rPr>
      </w:pPr>
      <w:r>
        <w:rPr>
          <w:rFonts w:ascii="Times New Roman" w:cs="Times New Roman" w:eastAsia="Times New Roman" w:hAnsi="Times New Roman"/>
          <w:sz w:val="12"/>
          <w:szCs w:val="12"/>
          <w:color w:val="auto"/>
        </w:rPr>
        <w:t>•Our substantial indebtedness could adversely affect our financial condition.</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Risks Related to Our Business and Financial Condition</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The substantial majority of our revenue comes from royalties on sales of DARZALEX, and our patents underlying these royalties will start to expire in the late 2020s.</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In 2025, royalties from Johnson &amp; Johnson (“</w:t>
      </w:r>
      <w:r>
        <w:rPr>
          <w:rFonts w:ascii="Times New Roman" w:cs="Times New Roman" w:eastAsia="Times New Roman" w:hAnsi="Times New Roman"/>
          <w:sz w:val="12"/>
          <w:szCs w:val="12"/>
          <w:b w:val="1"/>
          <w:bCs w:val="1"/>
          <w:color w:val="auto"/>
        </w:rPr>
        <w:t>J&amp;J</w:t>
      </w:r>
      <w:r>
        <w:rPr>
          <w:rFonts w:ascii="Times New Roman" w:cs="Times New Roman" w:eastAsia="Times New Roman" w:hAnsi="Times New Roman"/>
          <w:sz w:val="12"/>
          <w:szCs w:val="12"/>
          <w:color w:val="auto"/>
        </w:rPr>
        <w:t xml:space="preserve">”), legal entity Janssen Biotech, Inc., related to daratumumab (marketed as DARZALEX for IV administration and as DARZALEX </w:t>
      </w:r>
      <w:r>
        <w:rPr>
          <w:rFonts w:ascii="Times New Roman" w:cs="Times New Roman" w:eastAsia="Times New Roman" w:hAnsi="Times New Roman"/>
          <w:sz w:val="12"/>
          <w:szCs w:val="12"/>
          <w:i w:val="1"/>
          <w:iCs w:val="1"/>
          <w:color w:val="auto"/>
        </w:rPr>
        <w:t>FASPRO</w:t>
      </w:r>
      <w:r>
        <w:rPr>
          <w:rFonts w:ascii="Times New Roman" w:cs="Times New Roman" w:eastAsia="Times New Roman" w:hAnsi="Times New Roman"/>
          <w:sz w:val="12"/>
          <w:szCs w:val="12"/>
          <w:color w:val="auto"/>
        </w:rPr>
        <w:t xml:space="preserve"> in the US and as DARZALEX SC in Europe for subcutaneous (“ </w:t>
      </w:r>
      <w:r>
        <w:rPr>
          <w:rFonts w:ascii="Times New Roman" w:cs="Times New Roman" w:eastAsia="Times New Roman" w:hAnsi="Times New Roman"/>
          <w:sz w:val="12"/>
          <w:szCs w:val="12"/>
          <w:b w:val="1"/>
          <w:bCs w:val="1"/>
          <w:color w:val="auto"/>
        </w:rPr>
        <w:t>SC</w:t>
      </w:r>
      <w:r>
        <w:rPr>
          <w:rFonts w:ascii="Times New Roman" w:cs="Times New Roman" w:eastAsia="Times New Roman" w:hAnsi="Times New Roman"/>
          <w:sz w:val="12"/>
          <w:szCs w:val="12"/>
          <w:color w:val="auto"/>
        </w:rPr>
        <w:t xml:space="preserve"> ”) administration) for certain indications of multiple myeloma (“</w:t>
      </w:r>
      <w:r>
        <w:rPr>
          <w:rFonts w:ascii="Times New Roman" w:cs="Times New Roman" w:eastAsia="Times New Roman" w:hAnsi="Times New Roman"/>
          <w:sz w:val="12"/>
          <w:szCs w:val="12"/>
          <w:b w:val="1"/>
          <w:bCs w:val="1"/>
          <w:color w:val="auto"/>
        </w:rPr>
        <w:t>MM</w:t>
      </w:r>
      <w:r>
        <w:rPr>
          <w:rFonts w:ascii="Times New Roman" w:cs="Times New Roman" w:eastAsia="Times New Roman" w:hAnsi="Times New Roman"/>
          <w:sz w:val="12"/>
          <w:szCs w:val="12"/>
          <w:color w:val="auto"/>
        </w:rPr>
        <w:t>”) and light-chain (“</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2"/>
          <w:szCs w:val="12"/>
          <w:color w:val="auto"/>
        </w:rPr>
        <w:t>”) amyloidosis, accounted for 66% of our revenue. We anticipate that DARZALEX will continue to account for a substantial portion of our revenue in the near term. J&amp;J is currently fully responsible for developing and commercializing daratumumab, and all costs associated therewith, and consequently, our revenue and resulting operating profit and near-term prospects are substantially dependent on J&amp;J’s efforts and the success of this collaboration.</w:t>
      </w:r>
    </w:p>
    <w:p>
      <w:pPr>
        <w:spacing w:after="0" w:line="1" w:lineRule="exact"/>
        <w:rPr>
          <w:sz w:val="20"/>
          <w:szCs w:val="20"/>
          <w:color w:val="auto"/>
        </w:rPr>
      </w:pPr>
    </w:p>
    <w:p>
      <w:pPr>
        <w:ind w:left="620" w:right="2280"/>
        <w:spacing w:after="0" w:line="220" w:lineRule="auto"/>
        <w:rPr>
          <w:sz w:val="20"/>
          <w:szCs w:val="20"/>
          <w:color w:val="auto"/>
        </w:rPr>
      </w:pPr>
      <w:r>
        <w:rPr>
          <w:rFonts w:ascii="Times New Roman" w:cs="Times New Roman" w:eastAsia="Times New Roman" w:hAnsi="Times New Roman"/>
          <w:sz w:val="12"/>
          <w:szCs w:val="12"/>
          <w:color w:val="auto"/>
        </w:rPr>
        <w:t>The royalties payable to us by J&amp;J are limited in time and subject to reduction on a country-by -country basis for customary reduction events, including for lack of patent coverage or upon patent expiration or invalidation in the relevant country and upon the first commercial sale of a biosimilar product in the relevant country (for as long as the biosimilar product remains for sale in that country) . Pursuant to the terms of the agreement, J&amp;J’s obligation to pay royalties to us will expire on a country- by-country basis on the later of the date that is 13 years after the first sale of daratumumab in such country or upon the expiration or invalidation of the last-to-expire relevant Genmab patent covering daratumumab in such country. The first US, European and Japanese sales of daratumumab occurred in 2015, 2016 and 2017, respectively.</w:t>
      </w:r>
    </w:p>
    <w:p>
      <w:pPr>
        <w:sectPr>
          <w:pgSz w:w="11900" w:h="16840" w:orient="portrait"/>
          <w:cols w:equalWidth="0" w:num="1">
            <w:col w:w="9020"/>
          </w:cols>
          <w:pgMar w:left="1440" w:top="559"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640"/>
        <w:spacing w:after="0" w:line="215" w:lineRule="auto"/>
        <w:rPr>
          <w:sz w:val="20"/>
          <w:szCs w:val="20"/>
          <w:color w:val="auto"/>
        </w:rPr>
      </w:pPr>
      <w:r>
        <w:rPr>
          <w:rFonts w:ascii="Times New Roman" w:cs="Times New Roman" w:eastAsia="Times New Roman" w:hAnsi="Times New Roman"/>
          <w:sz w:val="12"/>
          <w:szCs w:val="12"/>
          <w:color w:val="auto"/>
        </w:rPr>
        <w:t xml:space="preserve">We have issued patents and pending patent applications covering daratumumab in numerous jurisdictions, including patents issued in the US, Europe and Japan. J&amp;J owns a separate patent portfolio related to the SC formulation of daratumumab used in DARZALEX </w:t>
      </w:r>
      <w:r>
        <w:rPr>
          <w:rFonts w:ascii="Times New Roman" w:cs="Times New Roman" w:eastAsia="Times New Roman" w:hAnsi="Times New Roman"/>
          <w:sz w:val="12"/>
          <w:szCs w:val="12"/>
          <w:i w:val="1"/>
          <w:iCs w:val="1"/>
          <w:color w:val="auto"/>
        </w:rPr>
        <w:t>FASPRO/</w:t>
      </w:r>
      <w:r>
        <w:rPr>
          <w:rFonts w:ascii="Times New Roman" w:cs="Times New Roman" w:eastAsia="Times New Roman" w:hAnsi="Times New Roman"/>
          <w:sz w:val="12"/>
          <w:szCs w:val="12"/>
          <w:color w:val="auto"/>
        </w:rPr>
        <w:t>DARZALEX SC, but a binding arbitration determined that we are not entitled to royalties based on these separate patents.</w:t>
      </w:r>
    </w:p>
    <w:p>
      <w:pPr>
        <w:ind w:left="620" w:right="2420"/>
        <w:spacing w:after="0"/>
        <w:rPr>
          <w:sz w:val="20"/>
          <w:szCs w:val="20"/>
          <w:color w:val="auto"/>
        </w:rPr>
      </w:pPr>
      <w:r>
        <w:rPr>
          <w:rFonts w:ascii="Times New Roman" w:cs="Times New Roman" w:eastAsia="Times New Roman" w:hAnsi="Times New Roman"/>
          <w:sz w:val="12"/>
          <w:szCs w:val="12"/>
          <w:color w:val="auto"/>
        </w:rPr>
        <w:t>Our issued US, European and Japanese patents covering daratumumab, after giving effect to issued US, European and Japanese patent term extensions (“</w:t>
      </w:r>
      <w:r>
        <w:rPr>
          <w:rFonts w:ascii="Times New Roman" w:cs="Times New Roman" w:eastAsia="Times New Roman" w:hAnsi="Times New Roman"/>
          <w:sz w:val="12"/>
          <w:szCs w:val="12"/>
          <w:b w:val="1"/>
          <w:bCs w:val="1"/>
          <w:color w:val="auto"/>
        </w:rPr>
        <w:t>PTEs</w:t>
      </w:r>
      <w:r>
        <w:rPr>
          <w:rFonts w:ascii="Times New Roman" w:cs="Times New Roman" w:eastAsia="Times New Roman" w:hAnsi="Times New Roman"/>
          <w:sz w:val="12"/>
          <w:szCs w:val="12"/>
          <w:color w:val="auto"/>
        </w:rPr>
        <w:t>”) and supplementary protection certificates (“</w:t>
      </w:r>
      <w:r>
        <w:rPr>
          <w:rFonts w:ascii="Times New Roman" w:cs="Times New Roman" w:eastAsia="Times New Roman" w:hAnsi="Times New Roman"/>
          <w:sz w:val="12"/>
          <w:szCs w:val="12"/>
          <w:b w:val="1"/>
          <w:bCs w:val="1"/>
          <w:color w:val="auto"/>
        </w:rPr>
        <w:t>SPCs</w:t>
      </w:r>
      <w:r>
        <w:rPr>
          <w:rFonts w:ascii="Times New Roman" w:cs="Times New Roman" w:eastAsia="Times New Roman" w:hAnsi="Times New Roman"/>
          <w:sz w:val="12"/>
          <w:szCs w:val="12"/>
          <w:color w:val="auto"/>
        </w:rPr>
        <w:t xml:space="preserve"> ”), expire in 2029, 2031 and begin to expire in 2030, respectively. Assuming constant underlying sales of DARZALEX, we expect that our royalties from sales of DARZALEX will begin to decline materially in 2029 following expiration of our US patent rights on daratumumab. There can be no assurance that we will be able to replace all or any portion of lost DARZALEX royalty revenues through development and commercialization of other products or through acquisitions in a timely manner or at all.</w:t>
      </w:r>
    </w:p>
    <w:p>
      <w:pPr>
        <w:spacing w:after="0" w:line="38"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In addition, there can be no assurance that DARZALEX sales will remain at or near current levels or will continue to grow while we remain entitled to royalties. In particular, DARZALEX is subject to intense competition in the MM therapy market. In addition to numerous other US Food and Drug Administration (“</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xml:space="preserve"> ”) approved treatments for the same indications, we are also aware of several additional investigational agents and technologies that are currently being studied for the treatment of MM, any of which may compete with DARZALEX in the future. If DARZALEX is unable to successfully compete with these or other agents and technologies, DARZALEX sales could decline materially.</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Future prospects for daratumumab are subject to the risks outlined below with respect to our other product candidates, including risks related to clinical trials, adverse events, regulatory requirements and approvals, intellectual property matters, competition, manufacturing, pricing, reimbursement and marketing. In addition, future prospects for daratumumab are also subject to the risk that we will be unable to successfully manage our relationship with J&amp;J and other risks described herein that are applicable to all our collaborations.</w:t>
      </w:r>
    </w:p>
    <w:p>
      <w:pPr>
        <w:spacing w:after="0" w:line="1" w:lineRule="exact"/>
        <w:rPr>
          <w:sz w:val="20"/>
          <w:szCs w:val="20"/>
          <w:color w:val="auto"/>
        </w:rPr>
      </w:pPr>
    </w:p>
    <w:p>
      <w:pPr>
        <w:ind w:left="620" w:right="24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launch of a new product or of an existing product in a new indication or territory is subject to a number of risks and uncertainties and may not be successful.</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We are continuing to expand our commercialization capabilities, including sales, distribution and marketing, to allow us to market our own products for the indications and in the geographies we determine would be most effective to create value for patients and our shareholders. The continued commercialization of our existing products could be impaired, and the launch and commercialization of any future products could be delayed or impaired, due to a variety of factors, including supply constraints, delays or challenges in arranging a commercial infrastructure, delays in obtaining or failure to obtain pricing and reimbursement approvals, or other factors, including those described elsewhere herein.</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We continue to grow our market-based commercialization operations in existing and additional new markets. Building comprehensive commercialization capabilities requires substantial investment of time and money and significant management focus and resources. We are competing with pharmaceutical and biotechnology companies with established commercialization and marketing capabilities. Without appropriate leveraging of our internal existing team or the support of third parties, we may be unable to compete successfully against these more established companies as we expand into new territories. In addition, we may be unable to develop productive relationships with local medical experts, patients and other key stakeholders or may face barriers due to cultural or regulatory differences. We also compete for staffing with transnational and local pharmaceutical and biotechnology firms and local medical, healthcare and research organizations. Accordingly, there can be no assurance that our efforts to build and expand comprehensive commercialization capabilities will be successful in an acceptable timeframe, without disproportionately substantial expenses or at all.</w:t>
      </w:r>
    </w:p>
    <w:p>
      <w:pPr>
        <w:spacing w:after="0" w:line="1" w:lineRule="exact"/>
        <w:rPr>
          <w:sz w:val="20"/>
          <w:szCs w:val="20"/>
          <w:color w:val="auto"/>
        </w:rPr>
      </w:pPr>
    </w:p>
    <w:p>
      <w:pPr>
        <w:ind w:left="620" w:right="2300"/>
        <w:spacing w:after="0"/>
        <w:rPr>
          <w:sz w:val="20"/>
          <w:szCs w:val="20"/>
          <w:color w:val="auto"/>
        </w:rPr>
      </w:pPr>
      <w:r>
        <w:rPr>
          <w:rFonts w:ascii="Times New Roman" w:cs="Times New Roman" w:eastAsia="Times New Roman" w:hAnsi="Times New Roman"/>
          <w:sz w:val="12"/>
          <w:szCs w:val="12"/>
          <w:color w:val="auto"/>
        </w:rPr>
        <w:t>Even if more of our proprietary product candidates obtain regulatory approval, we may determine that commercializing such product candidates ourselves would not be the most effective way to create value for our shareholders. In addition, if we choose to commercialize any of our product candidates, our marketing efforts may be unsuccessful as a result of unfavorable pricing or reimbursement limitations, delays, competition or other factors. We are also subject to extensive and costly government regulation and are required to obtain and maintain governmental approvals in order to successfully commercialize our products. Failure to successfully market one or more of our approved products, or delays in our commercialization efforts, may diminish the commercial prospects for such products and may result in financial losses or damage to our reputation, each of which may have a negative impact on our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business and operations have experienced rapid growth that needs to be carefully managed.</w:t>
      </w:r>
    </w:p>
    <w:p>
      <w:pPr>
        <w:ind w:left="620"/>
        <w:spacing w:after="0" w:line="215" w:lineRule="auto"/>
        <w:rPr>
          <w:sz w:val="20"/>
          <w:szCs w:val="20"/>
          <w:color w:val="auto"/>
        </w:rPr>
      </w:pPr>
      <w:r>
        <w:rPr>
          <w:rFonts w:ascii="Times New Roman" w:cs="Times New Roman" w:eastAsia="Times New Roman" w:hAnsi="Times New Roman"/>
          <w:sz w:val="12"/>
          <w:szCs w:val="12"/>
          <w:color w:val="auto"/>
        </w:rPr>
        <w:t>We have experienced rapid growth over the last several years, and we anticipate further growth as our pipeline</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advances and we further commercialize our products. Since 2019 Genmab has grown from 548 employees to 3,029 at the end of 2025. In 2019, there were 12 active industry sponsored clinical trials for Genmab proprietary products, which are those owned at least 50% by Genmab. By the end of 2025, this number had more than doubled to 30, including nine Phase</w:t>
      </w:r>
    </w:p>
    <w:p>
      <w:pPr>
        <w:ind w:left="620" w:right="2340" w:firstLine="4"/>
        <w:spacing w:after="0" w:line="215" w:lineRule="auto"/>
        <w:tabs>
          <w:tab w:leader="none" w:pos="77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trials, not including trials initiated by Merus. With the acquisition of Merus we added petosemtamab to our pipeline, including two additional Phase III trials and two Phase II trials. Such growth has put significant demands on our management and infrastructure, including new operational and financial systems, expanding commercial capabilities, as well as extended manufacturing and commercial outsourcing arrangements. Our success will depend in part upon our ability to manage this growth effectively, including by maintaining our collaborative culture. As we continue to grow, we must continuously improve our operational, financial and management controls and our reporting systems and procedures. We must ensure that our policies and procedures evolve to reflect our dynamic operating model and implementation of financial systems. We must also continue to effectively retain existing employees and to attract, hire, train and retain new employees. Any failure to expand these areas and implement appropriate procedures and controls in an efficient manner and at a pace consistent with our business objectives could have a material adverse effect on our business, financial condition, results of operations and cash flows.</w:t>
      </w:r>
    </w:p>
    <w:p>
      <w:pPr>
        <w:spacing w:after="0" w:line="1" w:lineRule="exact"/>
        <w:rPr>
          <w:rFonts w:ascii="Times New Roman" w:cs="Times New Roman" w:eastAsia="Times New Roman" w:hAnsi="Times New Roman"/>
          <w:sz w:val="12"/>
          <w:szCs w:val="12"/>
          <w:color w:val="auto"/>
        </w:rPr>
      </w:pPr>
    </w:p>
    <w:p>
      <w:pPr>
        <w:ind w:left="620" w:right="2340"/>
        <w:spacing w:after="0" w:line="21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We may acquire businesses or products, form collaborations or enter into other strategic transactions in the future, but we may not realize their benefits, and we may need to raise additional capital to fund these transactions.</w:t>
      </w:r>
    </w:p>
    <w:p>
      <w:pPr>
        <w:ind w:left="620"/>
        <w:spacing w:after="0" w:line="21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attractive opportunities arise, we may acquire companies or technologies, form collaborations or enter into</w:t>
      </w:r>
    </w:p>
    <w:p>
      <w:pPr>
        <w:ind w:left="620" w:right="2300"/>
        <w:spacing w:after="0" w:line="23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strategic transactions that facilitate our access to new products, research projects or geographical areas, or that enable us to achieve synergies with our existing operations. However, we may not be able to identify appropriate targets, make</w:t>
      </w:r>
    </w:p>
    <w:p>
      <w:pPr>
        <w:sectPr>
          <w:pgSz w:w="11900" w:h="16840" w:orient="portrait"/>
          <w:cols w:equalWidth="0" w:num="1">
            <w:col w:w="9020"/>
          </w:cols>
          <w:pgMar w:left="1440" w:top="1440" w:right="1440" w:bottom="52" w:gutter="0" w:footer="0" w:header="0"/>
        </w:sectPr>
      </w:pPr>
    </w:p>
    <w:bookmarkStart w:id="6" w:name="page7"/>
    <w:bookmarkEnd w:id="6"/>
    <w:p>
      <w:pPr>
        <w:ind w:left="620" w:right="2280"/>
        <w:spacing w:after="0" w:line="218" w:lineRule="auto"/>
        <w:rPr>
          <w:sz w:val="20"/>
          <w:szCs w:val="20"/>
          <w:color w:val="auto"/>
        </w:rPr>
      </w:pPr>
      <w:r>
        <w:rPr>
          <w:rFonts w:ascii="Times New Roman" w:cs="Times New Roman" w:eastAsia="Times New Roman" w:hAnsi="Times New Roman"/>
          <w:sz w:val="12"/>
          <w:szCs w:val="12"/>
          <w:color w:val="auto"/>
        </w:rPr>
        <w:t>acquisitions or form collaborations under satisfactory financial and other conditions. If we acquire or enter into collaborations or other strategic transactions with businesses, we may not be able to realize the benefits of such acquisitions or collaborations, including if we are unable to successfully integrate them with our existing operations and company culture, or if we encounter difficulties in developing, receiving regulatory approval for, manufacturing and marketing any new products resulting from such acquisitions, collaborations or transactions. The inability to achieve the expected benefits of any such transaction, including if the products acquired as part of recent transactions, Rina- S and petosemtamab, should be significantly delayed or fail, could have a material adverse effect on our business, financial condition, results of operations, debt repayments and future growth prospects and our investors’ ability to realize on their investments.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In addition, we may need to seek additional funds to finance such transactions, and we may be unable to obtain financing on favorable terms, in a timely manner or at all. Our ability to raise additional funds may be adversely impacted by potential worsening global economic conditions and the disruptions to, and volatility in, the credit and financial markets in the US and worldwide resulting from factors that include but are not limited to, actual or threatened trade restrictions and tariffs, trade tensions, inflation, wars and geopolitical conflicts and tensions, including the conflict between Russia and Ukraine and conflicts in the Middle East, diminished liquidity and credit availability, declines in consumer confidence, declines in economic growth, increases in unemployment rates, uncertainty about economic stability, increases in interest rates and potential for economic recession. If the equity and credit markets deteriorate, it may make any necessary debt or equity financing more difficult, more costly and more dilutive. If we are unable to raise capital or if the cost is prohibitively expensive, we may need to finance transactions using cash and cash equivalents and marketable securities that could otherwise be allocated to other purposes in the context of our existing operations, and in hindsight our allocation decisions may not be optimal.</w:t>
      </w:r>
    </w:p>
    <w:p>
      <w:pPr>
        <w:spacing w:after="0" w:line="1" w:lineRule="exact"/>
        <w:rPr>
          <w:sz w:val="20"/>
          <w:szCs w:val="20"/>
          <w:color w:val="auto"/>
        </w:rPr>
      </w:pPr>
    </w:p>
    <w:p>
      <w:pPr>
        <w:ind w:left="620" w:right="250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Sales of our products will depend on the degree of market acceptance by physicians, patients, healthcare payers and others in the medical community.</w:t>
      </w:r>
    </w:p>
    <w:p>
      <w:pPr>
        <w:ind w:left="620" w:right="2280"/>
        <w:spacing w:after="0" w:line="220" w:lineRule="auto"/>
        <w:rPr>
          <w:sz w:val="20"/>
          <w:szCs w:val="20"/>
          <w:color w:val="auto"/>
        </w:rPr>
      </w:pPr>
      <w:r>
        <w:rPr>
          <w:rFonts w:ascii="Times New Roman" w:cs="Times New Roman" w:eastAsia="Times New Roman" w:hAnsi="Times New Roman"/>
          <w:sz w:val="12"/>
          <w:szCs w:val="12"/>
          <w:color w:val="auto"/>
        </w:rPr>
        <w:t>If any of our product candidates receive marketing approval or if any of our marketed products receive marketing approval for additional indications, they may nonetheless fail to gain sufficient market acceptance by physicians, patients, healthcare payers and others in the medical community, due to not being as well- established or known as conventional therapies or otherwise. Accordingly, our commercial opportunity may be limited and/or our revenues from sales of these products may be negatively impacted. The degree of market acceptance will depend on a number of factors, including: the price, efficacy, safety, convenience and ease and safety of administration of such products, along with their competitive advantages vis- à-vis other therapies, designation as a first - , second- or third-line treatment, changes in the relevant standard of care or clinical guidelines and any labeling restrictions or warnings, the willingness of the target patient population to 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jc w:val="both"/>
        <w:ind w:left="620" w:right="2360"/>
        <w:spacing w:after="0" w:line="215" w:lineRule="auto"/>
        <w:rPr>
          <w:sz w:val="20"/>
          <w:szCs w:val="20"/>
          <w:color w:val="auto"/>
        </w:rPr>
      </w:pPr>
      <w:r>
        <w:rPr>
          <w:rFonts w:ascii="Times New Roman" w:cs="Times New Roman" w:eastAsia="Times New Roman" w:hAnsi="Times New Roman"/>
          <w:sz w:val="12"/>
          <w:szCs w:val="12"/>
          <w:color w:val="auto"/>
        </w:rPr>
        <w:t>and of physicians to prescribe our products, the availability and amount of coverage and reimbursement from government payers, managed care plans and other third-party payers, and the strength of the sales, marketing and distribution support provided by us or our collaboration partners.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may not meet publicly announced product development objectives.</w:t>
      </w:r>
    </w:p>
    <w:p>
      <w:pPr>
        <w:ind w:left="620" w:right="2320"/>
        <w:spacing w:after="0" w:line="239" w:lineRule="auto"/>
        <w:rPr>
          <w:sz w:val="20"/>
          <w:szCs w:val="20"/>
          <w:color w:val="auto"/>
        </w:rPr>
      </w:pPr>
      <w:r>
        <w:rPr>
          <w:rFonts w:ascii="Times New Roman" w:cs="Times New Roman" w:eastAsia="Times New Roman" w:hAnsi="Times New Roman"/>
          <w:sz w:val="12"/>
          <w:szCs w:val="12"/>
          <w:color w:val="auto"/>
        </w:rPr>
        <w:t>We sometimes estimate for planning purposes the timing of the accomplishment of various scientific, clinical, regulatory and other product development objectives. These milestones may include our expectations regarding the commencement or completion of scientific trials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is outside of our control. All of these milestones are based on a variety of assumptions, which may cause the timing of achievement of the milestones to vary considerably from our estimates. If we fail to achieve announced milestones in the timeframes we expect, or at all, it may have a material adverse effect on our business, financial condition and results of operations and the price of our ADSs may be adversely affected.</w:t>
      </w:r>
    </w:p>
    <w:p>
      <w:pPr>
        <w:spacing w:after="0" w:line="1" w:lineRule="exact"/>
        <w:rPr>
          <w:sz w:val="20"/>
          <w:szCs w:val="20"/>
          <w:color w:val="auto"/>
        </w:rPr>
      </w:pPr>
    </w:p>
    <w:p>
      <w:pPr>
        <w:ind w:left="620" w:right="26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target patient population may be lower than our estimates and we may be unable to recoup our development investments.</w:t>
      </w:r>
    </w:p>
    <w:p>
      <w:pPr>
        <w:ind w:left="620" w:right="2500"/>
        <w:spacing w:after="0" w:line="215" w:lineRule="auto"/>
        <w:rPr>
          <w:sz w:val="20"/>
          <w:szCs w:val="20"/>
          <w:color w:val="auto"/>
        </w:rPr>
      </w:pPr>
      <w:r>
        <w:rPr>
          <w:rFonts w:ascii="Times New Roman" w:cs="Times New Roman" w:eastAsia="Times New Roman" w:hAnsi="Times New Roman"/>
          <w:sz w:val="12"/>
          <w:szCs w:val="12"/>
          <w:color w:val="auto"/>
        </w:rPr>
        <w:t>Periodically, we and our collaboration partners make estimates regarding the incidence and prevalence of target patient populations for particular diseases based on various sources and internally generated analysis and use such estimates in making decisions regarding product development strategy, including determining indications on which to focus in preclinical or clinical trials. These estimates may be inaccurate or based on imprecise data, or patient incidence and prevalence for selected indications may evolve over time as treatments and patient outcomes change. The number of patients in the addressable markets may turn out to be lower than expected, patients may not be otherwise amenable to treatment with our products, or new patients may become increasingly difficult to identify or gain access to.</w:t>
      </w:r>
    </w:p>
    <w:p>
      <w:pPr>
        <w:spacing w:after="0" w:line="1"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Even if our product candidates obtain significant market share for their approved indications, because certain potential target populations are small, we may never recoup our investment in such product candidates without obtaining regulatory approval for additional indications for such product candidates. We expect that we or our collaboration partners will initially seek approval of some of our product candidates as second- or third-line therapies for patients who have failed other approved treatments, which further limits the size of the potential patient population for such indication. If we or our collaboration partners are unable to obtain regulatory approval for such products for frontline or second-line therapy, we may be unable to recoup our investment in such products.</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We are exposed to foreign exchange risk.</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Most of our financial transactions are made in US dollars, DKK and Euro. As of January 1, 2025 we changed our reporting currency to US dollars and, as a result, we currently experience exchange rate risk with respect to our holdings and transactions denominated in currencies other than US dollars. Our currency exposure is mainly related to cash deposits, marketable securities, and accounts payable denominated in currencies other than US dollars.</w:t>
      </w:r>
    </w:p>
    <w:p>
      <w:pPr>
        <w:ind w:left="620" w:right="2600"/>
        <w:spacing w:after="0" w:line="215" w:lineRule="auto"/>
        <w:rPr>
          <w:sz w:val="20"/>
          <w:szCs w:val="20"/>
          <w:color w:val="auto"/>
        </w:rPr>
      </w:pPr>
      <w:r>
        <w:rPr>
          <w:rFonts w:ascii="Times New Roman" w:cs="Times New Roman" w:eastAsia="Times New Roman" w:hAnsi="Times New Roman"/>
          <w:sz w:val="12"/>
          <w:szCs w:val="12"/>
          <w:color w:val="auto"/>
        </w:rPr>
        <w:t>If we fail to manage our foreign exchange risk adequately, our business, financial condition, results of operations and future growth prospects and the value of our ADSs may be adversely affected.</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risks as a result of our multinational operations.</w:t>
      </w:r>
    </w:p>
    <w:p>
      <w:pPr>
        <w:ind w:left="620" w:right="2280"/>
        <w:spacing w:after="0" w:line="219" w:lineRule="auto"/>
        <w:rPr>
          <w:sz w:val="20"/>
          <w:szCs w:val="20"/>
          <w:color w:val="auto"/>
        </w:rPr>
      </w:pPr>
      <w:r>
        <w:rPr>
          <w:rFonts w:ascii="Times New Roman" w:cs="Times New Roman" w:eastAsia="Times New Roman" w:hAnsi="Times New Roman"/>
          <w:sz w:val="12"/>
          <w:szCs w:val="12"/>
          <w:color w:val="auto"/>
        </w:rPr>
        <w:t>We, our collaborators and third-party partners and suppliers operate in many jurisdictions around the world and as a result could be adversely affected by risks and uncertainties associated with such multinational operations, including, among others: capital and exchange controls; local and global economic conditions including inflation, recession, volatility and/or lack of liquidity in capital markets; expropriation and other restrictive government actions; actual or threatened trade restrictions or tariffs such as the sweeping tariffs announced by the US in 2025 and the trade tensions between US and China; trade regulations; tax laws and regulations; and procedures and actions affecting approval, production, pricing, and marketing of, reimbursement for and access to our products, as well as impacts of political or civil tensions, unrest or military action, including the ongoing conflicts between Russia and Ukraine and in the Middle East and their economic consequences; geopolitical instability; terrorist activity; unstable governments and legal systems; and inter-governmental disputes and tensions. Some emerging market countries may be particularly vulnerable to periods of financial, economic or</w:t>
      </w:r>
    </w:p>
    <w:p>
      <w:pPr>
        <w:sectPr>
          <w:pgSz w:w="11900" w:h="16840" w:orient="portrait"/>
          <w:cols w:equalWidth="0" w:num="1">
            <w:col w:w="9020"/>
          </w:cols>
          <w:pgMar w:left="1440" w:top="559"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political instability, weakening of the rule of law, or significant currency fluctuations. Local economic and political conditions may adversely affect our distributors, customers, suppliers, collaborators and service providers, and their ability to perform their obligations under agreements with us.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Risks Related to Partners and Other Third Parties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rely on our collaboration partners in many aspects of our business.</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We rely on our collaboration partners in many aspects of our business, including to assist with, or to conduct, clinical and regulatory development, manufacturing and/or commercialization of certain of our partnered and proprietary products and product candidates or to provide access to antigens, technologies, skills and information that we do not possess.</w:t>
      </w:r>
    </w:p>
    <w:p>
      <w:pPr>
        <w:ind w:left="620" w:right="2480"/>
        <w:spacing w:after="0" w:line="215" w:lineRule="auto"/>
        <w:rPr>
          <w:sz w:val="20"/>
          <w:szCs w:val="20"/>
          <w:color w:val="auto"/>
        </w:rPr>
      </w:pPr>
      <w:r>
        <w:rPr>
          <w:rFonts w:ascii="Times New Roman" w:cs="Times New Roman" w:eastAsia="Times New Roman" w:hAnsi="Times New Roman"/>
          <w:sz w:val="12"/>
          <w:szCs w:val="12"/>
          <w:color w:val="auto"/>
        </w:rPr>
        <w:t>If we are not able to maintain our existing material collaborations (or replace them if terminated), establish additional collaborations on favorable terms or realize the anticipated benefits from our collaborations, our business, financial condition and results of operations may be materially harmed. In particular, the termination of any of our key collaborations could significantly delay the development and commercialization of our products and product candidates and impact our financial results and future prospects. Our licensing collaboration partners generally have the right to terminate our collaborations with notice at any time. Our ability to continue our current collaborations and to enter into additional ones will depend in large part on whether we are able to successfully maintain, expand and demonstrate our research, development and commercialization capabilities and the benefits of our technologies relative to those of our competitors.</w:t>
      </w:r>
    </w:p>
    <w:p>
      <w:pPr>
        <w:spacing w:after="0" w:line="1"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We also rely on our collaboration partners to periodically provide us with information about the status, progress and results of clinical trials and regulatory processes that they are conducting, sponsoring, or pursuing with respect to products that are the subject of the collaboration. For products and product candidates being developed by our collaboration partners, we generally do not have direct access to the underlying data or direct communications with the relevant regulators. As a result, our knowledge of material clinical events or data or material regulatory communications or developments, and our corresponding ability to report these to our shareholders, may be limited or delayed.</w:t>
      </w:r>
    </w:p>
    <w:p>
      <w:pPr>
        <w:spacing w:after="0" w:line="1" w:lineRule="exact"/>
        <w:rPr>
          <w:sz w:val="20"/>
          <w:szCs w:val="20"/>
          <w:color w:val="auto"/>
        </w:rPr>
      </w:pPr>
    </w:p>
    <w:p>
      <w:pPr>
        <w:ind w:left="620" w:right="2920"/>
        <w:spacing w:after="0" w:line="215" w:lineRule="auto"/>
        <w:rPr>
          <w:sz w:val="20"/>
          <w:szCs w:val="20"/>
          <w:color w:val="auto"/>
        </w:rPr>
      </w:pPr>
      <w:r>
        <w:rPr>
          <w:rFonts w:ascii="Times New Roman" w:cs="Times New Roman" w:eastAsia="Times New Roman" w:hAnsi="Times New Roman"/>
          <w:sz w:val="12"/>
          <w:szCs w:val="12"/>
          <w:color w:val="auto"/>
        </w:rPr>
        <w:t>In addition, our reliance on our collaboration partners subjects us to a number of additional risks, including the following:</w:t>
      </w:r>
    </w:p>
    <w:p>
      <w:pPr>
        <w:ind w:left="620" w:right="28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 partners have significant discretion regarding whether and on what timeline to pursue planned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activities;</w:t>
      </w:r>
    </w:p>
    <w:p>
      <w:pPr>
        <w:ind w:left="620" w:right="32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we cannot control the quantity and nature of the resources our collaboration partners may devote to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development, commercialization, marketing and distribution of products or product candidates;</w:t>
      </w:r>
    </w:p>
    <w:p>
      <w:pPr>
        <w:ind w:left="620" w:right="27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 partners may not develop products generated using our antibody technology as expected;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disputes between us and our collaboration partners may delay or terminate the research, development 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commercialization of the applicable products and product candidates or result in costly litigation or arbitration that diverts management’s attention and resources;</w:t>
      </w:r>
    </w:p>
    <w:p>
      <w:pPr>
        <w:ind w:left="620" w:right="28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with respect to collaborations under which we have an active role, we and our collaboration partners may have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differing opinions or priorities, or we may encounter challenges in joint decision making, which may delay or terminate the research, development or commercialization of the applicable products and product candidates;</w:t>
      </w:r>
    </w:p>
    <w:p>
      <w:pPr>
        <w:jc w:val="both"/>
        <w:ind w:left="620" w:right="30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we may not receive milestone payments from our collaboration partners, at the expected time or at all, if 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collaboration partners do not achieve future milestones or if we and our collaboration partners disagree about whether a milestone has been reached;</w:t>
      </w: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 partners may require, terminate or repeat clinical trials or require a new formulation of a product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candidate for clinical testing, or may abandon a product candidate;</w:t>
      </w:r>
    </w:p>
    <w:p>
      <w:pPr>
        <w:ind w:left="620" w:right="2800"/>
        <w:spacing w:after="0" w:line="23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relationships with our collaboration partners may divert significant time and effort of our scientific staff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9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 partners may be subject to regulatory sanctions that could adversely affect the development,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approval or commercialization of the applicable products or product candidates;</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 partners may not properly maintain or defend relevant intellectual property rights, or may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infringe the intellectual property rights of third parties, or may use our or third parties’ proprietary information in such a way as to invite litigation that could jeopardize or invalidate our proprietary information or expose us to potential litigation;</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 partners may develop competing products, therapeutic approaches or technologies;</w:t>
      </w:r>
    </w:p>
    <w:p>
      <w:pPr>
        <w:spacing w:after="0" w:line="1" w:lineRule="exact"/>
        <w:rPr>
          <w:sz w:val="20"/>
          <w:szCs w:val="20"/>
          <w:color w:val="auto"/>
        </w:rPr>
      </w:pP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business combinations, financial difficulties, strategic transactions, or significant changes in a collaboration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partner’s business strategy or as a result of changes in political or economic conditions, may adversely affect that collaboration partner’s willingness or ability to continue to pursue our products or product candidates and make payments under collaboration agreements to us when due; and</w:t>
      </w: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collaborations may be terminated, breached, or allowed to expire, or our collaboration partners may reduce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scope of our agreements with them.</w:t>
      </w:r>
    </w:p>
    <w:p>
      <w:pPr>
        <w:ind w:left="620" w:right="2760"/>
        <w:spacing w:after="0" w:line="215" w:lineRule="auto"/>
        <w:rPr>
          <w:sz w:val="20"/>
          <w:szCs w:val="20"/>
          <w:color w:val="auto"/>
        </w:rPr>
      </w:pPr>
      <w:r>
        <w:rPr>
          <w:rFonts w:ascii="Times New Roman" w:cs="Times New Roman" w:eastAsia="Times New Roman" w:hAnsi="Times New Roman"/>
          <w:sz w:val="12"/>
          <w:szCs w:val="12"/>
          <w:color w:val="auto"/>
        </w:rPr>
        <w:t>Any one or more of the foregoing risks, if realized, could have a material adverse effect on our business, financial condition and results of operations.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rely on third parties to conduct clinical trials.</w:t>
      </w:r>
    </w:p>
    <w:p>
      <w:pPr>
        <w:ind w:left="620" w:right="2420"/>
        <w:spacing w:after="0" w:line="215" w:lineRule="auto"/>
        <w:rPr>
          <w:sz w:val="20"/>
          <w:szCs w:val="20"/>
          <w:color w:val="auto"/>
        </w:rPr>
      </w:pPr>
      <w:r>
        <w:rPr>
          <w:rFonts w:ascii="Times New Roman" w:cs="Times New Roman" w:eastAsia="Times New Roman" w:hAnsi="Times New Roman"/>
          <w:sz w:val="12"/>
          <w:szCs w:val="12"/>
          <w:color w:val="auto"/>
        </w:rPr>
        <w:t>We rely on third parties, such as CROs, to conduct clinical trials on product candidates we are developing. Our collaboration partners may similarly rely on such parties. The third parties with whom we and our collaboration partners contract for execution of our or their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clinical trials, we remain responsible for ensuring that each of our clinical trials is conducted in accordance with its investigational plan and protocol and in compliance with applicable regulations and standards, commonly referred to as GCPs.</w:t>
      </w:r>
    </w:p>
    <w:p>
      <w:pPr>
        <w:spacing w:after="0" w:line="1" w:lineRule="exact"/>
        <w:rPr>
          <w:sz w:val="20"/>
          <w:szCs w:val="20"/>
          <w:color w:val="auto"/>
        </w:rPr>
      </w:pPr>
    </w:p>
    <w:p>
      <w:pPr>
        <w:ind w:left="620" w:right="2440"/>
        <w:spacing w:after="0" w:line="223" w:lineRule="auto"/>
        <w:rPr>
          <w:sz w:val="20"/>
          <w:szCs w:val="20"/>
          <w:color w:val="auto"/>
        </w:rPr>
      </w:pPr>
      <w:r>
        <w:rPr>
          <w:rFonts w:ascii="Times New Roman" w:cs="Times New Roman" w:eastAsia="Times New Roman" w:hAnsi="Times New Roman"/>
          <w:sz w:val="12"/>
          <w:szCs w:val="12"/>
          <w:color w:val="auto"/>
        </w:rPr>
        <w:t>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This could be costly, and our clinical trials may need to be extended, delayed, terminated or repeated. We may not be able to obtain</w:t>
      </w:r>
    </w:p>
    <w:p>
      <w:pPr>
        <w:sectPr>
          <w:pgSz w:w="11900" w:h="16840" w:orient="portrait"/>
          <w:cols w:equalWidth="0" w:num="1">
            <w:col w:w="9020"/>
          </w:cols>
          <w:pgMar w:left="1440" w:top="1440" w:right="1440" w:bottom="32" w:gutter="0" w:footer="0" w:header="0"/>
        </w:sectPr>
      </w:pPr>
    </w:p>
    <w:bookmarkStart w:id="8" w:name="page9"/>
    <w:bookmarkEnd w:id="8"/>
    <w:p>
      <w:pPr>
        <w:ind w:left="620" w:right="2480"/>
        <w:spacing w:after="0" w:line="227" w:lineRule="auto"/>
        <w:rPr>
          <w:sz w:val="20"/>
          <w:szCs w:val="20"/>
          <w:color w:val="auto"/>
        </w:rPr>
      </w:pPr>
      <w:r>
        <w:rPr>
          <w:rFonts w:ascii="Times New Roman" w:cs="Times New Roman" w:eastAsia="Times New Roman" w:hAnsi="Times New Roman"/>
          <w:sz w:val="12"/>
          <w:szCs w:val="12"/>
          <w:color w:val="auto"/>
        </w:rPr>
        <w:t>regulatory approval in a timely fashion, or at all, for the applicable product candidate, or to commercialize such product candidate being tested in such trials.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rely on a limited number of third-party manufacturers for our product supply.</w:t>
      </w:r>
    </w:p>
    <w:p>
      <w:pPr>
        <w:spacing w:after="0" w:line="1"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To ultimately be successful, our antibody products must be manufactured in commercial quantities in compliance with regulatory requirements and at acceptable costs. J&amp;J is responsible for the manufacture of daratumumab, amivantamab, teclistamab and talquetamab. Novartis International AG (“</w:t>
      </w:r>
      <w:r>
        <w:rPr>
          <w:rFonts w:ascii="Times New Roman" w:cs="Times New Roman" w:eastAsia="Times New Roman" w:hAnsi="Times New Roman"/>
          <w:sz w:val="12"/>
          <w:szCs w:val="12"/>
          <w:b w:val="1"/>
          <w:bCs w:val="1"/>
          <w:color w:val="auto"/>
        </w:rPr>
        <w:t>Novartis</w:t>
      </w:r>
      <w:r>
        <w:rPr>
          <w:rFonts w:ascii="Times New Roman" w:cs="Times New Roman" w:eastAsia="Times New Roman" w:hAnsi="Times New Roman"/>
          <w:sz w:val="12"/>
          <w:szCs w:val="12"/>
          <w:color w:val="auto"/>
        </w:rPr>
        <w:t>”) is responsible for the manufacture of ofatumumab, Amgen Inc. (“</w:t>
      </w:r>
      <w:r>
        <w:rPr>
          <w:rFonts w:ascii="Times New Roman" w:cs="Times New Roman" w:eastAsia="Times New Roman" w:hAnsi="Times New Roman"/>
          <w:sz w:val="12"/>
          <w:szCs w:val="12"/>
          <w:b w:val="1"/>
          <w:bCs w:val="1"/>
          <w:color w:val="auto"/>
        </w:rPr>
        <w:t>Amgen</w:t>
      </w:r>
      <w:r>
        <w:rPr>
          <w:rFonts w:ascii="Times New Roman" w:cs="Times New Roman" w:eastAsia="Times New Roman" w:hAnsi="Times New Roman"/>
          <w:sz w:val="12"/>
          <w:szCs w:val="12"/>
          <w:color w:val="auto"/>
        </w:rPr>
        <w:t>”) is responsible for the manufacture of teprotumumab, AbbVie is responsible for the manufacturing of epcoritamab, and Pfizer Inc. (“</w:t>
      </w:r>
      <w:r>
        <w:rPr>
          <w:rFonts w:ascii="Times New Roman" w:cs="Times New Roman" w:eastAsia="Times New Roman" w:hAnsi="Times New Roman"/>
          <w:sz w:val="12"/>
          <w:szCs w:val="12"/>
          <w:b w:val="1"/>
          <w:bCs w:val="1"/>
          <w:color w:val="auto"/>
        </w:rPr>
        <w:t>Pfizer</w:t>
      </w:r>
      <w:r>
        <w:rPr>
          <w:rFonts w:ascii="Times New Roman" w:cs="Times New Roman" w:eastAsia="Times New Roman" w:hAnsi="Times New Roman"/>
          <w:sz w:val="12"/>
          <w:szCs w:val="12"/>
          <w:color w:val="auto"/>
        </w:rPr>
        <w:t>”) is responsible for the manufacturing of tisotumab vedotin.</w:t>
      </w:r>
    </w:p>
    <w:p>
      <w:pPr>
        <w:spacing w:after="0" w:line="1"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For the product candidates we are entirely responsible for manufacturing, we currently rely on a limited number of CMOs and specific sites at those CMOs to manufacture and supply our product candidates. We expect to negotiate contracts for commercial production on a product-by-product basis for products that we choose to commercialize on terms that make us responsible for manufacturing.</w:t>
      </w:r>
    </w:p>
    <w:p>
      <w:pPr>
        <w:ind w:left="620" w:right="2360"/>
        <w:spacing w:after="0" w:line="224" w:lineRule="auto"/>
        <w:rPr>
          <w:sz w:val="20"/>
          <w:szCs w:val="20"/>
          <w:color w:val="auto"/>
        </w:rPr>
      </w:pPr>
      <w:r>
        <w:rPr>
          <w:rFonts w:ascii="Times New Roman" w:cs="Times New Roman" w:eastAsia="Times New Roman" w:hAnsi="Times New Roman"/>
          <w:sz w:val="12"/>
          <w:szCs w:val="12"/>
          <w:color w:val="auto"/>
        </w:rPr>
        <w:t>There are a number of companies on a worldwide basis that operate manufacturing facilities in which our product candidates can be manufactured under GMP regulations. We cannot be certain that we will be able to contract with any of these companies on acceptable terms, if at all. New suppliers would also need to have sufficient rights under applicable intellectual property laws to the method of manufacturing such ingredients. In addition, significant cancellation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rPr>
          <w:sz w:val="20"/>
          <w:szCs w:val="20"/>
          <w:color w:val="auto"/>
        </w:rPr>
      </w:pPr>
      <w:r>
        <w:rPr>
          <w:rFonts w:ascii="Times New Roman" w:cs="Times New Roman" w:eastAsia="Times New Roman" w:hAnsi="Times New Roman"/>
          <w:sz w:val="12"/>
          <w:szCs w:val="12"/>
          <w:color w:val="auto"/>
        </w:rPr>
        <w:t>and the long lead times required for initial orders or to make any changes to existing orders, including changing the scale of production, limit our flexibility in connection with product development, clinical trials or commercial sales. For example, we may be required to order products for the second part of a clinical trial or for a proposed follow-on clinical trial before we have initial results from the trial, which could result in a loss if we terminate the trial or need to make changes to the product.</w:t>
      </w:r>
    </w:p>
    <w:p>
      <w:pPr>
        <w:spacing w:after="0" w:line="67" w:lineRule="exact"/>
        <w:rPr>
          <w:sz w:val="20"/>
          <w:szCs w:val="20"/>
          <w:color w:val="auto"/>
        </w:rPr>
      </w:pPr>
    </w:p>
    <w:p>
      <w:pPr>
        <w:ind w:left="620" w:right="2420"/>
        <w:spacing w:after="0"/>
        <w:rPr>
          <w:sz w:val="20"/>
          <w:szCs w:val="20"/>
          <w:color w:val="auto"/>
        </w:rPr>
      </w:pPr>
      <w:r>
        <w:rPr>
          <w:rFonts w:ascii="Times New Roman" w:cs="Times New Roman" w:eastAsia="Times New Roman" w:hAnsi="Times New Roman"/>
          <w:sz w:val="12"/>
          <w:szCs w:val="12"/>
          <w:color w:val="auto"/>
        </w:rPr>
        <w:t>We could also encounter difficulties, delays or inefficiencies in our supply chain, product manufacturing and distribution networks, as well as sales or marketing, due to regulatory actions, shut-downs, work stoppages or strikes, approval delays, withdrawals, recalls, penalties, supply disruptions, shortages or stock-outs at our facilities or third-party facilities that we rely on, reputational harm, the impact to our facilities due to health pandemics or natural or man-made disasters.</w:t>
      </w:r>
    </w:p>
    <w:p>
      <w:pPr>
        <w:spacing w:after="0" w:line="67"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Lastly, CMOs, especially those located in non- US countries, may be subject to or affected by various US legislation, executive orders, regulations, or investigations targeting certain development or economic activities involving those countries. The CMO we use for the manufacturing of Rina-S is based in China, and there have been recent political and economic tensions between China and the US. For example, the BIOSECURE Act enacted in December 2025 bans federal procurement or funding associated with “biotechnology companies of concern” and restricts use of their equipment and services in federal contracts, grants, and loans. The implementation of the act will be phased in over a period of years, and could severely restrict the ability of companies to work with certain Chinese biotechnology companies of concern without losing the ability to contract with, or otherwise receive funding from, the US government. If our CMO for Rina-S is affected by this legislation or any other action against Chinese companies and we are unable to secure alternative manufacturing capacity on a timely basis, this could delay our commercial launch of Rina-S. It could also increase costs, reduce the supply of available materials, delay procurement or clinical trials, hinder our ability to secure significant government commitments for potential therapies, and adversely affect our financial condition and business prospects.</w:t>
      </w:r>
    </w:p>
    <w:p>
      <w:pPr>
        <w:ind w:left="620"/>
        <w:spacing w:after="0" w:line="217" w:lineRule="auto"/>
        <w:rPr>
          <w:sz w:val="20"/>
          <w:szCs w:val="20"/>
          <w:color w:val="auto"/>
        </w:rPr>
      </w:pPr>
      <w:r>
        <w:rPr>
          <w:rFonts w:ascii="Times New Roman" w:cs="Times New Roman" w:eastAsia="Times New Roman" w:hAnsi="Times New Roman"/>
          <w:sz w:val="12"/>
          <w:szCs w:val="12"/>
          <w:b w:val="1"/>
          <w:bCs w:val="1"/>
          <w:i w:val="1"/>
          <w:iCs w:val="1"/>
          <w:color w:val="auto"/>
        </w:rPr>
        <w:t>We and our manufacturing partners must comply with applicable laws and regulations, including cGMPs.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In order to commercialize new pharmaceutical and biologic products, manufacturers must comply with the laws and regulations, including drug and biologic cGMPs, of the applicable governmental authorities. Compliance with cGMP regulations requires significant expertise and capital investment, including the development of advanced manufacturing techniques and process controls. Manufacturing facilities are also subject to pre-approval and ongoing periodic inspection by applicable governmental agencies, including unannounced inspections, and must be licensed before they can be used in commercial manufacturing of products employing our technology. The FDA, the European Medicines Agency (“</w:t>
      </w:r>
      <w:r>
        <w:rPr>
          <w:rFonts w:ascii="Times New Roman" w:cs="Times New Roman" w:eastAsia="Times New Roman" w:hAnsi="Times New Roman"/>
          <w:sz w:val="12"/>
          <w:szCs w:val="12"/>
          <w:b w:val="1"/>
          <w:bCs w:val="1"/>
          <w:color w:val="auto"/>
        </w:rPr>
        <w:t>EMA</w:t>
      </w:r>
      <w:r>
        <w:rPr>
          <w:rFonts w:ascii="Times New Roman" w:cs="Times New Roman" w:eastAsia="Times New Roman" w:hAnsi="Times New Roman"/>
          <w:sz w:val="12"/>
          <w:szCs w:val="12"/>
          <w:color w:val="auto"/>
        </w:rPr>
        <w:t>”) or similar regulatory agencies at any time may also implement new standards or change their interpretation and enforcement of existing standards for manufacturing, packaging or testing of products.</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Manufacturers of pharmaceutical and biologic products encounter difficulties in production, including difficulties with production yields, stability of the product candidate, quality control and assurance, shortages of qualified personnel, compliance with relevant regulations, production costs and development of advanced manufacturing techniques and process controls. If our manufacturer were to encounter any of these difficulties or otherwise fail to comply with its obligations to us or under applicable regulations, our ability to provide trial materials in our preclinical trials and clinical trials would be jeopardized. Any delay or interruption in the supply of preclinical trial or clinical trial materials could delay the completion of our preclinical trials and clinical trials, increase the costs associated with maintaining our preclinical trial and clinical trial programs and, depending upon the period of delay, require us to commence new trials at significant additional expense or terminate the trials completely.</w:t>
      </w:r>
    </w:p>
    <w:p>
      <w:pPr>
        <w:spacing w:after="0" w:line="1" w:lineRule="exact"/>
        <w:rPr>
          <w:sz w:val="20"/>
          <w:szCs w:val="20"/>
          <w:color w:val="auto"/>
        </w:rPr>
      </w:pPr>
    </w:p>
    <w:p>
      <w:pPr>
        <w:ind w:left="620" w:right="2280"/>
        <w:spacing w:after="0" w:line="219" w:lineRule="auto"/>
        <w:rPr>
          <w:sz w:val="20"/>
          <w:szCs w:val="20"/>
          <w:color w:val="auto"/>
        </w:rPr>
      </w:pPr>
      <w:r>
        <w:rPr>
          <w:rFonts w:ascii="Times New Roman" w:cs="Times New Roman" w:eastAsia="Times New Roman" w:hAnsi="Times New Roman"/>
          <w:sz w:val="12"/>
          <w:szCs w:val="12"/>
          <w:color w:val="auto"/>
        </w:rPr>
        <w:t>In addition, we lack direct control over our manufacturers’ compliance with these regulations and standards and manufacturers of our products and product candidates may be unable to comply with these cGMP requirements and with other regulatory requirements. The discovery of manufacturing, quality control or regulatory documentation problems or failure to maintain compliance with cGMP or other requirements after approval of a product may result in restrictions on the marketing of a product, revocation of the license, withdrawal of the product from the market, seizures, injunctions, fines or criminal sanctions. If the safety of any product supplied is compromised due to the manufacturers’ failure to adhere to applicable laws or for other reasons, we or our collaboration partners may not be able to continue clinical trials for our product candidates, obtain regulatory approval for or successfully commercialize our products, and we or our collaboration partners may be held liable for any injuries sustained as a result. Any of these factors could cause a delay in clinical trials, regulatory submissions, approvals or commercialization of our products and product candidates or entail higher costs or</w:t>
      </w:r>
    </w:p>
    <w:p>
      <w:pPr>
        <w:sectPr>
          <w:pgSz w:w="11900" w:h="16840" w:orient="portrait"/>
          <w:cols w:equalWidth="0" w:num="1">
            <w:col w:w="9020"/>
          </w:cols>
          <w:pgMar w:left="1440" w:top="559" w:right="1440"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2"/>
          <w:szCs w:val="12"/>
          <w:color w:val="auto"/>
        </w:rPr>
        <w:t>15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560"/>
        <w:spacing w:after="0" w:line="215" w:lineRule="auto"/>
        <w:rPr>
          <w:sz w:val="20"/>
          <w:szCs w:val="20"/>
          <w:color w:val="auto"/>
        </w:rPr>
      </w:pPr>
      <w:r>
        <w:rPr>
          <w:rFonts w:ascii="Times New Roman" w:cs="Times New Roman" w:eastAsia="Times New Roman" w:hAnsi="Times New Roman"/>
          <w:sz w:val="12"/>
          <w:szCs w:val="12"/>
          <w:color w:val="auto"/>
        </w:rPr>
        <w:t>impair our reputation. No assurance is given that third-party manufacturers will be able to comply adequately with the applicable regulations.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employees and collaboration partners may engage in misconduct or other improper activities.</w:t>
      </w:r>
    </w:p>
    <w:p>
      <w:pPr>
        <w:ind w:left="620"/>
        <w:spacing w:after="0" w:line="215" w:lineRule="auto"/>
        <w:rPr>
          <w:sz w:val="20"/>
          <w:szCs w:val="20"/>
          <w:color w:val="auto"/>
        </w:rPr>
      </w:pPr>
      <w:r>
        <w:rPr>
          <w:rFonts w:ascii="Times New Roman" w:cs="Times New Roman" w:eastAsia="Times New Roman" w:hAnsi="Times New Roman"/>
          <w:sz w:val="12"/>
          <w:szCs w:val="12"/>
          <w:color w:val="auto"/>
        </w:rPr>
        <w:t>We are exposed to the risk of fraud or other misconduct by our employees and collaboration partners. Misconduct by</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 xml:space="preserve">our collaboration partners, vendors or suppliers could include intentional failures to comply with legal requirements or the requirements of the FDA, the EMA and other comparable regulatory authorities; failure to provide accurate information to applicable government authorities; failure to comply with fraud and abuse and other healthcare laws and regulations in the US, the EU and other jurisdictions; failure to comply with the Foreign Corrupt Practices Act (“ </w:t>
      </w:r>
      <w:r>
        <w:rPr>
          <w:rFonts w:ascii="Times New Roman" w:cs="Times New Roman" w:eastAsia="Times New Roman" w:hAnsi="Times New Roman"/>
          <w:sz w:val="12"/>
          <w:szCs w:val="12"/>
          <w:b w:val="1"/>
          <w:bCs w:val="1"/>
          <w:color w:val="auto"/>
        </w:rPr>
        <w:t>FCPA</w:t>
      </w:r>
      <w:r>
        <w:rPr>
          <w:rFonts w:ascii="Times New Roman" w:cs="Times New Roman" w:eastAsia="Times New Roman" w:hAnsi="Times New Roman"/>
          <w:sz w:val="12"/>
          <w:szCs w:val="12"/>
          <w:color w:val="auto"/>
        </w:rPr>
        <w:t>”) and other applicable anti- bribery laws; failure to report financial information or data accurately; or failure to disclose unauthorized activities to us.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Our collaboration agreements include provisions regarding regulatory compliance, but it is not always possible to identify and deter misconduct, and the precautions we and our collaboration partners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Specifically, the FCPA prohibits companies and their intermediaries from making or offering improper payments to non-US officials for the purpose of obtaining or retaining business, and requires companies listed on a US stock exchange to maintain a system of adequate internal accounting controls and to make and keep books, records and accounts that accurately and fairly reflect transactions and dispositions of assets. Because of the predominance of government- sponsored health care systems around the world, many of our commercial relationships outside the US are with governmental entities, and personnel of such entities may be considered non-US government officials for purposes of the FCPA. Violations of the FCPA and other applicable anti-bribery laws are punishable by criminal fines and imprisonment, civil penalties, disgorgement of profits, injunctions and debarment from government contracts as well as other remedial measures. We have adopted a written code of business conduct, an anti- corruption, anti-bribery policy, and other policies and procedures to assist us and our personnel in complying with the FCPA and other applicable anti -bribery laws, but there can be no assurance that such policies will be effective in preventing or deterring violations of the FCPA, whether intentional or not. Our personnel and others acting on our behalf could take actions that violate these requirements, which could adversely affect our reputation, business, financial condition and results of operations.</w:t>
      </w:r>
    </w:p>
    <w:p>
      <w:pPr>
        <w:ind w:left="620"/>
        <w:spacing w:after="0" w:line="217" w:lineRule="auto"/>
        <w:rPr>
          <w:sz w:val="20"/>
          <w:szCs w:val="20"/>
          <w:color w:val="auto"/>
        </w:rPr>
      </w:pPr>
      <w:r>
        <w:rPr>
          <w:rFonts w:ascii="Times New Roman" w:cs="Times New Roman" w:eastAsia="Times New Roman" w:hAnsi="Times New Roman"/>
          <w:sz w:val="12"/>
          <w:szCs w:val="12"/>
          <w:b w:val="1"/>
          <w:bCs w:val="1"/>
          <w:color w:val="auto"/>
        </w:rPr>
        <w:t>Risks Related to Product Development</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Biopharmaceutical product development involves a substantial degree of uncertainty.</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Our product pipeline currently includes five proprietary products and product candidates in various stages of active clinical development (early clinical development, late clinical development). There are also ongoing clinical trials for daratumumab, amivantamab, teclistamab and talquetamab by J&amp;J, ofatumumab by Novartis and teprotumumab by Amgen, and additional product candidates being developed by our collaboration partners. Following the acquisition of Merus, we expect to commence additional studies and continue current ongoing studies for petosemtamab. Many of our current product candidates are in relatively early stages of development (preclinical proof of concept), and all of our product candidates will require significant further development, financial resources and personnel to obtain regulatory approval and develop them into commercially viable products, if at all.</w:t>
      </w:r>
    </w:p>
    <w:p>
      <w:pPr>
        <w:spacing w:after="0" w:line="1" w:lineRule="exact"/>
        <w:rPr>
          <w:sz w:val="20"/>
          <w:szCs w:val="20"/>
          <w:color w:val="auto"/>
        </w:rPr>
      </w:pPr>
    </w:p>
    <w:p>
      <w:pPr>
        <w:ind w:left="620" w:right="2300"/>
        <w:spacing w:after="0" w:line="220" w:lineRule="auto"/>
        <w:rPr>
          <w:sz w:val="20"/>
          <w:szCs w:val="20"/>
          <w:color w:val="auto"/>
        </w:rPr>
      </w:pPr>
      <w:r>
        <w:rPr>
          <w:rFonts w:ascii="Times New Roman" w:cs="Times New Roman" w:eastAsia="Times New Roman" w:hAnsi="Times New Roman"/>
          <w:sz w:val="12"/>
          <w:szCs w:val="12"/>
          <w:color w:val="auto"/>
        </w:rPr>
        <w:t>Due to the uncertain, time- consuming and costly clinical development and regulatory approval process, we or our collaboration partners may not successfully develop any of our product candidates, or we or our collaboration partners may choose to discontinue the development or co-development of product candidates for a variety of reasons, including due to safety, risk versus benefit profile, exclusivity, competitive landscape, commercialization potential, production limitations or prioritization of our or our collaboration partners’ resources. In addition, our research programs may initially show promise in identifying potential product candidates yet fail to yield product candidates suitable for clinical development or commercialization. Likewise, we and our collaboration partners have to make decisions about which clinical stage and preclinical product candidates to develop and advance. We may not have the resources to invest in all of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product candidates, or clinical data and other development considerations may not support the advancement of one or more product candidates. Decision-making about which product candidates to prioritize involves inherent uncertainty, and our and our collaboration partners’ development program decision-making and resource prioritization decisions may not improve our results of operations or future growth prospects.</w:t>
      </w:r>
    </w:p>
    <w:p>
      <w:pPr>
        <w:ind w:left="620" w:right="2280"/>
        <w:spacing w:after="0"/>
        <w:rPr>
          <w:sz w:val="20"/>
          <w:szCs w:val="20"/>
          <w:color w:val="auto"/>
        </w:rPr>
      </w:pPr>
      <w:r>
        <w:rPr>
          <w:rFonts w:ascii="Times New Roman" w:cs="Times New Roman" w:eastAsia="Times New Roman" w:hAnsi="Times New Roman"/>
          <w:sz w:val="12"/>
          <w:szCs w:val="12"/>
          <w:color w:val="auto"/>
        </w:rPr>
        <w:t>Many of our proprietary and partnered product candidates are created with, and dependent upon, our proprietary technologies, and some of them also incorporate technologies of our partners or other third parties. Any failures or setbacks with respect to our proprietary technologies or Pfizer’s anti-body drug conjugate ("</w:t>
      </w:r>
      <w:r>
        <w:rPr>
          <w:rFonts w:ascii="Times New Roman" w:cs="Times New Roman" w:eastAsia="Times New Roman" w:hAnsi="Times New Roman"/>
          <w:sz w:val="12"/>
          <w:szCs w:val="12"/>
          <w:b w:val="1"/>
          <w:bCs w:val="1"/>
          <w:color w:val="auto"/>
        </w:rPr>
        <w:t>ADC</w:t>
      </w:r>
      <w:r>
        <w:rPr>
          <w:rFonts w:ascii="Times New Roman" w:cs="Times New Roman" w:eastAsia="Times New Roman" w:hAnsi="Times New Roman"/>
          <w:sz w:val="12"/>
          <w:szCs w:val="12"/>
          <w:color w:val="auto"/>
        </w:rPr>
        <w:t>") development programs, including adverse effects resulting from the use of these technologies in human clinical trials and/or the imposition of clinical holds on trials of any product candidates using our proprietary technologies, could have a detrimental impact on our clinical pipeline.</w:t>
      </w:r>
    </w:p>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Additionally, with the exception of acasunlimab, for which we discontinued clinical development in December 2025</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and rinatabart sesutecan (“</w:t>
      </w:r>
      <w:r>
        <w:rPr>
          <w:rFonts w:ascii="Times New Roman" w:cs="Times New Roman" w:eastAsia="Times New Roman" w:hAnsi="Times New Roman"/>
          <w:sz w:val="12"/>
          <w:szCs w:val="12"/>
          <w:b w:val="1"/>
          <w:bCs w:val="1"/>
          <w:color w:val="auto"/>
        </w:rPr>
        <w:t>Rina-S</w:t>
      </w:r>
      <w:r>
        <w:rPr>
          <w:rFonts w:ascii="Times New Roman" w:cs="Times New Roman" w:eastAsia="Times New Roman" w:hAnsi="Times New Roman"/>
          <w:sz w:val="12"/>
          <w:szCs w:val="12"/>
          <w:color w:val="auto"/>
        </w:rPr>
        <w:t>”), we have not ourselves, or in collaboration, advanced any product candidates through late-stage clinical development. If we are unable to continue to develop late-stage development capabilities, we will be required to continue to contract with third parties via licensing and development agreements to complete the development of our proprietary product candidates, which we may not be able to do on a timely basis, on terms favorable to us, or at all, and the development of our proprietary product candidates could be delayed or terminated. Our failure to effectively advance our development programs could have a material adverse effect on our business, financial condition, results of operations and future growth prospects.</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Furthermore, we may have to develop companion diagnostics to select the patient population that could benefit from the relevant treatment, both during our clinical trials and in connection with the commercialization of our product candidates, which are subject to regulation by the FDA, the EMA, and comparable foreign regulatory authorities as companion diagnostic medical devices, and typically require separate regulatory approval prior to commercial use. Any delay or failure by us or our collaboration partners to obtain regulatory approval of companion diagnostics could harm our development strategy and/or delay or prevent approval of our product candidates, which may adversely affect our business, financial condition and results of operations.</w:t>
      </w:r>
    </w:p>
    <w:p>
      <w:pPr>
        <w:spacing w:after="0" w:line="1" w:lineRule="exact"/>
        <w:rPr>
          <w:sz w:val="20"/>
          <w:szCs w:val="20"/>
          <w:color w:val="auto"/>
        </w:rPr>
      </w:pPr>
    </w:p>
    <w:p>
      <w:pPr>
        <w:ind w:left="620" w:right="25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product candidates will need to undergo clinical trials that are time-consuming and expensive, the outcomes of which are unpredictable, and for which there is a high risk of failure.</w:t>
      </w:r>
    </w:p>
    <w:p>
      <w:pPr>
        <w:ind w:left="620" w:right="2280"/>
        <w:spacing w:after="0" w:line="219" w:lineRule="auto"/>
        <w:rPr>
          <w:sz w:val="20"/>
          <w:szCs w:val="20"/>
          <w:color w:val="auto"/>
        </w:rPr>
      </w:pPr>
      <w:r>
        <w:rPr>
          <w:rFonts w:ascii="Times New Roman" w:cs="Times New Roman" w:eastAsia="Times New Roman" w:hAnsi="Times New Roman"/>
          <w:sz w:val="12"/>
          <w:szCs w:val="12"/>
          <w:color w:val="auto"/>
        </w:rPr>
        <w:t>The FDA, EMA, and comparable regulatory authorities in other jurisdictions must approve new product candidates before they can be marketed, promoted or sold in those territories. We or our collaboration partners must provide these regulatory authorities with data from preclinical and clinical trials that demonstrate that our product candidates are safe and effective for a specific indication before they can be approved for commercial distribution. We cannot be certain that our or our collaboration partners’ preclinical or clinical trials for our product candidates will be successful or that any of our other proprietary or partnered product candidates will receive approval from the FDA, the EMA or any other regulatory authority. In addition, certain other third parties make decisions about products or product candidates based on results of clinical trials, including determinations relating to pricing, access or reimbursement of approved products or validations or endorsements of treatment options. Such third parties may require additional data or trials for their determinations. Preclinical trials and clinical trials are long, expensive and unpredictable processes that can be subject to extensive</w:t>
      </w:r>
    </w:p>
    <w:p>
      <w:pPr>
        <w:sectPr>
          <w:pgSz w:w="11900" w:h="16840" w:orient="portrait"/>
          <w:cols w:equalWidth="0" w:num="1">
            <w:col w:w="9020"/>
          </w:cols>
          <w:pgMar w:left="1440" w:top="1254" w:right="1440" w:bottom="14"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2"/>
          <w:szCs w:val="12"/>
          <w:color w:val="auto"/>
        </w:rPr>
        <w:t>delays or failure.</w:t>
      </w:r>
    </w:p>
    <w:p>
      <w:pPr>
        <w:ind w:left="620"/>
        <w:spacing w:after="0" w:line="215" w:lineRule="auto"/>
        <w:rPr>
          <w:sz w:val="20"/>
          <w:szCs w:val="20"/>
          <w:color w:val="auto"/>
        </w:rPr>
      </w:pPr>
      <w:r>
        <w:rPr>
          <w:rFonts w:ascii="Times New Roman" w:cs="Times New Roman" w:eastAsia="Times New Roman" w:hAnsi="Times New Roman"/>
          <w:sz w:val="12"/>
          <w:szCs w:val="12"/>
          <w:color w:val="auto"/>
        </w:rPr>
        <w:t>We may be required to revise our development plans and extend dose exploration as a result of FDA’s Project</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Optimus, which requires the implementation of strategies for dose finding and dose optimization that leverage preclinical and clinical data in dose selection, including randomized evaluations of a range of doses in clinical trials. In support of this initiative, the FDA may request sponsors of oncology product candidates to conduct dose optimization studies pre- or post-approval.</w:t>
      </w:r>
    </w:p>
    <w:p>
      <w:pPr>
        <w:ind w:left="620" w:right="2360"/>
        <w:spacing w:after="0" w:line="221" w:lineRule="auto"/>
        <w:rPr>
          <w:sz w:val="20"/>
          <w:szCs w:val="20"/>
          <w:color w:val="auto"/>
        </w:rPr>
      </w:pPr>
      <w:r>
        <w:rPr>
          <w:rFonts w:ascii="Times New Roman" w:cs="Times New Roman" w:eastAsia="Times New Roman" w:hAnsi="Times New Roman"/>
          <w:sz w:val="12"/>
          <w:szCs w:val="12"/>
          <w:color w:val="auto"/>
        </w:rPr>
        <w:t xml:space="preserve">It may take several years and require significant expenditures to complete the preclinical and clinical trials necessary to commercialize a product candidate, and delays or failures are inherently unpredictable and can occur at any stage. Even if we or our collaboration partners obtain positive results from preclinical or early clinical trials, we or they may not achieve the same success in subsequent trials. In particular, the results of preclinical trials are based on animal,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or other laboratory testing and may not be predictive of the safety or efficacy of our product candidates in humans. Similarly, topline or interim results of clinical trials do not necessarily predict final results. A number of companies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pharmaceutical, biopharmaceutical and biotechnology industries have suffered significant setbacks in advanced clinical trials even after obtaining promising results in earlier trials, and we cannot be certain that we or our collaboration partners will not face similar setbacks. If topline or interim data that we or our collaboration partners report differ from final results, or if others, including regulatory authorities, disagree with our assumptions, calculations, conclusions, or analyses or interpret or weigh the data differently, or if subsequent trials are unsuccessful, we or our collaboration partners may be unable to obtain marketing approval for product candidates on a timely basis or at all, which could impact our reputation, business, financial condition, results of operations and future growth prospects.</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Furthermore, the design of a clinical trial can determine whether its results will support approval of a product, and flaws in the design of a clinical trial may not become apparent until the clinical trial is well advanced or completed. The failure of clinical trials to demonstrate safety and efficacy for our or our collaboration partners' desired indications could harm the development of the relevant product candidate as well as other product candidates employing the same technology, which could have a significant impact on our product pipeline and future growth prospects. An unfavorable outcome in one or more trials would be a major setback for our product candidates and for us and may require us or our collaboration partners to delay, reduce the scope of or eliminate one or more product development programs, which could have a material adverse effect on our business, financial position, results of operations and future growth prospects. Any delays in product development may allow our competitors to bring products to market before we or our collaboration partners do or shorten any periods during which we or our collaboration partners have the exclusive right to commercialize our product candidates. In addition, advancements or changes in the industry standards or techniques may impact the value and recognition of our and our collaboration partners’ clinical data. Failure to adopt new industry standards may result in less comparable or useful trial results. Alternately, early adoption of emerging protocols or endpoints may result in data that is not recognized by certain regulatory bodies or industry professionals, or if such protocols are later found to be ineffective, may require us or our collaboration partners to change the design of our clinical trials.</w:t>
      </w:r>
    </w:p>
    <w:p>
      <w:pPr>
        <w:spacing w:after="0" w:line="2" w:lineRule="exact"/>
        <w:rPr>
          <w:sz w:val="20"/>
          <w:szCs w:val="20"/>
          <w:color w:val="auto"/>
        </w:rPr>
      </w:pPr>
    </w:p>
    <w:p>
      <w:pPr>
        <w:jc w:val="both"/>
        <w:ind w:left="620" w:right="3120"/>
        <w:spacing w:after="0" w:line="215" w:lineRule="auto"/>
        <w:rPr>
          <w:sz w:val="20"/>
          <w:szCs w:val="20"/>
          <w:color w:val="auto"/>
        </w:rPr>
      </w:pPr>
      <w:r>
        <w:rPr>
          <w:rFonts w:ascii="Times New Roman" w:cs="Times New Roman" w:eastAsia="Times New Roman" w:hAnsi="Times New Roman"/>
          <w:sz w:val="12"/>
          <w:szCs w:val="12"/>
          <w:color w:val="auto"/>
        </w:rPr>
        <w:t xml:space="preserve">In connection with clinical trials of our product candidates, we face a number of risks, including risks that: </w:t>
      </w:r>
      <w:r>
        <w:rPr>
          <w:rFonts w:ascii="Times New Roman" w:cs="Times New Roman" w:eastAsia="Times New Roman" w:hAnsi="Times New Roman"/>
          <w:sz w:val="12"/>
          <w:szCs w:val="12"/>
          <w:color w:val="231F20"/>
        </w:rPr>
        <w:t>•we or our collaboration partners may be unable to manufacture or obtain sufficient quantities of qualified materials for clinical trials or may be required to modify manufacturing processes;</w:t>
      </w:r>
    </w:p>
    <w:p>
      <w:pPr>
        <w:ind w:left="620" w:right="2960"/>
        <w:spacing w:after="0" w:line="215" w:lineRule="auto"/>
        <w:rPr>
          <w:sz w:val="20"/>
          <w:szCs w:val="20"/>
          <w:color w:val="auto"/>
        </w:rPr>
      </w:pPr>
      <w:r>
        <w:rPr>
          <w:rFonts w:ascii="Times New Roman" w:cs="Times New Roman" w:eastAsia="Times New Roman" w:hAnsi="Times New Roman"/>
          <w:sz w:val="12"/>
          <w:szCs w:val="12"/>
          <w:color w:val="231F20"/>
        </w:rPr>
        <w:t>•patient recruitment may be slower than expected and we may have difficulty accessing potential clinical trial sites;</w:t>
      </w:r>
    </w:p>
    <w:p>
      <w:pPr>
        <w:ind w:left="620" w:right="3260"/>
        <w:spacing w:after="0" w:line="215" w:lineRule="auto"/>
        <w:rPr>
          <w:sz w:val="20"/>
          <w:szCs w:val="20"/>
          <w:color w:val="auto"/>
        </w:rPr>
      </w:pPr>
      <w:r>
        <w:rPr>
          <w:rFonts w:ascii="Times New Roman" w:cs="Times New Roman" w:eastAsia="Times New Roman" w:hAnsi="Times New Roman"/>
          <w:sz w:val="12"/>
          <w:szCs w:val="12"/>
          <w:color w:val="231F20"/>
        </w:rPr>
        <w:t>•a product candidate may be ineffective, inferior to existing approved products for the same indications, unacceptably toxic or have unacceptable side effects;</w:t>
      </w:r>
    </w:p>
    <w:p>
      <w:pPr>
        <w:ind w:left="620" w:right="3200"/>
        <w:spacing w:after="0" w:line="215" w:lineRule="auto"/>
        <w:rPr>
          <w:sz w:val="20"/>
          <w:szCs w:val="20"/>
          <w:color w:val="auto"/>
        </w:rPr>
      </w:pPr>
      <w:r>
        <w:rPr>
          <w:rFonts w:ascii="Times New Roman" w:cs="Times New Roman" w:eastAsia="Times New Roman" w:hAnsi="Times New Roman"/>
          <w:sz w:val="12"/>
          <w:szCs w:val="12"/>
          <w:color w:val="231F20"/>
        </w:rPr>
        <w:t>•patients may die or suffer other adverse effects for reasons that may or may not be related to the product candidate being tested;</w:t>
      </w:r>
    </w:p>
    <w:p>
      <w:pPr>
        <w:ind w:left="620" w:right="3000"/>
        <w:spacing w:after="0" w:line="215" w:lineRule="auto"/>
        <w:rPr>
          <w:sz w:val="20"/>
          <w:szCs w:val="20"/>
          <w:color w:val="auto"/>
        </w:rPr>
      </w:pPr>
      <w:r>
        <w:rPr>
          <w:rFonts w:ascii="Times New Roman" w:cs="Times New Roman" w:eastAsia="Times New Roman" w:hAnsi="Times New Roman"/>
          <w:sz w:val="12"/>
          <w:szCs w:val="12"/>
          <w:color w:val="231F20"/>
        </w:rPr>
        <w:t>•a clinical trial may be delayed, suspended or terminated by the Institutional Review Board (“</w:t>
      </w:r>
      <w:r>
        <w:rPr>
          <w:rFonts w:ascii="Times New Roman" w:cs="Times New Roman" w:eastAsia="Times New Roman" w:hAnsi="Times New Roman"/>
          <w:sz w:val="12"/>
          <w:szCs w:val="12"/>
          <w:b w:val="1"/>
          <w:bCs w:val="1"/>
          <w:color w:val="231F20"/>
        </w:rPr>
        <w:t>IRB</w:t>
      </w:r>
      <w:r>
        <w:rPr>
          <w:rFonts w:ascii="Times New Roman" w:cs="Times New Roman" w:eastAsia="Times New Roman" w:hAnsi="Times New Roman"/>
          <w:sz w:val="12"/>
          <w:szCs w:val="12"/>
          <w:color w:val="231F20"/>
        </w:rPr>
        <w:t>”) or ethics committee responsible for overseeing the clinical trial, by regulatory authorities or by us or our collaboration partners due to failure to meet clinical protocols, safety issues or adverse effects, failure to demonstrate product efficacy, changes in clinical protocols, may require additional dose finding and/or dose optimization, or applicable regulatory requirements, lack of funding or other factors;</w:t>
      </w:r>
    </w:p>
    <w:p>
      <w:pPr>
        <w:spacing w:after="0" w:line="1" w:lineRule="exact"/>
        <w:rPr>
          <w:sz w:val="20"/>
          <w:szCs w:val="20"/>
          <w:color w:val="auto"/>
        </w:rPr>
      </w:pPr>
    </w:p>
    <w:p>
      <w:pPr>
        <w:ind w:left="620" w:right="3060"/>
        <w:spacing w:after="0" w:line="215" w:lineRule="auto"/>
        <w:rPr>
          <w:sz w:val="20"/>
          <w:szCs w:val="20"/>
          <w:color w:val="auto"/>
        </w:rPr>
      </w:pPr>
      <w:r>
        <w:rPr>
          <w:rFonts w:ascii="Times New Roman" w:cs="Times New Roman" w:eastAsia="Times New Roman" w:hAnsi="Times New Roman"/>
          <w:sz w:val="12"/>
          <w:szCs w:val="12"/>
          <w:color w:val="231F20"/>
        </w:rPr>
        <w:t>•investigators or other third parties could conduct clinical trials on our products or product candidates that could lead to adverse events or results that could negatively impact the development, regulatory approval or marketability of such products;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•extension trials on long-term tolerance could invalidate the use of our product;</w:t>
      </w:r>
    </w:p>
    <w:p>
      <w:pPr>
        <w:ind w:left="620" w:right="3020"/>
        <w:spacing w:after="0" w:line="215" w:lineRule="auto"/>
        <w:rPr>
          <w:sz w:val="20"/>
          <w:szCs w:val="20"/>
          <w:color w:val="auto"/>
        </w:rPr>
      </w:pPr>
      <w:r>
        <w:rPr>
          <w:rFonts w:ascii="Times New Roman" w:cs="Times New Roman" w:eastAsia="Times New Roman" w:hAnsi="Times New Roman"/>
          <w:sz w:val="12"/>
          <w:szCs w:val="12"/>
          <w:color w:val="231F20"/>
        </w:rPr>
        <w:t>•clinical trials may not demonstrate statistically sufficient levels of safety and efficacy to obtain the requisite regulatory approvals;</w:t>
      </w:r>
    </w:p>
    <w:p>
      <w:pPr>
        <w:ind w:left="620" w:right="3020"/>
        <w:spacing w:after="0" w:line="215" w:lineRule="auto"/>
        <w:rPr>
          <w:sz w:val="20"/>
          <w:szCs w:val="20"/>
          <w:color w:val="auto"/>
        </w:rPr>
      </w:pPr>
      <w:r>
        <w:rPr>
          <w:rFonts w:ascii="Times New Roman" w:cs="Times New Roman" w:eastAsia="Times New Roman" w:hAnsi="Times New Roman"/>
          <w:sz w:val="12"/>
          <w:szCs w:val="12"/>
          <w:color w:val="231F20"/>
        </w:rPr>
        <w:t>•even if data is sufficient for regulatory approval, it may not be sufficient to secure pricing reimbursement or to secure validation of our products by key industry players, which could delay or prevent the commercial launch of a product; and</w:t>
      </w:r>
    </w:p>
    <w:p>
      <w:pPr>
        <w:ind w:left="6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our collaboration partners or CROs may be unable or unwilling to perform under their contracts.</w:t>
      </w:r>
    </w:p>
    <w:p>
      <w:pPr>
        <w:sectPr>
          <w:pgSz w:w="11900" w:h="16840" w:orient="portrait"/>
          <w:cols w:equalWidth="0" w:num="1">
            <w:col w:w="9020"/>
          </w:cols>
          <w:pgMar w:left="1440" w:top="559"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18</w:t>
      </w:r>
    </w:p>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sectPr>
          <w:pgSz w:w="11900" w:h="16840" w:orient="portrait"/>
          <w:cols w:equalWidth="0" w:num="1">
            <w:col w:w="9020"/>
          </w:cols>
          <w:pgMar w:left="1440" w:top="559" w:right="1440" w:bottom="12" w:gutter="0" w:footer="0" w:header="0"/>
          <w:type w:val="continuous"/>
        </w:sectPr>
      </w:pPr>
    </w:p>
    <w:bookmarkStart w:id="11" w:name="page12"/>
    <w:bookmarkEnd w:id="11"/>
    <w:p>
      <w:pPr>
        <w:ind w:left="620" w:right="2620"/>
        <w:spacing w:after="0" w:line="229" w:lineRule="auto"/>
        <w:rPr>
          <w:sz w:val="20"/>
          <w:szCs w:val="20"/>
          <w:color w:val="auto"/>
        </w:rPr>
      </w:pPr>
      <w:r>
        <w:rPr>
          <w:rFonts w:ascii="Times New Roman" w:cs="Times New Roman" w:eastAsia="Times New Roman" w:hAnsi="Times New Roman"/>
          <w:sz w:val="12"/>
          <w:szCs w:val="12"/>
          <w:b w:val="1"/>
          <w:bCs w:val="1"/>
          <w:i w:val="1"/>
          <w:iCs w:val="1"/>
          <w:color w:val="auto"/>
        </w:rPr>
        <w:t>The FDA may not accept data from trials we or our collaboration partners conduct outside the US or may require additional US- based trials as a condition of regulatory approval.</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We and our collaboration partners have conducted, currently are conducting and intend in the future to conduct clinical trials outside the US, including in the EU where we are headquartered. Although the FDA may accept data from clinical trials conducted outside the US, acceptance of this data is subject to certain conditions imposed by the FDA, including with respect to compliance with GCPs and applicability of the data to the US population and US medical practice in ways that the FDA deems clinically meaningful. If the FDA does not accept the data from any clinical trials that we or our collaboration partners conduct outside the US, it would likely result in the need for additional clinical trials, which would be costly and time-consuming and delay or permanently halt our ability to develop and market these product candidates for the proposed indications in the US. In other jurisdictions, for instance, in Japan, there is a similar risk regarding the acceptability of clinical trial data conducted outside of that jurisdiction.</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We or our collaboration partners may encounter difficulties enrolling patients in our clinical trials.</w:t>
      </w:r>
    </w:p>
    <w:p>
      <w:pPr>
        <w:ind w:left="620"/>
        <w:spacing w:after="0" w:line="216" w:lineRule="auto"/>
        <w:rPr>
          <w:sz w:val="20"/>
          <w:szCs w:val="20"/>
          <w:color w:val="auto"/>
        </w:rPr>
      </w:pPr>
      <w:r>
        <w:rPr>
          <w:rFonts w:ascii="Times New Roman" w:cs="Times New Roman" w:eastAsia="Times New Roman" w:hAnsi="Times New Roman"/>
          <w:sz w:val="12"/>
          <w:szCs w:val="12"/>
          <w:color w:val="auto"/>
        </w:rPr>
        <w:t>The timely completion of clinical trials in accordance with their protocols depends, among other things, on our ability</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to enroll a sufficient number of patients who remain in the trial until its conclusion. We or our collaboration partners may experience difficulties in patient enrollment in our clinical trials for a variety of reasons, including:</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•the size and nature of the patient population;</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•the patient eligibility criteria defined in the protocol;</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•the size of the trial population required for analysis of the trial’s primary endpoints;</w:t>
      </w:r>
    </w:p>
    <w:p>
      <w:pPr>
        <w:ind w:left="620"/>
        <w:spacing w:after="0" w:line="216" w:lineRule="auto"/>
        <w:rPr>
          <w:sz w:val="20"/>
          <w:szCs w:val="20"/>
          <w:color w:val="auto"/>
        </w:rPr>
      </w:pPr>
      <w:r>
        <w:rPr>
          <w:rFonts w:ascii="Times New Roman" w:cs="Times New Roman" w:eastAsia="Times New Roman" w:hAnsi="Times New Roman"/>
          <w:sz w:val="12"/>
          <w:szCs w:val="12"/>
          <w:color w:val="231F20"/>
        </w:rPr>
        <w:t>•the proximity of patients to trial sites;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•the design of the trial;</w:t>
      </w:r>
    </w:p>
    <w:p>
      <w:pPr>
        <w:ind w:left="620" w:right="3000"/>
        <w:spacing w:after="0" w:line="215" w:lineRule="auto"/>
        <w:rPr>
          <w:sz w:val="20"/>
          <w:szCs w:val="20"/>
          <w:color w:val="auto"/>
        </w:rPr>
      </w:pPr>
      <w:r>
        <w:rPr>
          <w:rFonts w:ascii="Times New Roman" w:cs="Times New Roman" w:eastAsia="Times New Roman" w:hAnsi="Times New Roman"/>
          <w:sz w:val="12"/>
          <w:szCs w:val="12"/>
          <w:color w:val="231F20"/>
        </w:rPr>
        <w:t>•our ability to recruit clinical trial investigators with the appropriate competencies and experience; •competing clinical trials for similar therapies or other new therapeutics not involving our product candidates and/or related technologies;</w:t>
      </w:r>
    </w:p>
    <w:p>
      <w:pPr>
        <w:ind w:left="620" w:right="3040"/>
        <w:spacing w:after="0" w:line="215" w:lineRule="auto"/>
        <w:rPr>
          <w:sz w:val="20"/>
          <w:szCs w:val="20"/>
          <w:color w:val="auto"/>
        </w:rPr>
      </w:pPr>
      <w:r>
        <w:rPr>
          <w:rFonts w:ascii="Times New Roman" w:cs="Times New Roman" w:eastAsia="Times New Roman" w:hAnsi="Times New Roman"/>
          <w:sz w:val="12"/>
          <w:szCs w:val="12"/>
          <w:color w:val="231F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620"/>
        <w:spacing w:after="0" w:line="215" w:lineRule="auto"/>
        <w:rPr>
          <w:sz w:val="20"/>
          <w:szCs w:val="20"/>
          <w:color w:val="auto"/>
        </w:rPr>
      </w:pPr>
      <w:r>
        <w:rPr>
          <w:rFonts w:ascii="Times New Roman" w:cs="Times New Roman" w:eastAsia="Times New Roman" w:hAnsi="Times New Roman"/>
          <w:sz w:val="12"/>
          <w:szCs w:val="12"/>
          <w:color w:val="231F20"/>
        </w:rPr>
        <w:t>•our ability to obtain and maintain patient consents; and</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•the risk that patients enrolled in clinical trials will not complete a clinical trial.</w:t>
      </w:r>
    </w:p>
    <w:p>
      <w:pPr>
        <w:ind w:left="620"/>
        <w:spacing w:after="0" w:line="216" w:lineRule="auto"/>
        <w:rPr>
          <w:sz w:val="20"/>
          <w:szCs w:val="20"/>
          <w:color w:val="auto"/>
        </w:rPr>
      </w:pPr>
      <w:r>
        <w:rPr>
          <w:rFonts w:ascii="Times New Roman" w:cs="Times New Roman" w:eastAsia="Times New Roman" w:hAnsi="Times New Roman"/>
          <w:sz w:val="12"/>
          <w:szCs w:val="12"/>
          <w:color w:val="auto"/>
        </w:rPr>
        <w:t>In addition, our and our collaboration partners’ clinical trials will compete with other clinical trials for product</w:t>
      </w:r>
    </w:p>
    <w:p>
      <w:pPr>
        <w:ind w:left="620" w:right="2260"/>
        <w:spacing w:after="0" w:line="215" w:lineRule="auto"/>
        <w:rPr>
          <w:sz w:val="20"/>
          <w:szCs w:val="20"/>
          <w:color w:val="auto"/>
        </w:rPr>
      </w:pPr>
      <w:r>
        <w:rPr>
          <w:rFonts w:ascii="Times New Roman" w:cs="Times New Roman" w:eastAsia="Times New Roman" w:hAnsi="Times New Roman"/>
          <w:sz w:val="12"/>
          <w:szCs w:val="12"/>
          <w:color w:val="auto"/>
        </w:rPr>
        <w:t>candidates that are in the same therapeutic areas as our product candidates, and this competition will reduce the number and types of patients available for our and our collaboration partners’ clinical trials. We expect that we and our collaboration partners will conduct some of our clinical trials at the same clinical trial sites that some of our competitors use, which will reduce the number of patients who are available for our and our collaboration partners’ clinical trials at such clinical trial sites. Moreover, because our product candidates may represent a departure from more commonly used methods for cancer treatment, potential patients and their doctors may be inclined to only use conventional therapies, such as chemotherapy and radiation, rather than enroll patients in any future clinical trial.</w:t>
      </w:r>
    </w:p>
    <w:p>
      <w:pPr>
        <w:ind w:left="620"/>
        <w:spacing w:after="0" w:line="216" w:lineRule="auto"/>
        <w:rPr>
          <w:sz w:val="20"/>
          <w:szCs w:val="20"/>
          <w:color w:val="auto"/>
        </w:rPr>
      </w:pPr>
      <w:r>
        <w:rPr>
          <w:rFonts w:ascii="Times New Roman" w:cs="Times New Roman" w:eastAsia="Times New Roman" w:hAnsi="Times New Roman"/>
          <w:sz w:val="12"/>
          <w:szCs w:val="12"/>
          <w:color w:val="auto"/>
        </w:rPr>
        <w:t>Even if we and our collaboration partners are able to enroll a sufficient number of patients in our clinical trials, delays</w:t>
      </w:r>
    </w:p>
    <w:p>
      <w:pPr>
        <w:ind w:left="620" w:right="2320"/>
        <w:spacing w:after="0" w:line="228" w:lineRule="auto"/>
        <w:rPr>
          <w:sz w:val="20"/>
          <w:szCs w:val="20"/>
          <w:color w:val="auto"/>
        </w:rPr>
      </w:pPr>
      <w:r>
        <w:rPr>
          <w:rFonts w:ascii="Times New Roman" w:cs="Times New Roman" w:eastAsia="Times New Roman" w:hAnsi="Times New Roman"/>
          <w:sz w:val="12"/>
          <w:szCs w:val="12"/>
          <w:color w:val="auto"/>
        </w:rPr>
        <w:t>in patient enrollment may result in increased costs or may affect the timing or outcome of the planned clinical trials, which could prevent completion of these trials and adversely affect our and our collaboration partners’ ability to advance the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4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Any approval granted for our products or product candidates in the US does not assure approval of such products in Japan, the EU or other foreign jurisdictions.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In order to market and sell our drugs in Japan, the EU and other jurisdictions, we and our collaboration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many countries outside the US require that the drug be approved for reimbursement before the drug can be approved for sale in that country. We and our collaboration partners may not obtain approvals from regulatory authorities outside the US on a timely basis, if at all. Approval by the FDA does not ensure approval by regulatory authorities in other countries or jurisdictions, and approval by one regulatory authority outside of the US does not ensure approval by regulatory authorities in other countries or jurisdictions or by the FDA.</w:t>
      </w:r>
    </w:p>
    <w:p>
      <w:pPr>
        <w:spacing w:after="0" w:line="1" w:lineRule="exact"/>
        <w:rPr>
          <w:sz w:val="20"/>
          <w:szCs w:val="20"/>
          <w:color w:val="auto"/>
        </w:rPr>
      </w:pPr>
    </w:p>
    <w:p>
      <w:pPr>
        <w:ind w:left="620" w:right="2280"/>
        <w:spacing w:after="0" w:line="234" w:lineRule="auto"/>
        <w:rPr>
          <w:sz w:val="20"/>
          <w:szCs w:val="20"/>
          <w:color w:val="auto"/>
        </w:rPr>
      </w:pPr>
      <w:r>
        <w:rPr>
          <w:rFonts w:ascii="Times New Roman" w:cs="Times New Roman" w:eastAsia="Times New Roman" w:hAnsi="Times New Roman"/>
          <w:sz w:val="12"/>
          <w:szCs w:val="12"/>
          <w:b w:val="1"/>
          <w:bCs w:val="1"/>
          <w:i w:val="1"/>
          <w:iCs w:val="1"/>
          <w:color w:val="auto"/>
        </w:rPr>
        <w:t>We may fail to obtain designations for expedited development or review or such designations may not lead to a faster development or regulatory review. Acceptance into an expedited review program or receipt of accelerated approvals does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b w:val="1"/>
          <w:bCs w:val="1"/>
          <w:i w:val="1"/>
          <w:iCs w:val="1"/>
          <w:color w:val="auto"/>
        </w:rPr>
        <w:t>not assure ultimate full regulatory approval.</w:t>
      </w:r>
    </w:p>
    <w:p>
      <w:pPr>
        <w:spacing w:after="0" w:line="11" w:lineRule="exact"/>
        <w:rPr>
          <w:sz w:val="20"/>
          <w:szCs w:val="20"/>
          <w:color w:val="auto"/>
        </w:rPr>
      </w:pPr>
    </w:p>
    <w:p>
      <w:pPr>
        <w:ind w:left="620" w:right="2260"/>
        <w:spacing w:after="0" w:line="215" w:lineRule="auto"/>
        <w:rPr>
          <w:sz w:val="20"/>
          <w:szCs w:val="20"/>
          <w:color w:val="auto"/>
        </w:rPr>
      </w:pPr>
      <w:r>
        <w:rPr>
          <w:rFonts w:ascii="Times New Roman" w:cs="Times New Roman" w:eastAsia="Times New Roman" w:hAnsi="Times New Roman"/>
          <w:sz w:val="12"/>
          <w:szCs w:val="12"/>
          <w:color w:val="auto"/>
        </w:rPr>
        <w:t>Fast Track Designation (“</w:t>
      </w:r>
      <w:r>
        <w:rPr>
          <w:rFonts w:ascii="Times New Roman" w:cs="Times New Roman" w:eastAsia="Times New Roman" w:hAnsi="Times New Roman"/>
          <w:sz w:val="12"/>
          <w:szCs w:val="12"/>
          <w:b w:val="1"/>
          <w:bCs w:val="1"/>
          <w:color w:val="auto"/>
        </w:rPr>
        <w:t>FTD</w:t>
      </w:r>
      <w:r>
        <w:rPr>
          <w:rFonts w:ascii="Times New Roman" w:cs="Times New Roman" w:eastAsia="Times New Roman" w:hAnsi="Times New Roman"/>
          <w:sz w:val="12"/>
          <w:szCs w:val="12"/>
          <w:color w:val="auto"/>
        </w:rPr>
        <w:t xml:space="preserve">”), Breakthrough Therapy Designation (“ </w:t>
      </w:r>
      <w:r>
        <w:rPr>
          <w:rFonts w:ascii="Times New Roman" w:cs="Times New Roman" w:eastAsia="Times New Roman" w:hAnsi="Times New Roman"/>
          <w:sz w:val="12"/>
          <w:szCs w:val="12"/>
          <w:b w:val="1"/>
          <w:bCs w:val="1"/>
          <w:color w:val="auto"/>
        </w:rPr>
        <w:t>BTD</w:t>
      </w:r>
      <w:r>
        <w:rPr>
          <w:rFonts w:ascii="Times New Roman" w:cs="Times New Roman" w:eastAsia="Times New Roman" w:hAnsi="Times New Roman"/>
          <w:sz w:val="12"/>
          <w:szCs w:val="12"/>
          <w:color w:val="auto"/>
        </w:rPr>
        <w:t>”), and the accelerated approval programs of the FDA and other regulatory authorities are intended to expedite the review and approval of drug candidates in certain circumstances. These designations and programs do not, however, ensure that marketing approval will be granted in a particular timeframe or at all. The FDA and other regulatory authorities have broad discretion regarding whether or not to grant these designations or include product candidates within pilot programs, and, even if we or our collaboration partners believe a particular product candidate is eligible for these designations or programs, we cannot assure that such authority would agree. Even if we or our collaboration partners receive such designations or are eligible for inclusion in expedited review pilot programs in the future, we may not experience a faster development, review or approval process compared to conventional procedures. In addition, such designations or processing under such pilot programs may be withdrawn if the FDA or the relevant regulatory body no longer believes such product candidate meets the criteria for the designation or program. Furthermore, these designations and pilot programs do not change the scientific and medical standard for approval or the quality of evidence necessary to support approval. As a result, applications for product candidates granted expedited review or BTD or FTD designation may be ultimately denied based on trial data, trial design or other factors, and even if our product candidates are accepted into such a program, this does not assure ultimate approval by the FDA or the applicable regulatory body. Any accelerated approval received for our products, such as the approvals for EPKINLY, is contingent on successful completion of diligently conducted post-marketing confirmatory trials, and accelerated approval may be withdrawn if post-marketing trials do not verify the product’s benefit or demonstrate sufficient clinical benefit to justify associated risks, other evidence demonstrates that the product is not safe or effective, or the FDA considers promotional materials relating to the product to be false or misleading. The terms and conditions of expedited development and review programs are subject to change as a result of regulatory developments, and any such changes may adversely affect our ability to secure or maintain accelerated approvals or BTD, FTD or similar designations from the FDA or another regulator. See “</w:t>
      </w:r>
      <w:r>
        <w:rPr>
          <w:rFonts w:ascii="Times New Roman" w:cs="Times New Roman" w:eastAsia="Times New Roman" w:hAnsi="Times New Roman"/>
          <w:sz w:val="12"/>
          <w:szCs w:val="12"/>
          <w:i w:val="1"/>
          <w:iCs w:val="1"/>
          <w:color w:val="auto"/>
        </w:rPr>
        <w:t>Item 4 –Information on the Company —Government Regulation</w:t>
      </w:r>
      <w:r>
        <w:rPr>
          <w:rFonts w:ascii="Times New Roman" w:cs="Times New Roman" w:eastAsia="Times New Roman" w:hAnsi="Times New Roman"/>
          <w:sz w:val="12"/>
          <w:szCs w:val="12"/>
          <w:color w:val="auto"/>
        </w:rPr>
        <w:t>” for more information about BTD, FTD and accelerated approval programs for expedited review.</w:t>
      </w:r>
    </w:p>
    <w:p>
      <w:pPr>
        <w:ind w:left="620"/>
        <w:spacing w:after="0" w:line="219" w:lineRule="auto"/>
        <w:rPr>
          <w:sz w:val="20"/>
          <w:szCs w:val="20"/>
          <w:color w:val="auto"/>
        </w:rPr>
      </w:pPr>
      <w:r>
        <w:rPr>
          <w:rFonts w:ascii="Times New Roman" w:cs="Times New Roman" w:eastAsia="Times New Roman" w:hAnsi="Times New Roman"/>
          <w:sz w:val="12"/>
          <w:szCs w:val="12"/>
          <w:b w:val="1"/>
          <w:bCs w:val="1"/>
          <w:color w:val="auto"/>
        </w:rPr>
        <w:t>Risks Related to Our Products</w:t>
      </w:r>
    </w:p>
    <w:p>
      <w:pPr>
        <w:ind w:left="620" w:right="2300"/>
        <w:spacing w:after="0" w:line="221" w:lineRule="auto"/>
        <w:rPr>
          <w:sz w:val="20"/>
          <w:szCs w:val="20"/>
          <w:color w:val="auto"/>
        </w:rPr>
      </w:pPr>
      <w:r>
        <w:rPr>
          <w:rFonts w:ascii="Times New Roman" w:cs="Times New Roman" w:eastAsia="Times New Roman" w:hAnsi="Times New Roman"/>
          <w:sz w:val="12"/>
          <w:szCs w:val="12"/>
          <w:b w:val="1"/>
          <w:bCs w:val="1"/>
          <w:i w:val="1"/>
          <w:iCs w:val="1"/>
          <w:color w:val="auto"/>
        </w:rPr>
        <w:t xml:space="preserve">We may be affected by reports of adverse events or safety concerns relating to our products or product candidates. </w:t>
      </w:r>
      <w:r>
        <w:rPr>
          <w:rFonts w:ascii="Times New Roman" w:cs="Times New Roman" w:eastAsia="Times New Roman" w:hAnsi="Times New Roman"/>
          <w:sz w:val="12"/>
          <w:szCs w:val="12"/>
          <w:color w:val="auto"/>
        </w:rPr>
        <w:t>As with most biological drug products, use of our products and product candidates is associated with undesirable side effects or adverse events which can vary in severity from minor reactions to death and in frequency from infrequent to prevalent. In particular, many of our and our collaboration partners’ clinical trials are conducted in patients with serious life-threatening diseases for whom conventional treatments have been unsuccessful or for whom no conventional treatment exists, and in some cases, our product candidates are used in combination with approved therapies that themselves have</w:t>
      </w:r>
    </w:p>
    <w:p>
      <w:pPr>
        <w:sectPr>
          <w:pgSz w:w="11900" w:h="16840" w:orient="portrait"/>
          <w:cols w:equalWidth="0" w:num="1">
            <w:col w:w="9020"/>
          </w:cols>
          <w:pgMar w:left="1440" w:top="557" w:right="1440" w:bottom="72" w:gutter="0" w:footer="0" w:header="0"/>
        </w:sectPr>
      </w:pPr>
    </w:p>
    <w:bookmarkStart w:id="12" w:name="page13"/>
    <w:bookmarkEnd w:id="12"/>
    <w:p>
      <w:pPr>
        <w:ind w:left="620" w:right="2400"/>
        <w:spacing w:after="0" w:line="221" w:lineRule="auto"/>
        <w:rPr>
          <w:sz w:val="20"/>
          <w:szCs w:val="20"/>
          <w:color w:val="auto"/>
        </w:rPr>
      </w:pPr>
      <w:r>
        <w:rPr>
          <w:rFonts w:ascii="Times New Roman" w:cs="Times New Roman" w:eastAsia="Times New Roman" w:hAnsi="Times New Roman"/>
          <w:sz w:val="12"/>
          <w:szCs w:val="12"/>
          <w:color w:val="auto"/>
        </w:rPr>
        <w:t>significant adverse event profiles. During the course of treatment, these patients may suffer adverse medical events or die for reasons that may or may not be related to our product candidates. Reports of adverse events or safety concerns could have negative impacts on our or our collaboration partners’ clinical trials, regulatory processes, reputation and results, whether or not actually shown to be related to our product candidates.</w:t>
      </w:r>
    </w:p>
    <w:p>
      <w:pPr>
        <w:ind w:left="620"/>
        <w:spacing w:after="0" w:line="216" w:lineRule="auto"/>
        <w:rPr>
          <w:sz w:val="20"/>
          <w:szCs w:val="20"/>
          <w:color w:val="auto"/>
        </w:rPr>
      </w:pPr>
      <w:r>
        <w:rPr>
          <w:rFonts w:ascii="Times New Roman" w:cs="Times New Roman" w:eastAsia="Times New Roman" w:hAnsi="Times New Roman"/>
          <w:sz w:val="12"/>
          <w:szCs w:val="12"/>
          <w:color w:val="auto"/>
        </w:rPr>
        <w:t>Reports of adverse events or safety concerns involving our products or product candidates have sometimes resulted</w:t>
      </w:r>
    </w:p>
    <w:p>
      <w:pPr>
        <w:ind w:left="620"/>
        <w:spacing w:after="0"/>
        <w:rPr>
          <w:sz w:val="20"/>
          <w:szCs w:val="20"/>
          <w:color w:val="auto"/>
        </w:rPr>
      </w:pPr>
      <w:r>
        <w:rPr>
          <w:rFonts w:ascii="Times New Roman" w:cs="Times New Roman" w:eastAsia="Times New Roman" w:hAnsi="Times New Roman"/>
          <w:sz w:val="12"/>
          <w:szCs w:val="12"/>
          <w:color w:val="auto"/>
        </w:rPr>
        <w:t>and can in the future result in regulatory authorities interrupting, delaying or halting clinical trials (or otherwise negatively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 xml:space="preserve">impacting patient enrollment in or completion of clinical trials), limiting, denying, withdrawing approval of or recalling such product for any or all indications, including the use of such product in its previously approved indications, or may require additional clinical trials, updates to the prescribing information, including boxed warnings, contraindications, or other labeling statements, implementation of a Risk Evaluation and Mitigation Strategy (“ </w:t>
      </w:r>
      <w:r>
        <w:rPr>
          <w:rFonts w:ascii="Times New Roman" w:cs="Times New Roman" w:eastAsia="Times New Roman" w:hAnsi="Times New Roman"/>
          <w:sz w:val="12"/>
          <w:szCs w:val="12"/>
          <w:b w:val="1"/>
          <w:bCs w:val="1"/>
          <w:color w:val="auto"/>
        </w:rPr>
        <w:t>REMS</w:t>
      </w:r>
      <w:r>
        <w:rPr>
          <w:rFonts w:ascii="Times New Roman" w:cs="Times New Roman" w:eastAsia="Times New Roman" w:hAnsi="Times New Roman"/>
          <w:sz w:val="12"/>
          <w:szCs w:val="12"/>
          <w:color w:val="auto"/>
        </w:rPr>
        <w:t>”) or the issuance of field alerts, warnings or other communications to physicians, pharmacies or patients. In certain cases, regulatory authorities may order us or our collaboration partners to conduct additional trials or to cease further development or commercialization of the product or product candidate entirely. Furthermore, actual or potential drug-related side effects can affect patient recruitment or the ability of enrolled patients to complete a trial for our products or product candidates. Reports of adverse events or safety concerns, or changes to regulatory approvals or labeling, may also have a significant impact on market acceptance of our products by patients and physicians or may trigger potential product liability claims, fines, injunctions or the imposition of civil or criminal penalties. Any of these events has the potential to prevent us or our collaboration partners from developing, commercializing or maintaining market acceptance of the relevant product or product candidate or to substantially increase commercialization costs, which in turn could significantly harm our business, financial condition, results of operations and future growth prospects.</w:t>
      </w:r>
    </w:p>
    <w:p>
      <w:pPr>
        <w:spacing w:after="0" w:line="2"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Adverse events may also impact the sales of our products. We may be required to further update the prescribing information for our products, including boxed warnings, limitations of use, contraindications, warnings and precautions, and adverse reactions, based on reports of adverse events or safety concerns, or implement a REMS, which could adversely affect the acceptance of our products in the market, make competition easier or make it more difficult or expensive for us or our collaboration partners to distribute our products. In addition, the reporting of adverse safety events involving our products or product candidates, or public rumors about such events, could cause the price of ADSs to decline or experience periods of volatility.</w:t>
      </w:r>
    </w:p>
    <w:p>
      <w:pPr>
        <w:spacing w:after="0" w:line="1" w:lineRule="exact"/>
        <w:rPr>
          <w:sz w:val="20"/>
          <w:szCs w:val="20"/>
          <w:color w:val="auto"/>
        </w:rPr>
      </w:pPr>
    </w:p>
    <w:p>
      <w:pPr>
        <w:ind w:left="620" w:right="240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Several of our products and product candidates are used or proposed to be used in combination with other therapeutic products, which exposes us to risks related to those products.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Part of the clinical development strategy for certain of our product candidates, including daratumumab, is to seek to identify patients or patient subsets within a disease category whose treatment may benefit from our products in combination with other therapeutic products. Approval of a product for the treatment of a disease indication in combination with other therapeutic products exposes us and our collaboration partners to certain risks related to those other therapeutic products, including the risks that such products will become less competitive or obsolete or will be found to have safety concerns, which could potentially result in removal of such products from the market. Furthermore, seeking to heighten immune or other therapeutic responses through combination treatments carries an inherent risk that the combination may cause unexpected side effects or safety issues not observed in treatment with the individual products alone.</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We may face product liability claims related to the use or misuse of our products or technologies.</w:t>
      </w:r>
    </w:p>
    <w:p>
      <w:pPr>
        <w:ind w:left="620" w:right="2280"/>
        <w:spacing w:after="0" w:line="217" w:lineRule="auto"/>
        <w:rPr>
          <w:sz w:val="20"/>
          <w:szCs w:val="20"/>
          <w:color w:val="auto"/>
        </w:rPr>
      </w:pPr>
      <w:r>
        <w:rPr>
          <w:rFonts w:ascii="Times New Roman" w:cs="Times New Roman" w:eastAsia="Times New Roman" w:hAnsi="Times New Roman"/>
          <w:sz w:val="12"/>
          <w:szCs w:val="12"/>
          <w:color w:val="auto"/>
        </w:rPr>
        <w:t>Our business exposes us to potential product liability risks which are inherent in research and development, preclinical and clinical testing, manufacturing, marketing and use of antibody products. Product liability claims may be expensive to defend and may result in judgments against us which are potentially punitive. It is generally necessary for us to secure certain levels of insurance as a condition for the conduct of clinical trials. Although we believe that our current coverage limits are appropriate, we cannot be certain that the insurance policies will be sufficient to cover all claims that may be made against us. Product liability insurance is expensive, difficult to obtain and may not be available in the future on acceptable terms. Any claims against us, regardless of their merit, could cause our business to suffer. Even a successful defense would require significant financial and management resources. Regardless of the merits or eventual outcome, product liability claims may result in decreased demand for our products, injury to our reputation, withdrawal of clinical trial participants and inability to continue clinical trials, initiation of investigations by regulators, costs to defend the related litigation, a diversion of management’s time and our resources, substantial monetary awards to trial participants or patients, product recalls, withdrawals or labeling, marketing or promotional restrictions, exhaustion of any available insurance and our capital resources, the inability to commercialize any product or product candidate, damage to our reputation, loss of any potential future revenue and a decline in the market price of our ADSs.</w:t>
      </w:r>
    </w:p>
    <w:p>
      <w:pPr>
        <w:sectPr>
          <w:pgSz w:w="11900" w:h="16840" w:orient="portrait"/>
          <w:cols w:equalWidth="0" w:num="1">
            <w:col w:w="9020"/>
          </w:cols>
          <w:pgMar w:left="1440" w:top="559" w:right="1440" w:bottom="1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Risks Related to Our Business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face intense competition and rapid technological change.</w:t>
      </w:r>
    </w:p>
    <w:p>
      <w:pPr>
        <w:ind w:left="620" w:right="2300"/>
        <w:spacing w:after="0" w:line="223" w:lineRule="auto"/>
        <w:rPr>
          <w:sz w:val="20"/>
          <w:szCs w:val="20"/>
          <w:color w:val="auto"/>
        </w:rPr>
      </w:pPr>
      <w:r>
        <w:rPr>
          <w:rFonts w:ascii="Times New Roman" w:cs="Times New Roman" w:eastAsia="Times New Roman" w:hAnsi="Times New Roman"/>
          <w:sz w:val="12"/>
          <w:szCs w:val="12"/>
          <w:color w:val="auto"/>
        </w:rPr>
        <w:t>The biotechnology and biopharmaceutical industries are characterized by rapidly advancing technologies and intense competition. Many third parties, including pharmaceutical companies, biotechnology companies, academic institutions and other research organizations, compete with us in developing various approaches to antibody therapy and other competing therapies. Many of our competitors have significantly greater financial resources and expertise in research and development, manufacturing, preclinical testing, conducting clinical trials, obtaining regulatory approval and marketing</w:t>
      </w:r>
    </w:p>
    <w:p>
      <w:pPr>
        <w:sectPr>
          <w:pgSz w:w="11900" w:h="16840" w:orient="portrait"/>
          <w:cols w:equalWidth="0" w:num="1">
            <w:col w:w="9020"/>
          </w:cols>
          <w:pgMar w:left="1440" w:top="559" w:right="1440" w:bottom="108" w:gutter="0" w:footer="0" w:header="0"/>
          <w:type w:val="continuous"/>
        </w:sectPr>
      </w:pPr>
    </w:p>
    <w:bookmarkStart w:id="13" w:name="page14"/>
    <w:bookmarkEnd w:id="13"/>
    <w:p>
      <w:pPr>
        <w:ind w:left="620" w:right="2280"/>
        <w:spacing w:after="0" w:line="217" w:lineRule="auto"/>
        <w:rPr>
          <w:sz w:val="20"/>
          <w:szCs w:val="20"/>
          <w:color w:val="auto"/>
        </w:rPr>
      </w:pPr>
      <w:r>
        <w:rPr>
          <w:rFonts w:ascii="Times New Roman" w:cs="Times New Roman" w:eastAsia="Times New Roman" w:hAnsi="Times New Roman"/>
          <w:sz w:val="12"/>
          <w:szCs w:val="12"/>
          <w:color w:val="auto"/>
        </w:rPr>
        <w:t>than we do, and earlier-stage companies may also prove to be significant competitors, especially through collaborative arrangements with larger collaboration partners. In addition, many of these competitors are active in seeking patent protection and licensing arrangements in anticipation of collecting royalties for use of technology that they have developed. These third parties compete with us in recruiting and retaining qualified scientific and management personnel, as well as in acquiring technologies complementary to our programs. In addition, many other pharmaceutical and biotechnology companies are developing and/or marketing therapies for the same indications that our products and product candidates are designed for and being developed to treat. In addition, our DuoBody and other technology partners may develop compounds utilizing our technologies that may compete with product candidates that we are developing. See “</w:t>
      </w:r>
      <w:r>
        <w:rPr>
          <w:rFonts w:ascii="Times New Roman" w:cs="Times New Roman" w:eastAsia="Times New Roman" w:hAnsi="Times New Roman"/>
          <w:sz w:val="12"/>
          <w:szCs w:val="12"/>
          <w:i w:val="1"/>
          <w:iCs w:val="1"/>
          <w:color w:val="auto"/>
        </w:rPr>
        <w:t>Item 4B–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Business Overview—Competition</w:t>
      </w:r>
      <w:r>
        <w:rPr>
          <w:rFonts w:ascii="Times New Roman" w:cs="Times New Roman" w:eastAsia="Times New Roman" w:hAnsi="Times New Roman"/>
          <w:sz w:val="12"/>
          <w:szCs w:val="12"/>
          <w:color w:val="auto"/>
        </w:rPr>
        <w:t>” below for more information about our competitors.</w:t>
      </w:r>
    </w:p>
    <w:p>
      <w:pPr>
        <w:spacing w:after="0" w:line="5"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In the US, the Biologics Price Competition and Innovation Act of 2009 (“</w:t>
      </w:r>
      <w:r>
        <w:rPr>
          <w:rFonts w:ascii="Times New Roman" w:cs="Times New Roman" w:eastAsia="Times New Roman" w:hAnsi="Times New Roman"/>
          <w:sz w:val="12"/>
          <w:szCs w:val="12"/>
          <w:b w:val="1"/>
          <w:bCs w:val="1"/>
          <w:color w:val="auto"/>
        </w:rPr>
        <w:t>BPCIA</w:t>
      </w:r>
      <w:r>
        <w:rPr>
          <w:rFonts w:ascii="Times New Roman" w:cs="Times New Roman" w:eastAsia="Times New Roman" w:hAnsi="Times New Roman"/>
          <w:sz w:val="12"/>
          <w:szCs w:val="12"/>
          <w:color w:val="auto"/>
        </w:rPr>
        <w:t>”), created an abbreviated approval pathway for biological products that are demonstrated to be “highly similar” or “biosimilar” to or “interchangeable” with an FDA - approved biological product, which may be used by our competitors to receive approval for, and commercialize, product candidates that compete with our products with less effort and expense than would otherwise be required, and any period of exclusivity for which our products qualify may be reduced to a shorter period than we expect due to regulatory action or otherwise. See “</w:t>
      </w:r>
      <w:r>
        <w:rPr>
          <w:rFonts w:ascii="Times New Roman" w:cs="Times New Roman" w:eastAsia="Times New Roman" w:hAnsi="Times New Roman"/>
          <w:sz w:val="12"/>
          <w:szCs w:val="12"/>
          <w:i w:val="1"/>
          <w:iCs w:val="1"/>
          <w:color w:val="auto"/>
        </w:rPr>
        <w:t>Item 4B—Business Overview—Competition</w:t>
      </w:r>
      <w:r>
        <w:rPr>
          <w:rFonts w:ascii="Times New Roman" w:cs="Times New Roman" w:eastAsia="Times New Roman" w:hAnsi="Times New Roman"/>
          <w:sz w:val="12"/>
          <w:szCs w:val="12"/>
          <w:color w:val="auto"/>
        </w:rPr>
        <w:t>” for more information on this regulatory pathway. It is possible that our competitors will succeed in developing products and technologies that are more effective than</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our products and product candidates or that would render our technology obsolete or noncompetitive. It is also possible that our competitors will succeed in developing biosimilar or interchangeable products for our products or our product candidates. Competition is increasing from companies that are utilizing artificial intelligence and other computational approaches for drug discovery, including the development of antibody therapies and other competing therapies. These competitors may incorporate AI into their businesses more quickly or more successfully than us, which could impair our ability to compete effectively and adversely affect our results of operations. We anticipate that we will continue to face increasing competition in the future as new companies enter our market and scientific developments surrounding biosimilars and other cancer therapies continue to accelerate. We cannot predict the extent to which these developments will impact potential future sales of our products or our product candidates.</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In addition, the pricing of our products depends, and the pricing of our product candidates, if and when approved for marketing, will depend, in part, on the pricing strategies adopted by our competitors. If we or our collaboration partners are forced to reduce the prices of our products, or if sales of our products fall due to competitive pricing, our revenue from milestone payments, sales or royalties related to such products will be negatively affected.</w:t>
      </w:r>
    </w:p>
    <w:p>
      <w:pPr>
        <w:ind w:left="620" w:right="2280"/>
        <w:spacing w:after="0" w:line="219" w:lineRule="auto"/>
        <w:rPr>
          <w:sz w:val="20"/>
          <w:szCs w:val="20"/>
          <w:color w:val="auto"/>
        </w:rPr>
      </w:pPr>
      <w:r>
        <w:rPr>
          <w:rFonts w:ascii="Times New Roman" w:cs="Times New Roman" w:eastAsia="Times New Roman" w:hAnsi="Times New Roman"/>
          <w:sz w:val="12"/>
          <w:szCs w:val="12"/>
          <w:color w:val="auto"/>
        </w:rPr>
        <w:t>Any products we or our collaboration partners are able to commercialize in the US and the EU may be subject to competition from lower-priced imports of those same products, as well as lower-priced imports of competing products from Eastern Europe, Canada, Mexico and other countries with government price controls or other market dynamics that, in each case, reduce prices of products leading to reduced revenues and lower sales margins. The ability of patients to obtain these lower-priced imports has grown significantly. Some of these foreign imports are illegal under current US and European law. However, the volume of imports is now significant, due in part to the limited enforcement resources and the pressure in the current political environment to permit the imports as a mechanism for expanding access to lower -priced medicines. Parallel importation or importation of foreign products could adversely affect our future profitability. This impact potentially could become even greater if there is a further change in relevant protective legislation or if state or local governments take further steps to import products from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business applications and IT infrastructure, or those of our collaboration partners, contractors or consultants, may fail or suffer cybersecurity breaches, and the use of novel technologies may subject us to additional risks.</w:t>
      </w:r>
    </w:p>
    <w:p>
      <w:pPr>
        <w:ind w:left="620" w:right="2260"/>
        <w:spacing w:after="0" w:line="231" w:lineRule="auto"/>
        <w:rPr>
          <w:sz w:val="20"/>
          <w:szCs w:val="20"/>
          <w:color w:val="auto"/>
        </w:rPr>
      </w:pPr>
      <w:r>
        <w:rPr>
          <w:rFonts w:ascii="Times New Roman" w:cs="Times New Roman" w:eastAsia="Times New Roman" w:hAnsi="Times New Roman"/>
          <w:sz w:val="12"/>
          <w:szCs w:val="12"/>
          <w:color w:val="auto"/>
        </w:rPr>
        <w:t>Our business applications and IT infrastructure, including those hosted by third parties, and those of our collaboration partners, contractors or consultants, may be vulnerable to cybersecurity risks, such as ransomware, malware, identify theft, system or application failure,, and natural disasters, terrorism, war and telecommunication and electrical failures, which can lead to damage, loss or leakage of business data or unavailability of computer systems. Our vulnerability to such events may increase while employees work remotely which results in additional cybersecurity threat profiles and an increase in the amount of traffic on secured remote corporate networks and preventing or detecting unauthorized access to internal networks may be more challenging. These and other factors, including the increased use of artificial intelligence by threat actors, can be exploited to facilitate phishing, malware, ransomware or other attacks on our systems. If such an event were to occur, it could result in a critical or material disruption of our development programs and our business operations. In addition, any loss or disclosure of trade secrets, clinical data, personal data, or other proprietary information as a result of such disruption or breach could subject us to litigation, loss of intellectual property rights, or regulatory review and sanctions and may impact our reputation and our collaboration partners’ ability to further develop and commercialize our products and product candidates, any of which could have a material adverse effect on our business, financial condition, results of operations and the market price of our ADSs.</w:t>
      </w:r>
    </w:p>
    <w:p>
      <w:pPr>
        <w:spacing w:after="0" w:line="6" w:lineRule="exact"/>
        <w:rPr>
          <w:sz w:val="20"/>
          <w:szCs w:val="20"/>
          <w:color w:val="auto"/>
        </w:rPr>
      </w:pPr>
    </w:p>
    <w:p>
      <w:pPr>
        <w:ind w:left="620" w:right="2280"/>
        <w:spacing w:after="0" w:line="234" w:lineRule="auto"/>
        <w:rPr>
          <w:sz w:val="20"/>
          <w:szCs w:val="20"/>
          <w:color w:val="auto"/>
        </w:rPr>
      </w:pPr>
      <w:r>
        <w:rPr>
          <w:rFonts w:ascii="Times New Roman" w:cs="Times New Roman" w:eastAsia="Times New Roman" w:hAnsi="Times New Roman"/>
          <w:sz w:val="12"/>
          <w:szCs w:val="12"/>
          <w:color w:val="auto"/>
        </w:rPr>
        <w:t>Artificial intelligence-based software is increasingly being used in the biopharmaceutical and global healthcare industries. We have expanded our scientific focus to use data science and artificial intelligence to aid in the discovery of new targets and biomarkers and bolster our in-depth precision medicine and translational laboratory capabilities. As with many developing technologies, artificial intelligence -based software presents risks and attack surfaces. If the analyses that artificial intelligence-based applications assist in producing are deficient or inaccurate, we could be subjected to competitive harm, potential legal liability and brand or reputational harm. Furthermore, use of artificial intelligence-based software may lead to the release of confidential information which may impact our ability to realize the benefits of our intellectual property. The integration of artificial technology into our and our vendors’ systems (potentially without the vendor disclosing such use to us) subjects us to the risk that the providers of artificial technology may not meet existing or rapidly evolving regulatory or industry standards with respect to privacy and data protection. Further, regulatory changes or reinterpretations could introduce new compliance risks, including potential government enforcement actions or civil lawsuits.</w:t>
      </w:r>
    </w:p>
    <w:p>
      <w:pPr>
        <w:spacing w:after="0" w:line="5" w:lineRule="exact"/>
        <w:rPr>
          <w:sz w:val="20"/>
          <w:szCs w:val="20"/>
          <w:color w:val="auto"/>
        </w:rPr>
      </w:pPr>
    </w:p>
    <w:p>
      <w:pPr>
        <w:ind w:left="620" w:right="30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Climate change or legal, regulatory or market measures to address climate change may negatively affect our financial condition and business operations.</w:t>
      </w:r>
    </w:p>
    <w:p>
      <w:pPr>
        <w:ind w:left="620" w:right="2280"/>
        <w:spacing w:after="0"/>
        <w:rPr>
          <w:sz w:val="20"/>
          <w:szCs w:val="20"/>
          <w:color w:val="auto"/>
        </w:rPr>
      </w:pPr>
      <w:r>
        <w:rPr>
          <w:rFonts w:ascii="Times New Roman" w:cs="Times New Roman" w:eastAsia="Times New Roman" w:hAnsi="Times New Roman"/>
          <w:sz w:val="12"/>
          <w:szCs w:val="12"/>
          <w:color w:val="auto"/>
        </w:rPr>
        <w:t>Climate change may negatively affect our business, results, and value chain. Our primary exposure relates to physical and transition risks such as natural or man -made disasters, extreme weather conditions such as hurricanes, tornadoes, earthquakes, wildfires or flooding, or regulatory changes that could disrupt production or increase costs. Physical risks may cause damage, delays, or reduced material availability across our limited number of third -party manufacturers for our product supply, while evolving climate regulations and carbon-related requirements may lead to higher compliance and energy costs across the value chain. These combined factors could negatively affect our operations, product development, and long-term resilience.</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b w:val="1"/>
          <w:bCs w:val="1"/>
          <w:i w:val="1"/>
          <w:iCs w:val="1"/>
          <w:color w:val="auto"/>
        </w:rPr>
        <w:t>Environmental, social and governance (“ESG”) matters may impact Genmab’s business, operations, and reputation.</w:t>
      </w:r>
    </w:p>
    <w:p>
      <w:pPr>
        <w:ind w:left="620"/>
        <w:spacing w:after="0" w:line="215" w:lineRule="auto"/>
        <w:rPr>
          <w:sz w:val="20"/>
          <w:szCs w:val="20"/>
          <w:color w:val="auto"/>
        </w:rPr>
      </w:pPr>
      <w:r>
        <w:rPr>
          <w:rFonts w:ascii="Times New Roman" w:cs="Times New Roman" w:eastAsia="Times New Roman" w:hAnsi="Times New Roman"/>
          <w:sz w:val="12"/>
          <w:szCs w:val="12"/>
          <w:color w:val="auto"/>
        </w:rPr>
        <w:t>Some investors, customers, and other stakeholders are increasingly focused on issues such as climate change, health</w:t>
      </w:r>
    </w:p>
    <w:p>
      <w:pPr>
        <w:ind w:left="620" w:right="2280"/>
        <w:spacing w:after="0"/>
        <w:rPr>
          <w:sz w:val="20"/>
          <w:szCs w:val="20"/>
          <w:color w:val="auto"/>
        </w:rPr>
      </w:pPr>
      <w:r>
        <w:rPr>
          <w:rFonts w:ascii="Times New Roman" w:cs="Times New Roman" w:eastAsia="Times New Roman" w:hAnsi="Times New Roman"/>
          <w:sz w:val="12"/>
          <w:szCs w:val="12"/>
          <w:color w:val="auto"/>
        </w:rPr>
        <w:t>and safety, human rights and responsible supply chain practices. At the same time, sentiment that is critical of certain ESG practices has gained momentum across the US, with several proposed or enacted “anti-ESG” policies, legislation, or initiatives, and the US federal administration has issued an executive order opposing diversity, equity and inclusion initiatives in the private sector. Evolving requirements—such as the EU Corporate Sustainability Reporting Directive and emerging climate disclosure rules—may lead to higher compliance, reporting, and assurance costs. As Genmab’s manufacturing is limited to a number of third-party manufacturers for our product supply, we also depend on third parties to manage ESG risks in their own operations. Our ESG goals and commitments require investment and carry uncertainties. Failure, or perceived failure, to meet these goals and commitments or to align with evolving, and sometimes conflicting, laws, regulations, policies and administrative, investor and other stakeholder views could result in reputational harm, increased scrutiny from investors or proxy advisors, reduced talent attraction and retention, and other adverse effects on our business and results of operations.</w:t>
      </w:r>
    </w:p>
    <w:p>
      <w:pPr>
        <w:sectPr>
          <w:pgSz w:w="11900" w:h="16840" w:orient="portrait"/>
          <w:cols w:equalWidth="0" w:num="1">
            <w:col w:w="9020"/>
          </w:cols>
          <w:pgMar w:left="1440" w:top="559" w:right="1440" w:bottom="35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business depends on our ability to recruit and retain talented and highly skilled employees.</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Our success depends on the ability to attract, develop, and retain highly skilled and diverse talent across scientific, technical, and leadership roles. Competition for qualified professionals in the biotechnology industry is intense, as we compete with global pharmaceutical and biotech companies, academic institutions, and other organizations for experienced personnel. Our ability to achieve strategic objectives relies on maintaining a strong, purpose-driven culture, competitive compensation, and opportunities for professional growth. Failure to attract or retain key talent could negatively affect Genmab’s ability to advance its pipeline, meet operational goals, and deliver long-term value.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Risks Related to Our Intellectual Property</w:t>
      </w:r>
    </w:p>
    <w:p>
      <w:pPr>
        <w:ind w:left="620" w:right="26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ability to compete may decline if we or our collaboration partners are unable to or do not adequately protect intellectual property rights or if our intellectual property rights are inadequate.</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Our commercial success and viability depend in part on our and our collaboration partners’ ability to obtain and maintain adequate intellectual property protection in the US, Europe and other countries with respect to our existing products, product candidates and processes and related technologies owned by us and to successfully defend these rights against third-party challenges, successfully enforce these rights to prevent third-party infringement, as well as our ability to maintain adequate intellectual property protection for any future technologies and products. If we or our collaboration partners do not adequately protect our intellectual property, competitors may be able to use our technologies or products and erode or negate any competitive advantage we may have, which could materially harm our business, negatively affect our position in the marketplace, limit our ability to commercialize our products and product candidates and significantly reduce our revenues and potential profits.</w:t>
      </w:r>
    </w:p>
    <w:p>
      <w:pPr>
        <w:spacing w:after="0" w:line="1" w:lineRule="exact"/>
        <w:rPr>
          <w:sz w:val="20"/>
          <w:szCs w:val="20"/>
          <w:color w:val="auto"/>
        </w:rPr>
      </w:pPr>
    </w:p>
    <w:p>
      <w:pPr>
        <w:ind w:left="620" w:right="2300"/>
        <w:spacing w:after="0" w:line="234" w:lineRule="auto"/>
        <w:rPr>
          <w:sz w:val="20"/>
          <w:szCs w:val="20"/>
          <w:color w:val="auto"/>
        </w:rPr>
      </w:pPr>
      <w:r>
        <w:rPr>
          <w:rFonts w:ascii="Times New Roman" w:cs="Times New Roman" w:eastAsia="Times New Roman" w:hAnsi="Times New Roman"/>
          <w:sz w:val="12"/>
          <w:szCs w:val="12"/>
          <w:color w:val="auto"/>
        </w:rPr>
        <w:t>While we rely on a combination of patents, trademarks and trade secret protection, as well as nondisclosure, confidentiality and other contractual agreements to protect the intellectual property related to our brands, products, product candidates and proprietary technologies, our strategy and future prospects are based, in particular, on our patent portfolio. The uncertainties with respect to the legal system in the US, Europe and other countries, including uncertainties regarding the enforcement of laws, and sudden or unexpected changes in laws and regulations with little advance notice, or policies and practices that weaken the intellectual property framework (such as laws or regulations that promote or provide broad discretion to issue a compulsory license) could adversely affect us and limit the legal protections available to us. We and our collaboration partners or licensees will best be able to protect our technologies, products and product candidates and their uses from unauthorized use by third parties to the extent that valid and enforceable patents, effectively protected trade secrets, or other regulatory exclusivities, cover them. However, the process of obtaining patent protection is expensive and time-consuming, and we may not be able to prosecute all necessary or desirable patent applications at a reasonable cost or in a timely manner.</w:t>
      </w:r>
    </w:p>
    <w:p>
      <w:pPr>
        <w:spacing w:after="0" w:line="5"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The patent position and other intellectual property rights of biopharmaceutical companies involve complex legal, administrative and factual questions, and the issuance, scope, validity and enforceability of patents cannot be predicted with certainty. Also, intellectual property rights have limitations and do not necessarily address all potential threats to our competitive advantage. Our and our collaboration partners’ ability to obtain patent protection for our or their technologies, products and product candidates is uncertain, and the degree of future protection afforded by such intellectual property rights is uncertain due to a number of factors, including, but not limited to:</w:t>
      </w:r>
    </w:p>
    <w:p>
      <w:pPr>
        <w:spacing w:after="0" w:line="1" w:lineRule="exact"/>
        <w:rPr>
          <w:sz w:val="20"/>
          <w:szCs w:val="20"/>
          <w:color w:val="auto"/>
        </w:rPr>
      </w:pPr>
    </w:p>
    <w:p>
      <w:pPr>
        <w:ind w:left="620" w:right="3320"/>
        <w:spacing w:after="0" w:line="215" w:lineRule="auto"/>
        <w:rPr>
          <w:sz w:val="20"/>
          <w:szCs w:val="20"/>
          <w:color w:val="auto"/>
        </w:rPr>
      </w:pPr>
      <w:r>
        <w:rPr>
          <w:rFonts w:ascii="Times New Roman" w:cs="Times New Roman" w:eastAsia="Times New Roman" w:hAnsi="Times New Roman"/>
          <w:sz w:val="12"/>
          <w:szCs w:val="12"/>
          <w:color w:val="231F20"/>
        </w:rPr>
        <w:t>•we or our collaboration partners may not have been the first to make or file patent applications for the inventions covered by pending patent applications or issued patents;</w:t>
      </w:r>
    </w:p>
    <w:p>
      <w:pPr>
        <w:ind w:left="620" w:right="2920"/>
        <w:spacing w:after="0" w:line="215" w:lineRule="auto"/>
        <w:rPr>
          <w:sz w:val="20"/>
          <w:szCs w:val="20"/>
          <w:color w:val="auto"/>
        </w:rPr>
      </w:pPr>
      <w:r>
        <w:rPr>
          <w:rFonts w:ascii="Times New Roman" w:cs="Times New Roman" w:eastAsia="Times New Roman" w:hAnsi="Times New Roman"/>
          <w:sz w:val="12"/>
          <w:szCs w:val="12"/>
          <w:color w:val="231F20"/>
        </w:rPr>
        <w:t>•others may independently develop identical, similar or alternative technologies, products or compositions and uses thereof;</w:t>
      </w:r>
    </w:p>
    <w:p>
      <w:pPr>
        <w:ind w:left="620" w:right="3120"/>
        <w:spacing w:after="0" w:line="215" w:lineRule="auto"/>
        <w:rPr>
          <w:sz w:val="20"/>
          <w:szCs w:val="20"/>
          <w:color w:val="auto"/>
        </w:rPr>
      </w:pPr>
      <w:r>
        <w:rPr>
          <w:rFonts w:ascii="Times New Roman" w:cs="Times New Roman" w:eastAsia="Times New Roman" w:hAnsi="Times New Roman"/>
          <w:sz w:val="12"/>
          <w:szCs w:val="12"/>
          <w:color w:val="231F20"/>
        </w:rPr>
        <w:t>•any or all of our or our collaboration partners’ pending, or any future patent applications may not result in issued patents;</w:t>
      </w:r>
    </w:p>
    <w:p>
      <w:pPr>
        <w:ind w:left="620" w:right="3160"/>
        <w:spacing w:after="0" w:line="234" w:lineRule="auto"/>
        <w:rPr>
          <w:sz w:val="20"/>
          <w:szCs w:val="20"/>
          <w:color w:val="auto"/>
        </w:rPr>
      </w:pPr>
      <w:r>
        <w:rPr>
          <w:rFonts w:ascii="Times New Roman" w:cs="Times New Roman" w:eastAsia="Times New Roman" w:hAnsi="Times New Roman"/>
          <w:sz w:val="12"/>
          <w:szCs w:val="12"/>
          <w:color w:val="231F20"/>
        </w:rPr>
        <w:t>•any patents issued to us or our collaboration partners may not provide a basis for commercially viable products, or may not provide any competitive advantages in countries of significant business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3040"/>
        <w:spacing w:after="0" w:line="215" w:lineRule="auto"/>
        <w:rPr>
          <w:sz w:val="20"/>
          <w:szCs w:val="20"/>
          <w:color w:val="auto"/>
        </w:rPr>
      </w:pPr>
      <w:r>
        <w:rPr>
          <w:rFonts w:ascii="Times New Roman" w:cs="Times New Roman" w:eastAsia="Times New Roman" w:hAnsi="Times New Roman"/>
          <w:sz w:val="12"/>
          <w:szCs w:val="12"/>
          <w:color w:val="231F20"/>
        </w:rPr>
        <w:t>•third parties may initiate interference, re-examination, post- grant review, inter partes review, or derivation actions in the US Patent and Trademark Office (“</w:t>
      </w:r>
      <w:r>
        <w:rPr>
          <w:rFonts w:ascii="Times New Roman" w:cs="Times New Roman" w:eastAsia="Times New Roman" w:hAnsi="Times New Roman"/>
          <w:sz w:val="12"/>
          <w:szCs w:val="12"/>
          <w:b w:val="1"/>
          <w:bCs w:val="1"/>
          <w:color w:val="231F20"/>
        </w:rPr>
        <w:t>USPTO</w:t>
      </w:r>
      <w:r>
        <w:rPr>
          <w:rFonts w:ascii="Times New Roman" w:cs="Times New Roman" w:eastAsia="Times New Roman" w:hAnsi="Times New Roman"/>
          <w:sz w:val="12"/>
          <w:szCs w:val="12"/>
          <w:color w:val="231F20"/>
        </w:rPr>
        <w:t>”), or oppositions in the European Patent Office (“</w:t>
      </w:r>
      <w:r>
        <w:rPr>
          <w:rFonts w:ascii="Times New Roman" w:cs="Times New Roman" w:eastAsia="Times New Roman" w:hAnsi="Times New Roman"/>
          <w:sz w:val="12"/>
          <w:szCs w:val="12"/>
          <w:b w:val="1"/>
          <w:bCs w:val="1"/>
          <w:color w:val="231F20"/>
        </w:rPr>
        <w:t>EPO</w:t>
      </w:r>
      <w:r>
        <w:rPr>
          <w:rFonts w:ascii="Times New Roman" w:cs="Times New Roman" w:eastAsia="Times New Roman" w:hAnsi="Times New Roman"/>
          <w:sz w:val="12"/>
          <w:szCs w:val="12"/>
          <w:color w:val="231F20"/>
        </w:rPr>
        <w:t xml:space="preserve"> ”), or observations or protests, or any similar actions in other patent administrative or court proceedings worldwide that challenge the validity, enforceability or scope of such patents, which may result in our patent claims being narrowed or invalidated which could limit our ability to prevent competitors from developing and marketing similar products;</w:t>
      </w:r>
    </w:p>
    <w:p>
      <w:pPr>
        <w:ind w:left="620"/>
        <w:spacing w:after="0" w:line="216" w:lineRule="auto"/>
        <w:rPr>
          <w:sz w:val="20"/>
          <w:szCs w:val="20"/>
          <w:color w:val="auto"/>
        </w:rPr>
      </w:pPr>
      <w:r>
        <w:rPr>
          <w:rFonts w:ascii="Times New Roman" w:cs="Times New Roman" w:eastAsia="Times New Roman" w:hAnsi="Times New Roman"/>
          <w:sz w:val="12"/>
          <w:szCs w:val="12"/>
          <w:color w:val="231F20"/>
        </w:rPr>
        <w:t>•our or our collaboration partners’ technologies, compositions and methods may not be patentable;</w:t>
      </w:r>
    </w:p>
    <w:p>
      <w:pPr>
        <w:ind w:left="620" w:right="2940"/>
        <w:spacing w:after="0" w:line="215" w:lineRule="auto"/>
        <w:rPr>
          <w:sz w:val="20"/>
          <w:szCs w:val="20"/>
          <w:color w:val="auto"/>
        </w:rPr>
      </w:pPr>
      <w:r>
        <w:rPr>
          <w:rFonts w:ascii="Times New Roman" w:cs="Times New Roman" w:eastAsia="Times New Roman" w:hAnsi="Times New Roman"/>
          <w:sz w:val="12"/>
          <w:szCs w:val="12"/>
          <w:color w:val="231F20"/>
        </w:rPr>
        <w:t>•others may design around our or our collaboration partners’ patent claims to produce competitive products or uses which fall outside of the scope of our patents;</w:t>
      </w:r>
    </w:p>
    <w:p>
      <w:pPr>
        <w:ind w:left="620" w:right="3020"/>
        <w:spacing w:after="0" w:line="215" w:lineRule="auto"/>
        <w:rPr>
          <w:sz w:val="20"/>
          <w:szCs w:val="20"/>
          <w:color w:val="auto"/>
        </w:rPr>
      </w:pPr>
      <w:r>
        <w:rPr>
          <w:rFonts w:ascii="Times New Roman" w:cs="Times New Roman" w:eastAsia="Times New Roman" w:hAnsi="Times New Roman"/>
          <w:sz w:val="12"/>
          <w:szCs w:val="12"/>
          <w:color w:val="231F20"/>
        </w:rPr>
        <w:t>•third parties may have blocking patents that could prevent us from marketing our products or practicing our own patented technology;</w:t>
      </w:r>
    </w:p>
    <w:p>
      <w:pPr>
        <w:ind w:left="620" w:right="2920"/>
        <w:spacing w:after="0" w:line="215" w:lineRule="auto"/>
        <w:rPr>
          <w:sz w:val="20"/>
          <w:szCs w:val="20"/>
          <w:color w:val="auto"/>
        </w:rPr>
      </w:pPr>
      <w:r>
        <w:rPr>
          <w:rFonts w:ascii="Times New Roman" w:cs="Times New Roman" w:eastAsia="Times New Roman" w:hAnsi="Times New Roman"/>
          <w:sz w:val="12"/>
          <w:szCs w:val="12"/>
          <w:color w:val="231F20"/>
        </w:rPr>
        <w:t>•patent terms may be inadequate to protect our competitive position on our technologies, products and product candidates for an adequate amount of time;</w:t>
      </w:r>
    </w:p>
    <w:p>
      <w:pPr>
        <w:ind w:left="620" w:right="3100"/>
        <w:spacing w:after="0" w:line="234" w:lineRule="auto"/>
        <w:rPr>
          <w:sz w:val="20"/>
          <w:szCs w:val="20"/>
          <w:color w:val="auto"/>
        </w:rPr>
      </w:pPr>
      <w:r>
        <w:rPr>
          <w:rFonts w:ascii="Times New Roman" w:cs="Times New Roman" w:eastAsia="Times New Roman" w:hAnsi="Times New Roman"/>
          <w:sz w:val="12"/>
          <w:szCs w:val="12"/>
          <w:color w:val="231F20"/>
        </w:rPr>
        <w:t>•the Supreme Court of the US, other US federal courts, Congress, the USPTO or similar foreign authorities may change the standards of patentability and any such changes could narrow or invalidate, or change the</w:t>
      </w:r>
    </w:p>
    <w:p>
      <w:pPr>
        <w:sectPr>
          <w:pgSz w:w="11900" w:h="16840" w:orient="portrait"/>
          <w:cols w:equalWidth="0" w:num="1">
            <w:col w:w="9020"/>
          </w:cols>
          <w:pgMar w:left="1440" w:top="1440" w:right="1440" w:bottom="9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2"/>
          <w:szCs w:val="12"/>
          <w:color w:val="231F20"/>
        </w:rPr>
        <w:t>scope of, or change the patent lifetime of, our or our collaboration partners’ patents; and</w:t>
      </w:r>
    </w:p>
    <w:p>
      <w:pPr>
        <w:ind w:left="620" w:right="30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the USPTO and various foreign governmental patent agencies require compliance with a number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 w:lineRule="exact"/>
        <w:rPr>
          <w:sz w:val="20"/>
          <w:szCs w:val="20"/>
          <w:color w:val="auto"/>
        </w:rPr>
      </w:pPr>
    </w:p>
    <w:p>
      <w:pPr>
        <w:ind w:left="620" w:right="2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Patent applications may be denied or issued patents covering our products and product candidates could be found invalid or unenforceable.</w:t>
      </w:r>
    </w:p>
    <w:p>
      <w:pPr>
        <w:ind w:left="620" w:right="2360"/>
        <w:spacing w:after="0" w:line="231" w:lineRule="auto"/>
        <w:rPr>
          <w:sz w:val="20"/>
          <w:szCs w:val="20"/>
          <w:color w:val="auto"/>
        </w:rPr>
      </w:pPr>
      <w:r>
        <w:rPr>
          <w:rFonts w:ascii="Times New Roman" w:cs="Times New Roman" w:eastAsia="Times New Roman" w:hAnsi="Times New Roman"/>
          <w:sz w:val="12"/>
          <w:szCs w:val="12"/>
          <w:color w:val="auto"/>
        </w:rPr>
        <w:t>Even if patents do successfully issue and even if such patents cover our technologies, products, product candidates, compositions and methods of use, third parties may initiate interference, re-examination, post-grant review, inter partes review, or derivation actions in the USPTO, third -party oppositions at the EPO or observations or protests, or similar actions challenging the validity, enforceability or scope of such patents in other patent administrative proceedings worldwide, which may result in our or our collaboration partners’ patent claims being narrowed or invalidated. Such proceedings could result in revocation or amendment of such patents in such a way that they no longer cover our technologies, product candidates or competitive products. Further, if we or our collaboration partners initiate legal proceedings against a third- party to enforce a patent covering our product, product candidate or technology, the defendant could counterclaim that the patent covering our product, product candidate or technology is invalid or unenforceable. In patent litigation in the US,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 Such proceedings could result in revocation or amendment of such patents in such a way that they no longer cover our technologies, product candidates or competitive products.</w:t>
      </w:r>
    </w:p>
    <w:p>
      <w:pPr>
        <w:spacing w:after="0" w:line="6" w:lineRule="exact"/>
        <w:rPr>
          <w:sz w:val="20"/>
          <w:szCs w:val="20"/>
          <w:color w:val="auto"/>
        </w:rPr>
      </w:pPr>
    </w:p>
    <w:p>
      <w:pPr>
        <w:jc w:val="both"/>
        <w:ind w:left="620" w:right="244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currently rely on proprietary technology licensed from third parties and may rely on other third- party licensors in the future. If we lose our existing licenses or are unable to acquire or license additional proprietary rights from these licensors or other third parties, we may not be able to continue developing and commercializing our products.</w:t>
      </w:r>
    </w:p>
    <w:p>
      <w:pPr>
        <w:ind w:left="620" w:right="2540"/>
        <w:spacing w:after="0" w:line="228" w:lineRule="auto"/>
        <w:rPr>
          <w:sz w:val="20"/>
          <w:szCs w:val="20"/>
          <w:color w:val="auto"/>
        </w:rPr>
      </w:pPr>
      <w:r>
        <w:rPr>
          <w:rFonts w:ascii="Times New Roman" w:cs="Times New Roman" w:eastAsia="Times New Roman" w:hAnsi="Times New Roman"/>
          <w:sz w:val="12"/>
          <w:szCs w:val="12"/>
          <w:color w:val="auto"/>
        </w:rPr>
        <w:t>We currently in -license certain technology and intellectual property from third parties to be able to use such technology and intellectual property in our products and product candidates and to aid in our research activities. In the future we may in-license technology and intellectual property from additional licensors.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We rely on certain of these licensors to file and prosecute patent applications and maintain patents and otherwise</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protect the technology and intellectual property we license from them. We have limited control over these activities or any other technology and intellectual property that may be related to our in -licensed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technology and intellectual property that is licensed to us.</w:t>
      </w:r>
    </w:p>
    <w:p>
      <w:pPr>
        <w:spacing w:after="0" w:line="1" w:lineRule="exact"/>
        <w:rPr>
          <w:sz w:val="20"/>
          <w:szCs w:val="20"/>
          <w:color w:val="auto"/>
        </w:rPr>
      </w:pPr>
    </w:p>
    <w:p>
      <w:pPr>
        <w:ind w:left="620" w:right="2300"/>
        <w:spacing w:after="0" w:line="225" w:lineRule="auto"/>
        <w:rPr>
          <w:sz w:val="20"/>
          <w:szCs w:val="20"/>
          <w:color w:val="auto"/>
        </w:rPr>
      </w:pPr>
      <w:r>
        <w:rPr>
          <w:rFonts w:ascii="Times New Roman" w:cs="Times New Roman" w:eastAsia="Times New Roman" w:hAnsi="Times New Roman"/>
          <w:sz w:val="12"/>
          <w:szCs w:val="12"/>
          <w:color w:val="auto"/>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proceed without making use of the technologies, compositions or methods covered by such third-party intellectual property rights and may need to attempt to develop alternative approaches that do not infringe on such intellectual property rights which may entail additional costs and development delays, even if we were able to develop such alternatives, which may not be feasible at a reasonable cost or at all. The licensing and acquisition of third - party intellectual property rights is a competitive practice, and companies that may be more established, or have greater resources or greater clinical or commercialization capabilities than we do, may also be pursuing strategies to license or acquire third-party intellectual property rights that we may consider necessary or attractive in order to commercialize our product candidates, products and related proprietary technologies. Furthermore, companies that perceive us to be a competitor may be unwilling to assign or license rights to us. Even if we are able to obtain a license under third -party intellectual property rights, any such license may be non -exclusive, which may allow our competitors to access the same technologies licensed to us. If we are unable to successfully obtain rights to additional technologies or products, our business, financial condition, results of operations and prospects for growth could suffer. Our existing in- licenses impose various diligence, milestone payment, royalty and other obligations on us. If we fail to comply with these obligations or otherwise materially breach a license agreement, our licensors or collaboration partners may have the right to terminate the license. Under the terms of some of the relevant agreements, our collaboration partners also have the right to terminate the agreements at their discretion. In the event of termination of any of these agreements, we may not be able to develop or market the products covered by such licensed intellectual property. In addition, any claims asserted against us by our licensors may be costly and time -consuming, divert the attention of key personnel from business operations or otherwise have a material adverse effect on our business.</w:t>
      </w:r>
    </w:p>
    <w:p>
      <w:pPr>
        <w:spacing w:after="0" w:line="5" w:lineRule="exact"/>
        <w:rPr>
          <w:sz w:val="20"/>
          <w:szCs w:val="20"/>
          <w:color w:val="auto"/>
        </w:rPr>
      </w:pPr>
    </w:p>
    <w:p>
      <w:pPr>
        <w:ind w:left="620" w:right="2280"/>
        <w:spacing w:after="0" w:line="227" w:lineRule="auto"/>
        <w:rPr>
          <w:sz w:val="20"/>
          <w:szCs w:val="20"/>
          <w:color w:val="auto"/>
        </w:rPr>
      </w:pPr>
      <w:r>
        <w:rPr>
          <w:rFonts w:ascii="Times New Roman" w:cs="Times New Roman" w:eastAsia="Times New Roman" w:hAnsi="Times New Roman"/>
          <w:sz w:val="12"/>
          <w:szCs w:val="12"/>
          <w:b w:val="1"/>
          <w:bCs w:val="1"/>
          <w:i w:val="1"/>
          <w:iCs w:val="1"/>
          <w:color w:val="auto"/>
        </w:rPr>
        <w:t xml:space="preserve">We may become involved in lawsuits to protect or enforce our patents or other intellectual property. </w:t>
      </w:r>
      <w:r>
        <w:rPr>
          <w:rFonts w:ascii="Times New Roman" w:cs="Times New Roman" w:eastAsia="Times New Roman" w:hAnsi="Times New Roman"/>
          <w:sz w:val="12"/>
          <w:szCs w:val="12"/>
          <w:color w:val="auto"/>
        </w:rPr>
        <w:t>Competitors may infringe our patents, trademarks or other intellectual property. To counter infringement or unauthorized use, we may be required to file infringement claims on a country-by-country basis,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continuing its activities on the grounds that our patent claims do not cover these activities.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which could materially harm our business and negatively affect sales of our products. Similarly, if we assert trademark or trade name infringement claims, a court may determine that the trademarks or trade names we have asserted are invalid or unenforceable, or that the party against whom we have asserted infringement has superior rights to the marks in question. In this case, we could ultimately be forced to cease use of such trademarks or trade names, which we may need in order to build name recognition with potential collaboration partners or customers in our markets of interest, thus this could materially harm our business and negatively affect our position in the marketplace.</w:t>
      </w:r>
    </w:p>
    <w:p>
      <w:pPr>
        <w:spacing w:after="0" w:line="2" w:lineRule="exact"/>
        <w:rPr>
          <w:sz w:val="20"/>
          <w:szCs w:val="20"/>
          <w:color w:val="auto"/>
        </w:rPr>
      </w:pPr>
    </w:p>
    <w:p>
      <w:pPr>
        <w:jc w:val="both"/>
        <w:ind w:left="620" w:right="2520"/>
        <w:spacing w:after="0" w:line="228" w:lineRule="auto"/>
        <w:rPr>
          <w:sz w:val="20"/>
          <w:szCs w:val="20"/>
          <w:color w:val="auto"/>
        </w:rPr>
      </w:pPr>
      <w:r>
        <w:rPr>
          <w:rFonts w:ascii="Times New Roman" w:cs="Times New Roman" w:eastAsia="Times New Roman" w:hAnsi="Times New Roman"/>
          <w:sz w:val="12"/>
          <w:szCs w:val="12"/>
          <w:color w:val="auto"/>
        </w:rPr>
        <w:t>Further, even if we prevail against an infringer in a US district court or foreign trial-level court, there is always the risk that the infringer will file an appeal and the initial court judgment will be overturned at the appeals court and/or that an adverse decision will be issued by the appeals court relating to the validity or enforceability of our patents. An adverse</w:t>
      </w:r>
    </w:p>
    <w:p>
      <w:pPr>
        <w:sectPr>
          <w:pgSz w:w="11900" w:h="16840" w:orient="portrait"/>
          <w:cols w:equalWidth="0" w:num="1">
            <w:col w:w="9020"/>
          </w:cols>
          <w:pgMar w:left="1440" w:top="559" w:right="1440"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620"/>
        <w:spacing w:after="0" w:line="215" w:lineRule="auto"/>
        <w:rPr>
          <w:sz w:val="20"/>
          <w:szCs w:val="20"/>
          <w:color w:val="auto"/>
        </w:rPr>
      </w:pPr>
      <w:r>
        <w:rPr>
          <w:rFonts w:ascii="Times New Roman" w:cs="Times New Roman" w:eastAsia="Times New Roman" w:hAnsi="Times New Roman"/>
          <w:sz w:val="12"/>
          <w:szCs w:val="12"/>
          <w:color w:val="auto"/>
        </w:rPr>
        <w:t>result in any litigation proceeding could put one or more of our patents at risk of being invalidated or interpreted in a manner insufficient to achieve our business objectives.</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certain territories, there is a risk that some of our confidential information could be compromised by disclosure during litigation. There could also be public announcements of the results of hearings, motions or other interim proceedings or developments, which securities analysts or investors could perceive to be negative.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 xml:space="preserve">Claims that our products or product candidates or their uses infringe the intellectual property rights of third parties could result in the need for third-party licenses with royalty payments or costly litigation with unfavorable outcomes. </w:t>
      </w:r>
      <w:r>
        <w:rPr>
          <w:rFonts w:ascii="Times New Roman" w:cs="Times New Roman" w:eastAsia="Times New Roman" w:hAnsi="Times New Roman"/>
          <w:sz w:val="12"/>
          <w:szCs w:val="12"/>
          <w:color w:val="auto"/>
        </w:rPr>
        <w:t>Even if we or our collaboration partners have or obtain patents covering our technologies, products, product candidates, compositions or uses, we or our collaboration partners may still be barred from making, using, importing or selling or otherwise exploiting our products, product candidates or technologies because of the patent rights of others. Our competitors have filed, and in the future may file, patent applications covering technology, compositions or products and uses that are similar or identical to ours. There are many issued US, European and other worldwide patents relating to therapeutic drugs, and some of these may relate to compounds we or our collaboration partners intend to commercialize. Numerous worldwide patents and pending patent applications owned by others exist in the cancer field and may cover products or product candidates which we or our collaboration partners are developing. It is difficult for industry participants, including us, to identify all third-party patent rights relevant to our products, product candidates and technologies. We cannot guarantee that our technologies, products, product candidates, compositions and their uses do not or will not infringe third- party patents or other intellectual property rights. Because patent applications usually take</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18 months to publish and many years to issue, there may be currently pending applications with patent claims unknown to us or which will change over time and may later result in issued patents that purportedly cover our technologies, products, product candidates or compositions and uses. These patent applications may have been filed earlier than or have priority over patent applications filed by us or our collaboration partners. We may be required to develop or obtain alternative technologies, review product design or, in the case of claims concerning registered trademarks, rename our products or product candidates.</w:t>
      </w:r>
    </w:p>
    <w:p>
      <w:pPr>
        <w:spacing w:after="0" w:line="1" w:lineRule="exact"/>
        <w:rPr>
          <w:sz w:val="20"/>
          <w:szCs w:val="20"/>
          <w:color w:val="auto"/>
        </w:rPr>
      </w:pPr>
    </w:p>
    <w:p>
      <w:pPr>
        <w:ind w:left="620" w:right="2260"/>
        <w:spacing w:after="0" w:line="228" w:lineRule="auto"/>
        <w:rPr>
          <w:sz w:val="20"/>
          <w:szCs w:val="20"/>
          <w:color w:val="auto"/>
        </w:rPr>
      </w:pPr>
      <w:r>
        <w:rPr>
          <w:rFonts w:ascii="Times New Roman" w:cs="Times New Roman" w:eastAsia="Times New Roman" w:hAnsi="Times New Roman"/>
          <w:sz w:val="12"/>
          <w:szCs w:val="12"/>
          <w:color w:val="auto"/>
        </w:rPr>
        <w:t>Claims that our or our collaboration partners’ technologies, products, product candidates, compositions or their uses infringe or interfere with the patent rights of third parties, or that we, our employees, our consultants or our collaboration partners have misappropriated third -party trade secrets, are being brought from time to time and can result in costly litigation and could require substantial time and money to resolve, even if litigation is avoided.When we, our employees, our consultants or our collaboration partners face infringement claims or challenges by third parties, an adverse outcome could subject us or our collaboration partners to significant liabilities to such third parties. Litigation or threatened litigation could result in significant demands on the time and attention of our management team. A negative outcome could expose us or our collaboration partners to payment of costs, damages and other financial remedies, including in some jurisdictions, increased damages, such as treble damages and attorneys’ fees, if we were found to have willfully infringed a patent, and equitable remedies such as restraining orders or injunctions. Litigation with third parties concerning alleged infringement of their intellectual property rights could require us and our collaboration partners to bear substantial costs and impose burdens on our and their management and personnel, even if we or our collaboration partners were to ultimately succeed in such proceedings. Costs of patent litigation and awards of damages in patent infringement cases can be significant, and equitable remedies such as temporary restraining orders and injunctions can negatively impact or prevent product development and commercialization. A negative outcome could also lead us or our collaboration partners to delay, curtail or cease the development and commercialization of some or all of our products and product candidates, or could cause us or our collaboration partners to seek legal or administrative actions against third parties. We or our collaboration partners may need to obtain licenses from third parties and such licenses may not be available on commercially reasonable terms, or at all. Even if we are able to obtain licenses from a third-party to resolve a dispute, such settlement arrangements could involve substantial costs including one-time and/or ongoing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may be unable to protect the confidentiality of our trade secrets and know-how.</w:t>
      </w:r>
    </w:p>
    <w:p>
      <w:pPr>
        <w:ind w:left="620"/>
        <w:spacing w:after="0" w:line="215" w:lineRule="auto"/>
        <w:rPr>
          <w:sz w:val="20"/>
          <w:szCs w:val="20"/>
          <w:color w:val="auto"/>
        </w:rPr>
      </w:pPr>
      <w:r>
        <w:rPr>
          <w:rFonts w:ascii="Times New Roman" w:cs="Times New Roman" w:eastAsia="Times New Roman" w:hAnsi="Times New Roman"/>
          <w:sz w:val="12"/>
          <w:szCs w:val="12"/>
          <w:color w:val="auto"/>
        </w:rPr>
        <w:t>In addition to seeking patent protection for our products and product candidates, we also rely on trade secrets,</w:t>
      </w:r>
    </w:p>
    <w:p>
      <w:pPr>
        <w:ind w:left="620" w:right="2300"/>
        <w:spacing w:after="0" w:line="229" w:lineRule="auto"/>
        <w:rPr>
          <w:sz w:val="20"/>
          <w:szCs w:val="20"/>
          <w:color w:val="auto"/>
        </w:rPr>
      </w:pPr>
      <w:r>
        <w:rPr>
          <w:rFonts w:ascii="Times New Roman" w:cs="Times New Roman" w:eastAsia="Times New Roman" w:hAnsi="Times New Roman"/>
          <w:sz w:val="12"/>
          <w:szCs w:val="12"/>
          <w:color w:val="auto"/>
        </w:rPr>
        <w:t>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collaboration partners, consultants, advisors, vendors, university and/or institutional researchers and other third parties. We also have entered or seek to enter into confidentiality and invention or patent assignment agreements with our employees, advisors and consultants. Despite these efforts, any of these parties may breach the agreements and disclose our proprietary information, including our trade secrets, and once disclosed we may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 consuming, and the outcome is unpredictable and may be inadequate. In addition, some courts inside and outside the US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5" w:lineRule="exact"/>
        <w:rPr>
          <w:sz w:val="20"/>
          <w:szCs w:val="20"/>
          <w:color w:val="auto"/>
        </w:rPr>
      </w:pPr>
    </w:p>
    <w:p>
      <w:pPr>
        <w:ind w:left="620" w:right="2320"/>
        <w:spacing w:after="0"/>
        <w:rPr>
          <w:sz w:val="20"/>
          <w:szCs w:val="20"/>
          <w:color w:val="auto"/>
        </w:rPr>
      </w:pPr>
      <w:r>
        <w:rPr>
          <w:rFonts w:ascii="Times New Roman" w:cs="Times New Roman" w:eastAsia="Times New Roman" w:hAnsi="Times New Roman"/>
          <w:sz w:val="12"/>
          <w:szCs w:val="12"/>
          <w:b w:val="1"/>
          <w:bCs w:val="1"/>
          <w:i w:val="1"/>
          <w:iCs w:val="1"/>
          <w:color w:val="auto"/>
        </w:rPr>
        <w:t>We will not seek to protect our intellectual property rights or technologies in all jurisdictions throughout the world, and we may not be able to adequately enforce our intellectual property rights even in the jurisdictions where we seek protection.</w:t>
      </w:r>
    </w:p>
    <w:p>
      <w:pPr>
        <w:spacing w:after="0" w:line="95" w:lineRule="exact"/>
        <w:rPr>
          <w:sz w:val="20"/>
          <w:szCs w:val="20"/>
          <w:color w:val="auto"/>
        </w:rPr>
      </w:pPr>
    </w:p>
    <w:p>
      <w:pPr>
        <w:ind w:left="620" w:right="2480"/>
        <w:spacing w:after="0" w:line="234" w:lineRule="auto"/>
        <w:rPr>
          <w:sz w:val="20"/>
          <w:szCs w:val="20"/>
          <w:color w:val="auto"/>
        </w:rPr>
      </w:pPr>
      <w:r>
        <w:rPr>
          <w:rFonts w:ascii="Times New Roman" w:cs="Times New Roman" w:eastAsia="Times New Roman" w:hAnsi="Times New Roman"/>
          <w:sz w:val="12"/>
          <w:szCs w:val="12"/>
          <w:color w:val="auto"/>
        </w:rPr>
        <w:t>Obtaining and maintaining a patent portfolio entails significant expense and resources. Filing, prosecuting and defending patents on our technologies, products and product candidates in all countries and jurisdictions throughout the</w:t>
      </w:r>
    </w:p>
    <w:p>
      <w:pPr>
        <w:sectPr>
          <w:pgSz w:w="11900" w:h="16840" w:orient="portrait"/>
          <w:cols w:equalWidth="0" w:num="1">
            <w:col w:w="9020"/>
          </w:cols>
          <w:pgMar w:left="1440" w:top="1440" w:right="1440" w:bottom="71" w:gutter="0" w:footer="0" w:header="0"/>
        </w:sectPr>
      </w:pPr>
    </w:p>
    <w:bookmarkStart w:id="17" w:name="page18"/>
    <w:bookmarkEnd w:id="17"/>
    <w:p>
      <w:pPr>
        <w:ind w:left="620" w:right="2280"/>
        <w:spacing w:after="0" w:line="239" w:lineRule="auto"/>
        <w:rPr>
          <w:sz w:val="20"/>
          <w:szCs w:val="20"/>
          <w:color w:val="auto"/>
        </w:rPr>
      </w:pPr>
      <w:r>
        <w:rPr>
          <w:rFonts w:ascii="Times New Roman" w:cs="Times New Roman" w:eastAsia="Times New Roman" w:hAnsi="Times New Roman"/>
          <w:sz w:val="12"/>
          <w:szCs w:val="12"/>
          <w:color w:val="auto"/>
        </w:rPr>
        <w:t>world would be prohibitively expensive and, therefore, we typically elect to seek protections in certain jurisdictions only. We may choose not to pursue or maintain protection for particular inventions, products or product candidates.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forego patent protection or allow a patent application or patent to lapse purposefully or inadvertently, our competitive position could suffer, and our contractual royalty rates on sales of wholly- or partially-partnered products in the relevant jurisdictions may be reduced. Competitors may use our technologies in jurisdictions where we do not pursue and obtain patent protection to develop their own products in a manner that exploits our technologies and, further, may export otherwise infringing products to territories where we have patent protection, but enforcement is not as strong as that in the US or in Europe, and thus such protection may not be sufficient to prevent or stop infringing activities.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 requirements for patentability may differ from country to country, particularly in developing countries, and the breadth of patent claims allowed can be inconsistent. In addition,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or the misappropriation of our other intellectual property rights. Also, many foreign countries have compulsory licensing laws under which a patent owner must grant licenses to third parties if the patents are not being exploited within a certain time period. In addition, many countries limit the enforceability of patents against third parties, including government agencies or government contractors. In these countries, patents may provide limited or no benefit. Patent protection must ultimately be sought on a country-by- country or region-by-region basis, which is an expensive and time- consuming process with uncertain outcomes. If we fail to timely file a patent application in a specific country or major market, we may be precluded from doing so at a later date.</w:t>
      </w:r>
    </w:p>
    <w:p>
      <w:pPr>
        <w:spacing w:after="0" w:line="1" w:lineRule="exact"/>
        <w:rPr>
          <w:sz w:val="20"/>
          <w:szCs w:val="20"/>
          <w:color w:val="auto"/>
        </w:rPr>
      </w:pPr>
    </w:p>
    <w:p>
      <w:pPr>
        <w:ind w:left="620" w:right="2300"/>
        <w:spacing w:after="0" w:line="220" w:lineRule="auto"/>
        <w:rPr>
          <w:sz w:val="20"/>
          <w:szCs w:val="20"/>
          <w:color w:val="auto"/>
        </w:rPr>
      </w:pPr>
      <w:r>
        <w:rPr>
          <w:rFonts w:ascii="Times New Roman" w:cs="Times New Roman" w:eastAsia="Times New Roman" w:hAnsi="Times New Roman"/>
          <w:sz w:val="12"/>
          <w:szCs w:val="12"/>
          <w:color w:val="auto"/>
        </w:rPr>
        <w:t>In addition, changes in the law and legal decisions by courts in the US, Europe and foreign countries may affect our ability to obtain or maintain adequate protection for our technologies, products, product candidates or compositions or uses thereof and the enforcement of intellectual property, and may apply retroactively to affect the term and/or scope of our patents. Additionally, the legal systems of certain countries, particularly China and certain other countries, may not protect patents, trade secrets and other intellectual property to the same extent or in the same manner as the laws of the US, particularly those relating to medical devices and biopharmaceutical and biotechnology products, which could make it difficult for us to prevent or stop the infringement of our patents or other violations of our proprietary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34" w:lineRule="auto"/>
        <w:rPr>
          <w:sz w:val="20"/>
          <w:szCs w:val="20"/>
          <w:color w:val="auto"/>
        </w:rPr>
      </w:pPr>
      <w:r>
        <w:rPr>
          <w:rFonts w:ascii="Times New Roman" w:cs="Times New Roman" w:eastAsia="Times New Roman" w:hAnsi="Times New Roman"/>
          <w:sz w:val="12"/>
          <w:szCs w:val="12"/>
          <w:color w:val="auto"/>
        </w:rPr>
        <w:t>Third parties may in the future make claims challenging the inventorship or ownership of our intellectual property. We have written agreements with our collaboration partners that provide for the ownership of intellectual property arising from our collaborations. In some instances, there may not be adequate written provisions to address clearly the resolution of intellectual property rights that may arise from collaboration. Disputes may arise with respect to ownership of the intellectual property developed pursuant to such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 financial condition, results of operations and future growth prospects.</w:t>
      </w:r>
    </w:p>
    <w:p>
      <w:pPr>
        <w:spacing w:after="0" w:line="5" w:lineRule="exact"/>
        <w:rPr>
          <w:sz w:val="20"/>
          <w:szCs w:val="20"/>
          <w:color w:val="auto"/>
        </w:rPr>
      </w:pP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Accordingly, our efforts to enforce our intellectual property rights around the world may be inadequate to obtain a significant commercial advantage from the intellectual property that we develop or license.</w:t>
      </w:r>
    </w:p>
    <w:p>
      <w:pPr>
        <w:ind w:left="620" w:right="234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 xml:space="preserve">If our trademarks and trade names are not adequately protected, then we may not be able to build name recognition. </w:t>
      </w:r>
      <w:r>
        <w:rPr>
          <w:rFonts w:ascii="Times New Roman" w:cs="Times New Roman" w:eastAsia="Times New Roman" w:hAnsi="Times New Roman"/>
          <w:sz w:val="12"/>
          <w:szCs w:val="12"/>
          <w:color w:val="auto"/>
        </w:rPr>
        <w:t>Our registered or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collaboration partners or customers in our markets of interest. If we do not own or control trademarks associated with our products, product candidates or technologies, we may not be in control of defending against any claims brought against those trademarks.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In addition, any proprietary name we propose to use with any of our product candidates in the US or other jurisdictions must be approved by the FDA, the EMA or other governmental authorities, regardless of whether we have registered, or applied to register, the proposed proprietary name as a trademark. The FDA typically conducts a review of proposed product names, including an evaluation of potential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Risks Related to Government Regulation</w:t>
      </w:r>
    </w:p>
    <w:p>
      <w:pPr>
        <w:ind w:left="620" w:right="23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Government restrictions on pricing and reimbursement, as well as other healthcare payer cost-containment initiatives, may negatively impact our ability to generate revenue.</w:t>
      </w:r>
    </w:p>
    <w:p>
      <w:pPr>
        <w:ind w:left="620"/>
        <w:spacing w:after="0" w:line="215" w:lineRule="auto"/>
        <w:rPr>
          <w:sz w:val="20"/>
          <w:szCs w:val="20"/>
          <w:color w:val="auto"/>
        </w:rPr>
      </w:pPr>
      <w:r>
        <w:rPr>
          <w:rFonts w:ascii="Times New Roman" w:cs="Times New Roman" w:eastAsia="Times New Roman" w:hAnsi="Times New Roman"/>
          <w:sz w:val="12"/>
          <w:szCs w:val="12"/>
          <w:color w:val="auto"/>
        </w:rPr>
        <w:t>Sales of certain of our products and our product candidates, if and when approved for marketing, have and will</w:t>
      </w:r>
    </w:p>
    <w:p>
      <w:pPr>
        <w:ind w:left="620" w:right="2280"/>
        <w:spacing w:after="0" w:line="218" w:lineRule="auto"/>
        <w:rPr>
          <w:sz w:val="20"/>
          <w:szCs w:val="20"/>
          <w:color w:val="auto"/>
        </w:rPr>
      </w:pPr>
      <w:r>
        <w:rPr>
          <w:rFonts w:ascii="Times New Roman" w:cs="Times New Roman" w:eastAsia="Times New Roman" w:hAnsi="Times New Roman"/>
          <w:sz w:val="12"/>
          <w:szCs w:val="12"/>
          <w:color w:val="auto"/>
        </w:rPr>
        <w:t>depend, in part, on the extent to which our products will be covered by third-party payers, such as US government health care programs like Medicare and Medicaid, commercial insurance and managed healthcare organizations. These third-party payers play an important role in determining the extent to which new drugs, biologics and medical devices will be covered. The Medicare and Medicaid programs increasingly are used as models for how private payers and other governmental payers develop their coverage and reimbursement policies for drugs, biologics and medical devices. It is difficult to predict at this time what third-party payers will decide with respect to coverage and reimbursement for our product candidates. Further, the adoption and implementation of any future governmental cost containment or other health reform initiative may result in additional downward pressure on the price that we may receive for any approved product. Outside the US, international operations are generally subject to extensive governmental price controls and other market regulations. Therefore, the reimbursement for our products may be reduced compared with the US and may be insufficient to generate commercially reasonable revenue and profits. Adoption of price controls, cost containment measures, and adoption of more restrictive policies in jurisdictions with existing controls and measures could limit our net revenue and results.</w:t>
      </w:r>
    </w:p>
    <w:p>
      <w:pPr>
        <w:sectPr>
          <w:pgSz w:w="11900" w:h="16840" w:orient="portrait"/>
          <w:cols w:equalWidth="0" w:num="1">
            <w:col w:w="9020"/>
          </w:cols>
          <w:pgMar w:left="1440" w:top="559" w:right="1440" w:bottom="1440" w:gutter="0" w:footer="0" w:header="0"/>
        </w:sectPr>
      </w:pPr>
    </w:p>
    <w:bookmarkStart w:id="18" w:name="page19"/>
    <w:bookmarkEnd w:id="18"/>
    <w:p>
      <w:pPr>
        <w:spacing w:after="0" w:line="200" w:lineRule="exact"/>
        <w:rPr>
          <w:sz w:val="20"/>
          <w:szCs w:val="20"/>
          <w:color w:val="auto"/>
        </w:rPr>
      </w:pPr>
    </w:p>
    <w:p>
      <w:pPr>
        <w:spacing w:after="0" w:line="3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29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jc w:val="both"/>
        <w:ind w:left="620" w:right="2560"/>
        <w:spacing w:after="0" w:line="215" w:lineRule="auto"/>
        <w:rPr>
          <w:sz w:val="20"/>
          <w:szCs w:val="20"/>
          <w:color w:val="auto"/>
        </w:rPr>
      </w:pPr>
      <w:r>
        <w:rPr>
          <w:rFonts w:ascii="Times New Roman" w:cs="Times New Roman" w:eastAsia="Times New Roman" w:hAnsi="Times New Roman"/>
          <w:sz w:val="12"/>
          <w:szCs w:val="12"/>
          <w:color w:val="auto"/>
        </w:rPr>
        <w:t>Further, from time to time, typically on an annual basis, payment rates are updated and revised by third-party payers. Such updates could impact the demand for our products, to the extent that patients who are prescribed our products, if approved, are not separately reimbursed for the cost of the product.</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In addition, in certain jurisdictions, marketing approval for a product, or the ability to launch an approved product, is subject to determination of pricing and reimbursement levels. In such jurisdictions, even if we or our collaboration partners are able to obtain marketing approval for our products, commercialization of our products may be significantly delayed or prevented altogether if we are unable to secure reimbursement for our products, at competitive levels or at all.</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Moreover, increasing efforts by governmental and third-party payers in the US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successful commercialization of new products.</w:t>
      </w:r>
    </w:p>
    <w:p>
      <w:pPr>
        <w:ind w:left="620"/>
        <w:spacing w:after="0" w:line="216" w:lineRule="auto"/>
        <w:rPr>
          <w:sz w:val="20"/>
          <w:szCs w:val="20"/>
          <w:color w:val="auto"/>
        </w:rPr>
      </w:pPr>
      <w:r>
        <w:rPr>
          <w:rFonts w:ascii="Times New Roman" w:cs="Times New Roman" w:eastAsia="Times New Roman" w:hAnsi="Times New Roman"/>
          <w:sz w:val="12"/>
          <w:szCs w:val="12"/>
          <w:color w:val="auto"/>
        </w:rPr>
        <w:t>In addition, any products we or our collaboration partners are able to commercialize may be subject to competition</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from lower-priced imports of those same products, leading to reduced revenues and lower sales margins, as well as lower-priced imports of competing products from countries with government price controls or other market dynamics that, in each case, reduce prices of products.</w:t>
      </w:r>
    </w:p>
    <w:p>
      <w:pPr>
        <w:ind w:left="620" w:right="23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Once a product is approved, the manufacturing processes, labeling, packaging, distribution, adverse event reporting, storage, advertising, promotion and recordkeeping for the product will be subject to extensive and ongoing regulatory requirements. For US approvals, the holder of an approved Biologics License Application (“</w:t>
      </w:r>
      <w:r>
        <w:rPr>
          <w:rFonts w:ascii="Times New Roman" w:cs="Times New Roman" w:eastAsia="Times New Roman" w:hAnsi="Times New Roman"/>
          <w:sz w:val="12"/>
          <w:szCs w:val="12"/>
          <w:b w:val="1"/>
          <w:bCs w:val="1"/>
          <w:color w:val="auto"/>
        </w:rPr>
        <w:t>BLA</w:t>
      </w:r>
      <w:r>
        <w:rPr>
          <w:rFonts w:ascii="Times New Roman" w:cs="Times New Roman" w:eastAsia="Times New Roman" w:hAnsi="Times New Roman"/>
          <w:sz w:val="12"/>
          <w:szCs w:val="12"/>
          <w:color w:val="auto"/>
        </w:rPr>
        <w:t>”) is subject to periodic and other FDA monitoring and reporting obligations, including obligations to monitor and report adverse events and instances of the failure of a product to meet the specifications in the BLA. In addition, the FDA strictly regulates the promotional claims that may be made about pharmaceutical products. In particular, a product may not be promoted for uses that are not approved by the FDA as reflected in the product’s approved labeling. Application holders must also submit advertising and other promotional material to the FDA and report on ongoing clinical trials.</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Advertising and promotional materials must comply with FDA rules in addition to other potentially applicable federal and state laws. In addition, we or our collaboration partners may be subject to significant liability if physicians prescribe any of our products to patients in a manner that is inconsistent with the approved label and if we are found to have promoted off-label uses of such products. The FDA has also requested that companies enter into consent decrees or permanent injunctions under which specified promotional conduct is changed or curtailed. Manufacturing facilities remain subject to FDA inspection and must continue to adhere to the FDA’s cGMP requirements. Application holders must obtain FDA approval for product and manufacturing changes, depending on the nature of the change. In addition, any regulatory approvals that we or our collaboration partners receive for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w:t>
      </w:r>
    </w:p>
    <w:p>
      <w:pPr>
        <w:spacing w:after="0" w:line="1" w:lineRule="exact"/>
        <w:rPr>
          <w:sz w:val="20"/>
          <w:szCs w:val="20"/>
          <w:color w:val="auto"/>
        </w:rPr>
      </w:pPr>
    </w:p>
    <w:p>
      <w:pPr>
        <w:ind w:left="620" w:right="2340"/>
        <w:spacing w:after="0" w:line="220" w:lineRule="auto"/>
        <w:rPr>
          <w:sz w:val="20"/>
          <w:szCs w:val="20"/>
          <w:color w:val="auto"/>
        </w:rPr>
      </w:pPr>
      <w:r>
        <w:rPr>
          <w:rFonts w:ascii="Times New Roman" w:cs="Times New Roman" w:eastAsia="Times New Roman" w:hAnsi="Times New Roman"/>
          <w:sz w:val="12"/>
          <w:szCs w:val="12"/>
          <w:color w:val="auto"/>
        </w:rPr>
        <w:t>Sales, marketing, patient support, and scientific/educational grant programs in the US must comply with the US Medicare-Medicaid Anti -Fraud and Abuse Act, as amended, the False Claims Act, also as amended, the federal Anti-Kickback Statute, the Federal Food, Drug and Cosmetic Act, and similar state laws. Pricing and rebate programs must comply with the Medicaid rebate requirements of the Omnibus Budget Reconciliation Act of 1990, as amended, and the Veteran’s Health Care Act,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Within the EU, once a marketing authorization is obtained, numerous post-approval requirements also apply. The</w:t>
      </w:r>
    </w:p>
    <w:p>
      <w:pPr>
        <w:ind w:left="620"/>
        <w:spacing w:after="0" w:line="215" w:lineRule="auto"/>
        <w:rPr>
          <w:sz w:val="20"/>
          <w:szCs w:val="20"/>
          <w:color w:val="auto"/>
        </w:rPr>
      </w:pPr>
      <w:r>
        <w:rPr>
          <w:rFonts w:ascii="Times New Roman" w:cs="Times New Roman" w:eastAsia="Times New Roman" w:hAnsi="Times New Roman"/>
          <w:sz w:val="12"/>
          <w:szCs w:val="12"/>
          <w:color w:val="auto"/>
        </w:rPr>
        <w:t>requirements are promulgated by both EU regulations (such as reporting of adverse events, etc.) as well as national</w:t>
      </w:r>
    </w:p>
    <w:p>
      <w:pPr>
        <w:ind w:left="620"/>
        <w:spacing w:after="0" w:line="215" w:lineRule="auto"/>
        <w:rPr>
          <w:sz w:val="20"/>
          <w:szCs w:val="20"/>
          <w:color w:val="auto"/>
        </w:rPr>
      </w:pPr>
      <w:r>
        <w:rPr>
          <w:rFonts w:ascii="Times New Roman" w:cs="Times New Roman" w:eastAsia="Times New Roman" w:hAnsi="Times New Roman"/>
          <w:sz w:val="12"/>
          <w:szCs w:val="12"/>
          <w:color w:val="auto"/>
        </w:rPr>
        <w:t>applicable regulations (related to, for example, prices and promotional material). In addition, as part of its marketing</w:t>
      </w:r>
    </w:p>
    <w:p>
      <w:pPr>
        <w:ind w:left="620"/>
        <w:spacing w:after="0" w:line="215" w:lineRule="auto"/>
        <w:rPr>
          <w:sz w:val="20"/>
          <w:szCs w:val="20"/>
          <w:color w:val="auto"/>
        </w:rPr>
      </w:pPr>
      <w:r>
        <w:rPr>
          <w:rFonts w:ascii="Times New Roman" w:cs="Times New Roman" w:eastAsia="Times New Roman" w:hAnsi="Times New Roman"/>
          <w:sz w:val="12"/>
          <w:szCs w:val="12"/>
          <w:color w:val="auto"/>
        </w:rPr>
        <w:t>authorization process, the EMA may grant marketing authorizations on the basis of less complete data than is normally</w:t>
      </w:r>
    </w:p>
    <w:p>
      <w:pPr>
        <w:ind w:left="620"/>
        <w:spacing w:after="0" w:line="216" w:lineRule="auto"/>
        <w:rPr>
          <w:sz w:val="20"/>
          <w:szCs w:val="20"/>
          <w:color w:val="auto"/>
        </w:rPr>
      </w:pPr>
      <w:r>
        <w:rPr>
          <w:rFonts w:ascii="Times New Roman" w:cs="Times New Roman" w:eastAsia="Times New Roman" w:hAnsi="Times New Roman"/>
          <w:sz w:val="12"/>
          <w:szCs w:val="12"/>
          <w:color w:val="auto"/>
        </w:rPr>
        <w:t>required, when, for certain categories of medicinal products, doing so may meet unmet medical needs of patients and serve</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interest of public health. In such cases, it is possible for the Committee for Medicinal Products for Human Use</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CHMP</w:t>
      </w:r>
      <w:r>
        <w:rPr>
          <w:rFonts w:ascii="Times New Roman" w:cs="Times New Roman" w:eastAsia="Times New Roman" w:hAnsi="Times New Roman"/>
          <w:sz w:val="12"/>
          <w:szCs w:val="12"/>
          <w:color w:val="auto"/>
        </w:rPr>
        <w:t>”), to recommend the granting of a marketing authorization, subject to certain specific obligations to be reviewed</w:t>
      </w:r>
    </w:p>
    <w:p>
      <w:pPr>
        <w:ind w:left="620"/>
        <w:spacing w:after="0" w:line="215" w:lineRule="auto"/>
        <w:rPr>
          <w:sz w:val="20"/>
          <w:szCs w:val="20"/>
          <w:color w:val="auto"/>
        </w:rPr>
      </w:pPr>
      <w:r>
        <w:rPr>
          <w:rFonts w:ascii="Times New Roman" w:cs="Times New Roman" w:eastAsia="Times New Roman" w:hAnsi="Times New Roman"/>
          <w:sz w:val="12"/>
          <w:szCs w:val="12"/>
          <w:color w:val="auto"/>
        </w:rPr>
        <w:t>annually, which is referred to as a conditional marketing authorization. This may apply to medicinal products for human</w:t>
      </w:r>
    </w:p>
    <w:p>
      <w:pPr>
        <w:ind w:left="620"/>
        <w:spacing w:after="0" w:line="215" w:lineRule="auto"/>
        <w:rPr>
          <w:sz w:val="20"/>
          <w:szCs w:val="20"/>
          <w:color w:val="auto"/>
        </w:rPr>
      </w:pPr>
      <w:r>
        <w:rPr>
          <w:rFonts w:ascii="Times New Roman" w:cs="Times New Roman" w:eastAsia="Times New Roman" w:hAnsi="Times New Roman"/>
          <w:sz w:val="12"/>
          <w:szCs w:val="12"/>
          <w:color w:val="auto"/>
        </w:rPr>
        <w:t>use that fall under the jurisdiction of the EMA, including those that target the treatment, prevention, or medical diagnosis of</w:t>
      </w:r>
    </w:p>
    <w:p>
      <w:pPr>
        <w:ind w:left="620"/>
        <w:spacing w:after="0" w:line="216" w:lineRule="auto"/>
        <w:rPr>
          <w:sz w:val="20"/>
          <w:szCs w:val="20"/>
          <w:color w:val="auto"/>
        </w:rPr>
      </w:pPr>
      <w:r>
        <w:rPr>
          <w:rFonts w:ascii="Times New Roman" w:cs="Times New Roman" w:eastAsia="Times New Roman" w:hAnsi="Times New Roman"/>
          <w:sz w:val="12"/>
          <w:szCs w:val="12"/>
          <w:color w:val="auto"/>
        </w:rPr>
        <w:t>seriously debilitating diseases or life-threatening diseases and those designated as orphan medicinal products. The granting</w:t>
      </w:r>
    </w:p>
    <w:p>
      <w:pPr>
        <w:ind w:left="620"/>
        <w:spacing w:after="0" w:line="215" w:lineRule="auto"/>
        <w:rPr>
          <w:sz w:val="20"/>
          <w:szCs w:val="20"/>
          <w:color w:val="auto"/>
        </w:rPr>
      </w:pPr>
      <w:r>
        <w:rPr>
          <w:rFonts w:ascii="Times New Roman" w:cs="Times New Roman" w:eastAsia="Times New Roman" w:hAnsi="Times New Roman"/>
          <w:sz w:val="12"/>
          <w:szCs w:val="12"/>
          <w:color w:val="auto"/>
        </w:rPr>
        <w:t>of a conditional marketing authorization is restricted to situations in which only the clinical part of the application is not yet</w:t>
      </w:r>
    </w:p>
    <w:p>
      <w:pPr>
        <w:ind w:left="620"/>
        <w:spacing w:after="0" w:line="215" w:lineRule="auto"/>
        <w:rPr>
          <w:sz w:val="20"/>
          <w:szCs w:val="20"/>
          <w:color w:val="auto"/>
        </w:rPr>
      </w:pPr>
      <w:r>
        <w:rPr>
          <w:rFonts w:ascii="Times New Roman" w:cs="Times New Roman" w:eastAsia="Times New Roman" w:hAnsi="Times New Roman"/>
          <w:sz w:val="12"/>
          <w:szCs w:val="12"/>
          <w:color w:val="auto"/>
        </w:rPr>
        <w:t>fully complete. Incomplete non-clinical or quality data may only be accepted if duly justified and only in the case of a</w:t>
      </w:r>
    </w:p>
    <w:p>
      <w:pPr>
        <w:ind w:left="620"/>
        <w:spacing w:after="0" w:line="215" w:lineRule="auto"/>
        <w:rPr>
          <w:sz w:val="20"/>
          <w:szCs w:val="20"/>
          <w:color w:val="auto"/>
        </w:rPr>
      </w:pPr>
      <w:r>
        <w:rPr>
          <w:rFonts w:ascii="Times New Roman" w:cs="Times New Roman" w:eastAsia="Times New Roman" w:hAnsi="Times New Roman"/>
          <w:sz w:val="12"/>
          <w:szCs w:val="12"/>
          <w:color w:val="auto"/>
        </w:rPr>
        <w:t>product intended to be used in emergency situations in response to public-health threats. Conditional marketing</w:t>
      </w:r>
    </w:p>
    <w:p>
      <w:pPr>
        <w:ind w:left="620"/>
        <w:spacing w:after="0" w:line="215" w:lineRule="auto"/>
        <w:rPr>
          <w:sz w:val="20"/>
          <w:szCs w:val="20"/>
          <w:color w:val="auto"/>
        </w:rPr>
      </w:pPr>
      <w:r>
        <w:rPr>
          <w:rFonts w:ascii="Times New Roman" w:cs="Times New Roman" w:eastAsia="Times New Roman" w:hAnsi="Times New Roman"/>
          <w:sz w:val="12"/>
          <w:szCs w:val="12"/>
          <w:color w:val="auto"/>
        </w:rPr>
        <w:t>authorizations are valid for one year, on a renewable basis. The holder will be required to complete ongoing trials or to</w:t>
      </w:r>
    </w:p>
    <w:p>
      <w:pPr>
        <w:ind w:left="620"/>
        <w:spacing w:after="0" w:line="216" w:lineRule="auto"/>
        <w:rPr>
          <w:sz w:val="20"/>
          <w:szCs w:val="20"/>
          <w:color w:val="auto"/>
        </w:rPr>
      </w:pPr>
      <w:r>
        <w:rPr>
          <w:rFonts w:ascii="Times New Roman" w:cs="Times New Roman" w:eastAsia="Times New Roman" w:hAnsi="Times New Roman"/>
          <w:sz w:val="12"/>
          <w:szCs w:val="12"/>
          <w:color w:val="auto"/>
        </w:rPr>
        <w:t>conduct new trials with a view to confirming that the benefit-risk balance is positive. In addition, specific obligations may</w:t>
      </w:r>
    </w:p>
    <w:p>
      <w:pPr>
        <w:ind w:left="620"/>
        <w:spacing w:after="0" w:line="215" w:lineRule="auto"/>
        <w:rPr>
          <w:sz w:val="20"/>
          <w:szCs w:val="20"/>
          <w:color w:val="auto"/>
        </w:rPr>
      </w:pPr>
      <w:r>
        <w:rPr>
          <w:rFonts w:ascii="Times New Roman" w:cs="Times New Roman" w:eastAsia="Times New Roman" w:hAnsi="Times New Roman"/>
          <w:sz w:val="12"/>
          <w:szCs w:val="12"/>
          <w:color w:val="auto"/>
        </w:rPr>
        <w:t>be imposed in relation to the collection of pharmacovigilance data. Although we may seek a conditional marketing</w:t>
      </w:r>
    </w:p>
    <w:p>
      <w:pPr>
        <w:ind w:left="620"/>
        <w:spacing w:after="0" w:line="215" w:lineRule="auto"/>
        <w:rPr>
          <w:sz w:val="20"/>
          <w:szCs w:val="20"/>
          <w:color w:val="auto"/>
        </w:rPr>
      </w:pPr>
      <w:r>
        <w:rPr>
          <w:rFonts w:ascii="Times New Roman" w:cs="Times New Roman" w:eastAsia="Times New Roman" w:hAnsi="Times New Roman"/>
          <w:sz w:val="12"/>
          <w:szCs w:val="12"/>
          <w:color w:val="auto"/>
        </w:rPr>
        <w:t>authorization for one or more of our product candidates by the EMA, the EMA or CHMP may ultimately not agree that the</w:t>
      </w:r>
    </w:p>
    <w:p>
      <w:pPr>
        <w:ind w:left="620"/>
        <w:spacing w:after="0" w:line="215" w:lineRule="auto"/>
        <w:rPr>
          <w:sz w:val="20"/>
          <w:szCs w:val="20"/>
          <w:color w:val="auto"/>
        </w:rPr>
      </w:pPr>
      <w:r>
        <w:rPr>
          <w:rFonts w:ascii="Times New Roman" w:cs="Times New Roman" w:eastAsia="Times New Roman" w:hAnsi="Times New Roman"/>
          <w:sz w:val="12"/>
          <w:szCs w:val="12"/>
          <w:color w:val="auto"/>
        </w:rPr>
        <w:t>requirements for such conditional marketing authorization have been satisfied.</w:t>
      </w:r>
    </w:p>
    <w:p>
      <w:pPr>
        <w:ind w:left="620" w:right="2280"/>
        <w:spacing w:after="0" w:line="218" w:lineRule="auto"/>
        <w:rPr>
          <w:sz w:val="20"/>
          <w:szCs w:val="20"/>
          <w:color w:val="auto"/>
        </w:rPr>
      </w:pPr>
      <w:r>
        <w:rPr>
          <w:rFonts w:ascii="Times New Roman" w:cs="Times New Roman" w:eastAsia="Times New Roman" w:hAnsi="Times New Roman"/>
          <w:sz w:val="12"/>
          <w:szCs w:val="12"/>
          <w:color w:val="auto"/>
        </w:rPr>
        <w:t>Other jurisdictions also impose certain post -approval requirements or may grant conditional marketing approvals. Depending on the circumstances, failure to meet these post-approval requirements can result in criminal prosecution, fines or other penalties, injunctions, notices or warning letters, recall or seizure of products, total or partial suspension of production or changes to manufacturing processes, denial or withdrawal of pre-marketing product approvals, import controls, or refusal to allow us to enter into supply contracts, including government contracts, each of which could have a significant impact on our business, financial condition, results of operations, future growth prospects and reputation. In addition, even if we and our collaboration partners comply with FDA, EMA and other applicable requirements, new information regarding the safety or effectiveness of a product could lead the FDA, the EMA or other regulatory authorities to modify or withdraw a product approval. Any government investigation of alleged violations of law could also require us or our collaboration partners to expend significant time and resources in response and could generate negative publicity. Any failure to comply with ongoing regulatory requirements may significantly and adversely affect our and our collaboration partners’ ability to commercialize and generate revenue from our products. If regulatory sanctions are applied or if regulatory approval is withdrawn, the value of our company and our operating results could be adversely affected.</w:t>
      </w:r>
    </w:p>
    <w:p>
      <w:pPr>
        <w:sectPr>
          <w:pgSz w:w="11900" w:h="16840" w:orient="portrait"/>
          <w:cols w:equalWidth="0" w:num="1">
            <w:col w:w="9020"/>
          </w:cols>
          <w:pgMar w:left="1440" w:top="1440" w:right="1440" w:bottom="53" w:gutter="0" w:footer="0" w:header="0"/>
        </w:sectPr>
      </w:pPr>
    </w:p>
    <w:bookmarkStart w:id="19" w:name="page20"/>
    <w:bookmarkEnd w:id="19"/>
    <w:p>
      <w:pPr>
        <w:ind w:left="620" w:right="228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 rapidly evolving legal, regulatory and policy landscape may have an adverse impact on our business. </w:t>
      </w:r>
      <w:r>
        <w:rPr>
          <w:rFonts w:ascii="Times New Roman" w:cs="Times New Roman" w:eastAsia="Times New Roman" w:hAnsi="Times New Roman"/>
          <w:sz w:val="12"/>
          <w:szCs w:val="12"/>
          <w:color w:val="auto"/>
        </w:rPr>
        <w:t>Existing regulatory policies may change and additional government regulations may be enacted that could prevent, limit or delay regulatory approval of our products and product candidates. We cannot predict the likelihood, nature or extent of government regulation that may arise from future legislation or administrative action, either in the US, the EU or in other countries. If we or our collaboration partners are slow or unable to adapt to changes in existing requirements or the adoption of new requirements or policies, or if we and our collaboration partners are not able to maintain regulatory compliance, we or they may lose any marketing approval that we or they may have obtained, which could adversely impact our business and financial results.</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The Inflation Reduction Act of 2022 (“</w:t>
      </w:r>
      <w:r>
        <w:rPr>
          <w:rFonts w:ascii="Times New Roman" w:cs="Times New Roman" w:eastAsia="Times New Roman" w:hAnsi="Times New Roman"/>
          <w:sz w:val="12"/>
          <w:szCs w:val="12"/>
          <w:b w:val="1"/>
          <w:bCs w:val="1"/>
          <w:color w:val="auto"/>
        </w:rPr>
        <w:t>IRA</w:t>
      </w:r>
      <w:r>
        <w:rPr>
          <w:rFonts w:ascii="Times New Roman" w:cs="Times New Roman" w:eastAsia="Times New Roman" w:hAnsi="Times New Roman"/>
          <w:sz w:val="12"/>
          <w:szCs w:val="12"/>
          <w:color w:val="auto"/>
        </w:rPr>
        <w:t>”) was signed into law on August 16, 2022. The IRA, among other things,</w:t>
      </w:r>
    </w:p>
    <w:p>
      <w:pPr>
        <w:ind w:left="780" w:hanging="156"/>
        <w:spacing w:after="0" w:line="215" w:lineRule="auto"/>
        <w:tabs>
          <w:tab w:leader="none" w:pos="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allows the US Department of Health and Human Services (“</w:t>
      </w:r>
      <w:r>
        <w:rPr>
          <w:rFonts w:ascii="Times New Roman" w:cs="Times New Roman" w:eastAsia="Times New Roman" w:hAnsi="Times New Roman"/>
          <w:sz w:val="12"/>
          <w:szCs w:val="12"/>
          <w:b w:val="1"/>
          <w:bCs w:val="1"/>
          <w:color w:val="auto"/>
        </w:rPr>
        <w:t>HHS</w:t>
      </w:r>
      <w:r>
        <w:rPr>
          <w:rFonts w:ascii="Times New Roman" w:cs="Times New Roman" w:eastAsia="Times New Roman" w:hAnsi="Times New Roman"/>
          <w:sz w:val="12"/>
          <w:szCs w:val="12"/>
          <w:color w:val="auto"/>
        </w:rPr>
        <w:t>”) to negotiate prices for certain single-source drugs</w:t>
      </w:r>
    </w:p>
    <w:p>
      <w:pPr>
        <w:ind w:left="620" w:right="2280"/>
        <w:spacing w:after="0" w:line="21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biologics covered under Medicare Part B and Part D, and subjects drug manufacturers to civil monetary penalties and a potential excise tax for failing to comply with the legislation by offering a price that is not equal to or less than the negotiated “maximum fair price” under the law; and (ii) establishes rebates under Medicare to penalize drug price increases that outpace inflation. Negotiations were conducted with ten high-cost drugs, none of which was DARZALEX, paid for by Medicare Part D, and the negotiated prices will take effect in 2026. The effect of the IRA on the biopharmaceutical industry is uncertain, and the IRA could have a material effect on our business and results of operations in the future.</w:t>
      </w:r>
    </w:p>
    <w:p>
      <w:pPr>
        <w:ind w:left="620" w:right="2360"/>
        <w:spacing w:after="0" w:line="22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US there is continued focus by the US federal and state governments on regulating or otherwise decreasing drug prices. This includes efforts to establish international reference pricing, including Most-Favored-Nation (</w:t>
      </w:r>
      <w:r>
        <w:rPr>
          <w:rFonts w:ascii="Times New Roman" w:cs="Times New Roman" w:eastAsia="Times New Roman" w:hAnsi="Times New Roman"/>
          <w:sz w:val="12"/>
          <w:szCs w:val="12"/>
          <w:b w:val="1"/>
          <w:bCs w:val="1"/>
          <w:color w:val="auto"/>
        </w:rPr>
        <w:t>“MFN”</w:t>
      </w:r>
      <w:r>
        <w:rPr>
          <w:rFonts w:ascii="Times New Roman" w:cs="Times New Roman" w:eastAsia="Times New Roman" w:hAnsi="Times New Roman"/>
          <w:sz w:val="12"/>
          <w:szCs w:val="12"/>
          <w:color w:val="auto"/>
        </w:rPr>
        <w:t>) drug pricing. On May 12, 2025, the US President issued an executive order “Delivering Most- Favored-Nation Prescription Drug Pricing to American Patients,” directing executive agencies to take steps to facilitate MFN pricing for prescription drugs in the US. The Secretary of HHS subsequently announced on May 20, 2025, that it communicated to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MFN pricing targets which apply to brand drugs and biologics without generic or biosimilar competition, using the lowest prices observed in a set of economic peer countries (commonly described as OECD countries meeting a GDP-per- capita threshold) . Manufacturers are expected to make “significant progress” toward meeting these targets. If they fail to do so, then other actions are to be pursued, including proposing rules to implement MFN pricing, working with Congress to allow for expanded drug importation, exploring FDA drug approval reforms, increased antitrust enforcement and review of drug export practices. The order also calls on the Secretary of Commerce and the US Trade Representative to address foreign pricing practices that may harm US interests, including suppressing drug prices abroad and shifting the global research burden to American consumers. Additionally, the order directs HHS to support direct-to -consumer sales at MFN prices, seeking to bypass intermediaries in the current US drug supply chain. On July 31, 2025, the White House sent letters to 17 pharmaceutical manufacturers, which included Genmab collaboration partners AbbVie, J&amp;J, Novartis and Pfizer, outlining specific steps, including offering MFN prices to all Medicaid patients, committing not to offer better prices to other developed nations for new drugs than prices offered in the US, and participating in direct -to-consumer or direct-to-business models at MFN prices. The US administration recently announced voluntary MFN agreements with Pfizer and AstraZeneca, signaling potential expectations for other manufacturers to follow. These actions demonstrate the growing interest in aggressive policies to lower drug prices, which could adversely affect the prices of products that we or our collaboration partners sell, and thereby our revenues and profits.</w:t>
      </w:r>
    </w:p>
    <w:p>
      <w:pPr>
        <w:ind w:left="620"/>
        <w:spacing w:after="0" w:line="218" w:lineRule="auto"/>
        <w:rPr>
          <w:sz w:val="20"/>
          <w:szCs w:val="20"/>
          <w:color w:val="auto"/>
        </w:rPr>
      </w:pPr>
      <w:r>
        <w:rPr>
          <w:rFonts w:ascii="Times New Roman" w:cs="Times New Roman" w:eastAsia="Times New Roman" w:hAnsi="Times New Roman"/>
          <w:sz w:val="12"/>
          <w:szCs w:val="12"/>
          <w:color w:val="auto"/>
        </w:rPr>
        <w:t>Our and our partners’ activities in certain non-US countries may also be subject to or affected by various US</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legislation, executive orders, regulations, or investigations targeting certain development or economic activities involving those countries. This includes, but is not limited to, the proposed BIOSECURE Act, which could increase costs, reduce the supply of available materials, delay procurement or clinical trials, hinder our ability to secure significant government commitments for potential therapies, and adversely affect our financial condition and business prospects.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In June 2024,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Further, disruptions at the FDA and other government agencies may slow the time required for new drugs to be reviewed and approved, which could adversely affect our business. For example, over the last several years the US government has shut down several times, and certain regulatory agencies, including the FDA, have had to furlough employees and suspend certain activities. The current administration’s freeze on hiring and new return- to- office policy may disrupt normal operations of federal agencies, including the FDA. Future government shutdowns or other disruptions could significantly impact the ability of the FDA or other regulatory authorities to timely review and process our regulatory submissions, or to provide feedback on our clinical development plans, which could have a material adverse effect on our business. Further, future government shutdowns or other disruptions to normal operations could impact our ability to access the public markets and obtain the funding necessary to properly capitalize and continue our operations.</w:t>
      </w:r>
    </w:p>
    <w:p>
      <w:pPr>
        <w:spacing w:after="0" w:line="2"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various laws protecting the privacy, security and confidentiality of certain information and failure to comply with these data ethics and privacy regulations could adversely affect our business and reputation.</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We operate in an environment that relies on the collection, processing, analysis, and interpretation of large sets of patients’ and other individuals’ personal data, including from our employees and third parties with whom we conduct business. Numerous countries in which we, our collaboration partners and our third-party contractors, including CROs and CMOs, operate, manufacture and sell our products have, or are developing, laws protecting personal data and the individual’s right to privacy and security as well as the transparent and responsible processing of certain personal data and patient health information.</w:t>
      </w:r>
    </w:p>
    <w:p>
      <w:pPr>
        <w:spacing w:after="0" w:line="1" w:lineRule="exact"/>
        <w:rPr>
          <w:sz w:val="20"/>
          <w:szCs w:val="20"/>
          <w:color w:val="auto"/>
        </w:rPr>
      </w:pPr>
    </w:p>
    <w:p>
      <w:pPr>
        <w:ind w:left="620" w:right="2320"/>
        <w:spacing w:after="0" w:line="223" w:lineRule="auto"/>
        <w:rPr>
          <w:sz w:val="20"/>
          <w:szCs w:val="20"/>
          <w:color w:val="auto"/>
        </w:rPr>
      </w:pPr>
      <w:r>
        <w:rPr>
          <w:rFonts w:ascii="Times New Roman" w:cs="Times New Roman" w:eastAsia="Times New Roman" w:hAnsi="Times New Roman"/>
          <w:sz w:val="12"/>
          <w:szCs w:val="12"/>
          <w:color w:val="auto"/>
        </w:rPr>
        <w:t>The legal and regulatory environment of data privacy is diversified, with regional legislation such as the General Data Protection Regulation in Europe, the Personal Information Protection Law enacted in 2021 and Regulations on the Administration of Human Genetic Resources of the PRC in China, and other significant privacy legislation, including the California Consumer Privacy Act and other similar comprehensive state data privacy laws in the US. As the framework continues to evolve, uncertainty remains due to the absence of clear guidance or case law. This uncertainty, combined with</w:t>
      </w:r>
    </w:p>
    <w:p>
      <w:pPr>
        <w:sectPr>
          <w:pgSz w:w="11900" w:h="16840" w:orient="portrait"/>
          <w:cols w:equalWidth="0" w:num="1">
            <w:col w:w="9020"/>
          </w:cols>
          <w:pgMar w:left="1440" w:top="557" w:right="1440"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2"/>
          <w:szCs w:val="12"/>
          <w:color w:val="auto"/>
        </w:rPr>
        <w:t>32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620"/>
        <w:spacing w:after="0" w:line="215" w:lineRule="auto"/>
        <w:rPr>
          <w:sz w:val="20"/>
          <w:szCs w:val="20"/>
          <w:color w:val="auto"/>
        </w:rPr>
      </w:pPr>
      <w:r>
        <w:rPr>
          <w:rFonts w:ascii="Times New Roman" w:cs="Times New Roman" w:eastAsia="Times New Roman" w:hAnsi="Times New Roman"/>
          <w:sz w:val="12"/>
          <w:szCs w:val="12"/>
          <w:color w:val="auto"/>
        </w:rPr>
        <w:t>limited global harmonization or simplification, makes it challenging for multinational companies to standardize their approach to privacy and data protection compliance.</w:t>
      </w:r>
    </w:p>
    <w:p>
      <w:pPr>
        <w:ind w:left="620"/>
        <w:spacing w:after="0" w:line="215" w:lineRule="auto"/>
        <w:rPr>
          <w:sz w:val="20"/>
          <w:szCs w:val="20"/>
          <w:color w:val="auto"/>
        </w:rPr>
      </w:pPr>
      <w:r>
        <w:rPr>
          <w:rFonts w:ascii="Times New Roman" w:cs="Times New Roman" w:eastAsia="Times New Roman" w:hAnsi="Times New Roman"/>
          <w:sz w:val="12"/>
          <w:szCs w:val="12"/>
          <w:color w:val="auto"/>
        </w:rPr>
        <w:t>Increases in the volume of data processed and advances in technology have resulted in greater focus on data privacy</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and the ethical use of personal data, over and above data privacy laws. Companies seeking to foster innovation in artificial intelligence and other new technologies are faced with evolving decisions from global policymakers on how best to promote trust in these systems and avoid unintended outcomes or harmful impacts. Failure in our data privacy and ethical use of personal data could affect our business and reputation.</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Additionally, there are several emerging laws concerning the localization of data, restrictions on international transfers, and data security, which are changing the existing frameworks with which we previously complied. The increasing trend for data sovereignty affects our ability to drive medical innovation and to effectively operate internationally. Regulatory uncertainty could result in an operational risk limiting or preventing the transfer of personal data across borders, which may have an impact on our activities (e.g. clinical trials). Breach of the regulations described above could also carry financial sanctions, may cause us to become subject to audits, inquiries, whistleblower complaints, adverse media coverage, investigations, criminal or civil sanctions, damage our reputation and adversely affect our business operations, including, in particular, our activities that rely on personal data processing.</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activities, and our business arrangements with third parties, are subject to fraud, abuse and other healthcare laws and regulations.</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Healthcare providers, such as physicians and others, play a primary role in the recommendation and prescription of our products. Our or our collaboration partners’ arrangements with such persons and third- party payers and our general business operations expose us or our collaboration partners to broadly applicable fraud and abuse regulations, as well as other healthcare laws and regulations that may constrain the business or financial arrangements and relationships through which we research, market, sell and distribute our products. Restrictions under applicable US federal and state and non-US healthcare laws and regulations include, but are not limited to, the Anti-Kickback Statute, the Beneficiary Inducement Statute, the HIPAA federal civil and criminal false claims laws and civil monetary penalties laws, including the civil False Claims Act, the federal transparency requirements under the Physician Payments Sunshine Act and analogous US state laws. Rules and regulations covering many of the same matters are found in numerous other countries, including in Denmark, and may be more stringent or result in higher exposures than those in the US.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Ensuring that our business arrangements with third parties comply with applicable healthcare laws and regulations will likely continue to be time-consuming and costly. It is possible that governmental authorities will conclude that our business practices do not comply with current or future statutes, regulations or case law involving applicable fraud and abuse or other healthcare laws and regulations, in which case we may be subject to significant civil, criminal and administrative penalties, damages, fines, disgorgement, individual imprisonment, possible exclusion from government funded healthcare programs, such as Medicare and Medicaid, contractual damages, reputational harm, diminished profits and future earnings and curtailment of our operations, any of which could substantially disrupt our business. For more information about these and other applicable regulations, see ‘‘</w:t>
      </w:r>
      <w:r>
        <w:rPr>
          <w:rFonts w:ascii="Times New Roman" w:cs="Times New Roman" w:eastAsia="Times New Roman" w:hAnsi="Times New Roman"/>
          <w:sz w:val="12"/>
          <w:szCs w:val="12"/>
          <w:i w:val="1"/>
          <w:iCs w:val="1"/>
          <w:color w:val="auto"/>
        </w:rPr>
        <w:t>Item 4 – Information on the Company —Government Regulation</w:t>
      </w:r>
      <w:r>
        <w:rPr>
          <w:rFonts w:ascii="Times New Roman" w:cs="Times New Roman" w:eastAsia="Times New Roman" w:hAnsi="Times New Roman"/>
          <w:sz w:val="12"/>
          <w:szCs w:val="12"/>
          <w:color w:val="auto"/>
        </w:rPr>
        <w:t>’’ below.</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Enhanced scrutiny of pharmaceutical manufacturer donations to and support of patient assistance programs offered by charitable foundations may affect us or our collaboration partners.</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To help patients afford our products, we and our collaboration partners have implemented, and may implement or further expand in the future, patient assistance programs. We or our collaboration partners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US federal and state laws. At least one insurer also has directed its network pharmacies to no longer accept manufacturer co-payment coupons for certain specialty drugs the insurer identified. Our collaboration partners’ or own patient assistance programs and support of independent charitable foundations could become the target of similar litigation.</w:t>
      </w:r>
    </w:p>
    <w:p>
      <w:pPr>
        <w:spacing w:after="0" w:line="1" w:lineRule="exact"/>
        <w:rPr>
          <w:sz w:val="20"/>
          <w:szCs w:val="20"/>
          <w:color w:val="auto"/>
        </w:rPr>
      </w:pPr>
    </w:p>
    <w:p>
      <w:pPr>
        <w:ind w:left="620" w:right="2300"/>
        <w:spacing w:after="0" w:line="228" w:lineRule="auto"/>
        <w:rPr>
          <w:sz w:val="20"/>
          <w:szCs w:val="20"/>
          <w:color w:val="auto"/>
        </w:rPr>
      </w:pPr>
      <w:r>
        <w:rPr>
          <w:rFonts w:ascii="Times New Roman" w:cs="Times New Roman" w:eastAsia="Times New Roman" w:hAnsi="Times New Roman"/>
          <w:sz w:val="12"/>
          <w:szCs w:val="12"/>
          <w:color w:val="auto"/>
        </w:rPr>
        <w:t>In addition, there has been regulatory review and enhanced government scrutiny of donations by pharmaceutical companies to patient assistance programs operated by charitable foundations. If we, our collaboration partners or our vendors or donation recipients are deemed to fail to comply with laws or regulations in the operation of these programs,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or such collaboration partner could be subject to damages, fines, penalties or other criminal, civil or administrative sanctions or enforcement actions. Further, numerous organizations, including pharmaceutical manufacturers, have received subpoenas from government authorities seeking information related to their patient assistance programs and support. We cannot ensure that our compliance controls, policies and procedures will be sufficient to protect against acts of our collaboration partners,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 w:lineRule="exact"/>
        <w:rPr>
          <w:sz w:val="20"/>
          <w:szCs w:val="20"/>
          <w:color w:val="auto"/>
        </w:rPr>
      </w:pPr>
    </w:p>
    <w:p>
      <w:pPr>
        <w:ind w:left="620" w:right="276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operations involve hazardous materials and we and third parties with whom we contract must comply with environmental laws and regulations.</w:t>
      </w:r>
    </w:p>
    <w:p>
      <w:pPr>
        <w:ind w:left="620" w:right="2300"/>
        <w:spacing w:after="0" w:line="227" w:lineRule="auto"/>
        <w:rPr>
          <w:sz w:val="20"/>
          <w:szCs w:val="20"/>
          <w:color w:val="auto"/>
        </w:rPr>
      </w:pPr>
      <w:r>
        <w:rPr>
          <w:rFonts w:ascii="Times New Roman" w:cs="Times New Roman" w:eastAsia="Times New Roman" w:hAnsi="Times New Roman"/>
          <w:sz w:val="12"/>
          <w:szCs w:val="12"/>
          <w:color w:val="auto"/>
        </w:rPr>
        <w:t>We are subject to environmental and safety laws and regulations, including those governing the use of hazardous materials, and the cost of compliance is substantial. Our business activities involve the controlled storage, use and disposal of hazardous materials. In some cases, these hazardous materials and various wastes resulting from their use are stored at our and our manufacturers’ facilities pending their use and disposal. We cannot eliminate the risk of accidental contamination or injury from these materials in our manufacturing process. We cannot guarantee that the safety procedures utilized by our collaboration partners and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In addition,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face an interruption of our commercialization efforts, research and development efforts and business operations, and cause environmental damage resulting in costly clean-up and liabilities under applicable laws and regulations governing the use, storage, handling and disposal of these materials and specified waste products, which may exceed our financial resources and may materially adversely affect our business, financial condition, results of operations and future growth prospects and the value of our ADSs.</w:t>
      </w:r>
    </w:p>
    <w:p>
      <w:pPr>
        <w:ind w:left="620"/>
        <w:spacing w:after="0" w:line="229" w:lineRule="auto"/>
        <w:rPr>
          <w:sz w:val="20"/>
          <w:szCs w:val="20"/>
          <w:color w:val="auto"/>
        </w:rPr>
      </w:pPr>
      <w:r>
        <w:rPr>
          <w:rFonts w:ascii="Times New Roman" w:cs="Times New Roman" w:eastAsia="Times New Roman" w:hAnsi="Times New Roman"/>
          <w:sz w:val="12"/>
          <w:szCs w:val="12"/>
          <w:b w:val="1"/>
          <w:bCs w:val="1"/>
          <w:color w:val="auto"/>
        </w:rPr>
        <w:t>Risks Related to Our Ordinary Shares, ADSs and Foreign Private Issuer Status</w:t>
      </w:r>
    </w:p>
    <w:p>
      <w:pPr>
        <w:ind w:left="620" w:right="234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 xml:space="preserve">If we lose our foreign private issuer status in the future, we would incur significant additional costs and expenses. </w:t>
      </w:r>
      <w:r>
        <w:rPr>
          <w:rFonts w:ascii="Times New Roman" w:cs="Times New Roman" w:eastAsia="Times New Roman" w:hAnsi="Times New Roman"/>
          <w:sz w:val="12"/>
          <w:szCs w:val="12"/>
          <w:color w:val="auto"/>
        </w:rPr>
        <w:t>As a foreign private issuer, we are not required to comply with all the periodic disclosure and current reporting requirements of the Exchange Act and related rules and regulations. We currently qualify as a foreign private issuer, and will continue to qualify as a foreign private issuer until, as of June 30 of our most recent fiscal year, (i) more than 50% of our shares are directly or indirectly owned of record by US residents, and (ii) either (x) the majority of our executive officers or directors are US citizens or residents, (y) more than 50% of our assets are located in the US, or (z) our business is administered principally in the US. We estimate that as of the latest determination date, approximately 36% of our outstanding shares, or 23.0 million shares, were beneficially held by US residents.</w:t>
      </w:r>
    </w:p>
    <w:p>
      <w:pPr>
        <w:spacing w:after="0" w:line="1" w:lineRule="exact"/>
        <w:rPr>
          <w:sz w:val="20"/>
          <w:szCs w:val="20"/>
          <w:color w:val="auto"/>
        </w:rPr>
      </w:pPr>
    </w:p>
    <w:p>
      <w:pPr>
        <w:ind w:left="620" w:right="2600" w:firstLine="31"/>
        <w:spacing w:after="0" w:line="215" w:lineRule="auto"/>
        <w:rPr>
          <w:sz w:val="20"/>
          <w:szCs w:val="20"/>
          <w:color w:val="auto"/>
        </w:rPr>
      </w:pPr>
      <w:r>
        <w:rPr>
          <w:rFonts w:ascii="Times New Roman" w:cs="Times New Roman" w:eastAsia="Times New Roman" w:hAnsi="Times New Roman"/>
          <w:sz w:val="12"/>
          <w:szCs w:val="12"/>
          <w:color w:val="auto"/>
        </w:rPr>
        <w:t>Our foreign private issuer status will next be determined as of June 30, 2026. There can be no assurance that we will not lose our foreign private issuer status in the future.</w:t>
      </w:r>
    </w:p>
    <w:p>
      <w:pPr>
        <w:ind w:left="620"/>
        <w:spacing w:after="0"/>
        <w:rPr>
          <w:sz w:val="20"/>
          <w:szCs w:val="20"/>
          <w:color w:val="auto"/>
        </w:rPr>
      </w:pPr>
      <w:r>
        <w:rPr>
          <w:rFonts w:ascii="Times New Roman" w:cs="Times New Roman" w:eastAsia="Times New Roman" w:hAnsi="Times New Roman"/>
          <w:sz w:val="12"/>
          <w:szCs w:val="12"/>
          <w:color w:val="auto"/>
        </w:rPr>
        <w:t>The regulatory and compliance costs to us under US securities laws if we lose our foreign private issuer status would</w:t>
      </w:r>
    </w:p>
    <w:p>
      <w:pPr>
        <w:sectPr>
          <w:pgSz w:w="11900" w:h="16840" w:orient="portrait"/>
          <w:cols w:equalWidth="0" w:num="1">
            <w:col w:w="9020"/>
          </w:cols>
          <w:pgMar w:left="1440" w:top="988" w:right="1440" w:bottom="40" w:gutter="0" w:footer="0" w:header="0"/>
        </w:sectPr>
      </w:pPr>
    </w:p>
    <w:bookmarkStart w:id="21" w:name="page22"/>
    <w:bookmarkEnd w:id="21"/>
    <w:p>
      <w:pPr>
        <w:ind w:left="620" w:right="2320"/>
        <w:spacing w:after="0" w:line="221" w:lineRule="auto"/>
        <w:rPr>
          <w:sz w:val="20"/>
          <w:szCs w:val="20"/>
          <w:color w:val="auto"/>
        </w:rPr>
      </w:pPr>
      <w:r>
        <w:rPr>
          <w:rFonts w:ascii="Times New Roman" w:cs="Times New Roman" w:eastAsia="Times New Roman" w:hAnsi="Times New Roman"/>
          <w:sz w:val="12"/>
          <w:szCs w:val="12"/>
          <w:color w:val="auto"/>
        </w:rPr>
        <w:t>be significantly more than the costs we incur as a foreign private issuer, and we would need to devote significantly more financial, management and other resources to compliance with US securities laws than we currently do, particularly in the year in which we lose our foreign private issuer status. If we lose our foreign private issuer status, we would be required to report as a US domestic issuer and be subject to other US securities laws applicable to US domestic issuers. For example, as a US domestic issuer, we would be required to file periodic reports and registration statements with the SEC on US domestic issuer forms, which are more detailed and extensive in certain respects than the forms available to us as a foreign private issuer. We would also be required to prepare our financial statements in accordance with US GAAP and modify certain of our policies to comply with corporate governance practices applicable to US domestic issuers. In addition, we may lose our ability to rely upon exemptions from certain corporate governance requirements on US stock exchanges that are available to foreign private issuers, which could also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46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ADS holders do not directly hold our shares, and may not be able to exercise their right to vote the shares underlying their ADSs.</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Holders of our ADSs are not treated as our shareholders and do not have shareholder rights. Our depositary, JPMorgan Chase Bank, N.A., is the holder of the shares underlying our ADSs. The deposit agreement among us, the depositary, and all other persons directly and indirectly holding ADSs, sets out ADS holder rights as well as the rights and obligations of the depositary.</w:t>
      </w:r>
    </w:p>
    <w:p>
      <w:pPr>
        <w:ind w:left="620"/>
        <w:spacing w:after="0" w:line="215" w:lineRule="auto"/>
        <w:rPr>
          <w:sz w:val="20"/>
          <w:szCs w:val="20"/>
          <w:color w:val="auto"/>
        </w:rPr>
      </w:pPr>
      <w:r>
        <w:rPr>
          <w:rFonts w:ascii="Times New Roman" w:cs="Times New Roman" w:eastAsia="Times New Roman" w:hAnsi="Times New Roman"/>
          <w:sz w:val="12"/>
          <w:szCs w:val="12"/>
          <w:color w:val="auto"/>
        </w:rPr>
        <w:t>Accordingly, ADS holders may only exercise voting rights with respect to the shares underlying their respective ADSs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in accordance with the provisions of the deposit agreement and not as a direct shareholder of the Company. In order to vote the shares underlying their ADSs, ADS holders may either withdraw the shares underlying their ADSs or instruct the depositary to vote the shares underlying such ADSs. However, holders may not know about the meeting sufficiently far enough in advance to withdraw the underlying shares and, even if they instruct the depositary to vote the shares underlying their ADSs, Genmab cannot guarantee ADS holders that the depositary will vote in accordance with their instructions. The depositary will try, as far as practicable, to vote the shares underlying the ADSs as instructed by the ADS holders.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In such an instance, if we ask for holders’ instructions, the depositary, upon timely notice from us, will notify holders of the upcoming vote and arrange to deliver our voting materials to holders. We cannot guarantee that holders will receive the voting materials in time to ensure that holders will be able to instruct the depositary to vote their shares or to withdraw their shares so that they can vote such shares themselves. If the depositary does not receive timely voting instructions from holders, it may give a proxy to a person designated by us to vote the shares underlying their ADSs. Voting instructions may be given only in respect of a number of ADSs representing an integral number of shares or other deposited securities. In addition, the depositary and its agents are not responsible for failing to carry out voting instructions or for the manner of carrying out voting instructions. This means that holders may not be able to exercise any right to vote that they may have with respect to the underlying shares, and there may be nothing they can do if the shares underlying their ADSs are not voted as they requested. In addition, the depositary is only required to notify holders of any particular vote if it receives timely notice from us in advance of the scheduled meeting. Our articles of association permit, in the case of general meetings, notice to be delivered within a relatively short time span, in which case the depositary would not be required to provide holders with notice of and access to such vote.</w:t>
      </w:r>
    </w:p>
    <w:p>
      <w:pPr>
        <w:spacing w:after="0" w:line="1" w:lineRule="exact"/>
        <w:rPr>
          <w:sz w:val="20"/>
          <w:szCs w:val="20"/>
          <w:color w:val="auto"/>
        </w:rPr>
      </w:pPr>
    </w:p>
    <w:p>
      <w:pPr>
        <w:ind w:left="620" w:right="25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ADS holders’ right to receive any dividends that Genmab declares on the shares are more limited than if they were holding shares.</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ADS holders’ right to receive any dividends that Genmab declares on its shares, whether in the form of cash or bonus securities, are more limited than that of Genmab’s shareholders. For example, Genmab may elect to offer subscription rights to its shareholders without offering such rights directly to ADS holders as such subscription rights will be offered to the depositary as shareholder. The depositary has substantial discretion as to what will happen with any offered subscription rights and may determine that it is not legal or practicable to make such rights available to ADS holders, in which case it will make such a distribution as it deems permissible and practicable, or it may retain and hold some or all property to be distributed as deposited securities, without liability for interest thereon or the investment thereof. In the case of a distribution by Genmab of securities or property other than cash or subscription rights,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 If the depositary is unable to distribute or sell any securities or property distributed by Genmab on the shares, they will lapse, and ADS holders will receive no value. See Exhibit 2.3 “Description of Securities of the Registrant” to this Annual Report on Form 20-F.</w:t>
      </w:r>
    </w:p>
    <w:p>
      <w:pPr>
        <w:spacing w:after="0" w:line="1" w:lineRule="exact"/>
        <w:rPr>
          <w:sz w:val="20"/>
          <w:szCs w:val="20"/>
          <w:color w:val="auto"/>
        </w:rPr>
      </w:pPr>
    </w:p>
    <w:p>
      <w:pPr>
        <w:ind w:left="620" w:right="2380"/>
        <w:spacing w:after="0" w:line="220" w:lineRule="auto"/>
        <w:rPr>
          <w:sz w:val="20"/>
          <w:szCs w:val="20"/>
          <w:color w:val="auto"/>
        </w:rPr>
      </w:pPr>
      <w:r>
        <w:rPr>
          <w:rFonts w:ascii="Times New Roman" w:cs="Times New Roman" w:eastAsia="Times New Roman" w:hAnsi="Times New Roman"/>
          <w:sz w:val="12"/>
          <w:szCs w:val="12"/>
          <w:b w:val="1"/>
          <w:bCs w:val="1"/>
          <w:i w:val="1"/>
          <w:iCs w:val="1"/>
          <w:color w:val="auto"/>
        </w:rPr>
        <w:t xml:space="preserve">ADS holders may be subject to limitations on their ability to cancel their ADSs and withdraw the underlying shares. </w:t>
      </w:r>
      <w:r>
        <w:rPr>
          <w:rFonts w:ascii="Times New Roman" w:cs="Times New Roman" w:eastAsia="Times New Roman" w:hAnsi="Times New Roman"/>
          <w:sz w:val="12"/>
          <w:szCs w:val="12"/>
          <w:color w:val="auto"/>
        </w:rPr>
        <w:t>Holders’ ADSs, which will be evidenced by American depositary receipts (“</w:t>
      </w:r>
      <w:r>
        <w:rPr>
          <w:rFonts w:ascii="Times New Roman" w:cs="Times New Roman" w:eastAsia="Times New Roman" w:hAnsi="Times New Roman"/>
          <w:sz w:val="12"/>
          <w:szCs w:val="12"/>
          <w:b w:val="1"/>
          <w:bCs w:val="1"/>
          <w:color w:val="auto"/>
        </w:rPr>
        <w:t>ADRs</w:t>
      </w:r>
      <w:r>
        <w:rPr>
          <w:rFonts w:ascii="Times New Roman" w:cs="Times New Roman" w:eastAsia="Times New Roman" w:hAnsi="Times New Roman"/>
          <w:sz w:val="12"/>
          <w:szCs w:val="12"/>
          <w:color w:val="auto"/>
        </w:rPr>
        <w:t>”),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holders’ right to cancel their ADSs and withdraw the underlying shares. Temporary delays in the cancellation of ADSs and withdrawal of the underlying shares may arise due to the</w:t>
      </w:r>
    </w:p>
    <w:p>
      <w:pPr>
        <w:sectPr>
          <w:pgSz w:w="11900" w:h="16840" w:orient="portrait"/>
          <w:cols w:equalWidth="0" w:num="1">
            <w:col w:w="9020"/>
          </w:cols>
          <w:pgMar w:left="1440" w:top="559" w:right="1440"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34" w:lineRule="auto"/>
        <w:rPr>
          <w:sz w:val="20"/>
          <w:szCs w:val="20"/>
          <w:color w:val="auto"/>
        </w:rPr>
      </w:pPr>
      <w:r>
        <w:rPr>
          <w:rFonts w:ascii="Times New Roman" w:cs="Times New Roman" w:eastAsia="Times New Roman" w:hAnsi="Times New Roman"/>
          <w:sz w:val="12"/>
          <w:szCs w:val="12"/>
          <w:color w:val="auto"/>
        </w:rPr>
        <w:t>depositary closing its transfer books or the closing of our share register. In addition, holders may not be able to cancel their ADSs and withdraw the underlying shares when they owe money for fees, taxes and similar charges and when it is</w:t>
      </w:r>
    </w:p>
    <w:p>
      <w:pPr>
        <w:sectPr>
          <w:pgSz w:w="11900" w:h="16840" w:orient="portrait"/>
          <w:cols w:equalWidth="0" w:num="1">
            <w:col w:w="9020"/>
          </w:cols>
          <w:pgMar w:left="1440" w:top="559" w:right="1440" w:bottom="23" w:gutter="0" w:footer="0" w:header="0"/>
          <w:type w:val="continuous"/>
        </w:sectPr>
      </w:pPr>
    </w:p>
    <w:bookmarkStart w:id="22" w:name="page23"/>
    <w:bookmarkEnd w:id="22"/>
    <w:p>
      <w:pPr>
        <w:ind w:left="620" w:right="2300"/>
        <w:spacing w:after="0" w:line="223" w:lineRule="auto"/>
        <w:rPr>
          <w:sz w:val="20"/>
          <w:szCs w:val="20"/>
          <w:color w:val="auto"/>
        </w:rPr>
      </w:pPr>
      <w:r>
        <w:rPr>
          <w:rFonts w:ascii="Times New Roman" w:cs="Times New Roman" w:eastAsia="Times New Roman" w:hAnsi="Times New Roman"/>
          <w:sz w:val="12"/>
          <w:szCs w:val="12"/>
          <w:color w:val="auto"/>
        </w:rPr>
        <w:t>necessary to prohibit withdrawals in order to comply with any laws or governmental regulations that apply to ADSs or to the withdrawal of shares or other deposited securities. For more information, see the description of our securities registered under Section 12 of the Exchange Act included as an exhibit to this Annual Report on Form 20-F.</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By holding or owning an ADR or ADS or an interest therein, holders and beneficial owners each irrevocably agree that any legal suit, action or proceeding against or involving the depositary and/or us brought by holders or beneficial owners, arising out of or based upon the deposit agreement, the ADSs or the transactions contemplated therein or thereby, including, without limitation, claims under the Securities Act, may be instituted only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w:t>
      </w:r>
    </w:p>
    <w:p>
      <w:pPr>
        <w:spacing w:after="0" w:line="1" w:lineRule="exact"/>
        <w:rPr>
          <w:sz w:val="20"/>
          <w:szCs w:val="20"/>
          <w:color w:val="auto"/>
        </w:rPr>
      </w:pPr>
    </w:p>
    <w:p>
      <w:pPr>
        <w:ind w:left="620" w:right="2420"/>
        <w:spacing w:after="0" w:line="215" w:lineRule="auto"/>
        <w:rPr>
          <w:sz w:val="20"/>
          <w:szCs w:val="20"/>
          <w:color w:val="auto"/>
        </w:rPr>
      </w:pPr>
      <w:r>
        <w:rPr>
          <w:rFonts w:ascii="Times New Roman" w:cs="Times New Roman" w:eastAsia="Times New Roman" w:hAnsi="Times New Roman"/>
          <w:sz w:val="12"/>
          <w:szCs w:val="12"/>
          <w:color w:val="auto"/>
        </w:rPr>
        <w:t>Further, the federal or state courts in the City of New York have non-exclusive jurisdiction to hear and determine claims brought by the depositary and/or us against or involving holders or beneficial owners arising out of or based upon the deposit agreement.</w:t>
      </w: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ADS holders and beneficial owners, to the fullest extent permitted by the law, waive their right to a jury trial of any claim they may have against us or the depositary arising out of or relating to our shares, the ADSs or the deposit agreement, including any claim under the US federal securities laws.</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US Supreme Court. However, we believe that a contractual pre-dispute jury trial waiver provision is generally enforceable, including under the laws of the State of New York, which govern the deposit agreement. In determining whether to enforce a contractual pre -dispute jury trial waiver provision, courts will generally consider whether a party knowingly, intelligently and voluntarily waived the right to a jury trial. We believe that this is the case with respect to the deposit agreement and the ADSs. It is advisable that potential holders consult legal counsel regarding the jury waiver provision before investing in the ADSs.</w:t>
      </w:r>
    </w:p>
    <w:p>
      <w:pPr>
        <w:ind w:left="620"/>
        <w:spacing w:after="0" w:line="216" w:lineRule="auto"/>
        <w:rPr>
          <w:sz w:val="20"/>
          <w:szCs w:val="20"/>
          <w:color w:val="auto"/>
        </w:rPr>
      </w:pPr>
      <w:r>
        <w:rPr>
          <w:rFonts w:ascii="Times New Roman" w:cs="Times New Roman" w:eastAsia="Times New Roman" w:hAnsi="Times New Roman"/>
          <w:sz w:val="12"/>
          <w:szCs w:val="12"/>
          <w:color w:val="auto"/>
        </w:rPr>
        <w:t>As a result of the jury trial waiver, if any holders or beneficial owners of ADSs bring a claim against us or the</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depositary in connection with matters arising under the deposit agreement or the ADSs, including claims under US federal securities laws, a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or a disclaimer of liability under, the US federal securities laws and the rules and regulations promulgated thereunder.</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publish inaccurate or unfavorable research about our business, the price of the ADSs and their trading volume could decline.</w:t>
      </w:r>
    </w:p>
    <w:p>
      <w:pPr>
        <w:ind w:left="620" w:right="2320"/>
        <w:spacing w:after="0" w:line="221" w:lineRule="auto"/>
        <w:rPr>
          <w:sz w:val="20"/>
          <w:szCs w:val="20"/>
          <w:color w:val="auto"/>
        </w:rPr>
      </w:pPr>
      <w:r>
        <w:rPr>
          <w:rFonts w:ascii="Times New Roman" w:cs="Times New Roman" w:eastAsia="Times New Roman" w:hAnsi="Times New Roman"/>
          <w:sz w:val="12"/>
          <w:szCs w:val="12"/>
          <w:color w:val="auto"/>
        </w:rPr>
        <w:t>The trading market for the ADSs and shares will depend in part on the research and reports that securities or industry analysts publish about us or our business. If one or more of the analysts who covers us downgrades our equity securities, publishes inaccurate or unfavorable research about our business or expresses a negative opinion regarding the performance of our securities, or if our clinical trial results or operating performance fail to meet analyst expectations, the price of the ADSs would likely decline. If one or more of these analysts fails to publish reports on us regularly, or downgrades our securities, demand for ADSs could decrease, which could cause the price of the ADSs and their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Claims of US civil liabilities may not be enforceable against us.</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We are incorporated under the laws of Denmark. Although our wholly owned subsidiary, Genmab US, Inc., has an office and laboratory space in the US, substantially all of our assets are located outside the US. Some of our directors and Executive Management reside outside the US. As a result, it may not be possible to effect service of process within the US upon such persons or to enforce judgments against them or us in US courts, including judgments predicated upon the civil liability provisions of the US securities laws.</w:t>
      </w:r>
    </w:p>
    <w:p>
      <w:pPr>
        <w:spacing w:after="0" w:line="1" w:lineRule="exact"/>
        <w:rPr>
          <w:sz w:val="20"/>
          <w:szCs w:val="20"/>
          <w:color w:val="auto"/>
        </w:rPr>
      </w:pPr>
    </w:p>
    <w:p>
      <w:pPr>
        <w:ind w:left="620" w:right="2340"/>
        <w:spacing w:after="0"/>
        <w:rPr>
          <w:sz w:val="20"/>
          <w:szCs w:val="20"/>
          <w:color w:val="auto"/>
        </w:rPr>
      </w:pPr>
      <w:r>
        <w:rPr>
          <w:rFonts w:ascii="Times New Roman" w:cs="Times New Roman" w:eastAsia="Times New Roman" w:hAnsi="Times New Roman"/>
          <w:sz w:val="12"/>
          <w:szCs w:val="12"/>
          <w:color w:val="auto"/>
        </w:rPr>
        <w:t>The US and Denmark currently do not have a treaty providing for the reciprocal recognition and enforcement of judgments (other than arbitration awards) in civil and commercial matters. Consequently, a final judgment for payment given by a US court, whether or not predicated solely upon US securities laws, would not be enforceable in Denmark. In order to obtain a judgment that is enforceable in Denmark, the party in whose favor a final and conclusive judgment of the US court has been rendered will be required to file its claim again with a court of competent jurisdiction in Denmark. The Danish court will not be bound by the judgment by the US court, but the judgment may be submitted as evidence. It is up to the Danish court to assess the judgment by the US court and decide if and to what extent the judgment should be followed. Danish courts are likely to deny claims for punitive damages and may grant a reduced amount of damages compared to US courts.</w:t>
      </w:r>
    </w:p>
    <w:p>
      <w:pPr>
        <w:spacing w:after="0" w:line="10" w:lineRule="exact"/>
        <w:rPr>
          <w:sz w:val="20"/>
          <w:szCs w:val="20"/>
          <w:color w:val="auto"/>
        </w:rPr>
      </w:pPr>
    </w:p>
    <w:p>
      <w:pPr>
        <w:ind w:left="620" w:right="2480"/>
        <w:spacing w:after="0" w:line="215" w:lineRule="auto"/>
        <w:rPr>
          <w:sz w:val="20"/>
          <w:szCs w:val="20"/>
          <w:color w:val="auto"/>
        </w:rPr>
      </w:pPr>
      <w:r>
        <w:rPr>
          <w:rFonts w:ascii="Times New Roman" w:cs="Times New Roman" w:eastAsia="Times New Roman" w:hAnsi="Times New Roman"/>
          <w:sz w:val="12"/>
          <w:szCs w:val="12"/>
          <w:color w:val="auto"/>
        </w:rPr>
        <w:t>Based on the lack of a treaty as described above, US investors may not be able to enforce any judgments obtained in US courts in civil and commercial matters, including judgments under the US federal securities laws, against us or members of our Board of Directors or our Executive Management, or certain experts named herein who are residents of Denmark or countries other than the US.</w:t>
      </w:r>
    </w:p>
    <w:p>
      <w:pPr>
        <w:jc w:val="both"/>
        <w:ind w:left="620" w:right="230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 xml:space="preserve">We are a “foreign private issuer,” as defined in the SEC’s rules and regulations, and, consequently, we are not subject to all of the disclosure and corporate governance requirements applicable to public companies organized within the US. </w:t>
      </w:r>
      <w:r>
        <w:rPr>
          <w:rFonts w:ascii="Times New Roman" w:cs="Times New Roman" w:eastAsia="Times New Roman" w:hAnsi="Times New Roman"/>
          <w:sz w:val="12"/>
          <w:szCs w:val="12"/>
          <w:color w:val="auto"/>
        </w:rPr>
        <w:t>We are a “foreign private issuer,” as defined in the SEC’s rules and regulations, and, consequently, we are not subject</w:t>
      </w:r>
    </w:p>
    <w:p>
      <w:pPr>
        <w:ind w:left="620" w:right="2320"/>
        <w:spacing w:after="0" w:line="230" w:lineRule="auto"/>
        <w:rPr>
          <w:sz w:val="20"/>
          <w:szCs w:val="20"/>
          <w:color w:val="auto"/>
        </w:rPr>
      </w:pPr>
      <w:r>
        <w:rPr>
          <w:rFonts w:ascii="Times New Roman" w:cs="Times New Roman" w:eastAsia="Times New Roman" w:hAnsi="Times New Roman"/>
          <w:sz w:val="12"/>
          <w:szCs w:val="12"/>
          <w:color w:val="auto"/>
        </w:rPr>
        <w:t>to all of the disclosure requirements applicable to public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directors and Executive Management are exempt from the reporting and “short- swing” profit recovery provisions of Section 16 of the Exchange Act and related rules with respect to their purchases and sales of our securities, although they may become subject to the reporting provisions in March of 2026 absent a timely SEC exemption. Moreover, while we currently publish annual and quarterly reports on our website pursuant to the rules of Nasdaq Copenhagen and expect to file such financial reports on an annual and quarterly basis with the SEC, we are not required to file such reports with the SEC as frequently or as promptly as US public companies and are not required to file quarterly reports on Form 10-Q or current reports on Form 8-K that a US domestic company would be required to file under the Exchange Act. Accordingly, there may be less publicly available information concerning our company than there would be if we were not a foreign private issuer. In addition, as a foreign private issuer and as permitted by the listing requirements of the Nasdaq Stock Market LLC (“</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we will comply with certain home country corporate governance practices rather than the corporate governance requirements of the Nasdaq Stock Market.</w:t>
      </w:r>
    </w:p>
    <w:p>
      <w:pPr>
        <w:ind w:left="620"/>
        <w:spacing w:after="0" w:line="223" w:lineRule="auto"/>
        <w:rPr>
          <w:sz w:val="20"/>
          <w:szCs w:val="20"/>
          <w:color w:val="auto"/>
        </w:rPr>
      </w:pPr>
      <w:r>
        <w:rPr>
          <w:rFonts w:ascii="Times New Roman" w:cs="Times New Roman" w:eastAsia="Times New Roman" w:hAnsi="Times New Roman"/>
          <w:sz w:val="12"/>
          <w:szCs w:val="12"/>
          <w:b w:val="1"/>
          <w:bCs w:val="1"/>
          <w:color w:val="auto"/>
        </w:rPr>
        <w:t>Risks Related to Tax Matters</w:t>
      </w:r>
    </w:p>
    <w:p>
      <w:pPr>
        <w:ind w:left="620" w:right="234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If we are a passive foreign investment company for US federal income tax purposes for any taxable year, US holders of our ADSs could be subject to adverse US federal income tax consequences.</w:t>
      </w:r>
    </w:p>
    <w:p>
      <w:pPr>
        <w:ind w:left="620" w:right="2380"/>
        <w:spacing w:after="0" w:line="220" w:lineRule="auto"/>
        <w:rPr>
          <w:sz w:val="20"/>
          <w:szCs w:val="20"/>
          <w:color w:val="auto"/>
        </w:rPr>
      </w:pPr>
      <w:r>
        <w:rPr>
          <w:rFonts w:ascii="Times New Roman" w:cs="Times New Roman" w:eastAsia="Times New Roman" w:hAnsi="Times New Roman"/>
          <w:sz w:val="12"/>
          <w:szCs w:val="12"/>
          <w:color w:val="auto"/>
        </w:rPr>
        <w:t>A non-US corporation will be a passive foreign investment company (“</w:t>
      </w:r>
      <w:r>
        <w:rPr>
          <w:rFonts w:ascii="Times New Roman" w:cs="Times New Roman" w:eastAsia="Times New Roman" w:hAnsi="Times New Roman"/>
          <w:sz w:val="12"/>
          <w:szCs w:val="12"/>
          <w:b w:val="1"/>
          <w:bCs w:val="1"/>
          <w:color w:val="auto"/>
        </w:rPr>
        <w:t>PFIC</w:t>
      </w:r>
      <w:r>
        <w:rPr>
          <w:rFonts w:ascii="Times New Roman" w:cs="Times New Roman" w:eastAsia="Times New Roman" w:hAnsi="Times New Roman"/>
          <w:sz w:val="12"/>
          <w:szCs w:val="12"/>
          <w:color w:val="auto"/>
        </w:rPr>
        <w:t>”) for US federal income tax purposes for any taxable year if either (i) at least 75% of its gross income for such taxable year is “passive income” (as defined in the relevant provisions of the US Internal Revenue Code of 1986, as amended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xml:space="preserve"> ”) or (ii) at least 50% of the value of its assets (generally, based on an average of the quarterly values of the assets) during such year is attributable to assets that produce or are held for the production of passive income. Based on the current and anticipated value of our assets and the nature and composition of our income and assets, we do not expect to be a PFIC for US federal income tax purposes for our current taxable year ending December 31, 2025, nor do we expect to be one in the foreseeable future. However, the</w:t>
      </w:r>
    </w:p>
    <w:p>
      <w:pPr>
        <w:sectPr>
          <w:pgSz w:w="11900" w:h="16840" w:orient="portrait"/>
          <w:cols w:equalWidth="0" w:num="1">
            <w:col w:w="9020"/>
          </w:cols>
          <w:pgMar w:left="1440" w:top="559" w:right="1440" w:bottom="16" w:gutter="0" w:footer="0" w:header="0"/>
        </w:sectPr>
      </w:pPr>
    </w:p>
    <w:bookmarkStart w:id="23" w:name="page24"/>
    <w:bookmarkEnd w:id="23"/>
    <w:p>
      <w:pPr>
        <w:ind w:left="620" w:right="2360"/>
        <w:spacing w:after="0" w:line="253" w:lineRule="auto"/>
        <w:rPr>
          <w:sz w:val="20"/>
          <w:szCs w:val="20"/>
          <w:color w:val="auto"/>
        </w:rPr>
      </w:pPr>
      <w:r>
        <w:rPr>
          <w:rFonts w:ascii="Times New Roman" w:cs="Times New Roman" w:eastAsia="Times New Roman" w:hAnsi="Times New Roman"/>
          <w:sz w:val="12"/>
          <w:szCs w:val="12"/>
          <w:color w:val="auto"/>
        </w:rPr>
        <w:t>determination of whether we are a PFIC or not according to the PFIC rules is made on an annual basis and will depend on the nature and composition of our income and assets and the value of our assets from time to time. Therefore,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420"/>
        <w:spacing w:after="0" w:line="215" w:lineRule="auto"/>
        <w:rPr>
          <w:sz w:val="20"/>
          <w:szCs w:val="20"/>
          <w:color w:val="auto"/>
        </w:rPr>
      </w:pPr>
      <w:r>
        <w:rPr>
          <w:rFonts w:ascii="Times New Roman" w:cs="Times New Roman" w:eastAsia="Times New Roman" w:hAnsi="Times New Roman"/>
          <w:sz w:val="12"/>
          <w:szCs w:val="12"/>
          <w:color w:val="auto"/>
        </w:rPr>
        <w:t>the nature and composition of our income or assets or the value of our assets may cause us to become a PFIC. The determination of the value of our assets (including goodwill not reflected on our balance sheet) may be based, in part, on the total market value of our shares and ADSs, which is subject to change and may be volatile.</w:t>
      </w:r>
    </w:p>
    <w:p>
      <w:pPr>
        <w:ind w:left="620" w:right="2660"/>
        <w:spacing w:after="0" w:line="215" w:lineRule="auto"/>
        <w:rPr>
          <w:sz w:val="20"/>
          <w:szCs w:val="20"/>
          <w:color w:val="auto"/>
        </w:rPr>
      </w:pPr>
      <w:r>
        <w:rPr>
          <w:rFonts w:ascii="Times New Roman" w:cs="Times New Roman" w:eastAsia="Times New Roman" w:hAnsi="Times New Roman"/>
          <w:sz w:val="12"/>
          <w:szCs w:val="12"/>
          <w:color w:val="auto"/>
        </w:rPr>
        <w:t xml:space="preserve">If we are a PFIC for any taxable year during which a US person holds ADSs, certain adverse US federal income tax consequences could apply to such US person. See </w:t>
      </w:r>
      <w:r>
        <w:rPr>
          <w:rFonts w:ascii="Times New Roman" w:cs="Times New Roman" w:eastAsia="Times New Roman" w:hAnsi="Times New Roman"/>
          <w:sz w:val="12"/>
          <w:szCs w:val="12"/>
          <w:i w:val="1"/>
          <w:iCs w:val="1"/>
          <w:color w:val="auto"/>
        </w:rPr>
        <w:t>“Item 10.E—Taxation—Material US Federal Income 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Considerations—Passive Foreign Investment Company Considerations.”</w:t>
      </w:r>
    </w:p>
    <w:p>
      <w:pPr>
        <w:ind w:left="620" w:right="2280"/>
        <w:spacing w:after="0"/>
        <w:rPr>
          <w:sz w:val="20"/>
          <w:szCs w:val="20"/>
          <w:color w:val="auto"/>
        </w:rPr>
      </w:pPr>
      <w:r>
        <w:rPr>
          <w:rFonts w:ascii="Times New Roman" w:cs="Times New Roman" w:eastAsia="Times New Roman" w:hAnsi="Times New Roman"/>
          <w:sz w:val="12"/>
          <w:szCs w:val="12"/>
          <w:b w:val="1"/>
          <w:bCs w:val="1"/>
          <w:i w:val="1"/>
          <w:iCs w:val="1"/>
          <w:color w:val="auto"/>
        </w:rPr>
        <w:t>Changes in Danish, Dutch, US or other foreign tax laws or compliance requirements, or the practical interpretation and administration thereof, could have a material adverse effect on our business, financial condition and results of operations.</w:t>
      </w:r>
    </w:p>
    <w:p>
      <w:pPr>
        <w:spacing w:after="0" w:line="95"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We are affected by various Danish, Dutch, US, Chinese, Japanese and other foreign taxes, including direct and indirect taxes imposed on our global activities, such as corporate income, withholding, customs, excise/energy, value added, sales, environmental and other taxes. Significant judgment is required in determining our provisions for taxes and there are many transactions and calculations where the ultimate tax determination is uncertain.</w:t>
      </w:r>
    </w:p>
    <w:p>
      <w:pPr>
        <w:ind w:left="620" w:right="2580"/>
        <w:spacing w:after="0" w:line="215" w:lineRule="auto"/>
        <w:rPr>
          <w:sz w:val="20"/>
          <w:szCs w:val="20"/>
          <w:color w:val="auto"/>
        </w:rPr>
      </w:pPr>
      <w:r>
        <w:rPr>
          <w:rFonts w:ascii="Times New Roman" w:cs="Times New Roman" w:eastAsia="Times New Roman" w:hAnsi="Times New Roman"/>
          <w:sz w:val="12"/>
          <w:szCs w:val="12"/>
          <w:color w:val="auto"/>
        </w:rPr>
        <w:t>Changes in Danish or foreign direct or indirect tax laws or compliance requirements, including the practical interpretation and administration thereof, including in respect to market practices, or otherwise, could have a material adverse effect on our business, financial condition, results of operations and future growth prospects.</w:t>
      </w:r>
    </w:p>
    <w:p>
      <w:pPr>
        <w:ind w:left="620" w:right="286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Tax authorities may disagree with our positions and conclusions regarding certain tax positions, resulting in unanticipated costs, taxes or non-realization of expected benefits.</w:t>
      </w:r>
    </w:p>
    <w:p>
      <w:pPr>
        <w:ind w:left="620" w:right="2300"/>
        <w:spacing w:after="0" w:line="236" w:lineRule="auto"/>
        <w:rPr>
          <w:sz w:val="20"/>
          <w:szCs w:val="20"/>
          <w:color w:val="auto"/>
        </w:rPr>
      </w:pPr>
      <w:r>
        <w:rPr>
          <w:rFonts w:ascii="Times New Roman" w:cs="Times New Roman" w:eastAsia="Times New Roman" w:hAnsi="Times New Roman"/>
          <w:sz w:val="12"/>
          <w:szCs w:val="12"/>
          <w:color w:val="auto"/>
        </w:rPr>
        <w:t>A tax authority may disagree with tax positions that we have taken, which could result in increased tax liabilities. As the tax landscape is evolving and our business model is evolving, Danish, Dutch, US, Chinese, Japanese, or another tax authority could challenge our allocation of income by tax jurisdiction and the amounts paid between our subsidiaries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an assessment. Contesting such an assessment may be lengthy and costly, and if we were unsuccessful in disputing the assessment, the implications could increase our anticipated effective tax rate.</w:t>
      </w:r>
    </w:p>
    <w:p>
      <w:pPr>
        <w:ind w:left="620"/>
        <w:spacing w:after="0" w:line="222" w:lineRule="auto"/>
        <w:rPr>
          <w:sz w:val="20"/>
          <w:szCs w:val="20"/>
          <w:color w:val="auto"/>
        </w:rPr>
      </w:pPr>
      <w:r>
        <w:rPr>
          <w:rFonts w:ascii="Times New Roman" w:cs="Times New Roman" w:eastAsia="Times New Roman" w:hAnsi="Times New Roman"/>
          <w:sz w:val="12"/>
          <w:szCs w:val="12"/>
          <w:b w:val="1"/>
          <w:bCs w:val="1"/>
          <w:color w:val="auto"/>
        </w:rPr>
        <w:t>Risks Related to the Acquisition of Merus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We may not realize the anticipated benefits from the acquisition of Merus.</w:t>
      </w:r>
    </w:p>
    <w:p>
      <w:pPr>
        <w:ind w:left="620" w:right="2280"/>
        <w:spacing w:after="0"/>
        <w:rPr>
          <w:sz w:val="20"/>
          <w:szCs w:val="20"/>
          <w:color w:val="auto"/>
        </w:rPr>
      </w:pPr>
      <w:r>
        <w:rPr>
          <w:rFonts w:ascii="Times New Roman" w:cs="Times New Roman" w:eastAsia="Times New Roman" w:hAnsi="Times New Roman"/>
          <w:sz w:val="12"/>
          <w:szCs w:val="12"/>
          <w:color w:val="auto"/>
        </w:rPr>
        <w:t>The success of the acquisition of Merus will depend, in part, on our ability to realize the anticipated benefits from successfully combining our and Merus' businesses. We plan on devoting substantial management attention and resources to integrating our and Merus' businesses so that we can fully realize the anticipated benefits of the acquisition of Merus. Nonetheless, the acquired Merus business, including petosemtamab, may not be successful, may require greater resources and investments than originally anticipated or may result in the assumption of unknown or contingent liabilities, which could have an adverse effect on us or our results of operations. Potential difficulties we may encounter include the following:</w:t>
      </w:r>
    </w:p>
    <w:p>
      <w:pPr>
        <w:spacing w:after="0" w:line="38" w:lineRule="exact"/>
        <w:rPr>
          <w:sz w:val="20"/>
          <w:szCs w:val="20"/>
          <w:color w:val="auto"/>
        </w:rPr>
      </w:pPr>
    </w:p>
    <w:p>
      <w:pPr>
        <w:ind w:left="620" w:right="3160"/>
        <w:spacing w:after="0" w:line="215" w:lineRule="auto"/>
        <w:rPr>
          <w:sz w:val="20"/>
          <w:szCs w:val="20"/>
          <w:color w:val="auto"/>
        </w:rPr>
      </w:pPr>
      <w:r>
        <w:rPr>
          <w:rFonts w:ascii="Times New Roman" w:cs="Times New Roman" w:eastAsia="Times New Roman" w:hAnsi="Times New Roman"/>
          <w:sz w:val="12"/>
          <w:szCs w:val="12"/>
          <w:color w:val="auto"/>
        </w:rPr>
        <w:t>•the inability to successfully combine our and Merus' businesses in a manner that permits us to realize the anticipated benefits of the acquisition of Merus in the timeframe currently anticipated, or at all;</w:t>
      </w:r>
    </w:p>
    <w:p>
      <w:pPr>
        <w:ind w:left="620" w:right="2740"/>
        <w:spacing w:after="0" w:line="228" w:lineRule="auto"/>
        <w:rPr>
          <w:sz w:val="20"/>
          <w:szCs w:val="20"/>
          <w:color w:val="auto"/>
        </w:rPr>
      </w:pPr>
      <w:r>
        <w:rPr>
          <w:rFonts w:ascii="Times New Roman" w:cs="Times New Roman" w:eastAsia="Times New Roman" w:hAnsi="Times New Roman"/>
          <w:sz w:val="12"/>
          <w:szCs w:val="12"/>
          <w:color w:val="auto"/>
        </w:rPr>
        <w:t>•the failure to integrate internal systems, programs and internal controls, or applying different accounting policies, assumptions or judgments to Merus' operational results than Merus applied in the past; •effectively and efficiently integrating IT and other systems;</w:t>
      </w:r>
    </w:p>
    <w:p>
      <w:pPr>
        <w:sectPr>
          <w:pgSz w:w="11900" w:h="16840" w:orient="portrait"/>
          <w:cols w:equalWidth="0" w:num="1">
            <w:col w:w="9020"/>
          </w:cols>
          <w:pgMar w:left="1440" w:top="559" w:right="1440" w:bottom="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•issues not discovered as part of the transactional due diligence process or unanticipated liabilities or contingencies of Merus, including employment or severance-related obligations under applicable law or other benefits arrangements, claims by or amounts owed to vendors or other commercial disputes, cyber incidents and IT failures or delays, matters related to data privacy, data localization and the handling of personally identifiable information, and other unknown or contingent liabilities;</w:t>
      </w:r>
    </w:p>
    <w:p>
      <w:pPr>
        <w:spacing w:after="0" w:line="1" w:lineRule="exact"/>
        <w:rPr>
          <w:sz w:val="20"/>
          <w:szCs w:val="20"/>
          <w:color w:val="auto"/>
        </w:rPr>
      </w:pPr>
    </w:p>
    <w:p>
      <w:pPr>
        <w:ind w:left="620" w:right="3780"/>
        <w:spacing w:after="0" w:line="215" w:lineRule="auto"/>
        <w:rPr>
          <w:sz w:val="20"/>
          <w:szCs w:val="20"/>
          <w:color w:val="auto"/>
        </w:rPr>
      </w:pPr>
      <w:r>
        <w:rPr>
          <w:rFonts w:ascii="Times New Roman" w:cs="Times New Roman" w:eastAsia="Times New Roman" w:hAnsi="Times New Roman"/>
          <w:sz w:val="12"/>
          <w:szCs w:val="12"/>
          <w:color w:val="auto"/>
        </w:rPr>
        <w:t>•preserving the important licensing, marketing, and other commercial relationships of Merus; •the complexities associated with managing the combined company;</w:t>
      </w:r>
    </w:p>
    <w:p>
      <w:pPr>
        <w:ind w:left="620" w:right="3240"/>
        <w:spacing w:after="0" w:line="228" w:lineRule="auto"/>
        <w:rPr>
          <w:sz w:val="20"/>
          <w:szCs w:val="20"/>
          <w:color w:val="auto"/>
        </w:rPr>
      </w:pPr>
      <w:r>
        <w:rPr>
          <w:rFonts w:ascii="Times New Roman" w:cs="Times New Roman" w:eastAsia="Times New Roman" w:hAnsi="Times New Roman"/>
          <w:sz w:val="12"/>
          <w:szCs w:val="12"/>
          <w:color w:val="auto"/>
        </w:rPr>
        <w:t>•the failure to retain key employees of either of the two companies who may be difficult to replace; •the disruption of each company's ongoing businesses or inconsistencies in services, standards, controls, procedures and policies;</w:t>
      </w:r>
    </w:p>
    <w:p>
      <w:pPr>
        <w:sectPr>
          <w:pgSz w:w="11900" w:h="16840" w:orient="portrait"/>
          <w:cols w:equalWidth="0" w:num="1">
            <w:col w:w="9020"/>
          </w:cols>
          <w:pgMar w:left="1440" w:top="559" w:right="1440" w:bottom="4" w:gutter="0" w:footer="0" w:header="0"/>
          <w:type w:val="continuous"/>
        </w:sectPr>
      </w:pPr>
    </w:p>
    <w:bookmarkStart w:id="24" w:name="page25"/>
    <w:bookmarkEnd w:id="24"/>
    <w:p>
      <w:pPr>
        <w:ind w:left="620"/>
        <w:spacing w:after="0"/>
        <w:rPr>
          <w:sz w:val="20"/>
          <w:szCs w:val="20"/>
          <w:color w:val="auto"/>
        </w:rPr>
      </w:pPr>
      <w:r>
        <w:rPr>
          <w:rFonts w:ascii="Times New Roman" w:cs="Times New Roman" w:eastAsia="Times New Roman" w:hAnsi="Times New Roman"/>
          <w:sz w:val="12"/>
          <w:szCs w:val="12"/>
          <w:color w:val="auto"/>
        </w:rPr>
        <w:t>•potential unknown liabilities associated with the acquisition of Merus; and</w:t>
      </w:r>
    </w:p>
    <w:p>
      <w:pPr>
        <w:ind w:left="620" w:right="2760"/>
        <w:spacing w:after="0" w:line="215" w:lineRule="auto"/>
        <w:rPr>
          <w:sz w:val="20"/>
          <w:szCs w:val="20"/>
          <w:color w:val="auto"/>
        </w:rPr>
      </w:pPr>
      <w:r>
        <w:rPr>
          <w:rFonts w:ascii="Times New Roman" w:cs="Times New Roman" w:eastAsia="Times New Roman" w:hAnsi="Times New Roman"/>
          <w:sz w:val="12"/>
          <w:szCs w:val="12"/>
          <w:color w:val="auto"/>
        </w:rPr>
        <w:t>•performance shortfalls at one or both of the two companies as a result of the diversion of management's attention caused by integrating our and Merus' operations.</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Any of these risks could adversely affect our ability to maintain relationships with collaboration partners, vendors, employees and other commercial relationships or adversely affect our or Merus' future operational results. As a result, the anticipated benefits of the acquisition of Merus may not be realized or at all or may take longer to realize or cost more than expected, which could adversely affect our business, financial condition, results of operations and growth prospects.</w:t>
      </w:r>
    </w:p>
    <w:p>
      <w:pPr>
        <w:ind w:left="620" w:right="23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 xml:space="preserve">Genmab's ability to realize the anticipated benefits of the acquisition of Merus will depend on its ability to effectively conduct clinical development of, obtain regulatory approvals for, and profitably commercialize, petosemtamab. We may fail to realize the anticipated benefits of the acquisition of Merus if we are unable to successfully develop, obtain regulatory approval for, and commercialize petosemtamab on the currently anticipated timeline, for all of the currently anticipated therapeutic indications, or at all </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620" w:right="2440"/>
        <w:spacing w:after="0"/>
        <w:rPr>
          <w:sz w:val="20"/>
          <w:szCs w:val="20"/>
          <w:color w:val="auto"/>
        </w:rPr>
      </w:pPr>
      <w:r>
        <w:rPr>
          <w:rFonts w:ascii="Times New Roman" w:cs="Times New Roman" w:eastAsia="Times New Roman" w:hAnsi="Times New Roman"/>
          <w:sz w:val="12"/>
          <w:szCs w:val="12"/>
          <w:color w:val="auto"/>
        </w:rPr>
        <w:t>While petosemtamab delivered positive data in certain HNSCC indications in prior Phase I/II trials, there is no assurance that the currently ongoing Phase III trials will ultimately demonstrate the efficacy of petosemtamab in those indications at a level that will be sufficient to obtain regulatory approval. A number of companies in the pharmaceutical, biopharmaceutical and biotechnology industries have suffered significant setbacks in advanced clinical trials even after obtaining promising results in earlier trials, and we cannot be certain that we will not face similar setbacks with petosemtamab.</w:t>
      </w:r>
    </w:p>
    <w:p>
      <w:pPr>
        <w:spacing w:after="0" w:line="52"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In addition, while petosemtamab has received BTD from the FDA with respect to two HNSCC indications, this designation does not assure ultimate approval by the FDA. BTD is a process designed to expedite the development and review of drugs that are intended to treat a serious condition and preliminary clinical evidence indicates that the drug may demonstrate substantial improvement over available therapy on a clinically significant endpoint. Drugs that receive BTD are eligible for certain procedural benefits as part of the FDA review process, including more frequent meetings with FDA staff to discuss the drug's development plan and ensure collection of appropriate data needed to support drug approval, more frequent written communication from FDA staff, rolling review of BLA or NDA submissions, intensive guidance on an efficient drug development program, and organizational commitment involving senior managers. BTD does not, however, change the scientific and medical standard for approval or the quality of evidence necessary to support approval. As a result, applications for product candidates granted expedited review or BTD designation may be ultimately denied based on trial data, trial design or other factors.</w:t>
      </w:r>
    </w:p>
    <w:p>
      <w:pPr>
        <w:spacing w:after="0" w:line="1" w:lineRule="exact"/>
        <w:rPr>
          <w:sz w:val="20"/>
          <w:szCs w:val="20"/>
          <w:color w:val="auto"/>
        </w:rPr>
      </w:pPr>
    </w:p>
    <w:p>
      <w:pPr>
        <w:ind w:left="620" w:right="2300"/>
        <w:spacing w:after="0" w:line="223" w:lineRule="auto"/>
        <w:rPr>
          <w:sz w:val="20"/>
          <w:szCs w:val="20"/>
          <w:color w:val="auto"/>
        </w:rPr>
      </w:pPr>
      <w:r>
        <w:rPr>
          <w:rFonts w:ascii="Times New Roman" w:cs="Times New Roman" w:eastAsia="Times New Roman" w:hAnsi="Times New Roman"/>
          <w:sz w:val="12"/>
          <w:szCs w:val="12"/>
          <w:color w:val="auto"/>
        </w:rPr>
        <w:t>Furthermore, even though the available data from petosemtamab Phase I/II trials in certain HNSCC indications may seem stronger in certain respects than data for certain alternative therapies, there is no completed head -to-head trial that actually compared the safety and efficacy of petosemtamab with any alternative therapy as part of the same investigational setting. Separate clinical trials for alternative therapies may differ in trial design and duration, patient population, treatment protocols and investigators and other important factors, making it difficult to compare data across trials or to draw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39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760"/>
        <w:spacing w:after="0" w:line="215" w:lineRule="auto"/>
        <w:rPr>
          <w:sz w:val="20"/>
          <w:szCs w:val="20"/>
          <w:color w:val="auto"/>
        </w:rPr>
      </w:pPr>
      <w:r>
        <w:rPr>
          <w:rFonts w:ascii="Times New Roman" w:cs="Times New Roman" w:eastAsia="Times New Roman" w:hAnsi="Times New Roman"/>
          <w:sz w:val="12"/>
          <w:szCs w:val="12"/>
          <w:color w:val="auto"/>
        </w:rPr>
        <w:t>conclusions from such cross-trial comparisons. It is possible that petosemtamab may turn out not to be superior to alternative therapies in the currently ongoing Phase III trials in HNSCC.</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Even if we can successfully progress the clinical development of petosemtamab and obtain the anticipated marketing approvals, we may not be able to commercialize it on the currently anticipated timeline or at all, to realize its expected revenue potential, or obtain additional financing, if needed, to fund the commercialization. For more information about the risks involved in clinical development, regulatory approval and commercialization of new products generally, please see “</w:t>
      </w:r>
    </w:p>
    <w:p>
      <w:pPr>
        <w:ind w:left="620" w:right="2340"/>
        <w:spacing w:after="0" w:line="215" w:lineRule="auto"/>
        <w:rPr>
          <w:sz w:val="20"/>
          <w:szCs w:val="20"/>
          <w:color w:val="auto"/>
        </w:rPr>
      </w:pP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Risks Related to Product Development.” Our ability to realize petosemtamab's potential is also subject to all of the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risks affecting our business described in this “Risk Factors” section.</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Risks Related to Our Indebtedness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Our substantial indebtedness could adversely affect our financial condition.</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We have incurred substantial indebtedness which could have a negative impact on our financing options and liquidity position. Our indebtedness requires us to dedicate a portion of our cash flow to service interest and principal payments and, if interest rates rise, this amount may increase. The high degree of our debt leverage could have significant consequences, including the following:</w:t>
      </w:r>
    </w:p>
    <w:p>
      <w:pPr>
        <w:ind w:left="620"/>
        <w:spacing w:after="0" w:line="215" w:lineRule="auto"/>
        <w:rPr>
          <w:sz w:val="20"/>
          <w:szCs w:val="20"/>
          <w:color w:val="auto"/>
        </w:rPr>
      </w:pPr>
      <w:r>
        <w:rPr>
          <w:rFonts w:ascii="Times New Roman" w:cs="Times New Roman" w:eastAsia="Times New Roman" w:hAnsi="Times New Roman"/>
          <w:sz w:val="12"/>
          <w:szCs w:val="12"/>
          <w:color w:val="auto"/>
        </w:rPr>
        <w:t>•making it more difficult for us to satisfy our debt obligations;</w:t>
      </w:r>
    </w:p>
    <w:p>
      <w:pPr>
        <w:ind w:left="620" w:right="3220"/>
        <w:spacing w:after="0" w:line="215" w:lineRule="auto"/>
        <w:rPr>
          <w:sz w:val="20"/>
          <w:szCs w:val="20"/>
          <w:color w:val="auto"/>
        </w:rPr>
      </w:pPr>
      <w:r>
        <w:rPr>
          <w:rFonts w:ascii="Times New Roman" w:cs="Times New Roman" w:eastAsia="Times New Roman" w:hAnsi="Times New Roman"/>
          <w:sz w:val="12"/>
          <w:szCs w:val="12"/>
          <w:color w:val="auto"/>
        </w:rPr>
        <w:t>•limiting our ability to obtain additional financing in the future for working capital, capital expenditures, acquisitions or other general corporate purposes;</w:t>
      </w:r>
    </w:p>
    <w:p>
      <w:pPr>
        <w:ind w:left="620" w:right="3100"/>
        <w:spacing w:after="0" w:line="215" w:lineRule="auto"/>
        <w:rPr>
          <w:sz w:val="20"/>
          <w:szCs w:val="20"/>
          <w:color w:val="auto"/>
        </w:rPr>
      </w:pPr>
      <w:r>
        <w:rPr>
          <w:rFonts w:ascii="Times New Roman" w:cs="Times New Roman" w:eastAsia="Times New Roman" w:hAnsi="Times New Roman"/>
          <w:sz w:val="12"/>
          <w:szCs w:val="12"/>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ind w:left="620" w:right="4200"/>
        <w:spacing w:after="0" w:line="215" w:lineRule="auto"/>
        <w:rPr>
          <w:sz w:val="20"/>
          <w:szCs w:val="20"/>
          <w:color w:val="auto"/>
        </w:rPr>
      </w:pPr>
      <w:r>
        <w:rPr>
          <w:rFonts w:ascii="Times New Roman" w:cs="Times New Roman" w:eastAsia="Times New Roman" w:hAnsi="Times New Roman"/>
          <w:sz w:val="12"/>
          <w:szCs w:val="12"/>
          <w:color w:val="auto"/>
        </w:rPr>
        <w:t>•limiting our ability to refinance our indebtedness on terms acceptable to us or at all; •imposing restrictive covenants on our operations;</w:t>
      </w:r>
    </w:p>
    <w:p>
      <w:pPr>
        <w:ind w:left="620"/>
        <w:spacing w:after="0" w:line="215" w:lineRule="auto"/>
        <w:rPr>
          <w:sz w:val="20"/>
          <w:szCs w:val="20"/>
          <w:color w:val="auto"/>
        </w:rPr>
      </w:pPr>
      <w:r>
        <w:rPr>
          <w:rFonts w:ascii="Times New Roman" w:cs="Times New Roman" w:eastAsia="Times New Roman" w:hAnsi="Times New Roman"/>
          <w:sz w:val="12"/>
          <w:szCs w:val="12"/>
          <w:color w:val="auto"/>
        </w:rPr>
        <w:t>•placing us at a competitive disadvantage to other, less leveraged competitors; and</w:t>
      </w: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•making us more vulnerable to economic downturns and limiting our ability to withstand competitive pressures. Any of these risks could materially impact our ability to fund our operations or limit our ability to expand our business, which could have a material adverse effect on our business, financial condition and results of operations.</w:t>
      </w:r>
    </w:p>
    <w:p>
      <w:pPr>
        <w:ind w:left="620" w:right="238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The terms of the agreements governing our indebtedness may restrict our current and future operations, particularly our ability to respond to changes or to pursue our business strategies, and could adversely affect our capital resources, financial condition and liquidity</w:t>
      </w:r>
      <w:r>
        <w:rPr>
          <w:rFonts w:ascii="Times New Roman" w:cs="Times New Roman" w:eastAsia="Times New Roman" w:hAnsi="Times New Roman"/>
          <w:sz w:val="12"/>
          <w:szCs w:val="12"/>
          <w:color w:val="auto"/>
        </w:rPr>
        <w:t>.</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indentures governing our outstanding notes and our credit agreement contain a number of restrictive covenants</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that impose significant operating and financial restrictions on us and may limit our ability to engage in acts that may be in our long-term best interests, including, among other things, restrictions on our ability to:</w:t>
      </w:r>
    </w:p>
    <w:p>
      <w:pPr>
        <w:ind w:left="620"/>
        <w:spacing w:after="0" w:line="215" w:lineRule="auto"/>
        <w:rPr>
          <w:sz w:val="20"/>
          <w:szCs w:val="20"/>
          <w:color w:val="auto"/>
        </w:rPr>
      </w:pPr>
      <w:r>
        <w:rPr>
          <w:rFonts w:ascii="Times New Roman" w:cs="Times New Roman" w:eastAsia="Times New Roman" w:hAnsi="Times New Roman"/>
          <w:sz w:val="12"/>
          <w:szCs w:val="12"/>
          <w:color w:val="auto"/>
        </w:rPr>
        <w:t>•incur, assume or guarantee additional indebtedness;</w:t>
      </w: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•declare or pay dividends or make other distributions with respect to, or purchase or otherwise acquire or retire for value, equity interests;</w:t>
      </w:r>
    </w:p>
    <w:p>
      <w:pPr>
        <w:ind w:left="620" w:right="4540"/>
        <w:spacing w:after="0" w:line="234" w:lineRule="auto"/>
        <w:rPr>
          <w:sz w:val="20"/>
          <w:szCs w:val="20"/>
          <w:color w:val="auto"/>
        </w:rPr>
      </w:pPr>
      <w:r>
        <w:rPr>
          <w:rFonts w:ascii="Times New Roman" w:cs="Times New Roman" w:eastAsia="Times New Roman" w:hAnsi="Times New Roman"/>
          <w:sz w:val="12"/>
          <w:szCs w:val="12"/>
          <w:color w:val="auto"/>
        </w:rPr>
        <w:t>•make any principal payment on, or redeem or repurchase, subordinated debt; •make loans, advances or other investments;</w:t>
      </w:r>
    </w:p>
    <w:p>
      <w:pPr>
        <w:sectPr>
          <w:pgSz w:w="11900" w:h="16840" w:orient="portrait"/>
          <w:cols w:equalWidth="0" w:num="1">
            <w:col w:w="9020"/>
          </w:cols>
          <w:pgMar w:left="1440" w:top="559" w:right="1440"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•incur liens;</w:t>
      </w:r>
    </w:p>
    <w:p>
      <w:pPr>
        <w:ind w:left="620"/>
        <w:spacing w:after="0" w:line="215" w:lineRule="auto"/>
        <w:rPr>
          <w:sz w:val="20"/>
          <w:szCs w:val="20"/>
          <w:color w:val="auto"/>
        </w:rPr>
      </w:pPr>
      <w:r>
        <w:rPr>
          <w:rFonts w:ascii="Times New Roman" w:cs="Times New Roman" w:eastAsia="Times New Roman" w:hAnsi="Times New Roman"/>
          <w:sz w:val="12"/>
          <w:szCs w:val="12"/>
          <w:color w:val="auto"/>
        </w:rPr>
        <w:t>•sell or otherwise dispose of assets, including capital stock of subsidiaries;</w:t>
      </w:r>
    </w:p>
    <w:p>
      <w:pPr>
        <w:ind w:left="620"/>
        <w:spacing w:after="0" w:line="215" w:lineRule="auto"/>
        <w:rPr>
          <w:sz w:val="20"/>
          <w:szCs w:val="20"/>
          <w:color w:val="auto"/>
        </w:rPr>
      </w:pPr>
      <w:r>
        <w:rPr>
          <w:rFonts w:ascii="Times New Roman" w:cs="Times New Roman" w:eastAsia="Times New Roman" w:hAnsi="Times New Roman"/>
          <w:sz w:val="12"/>
          <w:szCs w:val="12"/>
          <w:color w:val="auto"/>
        </w:rPr>
        <w:t>•enter into sale and lease-back transactions;</w:t>
      </w: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•consolidate or merge with or into, or sell all or substantially all of the assets of the Issuers to, another person; and •enter into transactions with affiliates.</w:t>
      </w:r>
    </w:p>
    <w:p>
      <w:pPr>
        <w:jc w:val="both"/>
        <w:ind w:left="620" w:right="2680"/>
        <w:spacing w:after="0" w:line="215" w:lineRule="auto"/>
        <w:rPr>
          <w:sz w:val="20"/>
          <w:szCs w:val="20"/>
          <w:color w:val="auto"/>
        </w:rPr>
      </w:pPr>
      <w:r>
        <w:rPr>
          <w:rFonts w:ascii="Times New Roman" w:cs="Times New Roman" w:eastAsia="Times New Roman" w:hAnsi="Times New Roman"/>
          <w:sz w:val="12"/>
          <w:szCs w:val="12"/>
          <w:color w:val="auto"/>
        </w:rPr>
        <w:t>In addition, our credit agreement requires us to comply with certain financial maintenance covenants. Our ability to satisfy these financial maintenance covenants can be affected by events beyond our control and we cannot provide assurance that we will meet them.</w:t>
      </w:r>
    </w:p>
    <w:p>
      <w:pPr>
        <w:ind w:left="620"/>
        <w:spacing w:after="0" w:line="215" w:lineRule="auto"/>
        <w:rPr>
          <w:sz w:val="20"/>
          <w:szCs w:val="20"/>
          <w:color w:val="auto"/>
        </w:rPr>
      </w:pPr>
      <w:r>
        <w:rPr>
          <w:rFonts w:ascii="Times New Roman" w:cs="Times New Roman" w:eastAsia="Times New Roman" w:hAnsi="Times New Roman"/>
          <w:sz w:val="12"/>
          <w:szCs w:val="12"/>
          <w:color w:val="auto"/>
        </w:rPr>
        <w:t>A breach of the covenants under the credit agreement and the indentures governing our outstanding notes could result</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in an event of default under the applicable indebtedness, which, if not cured or waived, could result in us having to repay our borrowings before their due dates. Any such default may allow the holders to accelerate the related debt and may result in the acceleration of any other debt to which a cross- acceleration or cross-default provision applies. If we are forced to refinance these borrowings on less favorable terms or if we experience difficulty refinancing the debt prior to maturity, our results of operations or financial condition could be materially affected. In addition, an event of default under our credit agreement may permit the lenders to terminate all commitments to extend further credit. Furthermore, if we are unable to repay the amounts due and payable under our credit agreement or our outstanding notes, the lenders or holders of our outstanding notes may be able to proceed against the collateral granted to them to secure that indebtedness. In the event lenders or holders of our outstanding notes accelerate the repayment of such borrowings, we cannot assure you that we will have sufficient assets to repay such indebtedness.</w:t>
      </w:r>
    </w:p>
    <w:p>
      <w:pPr>
        <w:ind w:left="620"/>
        <w:spacing w:after="0" w:line="217" w:lineRule="auto"/>
        <w:rPr>
          <w:sz w:val="20"/>
          <w:szCs w:val="20"/>
          <w:color w:val="auto"/>
        </w:rPr>
      </w:pPr>
      <w:r>
        <w:rPr>
          <w:rFonts w:ascii="Times New Roman" w:cs="Times New Roman" w:eastAsia="Times New Roman" w:hAnsi="Times New Roman"/>
          <w:sz w:val="12"/>
          <w:szCs w:val="12"/>
          <w:b w:val="1"/>
          <w:bCs w:val="1"/>
          <w:color w:val="auto"/>
        </w:rPr>
        <w:t>ITEM 4INFORMATION ON THE COMPANY</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A.  History and Development of the Company</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We were incorporated on June 11, 1998, as a private limited liability company (“</w:t>
      </w:r>
      <w:r>
        <w:rPr>
          <w:rFonts w:ascii="Times New Roman" w:cs="Times New Roman" w:eastAsia="Times New Roman" w:hAnsi="Times New Roman"/>
          <w:sz w:val="12"/>
          <w:szCs w:val="12"/>
          <w:b w:val="1"/>
          <w:bCs w:val="1"/>
          <w:color w:val="auto"/>
        </w:rPr>
        <w:t>Anpartsselskab</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ApS</w:t>
      </w:r>
      <w:r>
        <w:rPr>
          <w:rFonts w:ascii="Times New Roman" w:cs="Times New Roman" w:eastAsia="Times New Roman" w:hAnsi="Times New Roman"/>
          <w:sz w:val="12"/>
          <w:szCs w:val="12"/>
          <w:color w:val="auto"/>
        </w:rPr>
        <w:t>”) under Danish law as a shelf company and are registered with the Danish Business Authority (Erhvervsstyrelsen) in Copenhagen, Denmark under registration number (CVR) no. 21023884. Our name was changed to Genmab ApS on November 17, 1998, and we commenced operations in February 1999. On May 31, 1999, we were converted into a public limited liability company (“</w:t>
      </w:r>
      <w:r>
        <w:rPr>
          <w:rFonts w:ascii="Times New Roman" w:cs="Times New Roman" w:eastAsia="Times New Roman" w:hAnsi="Times New Roman"/>
          <w:sz w:val="12"/>
          <w:szCs w:val="12"/>
          <w:b w:val="1"/>
          <w:bCs w:val="1"/>
          <w:color w:val="auto"/>
        </w:rPr>
        <w:t>Aktieselskab</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A/S</w:t>
      </w:r>
      <w:r>
        <w:rPr>
          <w:rFonts w:ascii="Times New Roman" w:cs="Times New Roman" w:eastAsia="Times New Roman" w:hAnsi="Times New Roman"/>
          <w:sz w:val="12"/>
          <w:szCs w:val="12"/>
          <w:color w:val="auto"/>
        </w:rPr>
        <w:t>”) and changed our name to Genmab A/S.</w:t>
      </w:r>
    </w:p>
    <w:p>
      <w:pPr>
        <w:spacing w:after="0" w:line="1" w:lineRule="exact"/>
        <w:rPr>
          <w:sz w:val="20"/>
          <w:szCs w:val="20"/>
          <w:color w:val="auto"/>
        </w:rPr>
      </w:pPr>
    </w:p>
    <w:p>
      <w:pPr>
        <w:ind w:left="620" w:right="2660"/>
        <w:spacing w:after="0" w:line="234" w:lineRule="auto"/>
        <w:rPr>
          <w:sz w:val="20"/>
          <w:szCs w:val="20"/>
          <w:color w:val="auto"/>
        </w:rPr>
      </w:pPr>
      <w:r>
        <w:rPr>
          <w:rFonts w:ascii="Times New Roman" w:cs="Times New Roman" w:eastAsia="Times New Roman" w:hAnsi="Times New Roman"/>
          <w:sz w:val="12"/>
          <w:szCs w:val="12"/>
          <w:color w:val="auto"/>
        </w:rPr>
        <w:t>Our shares are listed on Nasdaq Copenhagen under the symbol “GMAB.” Our ADSs are listed on the Nasdaq in the US under the symbol “GMAB.”</w:t>
      </w:r>
    </w:p>
    <w:p>
      <w:pPr>
        <w:sectPr>
          <w:pgSz w:w="11900" w:h="16840" w:orient="portrait"/>
          <w:cols w:equalWidth="0" w:num="1">
            <w:col w:w="9020"/>
          </w:cols>
          <w:pgMar w:left="1440" w:top="1440" w:right="1440" w:bottom="116" w:gutter="0" w:footer="0" w:header="0"/>
        </w:sectPr>
      </w:pP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Legal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Genmab A/S</w:t>
      </w:r>
    </w:p>
    <w:p>
      <w:pPr>
        <w:spacing w:after="0" w:line="168" w:lineRule="exact"/>
        <w:rPr>
          <w:sz w:val="20"/>
          <w:szCs w:val="20"/>
          <w:color w:val="auto"/>
        </w:rPr>
      </w:pPr>
    </w:p>
    <w:p>
      <w:pPr>
        <w:sectPr>
          <w:pgSz w:w="11900" w:h="16840" w:orient="portrait"/>
          <w:cols w:equalWidth="0" w:num="2">
            <w:col w:w="1680" w:space="720"/>
            <w:col w:w="6620"/>
          </w:cols>
          <w:pgMar w:left="1440" w:top="1440" w:right="1440" w:bottom="116"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Commercial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Genmab</w:t>
      </w:r>
    </w:p>
    <w:p>
      <w:pPr>
        <w:spacing w:after="0" w:line="43" w:lineRule="exact"/>
        <w:rPr>
          <w:sz w:val="20"/>
          <w:szCs w:val="20"/>
          <w:color w:val="auto"/>
        </w:rPr>
      </w:pPr>
    </w:p>
    <w:p>
      <w:pPr>
        <w:sectPr>
          <w:pgSz w:w="11900" w:h="16840" w:orient="portrait"/>
          <w:cols w:equalWidth="0" w:num="2">
            <w:col w:w="1680" w:space="720"/>
            <w:col w:w="6620"/>
          </w:cols>
          <w:pgMar w:left="1440" w:top="1440" w:right="1440" w:bottom="116"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Domicile: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Carl Jacobsens Vej 30, 2500 Valby, Denmark</w:t>
      </w:r>
    </w:p>
    <w:p>
      <w:pPr>
        <w:spacing w:after="0" w:line="43" w:lineRule="exact"/>
        <w:rPr>
          <w:sz w:val="20"/>
          <w:szCs w:val="20"/>
          <w:color w:val="auto"/>
        </w:rPr>
      </w:pPr>
    </w:p>
    <w:p>
      <w:pPr>
        <w:sectPr>
          <w:pgSz w:w="11900" w:h="16840" w:orient="portrait"/>
          <w:cols w:equalWidth="0" w:num="2">
            <w:col w:w="1680" w:space="720"/>
            <w:col w:w="6620"/>
          </w:cols>
          <w:pgMar w:left="1440" w:top="1440" w:right="1440" w:bottom="116"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+45 70 20 27 28</w:t>
      </w:r>
    </w:p>
    <w:p>
      <w:pPr>
        <w:spacing w:after="0" w:line="43" w:lineRule="exact"/>
        <w:rPr>
          <w:sz w:val="20"/>
          <w:szCs w:val="20"/>
          <w:color w:val="auto"/>
        </w:rPr>
      </w:pPr>
    </w:p>
    <w:p>
      <w:pPr>
        <w:sectPr>
          <w:pgSz w:w="11900" w:h="16840" w:orient="portrait"/>
          <w:cols w:equalWidth="0" w:num="2">
            <w:col w:w="1680" w:space="720"/>
            <w:col w:w="6620"/>
          </w:cols>
          <w:pgMar w:left="1440" w:top="1440" w:right="1440" w:bottom="116"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www.genmab.com</w:t>
      </w:r>
    </w:p>
    <w:p>
      <w:pPr>
        <w:spacing w:after="0" w:line="43" w:lineRule="exact"/>
        <w:rPr>
          <w:sz w:val="20"/>
          <w:szCs w:val="20"/>
          <w:color w:val="auto"/>
        </w:rPr>
      </w:pPr>
    </w:p>
    <w:p>
      <w:pPr>
        <w:sectPr>
          <w:pgSz w:w="11900" w:h="16840" w:orient="portrait"/>
          <w:cols w:equalWidth="0" w:num="2">
            <w:col w:w="1680" w:space="720"/>
            <w:col w:w="6620"/>
          </w:cols>
          <w:pgMar w:left="1440" w:top="1440" w:right="1440" w:bottom="116" w:gutter="0" w:footer="0" w:header="0"/>
          <w:type w:val="continuous"/>
        </w:sectPr>
      </w:pPr>
    </w:p>
    <w:p>
      <w:pPr>
        <w:ind w:left="2400"/>
        <w:spacing w:after="0"/>
        <w:rPr>
          <w:sz w:val="20"/>
          <w:szCs w:val="20"/>
          <w:color w:val="auto"/>
        </w:rPr>
      </w:pPr>
      <w:r>
        <w:rPr>
          <w:rFonts w:ascii="Times New Roman" w:cs="Times New Roman" w:eastAsia="Times New Roman" w:hAnsi="Times New Roman"/>
          <w:sz w:val="12"/>
          <w:szCs w:val="12"/>
          <w:color w:val="auto"/>
        </w:rPr>
        <w:t>(The contents of this website are not incorporated by</w:t>
      </w:r>
    </w:p>
    <w:p>
      <w:pPr>
        <w:ind w:left="2400"/>
        <w:spacing w:after="0"/>
        <w:rPr>
          <w:sz w:val="20"/>
          <w:szCs w:val="20"/>
          <w:color w:val="auto"/>
        </w:rPr>
      </w:pPr>
      <w:r>
        <w:rPr>
          <w:rFonts w:ascii="Times New Roman" w:cs="Times New Roman" w:eastAsia="Times New Roman" w:hAnsi="Times New Roman"/>
          <w:sz w:val="12"/>
          <w:szCs w:val="12"/>
          <w:color w:val="auto"/>
        </w:rPr>
        <w:t>reference into this Annual Report on Form 20-F.)</w:t>
      </w:r>
    </w:p>
    <w:p>
      <w:pPr>
        <w:sectPr>
          <w:pgSz w:w="11900" w:h="16840" w:orient="portrait"/>
          <w:cols w:equalWidth="0" w:num="1">
            <w:col w:w="9020"/>
          </w:cols>
          <w:pgMar w:left="1440" w:top="1440" w:right="1440" w:bottom="116" w:gutter="0" w:footer="0" w:header="0"/>
          <w:type w:val="continuous"/>
        </w:sectPr>
      </w:pPr>
    </w:p>
    <w:p>
      <w:pPr>
        <w:spacing w:after="0" w:line="1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2"/>
          <w:szCs w:val="12"/>
          <w:color w:val="auto"/>
        </w:rPr>
        <w:t>Date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June 11, 1998</w:t>
      </w:r>
    </w:p>
    <w:p>
      <w:pPr>
        <w:spacing w:after="0" w:line="43" w:lineRule="exact"/>
        <w:rPr>
          <w:sz w:val="20"/>
          <w:szCs w:val="20"/>
          <w:color w:val="auto"/>
        </w:rPr>
      </w:pPr>
    </w:p>
    <w:p>
      <w:pPr>
        <w:sectPr>
          <w:pgSz w:w="11900" w:h="16840" w:orient="portrait"/>
          <w:cols w:equalWidth="0" w:num="2">
            <w:col w:w="1740" w:space="660"/>
            <w:col w:w="6620"/>
          </w:cols>
          <w:pgMar w:left="1440" w:top="1440" w:right="1440" w:bottom="116"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Legal form of the</w:t>
      </w:r>
    </w:p>
    <w:p>
      <w:pPr>
        <w:ind w:left="640"/>
        <w:spacing w:after="0"/>
        <w:rPr>
          <w:sz w:val="20"/>
          <w:szCs w:val="20"/>
          <w:color w:val="auto"/>
        </w:rPr>
      </w:pPr>
      <w:r>
        <w:rPr>
          <w:rFonts w:ascii="Times New Roman" w:cs="Times New Roman" w:eastAsia="Times New Roman" w:hAnsi="Times New Roman"/>
          <w:sz w:val="12"/>
          <w:szCs w:val="12"/>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A Danish public limited liability company</w:t>
      </w:r>
    </w:p>
    <w:p>
      <w:pPr>
        <w:spacing w:after="0" w:line="156" w:lineRule="exact"/>
        <w:rPr>
          <w:sz w:val="20"/>
          <w:szCs w:val="20"/>
          <w:color w:val="auto"/>
        </w:rPr>
      </w:pPr>
    </w:p>
    <w:p>
      <w:pPr>
        <w:sectPr>
          <w:pgSz w:w="11900" w:h="16840" w:orient="portrait"/>
          <w:cols w:equalWidth="0" w:num="2">
            <w:col w:w="1680" w:space="720"/>
            <w:col w:w="6620"/>
          </w:cols>
          <w:pgMar w:left="1440" w:top="1440" w:right="1440" w:bottom="116" w:gutter="0" w:footer="0" w:header="0"/>
          <w:type w:val="continuous"/>
        </w:sectPr>
      </w:pPr>
    </w:p>
    <w:p>
      <w:pPr>
        <w:ind w:left="640"/>
        <w:spacing w:after="0" w:line="253" w:lineRule="auto"/>
        <w:rPr>
          <w:sz w:val="20"/>
          <w:szCs w:val="20"/>
          <w:color w:val="auto"/>
        </w:rPr>
      </w:pPr>
      <w:r>
        <w:rPr>
          <w:rFonts w:ascii="Times New Roman" w:cs="Times New Roman" w:eastAsia="Times New Roman" w:hAnsi="Times New Roman"/>
          <w:sz w:val="12"/>
          <w:szCs w:val="12"/>
          <w:color w:val="auto"/>
        </w:rPr>
        <w:t>Legislation under which the Company operates: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Danish law</w:t>
      </w:r>
    </w:p>
    <w:p>
      <w:pPr>
        <w:spacing w:after="0" w:line="156" w:lineRule="exact"/>
        <w:rPr>
          <w:sz w:val="20"/>
          <w:szCs w:val="20"/>
          <w:color w:val="auto"/>
        </w:rPr>
      </w:pPr>
    </w:p>
    <w:p>
      <w:pPr>
        <w:sectPr>
          <w:pgSz w:w="11900" w:h="16840" w:orient="portrait"/>
          <w:cols w:equalWidth="0" w:num="2">
            <w:col w:w="1840" w:space="560"/>
            <w:col w:w="6620"/>
          </w:cols>
          <w:pgMar w:left="1440" w:top="1440" w:right="1440" w:bottom="116"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Country of</w:t>
      </w:r>
    </w:p>
    <w:p>
      <w:pPr>
        <w:ind w:left="640"/>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Denmark</w:t>
      </w:r>
    </w:p>
    <w:p>
      <w:pPr>
        <w:spacing w:after="0" w:line="337" w:lineRule="exact"/>
        <w:rPr>
          <w:sz w:val="20"/>
          <w:szCs w:val="20"/>
          <w:color w:val="auto"/>
        </w:rPr>
      </w:pPr>
    </w:p>
    <w:p>
      <w:pPr>
        <w:sectPr>
          <w:pgSz w:w="11900" w:h="16840" w:orient="portrait"/>
          <w:cols w:equalWidth="0" w:num="2">
            <w:col w:w="1680" w:space="720"/>
            <w:col w:w="6620"/>
          </w:cols>
          <w:pgMar w:left="1440" w:top="1440" w:right="1440" w:bottom="1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560"/>
        <w:spacing w:after="0" w:line="215" w:lineRule="auto"/>
        <w:rPr>
          <w:sz w:val="20"/>
          <w:szCs w:val="20"/>
          <w:color w:val="auto"/>
        </w:rPr>
      </w:pPr>
      <w:r>
        <w:rPr>
          <w:rFonts w:ascii="Times New Roman" w:cs="Times New Roman" w:eastAsia="Times New Roman" w:hAnsi="Times New Roman"/>
          <w:sz w:val="12"/>
          <w:szCs w:val="12"/>
          <w:color w:val="auto"/>
        </w:rPr>
        <w:t>The SEC maintains an internet site at www.sec.gov that contains reports, proxy and information statements, and other information regarding issuers that file electronically with the SEC.</w:t>
      </w:r>
    </w:p>
    <w:p>
      <w:pPr>
        <w:ind w:left="620"/>
        <w:spacing w:after="0" w:line="215" w:lineRule="auto"/>
        <w:rPr>
          <w:sz w:val="20"/>
          <w:szCs w:val="20"/>
          <w:color w:val="auto"/>
        </w:rPr>
      </w:pPr>
      <w:r>
        <w:rPr>
          <w:rFonts w:ascii="Times New Roman" w:cs="Times New Roman" w:eastAsia="Times New Roman" w:hAnsi="Times New Roman"/>
          <w:sz w:val="12"/>
          <w:szCs w:val="12"/>
          <w:color w:val="auto"/>
        </w:rPr>
        <w:t>For a description of our acquisition of Merus N.V. ("</w:t>
      </w:r>
      <w:r>
        <w:rPr>
          <w:rFonts w:ascii="Times New Roman" w:cs="Times New Roman" w:eastAsia="Times New Roman" w:hAnsi="Times New Roman"/>
          <w:sz w:val="12"/>
          <w:szCs w:val="12"/>
          <w:b w:val="1"/>
          <w:bCs w:val="1"/>
          <w:color w:val="auto"/>
        </w:rPr>
        <w:t>Merus</w:t>
      </w:r>
      <w:r>
        <w:rPr>
          <w:rFonts w:ascii="Times New Roman" w:cs="Times New Roman" w:eastAsia="Times New Roman" w:hAnsi="Times New Roman"/>
          <w:sz w:val="12"/>
          <w:szCs w:val="12"/>
          <w:color w:val="auto"/>
        </w:rPr>
        <w:t xml:space="preserve">") please refer to </w:t>
      </w:r>
      <w:r>
        <w:rPr>
          <w:rFonts w:ascii="Times New Roman" w:cs="Times New Roman" w:eastAsia="Times New Roman" w:hAnsi="Times New Roman"/>
          <w:sz w:val="12"/>
          <w:szCs w:val="12"/>
          <w:i w:val="1"/>
          <w:iCs w:val="1"/>
          <w:color w:val="auto"/>
        </w:rPr>
        <w:t>“Item 5.A—Operating Results</w:t>
      </w:r>
      <w:r>
        <w:rPr>
          <w:rFonts w:ascii="Times New Roman" w:cs="Times New Roman" w:eastAsia="Times New Roman" w:hAnsi="Times New Roman"/>
          <w:sz w:val="12"/>
          <w:szCs w:val="12"/>
          <w:color w:val="auto"/>
        </w:rPr>
        <w:t>.”</w:t>
      </w:r>
    </w:p>
    <w:p>
      <w:pPr>
        <w:ind w:left="620" w:right="7160" w:firstLine="4"/>
        <w:spacing w:after="0" w:line="215" w:lineRule="auto"/>
        <w:tabs>
          <w:tab w:leader="none" w:pos="857"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Business Overview Overview</w:t>
      </w:r>
    </w:p>
    <w:p>
      <w:pPr>
        <w:ind w:left="620" w:right="234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are an international biotechnology company with a pipeline of novel antibody-based products and product candidates designed to address medical needs and improve treatment outcomes for patients with cancer and other serious diseases. Our goal in building our pipeline is to bring medicines to market ourselves in geographic areas where we believe we will be able to maximize their value and make a meaningful impact on the treatment landscape.</w:t>
      </w:r>
    </w:p>
    <w:p>
      <w:pPr>
        <w:ind w:left="620" w:right="230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current priorities are the commercial or late-stage programs epcoritamab, Rina-S and petosemtamab. Epcoritamab, marketed as EPKINLY in countries including the US and Japan and as TEPKINLY in the EU, is being developed and commercialized in collaboration with AbbVie. Epcoritamab is the first and only bispecific antibody approved for the treatment of multiple B-cell malignancies in various regions around the world. Rina-S and petosemtamab are wholly owned by Genmab. Rina-S is in Phase III clinical development for platinum-resistant ovarian cancer (“</w:t>
      </w:r>
      <w:r>
        <w:rPr>
          <w:rFonts w:ascii="Times New Roman" w:cs="Times New Roman" w:eastAsia="Times New Roman" w:hAnsi="Times New Roman"/>
          <w:sz w:val="12"/>
          <w:szCs w:val="12"/>
          <w:b w:val="1"/>
          <w:bCs w:val="1"/>
          <w:color w:val="auto"/>
        </w:rPr>
        <w:t>PROC</w:t>
      </w:r>
      <w:r>
        <w:rPr>
          <w:rFonts w:ascii="Times New Roman" w:cs="Times New Roman" w:eastAsia="Times New Roman" w:hAnsi="Times New Roman"/>
          <w:sz w:val="12"/>
          <w:szCs w:val="12"/>
          <w:color w:val="auto"/>
        </w:rPr>
        <w:t>”), platinum-sensitive ovarian cancer ("</w:t>
      </w:r>
      <w:r>
        <w:rPr>
          <w:rFonts w:ascii="Times New Roman" w:cs="Times New Roman" w:eastAsia="Times New Roman" w:hAnsi="Times New Roman"/>
          <w:sz w:val="12"/>
          <w:szCs w:val="12"/>
          <w:b w:val="1"/>
          <w:bCs w:val="1"/>
          <w:color w:val="auto"/>
        </w:rPr>
        <w:t>PSOC</w:t>
      </w:r>
      <w:r>
        <w:rPr>
          <w:rFonts w:ascii="Times New Roman" w:cs="Times New Roman" w:eastAsia="Times New Roman" w:hAnsi="Times New Roman"/>
          <w:sz w:val="12"/>
          <w:szCs w:val="12"/>
          <w:color w:val="auto"/>
        </w:rPr>
        <w:t>") and endometrial cancer. Petosemtamab is in Phase III clinical development for newly diagnosed and recurrent/metastatic ("</w:t>
      </w:r>
      <w:r>
        <w:rPr>
          <w:rFonts w:ascii="Times New Roman" w:cs="Times New Roman" w:eastAsia="Times New Roman" w:hAnsi="Times New Roman"/>
          <w:sz w:val="12"/>
          <w:szCs w:val="12"/>
          <w:b w:val="1"/>
          <w:bCs w:val="1"/>
          <w:color w:val="auto"/>
        </w:rPr>
        <w:t>r/m</w:t>
      </w:r>
      <w:r>
        <w:rPr>
          <w:rFonts w:ascii="Times New Roman" w:cs="Times New Roman" w:eastAsia="Times New Roman" w:hAnsi="Times New Roman"/>
          <w:sz w:val="12"/>
          <w:szCs w:val="12"/>
          <w:color w:val="auto"/>
        </w:rPr>
        <w:t>") head and neck squamous cell carcinoma ("</w:t>
      </w:r>
      <w:r>
        <w:rPr>
          <w:rFonts w:ascii="Times New Roman" w:cs="Times New Roman" w:eastAsia="Times New Roman" w:hAnsi="Times New Roman"/>
          <w:sz w:val="12"/>
          <w:szCs w:val="12"/>
          <w:b w:val="1"/>
          <w:bCs w:val="1"/>
          <w:color w:val="auto"/>
        </w:rPr>
        <w:t>HNSCC</w:t>
      </w:r>
      <w:r>
        <w:rPr>
          <w:rFonts w:ascii="Times New Roman" w:cs="Times New Roman" w:eastAsia="Times New Roman" w:hAnsi="Times New Roman"/>
          <w:sz w:val="12"/>
          <w:szCs w:val="12"/>
          <w:color w:val="auto"/>
        </w:rPr>
        <w:t>").</w:t>
      </w:r>
    </w:p>
    <w:p>
      <w:pPr>
        <w:ind w:left="6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full pipeline includes bispecific T-cell engagers, next-generation immune checkpoint modulators, effector function</w:t>
      </w:r>
    </w:p>
    <w:p>
      <w:pPr>
        <w:sectPr>
          <w:pgSz w:w="11900" w:h="16840" w:orient="portrait"/>
          <w:cols w:equalWidth="0" w:num="1">
            <w:col w:w="9020"/>
          </w:cols>
          <w:pgMar w:left="1440" w:top="1440" w:right="1440" w:bottom="116" w:gutter="0" w:footer="0" w:header="0"/>
          <w:type w:val="continuous"/>
        </w:sectPr>
      </w:pPr>
    </w:p>
    <w:bookmarkStart w:id="26" w:name="page27"/>
    <w:bookmarkEnd w:id="26"/>
    <w:p>
      <w:pPr>
        <w:ind w:left="620" w:right="2320"/>
        <w:spacing w:after="0"/>
        <w:rPr>
          <w:sz w:val="20"/>
          <w:szCs w:val="20"/>
          <w:color w:val="auto"/>
        </w:rPr>
      </w:pPr>
      <w:r>
        <w:rPr>
          <w:rFonts w:ascii="Times New Roman" w:cs="Times New Roman" w:eastAsia="Times New Roman" w:hAnsi="Times New Roman"/>
          <w:sz w:val="12"/>
          <w:szCs w:val="12"/>
          <w:color w:val="auto"/>
        </w:rPr>
        <w:t>enhanced antibodies and ADCs. We currently have five proprietary products or product candidates in active clinical development, which comprise programs where we retain at least 50% of product rights in collaboration with partners. Our first proprietary commercial product to be approved wastisotumab vedotin, marketed as Tivdak. Tivdak is being co-developed globally and co-promoted in the US in collaboration with Pfizer and exclusively by Genmab outside of the US and China. Tivdak is the first and only ADC approved for the treatment of adult patients with recurrent or metastatic cervical cancer with disease progression on or after prior systemic therapy in territories including the US, Europe and Japan. In addition to our marketed products and clinical product candidates, we have multiple proprietary and partnered preclinical programs.</w:t>
      </w:r>
    </w:p>
    <w:p>
      <w:pPr>
        <w:spacing w:after="0" w:line="38"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In addition to Genmab’s own pipeline of product candidates, our innovation and proprietary technology platforms are applied in the pipelines of global pharmaceutical and biotechnology companies. These companies are running clinical development programs with antibodies created by Genmab or created using Genmab’s proprietary DuoBody bispecific antibody technology platform. The six approved medicines created by Genmab or that incorporate Genmab’s innovation or technology platforms are daratumumab, marketed by J&amp;J as DARZALEX (intravenous (“</w:t>
      </w:r>
      <w:r>
        <w:rPr>
          <w:rFonts w:ascii="Times New Roman" w:cs="Times New Roman" w:eastAsia="Times New Roman" w:hAnsi="Times New Roman"/>
          <w:sz w:val="12"/>
          <w:szCs w:val="12"/>
          <w:b w:val="1"/>
          <w:bCs w:val="1"/>
          <w:color w:val="auto"/>
        </w:rPr>
        <w:t>IV</w:t>
      </w:r>
      <w:r>
        <w:rPr>
          <w:rFonts w:ascii="Times New Roman" w:cs="Times New Roman" w:eastAsia="Times New Roman" w:hAnsi="Times New Roman"/>
          <w:sz w:val="12"/>
          <w:szCs w:val="12"/>
          <w:color w:val="auto"/>
        </w:rPr>
        <w:t xml:space="preserve">”) formulation) and DARZALEX </w:t>
      </w:r>
      <w:r>
        <w:rPr>
          <w:rFonts w:ascii="Times New Roman" w:cs="Times New Roman" w:eastAsia="Times New Roman" w:hAnsi="Times New Roman"/>
          <w:sz w:val="12"/>
          <w:szCs w:val="12"/>
          <w:i w:val="1"/>
          <w:iCs w:val="1"/>
          <w:color w:val="auto"/>
        </w:rPr>
        <w:t>FASPRO</w:t>
      </w:r>
      <w:r>
        <w:rPr>
          <w:rFonts w:ascii="Times New Roman" w:cs="Times New Roman" w:eastAsia="Times New Roman" w:hAnsi="Times New Roman"/>
          <w:sz w:val="12"/>
          <w:szCs w:val="12"/>
          <w:color w:val="auto"/>
        </w:rPr>
        <w:t xml:space="preserve"> or DARZALEX SC (SC formulation), approved in the US, Europe, Japan and other territories for the treatment of certain indications of </w:t>
      </w:r>
      <w:r>
        <w:rPr>
          <w:rFonts w:ascii="Times New Roman" w:cs="Times New Roman" w:eastAsia="Times New Roman" w:hAnsi="Times New Roman"/>
          <w:sz w:val="12"/>
          <w:szCs w:val="12"/>
          <w:b w:val="1"/>
          <w:bCs w:val="1"/>
          <w:color w:val="auto"/>
        </w:rPr>
        <w:t>MM</w:t>
      </w:r>
      <w:r>
        <w:rPr>
          <w:rFonts w:ascii="Times New Roman" w:cs="Times New Roman" w:eastAsia="Times New Roman" w:hAnsi="Times New Roman"/>
          <w:sz w:val="12"/>
          <w:szCs w:val="12"/>
          <w:color w:val="auto"/>
        </w:rPr>
        <w:t xml:space="preserve"> and light chain </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2"/>
          <w:szCs w:val="12"/>
          <w:color w:val="auto"/>
        </w:rPr>
        <w:t>; amivantamab, marketed in the US, Europe, Japan and other territories by J&amp;J as RYBREVANT for the treatment of certain adult patients with locally-advanced or metastatic Non-Small Cell Lung Cancer (“</w:t>
      </w:r>
      <w:r>
        <w:rPr>
          <w:rFonts w:ascii="Times New Roman" w:cs="Times New Roman" w:eastAsia="Times New Roman" w:hAnsi="Times New Roman"/>
          <w:sz w:val="12"/>
          <w:szCs w:val="12"/>
          <w:b w:val="1"/>
          <w:bCs w:val="1"/>
          <w:color w:val="auto"/>
        </w:rPr>
        <w:t>NSCLC</w:t>
      </w:r>
      <w:r>
        <w:rPr>
          <w:rFonts w:ascii="Times New Roman" w:cs="Times New Roman" w:eastAsia="Times New Roman" w:hAnsi="Times New Roman"/>
          <w:sz w:val="12"/>
          <w:szCs w:val="12"/>
          <w:color w:val="auto"/>
        </w:rPr>
        <w:t>”) with epidermal growth factor receptor (“</w:t>
      </w:r>
      <w:r>
        <w:rPr>
          <w:rFonts w:ascii="Times New Roman" w:cs="Times New Roman" w:eastAsia="Times New Roman" w:hAnsi="Times New Roman"/>
          <w:sz w:val="12"/>
          <w:szCs w:val="12"/>
          <w:b w:val="1"/>
          <w:bCs w:val="1"/>
          <w:color w:val="auto"/>
        </w:rPr>
        <w:t>EGFR</w:t>
      </w:r>
      <w:r>
        <w:rPr>
          <w:rFonts w:ascii="Times New Roman" w:cs="Times New Roman" w:eastAsia="Times New Roman" w:hAnsi="Times New Roman"/>
          <w:sz w:val="12"/>
          <w:szCs w:val="12"/>
          <w:color w:val="auto"/>
        </w:rPr>
        <w:t xml:space="preserve">”) exon 20 insertion mutations and also RYBREVANT </w:t>
      </w:r>
      <w:r>
        <w:rPr>
          <w:rFonts w:ascii="Times New Roman" w:cs="Times New Roman" w:eastAsia="Times New Roman" w:hAnsi="Times New Roman"/>
          <w:sz w:val="12"/>
          <w:szCs w:val="12"/>
          <w:i w:val="1"/>
          <w:iCs w:val="1"/>
          <w:color w:val="auto"/>
        </w:rPr>
        <w:t>FASPRO</w:t>
      </w:r>
      <w:r>
        <w:rPr>
          <w:rFonts w:ascii="Times New Roman" w:cs="Times New Roman" w:eastAsia="Times New Roman" w:hAnsi="Times New Roman"/>
          <w:sz w:val="12"/>
          <w:szCs w:val="12"/>
          <w:color w:val="auto"/>
        </w:rPr>
        <w:t xml:space="preserve"> (amivantamab and hyaluronidase -lpuj), an SC formulation approved in the US; teclistamab, marketed in the US, Europe, Japan and other territories by J&amp;J as TECVAYLI for certain indications of MM; talquetamab, marketed in the US, Europe, Japan and other territories by J&amp;J as TALVEY for certain indications of MM; SC ofatumumab, marketed in the US, Europe, Japan and other territories as Kesimpta by Novartis for the treatment of relapsing multiple sclerosis (“ </w:t>
      </w:r>
      <w:r>
        <w:rPr>
          <w:rFonts w:ascii="Times New Roman" w:cs="Times New Roman" w:eastAsia="Times New Roman" w:hAnsi="Times New Roman"/>
          <w:sz w:val="12"/>
          <w:szCs w:val="12"/>
          <w:b w:val="1"/>
          <w:bCs w:val="1"/>
          <w:color w:val="auto"/>
        </w:rPr>
        <w:t>RMS</w:t>
      </w:r>
      <w:r>
        <w:rPr>
          <w:rFonts w:ascii="Times New Roman" w:cs="Times New Roman" w:eastAsia="Times New Roman" w:hAnsi="Times New Roman"/>
          <w:sz w:val="12"/>
          <w:szCs w:val="12"/>
          <w:color w:val="auto"/>
        </w:rPr>
        <w:t>”); and teprotumumab, marketed in the US, Europe and Japan as TEPEZZA by Amgen for the treatment of thyroid eye disease (“</w:t>
      </w:r>
      <w:r>
        <w:rPr>
          <w:rFonts w:ascii="Times New Roman" w:cs="Times New Roman" w:eastAsia="Times New Roman" w:hAnsi="Times New Roman"/>
          <w:sz w:val="12"/>
          <w:szCs w:val="12"/>
          <w:b w:val="1"/>
          <w:bCs w:val="1"/>
          <w:color w:val="auto"/>
        </w:rPr>
        <w:t>TED</w:t>
      </w:r>
      <w:r>
        <w:rPr>
          <w:rFonts w:ascii="Times New Roman" w:cs="Times New Roman" w:eastAsia="Times New Roman" w:hAnsi="Times New Roman"/>
          <w:sz w:val="12"/>
          <w:szCs w:val="12"/>
          <w:color w:val="auto"/>
        </w:rPr>
        <w:t>”) . In addition BIZENGRI (Zenocutuumab-zbco) was added to our portfolio of royalty medicines as part of our acquisition of Merus. Merus exclusively licensed to Partner Therapeutics Inc. ("</w:t>
      </w:r>
      <w:r>
        <w:rPr>
          <w:rFonts w:ascii="Times New Roman" w:cs="Times New Roman" w:eastAsia="Times New Roman" w:hAnsi="Times New Roman"/>
          <w:sz w:val="12"/>
          <w:szCs w:val="12"/>
          <w:b w:val="1"/>
          <w:bCs w:val="1"/>
          <w:color w:val="auto"/>
        </w:rPr>
        <w:t>Partner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Therapeutics</w:t>
      </w:r>
      <w:r>
        <w:rPr>
          <w:rFonts w:ascii="Times New Roman" w:cs="Times New Roman" w:eastAsia="Times New Roman" w:hAnsi="Times New Roman"/>
          <w:sz w:val="12"/>
          <w:szCs w:val="12"/>
          <w:color w:val="auto"/>
        </w:rPr>
        <w:t>") the right to commercialize BIZENGRI for the treatment of Neuregulin 1 ("</w:t>
      </w:r>
      <w:r>
        <w:rPr>
          <w:rFonts w:ascii="Times New Roman" w:cs="Times New Roman" w:eastAsia="Times New Roman" w:hAnsi="Times New Roman"/>
          <w:sz w:val="12"/>
          <w:szCs w:val="12"/>
          <w:b w:val="1"/>
          <w:bCs w:val="1"/>
          <w:color w:val="auto"/>
        </w:rPr>
        <w:t>NRG1</w:t>
      </w:r>
      <w:r>
        <w:rPr>
          <w:rFonts w:ascii="Times New Roman" w:cs="Times New Roman" w:eastAsia="Times New Roman" w:hAnsi="Times New Roman"/>
          <w:sz w:val="12"/>
          <w:szCs w:val="12"/>
          <w:color w:val="auto"/>
        </w:rPr>
        <w:t>") fusion-positive cancer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the US. Under the agreements for these products Genmab is entitled to certain potential milestones and royalties.</w:t>
      </w:r>
    </w:p>
    <w:p>
      <w:pPr>
        <w:spacing w:after="0" w:line="2" w:lineRule="exact"/>
        <w:rPr>
          <w:sz w:val="20"/>
          <w:szCs w:val="20"/>
          <w:color w:val="auto"/>
        </w:rPr>
      </w:pPr>
    </w:p>
    <w:p>
      <w:pPr>
        <w:ind w:left="620" w:right="2280"/>
        <w:spacing w:after="0" w:line="224" w:lineRule="auto"/>
        <w:rPr>
          <w:sz w:val="20"/>
          <w:szCs w:val="20"/>
          <w:color w:val="auto"/>
        </w:rPr>
      </w:pPr>
      <w:r>
        <w:rPr>
          <w:rFonts w:ascii="Times New Roman" w:cs="Times New Roman" w:eastAsia="Times New Roman" w:hAnsi="Times New Roman"/>
          <w:sz w:val="12"/>
          <w:szCs w:val="12"/>
          <w:color w:val="auto"/>
        </w:rPr>
        <w:t>Our portfolio includes multiple proprietary antibody technology platforms: our DuoBody platform, which can be used for the creation and development of bispecific antibodies; our HexaBody platform, which can be used to increase the potential potency of antibodies through hexamerization; our DuoHexaBody platform, which enhances the potential potency of bispecific antibodies through hexamerization; our HexElect platform, which combines two HexaBody molecules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jc w:val="both"/>
        <w:ind w:left="620" w:right="2380"/>
        <w:spacing w:after="0" w:line="215" w:lineRule="auto"/>
        <w:rPr>
          <w:sz w:val="20"/>
          <w:szCs w:val="20"/>
          <w:color w:val="auto"/>
        </w:rPr>
      </w:pPr>
      <w:r>
        <w:rPr>
          <w:rFonts w:ascii="Times New Roman" w:cs="Times New Roman" w:eastAsia="Times New Roman" w:hAnsi="Times New Roman"/>
          <w:sz w:val="12"/>
          <w:szCs w:val="12"/>
          <w:color w:val="auto"/>
        </w:rPr>
        <w:t>maximize potential potency while minimizing potential toxicity by more selective binding to desired target cells; and our ADC platforms, which we acquired through the purchase of ProfoundBio in May 2024. We gained additional proprietary technology platforms as part of our acquisition of Merus. Antibody products created with these technologies may be used in a wide variety of indications including cancer as well as autoimmune, central nervous system and infectious diseases.</w:t>
      </w:r>
    </w:p>
    <w:p>
      <w:pPr>
        <w:jc w:val="both"/>
        <w:ind w:left="620" w:right="2320"/>
        <w:spacing w:after="0" w:line="215" w:lineRule="auto"/>
        <w:rPr>
          <w:sz w:val="20"/>
          <w:szCs w:val="20"/>
          <w:color w:val="auto"/>
        </w:rPr>
      </w:pPr>
      <w:r>
        <w:rPr>
          <w:rFonts w:ascii="Times New Roman" w:cs="Times New Roman" w:eastAsia="Times New Roman" w:hAnsi="Times New Roman"/>
          <w:sz w:val="12"/>
          <w:szCs w:val="12"/>
          <w:color w:val="auto"/>
        </w:rPr>
        <w:t>These platforms play a key role in building our product pipeline, enhancing our collaborations and generating revenue. We selectively enter into collaborations with other biotechnology and pharmaceutical companies that build our network in the biotechnology space and give us access to complementary novel technologies or products that move us closer to achieving our vision and fulfilling our core purpose.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Our Business Strategy</w:t>
      </w:r>
    </w:p>
    <w:p>
      <w:pPr>
        <w:ind w:left="620"/>
        <w:spacing w:after="0" w:line="216" w:lineRule="auto"/>
        <w:rPr>
          <w:sz w:val="20"/>
          <w:szCs w:val="20"/>
          <w:color w:val="auto"/>
        </w:rPr>
      </w:pPr>
      <w:r>
        <w:rPr>
          <w:rFonts w:ascii="Times New Roman" w:cs="Times New Roman" w:eastAsia="Times New Roman" w:hAnsi="Times New Roman"/>
          <w:sz w:val="12"/>
          <w:szCs w:val="12"/>
          <w:color w:val="auto"/>
        </w:rPr>
        <w:t>Key elements of our strategy to achieve our vision and fulfill our core purpose include:</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Actively advance and expand our proprietary product pipeline.</w:t>
      </w:r>
      <w:r>
        <w:rPr>
          <w:rFonts w:ascii="Times New Roman" w:cs="Times New Roman" w:eastAsia="Times New Roman" w:hAnsi="Times New Roman"/>
          <w:sz w:val="12"/>
          <w:szCs w:val="12"/>
          <w:color w:val="auto"/>
        </w:rPr>
        <w:t xml:space="preserve"> We are actively advancing our promising proprietary product candidates, and specifically our commercial or late-stage programs epcoritamab, Rina-S, and petosemtamab through development and commercialization.</w:t>
      </w:r>
    </w:p>
    <w:p>
      <w:pPr>
        <w:ind w:left="620" w:right="28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Grow our commercialization capabilities.</w:t>
      </w:r>
      <w:r>
        <w:rPr>
          <w:rFonts w:ascii="Times New Roman" w:cs="Times New Roman" w:eastAsia="Times New Roman" w:hAnsi="Times New Roman"/>
          <w:sz w:val="12"/>
          <w:szCs w:val="12"/>
          <w:color w:val="auto"/>
        </w:rPr>
        <w:t xml:space="preserve"> We are continuing to develop and expand our commercialization capabilities to allow us to bring our own products to market for the indications and in the geographies we determine would create value for patients and our shareholders. Our initial focus for commercialization is in the US and in Japan, with the commercialization of Tivdak and EPKINLY. More recently, we have expanded our commercial footprint to the EU.</w:t>
      </w:r>
    </w:p>
    <w:p>
      <w:pPr>
        <w:spacing w:after="0" w:line="1" w:lineRule="exact"/>
        <w:rPr>
          <w:sz w:val="20"/>
          <w:szCs w:val="20"/>
          <w:color w:val="auto"/>
        </w:rPr>
      </w:pP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Strengthen our product portfolio with strategic collaborations and potential acquisitions.</w:t>
      </w:r>
      <w:r>
        <w:rPr>
          <w:rFonts w:ascii="Times New Roman" w:cs="Times New Roman" w:eastAsia="Times New Roman" w:hAnsi="Times New Roman"/>
          <w:sz w:val="12"/>
          <w:szCs w:val="12"/>
          <w:color w:val="auto"/>
        </w:rPr>
        <w:t xml:space="preserve"> We enter into strategic product and technology collaborations to build our network in the biotechnology space, to strengthen our portfolio with complementary technologies or products and seek to expand our proprietary product pipeline by developing new products in- house and through selective collaborations. We monitor for potential collaborations and acquisitions that would advance our overall strategy, such as the 2025 acquisition of Merus.</w:t>
      </w:r>
    </w:p>
    <w:p>
      <w:pPr>
        <w:spacing w:after="0" w:line="1" w:lineRule="exact"/>
        <w:rPr>
          <w:sz w:val="20"/>
          <w:szCs w:val="20"/>
          <w:color w:val="auto"/>
        </w:rPr>
      </w:pPr>
    </w:p>
    <w:p>
      <w:pPr>
        <w:ind w:left="620" w:right="27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Leverage our proprietary technology platforms.</w:t>
      </w:r>
      <w:r>
        <w:rPr>
          <w:rFonts w:ascii="Times New Roman" w:cs="Times New Roman" w:eastAsia="Times New Roman" w:hAnsi="Times New Roman"/>
          <w:sz w:val="12"/>
          <w:szCs w:val="12"/>
          <w:color w:val="auto"/>
        </w:rPr>
        <w:t xml:space="preserve"> Our leading proprietary antibody technology platforms play a key role in building our product pipeline, enhancing our collaborations and generating revenue. Multiple new product candidates are currently being developed by us and our collaboration partners using our technology platforms, including proprietary product candidates created with our DuoBody, HexaBody and ADC technologies. We actively seek collaboration partners interested in developing potential antibody therapeutics using our technologies.</w:t>
      </w:r>
    </w:p>
    <w:p>
      <w:pPr>
        <w:spacing w:after="0" w:line="52" w:lineRule="exact"/>
        <w:rPr>
          <w:sz w:val="20"/>
          <w:szCs w:val="20"/>
          <w:color w:val="auto"/>
        </w:rPr>
      </w:pP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Leverage recurring revenue streams from collaborations.</w:t>
      </w:r>
      <w:r>
        <w:rPr>
          <w:rFonts w:ascii="Times New Roman" w:cs="Times New Roman" w:eastAsia="Times New Roman" w:hAnsi="Times New Roman"/>
          <w:sz w:val="12"/>
          <w:szCs w:val="12"/>
          <w:color w:val="auto"/>
        </w:rPr>
        <w:t xml:space="preserve"> There are six medicines on the market, developed and commercialized by partners, that were created by Genmab or created using our DuoBody technology. Under the agreements for these medicines, Genmab is entitled to certain royalties and potential milestone payments. Originally, this strategy allowed us to bring our innovative products to the market and create a stable revenue stream. Over time, it has allowed us to build and expand our own proprietary pipeline.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Our Products and Product Candidates</w:t>
      </w:r>
    </w:p>
    <w:p>
      <w:pPr>
        <w:ind w:left="620" w:right="2640"/>
        <w:spacing w:after="0" w:line="215" w:lineRule="auto"/>
        <w:rPr>
          <w:sz w:val="20"/>
          <w:szCs w:val="20"/>
          <w:color w:val="auto"/>
        </w:rPr>
      </w:pPr>
      <w:r>
        <w:rPr>
          <w:rFonts w:ascii="Times New Roman" w:cs="Times New Roman" w:eastAsia="Times New Roman" w:hAnsi="Times New Roman"/>
          <w:sz w:val="12"/>
          <w:szCs w:val="12"/>
          <w:color w:val="auto"/>
        </w:rPr>
        <w:t>All late-stage ≥50% Genmab-owned medicines or product candidates in ongoing clinical development are discussed below.</w:t>
      </w:r>
    </w:p>
    <w:p>
      <w:pPr>
        <w:ind w:left="620" w:right="2820"/>
        <w:spacing w:after="0" w:line="215" w:lineRule="auto"/>
        <w:rPr>
          <w:sz w:val="20"/>
          <w:szCs w:val="20"/>
          <w:color w:val="auto"/>
        </w:rPr>
      </w:pPr>
      <w:r>
        <w:rPr>
          <w:rFonts w:ascii="Times New Roman" w:cs="Times New Roman" w:eastAsia="Times New Roman" w:hAnsi="Times New Roman"/>
          <w:sz w:val="12"/>
          <w:szCs w:val="12"/>
          <w:color w:val="auto"/>
        </w:rPr>
        <w:t>The following charts summarize the disease indications and most advanced development status of medicines or product candidates in development by Genmab or by collaborators who are leveraging Genmab’s innovation and technology as of December 31, 2025.</w:t>
      </w:r>
    </w:p>
    <w:p>
      <w:pPr>
        <w:ind w:left="620"/>
        <w:spacing w:after="0"/>
        <w:rPr>
          <w:sz w:val="20"/>
          <w:szCs w:val="20"/>
          <w:color w:val="auto"/>
        </w:rPr>
      </w:pPr>
      <w:r>
        <w:rPr>
          <w:rFonts w:ascii="Times New Roman" w:cs="Times New Roman" w:eastAsia="Times New Roman" w:hAnsi="Times New Roman"/>
          <w:sz w:val="12"/>
          <w:szCs w:val="12"/>
          <w:b w:val="1"/>
          <w:bCs w:val="1"/>
          <w:i w:val="1"/>
          <w:iCs w:val="1"/>
          <w:color w:val="auto"/>
        </w:rPr>
        <w:t>Approved Medicines</w:t>
      </w:r>
    </w:p>
    <w:p>
      <w:pPr>
        <w:sectPr>
          <w:pgSz w:w="11900" w:h="16840" w:orient="portrait"/>
          <w:cols w:equalWidth="0" w:num="1">
            <w:col w:w="9020"/>
          </w:cols>
          <w:pgMar w:left="1440" w:top="559" w:right="1440"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43</w:t>
      </w:r>
    </w:p>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spacing w:after="0" w:line="8"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Approved Product</w:t>
            </w:r>
          </w:p>
        </w:tc>
        <w:tc>
          <w:tcPr>
            <w:tcW w:w="130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2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Developed By</w:t>
            </w:r>
          </w:p>
        </w:tc>
        <w:tc>
          <w:tcPr>
            <w:tcW w:w="2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Disease Indication</w:t>
            </w:r>
            <w:r>
              <w:rPr>
                <w:rFonts w:ascii="Times New Roman" w:cs="Times New Roman" w:eastAsia="Times New Roman" w:hAnsi="Times New Roman"/>
                <w:sz w:val="8"/>
                <w:szCs w:val="8"/>
                <w:b w:val="1"/>
                <w:bCs w:val="1"/>
                <w:color w:val="auto"/>
              </w:rPr>
              <w:t>1</w:t>
            </w:r>
          </w:p>
        </w:tc>
      </w:tr>
      <w:tr>
        <w:trPr>
          <w:trHeight w:val="21"/>
        </w:trPr>
        <w:tc>
          <w:tcPr>
            <w:tcW w:w="1380" w:type="dxa"/>
            <w:vAlign w:val="bottom"/>
            <w:tcBorders>
              <w:bottom w:val="single" w:sz="8" w:color="5B9BD5"/>
            </w:tcBorders>
          </w:tcPr>
          <w:p>
            <w:pPr>
              <w:spacing w:after="0" w:line="20" w:lineRule="exact"/>
              <w:rPr>
                <w:sz w:val="1"/>
                <w:szCs w:val="1"/>
                <w:color w:val="auto"/>
              </w:rPr>
            </w:pPr>
          </w:p>
        </w:tc>
        <w:tc>
          <w:tcPr>
            <w:tcW w:w="1300" w:type="dxa"/>
            <w:vAlign w:val="bottom"/>
            <w:tcBorders>
              <w:bottom w:val="single" w:sz="8" w:color="5B9BD5"/>
            </w:tcBorders>
          </w:tcPr>
          <w:p>
            <w:pPr>
              <w:spacing w:after="0" w:line="20" w:lineRule="exact"/>
              <w:rPr>
                <w:sz w:val="1"/>
                <w:szCs w:val="1"/>
                <w:color w:val="auto"/>
              </w:rPr>
            </w:pPr>
          </w:p>
        </w:tc>
        <w:tc>
          <w:tcPr>
            <w:tcW w:w="1220" w:type="dxa"/>
            <w:vAlign w:val="bottom"/>
            <w:tcBorders>
              <w:bottom w:val="single" w:sz="8" w:color="5B9BD5"/>
            </w:tcBorders>
          </w:tcPr>
          <w:p>
            <w:pPr>
              <w:spacing w:after="0" w:line="20" w:lineRule="exact"/>
              <w:rPr>
                <w:sz w:val="1"/>
                <w:szCs w:val="1"/>
                <w:color w:val="auto"/>
              </w:rPr>
            </w:pPr>
          </w:p>
        </w:tc>
        <w:tc>
          <w:tcPr>
            <w:tcW w:w="2240" w:type="dxa"/>
            <w:vAlign w:val="bottom"/>
            <w:tcBorders>
              <w:bottom w:val="single" w:sz="8" w:color="5B9BD5"/>
            </w:tcBorders>
          </w:tcPr>
          <w:p>
            <w:pPr>
              <w:spacing w:after="0" w:line="20" w:lineRule="exact"/>
              <w:rPr>
                <w:sz w:val="1"/>
                <w:szCs w:val="1"/>
                <w:color w:val="auto"/>
              </w:rPr>
            </w:pPr>
          </w:p>
        </w:tc>
      </w:tr>
      <w:tr>
        <w:trPr>
          <w:trHeight w:val="104"/>
        </w:trPr>
        <w:tc>
          <w:tcPr>
            <w:tcW w:w="138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EPKINLY</w:t>
            </w:r>
          </w:p>
        </w:tc>
        <w:tc>
          <w:tcPr>
            <w:tcW w:w="1300" w:type="dxa"/>
            <w:vAlign w:val="bottom"/>
          </w:tcPr>
          <w:p>
            <w:pPr>
              <w:ind w:left="200"/>
              <w:spacing w:after="0" w:line="104" w:lineRule="exact"/>
              <w:rPr>
                <w:sz w:val="20"/>
                <w:szCs w:val="20"/>
                <w:color w:val="auto"/>
              </w:rPr>
            </w:pPr>
            <w:r>
              <w:rPr>
                <w:rFonts w:ascii="Times New Roman" w:cs="Times New Roman" w:eastAsia="Times New Roman" w:hAnsi="Times New Roman"/>
                <w:sz w:val="12"/>
                <w:szCs w:val="12"/>
                <w:color w:val="auto"/>
              </w:rPr>
              <w:t>CD3xCD20</w:t>
            </w:r>
          </w:p>
        </w:tc>
        <w:tc>
          <w:tcPr>
            <w:tcW w:w="122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auto"/>
              </w:rPr>
              <w:t>Co-development</w:t>
            </w:r>
          </w:p>
        </w:tc>
        <w:tc>
          <w:tcPr>
            <w:tcW w:w="2240" w:type="dxa"/>
            <w:vAlign w:val="bottom"/>
          </w:tcPr>
          <w:p>
            <w:pPr>
              <w:spacing w:after="0" w:line="104" w:lineRule="exact"/>
              <w:rPr>
                <w:sz w:val="20"/>
                <w:szCs w:val="20"/>
                <w:color w:val="auto"/>
              </w:rPr>
            </w:pPr>
            <w:r>
              <w:rPr>
                <w:rFonts w:ascii="Times New Roman" w:cs="Times New Roman" w:eastAsia="Times New Roman" w:hAnsi="Times New Roman"/>
                <w:sz w:val="12"/>
                <w:szCs w:val="12"/>
                <w:color w:val="auto"/>
              </w:rPr>
              <w:t>Approved in territories including the US</w:t>
            </w:r>
          </w:p>
        </w:tc>
      </w:tr>
      <w:tr>
        <w:trPr>
          <w:trHeight w:val="124"/>
        </w:trPr>
        <w:tc>
          <w:tcPr>
            <w:tcW w:w="13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(epcoritamab-bysp,</w:t>
            </w:r>
          </w:p>
        </w:tc>
        <w:tc>
          <w:tcPr>
            <w:tcW w:w="1300" w:type="dxa"/>
            <w:vAlign w:val="bottom"/>
          </w:tcPr>
          <w:p>
            <w:pPr>
              <w:spacing w:after="0"/>
              <w:rPr>
                <w:sz w:val="10"/>
                <w:szCs w:val="10"/>
                <w:color w:val="auto"/>
              </w:rPr>
            </w:pPr>
          </w:p>
        </w:tc>
        <w:tc>
          <w:tcPr>
            <w:tcW w:w="122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auto"/>
              </w:rPr>
              <w:t>Genmab/AbbVie</w:t>
            </w: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and Europe for adult patients with</w:t>
            </w:r>
          </w:p>
        </w:tc>
      </w:tr>
      <w:tr>
        <w:trPr>
          <w:trHeight w:val="124"/>
        </w:trPr>
        <w:tc>
          <w:tcPr>
            <w:tcW w:w="13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epcoritamab)</w:t>
            </w: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relapsed/refractory (“</w:t>
            </w:r>
            <w:r>
              <w:rPr>
                <w:rFonts w:ascii="Times New Roman" w:cs="Times New Roman" w:eastAsia="Times New Roman" w:hAnsi="Times New Roman"/>
                <w:sz w:val="12"/>
                <w:szCs w:val="12"/>
                <w:b w:val="1"/>
                <w:bCs w:val="1"/>
                <w:color w:val="auto"/>
              </w:rPr>
              <w:t>R/R</w:t>
            </w:r>
            <w:r>
              <w:rPr>
                <w:rFonts w:ascii="Times New Roman" w:cs="Times New Roman" w:eastAsia="Times New Roman" w:hAnsi="Times New Roman"/>
                <w:sz w:val="12"/>
                <w:szCs w:val="12"/>
                <w:color w:val="auto"/>
              </w:rPr>
              <w:t>”) diffuse</w:t>
            </w:r>
          </w:p>
        </w:tc>
      </w:tr>
      <w:tr>
        <w:trPr>
          <w:trHeight w:val="124"/>
        </w:trPr>
        <w:tc>
          <w:tcPr>
            <w:tcW w:w="13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TEPKINLY</w:t>
            </w: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large B-cell lymphoma ("</w:t>
            </w:r>
            <w:r>
              <w:rPr>
                <w:rFonts w:ascii="Times New Roman" w:cs="Times New Roman" w:eastAsia="Times New Roman" w:hAnsi="Times New Roman"/>
                <w:sz w:val="12"/>
                <w:szCs w:val="12"/>
                <w:b w:val="1"/>
                <w:bCs w:val="1"/>
                <w:color w:val="auto"/>
              </w:rPr>
              <w:t>DLBCL</w:t>
            </w:r>
            <w:r>
              <w:rPr>
                <w:rFonts w:ascii="Times New Roman" w:cs="Times New Roman" w:eastAsia="Times New Roman" w:hAnsi="Times New Roman"/>
                <w:sz w:val="12"/>
                <w:szCs w:val="12"/>
                <w:color w:val="auto"/>
              </w:rPr>
              <w:t>") after</w:t>
            </w:r>
          </w:p>
        </w:tc>
      </w:tr>
      <w:tr>
        <w:trPr>
          <w:trHeight w:val="124"/>
        </w:trPr>
        <w:tc>
          <w:tcPr>
            <w:tcW w:w="13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(epcoritamab)</w:t>
            </w: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two or more lines of systemic therapy</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and in Japan for adult patients with</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certain types of R/R large B-cell</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lymphoma ("</w:t>
            </w:r>
            <w:r>
              <w:rPr>
                <w:rFonts w:ascii="Times New Roman" w:cs="Times New Roman" w:eastAsia="Times New Roman" w:hAnsi="Times New Roman"/>
                <w:sz w:val="12"/>
                <w:szCs w:val="12"/>
                <w:b w:val="1"/>
                <w:bCs w:val="1"/>
                <w:color w:val="auto"/>
              </w:rPr>
              <w:t>LBCL</w:t>
            </w:r>
            <w:r>
              <w:rPr>
                <w:rFonts w:ascii="Times New Roman" w:cs="Times New Roman" w:eastAsia="Times New Roman" w:hAnsi="Times New Roman"/>
                <w:sz w:val="12"/>
                <w:szCs w:val="12"/>
                <w:color w:val="auto"/>
              </w:rPr>
              <w:t>") after two or more</w:t>
            </w:r>
          </w:p>
        </w:tc>
      </w:tr>
      <w:tr>
        <w:trPr>
          <w:trHeight w:val="160"/>
        </w:trPr>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lines of systemic therapy</w:t>
            </w:r>
          </w:p>
        </w:tc>
      </w:tr>
      <w:tr>
        <w:trPr>
          <w:trHeight w:val="249"/>
        </w:trPr>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40" w:type="dxa"/>
            <w:vAlign w:val="bottom"/>
            <w:tcBorders>
              <w:bottom w:val="single" w:sz="8" w:color="5B9BD5"/>
            </w:tcBorders>
          </w:tcPr>
          <w:p>
            <w:pPr>
              <w:spacing w:after="0"/>
              <w:rPr>
                <w:sz w:val="21"/>
                <w:szCs w:val="21"/>
                <w:color w:val="auto"/>
              </w:rPr>
            </w:pPr>
          </w:p>
        </w:tc>
      </w:tr>
      <w:tr>
        <w:trPr>
          <w:trHeight w:val="104"/>
        </w:trPr>
        <w:tc>
          <w:tcPr>
            <w:tcW w:w="1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40" w:type="dxa"/>
            <w:vAlign w:val="bottom"/>
          </w:tcPr>
          <w:p>
            <w:pPr>
              <w:spacing w:after="0" w:line="104" w:lineRule="exact"/>
              <w:rPr>
                <w:sz w:val="20"/>
                <w:szCs w:val="20"/>
                <w:color w:val="auto"/>
              </w:rPr>
            </w:pPr>
            <w:r>
              <w:rPr>
                <w:rFonts w:ascii="Times New Roman" w:cs="Times New Roman" w:eastAsia="Times New Roman" w:hAnsi="Times New Roman"/>
                <w:sz w:val="12"/>
                <w:szCs w:val="12"/>
                <w:color w:val="auto"/>
              </w:rPr>
              <w:t>Approved in territories including the US,</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Europe and Japan for adult patients with</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R/R follicular lymphoma ("</w:t>
            </w:r>
            <w:r>
              <w:rPr>
                <w:rFonts w:ascii="Times New Roman" w:cs="Times New Roman" w:eastAsia="Times New Roman" w:hAnsi="Times New Roman"/>
                <w:sz w:val="12"/>
                <w:szCs w:val="12"/>
                <w:b w:val="1"/>
                <w:bCs w:val="1"/>
                <w:color w:val="auto"/>
              </w:rPr>
              <w:t>FL</w:t>
            </w:r>
            <w:r>
              <w:rPr>
                <w:rFonts w:ascii="Times New Roman" w:cs="Times New Roman" w:eastAsia="Times New Roman" w:hAnsi="Times New Roman"/>
                <w:sz w:val="12"/>
                <w:szCs w:val="12"/>
                <w:color w:val="auto"/>
              </w:rPr>
              <w:t>") after</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two or more lines of systemic therapy</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Approved in the US in combination with</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rituximab and lenalidomide ("</w:t>
            </w: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8"/>
                <w:szCs w:val="8"/>
                <w:b w:val="1"/>
                <w:bCs w:val="1"/>
                <w:color w:val="auto"/>
              </w:rPr>
              <w:t>2</w:t>
            </w:r>
            <w:r>
              <w:rPr>
                <w:rFonts w:ascii="Times New Roman" w:cs="Times New Roman" w:eastAsia="Times New Roman" w:hAnsi="Times New Roman"/>
                <w:sz w:val="12"/>
                <w:szCs w:val="12"/>
                <w:color w:val="auto"/>
              </w:rPr>
              <w:t>") for the</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treatment of adult patients with relapsed</w:t>
            </w:r>
          </w:p>
        </w:tc>
      </w:tr>
      <w:tr>
        <w:trPr>
          <w:trHeight w:val="160"/>
        </w:trPr>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or refractory FL</w:t>
            </w:r>
          </w:p>
        </w:tc>
      </w:tr>
      <w:tr>
        <w:trPr>
          <w:trHeight w:val="163"/>
        </w:trPr>
        <w:tc>
          <w:tcPr>
            <w:tcW w:w="1380" w:type="dxa"/>
            <w:vAlign w:val="bottom"/>
            <w:tcBorders>
              <w:bottom w:val="single" w:sz="8" w:color="5B9BD5"/>
            </w:tcBorders>
          </w:tcPr>
          <w:p>
            <w:pPr>
              <w:spacing w:after="0"/>
              <w:rPr>
                <w:sz w:val="14"/>
                <w:szCs w:val="14"/>
                <w:color w:val="auto"/>
              </w:rPr>
            </w:pPr>
          </w:p>
        </w:tc>
        <w:tc>
          <w:tcPr>
            <w:tcW w:w="1300" w:type="dxa"/>
            <w:vAlign w:val="bottom"/>
            <w:tcBorders>
              <w:bottom w:val="single" w:sz="8" w:color="5B9BD5"/>
            </w:tcBorders>
          </w:tcPr>
          <w:p>
            <w:pPr>
              <w:spacing w:after="0"/>
              <w:rPr>
                <w:sz w:val="14"/>
                <w:szCs w:val="14"/>
                <w:color w:val="auto"/>
              </w:rPr>
            </w:pPr>
          </w:p>
        </w:tc>
        <w:tc>
          <w:tcPr>
            <w:tcW w:w="1220" w:type="dxa"/>
            <w:vAlign w:val="bottom"/>
            <w:tcBorders>
              <w:bottom w:val="single" w:sz="8" w:color="5B9BD5"/>
            </w:tcBorders>
          </w:tcPr>
          <w:p>
            <w:pPr>
              <w:spacing w:after="0"/>
              <w:rPr>
                <w:sz w:val="14"/>
                <w:szCs w:val="14"/>
                <w:color w:val="auto"/>
              </w:rPr>
            </w:pPr>
          </w:p>
        </w:tc>
        <w:tc>
          <w:tcPr>
            <w:tcW w:w="2240" w:type="dxa"/>
            <w:vAlign w:val="bottom"/>
            <w:tcBorders>
              <w:bottom w:val="single" w:sz="8" w:color="5B9BD5"/>
            </w:tcBorders>
          </w:tcPr>
          <w:p>
            <w:pPr>
              <w:spacing w:after="0"/>
              <w:rPr>
                <w:sz w:val="14"/>
                <w:szCs w:val="14"/>
                <w:color w:val="auto"/>
              </w:rPr>
            </w:pPr>
          </w:p>
        </w:tc>
      </w:tr>
      <w:tr>
        <w:trPr>
          <w:trHeight w:val="104"/>
        </w:trPr>
        <w:tc>
          <w:tcPr>
            <w:tcW w:w="138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Tivdak</w:t>
            </w:r>
          </w:p>
        </w:tc>
        <w:tc>
          <w:tcPr>
            <w:tcW w:w="1300" w:type="dxa"/>
            <w:vAlign w:val="bottom"/>
          </w:tcPr>
          <w:p>
            <w:pPr>
              <w:ind w:left="200"/>
              <w:spacing w:after="0" w:line="104" w:lineRule="exact"/>
              <w:rPr>
                <w:sz w:val="20"/>
                <w:szCs w:val="20"/>
                <w:color w:val="auto"/>
              </w:rPr>
            </w:pPr>
            <w:r>
              <w:rPr>
                <w:rFonts w:ascii="Times New Roman" w:cs="Times New Roman" w:eastAsia="Times New Roman" w:hAnsi="Times New Roman"/>
                <w:sz w:val="12"/>
                <w:szCs w:val="12"/>
                <w:color w:val="auto"/>
              </w:rPr>
              <w:t>Tissue factor (“</w:t>
            </w:r>
            <w:r>
              <w:rPr>
                <w:rFonts w:ascii="Times New Roman" w:cs="Times New Roman" w:eastAsia="Times New Roman" w:hAnsi="Times New Roman"/>
                <w:sz w:val="12"/>
                <w:szCs w:val="12"/>
                <w:b w:val="1"/>
                <w:bCs w:val="1"/>
                <w:color w:val="auto"/>
              </w:rPr>
              <w:t>TF</w:t>
            </w:r>
            <w:r>
              <w:rPr>
                <w:rFonts w:ascii="Times New Roman" w:cs="Times New Roman" w:eastAsia="Times New Roman" w:hAnsi="Times New Roman"/>
                <w:sz w:val="12"/>
                <w:szCs w:val="12"/>
                <w:color w:val="auto"/>
              </w:rPr>
              <w:t>”)</w:t>
            </w:r>
          </w:p>
        </w:tc>
        <w:tc>
          <w:tcPr>
            <w:tcW w:w="122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auto"/>
              </w:rPr>
              <w:t>Co-development</w:t>
            </w:r>
          </w:p>
        </w:tc>
        <w:tc>
          <w:tcPr>
            <w:tcW w:w="2240" w:type="dxa"/>
            <w:vAlign w:val="bottom"/>
          </w:tcPr>
          <w:p>
            <w:pPr>
              <w:spacing w:after="0" w:line="104" w:lineRule="exact"/>
              <w:rPr>
                <w:sz w:val="20"/>
                <w:szCs w:val="20"/>
                <w:color w:val="auto"/>
              </w:rPr>
            </w:pPr>
            <w:r>
              <w:rPr>
                <w:rFonts w:ascii="Times New Roman" w:cs="Times New Roman" w:eastAsia="Times New Roman" w:hAnsi="Times New Roman"/>
                <w:sz w:val="12"/>
                <w:szCs w:val="12"/>
                <w:color w:val="auto"/>
              </w:rPr>
              <w:t>Approved in territories including the US,</w:t>
            </w:r>
          </w:p>
        </w:tc>
      </w:tr>
      <w:tr>
        <w:trPr>
          <w:trHeight w:val="124"/>
        </w:trPr>
        <w:tc>
          <w:tcPr>
            <w:tcW w:w="13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(tisotumab vedotin-tftv,</w:t>
            </w:r>
          </w:p>
        </w:tc>
        <w:tc>
          <w:tcPr>
            <w:tcW w:w="1300" w:type="dxa"/>
            <w:vAlign w:val="bottom"/>
          </w:tcPr>
          <w:p>
            <w:pPr>
              <w:spacing w:after="0"/>
              <w:rPr>
                <w:sz w:val="10"/>
                <w:szCs w:val="10"/>
                <w:color w:val="auto"/>
              </w:rPr>
            </w:pPr>
          </w:p>
        </w:tc>
        <w:tc>
          <w:tcPr>
            <w:tcW w:w="122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auto"/>
              </w:rPr>
              <w:t>Genmab/Pfizer</w:t>
            </w: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Europe and Japan for adult patients with</w:t>
            </w:r>
          </w:p>
        </w:tc>
      </w:tr>
      <w:tr>
        <w:trPr>
          <w:trHeight w:val="124"/>
        </w:trPr>
        <w:tc>
          <w:tcPr>
            <w:tcW w:w="13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tisotumab vedotin)</w:t>
            </w: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recurrent/metastatic cervical cancer with</w:t>
            </w:r>
          </w:p>
        </w:tc>
      </w:tr>
      <w:tr>
        <w:trPr>
          <w:trHeight w:val="124"/>
        </w:trPr>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disease progression on or after prior</w:t>
            </w:r>
          </w:p>
        </w:tc>
      </w:tr>
      <w:tr>
        <w:trPr>
          <w:trHeight w:val="160"/>
        </w:trPr>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systemic therapy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13335</wp:posOffset>
            </wp:positionV>
            <wp:extent cx="38982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98265" cy="6350"/>
                    </a:xfrm>
                    <a:prstGeom prst="rect">
                      <a:avLst/>
                    </a:prstGeom>
                    <a:noFill/>
                  </pic:spPr>
                </pic:pic>
              </a:graphicData>
            </a:graphic>
          </wp:anchor>
        </w:drawing>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9"/>
          <w:szCs w:val="9"/>
          <w:color w:val="auto"/>
        </w:rPr>
        <w:t>1</w:t>
      </w:r>
      <w:r>
        <w:rPr>
          <w:rFonts w:ascii="Arial" w:cs="Arial" w:eastAsia="Arial" w:hAnsi="Arial"/>
          <w:sz w:val="10"/>
          <w:szCs w:val="10"/>
          <w:color w:val="auto"/>
        </w:rPr>
        <w:t>Refer to relevant local prescribing information for precise indication and safety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rPr>
          <w:sz w:val="20"/>
          <w:szCs w:val="20"/>
          <w:color w:val="auto"/>
        </w:rPr>
      </w:pPr>
      <w:r>
        <w:rPr>
          <w:rFonts w:ascii="Times New Roman" w:cs="Times New Roman" w:eastAsia="Times New Roman" w:hAnsi="Times New Roman"/>
          <w:sz w:val="12"/>
          <w:szCs w:val="12"/>
          <w:b w:val="1"/>
          <w:bCs w:val="1"/>
          <w:i w:val="1"/>
          <w:iCs w:val="1"/>
          <w:color w:val="auto"/>
        </w:rPr>
        <w:t>Pipeline in Active Clinical Development, Including Further Development for Approved Medicines</w:t>
      </w:r>
    </w:p>
    <w:p>
      <w:pPr>
        <w:sectPr>
          <w:pgSz w:w="11900" w:h="16840" w:orient="portrait"/>
          <w:cols w:equalWidth="0" w:num="1">
            <w:col w:w="9020"/>
          </w:cols>
          <w:pgMar w:left="1440" w:top="1440" w:right="1440" w:bottom="1440" w:gutter="0" w:footer="0" w:header="0"/>
        </w:sectPr>
      </w:pPr>
    </w:p>
    <w:bookmarkStart w:id="28" w:name="page29"/>
    <w:bookmarkEnd w:id="28"/>
    <w:tbl>
      <w:tblPr>
        <w:tblLayout w:type="fixed"/>
        <w:tblInd w:w="640" w:type="dxa"/>
        <w:tblCellMar>
          <w:top w:w="0" w:type="dxa"/>
          <w:left w:w="0" w:type="dxa"/>
          <w:bottom w:w="0" w:type="dxa"/>
          <w:right w:w="0" w:type="dxa"/>
        </w:tblCellMar>
      </w:tblPr>
      <w:tr>
        <w:trPr>
          <w:trHeight w:val="115"/>
        </w:trPr>
        <w:tc>
          <w:tcPr>
            <w:tcW w:w="5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Product</w:t>
            </w:r>
          </w:p>
        </w:tc>
        <w:tc>
          <w:tcPr>
            <w:tcW w:w="7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Developed</w:t>
            </w:r>
          </w:p>
        </w:tc>
        <w:tc>
          <w:tcPr>
            <w:tcW w:w="6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Target(s)</w:t>
            </w:r>
          </w:p>
        </w:tc>
        <w:tc>
          <w:tcPr>
            <w:tcW w:w="18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Technology   Disease Indications</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Most Advanced Development Phase</w:t>
            </w:r>
          </w:p>
        </w:tc>
        <w:tc>
          <w:tcPr>
            <w:tcW w:w="60" w:type="dxa"/>
            <w:vAlign w:val="bottom"/>
          </w:tcPr>
          <w:p>
            <w:pPr>
              <w:spacing w:after="0"/>
              <w:rPr>
                <w:sz w:val="10"/>
                <w:szCs w:val="10"/>
                <w:color w:val="auto"/>
              </w:rPr>
            </w:pPr>
          </w:p>
        </w:tc>
      </w:tr>
      <w:tr>
        <w:trPr>
          <w:trHeight w:val="139"/>
        </w:trPr>
        <w:tc>
          <w:tcPr>
            <w:tcW w:w="54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By</w:t>
            </w:r>
          </w:p>
        </w:tc>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7"/>
        </w:trPr>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1</w:t>
            </w:r>
          </w:p>
        </w:tc>
        <w:tc>
          <w:tcPr>
            <w:tcW w:w="880" w:type="dxa"/>
            <w:vAlign w:val="bottom"/>
          </w:tcPr>
          <w:p>
            <w:pPr>
              <w:jc w:val="right"/>
              <w:ind w:right="508"/>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3</w:t>
            </w:r>
          </w:p>
        </w:tc>
      </w:tr>
      <w:tr>
        <w:trPr>
          <w:trHeight w:val="137"/>
        </w:trPr>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clinical</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14" w:lineRule="exact"/>
        <w:rPr>
          <w:sz w:val="20"/>
          <w:szCs w:val="20"/>
          <w:color w:val="auto"/>
        </w:rPr>
      </w:pPr>
    </w:p>
    <w:p>
      <w:pPr>
        <w:sectPr>
          <w:pgSz w:w="11900" w:h="16840" w:orient="portrait"/>
          <w:cols w:equalWidth="0" w:num="1">
            <w:col w:w="9020"/>
          </w:cols>
          <w:pgMar w:left="1440" w:top="550" w:right="1440" w:bottom="1440" w:gutter="0" w:footer="0" w:header="0"/>
        </w:sectPr>
      </w:pPr>
    </w:p>
    <w:p>
      <w:pPr>
        <w:spacing w:after="0" w:line="10"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0"/>
          <w:szCs w:val="10"/>
          <w:b w:val="1"/>
          <w:bCs w:val="1"/>
          <w:color w:val="auto"/>
        </w:rPr>
        <w:t>Epcoritamab</w:t>
      </w:r>
      <w:r>
        <w:rPr>
          <w:sz w:val="20"/>
          <w:szCs w:val="20"/>
          <w:color w:val="auto"/>
        </w:rPr>
        <w:tab/>
      </w:r>
      <w:r>
        <w:rPr>
          <w:rFonts w:ascii="Times New Roman" w:cs="Times New Roman" w:eastAsia="Times New Roman" w:hAnsi="Times New Roman"/>
          <w:sz w:val="10"/>
          <w:szCs w:val="10"/>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-66040</wp:posOffset>
            </wp:positionV>
            <wp:extent cx="9067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6780" cy="6350"/>
                    </a:xfrm>
                    <a:prstGeom prst="rect">
                      <a:avLst/>
                    </a:prstGeom>
                    <a:noFill/>
                  </pic:spPr>
                </pic:pic>
              </a:graphicData>
            </a:graphic>
          </wp:anchor>
        </w:drawing>
      </w:r>
    </w:p>
    <w:p>
      <w:pPr>
        <w:jc w:val="right"/>
        <w:spacing w:after="0" w:line="202" w:lineRule="auto"/>
        <w:rPr>
          <w:sz w:val="20"/>
          <w:szCs w:val="20"/>
          <w:color w:val="auto"/>
        </w:rPr>
      </w:pPr>
      <w:r>
        <w:rPr>
          <w:rFonts w:ascii="Times New Roman" w:cs="Times New Roman" w:eastAsia="Times New Roman" w:hAnsi="Times New Roman"/>
          <w:sz w:val="10"/>
          <w:szCs w:val="10"/>
          <w:color w:val="auto"/>
        </w:rPr>
        <w:t>development</w:t>
      </w:r>
    </w:p>
    <w:p>
      <w:pPr>
        <w:ind w:left="1380"/>
        <w:spacing w:after="0" w:line="199" w:lineRule="auto"/>
        <w:rPr>
          <w:sz w:val="20"/>
          <w:szCs w:val="20"/>
          <w:color w:val="auto"/>
        </w:rPr>
      </w:pPr>
      <w:r>
        <w:rPr>
          <w:rFonts w:ascii="Times New Roman" w:cs="Times New Roman" w:eastAsia="Times New Roman" w:hAnsi="Times New Roman"/>
          <w:sz w:val="10"/>
          <w:szCs w:val="10"/>
          <w:color w:val="auto"/>
        </w:rPr>
        <w:t>Genmab /</w:t>
      </w:r>
    </w:p>
    <w:p>
      <w:pPr>
        <w:ind w:left="1380"/>
        <w:spacing w:after="0"/>
        <w:rPr>
          <w:sz w:val="20"/>
          <w:szCs w:val="20"/>
          <w:color w:val="auto"/>
        </w:rPr>
      </w:pPr>
      <w:r>
        <w:rPr>
          <w:rFonts w:ascii="Times New Roman" w:cs="Times New Roman" w:eastAsia="Times New Roman" w:hAnsi="Times New Roman"/>
          <w:sz w:val="10"/>
          <w:szCs w:val="10"/>
          <w:color w:val="auto"/>
        </w:rPr>
        <w:t>AbbVie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1320" w:type="dxa"/>
            <w:vAlign w:val="bottom"/>
            <w:tcBorders>
              <w:top w:val="single" w:sz="8" w:color="029C93"/>
            </w:tcBorders>
          </w:tcPr>
          <w:p>
            <w:pPr>
              <w:spacing w:after="0" w:line="105" w:lineRule="exact"/>
              <w:rPr>
                <w:sz w:val="20"/>
                <w:szCs w:val="20"/>
                <w:color w:val="auto"/>
              </w:rPr>
            </w:pPr>
            <w:r>
              <w:rPr>
                <w:rFonts w:ascii="Times New Roman" w:cs="Times New Roman" w:eastAsia="Times New Roman" w:hAnsi="Times New Roman"/>
                <w:sz w:val="10"/>
                <w:szCs w:val="10"/>
                <w:color w:val="auto"/>
              </w:rPr>
              <w:t>CD3, CD20    DuoBody</w:t>
            </w:r>
          </w:p>
        </w:tc>
        <w:tc>
          <w:tcPr>
            <w:tcW w:w="1540" w:type="dxa"/>
            <w:vAlign w:val="bottom"/>
            <w:tcBorders>
              <w:top w:val="single" w:sz="8" w:color="029C93"/>
            </w:tcBorders>
          </w:tcPr>
          <w:p>
            <w:pPr>
              <w:ind w:left="20"/>
              <w:spacing w:after="0" w:line="105" w:lineRule="exact"/>
              <w:rPr>
                <w:sz w:val="20"/>
                <w:szCs w:val="20"/>
                <w:color w:val="auto"/>
              </w:rPr>
            </w:pPr>
            <w:r>
              <w:rPr>
                <w:rFonts w:ascii="Times New Roman" w:cs="Times New Roman" w:eastAsia="Times New Roman" w:hAnsi="Times New Roman"/>
                <w:sz w:val="10"/>
                <w:szCs w:val="10"/>
                <w:color w:val="auto"/>
              </w:rPr>
              <w:t>Relapsed/refractory</w:t>
            </w:r>
          </w:p>
        </w:tc>
        <w:tc>
          <w:tcPr>
            <w:tcW w:w="300" w:type="dxa"/>
            <w:vAlign w:val="bottom"/>
            <w:tcBorders>
              <w:top w:val="single" w:sz="8" w:color="02756E"/>
            </w:tcBorders>
            <w:shd w:val="clear" w:color="auto" w:fill="02756E"/>
          </w:tcPr>
          <w:p>
            <w:pPr>
              <w:spacing w:after="0"/>
              <w:rPr>
                <w:sz w:val="9"/>
                <w:szCs w:val="9"/>
                <w:color w:val="auto"/>
              </w:rPr>
            </w:pPr>
          </w:p>
        </w:tc>
        <w:tc>
          <w:tcPr>
            <w:tcW w:w="300" w:type="dxa"/>
            <w:vAlign w:val="bottom"/>
            <w:tcBorders>
              <w:top w:val="single" w:sz="8" w:color="02756E"/>
            </w:tcBorders>
            <w:shd w:val="clear" w:color="auto" w:fill="02756E"/>
          </w:tcPr>
          <w:p>
            <w:pPr>
              <w:spacing w:after="0"/>
              <w:rPr>
                <w:sz w:val="9"/>
                <w:szCs w:val="9"/>
                <w:color w:val="auto"/>
              </w:rPr>
            </w:pPr>
          </w:p>
        </w:tc>
        <w:tc>
          <w:tcPr>
            <w:tcW w:w="620" w:type="dxa"/>
            <w:vAlign w:val="bottom"/>
            <w:tcBorders>
              <w:top w:val="single" w:sz="8" w:color="72FFF7"/>
            </w:tcBorders>
            <w:shd w:val="clear" w:color="auto" w:fill="72FFF7"/>
          </w:tcPr>
          <w:p>
            <w:pPr>
              <w:spacing w:after="0"/>
              <w:rPr>
                <w:sz w:val="9"/>
                <w:szCs w:val="9"/>
                <w:color w:val="auto"/>
              </w:rPr>
            </w:pPr>
          </w:p>
        </w:tc>
        <w:tc>
          <w:tcPr>
            <w:tcW w:w="300" w:type="dxa"/>
            <w:vAlign w:val="bottom"/>
            <w:tcBorders>
              <w:top w:val="single" w:sz="8" w:color="B6FFFA"/>
            </w:tcBorders>
            <w:shd w:val="clear" w:color="auto" w:fill="B6FFFA"/>
          </w:tcPr>
          <w:p>
            <w:pPr>
              <w:spacing w:after="0"/>
              <w:rPr>
                <w:sz w:val="9"/>
                <w:szCs w:val="9"/>
                <w:color w:val="auto"/>
              </w:rPr>
            </w:pPr>
          </w:p>
        </w:tc>
        <w:tc>
          <w:tcPr>
            <w:tcW w:w="260" w:type="dxa"/>
            <w:vAlign w:val="bottom"/>
            <w:tcBorders>
              <w:top w:val="single" w:sz="8" w:color="B6FFFA"/>
            </w:tcBorders>
            <w:shd w:val="clear" w:color="auto" w:fill="B6FFFA"/>
          </w:tcPr>
          <w:p>
            <w:pPr>
              <w:spacing w:after="0"/>
              <w:rPr>
                <w:sz w:val="9"/>
                <w:szCs w:val="9"/>
                <w:color w:val="auto"/>
              </w:rPr>
            </w:pPr>
          </w:p>
        </w:tc>
      </w:tr>
      <w:tr>
        <w:trPr>
          <w:trHeight w:val="162"/>
        </w:trPr>
        <w:tc>
          <w:tcPr>
            <w:tcW w:w="1320" w:type="dxa"/>
            <w:vAlign w:val="bottom"/>
          </w:tcPr>
          <w:p>
            <w:pPr>
              <w:spacing w:after="0"/>
              <w:rPr>
                <w:sz w:val="14"/>
                <w:szCs w:val="1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DLBCL</w:t>
            </w:r>
          </w:p>
        </w:tc>
        <w:tc>
          <w:tcPr>
            <w:tcW w:w="300" w:type="dxa"/>
            <w:vAlign w:val="bottom"/>
            <w:tcBorders>
              <w:bottom w:val="single" w:sz="8" w:color="02756E"/>
            </w:tcBorders>
            <w:shd w:val="clear" w:color="auto" w:fill="02756E"/>
          </w:tcPr>
          <w:p>
            <w:pPr>
              <w:spacing w:after="0"/>
              <w:rPr>
                <w:sz w:val="14"/>
                <w:szCs w:val="14"/>
                <w:color w:val="auto"/>
              </w:rPr>
            </w:pPr>
          </w:p>
        </w:tc>
        <w:tc>
          <w:tcPr>
            <w:tcW w:w="300" w:type="dxa"/>
            <w:vAlign w:val="bottom"/>
            <w:tcBorders>
              <w:bottom w:val="single" w:sz="8" w:color="02756E"/>
            </w:tcBorders>
            <w:shd w:val="clear" w:color="auto" w:fill="02756E"/>
          </w:tcPr>
          <w:p>
            <w:pPr>
              <w:spacing w:after="0"/>
              <w:rPr>
                <w:sz w:val="14"/>
                <w:szCs w:val="14"/>
                <w:color w:val="auto"/>
              </w:rPr>
            </w:pPr>
          </w:p>
        </w:tc>
        <w:tc>
          <w:tcPr>
            <w:tcW w:w="620" w:type="dxa"/>
            <w:vAlign w:val="bottom"/>
            <w:tcBorders>
              <w:bottom w:val="single" w:sz="8" w:color="72FFF7"/>
            </w:tcBorders>
            <w:shd w:val="clear" w:color="auto" w:fill="72FFF7"/>
          </w:tcPr>
          <w:p>
            <w:pPr>
              <w:spacing w:after="0"/>
              <w:rPr>
                <w:sz w:val="14"/>
                <w:szCs w:val="14"/>
                <w:color w:val="auto"/>
              </w:rPr>
            </w:pPr>
          </w:p>
        </w:tc>
        <w:tc>
          <w:tcPr>
            <w:tcW w:w="300" w:type="dxa"/>
            <w:vAlign w:val="bottom"/>
            <w:tcBorders>
              <w:bottom w:val="single" w:sz="8" w:color="B6FFFA"/>
            </w:tcBorders>
            <w:shd w:val="clear" w:color="auto" w:fill="B6FFFA"/>
          </w:tcPr>
          <w:p>
            <w:pPr>
              <w:spacing w:after="0"/>
              <w:rPr>
                <w:sz w:val="14"/>
                <w:szCs w:val="14"/>
                <w:color w:val="auto"/>
              </w:rPr>
            </w:pPr>
          </w:p>
        </w:tc>
        <w:tc>
          <w:tcPr>
            <w:tcW w:w="260" w:type="dxa"/>
            <w:vAlign w:val="bottom"/>
            <w:tcBorders>
              <w:bottom w:val="single" w:sz="8" w:color="B6FFFA"/>
            </w:tcBorders>
            <w:shd w:val="clear" w:color="auto" w:fill="B6FFFA"/>
          </w:tcPr>
          <w:p>
            <w:pPr>
              <w:spacing w:after="0"/>
              <w:rPr>
                <w:sz w:val="14"/>
                <w:szCs w:val="14"/>
                <w:color w:val="auto"/>
              </w:rPr>
            </w:pPr>
          </w:p>
        </w:tc>
      </w:tr>
      <w:tr>
        <w:trPr>
          <w:trHeight w:val="132"/>
        </w:trPr>
        <w:tc>
          <w:tcPr>
            <w:tcW w:w="1320" w:type="dxa"/>
            <w:vAlign w:val="bottom"/>
          </w:tcPr>
          <w:p>
            <w:pPr>
              <w:spacing w:after="0"/>
              <w:rPr>
                <w:sz w:val="11"/>
                <w:szCs w:val="11"/>
                <w:color w:val="auto"/>
              </w:rPr>
            </w:pPr>
          </w:p>
        </w:tc>
        <w:tc>
          <w:tcPr>
            <w:tcW w:w="1840" w:type="dxa"/>
            <w:vAlign w:val="bottom"/>
            <w:tcBorders>
              <w:top w:val="single" w:sz="8" w:color="029C93"/>
            </w:tcBorders>
            <w:gridSpan w:val="2"/>
          </w:tcPr>
          <w:p>
            <w:pPr>
              <w:ind w:left="20"/>
              <w:spacing w:after="0"/>
              <w:rPr>
                <w:sz w:val="20"/>
                <w:szCs w:val="20"/>
                <w:color w:val="auto"/>
              </w:rPr>
            </w:pPr>
            <w:r>
              <w:rPr>
                <w:rFonts w:ascii="Times New Roman" w:cs="Times New Roman" w:eastAsia="Times New Roman" w:hAnsi="Times New Roman"/>
                <w:sz w:val="10"/>
                <w:szCs w:val="10"/>
                <w:color w:val="auto"/>
              </w:rPr>
              <w:t>Relapsed/refractory FL</w:t>
            </w:r>
          </w:p>
        </w:tc>
        <w:tc>
          <w:tcPr>
            <w:tcW w:w="300" w:type="dxa"/>
            <w:vAlign w:val="bottom"/>
            <w:tcBorders>
              <w:top w:val="single" w:sz="8" w:color="02756E"/>
            </w:tcBorders>
            <w:shd w:val="clear" w:color="auto" w:fill="02756E"/>
          </w:tcPr>
          <w:p>
            <w:pPr>
              <w:spacing w:after="0"/>
              <w:rPr>
                <w:sz w:val="11"/>
                <w:szCs w:val="11"/>
                <w:color w:val="auto"/>
              </w:rPr>
            </w:pPr>
          </w:p>
        </w:tc>
        <w:tc>
          <w:tcPr>
            <w:tcW w:w="620" w:type="dxa"/>
            <w:vAlign w:val="bottom"/>
            <w:tcBorders>
              <w:top w:val="single" w:sz="8" w:color="72FFF7"/>
            </w:tcBorders>
            <w:shd w:val="clear" w:color="auto" w:fill="72FFF7"/>
          </w:tcPr>
          <w:p>
            <w:pPr>
              <w:spacing w:after="0"/>
              <w:rPr>
                <w:sz w:val="11"/>
                <w:szCs w:val="11"/>
                <w:color w:val="auto"/>
              </w:rPr>
            </w:pPr>
          </w:p>
        </w:tc>
        <w:tc>
          <w:tcPr>
            <w:tcW w:w="300" w:type="dxa"/>
            <w:vAlign w:val="bottom"/>
            <w:tcBorders>
              <w:top w:val="single" w:sz="8" w:color="B6FFFA"/>
            </w:tcBorders>
            <w:shd w:val="clear" w:color="auto" w:fill="B6FFFA"/>
          </w:tcPr>
          <w:p>
            <w:pPr>
              <w:spacing w:after="0"/>
              <w:rPr>
                <w:sz w:val="11"/>
                <w:szCs w:val="11"/>
                <w:color w:val="auto"/>
              </w:rPr>
            </w:pPr>
          </w:p>
        </w:tc>
        <w:tc>
          <w:tcPr>
            <w:tcW w:w="260" w:type="dxa"/>
            <w:vAlign w:val="bottom"/>
            <w:tcBorders>
              <w:top w:val="single" w:sz="8" w:color="B6FFFA"/>
            </w:tcBorders>
            <w:shd w:val="clear" w:color="auto" w:fill="B6FFFA"/>
          </w:tcPr>
          <w:p>
            <w:pPr>
              <w:spacing w:after="0"/>
              <w:rPr>
                <w:sz w:val="11"/>
                <w:szCs w:val="11"/>
                <w:color w:val="auto"/>
              </w:rPr>
            </w:pPr>
          </w:p>
        </w:tc>
      </w:tr>
      <w:tr>
        <w:trPr>
          <w:trHeight w:val="137"/>
        </w:trPr>
        <w:tc>
          <w:tcPr>
            <w:tcW w:w="132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line DLBCL</w:t>
            </w:r>
          </w:p>
        </w:tc>
        <w:tc>
          <w:tcPr>
            <w:tcW w:w="300" w:type="dxa"/>
            <w:vAlign w:val="bottom"/>
            <w:shd w:val="clear" w:color="auto" w:fill="02756E"/>
          </w:tcPr>
          <w:p>
            <w:pPr>
              <w:spacing w:after="0"/>
              <w:rPr>
                <w:sz w:val="11"/>
                <w:szCs w:val="11"/>
                <w:color w:val="auto"/>
              </w:rPr>
            </w:pPr>
          </w:p>
        </w:tc>
        <w:tc>
          <w:tcPr>
            <w:tcW w:w="620" w:type="dxa"/>
            <w:vAlign w:val="bottom"/>
            <w:shd w:val="clear" w:color="auto" w:fill="72FFF7"/>
          </w:tcPr>
          <w:p>
            <w:pPr>
              <w:spacing w:after="0"/>
              <w:rPr>
                <w:sz w:val="11"/>
                <w:szCs w:val="11"/>
                <w:color w:val="auto"/>
              </w:rPr>
            </w:pPr>
          </w:p>
        </w:tc>
        <w:tc>
          <w:tcPr>
            <w:tcW w:w="300" w:type="dxa"/>
            <w:vAlign w:val="bottom"/>
            <w:shd w:val="clear" w:color="auto" w:fill="B6FFFA"/>
          </w:tcPr>
          <w:p>
            <w:pPr>
              <w:spacing w:after="0"/>
              <w:rPr>
                <w:sz w:val="11"/>
                <w:szCs w:val="11"/>
                <w:color w:val="auto"/>
              </w:rPr>
            </w:pPr>
          </w:p>
        </w:tc>
        <w:tc>
          <w:tcPr>
            <w:tcW w:w="260" w:type="dxa"/>
            <w:vAlign w:val="bottom"/>
          </w:tcPr>
          <w:p>
            <w:pPr>
              <w:spacing w:after="0"/>
              <w:rPr>
                <w:sz w:val="11"/>
                <w:szCs w:val="11"/>
                <w:color w:val="auto"/>
              </w:rPr>
            </w:pPr>
          </w:p>
        </w:tc>
      </w:tr>
      <w:tr>
        <w:trPr>
          <w:trHeight w:val="168"/>
        </w:trPr>
        <w:tc>
          <w:tcPr>
            <w:tcW w:w="1320" w:type="dxa"/>
            <w:vAlign w:val="bottom"/>
          </w:tcPr>
          <w:p>
            <w:pPr>
              <w:spacing w:after="0"/>
              <w:rPr>
                <w:sz w:val="14"/>
                <w:szCs w:val="14"/>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line FL</w:t>
            </w:r>
          </w:p>
        </w:tc>
        <w:tc>
          <w:tcPr>
            <w:tcW w:w="300" w:type="dxa"/>
            <w:vAlign w:val="bottom"/>
            <w:shd w:val="clear" w:color="auto" w:fill="02756E"/>
          </w:tcPr>
          <w:p>
            <w:pPr>
              <w:spacing w:after="0"/>
              <w:rPr>
                <w:sz w:val="14"/>
                <w:szCs w:val="14"/>
                <w:color w:val="auto"/>
              </w:rPr>
            </w:pPr>
          </w:p>
        </w:tc>
        <w:tc>
          <w:tcPr>
            <w:tcW w:w="620" w:type="dxa"/>
            <w:vAlign w:val="bottom"/>
            <w:shd w:val="clear" w:color="auto" w:fill="72FFF7"/>
          </w:tcPr>
          <w:p>
            <w:pPr>
              <w:spacing w:after="0"/>
              <w:rPr>
                <w:sz w:val="14"/>
                <w:szCs w:val="14"/>
                <w:color w:val="auto"/>
              </w:rPr>
            </w:pPr>
          </w:p>
        </w:tc>
        <w:tc>
          <w:tcPr>
            <w:tcW w:w="300" w:type="dxa"/>
            <w:vAlign w:val="bottom"/>
            <w:shd w:val="clear" w:color="auto" w:fill="B6FFFA"/>
          </w:tcPr>
          <w:p>
            <w:pPr>
              <w:spacing w:after="0"/>
              <w:rPr>
                <w:sz w:val="14"/>
                <w:szCs w:val="14"/>
                <w:color w:val="auto"/>
              </w:rPr>
            </w:pPr>
          </w:p>
        </w:tc>
        <w:tc>
          <w:tcPr>
            <w:tcW w:w="260" w:type="dxa"/>
            <w:vAlign w:val="bottom"/>
          </w:tcPr>
          <w:p>
            <w:pPr>
              <w:spacing w:after="0"/>
              <w:rPr>
                <w:sz w:val="14"/>
                <w:szCs w:val="14"/>
                <w:color w:val="auto"/>
              </w:rPr>
            </w:pPr>
          </w:p>
        </w:tc>
      </w:tr>
      <w:tr>
        <w:trPr>
          <w:trHeight w:val="105"/>
        </w:trPr>
        <w:tc>
          <w:tcPr>
            <w:tcW w:w="1320" w:type="dxa"/>
            <w:vAlign w:val="bottom"/>
          </w:tcPr>
          <w:p>
            <w:pPr>
              <w:spacing w:after="0"/>
              <w:rPr>
                <w:sz w:val="9"/>
                <w:szCs w:val="9"/>
                <w:color w:val="auto"/>
              </w:rPr>
            </w:pPr>
          </w:p>
        </w:tc>
        <w:tc>
          <w:tcPr>
            <w:tcW w:w="18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rPr>
              <w:t>B-cell non-Hodgkin</w:t>
            </w:r>
          </w:p>
        </w:tc>
        <w:tc>
          <w:tcPr>
            <w:tcW w:w="300" w:type="dxa"/>
            <w:vAlign w:val="bottom"/>
            <w:shd w:val="clear" w:color="auto" w:fill="02756E"/>
          </w:tcPr>
          <w:p>
            <w:pPr>
              <w:spacing w:after="0"/>
              <w:rPr>
                <w:sz w:val="9"/>
                <w:szCs w:val="9"/>
                <w:color w:val="auto"/>
              </w:rPr>
            </w:pPr>
          </w:p>
        </w:tc>
        <w:tc>
          <w:tcPr>
            <w:tcW w:w="620" w:type="dxa"/>
            <w:vAlign w:val="bottom"/>
            <w:shd w:val="clear" w:color="auto" w:fill="72FFF7"/>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39"/>
        </w:trPr>
        <w:tc>
          <w:tcPr>
            <w:tcW w:w="1320" w:type="dxa"/>
            <w:vAlign w:val="bottom"/>
          </w:tcPr>
          <w:p>
            <w:pPr>
              <w:spacing w:after="0"/>
              <w:rPr>
                <w:sz w:val="12"/>
                <w:szCs w:val="12"/>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lymphoma (</w:t>
            </w:r>
            <w:r>
              <w:rPr>
                <w:rFonts w:ascii="Times New Roman" w:cs="Times New Roman" w:eastAsia="Times New Roman" w:hAnsi="Times New Roman"/>
                <w:sz w:val="10"/>
                <w:szCs w:val="10"/>
                <w:b w:val="1"/>
                <w:bCs w:val="1"/>
                <w:color w:val="auto"/>
              </w:rPr>
              <w:t>"NHL"</w:t>
            </w:r>
            <w:r>
              <w:rPr>
                <w:rFonts w:ascii="Times New Roman" w:cs="Times New Roman" w:eastAsia="Times New Roman" w:hAnsi="Times New Roman"/>
                <w:sz w:val="10"/>
                <w:szCs w:val="10"/>
                <w:color w:val="auto"/>
              </w:rPr>
              <w:t>)</w:t>
            </w:r>
          </w:p>
        </w:tc>
        <w:tc>
          <w:tcPr>
            <w:tcW w:w="300" w:type="dxa"/>
            <w:vAlign w:val="bottom"/>
            <w:shd w:val="clear" w:color="auto" w:fill="02756E"/>
          </w:tcPr>
          <w:p>
            <w:pPr>
              <w:spacing w:after="0"/>
              <w:rPr>
                <w:sz w:val="12"/>
                <w:szCs w:val="12"/>
                <w:color w:val="auto"/>
              </w:rPr>
            </w:pPr>
          </w:p>
        </w:tc>
        <w:tc>
          <w:tcPr>
            <w:tcW w:w="620" w:type="dxa"/>
            <w:vAlign w:val="bottom"/>
            <w:shd w:val="clear" w:color="auto" w:fill="72FFF7"/>
          </w:tcPr>
          <w:p>
            <w:pPr>
              <w:spacing w:after="0"/>
              <w:rPr>
                <w:sz w:val="12"/>
                <w:szCs w:val="12"/>
                <w:color w:val="auto"/>
              </w:rPr>
            </w:pPr>
          </w:p>
        </w:tc>
        <w:tc>
          <w:tcPr>
            <w:tcW w:w="560" w:type="dxa"/>
            <w:vAlign w:val="bottom"/>
            <w:gridSpan w:val="2"/>
          </w:tcPr>
          <w:p>
            <w:pPr>
              <w:spacing w:after="0"/>
              <w:rPr>
                <w:sz w:val="12"/>
                <w:szCs w:val="12"/>
                <w:color w:val="auto"/>
              </w:rPr>
            </w:pPr>
          </w:p>
        </w:tc>
      </w:tr>
      <w:tr>
        <w:trPr>
          <w:trHeight w:val="127"/>
        </w:trPr>
        <w:tc>
          <w:tcPr>
            <w:tcW w:w="132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Relapsed/refractory</w:t>
            </w:r>
          </w:p>
        </w:tc>
        <w:tc>
          <w:tcPr>
            <w:tcW w:w="300" w:type="dxa"/>
            <w:vAlign w:val="bottom"/>
            <w:shd w:val="clear" w:color="auto" w:fill="02756E"/>
          </w:tcPr>
          <w:p>
            <w:pPr>
              <w:spacing w:after="0"/>
              <w:rPr>
                <w:sz w:val="11"/>
                <w:szCs w:val="11"/>
                <w:color w:val="auto"/>
              </w:rPr>
            </w:pPr>
          </w:p>
        </w:tc>
        <w:tc>
          <w:tcPr>
            <w:tcW w:w="620" w:type="dxa"/>
            <w:vAlign w:val="bottom"/>
            <w:shd w:val="clear" w:color="auto" w:fill="72FFF7"/>
          </w:tcPr>
          <w:p>
            <w:pPr>
              <w:spacing w:after="0"/>
              <w:rPr>
                <w:sz w:val="11"/>
                <w:szCs w:val="11"/>
                <w:color w:val="auto"/>
              </w:rPr>
            </w:pPr>
          </w:p>
        </w:tc>
        <w:tc>
          <w:tcPr>
            <w:tcW w:w="560" w:type="dxa"/>
            <w:vAlign w:val="bottom"/>
            <w:gridSpan w:val="2"/>
          </w:tcPr>
          <w:p>
            <w:pPr>
              <w:spacing w:after="0"/>
              <w:rPr>
                <w:sz w:val="11"/>
                <w:szCs w:val="11"/>
                <w:color w:val="auto"/>
              </w:rPr>
            </w:pPr>
          </w:p>
        </w:tc>
      </w:tr>
      <w:tr>
        <w:trPr>
          <w:trHeight w:val="95"/>
        </w:trPr>
        <w:tc>
          <w:tcPr>
            <w:tcW w:w="1320" w:type="dxa"/>
            <w:vAlign w:val="bottom"/>
          </w:tcPr>
          <w:p>
            <w:pPr>
              <w:spacing w:after="0"/>
              <w:rPr>
                <w:sz w:val="8"/>
                <w:szCs w:val="8"/>
                <w:color w:val="auto"/>
              </w:rPr>
            </w:pPr>
          </w:p>
        </w:tc>
        <w:tc>
          <w:tcPr>
            <w:tcW w:w="184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chronic lymphocytic</w:t>
            </w:r>
          </w:p>
        </w:tc>
        <w:tc>
          <w:tcPr>
            <w:tcW w:w="300" w:type="dxa"/>
            <w:vAlign w:val="bottom"/>
            <w:shd w:val="clear" w:color="auto" w:fill="02756E"/>
          </w:tcPr>
          <w:p>
            <w:pPr>
              <w:spacing w:after="0"/>
              <w:rPr>
                <w:sz w:val="8"/>
                <w:szCs w:val="8"/>
                <w:color w:val="auto"/>
              </w:rPr>
            </w:pPr>
          </w:p>
        </w:tc>
        <w:tc>
          <w:tcPr>
            <w:tcW w:w="620" w:type="dxa"/>
            <w:vAlign w:val="bottom"/>
            <w:shd w:val="clear" w:color="auto" w:fill="72FFF7"/>
          </w:tcPr>
          <w:p>
            <w:pPr>
              <w:spacing w:after="0"/>
              <w:rPr>
                <w:sz w:val="8"/>
                <w:szCs w:val="8"/>
                <w:color w:val="auto"/>
              </w:rPr>
            </w:pPr>
          </w:p>
        </w:tc>
        <w:tc>
          <w:tcPr>
            <w:tcW w:w="560" w:type="dxa"/>
            <w:vAlign w:val="bottom"/>
            <w:gridSpan w:val="2"/>
          </w:tcPr>
          <w:p>
            <w:pPr>
              <w:spacing w:after="0"/>
              <w:rPr>
                <w:sz w:val="8"/>
                <w:szCs w:val="8"/>
                <w:color w:val="auto"/>
              </w:rPr>
            </w:pPr>
          </w:p>
        </w:tc>
      </w:tr>
      <w:tr>
        <w:trPr>
          <w:trHeight w:val="95"/>
        </w:trPr>
        <w:tc>
          <w:tcPr>
            <w:tcW w:w="1320" w:type="dxa"/>
            <w:vAlign w:val="bottom"/>
          </w:tcPr>
          <w:p>
            <w:pPr>
              <w:spacing w:after="0"/>
              <w:rPr>
                <w:sz w:val="8"/>
                <w:szCs w:val="8"/>
                <w:color w:val="auto"/>
              </w:rPr>
            </w:pPr>
          </w:p>
        </w:tc>
        <w:tc>
          <w:tcPr>
            <w:tcW w:w="184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leukemia (</w:t>
            </w:r>
            <w:r>
              <w:rPr>
                <w:rFonts w:ascii="Times New Roman" w:cs="Times New Roman" w:eastAsia="Times New Roman" w:hAnsi="Times New Roman"/>
                <w:sz w:val="10"/>
                <w:szCs w:val="10"/>
                <w:b w:val="1"/>
                <w:bCs w:val="1"/>
                <w:color w:val="auto"/>
              </w:rPr>
              <w:t>"CLL"</w:t>
            </w:r>
            <w:r>
              <w:rPr>
                <w:rFonts w:ascii="Times New Roman" w:cs="Times New Roman" w:eastAsia="Times New Roman" w:hAnsi="Times New Roman"/>
                <w:sz w:val="10"/>
                <w:szCs w:val="10"/>
                <w:color w:val="auto"/>
              </w:rPr>
              <w:t>) &amp;</w:t>
            </w:r>
          </w:p>
        </w:tc>
        <w:tc>
          <w:tcPr>
            <w:tcW w:w="300" w:type="dxa"/>
            <w:vAlign w:val="bottom"/>
            <w:shd w:val="clear" w:color="auto" w:fill="02756E"/>
          </w:tcPr>
          <w:p>
            <w:pPr>
              <w:spacing w:after="0"/>
              <w:rPr>
                <w:sz w:val="8"/>
                <w:szCs w:val="8"/>
                <w:color w:val="auto"/>
              </w:rPr>
            </w:pPr>
          </w:p>
        </w:tc>
        <w:tc>
          <w:tcPr>
            <w:tcW w:w="620" w:type="dxa"/>
            <w:vAlign w:val="bottom"/>
            <w:shd w:val="clear" w:color="auto" w:fill="72FFF7"/>
          </w:tcPr>
          <w:p>
            <w:pPr>
              <w:spacing w:after="0"/>
              <w:rPr>
                <w:sz w:val="8"/>
                <w:szCs w:val="8"/>
                <w:color w:val="auto"/>
              </w:rPr>
            </w:pPr>
          </w:p>
        </w:tc>
        <w:tc>
          <w:tcPr>
            <w:tcW w:w="560" w:type="dxa"/>
            <w:vAlign w:val="bottom"/>
            <w:gridSpan w:val="2"/>
          </w:tcPr>
          <w:p>
            <w:pPr>
              <w:spacing w:after="0"/>
              <w:rPr>
                <w:sz w:val="8"/>
                <w:szCs w:val="8"/>
                <w:color w:val="auto"/>
              </w:rPr>
            </w:pPr>
          </w:p>
        </w:tc>
      </w:tr>
      <w:tr>
        <w:trPr>
          <w:trHeight w:val="137"/>
        </w:trPr>
        <w:tc>
          <w:tcPr>
            <w:tcW w:w="132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Richter's Syndrome</w:t>
            </w:r>
          </w:p>
        </w:tc>
        <w:tc>
          <w:tcPr>
            <w:tcW w:w="300" w:type="dxa"/>
            <w:vAlign w:val="bottom"/>
            <w:shd w:val="clear" w:color="auto" w:fill="02756E"/>
          </w:tcPr>
          <w:p>
            <w:pPr>
              <w:spacing w:after="0"/>
              <w:rPr>
                <w:sz w:val="11"/>
                <w:szCs w:val="11"/>
                <w:color w:val="auto"/>
              </w:rPr>
            </w:pPr>
          </w:p>
        </w:tc>
        <w:tc>
          <w:tcPr>
            <w:tcW w:w="620" w:type="dxa"/>
            <w:vAlign w:val="bottom"/>
            <w:shd w:val="clear" w:color="auto" w:fill="72FFF7"/>
          </w:tcPr>
          <w:p>
            <w:pPr>
              <w:spacing w:after="0"/>
              <w:rPr>
                <w:sz w:val="11"/>
                <w:szCs w:val="11"/>
                <w:color w:val="auto"/>
              </w:rPr>
            </w:pPr>
          </w:p>
        </w:tc>
        <w:tc>
          <w:tcPr>
            <w:tcW w:w="560" w:type="dxa"/>
            <w:vAlign w:val="bottom"/>
            <w:gridSpan w:val="2"/>
          </w:tcPr>
          <w:p>
            <w:pPr>
              <w:spacing w:after="0"/>
              <w:rPr>
                <w:sz w:val="11"/>
                <w:szCs w:val="11"/>
                <w:color w:val="auto"/>
              </w:rPr>
            </w:pPr>
          </w:p>
        </w:tc>
      </w:tr>
      <w:tr>
        <w:trPr>
          <w:trHeight w:val="91"/>
        </w:trPr>
        <w:tc>
          <w:tcPr>
            <w:tcW w:w="1320" w:type="dxa"/>
            <w:vAlign w:val="bottom"/>
          </w:tcPr>
          <w:p>
            <w:pPr>
              <w:spacing w:after="0"/>
              <w:rPr>
                <w:sz w:val="7"/>
                <w:szCs w:val="7"/>
                <w:color w:val="auto"/>
              </w:rPr>
            </w:pPr>
          </w:p>
        </w:tc>
        <w:tc>
          <w:tcPr>
            <w:tcW w:w="1540" w:type="dxa"/>
            <w:vAlign w:val="bottom"/>
            <w:tcBorders>
              <w:bottom w:val="single" w:sz="8" w:color="029C93"/>
            </w:tcBorders>
          </w:tcPr>
          <w:p>
            <w:pPr>
              <w:spacing w:after="0"/>
              <w:rPr>
                <w:sz w:val="7"/>
                <w:szCs w:val="7"/>
                <w:color w:val="auto"/>
              </w:rPr>
            </w:pPr>
          </w:p>
        </w:tc>
        <w:tc>
          <w:tcPr>
            <w:tcW w:w="300" w:type="dxa"/>
            <w:vAlign w:val="bottom"/>
            <w:tcBorders>
              <w:bottom w:val="single" w:sz="8" w:color="029C93"/>
            </w:tcBorders>
          </w:tcPr>
          <w:p>
            <w:pPr>
              <w:spacing w:after="0"/>
              <w:rPr>
                <w:sz w:val="7"/>
                <w:szCs w:val="7"/>
                <w:color w:val="auto"/>
              </w:rPr>
            </w:pPr>
          </w:p>
        </w:tc>
        <w:tc>
          <w:tcPr>
            <w:tcW w:w="300" w:type="dxa"/>
            <w:vAlign w:val="bottom"/>
            <w:tcBorders>
              <w:bottom w:val="single" w:sz="8" w:color="029C93"/>
            </w:tcBorders>
            <w:shd w:val="clear" w:color="auto" w:fill="02756E"/>
          </w:tcPr>
          <w:p>
            <w:pPr>
              <w:spacing w:after="0"/>
              <w:rPr>
                <w:sz w:val="7"/>
                <w:szCs w:val="7"/>
                <w:color w:val="auto"/>
              </w:rPr>
            </w:pPr>
          </w:p>
        </w:tc>
        <w:tc>
          <w:tcPr>
            <w:tcW w:w="620" w:type="dxa"/>
            <w:vAlign w:val="bottom"/>
            <w:tcBorders>
              <w:bottom w:val="single" w:sz="8" w:color="029C93"/>
            </w:tcBorders>
            <w:shd w:val="clear" w:color="auto" w:fill="72FFF7"/>
          </w:tcPr>
          <w:p>
            <w:pPr>
              <w:spacing w:after="0"/>
              <w:rPr>
                <w:sz w:val="7"/>
                <w:szCs w:val="7"/>
                <w:color w:val="auto"/>
              </w:rPr>
            </w:pPr>
          </w:p>
        </w:tc>
        <w:tc>
          <w:tcPr>
            <w:tcW w:w="300" w:type="dxa"/>
            <w:vAlign w:val="bottom"/>
            <w:tcBorders>
              <w:bottom w:val="single" w:sz="8" w:color="029C93"/>
            </w:tcBorders>
          </w:tcPr>
          <w:p>
            <w:pPr>
              <w:spacing w:after="0"/>
              <w:rPr>
                <w:sz w:val="7"/>
                <w:szCs w:val="7"/>
                <w:color w:val="auto"/>
              </w:rPr>
            </w:pPr>
          </w:p>
        </w:tc>
        <w:tc>
          <w:tcPr>
            <w:tcW w:w="260" w:type="dxa"/>
            <w:vAlign w:val="bottom"/>
            <w:tcBorders>
              <w:bottom w:val="single" w:sz="8" w:color="029C93"/>
            </w:tcBorders>
          </w:tcPr>
          <w:p>
            <w:pPr>
              <w:spacing w:after="0"/>
              <w:rPr>
                <w:sz w:val="7"/>
                <w:szCs w:val="7"/>
                <w:color w:val="auto"/>
              </w:rPr>
            </w:pPr>
          </w:p>
        </w:tc>
      </w:tr>
      <w:tr>
        <w:trPr>
          <w:trHeight w:val="85"/>
        </w:trPr>
        <w:tc>
          <w:tcPr>
            <w:tcW w:w="1320" w:type="dxa"/>
            <w:vAlign w:val="bottom"/>
          </w:tcPr>
          <w:p>
            <w:pPr>
              <w:spacing w:after="0"/>
              <w:rPr>
                <w:sz w:val="7"/>
                <w:szCs w:val="7"/>
                <w:color w:val="auto"/>
              </w:rPr>
            </w:pPr>
          </w:p>
        </w:tc>
        <w:tc>
          <w:tcPr>
            <w:tcW w:w="3320" w:type="dxa"/>
            <w:vAlign w:val="bottom"/>
            <w:gridSpan w:val="6"/>
          </w:tcPr>
          <w:p>
            <w:pPr>
              <w:ind w:left="20"/>
              <w:spacing w:after="0" w:line="85" w:lineRule="exact"/>
              <w:rPr>
                <w:sz w:val="20"/>
                <w:szCs w:val="20"/>
                <w:color w:val="auto"/>
              </w:rPr>
            </w:pPr>
            <w:r>
              <w:rPr>
                <w:rFonts w:ascii="Times New Roman" w:cs="Times New Roman" w:eastAsia="Times New Roman" w:hAnsi="Times New Roman"/>
                <w:sz w:val="9"/>
                <w:szCs w:val="9"/>
                <w:color w:val="auto"/>
              </w:rPr>
              <w:t>Aggressive mature B-cell</w:t>
            </w:r>
          </w:p>
        </w:tc>
      </w:tr>
      <w:tr>
        <w:trPr>
          <w:trHeight w:val="95"/>
        </w:trPr>
        <w:tc>
          <w:tcPr>
            <w:tcW w:w="1320" w:type="dxa"/>
            <w:vAlign w:val="bottom"/>
          </w:tcPr>
          <w:p>
            <w:pPr>
              <w:spacing w:after="0"/>
              <w:rPr>
                <w:sz w:val="8"/>
                <w:szCs w:val="8"/>
                <w:color w:val="auto"/>
              </w:rPr>
            </w:pPr>
          </w:p>
        </w:tc>
        <w:tc>
          <w:tcPr>
            <w:tcW w:w="3320" w:type="dxa"/>
            <w:vAlign w:val="bottom"/>
            <w:gridSpan w:val="6"/>
          </w:tcPr>
          <w:p>
            <w:pPr>
              <w:ind w:left="20"/>
              <w:spacing w:after="0" w:line="95" w:lineRule="exact"/>
              <w:rPr>
                <w:sz w:val="20"/>
                <w:szCs w:val="20"/>
                <w:color w:val="auto"/>
              </w:rPr>
            </w:pPr>
            <w:r>
              <w:rPr>
                <w:rFonts w:ascii="Times New Roman" w:cs="Times New Roman" w:eastAsia="Times New Roman" w:hAnsi="Times New Roman"/>
                <w:sz w:val="10"/>
                <w:szCs w:val="10"/>
                <w:color w:val="auto"/>
              </w:rPr>
              <w:t>neoplasms in pediatric</w:t>
            </w:r>
          </w:p>
        </w:tc>
      </w:tr>
      <w:tr>
        <w:trPr>
          <w:trHeight w:val="137"/>
        </w:trPr>
        <w:tc>
          <w:tcPr>
            <w:tcW w:w="1320" w:type="dxa"/>
            <w:vAlign w:val="bottom"/>
          </w:tcPr>
          <w:p>
            <w:pPr>
              <w:spacing w:after="0"/>
              <w:rPr>
                <w:sz w:val="11"/>
                <w:szCs w:val="11"/>
                <w:color w:val="auto"/>
              </w:rPr>
            </w:pPr>
          </w:p>
        </w:tc>
        <w:tc>
          <w:tcPr>
            <w:tcW w:w="3320" w:type="dxa"/>
            <w:vAlign w:val="bottom"/>
            <w:gridSpan w:val="6"/>
          </w:tcPr>
          <w:p>
            <w:pPr>
              <w:ind w:left="20"/>
              <w:spacing w:after="0"/>
              <w:rPr>
                <w:sz w:val="20"/>
                <w:szCs w:val="20"/>
                <w:color w:val="auto"/>
              </w:rPr>
            </w:pPr>
            <w:r>
              <w:rPr>
                <w:rFonts w:ascii="Times New Roman" w:cs="Times New Roman" w:eastAsia="Times New Roman" w:hAnsi="Times New Roman"/>
                <w:sz w:val="10"/>
                <w:szCs w:val="10"/>
                <w:color w:val="auto"/>
              </w:rPr>
              <w:t>patients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2955290" cy="3221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5290" cy="3221355"/>
                    </a:xfrm>
                    <a:prstGeom prst="rect">
                      <a:avLst/>
                    </a:prstGeom>
                    <a:noFill/>
                  </pic:spPr>
                </pic:pic>
              </a:graphicData>
            </a:graphic>
          </wp:anchor>
        </w:drawing>
      </w:r>
    </w:p>
    <w:p>
      <w:pPr>
        <w:spacing w:after="0" w:line="33" w:lineRule="exact"/>
        <w:rPr>
          <w:sz w:val="20"/>
          <w:szCs w:val="20"/>
          <w:color w:val="auto"/>
        </w:rPr>
      </w:pPr>
    </w:p>
    <w:p>
      <w:pPr>
        <w:sectPr>
          <w:pgSz w:w="11900" w:h="16840" w:orient="portrait"/>
          <w:cols w:equalWidth="0" w:num="2">
            <w:col w:w="1920" w:space="160"/>
            <w:col w:w="6940"/>
          </w:cols>
          <w:pgMar w:left="1440" w:top="550" w:right="1440" w:bottom="1440" w:gutter="0" w:footer="0" w:header="0"/>
          <w:type w:val="continuous"/>
        </w:sectPr>
      </w:pPr>
    </w:p>
    <w:tbl>
      <w:tblPr>
        <w:tblLayout w:type="fixed"/>
        <w:tblInd w:w="620" w:type="dxa"/>
        <w:tblCellMar>
          <w:top w:w="0" w:type="dxa"/>
          <w:left w:w="0" w:type="dxa"/>
          <w:bottom w:w="0" w:type="dxa"/>
          <w:right w:w="0" w:type="dxa"/>
        </w:tblCellMar>
      </w:tblPr>
      <w:tr>
        <w:trPr>
          <w:trHeight w:val="105"/>
        </w:trPr>
        <w:tc>
          <w:tcPr>
            <w:tcW w:w="740" w:type="dxa"/>
            <w:vAlign w:val="bottom"/>
            <w:tcBorders>
              <w:top w:val="single" w:sz="8" w:color="02756E"/>
            </w:tcBorders>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Rinatabart</w:t>
            </w:r>
          </w:p>
        </w:tc>
        <w:tc>
          <w:tcPr>
            <w:tcW w:w="20" w:type="dxa"/>
            <w:vAlign w:val="bottom"/>
            <w:tcBorders>
              <w:top w:val="single" w:sz="8" w:color="02756E"/>
            </w:tcBorders>
          </w:tcPr>
          <w:p>
            <w:pPr>
              <w:spacing w:after="0"/>
              <w:rPr>
                <w:sz w:val="9"/>
                <w:szCs w:val="9"/>
                <w:color w:val="auto"/>
              </w:rPr>
            </w:pPr>
          </w:p>
        </w:tc>
        <w:tc>
          <w:tcPr>
            <w:tcW w:w="680" w:type="dxa"/>
            <w:vAlign w:val="bottom"/>
            <w:tcBorders>
              <w:top w:val="single" w:sz="8" w:color="02756E"/>
            </w:tcBorders>
          </w:tcPr>
          <w:p>
            <w:pPr>
              <w:spacing w:after="0" w:line="105" w:lineRule="exact"/>
              <w:rPr>
                <w:sz w:val="20"/>
                <w:szCs w:val="20"/>
                <w:color w:val="auto"/>
              </w:rPr>
            </w:pPr>
            <w:r>
              <w:rPr>
                <w:rFonts w:ascii="Times New Roman" w:cs="Times New Roman" w:eastAsia="Times New Roman" w:hAnsi="Times New Roman"/>
                <w:sz w:val="10"/>
                <w:szCs w:val="10"/>
                <w:color w:val="auto"/>
              </w:rPr>
              <w:t>Genmab</w:t>
            </w:r>
          </w:p>
        </w:tc>
        <w:tc>
          <w:tcPr>
            <w:tcW w:w="20" w:type="dxa"/>
            <w:vAlign w:val="bottom"/>
            <w:tcBorders>
              <w:top w:val="single" w:sz="8" w:color="02756E"/>
            </w:tcBorders>
          </w:tcPr>
          <w:p>
            <w:pPr>
              <w:spacing w:after="0"/>
              <w:rPr>
                <w:sz w:val="9"/>
                <w:szCs w:val="9"/>
                <w:color w:val="auto"/>
              </w:rPr>
            </w:pPr>
          </w:p>
        </w:tc>
        <w:tc>
          <w:tcPr>
            <w:tcW w:w="640" w:type="dxa"/>
            <w:vAlign w:val="bottom"/>
            <w:tcBorders>
              <w:top w:val="single" w:sz="8" w:color="02756E"/>
            </w:tcBorders>
          </w:tcPr>
          <w:p>
            <w:pPr>
              <w:spacing w:after="0" w:line="105" w:lineRule="exact"/>
              <w:rPr>
                <w:sz w:val="20"/>
                <w:szCs w:val="20"/>
                <w:color w:val="auto"/>
              </w:rPr>
            </w:pPr>
            <w:r>
              <w:rPr>
                <w:rFonts w:ascii="Times New Roman" w:cs="Times New Roman" w:eastAsia="Times New Roman" w:hAnsi="Times New Roman"/>
                <w:sz w:val="10"/>
                <w:szCs w:val="10"/>
                <w:color w:val="auto"/>
              </w:rPr>
              <w:t>Folate</w:t>
            </w:r>
          </w:p>
        </w:tc>
        <w:tc>
          <w:tcPr>
            <w:tcW w:w="560" w:type="dxa"/>
            <w:vAlign w:val="bottom"/>
            <w:tcBorders>
              <w:top w:val="single" w:sz="8" w:color="02756E"/>
            </w:tcBorders>
          </w:tcPr>
          <w:p>
            <w:pPr>
              <w:ind w:left="40"/>
              <w:spacing w:after="0" w:line="105" w:lineRule="exact"/>
              <w:rPr>
                <w:sz w:val="20"/>
                <w:szCs w:val="20"/>
                <w:color w:val="auto"/>
              </w:rPr>
            </w:pPr>
            <w:r>
              <w:rPr>
                <w:rFonts w:ascii="Times New Roman" w:cs="Times New Roman" w:eastAsia="Times New Roman" w:hAnsi="Times New Roman"/>
                <w:sz w:val="10"/>
                <w:szCs w:val="10"/>
                <w:color w:val="auto"/>
              </w:rPr>
              <w:t>ADC</w:t>
            </w:r>
          </w:p>
        </w:tc>
        <w:tc>
          <w:tcPr>
            <w:tcW w:w="1960" w:type="dxa"/>
            <w:vAlign w:val="bottom"/>
            <w:tcBorders>
              <w:top w:val="single" w:sz="8" w:color="02756E"/>
            </w:tcBorders>
          </w:tcPr>
          <w:p>
            <w:pPr>
              <w:ind w:left="140"/>
              <w:spacing w:after="0" w:line="105" w:lineRule="exact"/>
              <w:rPr>
                <w:sz w:val="20"/>
                <w:szCs w:val="20"/>
                <w:color w:val="auto"/>
              </w:rPr>
            </w:pPr>
            <w:r>
              <w:rPr>
                <w:rFonts w:ascii="Times New Roman" w:cs="Times New Roman" w:eastAsia="Times New Roman" w:hAnsi="Times New Roman"/>
                <w:sz w:val="10"/>
                <w:szCs w:val="10"/>
                <w:color w:val="auto"/>
              </w:rPr>
              <w:t>PROC</w:t>
            </w:r>
          </w:p>
        </w:tc>
        <w:tc>
          <w:tcPr>
            <w:tcW w:w="300" w:type="dxa"/>
            <w:vAlign w:val="bottom"/>
            <w:tcBorders>
              <w:top w:val="single" w:sz="8" w:color="02756E"/>
            </w:tcBorders>
            <w:shd w:val="clear" w:color="auto" w:fill="02756E"/>
          </w:tcPr>
          <w:p>
            <w:pPr>
              <w:spacing w:after="0"/>
              <w:rPr>
                <w:sz w:val="9"/>
                <w:szCs w:val="9"/>
                <w:color w:val="auto"/>
              </w:rPr>
            </w:pPr>
          </w:p>
        </w:tc>
        <w:tc>
          <w:tcPr>
            <w:tcW w:w="300" w:type="dxa"/>
            <w:vAlign w:val="bottom"/>
            <w:tcBorders>
              <w:top w:val="single" w:sz="8" w:color="72FFF7"/>
            </w:tcBorders>
            <w:shd w:val="clear" w:color="auto" w:fill="72FFF7"/>
          </w:tcPr>
          <w:p>
            <w:pPr>
              <w:spacing w:after="0"/>
              <w:rPr>
                <w:sz w:val="9"/>
                <w:szCs w:val="9"/>
                <w:color w:val="auto"/>
              </w:rPr>
            </w:pPr>
          </w:p>
        </w:tc>
        <w:tc>
          <w:tcPr>
            <w:tcW w:w="320" w:type="dxa"/>
            <w:vAlign w:val="bottom"/>
            <w:tcBorders>
              <w:top w:val="single" w:sz="8" w:color="72FFF7"/>
            </w:tcBorders>
            <w:shd w:val="clear" w:color="auto" w:fill="72FFF7"/>
          </w:tcPr>
          <w:p>
            <w:pPr>
              <w:spacing w:after="0"/>
              <w:rPr>
                <w:sz w:val="9"/>
                <w:szCs w:val="9"/>
                <w:color w:val="auto"/>
              </w:rPr>
            </w:pPr>
          </w:p>
        </w:tc>
        <w:tc>
          <w:tcPr>
            <w:tcW w:w="300" w:type="dxa"/>
            <w:vAlign w:val="bottom"/>
            <w:tcBorders>
              <w:top w:val="single" w:sz="8" w:color="02756E"/>
            </w:tcBorders>
            <w:shd w:val="clear" w:color="auto" w:fill="B6FFFA"/>
          </w:tcPr>
          <w:p>
            <w:pPr>
              <w:spacing w:after="0"/>
              <w:rPr>
                <w:sz w:val="9"/>
                <w:szCs w:val="9"/>
                <w:color w:val="auto"/>
              </w:rPr>
            </w:pPr>
          </w:p>
        </w:tc>
        <w:tc>
          <w:tcPr>
            <w:tcW w:w="260" w:type="dxa"/>
            <w:vAlign w:val="bottom"/>
            <w:tcBorders>
              <w:top w:val="single" w:sz="8" w:color="02756E"/>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Sesutecan</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receptor alpha</w:t>
            </w:r>
          </w:p>
        </w:tc>
        <w:tc>
          <w:tcPr>
            <w:tcW w:w="560" w:type="dxa"/>
            <w:vAlign w:val="bottom"/>
          </w:tcPr>
          <w:p>
            <w:pPr>
              <w:spacing w:after="0"/>
              <w:rPr>
                <w:sz w:val="8"/>
                <w:szCs w:val="8"/>
                <w:color w:val="auto"/>
              </w:rPr>
            </w:pPr>
          </w:p>
        </w:tc>
        <w:tc>
          <w:tcPr>
            <w:tcW w:w="19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Endometrial cancer</w:t>
            </w:r>
          </w:p>
        </w:tc>
        <w:tc>
          <w:tcPr>
            <w:tcW w:w="300" w:type="dxa"/>
            <w:vAlign w:val="bottom"/>
            <w:shd w:val="clear" w:color="auto" w:fill="02756E"/>
          </w:tcPr>
          <w:p>
            <w:pPr>
              <w:spacing w:after="0"/>
              <w:rPr>
                <w:sz w:val="8"/>
                <w:szCs w:val="8"/>
                <w:color w:val="auto"/>
              </w:rPr>
            </w:pPr>
          </w:p>
        </w:tc>
        <w:tc>
          <w:tcPr>
            <w:tcW w:w="300" w:type="dxa"/>
            <w:vAlign w:val="bottom"/>
            <w:shd w:val="clear" w:color="auto" w:fill="72FFF7"/>
          </w:tcPr>
          <w:p>
            <w:pPr>
              <w:spacing w:after="0"/>
              <w:rPr>
                <w:sz w:val="8"/>
                <w:szCs w:val="8"/>
                <w:color w:val="auto"/>
              </w:rPr>
            </w:pPr>
          </w:p>
        </w:tc>
        <w:tc>
          <w:tcPr>
            <w:tcW w:w="320" w:type="dxa"/>
            <w:vAlign w:val="bottom"/>
            <w:shd w:val="clear" w:color="auto" w:fill="72FFF7"/>
          </w:tcPr>
          <w:p>
            <w:pPr>
              <w:spacing w:after="0"/>
              <w:rPr>
                <w:sz w:val="8"/>
                <w:szCs w:val="8"/>
                <w:color w:val="auto"/>
              </w:rPr>
            </w:pPr>
          </w:p>
        </w:tc>
        <w:tc>
          <w:tcPr>
            <w:tcW w:w="300" w:type="dxa"/>
            <w:vAlign w:val="bottom"/>
            <w:shd w:val="clear" w:color="auto" w:fill="B6FFFA"/>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(Rina-S,</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FRα</w:t>
            </w:r>
            <w:r>
              <w:rPr>
                <w:rFonts w:ascii="Times New Roman" w:cs="Times New Roman" w:eastAsia="Times New Roman" w:hAnsi="Times New Roman"/>
                <w:sz w:val="10"/>
                <w:szCs w:val="10"/>
                <w:color w:val="auto"/>
              </w:rPr>
              <w:t>")</w:t>
            </w:r>
          </w:p>
        </w:tc>
        <w:tc>
          <w:tcPr>
            <w:tcW w:w="56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300" w:type="dxa"/>
            <w:vAlign w:val="bottom"/>
            <w:shd w:val="clear" w:color="auto" w:fill="02756E"/>
          </w:tcPr>
          <w:p>
            <w:pPr>
              <w:spacing w:after="0"/>
              <w:rPr>
                <w:sz w:val="8"/>
                <w:szCs w:val="8"/>
                <w:color w:val="auto"/>
              </w:rPr>
            </w:pPr>
          </w:p>
        </w:tc>
        <w:tc>
          <w:tcPr>
            <w:tcW w:w="300" w:type="dxa"/>
            <w:vAlign w:val="bottom"/>
            <w:shd w:val="clear" w:color="auto" w:fill="72FFF7"/>
          </w:tcPr>
          <w:p>
            <w:pPr>
              <w:spacing w:after="0"/>
              <w:rPr>
                <w:sz w:val="8"/>
                <w:szCs w:val="8"/>
                <w:color w:val="auto"/>
              </w:rPr>
            </w:pPr>
          </w:p>
        </w:tc>
        <w:tc>
          <w:tcPr>
            <w:tcW w:w="320" w:type="dxa"/>
            <w:vAlign w:val="bottom"/>
            <w:shd w:val="clear" w:color="auto" w:fill="72FFF7"/>
          </w:tcPr>
          <w:p>
            <w:pPr>
              <w:spacing w:after="0"/>
              <w:rPr>
                <w:sz w:val="8"/>
                <w:szCs w:val="8"/>
                <w:color w:val="auto"/>
              </w:rPr>
            </w:pPr>
          </w:p>
        </w:tc>
        <w:tc>
          <w:tcPr>
            <w:tcW w:w="300" w:type="dxa"/>
            <w:vAlign w:val="bottom"/>
            <w:shd w:val="clear" w:color="auto" w:fill="B6FFFA"/>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GEN1184)</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PSOC</w:t>
            </w:r>
          </w:p>
        </w:tc>
        <w:tc>
          <w:tcPr>
            <w:tcW w:w="300" w:type="dxa"/>
            <w:vAlign w:val="bottom"/>
            <w:shd w:val="clear" w:color="auto" w:fill="02756E"/>
          </w:tcPr>
          <w:p>
            <w:pPr>
              <w:spacing w:after="0"/>
              <w:rPr>
                <w:sz w:val="14"/>
                <w:szCs w:val="14"/>
                <w:color w:val="auto"/>
              </w:rPr>
            </w:pPr>
          </w:p>
        </w:tc>
        <w:tc>
          <w:tcPr>
            <w:tcW w:w="300" w:type="dxa"/>
            <w:vAlign w:val="bottom"/>
            <w:shd w:val="clear" w:color="auto" w:fill="72FFF7"/>
          </w:tcPr>
          <w:p>
            <w:pPr>
              <w:spacing w:after="0"/>
              <w:rPr>
                <w:sz w:val="14"/>
                <w:szCs w:val="14"/>
                <w:color w:val="auto"/>
              </w:rPr>
            </w:pPr>
          </w:p>
        </w:tc>
        <w:tc>
          <w:tcPr>
            <w:tcW w:w="320" w:type="dxa"/>
            <w:vAlign w:val="bottom"/>
            <w:shd w:val="clear" w:color="auto" w:fill="72FFF7"/>
          </w:tcPr>
          <w:p>
            <w:pPr>
              <w:spacing w:after="0"/>
              <w:rPr>
                <w:sz w:val="14"/>
                <w:szCs w:val="14"/>
                <w:color w:val="auto"/>
              </w:rPr>
            </w:pPr>
          </w:p>
        </w:tc>
        <w:tc>
          <w:tcPr>
            <w:tcW w:w="300" w:type="dxa"/>
            <w:vAlign w:val="bottom"/>
            <w:shd w:val="clear" w:color="auto" w:fill="B6FFFA"/>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NSCLC</w:t>
            </w:r>
          </w:p>
        </w:tc>
        <w:tc>
          <w:tcPr>
            <w:tcW w:w="300" w:type="dxa"/>
            <w:vAlign w:val="bottom"/>
            <w:shd w:val="clear" w:color="auto" w:fill="02756E"/>
          </w:tcPr>
          <w:p>
            <w:pPr>
              <w:spacing w:after="0"/>
              <w:rPr>
                <w:sz w:val="11"/>
                <w:szCs w:val="11"/>
                <w:color w:val="auto"/>
              </w:rPr>
            </w:pPr>
          </w:p>
        </w:tc>
        <w:tc>
          <w:tcPr>
            <w:tcW w:w="300" w:type="dxa"/>
            <w:vAlign w:val="bottom"/>
            <w:shd w:val="clear" w:color="auto" w:fill="72FFF7"/>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Solid tumors</w:t>
            </w:r>
          </w:p>
        </w:tc>
        <w:tc>
          <w:tcPr>
            <w:tcW w:w="300" w:type="dxa"/>
            <w:vAlign w:val="bottom"/>
            <w:tcBorders>
              <w:bottom w:val="single" w:sz="8" w:color="02756E"/>
            </w:tcBorders>
            <w:shd w:val="clear" w:color="auto" w:fill="02756E"/>
          </w:tcPr>
          <w:p>
            <w:pPr>
              <w:spacing w:after="0"/>
              <w:rPr>
                <w:sz w:val="15"/>
                <w:szCs w:val="15"/>
                <w:color w:val="auto"/>
              </w:rPr>
            </w:pPr>
          </w:p>
        </w:tc>
        <w:tc>
          <w:tcPr>
            <w:tcW w:w="300" w:type="dxa"/>
            <w:vAlign w:val="bottom"/>
            <w:tcBorders>
              <w:bottom w:val="single" w:sz="8" w:color="72FFF7"/>
            </w:tcBorders>
            <w:shd w:val="clear" w:color="auto" w:fill="72FFF7"/>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740" w:type="dxa"/>
            <w:vAlign w:val="bottom"/>
            <w:tcBorders>
              <w:top w:val="single" w:sz="8" w:color="029C93"/>
            </w:tcBorders>
          </w:tcPr>
          <w:p>
            <w:pPr>
              <w:ind w:left="20"/>
              <w:spacing w:after="0" w:line="85" w:lineRule="exact"/>
              <w:rPr>
                <w:sz w:val="20"/>
                <w:szCs w:val="20"/>
                <w:color w:val="auto"/>
              </w:rPr>
            </w:pPr>
            <w:r>
              <w:rPr>
                <w:rFonts w:ascii="Times New Roman" w:cs="Times New Roman" w:eastAsia="Times New Roman" w:hAnsi="Times New Roman"/>
                <w:sz w:val="9"/>
                <w:szCs w:val="9"/>
                <w:b w:val="1"/>
                <w:bCs w:val="1"/>
                <w:color w:val="auto"/>
              </w:rPr>
              <w:t>Petosemtamab</w:t>
            </w:r>
          </w:p>
        </w:tc>
        <w:tc>
          <w:tcPr>
            <w:tcW w:w="20" w:type="dxa"/>
            <w:vAlign w:val="bottom"/>
          </w:tcPr>
          <w:p>
            <w:pPr>
              <w:spacing w:after="0"/>
              <w:rPr>
                <w:sz w:val="7"/>
                <w:szCs w:val="7"/>
                <w:color w:val="auto"/>
              </w:rPr>
            </w:pPr>
          </w:p>
        </w:tc>
        <w:tc>
          <w:tcPr>
            <w:tcW w:w="680" w:type="dxa"/>
            <w:vAlign w:val="bottom"/>
            <w:tcBorders>
              <w:top w:val="single" w:sz="8" w:color="029C93"/>
            </w:tcBorders>
          </w:tcPr>
          <w:p>
            <w:pPr>
              <w:spacing w:after="0" w:line="85" w:lineRule="exact"/>
              <w:rPr>
                <w:sz w:val="20"/>
                <w:szCs w:val="20"/>
                <w:color w:val="auto"/>
              </w:rPr>
            </w:pPr>
            <w:r>
              <w:rPr>
                <w:rFonts w:ascii="Times New Roman" w:cs="Times New Roman" w:eastAsia="Times New Roman" w:hAnsi="Times New Roman"/>
                <w:sz w:val="9"/>
                <w:szCs w:val="9"/>
                <w:color w:val="auto"/>
              </w:rPr>
              <w:t>Genmab</w:t>
            </w:r>
          </w:p>
        </w:tc>
        <w:tc>
          <w:tcPr>
            <w:tcW w:w="20" w:type="dxa"/>
            <w:vAlign w:val="bottom"/>
          </w:tcPr>
          <w:p>
            <w:pPr>
              <w:spacing w:after="0"/>
              <w:rPr>
                <w:sz w:val="7"/>
                <w:szCs w:val="7"/>
                <w:color w:val="auto"/>
              </w:rPr>
            </w:pPr>
          </w:p>
        </w:tc>
        <w:tc>
          <w:tcPr>
            <w:tcW w:w="640" w:type="dxa"/>
            <w:vAlign w:val="bottom"/>
            <w:tcBorders>
              <w:top w:val="single" w:sz="8" w:color="029C93"/>
            </w:tcBorders>
          </w:tcPr>
          <w:p>
            <w:pPr>
              <w:spacing w:after="0" w:line="85" w:lineRule="exact"/>
              <w:rPr>
                <w:sz w:val="20"/>
                <w:szCs w:val="20"/>
                <w:color w:val="auto"/>
              </w:rPr>
            </w:pPr>
            <w:r>
              <w:rPr>
                <w:rFonts w:ascii="Times New Roman" w:cs="Times New Roman" w:eastAsia="Times New Roman" w:hAnsi="Times New Roman"/>
                <w:sz w:val="9"/>
                <w:szCs w:val="9"/>
                <w:color w:val="auto"/>
              </w:rPr>
              <w:t>EGFR,</w:t>
            </w:r>
          </w:p>
        </w:tc>
        <w:tc>
          <w:tcPr>
            <w:tcW w:w="560" w:type="dxa"/>
            <w:vAlign w:val="bottom"/>
            <w:tcBorders>
              <w:top w:val="single" w:sz="8" w:color="029C93"/>
            </w:tcBorders>
          </w:tcPr>
          <w:p>
            <w:pPr>
              <w:ind w:left="40"/>
              <w:spacing w:after="0" w:line="85" w:lineRule="exact"/>
              <w:rPr>
                <w:sz w:val="20"/>
                <w:szCs w:val="20"/>
                <w:color w:val="auto"/>
              </w:rPr>
            </w:pPr>
            <w:r>
              <w:rPr>
                <w:rFonts w:ascii="Times New Roman" w:cs="Times New Roman" w:eastAsia="Times New Roman" w:hAnsi="Times New Roman"/>
                <w:sz w:val="9"/>
                <w:szCs w:val="9"/>
                <w:color w:val="auto"/>
              </w:rPr>
              <w:t>Biclonics</w:t>
            </w:r>
          </w:p>
        </w:tc>
        <w:tc>
          <w:tcPr>
            <w:tcW w:w="1960" w:type="dxa"/>
            <w:vAlign w:val="bottom"/>
            <w:tcBorders>
              <w:top w:val="single" w:sz="8" w:color="029C93"/>
            </w:tcBorders>
          </w:tcPr>
          <w:p>
            <w:pPr>
              <w:ind w:left="140"/>
              <w:spacing w:after="0" w:line="85" w:lineRule="exact"/>
              <w:rPr>
                <w:sz w:val="20"/>
                <w:szCs w:val="20"/>
                <w:color w:val="auto"/>
              </w:rPr>
            </w:pPr>
            <w:r>
              <w:rPr>
                <w:rFonts w:ascii="Times New Roman" w:cs="Times New Roman" w:eastAsia="Times New Roman" w:hAnsi="Times New Roman"/>
                <w:sz w:val="9"/>
                <w:szCs w:val="9"/>
                <w:color w:val="auto"/>
              </w:rPr>
              <w:t>r/m HNSCC</w:t>
            </w:r>
          </w:p>
        </w:tc>
        <w:tc>
          <w:tcPr>
            <w:tcW w:w="300" w:type="dxa"/>
            <w:vAlign w:val="bottom"/>
            <w:tcBorders>
              <w:top w:val="single" w:sz="8" w:color="029C93"/>
            </w:tcBorders>
            <w:shd w:val="clear" w:color="auto" w:fill="02756E"/>
          </w:tcPr>
          <w:p>
            <w:pPr>
              <w:spacing w:after="0"/>
              <w:rPr>
                <w:sz w:val="7"/>
                <w:szCs w:val="7"/>
                <w:color w:val="auto"/>
              </w:rPr>
            </w:pPr>
          </w:p>
        </w:tc>
        <w:tc>
          <w:tcPr>
            <w:tcW w:w="300" w:type="dxa"/>
            <w:vAlign w:val="bottom"/>
            <w:tcBorders>
              <w:top w:val="single" w:sz="8" w:color="029C93"/>
            </w:tcBorders>
            <w:shd w:val="clear" w:color="auto" w:fill="72FFF7"/>
          </w:tcPr>
          <w:p>
            <w:pPr>
              <w:spacing w:after="0"/>
              <w:rPr>
                <w:sz w:val="7"/>
                <w:szCs w:val="7"/>
                <w:color w:val="auto"/>
              </w:rPr>
            </w:pPr>
          </w:p>
        </w:tc>
        <w:tc>
          <w:tcPr>
            <w:tcW w:w="320" w:type="dxa"/>
            <w:vAlign w:val="bottom"/>
            <w:tcBorders>
              <w:top w:val="single" w:sz="8" w:color="029C93"/>
            </w:tcBorders>
            <w:shd w:val="clear" w:color="auto" w:fill="72FFF7"/>
          </w:tcPr>
          <w:p>
            <w:pPr>
              <w:spacing w:after="0"/>
              <w:rPr>
                <w:sz w:val="7"/>
                <w:szCs w:val="7"/>
                <w:color w:val="auto"/>
              </w:rPr>
            </w:pPr>
          </w:p>
        </w:tc>
        <w:tc>
          <w:tcPr>
            <w:tcW w:w="300" w:type="dxa"/>
            <w:vAlign w:val="bottom"/>
            <w:tcBorders>
              <w:top w:val="single" w:sz="8" w:color="029C93"/>
            </w:tcBorders>
            <w:shd w:val="clear" w:color="auto" w:fill="B6FFFA"/>
          </w:tcPr>
          <w:p>
            <w:pPr>
              <w:spacing w:after="0"/>
              <w:rPr>
                <w:sz w:val="7"/>
                <w:szCs w:val="7"/>
                <w:color w:val="auto"/>
              </w:rPr>
            </w:pPr>
          </w:p>
        </w:tc>
        <w:tc>
          <w:tcPr>
            <w:tcW w:w="260" w:type="dxa"/>
            <w:vAlign w:val="bottom"/>
            <w:tcBorders>
              <w:top w:val="single" w:sz="8" w:color="029C93"/>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leucine-rich</w:t>
            </w:r>
          </w:p>
        </w:tc>
        <w:tc>
          <w:tcPr>
            <w:tcW w:w="5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00" w:type="dxa"/>
            <w:vAlign w:val="bottom"/>
            <w:shd w:val="clear" w:color="auto" w:fill="02756E"/>
          </w:tcPr>
          <w:p>
            <w:pPr>
              <w:spacing w:after="0"/>
              <w:rPr>
                <w:sz w:val="9"/>
                <w:szCs w:val="9"/>
                <w:color w:val="auto"/>
              </w:rPr>
            </w:pPr>
          </w:p>
        </w:tc>
        <w:tc>
          <w:tcPr>
            <w:tcW w:w="300" w:type="dxa"/>
            <w:vAlign w:val="bottom"/>
            <w:shd w:val="clear" w:color="auto" w:fill="72FFF7"/>
          </w:tcPr>
          <w:p>
            <w:pPr>
              <w:spacing w:after="0"/>
              <w:rPr>
                <w:sz w:val="9"/>
                <w:szCs w:val="9"/>
                <w:color w:val="auto"/>
              </w:rPr>
            </w:pPr>
          </w:p>
        </w:tc>
        <w:tc>
          <w:tcPr>
            <w:tcW w:w="320" w:type="dxa"/>
            <w:vAlign w:val="bottom"/>
            <w:shd w:val="clear" w:color="auto" w:fill="72FFF7"/>
          </w:tcPr>
          <w:p>
            <w:pPr>
              <w:spacing w:after="0"/>
              <w:rPr>
                <w:sz w:val="9"/>
                <w:szCs w:val="9"/>
                <w:color w:val="auto"/>
              </w:rPr>
            </w:pPr>
          </w:p>
        </w:tc>
        <w:tc>
          <w:tcPr>
            <w:tcW w:w="300" w:type="dxa"/>
            <w:vAlign w:val="bottom"/>
            <w:shd w:val="clear" w:color="auto" w:fill="B6FFFA"/>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repeat-</w:t>
            </w:r>
          </w:p>
        </w:tc>
        <w:tc>
          <w:tcPr>
            <w:tcW w:w="560" w:type="dxa"/>
            <w:vAlign w:val="bottom"/>
          </w:tcPr>
          <w:p>
            <w:pPr>
              <w:spacing w:after="0"/>
              <w:rPr>
                <w:sz w:val="9"/>
                <w:szCs w:val="9"/>
                <w:color w:val="auto"/>
              </w:rPr>
            </w:pPr>
          </w:p>
        </w:tc>
        <w:tc>
          <w:tcPr>
            <w:tcW w:w="196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Advanced solid tumors</w:t>
            </w:r>
          </w:p>
        </w:tc>
        <w:tc>
          <w:tcPr>
            <w:tcW w:w="300" w:type="dxa"/>
            <w:vAlign w:val="bottom"/>
            <w:shd w:val="clear" w:color="auto" w:fill="02756E"/>
          </w:tcPr>
          <w:p>
            <w:pPr>
              <w:spacing w:after="0"/>
              <w:rPr>
                <w:sz w:val="9"/>
                <w:szCs w:val="9"/>
                <w:color w:val="auto"/>
              </w:rPr>
            </w:pPr>
          </w:p>
        </w:tc>
        <w:tc>
          <w:tcPr>
            <w:tcW w:w="300" w:type="dxa"/>
            <w:vAlign w:val="bottom"/>
            <w:shd w:val="clear" w:color="auto" w:fill="72FFF7"/>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containing G-</w:t>
            </w:r>
          </w:p>
        </w:tc>
        <w:tc>
          <w:tcPr>
            <w:tcW w:w="560" w:type="dxa"/>
            <w:vAlign w:val="bottom"/>
          </w:tcPr>
          <w:p>
            <w:pPr>
              <w:spacing w:after="0"/>
              <w:rPr>
                <w:sz w:val="8"/>
                <w:szCs w:val="8"/>
                <w:color w:val="auto"/>
              </w:rPr>
            </w:pPr>
          </w:p>
        </w:tc>
        <w:tc>
          <w:tcPr>
            <w:tcW w:w="1960" w:type="dxa"/>
            <w:vAlign w:val="bottom"/>
          </w:tcPr>
          <w:p>
            <w:pPr>
              <w:ind w:left="140"/>
              <w:spacing w:after="0" w:line="95" w:lineRule="exact"/>
              <w:rPr>
                <w:sz w:val="20"/>
                <w:szCs w:val="20"/>
                <w:color w:val="auto"/>
              </w:rPr>
            </w:pPr>
            <w:r>
              <w:rPr>
                <w:rFonts w:ascii="Times New Roman" w:cs="Times New Roman" w:eastAsia="Times New Roman" w:hAnsi="Times New Roman"/>
                <w:sz w:val="10"/>
                <w:szCs w:val="10"/>
                <w:color w:val="auto"/>
              </w:rPr>
              <w:t>including metastatic</w:t>
            </w:r>
          </w:p>
        </w:tc>
        <w:tc>
          <w:tcPr>
            <w:tcW w:w="300" w:type="dxa"/>
            <w:vAlign w:val="bottom"/>
            <w:shd w:val="clear" w:color="auto" w:fill="02756E"/>
          </w:tcPr>
          <w:p>
            <w:pPr>
              <w:spacing w:after="0"/>
              <w:rPr>
                <w:sz w:val="8"/>
                <w:szCs w:val="8"/>
                <w:color w:val="auto"/>
              </w:rPr>
            </w:pPr>
          </w:p>
        </w:tc>
        <w:tc>
          <w:tcPr>
            <w:tcW w:w="300" w:type="dxa"/>
            <w:vAlign w:val="bottom"/>
            <w:shd w:val="clear" w:color="auto" w:fill="72FFF7"/>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protein</w:t>
            </w:r>
          </w:p>
        </w:tc>
        <w:tc>
          <w:tcPr>
            <w:tcW w:w="560" w:type="dxa"/>
            <w:vAlign w:val="bottom"/>
          </w:tcPr>
          <w:p>
            <w:pPr>
              <w:spacing w:after="0"/>
              <w:rPr>
                <w:sz w:val="8"/>
                <w:szCs w:val="8"/>
                <w:color w:val="auto"/>
              </w:rPr>
            </w:pPr>
          </w:p>
        </w:tc>
        <w:tc>
          <w:tcPr>
            <w:tcW w:w="1960" w:type="dxa"/>
            <w:vAlign w:val="bottom"/>
          </w:tcPr>
          <w:p>
            <w:pPr>
              <w:ind w:left="140"/>
              <w:spacing w:after="0" w:line="95" w:lineRule="exact"/>
              <w:rPr>
                <w:sz w:val="20"/>
                <w:szCs w:val="20"/>
                <w:color w:val="auto"/>
              </w:rPr>
            </w:pPr>
            <w:r>
              <w:rPr>
                <w:rFonts w:ascii="Times New Roman" w:cs="Times New Roman" w:eastAsia="Times New Roman" w:hAnsi="Times New Roman"/>
                <w:sz w:val="10"/>
                <w:szCs w:val="10"/>
                <w:color w:val="auto"/>
              </w:rPr>
              <w:t>colorectal cancer</w:t>
            </w:r>
          </w:p>
        </w:tc>
        <w:tc>
          <w:tcPr>
            <w:tcW w:w="300" w:type="dxa"/>
            <w:vAlign w:val="bottom"/>
            <w:shd w:val="clear" w:color="auto" w:fill="02756E"/>
          </w:tcPr>
          <w:p>
            <w:pPr>
              <w:spacing w:after="0"/>
              <w:rPr>
                <w:sz w:val="8"/>
                <w:szCs w:val="8"/>
                <w:color w:val="auto"/>
              </w:rPr>
            </w:pPr>
          </w:p>
        </w:tc>
        <w:tc>
          <w:tcPr>
            <w:tcW w:w="300" w:type="dxa"/>
            <w:vAlign w:val="bottom"/>
            <w:shd w:val="clear" w:color="auto" w:fill="72FFF7"/>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coupled</w:t>
            </w:r>
          </w:p>
        </w:tc>
        <w:tc>
          <w:tcPr>
            <w:tcW w:w="560" w:type="dxa"/>
            <w:vAlign w:val="bottom"/>
          </w:tcPr>
          <w:p>
            <w:pPr>
              <w:spacing w:after="0"/>
              <w:rPr>
                <w:sz w:val="8"/>
                <w:szCs w:val="8"/>
                <w:color w:val="auto"/>
              </w:rPr>
            </w:pPr>
          </w:p>
        </w:tc>
        <w:tc>
          <w:tcPr>
            <w:tcW w:w="1960" w:type="dxa"/>
            <w:vAlign w:val="bottom"/>
          </w:tcPr>
          <w:p>
            <w:pPr>
              <w:ind w:left="14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mCRC</w:t>
            </w:r>
            <w:r>
              <w:rPr>
                <w:rFonts w:ascii="Times New Roman" w:cs="Times New Roman" w:eastAsia="Times New Roman" w:hAnsi="Times New Roman"/>
                <w:sz w:val="10"/>
                <w:szCs w:val="10"/>
                <w:color w:val="auto"/>
              </w:rPr>
              <w:t>")</w:t>
            </w:r>
          </w:p>
        </w:tc>
        <w:tc>
          <w:tcPr>
            <w:tcW w:w="300" w:type="dxa"/>
            <w:vAlign w:val="bottom"/>
            <w:shd w:val="clear" w:color="auto" w:fill="02756E"/>
          </w:tcPr>
          <w:p>
            <w:pPr>
              <w:spacing w:after="0"/>
              <w:rPr>
                <w:sz w:val="8"/>
                <w:szCs w:val="8"/>
                <w:color w:val="auto"/>
              </w:rPr>
            </w:pPr>
          </w:p>
        </w:tc>
        <w:tc>
          <w:tcPr>
            <w:tcW w:w="300" w:type="dxa"/>
            <w:vAlign w:val="bottom"/>
            <w:shd w:val="clear" w:color="auto" w:fill="72FFF7"/>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receptor 5</w:t>
            </w:r>
          </w:p>
        </w:tc>
        <w:tc>
          <w:tcPr>
            <w:tcW w:w="5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00" w:type="dxa"/>
            <w:vAlign w:val="bottom"/>
            <w:shd w:val="clear" w:color="auto" w:fill="02756E"/>
          </w:tcPr>
          <w:p>
            <w:pPr>
              <w:spacing w:after="0"/>
              <w:rPr>
                <w:sz w:val="6"/>
                <w:szCs w:val="6"/>
                <w:color w:val="auto"/>
              </w:rPr>
            </w:pPr>
          </w:p>
        </w:tc>
        <w:tc>
          <w:tcPr>
            <w:tcW w:w="300" w:type="dxa"/>
            <w:vAlign w:val="bottom"/>
            <w:shd w:val="clear" w:color="auto" w:fill="72FFF7"/>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LGR5</w:t>
            </w:r>
            <w:r>
              <w:rPr>
                <w:rFonts w:ascii="Times New Roman" w:cs="Times New Roman" w:eastAsia="Times New Roman" w:hAnsi="Times New Roman"/>
                <w:sz w:val="10"/>
                <w:szCs w:val="10"/>
                <w:color w:val="auto"/>
              </w:rPr>
              <w:t>")</w:t>
            </w:r>
          </w:p>
        </w:tc>
        <w:tc>
          <w:tcPr>
            <w:tcW w:w="560" w:type="dxa"/>
            <w:vAlign w:val="bottom"/>
          </w:tcPr>
          <w:p>
            <w:pPr>
              <w:spacing w:after="0"/>
              <w:rPr>
                <w:sz w:val="12"/>
                <w:szCs w:val="12"/>
                <w:color w:val="auto"/>
              </w:rPr>
            </w:pPr>
          </w:p>
        </w:tc>
        <w:tc>
          <w:tcPr>
            <w:tcW w:w="19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First line NSCLC with</w:t>
            </w:r>
          </w:p>
        </w:tc>
        <w:tc>
          <w:tcPr>
            <w:tcW w:w="300" w:type="dxa"/>
            <w:vAlign w:val="bottom"/>
            <w:shd w:val="clear" w:color="auto" w:fill="02756E"/>
          </w:tcPr>
          <w:p>
            <w:pPr>
              <w:spacing w:after="0"/>
              <w:rPr>
                <w:sz w:val="12"/>
                <w:szCs w:val="12"/>
                <w:color w:val="auto"/>
              </w:rPr>
            </w:pPr>
          </w:p>
        </w:tc>
        <w:tc>
          <w:tcPr>
            <w:tcW w:w="300" w:type="dxa"/>
            <w:vAlign w:val="bottom"/>
            <w:shd w:val="clear" w:color="auto" w:fill="72FFF7"/>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300" w:type="dxa"/>
            <w:vAlign w:val="bottom"/>
            <w:shd w:val="clear" w:color="auto" w:fill="02756E"/>
          </w:tcPr>
          <w:p>
            <w:pPr>
              <w:spacing w:after="0" w:line="20" w:lineRule="exact"/>
              <w:rPr>
                <w:sz w:val="1"/>
                <w:szCs w:val="1"/>
                <w:color w:val="auto"/>
              </w:rPr>
            </w:pPr>
          </w:p>
        </w:tc>
        <w:tc>
          <w:tcPr>
            <w:tcW w:w="300" w:type="dxa"/>
            <w:vAlign w:val="bottom"/>
            <w:shd w:val="clear" w:color="auto" w:fill="72FFF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pembrolizumab</w:t>
            </w:r>
          </w:p>
        </w:tc>
        <w:tc>
          <w:tcPr>
            <w:tcW w:w="300" w:type="dxa"/>
            <w:vAlign w:val="bottom"/>
            <w:tcBorders>
              <w:bottom w:val="single" w:sz="8" w:color="02756E"/>
            </w:tcBorders>
            <w:shd w:val="clear" w:color="auto" w:fill="02756E"/>
          </w:tcPr>
          <w:p>
            <w:pPr>
              <w:spacing w:after="0"/>
              <w:rPr>
                <w:sz w:val="14"/>
                <w:szCs w:val="14"/>
                <w:color w:val="auto"/>
              </w:rPr>
            </w:pPr>
          </w:p>
        </w:tc>
        <w:tc>
          <w:tcPr>
            <w:tcW w:w="300" w:type="dxa"/>
            <w:vAlign w:val="bottom"/>
            <w:tcBorders>
              <w:bottom w:val="single" w:sz="8" w:color="72FFF7"/>
            </w:tcBorders>
            <w:shd w:val="clear" w:color="auto" w:fill="72FFF7"/>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740" w:type="dxa"/>
            <w:vAlign w:val="bottom"/>
            <w:tcBorders>
              <w:top w:val="single" w:sz="8" w:color="029C93"/>
            </w:tcBorders>
          </w:tcPr>
          <w:p>
            <w:pPr>
              <w:ind w:left="20"/>
              <w:spacing w:after="0" w:line="85" w:lineRule="exact"/>
              <w:rPr>
                <w:sz w:val="20"/>
                <w:szCs w:val="20"/>
                <w:color w:val="auto"/>
              </w:rPr>
            </w:pPr>
            <w:r>
              <w:rPr>
                <w:rFonts w:ascii="Times New Roman" w:cs="Times New Roman" w:eastAsia="Times New Roman" w:hAnsi="Times New Roman"/>
                <w:sz w:val="9"/>
                <w:szCs w:val="9"/>
                <w:b w:val="1"/>
                <w:bCs w:val="1"/>
                <w:color w:val="auto"/>
              </w:rPr>
              <w:t>GEN1059</w:t>
            </w:r>
          </w:p>
        </w:tc>
        <w:tc>
          <w:tcPr>
            <w:tcW w:w="20" w:type="dxa"/>
            <w:vAlign w:val="bottom"/>
          </w:tcPr>
          <w:p>
            <w:pPr>
              <w:spacing w:after="0"/>
              <w:rPr>
                <w:sz w:val="7"/>
                <w:szCs w:val="7"/>
                <w:color w:val="auto"/>
              </w:rPr>
            </w:pPr>
          </w:p>
        </w:tc>
        <w:tc>
          <w:tcPr>
            <w:tcW w:w="680" w:type="dxa"/>
            <w:vAlign w:val="bottom"/>
            <w:tcBorders>
              <w:top w:val="single" w:sz="8" w:color="029C93"/>
            </w:tcBorders>
          </w:tcPr>
          <w:p>
            <w:pPr>
              <w:spacing w:after="0" w:line="85" w:lineRule="exact"/>
              <w:rPr>
                <w:sz w:val="20"/>
                <w:szCs w:val="20"/>
                <w:color w:val="auto"/>
              </w:rPr>
            </w:pPr>
            <w:r>
              <w:rPr>
                <w:rFonts w:ascii="Times New Roman" w:cs="Times New Roman" w:eastAsia="Times New Roman" w:hAnsi="Times New Roman"/>
                <w:sz w:val="9"/>
                <w:szCs w:val="9"/>
                <w:color w:val="auto"/>
              </w:rPr>
              <w:t>Co-</w:t>
            </w:r>
          </w:p>
        </w:tc>
        <w:tc>
          <w:tcPr>
            <w:tcW w:w="20" w:type="dxa"/>
            <w:vAlign w:val="bottom"/>
          </w:tcPr>
          <w:p>
            <w:pPr>
              <w:spacing w:after="0"/>
              <w:rPr>
                <w:sz w:val="7"/>
                <w:szCs w:val="7"/>
                <w:color w:val="auto"/>
              </w:rPr>
            </w:pPr>
          </w:p>
        </w:tc>
        <w:tc>
          <w:tcPr>
            <w:tcW w:w="640" w:type="dxa"/>
            <w:vAlign w:val="bottom"/>
            <w:tcBorders>
              <w:top w:val="single" w:sz="8" w:color="029C93"/>
            </w:tcBorders>
          </w:tcPr>
          <w:p>
            <w:pPr>
              <w:spacing w:after="0" w:line="85" w:lineRule="exact"/>
              <w:rPr>
                <w:sz w:val="20"/>
                <w:szCs w:val="20"/>
                <w:color w:val="auto"/>
              </w:rPr>
            </w:pPr>
            <w:r>
              <w:rPr>
                <w:rFonts w:ascii="Times New Roman" w:cs="Times New Roman" w:eastAsia="Times New Roman" w:hAnsi="Times New Roman"/>
                <w:sz w:val="9"/>
                <w:szCs w:val="9"/>
                <w:color w:val="auto"/>
              </w:rPr>
              <w:t>Epithelial cell</w:t>
            </w:r>
          </w:p>
        </w:tc>
        <w:tc>
          <w:tcPr>
            <w:tcW w:w="560" w:type="dxa"/>
            <w:vAlign w:val="bottom"/>
            <w:tcBorders>
              <w:top w:val="single" w:sz="8" w:color="029C93"/>
            </w:tcBorders>
          </w:tcPr>
          <w:p>
            <w:pPr>
              <w:ind w:left="40"/>
              <w:spacing w:after="0" w:line="85" w:lineRule="exact"/>
              <w:rPr>
                <w:sz w:val="20"/>
                <w:szCs w:val="20"/>
                <w:color w:val="auto"/>
              </w:rPr>
            </w:pPr>
            <w:r>
              <w:rPr>
                <w:rFonts w:ascii="Times New Roman" w:cs="Times New Roman" w:eastAsia="Times New Roman" w:hAnsi="Times New Roman"/>
                <w:sz w:val="9"/>
                <w:szCs w:val="9"/>
                <w:color w:val="auto"/>
              </w:rPr>
              <w:t>DuoBody</w:t>
            </w:r>
          </w:p>
        </w:tc>
        <w:tc>
          <w:tcPr>
            <w:tcW w:w="1960" w:type="dxa"/>
            <w:vAlign w:val="bottom"/>
            <w:tcBorders>
              <w:top w:val="single" w:sz="8" w:color="029C93"/>
            </w:tcBorders>
          </w:tcPr>
          <w:p>
            <w:pPr>
              <w:ind w:left="140"/>
              <w:spacing w:after="0" w:line="85" w:lineRule="exact"/>
              <w:rPr>
                <w:sz w:val="20"/>
                <w:szCs w:val="20"/>
                <w:color w:val="auto"/>
              </w:rPr>
            </w:pPr>
            <w:r>
              <w:rPr>
                <w:rFonts w:ascii="Times New Roman" w:cs="Times New Roman" w:eastAsia="Times New Roman" w:hAnsi="Times New Roman"/>
                <w:sz w:val="9"/>
                <w:szCs w:val="9"/>
                <w:color w:val="auto"/>
              </w:rPr>
              <w:t>Solid tumors</w:t>
            </w:r>
          </w:p>
        </w:tc>
        <w:tc>
          <w:tcPr>
            <w:tcW w:w="300" w:type="dxa"/>
            <w:vAlign w:val="bottom"/>
            <w:tcBorders>
              <w:top w:val="single" w:sz="8" w:color="029C93"/>
            </w:tcBorders>
          </w:tcPr>
          <w:p>
            <w:pPr>
              <w:spacing w:after="0"/>
              <w:rPr>
                <w:sz w:val="7"/>
                <w:szCs w:val="7"/>
                <w:color w:val="auto"/>
              </w:rPr>
            </w:pPr>
          </w:p>
        </w:tc>
        <w:tc>
          <w:tcPr>
            <w:tcW w:w="300" w:type="dxa"/>
            <w:vAlign w:val="bottom"/>
            <w:tcBorders>
              <w:top w:val="single" w:sz="8" w:color="029C93"/>
            </w:tcBorders>
          </w:tcPr>
          <w:p>
            <w:pPr>
              <w:spacing w:after="0"/>
              <w:rPr>
                <w:sz w:val="7"/>
                <w:szCs w:val="7"/>
                <w:color w:val="auto"/>
              </w:rPr>
            </w:pPr>
          </w:p>
        </w:tc>
        <w:tc>
          <w:tcPr>
            <w:tcW w:w="320" w:type="dxa"/>
            <w:vAlign w:val="bottom"/>
            <w:tcBorders>
              <w:top w:val="single" w:sz="8" w:color="029C93"/>
            </w:tcBorders>
          </w:tcPr>
          <w:p>
            <w:pPr>
              <w:spacing w:after="0"/>
              <w:rPr>
                <w:sz w:val="7"/>
                <w:szCs w:val="7"/>
                <w:color w:val="auto"/>
              </w:rPr>
            </w:pPr>
          </w:p>
        </w:tc>
        <w:tc>
          <w:tcPr>
            <w:tcW w:w="300" w:type="dxa"/>
            <w:vAlign w:val="bottom"/>
            <w:tcBorders>
              <w:top w:val="single" w:sz="8" w:color="029C93"/>
            </w:tcBorders>
          </w:tcPr>
          <w:p>
            <w:pPr>
              <w:spacing w:after="0"/>
              <w:rPr>
                <w:sz w:val="7"/>
                <w:szCs w:val="7"/>
                <w:color w:val="auto"/>
              </w:rPr>
            </w:pPr>
          </w:p>
        </w:tc>
        <w:tc>
          <w:tcPr>
            <w:tcW w:w="260" w:type="dxa"/>
            <w:vAlign w:val="bottom"/>
            <w:tcBorders>
              <w:top w:val="single" w:sz="8" w:color="029C93"/>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(BNT314)</w:t>
            </w:r>
          </w:p>
        </w:tc>
        <w:tc>
          <w:tcPr>
            <w:tcW w:w="20" w:type="dxa"/>
            <w:vAlign w:val="bottom"/>
          </w:tcPr>
          <w:p>
            <w:pPr>
              <w:spacing w:after="0"/>
              <w:rPr>
                <w:sz w:val="8"/>
                <w:szCs w:val="8"/>
                <w:color w:val="auto"/>
              </w:rPr>
            </w:pPr>
          </w:p>
        </w:tc>
        <w:tc>
          <w:tcPr>
            <w:tcW w:w="68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development</w:t>
            </w: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adhesion</w:t>
            </w: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Genmab /</w:t>
            </w: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molecule</w:t>
            </w: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BioNTech</w:t>
            </w: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EpCAM</w:t>
            </w:r>
            <w:r>
              <w:rPr>
                <w:rFonts w:ascii="Times New Roman" w:cs="Times New Roman" w:eastAsia="Times New Roman" w:hAnsi="Times New Roman"/>
                <w:sz w:val="10"/>
                <w:szCs w:val="10"/>
                <w:color w:val="auto"/>
              </w:rPr>
              <w:t>"),</w:t>
            </w: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0"/>
                <w:szCs w:val="10"/>
                <w:color w:val="auto"/>
              </w:rPr>
              <w:t>4-1BB</w:t>
            </w: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tcBorders>
              <w:bottom w:val="single" w:sz="8" w:color="029C93"/>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029C93"/>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029C93"/>
            </w:tcBorders>
          </w:tcPr>
          <w:p>
            <w:pPr>
              <w:spacing w:after="0"/>
              <w:rPr>
                <w:sz w:val="9"/>
                <w:szCs w:val="9"/>
                <w:color w:val="auto"/>
              </w:rPr>
            </w:pPr>
          </w:p>
        </w:tc>
        <w:tc>
          <w:tcPr>
            <w:tcW w:w="560" w:type="dxa"/>
            <w:vAlign w:val="bottom"/>
            <w:tcBorders>
              <w:bottom w:val="single" w:sz="8" w:color="029C93"/>
            </w:tcBorders>
          </w:tcPr>
          <w:p>
            <w:pPr>
              <w:spacing w:after="0"/>
              <w:rPr>
                <w:sz w:val="9"/>
                <w:szCs w:val="9"/>
                <w:color w:val="auto"/>
              </w:rPr>
            </w:pPr>
          </w:p>
        </w:tc>
        <w:tc>
          <w:tcPr>
            <w:tcW w:w="2560" w:type="dxa"/>
            <w:vAlign w:val="bottom"/>
            <w:tcBorders>
              <w:bottom w:val="single" w:sz="8" w:color="029C93"/>
            </w:tcBorders>
            <w:gridSpan w:val="3"/>
          </w:tcPr>
          <w:p>
            <w:pPr>
              <w:spacing w:after="0"/>
              <w:rPr>
                <w:sz w:val="9"/>
                <w:szCs w:val="9"/>
                <w:color w:val="auto"/>
              </w:rPr>
            </w:pPr>
          </w:p>
        </w:tc>
        <w:tc>
          <w:tcPr>
            <w:tcW w:w="320" w:type="dxa"/>
            <w:vAlign w:val="bottom"/>
            <w:tcBorders>
              <w:bottom w:val="single" w:sz="8" w:color="029C93"/>
            </w:tcBorders>
          </w:tcPr>
          <w:p>
            <w:pPr>
              <w:spacing w:after="0"/>
              <w:rPr>
                <w:sz w:val="9"/>
                <w:szCs w:val="9"/>
                <w:color w:val="auto"/>
              </w:rPr>
            </w:pPr>
          </w:p>
        </w:tc>
        <w:tc>
          <w:tcPr>
            <w:tcW w:w="300" w:type="dxa"/>
            <w:vAlign w:val="bottom"/>
            <w:tcBorders>
              <w:bottom w:val="single" w:sz="8" w:color="029C93"/>
            </w:tcBorders>
          </w:tcPr>
          <w:p>
            <w:pPr>
              <w:spacing w:after="0"/>
              <w:rPr>
                <w:sz w:val="9"/>
                <w:szCs w:val="9"/>
                <w:color w:val="auto"/>
              </w:rPr>
            </w:pPr>
          </w:p>
        </w:tc>
        <w:tc>
          <w:tcPr>
            <w:tcW w:w="260" w:type="dxa"/>
            <w:vAlign w:val="bottom"/>
            <w:tcBorders>
              <w:bottom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40" w:type="dxa"/>
            <w:vAlign w:val="bottom"/>
          </w:tcPr>
          <w:p>
            <w:pPr>
              <w:ind w:left="20"/>
              <w:spacing w:after="0" w:line="85" w:lineRule="exact"/>
              <w:rPr>
                <w:sz w:val="20"/>
                <w:szCs w:val="20"/>
                <w:color w:val="auto"/>
              </w:rPr>
            </w:pPr>
            <w:r>
              <w:rPr>
                <w:rFonts w:ascii="Times New Roman" w:cs="Times New Roman" w:eastAsia="Times New Roman" w:hAnsi="Times New Roman"/>
                <w:sz w:val="9"/>
                <w:szCs w:val="9"/>
                <w:b w:val="1"/>
                <w:bCs w:val="1"/>
                <w:color w:val="auto"/>
              </w:rPr>
              <w:t>GEN1057</w:t>
            </w:r>
          </w:p>
        </w:tc>
        <w:tc>
          <w:tcPr>
            <w:tcW w:w="20" w:type="dxa"/>
            <w:vAlign w:val="bottom"/>
          </w:tcPr>
          <w:p>
            <w:pPr>
              <w:spacing w:after="0"/>
              <w:rPr>
                <w:sz w:val="7"/>
                <w:szCs w:val="7"/>
                <w:color w:val="auto"/>
              </w:rPr>
            </w:pPr>
          </w:p>
        </w:tc>
        <w:tc>
          <w:tcPr>
            <w:tcW w:w="6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Genmab</w:t>
            </w:r>
          </w:p>
        </w:tc>
        <w:tc>
          <w:tcPr>
            <w:tcW w:w="20" w:type="dxa"/>
            <w:vAlign w:val="bottom"/>
          </w:tcPr>
          <w:p>
            <w:pPr>
              <w:spacing w:after="0"/>
              <w:rPr>
                <w:sz w:val="7"/>
                <w:szCs w:val="7"/>
                <w:color w:val="auto"/>
              </w:rPr>
            </w:pPr>
          </w:p>
        </w:tc>
        <w:tc>
          <w:tcPr>
            <w:tcW w:w="64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Fibroblast</w:t>
            </w:r>
          </w:p>
        </w:tc>
        <w:tc>
          <w:tcPr>
            <w:tcW w:w="560" w:type="dxa"/>
            <w:vAlign w:val="bottom"/>
          </w:tcPr>
          <w:p>
            <w:pPr>
              <w:ind w:left="40"/>
              <w:spacing w:after="0" w:line="85" w:lineRule="exact"/>
              <w:rPr>
                <w:sz w:val="20"/>
                <w:szCs w:val="20"/>
                <w:color w:val="auto"/>
              </w:rPr>
            </w:pPr>
            <w:r>
              <w:rPr>
                <w:rFonts w:ascii="Times New Roman" w:cs="Times New Roman" w:eastAsia="Times New Roman" w:hAnsi="Times New Roman"/>
                <w:sz w:val="9"/>
                <w:szCs w:val="9"/>
                <w:color w:val="auto"/>
              </w:rPr>
              <w:t>DuoBody</w:t>
            </w:r>
          </w:p>
        </w:tc>
        <w:tc>
          <w:tcPr>
            <w:tcW w:w="2560" w:type="dxa"/>
            <w:vAlign w:val="bottom"/>
            <w:gridSpan w:val="3"/>
          </w:tcPr>
          <w:p>
            <w:pPr>
              <w:ind w:left="140"/>
              <w:spacing w:after="0" w:line="85" w:lineRule="exact"/>
              <w:rPr>
                <w:sz w:val="20"/>
                <w:szCs w:val="20"/>
                <w:color w:val="auto"/>
              </w:rPr>
            </w:pPr>
            <w:r>
              <w:rPr>
                <w:rFonts w:ascii="Times New Roman" w:cs="Times New Roman" w:eastAsia="Times New Roman" w:hAnsi="Times New Roman"/>
                <w:sz w:val="9"/>
                <w:szCs w:val="9"/>
                <w:color w:val="auto"/>
              </w:rPr>
              <w:t>Malignant solid tumors</w:t>
            </w: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activation</w:t>
            </w: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protein alpha</w:t>
            </w: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FAPα</w:t>
            </w:r>
            <w:r>
              <w:rPr>
                <w:rFonts w:ascii="Times New Roman" w:cs="Times New Roman" w:eastAsia="Times New Roman" w:hAnsi="Times New Roman"/>
                <w:sz w:val="10"/>
                <w:szCs w:val="10"/>
                <w:color w:val="auto"/>
              </w:rPr>
              <w:t>"),</w:t>
            </w: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death receptor</w:t>
            </w: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0"/>
                <w:szCs w:val="10"/>
                <w:color w:val="auto"/>
              </w:rPr>
              <w:t>4 ("</w:t>
            </w:r>
            <w:r>
              <w:rPr>
                <w:rFonts w:ascii="Times New Roman" w:cs="Times New Roman" w:eastAsia="Times New Roman" w:hAnsi="Times New Roman"/>
                <w:sz w:val="10"/>
                <w:szCs w:val="10"/>
                <w:b w:val="1"/>
                <w:bCs w:val="1"/>
                <w:color w:val="auto"/>
              </w:rPr>
              <w:t>DR4</w:t>
            </w:r>
            <w:r>
              <w:rPr>
                <w:rFonts w:ascii="Times New Roman" w:cs="Times New Roman" w:eastAsia="Times New Roman" w:hAnsi="Times New Roman"/>
                <w:sz w:val="10"/>
                <w:szCs w:val="10"/>
                <w:color w:val="auto"/>
              </w:rPr>
              <w:t>")</w:t>
            </w: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20" w:right="2620"/>
        <w:spacing w:after="0" w:line="223" w:lineRule="auto"/>
        <w:rPr>
          <w:sz w:val="20"/>
          <w:szCs w:val="20"/>
          <w:color w:val="auto"/>
        </w:rPr>
      </w:pPr>
      <w:r>
        <w:rPr>
          <w:rFonts w:ascii="Times New Roman" w:cs="Times New Roman" w:eastAsia="Times New Roman" w:hAnsi="Times New Roman"/>
          <w:sz w:val="12"/>
          <w:szCs w:val="12"/>
          <w:color w:val="231F20"/>
        </w:rPr>
        <w:t>In December 2025, further development of acasunlimab was discontinued as part of Genmab’s strategic focus on the most value-creating opportunities in its late -stage portfolio and following a thorough assessment of the evolving competitive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-237490</wp:posOffset>
            </wp:positionV>
            <wp:extent cx="9067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06780" cy="6350"/>
                    </a:xfrm>
                    <a:prstGeom prst="rect">
                      <a:avLst/>
                    </a:prstGeom>
                    <a:noFill/>
                  </pic:spPr>
                </pic:pic>
              </a:graphicData>
            </a:graphic>
          </wp:anchor>
        </w:drawing>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Epcoritamab</w:t>
      </w:r>
    </w:p>
    <w:p>
      <w:pPr>
        <w:ind w:left="620"/>
        <w:spacing w:after="0" w:line="215" w:lineRule="auto"/>
        <w:rPr>
          <w:sz w:val="20"/>
          <w:szCs w:val="20"/>
          <w:color w:val="auto"/>
        </w:rPr>
      </w:pPr>
      <w:r>
        <w:rPr>
          <w:rFonts w:ascii="Times New Roman" w:cs="Times New Roman" w:eastAsia="Times New Roman" w:hAnsi="Times New Roman"/>
          <w:sz w:val="12"/>
          <w:szCs w:val="12"/>
          <w:color w:val="231F20"/>
        </w:rPr>
        <w:t>Epcoritamab is a proprietary bispecific antibody therapeutic created using our proprietary DuoBody technology</w:t>
      </w:r>
    </w:p>
    <w:p>
      <w:pPr>
        <w:ind w:left="620" w:right="2320"/>
        <w:spacing w:after="0" w:line="228" w:lineRule="auto"/>
        <w:rPr>
          <w:sz w:val="20"/>
          <w:szCs w:val="20"/>
          <w:color w:val="auto"/>
        </w:rPr>
      </w:pPr>
      <w:r>
        <w:rPr>
          <w:rFonts w:ascii="Times New Roman" w:cs="Times New Roman" w:eastAsia="Times New Roman" w:hAnsi="Times New Roman"/>
          <w:sz w:val="12"/>
          <w:szCs w:val="12"/>
          <w:color w:val="231F20"/>
        </w:rPr>
        <w:t>platform. Epcoritamab targets CD3, which is expressed on T-cells, and CD20, a clinically validated target on malignant B-cells. We used technology licensed from Medarex, Inc. (“</w:t>
      </w:r>
      <w:r>
        <w:rPr>
          <w:rFonts w:ascii="Times New Roman" w:cs="Times New Roman" w:eastAsia="Times New Roman" w:hAnsi="Times New Roman"/>
          <w:sz w:val="12"/>
          <w:szCs w:val="12"/>
          <w:b w:val="1"/>
          <w:bCs w:val="1"/>
          <w:color w:val="231F20"/>
        </w:rPr>
        <w:t>Medarex</w:t>
      </w:r>
      <w:r>
        <w:rPr>
          <w:rFonts w:ascii="Times New Roman" w:cs="Times New Roman" w:eastAsia="Times New Roman" w:hAnsi="Times New Roman"/>
          <w:sz w:val="12"/>
          <w:szCs w:val="12"/>
          <w:color w:val="231F20"/>
        </w:rPr>
        <w:t xml:space="preserve"> ”) to generate the CD20 antibody forming part of epcoritamab. We are co-developing, and co-commercializing in the US and Japan, epcoritamab in collaboration with</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500"/>
        <w:spacing w:after="0" w:line="215" w:lineRule="auto"/>
        <w:rPr>
          <w:sz w:val="20"/>
          <w:szCs w:val="20"/>
          <w:color w:val="auto"/>
        </w:rPr>
      </w:pPr>
      <w:r>
        <w:rPr>
          <w:rFonts w:ascii="Times New Roman" w:cs="Times New Roman" w:eastAsia="Times New Roman" w:hAnsi="Times New Roman"/>
          <w:sz w:val="12"/>
          <w:szCs w:val="12"/>
          <w:color w:val="231F20"/>
        </w:rPr>
        <w:t>DLBCL is the most common type of NHL worldwide, accounting for approximately 25% - 30% of all NHL cases. DLBCL is a fast-growing type of NHL that can develop in the lymphatic system as well as in organs outside of the lymphatic system, occurs more commonly in the elderly and is slightly more prevalent in men. [CC1] For many people living with DLBCL, their cancer either relapses, which means it may return after treatment, or becomes refractory, meaning it does not respond to treatment. Although new therapies have become available, treatment management can remain a challenge.</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FL is typically an indolent or slow- growing form NHL that arises from B-cell lymphocytes and is the second most common form of NHL, accounting for 20% -30% of all cases. About 15,000 people develop FL each year in the US and it is considered incurable with current standard of care therapies. Patients often relapse and, with each relapse the remission and time to next treatment is shorter. Over time, transformation to DLBCL, an aggressive form of NHL associated with poor survival outcomes, can occur in more than 25% of FL patients. In March 2022, November 2023 and September 2024, the FDA granted orphan -drug designation and BTDs respectively to epcoritamab for the treatment of FL.</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Approvals and Results</w:t>
      </w:r>
    </w:p>
    <w:p>
      <w:pPr>
        <w:ind w:left="620" w:right="2300"/>
        <w:spacing w:after="0" w:line="215" w:lineRule="auto"/>
        <w:rPr>
          <w:sz w:val="20"/>
          <w:szCs w:val="20"/>
          <w:color w:val="auto"/>
        </w:rPr>
      </w:pPr>
      <w:r>
        <w:rPr>
          <w:rFonts w:ascii="Times New Roman" w:cs="Times New Roman" w:eastAsia="Times New Roman" w:hAnsi="Times New Roman"/>
          <w:sz w:val="12"/>
          <w:szCs w:val="12"/>
          <w:i w:val="1"/>
          <w:iCs w:val="1"/>
          <w:color w:val="231F20"/>
        </w:rPr>
        <w:t>3L+ R/R DLBCL</w:t>
      </w:r>
      <w:r>
        <w:rPr>
          <w:rFonts w:ascii="Times New Roman" w:cs="Times New Roman" w:eastAsia="Times New Roman" w:hAnsi="Times New Roman"/>
          <w:sz w:val="12"/>
          <w:szCs w:val="12"/>
          <w:color w:val="231F20"/>
        </w:rPr>
        <w:t>. Epcoritamab received accelerated FDA approval in May 2023, as EPKINLY, for the treatment of</w:t>
      </w:r>
      <w:r>
        <w:rPr>
          <w:rFonts w:ascii="Times New Roman" w:cs="Times New Roman" w:eastAsia="Times New Roman" w:hAnsi="Times New Roman"/>
          <w:sz w:val="12"/>
          <w:szCs w:val="12"/>
          <w:i w:val="1"/>
          <w:iCs w:val="1"/>
          <w:color w:val="231F20"/>
        </w:rPr>
        <w:t xml:space="preserve"> </w:t>
      </w:r>
      <w:r>
        <w:rPr>
          <w:rFonts w:ascii="Times New Roman" w:cs="Times New Roman" w:eastAsia="Times New Roman" w:hAnsi="Times New Roman"/>
          <w:sz w:val="12"/>
          <w:szCs w:val="12"/>
          <w:color w:val="231F20"/>
        </w:rPr>
        <w:t>adult patients with R/R DLBCL, not otherwise specified, including DLBCL arising from indolent lymphoma, and high-grade B-cell lymphoma (</w:t>
      </w:r>
      <w:r>
        <w:rPr>
          <w:rFonts w:ascii="Times New Roman" w:cs="Times New Roman" w:eastAsia="Times New Roman" w:hAnsi="Times New Roman"/>
          <w:sz w:val="12"/>
          <w:szCs w:val="12"/>
          <w:b w:val="1"/>
          <w:bCs w:val="1"/>
          <w:color w:val="231F20"/>
        </w:rPr>
        <w:t>“HGBCL</w:t>
      </w:r>
      <w:r>
        <w:rPr>
          <w:rFonts w:ascii="Times New Roman" w:cs="Times New Roman" w:eastAsia="Times New Roman" w:hAnsi="Times New Roman"/>
          <w:sz w:val="12"/>
          <w:szCs w:val="12"/>
          <w:color w:val="231F20"/>
        </w:rPr>
        <w:t>”), after two or more lines of systemic therapy. EPKINLY was approved under accelerated approval based on response rate and durability of response. Continued approval for this indication is contingent upon verification and description of clinical benefit in a confirmatory trial. In June 2023, epcoritamab-bysp was added to the National Comprehensive Cancer Network (“</w:t>
      </w:r>
      <w:r>
        <w:rPr>
          <w:rFonts w:ascii="Times New Roman" w:cs="Times New Roman" w:eastAsia="Times New Roman" w:hAnsi="Times New Roman"/>
          <w:sz w:val="12"/>
          <w:szCs w:val="12"/>
          <w:b w:val="1"/>
          <w:bCs w:val="1"/>
          <w:color w:val="231F20"/>
        </w:rPr>
        <w:t>NCCN</w:t>
      </w:r>
      <w:r>
        <w:rPr>
          <w:rFonts w:ascii="Times New Roman" w:cs="Times New Roman" w:eastAsia="Times New Roman" w:hAnsi="Times New Roman"/>
          <w:sz w:val="12"/>
          <w:szCs w:val="12"/>
          <w:color w:val="231F20"/>
        </w:rPr>
        <w:t>”) Clinical Practice Guidelines in Oncology for “B-cell Lymphomas” (Version 4.2023) for third-line and subsequent therapy for patients with DLBCL, including patients with disease progression after transplant or chimeric antigen receptor (“</w:t>
      </w:r>
      <w:r>
        <w:rPr>
          <w:rFonts w:ascii="Times New Roman" w:cs="Times New Roman" w:eastAsia="Times New Roman" w:hAnsi="Times New Roman"/>
          <w:sz w:val="12"/>
          <w:szCs w:val="12"/>
          <w:b w:val="1"/>
          <w:bCs w:val="1"/>
          <w:color w:val="231F20"/>
        </w:rPr>
        <w:t>CAR- T</w:t>
      </w:r>
      <w:r>
        <w:rPr>
          <w:rFonts w:ascii="Times New Roman" w:cs="Times New Roman" w:eastAsia="Times New Roman" w:hAnsi="Times New Roman"/>
          <w:sz w:val="12"/>
          <w:szCs w:val="12"/>
          <w:color w:val="231F20"/>
        </w:rPr>
        <w:t>”) cell therapy and as a Category 2A, preferred regimen for patients with histologic transformation of indolent lymphomas to DLBCL and no intention to proceed to transplant, including patients with disease progression after transplant or CAR-T cell therapy. In February 2025, epcoritamab-byp was added to the NCCN Clinical Practice Guidelines in Oncology for “B-cell Lymphomas” (Version 2.2025) for second-line patients with DLBCL who are ineligible for transplant as a Category 2A, preferred regimen.</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231F20"/>
        </w:rPr>
        <w:t>In September 2023, epcoritamab was granted both conditional marketing authorization by the European Commission and approval by the Japanese Ministry of Health, Labor and Welfare (“</w:t>
      </w:r>
      <w:r>
        <w:rPr>
          <w:rFonts w:ascii="Times New Roman" w:cs="Times New Roman" w:eastAsia="Times New Roman" w:hAnsi="Times New Roman"/>
          <w:sz w:val="12"/>
          <w:szCs w:val="12"/>
          <w:b w:val="1"/>
          <w:bCs w:val="1"/>
          <w:color w:val="231F20"/>
        </w:rPr>
        <w:t>MHLW”</w:t>
      </w:r>
      <w:r>
        <w:rPr>
          <w:rFonts w:ascii="Times New Roman" w:cs="Times New Roman" w:eastAsia="Times New Roman" w:hAnsi="Times New Roman"/>
          <w:sz w:val="12"/>
          <w:szCs w:val="12"/>
          <w:color w:val="231F20"/>
        </w:rPr>
        <w:t>). In Europe, epcoritamab, marketed as TEPKINLY, was approved as a monotherapy for the treatment of adult patients with R/R DLBCL after two or more lines of systemic therapy. Similar to the accelerated FDA approval in the US, this marketing authorization is contingent upon verification and description of clinical benefit in a confirmatory trial. In Japan, epcoritamab, marketed as EPKINLY, was approved for the treatment of adult patients with certain types of R/R LBCL, including DLBCL, HGBCL, primary mediastinal LBCL and FLgrade 3B, after two or more lines of systemic therapy.</w:t>
      </w:r>
    </w:p>
    <w:p>
      <w:pPr>
        <w:spacing w:after="0" w:line="1" w:lineRule="exact"/>
        <w:rPr>
          <w:sz w:val="20"/>
          <w:szCs w:val="20"/>
          <w:color w:val="auto"/>
        </w:rPr>
      </w:pPr>
    </w:p>
    <w:p>
      <w:pPr>
        <w:ind w:left="620" w:right="2480"/>
        <w:spacing w:after="0" w:line="215" w:lineRule="auto"/>
        <w:rPr>
          <w:sz w:val="20"/>
          <w:szCs w:val="20"/>
          <w:color w:val="auto"/>
        </w:rPr>
      </w:pPr>
      <w:r>
        <w:rPr>
          <w:rFonts w:ascii="Times New Roman" w:cs="Times New Roman" w:eastAsia="Times New Roman" w:hAnsi="Times New Roman"/>
          <w:sz w:val="12"/>
          <w:szCs w:val="12"/>
          <w:color w:val="231F20"/>
        </w:rPr>
        <w:t>The approvals were supported by results from the LBCL cohort of the pivotal Phase II EPCORE NHL-1 open-label, multi-center trial evaluating the safety and preliminary efficacy of epcoritamab in patients with relapsed, progressive or refractory CD20+ mature NHL, including DLBCL. Approval in Japan was also based on the EPCORE NHL-3 clinical trial.</w:t>
      </w:r>
    </w:p>
    <w:p>
      <w:pPr>
        <w:ind w:left="620" w:right="2360"/>
        <w:spacing w:after="0"/>
        <w:rPr>
          <w:sz w:val="20"/>
          <w:szCs w:val="20"/>
          <w:color w:val="auto"/>
        </w:rPr>
      </w:pPr>
      <w:r>
        <w:rPr>
          <w:rFonts w:ascii="Times New Roman" w:cs="Times New Roman" w:eastAsia="Times New Roman" w:hAnsi="Times New Roman"/>
          <w:sz w:val="12"/>
          <w:szCs w:val="12"/>
          <w:color w:val="231F20"/>
        </w:rPr>
        <w:t>In September 2025, updated results from the outpatient Phase II EPCORE NHL-6 trial were presented as a poster at the 13th Society of Hematologic Oncology Annual Meeting. These results demonstrated the feasibility of treating and monitoring patients in an outpatient setting following the first dose of epcoritamab and showed that the incidence and severity of adverse events associated with epcoritamab were consistent with previous epcoritamab studies in patients with R/R DLBCL.</w:t>
      </w:r>
    </w:p>
    <w:p>
      <w:pPr>
        <w:spacing w:after="0" w:line="67" w:lineRule="exact"/>
        <w:rPr>
          <w:sz w:val="20"/>
          <w:szCs w:val="20"/>
          <w:color w:val="auto"/>
        </w:rPr>
      </w:pPr>
    </w:p>
    <w:p>
      <w:pPr>
        <w:ind w:left="620" w:right="2440"/>
        <w:spacing w:after="0" w:line="215" w:lineRule="auto"/>
        <w:rPr>
          <w:sz w:val="20"/>
          <w:szCs w:val="20"/>
          <w:color w:val="auto"/>
        </w:rPr>
      </w:pPr>
      <w:r>
        <w:rPr>
          <w:rFonts w:ascii="Times New Roman" w:cs="Times New Roman" w:eastAsia="Times New Roman" w:hAnsi="Times New Roman"/>
          <w:sz w:val="12"/>
          <w:szCs w:val="12"/>
          <w:color w:val="231F20"/>
        </w:rPr>
        <w:t>In January 2026 we announced topline results from the EPCORE DLBCL-1 trial. These results demonstrated an improvement in PFS (based on intent-to-treat principle) in patients treated with epcoritamab monotherapy. Additionally, improvements were observed in the complete response rate, duration of response, and time to next treatment among patients treated with epcoritamab monotherapy. EPCORE DLBCL-1 is the first Phase 3 study to demonstrate an improvement in PFS in patients with R/R DLBCL who were treated with a CD3xCD20 T-cell engaging bispecific monotherapy. The study demonstrated an overall survival that did not reach statistical significance.</w:t>
      </w:r>
    </w:p>
    <w:p>
      <w:pPr>
        <w:spacing w:after="0" w:line="1" w:lineRule="exact"/>
        <w:rPr>
          <w:sz w:val="20"/>
          <w:szCs w:val="20"/>
          <w:color w:val="auto"/>
        </w:rPr>
      </w:pPr>
    </w:p>
    <w:p>
      <w:pPr>
        <w:ind w:left="620" w:right="2420"/>
        <w:spacing w:after="0" w:line="234" w:lineRule="auto"/>
        <w:rPr>
          <w:sz w:val="20"/>
          <w:szCs w:val="20"/>
          <w:color w:val="auto"/>
        </w:rPr>
      </w:pPr>
      <w:r>
        <w:rPr>
          <w:rFonts w:ascii="Times New Roman" w:cs="Times New Roman" w:eastAsia="Times New Roman" w:hAnsi="Times New Roman"/>
          <w:sz w:val="12"/>
          <w:szCs w:val="12"/>
          <w:i w:val="1"/>
          <w:iCs w:val="1"/>
          <w:color w:val="231F20"/>
        </w:rPr>
        <w:t>R/R FL</w:t>
      </w:r>
      <w:r>
        <w:rPr>
          <w:rFonts w:ascii="Times New Roman" w:cs="Times New Roman" w:eastAsia="Times New Roman" w:hAnsi="Times New Roman"/>
          <w:sz w:val="12"/>
          <w:szCs w:val="12"/>
          <w:color w:val="231F20"/>
        </w:rPr>
        <w:t>. Epcoritamab also received accelerated FDA approval in June 2024, as EPKINLY, for the treatment of adults</w:t>
      </w:r>
      <w:r>
        <w:rPr>
          <w:rFonts w:ascii="Times New Roman" w:cs="Times New Roman" w:eastAsia="Times New Roman" w:hAnsi="Times New Roman"/>
          <w:sz w:val="12"/>
          <w:szCs w:val="12"/>
          <w:i w:val="1"/>
          <w:iCs w:val="1"/>
          <w:color w:val="231F20"/>
        </w:rPr>
        <w:t xml:space="preserve"> </w:t>
      </w:r>
      <w:r>
        <w:rPr>
          <w:rFonts w:ascii="Times New Roman" w:cs="Times New Roman" w:eastAsia="Times New Roman" w:hAnsi="Times New Roman"/>
          <w:sz w:val="12"/>
          <w:szCs w:val="12"/>
          <w:color w:val="231F20"/>
        </w:rPr>
        <w:t>with R/R FL after two or more lines of systemic therapy. With this approval, EPKINLY became the first T-cell engaging</w:t>
      </w:r>
    </w:p>
    <w:p>
      <w:pPr>
        <w:sectPr>
          <w:pgSz w:w="11900" w:h="16840" w:orient="portrait"/>
          <w:cols w:equalWidth="0" w:num="1">
            <w:col w:w="9020"/>
          </w:cols>
          <w:pgMar w:left="1440" w:top="550" w:right="1440" w:bottom="1440" w:gutter="0" w:footer="0" w:header="0"/>
          <w:type w:val="continuous"/>
        </w:sectPr>
      </w:pPr>
    </w:p>
    <w:bookmarkStart w:id="29" w:name="page30"/>
    <w:bookmarkEnd w:id="29"/>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bispecific antibody administered subcutaneously approved in the US to treat this patient population. This indication was initially approved under accelerated approval based on response rate and was converted to a full approval in November 2025 based on results from a confirmatory clinical trial. In May 2024, epcoritamab-bysp was added to the NCCN Clinical Practice Guidelines in Oncology for “B-cell Lymphomas” (Version 2.2024) for third-line and subsequent therapy for patients with FL as a Category 2A preferred regimen. In December 2025, epcoritamab- bysp in combination with R</w:t>
      </w:r>
      <w:r>
        <w:rPr>
          <w:rFonts w:ascii="Times New Roman" w:cs="Times New Roman" w:eastAsia="Times New Roman" w:hAnsi="Times New Roman"/>
          <w:sz w:val="8"/>
          <w:szCs w:val="8"/>
          <w:color w:val="231F20"/>
        </w:rPr>
        <w:t>2</w:t>
      </w:r>
      <w:r>
        <w:rPr>
          <w:rFonts w:ascii="Times New Roman" w:cs="Times New Roman" w:eastAsia="Times New Roman" w:hAnsi="Times New Roman"/>
          <w:sz w:val="12"/>
          <w:szCs w:val="12"/>
          <w:color w:val="231F20"/>
        </w:rPr>
        <w:t xml:space="preserve"> was added to the NCCN Clinical Practice Guidelines in Oncology for “B-cell Lymphomas” (Version 1.2026) for second-line therapy for patients with FL as a Category 1 preferred regimen.</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In August 2024, epcoritamab was granted conditional marketing authorization by the European Commission as a monotherapy for the treatment of adult patients with R/R FL after two or more lines of systemic therapy. In January 2025, epcoritamab was approved in Japan for the same indication.</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The approvals were supported by results from the FL cohort of the pivotal Phase II EPCORE NHL-1 trial. Aligned</w:t>
      </w:r>
    </w:p>
    <w:p>
      <w:pPr>
        <w:ind w:left="620" w:right="2260"/>
        <w:spacing w:after="0" w:line="215" w:lineRule="auto"/>
        <w:rPr>
          <w:sz w:val="20"/>
          <w:szCs w:val="20"/>
          <w:color w:val="auto"/>
        </w:rPr>
      </w:pPr>
      <w:r>
        <w:rPr>
          <w:rFonts w:ascii="Times New Roman" w:cs="Times New Roman" w:eastAsia="Times New Roman" w:hAnsi="Times New Roman"/>
          <w:sz w:val="12"/>
          <w:szCs w:val="12"/>
          <w:color w:val="231F20"/>
        </w:rPr>
        <w:t>with the FDA’s Project Optimus, the optimization part of the trial continued to evaluate alternative step-up dosing regimens to mitigate the risk of CRS; preliminary data on the initial patients enrolled indicate a clinical improvement in CRS rate. The results from this cohort, along with the results from the optimization part of the trial, were presented during the American Society of Hematology Annual Meeting in December 2023. The approval in Japan was also supported by data from the Japanese EPCORE NHL -3 study.</w:t>
      </w:r>
    </w:p>
    <w:p>
      <w:pPr>
        <w:spacing w:after="0" w:line="1" w:lineRule="exact"/>
        <w:rPr>
          <w:sz w:val="20"/>
          <w:szCs w:val="20"/>
          <w:color w:val="auto"/>
        </w:rPr>
      </w:pPr>
    </w:p>
    <w:p>
      <w:pPr>
        <w:ind w:left="620" w:right="2520"/>
        <w:spacing w:after="0" w:line="234" w:lineRule="auto"/>
        <w:rPr>
          <w:sz w:val="20"/>
          <w:szCs w:val="20"/>
          <w:color w:val="auto"/>
        </w:rPr>
      </w:pPr>
      <w:r>
        <w:rPr>
          <w:rFonts w:ascii="Times New Roman" w:cs="Times New Roman" w:eastAsia="Times New Roman" w:hAnsi="Times New Roman"/>
          <w:sz w:val="12"/>
          <w:szCs w:val="12"/>
          <w:color w:val="231F20"/>
        </w:rPr>
        <w:t>In November 2023, the FDA also granted BTD to epcoritamab in combination with R</w:t>
      </w:r>
      <w:r>
        <w:rPr>
          <w:rFonts w:ascii="Times New Roman" w:cs="Times New Roman" w:eastAsia="Times New Roman" w:hAnsi="Times New Roman"/>
          <w:sz w:val="8"/>
          <w:szCs w:val="8"/>
          <w:color w:val="231F20"/>
        </w:rPr>
        <w:t>2</w:t>
      </w:r>
      <w:r>
        <w:rPr>
          <w:rFonts w:ascii="Times New Roman" w:cs="Times New Roman" w:eastAsia="Times New Roman" w:hAnsi="Times New Roman"/>
          <w:sz w:val="12"/>
          <w:szCs w:val="12"/>
          <w:color w:val="231F20"/>
        </w:rPr>
        <w:t xml:space="preserve"> for the treatment of adult patients with R/R FL who have received at least two prior lines of therapy. In July 2025, the FDA accepted for priority</w:t>
      </w:r>
    </w:p>
    <w:p>
      <w:pPr>
        <w:ind w:left="620"/>
        <w:spacing w:after="0" w:line="213" w:lineRule="auto"/>
        <w:rPr>
          <w:sz w:val="20"/>
          <w:szCs w:val="20"/>
          <w:color w:val="auto"/>
        </w:rPr>
      </w:pPr>
      <w:r>
        <w:rPr>
          <w:rFonts w:ascii="Times New Roman" w:cs="Times New Roman" w:eastAsia="Times New Roman" w:hAnsi="Times New Roman"/>
          <w:sz w:val="12"/>
          <w:szCs w:val="12"/>
          <w:color w:val="231F20"/>
        </w:rPr>
        <w:t>review the supplemental Biologics License Application (“</w:t>
      </w:r>
      <w:r>
        <w:rPr>
          <w:rFonts w:ascii="Times New Roman" w:cs="Times New Roman" w:eastAsia="Times New Roman" w:hAnsi="Times New Roman"/>
          <w:sz w:val="12"/>
          <w:szCs w:val="12"/>
          <w:b w:val="1"/>
          <w:bCs w:val="1"/>
          <w:color w:val="231F20"/>
        </w:rPr>
        <w:t>sBLA</w:t>
      </w:r>
      <w:r>
        <w:rPr>
          <w:rFonts w:ascii="Times New Roman" w:cs="Times New Roman" w:eastAsia="Times New Roman" w:hAnsi="Times New Roman"/>
          <w:sz w:val="12"/>
          <w:szCs w:val="12"/>
          <w:color w:val="231F20"/>
        </w:rPr>
        <w:t>”) for epcoritamab plus R</w:t>
      </w:r>
      <w:r>
        <w:rPr>
          <w:rFonts w:ascii="Times New Roman" w:cs="Times New Roman" w:eastAsia="Times New Roman" w:hAnsi="Times New Roman"/>
          <w:sz w:val="17"/>
          <w:szCs w:val="17"/>
          <w:color w:val="231F20"/>
          <w:vertAlign w:val="superscript"/>
        </w:rPr>
        <w:t>2</w:t>
      </w:r>
      <w:r>
        <w:rPr>
          <w:rFonts w:ascii="Times New Roman" w:cs="Times New Roman" w:eastAsia="Times New Roman" w:hAnsi="Times New Roman"/>
          <w:sz w:val="12"/>
          <w:szCs w:val="12"/>
          <w:color w:val="231F20"/>
        </w:rPr>
        <w:t xml:space="preserve"> following at least one prior</w:t>
      </w:r>
    </w:p>
    <w:p>
      <w:pPr>
        <w:spacing w:after="0" w:line="1" w:lineRule="exact"/>
        <w:rPr>
          <w:sz w:val="20"/>
          <w:szCs w:val="20"/>
          <w:color w:val="auto"/>
        </w:rPr>
      </w:pPr>
    </w:p>
    <w:p>
      <w:pPr>
        <w:ind w:left="620" w:right="2320"/>
        <w:spacing w:after="0" w:line="206" w:lineRule="auto"/>
        <w:rPr>
          <w:sz w:val="20"/>
          <w:szCs w:val="20"/>
          <w:color w:val="auto"/>
        </w:rPr>
      </w:pPr>
      <w:r>
        <w:rPr>
          <w:rFonts w:ascii="Times New Roman" w:cs="Times New Roman" w:eastAsia="Times New Roman" w:hAnsi="Times New Roman"/>
          <w:sz w:val="12"/>
          <w:szCs w:val="12"/>
          <w:color w:val="231F20"/>
        </w:rPr>
        <w:t>systemic therapy. The sBLA was approved on November 18, 2025. With this approval, epcoritamab plus R</w:t>
      </w:r>
      <w:r>
        <w:rPr>
          <w:rFonts w:ascii="Times New Roman" w:cs="Times New Roman" w:eastAsia="Times New Roman" w:hAnsi="Times New Roman"/>
          <w:sz w:val="17"/>
          <w:szCs w:val="17"/>
          <w:color w:val="231F20"/>
          <w:vertAlign w:val="superscript"/>
        </w:rPr>
        <w:t>2</w:t>
      </w:r>
      <w:r>
        <w:rPr>
          <w:rFonts w:ascii="Times New Roman" w:cs="Times New Roman" w:eastAsia="Times New Roman" w:hAnsi="Times New Roman"/>
          <w:sz w:val="12"/>
          <w:szCs w:val="12"/>
          <w:color w:val="231F20"/>
        </w:rPr>
        <w:t xml:space="preserve"> became the first bispecific antibody combination regimen available in the US as a second -line treatment option for patients with R/R FL. The approval was based on data from the first interim analysis of the Phase III EPCORE FL -1 trial. Results from the trial were presented at the American Society of Hematology Annual Meeting in December 2025 and will serve as the basis for global regulatory submissions.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Ongoing Phase III Trials</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Along with our collaboration partner, AbbVie, we are currently evaluating SC epcoritamab for the treatment of B-cell malignancies including DLBCL and FL in multiple clinical trials. In October 2025, epcoritamab-bysp monotherapy was added to the NCCN Clinical Practice Guidelines in Oncology for "CLL.Small Lymphcytic Lymphoma” (Version 1.2026) for Richter's transformation as a Category 2A preferred regimen. More than 40 industry and investigator -sponsored clinical trials are currently ongoing. In addition to the EPCORE FL-1 and EPCORE DLBCL-1 clinical trials noted above, the following are the ongoing Phase III trials sponsored by Genmab and AbbVie:</w:t>
      </w:r>
    </w:p>
    <w:p>
      <w:pPr>
        <w:spacing w:after="0" w:line="1" w:lineRule="exact"/>
        <w:rPr>
          <w:sz w:val="20"/>
          <w:szCs w:val="20"/>
          <w:color w:val="auto"/>
        </w:rPr>
      </w:pPr>
    </w:p>
    <w:p>
      <w:pPr>
        <w:ind w:left="620" w:right="2540"/>
        <w:spacing w:after="0" w:line="215" w:lineRule="auto"/>
        <w:rPr>
          <w:sz w:val="20"/>
          <w:szCs w:val="20"/>
          <w:color w:val="auto"/>
        </w:rPr>
      </w:pPr>
      <w:r>
        <w:rPr>
          <w:rFonts w:ascii="Times New Roman" w:cs="Times New Roman" w:eastAsia="Times New Roman" w:hAnsi="Times New Roman"/>
          <w:sz w:val="12"/>
          <w:szCs w:val="12"/>
          <w:color w:val="231F20"/>
        </w:rPr>
        <w:t>EPCORE DLBCL-2 is a Phase III randomized, open-label trial to evaluate the safety and efficacy of epcoritamab in combination with rituximab, cyclophosphamide, doxorubicin hydrochloride, vincristine, and prednisone (“</w:t>
      </w:r>
      <w:r>
        <w:rPr>
          <w:rFonts w:ascii="Times New Roman" w:cs="Times New Roman" w:eastAsia="Times New Roman" w:hAnsi="Times New Roman"/>
          <w:sz w:val="12"/>
          <w:szCs w:val="12"/>
          <w:b w:val="1"/>
          <w:bCs w:val="1"/>
          <w:color w:val="231F20"/>
        </w:rPr>
        <w:t>R-CHOP</w:t>
      </w:r>
      <w:r>
        <w:rPr>
          <w:rFonts w:ascii="Times New Roman" w:cs="Times New Roman" w:eastAsia="Times New Roman" w:hAnsi="Times New Roman"/>
          <w:sz w:val="12"/>
          <w:szCs w:val="12"/>
          <w:color w:val="231F20"/>
        </w:rPr>
        <w:t>”) compared to R-CHOP in patients with newly diagnosed DLBCL. The trial is fully recruited.</w:t>
      </w:r>
    </w:p>
    <w:p>
      <w:pPr>
        <w:ind w:left="620" w:right="2380"/>
        <w:spacing w:after="0" w:line="215" w:lineRule="auto"/>
        <w:rPr>
          <w:sz w:val="20"/>
          <w:szCs w:val="20"/>
          <w:color w:val="auto"/>
        </w:rPr>
      </w:pPr>
      <w:r>
        <w:rPr>
          <w:rFonts w:ascii="Times New Roman" w:cs="Times New Roman" w:eastAsia="Times New Roman" w:hAnsi="Times New Roman"/>
          <w:sz w:val="12"/>
          <w:szCs w:val="12"/>
          <w:color w:val="231F20"/>
        </w:rPr>
        <w:t>EPCORE DLBCL -4 is a Phase III, open-label trial to evaluate the safety and efficacy of epcoritamab in combination with lenalidomide compared to rituximab plus gemcitabine and oxaliplatin in patients with R/R DLBCL. The trial is fully recruited.</w:t>
      </w:r>
    </w:p>
    <w:p>
      <w:pPr>
        <w:ind w:left="620" w:right="2640"/>
        <w:spacing w:after="0" w:line="215" w:lineRule="auto"/>
        <w:rPr>
          <w:sz w:val="20"/>
          <w:szCs w:val="20"/>
          <w:color w:val="auto"/>
        </w:rPr>
      </w:pPr>
      <w:r>
        <w:rPr>
          <w:rFonts w:ascii="Times New Roman" w:cs="Times New Roman" w:eastAsia="Times New Roman" w:hAnsi="Times New Roman"/>
          <w:sz w:val="12"/>
          <w:szCs w:val="12"/>
          <w:color w:val="231F20"/>
        </w:rPr>
        <w:t>EPCORE FL- 2 is a Phase III, open-label trial to evaluate the safety and efficacy of epcoritamab in combination with R2 compared to chemoimmunotherapy in patients with previously untreated FL. The trial is currently recruiting.</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Tisotumab Vedotin</w:t>
      </w:r>
    </w:p>
    <w:p>
      <w:pPr>
        <w:ind w:left="620" w:right="2280"/>
        <w:spacing w:after="0" w:line="220" w:lineRule="auto"/>
        <w:rPr>
          <w:sz w:val="20"/>
          <w:szCs w:val="20"/>
          <w:color w:val="auto"/>
        </w:rPr>
      </w:pPr>
      <w:r>
        <w:rPr>
          <w:rFonts w:ascii="Times New Roman" w:cs="Times New Roman" w:eastAsia="Times New Roman" w:hAnsi="Times New Roman"/>
          <w:sz w:val="12"/>
          <w:szCs w:val="12"/>
          <w:color w:val="231F20"/>
        </w:rPr>
        <w:t>Tisotumab vedotin is an ADC composed of Genmab’s human monoclonal antibody directed to TF and Pfizer’s ADC technology that utilizes a protease-cleavable linker that covalently attaches the microtubule-disrupting agent monomethyl auristatin E to the antibody. Genmab used technology licensed from Medarex to generate the TF antibody forming part of tisotumab vedotin. Tisotumab vedotin, marketed as Tivdak, is the first and only ADC approved for the treatment of adult patients with recurrent or metastatic cervical cancer with disease progression on or after prior systemic therapy in territories including the US, Europe and Japan. Tisotumab vedotin is being co-developed by Genmab and Pfizer. Under a joint commercialization agreement, Genmab is co-promoting Tivdak in the US and is leading commercial operational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in Japan, Europe and all other regions globally, excluding the US and China. Pfizer is leading commercial operational activities in the US and will lead commercial operational activities in China once approved in connection with the sublicense of its rights to develop and commercialize tisotumab vedotin in China to Zai Lab. Genmab will record sales for Europe, Japan and rest of world markets (excluding the US and China), and will provide royalties in the low teens percentage-wise to Pfizer on net sales. The companies have joint decision-making on the worldwide development and commercialization strategy for Tivdak.</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Tisotumab vedotin for the Treatment of Cervical Cancer</w:t>
      </w: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Cervical cancer remains a disease with high unmet need despite advances in effective vaccination and screening practices to prevent and diagnose pre-/early-stage cancers for curative treatment. Recurrent and/or metastatic cervical cancer is a particularly devastating and mostly incurable disease; up to 15% of adults with cervical cancer present with metastatic disease at diagnosis and, for adults diagnosed at earlier stages who receive treatment, up to 61% will experience disease recurrence. Cervical cancer is the fourth most common cause of cancer death among women globally.</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Approvals and Results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In September 2021, the FDA granted Genmab and Pfizer accelerated approval for tisotumab vedotin-tftv as Tivdak,</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the first and only ADC approved for the treatment of adult patients with recurrent or metastatic cervical cancer with disease progression on or after chemotherapy. Tisotumab vedotin was approved under the FDA’s Accelerated Approval Program based on tumor response, durability of the response and the safety profile. The initial approval was based on the Phase II innovaTV 204 single arm trial in 101 patients with recurrent or metastatic cervical cancer who had received no more than two prior systemic regimens in the recurrent or metastatic setting, including at least one prior platinum-based chemotherapy regimen. In March 2024, tisotumab vedotin - tftv was added to the NCCN Clinical Practice Guidelines in Oncology for Vaginal Cancer under ‘Other Recommended Regimens’ as second -line or subsequent systemic therapy for patients with recurrent or metastatic squamous cell carcinoma/adenocarcinoma primary vaginal cancer.</w:t>
      </w:r>
    </w:p>
    <w:p>
      <w:pPr>
        <w:spacing w:after="0" w:line="1" w:lineRule="exact"/>
        <w:rPr>
          <w:sz w:val="20"/>
          <w:szCs w:val="20"/>
          <w:color w:val="auto"/>
        </w:rPr>
      </w:pPr>
    </w:p>
    <w:p>
      <w:pPr>
        <w:ind w:left="620" w:right="2400"/>
        <w:spacing w:after="0" w:line="218" w:lineRule="auto"/>
        <w:rPr>
          <w:sz w:val="20"/>
          <w:szCs w:val="20"/>
          <w:color w:val="auto"/>
        </w:rPr>
      </w:pPr>
      <w:r>
        <w:rPr>
          <w:rFonts w:ascii="Times New Roman" w:cs="Times New Roman" w:eastAsia="Times New Roman" w:hAnsi="Times New Roman"/>
          <w:sz w:val="12"/>
          <w:szCs w:val="12"/>
          <w:color w:val="231F20"/>
        </w:rPr>
        <w:t>In April 2024, the FDA granted approval to the sBLA for tisotumab vedotin-tftv for the treatment of patients with recurrent or metastatic cervical cancer with disease progression on or after chemotherapy. This FDA action converts the September 2021 accelerated approval of tisotumab vedotin to a full approval. Tisotumab vedotin is the first ADC with demonstrated overall survival data to be granted full FDA approval in this patient population. The approval was based on the Phase III innovaTV 301 (ENGOT cx -12/GOG 3057) confirmatory trial in recurrent or metastatic cervical cancer patients with disease progression on or after front - line therapy who received tisotumab vedotin, compared with chemotherapy alone. Also based on these results, regulatory submissions were made in Europe and Japan in 2024. In December 2024, the US NCCN updated its Clinical Practice Guidelines in Oncology for Cervical Cancer to recommend tisotumab vedotin- tftv as the only Category 1 preferred option for second-line or subsequent therapy for recurrent or metastatic cervical cancer. Tisotumab vedotin -tftv plus pembrolizumab was also added as an option for PD-L1 positive tumors. In March 2025, tisotumab vedotin was granted approval in Japan by the MHLW and marketing authorization in</w:t>
      </w:r>
    </w:p>
    <w:p>
      <w:pPr>
        <w:sectPr>
          <w:pgSz w:w="11900" w:h="16840" w:orient="portrait"/>
          <w:cols w:equalWidth="0" w:num="1">
            <w:col w:w="9020"/>
          </w:cols>
          <w:pgMar w:left="1440" w:top="1440" w:right="1440" w:bottom="75" w:gutter="0" w:footer="0" w:header="0"/>
        </w:sectPr>
      </w:pPr>
    </w:p>
    <w:bookmarkStart w:id="30" w:name="page31"/>
    <w:bookmarkEnd w:id="30"/>
    <w:p>
      <w:pPr>
        <w:ind w:left="620" w:right="2420"/>
        <w:spacing w:after="0" w:line="227" w:lineRule="auto"/>
        <w:rPr>
          <w:sz w:val="20"/>
          <w:szCs w:val="20"/>
          <w:color w:val="auto"/>
        </w:rPr>
      </w:pPr>
      <w:r>
        <w:rPr>
          <w:rFonts w:ascii="Times New Roman" w:cs="Times New Roman" w:eastAsia="Times New Roman" w:hAnsi="Times New Roman"/>
          <w:sz w:val="12"/>
          <w:szCs w:val="12"/>
          <w:color w:val="231F20"/>
        </w:rPr>
        <w:t>Europe by the European Commission. In September 2025, Tivdak became available for prescribing in Germany, the first European country where the medicine is commercially available.</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Rina-S</w:t>
      </w:r>
    </w:p>
    <w:p>
      <w:pPr>
        <w:spacing w:after="0" w:line="1" w:lineRule="exact"/>
        <w:rPr>
          <w:sz w:val="20"/>
          <w:szCs w:val="20"/>
          <w:color w:val="auto"/>
        </w:rPr>
      </w:pPr>
    </w:p>
    <w:p>
      <w:pPr>
        <w:ind w:left="620" w:right="2460"/>
        <w:spacing w:after="0" w:line="215" w:lineRule="auto"/>
        <w:rPr>
          <w:sz w:val="20"/>
          <w:szCs w:val="20"/>
          <w:color w:val="auto"/>
        </w:rPr>
      </w:pPr>
      <w:r>
        <w:rPr>
          <w:rFonts w:ascii="Times New Roman" w:cs="Times New Roman" w:eastAsia="Times New Roman" w:hAnsi="Times New Roman"/>
          <w:sz w:val="12"/>
          <w:szCs w:val="12"/>
          <w:color w:val="231F20"/>
        </w:rPr>
        <w:t>Rina-S, acquired as part of the acquisition of ProfoundBio, is a novel FRα-targeted topoisomerase 1 ADC being evaluated for the potential treatment of ovarian cancer and other FRα -expressing cancers. Dose expansion data suggests that Rina- S has robust single agent activity in various cancers across a broad range of FRα expression levels.</w:t>
      </w:r>
    </w:p>
    <w:p>
      <w:pPr>
        <w:ind w:left="620" w:right="2720"/>
        <w:spacing w:after="0" w:line="215" w:lineRule="auto"/>
        <w:rPr>
          <w:sz w:val="20"/>
          <w:szCs w:val="20"/>
          <w:color w:val="auto"/>
        </w:rPr>
      </w:pPr>
      <w:r>
        <w:rPr>
          <w:rFonts w:ascii="Times New Roman" w:cs="Times New Roman" w:eastAsia="Times New Roman" w:hAnsi="Times New Roman"/>
          <w:sz w:val="12"/>
          <w:szCs w:val="12"/>
          <w:i w:val="1"/>
          <w:iCs w:val="1"/>
          <w:color w:val="231F20"/>
        </w:rPr>
        <w:t>Ovarian Cancer</w:t>
      </w:r>
      <w:r>
        <w:rPr>
          <w:rFonts w:ascii="Times New Roman" w:cs="Times New Roman" w:eastAsia="Times New Roman" w:hAnsi="Times New Roman"/>
          <w:sz w:val="12"/>
          <w:szCs w:val="12"/>
          <w:color w:val="231F20"/>
        </w:rPr>
        <w:t>.</w:t>
      </w:r>
      <w:r>
        <w:rPr>
          <w:rFonts w:ascii="Times New Roman" w:cs="Times New Roman" w:eastAsia="Times New Roman" w:hAnsi="Times New Roman"/>
          <w:sz w:val="12"/>
          <w:szCs w:val="12"/>
          <w:i w:val="1"/>
          <w:iCs w:val="1"/>
          <w:color w:val="231F20"/>
        </w:rPr>
        <w:t xml:space="preserve"> </w:t>
      </w:r>
      <w:r>
        <w:rPr>
          <w:rFonts w:ascii="Times New Roman" w:cs="Times New Roman" w:eastAsia="Times New Roman" w:hAnsi="Times New Roman"/>
          <w:sz w:val="12"/>
          <w:szCs w:val="12"/>
          <w:color w:val="000000"/>
        </w:rPr>
        <w:t>In January 2024, Rina-S was granted FTD by the FDA for the treatment of FRα-expressing high-grade serous or endometrioid PROC.</w:t>
      </w:r>
    </w:p>
    <w:p>
      <w:pPr>
        <w:jc w:val="both"/>
        <w:ind w:left="620" w:right="2520"/>
        <w:spacing w:after="0" w:line="215" w:lineRule="auto"/>
        <w:rPr>
          <w:sz w:val="20"/>
          <w:szCs w:val="20"/>
          <w:color w:val="auto"/>
        </w:rPr>
      </w:pPr>
      <w:r>
        <w:rPr>
          <w:rFonts w:ascii="Times New Roman" w:cs="Times New Roman" w:eastAsia="Times New Roman" w:hAnsi="Times New Roman"/>
          <w:sz w:val="12"/>
          <w:szCs w:val="12"/>
          <w:color w:val="231F20"/>
        </w:rPr>
        <w:t>In November 2025, development of Rina -S was expanded into PSOC with the initiation of the Phase III RAINFOL-04 trial. This trial will examine Rina -S with or without bevacizumab, versus bevacizumab or observation as maintenance treatment after second line platinum -based doublet chemotherapy in patients with PSOC.</w:t>
      </w:r>
    </w:p>
    <w:p>
      <w:pPr>
        <w:ind w:left="620" w:right="2380"/>
        <w:spacing w:after="0" w:line="228" w:lineRule="auto"/>
        <w:rPr>
          <w:sz w:val="20"/>
          <w:szCs w:val="20"/>
          <w:color w:val="auto"/>
        </w:rPr>
      </w:pPr>
      <w:r>
        <w:rPr>
          <w:rFonts w:ascii="Times New Roman" w:cs="Times New Roman" w:eastAsia="Times New Roman" w:hAnsi="Times New Roman"/>
          <w:sz w:val="12"/>
          <w:szCs w:val="12"/>
          <w:i w:val="1"/>
          <w:iCs w:val="1"/>
          <w:color w:val="231F20"/>
        </w:rPr>
        <w:t>Endometrial Cancer</w:t>
      </w:r>
      <w:r>
        <w:rPr>
          <w:rFonts w:ascii="Times New Roman" w:cs="Times New Roman" w:eastAsia="Times New Roman" w:hAnsi="Times New Roman"/>
          <w:sz w:val="12"/>
          <w:szCs w:val="12"/>
          <w:color w:val="231F20"/>
        </w:rPr>
        <w:t>. In June 2025, we presented initial data from the advanced or recurrent endometrial cancer</w:t>
      </w:r>
      <w:r>
        <w:rPr>
          <w:rFonts w:ascii="Times New Roman" w:cs="Times New Roman" w:eastAsia="Times New Roman" w:hAnsi="Times New Roman"/>
          <w:sz w:val="12"/>
          <w:szCs w:val="12"/>
          <w:i w:val="1"/>
          <w:iCs w:val="1"/>
          <w:color w:val="231F20"/>
        </w:rPr>
        <w:t xml:space="preserve"> </w:t>
      </w:r>
      <w:r>
        <w:rPr>
          <w:rFonts w:ascii="Times New Roman" w:cs="Times New Roman" w:eastAsia="Times New Roman" w:hAnsi="Times New Roman"/>
          <w:sz w:val="12"/>
          <w:szCs w:val="12"/>
          <w:color w:val="231F20"/>
        </w:rPr>
        <w:t>monotherapy dose expansion B2 cohort of the multi-part Phase I/II RAINFOL-01 trial evaluating Rina-S at the American Society of Clinical Oncology annual meeting. In August 2025, the FDA granted BTD to Rina-S for the treatment of adult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48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500"/>
        <w:spacing w:after="0" w:line="215" w:lineRule="auto"/>
        <w:rPr>
          <w:sz w:val="20"/>
          <w:szCs w:val="20"/>
          <w:color w:val="auto"/>
        </w:rPr>
      </w:pPr>
      <w:r>
        <w:rPr>
          <w:rFonts w:ascii="Times New Roman" w:cs="Times New Roman" w:eastAsia="Times New Roman" w:hAnsi="Times New Roman"/>
          <w:sz w:val="12"/>
          <w:szCs w:val="12"/>
          <w:color w:val="231F20"/>
        </w:rPr>
        <w:t>patients with recurrent or progressive endometrial cancer who have disease progression on or following prior treatment with a platinum-containing regimen and a PD-(L)1 therapy.</w:t>
      </w:r>
    </w:p>
    <w:p>
      <w:pPr>
        <w:ind w:left="620" w:right="2620"/>
        <w:spacing w:after="0" w:line="215" w:lineRule="auto"/>
        <w:rPr>
          <w:sz w:val="20"/>
          <w:szCs w:val="20"/>
          <w:color w:val="auto"/>
        </w:rPr>
      </w:pPr>
      <w:r>
        <w:rPr>
          <w:rFonts w:ascii="Times New Roman" w:cs="Times New Roman" w:eastAsia="Times New Roman" w:hAnsi="Times New Roman"/>
          <w:sz w:val="12"/>
          <w:szCs w:val="12"/>
          <w:i w:val="1"/>
          <w:iCs w:val="1"/>
          <w:color w:val="231F20"/>
        </w:rPr>
        <w:t xml:space="preserve">Other Solid Tumors. </w:t>
      </w:r>
      <w:r>
        <w:rPr>
          <w:rFonts w:ascii="Times New Roman" w:cs="Times New Roman" w:eastAsia="Times New Roman" w:hAnsi="Times New Roman"/>
          <w:sz w:val="12"/>
          <w:szCs w:val="12"/>
          <w:color w:val="231F20"/>
        </w:rPr>
        <w:t>The Phase I/II RAINFOL-01 trial of Rina-S in advanced solid tumors that are known to express</w:t>
      </w:r>
      <w:r>
        <w:rPr>
          <w:rFonts w:ascii="Times New Roman" w:cs="Times New Roman" w:eastAsia="Times New Roman" w:hAnsi="Times New Roman"/>
          <w:sz w:val="12"/>
          <w:szCs w:val="12"/>
          <w:i w:val="1"/>
          <w:iCs w:val="1"/>
          <w:color w:val="231F20"/>
        </w:rPr>
        <w:t xml:space="preserve"> </w:t>
      </w:r>
      <w:r>
        <w:rPr>
          <w:rFonts w:ascii="Times New Roman" w:cs="Times New Roman" w:eastAsia="Times New Roman" w:hAnsi="Times New Roman"/>
          <w:sz w:val="12"/>
          <w:szCs w:val="12"/>
          <w:color w:val="231F20"/>
        </w:rPr>
        <w:t>FRα is ongoing, and a Phase II Rina-S trial in NSCLC, RAINFOL-05, was initiated at the end of 2025.</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Ongoing Phase III Trials</w:t>
      </w:r>
    </w:p>
    <w:p>
      <w:pPr>
        <w:ind w:left="620" w:right="3020"/>
        <w:spacing w:after="0" w:line="215" w:lineRule="auto"/>
        <w:rPr>
          <w:sz w:val="20"/>
          <w:szCs w:val="20"/>
          <w:color w:val="auto"/>
        </w:rPr>
      </w:pPr>
      <w:r>
        <w:rPr>
          <w:rFonts w:ascii="Times New Roman" w:cs="Times New Roman" w:eastAsia="Times New Roman" w:hAnsi="Times New Roman"/>
          <w:sz w:val="12"/>
          <w:szCs w:val="12"/>
          <w:color w:val="231F20"/>
        </w:rPr>
        <w:t>RAINFOL-02 is a randomized open-label trial is evaluating Rina-S versus treatment of investigator’s choice chemotherapy in patients with PROC. The trial is currently recruiting.</w:t>
      </w:r>
    </w:p>
    <w:p>
      <w:pPr>
        <w:ind w:left="620" w:right="2480"/>
        <w:spacing w:after="0" w:line="215" w:lineRule="auto"/>
        <w:rPr>
          <w:sz w:val="20"/>
          <w:szCs w:val="20"/>
          <w:color w:val="auto"/>
        </w:rPr>
      </w:pPr>
      <w:r>
        <w:rPr>
          <w:rFonts w:ascii="Times New Roman" w:cs="Times New Roman" w:eastAsia="Times New Roman" w:hAnsi="Times New Roman"/>
          <w:sz w:val="12"/>
          <w:szCs w:val="12"/>
          <w:color w:val="231F20"/>
        </w:rPr>
        <w:t>RAINFOL-03 is a randomized, open-label trial is evaluating Rina-S versus treatment of investigator’s choice chemotherapy in patients with endometrial cancer after platinum-based chemotherapy and PD(L)-1 therapy. The trial is currently recruiting.</w:t>
      </w:r>
    </w:p>
    <w:p>
      <w:pPr>
        <w:jc w:val="both"/>
        <w:ind w:left="620" w:right="2460"/>
        <w:spacing w:after="0" w:line="234" w:lineRule="auto"/>
        <w:rPr>
          <w:sz w:val="20"/>
          <w:szCs w:val="20"/>
          <w:color w:val="auto"/>
        </w:rPr>
      </w:pPr>
      <w:r>
        <w:rPr>
          <w:rFonts w:ascii="Times New Roman" w:cs="Times New Roman" w:eastAsia="Times New Roman" w:hAnsi="Times New Roman"/>
          <w:sz w:val="12"/>
          <w:szCs w:val="12"/>
          <w:color w:val="231F20"/>
        </w:rPr>
        <w:t>RAINFOL-04 is a randomized, open-label trial is evaluating Rina-S with or without bevacizumab, versus bevacizumab or observation as maintenance treatment after second line platinum-based doublet chemotherapy in patients with PSOC.</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231F20"/>
        </w:rPr>
        <w:t>The trial is currently recruiting.</w:t>
      </w:r>
    </w:p>
    <w:p>
      <w:pPr>
        <w:ind w:left="620"/>
        <w:spacing w:after="0" w:line="234" w:lineRule="auto"/>
        <w:rPr>
          <w:sz w:val="20"/>
          <w:szCs w:val="20"/>
          <w:color w:val="auto"/>
        </w:rPr>
      </w:pPr>
      <w:r>
        <w:rPr>
          <w:rFonts w:ascii="Times New Roman" w:cs="Times New Roman" w:eastAsia="Times New Roman" w:hAnsi="Times New Roman"/>
          <w:sz w:val="12"/>
          <w:szCs w:val="12"/>
          <w:b w:val="1"/>
          <w:bCs w:val="1"/>
          <w:i w:val="1"/>
          <w:iCs w:val="1"/>
          <w:color w:val="231F20"/>
        </w:rPr>
        <w:t>Petosemtamab</w:t>
      </w:r>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Petosemtamab was added to Genmab's portfolio with the acquisition of Merus. It is an investigational antibody-dependent cell-mediated cytotoxicity (“</w:t>
      </w:r>
      <w:r>
        <w:rPr>
          <w:rFonts w:ascii="Times New Roman" w:cs="Times New Roman" w:eastAsia="Times New Roman" w:hAnsi="Times New Roman"/>
          <w:sz w:val="12"/>
          <w:szCs w:val="12"/>
          <w:b w:val="1"/>
          <w:bCs w:val="1"/>
          <w:color w:val="231F20"/>
        </w:rPr>
        <w:t>ADCC</w:t>
      </w:r>
      <w:r>
        <w:rPr>
          <w:rFonts w:ascii="Times New Roman" w:cs="Times New Roman" w:eastAsia="Times New Roman" w:hAnsi="Times New Roman"/>
          <w:sz w:val="12"/>
          <w:szCs w:val="12"/>
          <w:color w:val="231F20"/>
        </w:rPr>
        <w:t>”)-enhanced Biclonics for the potential treatment of solid tumors that is designed to bind to cancer stem cells expressing EGFR and LGR5. EGFR is a member of the human epidermal growth factor receptor (“</w:t>
      </w:r>
      <w:r>
        <w:rPr>
          <w:rFonts w:ascii="Times New Roman" w:cs="Times New Roman" w:eastAsia="Times New Roman" w:hAnsi="Times New Roman"/>
          <w:sz w:val="12"/>
          <w:szCs w:val="12"/>
          <w:b w:val="1"/>
          <w:bCs w:val="1"/>
          <w:color w:val="231F20"/>
        </w:rPr>
        <w:t>HER</w:t>
      </w:r>
      <w:r>
        <w:rPr>
          <w:rFonts w:ascii="Times New Roman" w:cs="Times New Roman" w:eastAsia="Times New Roman" w:hAnsi="Times New Roman"/>
          <w:sz w:val="12"/>
          <w:szCs w:val="12"/>
          <w:color w:val="231F20"/>
        </w:rPr>
        <w:t>”) family of receptor tyrosine kinases and is important for growth and survival of cancer stem cells, including those with rat sarcoma mutations, while LGR5 is a wingless-related integration site (“</w:t>
      </w:r>
      <w:r>
        <w:rPr>
          <w:rFonts w:ascii="Times New Roman" w:cs="Times New Roman" w:eastAsia="Times New Roman" w:hAnsi="Times New Roman"/>
          <w:sz w:val="12"/>
          <w:szCs w:val="12"/>
          <w:b w:val="1"/>
          <w:bCs w:val="1"/>
          <w:color w:val="231F20"/>
        </w:rPr>
        <w:t>WNT</w:t>
      </w:r>
      <w:r>
        <w:rPr>
          <w:rFonts w:ascii="Times New Roman" w:cs="Times New Roman" w:eastAsia="Times New Roman" w:hAnsi="Times New Roman"/>
          <w:sz w:val="12"/>
          <w:szCs w:val="12"/>
          <w:color w:val="231F20"/>
        </w:rPr>
        <w:t>”) target gene expressed in cancer cells with aberrations in the WNT signaling pathway and reported to be up-regulated in a variety of cancers including HNSCC, gastric cancer, NSCLC, colorectal cancer and hepatocellular carcinoma. Petosemtamab is designed to exhibit three independent mechanisms of action including inhibition of EGFR-associated signaling, LGR5 binding leading to EGFR internalization and degradation in cancer cells, and enhanced ADCC and antibody-dependent cellular phagocytosis activity. In November 2025, Merus announced that they had entered a global collaboration and license agreement with Halozyme to develop a SC formulation of petosemtamab.</w:t>
      </w:r>
    </w:p>
    <w:p>
      <w:pPr>
        <w:spacing w:after="0" w:line="1" w:lineRule="exact"/>
        <w:rPr>
          <w:sz w:val="20"/>
          <w:szCs w:val="20"/>
          <w:color w:val="auto"/>
        </w:rPr>
      </w:pPr>
    </w:p>
    <w:p>
      <w:pPr>
        <w:ind w:left="620" w:right="2300"/>
        <w:spacing w:after="0"/>
        <w:rPr>
          <w:sz w:val="20"/>
          <w:szCs w:val="20"/>
          <w:color w:val="auto"/>
        </w:rPr>
      </w:pPr>
      <w:r>
        <w:rPr>
          <w:rFonts w:ascii="Times New Roman" w:cs="Times New Roman" w:eastAsia="Times New Roman" w:hAnsi="Times New Roman"/>
          <w:sz w:val="12"/>
          <w:szCs w:val="12"/>
          <w:color w:val="231F20"/>
        </w:rPr>
        <w:t>In February 2025, the FDA granted BTD for petosemtamab in combination with pembrolizumab for the first-line treatment of adult patients with r/m PD-L1 positive HNSCC with combined positive score (“</w:t>
      </w:r>
      <w:r>
        <w:rPr>
          <w:rFonts w:ascii="Times New Roman" w:cs="Times New Roman" w:eastAsia="Times New Roman" w:hAnsi="Times New Roman"/>
          <w:sz w:val="12"/>
          <w:szCs w:val="12"/>
          <w:b w:val="1"/>
          <w:bCs w:val="1"/>
          <w:color w:val="231F20"/>
        </w:rPr>
        <w:t>CPS</w:t>
      </w:r>
      <w:r>
        <w:rPr>
          <w:rFonts w:ascii="Times New Roman" w:cs="Times New Roman" w:eastAsia="Times New Roman" w:hAnsi="Times New Roman"/>
          <w:sz w:val="12"/>
          <w:szCs w:val="12"/>
          <w:color w:val="231F20"/>
        </w:rPr>
        <w:t>”) ≥ 1. In May 2024, the FDA granted BTD for petosemtamab for the treatment of patients with r/m HNSCC whose disease has progressed following treatment with platinum based chemotherapy and an anti-PD - 1 or anti- PD -L1 antibody. This designation followed receipt of FTD for petosemtamab for the treatment of patients with r/m HNSCC whose disease has progressed following treatment with platinum-based chemotherapy and an antiprogrammed cell death protein 1 antibody announced in August 2023.</w:t>
      </w:r>
    </w:p>
    <w:p>
      <w:pPr>
        <w:spacing w:after="0" w:line="38"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 xml:space="preserve">Initial clinical data on petosemtamab in mCRC, from the </w:t>
      </w:r>
      <w:r>
        <w:rPr>
          <w:rFonts w:ascii="Times New Roman" w:cs="Times New Roman" w:eastAsia="Times New Roman" w:hAnsi="Times New Roman"/>
          <w:sz w:val="12"/>
          <w:szCs w:val="12"/>
          <w:color w:val="000000"/>
        </w:rPr>
        <w:t>Phase II study of other advanced solid tumors, including</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 xml:space="preserve">mCRC, </w:t>
      </w:r>
      <w:r>
        <w:rPr>
          <w:rFonts w:ascii="Times New Roman" w:cs="Times New Roman" w:eastAsia="Times New Roman" w:hAnsi="Times New Roman"/>
          <w:sz w:val="12"/>
          <w:szCs w:val="12"/>
          <w:color w:val="231F20"/>
        </w:rPr>
        <w:t>was presented in October 2025 at the at the AACR-NCI-EORTC International Conference on Molecular Targets</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and Cancer Therapeutics. Petosemtamab in combination with chemotherapy regimens leucovorin, 5-Fluorouracil, and oxaliplatin / leucovorin, 5 - Fluorouracil, and irinotecan (“</w:t>
      </w:r>
      <w:r>
        <w:rPr>
          <w:rFonts w:ascii="Times New Roman" w:cs="Times New Roman" w:eastAsia="Times New Roman" w:hAnsi="Times New Roman"/>
          <w:sz w:val="12"/>
          <w:szCs w:val="12"/>
          <w:b w:val="1"/>
          <w:bCs w:val="1"/>
          <w:color w:val="231F20"/>
        </w:rPr>
        <w:t>FOLFIRI</w:t>
      </w:r>
      <w:r>
        <w:rPr>
          <w:rFonts w:ascii="Times New Roman" w:cs="Times New Roman" w:eastAsia="Times New Roman" w:hAnsi="Times New Roman"/>
          <w:sz w:val="12"/>
          <w:szCs w:val="12"/>
          <w:color w:val="231F20"/>
        </w:rPr>
        <w:t>”) and as monotherapy demonstrated promising efficacy and a well tolerated safety profile in mCRC. In December 2025, a Phase II trial was initiated in adults with metastatic NSCLC of petosemtamab in combination with pembrolizumab as first line treatment.</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Ongoing Phase III Trials</w:t>
      </w:r>
    </w:p>
    <w:p>
      <w:pPr>
        <w:ind w:left="620" w:right="2360"/>
        <w:spacing w:after="0"/>
        <w:rPr>
          <w:sz w:val="20"/>
          <w:szCs w:val="20"/>
          <w:color w:val="auto"/>
        </w:rPr>
      </w:pPr>
      <w:r>
        <w:rPr>
          <w:rFonts w:ascii="Times New Roman" w:cs="Times New Roman" w:eastAsia="Times New Roman" w:hAnsi="Times New Roman"/>
          <w:sz w:val="12"/>
          <w:szCs w:val="12"/>
          <w:color w:val="231F20"/>
        </w:rPr>
        <w:t>Top line interim readout results are anticipated for LiGeR- HN1, LiGeR-HN2 or both in 2026. LiGeR-HN1 is a Phase III, randomized, open-label trial to evaluate the safety and efficacy of petosemtamab in combination with pembrolizumab compared to pembrolizumab in first- line treatment of r/m PD-L1 positive HNSCC. The trial is currently recruiting.</w:t>
      </w:r>
    </w:p>
    <w:p>
      <w:pPr>
        <w:sectPr>
          <w:pgSz w:w="11900" w:h="16840" w:orient="portrait"/>
          <w:cols w:equalWidth="0" w:num="1">
            <w:col w:w="9020"/>
          </w:cols>
          <w:pgMar w:left="1440" w:top="559" w:right="1440"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2"/>
          <w:szCs w:val="12"/>
          <w:color w:val="auto"/>
        </w:rPr>
        <w:t>49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LiGeR-HN2 is a Phase III, randomized, open- label, controlled, multicenter trial to compare petosemtamab versus investigator's choice monotherapy in HNSCC patients for the second- and third- line treatment of incurable r/m disease. The trial is currently recruiting.</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Royalty Medicines Portfolio</w:t>
      </w:r>
      <w:r>
        <w:rPr>
          <w:rFonts w:ascii="Times New Roman" w:cs="Times New Roman" w:eastAsia="Times New Roman" w:hAnsi="Times New Roman"/>
          <w:sz w:val="8"/>
          <w:szCs w:val="8"/>
          <w:b w:val="1"/>
          <w:bCs w:val="1"/>
          <w:color w:val="auto"/>
        </w:rPr>
        <w:t>1</w:t>
      </w:r>
    </w:p>
    <w:p>
      <w:pPr>
        <w:ind w:left="620"/>
        <w:spacing w:after="0" w:line="232" w:lineRule="auto"/>
        <w:rPr>
          <w:sz w:val="20"/>
          <w:szCs w:val="20"/>
          <w:color w:val="auto"/>
        </w:rPr>
      </w:pPr>
      <w:r>
        <w:rPr>
          <w:rFonts w:ascii="Times New Roman" w:cs="Times New Roman" w:eastAsia="Times New Roman" w:hAnsi="Times New Roman"/>
          <w:sz w:val="12"/>
          <w:szCs w:val="12"/>
          <w:b w:val="1"/>
          <w:bCs w:val="1"/>
          <w:i w:val="1"/>
          <w:iCs w:val="1"/>
          <w:color w:val="auto"/>
        </w:rPr>
        <w:t>Approved Medicines</w:t>
      </w:r>
    </w:p>
    <w:tbl>
      <w:tblPr>
        <w:tblLayout w:type="fixed"/>
        <w:tblInd w:w="620" w:type="dxa"/>
        <w:tblCellMar>
          <w:top w:w="0" w:type="dxa"/>
          <w:left w:w="0" w:type="dxa"/>
          <w:bottom w:w="0" w:type="dxa"/>
          <w:right w:w="0" w:type="dxa"/>
        </w:tblCellMar>
      </w:tblPr>
      <w:tr>
        <w:trPr>
          <w:trHeight w:val="111"/>
        </w:trPr>
        <w:tc>
          <w:tcPr>
            <w:tcW w:w="204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Approved Product</w:t>
            </w:r>
          </w:p>
        </w:tc>
        <w:tc>
          <w:tcPr>
            <w:tcW w:w="1920" w:type="dxa"/>
            <w:vAlign w:val="bottom"/>
          </w:tcPr>
          <w:p>
            <w:pPr>
              <w:ind w:left="120"/>
              <w:spacing w:after="0" w:line="111" w:lineRule="exact"/>
              <w:rPr>
                <w:sz w:val="20"/>
                <w:szCs w:val="20"/>
                <w:color w:val="auto"/>
              </w:rPr>
            </w:pPr>
            <w:r>
              <w:rPr>
                <w:rFonts w:ascii="Times New Roman" w:cs="Times New Roman" w:eastAsia="Times New Roman" w:hAnsi="Times New Roman"/>
                <w:sz w:val="12"/>
                <w:szCs w:val="12"/>
                <w:b w:val="1"/>
                <w:bCs w:val="1"/>
                <w:color w:val="auto"/>
              </w:rPr>
              <w:t>Discovered and/or Developed &amp;</w:t>
            </w:r>
          </w:p>
        </w:tc>
        <w:tc>
          <w:tcPr>
            <w:tcW w:w="2060" w:type="dxa"/>
            <w:vAlign w:val="bottom"/>
          </w:tcPr>
          <w:p>
            <w:pPr>
              <w:ind w:left="80"/>
              <w:spacing w:after="0" w:line="111" w:lineRule="exact"/>
              <w:rPr>
                <w:sz w:val="20"/>
                <w:szCs w:val="20"/>
                <w:color w:val="auto"/>
              </w:rPr>
            </w:pPr>
            <w:r>
              <w:rPr>
                <w:rFonts w:ascii="Times New Roman" w:cs="Times New Roman" w:eastAsia="Times New Roman" w:hAnsi="Times New Roman"/>
                <w:sz w:val="12"/>
                <w:szCs w:val="12"/>
                <w:b w:val="1"/>
                <w:bCs w:val="1"/>
                <w:color w:val="auto"/>
              </w:rPr>
              <w:t xml:space="preserve">Disease Indication(s) </w:t>
            </w: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72"/>
        </w:trPr>
        <w:tc>
          <w:tcPr>
            <w:tcW w:w="2040" w:type="dxa"/>
            <w:vAlign w:val="bottom"/>
            <w:tcBorders>
              <w:bottom w:val="single" w:sz="8" w:color="5B9BD5"/>
            </w:tcBorders>
          </w:tcPr>
          <w:p>
            <w:pPr>
              <w:spacing w:after="0"/>
              <w:rPr>
                <w:sz w:val="14"/>
                <w:szCs w:val="14"/>
                <w:color w:val="auto"/>
              </w:rPr>
            </w:pPr>
          </w:p>
        </w:tc>
        <w:tc>
          <w:tcPr>
            <w:tcW w:w="1920" w:type="dxa"/>
            <w:vAlign w:val="bottom"/>
            <w:tcBorders>
              <w:bottom w:val="single" w:sz="8" w:color="5B9BD5"/>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Marketed By</w:t>
            </w:r>
          </w:p>
        </w:tc>
        <w:tc>
          <w:tcPr>
            <w:tcW w:w="2060" w:type="dxa"/>
            <w:vAlign w:val="bottom"/>
            <w:tcBorders>
              <w:bottom w:val="single" w:sz="8" w:color="5B9BD5"/>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40" w:type="dxa"/>
            <w:vAlign w:val="bottom"/>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DARZALEX</w:t>
            </w:r>
          </w:p>
        </w:tc>
        <w:tc>
          <w:tcPr>
            <w:tcW w:w="1920" w:type="dxa"/>
            <w:vAlign w:val="bottom"/>
          </w:tcPr>
          <w:p>
            <w:pPr>
              <w:ind w:left="120"/>
              <w:spacing w:after="0" w:line="113" w:lineRule="exact"/>
              <w:rPr>
                <w:sz w:val="20"/>
                <w:szCs w:val="20"/>
                <w:color w:val="auto"/>
              </w:rPr>
            </w:pPr>
            <w:r>
              <w:rPr>
                <w:rFonts w:ascii="Times New Roman" w:cs="Times New Roman" w:eastAsia="Times New Roman" w:hAnsi="Times New Roman"/>
                <w:sz w:val="12"/>
                <w:szCs w:val="12"/>
                <w:color w:val="auto"/>
              </w:rPr>
              <w:t>J&amp;J (Royalties to Genmab on</w:t>
            </w:r>
          </w:p>
        </w:tc>
        <w:tc>
          <w:tcPr>
            <w:tcW w:w="2060" w:type="dxa"/>
            <w:vAlign w:val="bottom"/>
          </w:tcPr>
          <w:p>
            <w:pPr>
              <w:ind w:left="80"/>
              <w:spacing w:after="0" w:line="113" w:lineRule="exact"/>
              <w:rPr>
                <w:sz w:val="20"/>
                <w:szCs w:val="20"/>
                <w:color w:val="auto"/>
              </w:rPr>
            </w:pPr>
            <w:r>
              <w:rPr>
                <w:rFonts w:ascii="Times New Roman" w:cs="Times New Roman" w:eastAsia="Times New Roman" w:hAnsi="Times New Roman"/>
                <w:sz w:val="12"/>
                <w:szCs w:val="12"/>
                <w:color w:val="auto"/>
              </w:rPr>
              <w:t>MM</w:t>
            </w:r>
          </w:p>
        </w:tc>
        <w:tc>
          <w:tcPr>
            <w:tcW w:w="0" w:type="dxa"/>
            <w:vAlign w:val="bottom"/>
          </w:tcPr>
          <w:p>
            <w:pPr>
              <w:spacing w:after="0"/>
              <w:rPr>
                <w:sz w:val="1"/>
                <w:szCs w:val="1"/>
                <w:color w:val="auto"/>
              </w:rPr>
            </w:pPr>
          </w:p>
        </w:tc>
      </w:tr>
      <w:tr>
        <w:trPr>
          <w:trHeight w:val="124"/>
        </w:trPr>
        <w:tc>
          <w:tcPr>
            <w:tcW w:w="20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(daratumumab)/</w:t>
            </w:r>
            <w:r>
              <w:rPr>
                <w:rFonts w:ascii="Times New Roman" w:cs="Times New Roman" w:eastAsia="Times New Roman" w:hAnsi="Times New Roman"/>
                <w:sz w:val="12"/>
                <w:szCs w:val="12"/>
                <w:b w:val="1"/>
                <w:bCs w:val="1"/>
                <w:color w:val="auto"/>
              </w:rPr>
              <w:t>DARZALEX</w:t>
            </w:r>
          </w:p>
        </w:tc>
        <w:tc>
          <w:tcPr>
            <w:tcW w:w="192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global net sales)</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i w:val="1"/>
                <w:iCs w:val="1"/>
                <w:color w:val="auto"/>
              </w:rPr>
              <w:t xml:space="preserve">FASPRO </w:t>
            </w:r>
            <w:r>
              <w:rPr>
                <w:rFonts w:ascii="Times New Roman" w:cs="Times New Roman" w:eastAsia="Times New Roman" w:hAnsi="Times New Roman"/>
                <w:sz w:val="12"/>
                <w:szCs w:val="12"/>
                <w:color w:val="auto"/>
              </w:rPr>
              <w:t>(daratumumab and</w:t>
            </w:r>
          </w:p>
        </w:tc>
        <w:tc>
          <w:tcPr>
            <w:tcW w:w="1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hyaluronidase-fihj)</w:t>
            </w:r>
          </w:p>
        </w:tc>
        <w:tc>
          <w:tcPr>
            <w:tcW w:w="1920" w:type="dxa"/>
            <w:vAlign w:val="bottom"/>
          </w:tcPr>
          <w:p>
            <w:pPr>
              <w:spacing w:after="0"/>
              <w:rPr>
                <w:sz w:val="13"/>
                <w:szCs w:val="13"/>
                <w:color w:val="auto"/>
              </w:rPr>
            </w:pPr>
          </w:p>
        </w:tc>
        <w:tc>
          <w:tcPr>
            <w:tcW w:w="20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AL Amyloidosis</w:t>
            </w:r>
          </w:p>
        </w:tc>
        <w:tc>
          <w:tcPr>
            <w:tcW w:w="0" w:type="dxa"/>
            <w:vAlign w:val="bottom"/>
          </w:tcPr>
          <w:p>
            <w:pPr>
              <w:spacing w:after="0"/>
              <w:rPr>
                <w:sz w:val="1"/>
                <w:szCs w:val="1"/>
                <w:color w:val="auto"/>
              </w:rPr>
            </w:pPr>
          </w:p>
        </w:tc>
      </w:tr>
      <w:tr>
        <w:trPr>
          <w:trHeight w:val="76"/>
        </w:trPr>
        <w:tc>
          <w:tcPr>
            <w:tcW w:w="20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40" w:type="dxa"/>
            <w:vAlign w:val="bottom"/>
            <w:tcBorders>
              <w:bottom w:val="single" w:sz="8" w:color="5B9BD5"/>
            </w:tcBorders>
          </w:tcPr>
          <w:p>
            <w:pPr>
              <w:spacing w:after="0"/>
              <w:rPr>
                <w:sz w:val="2"/>
                <w:szCs w:val="2"/>
                <w:color w:val="auto"/>
              </w:rPr>
            </w:pPr>
          </w:p>
        </w:tc>
        <w:tc>
          <w:tcPr>
            <w:tcW w:w="1920" w:type="dxa"/>
            <w:vAlign w:val="bottom"/>
            <w:tcBorders>
              <w:bottom w:val="single" w:sz="8" w:color="5B9BD5"/>
            </w:tcBorders>
          </w:tcPr>
          <w:p>
            <w:pPr>
              <w:spacing w:after="0"/>
              <w:rPr>
                <w:sz w:val="2"/>
                <w:szCs w:val="2"/>
                <w:color w:val="auto"/>
              </w:rPr>
            </w:pPr>
          </w:p>
        </w:tc>
        <w:tc>
          <w:tcPr>
            <w:tcW w:w="2060" w:type="dxa"/>
            <w:vAlign w:val="bottom"/>
            <w:tcBorders>
              <w:bottom w:val="single" w:sz="8" w:color="5B9BD5"/>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204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RYBREVANT</w:t>
            </w:r>
          </w:p>
        </w:tc>
        <w:tc>
          <w:tcPr>
            <w:tcW w:w="192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auto"/>
              </w:rPr>
              <w:t>J&amp;J (Royalties to Genmab on</w:t>
            </w:r>
          </w:p>
        </w:tc>
        <w:tc>
          <w:tcPr>
            <w:tcW w:w="206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auto"/>
              </w:rPr>
              <w:t>Advanced NSCLC with certain</w:t>
            </w:r>
          </w:p>
        </w:tc>
        <w:tc>
          <w:tcPr>
            <w:tcW w:w="0" w:type="dxa"/>
            <w:vAlign w:val="bottom"/>
          </w:tcPr>
          <w:p>
            <w:pPr>
              <w:spacing w:after="0"/>
              <w:rPr>
                <w:sz w:val="1"/>
                <w:szCs w:val="1"/>
                <w:color w:val="auto"/>
              </w:rPr>
            </w:pPr>
          </w:p>
        </w:tc>
      </w:tr>
      <w:tr>
        <w:trPr>
          <w:trHeight w:val="124"/>
        </w:trPr>
        <w:tc>
          <w:tcPr>
            <w:tcW w:w="20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(amivantamab/amivantamab-vmjw)/</w:t>
            </w:r>
          </w:p>
        </w:tc>
        <w:tc>
          <w:tcPr>
            <w:tcW w:w="192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global net sales)</w:t>
            </w:r>
          </w:p>
        </w:tc>
        <w:tc>
          <w:tcPr>
            <w:tcW w:w="2060" w:type="dxa"/>
            <w:vAlign w:val="bottom"/>
          </w:tcPr>
          <w:p>
            <w:pPr>
              <w:ind w:left="80"/>
              <w:spacing w:after="0" w:line="124" w:lineRule="exact"/>
              <w:rPr>
                <w:sz w:val="20"/>
                <w:szCs w:val="20"/>
                <w:color w:val="auto"/>
              </w:rPr>
            </w:pPr>
            <w:r>
              <w:rPr>
                <w:rFonts w:ascii="Times New Roman" w:cs="Times New Roman" w:eastAsia="Times New Roman" w:hAnsi="Times New Roman"/>
                <w:sz w:val="12"/>
                <w:szCs w:val="12"/>
                <w:color w:val="auto"/>
              </w:rPr>
              <w:t>EGFR mutations</w:t>
            </w:r>
          </w:p>
        </w:tc>
        <w:tc>
          <w:tcPr>
            <w:tcW w:w="0" w:type="dxa"/>
            <w:vAlign w:val="bottom"/>
          </w:tcPr>
          <w:p>
            <w:pPr>
              <w:spacing w:after="0"/>
              <w:rPr>
                <w:sz w:val="1"/>
                <w:szCs w:val="1"/>
                <w:color w:val="auto"/>
              </w:rPr>
            </w:pPr>
          </w:p>
        </w:tc>
      </w:tr>
      <w:tr>
        <w:trPr>
          <w:trHeight w:val="124"/>
        </w:trPr>
        <w:tc>
          <w:tcPr>
            <w:tcW w:w="20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 xml:space="preserve">RYBREVANT </w:t>
            </w:r>
            <w:r>
              <w:rPr>
                <w:rFonts w:ascii="Times New Roman" w:cs="Times New Roman" w:eastAsia="Times New Roman" w:hAnsi="Times New Roman"/>
                <w:sz w:val="12"/>
                <w:szCs w:val="12"/>
                <w:b w:val="1"/>
                <w:bCs w:val="1"/>
                <w:i w:val="1"/>
                <w:iCs w:val="1"/>
                <w:color w:val="auto"/>
              </w:rPr>
              <w:t>FASPRO</w:t>
            </w:r>
          </w:p>
        </w:tc>
        <w:tc>
          <w:tcPr>
            <w:tcW w:w="1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(amivantamab and hyaluronidase-lpuj)</w:t>
            </w:r>
          </w:p>
        </w:tc>
        <w:tc>
          <w:tcPr>
            <w:tcW w:w="1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40" w:type="dxa"/>
            <w:vAlign w:val="bottom"/>
            <w:tcBorders>
              <w:bottom w:val="single" w:sz="8" w:color="5B9BD5"/>
            </w:tcBorders>
          </w:tcPr>
          <w:p>
            <w:pPr>
              <w:spacing w:after="0"/>
              <w:rPr>
                <w:sz w:val="9"/>
                <w:szCs w:val="9"/>
                <w:color w:val="auto"/>
              </w:rPr>
            </w:pPr>
          </w:p>
        </w:tc>
        <w:tc>
          <w:tcPr>
            <w:tcW w:w="1920" w:type="dxa"/>
            <w:vAlign w:val="bottom"/>
            <w:tcBorders>
              <w:bottom w:val="single" w:sz="8" w:color="5B9BD5"/>
            </w:tcBorders>
          </w:tcPr>
          <w:p>
            <w:pPr>
              <w:spacing w:after="0"/>
              <w:rPr>
                <w:sz w:val="9"/>
                <w:szCs w:val="9"/>
                <w:color w:val="auto"/>
              </w:rPr>
            </w:pPr>
          </w:p>
        </w:tc>
        <w:tc>
          <w:tcPr>
            <w:tcW w:w="2060" w:type="dxa"/>
            <w:vAlign w:val="bottom"/>
            <w:tcBorders>
              <w:bottom w:val="single" w:sz="8" w:color="5B9BD5"/>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4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TECVAYLI</w:t>
            </w:r>
          </w:p>
        </w:tc>
        <w:tc>
          <w:tcPr>
            <w:tcW w:w="192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auto"/>
              </w:rPr>
              <w:t>J&amp;J (Royalties to Genmab on</w:t>
            </w:r>
          </w:p>
        </w:tc>
        <w:tc>
          <w:tcPr>
            <w:tcW w:w="206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auto"/>
              </w:rPr>
              <w:t>R/R MM</w:t>
            </w:r>
          </w:p>
        </w:tc>
        <w:tc>
          <w:tcPr>
            <w:tcW w:w="0" w:type="dxa"/>
            <w:vAlign w:val="bottom"/>
          </w:tcPr>
          <w:p>
            <w:pPr>
              <w:spacing w:after="0"/>
              <w:rPr>
                <w:sz w:val="1"/>
                <w:szCs w:val="1"/>
                <w:color w:val="auto"/>
              </w:rPr>
            </w:pPr>
          </w:p>
        </w:tc>
      </w:tr>
      <w:tr>
        <w:trPr>
          <w:trHeight w:val="160"/>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(teclistamab/teclistamab-cqyv)</w:t>
            </w:r>
          </w:p>
        </w:tc>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global net sales)</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40" w:type="dxa"/>
            <w:vAlign w:val="bottom"/>
            <w:tcBorders>
              <w:bottom w:val="single" w:sz="8" w:color="5B9BD5"/>
            </w:tcBorders>
          </w:tcPr>
          <w:p>
            <w:pPr>
              <w:spacing w:after="0"/>
              <w:rPr>
                <w:sz w:val="4"/>
                <w:szCs w:val="4"/>
                <w:color w:val="auto"/>
              </w:rPr>
            </w:pPr>
          </w:p>
        </w:tc>
        <w:tc>
          <w:tcPr>
            <w:tcW w:w="1920" w:type="dxa"/>
            <w:vAlign w:val="bottom"/>
            <w:tcBorders>
              <w:bottom w:val="single" w:sz="8" w:color="5B9BD5"/>
            </w:tcBorders>
          </w:tcPr>
          <w:p>
            <w:pPr>
              <w:spacing w:after="0"/>
              <w:rPr>
                <w:sz w:val="4"/>
                <w:szCs w:val="4"/>
                <w:color w:val="auto"/>
              </w:rPr>
            </w:pPr>
          </w:p>
        </w:tc>
        <w:tc>
          <w:tcPr>
            <w:tcW w:w="2060" w:type="dxa"/>
            <w:vAlign w:val="bottom"/>
            <w:tcBorders>
              <w:bottom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4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TALVEY</w:t>
            </w:r>
          </w:p>
        </w:tc>
        <w:tc>
          <w:tcPr>
            <w:tcW w:w="192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auto"/>
              </w:rPr>
              <w:t>J&amp;J (Royalties to Genmab on</w:t>
            </w:r>
          </w:p>
        </w:tc>
        <w:tc>
          <w:tcPr>
            <w:tcW w:w="206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auto"/>
              </w:rPr>
              <w:t>R/R MM</w:t>
            </w:r>
          </w:p>
        </w:tc>
        <w:tc>
          <w:tcPr>
            <w:tcW w:w="0" w:type="dxa"/>
            <w:vAlign w:val="bottom"/>
          </w:tcPr>
          <w:p>
            <w:pPr>
              <w:spacing w:after="0"/>
              <w:rPr>
                <w:sz w:val="1"/>
                <w:szCs w:val="1"/>
                <w:color w:val="auto"/>
              </w:rPr>
            </w:pPr>
          </w:p>
        </w:tc>
      </w:tr>
      <w:tr>
        <w:trPr>
          <w:trHeight w:val="160"/>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(talquetamab/talquetamab-tgvs)</w:t>
            </w:r>
          </w:p>
        </w:tc>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global net sales)</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40" w:type="dxa"/>
            <w:vAlign w:val="bottom"/>
            <w:tcBorders>
              <w:bottom w:val="single" w:sz="8" w:color="5B9BD5"/>
            </w:tcBorders>
          </w:tcPr>
          <w:p>
            <w:pPr>
              <w:spacing w:after="0"/>
              <w:rPr>
                <w:sz w:val="4"/>
                <w:szCs w:val="4"/>
                <w:color w:val="auto"/>
              </w:rPr>
            </w:pPr>
          </w:p>
        </w:tc>
        <w:tc>
          <w:tcPr>
            <w:tcW w:w="1920" w:type="dxa"/>
            <w:vAlign w:val="bottom"/>
            <w:tcBorders>
              <w:bottom w:val="single" w:sz="8" w:color="5B9BD5"/>
            </w:tcBorders>
          </w:tcPr>
          <w:p>
            <w:pPr>
              <w:spacing w:after="0"/>
              <w:rPr>
                <w:sz w:val="4"/>
                <w:szCs w:val="4"/>
                <w:color w:val="auto"/>
              </w:rPr>
            </w:pPr>
          </w:p>
        </w:tc>
        <w:tc>
          <w:tcPr>
            <w:tcW w:w="2060" w:type="dxa"/>
            <w:vAlign w:val="bottom"/>
            <w:tcBorders>
              <w:bottom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4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Kesimpta</w:t>
            </w:r>
          </w:p>
        </w:tc>
        <w:tc>
          <w:tcPr>
            <w:tcW w:w="192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auto"/>
              </w:rPr>
              <w:t>Novartis (Royalties to Genmab on</w:t>
            </w:r>
          </w:p>
        </w:tc>
        <w:tc>
          <w:tcPr>
            <w:tcW w:w="206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auto"/>
              </w:rPr>
              <w:t>Relapsing multiple sclerosis (RMS)</w:t>
            </w:r>
          </w:p>
        </w:tc>
        <w:tc>
          <w:tcPr>
            <w:tcW w:w="0" w:type="dxa"/>
            <w:vAlign w:val="bottom"/>
          </w:tcPr>
          <w:p>
            <w:pPr>
              <w:spacing w:after="0"/>
              <w:rPr>
                <w:sz w:val="1"/>
                <w:szCs w:val="1"/>
                <w:color w:val="auto"/>
              </w:rPr>
            </w:pPr>
          </w:p>
        </w:tc>
      </w:tr>
      <w:tr>
        <w:trPr>
          <w:trHeight w:val="160"/>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(ofatumumab)</w:t>
            </w:r>
          </w:p>
        </w:tc>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global net sales)</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40" w:type="dxa"/>
            <w:vAlign w:val="bottom"/>
            <w:tcBorders>
              <w:bottom w:val="single" w:sz="8" w:color="5B9BD5"/>
            </w:tcBorders>
          </w:tcPr>
          <w:p>
            <w:pPr>
              <w:spacing w:after="0"/>
              <w:rPr>
                <w:sz w:val="4"/>
                <w:szCs w:val="4"/>
                <w:color w:val="auto"/>
              </w:rPr>
            </w:pPr>
          </w:p>
        </w:tc>
        <w:tc>
          <w:tcPr>
            <w:tcW w:w="1920" w:type="dxa"/>
            <w:vAlign w:val="bottom"/>
            <w:tcBorders>
              <w:bottom w:val="single" w:sz="8" w:color="5B9BD5"/>
            </w:tcBorders>
          </w:tcPr>
          <w:p>
            <w:pPr>
              <w:spacing w:after="0"/>
              <w:rPr>
                <w:sz w:val="4"/>
                <w:szCs w:val="4"/>
                <w:color w:val="auto"/>
              </w:rPr>
            </w:pPr>
          </w:p>
        </w:tc>
        <w:tc>
          <w:tcPr>
            <w:tcW w:w="2060" w:type="dxa"/>
            <w:vAlign w:val="bottom"/>
            <w:tcBorders>
              <w:bottom w:val="single" w:sz="8" w:color="5B9BD5"/>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4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TEPEZZA</w:t>
            </w:r>
          </w:p>
        </w:tc>
        <w:tc>
          <w:tcPr>
            <w:tcW w:w="192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auto"/>
              </w:rPr>
              <w:t>Amgen (Under sublicense from</w:t>
            </w:r>
          </w:p>
        </w:tc>
        <w:tc>
          <w:tcPr>
            <w:tcW w:w="206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auto"/>
              </w:rPr>
              <w:t>TED</w:t>
            </w:r>
          </w:p>
        </w:tc>
        <w:tc>
          <w:tcPr>
            <w:tcW w:w="0" w:type="dxa"/>
            <w:vAlign w:val="bottom"/>
          </w:tcPr>
          <w:p>
            <w:pPr>
              <w:spacing w:after="0"/>
              <w:rPr>
                <w:sz w:val="1"/>
                <w:szCs w:val="1"/>
                <w:color w:val="auto"/>
              </w:rPr>
            </w:pPr>
          </w:p>
        </w:tc>
      </w:tr>
      <w:tr>
        <w:trPr>
          <w:trHeight w:val="124"/>
        </w:trPr>
        <w:tc>
          <w:tcPr>
            <w:tcW w:w="20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(teprotumumab-trbw)</w:t>
            </w:r>
          </w:p>
        </w:tc>
        <w:tc>
          <w:tcPr>
            <w:tcW w:w="192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Roche, royalties to Genmab on</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global net sales)</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40" w:orient="portrait"/>
          <w:cols w:equalWidth="0" w:num="1">
            <w:col w:w="9020"/>
          </w:cols>
          <w:pgMar w:left="1440" w:top="721" w:right="1440" w:bottom="51" w:gutter="0" w:footer="0" w:header="0"/>
        </w:sectPr>
      </w:pPr>
    </w:p>
    <w:p>
      <w:pPr>
        <w:ind w:left="640"/>
        <w:spacing w:after="0"/>
        <w:tabs>
          <w:tab w:leader="none" w:pos="2760" w:val="left"/>
        </w:tabs>
        <w:rPr>
          <w:sz w:val="20"/>
          <w:szCs w:val="20"/>
          <w:color w:val="auto"/>
        </w:rPr>
      </w:pPr>
      <w:r>
        <w:rPr>
          <w:rFonts w:ascii="Times New Roman" w:cs="Times New Roman" w:eastAsia="Times New Roman" w:hAnsi="Times New Roman"/>
          <w:sz w:val="12"/>
          <w:szCs w:val="12"/>
          <w:b w:val="1"/>
          <w:bCs w:val="1"/>
          <w:color w:val="auto"/>
        </w:rPr>
        <w:t>BIZENGRI</w:t>
      </w:r>
      <w:r>
        <w:rPr>
          <w:sz w:val="20"/>
          <w:szCs w:val="20"/>
          <w:color w:val="auto"/>
        </w:rPr>
        <w:tab/>
      </w:r>
      <w:r>
        <w:rPr>
          <w:rFonts w:ascii="Times New Roman" w:cs="Times New Roman" w:eastAsia="Times New Roman" w:hAnsi="Times New Roman"/>
          <w:sz w:val="12"/>
          <w:szCs w:val="12"/>
          <w:color w:val="auto"/>
        </w:rPr>
        <w:t>Partner Therapeutics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-85090</wp:posOffset>
            </wp:positionV>
            <wp:extent cx="38195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19525" cy="6350"/>
                    </a:xfrm>
                    <a:prstGeom prst="rect">
                      <a:avLst/>
                    </a:prstGeom>
                    <a:noFill/>
                  </pic:spPr>
                </pic:pic>
              </a:graphicData>
            </a:graphic>
          </wp:anchor>
        </w:drawing>
      </w:r>
    </w:p>
    <w:p>
      <w:pPr>
        <w:ind w:left="640"/>
        <w:spacing w:after="0" w:line="218" w:lineRule="auto"/>
        <w:tabs>
          <w:tab w:leader="none" w:pos="2760" w:val="left"/>
        </w:tabs>
        <w:rPr>
          <w:sz w:val="20"/>
          <w:szCs w:val="20"/>
          <w:color w:val="auto"/>
        </w:rPr>
      </w:pPr>
      <w:r>
        <w:rPr>
          <w:rFonts w:ascii="Times New Roman" w:cs="Times New Roman" w:eastAsia="Times New Roman" w:hAnsi="Times New Roman"/>
          <w:sz w:val="12"/>
          <w:szCs w:val="12"/>
          <w:color w:val="auto"/>
        </w:rPr>
        <w:t>(zenocutuzumab-zbco)</w:t>
      </w:r>
      <w:r>
        <w:rPr>
          <w:sz w:val="20"/>
          <w:szCs w:val="20"/>
          <w:color w:val="auto"/>
        </w:rPr>
        <w:tab/>
      </w:r>
      <w:r>
        <w:rPr>
          <w:rFonts w:ascii="Times New Roman" w:cs="Times New Roman" w:eastAsia="Times New Roman" w:hAnsi="Times New Roman"/>
          <w:sz w:val="12"/>
          <w:szCs w:val="12"/>
          <w:color w:val="auto"/>
        </w:rPr>
        <w:t>Genmab's acquisition of Merus,</w:t>
      </w:r>
    </w:p>
    <w:p>
      <w:pPr>
        <w:ind w:left="2780"/>
        <w:spacing w:after="0" w:line="215" w:lineRule="auto"/>
        <w:rPr>
          <w:sz w:val="20"/>
          <w:szCs w:val="20"/>
          <w:color w:val="auto"/>
        </w:rPr>
      </w:pPr>
      <w:r>
        <w:rPr>
          <w:rFonts w:ascii="Times New Roman" w:cs="Times New Roman" w:eastAsia="Times New Roman" w:hAnsi="Times New Roman"/>
          <w:sz w:val="12"/>
          <w:szCs w:val="12"/>
          <w:color w:val="auto"/>
        </w:rPr>
        <w:t>royalties to Genmab on US net</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Pancreatic adenocarcinoma and</w:t>
      </w:r>
    </w:p>
    <w:p>
      <w:pPr>
        <w:spacing w:after="0" w:line="215" w:lineRule="auto"/>
        <w:rPr>
          <w:sz w:val="20"/>
          <w:szCs w:val="20"/>
          <w:color w:val="auto"/>
        </w:rPr>
      </w:pPr>
      <w:r>
        <w:rPr>
          <w:rFonts w:ascii="Times New Roman" w:cs="Times New Roman" w:eastAsia="Times New Roman" w:hAnsi="Times New Roman"/>
          <w:sz w:val="12"/>
          <w:szCs w:val="12"/>
          <w:color w:val="auto"/>
        </w:rPr>
        <w:t>NSCLC that are advanced,</w:t>
      </w:r>
    </w:p>
    <w:p>
      <w:pPr>
        <w:spacing w:after="0" w:line="215" w:lineRule="auto"/>
        <w:rPr>
          <w:sz w:val="20"/>
          <w:szCs w:val="20"/>
          <w:color w:val="auto"/>
        </w:rPr>
      </w:pPr>
      <w:r>
        <w:rPr>
          <w:rFonts w:ascii="Times New Roman" w:cs="Times New Roman" w:eastAsia="Times New Roman" w:hAnsi="Times New Roman"/>
          <w:sz w:val="12"/>
          <w:szCs w:val="12"/>
          <w:color w:val="auto"/>
        </w:rPr>
        <w:t>unresectable or metastatic and</w:t>
      </w:r>
    </w:p>
    <w:p>
      <w:pPr>
        <w:spacing w:after="0"/>
        <w:rPr>
          <w:sz w:val="20"/>
          <w:szCs w:val="20"/>
          <w:color w:val="auto"/>
        </w:rPr>
      </w:pPr>
      <w:r>
        <w:rPr>
          <w:rFonts w:ascii="Times New Roman" w:cs="Times New Roman" w:eastAsia="Times New Roman" w:hAnsi="Times New Roman"/>
          <w:sz w:val="12"/>
          <w:szCs w:val="12"/>
          <w:color w:val="auto"/>
        </w:rPr>
        <w:t>harbor NRG1 gene fusions</w:t>
      </w:r>
    </w:p>
    <w:p>
      <w:pPr>
        <w:spacing w:after="0" w:line="19" w:lineRule="exact"/>
        <w:rPr>
          <w:sz w:val="20"/>
          <w:szCs w:val="20"/>
          <w:color w:val="auto"/>
        </w:rPr>
      </w:pPr>
    </w:p>
    <w:p>
      <w:pPr>
        <w:sectPr>
          <w:pgSz w:w="11900" w:h="16840" w:orient="portrait"/>
          <w:cols w:equalWidth="0" w:num="2">
            <w:col w:w="4340" w:space="320"/>
            <w:col w:w="4360"/>
          </w:cols>
          <w:pgMar w:left="1440" w:top="721" w:right="1440" w:bottom="51" w:gutter="0" w:footer="0" w:header="0"/>
          <w:type w:val="continuous"/>
        </w:sectPr>
      </w:pPr>
    </w:p>
    <w:p>
      <w:pPr>
        <w:ind w:left="620" w:right="2320"/>
        <w:spacing w:after="0" w:line="227"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2"/>
          <w:szCs w:val="12"/>
          <w:color w:val="auto"/>
        </w:rPr>
        <w:t>Approved and investigational medicines under development and where relevant commercialized by a company other than</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2"/>
          <w:szCs w:val="12"/>
          <w:color w:val="auto"/>
        </w:rPr>
        <w:t>Genmab for which we receive royalties.</w:t>
      </w:r>
    </w:p>
    <w:p>
      <w:pPr>
        <w:ind w:left="620"/>
        <w:spacing w:after="0" w:line="215" w:lineRule="auto"/>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2"/>
          <w:szCs w:val="12"/>
          <w:color w:val="auto"/>
        </w:rPr>
        <w:t>See local prescribing information for precise indication and safety information.</w:t>
      </w:r>
    </w:p>
    <w:p>
      <w:pPr>
        <w:ind w:left="620"/>
        <w:spacing w:after="0" w:line="236" w:lineRule="auto"/>
        <w:rPr>
          <w:sz w:val="20"/>
          <w:szCs w:val="20"/>
          <w:color w:val="auto"/>
        </w:rPr>
      </w:pPr>
      <w:r>
        <w:rPr>
          <w:rFonts w:ascii="Times New Roman" w:cs="Times New Roman" w:eastAsia="Times New Roman" w:hAnsi="Times New Roman"/>
          <w:sz w:val="12"/>
          <w:szCs w:val="12"/>
          <w:b w:val="1"/>
          <w:bCs w:val="1"/>
          <w:i w:val="1"/>
          <w:iCs w:val="1"/>
          <w:color w:val="auto"/>
        </w:rPr>
        <w:t>Pipeline, Including Further Development for Approved Medicines, ≥ Phase II Development</w:t>
      </w:r>
    </w:p>
    <w:tbl>
      <w:tblPr>
        <w:tblLayout w:type="fixed"/>
        <w:tblInd w:w="620" w:type="dxa"/>
        <w:tblCellMar>
          <w:top w:w="0" w:type="dxa"/>
          <w:left w:w="0" w:type="dxa"/>
          <w:bottom w:w="0" w:type="dxa"/>
          <w:right w:w="0" w:type="dxa"/>
        </w:tblCellMar>
      </w:tblPr>
      <w:tr>
        <w:trPr>
          <w:trHeight w:val="61"/>
        </w:trPr>
        <w:tc>
          <w:tcPr>
            <w:tcW w:w="700" w:type="dxa"/>
            <w:vAlign w:val="bottom"/>
          </w:tcPr>
          <w:p>
            <w:pPr>
              <w:ind w:left="20"/>
              <w:spacing w:after="0" w:line="61" w:lineRule="exact"/>
              <w:rPr>
                <w:sz w:val="20"/>
                <w:szCs w:val="20"/>
                <w:color w:val="auto"/>
              </w:rPr>
            </w:pPr>
            <w:r>
              <w:rPr>
                <w:rFonts w:ascii="Arial" w:cs="Arial" w:eastAsia="Arial" w:hAnsi="Arial"/>
                <w:sz w:val="7"/>
                <w:szCs w:val="7"/>
                <w:b w:val="1"/>
                <w:bCs w:val="1"/>
                <w:color w:val="auto"/>
              </w:rPr>
              <w:t>Product</w:t>
            </w:r>
          </w:p>
        </w:tc>
        <w:tc>
          <w:tcPr>
            <w:tcW w:w="20" w:type="dxa"/>
            <w:vAlign w:val="bottom"/>
          </w:tcPr>
          <w:p>
            <w:pPr>
              <w:spacing w:after="0"/>
              <w:rPr>
                <w:sz w:val="5"/>
                <w:szCs w:val="5"/>
                <w:color w:val="auto"/>
              </w:rPr>
            </w:pPr>
          </w:p>
        </w:tc>
        <w:tc>
          <w:tcPr>
            <w:tcW w:w="540" w:type="dxa"/>
            <w:vAlign w:val="bottom"/>
          </w:tcPr>
          <w:p>
            <w:pPr>
              <w:ind w:left="20"/>
              <w:spacing w:after="0" w:line="61" w:lineRule="exact"/>
              <w:rPr>
                <w:sz w:val="20"/>
                <w:szCs w:val="20"/>
                <w:color w:val="auto"/>
              </w:rPr>
            </w:pPr>
            <w:r>
              <w:rPr>
                <w:rFonts w:ascii="Arial" w:cs="Arial" w:eastAsia="Arial" w:hAnsi="Arial"/>
                <w:sz w:val="7"/>
                <w:szCs w:val="7"/>
                <w:b w:val="1"/>
                <w:bCs w:val="1"/>
                <w:color w:val="auto"/>
              </w:rPr>
              <w:t>Technology</w:t>
            </w:r>
          </w:p>
        </w:tc>
        <w:tc>
          <w:tcPr>
            <w:tcW w:w="20" w:type="dxa"/>
            <w:vAlign w:val="bottom"/>
          </w:tcPr>
          <w:p>
            <w:pPr>
              <w:spacing w:after="0"/>
              <w:rPr>
                <w:sz w:val="5"/>
                <w:szCs w:val="5"/>
                <w:color w:val="auto"/>
              </w:rPr>
            </w:pPr>
          </w:p>
        </w:tc>
        <w:tc>
          <w:tcPr>
            <w:tcW w:w="700" w:type="dxa"/>
            <w:vAlign w:val="bottom"/>
          </w:tcPr>
          <w:p>
            <w:pPr>
              <w:spacing w:after="0" w:line="61" w:lineRule="exact"/>
              <w:rPr>
                <w:sz w:val="20"/>
                <w:szCs w:val="20"/>
                <w:color w:val="auto"/>
              </w:rPr>
            </w:pPr>
            <w:r>
              <w:rPr>
                <w:rFonts w:ascii="Arial" w:cs="Arial" w:eastAsia="Arial" w:hAnsi="Arial"/>
                <w:sz w:val="7"/>
                <w:szCs w:val="7"/>
                <w:b w:val="1"/>
                <w:bCs w:val="1"/>
                <w:color w:val="auto"/>
              </w:rPr>
              <w:t>Discovered and/or</w:t>
            </w:r>
          </w:p>
        </w:tc>
        <w:tc>
          <w:tcPr>
            <w:tcW w:w="20" w:type="dxa"/>
            <w:vAlign w:val="bottom"/>
          </w:tcPr>
          <w:p>
            <w:pPr>
              <w:spacing w:after="0"/>
              <w:rPr>
                <w:sz w:val="5"/>
                <w:szCs w:val="5"/>
                <w:color w:val="auto"/>
              </w:rPr>
            </w:pPr>
          </w:p>
        </w:tc>
        <w:tc>
          <w:tcPr>
            <w:tcW w:w="1040" w:type="dxa"/>
            <w:vAlign w:val="bottom"/>
          </w:tcPr>
          <w:p>
            <w:pPr>
              <w:ind w:left="20"/>
              <w:spacing w:after="0" w:line="61" w:lineRule="exact"/>
              <w:rPr>
                <w:sz w:val="20"/>
                <w:szCs w:val="20"/>
                <w:color w:val="auto"/>
              </w:rPr>
            </w:pPr>
            <w:r>
              <w:rPr>
                <w:rFonts w:ascii="Arial" w:cs="Arial" w:eastAsia="Arial" w:hAnsi="Arial"/>
                <w:sz w:val="7"/>
                <w:szCs w:val="7"/>
                <w:b w:val="1"/>
                <w:bCs w:val="1"/>
                <w:color w:val="auto"/>
              </w:rPr>
              <w:t>Disease Indications</w:t>
            </w:r>
          </w:p>
        </w:tc>
        <w:tc>
          <w:tcPr>
            <w:tcW w:w="1380" w:type="dxa"/>
            <w:vAlign w:val="bottom"/>
            <w:gridSpan w:val="3"/>
          </w:tcPr>
          <w:p>
            <w:pPr>
              <w:ind w:left="20"/>
              <w:spacing w:after="0" w:line="61" w:lineRule="exact"/>
              <w:rPr>
                <w:sz w:val="20"/>
                <w:szCs w:val="20"/>
                <w:color w:val="auto"/>
              </w:rPr>
            </w:pPr>
            <w:r>
              <w:rPr>
                <w:rFonts w:ascii="Arial" w:cs="Arial" w:eastAsia="Arial" w:hAnsi="Arial"/>
                <w:sz w:val="7"/>
                <w:szCs w:val="7"/>
                <w:b w:val="1"/>
                <w:bCs w:val="1"/>
                <w:color w:val="auto"/>
              </w:rPr>
              <w:t>Most Advanced Development Phase</w:t>
            </w: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90"/>
        </w:trPr>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20"/>
                <w:szCs w:val="20"/>
                <w:color w:val="auto"/>
              </w:rPr>
            </w:pPr>
            <w:r>
              <w:rPr>
                <w:rFonts w:ascii="Arial" w:cs="Arial" w:eastAsia="Arial" w:hAnsi="Arial"/>
                <w:sz w:val="7"/>
                <w:szCs w:val="7"/>
                <w:b w:val="1"/>
                <w:bCs w:val="1"/>
                <w:color w:val="auto"/>
              </w:rPr>
              <w:t>Developed By</w:t>
            </w: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20"/>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7"/>
                <w:szCs w:val="7"/>
                <w:color w:val="auto"/>
              </w:rPr>
              <w:t>Preclinical</w:t>
            </w:r>
          </w:p>
        </w:tc>
        <w:tc>
          <w:tcPr>
            <w:tcW w:w="460" w:type="dxa"/>
            <w:vAlign w:val="bottom"/>
          </w:tcPr>
          <w:p>
            <w:pPr>
              <w:jc w:val="right"/>
              <w:ind w:right="367"/>
              <w:spacing w:after="0"/>
              <w:rPr>
                <w:sz w:val="20"/>
                <w:szCs w:val="20"/>
                <w:color w:val="auto"/>
              </w:rPr>
            </w:pPr>
            <w:r>
              <w:rPr>
                <w:rFonts w:ascii="Arial" w:cs="Arial" w:eastAsia="Arial" w:hAnsi="Arial"/>
                <w:sz w:val="7"/>
                <w:szCs w:val="7"/>
                <w:color w:val="auto"/>
              </w:rPr>
              <w:t>1</w:t>
            </w:r>
          </w:p>
        </w:tc>
        <w:tc>
          <w:tcPr>
            <w:tcW w:w="460" w:type="dxa"/>
            <w:vAlign w:val="bottom"/>
          </w:tcPr>
          <w:p>
            <w:pPr>
              <w:jc w:val="right"/>
              <w:ind w:right="367"/>
              <w:spacing w:after="0"/>
              <w:rPr>
                <w:sz w:val="20"/>
                <w:szCs w:val="20"/>
                <w:color w:val="auto"/>
              </w:rPr>
            </w:pPr>
            <w:r>
              <w:rPr>
                <w:rFonts w:ascii="Arial" w:cs="Arial" w:eastAsia="Arial" w:hAnsi="Arial"/>
                <w:sz w:val="7"/>
                <w:szCs w:val="7"/>
                <w:color w:val="auto"/>
              </w:rPr>
              <w:t>2</w:t>
            </w:r>
          </w:p>
        </w:tc>
        <w:tc>
          <w:tcPr>
            <w:tcW w:w="440" w:type="dxa"/>
            <w:vAlign w:val="bottom"/>
          </w:tcPr>
          <w:p>
            <w:pPr>
              <w:jc w:val="right"/>
              <w:ind w:right="378"/>
              <w:spacing w:after="0"/>
              <w:rPr>
                <w:sz w:val="20"/>
                <w:szCs w:val="20"/>
                <w:color w:val="auto"/>
              </w:rPr>
            </w:pPr>
            <w:r>
              <w:rPr>
                <w:rFonts w:ascii="Arial" w:cs="Arial" w:eastAsia="Arial" w:hAnsi="Arial"/>
                <w:sz w:val="4"/>
                <w:szCs w:val="4"/>
                <w:color w:val="auto"/>
                <w:w w:val="87"/>
              </w:rPr>
              <w:t>3</w:t>
            </w:r>
          </w:p>
        </w:tc>
        <w:tc>
          <w:tcPr>
            <w:tcW w:w="280" w:type="dxa"/>
            <w:vAlign w:val="bottom"/>
          </w:tcPr>
          <w:p>
            <w:pPr>
              <w:spacing w:after="0"/>
              <w:rPr>
                <w:sz w:val="10"/>
                <w:szCs w:val="10"/>
                <w:color w:val="auto"/>
              </w:rPr>
            </w:pPr>
          </w:p>
        </w:tc>
      </w:tr>
      <w:tr>
        <w:trPr>
          <w:trHeight w:val="28"/>
        </w:trPr>
        <w:tc>
          <w:tcPr>
            <w:tcW w:w="700" w:type="dxa"/>
            <w:vAlign w:val="bottom"/>
            <w:tcBorders>
              <w:bottom w:val="single" w:sz="8" w:color="029C93"/>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bottom w:val="single" w:sz="8" w:color="029C93"/>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029C93"/>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40" w:type="dxa"/>
            <w:vAlign w:val="bottom"/>
            <w:tcBorders>
              <w:bottom w:val="single" w:sz="8" w:color="029C93"/>
            </w:tcBorders>
          </w:tcPr>
          <w:p>
            <w:pPr>
              <w:spacing w:after="0"/>
              <w:rPr>
                <w:sz w:val="2"/>
                <w:szCs w:val="2"/>
                <w:color w:val="auto"/>
              </w:rPr>
            </w:pPr>
          </w:p>
        </w:tc>
        <w:tc>
          <w:tcPr>
            <w:tcW w:w="280" w:type="dxa"/>
            <w:vAlign w:val="bottom"/>
            <w:tcBorders>
              <w:bottom w:val="single" w:sz="8" w:color="029C93"/>
            </w:tcBorders>
          </w:tcPr>
          <w:p>
            <w:pPr>
              <w:spacing w:after="0"/>
              <w:rPr>
                <w:sz w:val="2"/>
                <w:szCs w:val="2"/>
                <w:color w:val="auto"/>
              </w:rPr>
            </w:pPr>
          </w:p>
        </w:tc>
      </w:tr>
      <w:tr>
        <w:trPr>
          <w:trHeight w:val="80"/>
        </w:trPr>
        <w:tc>
          <w:tcPr>
            <w:tcW w:w="700" w:type="dxa"/>
            <w:vAlign w:val="bottom"/>
          </w:tcPr>
          <w:p>
            <w:pPr>
              <w:ind w:left="20"/>
              <w:spacing w:after="0"/>
              <w:rPr>
                <w:sz w:val="20"/>
                <w:szCs w:val="20"/>
                <w:color w:val="auto"/>
              </w:rPr>
            </w:pPr>
            <w:r>
              <w:rPr>
                <w:rFonts w:ascii="Arial" w:cs="Arial" w:eastAsia="Arial" w:hAnsi="Arial"/>
                <w:sz w:val="7"/>
                <w:szCs w:val="7"/>
                <w:b w:val="1"/>
                <w:bCs w:val="1"/>
                <w:color w:val="auto"/>
              </w:rPr>
              <w:t>Daratumumab</w:t>
            </w:r>
          </w:p>
        </w:tc>
        <w:tc>
          <w:tcPr>
            <w:tcW w:w="20" w:type="dxa"/>
            <w:vAlign w:val="bottom"/>
          </w:tcPr>
          <w:p>
            <w:pPr>
              <w:spacing w:after="0"/>
              <w:rPr>
                <w:sz w:val="6"/>
                <w:szCs w:val="6"/>
                <w:color w:val="auto"/>
              </w:rPr>
            </w:pPr>
          </w:p>
        </w:tc>
        <w:tc>
          <w:tcPr>
            <w:tcW w:w="540" w:type="dxa"/>
            <w:vAlign w:val="bottom"/>
          </w:tcPr>
          <w:p>
            <w:pPr>
              <w:ind w:left="20"/>
              <w:spacing w:after="0"/>
              <w:rPr>
                <w:sz w:val="20"/>
                <w:szCs w:val="20"/>
                <w:color w:val="auto"/>
              </w:rPr>
            </w:pPr>
            <w:r>
              <w:rPr>
                <w:rFonts w:ascii="Arial" w:cs="Arial" w:eastAsia="Arial" w:hAnsi="Arial"/>
                <w:sz w:val="7"/>
                <w:szCs w:val="7"/>
                <w:color w:val="auto"/>
              </w:rPr>
              <w:t>UltiMAb</w:t>
            </w:r>
            <w:r>
              <w:rPr>
                <w:rFonts w:ascii="Arial" w:cs="Arial" w:eastAsia="Arial" w:hAnsi="Arial"/>
                <w:sz w:val="3"/>
                <w:szCs w:val="3"/>
                <w:color w:val="auto"/>
              </w:rPr>
              <w:t>1</w:t>
            </w:r>
          </w:p>
        </w:tc>
        <w:tc>
          <w:tcPr>
            <w:tcW w:w="20" w:type="dxa"/>
            <w:vAlign w:val="bottom"/>
          </w:tcPr>
          <w:p>
            <w:pPr>
              <w:spacing w:after="0"/>
              <w:rPr>
                <w:sz w:val="6"/>
                <w:szCs w:val="6"/>
                <w:color w:val="auto"/>
              </w:rPr>
            </w:pPr>
          </w:p>
        </w:tc>
        <w:tc>
          <w:tcPr>
            <w:tcW w:w="700" w:type="dxa"/>
            <w:vAlign w:val="bottom"/>
          </w:tcPr>
          <w:p>
            <w:pPr>
              <w:spacing w:after="0"/>
              <w:rPr>
                <w:sz w:val="20"/>
                <w:szCs w:val="20"/>
                <w:color w:val="auto"/>
              </w:rPr>
            </w:pPr>
            <w:r>
              <w:rPr>
                <w:rFonts w:ascii="Arial" w:cs="Arial" w:eastAsia="Arial" w:hAnsi="Arial"/>
                <w:sz w:val="7"/>
                <w:szCs w:val="7"/>
                <w:color w:val="auto"/>
              </w:rPr>
              <w:t>J&amp;J</w:t>
            </w:r>
          </w:p>
        </w:tc>
        <w:tc>
          <w:tcPr>
            <w:tcW w:w="20" w:type="dxa"/>
            <w:vAlign w:val="bottom"/>
          </w:tcPr>
          <w:p>
            <w:pPr>
              <w:spacing w:after="0"/>
              <w:rPr>
                <w:sz w:val="6"/>
                <w:szCs w:val="6"/>
                <w:color w:val="auto"/>
              </w:rPr>
            </w:pPr>
          </w:p>
        </w:tc>
        <w:tc>
          <w:tcPr>
            <w:tcW w:w="1040" w:type="dxa"/>
            <w:vAlign w:val="bottom"/>
          </w:tcPr>
          <w:p>
            <w:pPr>
              <w:ind w:left="20"/>
              <w:spacing w:after="0"/>
              <w:rPr>
                <w:sz w:val="20"/>
                <w:szCs w:val="20"/>
                <w:color w:val="auto"/>
              </w:rPr>
            </w:pPr>
            <w:r>
              <w:rPr>
                <w:rFonts w:ascii="Arial" w:cs="Arial" w:eastAsia="Arial" w:hAnsi="Arial"/>
                <w:sz w:val="7"/>
                <w:szCs w:val="7"/>
                <w:color w:val="auto"/>
              </w:rPr>
              <w:t>MM</w:t>
            </w:r>
          </w:p>
        </w:tc>
        <w:tc>
          <w:tcPr>
            <w:tcW w:w="460" w:type="dxa"/>
            <w:vAlign w:val="bottom"/>
            <w:shd w:val="clear" w:color="auto" w:fill="691A6B"/>
          </w:tcPr>
          <w:p>
            <w:pPr>
              <w:spacing w:after="0"/>
              <w:rPr>
                <w:sz w:val="6"/>
                <w:szCs w:val="6"/>
                <w:color w:val="auto"/>
              </w:rPr>
            </w:pPr>
          </w:p>
        </w:tc>
        <w:tc>
          <w:tcPr>
            <w:tcW w:w="460" w:type="dxa"/>
            <w:vAlign w:val="bottom"/>
            <w:shd w:val="clear" w:color="auto" w:fill="D149D3"/>
          </w:tcPr>
          <w:p>
            <w:pPr>
              <w:spacing w:after="0"/>
              <w:rPr>
                <w:sz w:val="6"/>
                <w:szCs w:val="6"/>
                <w:color w:val="auto"/>
              </w:rPr>
            </w:pPr>
          </w:p>
        </w:tc>
        <w:tc>
          <w:tcPr>
            <w:tcW w:w="460" w:type="dxa"/>
            <w:vAlign w:val="bottom"/>
            <w:shd w:val="clear" w:color="auto" w:fill="DF86E2"/>
          </w:tcPr>
          <w:p>
            <w:pPr>
              <w:spacing w:after="0"/>
              <w:rPr>
                <w:sz w:val="6"/>
                <w:szCs w:val="6"/>
                <w:color w:val="auto"/>
              </w:rPr>
            </w:pPr>
          </w:p>
        </w:tc>
        <w:tc>
          <w:tcPr>
            <w:tcW w:w="440" w:type="dxa"/>
            <w:vAlign w:val="bottom"/>
            <w:shd w:val="clear" w:color="auto" w:fill="EDC4F0"/>
          </w:tcPr>
          <w:p>
            <w:pPr>
              <w:spacing w:after="0"/>
              <w:rPr>
                <w:sz w:val="6"/>
                <w:szCs w:val="6"/>
                <w:color w:val="auto"/>
              </w:rPr>
            </w:pPr>
          </w:p>
        </w:tc>
        <w:tc>
          <w:tcPr>
            <w:tcW w:w="280" w:type="dxa"/>
            <w:vAlign w:val="bottom"/>
            <w:shd w:val="clear" w:color="auto" w:fill="EDC4F0"/>
          </w:tcPr>
          <w:p>
            <w:pPr>
              <w:spacing w:after="0"/>
              <w:rPr>
                <w:sz w:val="6"/>
                <w:szCs w:val="6"/>
                <w:color w:val="auto"/>
              </w:rPr>
            </w:pPr>
          </w:p>
        </w:tc>
      </w:tr>
      <w:tr>
        <w:trPr>
          <w:trHeight w:val="157"/>
        </w:trPr>
        <w:tc>
          <w:tcPr>
            <w:tcW w:w="700" w:type="dxa"/>
            <w:vAlign w:val="bottom"/>
            <w:tcBorders>
              <w:bottom w:val="single" w:sz="8" w:color="029C93"/>
            </w:tcBorders>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029C93"/>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029C93"/>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029C93"/>
            </w:tcBorders>
          </w:tcPr>
          <w:p>
            <w:pPr>
              <w:ind w:left="20"/>
              <w:spacing w:after="0"/>
              <w:rPr>
                <w:sz w:val="20"/>
                <w:szCs w:val="20"/>
                <w:color w:val="auto"/>
              </w:rPr>
            </w:pPr>
            <w:r>
              <w:rPr>
                <w:rFonts w:ascii="Arial" w:cs="Arial" w:eastAsia="Arial" w:hAnsi="Arial"/>
                <w:sz w:val="7"/>
                <w:szCs w:val="7"/>
                <w:color w:val="auto"/>
              </w:rPr>
              <w:t>AL Amyloidosis</w:t>
            </w:r>
          </w:p>
        </w:tc>
        <w:tc>
          <w:tcPr>
            <w:tcW w:w="460" w:type="dxa"/>
            <w:vAlign w:val="bottom"/>
            <w:tcBorders>
              <w:bottom w:val="single" w:sz="8" w:color="029C93"/>
            </w:tcBorders>
            <w:shd w:val="clear" w:color="auto" w:fill="691A6B"/>
          </w:tcPr>
          <w:p>
            <w:pPr>
              <w:spacing w:after="0"/>
              <w:rPr>
                <w:sz w:val="13"/>
                <w:szCs w:val="13"/>
                <w:color w:val="auto"/>
              </w:rPr>
            </w:pPr>
          </w:p>
        </w:tc>
        <w:tc>
          <w:tcPr>
            <w:tcW w:w="460" w:type="dxa"/>
            <w:vAlign w:val="bottom"/>
            <w:tcBorders>
              <w:bottom w:val="single" w:sz="8" w:color="029C93"/>
            </w:tcBorders>
            <w:shd w:val="clear" w:color="auto" w:fill="D149D3"/>
          </w:tcPr>
          <w:p>
            <w:pPr>
              <w:spacing w:after="0"/>
              <w:rPr>
                <w:sz w:val="13"/>
                <w:szCs w:val="13"/>
                <w:color w:val="auto"/>
              </w:rPr>
            </w:pPr>
          </w:p>
        </w:tc>
        <w:tc>
          <w:tcPr>
            <w:tcW w:w="460" w:type="dxa"/>
            <w:vAlign w:val="bottom"/>
            <w:tcBorders>
              <w:bottom w:val="single" w:sz="8" w:color="029C93"/>
            </w:tcBorders>
            <w:shd w:val="clear" w:color="auto" w:fill="DF86E2"/>
          </w:tcPr>
          <w:p>
            <w:pPr>
              <w:spacing w:after="0"/>
              <w:rPr>
                <w:sz w:val="13"/>
                <w:szCs w:val="13"/>
                <w:color w:val="auto"/>
              </w:rPr>
            </w:pPr>
          </w:p>
        </w:tc>
        <w:tc>
          <w:tcPr>
            <w:tcW w:w="440" w:type="dxa"/>
            <w:vAlign w:val="bottom"/>
            <w:tcBorders>
              <w:bottom w:val="single" w:sz="8" w:color="029C93"/>
            </w:tcBorders>
            <w:shd w:val="clear" w:color="auto" w:fill="EDC4F0"/>
          </w:tcPr>
          <w:p>
            <w:pPr>
              <w:spacing w:after="0"/>
              <w:rPr>
                <w:sz w:val="13"/>
                <w:szCs w:val="13"/>
                <w:color w:val="auto"/>
              </w:rPr>
            </w:pPr>
          </w:p>
        </w:tc>
        <w:tc>
          <w:tcPr>
            <w:tcW w:w="280" w:type="dxa"/>
            <w:vAlign w:val="bottom"/>
            <w:tcBorders>
              <w:bottom w:val="single" w:sz="8" w:color="029C93"/>
            </w:tcBorders>
            <w:shd w:val="clear" w:color="auto" w:fill="EDC4F0"/>
          </w:tcPr>
          <w:p>
            <w:pPr>
              <w:spacing w:after="0"/>
              <w:rPr>
                <w:sz w:val="13"/>
                <w:szCs w:val="13"/>
                <w:color w:val="auto"/>
              </w:rPr>
            </w:pPr>
          </w:p>
        </w:tc>
      </w:tr>
      <w:tr>
        <w:trPr>
          <w:trHeight w:val="118"/>
        </w:trPr>
        <w:tc>
          <w:tcPr>
            <w:tcW w:w="700" w:type="dxa"/>
            <w:vAlign w:val="bottom"/>
          </w:tcPr>
          <w:p>
            <w:pPr>
              <w:ind w:left="20"/>
              <w:spacing w:after="0"/>
              <w:rPr>
                <w:sz w:val="20"/>
                <w:szCs w:val="20"/>
                <w:color w:val="auto"/>
              </w:rPr>
            </w:pPr>
            <w:r>
              <w:rPr>
                <w:rFonts w:ascii="Arial" w:cs="Arial" w:eastAsia="Arial" w:hAnsi="Arial"/>
                <w:sz w:val="7"/>
                <w:szCs w:val="7"/>
                <w:b w:val="1"/>
                <w:bCs w:val="1"/>
                <w:color w:val="auto"/>
              </w:rPr>
              <w:t>Teprotumumab</w:t>
            </w:r>
          </w:p>
        </w:tc>
        <w:tc>
          <w:tcPr>
            <w:tcW w:w="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7"/>
                <w:szCs w:val="7"/>
                <w:color w:val="auto"/>
              </w:rPr>
              <w:t>UltiMAb</w:t>
            </w:r>
          </w:p>
        </w:tc>
        <w:tc>
          <w:tcPr>
            <w:tcW w:w="2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7"/>
                <w:szCs w:val="7"/>
                <w:color w:val="auto"/>
              </w:rPr>
              <w:t>Amgen</w:t>
            </w:r>
          </w:p>
        </w:tc>
        <w:tc>
          <w:tcPr>
            <w:tcW w:w="20" w:type="dxa"/>
            <w:vAlign w:val="bottom"/>
          </w:tcPr>
          <w:p>
            <w:pPr>
              <w:spacing w:after="0"/>
              <w:rPr>
                <w:sz w:val="10"/>
                <w:szCs w:val="10"/>
                <w:color w:val="auto"/>
              </w:rPr>
            </w:pPr>
          </w:p>
        </w:tc>
        <w:tc>
          <w:tcPr>
            <w:tcW w:w="1040" w:type="dxa"/>
            <w:vAlign w:val="bottom"/>
          </w:tcPr>
          <w:p>
            <w:pPr>
              <w:ind w:left="20"/>
              <w:spacing w:after="0"/>
              <w:rPr>
                <w:sz w:val="20"/>
                <w:szCs w:val="20"/>
                <w:color w:val="auto"/>
              </w:rPr>
            </w:pPr>
            <w:r>
              <w:rPr>
                <w:rFonts w:ascii="Arial" w:cs="Arial" w:eastAsia="Arial" w:hAnsi="Arial"/>
                <w:sz w:val="7"/>
                <w:szCs w:val="7"/>
                <w:color w:val="auto"/>
              </w:rPr>
              <w:t>TED</w:t>
            </w:r>
          </w:p>
        </w:tc>
        <w:tc>
          <w:tcPr>
            <w:tcW w:w="460" w:type="dxa"/>
            <w:vAlign w:val="bottom"/>
            <w:shd w:val="clear" w:color="auto" w:fill="691A6B"/>
          </w:tcPr>
          <w:p>
            <w:pPr>
              <w:spacing w:after="0"/>
              <w:rPr>
                <w:sz w:val="10"/>
                <w:szCs w:val="10"/>
                <w:color w:val="auto"/>
              </w:rPr>
            </w:pPr>
          </w:p>
        </w:tc>
        <w:tc>
          <w:tcPr>
            <w:tcW w:w="460" w:type="dxa"/>
            <w:vAlign w:val="bottom"/>
            <w:shd w:val="clear" w:color="auto" w:fill="D149D3"/>
          </w:tcPr>
          <w:p>
            <w:pPr>
              <w:spacing w:after="0"/>
              <w:rPr>
                <w:sz w:val="10"/>
                <w:szCs w:val="10"/>
                <w:color w:val="auto"/>
              </w:rPr>
            </w:pPr>
          </w:p>
        </w:tc>
        <w:tc>
          <w:tcPr>
            <w:tcW w:w="460" w:type="dxa"/>
            <w:vAlign w:val="bottom"/>
            <w:shd w:val="clear" w:color="auto" w:fill="DF86E2"/>
          </w:tcPr>
          <w:p>
            <w:pPr>
              <w:spacing w:after="0"/>
              <w:rPr>
                <w:sz w:val="10"/>
                <w:szCs w:val="10"/>
                <w:color w:val="auto"/>
              </w:rPr>
            </w:pPr>
          </w:p>
        </w:tc>
        <w:tc>
          <w:tcPr>
            <w:tcW w:w="440" w:type="dxa"/>
            <w:vAlign w:val="bottom"/>
            <w:shd w:val="clear" w:color="auto" w:fill="EDC4F0"/>
          </w:tcPr>
          <w:p>
            <w:pPr>
              <w:spacing w:after="0"/>
              <w:rPr>
                <w:sz w:val="10"/>
                <w:szCs w:val="10"/>
                <w:color w:val="auto"/>
              </w:rPr>
            </w:pPr>
          </w:p>
        </w:tc>
        <w:tc>
          <w:tcPr>
            <w:tcW w:w="280" w:type="dxa"/>
            <w:vAlign w:val="bottom"/>
            <w:shd w:val="clear" w:color="auto" w:fill="EDC4F0"/>
          </w:tcPr>
          <w:p>
            <w:pPr>
              <w:spacing w:after="0"/>
              <w:rPr>
                <w:sz w:val="10"/>
                <w:szCs w:val="10"/>
                <w:color w:val="auto"/>
              </w:rPr>
            </w:pPr>
          </w:p>
        </w:tc>
      </w:tr>
      <w:tr>
        <w:trPr>
          <w:trHeight w:val="62"/>
        </w:trPr>
        <w:tc>
          <w:tcPr>
            <w:tcW w:w="700" w:type="dxa"/>
            <w:vAlign w:val="bottom"/>
            <w:tcBorders>
              <w:bottom w:val="single" w:sz="8" w:color="029C93"/>
            </w:tcBorders>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bottom w:val="single" w:sz="8" w:color="029C93"/>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029C93"/>
            </w:tcBorders>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Borders>
              <w:bottom w:val="single" w:sz="8" w:color="029C93"/>
            </w:tcBorders>
          </w:tcPr>
          <w:p>
            <w:pPr>
              <w:spacing w:after="0"/>
              <w:rPr>
                <w:sz w:val="5"/>
                <w:szCs w:val="5"/>
                <w:color w:val="auto"/>
              </w:rPr>
            </w:pPr>
          </w:p>
        </w:tc>
        <w:tc>
          <w:tcPr>
            <w:tcW w:w="460" w:type="dxa"/>
            <w:vAlign w:val="bottom"/>
            <w:tcBorders>
              <w:bottom w:val="single" w:sz="8" w:color="029C93"/>
            </w:tcBorders>
            <w:shd w:val="clear" w:color="auto" w:fill="691A6B"/>
          </w:tcPr>
          <w:p>
            <w:pPr>
              <w:spacing w:after="0"/>
              <w:rPr>
                <w:sz w:val="5"/>
                <w:szCs w:val="5"/>
                <w:color w:val="auto"/>
              </w:rPr>
            </w:pPr>
          </w:p>
        </w:tc>
        <w:tc>
          <w:tcPr>
            <w:tcW w:w="460" w:type="dxa"/>
            <w:vAlign w:val="bottom"/>
            <w:tcBorders>
              <w:bottom w:val="single" w:sz="8" w:color="029C93"/>
            </w:tcBorders>
            <w:shd w:val="clear" w:color="auto" w:fill="D149D3"/>
          </w:tcPr>
          <w:p>
            <w:pPr>
              <w:spacing w:after="0"/>
              <w:rPr>
                <w:sz w:val="5"/>
                <w:szCs w:val="5"/>
                <w:color w:val="auto"/>
              </w:rPr>
            </w:pPr>
          </w:p>
        </w:tc>
        <w:tc>
          <w:tcPr>
            <w:tcW w:w="460" w:type="dxa"/>
            <w:vAlign w:val="bottom"/>
            <w:tcBorders>
              <w:bottom w:val="single" w:sz="8" w:color="029C93"/>
            </w:tcBorders>
            <w:shd w:val="clear" w:color="auto" w:fill="DF86E2"/>
          </w:tcPr>
          <w:p>
            <w:pPr>
              <w:spacing w:after="0"/>
              <w:rPr>
                <w:sz w:val="5"/>
                <w:szCs w:val="5"/>
                <w:color w:val="auto"/>
              </w:rPr>
            </w:pPr>
          </w:p>
        </w:tc>
        <w:tc>
          <w:tcPr>
            <w:tcW w:w="440" w:type="dxa"/>
            <w:vAlign w:val="bottom"/>
            <w:tcBorders>
              <w:bottom w:val="single" w:sz="8" w:color="029C93"/>
            </w:tcBorders>
            <w:shd w:val="clear" w:color="auto" w:fill="EDC4F0"/>
          </w:tcPr>
          <w:p>
            <w:pPr>
              <w:spacing w:after="0"/>
              <w:rPr>
                <w:sz w:val="5"/>
                <w:szCs w:val="5"/>
                <w:color w:val="auto"/>
              </w:rPr>
            </w:pPr>
          </w:p>
        </w:tc>
        <w:tc>
          <w:tcPr>
            <w:tcW w:w="280" w:type="dxa"/>
            <w:vAlign w:val="bottom"/>
            <w:tcBorders>
              <w:bottom w:val="single" w:sz="8" w:color="029C93"/>
            </w:tcBorders>
            <w:shd w:val="clear" w:color="auto" w:fill="EDC4F0"/>
          </w:tcPr>
          <w:p>
            <w:pPr>
              <w:spacing w:after="0"/>
              <w:rPr>
                <w:sz w:val="5"/>
                <w:szCs w:val="5"/>
                <w:color w:val="auto"/>
              </w:rPr>
            </w:pPr>
          </w:p>
        </w:tc>
      </w:tr>
      <w:tr>
        <w:trPr>
          <w:trHeight w:val="80"/>
        </w:trPr>
        <w:tc>
          <w:tcPr>
            <w:tcW w:w="700" w:type="dxa"/>
            <w:vAlign w:val="bottom"/>
          </w:tcPr>
          <w:p>
            <w:pPr>
              <w:ind w:left="20"/>
              <w:spacing w:after="0"/>
              <w:rPr>
                <w:sz w:val="20"/>
                <w:szCs w:val="20"/>
                <w:color w:val="auto"/>
              </w:rPr>
            </w:pPr>
            <w:r>
              <w:rPr>
                <w:rFonts w:ascii="Arial" w:cs="Arial" w:eastAsia="Arial" w:hAnsi="Arial"/>
                <w:sz w:val="7"/>
                <w:szCs w:val="7"/>
                <w:b w:val="1"/>
                <w:bCs w:val="1"/>
                <w:color w:val="auto"/>
              </w:rPr>
              <w:t>Amivantamab</w:t>
            </w:r>
          </w:p>
        </w:tc>
        <w:tc>
          <w:tcPr>
            <w:tcW w:w="20" w:type="dxa"/>
            <w:vAlign w:val="bottom"/>
          </w:tcPr>
          <w:p>
            <w:pPr>
              <w:spacing w:after="0"/>
              <w:rPr>
                <w:sz w:val="6"/>
                <w:szCs w:val="6"/>
                <w:color w:val="auto"/>
              </w:rPr>
            </w:pPr>
          </w:p>
        </w:tc>
        <w:tc>
          <w:tcPr>
            <w:tcW w:w="540" w:type="dxa"/>
            <w:vAlign w:val="bottom"/>
          </w:tcPr>
          <w:p>
            <w:pPr>
              <w:ind w:left="20"/>
              <w:spacing w:after="0"/>
              <w:rPr>
                <w:sz w:val="20"/>
                <w:szCs w:val="20"/>
                <w:color w:val="auto"/>
              </w:rPr>
            </w:pPr>
            <w:r>
              <w:rPr>
                <w:rFonts w:ascii="Arial" w:cs="Arial" w:eastAsia="Arial" w:hAnsi="Arial"/>
                <w:sz w:val="7"/>
                <w:szCs w:val="7"/>
                <w:color w:val="auto"/>
              </w:rPr>
              <w:t>DuoBody</w:t>
            </w:r>
          </w:p>
        </w:tc>
        <w:tc>
          <w:tcPr>
            <w:tcW w:w="20" w:type="dxa"/>
            <w:vAlign w:val="bottom"/>
          </w:tcPr>
          <w:p>
            <w:pPr>
              <w:spacing w:after="0"/>
              <w:rPr>
                <w:sz w:val="6"/>
                <w:szCs w:val="6"/>
                <w:color w:val="auto"/>
              </w:rPr>
            </w:pPr>
          </w:p>
        </w:tc>
        <w:tc>
          <w:tcPr>
            <w:tcW w:w="700" w:type="dxa"/>
            <w:vAlign w:val="bottom"/>
          </w:tcPr>
          <w:p>
            <w:pPr>
              <w:spacing w:after="0"/>
              <w:rPr>
                <w:sz w:val="20"/>
                <w:szCs w:val="20"/>
                <w:color w:val="auto"/>
              </w:rPr>
            </w:pPr>
            <w:r>
              <w:rPr>
                <w:rFonts w:ascii="Arial" w:cs="Arial" w:eastAsia="Arial" w:hAnsi="Arial"/>
                <w:sz w:val="7"/>
                <w:szCs w:val="7"/>
                <w:color w:val="auto"/>
              </w:rPr>
              <w:t>J&amp;J</w:t>
            </w:r>
          </w:p>
        </w:tc>
        <w:tc>
          <w:tcPr>
            <w:tcW w:w="20" w:type="dxa"/>
            <w:vAlign w:val="bottom"/>
          </w:tcPr>
          <w:p>
            <w:pPr>
              <w:spacing w:after="0"/>
              <w:rPr>
                <w:sz w:val="6"/>
                <w:szCs w:val="6"/>
                <w:color w:val="auto"/>
              </w:rPr>
            </w:pPr>
          </w:p>
        </w:tc>
        <w:tc>
          <w:tcPr>
            <w:tcW w:w="1040" w:type="dxa"/>
            <w:vAlign w:val="bottom"/>
          </w:tcPr>
          <w:p>
            <w:pPr>
              <w:ind w:left="20"/>
              <w:spacing w:after="0"/>
              <w:rPr>
                <w:sz w:val="20"/>
                <w:szCs w:val="20"/>
                <w:color w:val="auto"/>
              </w:rPr>
            </w:pPr>
            <w:r>
              <w:rPr>
                <w:rFonts w:ascii="Arial" w:cs="Arial" w:eastAsia="Arial" w:hAnsi="Arial"/>
                <w:sz w:val="7"/>
                <w:szCs w:val="7"/>
                <w:color w:val="auto"/>
              </w:rPr>
              <w:t>NSCLC</w:t>
            </w:r>
          </w:p>
        </w:tc>
        <w:tc>
          <w:tcPr>
            <w:tcW w:w="460" w:type="dxa"/>
            <w:vAlign w:val="bottom"/>
            <w:shd w:val="clear" w:color="auto" w:fill="691A6B"/>
          </w:tcPr>
          <w:p>
            <w:pPr>
              <w:spacing w:after="0"/>
              <w:rPr>
                <w:sz w:val="6"/>
                <w:szCs w:val="6"/>
                <w:color w:val="auto"/>
              </w:rPr>
            </w:pPr>
          </w:p>
        </w:tc>
        <w:tc>
          <w:tcPr>
            <w:tcW w:w="460" w:type="dxa"/>
            <w:vAlign w:val="bottom"/>
            <w:shd w:val="clear" w:color="auto" w:fill="D149D3"/>
          </w:tcPr>
          <w:p>
            <w:pPr>
              <w:spacing w:after="0"/>
              <w:rPr>
                <w:sz w:val="6"/>
                <w:szCs w:val="6"/>
                <w:color w:val="auto"/>
              </w:rPr>
            </w:pPr>
          </w:p>
        </w:tc>
        <w:tc>
          <w:tcPr>
            <w:tcW w:w="460" w:type="dxa"/>
            <w:vAlign w:val="bottom"/>
            <w:shd w:val="clear" w:color="auto" w:fill="DF86E2"/>
          </w:tcPr>
          <w:p>
            <w:pPr>
              <w:spacing w:after="0"/>
              <w:rPr>
                <w:sz w:val="6"/>
                <w:szCs w:val="6"/>
                <w:color w:val="auto"/>
              </w:rPr>
            </w:pPr>
          </w:p>
        </w:tc>
        <w:tc>
          <w:tcPr>
            <w:tcW w:w="440" w:type="dxa"/>
            <w:vAlign w:val="bottom"/>
            <w:shd w:val="clear" w:color="auto" w:fill="EDC4F0"/>
          </w:tcPr>
          <w:p>
            <w:pPr>
              <w:spacing w:after="0"/>
              <w:rPr>
                <w:sz w:val="6"/>
                <w:szCs w:val="6"/>
                <w:color w:val="auto"/>
              </w:rPr>
            </w:pPr>
          </w:p>
        </w:tc>
        <w:tc>
          <w:tcPr>
            <w:tcW w:w="280" w:type="dxa"/>
            <w:vAlign w:val="bottom"/>
          </w:tcPr>
          <w:p>
            <w:pPr>
              <w:spacing w:after="0"/>
              <w:rPr>
                <w:sz w:val="6"/>
                <w:szCs w:val="6"/>
                <w:color w:val="auto"/>
              </w:rPr>
            </w:pPr>
          </w:p>
        </w:tc>
      </w:tr>
      <w:tr>
        <w:trPr>
          <w:trHeight w:val="166"/>
        </w:trPr>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7"/>
                <w:szCs w:val="7"/>
                <w:color w:val="auto"/>
              </w:rPr>
              <w:t>Advanced or metastatic CRC</w:t>
            </w:r>
          </w:p>
        </w:tc>
        <w:tc>
          <w:tcPr>
            <w:tcW w:w="460" w:type="dxa"/>
            <w:vAlign w:val="bottom"/>
            <w:shd w:val="clear" w:color="auto" w:fill="691A6B"/>
          </w:tcPr>
          <w:p>
            <w:pPr>
              <w:spacing w:after="0"/>
              <w:rPr>
                <w:sz w:val="14"/>
                <w:szCs w:val="14"/>
                <w:color w:val="auto"/>
              </w:rPr>
            </w:pPr>
          </w:p>
        </w:tc>
        <w:tc>
          <w:tcPr>
            <w:tcW w:w="460" w:type="dxa"/>
            <w:vAlign w:val="bottom"/>
            <w:shd w:val="clear" w:color="auto" w:fill="D149D3"/>
          </w:tcPr>
          <w:p>
            <w:pPr>
              <w:spacing w:after="0"/>
              <w:rPr>
                <w:sz w:val="14"/>
                <w:szCs w:val="14"/>
                <w:color w:val="auto"/>
              </w:rPr>
            </w:pPr>
          </w:p>
        </w:tc>
        <w:tc>
          <w:tcPr>
            <w:tcW w:w="460" w:type="dxa"/>
            <w:vAlign w:val="bottom"/>
            <w:shd w:val="clear" w:color="auto" w:fill="DF86E2"/>
          </w:tcPr>
          <w:p>
            <w:pPr>
              <w:spacing w:after="0"/>
              <w:rPr>
                <w:sz w:val="14"/>
                <w:szCs w:val="14"/>
                <w:color w:val="auto"/>
              </w:rPr>
            </w:pPr>
          </w:p>
        </w:tc>
        <w:tc>
          <w:tcPr>
            <w:tcW w:w="440" w:type="dxa"/>
            <w:vAlign w:val="bottom"/>
            <w:shd w:val="clear" w:color="auto" w:fill="EDC4F0"/>
          </w:tcPr>
          <w:p>
            <w:pPr>
              <w:spacing w:after="0"/>
              <w:rPr>
                <w:sz w:val="14"/>
                <w:szCs w:val="14"/>
                <w:color w:val="auto"/>
              </w:rPr>
            </w:pPr>
          </w:p>
        </w:tc>
        <w:tc>
          <w:tcPr>
            <w:tcW w:w="280" w:type="dxa"/>
            <w:vAlign w:val="bottom"/>
          </w:tcPr>
          <w:p>
            <w:pPr>
              <w:spacing w:after="0"/>
              <w:rPr>
                <w:sz w:val="14"/>
                <w:szCs w:val="14"/>
                <w:color w:val="auto"/>
              </w:rPr>
            </w:pPr>
          </w:p>
        </w:tc>
      </w:tr>
      <w:tr>
        <w:trPr>
          <w:trHeight w:val="105"/>
        </w:trPr>
        <w:tc>
          <w:tcPr>
            <w:tcW w:w="700" w:type="dxa"/>
            <w:vAlign w:val="bottom"/>
            <w:tcBorders>
              <w:bottom w:val="single" w:sz="8" w:color="029C93"/>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029C93"/>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029C93"/>
            </w:tcBorders>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029C93"/>
            </w:tcBorders>
          </w:tcPr>
          <w:p>
            <w:pPr>
              <w:ind w:left="20"/>
              <w:spacing w:after="0"/>
              <w:rPr>
                <w:sz w:val="20"/>
                <w:szCs w:val="20"/>
                <w:color w:val="auto"/>
              </w:rPr>
            </w:pPr>
            <w:r>
              <w:rPr>
                <w:rFonts w:ascii="Arial" w:cs="Arial" w:eastAsia="Arial" w:hAnsi="Arial"/>
                <w:sz w:val="7"/>
                <w:szCs w:val="7"/>
                <w:color w:val="auto"/>
              </w:rPr>
              <w:t>r/m HNSCC</w:t>
            </w:r>
          </w:p>
        </w:tc>
        <w:tc>
          <w:tcPr>
            <w:tcW w:w="460" w:type="dxa"/>
            <w:vAlign w:val="bottom"/>
            <w:tcBorders>
              <w:bottom w:val="single" w:sz="8" w:color="029C93"/>
            </w:tcBorders>
            <w:shd w:val="clear" w:color="auto" w:fill="691A6B"/>
          </w:tcPr>
          <w:p>
            <w:pPr>
              <w:spacing w:after="0"/>
              <w:rPr>
                <w:sz w:val="9"/>
                <w:szCs w:val="9"/>
                <w:color w:val="auto"/>
              </w:rPr>
            </w:pPr>
          </w:p>
        </w:tc>
        <w:tc>
          <w:tcPr>
            <w:tcW w:w="460" w:type="dxa"/>
            <w:vAlign w:val="bottom"/>
            <w:tcBorders>
              <w:bottom w:val="single" w:sz="8" w:color="029C93"/>
            </w:tcBorders>
            <w:shd w:val="clear" w:color="auto" w:fill="D149D3"/>
          </w:tcPr>
          <w:p>
            <w:pPr>
              <w:spacing w:after="0"/>
              <w:rPr>
                <w:sz w:val="9"/>
                <w:szCs w:val="9"/>
                <w:color w:val="auto"/>
              </w:rPr>
            </w:pPr>
          </w:p>
        </w:tc>
        <w:tc>
          <w:tcPr>
            <w:tcW w:w="460" w:type="dxa"/>
            <w:vAlign w:val="bottom"/>
            <w:tcBorders>
              <w:bottom w:val="single" w:sz="8" w:color="029C93"/>
            </w:tcBorders>
          </w:tcPr>
          <w:p>
            <w:pPr>
              <w:spacing w:after="0"/>
              <w:rPr>
                <w:sz w:val="9"/>
                <w:szCs w:val="9"/>
                <w:color w:val="auto"/>
              </w:rPr>
            </w:pPr>
          </w:p>
        </w:tc>
        <w:tc>
          <w:tcPr>
            <w:tcW w:w="440" w:type="dxa"/>
            <w:vAlign w:val="bottom"/>
            <w:tcBorders>
              <w:bottom w:val="single" w:sz="8" w:color="029C93"/>
            </w:tcBorders>
          </w:tcPr>
          <w:p>
            <w:pPr>
              <w:spacing w:after="0"/>
              <w:rPr>
                <w:sz w:val="9"/>
                <w:szCs w:val="9"/>
                <w:color w:val="auto"/>
              </w:rPr>
            </w:pPr>
          </w:p>
        </w:tc>
        <w:tc>
          <w:tcPr>
            <w:tcW w:w="280" w:type="dxa"/>
            <w:vAlign w:val="bottom"/>
            <w:tcBorders>
              <w:bottom w:val="single" w:sz="8" w:color="029C93"/>
            </w:tcBorders>
          </w:tcPr>
          <w:p>
            <w:pPr>
              <w:spacing w:after="0"/>
              <w:rPr>
                <w:sz w:val="9"/>
                <w:szCs w:val="9"/>
                <w:color w:val="auto"/>
              </w:rPr>
            </w:pPr>
          </w:p>
        </w:tc>
      </w:tr>
      <w:tr>
        <w:trPr>
          <w:trHeight w:val="141"/>
        </w:trPr>
        <w:tc>
          <w:tcPr>
            <w:tcW w:w="700" w:type="dxa"/>
            <w:vAlign w:val="bottom"/>
          </w:tcPr>
          <w:p>
            <w:pPr>
              <w:ind w:left="20"/>
              <w:spacing w:after="0"/>
              <w:rPr>
                <w:sz w:val="20"/>
                <w:szCs w:val="20"/>
                <w:color w:val="auto"/>
              </w:rPr>
            </w:pPr>
            <w:r>
              <w:rPr>
                <w:rFonts w:ascii="Arial" w:cs="Arial" w:eastAsia="Arial" w:hAnsi="Arial"/>
                <w:sz w:val="7"/>
                <w:szCs w:val="7"/>
                <w:b w:val="1"/>
                <w:bCs w:val="1"/>
                <w:color w:val="auto"/>
              </w:rPr>
              <w:t>Teclistamab</w:t>
            </w:r>
          </w:p>
        </w:tc>
        <w:tc>
          <w:tcPr>
            <w:tcW w:w="2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7"/>
                <w:szCs w:val="7"/>
                <w:color w:val="auto"/>
              </w:rPr>
              <w:t>DuoBody</w:t>
            </w:r>
          </w:p>
        </w:tc>
        <w:tc>
          <w:tcPr>
            <w:tcW w:w="2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7"/>
                <w:szCs w:val="7"/>
                <w:color w:val="auto"/>
              </w:rPr>
              <w:t>J&amp;J</w:t>
            </w:r>
          </w:p>
        </w:tc>
        <w:tc>
          <w:tcPr>
            <w:tcW w:w="2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7"/>
                <w:szCs w:val="7"/>
                <w:color w:val="auto"/>
              </w:rPr>
              <w:t>MM</w:t>
            </w:r>
          </w:p>
        </w:tc>
        <w:tc>
          <w:tcPr>
            <w:tcW w:w="460" w:type="dxa"/>
            <w:vAlign w:val="bottom"/>
            <w:tcBorders>
              <w:bottom w:val="single" w:sz="8" w:color="691A6B"/>
            </w:tcBorders>
            <w:shd w:val="clear" w:color="auto" w:fill="691A6B"/>
          </w:tcPr>
          <w:p>
            <w:pPr>
              <w:spacing w:after="0"/>
              <w:rPr>
                <w:sz w:val="12"/>
                <w:szCs w:val="12"/>
                <w:color w:val="auto"/>
              </w:rPr>
            </w:pPr>
          </w:p>
        </w:tc>
        <w:tc>
          <w:tcPr>
            <w:tcW w:w="460" w:type="dxa"/>
            <w:vAlign w:val="bottom"/>
            <w:tcBorders>
              <w:bottom w:val="single" w:sz="8" w:color="D149D3"/>
            </w:tcBorders>
            <w:shd w:val="clear" w:color="auto" w:fill="D149D3"/>
          </w:tcPr>
          <w:p>
            <w:pPr>
              <w:spacing w:after="0"/>
              <w:rPr>
                <w:sz w:val="12"/>
                <w:szCs w:val="12"/>
                <w:color w:val="auto"/>
              </w:rPr>
            </w:pPr>
          </w:p>
        </w:tc>
        <w:tc>
          <w:tcPr>
            <w:tcW w:w="460" w:type="dxa"/>
            <w:vAlign w:val="bottom"/>
            <w:tcBorders>
              <w:bottom w:val="single" w:sz="8" w:color="DF86E2"/>
            </w:tcBorders>
            <w:shd w:val="clear" w:color="auto" w:fill="DF86E2"/>
          </w:tcPr>
          <w:p>
            <w:pPr>
              <w:spacing w:after="0"/>
              <w:rPr>
                <w:sz w:val="12"/>
                <w:szCs w:val="12"/>
                <w:color w:val="auto"/>
              </w:rPr>
            </w:pPr>
          </w:p>
        </w:tc>
        <w:tc>
          <w:tcPr>
            <w:tcW w:w="440" w:type="dxa"/>
            <w:vAlign w:val="bottom"/>
            <w:tcBorders>
              <w:bottom w:val="single" w:sz="8" w:color="EDC4F0"/>
            </w:tcBorders>
            <w:shd w:val="clear" w:color="auto" w:fill="EDC4F0"/>
          </w:tcPr>
          <w:p>
            <w:pPr>
              <w:spacing w:after="0"/>
              <w:rPr>
                <w:sz w:val="12"/>
                <w:szCs w:val="12"/>
                <w:color w:val="auto"/>
              </w:rPr>
            </w:pPr>
          </w:p>
        </w:tc>
        <w:tc>
          <w:tcPr>
            <w:tcW w:w="280" w:type="dxa"/>
            <w:vAlign w:val="bottom"/>
            <w:tcBorders>
              <w:bottom w:val="single" w:sz="8" w:color="EDC4F0"/>
            </w:tcBorders>
            <w:shd w:val="clear" w:color="auto" w:fill="EDC4F0"/>
          </w:tcPr>
          <w:p>
            <w:pPr>
              <w:spacing w:after="0"/>
              <w:rPr>
                <w:sz w:val="12"/>
                <w:szCs w:val="12"/>
                <w:color w:val="auto"/>
              </w:rPr>
            </w:pPr>
          </w:p>
        </w:tc>
      </w:tr>
      <w:tr>
        <w:trPr>
          <w:trHeight w:val="87"/>
        </w:trPr>
        <w:tc>
          <w:tcPr>
            <w:tcW w:w="700" w:type="dxa"/>
            <w:vAlign w:val="bottom"/>
            <w:tcBorders>
              <w:top w:val="single" w:sz="8" w:color="029C93"/>
              <w:bottom w:val="single" w:sz="8" w:color="029C93"/>
            </w:tcBorders>
          </w:tcPr>
          <w:p>
            <w:pPr>
              <w:ind w:left="20"/>
              <w:spacing w:after="0"/>
              <w:rPr>
                <w:sz w:val="20"/>
                <w:szCs w:val="20"/>
                <w:color w:val="auto"/>
              </w:rPr>
            </w:pPr>
            <w:r>
              <w:rPr>
                <w:rFonts w:ascii="Arial" w:cs="Arial" w:eastAsia="Arial" w:hAnsi="Arial"/>
                <w:sz w:val="7"/>
                <w:szCs w:val="7"/>
                <w:b w:val="1"/>
                <w:bCs w:val="1"/>
                <w:color w:val="auto"/>
              </w:rPr>
              <w:t>Talquetamab</w:t>
            </w:r>
          </w:p>
        </w:tc>
        <w:tc>
          <w:tcPr>
            <w:tcW w:w="20" w:type="dxa"/>
            <w:vAlign w:val="bottom"/>
          </w:tcPr>
          <w:p>
            <w:pPr>
              <w:spacing w:after="0"/>
              <w:rPr>
                <w:sz w:val="7"/>
                <w:szCs w:val="7"/>
                <w:color w:val="auto"/>
              </w:rPr>
            </w:pPr>
          </w:p>
        </w:tc>
        <w:tc>
          <w:tcPr>
            <w:tcW w:w="540" w:type="dxa"/>
            <w:vAlign w:val="bottom"/>
            <w:tcBorders>
              <w:top w:val="single" w:sz="8" w:color="029C93"/>
              <w:bottom w:val="single" w:sz="8" w:color="029C93"/>
            </w:tcBorders>
          </w:tcPr>
          <w:p>
            <w:pPr>
              <w:ind w:left="20"/>
              <w:spacing w:after="0"/>
              <w:rPr>
                <w:sz w:val="20"/>
                <w:szCs w:val="20"/>
                <w:color w:val="auto"/>
              </w:rPr>
            </w:pPr>
            <w:r>
              <w:rPr>
                <w:rFonts w:ascii="Arial" w:cs="Arial" w:eastAsia="Arial" w:hAnsi="Arial"/>
                <w:sz w:val="7"/>
                <w:szCs w:val="7"/>
                <w:color w:val="auto"/>
              </w:rPr>
              <w:t>DuoBody</w:t>
            </w:r>
          </w:p>
        </w:tc>
        <w:tc>
          <w:tcPr>
            <w:tcW w:w="20" w:type="dxa"/>
            <w:vAlign w:val="bottom"/>
          </w:tcPr>
          <w:p>
            <w:pPr>
              <w:spacing w:after="0"/>
              <w:rPr>
                <w:sz w:val="7"/>
                <w:szCs w:val="7"/>
                <w:color w:val="auto"/>
              </w:rPr>
            </w:pPr>
          </w:p>
        </w:tc>
        <w:tc>
          <w:tcPr>
            <w:tcW w:w="700" w:type="dxa"/>
            <w:vAlign w:val="bottom"/>
            <w:tcBorders>
              <w:top w:val="single" w:sz="8" w:color="029C93"/>
              <w:bottom w:val="single" w:sz="8" w:color="029C93"/>
            </w:tcBorders>
          </w:tcPr>
          <w:p>
            <w:pPr>
              <w:spacing w:after="0"/>
              <w:rPr>
                <w:sz w:val="20"/>
                <w:szCs w:val="20"/>
                <w:color w:val="auto"/>
              </w:rPr>
            </w:pPr>
            <w:r>
              <w:rPr>
                <w:rFonts w:ascii="Arial" w:cs="Arial" w:eastAsia="Arial" w:hAnsi="Arial"/>
                <w:sz w:val="7"/>
                <w:szCs w:val="7"/>
                <w:color w:val="auto"/>
              </w:rPr>
              <w:t>J&amp;J</w:t>
            </w:r>
          </w:p>
        </w:tc>
        <w:tc>
          <w:tcPr>
            <w:tcW w:w="20" w:type="dxa"/>
            <w:vAlign w:val="bottom"/>
          </w:tcPr>
          <w:p>
            <w:pPr>
              <w:spacing w:after="0"/>
              <w:rPr>
                <w:sz w:val="7"/>
                <w:szCs w:val="7"/>
                <w:color w:val="auto"/>
              </w:rPr>
            </w:pPr>
          </w:p>
        </w:tc>
        <w:tc>
          <w:tcPr>
            <w:tcW w:w="1040" w:type="dxa"/>
            <w:vAlign w:val="bottom"/>
            <w:tcBorders>
              <w:top w:val="single" w:sz="8" w:color="029C93"/>
              <w:bottom w:val="single" w:sz="8" w:color="029C93"/>
            </w:tcBorders>
          </w:tcPr>
          <w:p>
            <w:pPr>
              <w:ind w:left="20"/>
              <w:spacing w:after="0"/>
              <w:rPr>
                <w:sz w:val="20"/>
                <w:szCs w:val="20"/>
                <w:color w:val="auto"/>
              </w:rPr>
            </w:pPr>
            <w:r>
              <w:rPr>
                <w:rFonts w:ascii="Arial" w:cs="Arial" w:eastAsia="Arial" w:hAnsi="Arial"/>
                <w:sz w:val="7"/>
                <w:szCs w:val="7"/>
                <w:color w:val="auto"/>
              </w:rPr>
              <w:t>MM</w:t>
            </w:r>
          </w:p>
        </w:tc>
        <w:tc>
          <w:tcPr>
            <w:tcW w:w="460" w:type="dxa"/>
            <w:vAlign w:val="bottom"/>
            <w:tcBorders>
              <w:top w:val="single" w:sz="8" w:color="029C93"/>
              <w:bottom w:val="single" w:sz="8" w:color="029C93"/>
            </w:tcBorders>
            <w:shd w:val="clear" w:color="auto" w:fill="691A6B"/>
          </w:tcPr>
          <w:p>
            <w:pPr>
              <w:spacing w:after="0"/>
              <w:rPr>
                <w:sz w:val="7"/>
                <w:szCs w:val="7"/>
                <w:color w:val="auto"/>
              </w:rPr>
            </w:pPr>
          </w:p>
        </w:tc>
        <w:tc>
          <w:tcPr>
            <w:tcW w:w="460" w:type="dxa"/>
            <w:vAlign w:val="bottom"/>
            <w:tcBorders>
              <w:top w:val="single" w:sz="8" w:color="029C93"/>
              <w:bottom w:val="single" w:sz="8" w:color="029C93"/>
            </w:tcBorders>
            <w:shd w:val="clear" w:color="auto" w:fill="D149D3"/>
          </w:tcPr>
          <w:p>
            <w:pPr>
              <w:spacing w:after="0"/>
              <w:rPr>
                <w:sz w:val="7"/>
                <w:szCs w:val="7"/>
                <w:color w:val="auto"/>
              </w:rPr>
            </w:pPr>
          </w:p>
        </w:tc>
        <w:tc>
          <w:tcPr>
            <w:tcW w:w="460" w:type="dxa"/>
            <w:vAlign w:val="bottom"/>
            <w:tcBorders>
              <w:top w:val="single" w:sz="8" w:color="029C93"/>
              <w:bottom w:val="single" w:sz="8" w:color="029C93"/>
            </w:tcBorders>
            <w:shd w:val="clear" w:color="auto" w:fill="DF86E2"/>
          </w:tcPr>
          <w:p>
            <w:pPr>
              <w:spacing w:after="0"/>
              <w:rPr>
                <w:sz w:val="7"/>
                <w:szCs w:val="7"/>
                <w:color w:val="auto"/>
              </w:rPr>
            </w:pPr>
          </w:p>
        </w:tc>
        <w:tc>
          <w:tcPr>
            <w:tcW w:w="440" w:type="dxa"/>
            <w:vAlign w:val="bottom"/>
            <w:tcBorders>
              <w:top w:val="single" w:sz="8" w:color="029C93"/>
              <w:bottom w:val="single" w:sz="8" w:color="029C93"/>
            </w:tcBorders>
            <w:shd w:val="clear" w:color="auto" w:fill="EDC4F0"/>
          </w:tcPr>
          <w:p>
            <w:pPr>
              <w:spacing w:after="0"/>
              <w:rPr>
                <w:sz w:val="7"/>
                <w:szCs w:val="7"/>
                <w:color w:val="auto"/>
              </w:rPr>
            </w:pPr>
          </w:p>
        </w:tc>
        <w:tc>
          <w:tcPr>
            <w:tcW w:w="280" w:type="dxa"/>
            <w:vAlign w:val="bottom"/>
            <w:tcBorders>
              <w:top w:val="single" w:sz="8" w:color="029C93"/>
              <w:bottom w:val="single" w:sz="8" w:color="029C93"/>
            </w:tcBorders>
            <w:shd w:val="clear" w:color="auto" w:fill="EDC4F0"/>
          </w:tcPr>
          <w:p>
            <w:pPr>
              <w:spacing w:after="0"/>
              <w:rPr>
                <w:sz w:val="7"/>
                <w:szCs w:val="7"/>
                <w:color w:val="auto"/>
              </w:rPr>
            </w:pPr>
          </w:p>
        </w:tc>
      </w:tr>
      <w:tr>
        <w:trPr>
          <w:trHeight w:val="63"/>
        </w:trPr>
        <w:tc>
          <w:tcPr>
            <w:tcW w:w="700" w:type="dxa"/>
            <w:vAlign w:val="bottom"/>
          </w:tcPr>
          <w:p>
            <w:pPr>
              <w:ind w:left="20"/>
              <w:spacing w:after="0" w:line="64" w:lineRule="exact"/>
              <w:rPr>
                <w:sz w:val="20"/>
                <w:szCs w:val="20"/>
                <w:color w:val="auto"/>
              </w:rPr>
            </w:pPr>
            <w:r>
              <w:rPr>
                <w:rFonts w:ascii="Arial" w:cs="Arial" w:eastAsia="Arial" w:hAnsi="Arial"/>
                <w:sz w:val="7"/>
                <w:szCs w:val="7"/>
                <w:b w:val="1"/>
                <w:bCs w:val="1"/>
                <w:color w:val="auto"/>
              </w:rPr>
              <w:t>Amlenetug</w:t>
            </w:r>
          </w:p>
        </w:tc>
        <w:tc>
          <w:tcPr>
            <w:tcW w:w="20" w:type="dxa"/>
            <w:vAlign w:val="bottom"/>
          </w:tcPr>
          <w:p>
            <w:pPr>
              <w:spacing w:after="0"/>
              <w:rPr>
                <w:sz w:val="5"/>
                <w:szCs w:val="5"/>
                <w:color w:val="auto"/>
              </w:rPr>
            </w:pPr>
          </w:p>
        </w:tc>
        <w:tc>
          <w:tcPr>
            <w:tcW w:w="540" w:type="dxa"/>
            <w:vAlign w:val="bottom"/>
          </w:tcPr>
          <w:p>
            <w:pPr>
              <w:ind w:left="20"/>
              <w:spacing w:after="0" w:line="64" w:lineRule="exact"/>
              <w:rPr>
                <w:sz w:val="20"/>
                <w:szCs w:val="20"/>
                <w:color w:val="auto"/>
              </w:rPr>
            </w:pPr>
            <w:r>
              <w:rPr>
                <w:rFonts w:ascii="Arial" w:cs="Arial" w:eastAsia="Arial" w:hAnsi="Arial"/>
                <w:sz w:val="7"/>
                <w:szCs w:val="7"/>
                <w:color w:val="auto"/>
              </w:rPr>
              <w:t>UltiMAb</w:t>
            </w:r>
          </w:p>
        </w:tc>
        <w:tc>
          <w:tcPr>
            <w:tcW w:w="20" w:type="dxa"/>
            <w:vAlign w:val="bottom"/>
          </w:tcPr>
          <w:p>
            <w:pPr>
              <w:spacing w:after="0"/>
              <w:rPr>
                <w:sz w:val="5"/>
                <w:szCs w:val="5"/>
                <w:color w:val="auto"/>
              </w:rPr>
            </w:pPr>
          </w:p>
        </w:tc>
        <w:tc>
          <w:tcPr>
            <w:tcW w:w="700" w:type="dxa"/>
            <w:vAlign w:val="bottom"/>
          </w:tcPr>
          <w:p>
            <w:pPr>
              <w:spacing w:after="0" w:line="64" w:lineRule="exact"/>
              <w:rPr>
                <w:sz w:val="20"/>
                <w:szCs w:val="20"/>
                <w:color w:val="auto"/>
              </w:rPr>
            </w:pPr>
            <w:r>
              <w:rPr>
                <w:rFonts w:ascii="Arial" w:cs="Arial" w:eastAsia="Arial" w:hAnsi="Arial"/>
                <w:sz w:val="7"/>
                <w:szCs w:val="7"/>
                <w:color w:val="auto"/>
              </w:rPr>
              <w:t>Lundbeck</w:t>
            </w:r>
          </w:p>
        </w:tc>
        <w:tc>
          <w:tcPr>
            <w:tcW w:w="20" w:type="dxa"/>
            <w:vAlign w:val="bottom"/>
          </w:tcPr>
          <w:p>
            <w:pPr>
              <w:spacing w:after="0"/>
              <w:rPr>
                <w:sz w:val="5"/>
                <w:szCs w:val="5"/>
                <w:color w:val="auto"/>
              </w:rPr>
            </w:pPr>
          </w:p>
        </w:tc>
        <w:tc>
          <w:tcPr>
            <w:tcW w:w="1040" w:type="dxa"/>
            <w:vAlign w:val="bottom"/>
          </w:tcPr>
          <w:p>
            <w:pPr>
              <w:ind w:left="20"/>
              <w:spacing w:after="0" w:line="64" w:lineRule="exact"/>
              <w:rPr>
                <w:sz w:val="20"/>
                <w:szCs w:val="20"/>
                <w:color w:val="auto"/>
              </w:rPr>
            </w:pPr>
            <w:r>
              <w:rPr>
                <w:rFonts w:ascii="Arial" w:cs="Arial" w:eastAsia="Arial" w:hAnsi="Arial"/>
                <w:sz w:val="7"/>
                <w:szCs w:val="7"/>
                <w:color w:val="auto"/>
              </w:rPr>
              <w:t>Multiple system atrophy</w:t>
            </w:r>
          </w:p>
        </w:tc>
        <w:tc>
          <w:tcPr>
            <w:tcW w:w="460" w:type="dxa"/>
            <w:vAlign w:val="bottom"/>
            <w:shd w:val="clear" w:color="auto" w:fill="691A6B"/>
          </w:tcPr>
          <w:p>
            <w:pPr>
              <w:spacing w:after="0"/>
              <w:rPr>
                <w:sz w:val="5"/>
                <w:szCs w:val="5"/>
                <w:color w:val="auto"/>
              </w:rPr>
            </w:pPr>
          </w:p>
        </w:tc>
        <w:tc>
          <w:tcPr>
            <w:tcW w:w="460" w:type="dxa"/>
            <w:vAlign w:val="bottom"/>
            <w:shd w:val="clear" w:color="auto" w:fill="D149D3"/>
          </w:tcPr>
          <w:p>
            <w:pPr>
              <w:spacing w:after="0"/>
              <w:rPr>
                <w:sz w:val="5"/>
                <w:szCs w:val="5"/>
                <w:color w:val="auto"/>
              </w:rPr>
            </w:pPr>
          </w:p>
        </w:tc>
        <w:tc>
          <w:tcPr>
            <w:tcW w:w="460" w:type="dxa"/>
            <w:vAlign w:val="bottom"/>
            <w:shd w:val="clear" w:color="auto" w:fill="DF86E2"/>
          </w:tcPr>
          <w:p>
            <w:pPr>
              <w:spacing w:after="0"/>
              <w:rPr>
                <w:sz w:val="5"/>
                <w:szCs w:val="5"/>
                <w:color w:val="auto"/>
              </w:rPr>
            </w:pPr>
          </w:p>
        </w:tc>
        <w:tc>
          <w:tcPr>
            <w:tcW w:w="440" w:type="dxa"/>
            <w:vAlign w:val="bottom"/>
            <w:shd w:val="clear" w:color="auto" w:fill="EDC4F0"/>
          </w:tcPr>
          <w:p>
            <w:pPr>
              <w:spacing w:after="0"/>
              <w:rPr>
                <w:sz w:val="5"/>
                <w:szCs w:val="5"/>
                <w:color w:val="auto"/>
              </w:rPr>
            </w:pPr>
          </w:p>
        </w:tc>
        <w:tc>
          <w:tcPr>
            <w:tcW w:w="280" w:type="dxa"/>
            <w:vAlign w:val="bottom"/>
          </w:tcPr>
          <w:p>
            <w:pPr>
              <w:spacing w:after="0"/>
              <w:rPr>
                <w:sz w:val="5"/>
                <w:szCs w:val="5"/>
                <w:color w:val="auto"/>
              </w:rPr>
            </w:pPr>
          </w:p>
        </w:tc>
      </w:tr>
      <w:tr>
        <w:trPr>
          <w:trHeight w:val="114"/>
        </w:trPr>
        <w:tc>
          <w:tcPr>
            <w:tcW w:w="700" w:type="dxa"/>
            <w:vAlign w:val="bottom"/>
          </w:tcPr>
          <w:p>
            <w:pPr>
              <w:ind w:left="20"/>
              <w:spacing w:after="0"/>
              <w:rPr>
                <w:sz w:val="20"/>
                <w:szCs w:val="20"/>
                <w:color w:val="auto"/>
              </w:rPr>
            </w:pPr>
            <w:r>
              <w:rPr>
                <w:rFonts w:ascii="Arial" w:cs="Arial" w:eastAsia="Arial" w:hAnsi="Arial"/>
                <w:sz w:val="7"/>
                <w:szCs w:val="7"/>
                <w:color w:val="auto"/>
              </w:rPr>
              <w:t>(Lu AF82422)</w:t>
            </w: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Borders>
              <w:bottom w:val="single" w:sz="8" w:color="691A6B"/>
            </w:tcBorders>
            <w:shd w:val="clear" w:color="auto" w:fill="691A6B"/>
          </w:tcPr>
          <w:p>
            <w:pPr>
              <w:spacing w:after="0"/>
              <w:rPr>
                <w:sz w:val="9"/>
                <w:szCs w:val="9"/>
                <w:color w:val="auto"/>
              </w:rPr>
            </w:pPr>
          </w:p>
        </w:tc>
        <w:tc>
          <w:tcPr>
            <w:tcW w:w="460" w:type="dxa"/>
            <w:vAlign w:val="bottom"/>
            <w:tcBorders>
              <w:bottom w:val="single" w:sz="8" w:color="D149D3"/>
            </w:tcBorders>
            <w:shd w:val="clear" w:color="auto" w:fill="D149D3"/>
          </w:tcPr>
          <w:p>
            <w:pPr>
              <w:spacing w:after="0"/>
              <w:rPr>
                <w:sz w:val="9"/>
                <w:szCs w:val="9"/>
                <w:color w:val="auto"/>
              </w:rPr>
            </w:pPr>
          </w:p>
        </w:tc>
        <w:tc>
          <w:tcPr>
            <w:tcW w:w="460" w:type="dxa"/>
            <w:vAlign w:val="bottom"/>
            <w:tcBorders>
              <w:bottom w:val="single" w:sz="8" w:color="DF86E2"/>
            </w:tcBorders>
            <w:shd w:val="clear" w:color="auto" w:fill="DF86E2"/>
          </w:tcPr>
          <w:p>
            <w:pPr>
              <w:spacing w:after="0"/>
              <w:rPr>
                <w:sz w:val="9"/>
                <w:szCs w:val="9"/>
                <w:color w:val="auto"/>
              </w:rPr>
            </w:pPr>
          </w:p>
        </w:tc>
        <w:tc>
          <w:tcPr>
            <w:tcW w:w="440" w:type="dxa"/>
            <w:vAlign w:val="bottom"/>
            <w:tcBorders>
              <w:bottom w:val="single" w:sz="8" w:color="EDC4F0"/>
            </w:tcBorders>
            <w:shd w:val="clear" w:color="auto" w:fill="EDC4F0"/>
          </w:tcPr>
          <w:p>
            <w:pPr>
              <w:spacing w:after="0"/>
              <w:rPr>
                <w:sz w:val="9"/>
                <w:szCs w:val="9"/>
                <w:color w:val="auto"/>
              </w:rPr>
            </w:pPr>
          </w:p>
        </w:tc>
        <w:tc>
          <w:tcPr>
            <w:tcW w:w="280" w:type="dxa"/>
            <w:vAlign w:val="bottom"/>
          </w:tcPr>
          <w:p>
            <w:pPr>
              <w:spacing w:after="0"/>
              <w:rPr>
                <w:sz w:val="9"/>
                <w:szCs w:val="9"/>
                <w:color w:val="auto"/>
              </w:rPr>
            </w:pPr>
          </w:p>
        </w:tc>
      </w:tr>
      <w:tr>
        <w:trPr>
          <w:trHeight w:val="94"/>
        </w:trPr>
        <w:tc>
          <w:tcPr>
            <w:tcW w:w="700" w:type="dxa"/>
            <w:vAlign w:val="bottom"/>
            <w:tcBorders>
              <w:top w:val="single" w:sz="8" w:color="029C93"/>
            </w:tcBorders>
          </w:tcPr>
          <w:p>
            <w:pPr>
              <w:ind w:left="20"/>
              <w:spacing w:after="0"/>
              <w:rPr>
                <w:sz w:val="20"/>
                <w:szCs w:val="20"/>
                <w:color w:val="auto"/>
              </w:rPr>
            </w:pPr>
            <w:r>
              <w:rPr>
                <w:rFonts w:ascii="Arial" w:cs="Arial" w:eastAsia="Arial" w:hAnsi="Arial"/>
                <w:sz w:val="7"/>
                <w:szCs w:val="7"/>
                <w:b w:val="1"/>
                <w:bCs w:val="1"/>
                <w:color w:val="auto"/>
              </w:rPr>
              <w:t>Mim8 (denecimig)</w:t>
            </w:r>
          </w:p>
        </w:tc>
        <w:tc>
          <w:tcPr>
            <w:tcW w:w="20" w:type="dxa"/>
            <w:vAlign w:val="bottom"/>
          </w:tcPr>
          <w:p>
            <w:pPr>
              <w:spacing w:after="0"/>
              <w:rPr>
                <w:sz w:val="8"/>
                <w:szCs w:val="8"/>
                <w:color w:val="auto"/>
              </w:rPr>
            </w:pPr>
          </w:p>
        </w:tc>
        <w:tc>
          <w:tcPr>
            <w:tcW w:w="540" w:type="dxa"/>
            <w:vAlign w:val="bottom"/>
            <w:tcBorders>
              <w:top w:val="single" w:sz="8" w:color="029C93"/>
            </w:tcBorders>
          </w:tcPr>
          <w:p>
            <w:pPr>
              <w:ind w:left="20"/>
              <w:spacing w:after="0"/>
              <w:rPr>
                <w:sz w:val="20"/>
                <w:szCs w:val="20"/>
                <w:color w:val="auto"/>
              </w:rPr>
            </w:pPr>
            <w:r>
              <w:rPr>
                <w:rFonts w:ascii="Arial" w:cs="Arial" w:eastAsia="Arial" w:hAnsi="Arial"/>
                <w:sz w:val="7"/>
                <w:szCs w:val="7"/>
                <w:color w:val="auto"/>
              </w:rPr>
              <w:t>DuoBody</w:t>
            </w:r>
          </w:p>
        </w:tc>
        <w:tc>
          <w:tcPr>
            <w:tcW w:w="20" w:type="dxa"/>
            <w:vAlign w:val="bottom"/>
          </w:tcPr>
          <w:p>
            <w:pPr>
              <w:spacing w:after="0"/>
              <w:rPr>
                <w:sz w:val="8"/>
                <w:szCs w:val="8"/>
                <w:color w:val="auto"/>
              </w:rPr>
            </w:pPr>
          </w:p>
        </w:tc>
        <w:tc>
          <w:tcPr>
            <w:tcW w:w="700" w:type="dxa"/>
            <w:vAlign w:val="bottom"/>
            <w:tcBorders>
              <w:top w:val="single" w:sz="8" w:color="029C93"/>
            </w:tcBorders>
          </w:tcPr>
          <w:p>
            <w:pPr>
              <w:spacing w:after="0"/>
              <w:rPr>
                <w:sz w:val="20"/>
                <w:szCs w:val="20"/>
                <w:color w:val="auto"/>
              </w:rPr>
            </w:pPr>
            <w:r>
              <w:rPr>
                <w:rFonts w:ascii="Arial" w:cs="Arial" w:eastAsia="Arial" w:hAnsi="Arial"/>
                <w:sz w:val="7"/>
                <w:szCs w:val="7"/>
                <w:color w:val="auto"/>
              </w:rPr>
              <w:t>Novo Nordisk</w:t>
            </w:r>
          </w:p>
        </w:tc>
        <w:tc>
          <w:tcPr>
            <w:tcW w:w="20" w:type="dxa"/>
            <w:vAlign w:val="bottom"/>
          </w:tcPr>
          <w:p>
            <w:pPr>
              <w:spacing w:after="0"/>
              <w:rPr>
                <w:sz w:val="8"/>
                <w:szCs w:val="8"/>
                <w:color w:val="auto"/>
              </w:rPr>
            </w:pPr>
          </w:p>
        </w:tc>
        <w:tc>
          <w:tcPr>
            <w:tcW w:w="1040" w:type="dxa"/>
            <w:vAlign w:val="bottom"/>
            <w:tcBorders>
              <w:top w:val="single" w:sz="8" w:color="029C93"/>
            </w:tcBorders>
          </w:tcPr>
          <w:p>
            <w:pPr>
              <w:ind w:left="20"/>
              <w:spacing w:after="0"/>
              <w:rPr>
                <w:sz w:val="20"/>
                <w:szCs w:val="20"/>
                <w:color w:val="auto"/>
              </w:rPr>
            </w:pPr>
            <w:r>
              <w:rPr>
                <w:rFonts w:ascii="Arial" w:cs="Arial" w:eastAsia="Arial" w:hAnsi="Arial"/>
                <w:sz w:val="7"/>
                <w:szCs w:val="7"/>
                <w:color w:val="auto"/>
              </w:rPr>
              <w:t>Hemophilia A</w:t>
            </w:r>
          </w:p>
        </w:tc>
        <w:tc>
          <w:tcPr>
            <w:tcW w:w="460" w:type="dxa"/>
            <w:vAlign w:val="bottom"/>
            <w:tcBorders>
              <w:top w:val="single" w:sz="8" w:color="029C93"/>
            </w:tcBorders>
            <w:shd w:val="clear" w:color="auto" w:fill="691A6B"/>
          </w:tcPr>
          <w:p>
            <w:pPr>
              <w:spacing w:after="0"/>
              <w:rPr>
                <w:sz w:val="8"/>
                <w:szCs w:val="8"/>
                <w:color w:val="auto"/>
              </w:rPr>
            </w:pPr>
          </w:p>
        </w:tc>
        <w:tc>
          <w:tcPr>
            <w:tcW w:w="460" w:type="dxa"/>
            <w:vAlign w:val="bottom"/>
            <w:tcBorders>
              <w:top w:val="single" w:sz="8" w:color="029C93"/>
            </w:tcBorders>
            <w:shd w:val="clear" w:color="auto" w:fill="D149D3"/>
          </w:tcPr>
          <w:p>
            <w:pPr>
              <w:spacing w:after="0"/>
              <w:rPr>
                <w:sz w:val="8"/>
                <w:szCs w:val="8"/>
                <w:color w:val="auto"/>
              </w:rPr>
            </w:pPr>
          </w:p>
        </w:tc>
        <w:tc>
          <w:tcPr>
            <w:tcW w:w="460" w:type="dxa"/>
            <w:vAlign w:val="bottom"/>
            <w:tcBorders>
              <w:top w:val="single" w:sz="8" w:color="029C93"/>
            </w:tcBorders>
            <w:shd w:val="clear" w:color="auto" w:fill="DF86E2"/>
          </w:tcPr>
          <w:p>
            <w:pPr>
              <w:spacing w:after="0"/>
              <w:rPr>
                <w:sz w:val="8"/>
                <w:szCs w:val="8"/>
                <w:color w:val="auto"/>
              </w:rPr>
            </w:pPr>
          </w:p>
        </w:tc>
        <w:tc>
          <w:tcPr>
            <w:tcW w:w="440" w:type="dxa"/>
            <w:vAlign w:val="bottom"/>
            <w:tcBorders>
              <w:top w:val="single" w:sz="8" w:color="029C93"/>
            </w:tcBorders>
            <w:shd w:val="clear" w:color="auto" w:fill="EDC4F0"/>
          </w:tcPr>
          <w:p>
            <w:pPr>
              <w:spacing w:after="0"/>
              <w:rPr>
                <w:sz w:val="8"/>
                <w:szCs w:val="8"/>
                <w:color w:val="auto"/>
              </w:rPr>
            </w:pPr>
          </w:p>
        </w:tc>
        <w:tc>
          <w:tcPr>
            <w:tcW w:w="280" w:type="dxa"/>
            <w:vAlign w:val="bottom"/>
            <w:tcBorders>
              <w:top w:val="single" w:sz="8" w:color="029C93"/>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-894080</wp:posOffset>
            </wp:positionV>
            <wp:extent cx="3257550"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0" cy="900430"/>
                    </a:xfrm>
                    <a:prstGeom prst="rect">
                      <a:avLst/>
                    </a:prstGeom>
                    <a:noFill/>
                  </pic:spPr>
                </pic:pic>
              </a:graphicData>
            </a:graphic>
          </wp:anchor>
        </w:drawing>
      </w:r>
    </w:p>
    <w:p>
      <w:pPr>
        <w:ind w:left="620" w:right="2640"/>
        <w:spacing w:after="0" w:line="218"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2"/>
          <w:szCs w:val="12"/>
          <w:color w:val="auto"/>
        </w:rPr>
        <w:t>UltiMAb transgenic mouse technology licensed from Medarex, a wholly owned subsidiary of Bristol Myers Squibb</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2"/>
          <w:szCs w:val="12"/>
          <w:color w:val="auto"/>
        </w:rPr>
        <w:t>Corporation (“</w:t>
      </w:r>
      <w:r>
        <w:rPr>
          <w:rFonts w:ascii="Times New Roman" w:cs="Times New Roman" w:eastAsia="Times New Roman" w:hAnsi="Times New Roman"/>
          <w:sz w:val="12"/>
          <w:szCs w:val="12"/>
          <w:b w:val="1"/>
          <w:bCs w:val="1"/>
          <w:color w:val="auto"/>
        </w:rPr>
        <w:t>BMS</w:t>
      </w:r>
      <w:r>
        <w:rPr>
          <w:rFonts w:ascii="Times New Roman" w:cs="Times New Roman" w:eastAsia="Times New Roman" w:hAnsi="Times New Roman"/>
          <w:sz w:val="12"/>
          <w:szCs w:val="12"/>
          <w:color w:val="auto"/>
        </w:rPr>
        <w:t>”).</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Daratumumab (DARZALEX)</w:t>
      </w:r>
    </w:p>
    <w:p>
      <w:pPr>
        <w:ind w:left="620" w:right="2400"/>
        <w:spacing w:after="0" w:line="223" w:lineRule="auto"/>
        <w:rPr>
          <w:sz w:val="20"/>
          <w:szCs w:val="20"/>
          <w:color w:val="auto"/>
        </w:rPr>
      </w:pPr>
      <w:r>
        <w:rPr>
          <w:rFonts w:ascii="Times New Roman" w:cs="Times New Roman" w:eastAsia="Times New Roman" w:hAnsi="Times New Roman"/>
          <w:sz w:val="12"/>
          <w:szCs w:val="12"/>
          <w:color w:val="231F20"/>
        </w:rPr>
        <w:t xml:space="preserve">Daratumumab (marketed as DARZALEX for IV administration and as DARZALEX </w:t>
      </w:r>
      <w:r>
        <w:rPr>
          <w:rFonts w:ascii="Times New Roman" w:cs="Times New Roman" w:eastAsia="Times New Roman" w:hAnsi="Times New Roman"/>
          <w:sz w:val="12"/>
          <w:szCs w:val="12"/>
          <w:i w:val="1"/>
          <w:iCs w:val="1"/>
          <w:color w:val="231F20"/>
        </w:rPr>
        <w:t>FASPRO</w:t>
      </w:r>
      <w:r>
        <w:rPr>
          <w:rFonts w:ascii="Times New Roman" w:cs="Times New Roman" w:eastAsia="Times New Roman" w:hAnsi="Times New Roman"/>
          <w:sz w:val="12"/>
          <w:szCs w:val="12"/>
          <w:color w:val="231F20"/>
        </w:rPr>
        <w:t xml:space="preserve"> in the US and as DARZALEX SC in Europe for SC administration) is a human monoclonal antibody that binds with high affinity to the CD38 molecule, which is highly expressed on the surface of MM cells and is also expressed by AL amyloidosis plasma cells. Genmab used technology licensed from Medarex to generate the CD38 antibody. Daratumumab is being developed and commercialized by J&amp;J under an exclusive worldwide license from Genmab to develop, manufacture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 xml:space="preserve">commercialize daratumumab. Daratumumab is approved in a large number of territories for the treatment of adult patients with certain MM indications. SC daratumumab </w:t>
      </w:r>
      <w:r>
        <w:rPr>
          <w:rFonts w:ascii="Times New Roman" w:cs="Times New Roman" w:eastAsia="Times New Roman" w:hAnsi="Times New Roman"/>
          <w:sz w:val="12"/>
          <w:szCs w:val="12"/>
          <w:color w:val="000000"/>
        </w:rPr>
        <w:t>is the only approved therapy for the treatment of patients with high -risk</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smoldering MM, approved in the US and Europe. It is also the only approved therapy in the US, Europe and Japan for the treatment of adult patients with AL amyloidosis</w:t>
      </w:r>
      <w:r>
        <w:rPr>
          <w:rFonts w:ascii="Times New Roman" w:cs="Times New Roman" w:eastAsia="Times New Roman" w:hAnsi="Times New Roman"/>
          <w:sz w:val="12"/>
          <w:szCs w:val="12"/>
          <w:color w:val="231F20"/>
        </w:rPr>
        <w:t>.</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Amivantamab (RYBREVANT), Teclistamab (TECVAYLI), Talquetamab (TALVEY)</w:t>
      </w:r>
    </w:p>
    <w:p>
      <w:pPr>
        <w:spacing w:after="0" w:line="1" w:lineRule="exact"/>
        <w:rPr>
          <w:sz w:val="20"/>
          <w:szCs w:val="20"/>
          <w:color w:val="auto"/>
        </w:rPr>
      </w:pPr>
    </w:p>
    <w:p>
      <w:pPr>
        <w:ind w:left="620" w:right="2400"/>
        <w:spacing w:after="0" w:line="215" w:lineRule="auto"/>
        <w:rPr>
          <w:sz w:val="20"/>
          <w:szCs w:val="20"/>
          <w:color w:val="auto"/>
        </w:rPr>
      </w:pPr>
      <w:r>
        <w:rPr>
          <w:rFonts w:ascii="Times New Roman" w:cs="Times New Roman" w:eastAsia="Times New Roman" w:hAnsi="Times New Roman"/>
          <w:sz w:val="12"/>
          <w:szCs w:val="12"/>
          <w:color w:val="auto"/>
        </w:rPr>
        <w:t>In July 2012, and as amended in December 2013, Genmab entered into a collaboration with J&amp;J to create and develop bispecific antibodies using Genmab’s DuoBody technology platform. Three approved therapies were generated from this agreement, RYBREVANT (amivantamab), TECVAYLI (teclistamab) and TALVEY (talquetamab).</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 xml:space="preserve">RYBREVANT is approved for the treatment of certain adult patients with NSCLC in certain territories including the US, Europe, Japan and other territories. RYBREVANT </w:t>
      </w:r>
      <w:r>
        <w:rPr>
          <w:rFonts w:ascii="Times New Roman" w:cs="Times New Roman" w:eastAsia="Times New Roman" w:hAnsi="Times New Roman"/>
          <w:sz w:val="12"/>
          <w:szCs w:val="12"/>
          <w:i w:val="1"/>
          <w:iCs w:val="1"/>
          <w:color w:val="auto"/>
        </w:rPr>
        <w:t>FASPRO</w:t>
      </w:r>
      <w:r>
        <w:rPr>
          <w:rFonts w:ascii="Times New Roman" w:cs="Times New Roman" w:eastAsia="Times New Roman" w:hAnsi="Times New Roman"/>
          <w:sz w:val="12"/>
          <w:szCs w:val="12"/>
          <w:color w:val="auto"/>
        </w:rPr>
        <w:t xml:space="preserve"> is approved in the US. TECVAYLI and TALVEY are approved for the treatment of certain adult patients with relapsed or refractory MM in certain territories including the US, Europe, Japan and other territories. J&amp;J is responsible for the development and commercialization of these medicines.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Ofatumumab (Kesimpta)</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Ofatumumab is a human monoclonal antibody that targets an epitope on the CD20 molecule encompassing parts of the small and large extracellular loops. Genmab used technology licensed from Medarex to generate the CD20 antibody. Ofatumumab, marketed as Kesimpta, is approved in territories including the US, Europe, Japan and other territories for the treatment of certain adult patients with RMS. Ofatumumab is the first B- cell therapy that can be self -administered by patients using the Sensoready autoinjector pen, once monthly after starting therapy. Ofatumumab is being marketed worldwide by Novartis under a license agreement between Genmab and Novartis.</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Teprotumumab (TEPEZZA)</w:t>
      </w:r>
    </w:p>
    <w:p>
      <w:pPr>
        <w:ind w:left="620" w:right="2400"/>
        <w:spacing w:after="0" w:line="215" w:lineRule="auto"/>
        <w:rPr>
          <w:sz w:val="20"/>
          <w:szCs w:val="20"/>
          <w:color w:val="auto"/>
        </w:rPr>
      </w:pPr>
      <w:r>
        <w:rPr>
          <w:rFonts w:ascii="Times New Roman" w:cs="Times New Roman" w:eastAsia="Times New Roman" w:hAnsi="Times New Roman"/>
          <w:sz w:val="12"/>
          <w:szCs w:val="12"/>
          <w:color w:val="231F20"/>
        </w:rPr>
        <w:t>Teprotumumab, marketed as TEPEZZA, is a human monoclonal antibody that targets the Insulin-like Growth Factor 1 Receptor (“</w:t>
      </w:r>
      <w:r>
        <w:rPr>
          <w:rFonts w:ascii="Times New Roman" w:cs="Times New Roman" w:eastAsia="Times New Roman" w:hAnsi="Times New Roman"/>
          <w:sz w:val="12"/>
          <w:szCs w:val="12"/>
          <w:b w:val="1"/>
          <w:bCs w:val="1"/>
          <w:color w:val="231F20"/>
        </w:rPr>
        <w:t>IGF-1R</w:t>
      </w:r>
      <w:r>
        <w:rPr>
          <w:rFonts w:ascii="Times New Roman" w:cs="Times New Roman" w:eastAsia="Times New Roman" w:hAnsi="Times New Roman"/>
          <w:sz w:val="12"/>
          <w:szCs w:val="12"/>
          <w:color w:val="231F20"/>
        </w:rPr>
        <w:t>”), a validated target. It is the first and only medicine approved for the treatment of TED in the US, Europe and Japan. Genmab used technology licensed from Medarex to generate the IGF-1R antibody. The antibody was created by Genmab under a collaboration with Roche and development and commercialization of the product is currently being conducted by Amgen.</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Partnered Candidates</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Our collaboration partners currently have multiple product candidates in clinical development through collaboration agreements with us. These include products that are being developed in collaboration with Lundbeck, Novo Nordisk and Partner Therapeutics. In September 2025, Novo Nordisk submitted a BLA to the FDA for Mim8 (denecimig) to prevent or reduce the frequency of bleeding episodes in adult and pediatric patients with hemophilia A (congenital FVIIIa deficiency), with or without inhibitors. Denecimig is a bispecific antibody created using our DuoBody technology platform.</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231F20"/>
        </w:rPr>
        <w:t>Our Technology Platforms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DuoBody Platform</w:t>
      </w:r>
    </w:p>
    <w:p>
      <w:pPr>
        <w:ind w:left="620" w:right="2320"/>
        <w:spacing w:after="0" w:line="220" w:lineRule="auto"/>
        <w:rPr>
          <w:sz w:val="20"/>
          <w:szCs w:val="20"/>
          <w:color w:val="auto"/>
        </w:rPr>
      </w:pPr>
      <w:r>
        <w:rPr>
          <w:rFonts w:ascii="Times New Roman" w:cs="Times New Roman" w:eastAsia="Times New Roman" w:hAnsi="Times New Roman"/>
          <w:sz w:val="12"/>
          <w:szCs w:val="12"/>
          <w:color w:val="231F20"/>
        </w:rPr>
        <w:t>Antibodies are Y-shaped proteins that play a central role in immunity against bacteria and viruses (also known as pathogens). As we develop immunity, our bodies generate antibodies that bind to pathogen structures (known as antigens), which are specific to the pathogen. Once bound, the antibodies attract other parts of the immune system to eliminate the pathogen. In modern medicine, we have learned how to create and develop specific antibodies against antigens associated with diseased human cells for use in the treatment of diseases such as cancer and autoimmune disease. Genmab uses several types of technologies to create antibodies to treat disease and has developed proprietary antibody technologies including the DuoBody, HexaBody, DuoHexaBody and HexElect technology platforms. With our acquisition of ProfoundBio we gained their novel ADC technology platforms. We also gained a number of proprietary technology</w:t>
      </w:r>
    </w:p>
    <w:p>
      <w:pPr>
        <w:sectPr>
          <w:pgSz w:w="11900" w:h="16840" w:orient="portrait"/>
          <w:cols w:equalWidth="0" w:num="1">
            <w:col w:w="9020"/>
          </w:cols>
          <w:pgMar w:left="1440" w:top="721" w:right="1440" w:bottom="51" w:gutter="0" w:footer="0" w:header="0"/>
          <w:type w:val="continuous"/>
        </w:sectPr>
      </w:pPr>
    </w:p>
    <w:bookmarkStart w:id="32" w:name="page33"/>
    <w:bookmarkEnd w:id="32"/>
    <w:p>
      <w:pPr>
        <w:ind w:left="620"/>
        <w:spacing w:after="0"/>
        <w:rPr>
          <w:sz w:val="20"/>
          <w:szCs w:val="20"/>
          <w:color w:val="auto"/>
        </w:rPr>
      </w:pPr>
      <w:r>
        <w:rPr>
          <w:rFonts w:ascii="Times New Roman" w:cs="Times New Roman" w:eastAsia="Times New Roman" w:hAnsi="Times New Roman"/>
          <w:sz w:val="12"/>
          <w:szCs w:val="12"/>
          <w:color w:val="231F20"/>
        </w:rPr>
        <w:t>platforms as part of our acquisition of Merus.</w:t>
      </w:r>
    </w:p>
    <w:p>
      <w:pPr>
        <w:ind w:left="620" w:right="2540"/>
        <w:spacing w:after="0" w:line="234" w:lineRule="auto"/>
        <w:rPr>
          <w:sz w:val="20"/>
          <w:szCs w:val="20"/>
          <w:color w:val="auto"/>
        </w:rPr>
      </w:pPr>
      <w:r>
        <w:rPr>
          <w:rFonts w:ascii="Times New Roman" w:cs="Times New Roman" w:eastAsia="Times New Roman" w:hAnsi="Times New Roman"/>
          <w:sz w:val="12"/>
          <w:szCs w:val="12"/>
          <w:color w:val="231F20"/>
        </w:rPr>
        <w:t>We also use or license several other technologies to generate diverse libraries of high-quality, functional antibodies. In addition, we use or license technologies to increase the potency of some of our antibody therapeutics on a product-by-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80"/>
        <w:spacing w:after="0" w:line="215" w:lineRule="auto"/>
        <w:rPr>
          <w:sz w:val="20"/>
          <w:szCs w:val="20"/>
          <w:color w:val="auto"/>
        </w:rPr>
      </w:pPr>
      <w:r>
        <w:rPr>
          <w:rFonts w:ascii="Times New Roman" w:cs="Times New Roman" w:eastAsia="Times New Roman" w:hAnsi="Times New Roman"/>
          <w:sz w:val="12"/>
          <w:szCs w:val="12"/>
          <w:color w:val="231F20"/>
        </w:rPr>
        <w:t xml:space="preserve">product basis. See </w:t>
      </w:r>
      <w:r>
        <w:rPr>
          <w:rFonts w:ascii="Times New Roman" w:cs="Times New Roman" w:eastAsia="Times New Roman" w:hAnsi="Times New Roman"/>
          <w:sz w:val="12"/>
          <w:szCs w:val="12"/>
          <w:i w:val="1"/>
          <w:iCs w:val="1"/>
          <w:color w:val="231F20"/>
        </w:rPr>
        <w:t>“—Product and Technology Collaborations—Collaborations and Other Agreements for our Partnered</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i w:val="1"/>
          <w:iCs w:val="1"/>
          <w:color w:val="231F20"/>
        </w:rPr>
        <w:t xml:space="preserve">Products” </w:t>
      </w:r>
      <w:r>
        <w:rPr>
          <w:rFonts w:ascii="Times New Roman" w:cs="Times New Roman" w:eastAsia="Times New Roman" w:hAnsi="Times New Roman"/>
          <w:sz w:val="12"/>
          <w:szCs w:val="12"/>
          <w:color w:val="231F20"/>
        </w:rPr>
        <w:t>for more information about our current licenses and collaborations.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231F20"/>
        </w:rPr>
        <w:t>Manufacturing</w:t>
      </w:r>
    </w:p>
    <w:p>
      <w:pPr>
        <w:ind w:left="620" w:right="2320"/>
        <w:spacing w:after="0"/>
        <w:rPr>
          <w:sz w:val="20"/>
          <w:szCs w:val="20"/>
          <w:color w:val="auto"/>
        </w:rPr>
      </w:pPr>
      <w:r>
        <w:rPr>
          <w:rFonts w:ascii="Times New Roman" w:cs="Times New Roman" w:eastAsia="Times New Roman" w:hAnsi="Times New Roman"/>
          <w:sz w:val="12"/>
          <w:szCs w:val="12"/>
          <w:color w:val="231F20"/>
        </w:rPr>
        <w:t>We do not currently manufacture the products that we need to conduct clinical trials, and we therefore rely on our collaboration partners or CMOs to supply product for our IND -enabling trials, clinical trials and process validation batches and related activities for BLA and other regulatory submissions, and we expect to rely on such collaboration partners or CMOs for production of commercial supply of our products in the future. Manufacturing pharmaceutical products is subject to extensive regulations that impose various procedural and documentation requirements, which govern record keeping, manufacturing processes and controls, personnel, quality control and quality assurance. Our vendors are required to comply with GMP regulations, which are regulatory requirements enforced by the FDA, the EMA and other regulatory bodies to assure proper design, monitoring and control of manufacturing processes and facilities for human pharmaceuticals.</w:t>
      </w:r>
    </w:p>
    <w:p>
      <w:pPr>
        <w:spacing w:after="0" w:line="10" w:lineRule="exact"/>
        <w:rPr>
          <w:sz w:val="20"/>
          <w:szCs w:val="20"/>
          <w:color w:val="auto"/>
        </w:rPr>
      </w:pPr>
    </w:p>
    <w:p>
      <w:pPr>
        <w:ind w:left="620" w:right="2500"/>
        <w:spacing w:after="0" w:line="215" w:lineRule="auto"/>
        <w:rPr>
          <w:sz w:val="20"/>
          <w:szCs w:val="20"/>
          <w:color w:val="auto"/>
        </w:rPr>
      </w:pPr>
      <w:r>
        <w:rPr>
          <w:rFonts w:ascii="Times New Roman" w:cs="Times New Roman" w:eastAsia="Times New Roman" w:hAnsi="Times New Roman"/>
          <w:sz w:val="12"/>
          <w:szCs w:val="12"/>
          <w:color w:val="231F20"/>
        </w:rPr>
        <w:t>We have no involvement with the manufacturing process for our approved products in development with collaboration partners, DARZALEX, RYBREVANT, TECVAYLI, and TALVEY, which are handled by J&amp;J; Kesimpta, handled by Novartis; and TEPEZZA, handled by Amgen, under the applicable agreements. Our partners Pfizer and AbbVie are responsible for the manufacturing processes for Tivdak and EPKINLY/ TEPKINLY, respectively, under the applicable agreements.</w:t>
      </w:r>
    </w:p>
    <w:p>
      <w:pPr>
        <w:ind w:left="620"/>
        <w:spacing w:after="0" w:line="216" w:lineRule="auto"/>
        <w:rPr>
          <w:sz w:val="20"/>
          <w:szCs w:val="20"/>
          <w:color w:val="auto"/>
        </w:rPr>
      </w:pPr>
      <w:r>
        <w:rPr>
          <w:rFonts w:ascii="Times New Roman" w:cs="Times New Roman" w:eastAsia="Times New Roman" w:hAnsi="Times New Roman"/>
          <w:sz w:val="12"/>
          <w:szCs w:val="12"/>
          <w:color w:val="231F20"/>
        </w:rPr>
        <w:t>Currently, the majority of the products required for our clinical trials and preclinical trials are manufactured by a</w:t>
      </w:r>
    </w:p>
    <w:p>
      <w:pPr>
        <w:ind w:left="620" w:right="2280"/>
        <w:spacing w:after="0"/>
        <w:rPr>
          <w:sz w:val="20"/>
          <w:szCs w:val="20"/>
          <w:color w:val="auto"/>
        </w:rPr>
      </w:pPr>
      <w:r>
        <w:rPr>
          <w:rFonts w:ascii="Times New Roman" w:cs="Times New Roman" w:eastAsia="Times New Roman" w:hAnsi="Times New Roman"/>
          <w:sz w:val="12"/>
          <w:szCs w:val="12"/>
          <w:color w:val="231F20"/>
        </w:rPr>
        <w:t>limited number of CMOs and specific sites at those CMOs. In addition, we rely on other third parties to perform additional steps in the manufacturing process, as well as analysis, shipping and storage of drug products and our product candidates. Although we rely on our GMP manufacturers and suppliers, we have personnel with substantial manufacturing and production experience to oversee our relationships with such manufacturers and suppliers and provide the necessary technical, quality and regulatory oversight of our CMOs. We have also adopted procedures to promote compliance by our CMOs with relevant regulatory requirements and internal guidelines with respect to production qualifications, facilities and processes.</w:t>
      </w:r>
    </w:p>
    <w:p>
      <w:pPr>
        <w:spacing w:after="0" w:line="38"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We believe our CMOs are, and any future CMOs will be, capable of producing sufficient quantities of drug products to support our currently planned commercialization, clinical trials and preclinical trials. We also believe that there are alternative third-party manufacturers that have similar capabilities that would be capable of providing sufficient quantities of commercial products and drug products for our planned clinical trials and preclinical trials. However, should our CMOs not be able to provide sufficient quantities of commercial products or drug product for our planned commercialization, clinical trials or preclinical trials, we would be required to seek other CMOs to provide this product, potentially resulting in a delay in such trials or delivery of our commercialized products.</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231F20"/>
        </w:rPr>
        <w:t>Raw Materials</w:t>
      </w:r>
    </w:p>
    <w:p>
      <w:pPr>
        <w:ind w:left="620" w:right="2280"/>
        <w:spacing w:after="0"/>
        <w:rPr>
          <w:sz w:val="20"/>
          <w:szCs w:val="20"/>
          <w:color w:val="auto"/>
        </w:rPr>
      </w:pPr>
      <w:r>
        <w:rPr>
          <w:rFonts w:ascii="Times New Roman" w:cs="Times New Roman" w:eastAsia="Times New Roman" w:hAnsi="Times New Roman"/>
          <w:sz w:val="12"/>
          <w:szCs w:val="12"/>
          <w:color w:val="231F20"/>
        </w:rPr>
        <w:t>We currently rely on third- party manufacturers for raw materials. Raw materials are currently available in quantities adequate to meet the needs of our business. The prices of the raw materials are subject to various service agreements. While we do not anticipate any significant price volatility, to the extent that we are exposed to price fluctuations, we expect the fluctuations to occur within a limited range and not have a material impact on our business, financial condition, liquidity, or operating results.</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b w:val="1"/>
          <w:bCs w:val="1"/>
          <w:color w:val="231F20"/>
        </w:rPr>
        <w:t>Commercialization Strategy</w:t>
      </w:r>
    </w:p>
    <w:p>
      <w:pPr>
        <w:ind w:left="620" w:right="2280"/>
        <w:spacing w:after="0" w:line="221" w:lineRule="auto"/>
        <w:rPr>
          <w:sz w:val="20"/>
          <w:szCs w:val="20"/>
          <w:color w:val="auto"/>
        </w:rPr>
      </w:pPr>
      <w:r>
        <w:rPr>
          <w:rFonts w:ascii="Times New Roman" w:cs="Times New Roman" w:eastAsia="Times New Roman" w:hAnsi="Times New Roman"/>
          <w:sz w:val="12"/>
          <w:szCs w:val="12"/>
          <w:color w:val="231F20"/>
        </w:rPr>
        <w:t xml:space="preserve">Our approved products in development with collaboration partners are DARZALEX, RYBREVANT, TECVAYLI, and TALVEY marketed by J&amp;J, Kesimpta marketed by Novartis, TEPEZZA marketed by Amgen, under worldwide license agreements with us, or in the case of TEPEZZA, under a sublicense from Roche and </w:t>
      </w:r>
      <w:r>
        <w:rPr>
          <w:rFonts w:ascii="Times New Roman" w:cs="Times New Roman" w:eastAsia="Times New Roman" w:hAnsi="Times New Roman"/>
          <w:sz w:val="12"/>
          <w:szCs w:val="12"/>
          <w:color w:val="000000"/>
        </w:rPr>
        <w:t>BIZENGRI, which is marketed</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in the US by Partner Therapeutics</w:t>
      </w:r>
      <w:r>
        <w:rPr>
          <w:rFonts w:ascii="Times New Roman" w:cs="Times New Roman" w:eastAsia="Times New Roman" w:hAnsi="Times New Roman"/>
          <w:sz w:val="12"/>
          <w:szCs w:val="12"/>
          <w:color w:val="231F20"/>
        </w:rPr>
        <w:t>. We receive royalties from J&amp;J, Novartis, Roche and Partner Therapeutics based on net</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 xml:space="preserve">sales of DARZALEX, RYBREVANT, TECVAYLI, TALVEY, Kesimpta, TEPEZZA and </w:t>
      </w:r>
      <w:r>
        <w:rPr>
          <w:rFonts w:ascii="Times New Roman" w:cs="Times New Roman" w:eastAsia="Times New Roman" w:hAnsi="Times New Roman"/>
          <w:sz w:val="12"/>
          <w:szCs w:val="12"/>
          <w:color w:val="000000"/>
        </w:rPr>
        <w:t>BIZENGRI</w:t>
      </w:r>
      <w:r>
        <w:rPr>
          <w:rFonts w:ascii="Times New Roman" w:cs="Times New Roman" w:eastAsia="Times New Roman" w:hAnsi="Times New Roman"/>
          <w:sz w:val="12"/>
          <w:szCs w:val="12"/>
          <w:color w:val="231F20"/>
        </w:rPr>
        <w:t>, but we are not involved with commercialization activities or strategy.</w:t>
      </w:r>
    </w:p>
    <w:p>
      <w:pPr>
        <w:sectPr>
          <w:pgSz w:w="11900" w:h="16840" w:orient="portrait"/>
          <w:cols w:equalWidth="0" w:num="1">
            <w:col w:w="9020"/>
          </w:cols>
          <w:pgMar w:left="1440" w:top="559" w:right="1440" w:bottom="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231F20"/>
        </w:rPr>
        <w:t>We are continuing to expand our commercialization capabilities to market our own products for the indications and in</w:t>
      </w:r>
    </w:p>
    <w:p>
      <w:pPr>
        <w:ind w:left="620" w:right="2320"/>
        <w:spacing w:after="0" w:line="228" w:lineRule="auto"/>
        <w:rPr>
          <w:sz w:val="20"/>
          <w:szCs w:val="20"/>
          <w:color w:val="auto"/>
        </w:rPr>
      </w:pPr>
      <w:r>
        <w:rPr>
          <w:rFonts w:ascii="Times New Roman" w:cs="Times New Roman" w:eastAsia="Times New Roman" w:hAnsi="Times New Roman"/>
          <w:sz w:val="12"/>
          <w:szCs w:val="12"/>
          <w:color w:val="231F20"/>
        </w:rPr>
        <w:t>the geographies we determine would be most effective to create value for patients and our shareholders. Genmab became a commercial-stage company with the launch of Tivdak for the treatment of 2L+ recurrent or metastatic cervical cancer in 2021. Tivdak is developed and commercialized together with Pfizer. Effective January 1, 2025, Genmab and Pfizer agreed</w:t>
      </w:r>
    </w:p>
    <w:p>
      <w:pPr>
        <w:sectPr>
          <w:pgSz w:w="11900" w:h="16840" w:orient="portrait"/>
          <w:cols w:equalWidth="0" w:num="1">
            <w:col w:w="9020"/>
          </w:cols>
          <w:pgMar w:left="1440" w:top="559" w:right="1440" w:bottom="42" w:gutter="0" w:footer="0" w:header="0"/>
          <w:type w:val="continuous"/>
        </w:sectPr>
      </w:pPr>
    </w:p>
    <w:bookmarkStart w:id="33" w:name="page34"/>
    <w:bookmarkEnd w:id="33"/>
    <w:p>
      <w:pPr>
        <w:ind w:left="620" w:right="2300"/>
        <w:spacing w:after="0"/>
        <w:rPr>
          <w:sz w:val="20"/>
          <w:szCs w:val="20"/>
          <w:color w:val="auto"/>
        </w:rPr>
      </w:pPr>
      <w:r>
        <w:rPr>
          <w:rFonts w:ascii="Times New Roman" w:cs="Times New Roman" w:eastAsia="Times New Roman" w:hAnsi="Times New Roman"/>
          <w:sz w:val="12"/>
          <w:szCs w:val="12"/>
          <w:color w:val="231F20"/>
        </w:rPr>
        <w:t>to amend the Pfizer License and Collaboration Agreement and the Tivdak Joint Commercialization Agreement, assigning Genmab sole responsibility for the development and commercialization of Tivdak for 2L+ recurrent or metastatic cervical cancer in Europe and all other regions globally, excluding the US and China. With this amendment, Genmab continues to co-promote Tivdak with Pfizer in the US and leads operational activities in Japan. Pfizer will continue to lead commercialization activities in China if and when approved in connection with the sublicense of its right to develop and commercialize Tivdak in China to Zai Lab. Following this amendment, Genmab launched Tivdak in Japan and Germany in 2025.</w:t>
      </w:r>
    </w:p>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231F20"/>
        </w:rPr>
        <w:t>In 2023, we began commercializing EPKINLY together with AbbVie. We are the lead in co-commercializing</w:t>
      </w:r>
    </w:p>
    <w:p>
      <w:pPr>
        <w:ind w:left="620"/>
        <w:spacing w:after="0" w:line="215" w:lineRule="auto"/>
        <w:rPr>
          <w:sz w:val="20"/>
          <w:szCs w:val="20"/>
          <w:color w:val="auto"/>
        </w:rPr>
      </w:pPr>
      <w:r>
        <w:rPr>
          <w:rFonts w:ascii="Times New Roman" w:cs="Times New Roman" w:eastAsia="Times New Roman" w:hAnsi="Times New Roman"/>
          <w:sz w:val="12"/>
          <w:szCs w:val="12"/>
          <w:color w:val="231F20"/>
        </w:rPr>
        <w:t>EPKINLY in the US and Japan with AbbVie. AbbVie is responsible for commercialization in Europe and other markets as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TEPKINLY.</w:t>
      </w:r>
    </w:p>
    <w:p>
      <w:pPr>
        <w:ind w:left="620" w:right="2460"/>
        <w:spacing w:after="0" w:line="215" w:lineRule="auto"/>
        <w:rPr>
          <w:sz w:val="20"/>
          <w:szCs w:val="20"/>
          <w:color w:val="auto"/>
        </w:rPr>
      </w:pPr>
      <w:r>
        <w:rPr>
          <w:rFonts w:ascii="Times New Roman" w:cs="Times New Roman" w:eastAsia="Times New Roman" w:hAnsi="Times New Roman"/>
          <w:sz w:val="12"/>
          <w:szCs w:val="12"/>
          <w:color w:val="231F20"/>
        </w:rPr>
        <w:t>Moving forward, we may commercialize new products from our portfolio independently through our own operations or, in some markets, through distribution partners depending on our assessment of the most effective commercialization plan to benefit patients and create value for our shareholders.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231F20"/>
        </w:rPr>
        <w:t>Competition</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The biotechnology and pharmaceutical industries generally, and the cancer drug sector specifically, are characterized</w:t>
      </w:r>
    </w:p>
    <w:p>
      <w:pPr>
        <w:spacing w:after="0" w:line="1" w:lineRule="exact"/>
        <w:rPr>
          <w:sz w:val="20"/>
          <w:szCs w:val="20"/>
          <w:color w:val="auto"/>
        </w:rPr>
      </w:pPr>
    </w:p>
    <w:p>
      <w:pPr>
        <w:ind w:left="620" w:right="2260"/>
        <w:spacing w:after="0" w:line="228" w:lineRule="auto"/>
        <w:rPr>
          <w:sz w:val="20"/>
          <w:szCs w:val="20"/>
          <w:color w:val="auto"/>
        </w:rPr>
      </w:pPr>
      <w:r>
        <w:rPr>
          <w:rFonts w:ascii="Times New Roman" w:cs="Times New Roman" w:eastAsia="Times New Roman" w:hAnsi="Times New Roman"/>
          <w:sz w:val="12"/>
          <w:szCs w:val="12"/>
          <w:color w:val="231F20"/>
        </w:rPr>
        <w:t xml:space="preserve">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trials, conducting clinical trials and marketing approved products than we do. Mergers and acquisitions </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b w:val="1"/>
          <w:bCs w:val="1"/>
          <w:color w:val="000000"/>
        </w:rPr>
        <w:t>M&amp;A</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231F20"/>
        </w:rPr>
        <w:t xml:space="preserve">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of their products. In addition, our competitors’ products may be more effective or more effectively marketed and sold than any treatment we or our development collaboration partners may commercialize and may render our product candidates obsolete or noncompetitive before we can recover the expenses related to developing and commercializing our product candidates.</w:t>
      </w:r>
    </w:p>
    <w:p>
      <w:pPr>
        <w:ind w:left="620"/>
        <w:spacing w:after="0" w:line="225" w:lineRule="auto"/>
        <w:rPr>
          <w:sz w:val="20"/>
          <w:szCs w:val="20"/>
          <w:color w:val="auto"/>
        </w:rPr>
      </w:pPr>
      <w:r>
        <w:rPr>
          <w:rFonts w:ascii="Times New Roman" w:cs="Times New Roman" w:eastAsia="Times New Roman" w:hAnsi="Times New Roman"/>
          <w:sz w:val="12"/>
          <w:szCs w:val="12"/>
          <w:color w:val="231F20"/>
        </w:rPr>
        <w:t>Below is a description of competition in certain of our products and product candidates.</w:t>
      </w:r>
    </w:p>
    <w:p>
      <w:pPr>
        <w:ind w:left="620" w:right="2300"/>
        <w:spacing w:after="0" w:line="238" w:lineRule="auto"/>
        <w:rPr>
          <w:sz w:val="20"/>
          <w:szCs w:val="20"/>
          <w:color w:val="auto"/>
        </w:rPr>
      </w:pPr>
      <w:r>
        <w:rPr>
          <w:rFonts w:ascii="Times New Roman" w:cs="Times New Roman" w:eastAsia="Times New Roman" w:hAnsi="Times New Roman"/>
          <w:sz w:val="12"/>
          <w:szCs w:val="12"/>
          <w:color w:val="231F20"/>
        </w:rPr>
        <w:t>With respect to daratumumab, there are numerous other FDA-approved drugs for the treatment of MM, and the competition daratumumab faces is increasing. Isatuximab, a CD38 antibody developed by Sanofi S.A. (“</w:t>
      </w:r>
      <w:r>
        <w:rPr>
          <w:rFonts w:ascii="Times New Roman" w:cs="Times New Roman" w:eastAsia="Times New Roman" w:hAnsi="Times New Roman"/>
          <w:sz w:val="12"/>
          <w:szCs w:val="12"/>
          <w:b w:val="1"/>
          <w:bCs w:val="1"/>
          <w:color w:val="231F20"/>
        </w:rPr>
        <w:t>Sanofi</w:t>
      </w:r>
      <w:r>
        <w:rPr>
          <w:rFonts w:ascii="Times New Roman" w:cs="Times New Roman" w:eastAsia="Times New Roman" w:hAnsi="Times New Roman"/>
          <w:sz w:val="12"/>
          <w:szCs w:val="12"/>
          <w:color w:val="231F20"/>
        </w:rPr>
        <w:t>”), was approved as Sarclisa® by the FDA in March 2020 and the European Commission in June 2020 for the treatment of adult patients with MM who have received at least two prior therapies including lenalidomide and a PI. Although an earlier accelerated approval was withdrawn due to a failed confirmatory Phase III trial, a ne\wer Phase III trial with daratumumab as part of the control was the basis for the October 2025 approval of GSK’s Blenrep®. CAR-Ts have also been approved for use in MM including BMS’s and 2seventybio’s ABECMA® and J&amp;J’s CARVYKTI®, and two bispecific antibodies have been approved: J&amp;J’s TECVAYLI® and TALVEY™, and Pfizer’s Elrexfio®. We are also aware of numerous additional investigational agents that are currently being studied. If any of these investigational agents are successful, they may compete with daratumumab in the future. Data has also been presented on several developing technologies and related potential products, including other bispecific antibodies, ADCs and CAR-Ts that may compete with daratumumab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With respect to ofatumumab for the treatment of RMS in adults, c</w:t>
      </w:r>
      <w:r>
        <w:rPr>
          <w:rFonts w:ascii="Times New Roman" w:cs="Times New Roman" w:eastAsia="Times New Roman" w:hAnsi="Times New Roman"/>
          <w:sz w:val="12"/>
          <w:szCs w:val="12"/>
          <w:color w:val="231F20"/>
        </w:rPr>
        <w:t>ompetition in the multiple sclerosis (“</w:t>
      </w:r>
      <w:r>
        <w:rPr>
          <w:rFonts w:ascii="Times New Roman" w:cs="Times New Roman" w:eastAsia="Times New Roman" w:hAnsi="Times New Roman"/>
          <w:sz w:val="12"/>
          <w:szCs w:val="12"/>
          <w:b w:val="1"/>
          <w:bCs w:val="1"/>
          <w:color w:val="231F20"/>
        </w:rPr>
        <w:t>MS</w:t>
      </w:r>
      <w:r>
        <w:rPr>
          <w:rFonts w:ascii="Times New Roman" w:cs="Times New Roman" w:eastAsia="Times New Roman" w:hAnsi="Times New Roman"/>
          <w:sz w:val="12"/>
          <w:szCs w:val="12"/>
          <w:color w:val="231F20"/>
        </w:rPr>
        <w:t>”) market 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intense and there are numerous FDA- approved drugs for the treatment of the various forms of MS. A number of companies are also working to develop potential treatments for MS that may in the future further intensify the competition in the MS market, such as TG Therapeutics’ BRIUMVI™, approved in December 2022 and </w:t>
      </w:r>
      <w:r>
        <w:rPr>
          <w:rFonts w:ascii="Times New Roman" w:cs="Times New Roman" w:eastAsia="Times New Roman" w:hAnsi="Times New Roman"/>
          <w:sz w:val="12"/>
          <w:szCs w:val="12"/>
          <w:color w:val="000000"/>
        </w:rPr>
        <w:t>Genentech Inc.’s OCREVUS</w:t>
      </w:r>
      <w:r>
        <w:rPr>
          <w:rFonts w:ascii="Times New Roman" w:cs="Times New Roman" w:eastAsia="Times New Roman" w:hAnsi="Times New Roman"/>
          <w:sz w:val="8"/>
          <w:szCs w:val="8"/>
          <w:color w:val="000000"/>
        </w:rPr>
        <w:t>®</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(a CD20</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antibody), approved in 2017</w:t>
      </w:r>
      <w:r>
        <w:rPr>
          <w:rFonts w:ascii="Times New Roman" w:cs="Times New Roman" w:eastAsia="Times New Roman" w:hAnsi="Times New Roman"/>
          <w:sz w:val="12"/>
          <w:szCs w:val="12"/>
          <w:color w:val="231F20"/>
        </w:rPr>
        <w:t>. Potential future sales may also be negatively impacted by the introduction of generics,</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prodrugs of existing therapeutics or biosimilars of existing products and other technologies.</w:t>
      </w:r>
    </w:p>
    <w:p>
      <w:pPr>
        <w:ind w:left="620"/>
        <w:spacing w:after="0" w:line="216" w:lineRule="auto"/>
        <w:rPr>
          <w:sz w:val="20"/>
          <w:szCs w:val="20"/>
          <w:color w:val="auto"/>
        </w:rPr>
      </w:pPr>
      <w:r>
        <w:rPr>
          <w:rFonts w:ascii="Times New Roman" w:cs="Times New Roman" w:eastAsia="Times New Roman" w:hAnsi="Times New Roman"/>
          <w:sz w:val="12"/>
          <w:szCs w:val="12"/>
          <w:color w:val="231F20"/>
        </w:rPr>
        <w:t>With respect to tisotumab vedotin, we are aware of other companies that currently have products in development for</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the treatment of cervical cancer, which could be competitive with tisotumab vedotin, including checkpoint inhibitors from Agenus Inc., BMS, Merck &amp; Co., Inc. (“</w:t>
      </w:r>
      <w:r>
        <w:rPr>
          <w:rFonts w:ascii="Times New Roman" w:cs="Times New Roman" w:eastAsia="Times New Roman" w:hAnsi="Times New Roman"/>
          <w:sz w:val="12"/>
          <w:szCs w:val="12"/>
          <w:b w:val="1"/>
          <w:bCs w:val="1"/>
          <w:color w:val="231F20"/>
        </w:rPr>
        <w:t>Merck</w:t>
      </w:r>
      <w:r>
        <w:rPr>
          <w:rFonts w:ascii="Times New Roman" w:cs="Times New Roman" w:eastAsia="Times New Roman" w:hAnsi="Times New Roman"/>
          <w:sz w:val="12"/>
          <w:szCs w:val="12"/>
          <w:color w:val="231F20"/>
        </w:rPr>
        <w:t>”), Roche, and Innovent Biologics, Inc. as well as other drugs in development from other companies. In June 2018, the FDA granted Merck’s Keytruda, a PD-1 inhibitor, accelerated approval as monotherapy for patients with recurrent or metastatic cervical cancer. The FDA granted full approval for this indication in October 2021, at the same time approving Keytruda in combination with chemotherapy, with or without bevacizumab, for patients with persistent, recurrent or metastatic cervical cancer whose tumors express PD -L1 (CPS ³1), as determined by an FDA- approved test. Keytruda was subsequently approved in this indication in Europe in April 2022. Keytruda was approved in January 2024 in combination with concurrent chemoradiotherapy for locally- advanced cervical cancer. Also, a bispecific antibody having one similar target with Keytruda, AstraZeneca’s volrustomig, recently entered Phase III trials and could complete in this indication within the next several years. In addition, in April 2024 the FDA granted accelerated, tumor-agnostic approval to AstraZeneca and Daiichi Sankyo’s Enhertu (fam -trastuzumab deruxtecan-nxki), a HER2-directed antibody-drug conjugate, for adult patients with unresectable or metastatic HER2-positive (IHC 3+) solid tumors who have received prior systemic treatment and have no satisfactory alternative treatment options.</w:t>
      </w:r>
    </w:p>
    <w:p>
      <w:pPr>
        <w:spacing w:after="0" w:line="1" w:lineRule="exact"/>
        <w:rPr>
          <w:sz w:val="20"/>
          <w:szCs w:val="20"/>
          <w:color w:val="auto"/>
        </w:rPr>
      </w:pPr>
    </w:p>
    <w:p>
      <w:pPr>
        <w:ind w:left="620" w:right="2280"/>
        <w:spacing w:after="0" w:line="224" w:lineRule="auto"/>
        <w:rPr>
          <w:sz w:val="20"/>
          <w:szCs w:val="20"/>
          <w:color w:val="auto"/>
        </w:rPr>
      </w:pPr>
      <w:r>
        <w:rPr>
          <w:rFonts w:ascii="Times New Roman" w:cs="Times New Roman" w:eastAsia="Times New Roman" w:hAnsi="Times New Roman"/>
          <w:sz w:val="12"/>
          <w:szCs w:val="12"/>
          <w:color w:val="231F20"/>
        </w:rPr>
        <w:t>We are similarly aware, with respect to epcoritamab, of a number of other companies that have bispecific CD3xCD20-targeted product candidates in development for the treatment of B -cell malignancies, which are competing with epcoritamab. These include: Regeneron Pharmaceuticals’ odronextamab, which was approved by the EMA in August 2024 for third line plus LBCL and DLBCL and was filed in the US for third line plus FL; and from Roche: mosunetuzumab, which has BTD and which received conditional marketing authorization as LUNSUMIO® in Europe in third line plus FL in June 2022 and accelerated approval in the US in December 2022; and glofitamab, which received accelerated approval (as COLUMVI®) in both the US and in Europe in June and July of 2023, respectively and was filed in 2024 for R/R DLBCL in combination with GemOx. We are aware that odronextamab, LUNSUMIO and COLUMVI are also being evaluated in other Phase III trials in multiple other B -cell malignancies. We are also aware that there are a variety of CD20 and CD19 antibodies, immunomodulators, ADCs, BTK inhibitors, tyrosine kinase inhibitors and CAR-T therapies that are either approved or in development for non- Hodgkin’s lymphomas. Some of these include ADC Therapeutics’ ZYNLONTA®, approved by the FDA in April 2021 for R/R LBCL and approved in Europe in December 2022, INCYTE’s MONJUVI®, approved by the FDA in combination with lenalidomide in July 2020 in R/R DLBCL, Beigene’s BRUKINSA approved by the FDA in March 2024 for third line plus FL in combination with obinutuzumab, and several CAR-T therapies, Novartis’s KYMRIAH®, approved in the US and EU in R/R FL in May 2022, BMS’s Breyanzi®, approved in the US in June 2022 for R/R LBCL, Gilead Sciences’ YESCARTA®, approved in the US in R/R LBCL in April 2022 and second line DLBCL in Europe in October 2022 and Tecartus, approved for R/R MCL in 2020 in both the US and Europe. In addition, in June 2019 Roche received accelerated approval in the US for POLIVY®, a first-in-class anti - CD79b ADC, in combination with bendamustine and rituximab for adults with R/R DLBCL who have received at least two prior therapies. In August 2021 Roche announced that the Phase III POLARIX trial met its primary endpoint. The positive readout of POLARIX met the post-marketing requirement to convert the accelerated approval into a full approval, potentially raising the bar for other drugs, including epcoritamab, to enter the 1L DLBCL space. POLIVY was granted full approval by the European Commission in May 2022 and by the FDA in April 2023.</w:t>
      </w:r>
    </w:p>
    <w:p>
      <w:pPr>
        <w:spacing w:after="0" w:line="12" w:lineRule="exact"/>
        <w:rPr>
          <w:sz w:val="20"/>
          <w:szCs w:val="20"/>
          <w:color w:val="auto"/>
        </w:rPr>
      </w:pPr>
    </w:p>
    <w:p>
      <w:pPr>
        <w:ind w:left="620" w:right="2400"/>
        <w:spacing w:after="0" w:line="215" w:lineRule="auto"/>
        <w:rPr>
          <w:sz w:val="20"/>
          <w:szCs w:val="20"/>
          <w:color w:val="auto"/>
        </w:rPr>
      </w:pPr>
      <w:r>
        <w:rPr>
          <w:rFonts w:ascii="Times New Roman" w:cs="Times New Roman" w:eastAsia="Times New Roman" w:hAnsi="Times New Roman"/>
          <w:sz w:val="12"/>
          <w:szCs w:val="12"/>
          <w:color w:val="231F20"/>
        </w:rPr>
        <w:t>With respect to Rina- S competitors, Abbvie’s ELAHERE® was the first folate receptor -alpha (FRa) targeting ADC approved, initially in the US and recently in the EU. We are aware of several other FRa ADCs in development, including AbbVie’s next-generation FRa ADC IMGN151; Eli Lilly’s LY4170156; AstraZeneca’s AZD5335; Eiasi’s farletuzumab; and BioThera Solutions’ BAT8006.</w:t>
      </w:r>
    </w:p>
    <w:p>
      <w:pPr>
        <w:ind w:left="620"/>
        <w:spacing w:after="0" w:line="215" w:lineRule="auto"/>
        <w:rPr>
          <w:sz w:val="20"/>
          <w:szCs w:val="20"/>
          <w:color w:val="auto"/>
        </w:rPr>
      </w:pPr>
      <w:r>
        <w:rPr>
          <w:rFonts w:ascii="Times New Roman" w:cs="Times New Roman" w:eastAsia="Times New Roman" w:hAnsi="Times New Roman"/>
          <w:sz w:val="12"/>
          <w:szCs w:val="12"/>
          <w:color w:val="231F20"/>
        </w:rPr>
        <w:t>With respect to petosemtamab competitors, Lilly's Erbitux</w:t>
      </w:r>
      <w:r>
        <w:rPr>
          <w:rFonts w:ascii="Times New Roman" w:cs="Times New Roman" w:eastAsia="Times New Roman" w:hAnsi="Times New Roman"/>
          <w:sz w:val="8"/>
          <w:szCs w:val="8"/>
          <w:color w:val="231F20"/>
        </w:rPr>
        <w:t>®</w:t>
      </w:r>
      <w:r>
        <w:rPr>
          <w:rFonts w:ascii="Times New Roman" w:cs="Times New Roman" w:eastAsia="Times New Roman" w:hAnsi="Times New Roman"/>
          <w:sz w:val="12"/>
          <w:szCs w:val="12"/>
          <w:color w:val="231F20"/>
        </w:rPr>
        <w:t xml:space="preserve"> remains the established EGFR-targeting antibody in</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231F20"/>
        </w:rPr>
        <w:t>HNSCC. We are aware of several next-generation EGFR-targeted approaches that could compete directly or indirectly with</w:t>
      </w:r>
    </w:p>
    <w:p>
      <w:pPr>
        <w:sectPr>
          <w:pgSz w:w="11900" w:h="16840" w:orient="portrait"/>
          <w:cols w:equalWidth="0" w:num="1">
            <w:col w:w="9020"/>
          </w:cols>
          <w:pgMar w:left="1440" w:top="559" w:right="1440" w:bottom="40" w:gutter="0" w:footer="0" w:header="0"/>
        </w:sectPr>
      </w:pPr>
    </w:p>
    <w:bookmarkStart w:id="34" w:name="page35"/>
    <w:bookmarkEnd w:id="34"/>
    <w:p>
      <w:pPr>
        <w:ind w:left="620" w:right="2460"/>
        <w:spacing w:after="0" w:line="231" w:lineRule="auto"/>
        <w:rPr>
          <w:sz w:val="20"/>
          <w:szCs w:val="20"/>
          <w:color w:val="auto"/>
        </w:rPr>
      </w:pPr>
      <w:r>
        <w:rPr>
          <w:rFonts w:ascii="Times New Roman" w:cs="Times New Roman" w:eastAsia="Times New Roman" w:hAnsi="Times New Roman"/>
          <w:sz w:val="12"/>
          <w:szCs w:val="12"/>
          <w:color w:val="231F20"/>
        </w:rPr>
        <w:t>petosemtamab, including J&amp; J’s RYBREVANT, Bicara Therapeutics’ BCA101, and EGFR-directed antibody–drug conjugates such as Lepu Biopharma’s MRG003 and AbbVie’s serclutamab talirine (ABBV-321). In addition, emerging LGR5-targeted modalities (e.g., LGR5-directed cellular therapies like Carina Biotech’s CNA3103 CAR-T) could create longer-term competitive pressure on LGR5 biology and patient selection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231F20"/>
        </w:rPr>
        <w:t>In addition, many other pharmaceutical and biotechnology companies are developing and/or marketing therapies for</w:t>
      </w:r>
    </w:p>
    <w:p>
      <w:pPr>
        <w:ind w:left="620" w:right="2340"/>
        <w:spacing w:after="0" w:line="215" w:lineRule="auto"/>
        <w:rPr>
          <w:sz w:val="20"/>
          <w:szCs w:val="20"/>
          <w:color w:val="auto"/>
        </w:rPr>
      </w:pPr>
      <w:r>
        <w:rPr>
          <w:rFonts w:ascii="Times New Roman" w:cs="Times New Roman" w:eastAsia="Times New Roman" w:hAnsi="Times New Roman"/>
          <w:sz w:val="12"/>
          <w:szCs w:val="12"/>
          <w:color w:val="231F20"/>
        </w:rPr>
        <w:t>the same types of cancer that our products and product candidates are designed and being developed to treat. We are also aware of other companies that have or are developing technologies that may be competitive with ours, including bispecific antibodies, CAR-T and RNA-based technologies. In addition, our DuoBody and other technology collaboration partners may develop compounds utilizing our technology that may compete with product candidates that we are developing. In addition, in the US, the BPCIA created an abbreviated approval pathway for biological products that are</w:t>
      </w:r>
    </w:p>
    <w:p>
      <w:pPr>
        <w:spacing w:after="0" w:line="1" w:lineRule="exact"/>
        <w:rPr>
          <w:sz w:val="20"/>
          <w:szCs w:val="20"/>
          <w:color w:val="auto"/>
        </w:rPr>
      </w:pPr>
    </w:p>
    <w:p>
      <w:pPr>
        <w:ind w:left="620" w:right="2260"/>
        <w:spacing w:after="0" w:line="231" w:lineRule="auto"/>
        <w:rPr>
          <w:sz w:val="20"/>
          <w:szCs w:val="20"/>
          <w:color w:val="auto"/>
        </w:rPr>
      </w:pPr>
      <w:r>
        <w:rPr>
          <w:rFonts w:ascii="Times New Roman" w:cs="Times New Roman" w:eastAsia="Times New Roman" w:hAnsi="Times New Roman"/>
          <w:sz w:val="12"/>
          <w:szCs w:val="12"/>
          <w:color w:val="231F20"/>
        </w:rPr>
        <w:t>demonstrated to be “highly similar” or “biosimilar” to or “interchangeable” with an FDA -approved biological product. This pathway allows competitors to reference the FDA’s prior approvals regarding innovative biological products and data submitted with a BLA to obtain approval of a biosimilar application 12 years after the time of approval of the innovative biological product.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Data exclusivity only assures that another company cannot rely on the FDA’s prior approvals of a BLA for an innovator’s biological product to support the biosimilar product’s approval. Further, under the FDA’s current interpretation, a biosimilar applicant can obtain approval for one or more of the indications approved for the innovator product by extrapolating clinical data from one indication to support approval for other indications. In the EU, the European Commission has granted marketing authorizations for several biosimilars pursuant to a set of general and product class-specific guidelines for biosimilar approvals issued since 2005. We are aware of many pharmaceutical and biotechnology companies, as well as other companies, that are actively engaged in research and development of biosimilars or interchangeable products.</w:t>
      </w:r>
    </w:p>
    <w:p>
      <w:pPr>
        <w:spacing w:after="0" w:line="6" w:lineRule="exact"/>
        <w:rPr>
          <w:sz w:val="20"/>
          <w:szCs w:val="20"/>
          <w:color w:val="auto"/>
        </w:rPr>
      </w:pPr>
    </w:p>
    <w:p>
      <w:pPr>
        <w:ind w:left="620" w:right="2400"/>
        <w:spacing w:after="0" w:line="215" w:lineRule="auto"/>
        <w:rPr>
          <w:sz w:val="20"/>
          <w:szCs w:val="20"/>
          <w:color w:val="auto"/>
        </w:rPr>
      </w:pPr>
      <w:r>
        <w:rPr>
          <w:rFonts w:ascii="Times New Roman" w:cs="Times New Roman" w:eastAsia="Times New Roman" w:hAnsi="Times New Roman"/>
          <w:sz w:val="12"/>
          <w:szCs w:val="12"/>
          <w:color w:val="231F20"/>
        </w:rPr>
        <w:t>It is possible that our competitors will succeed in developing technologies that are more effective than our products or our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 w:lineRule="exact"/>
        <w:rPr>
          <w:sz w:val="20"/>
          <w:szCs w:val="20"/>
          <w:color w:val="auto"/>
        </w:rPr>
      </w:pPr>
    </w:p>
    <w:p>
      <w:pPr>
        <w:ind w:left="620" w:right="2460"/>
        <w:spacing w:after="0" w:line="215" w:lineRule="auto"/>
        <w:rPr>
          <w:sz w:val="20"/>
          <w:szCs w:val="20"/>
          <w:color w:val="auto"/>
        </w:rPr>
      </w:pPr>
      <w:r>
        <w:rPr>
          <w:rFonts w:ascii="Times New Roman" w:cs="Times New Roman" w:eastAsia="Times New Roman" w:hAnsi="Times New Roman"/>
          <w:sz w:val="12"/>
          <w:szCs w:val="12"/>
          <w:color w:val="231F20"/>
        </w:rPr>
        <w:t>With respect to our current and potential future product candidates, we believe that our ability to compete effectively and develop products that can be manufactured cost-effectively and marketed successfully will depend on our ability to:</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advance our prioritized products, product candidates and technology platforms;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license or acquire additional technology or product candidates;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complete clinical trials which position our products for regulatory and commercial success;</w:t>
      </w:r>
    </w:p>
    <w:p>
      <w:pPr>
        <w:ind w:left="620"/>
        <w:spacing w:after="0" w:line="21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maintain a proprietary position in our technologies and products;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obtain required government and other public and private approvals on a timely basis;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attract and retain key personnel;</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become more efficient through productivity initiatives;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commercialize effectively;</w:t>
      </w:r>
    </w:p>
    <w:p>
      <w:pPr>
        <w:ind w:left="620"/>
        <w:spacing w:after="0" w:line="21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obtain reimbursement for our products in approved indications;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establish efficient manufacturing processes and supply chain;</w:t>
      </w:r>
    </w:p>
    <w:p>
      <w:pPr>
        <w:ind w:left="620" w:right="2660"/>
        <w:spacing w:after="0" w:line="22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comply with applicable laws, regulations and regulatory requirements and restrictions with respect to our business,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such as the commercialization of our products, including with respect to any changed or increased regulatory restrictions; and</w:t>
      </w:r>
    </w:p>
    <w:p>
      <w:pPr>
        <w:sectPr>
          <w:pgSz w:w="11900" w:h="16840" w:orient="portrait"/>
          <w:cols w:equalWidth="0" w:num="1">
            <w:col w:w="9020"/>
          </w:cols>
          <w:pgMar w:left="1440" w:top="559" w:right="1440" w:bottom="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enter into additional collaborations to advance the development and commercialization of our product candidates.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231F20"/>
        </w:rPr>
        <w:t>Product and Technology Collaborations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Certain Collaborations for our Proprietary Products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231F20"/>
        </w:rPr>
        <w:t>AbbVie Epcoritamab and Discovery Research Collaborations</w:t>
      </w:r>
    </w:p>
    <w:p>
      <w:pPr>
        <w:spacing w:after="0" w:line="1" w:lineRule="exact"/>
        <w:rPr>
          <w:sz w:val="20"/>
          <w:szCs w:val="20"/>
          <w:color w:val="auto"/>
        </w:rPr>
      </w:pPr>
    </w:p>
    <w:p>
      <w:pPr>
        <w:ind w:left="620" w:right="2460"/>
        <w:spacing w:after="0" w:line="215" w:lineRule="auto"/>
        <w:rPr>
          <w:sz w:val="20"/>
          <w:szCs w:val="20"/>
          <w:color w:val="auto"/>
        </w:rPr>
      </w:pPr>
      <w:r>
        <w:rPr>
          <w:rFonts w:ascii="Times New Roman" w:cs="Times New Roman" w:eastAsia="Times New Roman" w:hAnsi="Times New Roman"/>
          <w:sz w:val="12"/>
          <w:szCs w:val="12"/>
          <w:color w:val="231F20"/>
        </w:rPr>
        <w:t>In June 2020, we entered into a Collaboration and License Agreement with AbbVie to jointly develop and commercialize epcoritamab and additional investigational bispecific antibody product candidates. In addition, under the agreement, we agreed with AbbVie to enter into a discovery research collaboration for future differentiated antibody therapeutics for cancer.</w:t>
      </w:r>
    </w:p>
    <w:p>
      <w:pPr>
        <w:ind w:left="620" w:right="2360"/>
        <w:spacing w:after="0" w:line="224" w:lineRule="auto"/>
        <w:rPr>
          <w:sz w:val="20"/>
          <w:szCs w:val="20"/>
          <w:color w:val="auto"/>
        </w:rPr>
      </w:pPr>
      <w:r>
        <w:rPr>
          <w:rFonts w:ascii="Times New Roman" w:cs="Times New Roman" w:eastAsia="Times New Roman" w:hAnsi="Times New Roman"/>
          <w:sz w:val="12"/>
          <w:szCs w:val="12"/>
          <w:color w:val="231F20"/>
        </w:rPr>
        <w:t>Genmab shares commercial responsibilities with AbbVie in the US and Japan, while AbbVie is responsible for global commercialization outside of the US and Japan. We are the principal for net sales of epcoritamab in the US and Japan and receive tiered royalties on remaining global sales outside these territories. We are entitled to tiered royalties between 22% and 26% on net sales for epcoritamab outside the US and Japan, subject to certain royalty reductions. Except for these</w:t>
      </w:r>
    </w:p>
    <w:p>
      <w:pPr>
        <w:sectPr>
          <w:pgSz w:w="11900" w:h="16840" w:orient="portrait"/>
          <w:cols w:equalWidth="0" w:num="1">
            <w:col w:w="9020"/>
          </w:cols>
          <w:pgMar w:left="1440" w:top="559" w:right="1440" w:bottom="25" w:gutter="0" w:footer="0" w:header="0"/>
          <w:type w:val="continuous"/>
        </w:sectPr>
      </w:pPr>
    </w:p>
    <w:bookmarkStart w:id="35" w:name="page36"/>
    <w:bookmarkEnd w:id="35"/>
    <w:p>
      <w:pPr>
        <w:ind w:left="620" w:right="2440"/>
        <w:spacing w:after="0" w:line="223" w:lineRule="auto"/>
        <w:rPr>
          <w:sz w:val="20"/>
          <w:szCs w:val="20"/>
          <w:color w:val="auto"/>
        </w:rPr>
      </w:pPr>
      <w:r>
        <w:rPr>
          <w:rFonts w:ascii="Times New Roman" w:cs="Times New Roman" w:eastAsia="Times New Roman" w:hAnsi="Times New Roman"/>
          <w:sz w:val="12"/>
          <w:szCs w:val="12"/>
          <w:color w:val="231F20"/>
        </w:rPr>
        <w:t>royalty-bearing sales, we share with AbbVie profits from the sale of licensed products on a 50:50 basis. We and AbbVie split 50:50 the development costs related to epcoritamab, while we will be responsible for 100% of the costs for the discovery research programs up to the opt-in decision point.</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For any product candidates developed as a result of the discovery research collaboration, we will share responsibilities with AbbVie for global development and commercialization in the US and Japan. Subject to certain requirements, we have an option to co-commercialize these products, along with AbbVie, outside of the US and Japan.</w:t>
      </w:r>
    </w:p>
    <w:p>
      <w:pPr>
        <w:ind w:left="620"/>
        <w:spacing w:after="0" w:line="215" w:lineRule="auto"/>
        <w:rPr>
          <w:sz w:val="20"/>
          <w:szCs w:val="20"/>
          <w:color w:val="auto"/>
        </w:rPr>
      </w:pPr>
      <w:r>
        <w:rPr>
          <w:rFonts w:ascii="Times New Roman" w:cs="Times New Roman" w:eastAsia="Times New Roman" w:hAnsi="Times New Roman"/>
          <w:sz w:val="12"/>
          <w:szCs w:val="12"/>
          <w:color w:val="231F20"/>
        </w:rPr>
        <w:t>We and AbbVie grant to each other co-exclusive licenses to use certain intellectual property that is developed under</w:t>
      </w:r>
    </w:p>
    <w:p>
      <w:pPr>
        <w:ind w:left="620" w:right="2300"/>
        <w:spacing w:after="0" w:line="234" w:lineRule="auto"/>
        <w:rPr>
          <w:sz w:val="20"/>
          <w:szCs w:val="20"/>
          <w:color w:val="auto"/>
        </w:rPr>
      </w:pPr>
      <w:r>
        <w:rPr>
          <w:rFonts w:ascii="Times New Roman" w:cs="Times New Roman" w:eastAsia="Times New Roman" w:hAnsi="Times New Roman"/>
          <w:sz w:val="12"/>
          <w:szCs w:val="12"/>
          <w:color w:val="231F20"/>
        </w:rPr>
        <w:t>the agreement and the resulting licensed products, as further described in the agreement. The licenses can be sublicensed to affiliates of the applicable licensee or to third-party sub-contractors meeting certain requirements or if otherwise approved. Under the terms of the agreement, we received a $750 million upfront payment in June 2020 and we were initially entitled to receive an aggregate of up to $3.15 billion in additional development, regulatory and sales milestone payments for all programs. Included in these potential milestones were up to $1.15 billion in payments related to clinical development and commercial success across the three bispecific antibody programs originally included in the agreement. As a result of epcoritamab and one additional antibody product candidate being the remaining bispecific antibody programs under the original Collaboration and License Agreement, we are instead contractually entitled to receive an aggregate of up to $ 1.06 billion in additional development, regulatory and sales milestone payments. In addition, and also included in these potential milestones, if the remaining next- generation antibody product candidate is developed as a result of the discovery research collaboration and is successful, we are eligible to receive up to $510 million in option exercise and success-based milestones.</w:t>
      </w:r>
    </w:p>
    <w:p>
      <w:pPr>
        <w:ind w:left="620"/>
        <w:spacing w:after="0" w:line="223" w:lineRule="auto"/>
        <w:rPr>
          <w:sz w:val="20"/>
          <w:szCs w:val="20"/>
          <w:color w:val="auto"/>
        </w:rPr>
      </w:pPr>
      <w:r>
        <w:rPr>
          <w:rFonts w:ascii="Times New Roman" w:cs="Times New Roman" w:eastAsia="Times New Roman" w:hAnsi="Times New Roman"/>
          <w:sz w:val="12"/>
          <w:szCs w:val="12"/>
          <w:color w:val="231F20"/>
        </w:rPr>
        <w:t>The agreement expires when neither we nor AbbVie are developing or commercializing any licensed products.</w:t>
      </w:r>
    </w:p>
    <w:p>
      <w:pPr>
        <w:ind w:left="620" w:right="2280"/>
        <w:spacing w:after="0"/>
        <w:rPr>
          <w:sz w:val="20"/>
          <w:szCs w:val="20"/>
          <w:color w:val="auto"/>
        </w:rPr>
      </w:pPr>
      <w:r>
        <w:rPr>
          <w:rFonts w:ascii="Times New Roman" w:cs="Times New Roman" w:eastAsia="Times New Roman" w:hAnsi="Times New Roman"/>
          <w:sz w:val="12"/>
          <w:szCs w:val="12"/>
          <w:color w:val="231F20"/>
        </w:rPr>
        <w:t xml:space="preserve">AbbVie may terminate the agreement at AbbVie’s convenience at any time after a certain notice period, either in whole or on a licensed product- by- licensed product basis or on a region -by- region basis. The US and Japan as a whole, Europe as a whole, and the rest of the world each constitute one region for this purpose. If we or AbbVie terminate the agreement due to a material breach, insolvency event or force majeure event with respect to the other party, the terminating party will have the exclusive right (including the exclusive right to use the intellectual property licensed to it under the agreement) to develop, manufacture and commercialize the terminated licensed product in the terminated region. The terminating party will pay the other party a royalty on net sales of the terminated product in the terminated region up to certain thresholds depending on which party terminated the agreement. A termination by AbbVie for convenience is treated the same way as a termination by Genmab for a material breach by AbbVie for this purpose, which means that Genmab would have the exclusive right to develop, manufacture and commercialize the terminated licensed product in the terminated region. </w:t>
      </w:r>
      <w:r>
        <w:rPr>
          <w:rFonts w:ascii="Times New Roman" w:cs="Times New Roman" w:eastAsia="Times New Roman" w:hAnsi="Times New Roman"/>
          <w:sz w:val="12"/>
          <w:szCs w:val="12"/>
          <w:i w:val="1"/>
          <w:iCs w:val="1"/>
          <w:color w:val="231F20"/>
        </w:rPr>
        <w:t>Pfizer Tisotumab Vedotin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24" w:lineRule="auto"/>
        <w:rPr>
          <w:sz w:val="20"/>
          <w:szCs w:val="20"/>
          <w:color w:val="auto"/>
        </w:rPr>
      </w:pPr>
      <w:r>
        <w:rPr>
          <w:rFonts w:ascii="Times New Roman" w:cs="Times New Roman" w:eastAsia="Times New Roman" w:hAnsi="Times New Roman"/>
          <w:sz w:val="12"/>
          <w:szCs w:val="12"/>
          <w:color w:val="231F20"/>
        </w:rPr>
        <w:t>In October 2011, we entered into a license and collaboration agreement with Seagen, Inc. (“</w:t>
      </w:r>
      <w:r>
        <w:rPr>
          <w:rFonts w:ascii="Times New Roman" w:cs="Times New Roman" w:eastAsia="Times New Roman" w:hAnsi="Times New Roman"/>
          <w:sz w:val="12"/>
          <w:szCs w:val="12"/>
          <w:b w:val="1"/>
          <w:bCs w:val="1"/>
          <w:color w:val="231F20"/>
        </w:rPr>
        <w:t>Seagen</w:t>
      </w:r>
      <w:r>
        <w:rPr>
          <w:rFonts w:ascii="Times New Roman" w:cs="Times New Roman" w:eastAsia="Times New Roman" w:hAnsi="Times New Roman"/>
          <w:sz w:val="12"/>
          <w:szCs w:val="12"/>
          <w:color w:val="231F20"/>
        </w:rPr>
        <w:t>”), now Pfizer per Pfizer’s acquisition of Seagen in December 2023, that granted us rights to utilize Seagen’s ADC technology with our TF antibody in return for milestone payments and royalties (the “</w:t>
      </w:r>
      <w:r>
        <w:rPr>
          <w:rFonts w:ascii="Times New Roman" w:cs="Times New Roman" w:eastAsia="Times New Roman" w:hAnsi="Times New Roman"/>
          <w:sz w:val="12"/>
          <w:szCs w:val="12"/>
          <w:b w:val="1"/>
          <w:bCs w:val="1"/>
          <w:color w:val="231F20"/>
        </w:rPr>
        <w:t>Pfizer License and Collaboration Agreement</w:t>
      </w:r>
      <w:r>
        <w:rPr>
          <w:rFonts w:ascii="Times New Roman" w:cs="Times New Roman" w:eastAsia="Times New Roman" w:hAnsi="Times New Roman"/>
          <w:sz w:val="12"/>
          <w:szCs w:val="12"/>
          <w:color w:val="231F20"/>
        </w:rPr>
        <w:t>”). We also granted Seagen a right to exercise a co -development and co- commercialization option at the end of Phase I clinical development for tisotumab vedotin. In August 2017, Seagen exercised this option to co-develop and co-commercialize tisotumab vedotin with us. In October 2020, Genmab and Seagen entered into a Joint Commercialization Agreement where Genmab would co - promote tisotumab vedotin, marketed as Tivdak, in the US, and lead commercial operational activities and record sales in Japan, while Seagen would lead operational commercial activities in the US, Europe and China with a 50:50 profit split in those markets (the “</w:t>
      </w:r>
      <w:r>
        <w:rPr>
          <w:rFonts w:ascii="Times New Roman" w:cs="Times New Roman" w:eastAsia="Times New Roman" w:hAnsi="Times New Roman"/>
          <w:sz w:val="12"/>
          <w:szCs w:val="12"/>
          <w:b w:val="1"/>
          <w:bCs w:val="1"/>
          <w:color w:val="231F20"/>
        </w:rPr>
        <w:t>Tivdak Joint Commercialization Agreement</w:t>
      </w:r>
      <w:r>
        <w:rPr>
          <w:rFonts w:ascii="Times New Roman" w:cs="Times New Roman" w:eastAsia="Times New Roman" w:hAnsi="Times New Roman"/>
          <w:sz w:val="12"/>
          <w:szCs w:val="12"/>
          <w:color w:val="231F20"/>
        </w:rPr>
        <w:t>”). In all other markets, if any, Pfizer would be responsible for commercializing tisotumab vedotin and Genmab would receive royalties based on a percentage of aggregate net sales ranging from the mid-teens to the mid - twenties. Effective January 1, 2025, Genmab and Pfizer agreed to amend the Pfizer License and Collaboration Agreement and the Tivdak Joint Commercialization Agreement, assigning Genmab sole responsibility for the development and commercialization of Tivdak for second line plus recurrent or metastatic cervical cancer in Europe and all other regions globally, excluding the US and the China region. With this amendment, Genmab will continue to co -promote Tivdak with Pfizer in the US and will record sales for Europe, Japan and rest of world markets (excluding the US and China), and will provide royalties in the low teens percentage-wise to Pfizer on net sales. Pfizer is leading commercial operational activities in the US and will lead commercialization activities in China if and when approved in connection with the sublicense of its rights to develop and commercialize tisotumab vedotin in China to Zai Lab discussed below. The companies will continue the practice of joint decision-making on the worldwide development and commercialization strategy for tisotumab vedotin. In September 2022 Seagen and Zai Lab announced an exclusive collaboration and license agreement for the development and commercialization of Tivdak in mainland China, Hong Kong, Macau and Taiwan. Under the terms of the agreement, Seagen received an upfront payment of $30 million and will receive development, regulatory and commercial milestone payments, as well as tiered royalties on net sales of Tivdak in the Zai Lab territory. Based on our agreement with Pfizer, all upfront, milestone payments and royalties have been and will continue to be shared 50:50 with Genmab.</w:t>
      </w:r>
    </w:p>
    <w:p>
      <w:pPr>
        <w:ind w:left="620"/>
        <w:spacing w:after="0" w:line="219" w:lineRule="auto"/>
        <w:rPr>
          <w:sz w:val="20"/>
          <w:szCs w:val="20"/>
          <w:color w:val="auto"/>
        </w:rPr>
      </w:pPr>
      <w:r>
        <w:rPr>
          <w:rFonts w:ascii="Times New Roman" w:cs="Times New Roman" w:eastAsia="Times New Roman" w:hAnsi="Times New Roman"/>
          <w:sz w:val="12"/>
          <w:szCs w:val="12"/>
          <w:i w:val="1"/>
          <w:iCs w:val="1"/>
          <w:color w:val="231F20"/>
        </w:rPr>
        <w:t>BioNTech Collaboration</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In May 2015, we entered into an agreement with BioNTech to jointly research, develop and commercialize bispecific antibody products using our DuoBody technology platform and antibodies. Under the terms of the agreement, BioNTech provides proprietary antibodies against key immunomodulatory targets, while we provide proprietary antibodies and access to our DuoBody technology platform. We paid an upfront fee of $10 million to BioNTech and an additional fee as certain BioNTech assets were selected for further development. If the companies jointly select any product candidates for clinical development, development expenses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w:t>
      </w:r>
    </w:p>
    <w:p>
      <w:pPr>
        <w:spacing w:after="0" w:line="1" w:lineRule="exact"/>
        <w:rPr>
          <w:sz w:val="20"/>
          <w:szCs w:val="20"/>
          <w:color w:val="auto"/>
        </w:rPr>
      </w:pPr>
    </w:p>
    <w:p>
      <w:pPr>
        <w:ind w:left="620" w:right="2620"/>
        <w:spacing w:after="0" w:line="215" w:lineRule="auto"/>
        <w:rPr>
          <w:sz w:val="20"/>
          <w:szCs w:val="20"/>
          <w:color w:val="auto"/>
        </w:rPr>
      </w:pPr>
      <w:r>
        <w:rPr>
          <w:rFonts w:ascii="Times New Roman" w:cs="Times New Roman" w:eastAsia="Times New Roman" w:hAnsi="Times New Roman"/>
          <w:sz w:val="12"/>
          <w:szCs w:val="12"/>
          <w:color w:val="231F20"/>
        </w:rPr>
        <w:t>In July 2022, we expanded this collaboration. Under the expansion, the companies will jointly develop and commercialize, subject to regulatory approval, monospecific antibodies leveraging Genmab’s proprietary HexaBody technology platform.</w:t>
      </w:r>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 xml:space="preserve">Genmab and BioNTech have one product candidate currently in active clinical development: DuoBody-EpCAMx4-1BB. In August 2024, BioNTech opted not to participate in the further development of the acasunlimab program under the parties’ existing license and collaboration agreement for reasons related to BioNTech’s portfolio strategy. Genmab assumed sole responsibility for the continued development and potential commercialization of acasunlimab. </w:t>
      </w:r>
      <w:r>
        <w:rPr>
          <w:rFonts w:ascii="Times New Roman" w:cs="Times New Roman" w:eastAsia="Times New Roman" w:hAnsi="Times New Roman"/>
          <w:sz w:val="12"/>
          <w:szCs w:val="12"/>
          <w:color w:val="000000"/>
        </w:rPr>
        <w:t>In December 2025, Genmab announced the discontinuation of further clinical development for acasunlimab.</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The decision was made as part of Genmab's strategic focus on the most value-creating opportunities in its late-stage portfolio and following a thorough assessment of the evolving competitive landscape.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231F20"/>
        </w:rPr>
        <w:t>Collaborations for our Partnered Products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231F20"/>
        </w:rPr>
        <w:t>J&amp;J Daratumumab License and Development Agreement</w:t>
      </w:r>
    </w:p>
    <w:p>
      <w:pPr>
        <w:ind w:left="620" w:right="2320"/>
        <w:spacing w:after="0" w:line="228" w:lineRule="auto"/>
        <w:rPr>
          <w:sz w:val="20"/>
          <w:szCs w:val="20"/>
          <w:color w:val="auto"/>
        </w:rPr>
      </w:pPr>
      <w:r>
        <w:rPr>
          <w:rFonts w:ascii="Times New Roman" w:cs="Times New Roman" w:eastAsia="Times New Roman" w:hAnsi="Times New Roman"/>
          <w:sz w:val="12"/>
          <w:szCs w:val="12"/>
          <w:color w:val="231F20"/>
        </w:rPr>
        <w:t>In 2012, we entered into a global license, development and commercialization agreement with J&amp;J, granting J&amp;J an exclusive, sublicensable license to certain of our patents, know-how and materials, owned by or licensed to us, to research, develop, make, offer and sell worldwide certain licensed products containing the human mAb denoted “daratumumab,”</w:t>
      </w:r>
    </w:p>
    <w:p>
      <w:pPr>
        <w:sectPr>
          <w:pgSz w:w="11900" w:h="16840" w:orient="portrait"/>
          <w:cols w:equalWidth="0" w:num="1">
            <w:col w:w="9020"/>
          </w:cols>
          <w:pgMar w:left="1440" w:top="559" w:right="1440" w:bottom="879"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80"/>
        <w:spacing w:after="0" w:line="215" w:lineRule="auto"/>
        <w:rPr>
          <w:sz w:val="20"/>
          <w:szCs w:val="20"/>
          <w:color w:val="auto"/>
        </w:rPr>
      </w:pPr>
      <w:r>
        <w:rPr>
          <w:rFonts w:ascii="Times New Roman" w:cs="Times New Roman" w:eastAsia="Times New Roman" w:hAnsi="Times New Roman"/>
          <w:sz w:val="12"/>
          <w:szCs w:val="12"/>
          <w:color w:val="231F20"/>
        </w:rPr>
        <w:t>also known as HuMax-CD38 and DARZALEX. With respect to licensed technology, we have given up the ability to develop or commercialize other products with affinity to the CD38 antigen target. We recorded an upfront license fee of $55.0 million and J&amp;J Development Corporation invested DKK 475.2 million (approximately $80.0 million at the date of the agreement) to subscribe for 5.4 million newly issued shares of Genmab at a price of DKK 88 per share. J&amp;J is fully responsible for developing and commercializing the licensed products and all costs associated therewith.</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Under this agreement, we were entitled to up to approximately $1,015 million in development, regulatory and sales milestones, in addition to tiered royalties between 12% and 20%. As of December 31, 2025, Genmab has recorded $920 million in milestone payments from J&amp;J and could be entitled to receive up to $95 million in further payments if certain additional milestones are met. The following royalty tiers apply for net sales in a calendar year: 12% on net sales up to and including $750 million; 13% on net sales above $750 million and up to and including $1.5 billion; 16% on net sales above $1.5 billion and up to and including $2.0 billion; 18% on net sales above $2.0 billion and up to and including $3.0 billion; and 20% on net sales exceeding $3.0 billion.</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 xml:space="preserve">The royalties payable to us by J&amp;J are limited in time and subject to reduction on a country-by -country basis for customary reduction events, including for lack of patent coverage or upon patent expiration or invalidation in the relevant country and upon the first commercial sale of a biosimilar product in the relevant country (for as long as the biosimilar product remains for sale in that country). Royalties are also reduced for licensing payments made by J&amp;J to Halozyme in connection with SC DARZALEX net sales. Pursuant to the terms of the agreement, J&amp;J’s obligation to pay royalties to us will expire on a country-by-country basis on the later of the date that is 13 years after the first sale of daratumumab in such country or upon the expiration or invalidation of the last -to- expire relevant Genmab patent covering daratumumab in such country. The first US, European and Japanese sales of daratumumab occurred in 2015, 2016 and 2017, respectively. We have issued patents and pending patent applications covering daratumumab in numerous jurisdictions, including patents issued in the US, Europe and Japan. Our issued US, European and Japanese patents covering daratumumab, after giving effect to issued US, European and Japanese PTEs and SPCs, expire in 2029, 2031, and 2030, respectively. J&amp;J owns a separate patent portfolio related to the SC formulation of daratumumab used in DARZALEX </w:t>
      </w:r>
      <w:r>
        <w:rPr>
          <w:rFonts w:ascii="Times New Roman" w:cs="Times New Roman" w:eastAsia="Times New Roman" w:hAnsi="Times New Roman"/>
          <w:sz w:val="12"/>
          <w:szCs w:val="12"/>
          <w:i w:val="1"/>
          <w:iCs w:val="1"/>
          <w:color w:val="231F20"/>
        </w:rPr>
        <w:t>FASPRO/</w:t>
      </w:r>
      <w:r>
        <w:rPr>
          <w:rFonts w:ascii="Times New Roman" w:cs="Times New Roman" w:eastAsia="Times New Roman" w:hAnsi="Times New Roman"/>
          <w:sz w:val="12"/>
          <w:szCs w:val="12"/>
          <w:color w:val="231F20"/>
        </w:rPr>
        <w:t>DARZALEX SC, but a binding arbitration determined that we are not entitled to royalties based on these separate patents.</w:t>
      </w:r>
    </w:p>
    <w:p>
      <w:pPr>
        <w:spacing w:after="0" w:line="1" w:lineRule="exact"/>
        <w:rPr>
          <w:sz w:val="20"/>
          <w:szCs w:val="20"/>
          <w:color w:val="auto"/>
        </w:rPr>
      </w:pPr>
    </w:p>
    <w:p>
      <w:pPr>
        <w:ind w:left="620" w:right="2260"/>
        <w:spacing w:after="0" w:line="215" w:lineRule="auto"/>
        <w:rPr>
          <w:sz w:val="20"/>
          <w:szCs w:val="20"/>
          <w:color w:val="auto"/>
        </w:rPr>
      </w:pPr>
      <w:r>
        <w:rPr>
          <w:rFonts w:ascii="Times New Roman" w:cs="Times New Roman" w:eastAsia="Times New Roman" w:hAnsi="Times New Roman"/>
          <w:sz w:val="12"/>
          <w:szCs w:val="12"/>
          <w:color w:val="231F20"/>
        </w:rPr>
        <w:t xml:space="preserve">J&amp;J may fully or partially terminate the agreement at any time upon 150 days’ prior written notice to us. Upon J&amp;J’s termination of the agreement, we are granted an exclusive, perpetual, sublicensable license under any intellectual property controlled by J&amp;J or its affiliates to the extent necessary to make, have made, import, use, offer to sell or sell the terminated licensed product in such territory where the license has been terminated. If certain milestones have been met by J&amp;J prior to the termination, then we must pay royalties to J&amp;J for 10 years from our first commercial sale of a licensed product. </w:t>
      </w:r>
      <w:r>
        <w:rPr>
          <w:rFonts w:ascii="Times New Roman" w:cs="Times New Roman" w:eastAsia="Times New Roman" w:hAnsi="Times New Roman"/>
          <w:sz w:val="12"/>
          <w:szCs w:val="12"/>
          <w:i w:val="1"/>
          <w:iCs w:val="1"/>
          <w:color w:val="231F20"/>
        </w:rPr>
        <w:t>Novartis Ofatumumab Collaboration</w:t>
      </w:r>
    </w:p>
    <w:p>
      <w:pPr>
        <w:spacing w:after="0" w:line="1" w:lineRule="exact"/>
        <w:rPr>
          <w:sz w:val="20"/>
          <w:szCs w:val="20"/>
          <w:color w:val="auto"/>
        </w:rPr>
      </w:pPr>
    </w:p>
    <w:p>
      <w:pPr>
        <w:ind w:left="620" w:right="2300"/>
        <w:spacing w:after="0" w:line="124" w:lineRule="exact"/>
        <w:rPr>
          <w:sz w:val="20"/>
          <w:szCs w:val="20"/>
          <w:color w:val="auto"/>
        </w:rPr>
      </w:pPr>
      <w:r>
        <w:rPr>
          <w:rFonts w:ascii="Times New Roman" w:cs="Times New Roman" w:eastAsia="Times New Roman" w:hAnsi="Times New Roman"/>
          <w:sz w:val="12"/>
          <w:szCs w:val="12"/>
          <w:color w:val="231F20"/>
        </w:rPr>
        <w:t>Genmab and GlaxoSmithKline (GSK) entered a co -development and collaboration agreement for ofatumumab (“Novartis Agreement”) in 2006. The full rights to ofatumumab were transferred from GSK to Novartis in 2015. Novartis is now fully responsible for the development and commercialization of ofatumumab in all potential indications, including autoimmune diseases. Genmab is entitled to a 10% royalty payment on net sales for non-cancer treatments. Genmab pays a royalty to Medarex based on Kesimpta net sales. Novartis’s obligation to pay royalties to Genmab under the Novartis Agreement expires on a country-by-country basis only in the event Novartis is no longer selling such product in a given country. The royalties are on a country</w:t>
      </w:r>
      <w:r>
        <w:rPr>
          <w:rFonts w:ascii="MS PGothic" w:cs="MS PGothic" w:eastAsia="MS PGothic" w:hAnsi="MS PGothic"/>
          <w:sz w:val="12"/>
          <w:szCs w:val="12"/>
          <w:color w:val="231F20"/>
        </w:rPr>
        <w:t>‑</w:t>
      </w:r>
      <w:r>
        <w:rPr>
          <w:rFonts w:ascii="Times New Roman" w:cs="Times New Roman" w:eastAsia="Times New Roman" w:hAnsi="Times New Roman"/>
          <w:sz w:val="12"/>
          <w:szCs w:val="12"/>
          <w:color w:val="231F20"/>
        </w:rPr>
        <w:t>by</w:t>
      </w:r>
      <w:r>
        <w:rPr>
          <w:rFonts w:ascii="MS PGothic" w:cs="MS PGothic" w:eastAsia="MS PGothic" w:hAnsi="MS PGothic"/>
          <w:sz w:val="12"/>
          <w:szCs w:val="12"/>
          <w:color w:val="231F20"/>
        </w:rPr>
        <w:t>‑</w:t>
      </w:r>
      <w:r>
        <w:rPr>
          <w:rFonts w:ascii="Times New Roman" w:cs="Times New Roman" w:eastAsia="Times New Roman" w:hAnsi="Times New Roman"/>
          <w:sz w:val="12"/>
          <w:szCs w:val="12"/>
          <w:color w:val="231F20"/>
        </w:rPr>
        <w:t>country basis subject to reduction in case of significant competition by competing products (as defined in the Novartis Agreement) or a joint committee determination that a license of intellectual property owned by a third- party is necessary for commercialization. All potential regulatory and sales milestone payments under this agreement have been achieved and no further milestone payments remain outstanding.</w:t>
      </w:r>
    </w:p>
    <w:p>
      <w:pPr>
        <w:ind w:left="620"/>
        <w:spacing w:after="0" w:line="217" w:lineRule="auto"/>
        <w:rPr>
          <w:sz w:val="20"/>
          <w:szCs w:val="20"/>
          <w:color w:val="auto"/>
        </w:rPr>
      </w:pPr>
      <w:r>
        <w:rPr>
          <w:rFonts w:ascii="Times New Roman" w:cs="Times New Roman" w:eastAsia="Times New Roman" w:hAnsi="Times New Roman"/>
          <w:sz w:val="12"/>
          <w:szCs w:val="12"/>
          <w:i w:val="1"/>
          <w:iCs w:val="1"/>
          <w:color w:val="231F20"/>
        </w:rPr>
        <w:t>Roche / Amgen Teprotumumab Collaboration</w:t>
      </w:r>
    </w:p>
    <w:p>
      <w:pPr>
        <w:ind w:left="620" w:right="2340"/>
        <w:spacing w:after="0" w:line="215" w:lineRule="auto"/>
        <w:rPr>
          <w:sz w:val="20"/>
          <w:szCs w:val="20"/>
          <w:color w:val="auto"/>
        </w:rPr>
      </w:pPr>
      <w:r>
        <w:rPr>
          <w:rFonts w:ascii="Times New Roman" w:cs="Times New Roman" w:eastAsia="Times New Roman" w:hAnsi="Times New Roman"/>
          <w:sz w:val="12"/>
          <w:szCs w:val="12"/>
          <w:color w:val="231F20"/>
        </w:rPr>
        <w:t>In May 2001, Genmab entered a research collaboration with Roche to develop human antibodies to disease targets identified by Roche. In 2002, this alliance was expanded. Under the agreement, Genmab will receive milestones as well as royalty payments on successful products.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Teprotumumab was initially developed in collaboration between Genmab and Roche, and later investigated under</w:t>
      </w:r>
    </w:p>
    <w:p>
      <w:pPr>
        <w:ind w:left="620" w:right="2360"/>
        <w:spacing w:after="0" w:line="228" w:lineRule="auto"/>
        <w:rPr>
          <w:sz w:val="20"/>
          <w:szCs w:val="20"/>
          <w:color w:val="auto"/>
        </w:rPr>
      </w:pPr>
      <w:r>
        <w:rPr>
          <w:rFonts w:ascii="Times New Roman" w:cs="Times New Roman" w:eastAsia="Times New Roman" w:hAnsi="Times New Roman"/>
          <w:sz w:val="12"/>
          <w:szCs w:val="12"/>
          <w:color w:val="231F20"/>
        </w:rPr>
        <w:t>license from Roche by River Vision Development Corporation and Horizon Therapeutics for ophthalmic use. The product was approved under the brand name TEPEZZA in 2020 by the FDA for the treatment of TED and in 2024 by Japan’s MHLW for the treatment of active or high clinical activity score TED. In October 2023, Amgen completed its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of Horizon Therapeutics, including all rights to the development and commercialization of teprotumumab. Under the terms of Genmab’s agreement with Roche, Genmab receives a mid-single digit royalty on net sales of TEPEZZA, on a country-by -country basis, for 10 years following the first commercial sale in such country.</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231F20"/>
        </w:rPr>
        <w:t>J&amp;J DuoBody Collaboration (Amivantamab, Teclistamab and Talquetamab)</w:t>
      </w:r>
    </w:p>
    <w:p>
      <w:pPr>
        <w:ind w:left="620" w:right="2820"/>
        <w:spacing w:after="0" w:line="215" w:lineRule="auto"/>
        <w:rPr>
          <w:sz w:val="20"/>
          <w:szCs w:val="20"/>
          <w:color w:val="auto"/>
        </w:rPr>
      </w:pPr>
      <w:r>
        <w:rPr>
          <w:rFonts w:ascii="Times New Roman" w:cs="Times New Roman" w:eastAsia="Times New Roman" w:hAnsi="Times New Roman"/>
          <w:sz w:val="12"/>
          <w:szCs w:val="12"/>
          <w:color w:val="231F20"/>
        </w:rPr>
        <w:t>In 2012, and as amended in 2013, Genmab entered into a collaboration with J&amp;J to create and develop bispecific antibodies using our DuoBody platform.</w:t>
      </w:r>
    </w:p>
    <w:p>
      <w:pPr>
        <w:ind w:left="620"/>
        <w:spacing w:after="0" w:line="215" w:lineRule="auto"/>
        <w:rPr>
          <w:sz w:val="20"/>
          <w:szCs w:val="20"/>
          <w:color w:val="auto"/>
        </w:rPr>
      </w:pPr>
      <w:r>
        <w:rPr>
          <w:rFonts w:ascii="Times New Roman" w:cs="Times New Roman" w:eastAsia="Times New Roman" w:hAnsi="Times New Roman"/>
          <w:sz w:val="12"/>
          <w:szCs w:val="12"/>
          <w:color w:val="231F20"/>
        </w:rPr>
        <w:t xml:space="preserve">Genmab will receive milestones and royalties between 8% and 10% on net sales of amivantamab, </w:t>
      </w:r>
      <w:r>
        <w:rPr>
          <w:rFonts w:ascii="Times New Roman" w:cs="Times New Roman" w:eastAsia="Times New Roman" w:hAnsi="Times New Roman"/>
          <w:sz w:val="12"/>
          <w:szCs w:val="12"/>
          <w:color w:val="000000"/>
        </w:rPr>
        <w:t>with J&amp;J reducing</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 xml:space="preserve">such royalty payments for Genmab’s share of J&amp;J’s royalty payments made to Halozyme, </w:t>
      </w:r>
      <w:r>
        <w:rPr>
          <w:rFonts w:ascii="Times New Roman" w:cs="Times New Roman" w:eastAsia="Times New Roman" w:hAnsi="Times New Roman"/>
          <w:sz w:val="12"/>
          <w:szCs w:val="12"/>
          <w:color w:val="231F20"/>
        </w:rPr>
        <w:t>a mid-single digit royalty on net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sales of teclistamab, and a mid-single digit royalty on net sales of talquetamab. Pursuant to the terms of the DuoBody agreement, J&amp;J’s obligation to pay these royalties will expire on a country-by-country and licensed product -by-licensed product basis on the later of the date that is 10 years after the first sale of each licensed product in such country or upon the expiration of the last -to-expire relevant patent (as defined in the agreement) covering the licensed product in such country. Royalties for amivantamab, teclistamab and talquetamab are subject to a reduction in countries and territories where there are no relevant patents (as defined in the agreement), among other reductions. Genmab pays a royalty to Medarex based on net sales of amivantamab. All research work is funded by J&amp;J. Amivantamab, teclistamab and talquetamab have received regulatory approval.</w:t>
      </w:r>
    </w:p>
    <w:p>
      <w:pPr>
        <w:ind w:left="620"/>
        <w:spacing w:after="0" w:line="216" w:lineRule="auto"/>
        <w:rPr>
          <w:sz w:val="20"/>
          <w:szCs w:val="20"/>
          <w:color w:val="auto"/>
        </w:rPr>
      </w:pPr>
      <w:r>
        <w:rPr>
          <w:rFonts w:ascii="Times New Roman" w:cs="Times New Roman" w:eastAsia="Times New Roman" w:hAnsi="Times New Roman"/>
          <w:sz w:val="12"/>
          <w:szCs w:val="12"/>
          <w:i w:val="1"/>
          <w:iCs w:val="1"/>
          <w:color w:val="231F20"/>
        </w:rPr>
        <w:t>Partner Therapeutics Collaboration (Z</w:t>
      </w:r>
      <w:r>
        <w:rPr>
          <w:rFonts w:ascii="Times New Roman" w:cs="Times New Roman" w:eastAsia="Times New Roman" w:hAnsi="Times New Roman"/>
          <w:sz w:val="12"/>
          <w:szCs w:val="12"/>
          <w:color w:val="000000"/>
        </w:rPr>
        <w:t>enocutuzumab)</w:t>
      </w:r>
    </w:p>
    <w:p>
      <w:pPr>
        <w:spacing w:after="0" w:line="1" w:lineRule="exact"/>
        <w:rPr>
          <w:sz w:val="20"/>
          <w:szCs w:val="20"/>
          <w:color w:val="auto"/>
        </w:rPr>
      </w:pPr>
    </w:p>
    <w:p>
      <w:pPr>
        <w:ind w:left="620" w:right="2400"/>
        <w:spacing w:after="0" w:line="228" w:lineRule="auto"/>
        <w:rPr>
          <w:sz w:val="20"/>
          <w:szCs w:val="20"/>
          <w:color w:val="auto"/>
        </w:rPr>
      </w:pPr>
      <w:r>
        <w:rPr>
          <w:rFonts w:ascii="Times New Roman" w:cs="Times New Roman" w:eastAsia="Times New Roman" w:hAnsi="Times New Roman"/>
          <w:sz w:val="12"/>
          <w:szCs w:val="12"/>
          <w:color w:val="231F20"/>
        </w:rPr>
        <w:t>In November 2024, prior to its acquisition by Genmab, Merus entered into a license agreement (“Partner Therapeutics License Agreement”) with Partner Therapeutics, Inc (“PTx”). Under the terms of the Partner Therapeutics License Agreement, Merus granted PTx US commercialization rights for zenocutuzumab and PTx granted to Merus an exclusive,</w:t>
      </w:r>
    </w:p>
    <w:p>
      <w:pPr>
        <w:sectPr>
          <w:pgSz w:w="11900" w:h="16840" w:orient="portrait"/>
          <w:cols w:equalWidth="0" w:num="1">
            <w:col w:w="9020"/>
          </w:cols>
          <w:pgMar w:left="1440" w:top="1440" w:right="1440" w:bottom="4" w:gutter="0" w:footer="0" w:header="0"/>
        </w:sectPr>
      </w:pPr>
    </w:p>
    <w:bookmarkStart w:id="37" w:name="page38"/>
    <w:bookmarkEnd w:id="37"/>
    <w:p>
      <w:pPr>
        <w:ind w:left="620" w:right="2300"/>
        <w:spacing w:after="0" w:line="223" w:lineRule="auto"/>
        <w:rPr>
          <w:sz w:val="20"/>
          <w:szCs w:val="20"/>
          <w:color w:val="auto"/>
        </w:rPr>
      </w:pPr>
      <w:r>
        <w:rPr>
          <w:rFonts w:ascii="Times New Roman" w:cs="Times New Roman" w:eastAsia="Times New Roman" w:hAnsi="Times New Roman"/>
          <w:sz w:val="12"/>
          <w:szCs w:val="12"/>
          <w:color w:val="231F20"/>
        </w:rPr>
        <w:t>fully paid, royalty-free, perpetual and irrevocable license, with the right to grant sublicenses, to certain intellectual property of PTx to exploit zenocutuzumab for (1) the treatment of NRG1+ cancer in a country outside of the US and (2) for any other uses of zenocutuzumab in any other territory.</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In exchange for the rights granted under the Partner Therapeutics License Agreement, PTx paid an upfront, non-refundable payment, and agreed to fund certain development, manufacturing and clinical trial expenses for zenocutuzumab. Genmab is eligible to receive up to $130.0 million per year in commercialization milestone payments based on annual net sales of zenocutuzumab. Genmab is also eligible to receive tiered royalties based on the level of aggregate annual net sales ranging from 8.5% to 22% until the royalty term expires, subject to the terms of the agreement. The sales of zenocutuzumab are subject to certain annual sales target requirements.</w:t>
      </w:r>
    </w:p>
    <w:p>
      <w:pPr>
        <w:ind w:left="620"/>
        <w:spacing w:after="0" w:line="216" w:lineRule="auto"/>
        <w:rPr>
          <w:sz w:val="20"/>
          <w:szCs w:val="20"/>
          <w:color w:val="auto"/>
        </w:rPr>
      </w:pPr>
      <w:r>
        <w:rPr>
          <w:rFonts w:ascii="Times New Roman" w:cs="Times New Roman" w:eastAsia="Times New Roman" w:hAnsi="Times New Roman"/>
          <w:sz w:val="12"/>
          <w:szCs w:val="12"/>
          <w:i w:val="1"/>
          <w:iCs w:val="1"/>
          <w:color w:val="231F20"/>
        </w:rPr>
        <w:t>Gilead Collaboration</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In March 2024, prior to its acquisition by Genmab, Merus entered into a collaboration, option and license agreement with Gilead (Gilead Collaboration Agreement) to research and develop trispecific T- cell engaging antibody product candidates using Merus’ technology platform. Under the terms of the agreement, the collaboration included two preclinical research programs, with an option for Gilead to include a third program.</w:t>
      </w:r>
    </w:p>
    <w:p>
      <w:pPr>
        <w:ind w:left="620"/>
        <w:spacing w:after="0" w:line="215" w:lineRule="auto"/>
        <w:rPr>
          <w:sz w:val="20"/>
          <w:szCs w:val="20"/>
          <w:color w:val="auto"/>
        </w:rPr>
      </w:pPr>
      <w:r>
        <w:rPr>
          <w:rFonts w:ascii="Times New Roman" w:cs="Times New Roman" w:eastAsia="Times New Roman" w:hAnsi="Times New Roman"/>
          <w:sz w:val="12"/>
          <w:szCs w:val="12"/>
          <w:color w:val="231F20"/>
        </w:rPr>
        <w:t>Under the Gilead Collaboration Agreement, Merus granted Gilead a non-exclusive license and agreed to perform</w:t>
      </w:r>
    </w:p>
    <w:p>
      <w:pPr>
        <w:spacing w:after="0" w:line="1" w:lineRule="exact"/>
        <w:rPr>
          <w:sz w:val="20"/>
          <w:szCs w:val="20"/>
          <w:color w:val="auto"/>
        </w:rPr>
      </w:pPr>
    </w:p>
    <w:p>
      <w:pPr>
        <w:jc w:val="both"/>
        <w:ind w:left="620" w:right="2340"/>
        <w:spacing w:after="0" w:line="215" w:lineRule="auto"/>
        <w:rPr>
          <w:sz w:val="20"/>
          <w:szCs w:val="20"/>
          <w:color w:val="auto"/>
        </w:rPr>
      </w:pPr>
      <w:r>
        <w:rPr>
          <w:rFonts w:ascii="Times New Roman" w:cs="Times New Roman" w:eastAsia="Times New Roman" w:hAnsi="Times New Roman"/>
          <w:sz w:val="12"/>
          <w:szCs w:val="12"/>
          <w:color w:val="231F20"/>
        </w:rPr>
        <w:t>related research and collaboration activities during the research term. On a program-by-program basis, Gilead was granted an exclusive option to obtain an exclusive license for further development and commercialization of products arising from each program. At the acquisition date, no exclusive license options had been exercised by Gilead.</w:t>
      </w:r>
    </w:p>
    <w:p>
      <w:pPr>
        <w:ind w:left="620"/>
        <w:spacing w:after="0" w:line="215" w:lineRule="auto"/>
        <w:rPr>
          <w:sz w:val="20"/>
          <w:szCs w:val="20"/>
          <w:color w:val="auto"/>
        </w:rPr>
      </w:pPr>
      <w:r>
        <w:rPr>
          <w:rFonts w:ascii="Times New Roman" w:cs="Times New Roman" w:eastAsia="Times New Roman" w:hAnsi="Times New Roman"/>
          <w:sz w:val="12"/>
          <w:szCs w:val="12"/>
          <w:color w:val="231F20"/>
        </w:rPr>
        <w:t>Under the Gilead Collaboration Agreement, Merus received a non-refundable upfront payment and Genmab is eligible</w:t>
      </w: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to receive additional consideration in the form of option exercise payments, development and commercialization milestone payments, and tiered royalties between 5% and 11% on net sales of any products successfully commercialized under the Gilead Collaboration Agreement.</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231F20"/>
        </w:rPr>
        <w:t>Certain other Collaborations, Agreements and Enabling Technologies</w:t>
      </w:r>
    </w:p>
    <w:p>
      <w:pPr>
        <w:ind w:left="620"/>
        <w:spacing w:after="0"/>
        <w:rPr>
          <w:sz w:val="20"/>
          <w:szCs w:val="20"/>
          <w:color w:val="auto"/>
        </w:rPr>
      </w:pPr>
      <w:r>
        <w:rPr>
          <w:rFonts w:ascii="Times New Roman" w:cs="Times New Roman" w:eastAsia="Times New Roman" w:hAnsi="Times New Roman"/>
          <w:sz w:val="12"/>
          <w:szCs w:val="12"/>
          <w:i w:val="1"/>
          <w:iCs w:val="1"/>
          <w:color w:val="231F20"/>
        </w:rPr>
        <w:t>Medarex UltiMAb® System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28" w:lineRule="auto"/>
        <w:rPr>
          <w:sz w:val="20"/>
          <w:szCs w:val="20"/>
          <w:color w:val="auto"/>
        </w:rPr>
      </w:pPr>
      <w:r>
        <w:rPr>
          <w:rFonts w:ascii="Times New Roman" w:cs="Times New Roman" w:eastAsia="Times New Roman" w:hAnsi="Times New Roman"/>
          <w:sz w:val="12"/>
          <w:szCs w:val="12"/>
          <w:color w:val="231F20"/>
        </w:rPr>
        <w:t>In 1999, we entered into a license agreement with Medarex, now a wholly owned subsidiary of BMS, pursuant to which we received access to the UltiMAb technology, the KM Mouse technology and the right to obtain antibody-exclusive licenses for an unlimited number of antigens and own the worldwide development and commercialization rights to antibody products targeting such antigens. In addition, Medarex granted us antigen-exclusive licenses in exchange for Genmab shares that are fully paid-up subject to, in case the products have been generated in the KM Mouse, pass-through of milestones and royalties payable by Medarex under its own license of the KM Mouse technology. Our principal obligation under this agreement is to make milestone and royalty payments in connection with any such antibody-exclusive licenses or in connection with use of the KM Mouse technology under this agreement. We used technology licensed from Medarex to generate daratumumab, ofatumumab, tisotumab forming part of tisotumab vedotin, the CD20 antibody forming part of epcoritamab (DuoBody-CD3xCD20), and certain of our other product candidates. Based on the type of license and technology used in their development, product candidates that are subject to future payment obligations under this license agreement include ofatumumab, epcoritamab (DuoBody-CD3xCD20), amivantamab (DuoBody-cMetxEGFR) and amlenetug (Lu AF82422), but do not include daratumumab and tisotumab vedotin. With respect to ofatumumab and amlenetug, Novartis and Lundbeck, respectively, have agreed to bear the majority of our payments to Medarex under these agreements. Milestones for the product candidates subject to payment obligations are payable by us or our collaboration partners across all such product candidates currently in development. Royalties are in the low single digits percentage-wise of net sales.</w:t>
      </w:r>
    </w:p>
    <w:p>
      <w:pPr>
        <w:ind w:left="620"/>
        <w:spacing w:after="0" w:line="225" w:lineRule="auto"/>
        <w:rPr>
          <w:sz w:val="20"/>
          <w:szCs w:val="20"/>
          <w:color w:val="auto"/>
        </w:rPr>
      </w:pPr>
      <w:r>
        <w:rPr>
          <w:rFonts w:ascii="Times New Roman" w:cs="Times New Roman" w:eastAsia="Times New Roman" w:hAnsi="Times New Roman"/>
          <w:sz w:val="12"/>
          <w:szCs w:val="12"/>
          <w:i w:val="1"/>
          <w:iCs w:val="1"/>
          <w:color w:val="231F20"/>
        </w:rPr>
        <w:t>Other Collaborations and Agreements</w:t>
      </w: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We have other active collaborations and agreements with a number of companies to create, develop and/or commercialize antibody candidates and/or license certain of our product candidates and use of our technology platforms. Under certain collaborations and agreements, which we have entered into in the ordinary course of business, and where we have licensed our product candidates or technology platforms, we typically receive or are entitled to receive upfront cash payments, progress- and sales-dependent milestones for the achievement by our collaborators of certain events, and, where applicable, research funding. We also are typically entitled to receive royalties on net sales of commercialized products resulting from the collaborations. We also enter into certain agreements where Genmab is obligated to make upfront cash payments and milestone payments to third parties upon the achievement of certain development, regulatory and commercial events as well as obligated to pay royalties on net sales of commercialized products.</w:t>
      </w:r>
    </w:p>
    <w:p>
      <w:pPr>
        <w:spacing w:after="0" w:line="1" w:lineRule="exact"/>
        <w:rPr>
          <w:sz w:val="20"/>
          <w:szCs w:val="20"/>
          <w:color w:val="auto"/>
        </w:rPr>
      </w:pPr>
    </w:p>
    <w:p>
      <w:pPr>
        <w:ind w:left="620" w:right="2420"/>
        <w:spacing w:after="0" w:line="215" w:lineRule="auto"/>
        <w:rPr>
          <w:sz w:val="20"/>
          <w:szCs w:val="20"/>
          <w:color w:val="auto"/>
        </w:rPr>
      </w:pPr>
      <w:r>
        <w:rPr>
          <w:rFonts w:ascii="Times New Roman" w:cs="Times New Roman" w:eastAsia="Times New Roman" w:hAnsi="Times New Roman"/>
          <w:sz w:val="12"/>
          <w:szCs w:val="12"/>
          <w:color w:val="231F20"/>
        </w:rPr>
        <w:t>We also license technologies from a number of other companies that we use or have used to contribute to the antibody products in our pipeline. Pursuant to certain of these licenses, we or our collaboration partners are or may be obligated to pay small royalties for certain products generated or produced using these technologies upon commercialization of such products or product candidates.</w:t>
      </w:r>
    </w:p>
    <w:p>
      <w:pPr>
        <w:ind w:left="620" w:right="2520"/>
        <w:spacing w:after="0" w:line="215" w:lineRule="auto"/>
        <w:rPr>
          <w:sz w:val="20"/>
          <w:szCs w:val="20"/>
          <w:color w:val="auto"/>
        </w:rPr>
      </w:pPr>
      <w:r>
        <w:rPr>
          <w:rFonts w:ascii="Times New Roman" w:cs="Times New Roman" w:eastAsia="Times New Roman" w:hAnsi="Times New Roman"/>
          <w:sz w:val="12"/>
          <w:szCs w:val="12"/>
          <w:color w:val="auto"/>
        </w:rPr>
        <w:t>See Note 5.6 to our Audited Financial Statements included in our Annual Report 2025 for details on our collaborations and technology licenses.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231F20"/>
        </w:rPr>
        <w:t>Intellectual Property</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Patents</w:t>
      </w:r>
    </w:p>
    <w:p>
      <w:pPr>
        <w:ind w:left="620" w:right="2440"/>
        <w:spacing w:after="0" w:line="215" w:lineRule="auto"/>
        <w:rPr>
          <w:sz w:val="20"/>
          <w:szCs w:val="20"/>
          <w:color w:val="auto"/>
        </w:rPr>
      </w:pPr>
      <w:r>
        <w:rPr>
          <w:rFonts w:ascii="Times New Roman" w:cs="Times New Roman" w:eastAsia="Times New Roman" w:hAnsi="Times New Roman"/>
          <w:sz w:val="12"/>
          <w:szCs w:val="12"/>
          <w:color w:val="231F20"/>
        </w:rPr>
        <w:t xml:space="preserve">As of December 31, 2025, we held more than 4,715 patents and patent applications, including 178 issued US patents and 235 US patent applications. All of our </w:t>
      </w:r>
      <w:r>
        <w:rPr>
          <w:rFonts w:ascii="Times New Roman" w:cs="Times New Roman" w:eastAsia="Times New Roman" w:hAnsi="Times New Roman"/>
          <w:sz w:val="12"/>
          <w:szCs w:val="12"/>
          <w:color w:val="000000"/>
        </w:rPr>
        <w:t>current</w:t>
      </w:r>
      <w:r>
        <w:rPr>
          <w:rFonts w:ascii="Times New Roman" w:cs="Times New Roman" w:eastAsia="Times New Roman" w:hAnsi="Times New Roman"/>
          <w:sz w:val="12"/>
          <w:szCs w:val="12"/>
          <w:color w:val="231F20"/>
        </w:rPr>
        <w:t xml:space="preserve"> issued patents and patent applications are projected to expire between 2026 and 2045.</w:t>
      </w:r>
    </w:p>
    <w:p>
      <w:pPr>
        <w:ind w:left="620" w:right="2420"/>
        <w:spacing w:after="0" w:line="218" w:lineRule="auto"/>
        <w:rPr>
          <w:sz w:val="20"/>
          <w:szCs w:val="20"/>
          <w:color w:val="auto"/>
        </w:rPr>
      </w:pPr>
      <w:r>
        <w:rPr>
          <w:rFonts w:ascii="Times New Roman" w:cs="Times New Roman" w:eastAsia="Times New Roman" w:hAnsi="Times New Roman"/>
          <w:sz w:val="12"/>
          <w:szCs w:val="12"/>
          <w:color w:val="231F20"/>
        </w:rPr>
        <w:t>Our owned and licensed patents and patent applications are directed to daratumumab, ofatumumab, tisotumab vedotin, epcoritamab, our product candidates, antibodies, our proprietary technologies and other antibody based and/or enabling technologies. We commonly seek patent claims directed to compositions of matter, including antibodies, bispecific antibodies, and ADCs, as well as methods of using such compositions. When appropriate, we also seek claims to related technologies, such as antibody format technologies and linker -payloads suitable for ADCs. For daratumumab, ofatumumab, tisotumab vedotin, epcoritamab and each of our product candidates, we or our collaboration partners have filed or expect to file multiple patent applications. We maintain patents and prosecute applications worldwide for technologies that we have out licensed, such as our DuoBody technology. Similarly, for partnered products and product candidates, such as daratumumab, ofatumumab, tisotumab vedotin and epcoritamab, we seek to work closely with our development collaboration partners to coordinate patent efforts, including patent application filings, prosecution, PTE, defense and enforcement. As our products and product candidates advance through research and development, we and/or</w:t>
      </w:r>
    </w:p>
    <w:p>
      <w:pPr>
        <w:sectPr>
          <w:pgSz w:w="11900" w:h="16840" w:orient="portrait"/>
          <w:cols w:equalWidth="0" w:num="1">
            <w:col w:w="9020"/>
          </w:cols>
          <w:pgMar w:left="1440" w:top="559" w:right="1440"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jc w:val="both"/>
        <w:ind w:left="620" w:right="2680"/>
        <w:spacing w:after="0" w:line="215" w:lineRule="auto"/>
        <w:rPr>
          <w:sz w:val="20"/>
          <w:szCs w:val="20"/>
          <w:color w:val="auto"/>
        </w:rPr>
      </w:pPr>
      <w:r>
        <w:rPr>
          <w:rFonts w:ascii="Times New Roman" w:cs="Times New Roman" w:eastAsia="Times New Roman" w:hAnsi="Times New Roman"/>
          <w:sz w:val="12"/>
          <w:szCs w:val="12"/>
          <w:color w:val="231F20"/>
        </w:rPr>
        <w:t>our collaboration partners seek to diligently identify and protect new inventions, such as formulations, combination therapies, and methods of treatment. We also work closely with our scientific personnel to identify and protect new inventions that could eventually add to our development or technology pipeline.</w:t>
      </w:r>
    </w:p>
    <w:p>
      <w:pPr>
        <w:ind w:left="620" w:right="2480"/>
        <w:spacing w:after="0"/>
        <w:rPr>
          <w:sz w:val="20"/>
          <w:szCs w:val="20"/>
          <w:color w:val="auto"/>
        </w:rPr>
      </w:pPr>
      <w:r>
        <w:rPr>
          <w:rFonts w:ascii="Times New Roman" w:cs="Times New Roman" w:eastAsia="Times New Roman" w:hAnsi="Times New Roman"/>
          <w:sz w:val="12"/>
          <w:szCs w:val="12"/>
          <w:color w:val="231F20"/>
        </w:rPr>
        <w:t>With respect to daratumumab, we have issued patents and pending patent applications covering daratumumab in numerous jurisdictions, including patents issued in the US, Europe and Japan. Our patents do not begin to expire until March 2026. The issued US, European and Japanese PTEs and SPCs, expire in 2029, 2031 and begin to expire in 2030, respectively.</w:t>
      </w:r>
    </w:p>
    <w:p>
      <w:pPr>
        <w:spacing w:after="0" w:line="8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With respect to ofatumumab, our issued patents covering ofatumumab began to expire in October 2023, with the US composition of matter patent extended to May 2031. In addition, we have PTEs granted in Japan which expire in 2028. With respect to tisotumab vedotin, we have issued patents and pending patent applications in numerous jurisdictions, including the US, Europe and Japan. Our issued US, European and Japanese patents covering the composition of matter for tisotumab vedotin do not begin to expire until June 2031. In the US we have obtained patent term adjustment and patent term extension of the composition of matter patent until September 2035. In Europe we have filed SPC applications broadly, of which some are granted. Granted SPCs will expire June 2036. In Japan we have filed PTE applications which, if granted, would provide protection beyond June 2031. In addition to our key composition of matter patents for tisotumab vedotin, we have issued patents and pending patent applications in numerous jurisdictions relating to specific formulations, indications and combination therapies that may offer additional protection.</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With respect to epcoritamab, we have issued patents and pending patent applications in numerous jurisdictions, including the US, Europe and Japan. Our US, European and Japanese patent applications and issued patents covering the composition of matter for epcoritamab do not begin to expire until January 2035. In addition, we have filed a request for PTE in the US covering the composition of matter for epcoritamab which, if granted, would provide protection beyond 2035. In Japan, we have filed requests for PTE some which have been granted, extending the patent terms for composition of matter relating to epcoritamab beyond 2035. In Europe, we have filed SPC applications broadly and when granted SPCs will expire September 2038. In addition to our key composition of matter patents for epcoritamab, we have issued patents and pending patent applications in numerous jurisdictions relating to specific formulations, dosing regimens, indications and combination therapies that may offer additional protection.</w:t>
      </w:r>
    </w:p>
    <w:p>
      <w:pPr>
        <w:spacing w:after="0" w:line="1" w:lineRule="exact"/>
        <w:rPr>
          <w:sz w:val="20"/>
          <w:szCs w:val="20"/>
          <w:color w:val="auto"/>
        </w:rPr>
      </w:pPr>
    </w:p>
    <w:p>
      <w:pPr>
        <w:ind w:left="620" w:right="2440"/>
        <w:spacing w:after="0" w:line="215" w:lineRule="auto"/>
        <w:rPr>
          <w:sz w:val="20"/>
          <w:szCs w:val="20"/>
          <w:color w:val="auto"/>
        </w:rPr>
      </w:pPr>
      <w:r>
        <w:rPr>
          <w:rFonts w:ascii="Times New Roman" w:cs="Times New Roman" w:eastAsia="Times New Roman" w:hAnsi="Times New Roman"/>
          <w:sz w:val="12"/>
          <w:szCs w:val="12"/>
          <w:color w:val="231F20"/>
        </w:rPr>
        <w:t>The actual protection afforded by a patent, which can vary from country to country, depends on the type of patent, the scope of its coverage as determined by the patent office or courts in the country, and the availability of legal remedies in the country. This list above does not identify all patents that may be related to daratumumab, ofatumumab, tisotumab vedotin, epcoritamab and our product candidates. For example, in addition to the listed patents, we have patents on platform technologies (that relate to certain general classes of products or methods), as well as patents that relate to methods of using, formulating or administering a product or product candidate, which may confer additional patent protection. We also have pending patent applications that may give rise to new patents related to one or more of these product candidates, technologies, formulations and uses.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The information in “Intellectual Property”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US and other important markets outside the US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 on biologics to the market earlier than anticipated.</w:t>
      </w:r>
    </w:p>
    <w:p>
      <w:pPr>
        <w:ind w:left="620"/>
        <w:spacing w:after="0" w:line="216" w:lineRule="auto"/>
        <w:rPr>
          <w:sz w:val="20"/>
          <w:szCs w:val="20"/>
          <w:color w:val="auto"/>
        </w:rPr>
      </w:pPr>
      <w:r>
        <w:rPr>
          <w:rFonts w:ascii="Times New Roman" w:cs="Times New Roman" w:eastAsia="Times New Roman" w:hAnsi="Times New Roman"/>
          <w:sz w:val="12"/>
          <w:szCs w:val="12"/>
          <w:color w:val="231F20"/>
        </w:rPr>
        <w:t>Patents expire, on a country-by-country basis, at various times depending on various factors, including the filing date</w:t>
      </w:r>
    </w:p>
    <w:p>
      <w:pPr>
        <w:ind w:left="620" w:right="2320"/>
        <w:spacing w:after="0" w:line="220" w:lineRule="auto"/>
        <w:rPr>
          <w:sz w:val="20"/>
          <w:szCs w:val="20"/>
          <w:color w:val="auto"/>
        </w:rPr>
      </w:pPr>
      <w:r>
        <w:rPr>
          <w:rFonts w:ascii="Times New Roman" w:cs="Times New Roman" w:eastAsia="Times New Roman" w:hAnsi="Times New Roman"/>
          <w:sz w:val="12"/>
          <w:szCs w:val="12"/>
          <w:color w:val="231F20"/>
        </w:rPr>
        <w:t>of the corresponding patent application(s), the availability of patent term adjustment, PTE and SPC and requirements for terminal disclaimers. Although we believe our owned and licensed patents and patent applications provide us with a competitive advantage, the patent positions of biotechnology and pharmaceutical companies can be uncertain and involve complex legal and factual questions. We and our collaboration partners may not be able to develop patentable products or processes or obtain patents from pending patent applications. Depending on the terms of the relevant collaboration agreement, on how those terms are interpreted, and on other legal considerations, we may not be entitled to royalties based on sales by our collaboration partners that are protected only by patents owned by those partners. In the event of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31" w:lineRule="auto"/>
        <w:rPr>
          <w:sz w:val="20"/>
          <w:szCs w:val="20"/>
          <w:color w:val="auto"/>
        </w:rPr>
      </w:pPr>
      <w:r>
        <w:rPr>
          <w:rFonts w:ascii="Times New Roman" w:cs="Times New Roman" w:eastAsia="Times New Roman" w:hAnsi="Times New Roman"/>
          <w:sz w:val="12"/>
          <w:szCs w:val="12"/>
          <w:color w:val="231F20"/>
        </w:rPr>
        <w:t>issuance, the patents may not be sufficient to protect the proprietary technology owned by or licensed to us or our collaboration partners. Our or our collaboration partners’ current patents, or patents that issue on pending applications, may be challenged, invalidated, infringed or circumvented. In addition, changes to patent laws in the US or in other countries may limit our ability to defend or enforce our patents or may apply retroactively to affect the term and/or scope of our patents. Our patents have been and may in the future be challenged by third parties in post -issuance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 or our collaboration partners. Our collaboration partners’ patents may also be circumvented, which may allow third parties to use similar technologies without a license from us or our collaboration partners.</w:t>
      </w:r>
    </w:p>
    <w:p>
      <w:pPr>
        <w:spacing w:after="0" w:line="6" w:lineRule="exact"/>
        <w:rPr>
          <w:sz w:val="20"/>
          <w:szCs w:val="20"/>
          <w:color w:val="auto"/>
        </w:rPr>
      </w:pPr>
    </w:p>
    <w:p>
      <w:pPr>
        <w:ind w:left="620" w:right="2280"/>
        <w:spacing w:after="0" w:line="236" w:lineRule="auto"/>
        <w:rPr>
          <w:sz w:val="20"/>
          <w:szCs w:val="20"/>
          <w:color w:val="auto"/>
        </w:rPr>
      </w:pPr>
      <w:r>
        <w:rPr>
          <w:rFonts w:ascii="Times New Roman" w:cs="Times New Roman" w:eastAsia="Times New Roman" w:hAnsi="Times New Roman"/>
          <w:sz w:val="12"/>
          <w:szCs w:val="12"/>
          <w:color w:val="231F20"/>
        </w:rPr>
        <w:t>Our commercial success depends significantly on our ability to operate without infringing patents and proprietary rights of third parties. Organizations such as pharmaceutical and biotechnology companies, universities and research institutions may have filed patent applications or may have been granted patents that cover technologies similar to the technologies owned or licensed to us or to our collaboration partners. In addition, we are monitoring the progress of several pending patent applications of other organizations that, if granted in their broadest scope, may require us to license or challenge their validity or enforceability in order to continue commercializing our products and product candidates directly or through our collaboration partners. Our and our collaboration partners’ challenges to patents of other organizations may not be successful, which may affect our and our collaboration partners’ ability to commercialize daratumumab, ofatumumab, tisotumab vedotin, epcoritamab, amivantamab, teclistamab, talquetamab, or teprotumumab or our ability to commercialize our product candidates. We cannot determine with certainty whether patents or patent applications of other parties may materially affect our or our collaboration partners’ ability to make, use or sell daratumumab, ofatumumab, tisotumab vedotin, epcoritamab, amivantamab, teclistamab, talquetamab, teprotumumab or any other products or product candidates.</w:t>
      </w:r>
    </w:p>
    <w:p>
      <w:pPr>
        <w:sectPr>
          <w:pgSz w:w="11900" w:h="16840" w:orient="portrait"/>
          <w:cols w:equalWidth="0" w:num="1">
            <w:col w:w="9020"/>
          </w:cols>
          <w:pgMar w:left="1440" w:top="1440" w:right="1440" w:bottom="111" w:gutter="0" w:footer="0" w:header="0"/>
        </w:sectPr>
      </w:pPr>
    </w:p>
    <w:bookmarkStart w:id="39" w:name="page40"/>
    <w:bookmarkEnd w:id="39"/>
    <w:p>
      <w:pPr>
        <w:ind w:left="620"/>
        <w:spacing w:after="0"/>
        <w:rPr>
          <w:sz w:val="20"/>
          <w:szCs w:val="20"/>
          <w:color w:val="auto"/>
        </w:rPr>
      </w:pPr>
      <w:r>
        <w:rPr>
          <w:rFonts w:ascii="Times New Roman" w:cs="Times New Roman" w:eastAsia="Times New Roman" w:hAnsi="Times New Roman"/>
          <w:sz w:val="12"/>
          <w:szCs w:val="12"/>
          <w:b w:val="1"/>
          <w:bCs w:val="1"/>
          <w:color w:val="231F20"/>
        </w:rPr>
        <w:t>Trademarks</w:t>
      </w:r>
    </w:p>
    <w:p>
      <w:pPr>
        <w:ind w:left="620"/>
        <w:spacing w:after="0" w:line="218" w:lineRule="auto"/>
        <w:rPr>
          <w:sz w:val="20"/>
          <w:szCs w:val="20"/>
          <w:color w:val="auto"/>
        </w:rPr>
      </w:pPr>
      <w:r>
        <w:rPr>
          <w:rFonts w:ascii="Times New Roman" w:cs="Times New Roman" w:eastAsia="Times New Roman" w:hAnsi="Times New Roman"/>
          <w:sz w:val="12"/>
          <w:szCs w:val="12"/>
          <w:color w:val="231F20"/>
        </w:rPr>
        <w:t>As of December 31, 2025, we and/or our subsidiaries own approximately 410 trademark registrations and applications,</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46 of which are US trademark registrations and applications, including: Genmab®; the Y-shaped Genmab logo®; Genmab in combination with the Y-shaped Genmab logo®; HexaBody®; HuMax®; DuoBody®; DuoHexaBody®; HexElect®; KYSO®; ABBIL1TY®; RAINFOL™; and Rina -S®. Merus™, Merus logo®, BIZENGRI®, Multiclonics®, Biclonics®, Triclonics® and ADClonics™ are trademarks of Merus. Tivdak® is a trademark of Seagen Inc. and Genmab A/S; EPCORE®, EPKINLY® and TEPKINLY® and their designs are trademarks of AbbVie Biotechnology Ltd. and Genmab A/S; Kesimpta® and Sensoready® are trademarks of Novartis AG. ARZERRA® is a trademark of Novartis Pharma AG; DARZALEX®, DARZALEX FASPRO®, RYBREVANT®, RYBREVANT FASPRO™, TECVAYLI®, and TALVEY® are trademarks of J&amp;J and/or its affiliates. TEPEZZA® is a trademark of Horizon Therapeutics Ireland DAC. Other than the registered trademarks listed above,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If we do not secure trademark registration successfully for our trademarks, we may encounter difficulty in enforcing, or be unable to enforce, our rights in our trademarks, trade names and service marks against third parties.</w:t>
      </w:r>
    </w:p>
    <w:p>
      <w:pPr>
        <w:ind w:left="620"/>
        <w:spacing w:after="0" w:line="217" w:lineRule="auto"/>
        <w:rPr>
          <w:sz w:val="20"/>
          <w:szCs w:val="20"/>
          <w:color w:val="auto"/>
        </w:rPr>
      </w:pPr>
      <w:r>
        <w:rPr>
          <w:rFonts w:ascii="Times New Roman" w:cs="Times New Roman" w:eastAsia="Times New Roman" w:hAnsi="Times New Roman"/>
          <w:sz w:val="12"/>
          <w:szCs w:val="12"/>
          <w:b w:val="1"/>
          <w:bCs w:val="1"/>
          <w:color w:val="231F20"/>
        </w:rPr>
        <w:t>Trade Secrets</w:t>
      </w:r>
    </w:p>
    <w:p>
      <w:pPr>
        <w:spacing w:after="0" w:line="1" w:lineRule="exact"/>
        <w:rPr>
          <w:sz w:val="20"/>
          <w:szCs w:val="20"/>
          <w:color w:val="auto"/>
        </w:rPr>
      </w:pPr>
    </w:p>
    <w:p>
      <w:pPr>
        <w:ind w:left="620" w:right="2280"/>
        <w:spacing w:after="0" w:line="220" w:lineRule="auto"/>
        <w:rPr>
          <w:sz w:val="20"/>
          <w:szCs w:val="20"/>
          <w:color w:val="auto"/>
        </w:rPr>
      </w:pPr>
      <w:r>
        <w:rPr>
          <w:rFonts w:ascii="Times New Roman" w:cs="Times New Roman" w:eastAsia="Times New Roman" w:hAnsi="Times New Roman"/>
          <w:sz w:val="12"/>
          <w:szCs w:val="12"/>
          <w:color w:val="231F20"/>
        </w:rPr>
        <w:t>We require our scientific personnel to maintain laboratory notebooks and other research records in accordance with our practices which are also designed to strengthen and support our intellectual property protection. In addition to our patented intellectual property, we also rely on trade secrets and other proprietary information, especially when we do not believe that patent protection is appropriate or can be obtained. Our practice is to require each of our employees, consultants and advisors to execute a proprietary information and inventions assignment agreement before beginning their employment, consulting or advisory relationship with us. These agreements provide that the individual must keep confidential and not disclose to other parties any confidential information developed or learned by the individual during the course of their relationship with us except in limited circumstances. These agreements also provide that we will own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inventions conceived or reduced to practice by the individual in the course of rendering services to us except in limited circumstances. Our agreements with collaboration partners require them to have similar agreements with their employees, consultants and advisors to ensure the agreed upon allotment of intellectual property rights can be enforced. Our practices and agreements and those of our collaboration partners may not sufficiently protect our confidential information, or third parties may independently develop equivalent information.</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231F20"/>
        </w:rPr>
        <w:t>Legal Proceedings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From time to time in the ordinary course of business we may become involved in various lawsuits, claims and</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 In 2024, Chugai filed a lawsuit in the Tokyo District Court in Japan against AbbVie’s and Genmab’s Japanese</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subsidiaries asserting that their activities related to EPKINLY (epcoritamab) in Japan infringe two Japanese patents held by Chugai and claiming damages and injunctive relief. In September 2025, Chugai filed two further lawsuits in the same court, against the same parties and with similar assertions, based on two newly granted Japanese patents held by Chugai which are similar to the patents from the original lawsuit.</w:t>
      </w:r>
    </w:p>
    <w:p>
      <w:pPr>
        <w:ind w:left="620" w:right="2840"/>
        <w:spacing w:after="0" w:line="215" w:lineRule="auto"/>
        <w:rPr>
          <w:sz w:val="20"/>
          <w:szCs w:val="20"/>
          <w:color w:val="auto"/>
        </w:rPr>
      </w:pPr>
      <w:r>
        <w:rPr>
          <w:rFonts w:ascii="Times New Roman" w:cs="Times New Roman" w:eastAsia="Times New Roman" w:hAnsi="Times New Roman"/>
          <w:sz w:val="12"/>
          <w:szCs w:val="12"/>
          <w:color w:val="231F20"/>
        </w:rPr>
        <w:t>Genmab and AbbVie believe that all four of the patents are invalid and/or not infringed and intend to vigorously defend the claims, and thus no provision has been recorded related to this matter.</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 injunctive relief. AbbVie is not asserting or enforcing any patent rights against the defendants, and to Genmab’s knowledge, AbbVie has not pursued any development of products incorporating their alleged trade secrets. During the fourth quarter of 2025, AbbVie filed a complaint with the US International Trade Commission under Section 337 of the Tariff Act against ProfoundBio US Co.; ProfoundBio (Suzhou) Co., Ltd.; Genmab A/S; Genmab B.V.; and Genmab US, Inc., seeking to exclude certain antibody drug conjugate products from importation into the US. The district court action has since been stayed. The ITC complaint is based on allegations that are substantially similar to those asserted in the district court action.</w:t>
      </w:r>
    </w:p>
    <w:p>
      <w:pPr>
        <w:spacing w:after="0" w:line="1" w:lineRule="exact"/>
        <w:rPr>
          <w:sz w:val="20"/>
          <w:szCs w:val="20"/>
          <w:color w:val="auto"/>
        </w:rPr>
      </w:pPr>
    </w:p>
    <w:p>
      <w:pPr>
        <w:ind w:left="620" w:right="2580"/>
        <w:spacing w:after="0" w:line="215" w:lineRule="auto"/>
        <w:rPr>
          <w:sz w:val="20"/>
          <w:szCs w:val="20"/>
          <w:color w:val="auto"/>
        </w:rPr>
      </w:pPr>
      <w:r>
        <w:rPr>
          <w:rFonts w:ascii="Times New Roman" w:cs="Times New Roman" w:eastAsia="Times New Roman" w:hAnsi="Times New Roman"/>
          <w:sz w:val="12"/>
          <w:szCs w:val="12"/>
          <w:color w:val="231F20"/>
        </w:rPr>
        <w:t>Genmab categorically refutes these allegations and will vigorously defend the company against AbbVie’s claims, and thus no provision has been recorded related to this matter.</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231F20"/>
        </w:rPr>
        <w:t>Government Regulation</w:t>
      </w:r>
    </w:p>
    <w:p>
      <w:pPr>
        <w:ind w:left="620" w:right="2340"/>
        <w:spacing w:after="0" w:line="215" w:lineRule="auto"/>
        <w:rPr>
          <w:sz w:val="20"/>
          <w:szCs w:val="20"/>
          <w:color w:val="auto"/>
        </w:rPr>
      </w:pPr>
      <w:r>
        <w:rPr>
          <w:rFonts w:ascii="Times New Roman" w:cs="Times New Roman" w:eastAsia="Times New Roman" w:hAnsi="Times New Roman"/>
          <w:sz w:val="12"/>
          <w:szCs w:val="12"/>
          <w:color w:val="231F20"/>
        </w:rPr>
        <w:t>The FDA, the EMA, the Japan Pharmaceuticals and Medical Devices Agency (“</w:t>
      </w:r>
      <w:r>
        <w:rPr>
          <w:rFonts w:ascii="Times New Roman" w:cs="Times New Roman" w:eastAsia="Times New Roman" w:hAnsi="Times New Roman"/>
          <w:sz w:val="12"/>
          <w:szCs w:val="12"/>
          <w:b w:val="1"/>
          <w:bCs w:val="1"/>
          <w:color w:val="231F20"/>
        </w:rPr>
        <w:t>PMDA</w:t>
      </w:r>
      <w:r>
        <w:rPr>
          <w:rFonts w:ascii="Times New Roman" w:cs="Times New Roman" w:eastAsia="Times New Roman" w:hAnsi="Times New Roman"/>
          <w:sz w:val="12"/>
          <w:szCs w:val="12"/>
          <w:color w:val="231F20"/>
        </w:rPr>
        <w:t>”) and other regulatory authorities at US federal, state, and local levels, as well as in other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collaboration partners and third-party contractors, are required to navigate the various preclinical, clinical and commercial approval requirements of the governing regulatory agencies of the countries in which we wish to conduct trials or seek approval or licensure of our product candidates. The process of regulatory approvals and the subsequent compliance with appropriate statutes and regulations require the expenditure of substantial time and financial resources. The following sections outline the approval process and other rules and regulations applicable to biologics in the US, EU, Japan, and the U.K. (following Brexit). While the regulatory process in many countries is similar to the US, EU, or the U.K., each jurisdiction has its own regulations, and approval in one jurisdiction does not guarantee approval in any other jurisdiction.</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b w:val="1"/>
          <w:bCs w:val="1"/>
          <w:i w:val="1"/>
          <w:iCs w:val="1"/>
          <w:color w:val="231F20"/>
        </w:rPr>
        <w:t>Review and Approval of Biologic Products in the US</w:t>
      </w:r>
    </w:p>
    <w:p>
      <w:pPr>
        <w:sectPr>
          <w:pgSz w:w="11900" w:h="16840" w:orient="portrait"/>
          <w:cols w:equalWidth="0" w:num="1">
            <w:col w:w="9020"/>
          </w:cols>
          <w:pgMar w:left="1440" w:top="557" w:right="1440"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2"/>
          <w:szCs w:val="12"/>
          <w:color w:val="auto"/>
        </w:rPr>
        <w:t>63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Biological products are subject to regulation under the Federal Food, Drug, and Cosmetic Act and the Public Health Service Act and other federal, state, local and foreign statutes and regulations. Our product candidates must be approved by the FDA before they may be legally marketed in the US.</w:t>
      </w:r>
    </w:p>
    <w:p>
      <w:pPr>
        <w:ind w:left="620" w:right="2500"/>
        <w:spacing w:after="0" w:line="213" w:lineRule="auto"/>
        <w:rPr>
          <w:sz w:val="20"/>
          <w:szCs w:val="20"/>
          <w:color w:val="auto"/>
        </w:rPr>
      </w:pPr>
      <w:r>
        <w:rPr>
          <w:rFonts w:ascii="Times New Roman" w:cs="Times New Roman" w:eastAsia="Times New Roman" w:hAnsi="Times New Roman"/>
          <w:sz w:val="12"/>
          <w:szCs w:val="12"/>
          <w:color w:val="231F20"/>
        </w:rPr>
        <w:t>The process required by the FDA before biologic product candidates may be marketed in the US generally involves the following:</w:t>
      </w:r>
    </w:p>
    <w:p>
      <w:pPr>
        <w:spacing w:after="0" w:line="1" w:lineRule="exact"/>
        <w:rPr>
          <w:sz w:val="20"/>
          <w:szCs w:val="20"/>
          <w:color w:val="auto"/>
        </w:rPr>
      </w:pPr>
    </w:p>
    <w:p>
      <w:pPr>
        <w:ind w:left="620" w:right="2720"/>
        <w:spacing w:after="0" w:line="215" w:lineRule="auto"/>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231F20"/>
        </w:rPr>
        <w:t>completion of preclinical laboratory tests and animal trials performed in accordance with the FDA’s current Good</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231F20"/>
        </w:rPr>
        <w:t>Laboratory Practices (“</w:t>
      </w:r>
      <w:r>
        <w:rPr>
          <w:rFonts w:ascii="Times New Roman" w:cs="Times New Roman" w:eastAsia="Times New Roman" w:hAnsi="Times New Roman"/>
          <w:sz w:val="12"/>
          <w:szCs w:val="12"/>
          <w:b w:val="1"/>
          <w:bCs w:val="1"/>
          <w:color w:val="231F20"/>
        </w:rPr>
        <w:t>GLPs</w:t>
      </w:r>
      <w:r>
        <w:rPr>
          <w:rFonts w:ascii="Times New Roman" w:cs="Times New Roman" w:eastAsia="Times New Roman" w:hAnsi="Times New Roman"/>
          <w:sz w:val="12"/>
          <w:szCs w:val="12"/>
          <w:color w:val="231F20"/>
        </w:rPr>
        <w:t>”) regulation;</w:t>
      </w:r>
    </w:p>
    <w:p>
      <w:pPr>
        <w:spacing w:after="0" w:line="1" w:lineRule="exact"/>
        <w:rPr>
          <w:sz w:val="20"/>
          <w:szCs w:val="20"/>
          <w:color w:val="auto"/>
        </w:rPr>
      </w:pPr>
    </w:p>
    <w:p>
      <w:pPr>
        <w:ind w:left="620" w:right="29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submission to the FDA of an IND, which must become effective before clinical trials may begin and must be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updated annually or when significant changes are made;</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approval by an independent IRB, or ethics committee at each clinical site before the trial is begun;</w:t>
      </w:r>
    </w:p>
    <w:p>
      <w:pPr>
        <w:ind w:left="620" w:right="30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performance of adequate and well-controlled human clinical trials to establish the safety and potency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proposed biologic product candidate for its intended purpose;</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preparation of and submission to the FDA of a BLA, after completion of all pivotal clinical trials;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 determination by the FDA within 60 days of its receipt of a BLA to accept the application for review;</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satisfactory completion of an FDA Advisory Committee review, if applicable;</w:t>
      </w:r>
    </w:p>
    <w:p>
      <w:pPr>
        <w:spacing w:after="0" w:line="1" w:lineRule="exact"/>
        <w:rPr>
          <w:sz w:val="20"/>
          <w:szCs w:val="20"/>
          <w:color w:val="auto"/>
        </w:rPr>
      </w:pPr>
    </w:p>
    <w:p>
      <w:pPr>
        <w:ind w:left="620" w:right="27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satisfactory completion of an FDA pre -approval inspection of the manufacturing facility or facilities at which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proposed product is produced to assess compliance with GMP and to assure that the facilities, methods and controls are adequate to preserve the biological product’s continued safety, purity and potency, and of selected clinical investigations to assess compliance with current GCPs; and</w:t>
      </w: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FDA review and approval of the BLA to permit commercial marketing of the product for particular indications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use in the US, which must be updated when significant changes are made.</w:t>
      </w:r>
    </w:p>
    <w:p>
      <w:pPr>
        <w:ind w:left="620"/>
        <w:spacing w:after="0" w:line="215" w:lineRule="auto"/>
        <w:rPr>
          <w:sz w:val="20"/>
          <w:szCs w:val="20"/>
          <w:color w:val="auto"/>
        </w:rPr>
      </w:pPr>
      <w:r>
        <w:rPr>
          <w:rFonts w:ascii="Times New Roman" w:cs="Times New Roman" w:eastAsia="Times New Roman" w:hAnsi="Times New Roman"/>
          <w:sz w:val="12"/>
          <w:szCs w:val="12"/>
          <w:color w:val="231F20"/>
        </w:rPr>
        <w:t>Prior to beginning the first clinical trial with a product candidate in the US, we or our collaboration partner must</w:t>
      </w:r>
    </w:p>
    <w:p>
      <w:pPr>
        <w:ind w:left="620" w:right="2280"/>
        <w:spacing w:after="0" w:line="239" w:lineRule="auto"/>
        <w:rPr>
          <w:sz w:val="20"/>
          <w:szCs w:val="20"/>
          <w:color w:val="auto"/>
        </w:rPr>
      </w:pPr>
      <w:r>
        <w:rPr>
          <w:rFonts w:ascii="Times New Roman" w:cs="Times New Roman" w:eastAsia="Times New Roman" w:hAnsi="Times New Roman"/>
          <w:sz w:val="12"/>
          <w:szCs w:val="12"/>
          <w:color w:val="231F20"/>
        </w:rPr>
        <w:t xml:space="preserve">submit an IND to the FDA. An IND is a request for authorization from the FDA to administer an investigational product to humans. The central focus of an IND submission is on the general investigational plan and the protocol(s) for clinical trials. The IND also includes results of animal and </w:t>
      </w:r>
      <w:r>
        <w:rPr>
          <w:rFonts w:ascii="Times New Roman" w:cs="Times New Roman" w:eastAsia="Times New Roman" w:hAnsi="Times New Roman"/>
          <w:sz w:val="12"/>
          <w:szCs w:val="12"/>
          <w:i w:val="1"/>
          <w:iCs w:val="1"/>
          <w:color w:val="231F20"/>
        </w:rPr>
        <w:t>in vitro</w:t>
      </w:r>
      <w:r>
        <w:rPr>
          <w:rFonts w:ascii="Times New Roman" w:cs="Times New Roman" w:eastAsia="Times New Roman" w:hAnsi="Times New Roman"/>
          <w:sz w:val="12"/>
          <w:szCs w:val="12"/>
          <w:color w:val="231F20"/>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 w:lineRule="exact"/>
        <w:rPr>
          <w:sz w:val="20"/>
          <w:szCs w:val="20"/>
          <w:color w:val="auto"/>
        </w:rPr>
      </w:pPr>
    </w:p>
    <w:p>
      <w:pPr>
        <w:ind w:left="620" w:right="2340"/>
        <w:spacing w:after="0" w:line="218" w:lineRule="auto"/>
        <w:rPr>
          <w:sz w:val="20"/>
          <w:szCs w:val="20"/>
          <w:color w:val="auto"/>
        </w:rPr>
      </w:pPr>
      <w:r>
        <w:rPr>
          <w:rFonts w:ascii="Times New Roman" w:cs="Times New Roman" w:eastAsia="Times New Roman" w:hAnsi="Times New Roman"/>
          <w:sz w:val="12"/>
          <w:szCs w:val="12"/>
          <w:color w:val="231F20"/>
        </w:rPr>
        <w:t>A clinical trial involves the administration of the investigational product to human patients under the supervision of qualified investigators in accordance with GCPs, which includes the requirement that all research patients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patients are being exposed to an unacceptable health risk or that the trial is unlikely to meet its stated objectives.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points based on access to certain data from the trial and may halt the clinical trial if it determines that there is an unacceptable safety risk for patients or on other grounds, such as no demonstration of efficacy. There are also requirements governing the reporting of ongoing clinical trials and clinical trial results to public registries.</w:t>
      </w:r>
    </w:p>
    <w:p>
      <w:pPr>
        <w:ind w:left="620" w:right="2860"/>
        <w:spacing w:after="0" w:line="215" w:lineRule="auto"/>
        <w:rPr>
          <w:sz w:val="20"/>
          <w:szCs w:val="20"/>
          <w:color w:val="auto"/>
        </w:rPr>
      </w:pPr>
      <w:r>
        <w:rPr>
          <w:rFonts w:ascii="Times New Roman" w:cs="Times New Roman" w:eastAsia="Times New Roman" w:hAnsi="Times New Roman"/>
          <w:sz w:val="12"/>
          <w:szCs w:val="12"/>
          <w:color w:val="231F20"/>
        </w:rPr>
        <w:t>For purposes of BLA approval, human clinical trials are typically conducted in three sequential phases that may overlap.</w:t>
      </w: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231F20"/>
        </w:rPr>
        <w:t>Phase I</w:t>
      </w:r>
      <w:r>
        <w:rPr>
          <w:rFonts w:ascii="Times New Roman" w:cs="Times New Roman" w:eastAsia="Times New Roman" w:hAnsi="Times New Roman"/>
          <w:sz w:val="12"/>
          <w:szCs w:val="12"/>
          <w:color w:val="231F20"/>
        </w:rPr>
        <w:t>-The investigational product is initially introduced into human patients with the target disease or condition.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These trials are designed to test the safety, dosage tolerance, absorption, metabolism and distribution of the investigational product in humans, the side effects associated with increasing doses, and, if possible, to gain early evidence on effectiveness.</w:t>
      </w:r>
    </w:p>
    <w:p>
      <w:pPr>
        <w:ind w:left="620" w:right="27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231F20"/>
        </w:rPr>
        <w:t>Phase II</w:t>
      </w:r>
      <w:r>
        <w:rPr>
          <w:rFonts w:ascii="Times New Roman" w:cs="Times New Roman" w:eastAsia="Times New Roman" w:hAnsi="Times New Roman"/>
          <w:sz w:val="12"/>
          <w:szCs w:val="12"/>
          <w:color w:val="231F20"/>
        </w:rPr>
        <w:t>-The investigational product is administered to a limited patient population with a specified disease 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condition to evaluate the preliminary efficacy, optimal dosages and dosing schedule and to identify possible adverse side effects and safety risks. Multiple Phase II clinical trials may be conducted to obtain information prior to beginning larger and more expensive Phase III clinical trials and we often conduct multiple Phase I/II trials. Some of the Phase II trials can potentially provide an adequate basis for regulatory approval.</w:t>
      </w:r>
    </w:p>
    <w:p>
      <w:pPr>
        <w:spacing w:after="0" w:line="1" w:lineRule="exact"/>
        <w:rPr>
          <w:sz w:val="20"/>
          <w:szCs w:val="20"/>
          <w:color w:val="auto"/>
        </w:rPr>
      </w:pP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231F20"/>
        </w:rPr>
        <w:t>Phase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-The investigational product is administered to an expanded patient population to further evaluate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dosage, to provide statistically significant evidence of clinical efficacy and to further test for safety, generally at multiple geographically dispersed clinical trial sites. These clinical trials are intended to establish the overall risk/ benefit ratio of the investigational product and to provide an adequate basis for product approval.</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In some cases, the FDA may require, or companies may voluntarily pursue, additional clinical trials after a product is approved to gain more information about the product. These so-called Phase IV trials may be made a condition to approval of the BLA.</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Concurrently with clinical trials, companies may complete additional animal trials and develop additional information about the biological characteristics of the product candidate and must finalize a process for manufacturing the product in commercial quantities in accordance with GMP requirements. The manufacturing process must be capable of consistently producing quality batches of the product candidate and, among other things, must include methods for testing the identity, strength, quality and purity of the final product, or for biologics, the safety, purity and potency. Additionally, appropriate packaging must be selected and tested, and stability trials must be conducted to demonstrate that the product candidate does not undergo unacceptable deterioration over its shelf life.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231F20"/>
        </w:rPr>
        <w:t>BLA Submission and Review by the FDA</w:t>
      </w:r>
    </w:p>
    <w:p>
      <w:pPr>
        <w:ind w:left="620" w:right="2360"/>
        <w:spacing w:after="0" w:line="221" w:lineRule="auto"/>
        <w:rPr>
          <w:sz w:val="20"/>
          <w:szCs w:val="20"/>
          <w:color w:val="auto"/>
        </w:rPr>
      </w:pPr>
      <w:r>
        <w:rPr>
          <w:rFonts w:ascii="Times New Roman" w:cs="Times New Roman" w:eastAsia="Times New Roman" w:hAnsi="Times New Roman"/>
          <w:sz w:val="12"/>
          <w:szCs w:val="12"/>
          <w:color w:val="231F20"/>
        </w:rPr>
        <w:t>Assuming successful completion of all required testing in accordance with all applicable regulatory requirements, the results of product development, non -clinical trials and clinical trials are submitted to the FDA as part of a BLA requesting approval to market the product for one or more indications. The BLA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the</w:t>
      </w:r>
    </w:p>
    <w:p>
      <w:pPr>
        <w:sectPr>
          <w:pgSz w:w="11900" w:h="16840" w:orient="portrait"/>
          <w:cols w:equalWidth="0" w:num="1">
            <w:col w:w="9020"/>
          </w:cols>
          <w:pgMar w:left="1440" w:top="1425" w:right="1440" w:bottom="92" w:gutter="0" w:footer="0" w:header="0"/>
        </w:sectPr>
      </w:pPr>
    </w:p>
    <w:bookmarkStart w:id="41" w:name="page42"/>
    <w:bookmarkEnd w:id="41"/>
    <w:p>
      <w:pPr>
        <w:ind w:left="620" w:right="2540"/>
        <w:spacing w:after="0" w:line="221" w:lineRule="auto"/>
        <w:rPr>
          <w:sz w:val="20"/>
          <w:szCs w:val="20"/>
          <w:color w:val="auto"/>
        </w:rPr>
      </w:pPr>
      <w:r>
        <w:rPr>
          <w:rFonts w:ascii="Times New Roman" w:cs="Times New Roman" w:eastAsia="Times New Roman" w:hAnsi="Times New Roman"/>
          <w:sz w:val="12"/>
          <w:szCs w:val="12"/>
          <w:color w:val="231F20"/>
        </w:rPr>
        <w:t>product, or from a number of alternative sources, including trials initiated by investigators. The submission of a BLA requires payment of a substantial user fee to the FDA, and the sponsor of an approved BLA is also subject to annual program fees. These fees are typically increased annually. A waiver of user fees may be obtained under certain limited circumstances.</w:t>
      </w:r>
    </w:p>
    <w:p>
      <w:pPr>
        <w:spacing w:after="0" w:line="1" w:lineRule="exact"/>
        <w:rPr>
          <w:sz w:val="20"/>
          <w:szCs w:val="20"/>
          <w:color w:val="auto"/>
        </w:rPr>
      </w:pPr>
    </w:p>
    <w:p>
      <w:pPr>
        <w:ind w:left="620" w:right="2280"/>
        <w:spacing w:after="0" w:line="220" w:lineRule="auto"/>
        <w:rPr>
          <w:sz w:val="20"/>
          <w:szCs w:val="20"/>
          <w:color w:val="auto"/>
        </w:rPr>
      </w:pPr>
      <w:r>
        <w:rPr>
          <w:rFonts w:ascii="Times New Roman" w:cs="Times New Roman" w:eastAsia="Times New Roman" w:hAnsi="Times New Roman"/>
          <w:sz w:val="12"/>
          <w:szCs w:val="12"/>
          <w:color w:val="231F20"/>
        </w:rPr>
        <w:t>In addition, under the Pediatric Research Equity Act (“</w:t>
      </w:r>
      <w:r>
        <w:rPr>
          <w:rFonts w:ascii="Times New Roman" w:cs="Times New Roman" w:eastAsia="Times New Roman" w:hAnsi="Times New Roman"/>
          <w:sz w:val="12"/>
          <w:szCs w:val="12"/>
          <w:b w:val="1"/>
          <w:bCs w:val="1"/>
          <w:color w:val="231F20"/>
        </w:rPr>
        <w:t>PREA</w:t>
      </w:r>
      <w:r>
        <w:rPr>
          <w:rFonts w:ascii="Times New Roman" w:cs="Times New Roman" w:eastAsia="Times New Roman" w:hAnsi="Times New Roman"/>
          <w:sz w:val="12"/>
          <w:szCs w:val="12"/>
          <w:color w:val="231F20"/>
        </w:rPr>
        <w:t>”),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A sponsor who is planning to submit a marketing application for a drug or biological product that includes a new active ingredient, new indication, new dosage form, new dosing regimen or new route of administration must submit an initial Pediatric Study Plan within sixty days after an end -of-Phase II meeting or as may be agreed between the sponsor and FDA. Unless otherwise required by regulation, PREA does not apply to any biological product for an indication for which orphan designation has been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Once a BLA has been submitted, the FDA’s goal is to review the application within 10 months after it accepts the application for filing, or, if the application relates to an unmet medical need in a serious or life- threatening indication granted Priority Review by FDA, six months after the FDA accepts the application for filing. If the submission is incomplete or there are issues with its content or format, a Refusal to File notice is issued sixty days after submission, rather than acceptance for filing by FDA. The review process may be extended by the FDA’s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 xml:space="preserve">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or our collaboration partners from marketing our products. After the FDA evaluates a BLA and conducts inspections of manufacturing facilities where the product will be produced, the FDA may issue an approval, which authorizes commercial marketing of the product with specific prescribing information for specific indications or a complete response letter, which indicates that the review cycle of the application is complete and the application is not ready for approval (a </w:t>
      </w:r>
      <w:r>
        <w:rPr>
          <w:rFonts w:ascii="Times New Roman" w:cs="Times New Roman" w:eastAsia="Times New Roman" w:hAnsi="Times New Roman"/>
          <w:sz w:val="12"/>
          <w:szCs w:val="12"/>
          <w:b w:val="1"/>
          <w:bCs w:val="1"/>
          <w:color w:val="231F20"/>
        </w:rPr>
        <w:t>“Complete</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b w:val="1"/>
          <w:bCs w:val="1"/>
          <w:color w:val="231F20"/>
        </w:rPr>
        <w:t xml:space="preserve">Response Letter </w:t>
      </w:r>
      <w:r>
        <w:rPr>
          <w:rFonts w:ascii="Times New Roman" w:cs="Times New Roman" w:eastAsia="Times New Roman" w:hAnsi="Times New Roman"/>
          <w:sz w:val="12"/>
          <w:szCs w:val="12"/>
          <w:color w:val="231F20"/>
        </w:rPr>
        <w:t>”). A Complete Response Letter may request additional information or clarification. The FDA may delay</w:t>
      </w:r>
      <w:r>
        <w:rPr>
          <w:rFonts w:ascii="Times New Roman" w:cs="Times New Roman" w:eastAsia="Times New Roman" w:hAnsi="Times New Roman"/>
          <w:sz w:val="12"/>
          <w:szCs w:val="12"/>
          <w:b w:val="1"/>
          <w:bCs w:val="1"/>
          <w:color w:val="231F20"/>
        </w:rPr>
        <w:t xml:space="preserve"> </w:t>
      </w:r>
      <w:r>
        <w:rPr>
          <w:rFonts w:ascii="Times New Roman" w:cs="Times New Roman" w:eastAsia="Times New Roman" w:hAnsi="Times New Roman"/>
          <w:sz w:val="12"/>
          <w:szCs w:val="12"/>
          <w:color w:val="231F20"/>
        </w:rPr>
        <w:t>or refuse approval of a BLA if applicable regulatory criteria are not satisfied, require additional testing or information and/ or require post-marketing testing and surveillance to monitor the safety or efficacy of a product.</w:t>
      </w:r>
    </w:p>
    <w:p>
      <w:pPr>
        <w:ind w:left="620"/>
        <w:spacing w:after="0" w:line="217" w:lineRule="auto"/>
        <w:rPr>
          <w:sz w:val="20"/>
          <w:szCs w:val="20"/>
          <w:color w:val="auto"/>
        </w:rPr>
      </w:pPr>
      <w:r>
        <w:rPr>
          <w:rFonts w:ascii="Times New Roman" w:cs="Times New Roman" w:eastAsia="Times New Roman" w:hAnsi="Times New Roman"/>
          <w:sz w:val="12"/>
          <w:szCs w:val="12"/>
          <w:color w:val="231F20"/>
        </w:rPr>
        <w:t>If regulatory approval of a product is granted, such approval may entail limitations on the indicated uses for which</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such product may be marketed. For example, the FDA may approve the BLA with a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IV post-market trials and surveillance to further assess and monitor the product’s safety and effectiveness after commercialization and may limit further marketing of the product based on the results of these post-marketing trials.</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Expedited Development and Review Programs</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A sponsor may seek approval of its product candidate under programs designed to accelerate the FDA’s review and approval of new drugs and biological products that meet certain criteria. Specifically, new drugs and biological products are eligible for FTD if they are intended to treat a serious or life -threatening condition and demonstrate the potential to address an unmet medical need for the condition. For a fast - track product, the FDA may consider sections of the BLA for review on a rolling basis before the complete application is submitted if relevant criteria are met. An FTD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 w:lineRule="exact"/>
        <w:rPr>
          <w:sz w:val="20"/>
          <w:szCs w:val="20"/>
          <w:color w:val="auto"/>
        </w:rPr>
      </w:pPr>
    </w:p>
    <w:p>
      <w:pPr>
        <w:ind w:left="620" w:right="2380"/>
        <w:spacing w:after="0" w:line="221" w:lineRule="auto"/>
        <w:rPr>
          <w:sz w:val="20"/>
          <w:szCs w:val="20"/>
          <w:color w:val="auto"/>
        </w:rPr>
      </w:pPr>
      <w:r>
        <w:rPr>
          <w:rFonts w:ascii="Times New Roman" w:cs="Times New Roman" w:eastAsia="Times New Roman" w:hAnsi="Times New Roman"/>
          <w:sz w:val="12"/>
          <w:szCs w:val="12"/>
          <w:color w:val="231F20"/>
        </w:rPr>
        <w:t>Under the accelerated approval program, the FDA may approve a BLA on the basis of either a surrogate endpoint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including the start of a confirmatory Phase III trial, after marketing approval are generally required to verify the biologic’s clinical benefit in relationship to the surrogate endpoint</w:t>
      </w:r>
    </w:p>
    <w:p>
      <w:pPr>
        <w:sectPr>
          <w:pgSz w:w="11900" w:h="16840" w:orient="portrait"/>
          <w:cols w:equalWidth="0" w:num="1">
            <w:col w:w="9020"/>
          </w:cols>
          <w:pgMar w:left="1440" w:top="559" w:right="1440"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2"/>
          <w:szCs w:val="12"/>
          <w:color w:val="auto"/>
        </w:rPr>
        <w:t>66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or ultimate outcome in relationship to the clinical benefit. In addition, a sponsor may seek FDA BTD of its product candidate if the product candidate is intended, alone or in combination with one or more other drugs or biologics, to treat a serious or life 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 disciplinary review; assigning a cross disciplinary project lead for the FDA review team to facilitate an efficient review of the development program and to serve as a scientific liaison between the review team and the sponsor; and considering alternative clinical trial designs when scientifically appropriate. BTD also allows the sponsor to submit sections of the BLA for review on a rolling basis.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FTD, priority review, BTD, and accelerated approval do not change the standards for approval but may expedite the development or approval process. Even if a product qualifies for one or more of these programs, FDA may later decide that the product no longer meets the conditions for the designation or decide that the time period for FDA review or approval will not be shortened.</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Review and Approval of Combination Products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Certain of our product candidates are subject to regulation in the US as combination products. If marketed individually, each component would be subject to different regulatory pathways and would require FDA approval of independent marketing applications. A combination product, however, is assigned to a center within the FDA that will have primary jurisdiction over its regulation based on a determination of the combination product’s primary mode of action, which is the single mode of action that provides the most important therapeutic action. Our ADC candidates are both drug and biologic molecules. Such ADCs are regulated as therapeutic biologics and the FDA’s Center for Drug Evaluation and Research (“</w:t>
      </w:r>
      <w:r>
        <w:rPr>
          <w:rFonts w:ascii="Times New Roman" w:cs="Times New Roman" w:eastAsia="Times New Roman" w:hAnsi="Times New Roman"/>
          <w:sz w:val="12"/>
          <w:szCs w:val="12"/>
          <w:b w:val="1"/>
          <w:bCs w:val="1"/>
          <w:color w:val="231F20"/>
        </w:rPr>
        <w:t>CDER</w:t>
      </w:r>
      <w:r>
        <w:rPr>
          <w:rFonts w:ascii="Times New Roman" w:cs="Times New Roman" w:eastAsia="Times New Roman" w:hAnsi="Times New Roman"/>
          <w:sz w:val="12"/>
          <w:szCs w:val="12"/>
          <w:color w:val="231F20"/>
        </w:rPr>
        <w:t>”), will have primary jurisdiction over pre-market development. We expect to seek approval of these combination products through a single BLA reviewed by CDER, and we do not expect that the FDA will require a separate marketing authorization for each of the drug and biologic constituents of such products.</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Post-Approval Requirements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Any products manufactured or distributed by us or our collaboration partners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GMP, which impose certain procedural and documentation requirements upon us and our third- party manufacturers. Changes to the manufacturing process are strictly regulated, and depending on the significance of the change, may require prior FDA approval before being implemented. FDA regulations also require investigation and correction of any deviations from GMP and impose reporting requirements upon us and any third-party manufacturers that we or our collaboration partners may decide to use. Accordingly, manufacturers must continue to expend time, money and effort in the area of production and quality control to maintain compliance with GMP and other regulations. If our present or future suppliers are not able to comply with these requirements, the FDA may, among other things, halt our clinical trials, require us or our collaboration partners to recall a product from distribution, or withdraw approval of the BLA.</w:t>
      </w:r>
    </w:p>
    <w:p>
      <w:pPr>
        <w:spacing w:after="0" w:line="2" w:lineRule="exact"/>
        <w:rPr>
          <w:sz w:val="20"/>
          <w:szCs w:val="20"/>
          <w:color w:val="auto"/>
        </w:rPr>
      </w:pPr>
    </w:p>
    <w:p>
      <w:pPr>
        <w:ind w:left="620" w:right="2280"/>
        <w:spacing w:after="0" w:line="220" w:lineRule="auto"/>
        <w:rPr>
          <w:sz w:val="20"/>
          <w:szCs w:val="20"/>
          <w:color w:val="auto"/>
        </w:rPr>
      </w:pPr>
      <w:r>
        <w:rPr>
          <w:rFonts w:ascii="Times New Roman" w:cs="Times New Roman" w:eastAsia="Times New Roman" w:hAnsi="Times New Roman"/>
          <w:sz w:val="12"/>
          <w:szCs w:val="12"/>
          <w:color w:val="231F20"/>
        </w:rPr>
        <w:t>We rely, and expect to continue to rely, on third parties for the production of clinical and commercial quantities of our products and product candidates. Future FDA and state inspections may identify compliance issues at our facilities or at the facilities of our CMOs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the withdrawal or recall of the product from the market or other voluntary, FDA- initiated or judicial action that could delay or prohibit further marketing. The FDA may withdraw approval if compliance with regulatory requirements and standards is not maintained or if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4" w:lineRule="auto"/>
        <w:rPr>
          <w:sz w:val="20"/>
          <w:szCs w:val="20"/>
          <w:color w:val="auto"/>
        </w:rPr>
      </w:pPr>
      <w:r>
        <w:rPr>
          <w:rFonts w:ascii="Times New Roman" w:cs="Times New Roman" w:eastAsia="Times New Roman" w:hAnsi="Times New Roman"/>
          <w:sz w:val="12"/>
          <w:szCs w:val="12"/>
          <w:color w:val="231F20"/>
        </w:rPr>
        <w:t>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trials or clinical trials to assess new safety risks; or imposition of distribution restrictions or other restrictions under a REMS program. Other potential consequences include, among other things:</w:t>
      </w:r>
    </w:p>
    <w:p>
      <w:pPr>
        <w:spacing w:after="0" w:line="2" w:lineRule="exact"/>
        <w:rPr>
          <w:sz w:val="20"/>
          <w:szCs w:val="20"/>
          <w:color w:val="auto"/>
        </w:rPr>
      </w:pPr>
    </w:p>
    <w:p>
      <w:pPr>
        <w:ind w:left="620" w:right="3040"/>
        <w:spacing w:after="0" w:line="215" w:lineRule="auto"/>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231F20"/>
        </w:rPr>
        <w:t>restrictions on the marketing or manufacturing of the product, complete withdrawal of the product from the</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231F20"/>
        </w:rPr>
        <w:t>market or product recalls;</w:t>
      </w:r>
    </w:p>
    <w:p>
      <w:pPr>
        <w:spacing w:after="0" w:line="1" w:lineRule="exact"/>
        <w:rPr>
          <w:sz w:val="20"/>
          <w:szCs w:val="20"/>
          <w:color w:val="auto"/>
        </w:rPr>
      </w:pP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fines, warning letters or holds on post-approval clinical trials;</w:t>
      </w:r>
    </w:p>
    <w:p>
      <w:pPr>
        <w:ind w:left="620" w:right="29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refusal of the FDA to approve pending applications or supplements to approved applications, or suspension 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revocation of product license approvals;</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product seizure or detention, or refusal to permit the import or export of products; or</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injunctions or the imposition of civil or criminal penalties.</w:t>
      </w:r>
    </w:p>
    <w:p>
      <w:pPr>
        <w:ind w:left="620" w:right="2280"/>
        <w:spacing w:after="0" w:line="239" w:lineRule="auto"/>
        <w:rPr>
          <w:sz w:val="20"/>
          <w:szCs w:val="20"/>
          <w:color w:val="auto"/>
        </w:rPr>
      </w:pPr>
      <w:r>
        <w:rPr>
          <w:rFonts w:ascii="Times New Roman" w:cs="Times New Roman" w:eastAsia="Times New Roman" w:hAnsi="Times New Roman"/>
          <w:sz w:val="12"/>
          <w:szCs w:val="12"/>
          <w:color w:val="231F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any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 - 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Regulation of Diagnostic Tests</w:t>
      </w:r>
    </w:p>
    <w:p>
      <w:pPr>
        <w:ind w:left="620" w:right="2340"/>
        <w:spacing w:after="0" w:line="215" w:lineRule="auto"/>
        <w:rPr>
          <w:sz w:val="20"/>
          <w:szCs w:val="20"/>
          <w:color w:val="auto"/>
        </w:rPr>
      </w:pPr>
      <w:r>
        <w:rPr>
          <w:rFonts w:ascii="Times New Roman" w:cs="Times New Roman" w:eastAsia="Times New Roman" w:hAnsi="Times New Roman"/>
          <w:sz w:val="12"/>
          <w:szCs w:val="12"/>
          <w:color w:val="231F20"/>
        </w:rPr>
        <w:t xml:space="preserve">Certain of our product candidates may require the use of a diagnostic to identify appropriate patient populations that may benefit from our products. These companion diagnostics are medical devices, often </w:t>
      </w:r>
      <w:r>
        <w:rPr>
          <w:rFonts w:ascii="Times New Roman" w:cs="Times New Roman" w:eastAsia="Times New Roman" w:hAnsi="Times New Roman"/>
          <w:sz w:val="12"/>
          <w:szCs w:val="12"/>
          <w:i w:val="1"/>
          <w:iCs w:val="1"/>
          <w:color w:val="231F20"/>
        </w:rPr>
        <w:t>in vitro</w:t>
      </w:r>
      <w:r>
        <w:rPr>
          <w:rFonts w:ascii="Times New Roman" w:cs="Times New Roman" w:eastAsia="Times New Roman" w:hAnsi="Times New Roman"/>
          <w:sz w:val="12"/>
          <w:szCs w:val="12"/>
          <w:color w:val="231F20"/>
        </w:rPr>
        <w:t xml:space="preserve"> devices, which provide information that is essential for the safe and effective use of a corresponding drug. In the US, unless an exemption applies, diagnostic tests require marketing clearance or approval from the FDA prior to commercial distribution. The two primary types of FDA marketing authorization applicable to a medical device are premarket notification, also called 510(k) clearance, and approval of a premarket approval application (“</w:t>
      </w:r>
      <w:r>
        <w:rPr>
          <w:rFonts w:ascii="Times New Roman" w:cs="Times New Roman" w:eastAsia="Times New Roman" w:hAnsi="Times New Roman"/>
          <w:sz w:val="12"/>
          <w:szCs w:val="12"/>
          <w:b w:val="1"/>
          <w:bCs w:val="1"/>
          <w:color w:val="231F20"/>
        </w:rPr>
        <w:t>PMA</w:t>
      </w:r>
      <w:r>
        <w:rPr>
          <w:rFonts w:ascii="Times New Roman" w:cs="Times New Roman" w:eastAsia="Times New Roman" w:hAnsi="Times New Roman"/>
          <w:sz w:val="12"/>
          <w:szCs w:val="12"/>
          <w:color w:val="231F20"/>
        </w:rPr>
        <w:t>”). We expect that any companion diagnostic developed for our drug candidates will utilize the PMA pathway.</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FDA’s “In Vitro Companion Diagnostic Devices” guidance states that, for novel drugs such as ours, a companion diagnostic device and its corresponding drug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w:t>
      </w:r>
      <w:r>
        <w:rPr>
          <w:rFonts w:ascii="Times New Roman" w:cs="Times New Roman" w:eastAsia="Times New Roman" w:hAnsi="Times New Roman"/>
          <w:sz w:val="12"/>
          <w:szCs w:val="12"/>
          <w:b w:val="1"/>
          <w:bCs w:val="1"/>
          <w:color w:val="231F20"/>
        </w:rPr>
        <w:t>IDE</w:t>
      </w:r>
      <w:r>
        <w:rPr>
          <w:rFonts w:ascii="Times New Roman" w:cs="Times New Roman" w:eastAsia="Times New Roman" w:hAnsi="Times New Roman"/>
          <w:sz w:val="12"/>
          <w:szCs w:val="12"/>
          <w:color w:val="231F20"/>
        </w:rPr>
        <w:t>”)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trial, if the trial meets both the requirements of the IDE regulations and the IND regulations.</w:t>
      </w:r>
    </w:p>
    <w:p>
      <w:pPr>
        <w:spacing w:after="0" w:line="1" w:lineRule="exact"/>
        <w:rPr>
          <w:sz w:val="20"/>
          <w:szCs w:val="20"/>
          <w:color w:val="auto"/>
        </w:rPr>
      </w:pPr>
    </w:p>
    <w:p>
      <w:pPr>
        <w:ind w:left="620" w:right="2580"/>
        <w:spacing w:after="0" w:line="234" w:lineRule="auto"/>
        <w:rPr>
          <w:sz w:val="20"/>
          <w:szCs w:val="20"/>
          <w:color w:val="auto"/>
        </w:rPr>
      </w:pPr>
      <w:r>
        <w:rPr>
          <w:rFonts w:ascii="Times New Roman" w:cs="Times New Roman" w:eastAsia="Times New Roman" w:hAnsi="Times New Roman"/>
          <w:sz w:val="12"/>
          <w:szCs w:val="12"/>
          <w:color w:val="231F20"/>
        </w:rPr>
        <w:t>In the EU, in vitro devices are subject to the In Vitro Device Regulation (“</w:t>
      </w:r>
      <w:r>
        <w:rPr>
          <w:rFonts w:ascii="Times New Roman" w:cs="Times New Roman" w:eastAsia="Times New Roman" w:hAnsi="Times New Roman"/>
          <w:sz w:val="12"/>
          <w:szCs w:val="12"/>
          <w:b w:val="1"/>
          <w:bCs w:val="1"/>
          <w:color w:val="231F20"/>
        </w:rPr>
        <w:t>IVDR</w:t>
      </w:r>
      <w:r>
        <w:rPr>
          <w:rFonts w:ascii="Times New Roman" w:cs="Times New Roman" w:eastAsia="Times New Roman" w:hAnsi="Times New Roman"/>
          <w:sz w:val="12"/>
          <w:szCs w:val="12"/>
          <w:color w:val="231F20"/>
        </w:rPr>
        <w:t>”), which is directly applicable in all EEA member states. The IVDR, among other things, subjects the marketing and sale of applicable medical devices to</w:t>
      </w:r>
    </w:p>
    <w:p>
      <w:pPr>
        <w:sectPr>
          <w:pgSz w:w="11900" w:h="16840" w:orient="portrait"/>
          <w:cols w:equalWidth="0" w:num="1">
            <w:col w:w="9020"/>
          </w:cols>
          <w:pgMar w:left="1440" w:top="559" w:right="1440" w:bottom="90" w:gutter="0" w:footer="0" w:header="0"/>
        </w:sectPr>
      </w:pPr>
    </w:p>
    <w:bookmarkStart w:id="43" w:name="page44"/>
    <w:bookmarkEnd w:id="43"/>
    <w:p>
      <w:pPr>
        <w:ind w:left="620" w:right="2280"/>
        <w:spacing w:after="0" w:line="220" w:lineRule="auto"/>
        <w:rPr>
          <w:sz w:val="20"/>
          <w:szCs w:val="20"/>
          <w:color w:val="auto"/>
        </w:rPr>
      </w:pPr>
      <w:r>
        <w:rPr>
          <w:rFonts w:ascii="Times New Roman" w:cs="Times New Roman" w:eastAsia="Times New Roman" w:hAnsi="Times New Roman"/>
          <w:sz w:val="12"/>
          <w:szCs w:val="12"/>
          <w:color w:val="231F20"/>
        </w:rPr>
        <w:t>stricter requirements, including in the areas of clinical evaluation requirements, quality systems and post-market surveillance; introduces a new classification system for companion diagnostics; and sets up a central database to provide patients, healthcare professionals and the public with comprehensive information on products available in the EU. While the IVDR became effective on May 26, 2022, many classes of devices do not need to be fully compliant with the regulation until the end of the applicable transitional period, which ranges from 2025 to 2028, depending on device class.</w:t>
      </w:r>
    </w:p>
    <w:p>
      <w:pPr>
        <w:ind w:left="620"/>
        <w:spacing w:after="0"/>
        <w:rPr>
          <w:sz w:val="20"/>
          <w:szCs w:val="20"/>
          <w:color w:val="auto"/>
        </w:rPr>
      </w:pPr>
      <w:r>
        <w:rPr>
          <w:rFonts w:ascii="Times New Roman" w:cs="Times New Roman" w:eastAsia="Times New Roman" w:hAnsi="Times New Roman"/>
          <w:sz w:val="12"/>
          <w:szCs w:val="12"/>
          <w:b w:val="1"/>
          <w:bCs w:val="1"/>
          <w:i w:val="1"/>
          <w:iCs w:val="1"/>
          <w:color w:val="231F20"/>
        </w:rPr>
        <w:t>Healthcare Laws and Compliance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231F20"/>
        </w:rPr>
        <w:t>Healthcare providers and third-party payers play a primary role in the recommendation and prescription of drug</w:t>
      </w:r>
    </w:p>
    <w:p>
      <w:pPr>
        <w:jc w:val="both"/>
        <w:ind w:left="620" w:right="2300"/>
        <w:spacing w:after="0" w:line="215" w:lineRule="auto"/>
        <w:rPr>
          <w:sz w:val="20"/>
          <w:szCs w:val="20"/>
          <w:color w:val="auto"/>
        </w:rPr>
      </w:pPr>
      <w:r>
        <w:rPr>
          <w:rFonts w:ascii="Times New Roman" w:cs="Times New Roman" w:eastAsia="Times New Roman" w:hAnsi="Times New Roman"/>
          <w:sz w:val="12"/>
          <w:szCs w:val="12"/>
          <w:color w:val="231F20"/>
        </w:rPr>
        <w:t>products that are granted regulatory approval. Arrangements with providers, consultants, third-party payers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ind w:left="620" w:right="27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the federal Anti-Kickback Statute, which prohibits, among other things, persons and entities from knowingly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a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 Kickback Statute may result in civil monetary penalties up to $ 100,000 for each violation, plus up to three times the remuneration involved.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2" w:lineRule="exact"/>
        <w:rPr>
          <w:sz w:val="20"/>
          <w:szCs w:val="20"/>
          <w:color w:val="auto"/>
        </w:rPr>
      </w:pPr>
    </w:p>
    <w:p>
      <w:pPr>
        <w:ind w:left="620" w:right="27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the federal civil and criminal false claims laws, including the civil False Claims Act, and civil monetary penalties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When an entity is determined to have violated the federal civil False Claims Act, the government may impose civil fines and penalties and exclude the entity from participation in Medicare, Medicaid and other federal healthcare programs;</w:t>
      </w:r>
    </w:p>
    <w:p>
      <w:pPr>
        <w:spacing w:after="0" w:line="1" w:lineRule="exact"/>
        <w:rPr>
          <w:sz w:val="20"/>
          <w:szCs w:val="20"/>
          <w:color w:val="auto"/>
        </w:rPr>
      </w:pP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HIPAA, which created additional federal criminal laws that prohibit, among other things, knowingly and willingly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executing, or attempting to execute, a scheme or making false statements in connection with the delivery of or payment for health care benefits, items, or services;</w:t>
      </w: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HIPAA, as amended by the Health IT for Economic and Clinical Health Act and its implementing regulations,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which also imposes obligations, including mandatory contractual terms, with respect to safeguarding the privacy, security and transmission of individually identifiable health information on covered entities and their business associates that perform certain functions or activities that involve the use or disclosure of protected health information on their behalf. Similar to the federal Anti-Kickback Statute, a person or entity does not need to have actual knowledge of the statute or specific intent to violate it to have committed a violation;</w:t>
      </w:r>
    </w:p>
    <w:p>
      <w:pPr>
        <w:spacing w:after="0" w:line="1" w:lineRule="exact"/>
        <w:rPr>
          <w:sz w:val="20"/>
          <w:szCs w:val="20"/>
          <w:color w:val="auto"/>
        </w:rPr>
      </w:pPr>
    </w:p>
    <w:p>
      <w:pPr>
        <w:ind w:left="620" w:right="27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the federal transparency requirements known as the federal Physician Payments Sunshine Act, under the Patient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Protection and Affordable Care Act (the “</w:t>
      </w:r>
      <w:r>
        <w:rPr>
          <w:rFonts w:ascii="Times New Roman" w:cs="Times New Roman" w:eastAsia="Times New Roman" w:hAnsi="Times New Roman"/>
          <w:sz w:val="12"/>
          <w:szCs w:val="12"/>
          <w:b w:val="1"/>
          <w:bCs w:val="1"/>
          <w:color w:val="231F20"/>
        </w:rPr>
        <w:t>ACA</w:t>
      </w:r>
      <w:r>
        <w:rPr>
          <w:rFonts w:ascii="Times New Roman" w:cs="Times New Roman" w:eastAsia="Times New Roman" w:hAnsi="Times New Roman"/>
          <w:sz w:val="12"/>
          <w:szCs w:val="12"/>
          <w:color w:val="231F20"/>
        </w:rPr>
        <w:t>”), which requires certain manufacturers of drugs, devices, biologics and medical supplies for which payment is available under Medicare, Medicaid, or the Children’s Health Insurance Program, with specific exceptions, to report annually to the Centers for Medicare &amp; Medicaid Services within the US Department of Health and Human Services, information related to payments and other transfers of value to physicians, certain other healthcare providers, and teaching hospitals and information regarding ownership and investment interests held by physicians and their immediate family members; and</w:t>
      </w:r>
    </w:p>
    <w:p>
      <w:pPr>
        <w:spacing w:after="0" w:line="1" w:lineRule="exact"/>
        <w:rPr>
          <w:sz w:val="20"/>
          <w:szCs w:val="20"/>
          <w:color w:val="auto"/>
        </w:rPr>
      </w:pPr>
    </w:p>
    <w:p>
      <w:pPr>
        <w:ind w:left="620" w:right="28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analogous state and foreign laws and regulations, such as state anti-kickback and false claims laws, which may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apply to healthcare items or services that are reimbursed by non -governmental third-party payers, including private insurers.</w:t>
      </w:r>
    </w:p>
    <w:p>
      <w:pPr>
        <w:ind w:left="620" w:right="2500"/>
        <w:spacing w:after="0" w:line="228" w:lineRule="auto"/>
        <w:rPr>
          <w:sz w:val="20"/>
          <w:szCs w:val="20"/>
          <w:color w:val="auto"/>
        </w:rPr>
      </w:pPr>
      <w:r>
        <w:rPr>
          <w:rFonts w:ascii="Times New Roman" w:cs="Times New Roman" w:eastAsia="Times New Roman" w:hAnsi="Times New Roman"/>
          <w:sz w:val="12"/>
          <w:szCs w:val="12"/>
          <w:color w:val="231F20"/>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w:t>
      </w:r>
    </w:p>
    <w:p>
      <w:pPr>
        <w:sectPr>
          <w:pgSz w:w="11900" w:h="16840" w:orient="portrait"/>
          <w:cols w:equalWidth="0" w:num="1">
            <w:col w:w="9020"/>
          </w:cols>
          <w:pgMar w:left="1440" w:top="559" w:right="1440" w:bottom="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69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520"/>
        <w:spacing w:after="0" w:line="215" w:lineRule="auto"/>
        <w:rPr>
          <w:sz w:val="20"/>
          <w:szCs w:val="20"/>
          <w:color w:val="auto"/>
        </w:rPr>
      </w:pPr>
      <w:r>
        <w:rPr>
          <w:rFonts w:ascii="Times New Roman" w:cs="Times New Roman" w:eastAsia="Times New Roman" w:hAnsi="Times New Roman"/>
          <w:sz w:val="12"/>
          <w:szCs w:val="12"/>
          <w:color w:val="231F20"/>
        </w:rPr>
        <w:t>expenditures. State and foreign laws also govern the privacy and security of health information in some circumstances, many of which differ from each other in significant ways and often are not preempted by HIPAA, thus complicating compliance efforts.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Also, the US FCPA and similar worldwide anti-bribery laws generally prohibit companies and their intermediaries</w:t>
      </w:r>
    </w:p>
    <w:p>
      <w:pPr>
        <w:ind w:left="620"/>
        <w:spacing w:after="0"/>
        <w:rPr>
          <w:sz w:val="20"/>
          <w:szCs w:val="20"/>
          <w:color w:val="auto"/>
        </w:rPr>
      </w:pPr>
      <w:r>
        <w:rPr>
          <w:rFonts w:ascii="Times New Roman" w:cs="Times New Roman" w:eastAsia="Times New Roman" w:hAnsi="Times New Roman"/>
          <w:sz w:val="12"/>
          <w:szCs w:val="12"/>
          <w:color w:val="231F20"/>
        </w:rPr>
        <w:t>from making improper payments to foreign officials for the purpose of obtaining or retaining business. We cannot assure</w:t>
      </w:r>
    </w:p>
    <w:p>
      <w:pPr>
        <w:sectPr>
          <w:pgSz w:w="11900" w:h="16840" w:orient="portrait"/>
          <w:cols w:equalWidth="0" w:num="1">
            <w:col w:w="9020"/>
          </w:cols>
          <w:pgMar w:left="1440" w:top="559" w:right="1440" w:bottom="88" w:gutter="0" w:footer="0" w:header="0"/>
          <w:type w:val="continuous"/>
        </w:sectPr>
      </w:pPr>
    </w:p>
    <w:bookmarkStart w:id="44" w:name="page45"/>
    <w:bookmarkEnd w:id="44"/>
    <w:p>
      <w:pPr>
        <w:ind w:left="620" w:right="2320"/>
        <w:spacing w:after="0" w:line="223" w:lineRule="auto"/>
        <w:rPr>
          <w:sz w:val="20"/>
          <w:szCs w:val="20"/>
          <w:color w:val="auto"/>
        </w:rPr>
      </w:pPr>
      <w:r>
        <w:rPr>
          <w:rFonts w:ascii="Times New Roman" w:cs="Times New Roman" w:eastAsia="Times New Roman" w:hAnsi="Times New Roman"/>
          <w:sz w:val="12"/>
          <w:szCs w:val="12"/>
          <w:color w:val="231F20"/>
        </w:rPr>
        <w:t>you that our internal control policies and procedures will protect us from reckless or negligent acts committed by our employees, future distributors, partners or agents. Violations of these laws, or allegations of such violations, could result in fines, penalties or prosecution and have a negative impact on our business, results of operations and reputation.</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Healthcare Reform</w:t>
      </w:r>
    </w:p>
    <w:p>
      <w:pPr>
        <w:jc w:val="both"/>
        <w:ind w:left="620" w:right="2520"/>
        <w:spacing w:after="0" w:line="215" w:lineRule="auto"/>
        <w:rPr>
          <w:sz w:val="20"/>
          <w:szCs w:val="20"/>
          <w:color w:val="auto"/>
        </w:rPr>
      </w:pPr>
      <w:r>
        <w:rPr>
          <w:rFonts w:ascii="Times New Roman" w:cs="Times New Roman" w:eastAsia="Times New Roman" w:hAnsi="Times New Roman"/>
          <w:sz w:val="12"/>
          <w:szCs w:val="12"/>
          <w:color w:val="231F20"/>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introducing government control and other changes to the healthcare system in the US.</w:t>
      </w:r>
    </w:p>
    <w:p>
      <w:pPr>
        <w:ind w:left="620" w:right="2600"/>
        <w:spacing w:after="0" w:line="215" w:lineRule="auto"/>
        <w:rPr>
          <w:sz w:val="20"/>
          <w:szCs w:val="20"/>
          <w:color w:val="auto"/>
        </w:rPr>
      </w:pPr>
      <w:r>
        <w:rPr>
          <w:rFonts w:ascii="Times New Roman" w:cs="Times New Roman" w:eastAsia="Times New Roman" w:hAnsi="Times New Roman"/>
          <w:sz w:val="12"/>
          <w:szCs w:val="12"/>
          <w:color w:val="231F20"/>
        </w:rPr>
        <w:t>In March 2010, the US Congress enacted the ACA, which, among other things, included changes to the coverage and payment for drug products under government health care programs.</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Other legislative changes have been proposed and adopted in the US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two percent (2%) per fiscal year, which will remain in effect through 2031 unless additional Congressional action is taken.</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Since its enactment, there have been numerous legal challenges and Congressional actions to repeal and replace provisions of the ACA. Some of the provisions of the ACA have yet to be implemented. We continue to evaluate the effect that the ACA and any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or to successfully commercialize our product candidates, if approved. In addition to the ACA, there will continue to be proposals by legislators at both the federal and state levels, regulators and third-party payers to keep healthcare costs down while expanding individual healthcare benefits.</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Furthermore, the IRA was signed into law on August 16, 2022. The IRA, among other things, (i) allows the US Department of HHS to negotiate prices for certain single-source drugs and biologics covered under Medicare Part B and Part D, and subjects drug manufacturers to civil monetary penalties and a potential excise tax for failing to comply with the legislation by offering a price that is not equal to or less than the negotiated “maximum fair price” under the law; and (ii) establishes rebates under Medicare to penalize drug price increases that outpace inflation. Negotiations were conducted with ten high-cost drugs paid for by Medicare Part D, and the negotiated prices will take effect in 2026.</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231F20"/>
        </w:rPr>
        <w:t>Coverage and Reimbursement</w:t>
      </w:r>
    </w:p>
    <w:p>
      <w:pPr>
        <w:ind w:left="620" w:right="2260"/>
        <w:spacing w:after="0"/>
        <w:rPr>
          <w:sz w:val="20"/>
          <w:szCs w:val="20"/>
          <w:color w:val="auto"/>
        </w:rPr>
      </w:pPr>
      <w:r>
        <w:rPr>
          <w:rFonts w:ascii="Times New Roman" w:cs="Times New Roman" w:eastAsia="Times New Roman" w:hAnsi="Times New Roman"/>
          <w:sz w:val="12"/>
          <w:szCs w:val="12"/>
          <w:color w:val="231F20"/>
        </w:rPr>
        <w:t>Sales of pharmaceutical products depend significantly on the availability of third-party coverage and reimbursement. Third -party payers include government health administrative authorities, managed care providers, private health insurers and other organizations. Although we currently believe that third-party payers will provide coverage and reimbursement for our products and product candidates, if approved, these third-party payers are increasingly challenging the price and examining the cost-effectiveness of medical products and services. In addition, significant uncertainty exists as to the reimbursement status of newly approved healthcare products. We may need to conduct expensive clinical trials to demonstrate the comparative cost-effectiveness of our products. The product candidates that we develop may not be considered cost- effective. It is time-consuming and expensive for us to seek coverage and reimbursement from third-party payers. Reimbursement may not be available or sufficient to allow us to sell our products on a competitive and profitable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231F20"/>
        </w:rPr>
        <w:t>The process for determining whether a payer will provide coverage for a product is typically separate from the process</w:t>
      </w:r>
    </w:p>
    <w:p>
      <w:pPr>
        <w:ind w:left="620"/>
        <w:spacing w:after="0" w:line="215" w:lineRule="auto"/>
        <w:rPr>
          <w:sz w:val="20"/>
          <w:szCs w:val="20"/>
          <w:color w:val="auto"/>
        </w:rPr>
      </w:pPr>
      <w:r>
        <w:rPr>
          <w:rFonts w:ascii="Times New Roman" w:cs="Times New Roman" w:eastAsia="Times New Roman" w:hAnsi="Times New Roman"/>
          <w:sz w:val="12"/>
          <w:szCs w:val="12"/>
          <w:color w:val="231F20"/>
        </w:rPr>
        <w:t>for setting the reimbursement rate that the payer will pay for the product. A payer’s decision to provide coverage for a</w:t>
      </w:r>
    </w:p>
    <w:p>
      <w:pPr>
        <w:ind w:left="620"/>
        <w:spacing w:after="0" w:line="215" w:lineRule="auto"/>
        <w:rPr>
          <w:sz w:val="20"/>
          <w:szCs w:val="20"/>
          <w:color w:val="auto"/>
        </w:rPr>
      </w:pPr>
      <w:r>
        <w:rPr>
          <w:rFonts w:ascii="Times New Roman" w:cs="Times New Roman" w:eastAsia="Times New Roman" w:hAnsi="Times New Roman"/>
          <w:sz w:val="12"/>
          <w:szCs w:val="12"/>
          <w:color w:val="231F20"/>
        </w:rPr>
        <w:t>product does not imply that an adequate reimbursement rate will be available. Additionally, in the US there is no uniform</w:t>
      </w:r>
    </w:p>
    <w:p>
      <w:pPr>
        <w:ind w:left="620"/>
        <w:spacing w:after="0" w:line="215" w:lineRule="auto"/>
        <w:rPr>
          <w:sz w:val="20"/>
          <w:szCs w:val="20"/>
          <w:color w:val="auto"/>
        </w:rPr>
      </w:pPr>
      <w:r>
        <w:rPr>
          <w:rFonts w:ascii="Times New Roman" w:cs="Times New Roman" w:eastAsia="Times New Roman" w:hAnsi="Times New Roman"/>
          <w:sz w:val="12"/>
          <w:szCs w:val="12"/>
          <w:color w:val="231F20"/>
        </w:rPr>
        <w:t>policy among payers for coverage or reimbursement. Third-party payers often rely upon Medicare coverage policy and</w:t>
      </w:r>
    </w:p>
    <w:p>
      <w:pPr>
        <w:ind w:left="620"/>
        <w:spacing w:after="0" w:line="216" w:lineRule="auto"/>
        <w:rPr>
          <w:sz w:val="20"/>
          <w:szCs w:val="20"/>
          <w:color w:val="auto"/>
        </w:rPr>
      </w:pPr>
      <w:r>
        <w:rPr>
          <w:rFonts w:ascii="Times New Roman" w:cs="Times New Roman" w:eastAsia="Times New Roman" w:hAnsi="Times New Roman"/>
          <w:sz w:val="12"/>
          <w:szCs w:val="12"/>
          <w:color w:val="231F20"/>
        </w:rPr>
        <w:t>payment limitations in setting their own coverage and reimbursement policies, but also have their own methods and</w:t>
      </w:r>
    </w:p>
    <w:p>
      <w:pPr>
        <w:ind w:left="620"/>
        <w:spacing w:after="0" w:line="215" w:lineRule="auto"/>
        <w:rPr>
          <w:sz w:val="20"/>
          <w:szCs w:val="20"/>
          <w:color w:val="auto"/>
        </w:rPr>
      </w:pPr>
      <w:r>
        <w:rPr>
          <w:rFonts w:ascii="Times New Roman" w:cs="Times New Roman" w:eastAsia="Times New Roman" w:hAnsi="Times New Roman"/>
          <w:sz w:val="12"/>
          <w:szCs w:val="12"/>
          <w:color w:val="231F20"/>
        </w:rPr>
        <w:t>approval processes. Therefore, coverage and reimbursement for products can differ significantly from payer to payer. One</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third-party payer’s decision to cover a particular medical product or service does not ensure that other payers will also</w:t>
      </w:r>
    </w:p>
    <w:p>
      <w:pPr>
        <w:ind w:left="620"/>
        <w:spacing w:after="0" w:line="215" w:lineRule="auto"/>
        <w:rPr>
          <w:sz w:val="20"/>
          <w:szCs w:val="20"/>
          <w:color w:val="auto"/>
        </w:rPr>
      </w:pPr>
      <w:r>
        <w:rPr>
          <w:rFonts w:ascii="Times New Roman" w:cs="Times New Roman" w:eastAsia="Times New Roman" w:hAnsi="Times New Roman"/>
          <w:sz w:val="12"/>
          <w:szCs w:val="12"/>
          <w:color w:val="231F20"/>
        </w:rPr>
        <w:t>provide coverage for the medical product or service or will provide coverage at an adequate reimbursement rate. As a</w:t>
      </w:r>
    </w:p>
    <w:p>
      <w:pPr>
        <w:ind w:left="620"/>
        <w:spacing w:after="0" w:line="215" w:lineRule="auto"/>
        <w:rPr>
          <w:sz w:val="20"/>
          <w:szCs w:val="20"/>
          <w:color w:val="auto"/>
        </w:rPr>
      </w:pPr>
      <w:r>
        <w:rPr>
          <w:rFonts w:ascii="Times New Roman" w:cs="Times New Roman" w:eastAsia="Times New Roman" w:hAnsi="Times New Roman"/>
          <w:sz w:val="12"/>
          <w:szCs w:val="12"/>
          <w:color w:val="231F20"/>
        </w:rPr>
        <w:t>result, the coverage determination process will require us to provide scientific and clinical support for the use of our</w:t>
      </w:r>
    </w:p>
    <w:p>
      <w:pPr>
        <w:ind w:left="620"/>
        <w:spacing w:after="0" w:line="216" w:lineRule="auto"/>
        <w:rPr>
          <w:sz w:val="20"/>
          <w:szCs w:val="20"/>
          <w:color w:val="auto"/>
        </w:rPr>
      </w:pPr>
      <w:r>
        <w:rPr>
          <w:rFonts w:ascii="Times New Roman" w:cs="Times New Roman" w:eastAsia="Times New Roman" w:hAnsi="Times New Roman"/>
          <w:sz w:val="12"/>
          <w:szCs w:val="12"/>
          <w:color w:val="231F20"/>
        </w:rPr>
        <w:t>products to each payer separately and will likely be a time-consuming process. If coverage and adequate reimbursement are</w:t>
      </w:r>
    </w:p>
    <w:p>
      <w:pPr>
        <w:ind w:left="620"/>
        <w:spacing w:after="0" w:line="215" w:lineRule="auto"/>
        <w:rPr>
          <w:sz w:val="20"/>
          <w:szCs w:val="20"/>
          <w:color w:val="auto"/>
        </w:rPr>
      </w:pPr>
      <w:r>
        <w:rPr>
          <w:rFonts w:ascii="Times New Roman" w:cs="Times New Roman" w:eastAsia="Times New Roman" w:hAnsi="Times New Roman"/>
          <w:sz w:val="12"/>
          <w:szCs w:val="12"/>
          <w:color w:val="231F20"/>
        </w:rPr>
        <w:t>not available, or are available only at limited levels, successful commercialization of, and obtaining a satisfactory financial</w:t>
      </w:r>
    </w:p>
    <w:p>
      <w:pPr>
        <w:ind w:left="620"/>
        <w:spacing w:after="0" w:line="215" w:lineRule="auto"/>
        <w:rPr>
          <w:sz w:val="20"/>
          <w:szCs w:val="20"/>
          <w:color w:val="auto"/>
        </w:rPr>
      </w:pPr>
      <w:r>
        <w:rPr>
          <w:rFonts w:ascii="Times New Roman" w:cs="Times New Roman" w:eastAsia="Times New Roman" w:hAnsi="Times New Roman"/>
          <w:sz w:val="12"/>
          <w:szCs w:val="12"/>
          <w:color w:val="231F20"/>
        </w:rPr>
        <w:t>return on, any product we develop may not be possible.</w:t>
      </w:r>
    </w:p>
    <w:p>
      <w:pPr>
        <w:ind w:left="620"/>
        <w:spacing w:after="0" w:line="215" w:lineRule="auto"/>
        <w:rPr>
          <w:sz w:val="20"/>
          <w:szCs w:val="20"/>
          <w:color w:val="auto"/>
        </w:rPr>
      </w:pPr>
      <w:r>
        <w:rPr>
          <w:rFonts w:ascii="Times New Roman" w:cs="Times New Roman" w:eastAsia="Times New Roman" w:hAnsi="Times New Roman"/>
          <w:sz w:val="12"/>
          <w:szCs w:val="12"/>
          <w:color w:val="231F20"/>
        </w:rPr>
        <w:t>Third-party payers are increasingly challenging the price and examining the medical necessity and cost-effectiveness</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of medical products and services, in addition to their safety and efficacy. In order to obtain coverage and reimbursement for any product that might be approved for marketing, we may need to conduct expensive trials in order to demonstrate the medical necessity and cost-effectiveness of any products, which would be in addition to the costs expended to obtain regulatory approvals. Third-party payers may not consider our products or product candidates to be medically necessary or cost-effective compared to other available therapies.</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Additionally, the containment of healthcare costs (including drug prices) has become a priority of federal and state governments. The US government, state legislatures, and foreign governments have shown significant interest in implementing cost -containment programs, including price controls, restrictions on reimbursement, and requirements for substitution by generic products. Adoption of price controls and cost-containment measures, and adoption of more restrictive policies in jurisdictions with existing controls and measures, could limit our net revenue and results. If these third-party payers do not consider our products to be cost- effective compared to other therapies, they may not cover our products or product candidates once approved as a benefit under their plans or, if they do, the level of reimbursement may not be sufficient to allow us to sell our products on a profitable basis. Decreases in third-party reimbursement for our products once approved or a decision by a third- party payer not to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additional pricing pressures or reduced demand for our products or product candidates once approved.</w:t>
      </w:r>
    </w:p>
    <w:p>
      <w:pPr>
        <w:ind w:left="620"/>
        <w:spacing w:after="0" w:line="217" w:lineRule="auto"/>
        <w:rPr>
          <w:sz w:val="20"/>
          <w:szCs w:val="20"/>
          <w:color w:val="auto"/>
        </w:rPr>
      </w:pPr>
      <w:r>
        <w:rPr>
          <w:rFonts w:ascii="Times New Roman" w:cs="Times New Roman" w:eastAsia="Times New Roman" w:hAnsi="Times New Roman"/>
          <w:sz w:val="12"/>
          <w:szCs w:val="12"/>
          <w:b w:val="1"/>
          <w:bCs w:val="1"/>
          <w:i w:val="1"/>
          <w:iCs w:val="1"/>
          <w:color w:val="231F20"/>
        </w:rPr>
        <w:t>Review and Approval of Medicinal Products in the EU</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 US regulatory authorities before it can commence clinical trials or marketing of the product in those countries or jurisdictions. Specifically, the process governing approval of medicinal products in the EU generally follows the same structure as in the US. It entails satisfactory completion of preclinical trials and adequate and well-controlled clinical trials to establish the safety and efficacy of the product for each proposed indication. It also requires the submission to the relevant competent authorities of a marketing authorization application (an “</w:t>
      </w:r>
      <w:r>
        <w:rPr>
          <w:rFonts w:ascii="Times New Roman" w:cs="Times New Roman" w:eastAsia="Times New Roman" w:hAnsi="Times New Roman"/>
          <w:sz w:val="12"/>
          <w:szCs w:val="12"/>
          <w:b w:val="1"/>
          <w:bCs w:val="1"/>
          <w:color w:val="231F20"/>
        </w:rPr>
        <w:t>MAA</w:t>
      </w:r>
      <w:r>
        <w:rPr>
          <w:rFonts w:ascii="Times New Roman" w:cs="Times New Roman" w:eastAsia="Times New Roman" w:hAnsi="Times New Roman"/>
          <w:sz w:val="12"/>
          <w:szCs w:val="12"/>
          <w:color w:val="231F20"/>
        </w:rPr>
        <w:t>”) and granting of an MAA by these authorities before the product can be marketed and sold in the EU.</w:t>
      </w:r>
    </w:p>
    <w:p>
      <w:pPr>
        <w:spacing w:after="0" w:line="1" w:lineRule="exact"/>
        <w:rPr>
          <w:sz w:val="20"/>
          <w:szCs w:val="20"/>
          <w:color w:val="auto"/>
        </w:rPr>
      </w:pPr>
    </w:p>
    <w:p>
      <w:pPr>
        <w:ind w:left="620" w:right="2280"/>
        <w:spacing w:after="0" w:line="220" w:lineRule="auto"/>
        <w:rPr>
          <w:sz w:val="20"/>
          <w:szCs w:val="20"/>
          <w:color w:val="auto"/>
        </w:rPr>
      </w:pPr>
      <w:r>
        <w:rPr>
          <w:rFonts w:ascii="Times New Roman" w:cs="Times New Roman" w:eastAsia="Times New Roman" w:hAnsi="Times New Roman"/>
          <w:sz w:val="12"/>
          <w:szCs w:val="12"/>
          <w:color w:val="231F20"/>
        </w:rPr>
        <w:t>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will be directly applicable in all EU Member States, introduces a streamlined application procedure via a single entry point, the “EU portal”, a single set of documents to be prepared and submitted for the application as well as simplified reporting procedures for clinical trial sponsors. A harmonized procedure for the assessment of applications for clinical trials will be introduced and is divided into two parts. Part I is assessed by the competent authorities of a reference member state proposed by the trial sponsor, based largely on the type of clinical trial, risk-benefit analysis, and compliance with technical</w:t>
      </w:r>
    </w:p>
    <w:p>
      <w:pPr>
        <w:sectPr>
          <w:pgSz w:w="11900" w:h="16840" w:orient="portrait"/>
          <w:cols w:equalWidth="0" w:num="1">
            <w:col w:w="9020"/>
          </w:cols>
          <w:pgMar w:left="1440" w:top="559" w:right="1440" w:bottom="70" w:gutter="0" w:footer="0" w:header="0"/>
        </w:sectPr>
      </w:pPr>
    </w:p>
    <w:bookmarkStart w:id="45" w:name="page46"/>
    <w:bookmarkEnd w:id="45"/>
    <w:p>
      <w:pPr>
        <w:ind w:left="620" w:right="2480"/>
        <w:spacing w:after="0" w:line="253" w:lineRule="auto"/>
        <w:rPr>
          <w:sz w:val="20"/>
          <w:szCs w:val="20"/>
          <w:color w:val="auto"/>
        </w:rPr>
      </w:pPr>
      <w:r>
        <w:rPr>
          <w:rFonts w:ascii="Times New Roman" w:cs="Times New Roman" w:eastAsia="Times New Roman" w:hAnsi="Times New Roman"/>
          <w:sz w:val="12"/>
          <w:szCs w:val="12"/>
          <w:color w:val="231F20"/>
        </w:rPr>
        <w:t>requirements. This assessment, which is valid for the entire EU, is then submitted to the competent authorities of all the applicable member states in which the trial is to be conducted under 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231F20"/>
        </w:rPr>
        <w:t>In the EEA, which consists of the 27 Member States of the EU, as well as Norway, Iceland and Liechtenstein,</w:t>
      </w:r>
    </w:p>
    <w:p>
      <w:pPr>
        <w:ind w:left="620" w:right="2340"/>
        <w:spacing w:after="0" w:line="215" w:lineRule="auto"/>
        <w:rPr>
          <w:sz w:val="20"/>
          <w:szCs w:val="20"/>
          <w:color w:val="auto"/>
        </w:rPr>
      </w:pPr>
      <w:r>
        <w:rPr>
          <w:rFonts w:ascii="Times New Roman" w:cs="Times New Roman" w:eastAsia="Times New Roman" w:hAnsi="Times New Roman"/>
          <w:sz w:val="12"/>
          <w:szCs w:val="12"/>
          <w:color w:val="231F20"/>
        </w:rPr>
        <w:t>medicinal products can only be commercialized after a related marketing authorization has been granted. A company may submit an MAA either on the basis of the centralized or decentralized procedure. Under the centralized procedure, MAAs are submitted to the EMA for scientific review by the EMA’s CHMP. The CHMP issues an opinion concerning whether 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grants a single marketing authorization that is valid throughout the EEA. The centralized procedure is mandatory for certain types of products, such as biotechnology medicinal products, orphan medicinal products, advanced- 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w:t>
      </w:r>
      <w:r>
        <w:rPr>
          <w:rFonts w:ascii="Times New Roman" w:cs="Times New Roman" w:eastAsia="Times New Roman" w:hAnsi="Times New Roman"/>
          <w:sz w:val="12"/>
          <w:szCs w:val="12"/>
          <w:b w:val="1"/>
          <w:bCs w:val="1"/>
          <w:color w:val="231F20"/>
        </w:rPr>
        <w:t>Reference Member State</w:t>
      </w:r>
      <w:r>
        <w:rPr>
          <w:rFonts w:ascii="Times New Roman" w:cs="Times New Roman" w:eastAsia="Times New Roman" w:hAnsi="Times New Roman"/>
          <w:sz w:val="12"/>
          <w:szCs w:val="12"/>
          <w:color w:val="231F20"/>
        </w:rPr>
        <w:t xml:space="preserve">”. The decentralized procedure is used when the product in question has yet to be granted a marketing authorization in any EEA country. Under this procedure the applicant can select the EEA country that will act as the Reference Member State. In both the mutual recognition and decentralized procedures, the Reference Member State reviews the application and submits its assessment of the application to the EEA countries for which marketing authorizations are being sought, referred to as Concerned Member States. Within 90 days of receiving the application and assessment report, each Concerned Member State must decide whether to recognize the Reference Member State assessment or reject it on the basis of potential serious risk to public health. If the disputed points cannot be resolved, the matter is first referred to the Heads of Medicines Agencies’ Coordination Group (the “ </w:t>
      </w:r>
      <w:r>
        <w:rPr>
          <w:rFonts w:ascii="Times New Roman" w:cs="Times New Roman" w:eastAsia="Times New Roman" w:hAnsi="Times New Roman"/>
          <w:sz w:val="12"/>
          <w:szCs w:val="12"/>
          <w:b w:val="1"/>
          <w:bCs w:val="1"/>
          <w:color w:val="231F20"/>
        </w:rPr>
        <w:t>Group</w:t>
      </w:r>
      <w:r>
        <w:rPr>
          <w:rFonts w:ascii="Times New Roman" w:cs="Times New Roman" w:eastAsia="Times New Roman" w:hAnsi="Times New Roman"/>
          <w:sz w:val="12"/>
          <w:szCs w:val="12"/>
          <w:color w:val="231F20"/>
        </w:rPr>
        <w:t>”) for Mutual Recognition and Decentralised Procedures for agreement. If the Group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2" w:lineRule="exact"/>
        <w:rPr>
          <w:sz w:val="20"/>
          <w:szCs w:val="20"/>
          <w:color w:val="auto"/>
        </w:rPr>
      </w:pPr>
    </w:p>
    <w:p>
      <w:pPr>
        <w:ind w:left="620" w:right="2380"/>
        <w:spacing w:after="0" w:line="239" w:lineRule="auto"/>
        <w:rPr>
          <w:sz w:val="20"/>
          <w:szCs w:val="20"/>
          <w:color w:val="auto"/>
        </w:rPr>
      </w:pPr>
      <w:r>
        <w:rPr>
          <w:rFonts w:ascii="Times New Roman" w:cs="Times New Roman" w:eastAsia="Times New Roman" w:hAnsi="Times New Roman"/>
          <w:sz w:val="12"/>
          <w:szCs w:val="12"/>
          <w:color w:val="231F20"/>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(1) the risk - benefit balance of the product is positive, (2) it is likely that the applicant will be in a position to provide the required comprehensive data after the authorization, (3) the medicinal product fulfills unmet medical needs and (4)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trials are provided, the conditional marketing authorization can be converted into a traditional marketing authorization. However, if the conditions are not fulfilled within the timeframe set by the EMA, the marketing authorization will cease to be renewed.</w:t>
      </w:r>
    </w:p>
    <w:p>
      <w:pPr>
        <w:ind w:left="620"/>
        <w:spacing w:after="0" w:line="216" w:lineRule="auto"/>
        <w:rPr>
          <w:sz w:val="20"/>
          <w:szCs w:val="20"/>
          <w:color w:val="auto"/>
        </w:rPr>
      </w:pPr>
      <w:r>
        <w:rPr>
          <w:rFonts w:ascii="Times New Roman" w:cs="Times New Roman" w:eastAsia="Times New Roman" w:hAnsi="Times New Roman"/>
          <w:sz w:val="12"/>
          <w:szCs w:val="12"/>
          <w:color w:val="231F20"/>
        </w:rPr>
        <w:t>In the EU, innovative medicinal products that are subject to marketing authorization on the basis of a full dossier and</w:t>
      </w:r>
    </w:p>
    <w:p>
      <w:pPr>
        <w:ind w:left="620" w:right="2280"/>
        <w:spacing w:after="0" w:line="219" w:lineRule="auto"/>
        <w:rPr>
          <w:sz w:val="20"/>
          <w:szCs w:val="20"/>
          <w:color w:val="auto"/>
        </w:rPr>
      </w:pPr>
      <w:r>
        <w:rPr>
          <w:rFonts w:ascii="Times New Roman" w:cs="Times New Roman" w:eastAsia="Times New Roman" w:hAnsi="Times New Roman"/>
          <w:sz w:val="12"/>
          <w:szCs w:val="12"/>
          <w:color w:val="231F20"/>
        </w:rPr>
        <w:t>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However, the generic product or biosimilar products cannot be marketed in the EU for a further two years thereafter. The overall ten - year period may be extended for a further year to a maximum of 11 years if, during the first eight years of those ten years, the marketing authorization holder obtains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820"/>
        <w:spacing w:after="0" w:line="215" w:lineRule="auto"/>
        <w:rPr>
          <w:sz w:val="20"/>
          <w:szCs w:val="20"/>
          <w:color w:val="auto"/>
        </w:rPr>
      </w:pPr>
      <w:r>
        <w:rPr>
          <w:rFonts w:ascii="Times New Roman" w:cs="Times New Roman" w:eastAsia="Times New Roman" w:hAnsi="Times New Roman"/>
          <w:sz w:val="12"/>
          <w:szCs w:val="12"/>
          <w:color w:val="231F20"/>
        </w:rPr>
        <w:t>an authorization for one or more new therapeutic indications which, during the scientific evaluation prior to their authorization, are held to bring a significant clinical benefit in comparison with existing therapies.</w:t>
      </w:r>
    </w:p>
    <w:p>
      <w:pPr>
        <w:ind w:left="620" w:right="2600"/>
        <w:spacing w:after="0" w:line="215" w:lineRule="auto"/>
        <w:rPr>
          <w:sz w:val="20"/>
          <w:szCs w:val="20"/>
          <w:color w:val="auto"/>
        </w:rPr>
      </w:pPr>
      <w:r>
        <w:rPr>
          <w:rFonts w:ascii="Times New Roman" w:cs="Times New Roman" w:eastAsia="Times New Roman" w:hAnsi="Times New Roman"/>
          <w:sz w:val="12"/>
          <w:szCs w:val="12"/>
          <w:color w:val="231F20"/>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and quantity of supplementary data to be provided for different types of biological products.</w:t>
      </w:r>
    </w:p>
    <w:p>
      <w:pPr>
        <w:spacing w:after="0" w:line="1" w:lineRule="exact"/>
        <w:rPr>
          <w:sz w:val="20"/>
          <w:szCs w:val="20"/>
          <w:color w:val="auto"/>
        </w:rPr>
      </w:pPr>
    </w:p>
    <w:p>
      <w:pPr>
        <w:ind w:left="620" w:right="2280"/>
        <w:spacing w:after="0" w:line="221" w:lineRule="auto"/>
        <w:rPr>
          <w:sz w:val="20"/>
          <w:szCs w:val="20"/>
          <w:color w:val="auto"/>
        </w:rPr>
      </w:pPr>
      <w:r>
        <w:rPr>
          <w:rFonts w:ascii="Times New Roman" w:cs="Times New Roman" w:eastAsia="Times New Roman" w:hAnsi="Times New Roman"/>
          <w:sz w:val="12"/>
          <w:szCs w:val="12"/>
          <w:color w:val="231F20"/>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w:t>
      </w:r>
    </w:p>
    <w:p>
      <w:pPr>
        <w:sectPr>
          <w:pgSz w:w="11900" w:h="16840" w:orient="portrait"/>
          <w:cols w:equalWidth="0" w:num="1">
            <w:col w:w="9020"/>
          </w:cols>
          <w:pgMar w:left="1440" w:top="559" w:right="1440" w:bottom="63" w:gutter="0" w:footer="0" w:header="0"/>
        </w:sectPr>
      </w:pPr>
    </w:p>
    <w:bookmarkStart w:id="46" w:name="page47"/>
    <w:bookmarkEnd w:id="46"/>
    <w:p>
      <w:pPr>
        <w:ind w:left="620" w:right="2420"/>
        <w:spacing w:after="0" w:line="220" w:lineRule="auto"/>
        <w:rPr>
          <w:sz w:val="20"/>
          <w:szCs w:val="20"/>
          <w:color w:val="auto"/>
        </w:rPr>
      </w:pPr>
      <w:r>
        <w:rPr>
          <w:rFonts w:ascii="Times New Roman" w:cs="Times New Roman" w:eastAsia="Times New Roman" w:hAnsi="Times New Roman"/>
          <w:sz w:val="12"/>
          <w:szCs w:val="12"/>
          <w:color w:val="231F20"/>
        </w:rPr>
        <w:t>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 called sunset clause) .</w:t>
      </w:r>
    </w:p>
    <w:p>
      <w:pPr>
        <w:ind w:left="620"/>
        <w:spacing w:after="0" w:line="215" w:lineRule="auto"/>
        <w:rPr>
          <w:sz w:val="20"/>
          <w:szCs w:val="20"/>
          <w:color w:val="auto"/>
        </w:rPr>
      </w:pPr>
      <w:r>
        <w:rPr>
          <w:rFonts w:ascii="Times New Roman" w:cs="Times New Roman" w:eastAsia="Times New Roman" w:hAnsi="Times New Roman"/>
          <w:sz w:val="12"/>
          <w:szCs w:val="12"/>
          <w:color w:val="231F20"/>
        </w:rPr>
        <w:t>Regulation (EC) No. 141/2000, as implemented by Regulation (EC) No. 847/2000 provides that a drug can be</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designated as an orphan drug by the European Commission if its sponsor can establish: that the product is intended for the diagnosis, prevention or treatment of (1) a life-threatening or chronically debilitating condition affecting not more than five in 10,000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 Once authorized, orphan medicinal products are entitled to 10 years of market exclusivity in all EU Member States and</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in addition a range of other benefits during the development and regulatory review process including scientific assistance for trial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the 10 years of market exclusivity.</w:t>
      </w:r>
    </w:p>
    <w:p>
      <w:pPr>
        <w:spacing w:after="0" w:line="1" w:lineRule="exact"/>
        <w:rPr>
          <w:sz w:val="20"/>
          <w:szCs w:val="20"/>
          <w:color w:val="auto"/>
        </w:rPr>
      </w:pPr>
    </w:p>
    <w:p>
      <w:pPr>
        <w:jc w:val="both"/>
        <w:ind w:left="620" w:right="2700"/>
        <w:spacing w:after="0" w:line="214" w:lineRule="auto"/>
        <w:rPr>
          <w:sz w:val="20"/>
          <w:szCs w:val="20"/>
          <w:color w:val="auto"/>
        </w:rPr>
      </w:pPr>
      <w:r>
        <w:rPr>
          <w:rFonts w:ascii="Times New Roman" w:cs="Times New Roman" w:eastAsia="Times New Roman" w:hAnsi="Times New Roman"/>
          <w:sz w:val="12"/>
          <w:szCs w:val="12"/>
          <w:color w:val="231F20"/>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ind w:left="620" w:right="2720"/>
        <w:spacing w:after="0" w:line="215" w:lineRule="auto"/>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231F20"/>
        </w:rPr>
        <w:t>Compliance with the EU’s stringent pharmacovigilance or safety reporting rules must be ensured. These rules can</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231F20"/>
        </w:rPr>
        <w:t>impose post-authorization trials and additional monitoring obligations.</w:t>
      </w:r>
    </w:p>
    <w:p>
      <w:pPr>
        <w:spacing w:after="0" w:line="1" w:lineRule="exact"/>
        <w:rPr>
          <w:sz w:val="20"/>
          <w:szCs w:val="20"/>
          <w:color w:val="auto"/>
        </w:rPr>
      </w:pPr>
    </w:p>
    <w:p>
      <w:pPr>
        <w:ind w:left="620" w:right="2820"/>
        <w:spacing w:after="0" w:line="22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The manufacturing of authorized medicinal products, for which a separate manufacturer’s license is mandatory,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must also be conducted in strict compliance with the applicable EU laws, regulations and guidance, including Directive 2001/83/EC, Directive 2003/94/EC, Regulation (EC) No 726/2004 and the European Commission Guidelines for Good Manufacturing Practice (“ </w:t>
      </w:r>
      <w:r>
        <w:rPr>
          <w:rFonts w:ascii="Times New Roman" w:cs="Times New Roman" w:eastAsia="Times New Roman" w:hAnsi="Times New Roman"/>
          <w:sz w:val="12"/>
          <w:szCs w:val="12"/>
          <w:b w:val="1"/>
          <w:bCs w:val="1"/>
          <w:color w:val="231F20"/>
        </w:rPr>
        <w:t>EU GMP</w:t>
      </w:r>
      <w:r>
        <w:rPr>
          <w:rFonts w:ascii="Times New Roman" w:cs="Times New Roman" w:eastAsia="Times New Roman" w:hAnsi="Times New Roman"/>
          <w:sz w:val="12"/>
          <w:szCs w:val="12"/>
          <w:color w:val="231F20"/>
        </w:rPr>
        <w:t>”). These requirements include compliance with EU 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The marketing and promotion of authorized drugs, including industry-sponsored continuing medical education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and advertising directed toward the prescribers of drugs and/or the general public, are strictly regulated in the EU notably under Directive 2001/83EC, as amended, and EU Member State laws.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231F20"/>
        </w:rPr>
        <w:t>Regulation and Procedures Governing Approval of Medicinal Products in Japan</w:t>
      </w:r>
    </w:p>
    <w:p>
      <w:pPr>
        <w:ind w:left="620" w:right="2320"/>
        <w:spacing w:after="0"/>
        <w:rPr>
          <w:sz w:val="20"/>
          <w:szCs w:val="20"/>
          <w:color w:val="auto"/>
        </w:rPr>
      </w:pPr>
      <w:r>
        <w:rPr>
          <w:rFonts w:ascii="Times New Roman" w:cs="Times New Roman" w:eastAsia="Times New Roman" w:hAnsi="Times New Roman"/>
          <w:sz w:val="12"/>
          <w:szCs w:val="12"/>
          <w:color w:val="231F20"/>
        </w:rPr>
        <w:t>In order to market any medical product in Japan, a company must comply with numerous and varying regulatory requirements regarding quality, safety and efficacy, obtaining marketing approval, distributing products and conducting product sales. Japan is a member of the International Council for Harmonisation of Technical Requirements for Pharmaceuticals for Human Use and has pharmaceutical law and regulations that are similar in many respects to those of the US and the EU. These requirements are embodied in the Act on Securing Quality, Efficacy and Safety of Products Including Pharmaceuticals and Medical Devices (“</w:t>
      </w:r>
      <w:r>
        <w:rPr>
          <w:rFonts w:ascii="Times New Roman" w:cs="Times New Roman" w:eastAsia="Times New Roman" w:hAnsi="Times New Roman"/>
          <w:sz w:val="12"/>
          <w:szCs w:val="12"/>
          <w:b w:val="1"/>
          <w:bCs w:val="1"/>
          <w:color w:val="231F20"/>
        </w:rPr>
        <w:t>Pharmaceuticals and Medical Devices Act</w:t>
      </w:r>
      <w:r>
        <w:rPr>
          <w:rFonts w:ascii="Times New Roman" w:cs="Times New Roman" w:eastAsia="Times New Roman" w:hAnsi="Times New Roman"/>
          <w:sz w:val="12"/>
          <w:szCs w:val="12"/>
          <w:color w:val="231F20"/>
        </w:rPr>
        <w:t>”) and related cabinet orders, Ministerial ordinances, and guidelines. A pharmaceutical company that manufactures or markets medical products in Japan is subject to the supervision of the MHLW and PMDA, primarily under the Pharmaceuticals and Medical Devices Act.</w:t>
      </w:r>
    </w:p>
    <w:p>
      <w:pPr>
        <w:spacing w:after="0" w:line="10" w:lineRule="exact"/>
        <w:rPr>
          <w:sz w:val="20"/>
          <w:szCs w:val="20"/>
          <w:color w:val="auto"/>
        </w:rPr>
      </w:pPr>
    </w:p>
    <w:p>
      <w:pPr>
        <w:ind w:left="620" w:right="2280"/>
        <w:spacing w:after="0"/>
        <w:rPr>
          <w:sz w:val="20"/>
          <w:szCs w:val="20"/>
          <w:color w:val="auto"/>
        </w:rPr>
      </w:pPr>
      <w:r>
        <w:rPr>
          <w:rFonts w:ascii="Times New Roman" w:cs="Times New Roman" w:eastAsia="Times New Roman" w:hAnsi="Times New Roman"/>
          <w:sz w:val="12"/>
          <w:szCs w:val="12"/>
          <w:color w:val="231F20"/>
        </w:rPr>
        <w:t>A clinical trial notification needs to be submitted to the PMDA in advance of clinical trial initiation in Japan. The marketing approval from MHLW needs to be obtained before the product can be marketed and sold in the Japanese market. Obtaining marketing approval requires the satisfactory completion of pharmaceutical development, preclinical studies and adequate and well-controlled clinical trials to establish the safety and efficacy of the medical product for each proposed indication.</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231F20"/>
        </w:rPr>
        <w:t>A company is required to obtain from the prefectural government a marketing license of the appropriate class to</w:t>
      </w:r>
    </w:p>
    <w:p>
      <w:pPr>
        <w:ind w:left="620" w:right="2280"/>
        <w:spacing w:after="0" w:line="215" w:lineRule="auto"/>
        <w:rPr>
          <w:sz w:val="20"/>
          <w:szCs w:val="20"/>
          <w:color w:val="auto"/>
        </w:rPr>
      </w:pPr>
      <w:r>
        <w:rPr>
          <w:rFonts w:ascii="Times New Roman" w:cs="Times New Roman" w:eastAsia="Times New Roman" w:hAnsi="Times New Roman"/>
          <w:sz w:val="12"/>
          <w:szCs w:val="12"/>
          <w:color w:val="231F20"/>
        </w:rPr>
        <w:t>conduct the business of marketing or providing medical products that are manufactured (or outsourced to a third party for manufacturing) or imported by such person. Also, to conduct the business of manufacturing medical products which will be marketed in Japan, a company is required to obtain from the prefectural government a manufacturing license for each manufacturing site in Japan, and a manufacturing certification in the case of overseas manufacturing.</w:t>
      </w:r>
    </w:p>
    <w:p>
      <w:pPr>
        <w:ind w:left="620" w:right="2300"/>
        <w:spacing w:after="0" w:line="215" w:lineRule="auto"/>
        <w:rPr>
          <w:sz w:val="20"/>
          <w:szCs w:val="20"/>
          <w:color w:val="auto"/>
        </w:rPr>
      </w:pPr>
      <w:r>
        <w:rPr>
          <w:rFonts w:ascii="Times New Roman" w:cs="Times New Roman" w:eastAsia="Times New Roman" w:hAnsi="Times New Roman"/>
          <w:sz w:val="12"/>
          <w:szCs w:val="12"/>
          <w:color w:val="231F20"/>
        </w:rPr>
        <w:t>It is a requirement to obtain marketing approval from the MHLW for the marketing of each medical product. An application for marketing approval must be made through the PMDA. The PMDA reviews the results of the quality and nonclinical and clinical studies that show the efficacy and safety of the product candidate. A data compliance review, on-site inspection for good clinical practice, audit and detailed data review for compliance with GMP are undertaken by the PMDA. The application is then discussed by the committees of the Pharmaceutical Affairs Council. Based on the results of these reviews, the final decision on approval is made by the MHLW.</w:t>
      </w:r>
    </w:p>
    <w:p>
      <w:pPr>
        <w:spacing w:after="0" w:line="1" w:lineRule="exact"/>
        <w:rPr>
          <w:sz w:val="20"/>
          <w:szCs w:val="20"/>
          <w:color w:val="auto"/>
        </w:rPr>
      </w:pPr>
    </w:p>
    <w:p>
      <w:pPr>
        <w:jc w:val="both"/>
        <w:ind w:left="620" w:right="2440"/>
        <w:spacing w:after="0" w:line="215" w:lineRule="auto"/>
        <w:rPr>
          <w:sz w:val="20"/>
          <w:szCs w:val="20"/>
          <w:color w:val="auto"/>
        </w:rPr>
      </w:pPr>
      <w:r>
        <w:rPr>
          <w:rFonts w:ascii="Times New Roman" w:cs="Times New Roman" w:eastAsia="Times New Roman" w:hAnsi="Times New Roman"/>
          <w:sz w:val="12"/>
          <w:szCs w:val="12"/>
          <w:color w:val="231F20"/>
        </w:rPr>
        <w:t>If the product is designed for treating certain difficult diseases and those for which the patient population is limited, the applicant may be able to obtain designation as an orphan drug product if it demonstrates unique therapeutic value. There are also expedited programs.</w:t>
      </w:r>
    </w:p>
    <w:p>
      <w:pPr>
        <w:ind w:left="620" w:right="2320"/>
        <w:spacing w:after="0" w:line="215" w:lineRule="auto"/>
        <w:rPr>
          <w:sz w:val="20"/>
          <w:szCs w:val="20"/>
          <w:color w:val="auto"/>
        </w:rPr>
      </w:pPr>
      <w:r>
        <w:rPr>
          <w:rFonts w:ascii="Times New Roman" w:cs="Times New Roman" w:eastAsia="Times New Roman" w:hAnsi="Times New Roman"/>
          <w:sz w:val="12"/>
          <w:szCs w:val="12"/>
          <w:color w:val="231F20"/>
        </w:rPr>
        <w:t>The sponsor must complete a preclinical safety evaluation of the investigative product and submit a clinical trial notification, including the clinical trial protocol, to the PMDA in advance of clinical trial initiation in Japan. If the authorities raise an issue or comment on the notification application, those need to be resolved within 14 or 30 days, then the sponsor may proceed to conclude a clinical trial agreement with the site and commence the clinical trial. Any changes to the trial protocol or other information submitted must be cleared by the IRB and when protocol is changed substantially, the clinical trial notification needs to be resubmitted.</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231F20"/>
        </w:rPr>
        <w:t>The data from clinical trials and other pertinent data, which must be attached for an application for marketing approval, must be obtained in compliance with the standards established by the MHLW, such as the ICH Good Clinical Practice Guideline and GCP stipulated by the ministerial ordinances of the MHLW. Medicines used in clinical trials must be manufactured in accordance with Japan’s GMP.</w:t>
      </w:r>
    </w:p>
    <w:p>
      <w:pPr>
        <w:jc w:val="both"/>
        <w:ind w:left="620" w:right="2580"/>
        <w:spacing w:after="0" w:line="215" w:lineRule="auto"/>
        <w:rPr>
          <w:sz w:val="20"/>
          <w:szCs w:val="20"/>
          <w:color w:val="auto"/>
        </w:rPr>
      </w:pPr>
      <w:r>
        <w:rPr>
          <w:rFonts w:ascii="Times New Roman" w:cs="Times New Roman" w:eastAsia="Times New Roman" w:hAnsi="Times New Roman"/>
          <w:sz w:val="12"/>
          <w:szCs w:val="12"/>
          <w:color w:val="231F20"/>
        </w:rPr>
        <w:t>If the sponsor of the clinical trial is not an entity within Japan, it must appoint a domestic entity to act as its agent and carry out obligations on the overseas sponsor’s behalf. The sponsor must hold a clinical trial insurance policy, and in accordance with industry practice, should establish a compensation policy for the injuries from the trial.</w:t>
      </w:r>
    </w:p>
    <w:p>
      <w:pPr>
        <w:ind w:left="620" w:right="2600"/>
        <w:spacing w:after="0" w:line="234" w:lineRule="auto"/>
        <w:rPr>
          <w:sz w:val="20"/>
          <w:szCs w:val="20"/>
          <w:color w:val="auto"/>
        </w:rPr>
      </w:pPr>
      <w:r>
        <w:rPr>
          <w:rFonts w:ascii="Times New Roman" w:cs="Times New Roman" w:eastAsia="Times New Roman" w:hAnsi="Times New Roman"/>
          <w:sz w:val="12"/>
          <w:szCs w:val="12"/>
          <w:color w:val="231F20"/>
        </w:rPr>
        <w:t>Non-clinical studies performed to demonstrate the safety of new chemical or biological substance must be conducted in compliance with the principles of Japanese GLP, which reflect the Organization for Economic Co-operation and</w:t>
      </w:r>
    </w:p>
    <w:p>
      <w:pPr>
        <w:sectPr>
          <w:pgSz w:w="11900" w:h="16840" w:orient="portrait"/>
          <w:cols w:equalWidth="0" w:num="1">
            <w:col w:w="9020"/>
          </w:cols>
          <w:pgMar w:left="1440" w:top="559" w:right="1440"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Development (“</w:t>
      </w:r>
      <w:r>
        <w:rPr>
          <w:rFonts w:ascii="Times New Roman" w:cs="Times New Roman" w:eastAsia="Times New Roman" w:hAnsi="Times New Roman"/>
          <w:sz w:val="12"/>
          <w:szCs w:val="12"/>
          <w:b w:val="1"/>
          <w:bCs w:val="1"/>
          <w:color w:val="231F20"/>
        </w:rPr>
        <w:t>OECD</w:t>
      </w:r>
      <w:r>
        <w:rPr>
          <w:rFonts w:ascii="Times New Roman" w:cs="Times New Roman" w:eastAsia="Times New Roman" w:hAnsi="Times New Roman"/>
          <w:sz w:val="12"/>
          <w:szCs w:val="12"/>
          <w:color w:val="231F20"/>
        </w:rPr>
        <w:t>”) requirements. Currently, Japan, the EU and U.K. have a mutual recognition agreement for GLP, and data generated compliant with EU requirements will be accepted by the Japanese authorities. There is no similar agreement with the US, but this is not a significant issue because of the OECD arrangement.</w:t>
      </w:r>
    </w:p>
    <w:p>
      <w:pPr>
        <w:ind w:left="620" w:right="2360"/>
        <w:spacing w:after="0" w:line="236" w:lineRule="auto"/>
        <w:rPr>
          <w:sz w:val="20"/>
          <w:szCs w:val="20"/>
          <w:color w:val="auto"/>
        </w:rPr>
      </w:pPr>
      <w:r>
        <w:rPr>
          <w:rFonts w:ascii="Times New Roman" w:cs="Times New Roman" w:eastAsia="Times New Roman" w:hAnsi="Times New Roman"/>
          <w:sz w:val="12"/>
          <w:szCs w:val="12"/>
          <w:color w:val="231F20"/>
        </w:rPr>
        <w:t>A marketing license-holder that has obtained marketing approval for a new molecular entity, administration route, combination drugs, indication, or posology must have that pharmaceutical re-examined by the PMDA for a specified period after receiving marketing approval. Such re-examination period for EPKINLY and Tivdak is stated to be eight (8) years after the marketing approval in September 2023 and March 2025 respectively. The purpose of this re -examination process is to ensure the safety and efficacy of a newly approved pharmaceutical by imposing on the marketing license-holder the obligation to gather clinical data for a certain period after the marketing approval was granted in order for the PMDA to have the opportunity to re-examine the product. Results of use and other pertinent data must be attached for an application for a re -examination. A marketing license holder that has obtained marketing approval is also required to investigate, among other things, the results of use and to periodically report to the PMDA pursuant to the Pharmaceuticals and Medical Devices Act. During the re-examination period, exclusivity on the market is granted regardless of effective patent.</w:t>
      </w:r>
    </w:p>
    <w:p>
      <w:pPr>
        <w:spacing w:after="0" w:line="4" w:lineRule="exact"/>
        <w:rPr>
          <w:sz w:val="20"/>
          <w:szCs w:val="20"/>
          <w:color w:val="auto"/>
        </w:rPr>
      </w:pPr>
    </w:p>
    <w:p>
      <w:pPr>
        <w:ind w:left="620" w:right="2520"/>
        <w:spacing w:after="0" w:line="215" w:lineRule="auto"/>
        <w:rPr>
          <w:sz w:val="20"/>
          <w:szCs w:val="20"/>
          <w:color w:val="auto"/>
        </w:rPr>
      </w:pPr>
      <w:r>
        <w:rPr>
          <w:rFonts w:ascii="Times New Roman" w:cs="Times New Roman" w:eastAsia="Times New Roman" w:hAnsi="Times New Roman"/>
          <w:sz w:val="12"/>
          <w:szCs w:val="12"/>
          <w:color w:val="231F20"/>
        </w:rPr>
        <w:t>The MHLW may require additional post-approval studies (Phase IV) for some specific cases, to further evaluate safety and/or to gather information on the use of the product under specified conditions.</w:t>
      </w:r>
    </w:p>
    <w:p>
      <w:pPr>
        <w:ind w:left="620" w:right="2340"/>
        <w:spacing w:after="0" w:line="215" w:lineRule="auto"/>
        <w:rPr>
          <w:sz w:val="20"/>
          <w:szCs w:val="20"/>
          <w:color w:val="auto"/>
        </w:rPr>
      </w:pPr>
      <w:r>
        <w:rPr>
          <w:rFonts w:ascii="Times New Roman" w:cs="Times New Roman" w:eastAsia="Times New Roman" w:hAnsi="Times New Roman"/>
          <w:sz w:val="12"/>
          <w:szCs w:val="12"/>
          <w:color w:val="231F20"/>
        </w:rPr>
        <w:t>In Japan, public medical insurance systems cover the entire Japanese population. The public medical insurance system, however, does not cover any medical product which is not listed on the National Health Insurance (“</w:t>
      </w:r>
      <w:r>
        <w:rPr>
          <w:rFonts w:ascii="Times New Roman" w:cs="Times New Roman" w:eastAsia="Times New Roman" w:hAnsi="Times New Roman"/>
          <w:sz w:val="12"/>
          <w:szCs w:val="12"/>
          <w:b w:val="1"/>
          <w:bCs w:val="1"/>
          <w:color w:val="231F20"/>
        </w:rPr>
        <w:t>NHI</w:t>
      </w:r>
      <w:r>
        <w:rPr>
          <w:rFonts w:ascii="Times New Roman" w:cs="Times New Roman" w:eastAsia="Times New Roman" w:hAnsi="Times New Roman"/>
          <w:sz w:val="12"/>
          <w:szCs w:val="12"/>
          <w:color w:val="231F20"/>
        </w:rPr>
        <w:t>”) price list published by the Minister of the MHLW. Accordingly, a marketing license-holder of medical products must first have a new medical product listed on the NHI price list in order to obtain its coverage under the public medical insurance system. New regulatory approved drugs are listed on the NHI price list within 60 or 90 days after its regulatory approval. The NHI price list listed EPKINLY in November 2023 and Tivdak in May 2025.</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The NHI price of a medical product is determined either by price comparison of comparable medical products with necessary adjustments for innovativeness, usefulness or size of the market; or, in the absence of comparable medical products, by the cost calculation method, determined after considering the opinion of the manufacturer. Prices on the NHI price list are subject to revision, generally once every two years, on the basis of the actual prices at which the medical products are purchased by medical institutions from wholesalers.</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C.  Organizational Structure</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Genmab A/S holds investments either directly or indirectly in the following significant subsidiaries: Genmab B.V. (Utrecht, the Netherlands), Genmab Holding B.V. (Utrecht, the Netherlands), Genmab Holding II B.V. (Utrecht, the Netherlands), Merus B.V. (Utrecht, the Netherlands), Merus US Inc. (Massachusetts, USA), Genmab K.K (Tokyo, Japan), and Genmab US, Inc. (New Jersey, USA). These subsidiaries perform certain research and development, selling, general and administrative, and management activities on behalf of Genmab A/S.In addition, Genmab US, Inc. and Genmab K.K conduct commercial activities in their respective markets.</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D.  Property And Equipment</w:t>
      </w:r>
    </w:p>
    <w:p>
      <w:pPr>
        <w:ind w:left="620"/>
        <w:spacing w:after="0"/>
        <w:rPr>
          <w:sz w:val="20"/>
          <w:szCs w:val="20"/>
          <w:color w:val="auto"/>
        </w:rPr>
      </w:pPr>
      <w:r>
        <w:rPr>
          <w:rFonts w:ascii="Times New Roman" w:cs="Times New Roman" w:eastAsia="Times New Roman" w:hAnsi="Times New Roman"/>
          <w:sz w:val="12"/>
          <w:szCs w:val="12"/>
          <w:color w:val="auto"/>
        </w:rPr>
        <w:t>The following table specifies our material leased facilities and their related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75</w:t>
      </w:r>
    </w:p>
    <w:p>
      <w:pPr>
        <w:ind w:left="620"/>
        <w:spacing w:after="0" w:line="208" w:lineRule="auto"/>
        <w:rPr>
          <w:rFonts w:ascii="Times New Roman" w:cs="Times New Roman" w:eastAsia="Times New Roman" w:hAnsi="Times New Roman"/>
          <w:sz w:val="12"/>
          <w:szCs w:val="12"/>
          <w:color w:val="0563C1"/>
        </w:rPr>
      </w:pPr>
      <w:hyperlink w:anchor="page2">
        <w:r>
          <w:rPr>
            <w:rFonts w:ascii="Times New Roman" w:cs="Times New Roman" w:eastAsia="Times New Roman" w:hAnsi="Times New Roman"/>
            <w:sz w:val="12"/>
            <w:szCs w:val="12"/>
            <w:color w:val="0563C1"/>
          </w:rPr>
          <w:t>Table of Contents</w:t>
        </w:r>
      </w:hyperlink>
    </w:p>
    <w:tbl>
      <w:tblPr>
        <w:tblLayout w:type="fixed"/>
        <w:tblInd w:w="620" w:type="dxa"/>
        <w:tblCellMar>
          <w:top w:w="0" w:type="dxa"/>
          <w:left w:w="0" w:type="dxa"/>
          <w:bottom w:w="0" w:type="dxa"/>
          <w:right w:w="0" w:type="dxa"/>
        </w:tblCellMar>
      </w:tblPr>
      <w:tr>
        <w:trPr>
          <w:trHeight w:val="166"/>
        </w:trPr>
        <w:tc>
          <w:tcPr>
            <w:tcW w:w="880" w:type="dxa"/>
            <w:vAlign w:val="bottom"/>
            <w:tcBorders>
              <w:top w:val="single" w:sz="8" w:color="0563C1"/>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Use of facility</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Area (in square feet)</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Lease expiry date</w:t>
            </w:r>
          </w:p>
        </w:tc>
      </w:tr>
      <w:tr>
        <w:trPr>
          <w:trHeight w:val="165"/>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Valby, Denmark</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headquarters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175,130</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February, 2038</w:t>
            </w:r>
          </w:p>
        </w:tc>
      </w:tr>
      <w:tr>
        <w:trPr>
          <w:trHeight w:val="16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Ballerup, Denmark</w:t>
            </w:r>
          </w:p>
        </w:tc>
        <w:tc>
          <w:tcPr>
            <w:tcW w:w="10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Office and laboratory space</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45,622</w:t>
            </w:r>
          </w:p>
        </w:tc>
        <w:tc>
          <w:tcPr>
            <w:tcW w:w="10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June, 2031</w:t>
            </w:r>
          </w:p>
        </w:tc>
      </w:tr>
      <w:tr>
        <w:trPr>
          <w:trHeight w:val="21"/>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14"/>
        </w:trPr>
        <w:tc>
          <w:tcPr>
            <w:tcW w:w="146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color w:val="auto"/>
              </w:rPr>
              <w:t>Utrecht, Netherlands</w:t>
            </w:r>
          </w:p>
        </w:tc>
        <w:tc>
          <w:tcPr>
            <w:tcW w:w="1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Office, laboratory, and pre-</w:t>
            </w:r>
          </w:p>
        </w:tc>
        <w:tc>
          <w:tcPr>
            <w:tcW w:w="1480" w:type="dxa"/>
            <w:vAlign w:val="bottom"/>
            <w:gridSpan w:val="2"/>
            <w:shd w:val="clear" w:color="auto" w:fill="CCEEFF"/>
          </w:tcPr>
          <w:p>
            <w:pPr>
              <w:ind w:left="120"/>
              <w:spacing w:after="0" w:line="114" w:lineRule="exact"/>
              <w:rPr>
                <w:sz w:val="20"/>
                <w:szCs w:val="20"/>
                <w:color w:val="auto"/>
              </w:rPr>
            </w:pPr>
            <w:r>
              <w:rPr>
                <w:rFonts w:ascii="Times New Roman" w:cs="Times New Roman" w:eastAsia="Times New Roman" w:hAnsi="Times New Roman"/>
                <w:sz w:val="12"/>
                <w:szCs w:val="12"/>
                <w:color w:val="auto"/>
              </w:rPr>
              <w:t>90,061</w:t>
            </w: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May, 2032</w:t>
            </w:r>
          </w:p>
        </w:tc>
      </w:tr>
      <w:tr>
        <w:trPr>
          <w:trHeight w:val="161"/>
        </w:trPr>
        <w:tc>
          <w:tcPr>
            <w:tcW w:w="8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clinical development space</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r>
      <w:tr>
        <w:trPr>
          <w:trHeight w:val="114"/>
        </w:trPr>
        <w:tc>
          <w:tcPr>
            <w:tcW w:w="1460" w:type="dxa"/>
            <w:vAlign w:val="bottom"/>
            <w:gridSpan w:val="2"/>
          </w:tcPr>
          <w:p>
            <w:pPr>
              <w:ind w:left="20"/>
              <w:spacing w:after="0" w:line="114" w:lineRule="exact"/>
              <w:rPr>
                <w:sz w:val="20"/>
                <w:szCs w:val="20"/>
                <w:color w:val="auto"/>
              </w:rPr>
            </w:pPr>
            <w:r>
              <w:rPr>
                <w:rFonts w:ascii="Times New Roman" w:cs="Times New Roman" w:eastAsia="Times New Roman" w:hAnsi="Times New Roman"/>
                <w:sz w:val="12"/>
                <w:szCs w:val="12"/>
                <w:color w:val="auto"/>
              </w:rPr>
              <w:t>Utrecht, Netherlands</w:t>
            </w:r>
          </w:p>
        </w:tc>
        <w:tc>
          <w:tcPr>
            <w:tcW w:w="100" w:type="dxa"/>
            <w:vAlign w:val="bottom"/>
          </w:tcPr>
          <w:p>
            <w:pPr>
              <w:spacing w:after="0"/>
              <w:rPr>
                <w:sz w:val="9"/>
                <w:szCs w:val="9"/>
                <w:color w:val="auto"/>
              </w:rPr>
            </w:pPr>
          </w:p>
        </w:tc>
        <w:tc>
          <w:tcPr>
            <w:tcW w:w="170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Office, laboratory, and pre-</w:t>
            </w:r>
          </w:p>
        </w:tc>
        <w:tc>
          <w:tcPr>
            <w:tcW w:w="148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2"/>
                <w:szCs w:val="12"/>
                <w:color w:val="auto"/>
              </w:rPr>
              <w:t>59,352</w:t>
            </w:r>
          </w:p>
        </w:tc>
        <w:tc>
          <w:tcPr>
            <w:tcW w:w="100" w:type="dxa"/>
            <w:vAlign w:val="bottom"/>
          </w:tcPr>
          <w:p>
            <w:pPr>
              <w:spacing w:after="0"/>
              <w:rPr>
                <w:sz w:val="9"/>
                <w:szCs w:val="9"/>
                <w:color w:val="auto"/>
              </w:rPr>
            </w:pPr>
          </w:p>
        </w:tc>
        <w:tc>
          <w:tcPr>
            <w:tcW w:w="136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June, 2032</w:t>
            </w:r>
          </w:p>
        </w:tc>
      </w:tr>
      <w:tr>
        <w:trPr>
          <w:trHeight w:val="160"/>
        </w:trPr>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clinical development space</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14"/>
        </w:trPr>
        <w:tc>
          <w:tcPr>
            <w:tcW w:w="146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color w:val="auto"/>
              </w:rPr>
              <w:t>Utrecht, Netherlands</w:t>
            </w:r>
          </w:p>
        </w:tc>
        <w:tc>
          <w:tcPr>
            <w:tcW w:w="1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Office, laboratory, and pre-</w:t>
            </w:r>
          </w:p>
        </w:tc>
        <w:tc>
          <w:tcPr>
            <w:tcW w:w="1480" w:type="dxa"/>
            <w:vAlign w:val="bottom"/>
            <w:gridSpan w:val="2"/>
            <w:shd w:val="clear" w:color="auto" w:fill="CCEEFF"/>
          </w:tcPr>
          <w:p>
            <w:pPr>
              <w:ind w:left="120"/>
              <w:spacing w:after="0" w:line="114" w:lineRule="exact"/>
              <w:rPr>
                <w:sz w:val="20"/>
                <w:szCs w:val="20"/>
                <w:color w:val="auto"/>
              </w:rPr>
            </w:pPr>
            <w:r>
              <w:rPr>
                <w:rFonts w:ascii="Times New Roman" w:cs="Times New Roman" w:eastAsia="Times New Roman" w:hAnsi="Times New Roman"/>
                <w:sz w:val="12"/>
                <w:szCs w:val="12"/>
                <w:color w:val="auto"/>
              </w:rPr>
              <w:t>61,795</w:t>
            </w: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April, 2032</w:t>
            </w:r>
          </w:p>
        </w:tc>
      </w:tr>
      <w:tr>
        <w:trPr>
          <w:trHeight w:val="161"/>
        </w:trPr>
        <w:tc>
          <w:tcPr>
            <w:tcW w:w="8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clinical development space</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r>
      <w:tr>
        <w:trPr>
          <w:trHeight w:val="16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Plainsboro, NJ, USA</w:t>
            </w:r>
          </w:p>
        </w:tc>
        <w:tc>
          <w:tcPr>
            <w:tcW w:w="10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Office and laboratory space</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135,136</w:t>
            </w:r>
          </w:p>
        </w:tc>
        <w:tc>
          <w:tcPr>
            <w:tcW w:w="10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August, 2031</w:t>
            </w:r>
          </w:p>
        </w:tc>
      </w:tr>
      <w:tr>
        <w:trPr>
          <w:trHeight w:val="21"/>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1"/>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Plainsboro, NJ, USA</w:t>
            </w:r>
          </w:p>
        </w:tc>
        <w:tc>
          <w:tcPr>
            <w:tcW w:w="1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and laboratory space</w:t>
            </w:r>
          </w:p>
        </w:tc>
        <w:tc>
          <w:tcPr>
            <w:tcW w:w="1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135,476</w:t>
            </w: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2036</w:t>
            </w:r>
          </w:p>
        </w:tc>
      </w:tr>
      <w:tr>
        <w:trPr>
          <w:trHeight w:val="16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Tokyo, Japan</w:t>
            </w:r>
          </w:p>
        </w:tc>
        <w:tc>
          <w:tcPr>
            <w:tcW w:w="10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Office Space</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28,744</w:t>
            </w:r>
          </w:p>
        </w:tc>
        <w:tc>
          <w:tcPr>
            <w:tcW w:w="10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June, 2029</w:t>
            </w:r>
          </w:p>
        </w:tc>
      </w:tr>
      <w:tr>
        <w:trPr>
          <w:trHeight w:val="21"/>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1"/>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Suzhou, China</w:t>
            </w:r>
          </w:p>
        </w:tc>
        <w:tc>
          <w:tcPr>
            <w:tcW w:w="1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and laboratory space</w:t>
            </w:r>
          </w:p>
        </w:tc>
        <w:tc>
          <w:tcPr>
            <w:tcW w:w="1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37,940</w:t>
            </w: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2026</w:t>
            </w:r>
          </w:p>
        </w:tc>
      </w:tr>
      <w:tr>
        <w:trPr>
          <w:trHeight w:val="16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Utrecht, Netherlands</w:t>
            </w:r>
          </w:p>
        </w:tc>
        <w:tc>
          <w:tcPr>
            <w:tcW w:w="10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Office and laboratory space</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54,015</w:t>
            </w:r>
          </w:p>
        </w:tc>
        <w:tc>
          <w:tcPr>
            <w:tcW w:w="10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July, 2029</w:t>
            </w:r>
          </w:p>
        </w:tc>
      </w:tr>
    </w:tbl>
    <w:p>
      <w:pPr>
        <w:spacing w:after="0" w:line="68" w:lineRule="exact"/>
        <w:rPr>
          <w:sz w:val="20"/>
          <w:szCs w:val="20"/>
          <w:color w:val="auto"/>
        </w:rPr>
      </w:pPr>
    </w:p>
    <w:p>
      <w:pPr>
        <w:ind w:left="620" w:right="2560"/>
        <w:spacing w:after="0" w:line="253" w:lineRule="auto"/>
        <w:rPr>
          <w:sz w:val="20"/>
          <w:szCs w:val="20"/>
          <w:color w:val="auto"/>
        </w:rPr>
      </w:pPr>
      <w:r>
        <w:rPr>
          <w:rFonts w:ascii="Times New Roman" w:cs="Times New Roman" w:eastAsia="Times New Roman" w:hAnsi="Times New Roman"/>
          <w:sz w:val="12"/>
          <w:szCs w:val="12"/>
          <w:color w:val="auto"/>
        </w:rPr>
        <w:t>We believe that our existing facilities are adequate to meet our current needs and that suitable additional or alternative facilities will be available in the future on commercially reasonable terms to meet our future needs.</w:t>
      </w:r>
    </w:p>
    <w:p>
      <w:pPr>
        <w:sectPr>
          <w:pgSz w:w="11900" w:h="16840" w:orient="portrait"/>
          <w:cols w:equalWidth="0" w:num="1">
            <w:col w:w="9020"/>
          </w:cols>
          <w:pgMar w:left="1440" w:top="1440" w:right="1440" w:bottom="0" w:gutter="0" w:footer="0" w:header="0"/>
        </w:sectPr>
      </w:pPr>
    </w:p>
    <w:bookmarkStart w:id="48" w:name="page49"/>
    <w:bookmarkEnd w:id="48"/>
    <w:p>
      <w:pPr>
        <w:ind w:left="620" w:right="2840"/>
        <w:spacing w:after="0" w:line="227" w:lineRule="auto"/>
        <w:rPr>
          <w:sz w:val="20"/>
          <w:szCs w:val="20"/>
          <w:color w:val="auto"/>
        </w:rPr>
      </w:pPr>
      <w:r>
        <w:rPr>
          <w:rFonts w:ascii="Times New Roman" w:cs="Times New Roman" w:eastAsia="Times New Roman" w:hAnsi="Times New Roman"/>
          <w:sz w:val="12"/>
          <w:szCs w:val="12"/>
          <w:color w:val="auto"/>
        </w:rPr>
        <w:t>See Note 3.2 “Property and Equipment” in our Audited Financial Statements for additional details regarding our property and equipment, and other capital expenditures.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4A  UNRESOLVED STAFF COMMENTS</w:t>
      </w:r>
    </w:p>
    <w:p>
      <w:pPr>
        <w:ind w:left="620"/>
        <w:spacing w:after="0" w:line="216" w:lineRule="auto"/>
        <w:rPr>
          <w:sz w:val="20"/>
          <w:szCs w:val="20"/>
          <w:color w:val="auto"/>
        </w:rPr>
      </w:pPr>
      <w:r>
        <w:rPr>
          <w:rFonts w:ascii="Times New Roman" w:cs="Times New Roman" w:eastAsia="Times New Roman" w:hAnsi="Times New Roman"/>
          <w:sz w:val="12"/>
          <w:szCs w:val="12"/>
          <w:color w:val="auto"/>
        </w:rPr>
        <w:t>Not applicable.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5 OPERATING AND FINANCIAL REVIEW AND PROSPECTS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A. Operating Results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Overview</w:t>
      </w:r>
    </w:p>
    <w:p>
      <w:pPr>
        <w:ind w:left="620" w:right="2360"/>
        <w:spacing w:after="0"/>
        <w:rPr>
          <w:sz w:val="20"/>
          <w:szCs w:val="20"/>
          <w:color w:val="auto"/>
        </w:rPr>
      </w:pPr>
      <w:r>
        <w:rPr>
          <w:rFonts w:ascii="Times New Roman" w:cs="Times New Roman" w:eastAsia="Times New Roman" w:hAnsi="Times New Roman"/>
          <w:sz w:val="12"/>
          <w:szCs w:val="12"/>
          <w:color w:val="auto"/>
        </w:rPr>
        <w:t>We are an international biotechnology company with a pipeline of novel antibody-based products and product candidates designed to address unmet medical needs and improve treatment outcomes for patients with cancer and other serious diseases. Our goal in building our pipeline is to bring medicines to market ourselves in geographic areas where we believe we will be able to maximize their value and make a meaningful impact on the treatment landscape. .</w:t>
      </w:r>
    </w:p>
    <w:p>
      <w:pPr>
        <w:spacing w:after="0" w:line="67" w:lineRule="exact"/>
        <w:rPr>
          <w:sz w:val="20"/>
          <w:szCs w:val="20"/>
          <w:color w:val="auto"/>
        </w:rPr>
      </w:pPr>
    </w:p>
    <w:p>
      <w:pPr>
        <w:ind w:left="620" w:right="2300"/>
        <w:spacing w:after="0" w:line="221" w:lineRule="auto"/>
        <w:rPr>
          <w:sz w:val="20"/>
          <w:szCs w:val="20"/>
          <w:color w:val="auto"/>
        </w:rPr>
      </w:pPr>
      <w:r>
        <w:rPr>
          <w:rFonts w:ascii="Times New Roman" w:cs="Times New Roman" w:eastAsia="Times New Roman" w:hAnsi="Times New Roman"/>
          <w:sz w:val="12"/>
          <w:szCs w:val="12"/>
          <w:color w:val="auto"/>
        </w:rPr>
        <w:t>Our current priorities are the commercial or late-stage programs epcoritamab, Rina- S and petosemtamab. Epcoritamab, marketed as EPKINLY in countries including the US and Japan and as TEPKINLY in the EU, is being developed and commercialized in collaboration with AbbVie. Epcoritamab is the first and only bispecific antibody approved for the treatment of multiple B-cell malignancies in various regions around the world. Rina-S and petosemtamab are wholly owned by Genmab. Rina-S is in Phase III clinical development for PROC, PSOC and endometrial cancer. Petosemtamab is in Phase III clinical development for newly diagnosed and recurrent/metastatic r/m HNSCC.</w:t>
      </w:r>
    </w:p>
    <w:p>
      <w:pPr>
        <w:spacing w:after="0" w:line="90" w:lineRule="exact"/>
        <w:rPr>
          <w:sz w:val="20"/>
          <w:szCs w:val="20"/>
          <w:color w:val="auto"/>
        </w:rPr>
      </w:pPr>
    </w:p>
    <w:p>
      <w:pPr>
        <w:ind w:left="620" w:right="2360"/>
        <w:spacing w:after="0" w:line="222" w:lineRule="auto"/>
        <w:rPr>
          <w:sz w:val="20"/>
          <w:szCs w:val="20"/>
          <w:color w:val="auto"/>
        </w:rPr>
      </w:pPr>
      <w:r>
        <w:rPr>
          <w:rFonts w:ascii="Times New Roman" w:cs="Times New Roman" w:eastAsia="Times New Roman" w:hAnsi="Times New Roman"/>
          <w:sz w:val="12"/>
          <w:szCs w:val="12"/>
          <w:color w:val="auto"/>
        </w:rPr>
        <w:t xml:space="preserve">Our full pipeline includes bispecific T-cell engagers, next-generation immune checkpoint modulators, effector function enhanced antibodies and ADCs. We currently have five proprietary products or product candidates in active clinical development, which comprise programs where we retain at least 50% of product rights in collaboration with partners. Our first proprietary commercial product to be approved was tisotumab vedotin, marketed as Tivdak. Tivdak is being co-developed globally and co-promoted in the US in collaboration with Pfizer and exclusively by Genmab outside of the US and China. Tivdak is the first and only ADC </w:t>
      </w: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12"/>
          <w:szCs w:val="12"/>
          <w:color w:val="auto"/>
        </w:rPr>
        <w:t xml:space="preserve"> pproved for the treatment of adult patients with recurrent or metastatic cervical cancer with disease progression on or after prior systemic therapy in territories including the US, Europe and Japan. In addition to our marketed products and clinical product candidates, we have multiple proprietary and partnered preclinical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26" w:lineRule="auto"/>
        <w:rPr>
          <w:sz w:val="20"/>
          <w:szCs w:val="20"/>
          <w:color w:val="auto"/>
        </w:rPr>
      </w:pPr>
      <w:r>
        <w:rPr>
          <w:rFonts w:ascii="Times New Roman" w:cs="Times New Roman" w:eastAsia="Times New Roman" w:hAnsi="Times New Roman"/>
          <w:sz w:val="12"/>
          <w:szCs w:val="12"/>
          <w:color w:val="auto"/>
        </w:rPr>
        <w:t xml:space="preserve">To develop and deliver novel therapies to patients, we have formed strategic collaborations with biotechnology and pharmaceutical companies. We selectively enter into collaborations with other biotechnology and pharmaceutical companies that build our network in the biotechnology space and give us access to complementary technologies or products that move us closer to achieving our vision and fulfilling our core purpose. In addition to Genmab’s own pipeline of product candidates, our innovation and proprietary technology platforms are applied in the pipelines of global pharmaceutical and biotechnology companies. These companies are running clinical development programs with antibodies created by Genmab or created using Genmab’s proprietary DuoBody bispecific antibody technology platform. The six approved medicines created by Genmab or that incorporate Genmab’s innovation or technology platforms are daratumumab, marketed by J&amp;J as DARZALEX (IV formulation) and DARZALEX </w:t>
      </w:r>
      <w:r>
        <w:rPr>
          <w:rFonts w:ascii="Times New Roman" w:cs="Times New Roman" w:eastAsia="Times New Roman" w:hAnsi="Times New Roman"/>
          <w:sz w:val="12"/>
          <w:szCs w:val="12"/>
          <w:i w:val="1"/>
          <w:iCs w:val="1"/>
          <w:color w:val="auto"/>
        </w:rPr>
        <w:t>FASPRO</w:t>
      </w:r>
      <w:r>
        <w:rPr>
          <w:rFonts w:ascii="Times New Roman" w:cs="Times New Roman" w:eastAsia="Times New Roman" w:hAnsi="Times New Roman"/>
          <w:sz w:val="12"/>
          <w:szCs w:val="12"/>
          <w:color w:val="auto"/>
        </w:rPr>
        <w:t xml:space="preserve"> or DARZALEX SC (SC formulation), approved in the US, Europe, Japan and other territories for the treatment of certain indications of MM and AL amyloidosis; amivantamab, marketed in the US, Europe, Japan and other territories by J&amp;J as RYBREVANT for the treatment of certain adult patients with locally-advanced or metastatic NSCLC with EGFR exon 20 insertion mutations. A SC formulation, RYBREVANT </w:t>
      </w:r>
      <w:r>
        <w:rPr>
          <w:rFonts w:ascii="Times New Roman" w:cs="Times New Roman" w:eastAsia="Times New Roman" w:hAnsi="Times New Roman"/>
          <w:sz w:val="12"/>
          <w:szCs w:val="12"/>
          <w:i w:val="1"/>
          <w:iCs w:val="1"/>
          <w:color w:val="auto"/>
        </w:rPr>
        <w:t>FASPRO</w:t>
      </w:r>
      <w:r>
        <w:rPr>
          <w:rFonts w:ascii="Times New Roman" w:cs="Times New Roman" w:eastAsia="Times New Roman" w:hAnsi="Times New Roman"/>
          <w:sz w:val="12"/>
          <w:szCs w:val="12"/>
          <w:color w:val="auto"/>
        </w:rPr>
        <w:t>, is also approved in the US; teclistamab, marketed in the US, Europe, Japan and other territories by J&amp;J as TECVAYLI for certain indications of MM; talquetamab, marketed in the US, Europe, Japan and other territories by J&amp;J as TALVEY for certain indications of MM; SC ofatumumab, marketed in the US, Europe, Japan and other territories as Kesimpta by Novartis for the treatment of RMS; and teprotumumab, marketed in the US, Europe and Japan as TEPEZZA by Amgen for the treatment of TED. In addition BIZENGRI (Zenocutuumab -zbco) was added to our portfolio of royalty medicines as part of our acquisition of Merus. Merus exclusively licensed to Partner Therapeutics the right to commercialize BIZENGRI for the treatment of NRG1 fusion -positive cancer in the US. Under the agreements for these products Genmab is entitled to certain potential milestones and royalties.</w:t>
      </w:r>
    </w:p>
    <w:p>
      <w:pPr>
        <w:spacing w:after="0" w:line="6" w:lineRule="exact"/>
        <w:rPr>
          <w:sz w:val="20"/>
          <w:szCs w:val="20"/>
          <w:color w:val="auto"/>
        </w:rPr>
      </w:pP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For our proprietary commercial products EPKINLY and Tivdak, our commercialization rights and related revenues and expenses vary by jurisdiction as further described below:</w:t>
      </w:r>
    </w:p>
    <w:p>
      <w:pPr>
        <w:ind w:left="620" w:right="2960"/>
        <w:spacing w:after="0" w:line="2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EPKINLY collaboration with AbbVie.</w:t>
      </w:r>
      <w:r>
        <w:rPr>
          <w:rFonts w:ascii="Times New Roman" w:cs="Times New Roman" w:eastAsia="Times New Roman" w:hAnsi="Times New Roman"/>
          <w:sz w:val="12"/>
          <w:szCs w:val="12"/>
          <w:color w:val="auto"/>
        </w:rPr>
        <w:t xml:space="preserve"> Genmab shares commercial responsibilities for epcoritamab, marketed as EPKINLY, with AbbVie in the US and Japan, while AbbVie is responsible for global commercialization outside of the US and Japan. We are the principal for net sales of EPKINLY in the US and Japan and therefore record such sales as net product sales. In the US and Japan, we share with AbbVie 50% of such sales and related cost of product sales and these amounts are classified as cost of product sales. We and AbbVie are each responsible for 50% of the aggregate research and development and sales and marketing costs of EPKINLY in the US and Japan, and we classify our share of such costs in research and development and selling, general and administrative expenses, respectively. We are entitled to tiered royalties between 22% and 26% on net sales for epcoritamab outside the US and Japan, subject to certain royalty reductions.</w:t>
      </w:r>
    </w:p>
    <w:p>
      <w:pPr>
        <w:spacing w:after="0" w:line="2" w:lineRule="exact"/>
        <w:rPr>
          <w:sz w:val="20"/>
          <w:szCs w:val="20"/>
          <w:color w:val="auto"/>
        </w:rPr>
      </w:pPr>
    </w:p>
    <w:p>
      <w:pPr>
        <w:ind w:left="620" w:right="2940"/>
        <w:spacing w:after="0" w:line="209" w:lineRule="auto"/>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2"/>
          <w:szCs w:val="12"/>
          <w:i w:val="1"/>
          <w:iCs w:val="1"/>
          <w:color w:val="auto"/>
        </w:rPr>
        <w:t>Tivdak collaboration with Pfizer.</w:t>
      </w:r>
      <w:r>
        <w:rPr>
          <w:rFonts w:ascii="Arial" w:cs="Arial" w:eastAsia="Arial" w:hAnsi="Arial"/>
          <w:sz w:val="14"/>
          <w:szCs w:val="14"/>
          <w:color w:val="auto"/>
        </w:rPr>
        <w:t xml:space="preserve"> </w:t>
      </w:r>
      <w:r>
        <w:rPr>
          <w:rFonts w:ascii="Times New Roman" w:cs="Times New Roman" w:eastAsia="Times New Roman" w:hAnsi="Times New Roman"/>
          <w:sz w:val="12"/>
          <w:szCs w:val="12"/>
          <w:color w:val="auto"/>
        </w:rPr>
        <w:t>Tisotumab vedotin, marketed as Tivdak, is being co-developed by Genmab</w:t>
      </w:r>
      <w:r>
        <w:rPr>
          <w:rFonts w:ascii="Arial" w:cs="Arial" w:eastAsia="Arial" w:hAnsi="Arial"/>
          <w:sz w:val="14"/>
          <w:szCs w:val="14"/>
          <w:color w:val="auto"/>
        </w:rPr>
        <w:t xml:space="preserve"> </w:t>
      </w:r>
      <w:r>
        <w:rPr>
          <w:rFonts w:ascii="Times New Roman" w:cs="Times New Roman" w:eastAsia="Times New Roman" w:hAnsi="Times New Roman"/>
          <w:sz w:val="12"/>
          <w:szCs w:val="12"/>
          <w:color w:val="auto"/>
        </w:rPr>
        <w:t>and Pfizer. Under a joint commercialization agreement, Genmab is co-promoting Tivdak in the US and is leading commercial operational activities in Japan, Europe and all other regions globally, excluding the US and China. Pfizer is leading commercial operational activities in the US and will lead commercial operational activities in China once approved in connection with the sublicense of its rights to develop and commercialize tisotumab vedotin in China to Zai Lab. Genmab will record sales for Europe, Japan and rest of world markets (excluding the US and China), and will provide royalties in the low teens to Pfizer on net sales.</w:t>
      </w:r>
    </w:p>
    <w:p>
      <w:pPr>
        <w:spacing w:after="0" w:line="4" w:lineRule="exact"/>
        <w:rPr>
          <w:sz w:val="20"/>
          <w:szCs w:val="20"/>
          <w:color w:val="auto"/>
        </w:rPr>
      </w:pPr>
    </w:p>
    <w:p>
      <w:pPr>
        <w:ind w:left="620" w:right="2620"/>
        <w:spacing w:after="0" w:line="215" w:lineRule="auto"/>
        <w:rPr>
          <w:sz w:val="20"/>
          <w:szCs w:val="20"/>
          <w:color w:val="auto"/>
        </w:rPr>
      </w:pPr>
      <w:r>
        <w:rPr>
          <w:rFonts w:ascii="Times New Roman" w:cs="Times New Roman" w:eastAsia="Times New Roman" w:hAnsi="Times New Roman"/>
          <w:sz w:val="12"/>
          <w:szCs w:val="12"/>
          <w:color w:val="auto"/>
        </w:rPr>
        <w:t>We are funding our operating requirements, including our research and development expenses and our planned commercialization activities, primarily through operating cash flow (including royalties and milestones from our collaboration partners). We may also use additional debt financing, proceeds from equity financing or other forms of financing to finance acquisitions or other forms of growth.</w:t>
      </w:r>
    </w:p>
    <w:p>
      <w:pPr>
        <w:ind w:left="620"/>
        <w:spacing w:after="0" w:line="215" w:lineRule="auto"/>
        <w:rPr>
          <w:sz w:val="20"/>
          <w:szCs w:val="20"/>
          <w:color w:val="auto"/>
        </w:rPr>
      </w:pPr>
      <w:r>
        <w:rPr>
          <w:rFonts w:ascii="Times New Roman" w:cs="Times New Roman" w:eastAsia="Times New Roman" w:hAnsi="Times New Roman"/>
          <w:sz w:val="12"/>
          <w:szCs w:val="12"/>
          <w:color w:val="auto"/>
        </w:rPr>
        <w:t>For a description of certain of our product and technology collaborations including relevant royalty tiers, milestones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 xml:space="preserve">and expense sharing provisions, please refer to </w:t>
      </w:r>
      <w:r>
        <w:rPr>
          <w:rFonts w:ascii="Times New Roman" w:cs="Times New Roman" w:eastAsia="Times New Roman" w:hAnsi="Times New Roman"/>
          <w:sz w:val="12"/>
          <w:szCs w:val="12"/>
          <w:i w:val="1"/>
          <w:iCs w:val="1"/>
          <w:color w:val="auto"/>
        </w:rPr>
        <w:t>“Item 4.B—Business Overview—Product and Technology Collaborations”</w:t>
      </w:r>
      <w:r>
        <w:rPr>
          <w:rFonts w:ascii="Times New Roman" w:cs="Times New Roman" w:eastAsia="Times New Roman" w:hAnsi="Times New Roman"/>
          <w:sz w:val="12"/>
          <w:szCs w:val="12"/>
          <w:color w:val="auto"/>
        </w:rPr>
        <w:t>.</w:t>
      </w:r>
    </w:p>
    <w:p>
      <w:pPr>
        <w:sectPr>
          <w:pgSz w:w="11900" w:h="16840" w:orient="portrait"/>
          <w:cols w:equalWidth="0" w:num="1">
            <w:col w:w="9020"/>
          </w:cols>
          <w:pgMar w:left="1440" w:top="636" w:right="1440"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Acquisition of Merus</w:t>
      </w:r>
    </w:p>
    <w:p>
      <w:pPr>
        <w:ind w:left="620" w:right="2500"/>
        <w:spacing w:after="0" w:line="215" w:lineRule="auto"/>
        <w:rPr>
          <w:sz w:val="20"/>
          <w:szCs w:val="20"/>
          <w:color w:val="auto"/>
        </w:rPr>
      </w:pPr>
      <w:r>
        <w:rPr>
          <w:rFonts w:ascii="Times New Roman" w:cs="Times New Roman" w:eastAsia="Times New Roman" w:hAnsi="Times New Roman"/>
          <w:sz w:val="12"/>
          <w:szCs w:val="12"/>
          <w:color w:val="auto"/>
        </w:rPr>
        <w:t>On December 12, 2025, we completed the Acquisition of Merus, resulting in Merus becoming a wholly owned subsidiary of Genmab. It provided us with worldwide rights outside of the US to Merus' approved product, BIZENGRI (zenocutuzumab-zbco), and its lead product candidate, petosemtamab. In addition, we acquired Merus' Biclonics and Triclonics technology platforms. Petosemtamab is an investigational antibody- dependent cell-mediated cytotoxicity (ADC)-enhanced Biclonics® for the potential treatment of solid tumors that is designed to bind to cancer stem cells expressing EGFR and LGR5.</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We intend to continue the clinical development of petosemtamab in the LiGeR-HN1 Phase III clinical trial for the treatment of 1L PD-L1+ r/m HNSCC with pembrolizumab; the LiGeR- HN2 Phase III clinical trial for the treatment of 2/3L r/m HNSCC and the ongoing Phase I/II clinical trial in mCRC. We also intend to commence a Phase III clinical trial of petosemtamab in locally advanced HNSCC.</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 FDA granted petosemtamab BTD in combination with pembrolizumab for the first-line treatment of adult patients with r/m PD-L1 positive HNSCC with CPS ≥ 1 in February 2025, and for the treatment of patients with r/m HNSCC whose disease has progressed following treatment with platinum based chemotherapy and an anti -PD-1 or anti-PD-L1 antibody. This designation followed receipt of FTD for petosemtamab for the treatment of patients with r/m HNSCC whose disease has progressed following treatment with platinum-based chemotherapy and an anti-programmed cell death protein 1 antibody announced in August 2023.</w:t>
      </w:r>
    </w:p>
    <w:p>
      <w:pPr>
        <w:ind w:left="620"/>
        <w:spacing w:after="0" w:line="216" w:lineRule="auto"/>
        <w:rPr>
          <w:sz w:val="20"/>
          <w:szCs w:val="20"/>
          <w:color w:val="auto"/>
        </w:rPr>
      </w:pPr>
      <w:r>
        <w:rPr>
          <w:rFonts w:ascii="Times New Roman" w:cs="Times New Roman" w:eastAsia="Times New Roman" w:hAnsi="Times New Roman"/>
          <w:sz w:val="12"/>
          <w:szCs w:val="12"/>
          <w:color w:val="auto"/>
        </w:rPr>
        <w:t>See Note 5.5 in our Audited Financial Statements for additional details regarding our acquisition of Merus.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Key Components of Our Results and Related Trends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Impact of the Acquisition of Merus</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We expect that the acquisition of Merus will increase our research and development expenses as well as our selling, general and administrative expenses in the short to medium term as compared to our own recent historical level. We expect an increase in these expenses primarily as a result of our planned development and commercialization activities for petosemtamab. We intend to expand Merus' current development plan for petosemtamab in additional HNSCC settings and other potential tumor types. Such expanded development will involve increased research and development and selling, general and administrative expenses as we support related manufacturing, clinical trial activities, and commercialization activities. See “—Liquidity and Capital Resources.”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While we expect to record additional royalty revenues because we acquired zenocutuzumab as a part of the Merus acquisition, we do not expect such revenues to be material. Considering the costs of development of petosemtamab and other Merus product candidates, we expect to maintain positive operating earnings and positive cash flow generation driven by our royalty business and proprietary products.</w:t>
      </w:r>
    </w:p>
    <w:p>
      <w:pPr>
        <w:ind w:left="620"/>
        <w:spacing w:after="0" w:line="215" w:lineRule="auto"/>
        <w:rPr>
          <w:sz w:val="20"/>
          <w:szCs w:val="20"/>
          <w:color w:val="auto"/>
        </w:rPr>
      </w:pPr>
      <w:r>
        <w:rPr>
          <w:rFonts w:ascii="Times New Roman" w:cs="Times New Roman" w:eastAsia="Times New Roman" w:hAnsi="Times New Roman"/>
          <w:sz w:val="12"/>
          <w:szCs w:val="12"/>
          <w:color w:val="auto"/>
        </w:rPr>
        <w:t>In addition, we recorded acquisition-related costs and integration-related charges in the year ending December 31,</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2025 related to the acquisition of Merus. We also expect to record integration-related charges related to the acquisition of Merus in the year ending December 31, 2026. Such integration-related charges may be significant.</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In December 2025, Genmab entered into two senior secured credit facilities, consisting of a a $1 billion Term Loan A Facility and a $2 billion Term Loan B Facility (the loans thereunder, collectively the “Term Loans”), and a $500 million revolving credit facility (together with the Term Loans, the "Loans") . Genmab also issued $ 1.5 billion principal amount of Senior Secured Notes and $1.0 billion principal amount of Senior Unsecured Notes (together, the “Notes”). Genmab incurred indebtedness under the Loans and Notes to contribute to the financing of the acquisition of Merus. The detailed descriptions of the Term Loans and Notes in Note 4.8 to the Audited Financial Statements included in the Annual Report for 2025 are incorporated herein by reference.</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Revenues</w:t>
      </w:r>
    </w:p>
    <w:p>
      <w:pPr>
        <w:ind w:left="620" w:right="2280"/>
        <w:spacing w:after="0" w:line="224" w:lineRule="auto"/>
        <w:rPr>
          <w:sz w:val="20"/>
          <w:szCs w:val="20"/>
          <w:color w:val="auto"/>
        </w:rPr>
      </w:pPr>
      <w:r>
        <w:rPr>
          <w:rFonts w:ascii="Times New Roman" w:cs="Times New Roman" w:eastAsia="Times New Roman" w:hAnsi="Times New Roman"/>
          <w:sz w:val="12"/>
          <w:szCs w:val="12"/>
          <w:color w:val="auto"/>
        </w:rPr>
        <w:t>Our revenues are currently comprised of royalties, net product sales, milestone revenue, reimbursement revenue, collaboration revenue and license fees. Royalty revenue from licenses is based on third-party sales of licensed products. Net product sales represent sales of products when Genmab is determined to be the principal in sales to the end customers. Milestone revenue is typically related to reaching particular stages in product development, regulatory approval or a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level of net sales. Reimbursement revenue is mainly comprised of the reimbursement of certain research and development expenses related to the development work under our collaboration agreements. Collaboration revenue reflects profit sharing arrangements for the sale of commercial products by our collaboration partners. License fees are non- refundable, upfront fees for our intellectual property received from our collaboration partners.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 majority of our revenue is recognized from our collaboration partners under our collaboration agreements. In particular, our ability to generate revenue significantly depends on the success of J&amp;J’s continued ability to effectively maintain and grow sales of DARZALEX for its approved indications, expand its indications, and successfully compete with existing and potential new investigational agents and technologies that are currently being marketed or studied for the same indications as DARZALEX. In addition, the royalties payable by J&amp;J are limited in time. Pursuant to the terms of the agreement, J&amp;J’s obligation to pay royalties to us will expire on a country-by-country basis on the later of the date that is 13 years after the first sale of daratumumab in such country or upon the expiration or invalidation of the last-to-expire relevant Genmab patent covering daratumumab in such country. The first US, European and Japanese sales of daratumumab occurred in 2015, 2016 and 2017, respectively. We have issued patents and pending patent applications covering daratumumab in numerous jurisdictions, including patents issued in the US, Europe and Japan. J&amp;J owns a separate patent portfolio related to the SC formulation of daratumumab used in DARZALEX FASPRO/DARZALEX SC, but a binding arbitration determined that we are not entitled to royalties based on these separate patents. Our issued US, European and Japanese patents covering daratumumab, after giving effect to issued US, European and Japanese PTEs and SPCs, expire in 2029, 2031 and begin to expire in 2030, respectively. Assuming constant underlying sales of DARZALEX, we expect that our royalties from sales of DARZALEX will begin to decline materially in 2029 following expiration of our US patent rights on daratumumab. We have also received, and in the future may from time to time receive, revenues from milestones and other payments relating to our collaborations.</w:t>
      </w:r>
    </w:p>
    <w:p>
      <w:pPr>
        <w:spacing w:after="0" w:line="2" w:lineRule="exact"/>
        <w:rPr>
          <w:sz w:val="20"/>
          <w:szCs w:val="20"/>
          <w:color w:val="auto"/>
        </w:rPr>
      </w:pPr>
    </w:p>
    <w:p>
      <w:pPr>
        <w:ind w:left="620" w:right="2280"/>
        <w:spacing w:after="0"/>
        <w:rPr>
          <w:sz w:val="20"/>
          <w:szCs w:val="20"/>
          <w:color w:val="auto"/>
        </w:rPr>
      </w:pPr>
      <w:r>
        <w:rPr>
          <w:rFonts w:ascii="Times New Roman" w:cs="Times New Roman" w:eastAsia="Times New Roman" w:hAnsi="Times New Roman"/>
          <w:sz w:val="12"/>
          <w:szCs w:val="12"/>
          <w:color w:val="auto"/>
        </w:rPr>
        <w:t>In addition to revenue recognized from our collaboration partners, we also record revenue for sales of our proprietary commercial products. Epcoritamab was approved by the FDA and Japan MHLW in May 2023 and September 2023, respectively, and is marketed in the US and Japan under the tradename EPKINLY. Our net product sales derive solely from EPKINLY. Tisotumab vedotin was approved by the FDA in September 2021, and is currently marketed in the US as Tivdak. Pfizer records net product sales in the US and shares 50% of the profit of such sales with us, and we record this profit share as collaboration revenue. Our ability to generate revenue from our proprietary commercial products, including EPKINLY and Tivdak, depends on the commercial potential of such products as well as our ability to successfully commercialize them.</w:t>
      </w:r>
    </w:p>
    <w:p>
      <w:pPr>
        <w:sectPr>
          <w:pgSz w:w="11900" w:h="16840" w:orient="portrait"/>
          <w:cols w:equalWidth="0" w:num="1">
            <w:col w:w="9020"/>
          </w:cols>
          <w:pgMar w:left="1440" w:top="1440" w:right="1440" w:bottom="69" w:gutter="0" w:footer="0" w:header="0"/>
        </w:sectPr>
      </w:pPr>
    </w:p>
    <w:bookmarkStart w:id="50" w:name="page51"/>
    <w:bookmarkEnd w:id="50"/>
    <w:p>
      <w:pPr>
        <w:ind w:left="620" w:right="2340"/>
        <w:spacing w:after="0" w:line="221" w:lineRule="auto"/>
        <w:rPr>
          <w:sz w:val="20"/>
          <w:szCs w:val="20"/>
          <w:color w:val="auto"/>
        </w:rPr>
      </w:pPr>
      <w:r>
        <w:rPr>
          <w:rFonts w:ascii="Times New Roman" w:cs="Times New Roman" w:eastAsia="Times New Roman" w:hAnsi="Times New Roman"/>
          <w:sz w:val="12"/>
          <w:szCs w:val="12"/>
          <w:color w:val="auto"/>
        </w:rPr>
        <w:t>Our ability to generate revenue from our proprietary and partnered product candidates depends on our and our collaboration partners’ ability to successfully complete clinical trials for our product candidates and receive regulatory approvals, which could impact the commercial potential of such products and our potential to receive milestone payments, royalties, net sales and other revenues for these products in the future.</w:t>
      </w:r>
    </w:p>
    <w:p>
      <w:pPr>
        <w:spacing w:after="0" w:line="1" w:lineRule="exact"/>
        <w:rPr>
          <w:sz w:val="20"/>
          <w:szCs w:val="20"/>
          <w:color w:val="auto"/>
        </w:rPr>
      </w:pPr>
    </w:p>
    <w:p>
      <w:pPr>
        <w:ind w:left="620" w:right="2620"/>
        <w:spacing w:after="0" w:line="215" w:lineRule="auto"/>
        <w:rPr>
          <w:sz w:val="20"/>
          <w:szCs w:val="20"/>
          <w:color w:val="auto"/>
        </w:rPr>
      </w:pPr>
      <w:r>
        <w:rPr>
          <w:rFonts w:ascii="Times New Roman" w:cs="Times New Roman" w:eastAsia="Times New Roman" w:hAnsi="Times New Roman"/>
          <w:sz w:val="12"/>
          <w:szCs w:val="12"/>
          <w:color w:val="auto"/>
        </w:rPr>
        <w:t>Our reported revenue is affected by the translation of royalties and other revenues denominated in foreign currencies into US dollars.</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For more information on our revenues, including for the breakdown of our revenues by type, collaboration partner and product, see Note 2.1 of our Audited Financial Statements included in this Annual Report.</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Cost of Product Sales</w:t>
      </w:r>
    </w:p>
    <w:p>
      <w:pPr>
        <w:ind w:left="620" w:right="2440"/>
        <w:spacing w:after="0" w:line="215" w:lineRule="auto"/>
        <w:rPr>
          <w:sz w:val="20"/>
          <w:szCs w:val="20"/>
          <w:color w:val="auto"/>
        </w:rPr>
      </w:pPr>
      <w:r>
        <w:rPr>
          <w:rFonts w:ascii="Times New Roman" w:cs="Times New Roman" w:eastAsia="Times New Roman" w:hAnsi="Times New Roman"/>
          <w:sz w:val="12"/>
          <w:szCs w:val="12"/>
          <w:color w:val="auto"/>
        </w:rPr>
        <w:t>Cost of product sales includes direct and indirect costs relating to the manufacturing of inventory mainly from third-party providers of manufacturing as well as costs related to internal resources and distribution and logistics. Inventory amounts written down as a result of excess or obsolescence are charged to cost of product sales. Also included in cost of product sales are royalty payments on commercialized products.</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Additionally, cost of product sales includes profit- sharing amounts owed to collaboration partners for the sale of commercial products when Genmab is determined to be the principal in sales to end customers. The only profit- sharing amounts owed to collaboration partners that are recorded as cost of product sales relate to sales of EPKINLY in the US and Japan pursuant to the Collaboration Agreement with AbbVie.</w:t>
      </w:r>
    </w:p>
    <w:p>
      <w:pPr>
        <w:ind w:left="620"/>
        <w:spacing w:after="0"/>
        <w:rPr>
          <w:sz w:val="20"/>
          <w:szCs w:val="20"/>
          <w:color w:val="auto"/>
        </w:rPr>
      </w:pPr>
      <w:r>
        <w:rPr>
          <w:rFonts w:ascii="Times New Roman" w:cs="Times New Roman" w:eastAsia="Times New Roman" w:hAnsi="Times New Roman"/>
          <w:sz w:val="12"/>
          <w:szCs w:val="12"/>
          <w:color w:val="auto"/>
        </w:rPr>
        <w:t>Aside from these items, there are no other costs included within cost of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79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ind w:left="620" w:right="2300"/>
        <w:spacing w:after="0" w:line="234" w:lineRule="auto"/>
        <w:rPr>
          <w:sz w:val="20"/>
          <w:szCs w:val="20"/>
          <w:color w:val="auto"/>
        </w:rPr>
      </w:pPr>
      <w:r>
        <w:rPr>
          <w:rFonts w:ascii="Times New Roman" w:cs="Times New Roman" w:eastAsia="Times New Roman" w:hAnsi="Times New Roman"/>
          <w:sz w:val="12"/>
          <w:szCs w:val="12"/>
          <w:color w:val="auto"/>
        </w:rPr>
        <w:t>We are currently advancing our proprietary product candidates through clinical development and are conducting preclinical trials with respect to other programs. Developing product candidates is expensive, time-intensive and risky, and we expect our research and development expenses to increase over the next few years, particularly as we seek to advance our proprietary product candidates toward commercialization. Our research and development expenses include internal costs relating to our research and development departments, as well as external costs relating to trials performed by external suppliers and collaboration partners. Internal research and development expenses consist primarily of salaries and benefits for our research and development staff and related expenses, including expenses related to cash bonuses, warrant and restricted stock unit (“</w:t>
      </w:r>
      <w:r>
        <w:rPr>
          <w:rFonts w:ascii="Times New Roman" w:cs="Times New Roman" w:eastAsia="Times New Roman" w:hAnsi="Times New Roman"/>
          <w:sz w:val="12"/>
          <w:szCs w:val="12"/>
          <w:b w:val="1"/>
          <w:bCs w:val="1"/>
          <w:color w:val="auto"/>
        </w:rPr>
        <w:t>RSU</w:t>
      </w:r>
      <w:r>
        <w:rPr>
          <w:rFonts w:ascii="Times New Roman" w:cs="Times New Roman" w:eastAsia="Times New Roman" w:hAnsi="Times New Roman"/>
          <w:sz w:val="12"/>
          <w:szCs w:val="12"/>
          <w:color w:val="auto"/>
        </w:rPr>
        <w:t>”) programs as applicable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depreciation and impairment of property and capital assets used to develop our product candidates.</w:t>
      </w:r>
    </w:p>
    <w:p>
      <w:pPr>
        <w:spacing w:after="0" w:line="5"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 xml:space="preserve">Major components of the external costs are fees and other costs paid to CROs in conjunction with preclinical trials and the performance of clinical trials, milestone payments for in- licensed technology, as well as fees paid to CMOs in conjunction with the production of clinical compounds, drug substances and drugs. This includes (i) antibody clinical material for use in clinical trials and (ii) preparation for production of process validation batches for potential future regulatory submissions and related activities. These costs are expensed as incurred, because they do not qualify to be capitalized as inventory under IFRS Accounting Standards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 We expect to incur higher research and development expenses in future periods, including increasing costs for clinical trials and manufacturing as our proprietary product candidates advance in clinical development and we increase the number of product candidates under active clinical development. Our research and development expenses may vary substantially from period to period based on the timing of our research and development activities, including timing due to regulatory approvals and enrollment of patients in clinical trials. See </w:t>
      </w:r>
      <w:r>
        <w:rPr>
          <w:rFonts w:ascii="Times New Roman" w:cs="Times New Roman" w:eastAsia="Times New Roman" w:hAnsi="Times New Roman"/>
          <w:sz w:val="12"/>
          <w:szCs w:val="12"/>
          <w:i w:val="1"/>
          <w:iCs w:val="1"/>
          <w:color w:val="auto"/>
        </w:rPr>
        <w:t>‘‘Item 5.B—Liquidity and Capital Resources’’</w:t>
      </w:r>
      <w:r>
        <w:rPr>
          <w:rFonts w:ascii="Times New Roman" w:cs="Times New Roman" w:eastAsia="Times New Roman" w:hAnsi="Times New Roman"/>
          <w:sz w:val="12"/>
          <w:szCs w:val="12"/>
          <w:color w:val="auto"/>
        </w:rPr>
        <w:t xml:space="preserve"> below.</w:t>
      </w:r>
    </w:p>
    <w:p>
      <w:pPr>
        <w:ind w:left="620"/>
        <w:spacing w:after="0" w:line="217" w:lineRule="auto"/>
        <w:rPr>
          <w:sz w:val="20"/>
          <w:szCs w:val="20"/>
          <w:color w:val="auto"/>
        </w:rPr>
      </w:pPr>
      <w:r>
        <w:rPr>
          <w:rFonts w:ascii="Times New Roman" w:cs="Times New Roman" w:eastAsia="Times New Roman" w:hAnsi="Times New Roman"/>
          <w:sz w:val="12"/>
          <w:szCs w:val="12"/>
          <w:b w:val="1"/>
          <w:bCs w:val="1"/>
          <w:i w:val="1"/>
          <w:iCs w:val="1"/>
          <w:color w:val="auto"/>
        </w:rPr>
        <w:t>Selling, General and Administrative Expenses</w:t>
      </w:r>
    </w:p>
    <w:p>
      <w:pPr>
        <w:spacing w:after="0" w:line="1" w:lineRule="exact"/>
        <w:rPr>
          <w:sz w:val="20"/>
          <w:szCs w:val="20"/>
          <w:color w:val="auto"/>
        </w:rPr>
      </w:pPr>
    </w:p>
    <w:p>
      <w:pPr>
        <w:ind w:left="620" w:right="2420"/>
        <w:spacing w:after="0" w:line="223" w:lineRule="auto"/>
        <w:rPr>
          <w:sz w:val="20"/>
          <w:szCs w:val="20"/>
          <w:color w:val="auto"/>
        </w:rPr>
      </w:pPr>
      <w:r>
        <w:rPr>
          <w:rFonts w:ascii="Times New Roman" w:cs="Times New Roman" w:eastAsia="Times New Roman" w:hAnsi="Times New Roman"/>
          <w:sz w:val="12"/>
          <w:szCs w:val="12"/>
          <w:color w:val="auto"/>
        </w:rPr>
        <w:t>Our selling, general and administrative expenses consist primarily of wages and salaries for personnel other than research and development staff. Also included are expenses related to pre -launch commercialization activities, depreciation, amortization and impairment of property and equipment, to the extent such expenses are related to the administrative functions, and co-promotion expenses related to commercial sales of Tivdak in the US in accordance with our Joint Commercialization Agreement with Pfizer. Lastly, selling, general and administrative expenses include</w:t>
      </w:r>
    </w:p>
    <w:p>
      <w:pPr>
        <w:ind w:left="620"/>
        <w:spacing w:after="0"/>
        <w:rPr>
          <w:sz w:val="20"/>
          <w:szCs w:val="20"/>
          <w:color w:val="auto"/>
        </w:rPr>
      </w:pPr>
      <w:r>
        <w:rPr>
          <w:rFonts w:ascii="Times New Roman" w:cs="Times New Roman" w:eastAsia="Times New Roman" w:hAnsi="Times New Roman"/>
          <w:sz w:val="12"/>
          <w:szCs w:val="12"/>
          <w:color w:val="auto"/>
        </w:rPr>
        <w:t>our 50% share of the aggregate costs incurred by us and AbbVie in relation to sales and commercialization of EPKINLY in</w:t>
      </w:r>
    </w:p>
    <w:p>
      <w:pPr>
        <w:spacing w:after="0" w:line="1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the US and Japan. We expect our selling, general and administrative expenses to increase over the next few years as we continue to expand our commercialization capabilities in a number of jurisdictions. Such expenses may also increase over time as a result of inflation and other factors.</w:t>
      </w:r>
    </w:p>
    <w:p>
      <w:pPr>
        <w:ind w:left="620" w:right="2500"/>
        <w:spacing w:after="0" w:line="215" w:lineRule="auto"/>
        <w:rPr>
          <w:sz w:val="20"/>
          <w:szCs w:val="20"/>
          <w:color w:val="auto"/>
        </w:rPr>
      </w:pPr>
      <w:r>
        <w:rPr>
          <w:rFonts w:ascii="Times New Roman" w:cs="Times New Roman" w:eastAsia="Times New Roman" w:hAnsi="Times New Roman"/>
          <w:sz w:val="12"/>
          <w:szCs w:val="12"/>
          <w:color w:val="auto"/>
        </w:rPr>
        <w:t xml:space="preserve">Overhead expenses are allocated to research and development expenses or selling, general and administrative expenses based on the number of employees and their relevant functions. The Dutch Research and Development Act (“ </w:t>
      </w:r>
      <w:r>
        <w:rPr>
          <w:rFonts w:ascii="Times New Roman" w:cs="Times New Roman" w:eastAsia="Times New Roman" w:hAnsi="Times New Roman"/>
          <w:sz w:val="12"/>
          <w:szCs w:val="12"/>
          <w:b w:val="1"/>
          <w:bCs w:val="1"/>
          <w:color w:val="auto"/>
        </w:rPr>
        <w:t>WBSO</w:t>
      </w:r>
      <w:r>
        <w:rPr>
          <w:rFonts w:ascii="Times New Roman" w:cs="Times New Roman" w:eastAsia="Times New Roman" w:hAnsi="Times New Roman"/>
          <w:sz w:val="12"/>
          <w:szCs w:val="12"/>
          <w:color w:val="auto"/>
        </w:rPr>
        <w:t>”) provides compensation for a part of research and development wages and other costs at our Utrecht facility through a reduction in payroll taxes in the Netherlands. WBSO grant amounts are offset against wages and salaries included in research and development expenses.</w:t>
      </w:r>
    </w:p>
    <w:p>
      <w:pPr>
        <w:spacing w:after="0" w:line="1" w:lineRule="exact"/>
        <w:rPr>
          <w:sz w:val="20"/>
          <w:szCs w:val="20"/>
          <w:color w:val="auto"/>
        </w:rPr>
      </w:pPr>
    </w:p>
    <w:p>
      <w:pPr>
        <w:ind w:left="620" w:right="2320"/>
        <w:spacing w:after="0" w:line="220" w:lineRule="auto"/>
        <w:rPr>
          <w:sz w:val="20"/>
          <w:szCs w:val="20"/>
          <w:color w:val="auto"/>
        </w:rPr>
      </w:pPr>
      <w:r>
        <w:rPr>
          <w:rFonts w:ascii="Times New Roman" w:cs="Times New Roman" w:eastAsia="Times New Roman" w:hAnsi="Times New Roman"/>
          <w:sz w:val="12"/>
          <w:szCs w:val="12"/>
          <w:color w:val="auto"/>
        </w:rPr>
        <w:t>Our ongoing research and development and, increasingly, commercialization activities will require substantial amounts of capital and may not ultimately be successful. Over the next several years, we expect that we will continue to incur substantial expenses, primarily as a result of activities related to the continued development of our proprietary pipeline and developing our commercial capabilities. Our proprietary product candidates will require significant further development, financial resources and personnel to pursue and obtain regulatory approval and develop them into commercially viable products, if they are approved and commercialized at all. Our commitment of resources to the research and continued development of our product candidates and expansion of our proprietary pipeline will likely result in our operating expenses increasing and/or fluctuating as a result of such activities in future periods. We may also incur significant</w:t>
      </w:r>
    </w:p>
    <w:p>
      <w:pPr>
        <w:sectPr>
          <w:pgSz w:w="11900" w:h="16840" w:orient="portrait"/>
          <w:cols w:equalWidth="0" w:num="1">
            <w:col w:w="9020"/>
          </w:cols>
          <w:pgMar w:left="1440" w:top="559" w:right="1440" w:bottom="1440" w:gutter="0" w:footer="0" w:header="0"/>
        </w:sectPr>
      </w:pPr>
    </w:p>
    <w:bookmarkStart w:id="51" w:name="page52"/>
    <w:bookmarkEnd w:id="51"/>
    <w:p>
      <w:pPr>
        <w:ind w:left="620"/>
        <w:spacing w:after="0"/>
        <w:rPr>
          <w:sz w:val="20"/>
          <w:szCs w:val="20"/>
          <w:color w:val="auto"/>
        </w:rPr>
      </w:pPr>
      <w:r>
        <w:rPr>
          <w:rFonts w:ascii="Times New Roman" w:cs="Times New Roman" w:eastAsia="Times New Roman" w:hAnsi="Times New Roman"/>
          <w:sz w:val="12"/>
          <w:szCs w:val="12"/>
          <w:color w:val="auto"/>
        </w:rPr>
        <w:t>80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milestone payment obligations to certain of our licensors as our product candidates progress through clinical trials towards potential commercialization.</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Acquisition and Integration Related Charges</w:t>
      </w:r>
    </w:p>
    <w:p>
      <w:pPr>
        <w:ind w:left="620" w:right="2560"/>
        <w:spacing w:after="0" w:line="215" w:lineRule="auto"/>
        <w:rPr>
          <w:sz w:val="20"/>
          <w:szCs w:val="20"/>
          <w:color w:val="auto"/>
        </w:rPr>
      </w:pPr>
      <w:r>
        <w:rPr>
          <w:rFonts w:ascii="Times New Roman" w:cs="Times New Roman" w:eastAsia="Times New Roman" w:hAnsi="Times New Roman"/>
          <w:sz w:val="12"/>
          <w:szCs w:val="12"/>
          <w:color w:val="auto"/>
        </w:rPr>
        <w:t>In the year ended December 31, 2025, acquisition related charges comprise payments to holders of outstanding Merus equity awards related to post -combination services. The remaining expenses are integration related charges, which comprise professional fees incurred to assist with the integration of Merus into our operations post- acquisition. See Note 5.5 in our Audited Financial Statements for additional details regarding our acquisition of Merus.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Results of Operations</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i w:val="1"/>
          <w:iCs w:val="1"/>
          <w:color w:val="auto"/>
        </w:rPr>
        <w:t xml:space="preserve">Financial Results for the Year Ended December 31, </w:t>
      </w:r>
      <w:r>
        <w:rPr>
          <w:rFonts w:ascii="Times New Roman" w:cs="Times New Roman" w:eastAsia="Times New Roman" w:hAnsi="Times New Roman"/>
          <w:sz w:val="12"/>
          <w:szCs w:val="12"/>
          <w:color w:val="auto"/>
        </w:rPr>
        <w:t>2025</w:t>
      </w:r>
      <w:r>
        <w:rPr>
          <w:rFonts w:ascii="Times New Roman" w:cs="Times New Roman" w:eastAsia="Times New Roman" w:hAnsi="Times New Roman"/>
          <w:sz w:val="12"/>
          <w:szCs w:val="12"/>
          <w:i w:val="1"/>
          <w:iCs w:val="1"/>
          <w:color w:val="auto"/>
        </w:rPr>
        <w:t xml:space="preserve"> Compared to the Year Ended December 31, </w:t>
      </w:r>
      <w:r>
        <w:rPr>
          <w:rFonts w:ascii="Times New Roman" w:cs="Times New Roman" w:eastAsia="Times New Roman" w:hAnsi="Times New Roman"/>
          <w:sz w:val="12"/>
          <w:szCs w:val="12"/>
          <w:color w:val="auto"/>
        </w:rPr>
        <w:t>2024</w:t>
      </w:r>
      <w:r>
        <w:rPr>
          <w:rFonts w:ascii="Times New Roman" w:cs="Times New Roman" w:eastAsia="Times New Roman" w:hAnsi="Times New Roman"/>
          <w:sz w:val="12"/>
          <w:szCs w:val="12"/>
          <w:i w:val="1"/>
          <w:iCs w:val="1"/>
          <w:color w:val="auto"/>
        </w:rPr>
        <w:t xml:space="preserve"> and Financial Results for the Year Ended December 31, </w:t>
      </w:r>
      <w:r>
        <w:rPr>
          <w:rFonts w:ascii="Times New Roman" w:cs="Times New Roman" w:eastAsia="Times New Roman" w:hAnsi="Times New Roman"/>
          <w:sz w:val="12"/>
          <w:szCs w:val="12"/>
          <w:color w:val="auto"/>
        </w:rPr>
        <w:t>2024</w:t>
      </w:r>
      <w:r>
        <w:rPr>
          <w:rFonts w:ascii="Times New Roman" w:cs="Times New Roman" w:eastAsia="Times New Roman" w:hAnsi="Times New Roman"/>
          <w:sz w:val="12"/>
          <w:szCs w:val="12"/>
          <w:i w:val="1"/>
          <w:iCs w:val="1"/>
          <w:color w:val="auto"/>
        </w:rPr>
        <w:t xml:space="preserve"> Compared to the Year Ended December 31, </w:t>
      </w:r>
      <w:r>
        <w:rPr>
          <w:rFonts w:ascii="Times New Roman" w:cs="Times New Roman" w:eastAsia="Times New Roman" w:hAnsi="Times New Roman"/>
          <w:sz w:val="12"/>
          <w:szCs w:val="12"/>
          <w:color w:val="auto"/>
        </w:rPr>
        <w:t>2023</w:t>
      </w: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The information on pages 38-46 in our Annual Report 2025 under the heading “Financial Review” is incorporated herein by reference.</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Significant Accounting Policies</w:t>
      </w:r>
    </w:p>
    <w:p>
      <w:pPr>
        <w:ind w:left="620" w:right="2600"/>
        <w:spacing w:after="0" w:line="215" w:lineRule="auto"/>
        <w:rPr>
          <w:sz w:val="20"/>
          <w:szCs w:val="20"/>
          <w:color w:val="auto"/>
        </w:rPr>
      </w:pPr>
      <w:r>
        <w:rPr>
          <w:rFonts w:ascii="Times New Roman" w:cs="Times New Roman" w:eastAsia="Times New Roman" w:hAnsi="Times New Roman"/>
          <w:sz w:val="12"/>
          <w:szCs w:val="12"/>
          <w:color w:val="auto"/>
        </w:rPr>
        <w:t>The information in Note 1.1 to our Audited Financial Statements included in our Annual Report 2025 is incorporated herein by reference.</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Implementation of New and Revised Standards and Interpretations</w:t>
      </w:r>
    </w:p>
    <w:p>
      <w:pPr>
        <w:ind w:left="620" w:right="2600"/>
        <w:spacing w:after="0" w:line="215" w:lineRule="auto"/>
        <w:rPr>
          <w:sz w:val="20"/>
          <w:szCs w:val="20"/>
          <w:color w:val="auto"/>
        </w:rPr>
      </w:pPr>
      <w:r>
        <w:rPr>
          <w:rFonts w:ascii="Times New Roman" w:cs="Times New Roman" w:eastAsia="Times New Roman" w:hAnsi="Times New Roman"/>
          <w:sz w:val="12"/>
          <w:szCs w:val="12"/>
          <w:color w:val="auto"/>
        </w:rPr>
        <w:t>The information in Note 1.2 to our Audited Financial Statements included in our Annual Report 2025 is incorporated herein by reference.</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Standards and Interpretations Not Yet in Effect</w:t>
      </w:r>
    </w:p>
    <w:p>
      <w:pPr>
        <w:ind w:left="620" w:right="2600"/>
        <w:spacing w:after="0" w:line="215" w:lineRule="auto"/>
        <w:rPr>
          <w:sz w:val="20"/>
          <w:szCs w:val="20"/>
          <w:color w:val="auto"/>
        </w:rPr>
      </w:pPr>
      <w:r>
        <w:rPr>
          <w:rFonts w:ascii="Times New Roman" w:cs="Times New Roman" w:eastAsia="Times New Roman" w:hAnsi="Times New Roman"/>
          <w:sz w:val="12"/>
          <w:szCs w:val="12"/>
          <w:color w:val="auto"/>
        </w:rPr>
        <w:t>The information in Note 1.2 to our Audited Financial Statements included in our Annual Report 2025 is incorporated herein by reference.</w:t>
      </w:r>
    </w:p>
    <w:p>
      <w:pPr>
        <w:ind w:left="860" w:hanging="236"/>
        <w:spacing w:after="0" w:line="215" w:lineRule="auto"/>
        <w:tabs>
          <w:tab w:leader="none" w:pos="860"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Liquidity and Capital Resources</w:t>
      </w:r>
    </w:p>
    <w:p>
      <w:pPr>
        <w:ind w:left="620" w:right="2660"/>
        <w:spacing w:after="0" w:line="215" w:lineRule="auto"/>
        <w:rPr>
          <w:sz w:val="20"/>
          <w:szCs w:val="20"/>
          <w:color w:val="auto"/>
        </w:rPr>
      </w:pPr>
      <w:r>
        <w:rPr>
          <w:rFonts w:ascii="Times New Roman" w:cs="Times New Roman" w:eastAsia="Times New Roman" w:hAnsi="Times New Roman"/>
          <w:sz w:val="12"/>
          <w:szCs w:val="12"/>
          <w:color w:val="auto"/>
        </w:rPr>
        <w:t>The information on pages 43-44 in our Annual Report 2025 under the heading “Liquidity and Capital Resources” is incorporated herein by reference.</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 description of our internal and external sources of liquidity, including Genmab’s unsecured three -year revolving credit facility and Genmab's five-year senior secured revolving credit facility, in Notes 4.1 and 4.8 to our Audited Financial Statements included in our Annual Report 2025 is incorporated herein by reference.</w:t>
      </w:r>
    </w:p>
    <w:p>
      <w:pPr>
        <w:ind w:left="620" w:right="2860"/>
        <w:spacing w:after="0" w:line="215" w:lineRule="auto"/>
        <w:rPr>
          <w:sz w:val="20"/>
          <w:szCs w:val="20"/>
          <w:color w:val="auto"/>
        </w:rPr>
      </w:pPr>
      <w:r>
        <w:rPr>
          <w:rFonts w:ascii="Times New Roman" w:cs="Times New Roman" w:eastAsia="Times New Roman" w:hAnsi="Times New Roman"/>
          <w:sz w:val="12"/>
          <w:szCs w:val="12"/>
          <w:color w:val="auto"/>
        </w:rPr>
        <w:t>The description of our lease obligations in Note 3.3 to our Audited Financial Statements included in our Annual Report 2025 is incorporated herein by reference.</w:t>
      </w:r>
    </w:p>
    <w:p>
      <w:pPr>
        <w:ind w:left="620" w:right="2600"/>
        <w:spacing w:after="0" w:line="215" w:lineRule="auto"/>
        <w:rPr>
          <w:sz w:val="20"/>
          <w:szCs w:val="20"/>
          <w:color w:val="auto"/>
        </w:rPr>
      </w:pPr>
      <w:r>
        <w:rPr>
          <w:rFonts w:ascii="Times New Roman" w:cs="Times New Roman" w:eastAsia="Times New Roman" w:hAnsi="Times New Roman"/>
          <w:sz w:val="12"/>
          <w:szCs w:val="12"/>
          <w:color w:val="auto"/>
        </w:rPr>
        <w:t>The description of our financial instruments in Notes 4.2 and 4.3 to our Audited Financial Statements included in our Annual Report 2025 is incorporated herein by reference.</w:t>
      </w: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The description of our contractual obligations related to a number of agreements, primarily related to research and development activities, in Note 5.3 to our Audited Financial Statements included in our Annual Report 2025 is incorporated herein by reference.</w:t>
      </w:r>
    </w:p>
    <w:p>
      <w:pPr>
        <w:ind w:left="620" w:right="2440"/>
        <w:spacing w:after="0" w:line="228" w:lineRule="auto"/>
        <w:rPr>
          <w:sz w:val="20"/>
          <w:szCs w:val="20"/>
          <w:color w:val="auto"/>
        </w:rPr>
      </w:pPr>
      <w:r>
        <w:rPr>
          <w:rFonts w:ascii="Times New Roman" w:cs="Times New Roman" w:eastAsia="Times New Roman" w:hAnsi="Times New Roman"/>
          <w:sz w:val="12"/>
          <w:szCs w:val="12"/>
          <w:color w:val="auto"/>
        </w:rPr>
        <w:t>The description of our contingent commitments under our license and collaboration agreements that may become due for future payments in Note 5.3 to our Audited Financial Statements included in our Annual Report 2025 is incorporated herein by reference. The contingent commitments entail uncertainties regarding the period in which payments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because these obligations are dependent on milestone achievements, most of which are not expected to be incurred within the next five years.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C.  Research and Development, Patents and Licenses, etc.</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“Item 4.B—Business Overview” and “Item 5.A—Operating Results”</w:t>
      </w:r>
      <w:r>
        <w:rPr>
          <w:rFonts w:ascii="Times New Roman" w:cs="Times New Roman" w:eastAsia="Times New Roman" w:hAnsi="Times New Roman"/>
          <w:sz w:val="12"/>
          <w:szCs w:val="12"/>
          <w:color w:val="auto"/>
        </w:rPr>
        <w:t>.</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D.  Trend Information</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“Item 5.A—Operating Results—Key Components of Our Results and Related Trends”</w:t>
      </w:r>
      <w:r>
        <w:rPr>
          <w:rFonts w:ascii="Times New Roman" w:cs="Times New Roman" w:eastAsia="Times New Roman" w:hAnsi="Times New Roman"/>
          <w:sz w:val="12"/>
          <w:szCs w:val="12"/>
          <w:color w:val="auto"/>
        </w:rPr>
        <w:t>.</w:t>
      </w:r>
    </w:p>
    <w:p>
      <w:pPr>
        <w:ind w:left="620" w:right="6640" w:firstLine="4"/>
        <w:spacing w:after="0" w:line="215" w:lineRule="auto"/>
        <w:tabs>
          <w:tab w:leader="none" w:pos="795"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Critical Accounting Estimates </w:t>
      </w:r>
      <w:r>
        <w:rPr>
          <w:rFonts w:ascii="Times New Roman" w:cs="Times New Roman" w:eastAsia="Times New Roman" w:hAnsi="Times New Roman"/>
          <w:sz w:val="12"/>
          <w:szCs w:val="12"/>
          <w:color w:val="auto"/>
        </w:rPr>
        <w:t>Not applicable.</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ITEM 6  DIRECTORS, SENIOR MANAGEMENT AND EMPLOYEES</w:t>
      </w:r>
    </w:p>
    <w:p>
      <w:pPr>
        <w:ind w:left="880" w:hanging="256"/>
        <w:spacing w:after="0" w:line="215" w:lineRule="auto"/>
        <w:tabs>
          <w:tab w:leader="none" w:pos="880"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Directors and Executive Management</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The following table sets forth the name, age and position of each member of our Board of Directors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members as of the date of this Annual Report on Form 20-F. Our Board consists of six members elected by our shareholders at the general meeting (“</w:t>
      </w:r>
      <w:r>
        <w:rPr>
          <w:rFonts w:ascii="Times New Roman" w:cs="Times New Roman" w:eastAsia="Times New Roman" w:hAnsi="Times New Roman"/>
          <w:sz w:val="12"/>
          <w:szCs w:val="12"/>
          <w:b w:val="1"/>
          <w:bCs w:val="1"/>
          <w:color w:val="auto"/>
        </w:rPr>
        <w:t>Shareholder Elected Members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Shareholder Elected Member</w:t>
      </w:r>
      <w:r>
        <w:rPr>
          <w:rFonts w:ascii="Times New Roman" w:cs="Times New Roman" w:eastAsia="Times New Roman" w:hAnsi="Times New Roman"/>
          <w:sz w:val="12"/>
          <w:szCs w:val="12"/>
          <w:color w:val="auto"/>
        </w:rPr>
        <w:t>”), and three members elected by our employees (“</w:t>
      </w:r>
      <w:r>
        <w:rPr>
          <w:rFonts w:ascii="Times New Roman" w:cs="Times New Roman" w:eastAsia="Times New Roman" w:hAnsi="Times New Roman"/>
          <w:sz w:val="12"/>
          <w:szCs w:val="12"/>
          <w:b w:val="1"/>
          <w:bCs w:val="1"/>
          <w:color w:val="auto"/>
        </w:rPr>
        <w:t>Employee Elected Members</w:t>
      </w:r>
      <w:r>
        <w:rPr>
          <w:rFonts w:ascii="Times New Roman" w:cs="Times New Roman" w:eastAsia="Times New Roman" w:hAnsi="Times New Roman"/>
          <w:sz w:val="12"/>
          <w:szCs w:val="12"/>
          <w:color w:val="auto"/>
        </w:rPr>
        <w:t>” and each, an “</w:t>
      </w:r>
      <w:r>
        <w:rPr>
          <w:rFonts w:ascii="Times New Roman" w:cs="Times New Roman" w:eastAsia="Times New Roman" w:hAnsi="Times New Roman"/>
          <w:sz w:val="12"/>
          <w:szCs w:val="12"/>
          <w:b w:val="1"/>
          <w:bCs w:val="1"/>
          <w:color w:val="auto"/>
        </w:rPr>
        <w:t>Employee Elected Member</w:t>
      </w:r>
      <w:r>
        <w:rPr>
          <w:rFonts w:ascii="Times New Roman" w:cs="Times New Roman" w:eastAsia="Times New Roman" w:hAnsi="Times New Roman"/>
          <w:sz w:val="12"/>
          <w:szCs w:val="12"/>
          <w:color w:val="auto"/>
        </w:rPr>
        <w:t>”). Shareholder Elected Members are elected by our shareholders every year and Employee Elected Members are elected by our employees every third year. The terms of office of the Shareholder Elected Members expire in 2026 and Employee Elected Members expire in 2028. All members of the Board, however elected, are eligible for re -election.</w:t>
      </w:r>
    </w:p>
    <w:p>
      <w:pPr>
        <w:spacing w:after="0" w:line="1" w:lineRule="exact"/>
        <w:rPr>
          <w:sz w:val="20"/>
          <w:szCs w:val="20"/>
          <w:color w:val="auto"/>
        </w:rPr>
      </w:pPr>
    </w:p>
    <w:p>
      <w:pPr>
        <w:ind w:left="620" w:right="2560"/>
        <w:spacing w:after="0" w:line="234" w:lineRule="auto"/>
        <w:rPr>
          <w:sz w:val="20"/>
          <w:szCs w:val="20"/>
          <w:color w:val="auto"/>
        </w:rPr>
      </w:pPr>
      <w:r>
        <w:rPr>
          <w:rFonts w:ascii="Times New Roman" w:cs="Times New Roman" w:eastAsia="Times New Roman" w:hAnsi="Times New Roman"/>
          <w:sz w:val="12"/>
          <w:szCs w:val="12"/>
          <w:color w:val="auto"/>
        </w:rPr>
        <w:t>The business address of our directors is our registered office address at c/o Genmab A/S, Carl Jacobsens Vej 30, 2500 Valby, Denmark.</w:t>
      </w:r>
    </w:p>
    <w:p>
      <w:pPr>
        <w:sectPr>
          <w:pgSz w:w="11900" w:h="16840" w:orient="portrait"/>
          <w:cols w:equalWidth="0" w:num="1">
            <w:col w:w="9020"/>
          </w:cols>
          <w:pgMar w:left="1440" w:top="1264" w:right="1440" w:bottom="1440" w:gutter="0" w:footer="0" w:header="0"/>
        </w:sectPr>
      </w:pPr>
    </w:p>
    <w:bookmarkStart w:id="52" w:name="page53"/>
    <w:bookmarkEnd w:id="52"/>
    <w:tbl>
      <w:tblPr>
        <w:tblLayout w:type="fixed"/>
        <w:tblInd w:w="620" w:type="dxa"/>
        <w:tblCellMar>
          <w:top w:w="0" w:type="dxa"/>
          <w:left w:w="0" w:type="dxa"/>
          <w:bottom w:w="0" w:type="dxa"/>
          <w:right w:w="0" w:type="dxa"/>
        </w:tblCellMar>
      </w:tblPr>
      <w:tr>
        <w:trPr>
          <w:trHeight w:val="162"/>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231F20"/>
              </w:rPr>
              <w:t>Name of Board Member</w:t>
            </w:r>
          </w:p>
        </w:tc>
        <w:tc>
          <w:tcPr>
            <w:tcW w:w="92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231F20"/>
              </w:rPr>
              <w:t>Age</w:t>
            </w:r>
          </w:p>
        </w:tc>
        <w:tc>
          <w:tcPr>
            <w:tcW w:w="35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231F20"/>
              </w:rPr>
              <w:t>Position(s)</w:t>
            </w:r>
          </w:p>
        </w:tc>
      </w:tr>
      <w:tr>
        <w:trPr>
          <w:trHeight w:val="31"/>
        </w:trPr>
        <w:tc>
          <w:tcPr>
            <w:tcW w:w="1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161"/>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Deirdre P. Connelly</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231F20"/>
              </w:rPr>
              <w:t>65</w:t>
            </w:r>
          </w:p>
        </w:tc>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231F20"/>
              </w:rPr>
              <w:t>Chair (independent, Shareholder Elected)</w:t>
            </w:r>
          </w:p>
        </w:tc>
      </w:tr>
      <w:tr>
        <w:trPr>
          <w:trHeight w:val="160"/>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Pernille Erenbjerg</w:t>
            </w:r>
          </w:p>
        </w:tc>
        <w:tc>
          <w:tcPr>
            <w:tcW w:w="920" w:type="dxa"/>
            <w:vAlign w:val="bottom"/>
          </w:tcPr>
          <w:p>
            <w:pPr>
              <w:ind w:left="480"/>
              <w:spacing w:after="0"/>
              <w:rPr>
                <w:sz w:val="20"/>
                <w:szCs w:val="20"/>
                <w:color w:val="auto"/>
              </w:rPr>
            </w:pPr>
            <w:r>
              <w:rPr>
                <w:rFonts w:ascii="Times New Roman" w:cs="Times New Roman" w:eastAsia="Times New Roman" w:hAnsi="Times New Roman"/>
                <w:sz w:val="12"/>
                <w:szCs w:val="12"/>
                <w:color w:val="231F20"/>
              </w:rPr>
              <w:t>58</w:t>
            </w:r>
          </w:p>
        </w:tc>
        <w:tc>
          <w:tcPr>
            <w:tcW w:w="3500" w:type="dxa"/>
            <w:vAlign w:val="bottom"/>
          </w:tcPr>
          <w:p>
            <w:pPr>
              <w:ind w:left="240"/>
              <w:spacing w:after="0"/>
              <w:rPr>
                <w:sz w:val="20"/>
                <w:szCs w:val="20"/>
                <w:color w:val="auto"/>
              </w:rPr>
            </w:pPr>
            <w:r>
              <w:rPr>
                <w:rFonts w:ascii="Times New Roman" w:cs="Times New Roman" w:eastAsia="Times New Roman" w:hAnsi="Times New Roman"/>
                <w:sz w:val="12"/>
                <w:szCs w:val="12"/>
                <w:color w:val="231F20"/>
              </w:rPr>
              <w:t>Deputy Chair (independent, Shareholder Elected)</w:t>
            </w:r>
          </w:p>
        </w:tc>
      </w:tr>
      <w:tr>
        <w:trPr>
          <w:trHeight w:val="21"/>
        </w:trPr>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61"/>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Anders Gersel Pedersen</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231F20"/>
              </w:rPr>
              <w:t>74</w:t>
            </w:r>
          </w:p>
        </w:tc>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231F20"/>
              </w:rPr>
              <w:t>Board member (non-independent, Shareholder Elected)</w:t>
            </w:r>
          </w:p>
        </w:tc>
      </w:tr>
      <w:tr>
        <w:trPr>
          <w:trHeight w:val="160"/>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Paolo Paoletti</w:t>
            </w:r>
          </w:p>
        </w:tc>
        <w:tc>
          <w:tcPr>
            <w:tcW w:w="920" w:type="dxa"/>
            <w:vAlign w:val="bottom"/>
          </w:tcPr>
          <w:p>
            <w:pPr>
              <w:ind w:left="480"/>
              <w:spacing w:after="0"/>
              <w:rPr>
                <w:sz w:val="20"/>
                <w:szCs w:val="20"/>
                <w:color w:val="auto"/>
              </w:rPr>
            </w:pPr>
            <w:r>
              <w:rPr>
                <w:rFonts w:ascii="Times New Roman" w:cs="Times New Roman" w:eastAsia="Times New Roman" w:hAnsi="Times New Roman"/>
                <w:sz w:val="12"/>
                <w:szCs w:val="12"/>
                <w:color w:val="231F20"/>
              </w:rPr>
              <w:t>75</w:t>
            </w:r>
          </w:p>
        </w:tc>
        <w:tc>
          <w:tcPr>
            <w:tcW w:w="3500" w:type="dxa"/>
            <w:vAlign w:val="bottom"/>
          </w:tcPr>
          <w:p>
            <w:pPr>
              <w:ind w:left="240"/>
              <w:spacing w:after="0"/>
              <w:rPr>
                <w:sz w:val="20"/>
                <w:szCs w:val="20"/>
                <w:color w:val="auto"/>
              </w:rPr>
            </w:pPr>
            <w:r>
              <w:rPr>
                <w:rFonts w:ascii="Times New Roman" w:cs="Times New Roman" w:eastAsia="Times New Roman" w:hAnsi="Times New Roman"/>
                <w:sz w:val="12"/>
                <w:szCs w:val="12"/>
                <w:color w:val="231F20"/>
              </w:rPr>
              <w:t>Board member (independent, Shareholder Elected)</w:t>
            </w:r>
          </w:p>
        </w:tc>
      </w:tr>
      <w:tr>
        <w:trPr>
          <w:trHeight w:val="21"/>
        </w:trPr>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61"/>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Rolf Hoffmann</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231F20"/>
              </w:rPr>
              <w:t>66</w:t>
            </w:r>
          </w:p>
        </w:tc>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231F20"/>
              </w:rPr>
              <w:t>Board member (independent, Shareholder Elected)</w:t>
            </w:r>
          </w:p>
        </w:tc>
      </w:tr>
      <w:tr>
        <w:trPr>
          <w:trHeight w:val="160"/>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Elizabeth O’Farrell</w:t>
            </w:r>
          </w:p>
        </w:tc>
        <w:tc>
          <w:tcPr>
            <w:tcW w:w="920" w:type="dxa"/>
            <w:vAlign w:val="bottom"/>
          </w:tcPr>
          <w:p>
            <w:pPr>
              <w:ind w:left="480"/>
              <w:spacing w:after="0"/>
              <w:rPr>
                <w:sz w:val="20"/>
                <w:szCs w:val="20"/>
                <w:color w:val="auto"/>
              </w:rPr>
            </w:pPr>
            <w:r>
              <w:rPr>
                <w:rFonts w:ascii="Times New Roman" w:cs="Times New Roman" w:eastAsia="Times New Roman" w:hAnsi="Times New Roman"/>
                <w:sz w:val="12"/>
                <w:szCs w:val="12"/>
                <w:color w:val="231F20"/>
              </w:rPr>
              <w:t>61</w:t>
            </w:r>
          </w:p>
        </w:tc>
        <w:tc>
          <w:tcPr>
            <w:tcW w:w="3500" w:type="dxa"/>
            <w:vAlign w:val="bottom"/>
          </w:tcPr>
          <w:p>
            <w:pPr>
              <w:ind w:left="240"/>
              <w:spacing w:after="0"/>
              <w:rPr>
                <w:sz w:val="20"/>
                <w:szCs w:val="20"/>
                <w:color w:val="auto"/>
              </w:rPr>
            </w:pPr>
            <w:r>
              <w:rPr>
                <w:rFonts w:ascii="Times New Roman" w:cs="Times New Roman" w:eastAsia="Times New Roman" w:hAnsi="Times New Roman"/>
                <w:sz w:val="12"/>
                <w:szCs w:val="12"/>
                <w:color w:val="231F20"/>
              </w:rPr>
              <w:t>Board member (independent, Shareholder Elected)</w:t>
            </w:r>
          </w:p>
        </w:tc>
      </w:tr>
      <w:tr>
        <w:trPr>
          <w:trHeight w:val="21"/>
        </w:trPr>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61"/>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Martin Schultz</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231F20"/>
              </w:rPr>
              <w:t>50</w:t>
            </w:r>
          </w:p>
        </w:tc>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231F20"/>
              </w:rPr>
              <w:t>Board member (non-independent, Employee Elected)</w:t>
            </w:r>
          </w:p>
        </w:tc>
      </w:tr>
      <w:tr>
        <w:trPr>
          <w:trHeight w:val="160"/>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Mijke Zachariasse</w:t>
            </w:r>
          </w:p>
        </w:tc>
        <w:tc>
          <w:tcPr>
            <w:tcW w:w="920" w:type="dxa"/>
            <w:vAlign w:val="bottom"/>
          </w:tcPr>
          <w:p>
            <w:pPr>
              <w:ind w:left="480"/>
              <w:spacing w:after="0"/>
              <w:rPr>
                <w:sz w:val="20"/>
                <w:szCs w:val="20"/>
                <w:color w:val="auto"/>
              </w:rPr>
            </w:pPr>
            <w:r>
              <w:rPr>
                <w:rFonts w:ascii="Times New Roman" w:cs="Times New Roman" w:eastAsia="Times New Roman" w:hAnsi="Times New Roman"/>
                <w:sz w:val="12"/>
                <w:szCs w:val="12"/>
                <w:color w:val="231F20"/>
              </w:rPr>
              <w:t>52</w:t>
            </w:r>
          </w:p>
        </w:tc>
        <w:tc>
          <w:tcPr>
            <w:tcW w:w="3500" w:type="dxa"/>
            <w:vAlign w:val="bottom"/>
          </w:tcPr>
          <w:p>
            <w:pPr>
              <w:ind w:left="240"/>
              <w:spacing w:after="0"/>
              <w:rPr>
                <w:sz w:val="20"/>
                <w:szCs w:val="20"/>
                <w:color w:val="auto"/>
              </w:rPr>
            </w:pPr>
            <w:r>
              <w:rPr>
                <w:rFonts w:ascii="Times New Roman" w:cs="Times New Roman" w:eastAsia="Times New Roman" w:hAnsi="Times New Roman"/>
                <w:sz w:val="12"/>
                <w:szCs w:val="12"/>
                <w:color w:val="231F20"/>
              </w:rPr>
              <w:t>Board member (non-independent, Employee Elected)</w:t>
            </w:r>
          </w:p>
        </w:tc>
      </w:tr>
      <w:tr>
        <w:trPr>
          <w:trHeight w:val="171"/>
        </w:trPr>
        <w:tc>
          <w:tcPr>
            <w:tcW w:w="1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Michael Kavanagh</w:t>
            </w:r>
          </w:p>
        </w:tc>
        <w:tc>
          <w:tcPr>
            <w:tcW w:w="920" w:type="dxa"/>
            <w:vAlign w:val="bottom"/>
          </w:tcPr>
          <w:p>
            <w:pPr>
              <w:ind w:left="480"/>
              <w:spacing w:after="0"/>
              <w:rPr>
                <w:sz w:val="20"/>
                <w:szCs w:val="20"/>
                <w:color w:val="auto"/>
              </w:rPr>
            </w:pPr>
            <w:r>
              <w:rPr>
                <w:rFonts w:ascii="Times New Roman" w:cs="Times New Roman" w:eastAsia="Times New Roman" w:hAnsi="Times New Roman"/>
                <w:sz w:val="12"/>
                <w:szCs w:val="12"/>
                <w:color w:val="231F20"/>
              </w:rPr>
              <w:t>52</w:t>
            </w:r>
          </w:p>
        </w:tc>
        <w:tc>
          <w:tcPr>
            <w:tcW w:w="3500" w:type="dxa"/>
            <w:vAlign w:val="bottom"/>
          </w:tcPr>
          <w:p>
            <w:pPr>
              <w:ind w:left="240"/>
              <w:spacing w:after="0"/>
              <w:rPr>
                <w:sz w:val="20"/>
                <w:szCs w:val="20"/>
                <w:color w:val="auto"/>
              </w:rPr>
            </w:pPr>
            <w:r>
              <w:rPr>
                <w:rFonts w:ascii="Times New Roman" w:cs="Times New Roman" w:eastAsia="Times New Roman" w:hAnsi="Times New Roman"/>
                <w:sz w:val="12"/>
                <w:szCs w:val="12"/>
                <w:color w:val="231F20"/>
              </w:rPr>
              <w:t>Board member (non-independent, Employee Elected)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-94615</wp:posOffset>
            </wp:positionV>
            <wp:extent cx="3916045" cy="114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6045" cy="11493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2"/>
          <w:szCs w:val="12"/>
          <w:color w:val="auto"/>
        </w:rPr>
        <w:t>The following is a brief summary of the business experience of our Board members:</w:t>
      </w:r>
    </w:p>
    <w:p>
      <w:pPr>
        <w:ind w:left="620" w:right="2360"/>
        <w:spacing w:after="0" w:line="221" w:lineRule="auto"/>
        <w:rPr>
          <w:sz w:val="20"/>
          <w:szCs w:val="20"/>
          <w:color w:val="auto"/>
        </w:rPr>
      </w:pPr>
      <w:r>
        <w:rPr>
          <w:rFonts w:ascii="Times New Roman" w:cs="Times New Roman" w:eastAsia="Times New Roman" w:hAnsi="Times New Roman"/>
          <w:sz w:val="12"/>
          <w:szCs w:val="12"/>
          <w:b w:val="1"/>
          <w:bCs w:val="1"/>
          <w:color w:val="auto"/>
        </w:rPr>
        <w:t xml:space="preserve">Deirdre P. Connelly </w:t>
      </w:r>
      <w:r>
        <w:rPr>
          <w:rFonts w:ascii="Times New Roman" w:cs="Times New Roman" w:eastAsia="Times New Roman" w:hAnsi="Times New Roman"/>
          <w:sz w:val="12"/>
          <w:szCs w:val="12"/>
          <w:color w:val="auto"/>
        </w:rPr>
        <w:t>was elected to the Board in 2017 and currently acts as Chair of the Board. She is a member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Audit and Finance Committee, the Compensation Committee and the Nominating and Corporate Governance Committee. Ms. Connelly has more than 30 years’ experience as a corporate leader and board member in publicly traded companies with global operations. She has comprehensive knowledge and experience with business turnaround and product development and has successfully directed the launch of more than 20 new pharmaceutical drugs. As a former HR executive, Ms. Connelly also valuable insight in corporate culture transformation, talent development and managing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organizations. She furthermore has significant experience with the development of governance and ESG responsibilities from various leadership roles and as a board member. Ms. Connelly was formerly the President of North America Pharmaceuticals for GSK plc from 2009 to 2015 and currently serves on the Board of Directors of the Lincoln Financial Corporation where she is Chair of the Compensation Committee and a member of the Audit Committee, Corporate Governance Committee and Executive Committee. She also serves on the Board of Directors at Macy’s, Inc. where she is Chair of the Nominating and Corporate Governance Committee and a member of the Compensation and Management Development Committee. She furthermore serves on the Board of Directors of Sarepta Therapeutics, Inc. where she is Chair of the Compensation Committee and a member of the Nominating and Corporate Governance Committee. Prior to her time at GSK plc, she spent 26 years with Eli Lilly and Company from 1984 to 2009, which included tenures as President of US Operations, Vice President of Human Resources and President of Global Women’s Health. She holds a bachelor’s degree in Economics and Marketing from Lycoming University and is a graduate of Harvard University’s Advanced Management Program.</w:t>
      </w:r>
    </w:p>
    <w:p>
      <w:pPr>
        <w:ind w:left="620"/>
        <w:spacing w:after="0" w:line="217" w:lineRule="auto"/>
        <w:rPr>
          <w:sz w:val="20"/>
          <w:szCs w:val="20"/>
          <w:color w:val="auto"/>
        </w:rPr>
      </w:pPr>
      <w:r>
        <w:rPr>
          <w:rFonts w:ascii="Times New Roman" w:cs="Times New Roman" w:eastAsia="Times New Roman" w:hAnsi="Times New Roman"/>
          <w:sz w:val="12"/>
          <w:szCs w:val="12"/>
          <w:b w:val="1"/>
          <w:bCs w:val="1"/>
          <w:color w:val="auto"/>
        </w:rPr>
        <w:t xml:space="preserve">Pernille Erenbjerg </w:t>
      </w:r>
      <w:r>
        <w:rPr>
          <w:rFonts w:ascii="Times New Roman" w:cs="Times New Roman" w:eastAsia="Times New Roman" w:hAnsi="Times New Roman"/>
          <w:sz w:val="12"/>
          <w:szCs w:val="12"/>
          <w:color w:val="auto"/>
        </w:rPr>
        <w:t>was elected to the Board in 2015 and currently acts as Deputy Chair of the Board, as well as the</w:t>
      </w:r>
    </w:p>
    <w:p>
      <w:pPr>
        <w:ind w:left="620" w:right="2260"/>
        <w:spacing w:after="0" w:line="229" w:lineRule="auto"/>
        <w:rPr>
          <w:sz w:val="20"/>
          <w:szCs w:val="20"/>
          <w:color w:val="auto"/>
        </w:rPr>
      </w:pPr>
      <w:r>
        <w:rPr>
          <w:rFonts w:ascii="Times New Roman" w:cs="Times New Roman" w:eastAsia="Times New Roman" w:hAnsi="Times New Roman"/>
          <w:sz w:val="12"/>
          <w:szCs w:val="12"/>
          <w:color w:val="auto"/>
        </w:rPr>
        <w:t>Chair of the Audit and Finance Committee and as a member of the Nominating and Corporate Governance Committee. Ms. Erenbjerg has significant expertise in the operation and strategic transformation of large and complex companies, including digital transformations and digitally-based innovations. She has been responsible for major transformation processes, including M&amp;A, within complex organizations. Furthermore, she has significant IT and cybersecurity expertise and ESG experience from various executive and non-executive positions. Ms. Erenbjerg has a Certified Public Accountant background (no longer practicing) and a comprehensive background within finance, including significant exposure to public and private equity and debt investors. She is a former CEO and President of TDC Group A/S. Ms. Erenbjerg is an audit committee financial expert based on her professional experience, including her background within accounting, her service in senior finance leadership at TDC Group A/S and as an audit committee chair or member at other public companies. Ms. Erenbjerg previously served as the Group CEO and President of TDC A/S, and, prior to that, served as the Group CFO of the same Company. She currently serves as Chair of KK Wind Solutions. In addition, she is a member of the Board of the RTL Group, where she serves as Chair of the Audit Committee, a member of the Board of GlobalConnect and a member of the Board of Nokia, where she serves as a member of the Audit Committee and the Corporate Governance and Nomination Committee. She is formerly a partner at Deloitte Touche Tohmatsu Limited and spent 14 years as a Certified Public Accountant (</w:t>
      </w:r>
      <w:r>
        <w:rPr>
          <w:rFonts w:ascii="Times New Roman" w:cs="Times New Roman" w:eastAsia="Times New Roman" w:hAnsi="Times New Roman"/>
          <w:sz w:val="12"/>
          <w:szCs w:val="12"/>
          <w:b w:val="1"/>
          <w:bCs w:val="1"/>
          <w:color w:val="auto"/>
        </w:rPr>
        <w:t>“CPA”</w:t>
      </w:r>
      <w:r>
        <w:rPr>
          <w:rFonts w:ascii="Times New Roman" w:cs="Times New Roman" w:eastAsia="Times New Roman" w:hAnsi="Times New Roman"/>
          <w:sz w:val="12"/>
          <w:szCs w:val="12"/>
          <w:color w:val="auto"/>
        </w:rPr>
        <w:t>) at Arthur Anderson LLP from 1987 to 2002. Ms. Erenbjerg holds a B.S. and an M.Sc. in Economics from Copenhagen Business School.</w:t>
      </w:r>
    </w:p>
    <w:p>
      <w:pPr>
        <w:spacing w:after="0" w:line="5" w:lineRule="exact"/>
        <w:rPr>
          <w:sz w:val="20"/>
          <w:szCs w:val="20"/>
          <w:color w:val="auto"/>
        </w:rPr>
      </w:pPr>
    </w:p>
    <w:p>
      <w:pPr>
        <w:ind w:left="620" w:right="2300"/>
        <w:spacing w:after="0" w:line="233" w:lineRule="auto"/>
        <w:rPr>
          <w:sz w:val="20"/>
          <w:szCs w:val="20"/>
          <w:color w:val="auto"/>
        </w:rPr>
      </w:pPr>
      <w:r>
        <w:rPr>
          <w:rFonts w:ascii="Times New Roman" w:cs="Times New Roman" w:eastAsia="Times New Roman" w:hAnsi="Times New Roman"/>
          <w:sz w:val="12"/>
          <w:szCs w:val="12"/>
          <w:b w:val="1"/>
          <w:bCs w:val="1"/>
          <w:color w:val="auto"/>
        </w:rPr>
        <w:t xml:space="preserve">Anders Gersel Pedersen </w:t>
      </w:r>
      <w:r>
        <w:rPr>
          <w:rFonts w:ascii="Times New Roman" w:cs="Times New Roman" w:eastAsia="Times New Roman" w:hAnsi="Times New Roman"/>
          <w:sz w:val="12"/>
          <w:szCs w:val="12"/>
          <w:color w:val="auto"/>
        </w:rPr>
        <w:t>was elected to the Board in 2003 and currently serves as the Chair of the Nominating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Corporate Governance Committee and as a member of the Compensation Committee and the Scientific Committee. Dr. Pedersen currently has more than 30 years’ board and management experience in publicly traded, international pharmaceutical and biotech companies. He has significant knowledge and expertise in discovery and development of the product pipeline from preclinical activities to post-launch marketing studies as well as general business experience. Dr. Pedersen furthermore has significant experience with the global pharmaceutical market, as well as knowledge of governance and the development of ESG responsibilities from both various leadership roles and as a board member. He serves as the Chair of the Board of Aelis Farma S.A.S., and as member of the Board of Bond 2 development 2 GP Limited. Dr. Pedersen was formerly the Executive Vice President of Research &amp; Development at H. Lundbeck A/S and holds a medical degree and a doctoral degree in neuro- oncology from University of Copenhagen and a B.S. in Business Administration from Copenhagen Business School. He is a member of the ESMO, the American Society of Clinical Oncology, the Danish Society of Medical Oncology, the Danish Society of Internal Medicine and the International Association for the Study of Lung Cancer.</w:t>
      </w:r>
    </w:p>
    <w:p>
      <w:pPr>
        <w:spacing w:after="0" w:line="1" w:lineRule="exact"/>
        <w:rPr>
          <w:sz w:val="20"/>
          <w:szCs w:val="20"/>
          <w:color w:val="auto"/>
        </w:rPr>
      </w:pPr>
    </w:p>
    <w:p>
      <w:pPr>
        <w:ind w:left="620" w:right="2320"/>
        <w:spacing w:after="0" w:line="218" w:lineRule="auto"/>
        <w:rPr>
          <w:sz w:val="20"/>
          <w:szCs w:val="20"/>
          <w:color w:val="auto"/>
        </w:rPr>
      </w:pPr>
      <w:r>
        <w:rPr>
          <w:rFonts w:ascii="Times New Roman" w:cs="Times New Roman" w:eastAsia="Times New Roman" w:hAnsi="Times New Roman"/>
          <w:sz w:val="12"/>
          <w:szCs w:val="12"/>
          <w:b w:val="1"/>
          <w:bCs w:val="1"/>
          <w:color w:val="auto"/>
        </w:rPr>
        <w:t xml:space="preserve">Paolo Paoletti </w:t>
      </w:r>
      <w:r>
        <w:rPr>
          <w:rFonts w:ascii="Times New Roman" w:cs="Times New Roman" w:eastAsia="Times New Roman" w:hAnsi="Times New Roman"/>
          <w:sz w:val="12"/>
          <w:szCs w:val="12"/>
          <w:color w:val="auto"/>
        </w:rPr>
        <w:t>was elected to the Board in 2015 and currently serves as the Chair of the Scientific Committee and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member of the Compensation Committee. Dr. Paoletti has significant experience in research, development and commercialization in the pharmaceutical industry, where he has been responsible of the development of several globally-approved medicines and the related global commercial strategies. As an executive, he has led cross -functional teams in the development and registration of medicines and has been responsible for all compliance aspects for the R&amp;D organization. Dr. Paoletti has successfully conducted submissions and approvals of new cancer drugs and new indications in the US and in Europe. He furthermore has significant experience with governance from various leadership roles, including as a board member. Dr. Paoletti served as President of Oncology at GSK plc and in various roles at Eli Lilly and Company, including Vice President of Oncology Research. Prior to its acquisition by Takeda, Dr. Paoletti was the CEO of GammaDelta Therapeutics Limited. He is currently a member of the Investment Committee for Apollo Therapeutics Limited and a scientific advisor for both 3B Future Health Fund and Sun Pharmaceuticals . He was formerly the CEO of Kesios</w:t>
      </w:r>
    </w:p>
    <w:p>
      <w:pPr>
        <w:sectPr>
          <w:pgSz w:w="11900" w:h="16840" w:orient="portrait"/>
          <w:cols w:equalWidth="0" w:num="1">
            <w:col w:w="9020"/>
          </w:cols>
          <w:pgMar w:left="1440" w:top="557" w:right="144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83</w:t>
      </w:r>
    </w:p>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sectPr>
          <w:pgSz w:w="11900" w:h="16840" w:orient="portrait"/>
          <w:cols w:equalWidth="0" w:num="1">
            <w:col w:w="9020"/>
          </w:cols>
          <w:pgMar w:left="1440" w:top="557" w:right="1440" w:bottom="2" w:gutter="0" w:footer="0" w:header="0"/>
          <w:type w:val="continuous"/>
        </w:sectPr>
      </w:pPr>
    </w:p>
    <w:bookmarkStart w:id="53" w:name="page54"/>
    <w:bookmarkEnd w:id="53"/>
    <w:p>
      <w:pPr>
        <w:ind w:left="620" w:right="2320"/>
        <w:spacing w:after="0" w:line="227" w:lineRule="auto"/>
        <w:rPr>
          <w:sz w:val="20"/>
          <w:szCs w:val="20"/>
          <w:color w:val="auto"/>
        </w:rPr>
      </w:pPr>
      <w:r>
        <w:rPr>
          <w:rFonts w:ascii="Times New Roman" w:cs="Times New Roman" w:eastAsia="Times New Roman" w:hAnsi="Times New Roman"/>
          <w:sz w:val="12"/>
          <w:szCs w:val="12"/>
          <w:color w:val="auto"/>
        </w:rPr>
        <w:t>Therapeutics Ltd. from 2015 to 2017 and previously served as a member of the Board of NuCana BioMed Ltd and Psioxus Therapeutics Ltd (renamed Akamis Bio). Dr. Paoletti holds a medical degree from the University of Pisa.</w:t>
      </w:r>
    </w:p>
    <w:p>
      <w:pPr>
        <w:ind w:left="620" w:right="232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Rolf Hoffmann </w:t>
      </w:r>
      <w:r>
        <w:rPr>
          <w:rFonts w:ascii="Times New Roman" w:cs="Times New Roman" w:eastAsia="Times New Roman" w:hAnsi="Times New Roman"/>
          <w:sz w:val="12"/>
          <w:szCs w:val="12"/>
          <w:color w:val="auto"/>
        </w:rPr>
        <w:t>was elected to the Board in 2017 and is a member of the Audit and Finance Committee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Scientific Committee. Mr. Hoffmann has more than 30 years’ experience in senior management and as a board member in the life science industry worldwide. He has significant expertise in creating and optimizing commercial opportunities in global markets and has managed large, global companies. Mr. Hoffmann furthermore has knowledge and experience with governance, compliance and organizational efficiency from various management positions as well as a board member. Mr. Hoffmann has held a variety of sales and marketing and executive management positions at Eli Lilly and Company from 1987 to 2004 and served at Amgen from 2004 to 2016 and is a former Senior Vice President, International Commercial Operations and former Senior Vice President, US Commercial Operations with Amgen. Mr. Hoffmann is currently an adjunct professor of Strategy and Entrepreneurship at the University of North Carolina Business School. He is a member of the Boards of Semdor Pharma and Sun Pharmaceutical Industries Ltd where he is a member of the Nomination and Remuneration Committee. He is also Deputy Chairman of the Supervisory Board of Priavoid GmbH. He holds an M.A. in English from the University of Cologne, an MA in Kinesiology from Deutsche Sporthochschule Köln in Cologne, Germany and an MBA from the University of North Carolina at Chapel Hill.</w:t>
      </w:r>
    </w:p>
    <w:p>
      <w:pPr>
        <w:spacing w:after="0" w:line="1" w:lineRule="exact"/>
        <w:rPr>
          <w:sz w:val="20"/>
          <w:szCs w:val="20"/>
          <w:color w:val="auto"/>
        </w:rPr>
      </w:pPr>
    </w:p>
    <w:p>
      <w:pPr>
        <w:ind w:left="620" w:right="2280"/>
        <w:spacing w:after="0" w:line="231" w:lineRule="auto"/>
        <w:rPr>
          <w:sz w:val="20"/>
          <w:szCs w:val="20"/>
          <w:color w:val="auto"/>
        </w:rPr>
      </w:pPr>
      <w:r>
        <w:rPr>
          <w:rFonts w:ascii="Times New Roman" w:cs="Times New Roman" w:eastAsia="Times New Roman" w:hAnsi="Times New Roman"/>
          <w:sz w:val="12"/>
          <w:szCs w:val="12"/>
          <w:b w:val="1"/>
          <w:bCs w:val="1"/>
          <w:color w:val="auto"/>
        </w:rPr>
        <w:t xml:space="preserve">Elizabeth O’Farrell </w:t>
      </w:r>
      <w:r>
        <w:rPr>
          <w:rFonts w:ascii="Times New Roman" w:cs="Times New Roman" w:eastAsia="Times New Roman" w:hAnsi="Times New Roman"/>
          <w:sz w:val="12"/>
          <w:szCs w:val="12"/>
          <w:color w:val="auto"/>
        </w:rPr>
        <w:t>was elected to the Board in 2022 and currently serves as the Chair of the Compensation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Committee and as a member of the Audit and Finance Committee. Ms. O’Farrell has solid financial experience from her 25-year career in finance leadership roles and as a board member. During her career, she has led multiple strategy, planning and resource allocation processes in multiple roles and in cross-functional teams. Ms. O’Farrell has significant knowledge and expertise with enacting change in enterprises. In addition to experience at Price Waterhouse and Whipple &amp; Company Corporation, Ms. O’Farrell held various executive management positions at Eli Lilly and Company, including as former Chief Procurement Officer. Ms. O’Farrell is an audit committee financial expert based on her professional experience, including her service in senior finance leadership positions at Eli Lilly and as an audit committee chair or member at other public companies. She has also completed the Nasdaq Center for Board Excellence Cyber Security Program. She is Chair of the Board of PDL BioPharma and Chair of the Board of Geron Corporation where she is Chair of the Audit Committee. She is also a member of the Boards of LENSAR, Karius and SpyGlass Pharma, where she is the Chair of the Audit Committee for all three. Ms. O’Farrell holds a degree in accounting as well as an MBA in Management Information Systems from Indiana University, Bloomington and has also served in roles at Price Waterhouse and Whipple &amp; Company Corporation.</w:t>
      </w:r>
    </w:p>
    <w:p>
      <w:pPr>
        <w:spacing w:after="0" w:line="6"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Martin Schultz </w:t>
      </w:r>
      <w:r>
        <w:rPr>
          <w:rFonts w:ascii="Times New Roman" w:cs="Times New Roman" w:eastAsia="Times New Roman" w:hAnsi="Times New Roman"/>
          <w:sz w:val="12"/>
          <w:szCs w:val="12"/>
          <w:color w:val="auto"/>
        </w:rPr>
        <w:t>was elected to the Board in 2022. Mr. Schultz joined Genmab in 2005 and currently serves as Senior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Head of Development Business Partnership &amp; Strategy at Genmab. Mr. Schultz has broad experience within clinical project management with a substantial understanding and knowledge of research and development. He furthermore has specific expertise in project management, strategic sourcing, vendor collaboration, contract and budget governance. For the past several years he has functioned as Clinical Project Leader and has overseen clinical trial budgets across Genmab’s clinical trials. He has also been a member of Genmab’s employee representatives’ group for over 10 years.</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 xml:space="preserve">Mijke Zachariasse </w:t>
      </w:r>
      <w:r>
        <w:rPr>
          <w:rFonts w:ascii="Times New Roman" w:cs="Times New Roman" w:eastAsia="Times New Roman" w:hAnsi="Times New Roman"/>
          <w:sz w:val="12"/>
          <w:szCs w:val="12"/>
          <w:color w:val="auto"/>
        </w:rPr>
        <w:t>was elected to the Board in 2019. Dr. Zachariasse joined us in 2017 and currently serves as our</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Vice President, Head of Protein and Cell Supply. Dr. Zachariasse has broad experience in people and business management and expertise in the research funding landscape, operational excellence and organizational strategy and change. Prior to joining us, from 2010 to 2017, she was a Research Policy Advisor/Head of the Research Support Office at Utrecht University. From 2008 to 2010, Dr. Zachariasse was Managing Director of the Leiden Institute of Physics. Dr. Zachariasse served as a Programme Officer at the Foundation for Fundamental Research on Matter from 2002 to 2008. She received her Doctorate in Physics from the Technical University of Eindhoven in 2002.</w:t>
      </w:r>
    </w:p>
    <w:p>
      <w:pPr>
        <w:spacing w:after="0" w:line="1" w:lineRule="exact"/>
        <w:rPr>
          <w:sz w:val="20"/>
          <w:szCs w:val="20"/>
          <w:color w:val="auto"/>
        </w:rPr>
      </w:pPr>
    </w:p>
    <w:p>
      <w:pPr>
        <w:ind w:left="620" w:right="2360"/>
        <w:spacing w:after="0" w:line="221" w:lineRule="auto"/>
        <w:rPr>
          <w:sz w:val="20"/>
          <w:szCs w:val="20"/>
          <w:color w:val="auto"/>
        </w:rPr>
      </w:pPr>
      <w:r>
        <w:rPr>
          <w:rFonts w:ascii="Times New Roman" w:cs="Times New Roman" w:eastAsia="Times New Roman" w:hAnsi="Times New Roman"/>
          <w:sz w:val="12"/>
          <w:szCs w:val="12"/>
          <w:b w:val="1"/>
          <w:bCs w:val="1"/>
          <w:color w:val="auto"/>
        </w:rPr>
        <w:t xml:space="preserve">Michael Kavanagh </w:t>
      </w:r>
      <w:r>
        <w:rPr>
          <w:rFonts w:ascii="Times New Roman" w:cs="Times New Roman" w:eastAsia="Times New Roman" w:hAnsi="Times New Roman"/>
          <w:sz w:val="12"/>
          <w:szCs w:val="12"/>
          <w:color w:val="auto"/>
        </w:rPr>
        <w:t>was elected to the Board in 2025. Mr. Kavanagh joined Genmab in 2021 and currently serves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Senior Director, Head of Strategic Engagement, Oncology Marketing at Genmab. He is a seasoned professional with over 25 years of experience in the pharmaceutical industry and has a track record of successful product launches in oncology commercialization. His extensive expertise in building commercial teams and driving market expansion has been demonstrated in the successful product launches at Genmab. Previously, he held senior leadership roles at Bristol Myers Squibb, leading commercialization efforts for hematology and oncology brands in the US and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Executive Management</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following table sets forth information with respect to each of the members of our Executive Management,</w:t>
      </w:r>
    </w:p>
    <w:p>
      <w:pPr>
        <w:ind w:left="620" w:right="2280"/>
        <w:spacing w:after="0"/>
        <w:rPr>
          <w:sz w:val="20"/>
          <w:szCs w:val="20"/>
          <w:color w:val="auto"/>
        </w:rPr>
      </w:pPr>
      <w:r>
        <w:rPr>
          <w:rFonts w:ascii="Times New Roman" w:cs="Times New Roman" w:eastAsia="Times New Roman" w:hAnsi="Times New Roman"/>
          <w:sz w:val="12"/>
          <w:szCs w:val="12"/>
          <w:color w:val="auto"/>
        </w:rPr>
        <w:t>including their respective ages and their positions as of the date of this Annual Report on Form 20-F. The business address of these members of our Executive Management is our registered office address at c/o Genmab A/S, Carl Jacobsens Vej 30, 2500 Valby, Denmark. Only Jan G. J. van de Winkel and Anthony Pagano are registered with the Danish Business Authority as members of executive management, or registered managers, within the meaning of the Danish Companies Act (“</w:t>
      </w:r>
      <w:r>
        <w:rPr>
          <w:rFonts w:ascii="Times New Roman" w:cs="Times New Roman" w:eastAsia="Times New Roman" w:hAnsi="Times New Roman"/>
          <w:sz w:val="12"/>
          <w:szCs w:val="12"/>
          <w:b w:val="1"/>
          <w:bCs w:val="1"/>
          <w:color w:val="auto"/>
        </w:rPr>
        <w:t>DCA</w:t>
      </w:r>
      <w:r>
        <w:rPr>
          <w:rFonts w:ascii="Times New Roman" w:cs="Times New Roman" w:eastAsia="Times New Roman" w:hAnsi="Times New Roman"/>
          <w:sz w:val="12"/>
          <w:szCs w:val="12"/>
          <w:color w:val="auto"/>
        </w:rPr>
        <w:t>”).</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231F20"/>
              </w:rPr>
              <w:t>Name of Member of Executive</w:t>
            </w:r>
          </w:p>
        </w:tc>
        <w:tc>
          <w:tcPr>
            <w:tcW w:w="4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231F20"/>
              </w:rPr>
              <w:t>Age</w:t>
            </w:r>
          </w:p>
        </w:tc>
        <w:tc>
          <w:tcPr>
            <w:tcW w:w="34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231F20"/>
              </w:rPr>
              <w:t>Position(s)</w:t>
            </w: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231F20"/>
              </w:rPr>
              <w:t>Management</w:t>
            </w: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70"/>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Jan G. J. van de Winkel</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64</w:t>
            </w:r>
          </w:p>
        </w:tc>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President and Chief Executive Officer (“CEO”)</w:t>
            </w:r>
          </w:p>
        </w:tc>
      </w:tr>
      <w:tr>
        <w:trPr>
          <w:trHeight w:val="160"/>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Anthony Pagano</w:t>
            </w:r>
          </w:p>
        </w:tc>
        <w:tc>
          <w:tcPr>
            <w:tcW w:w="46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48</w:t>
            </w:r>
          </w:p>
        </w:tc>
        <w:tc>
          <w:tcPr>
            <w:tcW w:w="3480" w:type="dxa"/>
            <w:vAlign w:val="bottom"/>
          </w:tcPr>
          <w:p>
            <w:pPr>
              <w:ind w:left="140"/>
              <w:spacing w:after="0"/>
              <w:rPr>
                <w:sz w:val="20"/>
                <w:szCs w:val="20"/>
                <w:color w:val="auto"/>
              </w:rPr>
            </w:pPr>
            <w:r>
              <w:rPr>
                <w:rFonts w:ascii="Times New Roman" w:cs="Times New Roman" w:eastAsia="Times New Roman" w:hAnsi="Times New Roman"/>
                <w:sz w:val="12"/>
                <w:szCs w:val="12"/>
                <w:color w:val="231F20"/>
              </w:rPr>
              <w:t>Executive Vice President and Chief Financial Officer</w:t>
            </w:r>
          </w:p>
        </w:tc>
      </w:tr>
      <w:tr>
        <w:trPr>
          <w:trHeight w:val="21"/>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61"/>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Judith Klimovsky</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69</w:t>
            </w:r>
          </w:p>
        </w:tc>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231F20"/>
              </w:rPr>
              <w:t>Executive Vice President and Chief Development Officer</w:t>
            </w:r>
          </w:p>
        </w:tc>
      </w:tr>
      <w:tr>
        <w:trPr>
          <w:trHeight w:val="114"/>
        </w:trPr>
        <w:tc>
          <w:tcPr>
            <w:tcW w:w="2240" w:type="dxa"/>
            <w:vAlign w:val="bottom"/>
          </w:tcPr>
          <w:p>
            <w:pPr>
              <w:ind w:left="20"/>
              <w:spacing w:after="0" w:line="114" w:lineRule="exact"/>
              <w:rPr>
                <w:sz w:val="20"/>
                <w:szCs w:val="20"/>
                <w:color w:val="auto"/>
              </w:rPr>
            </w:pPr>
            <w:r>
              <w:rPr>
                <w:rFonts w:ascii="Times New Roman" w:cs="Times New Roman" w:eastAsia="Times New Roman" w:hAnsi="Times New Roman"/>
                <w:sz w:val="12"/>
                <w:szCs w:val="12"/>
                <w:color w:val="auto"/>
              </w:rPr>
              <w:t>Tahamtan Ahmadi</w:t>
            </w:r>
          </w:p>
        </w:tc>
        <w:tc>
          <w:tcPr>
            <w:tcW w:w="460" w:type="dxa"/>
            <w:vAlign w:val="bottom"/>
          </w:tcPr>
          <w:p>
            <w:pPr>
              <w:ind w:left="120"/>
              <w:spacing w:after="0" w:line="114" w:lineRule="exact"/>
              <w:rPr>
                <w:sz w:val="20"/>
                <w:szCs w:val="20"/>
                <w:color w:val="auto"/>
              </w:rPr>
            </w:pPr>
            <w:r>
              <w:rPr>
                <w:rFonts w:ascii="Times New Roman" w:cs="Times New Roman" w:eastAsia="Times New Roman" w:hAnsi="Times New Roman"/>
                <w:sz w:val="12"/>
                <w:szCs w:val="12"/>
                <w:color w:val="231F20"/>
              </w:rPr>
              <w:t>53</w:t>
            </w:r>
          </w:p>
        </w:tc>
        <w:tc>
          <w:tcPr>
            <w:tcW w:w="3480" w:type="dxa"/>
            <w:vAlign w:val="bottom"/>
          </w:tcPr>
          <w:p>
            <w:pPr>
              <w:ind w:left="140"/>
              <w:spacing w:after="0" w:line="114" w:lineRule="exact"/>
              <w:rPr>
                <w:sz w:val="20"/>
                <w:szCs w:val="20"/>
                <w:color w:val="auto"/>
              </w:rPr>
            </w:pPr>
            <w:r>
              <w:rPr>
                <w:rFonts w:ascii="Times New Roman" w:cs="Times New Roman" w:eastAsia="Times New Roman" w:hAnsi="Times New Roman"/>
                <w:sz w:val="12"/>
                <w:szCs w:val="12"/>
                <w:color w:val="231F20"/>
              </w:rPr>
              <w:t>Executive Vice President and Chief Medical Officer, Head of</w:t>
            </w:r>
          </w:p>
        </w:tc>
      </w:tr>
      <w:tr>
        <w:trPr>
          <w:trHeight w:val="160"/>
        </w:trPr>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2"/>
                <w:szCs w:val="12"/>
                <w:color w:val="231F20"/>
              </w:rPr>
              <w:t>Experimental Medicines</w:t>
            </w:r>
          </w:p>
        </w:tc>
      </w:tr>
      <w:tr>
        <w:trPr>
          <w:trHeight w:val="21"/>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61"/>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231F20"/>
              </w:rPr>
              <w:t>Christopher Cozic</w:t>
            </w:r>
          </w:p>
        </w:tc>
        <w:tc>
          <w:tcPr>
            <w:tcW w:w="460" w:type="dxa"/>
            <w:vAlign w:val="bottom"/>
            <w:tcBorders>
              <w:bottom w:val="single" w:sz="8" w:color="BFE4FF"/>
            </w:tcBorders>
            <w:shd w:val="clear" w:color="auto" w:fill="BFE4FF"/>
          </w:tcPr>
          <w:p>
            <w:pPr>
              <w:ind w:left="120"/>
              <w:spacing w:after="0"/>
              <w:rPr>
                <w:sz w:val="20"/>
                <w:szCs w:val="20"/>
                <w:color w:val="auto"/>
              </w:rPr>
            </w:pPr>
            <w:r>
              <w:rPr>
                <w:rFonts w:ascii="Times New Roman" w:cs="Times New Roman" w:eastAsia="Times New Roman" w:hAnsi="Times New Roman"/>
                <w:sz w:val="12"/>
                <w:szCs w:val="12"/>
                <w:color w:val="231F20"/>
              </w:rPr>
              <w:t>48</w:t>
            </w:r>
          </w:p>
        </w:tc>
        <w:tc>
          <w:tcPr>
            <w:tcW w:w="3480" w:type="dxa"/>
            <w:vAlign w:val="bottom"/>
            <w:tcBorders>
              <w:bottom w:val="single" w:sz="8" w:color="BFE4FF"/>
            </w:tcBorders>
            <w:shd w:val="clear" w:color="auto" w:fill="BFE4FF"/>
          </w:tcPr>
          <w:p>
            <w:pPr>
              <w:ind w:left="140"/>
              <w:spacing w:after="0"/>
              <w:rPr>
                <w:sz w:val="20"/>
                <w:szCs w:val="20"/>
                <w:color w:val="auto"/>
              </w:rPr>
            </w:pPr>
            <w:r>
              <w:rPr>
                <w:rFonts w:ascii="Times New Roman" w:cs="Times New Roman" w:eastAsia="Times New Roman" w:hAnsi="Times New Roman"/>
                <w:sz w:val="12"/>
                <w:szCs w:val="12"/>
                <w:color w:val="231F20"/>
              </w:rPr>
              <w:t>Executive Vice President and Chief People Officer</w:t>
            </w:r>
          </w:p>
        </w:tc>
      </w:tr>
      <w:tr>
        <w:trPr>
          <w:trHeight w:val="160"/>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Martine J. van Vugt</w:t>
            </w:r>
          </w:p>
        </w:tc>
        <w:tc>
          <w:tcPr>
            <w:tcW w:w="46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55</w:t>
            </w:r>
          </w:p>
        </w:tc>
        <w:tc>
          <w:tcPr>
            <w:tcW w:w="3480" w:type="dxa"/>
            <w:vAlign w:val="bottom"/>
          </w:tcPr>
          <w:p>
            <w:pPr>
              <w:ind w:left="140"/>
              <w:spacing w:after="0"/>
              <w:rPr>
                <w:sz w:val="20"/>
                <w:szCs w:val="20"/>
                <w:color w:val="auto"/>
              </w:rPr>
            </w:pPr>
            <w:r>
              <w:rPr>
                <w:rFonts w:ascii="Times New Roman" w:cs="Times New Roman" w:eastAsia="Times New Roman" w:hAnsi="Times New Roman"/>
                <w:sz w:val="12"/>
                <w:szCs w:val="12"/>
                <w:color w:val="231F20"/>
              </w:rPr>
              <w:t>Executive Vice President and Chief Strategy Officer</w:t>
            </w:r>
          </w:p>
        </w:tc>
      </w:tr>
      <w:tr>
        <w:trPr>
          <w:trHeight w:val="21"/>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14"/>
        </w:trPr>
        <w:tc>
          <w:tcPr>
            <w:tcW w:w="2240" w:type="dxa"/>
            <w:vAlign w:val="bottom"/>
            <w:shd w:val="clear" w:color="auto" w:fill="CEEBFE"/>
          </w:tcPr>
          <w:p>
            <w:pPr>
              <w:ind w:left="20"/>
              <w:spacing w:after="0" w:line="114" w:lineRule="exact"/>
              <w:rPr>
                <w:sz w:val="20"/>
                <w:szCs w:val="20"/>
                <w:color w:val="auto"/>
              </w:rPr>
            </w:pPr>
            <w:r>
              <w:rPr>
                <w:rFonts w:ascii="Times New Roman" w:cs="Times New Roman" w:eastAsia="Times New Roman" w:hAnsi="Times New Roman"/>
                <w:sz w:val="12"/>
                <w:szCs w:val="12"/>
                <w:color w:val="auto"/>
              </w:rPr>
              <w:t>Rayne Waller</w:t>
            </w:r>
          </w:p>
        </w:tc>
        <w:tc>
          <w:tcPr>
            <w:tcW w:w="460" w:type="dxa"/>
            <w:vAlign w:val="bottom"/>
            <w:shd w:val="clear" w:color="auto" w:fill="CEEBFE"/>
          </w:tcPr>
          <w:p>
            <w:pPr>
              <w:ind w:left="120"/>
              <w:spacing w:after="0" w:line="114" w:lineRule="exact"/>
              <w:rPr>
                <w:sz w:val="20"/>
                <w:szCs w:val="20"/>
                <w:color w:val="auto"/>
              </w:rPr>
            </w:pPr>
            <w:r>
              <w:rPr>
                <w:rFonts w:ascii="Times New Roman" w:cs="Times New Roman" w:eastAsia="Times New Roman" w:hAnsi="Times New Roman"/>
                <w:sz w:val="12"/>
                <w:szCs w:val="12"/>
                <w:color w:val="231F20"/>
              </w:rPr>
              <w:t>58</w:t>
            </w:r>
          </w:p>
        </w:tc>
        <w:tc>
          <w:tcPr>
            <w:tcW w:w="3480" w:type="dxa"/>
            <w:vAlign w:val="bottom"/>
            <w:shd w:val="clear" w:color="auto" w:fill="CEEBFE"/>
          </w:tcPr>
          <w:p>
            <w:pPr>
              <w:ind w:left="140"/>
              <w:spacing w:after="0" w:line="114" w:lineRule="exact"/>
              <w:rPr>
                <w:sz w:val="20"/>
                <w:szCs w:val="20"/>
                <w:color w:val="auto"/>
              </w:rPr>
            </w:pPr>
            <w:r>
              <w:rPr>
                <w:rFonts w:ascii="Times New Roman" w:cs="Times New Roman" w:eastAsia="Times New Roman" w:hAnsi="Times New Roman"/>
                <w:sz w:val="12"/>
                <w:szCs w:val="12"/>
                <w:color w:val="231F20"/>
              </w:rPr>
              <w:t>Executive Vice President and Chief Technical Operations</w:t>
            </w:r>
          </w:p>
        </w:tc>
      </w:tr>
      <w:tr>
        <w:trPr>
          <w:trHeight w:val="161"/>
        </w:trPr>
        <w:tc>
          <w:tcPr>
            <w:tcW w:w="2240" w:type="dxa"/>
            <w:vAlign w:val="bottom"/>
            <w:tcBorders>
              <w:bottom w:val="single" w:sz="8" w:color="CEEBFE"/>
            </w:tcBorders>
            <w:shd w:val="clear" w:color="auto" w:fill="CEEBFE"/>
          </w:tcPr>
          <w:p>
            <w:pPr>
              <w:spacing w:after="0"/>
              <w:rPr>
                <w:sz w:val="13"/>
                <w:szCs w:val="13"/>
                <w:color w:val="auto"/>
              </w:rPr>
            </w:pPr>
          </w:p>
        </w:tc>
        <w:tc>
          <w:tcPr>
            <w:tcW w:w="460" w:type="dxa"/>
            <w:vAlign w:val="bottom"/>
            <w:tcBorders>
              <w:bottom w:val="single" w:sz="8" w:color="CEEBFE"/>
            </w:tcBorders>
            <w:shd w:val="clear" w:color="auto" w:fill="CEEBFE"/>
          </w:tcPr>
          <w:p>
            <w:pPr>
              <w:spacing w:after="0"/>
              <w:rPr>
                <w:sz w:val="13"/>
                <w:szCs w:val="13"/>
                <w:color w:val="auto"/>
              </w:rPr>
            </w:pPr>
          </w:p>
        </w:tc>
        <w:tc>
          <w:tcPr>
            <w:tcW w:w="3480" w:type="dxa"/>
            <w:vAlign w:val="bottom"/>
            <w:tcBorders>
              <w:bottom w:val="single" w:sz="8" w:color="CEEBFE"/>
            </w:tcBorders>
            <w:shd w:val="clear" w:color="auto" w:fill="CEEBFE"/>
          </w:tcPr>
          <w:p>
            <w:pPr>
              <w:ind w:left="140"/>
              <w:spacing w:after="0"/>
              <w:rPr>
                <w:sz w:val="20"/>
                <w:szCs w:val="20"/>
                <w:color w:val="auto"/>
              </w:rPr>
            </w:pPr>
            <w:r>
              <w:rPr>
                <w:rFonts w:ascii="Times New Roman" w:cs="Times New Roman" w:eastAsia="Times New Roman" w:hAnsi="Times New Roman"/>
                <w:sz w:val="12"/>
                <w:szCs w:val="12"/>
                <w:color w:val="231F20"/>
              </w:rPr>
              <w:t>Officer</w:t>
            </w:r>
          </w:p>
        </w:tc>
      </w:tr>
      <w:tr>
        <w:trPr>
          <w:trHeight w:val="160"/>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Brad Bailey</w:t>
            </w:r>
          </w:p>
        </w:tc>
        <w:tc>
          <w:tcPr>
            <w:tcW w:w="46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58</w:t>
            </w:r>
          </w:p>
        </w:tc>
        <w:tc>
          <w:tcPr>
            <w:tcW w:w="3480" w:type="dxa"/>
            <w:vAlign w:val="bottom"/>
          </w:tcPr>
          <w:p>
            <w:pPr>
              <w:ind w:left="140"/>
              <w:spacing w:after="0"/>
              <w:rPr>
                <w:sz w:val="20"/>
                <w:szCs w:val="20"/>
                <w:color w:val="auto"/>
              </w:rPr>
            </w:pPr>
            <w:r>
              <w:rPr>
                <w:rFonts w:ascii="Times New Roman" w:cs="Times New Roman" w:eastAsia="Times New Roman" w:hAnsi="Times New Roman"/>
                <w:sz w:val="12"/>
                <w:szCs w:val="12"/>
                <w:color w:val="231F20"/>
              </w:rPr>
              <w:t>Executive Vice President and Chief Commercial Officer</w:t>
            </w: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Greg Mueller*</w:t>
            </w:r>
          </w:p>
        </w:tc>
        <w:tc>
          <w:tcPr>
            <w:tcW w:w="46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231F20"/>
              </w:rPr>
              <w:t>54</w:t>
            </w:r>
          </w:p>
        </w:tc>
        <w:tc>
          <w:tcPr>
            <w:tcW w:w="34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231F20"/>
              </w:rPr>
              <w:t>Executive Vice President, General Counsel &amp; Chief Legal</w:t>
            </w:r>
          </w:p>
        </w:tc>
      </w:tr>
      <w:tr>
        <w:trPr>
          <w:trHeight w:val="160"/>
        </w:trPr>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2"/>
                <w:szCs w:val="12"/>
                <w:color w:val="231F20"/>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-173355</wp:posOffset>
            </wp:positionV>
            <wp:extent cx="3922395" cy="187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22395" cy="187325"/>
                    </a:xfrm>
                    <a:prstGeom prst="rect">
                      <a:avLst/>
                    </a:prstGeom>
                    <a:noFill/>
                  </pic:spPr>
                </pic:pic>
              </a:graphicData>
            </a:graphic>
          </wp:anchor>
        </w:drawing>
      </w:r>
    </w:p>
    <w:p>
      <w:pPr>
        <w:ind w:left="620"/>
        <w:spacing w:after="0" w:line="211" w:lineRule="auto"/>
        <w:rPr>
          <w:sz w:val="20"/>
          <w:szCs w:val="20"/>
          <w:color w:val="auto"/>
        </w:rPr>
      </w:pPr>
      <w:r>
        <w:rPr>
          <w:rFonts w:ascii="Arial" w:cs="Arial" w:eastAsia="Arial" w:hAnsi="Arial"/>
          <w:sz w:val="9"/>
          <w:szCs w:val="9"/>
          <w:color w:val="auto"/>
        </w:rPr>
        <w:t>* – Greg Mueller was appointed Executive Vice President, General Counsel and Chief Legal Officer in July 2025.</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following is a brief summary of the business experience of our Executive Management.</w:t>
      </w:r>
    </w:p>
    <w:p>
      <w:pPr>
        <w:ind w:left="620" w:right="228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Jan G. J. van de Winkel </w:t>
      </w:r>
      <w:r>
        <w:rPr>
          <w:rFonts w:ascii="Times New Roman" w:cs="Times New Roman" w:eastAsia="Times New Roman" w:hAnsi="Times New Roman"/>
          <w:sz w:val="12"/>
          <w:szCs w:val="12"/>
          <w:color w:val="auto"/>
        </w:rPr>
        <w:t>is our co-founder and served as President, Research &amp; Development and Chief Scientific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Officer of the Company until his appointment as President &amp; Chief Executive Officer in 2010. Dr. van de Winkel served as Vice President and Scientific Director of Medarex Europe prior to founding Genmab. Dr. van de Winkel holds a professorship of immunotherapy at Utrecht University. He holds an M.Sc. and a Ph.D. from the Radboud University of Nijmegen in the Netherlands.</w:t>
      </w:r>
    </w:p>
    <w:p>
      <w:pPr>
        <w:spacing w:after="0" w:line="1" w:lineRule="exact"/>
        <w:rPr>
          <w:sz w:val="20"/>
          <w:szCs w:val="20"/>
          <w:color w:val="auto"/>
        </w:rPr>
      </w:pPr>
    </w:p>
    <w:p>
      <w:pPr>
        <w:ind w:left="620" w:right="248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Anthony Pagano </w:t>
      </w:r>
      <w:r>
        <w:rPr>
          <w:rFonts w:ascii="Times New Roman" w:cs="Times New Roman" w:eastAsia="Times New Roman" w:hAnsi="Times New Roman"/>
          <w:sz w:val="12"/>
          <w:szCs w:val="12"/>
          <w:color w:val="auto"/>
        </w:rPr>
        <w:t>joined Genmab in 2007. His positions increased in seniority during his tenure with us and 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currently serves as our Executive Vice President and Chief Financial Officer. Prior to joining us, Mr. Pagano was Corporate Controller and Senior Director of Business Planning at NovaDel Pharma, Inc. from 2005 to 2007, a publicly-traded specialty pharmaceutical company. He previously worked as a Manager at KPMG LLP from 1999 to 2005. In December 2025, Mr. Pagano was appointed to the Board of Directors of BillionToOne and as Audit Committee Chair, effective January 2026. He is a CPA and received a B.S. in Accounting from The College of New Jersey, as well as an MBA from the Stern School of Business at New York University.</w:t>
      </w:r>
    </w:p>
    <w:p>
      <w:pPr>
        <w:spacing w:after="0" w:line="1" w:lineRule="exact"/>
        <w:rPr>
          <w:sz w:val="20"/>
          <w:szCs w:val="20"/>
          <w:color w:val="auto"/>
        </w:rPr>
      </w:pPr>
    </w:p>
    <w:p>
      <w:pPr>
        <w:ind w:left="620" w:right="2320"/>
        <w:spacing w:after="0" w:line="221" w:lineRule="auto"/>
        <w:rPr>
          <w:sz w:val="20"/>
          <w:szCs w:val="20"/>
          <w:color w:val="auto"/>
        </w:rPr>
      </w:pPr>
      <w:r>
        <w:rPr>
          <w:rFonts w:ascii="Times New Roman" w:cs="Times New Roman" w:eastAsia="Times New Roman" w:hAnsi="Times New Roman"/>
          <w:sz w:val="12"/>
          <w:szCs w:val="12"/>
          <w:b w:val="1"/>
          <w:bCs w:val="1"/>
          <w:color w:val="auto"/>
        </w:rPr>
        <w:t xml:space="preserve">Judith Klimovsky </w:t>
      </w:r>
      <w:r>
        <w:rPr>
          <w:rFonts w:ascii="Times New Roman" w:cs="Times New Roman" w:eastAsia="Times New Roman" w:hAnsi="Times New Roman"/>
          <w:sz w:val="12"/>
          <w:szCs w:val="12"/>
          <w:color w:val="auto"/>
        </w:rPr>
        <w:t>joined us in 2017 and currently serves as the Executive Vice President and Chief Development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Officer. She worked previously as a drug developer and has more than 20 years of experience in research and development leadership roles at BMS and Novartis. Dr. Klimovsky is also a medical doctor who has worked as a clinician in hospital environments. Prior to joining us, she held various positions at Novartis Pharma AG from 2009 to 2017, including Senior Vice President, Head of Clinical Development. Dr. Klimovsky is a member of the Board of Bio -Techne. She holds a medical degree from the Universidad de Buenos Aires in Argentina.</w:t>
      </w:r>
    </w:p>
    <w:p>
      <w:pPr>
        <w:sectPr>
          <w:pgSz w:w="11900" w:h="16840" w:orient="portrait"/>
          <w:cols w:equalWidth="0" w:num="1">
            <w:col w:w="9020"/>
          </w:cols>
          <w:pgMar w:left="1440" w:top="559" w:right="1440" w:bottom="0" w:gutter="0" w:footer="0" w:header="0"/>
        </w:sectPr>
      </w:pPr>
    </w:p>
    <w:bookmarkStart w:id="54" w:name="page55"/>
    <w:bookmarkEnd w:id="54"/>
    <w:p>
      <w:pPr>
        <w:ind w:left="620" w:right="2280"/>
        <w:spacing w:after="0" w:line="223" w:lineRule="auto"/>
        <w:rPr>
          <w:sz w:val="20"/>
          <w:szCs w:val="20"/>
          <w:color w:val="auto"/>
        </w:rPr>
      </w:pPr>
      <w:r>
        <w:rPr>
          <w:rFonts w:ascii="Times New Roman" w:cs="Times New Roman" w:eastAsia="Times New Roman" w:hAnsi="Times New Roman"/>
          <w:sz w:val="12"/>
          <w:szCs w:val="12"/>
          <w:b w:val="1"/>
          <w:bCs w:val="1"/>
          <w:color w:val="auto"/>
        </w:rPr>
        <w:t xml:space="preserve">Tahamtan Ahmadi </w:t>
      </w:r>
      <w:r>
        <w:rPr>
          <w:rFonts w:ascii="Times New Roman" w:cs="Times New Roman" w:eastAsia="Times New Roman" w:hAnsi="Times New Roman"/>
          <w:sz w:val="12"/>
          <w:szCs w:val="12"/>
          <w:color w:val="auto"/>
        </w:rPr>
        <w:t>joined us in 2017 and became the Executive Vice President and Chief Medical Officer, Head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Experimental Medicines effective March 1, 2021. Prior to that, Dr. Ahmadi was Head of Experimental Medicine and Early Development Oncology at Janssen and a member of the Senior Leadership Team for Oncology from 2012 to 2017. During his time at Janssen, he led the global development of daratumumab including clinical R&amp;D and medical affairs strategy across indications. Dr. Ahmadi was previously a faculty member of the Department of Hematology and Oncology at the University of Pennsylvania. He holds an M.D. from the University of Cologne and a Ph.D. from the University of Freiburg, both in Germany, and has experience in translational research, strategic product development, global regulatory submissions and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Christopher Cozic </w:t>
      </w:r>
      <w:r>
        <w:rPr>
          <w:rFonts w:ascii="Times New Roman" w:cs="Times New Roman" w:eastAsia="Times New Roman" w:hAnsi="Times New Roman"/>
          <w:sz w:val="12"/>
          <w:szCs w:val="12"/>
          <w:color w:val="auto"/>
        </w:rPr>
        <w:t>joined Genmab in 2017 and was appointed Executive Vice President and Chief People Officer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2022. Prior to joining Genmab, Mr. Cozic was Vice President of Human Resources at Ipsen from 2014 to 2017. Previously, he spent over eight years at Eisai, where he served as Director, Global Human Resources, after joining the company in 2006. Mr. Cozic is a member of the Board of BioNJ and became Chair of the Board effective February 2026. He received his B.A. in English and Communications from Quinnipiac University and also attained Professional in Human Resources, Senior Professional in Human Resources, and Global Professional in Human Resources certifications.</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Martine J. van Vugt </w:t>
      </w:r>
      <w:r>
        <w:rPr>
          <w:rFonts w:ascii="Times New Roman" w:cs="Times New Roman" w:eastAsia="Times New Roman" w:hAnsi="Times New Roman"/>
          <w:sz w:val="12"/>
          <w:szCs w:val="12"/>
          <w:color w:val="auto"/>
        </w:rPr>
        <w:t>started her professional career with us in 2001 and was appointed Executive Vice President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Chief Strategy Officer in 2023. Dr. van Vugt is currently responsible for Corporate Strategy, Corporate Development, Business Development and Licensing &amp; Alliance Management. She has been active in business development operations since 2011. From 1998 until joining us in 2001, she studied dendritic cell vaccination therapy as a post-doctoral fellow. Dr. van Vugt holds an M.Sc. from the University of Wageningen and a Ph.D. from Utrecht University.</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 xml:space="preserve">Rayne Waller </w:t>
      </w:r>
      <w:r>
        <w:rPr>
          <w:rFonts w:ascii="Times New Roman" w:cs="Times New Roman" w:eastAsia="Times New Roman" w:hAnsi="Times New Roman"/>
          <w:sz w:val="12"/>
          <w:szCs w:val="12"/>
          <w:color w:val="auto"/>
        </w:rPr>
        <w:t>joined Genmab in 2024 as Executive Vice President and Chief Technical Operations Officer. Mr.</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Waller is responsible for all elements of technical operations from early-to-mid-stage product development through global manufacturing of both clinical and commercial products. Prior to joining Genmab, Mr. Waller served as Chief Operating Officer at Capsida Biotherapeutics, with responsibility for all aspects of technical operations as well as program management, human resources, and IT. Prior to Capsida Biotherapeutics, Mr. Waller spent 27 years at Amgen in roles of increasing responsibility across manufacturing and supply chain Management. These roles included Vice President and site head of Amgen Manufacturing Limited in Puerto Rico, Vice President of European site operations, and Vice President of Global Supply Chain Management with responsibility for contract manufacturing, global supply management, alliance management, operations strategic planning, and risk management. Mr. Waller holds a Bachelor of Science degree in Business Administration from the University of Arizona.</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Brad Bailey </w:t>
      </w:r>
      <w:r>
        <w:rPr>
          <w:rFonts w:ascii="Times New Roman" w:cs="Times New Roman" w:eastAsia="Times New Roman" w:hAnsi="Times New Roman"/>
          <w:sz w:val="12"/>
          <w:szCs w:val="12"/>
          <w:color w:val="auto"/>
        </w:rPr>
        <w:t>joined Genmab in 2020 and became Executive Vice President and Chief Commercial Officer effective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August 19, 2024. Mr. Bailey leads Genmab’s commercial organization globally and is responsible for driving growth across the company’s portfolio and delivering its antibody -based medicines to patients. In his prior role as Senior Vice President and General Manager Genmab’s US operations, Mr. Bailey established the company’s commercial organization in the US and led the launches of Genmab’s first two marketed medicines. With more than 25 years in the healthcare industry, Mr. Bailey has extensive experience in strategic and operational commercial leadership roles across specialty biopharma, oncology, immunology, and other serious diseases in the US and around the world. He holds a Bachelor of Science in Business Administration from Clemson University.</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Greg Mueller </w:t>
      </w:r>
      <w:r>
        <w:rPr>
          <w:rFonts w:ascii="Times New Roman" w:cs="Times New Roman" w:eastAsia="Times New Roman" w:hAnsi="Times New Roman"/>
          <w:sz w:val="12"/>
          <w:szCs w:val="12"/>
          <w:color w:val="auto"/>
        </w:rPr>
        <w:t>joined Genmab in July 2025 as Executive Vice President, General Counsel &amp; Chief Legal Officer. Mr.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Mueller is responsible for leading and managing the global legal, intellectual property, corporate governance, and global compliance and risk functions. Before joining Genmab, he spent more than 20 years at AstraZeneca, living and working in North America, Europe and Asia. For the last 12 years, he was part of the Legal Senior Management Team, holding roles as the Deputy General Counsel, International and then as the Deputy General Counsel, Corporate. Prior to AstraZeneca, he worked as a corporate transactions lawyer at a large national Canadian law firm. He holds a Bachelor of Commerce specialist degree from the University of Toronto and a Law Degree (LLB) from Queen’s University.</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B.  Compensation</w:t>
      </w:r>
    </w:p>
    <w:p>
      <w:pPr>
        <w:ind w:left="620"/>
        <w:spacing w:after="0" w:line="215" w:lineRule="auto"/>
        <w:rPr>
          <w:sz w:val="20"/>
          <w:szCs w:val="20"/>
          <w:color w:val="auto"/>
        </w:rPr>
      </w:pPr>
      <w:r>
        <w:rPr>
          <w:rFonts w:ascii="Times New Roman" w:cs="Times New Roman" w:eastAsia="Times New Roman" w:hAnsi="Times New Roman"/>
          <w:sz w:val="12"/>
          <w:szCs w:val="12"/>
          <w:color w:val="auto"/>
        </w:rPr>
        <w:t>Remuneration to the Board includes base board fees, committee fees, and share-based compensation. No member of</w:t>
      </w:r>
    </w:p>
    <w:p>
      <w:pPr>
        <w:ind w:left="620" w:right="2400"/>
        <w:spacing w:after="0" w:line="220" w:lineRule="auto"/>
        <w:rPr>
          <w:sz w:val="20"/>
          <w:szCs w:val="20"/>
          <w:color w:val="auto"/>
        </w:rPr>
      </w:pPr>
      <w:r>
        <w:rPr>
          <w:rFonts w:ascii="Times New Roman" w:cs="Times New Roman" w:eastAsia="Times New Roman" w:hAnsi="Times New Roman"/>
          <w:sz w:val="12"/>
          <w:szCs w:val="12"/>
          <w:color w:val="auto"/>
        </w:rPr>
        <w:t>the Board is entitled to any kind of remuneration upon retirement from his or her position as a member of the Board. We have not allocated funds for any pension benefits, severance schemes or similar measures, or undertaken any other obligations to do so on behalf of the Board, and we have no obligation to do so. Remuneration to Executive Management includes base salary, defined contribution plans, share-based compensation, annual cash bonuses, and other benefits. See Note 5.1 to our Audited Financial Statements included in our Annual Report 2025 for details on compensation of our directors in connection with their membership to the Board and our Executive Management in connection with their employment with us.</w:t>
      </w:r>
    </w:p>
    <w:p>
      <w:pPr>
        <w:sectPr>
          <w:pgSz w:w="11900" w:h="16840" w:orient="portrait"/>
          <w:cols w:equalWidth="0" w:num="1">
            <w:col w:w="9020"/>
          </w:cols>
          <w:pgMar w:left="1440" w:top="557" w:right="1440" w:bottom="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Certain Executive Management Agreements</w:t>
      </w:r>
    </w:p>
    <w:p>
      <w:pPr>
        <w:ind w:left="620"/>
        <w:spacing w:after="0" w:line="215" w:lineRule="auto"/>
        <w:rPr>
          <w:sz w:val="20"/>
          <w:szCs w:val="20"/>
          <w:color w:val="auto"/>
        </w:rPr>
      </w:pPr>
      <w:r>
        <w:rPr>
          <w:rFonts w:ascii="Times New Roman" w:cs="Times New Roman" w:eastAsia="Times New Roman" w:hAnsi="Times New Roman"/>
          <w:sz w:val="12"/>
          <w:szCs w:val="12"/>
          <w:color w:val="auto"/>
        </w:rPr>
        <w:t>Remuneration given to each member of Executive Management, in accordance with their service agreements consists</w:t>
      </w:r>
    </w:p>
    <w:p>
      <w:pPr>
        <w:ind w:left="620" w:right="2280"/>
        <w:spacing w:after="0" w:line="223" w:lineRule="auto"/>
        <w:rPr>
          <w:sz w:val="20"/>
          <w:szCs w:val="20"/>
          <w:color w:val="auto"/>
        </w:rPr>
      </w:pPr>
      <w:r>
        <w:rPr>
          <w:rFonts w:ascii="Times New Roman" w:cs="Times New Roman" w:eastAsia="Times New Roman" w:hAnsi="Times New Roman"/>
          <w:sz w:val="12"/>
          <w:szCs w:val="12"/>
          <w:color w:val="auto"/>
        </w:rPr>
        <w:t>of a base salary, a cash bonus, and RSUs. The maximum bonus opportunity for Dr. van de Winkel is in accordance with the Remuneration Policy and as recommended by the Compensation Committee and approved by the Board in a range of 0 to 150 percent of his annual base salary. The maximum bonus opportunity for other members of our Executive Management is conditional upon the recommendation of the CEO, in an amount between 0 and 90 percent of the individual’s annual base salary, in accordance with the Remuneration Policy and as recommended by the Compensation Committee and</w:t>
      </w:r>
    </w:p>
    <w:p>
      <w:pPr>
        <w:sectPr>
          <w:pgSz w:w="11900" w:h="16840" w:orient="portrait"/>
          <w:cols w:equalWidth="0" w:num="1">
            <w:col w:w="9020"/>
          </w:cols>
          <w:pgMar w:left="1440" w:top="557" w:right="1440" w:bottom="99" w:gutter="0" w:footer="0" w:header="0"/>
          <w:type w:val="continuous"/>
        </w:sectPr>
      </w:pPr>
    </w:p>
    <w:bookmarkStart w:id="55" w:name="page56"/>
    <w:bookmarkEnd w:id="55"/>
    <w:p>
      <w:pPr>
        <w:ind w:left="620" w:right="2260"/>
        <w:spacing w:after="0" w:line="221" w:lineRule="auto"/>
        <w:rPr>
          <w:sz w:val="20"/>
          <w:szCs w:val="20"/>
          <w:color w:val="auto"/>
        </w:rPr>
      </w:pPr>
      <w:r>
        <w:rPr>
          <w:rFonts w:ascii="Times New Roman" w:cs="Times New Roman" w:eastAsia="Times New Roman" w:hAnsi="Times New Roman"/>
          <w:sz w:val="12"/>
          <w:szCs w:val="12"/>
          <w:color w:val="auto"/>
        </w:rPr>
        <w:t>approved by the Board; however, any bonus in excess of 100 percent of base salary for Dr.</w:t>
      </w:r>
      <w:r>
        <w:rPr>
          <w:rFonts w:ascii="Arial" w:cs="Arial" w:eastAsia="Arial" w:hAnsi="Arial"/>
          <w:sz w:val="12"/>
          <w:szCs w:val="12"/>
          <w:color w:val="auto"/>
        </w:rPr>
        <w:t> </w:t>
      </w:r>
      <w:r>
        <w:rPr>
          <w:rFonts w:ascii="Times New Roman" w:cs="Times New Roman" w:eastAsia="Times New Roman" w:hAnsi="Times New Roman"/>
          <w:sz w:val="12"/>
          <w:szCs w:val="12"/>
          <w:color w:val="auto"/>
        </w:rPr>
        <w:t>van de Winkel and 60 percent of base salary for other members of our Executive Management will be deferred into RSUs subject to three years’ vesting in accordance with Genmab’s Remuneration Policy. Each member of Executive Management qualifies for all of our benefit programs, including retirement plans.</w:t>
      </w:r>
    </w:p>
    <w:p>
      <w:pPr>
        <w:ind w:left="620" w:right="2480"/>
        <w:spacing w:after="0" w:line="215" w:lineRule="auto"/>
        <w:rPr>
          <w:sz w:val="20"/>
          <w:szCs w:val="20"/>
          <w:color w:val="auto"/>
        </w:rPr>
      </w:pPr>
      <w:r>
        <w:rPr>
          <w:rFonts w:ascii="Times New Roman" w:cs="Times New Roman" w:eastAsia="Times New Roman" w:hAnsi="Times New Roman"/>
          <w:sz w:val="12"/>
          <w:szCs w:val="12"/>
          <w:color w:val="auto"/>
        </w:rPr>
        <w:t>Each member of Executive Management can terminate their employment with us by giving a six-month notice. We can terminate their employment with us by giving them a 12 - month notice. In the event that we terminate the service agreements without cause, we will be obliged to pay the then existing salary (including all benefits set forth in their respective service agreements) to Dr. van de Winkel for two years, and to other members of Executive Management for one year, after the end of the 12-month notice period.</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In the event of a termination by us without cause in connection with a change in control (as defined in the individuals’ service agreements), the notice period will be extended up to 24 months in the first year after the change of control. In addition, we will pay an additional two years of then current salary (including all benefits set forth in his service agreement) to Dr. van de Winkel, and an additional year of then current salary (including all benefits set forth in their respective service agreements) to each other member of Executive Management. Dr. van de Winkel will also receive an amount equal to two times the highest total bonus awarded to him, and other members of Executive Management will each receive an amount equal to the highest total bonus awarded to them, in any year during the term of their respective employment, in each case payable in a lump sum payment on the individual’s last working day.</w:t>
      </w:r>
    </w:p>
    <w:p>
      <w:pPr>
        <w:spacing w:after="0" w:line="1" w:lineRule="exact"/>
        <w:rPr>
          <w:sz w:val="20"/>
          <w:szCs w:val="20"/>
          <w:color w:val="auto"/>
        </w:rPr>
      </w:pPr>
    </w:p>
    <w:p>
      <w:pPr>
        <w:ind w:left="620" w:right="2400"/>
        <w:spacing w:after="0" w:line="215" w:lineRule="auto"/>
        <w:rPr>
          <w:sz w:val="20"/>
          <w:szCs w:val="20"/>
          <w:color w:val="auto"/>
        </w:rPr>
      </w:pPr>
      <w:r>
        <w:rPr>
          <w:rFonts w:ascii="Times New Roman" w:cs="Times New Roman" w:eastAsia="Times New Roman" w:hAnsi="Times New Roman"/>
          <w:sz w:val="12"/>
          <w:szCs w:val="12"/>
          <w:color w:val="auto"/>
        </w:rPr>
        <w:t>Other than as set out above, no member of Executive Management is entitled to any kind of remuneration upon termination of employment. We have not granted any loans, issued any guarantees or undertaken any other obligations to do so on behalf of any member of our Executive Management.</w:t>
      </w: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Other than as set out above, no exceptional or extraordinary agreements, including agreements regarding bonus schemes, other than ordinary incentive schemes and remuneration of the Executive Management implying financial obligations for us, have been concluded with members of our Executive Management.</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Warrant Program</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We have established a warrant program (“</w:t>
      </w:r>
      <w:r>
        <w:rPr>
          <w:rFonts w:ascii="Times New Roman" w:cs="Times New Roman" w:eastAsia="Times New Roman" w:hAnsi="Times New Roman"/>
          <w:sz w:val="12"/>
          <w:szCs w:val="12"/>
          <w:b w:val="1"/>
          <w:bCs w:val="1"/>
          <w:color w:val="auto"/>
        </w:rPr>
        <w:t>Warrant Program</w:t>
      </w:r>
      <w:r>
        <w:rPr>
          <w:rFonts w:ascii="Times New Roman" w:cs="Times New Roman" w:eastAsia="Times New Roman" w:hAnsi="Times New Roman"/>
          <w:sz w:val="12"/>
          <w:szCs w:val="12"/>
          <w:color w:val="auto"/>
        </w:rPr>
        <w:t>”) as an incentive for our employees. Warrants are granted by the Board in accordance with authorizations given to it by our shareholders. Warrant grants are subject to the relevant terms of our articles of association and, if applicable, the Remuneration Policy or any incentive guidelines or remuneration principles adopted by the shareholders at the general meeting preceding the Remuneration Policy. Under the terms of the Warrant Program, (i) warrants are granted at an exercise price equal to the share price on the grant date, (ii) the exercise price cannot be fixed at a lower price than the market price at the grant date and (iii) in connection with exercise, the warrants are to be settled with the delivery of our shares.</w:t>
      </w:r>
    </w:p>
    <w:p>
      <w:pPr>
        <w:spacing w:after="0" w:line="1" w:lineRule="exact"/>
        <w:rPr>
          <w:sz w:val="20"/>
          <w:szCs w:val="20"/>
          <w:color w:val="auto"/>
        </w:rPr>
      </w:pPr>
    </w:p>
    <w:p>
      <w:pPr>
        <w:ind w:left="620" w:right="2580"/>
        <w:spacing w:after="0" w:line="215" w:lineRule="auto"/>
        <w:rPr>
          <w:sz w:val="20"/>
          <w:szCs w:val="20"/>
          <w:color w:val="auto"/>
        </w:rPr>
      </w:pPr>
      <w:r>
        <w:rPr>
          <w:rFonts w:ascii="Times New Roman" w:cs="Times New Roman" w:eastAsia="Times New Roman" w:hAnsi="Times New Roman"/>
          <w:sz w:val="12"/>
          <w:szCs w:val="12"/>
          <w:color w:val="auto"/>
        </w:rPr>
        <w:t xml:space="preserve">See Note 4.6 to our Audited Financial Statements included in our Annual Report 2025 for more details of our warrant program, our outstanding warrants and a summary of the holders of such warrants as of December 31, 2025. </w:t>
      </w:r>
      <w:r>
        <w:rPr>
          <w:rFonts w:ascii="Times New Roman" w:cs="Times New Roman" w:eastAsia="Times New Roman" w:hAnsi="Times New Roman"/>
          <w:sz w:val="12"/>
          <w:szCs w:val="12"/>
          <w:i w:val="1"/>
          <w:iCs w:val="1"/>
          <w:color w:val="auto"/>
        </w:rPr>
        <w:t>Warrant Compensation</w:t>
      </w:r>
    </w:p>
    <w:p>
      <w:pPr>
        <w:jc w:val="both"/>
        <w:ind w:left="620" w:right="2460"/>
        <w:spacing w:after="0" w:line="228" w:lineRule="auto"/>
        <w:rPr>
          <w:sz w:val="20"/>
          <w:szCs w:val="20"/>
          <w:color w:val="auto"/>
        </w:rPr>
      </w:pPr>
      <w:r>
        <w:rPr>
          <w:rFonts w:ascii="Times New Roman" w:cs="Times New Roman" w:eastAsia="Times New Roman" w:hAnsi="Times New Roman"/>
          <w:sz w:val="12"/>
          <w:szCs w:val="12"/>
          <w:color w:val="auto"/>
        </w:rPr>
        <w:t>During 2025, no members of Executive Management were granted warrants by our Board. Following an amendment to the Remuneration Policy at our 2023 Annual General Meeting, members of Executive Management and members of the Board may only be granted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Restricted Stock Unit Program</w:t>
      </w:r>
    </w:p>
    <w:p>
      <w:pPr>
        <w:ind w:left="620" w:right="2520"/>
        <w:spacing w:after="0" w:line="215" w:lineRule="auto"/>
        <w:rPr>
          <w:sz w:val="20"/>
          <w:szCs w:val="20"/>
          <w:color w:val="auto"/>
        </w:rPr>
      </w:pPr>
      <w:r>
        <w:rPr>
          <w:rFonts w:ascii="Times New Roman" w:cs="Times New Roman" w:eastAsia="Times New Roman" w:hAnsi="Times New Roman"/>
          <w:sz w:val="12"/>
          <w:szCs w:val="12"/>
          <w:color w:val="auto"/>
        </w:rPr>
        <w:t>We have established an RSU program as an incentive for all our employees, members of Executive Management and members of the Board. RSUs are granted and performance vesting criteria, if any, are decided by the Board in its sole discretion. RSUs granted to members of Executive Management and members of the Board are subject to the Remuneration Policy or any incentive guidelines or remuneration principles adopted by the shareholders at the general meeting preceding the Remuneration Policy.</w:t>
      </w:r>
    </w:p>
    <w:p>
      <w:pPr>
        <w:spacing w:after="0" w:line="1" w:lineRule="exact"/>
        <w:rPr>
          <w:sz w:val="20"/>
          <w:szCs w:val="20"/>
          <w:color w:val="auto"/>
        </w:rPr>
      </w:pP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See Note 4.6 to our Audited Financial Statements included in our Annual Report 2025 for more details of our RSU program, our outstanding RSUs and a summary of the holders of such RSUs as of December 31, 2025.</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Restricted Stock Unit Compensation</w:t>
      </w:r>
    </w:p>
    <w:p>
      <w:pPr>
        <w:ind w:left="620"/>
        <w:spacing w:after="0" w:line="230" w:lineRule="auto"/>
        <w:rPr>
          <w:sz w:val="20"/>
          <w:szCs w:val="20"/>
          <w:color w:val="auto"/>
        </w:rPr>
      </w:pPr>
      <w:r>
        <w:rPr>
          <w:rFonts w:ascii="Times New Roman" w:cs="Times New Roman" w:eastAsia="Times New Roman" w:hAnsi="Times New Roman"/>
          <w:sz w:val="12"/>
          <w:szCs w:val="12"/>
          <w:color w:val="auto"/>
        </w:rPr>
        <w:t>During 2025, our Board granted the following RSUs to members of our Board and our Executive Management:</w:t>
      </w:r>
    </w:p>
    <w:tbl>
      <w:tblPr>
        <w:tblLayout w:type="fixed"/>
        <w:tblInd w:w="620" w:type="dxa"/>
        <w:tblCellMar>
          <w:top w:w="0" w:type="dxa"/>
          <w:left w:w="0" w:type="dxa"/>
          <w:bottom w:w="0" w:type="dxa"/>
          <w:right w:w="0" w:type="dxa"/>
        </w:tblCellMar>
      </w:tblPr>
      <w:tr>
        <w:trPr>
          <w:trHeight w:val="102"/>
        </w:trPr>
        <w:tc>
          <w:tcPr>
            <w:tcW w:w="214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Name of Board Member or Executive</w:t>
            </w:r>
          </w:p>
        </w:tc>
        <w:tc>
          <w:tcPr>
            <w:tcW w:w="1540" w:type="dxa"/>
            <w:vAlign w:val="bottom"/>
          </w:tcPr>
          <w:p>
            <w:pPr>
              <w:ind w:left="280"/>
              <w:spacing w:after="0" w:line="102" w:lineRule="exact"/>
              <w:rPr>
                <w:sz w:val="20"/>
                <w:szCs w:val="20"/>
                <w:color w:val="auto"/>
              </w:rPr>
            </w:pPr>
            <w:r>
              <w:rPr>
                <w:rFonts w:ascii="Times New Roman" w:cs="Times New Roman" w:eastAsia="Times New Roman" w:hAnsi="Times New Roman"/>
                <w:sz w:val="11"/>
                <w:szCs w:val="11"/>
                <w:b w:val="1"/>
                <w:bCs w:val="1"/>
                <w:color w:val="auto"/>
              </w:rPr>
              <w:t>Award Date</w:t>
            </w:r>
          </w:p>
        </w:tc>
        <w:tc>
          <w:tcPr>
            <w:tcW w:w="1020" w:type="dxa"/>
            <w:vAlign w:val="bottom"/>
          </w:tcPr>
          <w:p>
            <w:pPr>
              <w:ind w:left="360"/>
              <w:spacing w:after="0" w:line="102" w:lineRule="exact"/>
              <w:rPr>
                <w:sz w:val="20"/>
                <w:szCs w:val="20"/>
                <w:color w:val="auto"/>
              </w:rPr>
            </w:pPr>
            <w:r>
              <w:rPr>
                <w:rFonts w:ascii="Times New Roman" w:cs="Times New Roman" w:eastAsia="Times New Roman" w:hAnsi="Times New Roman"/>
                <w:sz w:val="11"/>
                <w:szCs w:val="11"/>
                <w:b w:val="1"/>
                <w:bCs w:val="1"/>
                <w:color w:val="auto"/>
              </w:rPr>
              <w:t>Granted</w:t>
            </w:r>
          </w:p>
        </w:tc>
        <w:tc>
          <w:tcPr>
            <w:tcW w:w="1420" w:type="dxa"/>
            <w:vAlign w:val="bottom"/>
          </w:tcPr>
          <w:p>
            <w:pPr>
              <w:ind w:left="240"/>
              <w:spacing w:after="0" w:line="102" w:lineRule="exact"/>
              <w:rPr>
                <w:sz w:val="20"/>
                <w:szCs w:val="20"/>
                <w:color w:val="auto"/>
              </w:rPr>
            </w:pPr>
            <w:r>
              <w:rPr>
                <w:rFonts w:ascii="Times New Roman" w:cs="Times New Roman" w:eastAsia="Times New Roman" w:hAnsi="Times New Roman"/>
                <w:sz w:val="11"/>
                <w:szCs w:val="11"/>
                <w:b w:val="1"/>
                <w:bCs w:val="1"/>
                <w:color w:val="auto"/>
              </w:rPr>
              <w:t>Share Price at Date of</w:t>
            </w:r>
          </w:p>
        </w:tc>
      </w:tr>
      <w:tr>
        <w:trPr>
          <w:trHeight w:val="15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Management, Position</w:t>
            </w: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2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Grant (DKK)</w:t>
            </w:r>
          </w:p>
        </w:tc>
      </w:tr>
      <w:tr>
        <w:trPr>
          <w:trHeight w:val="22"/>
        </w:trPr>
        <w:tc>
          <w:tcPr>
            <w:tcW w:w="21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95"/>
        </w:trPr>
        <w:tc>
          <w:tcPr>
            <w:tcW w:w="2140" w:type="dxa"/>
            <w:vAlign w:val="bottom"/>
            <w:gridSpan w:val="2"/>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color w:val="auto"/>
              </w:rPr>
              <w:t>Deirdre P. Connelly,</w:t>
            </w:r>
          </w:p>
        </w:tc>
        <w:tc>
          <w:tcPr>
            <w:tcW w:w="1540" w:type="dxa"/>
            <w:vAlign w:val="bottom"/>
            <w:shd w:val="clear" w:color="auto" w:fill="CCEEFF"/>
          </w:tcPr>
          <w:p>
            <w:pPr>
              <w:ind w:left="280"/>
              <w:spacing w:after="0" w:line="95" w:lineRule="exact"/>
              <w:rPr>
                <w:sz w:val="20"/>
                <w:szCs w:val="20"/>
                <w:color w:val="auto"/>
              </w:rPr>
            </w:pPr>
            <w:r>
              <w:rPr>
                <w:rFonts w:ascii="Times New Roman" w:cs="Times New Roman" w:eastAsia="Times New Roman" w:hAnsi="Times New Roman"/>
                <w:sz w:val="10"/>
                <w:szCs w:val="10"/>
                <w:color w:val="auto"/>
              </w:rPr>
              <w:t>March 12, 2025</w:t>
            </w:r>
          </w:p>
        </w:tc>
        <w:tc>
          <w:tcPr>
            <w:tcW w:w="1020" w:type="dxa"/>
            <w:vAlign w:val="bottom"/>
            <w:shd w:val="clear" w:color="auto" w:fill="CCEEFF"/>
          </w:tcPr>
          <w:p>
            <w:pPr>
              <w:ind w:left="360"/>
              <w:spacing w:after="0" w:line="95" w:lineRule="exact"/>
              <w:rPr>
                <w:sz w:val="20"/>
                <w:szCs w:val="20"/>
                <w:color w:val="auto"/>
              </w:rPr>
            </w:pPr>
            <w:r>
              <w:rPr>
                <w:rFonts w:ascii="Times New Roman" w:cs="Times New Roman" w:eastAsia="Times New Roman" w:hAnsi="Times New Roman"/>
                <w:sz w:val="10"/>
                <w:szCs w:val="10"/>
                <w:color w:val="auto"/>
              </w:rPr>
              <w:t>1,311</w:t>
            </w:r>
          </w:p>
        </w:tc>
        <w:tc>
          <w:tcPr>
            <w:tcW w:w="1420" w:type="dxa"/>
            <w:vAlign w:val="bottom"/>
            <w:shd w:val="clear" w:color="auto" w:fill="CCEEFF"/>
          </w:tcPr>
          <w:p>
            <w:pPr>
              <w:ind w:left="240"/>
              <w:spacing w:after="0" w:line="95" w:lineRule="exact"/>
              <w:rPr>
                <w:sz w:val="20"/>
                <w:szCs w:val="20"/>
                <w:color w:val="auto"/>
              </w:rPr>
            </w:pPr>
            <w:r>
              <w:rPr>
                <w:rFonts w:ascii="Times New Roman" w:cs="Times New Roman" w:eastAsia="Times New Roman" w:hAnsi="Times New Roman"/>
                <w:sz w:val="10"/>
                <w:szCs w:val="10"/>
                <w:color w:val="auto"/>
              </w:rPr>
              <w:t>1,373</w:t>
            </w:r>
          </w:p>
        </w:tc>
      </w:tr>
      <w:tr>
        <w:trPr>
          <w:trHeight w:val="161"/>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Chair</w:t>
            </w:r>
          </w:p>
        </w:tc>
        <w:tc>
          <w:tcPr>
            <w:tcW w:w="1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Pernille Erenbjerg,</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Deputy Chair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Anders Gersel Pedersen,</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Board Member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Paolo Paoletti,</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Board Member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Rolf Hoffmann,</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Board Member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Elizabeth O'Farrell,</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Board Member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Mijke Zachariasse,</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Elected Member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Martin Schultz,</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Employee Elected Member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Michael Kavanagh,</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March 12,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1,092</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1,373</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Elected Member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Jan van de Winkel,</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36,373</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Chief Executive Officer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Anthony Pagano,</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18,270</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Financial Officer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Judith Klimovsky,</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20,462</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Chief Development Officer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Tahamtan Ahmadi,</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19,332</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Medical Officer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Christopher Cozic,</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13,384</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Chief People Officer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Martine J. van Vugt,</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10,666</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Strategy Officer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Rayne Waller,</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6,406</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Chief Technical Operations Officer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
        </w:trPr>
        <w:tc>
          <w:tcPr>
            <w:tcW w:w="21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05"/>
        </w:trPr>
        <w:tc>
          <w:tcPr>
            <w:tcW w:w="2140" w:type="dxa"/>
            <w:vAlign w:val="bottom"/>
            <w:gridSpan w:val="2"/>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Brad Bailey,</w:t>
            </w:r>
          </w:p>
        </w:tc>
        <w:tc>
          <w:tcPr>
            <w:tcW w:w="1540" w:type="dxa"/>
            <w:vAlign w:val="bottom"/>
            <w:shd w:val="clear" w:color="auto" w:fill="CCEEFF"/>
          </w:tcPr>
          <w:p>
            <w:pPr>
              <w:ind w:left="280"/>
              <w:spacing w:after="0" w:line="105" w:lineRule="exact"/>
              <w:rPr>
                <w:sz w:val="20"/>
                <w:szCs w:val="20"/>
                <w:color w:val="auto"/>
              </w:rPr>
            </w:pPr>
            <w:r>
              <w:rPr>
                <w:rFonts w:ascii="Times New Roman" w:cs="Times New Roman" w:eastAsia="Times New Roman" w:hAnsi="Times New Roman"/>
                <w:sz w:val="11"/>
                <w:szCs w:val="11"/>
                <w:color w:val="auto"/>
              </w:rPr>
              <w:t>February 28, 2025</w:t>
            </w:r>
          </w:p>
        </w:tc>
        <w:tc>
          <w:tcPr>
            <w:tcW w:w="1020" w:type="dxa"/>
            <w:vAlign w:val="bottom"/>
            <w:shd w:val="clear" w:color="auto" w:fill="CCEEFF"/>
          </w:tcPr>
          <w:p>
            <w:pPr>
              <w:ind w:left="360"/>
              <w:spacing w:after="0" w:line="105" w:lineRule="exact"/>
              <w:rPr>
                <w:sz w:val="20"/>
                <w:szCs w:val="20"/>
                <w:color w:val="auto"/>
              </w:rPr>
            </w:pPr>
            <w:r>
              <w:rPr>
                <w:rFonts w:ascii="Times New Roman" w:cs="Times New Roman" w:eastAsia="Times New Roman" w:hAnsi="Times New Roman"/>
                <w:sz w:val="11"/>
                <w:szCs w:val="11"/>
                <w:color w:val="auto"/>
              </w:rPr>
              <w:t>5,914</w:t>
            </w:r>
          </w:p>
        </w:tc>
        <w:tc>
          <w:tcPr>
            <w:tcW w:w="1420" w:type="dxa"/>
            <w:vAlign w:val="bottom"/>
            <w:shd w:val="clear" w:color="auto" w:fill="CCEEFF"/>
          </w:tcPr>
          <w:p>
            <w:pPr>
              <w:ind w:left="240"/>
              <w:spacing w:after="0" w:line="105" w:lineRule="exact"/>
              <w:rPr>
                <w:sz w:val="20"/>
                <w:szCs w:val="20"/>
                <w:color w:val="auto"/>
              </w:rPr>
            </w:pPr>
            <w:r>
              <w:rPr>
                <w:rFonts w:ascii="Times New Roman" w:cs="Times New Roman" w:eastAsia="Times New Roman" w:hAnsi="Times New Roman"/>
                <w:sz w:val="11"/>
                <w:szCs w:val="11"/>
                <w:color w:val="auto"/>
              </w:rPr>
              <w:t>1,609</w:t>
            </w:r>
          </w:p>
        </w:tc>
      </w:tr>
      <w:tr>
        <w:trPr>
          <w:trHeight w:val="151"/>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Commercial Officer</w:t>
            </w:r>
          </w:p>
        </w:tc>
        <w:tc>
          <w:tcPr>
            <w:tcW w:w="15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r>
      <w:tr>
        <w:trPr>
          <w:trHeight w:val="105"/>
        </w:trPr>
        <w:tc>
          <w:tcPr>
            <w:tcW w:w="21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color w:val="auto"/>
              </w:rPr>
              <w:t>Greg Mueller,</w:t>
            </w:r>
          </w:p>
        </w:tc>
        <w:tc>
          <w:tcPr>
            <w:tcW w:w="154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September 25, 2025</w:t>
            </w:r>
          </w:p>
        </w:tc>
        <w:tc>
          <w:tcPr>
            <w:tcW w:w="1020" w:type="dxa"/>
            <w:vAlign w:val="bottom"/>
          </w:tcPr>
          <w:p>
            <w:pPr>
              <w:ind w:left="360"/>
              <w:spacing w:after="0" w:line="105" w:lineRule="exact"/>
              <w:rPr>
                <w:sz w:val="20"/>
                <w:szCs w:val="20"/>
                <w:color w:val="auto"/>
              </w:rPr>
            </w:pPr>
            <w:r>
              <w:rPr>
                <w:rFonts w:ascii="Times New Roman" w:cs="Times New Roman" w:eastAsia="Times New Roman" w:hAnsi="Times New Roman"/>
                <w:sz w:val="11"/>
                <w:szCs w:val="11"/>
                <w:color w:val="auto"/>
              </w:rPr>
              <w:t>5,398</w:t>
            </w:r>
          </w:p>
        </w:tc>
        <w:tc>
          <w:tcPr>
            <w:tcW w:w="142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color w:val="auto"/>
              </w:rPr>
              <w:t>1,853</w:t>
            </w:r>
          </w:p>
        </w:tc>
      </w:tr>
      <w:tr>
        <w:trPr>
          <w:trHeight w:val="14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General Counsel &amp; Chief Legal Officer*</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32"/>
        </w:trPr>
        <w:tc>
          <w:tcPr>
            <w:tcW w:w="15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r>
    </w:tbl>
    <w:p>
      <w:pPr>
        <w:sectPr>
          <w:pgSz w:w="11900" w:h="16840" w:orient="portrait"/>
          <w:cols w:equalWidth="0" w:num="1">
            <w:col w:w="9020"/>
          </w:cols>
          <w:pgMar w:left="1440" w:top="559" w:right="1440" w:bottom="30" w:gutter="0" w:footer="0" w:header="0"/>
        </w:sectPr>
      </w:pPr>
    </w:p>
    <w:bookmarkStart w:id="56" w:name="page57"/>
    <w:bookmarkEnd w:id="56"/>
    <w:p>
      <w:pPr>
        <w:ind w:left="620"/>
        <w:spacing w:after="0"/>
        <w:rPr>
          <w:sz w:val="20"/>
          <w:szCs w:val="20"/>
          <w:color w:val="auto"/>
        </w:rPr>
      </w:pPr>
      <w:r>
        <w:rPr>
          <w:rFonts w:ascii="Arial" w:cs="Arial" w:eastAsia="Arial" w:hAnsi="Arial"/>
          <w:sz w:val="7"/>
          <w:szCs w:val="7"/>
          <w:color w:val="auto"/>
        </w:rPr>
        <w:t>* –Greg Mueller was appointed Executive Vice President, General Counsel, Chief Legal Officer, and a member of the Executive Management in July 2025.</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Insurance and Discharge of Liability</w:t>
      </w:r>
    </w:p>
    <w:p>
      <w:pPr>
        <w:ind w:left="620" w:right="2400"/>
        <w:spacing w:after="0" w:line="228" w:lineRule="auto"/>
        <w:rPr>
          <w:sz w:val="20"/>
          <w:szCs w:val="20"/>
          <w:color w:val="auto"/>
        </w:rPr>
      </w:pPr>
      <w:r>
        <w:rPr>
          <w:rFonts w:ascii="Times New Roman" w:cs="Times New Roman" w:eastAsia="Times New Roman" w:hAnsi="Times New Roman"/>
          <w:sz w:val="12"/>
          <w:szCs w:val="12"/>
          <w:color w:val="auto"/>
        </w:rPr>
        <w:t>According to the DCA, shareholders, at the general meeting, are permitted to discharge our Board members and registered managers from liability for any particular financial year based on a resolution relating to the period covered by the Audited Financial Statements for the previous financial year. This discharge means that the shareholders will relieve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ind w:left="620" w:right="2580"/>
        <w:spacing w:after="0" w:line="215" w:lineRule="auto"/>
        <w:rPr>
          <w:sz w:val="20"/>
          <w:szCs w:val="20"/>
          <w:color w:val="auto"/>
        </w:rPr>
      </w:pPr>
      <w:r>
        <w:rPr>
          <w:rFonts w:ascii="Times New Roman" w:cs="Times New Roman" w:eastAsia="Times New Roman" w:hAnsi="Times New Roman"/>
          <w:sz w:val="12"/>
          <w:szCs w:val="12"/>
          <w:color w:val="auto"/>
        </w:rPr>
        <w:t>In addition, we provide our Board members and registered managers with directors’ and officers’ liability insurance, and have, similar to other Danish larger companies, implemented an indemnification scheme adopted during the 2025 Annual General Meeting that, in certain cases, covers the liability that Board members, registered managers and/or managerial employees may incur while acting in their capacities as such.</w:t>
      </w:r>
    </w:p>
    <w:p>
      <w:pPr>
        <w:ind w:left="620" w:right="2740"/>
        <w:spacing w:after="0" w:line="215" w:lineRule="auto"/>
        <w:rPr>
          <w:sz w:val="20"/>
          <w:szCs w:val="20"/>
          <w:color w:val="auto"/>
        </w:rPr>
      </w:pPr>
      <w:r>
        <w:rPr>
          <w:rFonts w:ascii="Times New Roman" w:cs="Times New Roman" w:eastAsia="Times New Roman" w:hAnsi="Times New Roman"/>
          <w:sz w:val="12"/>
          <w:szCs w:val="12"/>
          <w:color w:val="auto"/>
        </w:rPr>
        <w:t>We have not granted any loans, guarantees, or other commitments to or on behalf of any members of our Board of Directors or Executive Management.</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Employment Agreement and Warrant Grants</w:t>
      </w:r>
    </w:p>
    <w:p>
      <w:pPr>
        <w:ind w:left="620" w:right="2520"/>
        <w:spacing w:after="0" w:line="215" w:lineRule="auto"/>
        <w:rPr>
          <w:sz w:val="20"/>
          <w:szCs w:val="20"/>
          <w:color w:val="auto"/>
        </w:rPr>
      </w:pPr>
      <w:r>
        <w:rPr>
          <w:rFonts w:ascii="Times New Roman" w:cs="Times New Roman" w:eastAsia="Times New Roman" w:hAnsi="Times New Roman"/>
          <w:sz w:val="12"/>
          <w:szCs w:val="12"/>
          <w:color w:val="auto"/>
        </w:rPr>
        <w:t xml:space="preserve">We have entered into employment agreements with, and issued RSUs and warrants to, our Executive Management. See </w:t>
      </w:r>
      <w:r>
        <w:rPr>
          <w:rFonts w:ascii="Times New Roman" w:cs="Times New Roman" w:eastAsia="Times New Roman" w:hAnsi="Times New Roman"/>
          <w:sz w:val="12"/>
          <w:szCs w:val="12"/>
          <w:i w:val="1"/>
          <w:iCs w:val="1"/>
          <w:color w:val="auto"/>
        </w:rPr>
        <w:t>“—Compensation—Certain Executive Management Agreements”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“—Compensation—Warrant Program”</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 xml:space="preserve">“—Compensation—Restricted Stock Unit Program” </w:t>
      </w:r>
      <w:r>
        <w:rPr>
          <w:rFonts w:ascii="Times New Roman" w:cs="Times New Roman" w:eastAsia="Times New Roman" w:hAnsi="Times New Roman"/>
          <w:sz w:val="12"/>
          <w:szCs w:val="12"/>
          <w:color w:val="auto"/>
        </w:rPr>
        <w:t>for more information.</w:t>
      </w:r>
    </w:p>
    <w:p>
      <w:pPr>
        <w:ind w:left="620" w:right="7340" w:firstLine="4"/>
        <w:spacing w:after="0" w:line="215" w:lineRule="auto"/>
        <w:tabs>
          <w:tab w:leader="none" w:pos="833"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Board Practices </w:t>
      </w:r>
      <w:r>
        <w:rPr>
          <w:rFonts w:ascii="Times New Roman" w:cs="Times New Roman" w:eastAsia="Times New Roman" w:hAnsi="Times New Roman"/>
          <w:sz w:val="12"/>
          <w:szCs w:val="12"/>
          <w:b w:val="1"/>
          <w:bCs w:val="1"/>
          <w:i w:val="1"/>
          <w:iCs w:val="1"/>
          <w:color w:val="auto"/>
        </w:rPr>
        <w:t>Board of Directors</w:t>
      </w:r>
    </w:p>
    <w:p>
      <w:pPr>
        <w:ind w:left="620" w:right="234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Board plays an active role in setting our strategies and goals and monitoring our operations and results. Board duties include establishing policies for strategy, accounting, organization and finance and the appointment of the Company’s registered managers. The Board also assesses our capital and share structure and is responsible for approving share issues and the grant of warrants and RSUs. In addition, the Board ensures that our affairs are managed in accordance with our articles of association and applicable law.</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Board performs its duties in accordance with the rules of procedure of the Board. The rules of procedure are</w:t>
      </w:r>
    </w:p>
    <w:p>
      <w:pPr>
        <w:ind w:left="620" w:right="228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reviewed and updated by all members of the Board on a regular basis. The Board meets for at least eight scheduled face-to-face, telephonic, videoconference or Teams meetings during the year. During 2025, the Board held 15 meetings in addition to the informal ongoing communication between Board members and our CEO. Our Board may consist of between three and nine Shareholder Elected Members, elected for terms of one year, with the possibility of re-election. In addition, our employees may, pursuant to Danish statutory rules regarding the representation of employees on the Board of Directors and election regulations adopted by the Board, elect employee representatives to the Board, for terms of three years, with possibility of re-election. The employees of the Company have adopted a voluntary program which allows for election of employee representatives from the Company’s directly and indirectly owned subsidiaries. Currently, the Board has three Employee Elected Members, Michael Kavanagh, Mijke Zachariasse, and Martin Schultz. In total, our Board currently consists of nine Board members (including six Shareholder Elected Members and three Employee Elected Members). The Board elects a chair and deputy chair from among its members. The majority of our Board members are considered to be independent under the corporate governance standards of the Nasdaq Stock Market and Nasdaq Copenhagen.</w:t>
      </w:r>
    </w:p>
    <w:p>
      <w:pPr>
        <w:spacing w:after="0" w:line="1" w:lineRule="exact"/>
        <w:rPr>
          <w:rFonts w:ascii="Times New Roman" w:cs="Times New Roman" w:eastAsia="Times New Roman" w:hAnsi="Times New Roman"/>
          <w:sz w:val="12"/>
          <w:szCs w:val="12"/>
          <w:b w:val="1"/>
          <w:bCs w:val="1"/>
          <w:color w:val="auto"/>
        </w:rPr>
      </w:pP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Management Appointments</w:t>
      </w:r>
    </w:p>
    <w:p>
      <w:pPr>
        <w:ind w:left="620" w:right="228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Registered managers are appointed by the Board, which sets out the terms and conditions of their employment and the framework for their duties. Registered managers are responsible for our day-to-day management, including all assignments that rest upon them according to the Board and under Danish law, in compliance with the guidelines and directions issued by the Board. Management of our day-to-day operations does not include transactions of an unusual nature or of significant importance, or transactions being outside our business plan, which must be authorized by the Board. Non-registered managers are appointed by the CEO in consultation with the Board of Directors.</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Committees of the Board of Directors</w:t>
      </w:r>
    </w:p>
    <w:p>
      <w:pPr>
        <w:ind w:left="620" w:right="2400"/>
        <w:spacing w:after="0" w:line="22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Board has established and appointed a Compensation Committee, an Audit and Finance Committee, a Nominating and Corporate Governance Committee and a Scientific Committee. These committees are charged with reviewing issues pertaining to their respective fields that are due to be considered at Board meetings. Under Danish corporate law, it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89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possible to delegate the decision-making authority of the entire Board to board committees. Written charters specifying the tasks and responsibilities for each of the committees have been adopted by the Board.</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Audit and Finance Committee</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According to the Audit and Finance Committee charter, the Audit and Finance Committee must consist of at least three non-executive Board members, all of whom must be independent. Furthermore, the Chair of the Board shall not be Chair of the Audit and Finance Committee. As of the date of this Annual Report on Form 20 -F, the Audit and Finance Committee consists of members Rolf Hoffmann, Elizabeth O’Farrell and Deirdre P. Connelly and is chaired by Pernille Erenbjerg. The Audit and Finance Committee assists the Board with the oversight of the financial and sustainability reporting process, the effectiveness of internal controls over financial and sustainability reporting and risk management, the independent audit process and compliance with legal and regulatory requirements, in accordance with the Audit and Finance Committee charter. Each member of the Audit and Finance Committee satisfies the independence requirements of the corporate governance standards of the Nasdaq Stock Market, and both Pernille Erenbjerg and Elizabeth O’Farrell qualify as “audit committee financial experts,” as defined in Nasdaq Rule 5605(c)(2)(A) and Item 407(d)(5)(ii) of Regulation S-K of the SEC and as determined by our Board.</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Our Audit and Finance Committee oversees our accounting and financial reporting processes and the audits of our</w:t>
      </w:r>
    </w:p>
    <w:p>
      <w:pPr>
        <w:sectPr>
          <w:pgSz w:w="11900" w:h="16840" w:orient="portrait"/>
          <w:cols w:equalWidth="0" w:num="1">
            <w:col w:w="9020"/>
          </w:cols>
          <w:pgMar w:left="1440" w:top="569" w:right="1440" w:bottom="88" w:gutter="0" w:footer="0" w:header="0"/>
        </w:sectPr>
      </w:pPr>
    </w:p>
    <w:bookmarkStart w:id="57" w:name="page58"/>
    <w:bookmarkEnd w:id="57"/>
    <w:p>
      <w:pPr>
        <w:ind w:left="620"/>
        <w:spacing w:after="0"/>
        <w:rPr>
          <w:sz w:val="20"/>
          <w:szCs w:val="20"/>
          <w:color w:val="auto"/>
        </w:rPr>
      </w:pPr>
      <w:r>
        <w:rPr>
          <w:rFonts w:ascii="Times New Roman" w:cs="Times New Roman" w:eastAsia="Times New Roman" w:hAnsi="Times New Roman"/>
          <w:sz w:val="12"/>
          <w:szCs w:val="12"/>
          <w:color w:val="auto"/>
        </w:rPr>
        <w:t>consolidated financial statements. Our Audit and Finance Committee has the following principal responsibilities:</w:t>
      </w:r>
    </w:p>
    <w:p>
      <w:pPr>
        <w:ind w:left="620" w:right="30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the financial and sustainability reporting principles and process to ensure compliance with legal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and regulatory requirements and the quality, transparency and integrity of the published financial and sustainability information;</w:t>
      </w:r>
    </w:p>
    <w:p>
      <w:pPr>
        <w:ind w:left="620" w:right="31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the appropriateness and effectiveness of our internal controls over financial and sustainability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reporting and risk management system and evaluating the need for an internal audit;</w:t>
      </w:r>
    </w:p>
    <w:p>
      <w:pPr>
        <w:ind w:left="620" w:right="30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our audits and assurances of the Company and the independent registered accounting firm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assurances processes, including recommending the appointment of the independent financial and sustainability auditors and overseeing the annual assessment of their performance and qualifications, preapproving, and overseeing all audit and non -audit services and, to the extent permitted by applicable law, being directly responsible for the appointment, retention and compensation of the independent auditors in connection with audit, review or attestation services;</w:t>
      </w:r>
    </w:p>
    <w:p>
      <w:pPr>
        <w:spacing w:after="0" w:line="1" w:lineRule="exact"/>
        <w:rPr>
          <w:sz w:val="20"/>
          <w:szCs w:val="20"/>
          <w:color w:val="auto"/>
        </w:rPr>
      </w:pPr>
    </w:p>
    <w:p>
      <w:pPr>
        <w:ind w:left="620" w:right="30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the operation of the Company’s internal audit function, including approving the internal audit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charter, the staffing and organizational structure of the internal audit function, and monitoring management’s responsiveness to the internal auditors’ findings and recommendations, including follow-ups;</w:t>
      </w:r>
    </w:p>
    <w:p>
      <w:pPr>
        <w:ind w:left="620" w:right="29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considering the independence of the independent financial and sustainability auditors and any potential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conflicts of interest, including by (a) ensuring receipt from the independent financial and sustainability auditors of a formal written statement delineating all relationships between the independent financial and sustainability auditors and the Company, (b) actively engaging in dialogue with the independent financial and sustainability auditors with respect to factors that may impact the independent financial and sustainability auditors’ objectivity and independence, and (c) taking, or recommending that the Board takes, appropriate action to oversee auditor independence;</w:t>
      </w:r>
    </w:p>
    <w:p>
      <w:pPr>
        <w:spacing w:after="0" w:line="1" w:lineRule="exact"/>
        <w:rPr>
          <w:sz w:val="20"/>
          <w:szCs w:val="20"/>
          <w:color w:val="auto"/>
        </w:rPr>
      </w:pPr>
    </w:p>
    <w:p>
      <w:pPr>
        <w:ind w:left="620" w:right="29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ensuring that significant adjustments, unadjusted differences, disagreements between management and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independent financial auditors and management responses thereto are discussed with the independent auditors and resolving disagreements between management and the independent auditors;</w:t>
      </w:r>
    </w:p>
    <w:p>
      <w:pPr>
        <w:ind w:left="620" w:right="30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assessing transactions between the Company and the Company’s related parties and, in respect of material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related party transactions, submitting a recommendation for approval or </w:t>
      </w:r>
      <w:r>
        <w:rPr>
          <w:rFonts w:ascii="Times New Roman" w:cs="Times New Roman" w:eastAsia="Times New Roman" w:hAnsi="Times New Roman"/>
          <w:sz w:val="12"/>
          <w:szCs w:val="12"/>
          <w:color w:val="000000"/>
        </w:rPr>
        <w:t>non-approval of such transactions to</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the Board prior to their completion;</w:t>
      </w:r>
    </w:p>
    <w:p>
      <w:pPr>
        <w:ind w:left="620" w:right="3040"/>
        <w:spacing w:after="0" w:line="228" w:lineRule="auto"/>
        <w:rPr>
          <w:sz w:val="20"/>
          <w:szCs w:val="20"/>
          <w:color w:val="auto"/>
        </w:rPr>
      </w:pPr>
      <w:r>
        <w:rPr>
          <w:rFonts w:ascii="Times New Roman" w:cs="Times New Roman" w:eastAsia="Times New Roman" w:hAnsi="Times New Roman"/>
          <w:sz w:val="12"/>
          <w:szCs w:val="12"/>
          <w:color w:val="auto"/>
        </w:rPr>
        <w:t>•overseeing the integrity of the Company’s IT systems, processes and data and periodically (but no less than annually), at its discretion, reviewing and assessing with Management (including the Head Internal Auditor and Chief Information Officer), the adequacy of security for the Company’s IT systems, processes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3520"/>
        <w:spacing w:after="0" w:line="215" w:lineRule="auto"/>
        <w:rPr>
          <w:sz w:val="20"/>
          <w:szCs w:val="20"/>
          <w:color w:val="auto"/>
        </w:rPr>
      </w:pPr>
      <w:r>
        <w:rPr>
          <w:rFonts w:ascii="Times New Roman" w:cs="Times New Roman" w:eastAsia="Times New Roman" w:hAnsi="Times New Roman"/>
          <w:sz w:val="12"/>
          <w:szCs w:val="12"/>
          <w:color w:val="auto"/>
        </w:rPr>
        <w:t>and the Company’s contingency plans in the event of a breakdown or security breach affecting the Company’s IT systems, and data or the IT systems;</w:t>
      </w:r>
    </w:p>
    <w:p>
      <w:pPr>
        <w:ind w:left="620" w:right="32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compliance with legal and regulatory requirements in relation to financial and sustainability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reporting and auditing and assurance regulation;</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authority to obtain advice and assistance from independent counsel and other advisors;</w:t>
      </w:r>
    </w:p>
    <w:p>
      <w:pPr>
        <w:jc w:val="both"/>
        <w:ind w:left="620" w:right="30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obtaining appropriate funding, as determined by the Audit and Finance Committee, for compensation to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independent financial and sustainability auditors and to any advisors that the Audit and Finance Committee chooses to engage;</w:t>
      </w:r>
    </w:p>
    <w:p>
      <w:pPr>
        <w:jc w:val="both"/>
        <w:ind w:left="620" w:right="30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monitoring the whistleblower function, including establishment of procedures for the receipt, retention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treatment of any complaints, including confidential anonymous submissions from our employees regarding accounting, auditing and internal control issues received through a formalized complaint process, as well as review of such complaints; and</w:t>
      </w:r>
    </w:p>
    <w:p>
      <w:pPr>
        <w:jc w:val="both"/>
        <w:ind w:left="620" w:right="30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evaluating its own performance and the achievement of its duties on a regular basis, and annually reviewing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and updating the Audit and Finance Committee charter and discussing any required changes thereto with the Board.</w:t>
      </w: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The Audit and Finance Committee also performs such other functions and exercises such other powers as may be delegated to it by the Board from time to time.</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Compensation Committee</w:t>
      </w:r>
    </w:p>
    <w:p>
      <w:pPr>
        <w:ind w:left="620" w:right="2280"/>
        <w:spacing w:after="0" w:line="233" w:lineRule="auto"/>
        <w:rPr>
          <w:sz w:val="20"/>
          <w:szCs w:val="20"/>
          <w:color w:val="auto"/>
        </w:rPr>
      </w:pPr>
      <w:r>
        <w:rPr>
          <w:rFonts w:ascii="Times New Roman" w:cs="Times New Roman" w:eastAsia="Times New Roman" w:hAnsi="Times New Roman"/>
          <w:sz w:val="12"/>
          <w:szCs w:val="12"/>
          <w:color w:val="auto"/>
        </w:rPr>
        <w:t>According to its charter, our Compensation Committee must consist of at least three non-executive directors, appointed by the Board. A majority of the members must be independent. As of the date of this Annual Report on Form 20 -F, the Compensation Committee consists of members Anders Gersel Pedersen, Paolo Paoletti and Deirdre P. Connelly and is chaired by Elizabeth O’Farrell. Paolo Paoletti, Elizabeth O’Farrell, and Deirdre P. Connelly satisfy the independence requirements of the corporate governance standards of the Nasdaq Stock Market. In accordance with the Danish corporate governance recommendations, we consider Anders Gersel Pedersen non- independent solely by virtue of the length of his tenure on our Board, following his election to the Board in 2003. The Compensation Committee assists the Board in the areas of compensation of managers and the adoption of policies that concern our compensation programs, including equity-based programs and benefit plans. The Compensation Committee also makes recommendations to the Board regarding specific remuneration packages for each of the members of the Board as well as our registered managers, including pension rights and any compensation payments. The proposed remuneration policy, if adopted by the Board, is subject to the approval of our shareholders at the Annual General Meeting. The Compensation Committee’s primary responsibilities are as follows:</w:t>
      </w:r>
    </w:p>
    <w:p>
      <w:pPr>
        <w:spacing w:after="0" w:line="1" w:lineRule="exact"/>
        <w:rPr>
          <w:sz w:val="20"/>
          <w:szCs w:val="20"/>
          <w:color w:val="auto"/>
        </w:rPr>
      </w:pPr>
    </w:p>
    <w:p>
      <w:pPr>
        <w:jc w:val="both"/>
        <w:ind w:left="620" w:right="31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the trends in compensation and the competitiveness of our executive compensation programs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ensure (a) the attraction and retention of registered managers, (b) the motivation of registered managers to achieve our business objectives, and (c) the alignment of the interests of key leadership with the long-term interests of our shareholders;</w:t>
      </w:r>
    </w:p>
    <w:p>
      <w:pPr>
        <w:ind w:left="620" w:right="2980"/>
        <w:spacing w:after="0" w:line="215" w:lineRule="auto"/>
        <w:rPr>
          <w:sz w:val="20"/>
          <w:szCs w:val="20"/>
          <w:color w:val="auto"/>
        </w:rPr>
      </w:pPr>
      <w:r>
        <w:rPr>
          <w:rFonts w:ascii="Times New Roman" w:cs="Times New Roman" w:eastAsia="Times New Roman" w:hAnsi="Times New Roman"/>
          <w:sz w:val="12"/>
          <w:szCs w:val="12"/>
          <w:color w:val="auto"/>
        </w:rPr>
        <w:t>•making proposals for the approval of the Board prior to approval by shareholders at the general meeting, on the remuneration policy for members of the Board and the registered managers, including the overall principles of incentive pay schemes, compensation structure and long-term incentive compensation plans and a remuneration policy applicable to the Company in general;</w:t>
      </w:r>
    </w:p>
    <w:p>
      <w:pPr>
        <w:jc w:val="both"/>
        <w:ind w:left="620" w:right="31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the goals and objectives of our CEO and evaluating his performance to make recommendations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concerning CEO compensation; the CEO may not be present during deliberations or voting concerning the CEO’s compensation;</w:t>
      </w:r>
    </w:p>
    <w:p>
      <w:pPr>
        <w:ind w:left="620" w:right="3120"/>
        <w:spacing w:after="0" w:line="23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the evaluation of the performance of the Company’s registered managers, and discussing their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annual compensation, including salary, bonus, incentive and equity compensation, and the selection of</w:t>
      </w:r>
    </w:p>
    <w:p>
      <w:pPr>
        <w:sectPr>
          <w:pgSz w:w="11900" w:h="16840" w:orient="portrait"/>
          <w:cols w:equalWidth="0" w:num="1">
            <w:col w:w="9020"/>
          </w:cols>
          <w:pgMar w:left="1440" w:top="559" w:right="1440"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3120"/>
        <w:spacing w:after="0" w:line="215" w:lineRule="auto"/>
        <w:rPr>
          <w:sz w:val="20"/>
          <w:szCs w:val="20"/>
          <w:color w:val="auto"/>
        </w:rPr>
      </w:pPr>
      <w:r>
        <w:rPr>
          <w:rFonts w:ascii="Times New Roman" w:cs="Times New Roman" w:eastAsia="Times New Roman" w:hAnsi="Times New Roman"/>
          <w:sz w:val="12"/>
          <w:szCs w:val="12"/>
          <w:color w:val="231F20"/>
        </w:rPr>
        <w:t>performance measures, the setting of performance targets and the assessment of performance against those targets;</w:t>
      </w:r>
    </w:p>
    <w:p>
      <w:pPr>
        <w:ind w:left="620" w:right="29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the Company’s policies relating to clawback of incentive awards and confirming that such policies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continue to be appropriate;</w:t>
      </w:r>
    </w:p>
    <w:p>
      <w:pPr>
        <w:ind w:left="620" w:right="34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plans for registered managers’ development and corporate succession plans for registered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management;</w:t>
      </w:r>
    </w:p>
    <w:p>
      <w:pPr>
        <w:ind w:left="620" w:right="29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termination and compensation packages for new registered managers as requested by management;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in its sole discretion, retaining, terminating and receiving advice from outside counsel, compensation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consultants or other advisors, upon consideration of (i) whether such counsel, consultant or advisor provides other services to the Company and the amount of fees they receive from the Company as a percentage of their total revenue, (ii) the policies of such counsel, consultant or advisor designed to prevent conflicts of interest,</w:t>
      </w:r>
    </w:p>
    <w:p>
      <w:pPr>
        <w:spacing w:after="0" w:line="1" w:lineRule="exact"/>
        <w:rPr>
          <w:sz w:val="20"/>
          <w:szCs w:val="20"/>
          <w:color w:val="auto"/>
        </w:rPr>
      </w:pPr>
    </w:p>
    <w:p>
      <w:pPr>
        <w:ind w:left="620" w:right="2940" w:firstLine="4"/>
        <w:spacing w:after="0" w:line="215" w:lineRule="auto"/>
        <w:tabs>
          <w:tab w:leader="none" w:pos="836" w:val="left"/>
        </w:tabs>
        <w:numPr>
          <w:ilvl w:val="0"/>
          <w:numId w:val="1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any business or personal relationship of the consultant, counsel or advisor with a member of the Compensation Committee or a member of Executive Management of the Company, and (iv) any ownership of shares in the Company by the consultant, legal counsel or advisor;</w:t>
      </w:r>
    </w:p>
    <w:p>
      <w:pPr>
        <w:ind w:left="620" w:right="2940"/>
        <w:spacing w:after="0" w:line="21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approving the fees of outside counsel, compensation consultants or other advisors, to be appropriately funded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by the Company and directly overseeing the work of such counsel, consultants or advisors; and</w:t>
      </w:r>
    </w:p>
    <w:p>
      <w:pPr>
        <w:ind w:left="620" w:right="3380"/>
        <w:spacing w:after="0" w:line="21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that the information in the annual report on the compensation of the Board and registered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managers is correct, true and sufficient.</w:t>
      </w:r>
    </w:p>
    <w:p>
      <w:pPr>
        <w:ind w:left="620" w:right="2980"/>
        <w:spacing w:after="0" w:line="21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The Compensation Committee also performs such other functions and exercises such other powers as may be delegated to it by the Board from time to time.</w:t>
      </w:r>
    </w:p>
    <w:p>
      <w:pPr>
        <w:ind w:left="620"/>
        <w:spacing w:after="0" w:line="21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i w:val="1"/>
          <w:iCs w:val="1"/>
          <w:color w:val="auto"/>
        </w:rPr>
        <w:t>Nominating and Corporate Governance Committee</w:t>
      </w:r>
    </w:p>
    <w:p>
      <w:pPr>
        <w:ind w:left="620" w:right="2280"/>
        <w:spacing w:after="0" w:line="236"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According to its charter, our Nominating and Corporate Governance Committee must include at least two non-executive directors, appointed by the Board. A majority of members must be independent. As of the date of this Annual Report on Form 20-F, the Nominating and Corporate Governance Committee consists of members Deirdre P. Connelly and Pernille Erenbjerg and is chaired by Anders Gersel Pedersen. Pernille Erenbjerg and Deirdre P. Connelly satisfy the independence requirements of the corporate governance standards of the Nasdaq Global Select Market. In accordance with the Danish corporate governance recommendations, we consider Anders Gersel Pedersen non-independent solely by virtue of the length of his tenure on our Board, following his election to the Board in 2003. The Nominating and Corporate Governance Committee identifies, reviews, evaluates and recommends to the full Board candidates to serve as directors of the Company and makes recommendations to the Board regarding Board and committee members and corporate governance issues. The Nominating and Corporate Governance Committee’s primary responsibilities include the following:</w:t>
      </w:r>
    </w:p>
    <w:p>
      <w:pPr>
        <w:spacing w:after="0" w:line="4" w:lineRule="exact"/>
        <w:rPr>
          <w:rFonts w:ascii="Times New Roman" w:cs="Times New Roman" w:eastAsia="Times New Roman" w:hAnsi="Times New Roman"/>
          <w:sz w:val="12"/>
          <w:szCs w:val="12"/>
          <w:color w:val="231F20"/>
        </w:rPr>
      </w:pPr>
    </w:p>
    <w:p>
      <w:pPr>
        <w:ind w:left="620" w:right="2900"/>
        <w:spacing w:after="0" w:line="21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proposing to the full Board policies on the size and composition of the Board, including proposals for specific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changes to Board size, composition or internal rules of the Board;</w:t>
      </w:r>
    </w:p>
    <w:p>
      <w:pPr>
        <w:ind w:left="620" w:right="2980"/>
        <w:spacing w:after="0" w:line="21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describing the qualifications required for the Board and the registered managers and for a given position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identifying and recommending qualified candidates to the Board;</w:t>
      </w:r>
    </w:p>
    <w:p>
      <w:pPr>
        <w:ind w:left="620" w:right="2960"/>
        <w:spacing w:after="0" w:line="21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evaluating at least annually the skills, knowledge and experience of the individual members of the Board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the registered managers and evaluating, reviewing and considering whether to recommend existing directors for re-election;</w:t>
      </w:r>
    </w:p>
    <w:p>
      <w:pPr>
        <w:ind w:left="620" w:right="2940"/>
        <w:spacing w:after="0" w:line="224"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annually ahead of providing a recommendation to the Board on election or reelection of members to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Board, review and assess the board members’ current and planned time commitments outside the Company as well as review the attendance rate and engagement of each board member in the board meetings and relevant board committee meetings during their current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maintaining an orientation and continuing education program for directors;</w:t>
      </w:r>
    </w:p>
    <w:p>
      <w:pPr>
        <w:jc w:val="both"/>
        <w:ind w:left="620" w:right="330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establishing a process for the periodic review and assessment of the performance of the Board and its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committees and conducting such review of the structure and performance of each board committee and committee member, recommending any changes considered appropriate, as well as recommending the establishment of new or special committees as desirable or necessary from time to time;</w:t>
      </w:r>
    </w:p>
    <w:p>
      <w:pPr>
        <w:ind w:left="620" w:right="306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periodically assessing the independence of directors and our corporate governance principles and their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application, and recommending any changes deemed appropriate to the Board, including in connection with any proposals submitted by shareholders that relate to corporate governance, corporate social responsibility and ESG matters;</w:t>
      </w:r>
    </w:p>
    <w:p>
      <w:pPr>
        <w:ind w:left="620" w:right="30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and reviewing the processes and procedures in place to ensure that the Board and its committees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timely receive accurate, relevant and appropriately detailed information;</w:t>
      </w:r>
    </w:p>
    <w:p>
      <w:pPr>
        <w:ind w:left="620" w:right="31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the adequacy of internal rules of the Board, management and any other codes of ethics with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Board and management;</w:t>
      </w:r>
    </w:p>
    <w:p>
      <w:pPr>
        <w:ind w:left="620" w:right="37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overseeing the preparation and periodic review of a diversity policy for the Board’s approval;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overseeing our policies and practices regarding philanthropic and political activities; and</w:t>
      </w:r>
    </w:p>
    <w:p>
      <w:pPr>
        <w:ind w:left="620" w:right="29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periodically reviewing, discussing and assessing the performance of the committee as well as the adequacy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its charter, and recommending any proposed changes to the Board for approval.</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Scientific Committee</w:t>
      </w:r>
    </w:p>
    <w:p>
      <w:pPr>
        <w:ind w:left="620" w:right="2280"/>
        <w:spacing w:after="0" w:line="223" w:lineRule="auto"/>
        <w:rPr>
          <w:sz w:val="20"/>
          <w:szCs w:val="20"/>
          <w:color w:val="auto"/>
        </w:rPr>
      </w:pPr>
      <w:r>
        <w:rPr>
          <w:rFonts w:ascii="Times New Roman" w:cs="Times New Roman" w:eastAsia="Times New Roman" w:hAnsi="Times New Roman"/>
          <w:sz w:val="12"/>
          <w:szCs w:val="12"/>
          <w:color w:val="auto"/>
        </w:rPr>
        <w:t>According to its charter, the Scientific Committee must include at least three non-executive directors, the majority of whom must be independent, with a broad scientific and medical understanding and experience, appointed by the Board. As of the date of this Annual Report on Form 20-F, the Scientific Committee consists of members Anders Gersel Pedersen and Rolf Hoffmann and is chaired by Paolo Paoletti. The Scientific Committee provides input and advises the Board in matters relating to our research and development strategy, including reviewing our preclinical and clinical product pipeline in view</w:t>
      </w:r>
    </w:p>
    <w:p>
      <w:pPr>
        <w:sectPr>
          <w:pgSz w:w="11900" w:h="16840" w:orient="portrait"/>
          <w:cols w:equalWidth="0" w:num="1">
            <w:col w:w="9020"/>
          </w:cols>
          <w:pgMar w:left="1440" w:top="1440" w:right="1440" w:bottom="61" w:gutter="0" w:footer="0" w:header="0"/>
        </w:sectPr>
      </w:pPr>
    </w:p>
    <w:bookmarkStart w:id="59" w:name="page60"/>
    <w:bookmarkEnd w:id="59"/>
    <w:p>
      <w:pPr>
        <w:ind w:left="620"/>
        <w:spacing w:after="0"/>
        <w:rPr>
          <w:sz w:val="20"/>
          <w:szCs w:val="20"/>
          <w:color w:val="auto"/>
        </w:rPr>
      </w:pPr>
      <w:r>
        <w:rPr>
          <w:rFonts w:ascii="Times New Roman" w:cs="Times New Roman" w:eastAsia="Times New Roman" w:hAnsi="Times New Roman"/>
          <w:sz w:val="12"/>
          <w:szCs w:val="12"/>
          <w:color w:val="auto"/>
        </w:rPr>
        <w:t>of our overall strategy and vision. The Scientific Committee’s primary responsibilities include the following:</w:t>
      </w:r>
    </w:p>
    <w:p>
      <w:pPr>
        <w:ind w:left="620" w:right="35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and discussing our preclinical and clinical product portfolio, including the commercial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attractiveness and the ranking thereof;</w:t>
      </w:r>
    </w:p>
    <w:p>
      <w:pPr>
        <w:ind w:left="620" w:right="30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and discussing our research and development strategy and reviewing scientific and technological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trends that we believe are of significant importance and providing strategic advice and making recommendations with respect to our ongoing research and development programs;</w:t>
      </w:r>
    </w:p>
    <w:p>
      <w:pPr>
        <w:ind w:left="620" w:right="31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providing advice on external opportunities related to our research and development strategy and pipeline;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discuss and provide advice on the research and development capacity and its organization, including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product development process; and</w:t>
      </w:r>
    </w:p>
    <w:p>
      <w:pPr>
        <w:ind w:left="6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reviewing and discussing the Company’s intellectual property strategies.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D.  Employees</w:t>
      </w:r>
    </w:p>
    <w:p>
      <w:pPr>
        <w:spacing w:after="0" w:line="1" w:lineRule="exact"/>
        <w:rPr>
          <w:sz w:val="20"/>
          <w:szCs w:val="20"/>
          <w:color w:val="auto"/>
        </w:rPr>
      </w:pPr>
    </w:p>
    <w:p>
      <w:pPr>
        <w:ind w:left="620" w:right="2320"/>
        <w:spacing w:after="0"/>
        <w:rPr>
          <w:sz w:val="20"/>
          <w:szCs w:val="20"/>
          <w:color w:val="auto"/>
        </w:rPr>
      </w:pPr>
      <w:r>
        <w:rPr>
          <w:rFonts w:ascii="Times New Roman" w:cs="Times New Roman" w:eastAsia="Times New Roman" w:hAnsi="Times New Roman"/>
          <w:sz w:val="12"/>
          <w:szCs w:val="12"/>
          <w:color w:val="auto"/>
        </w:rPr>
        <w:t>As of December 31, 2025, we had 3,029 employees; 556 in Denmark, 946 in the Netherlands, 1,158 in the US, 220 in Japan, 132 in China, 12 in Germany, and 3 in France and the United Kingdom. Of these employees, 2,089 were engaged in or supported research and development and 940 were in selling, administrative and business-related positions. Each of our employees has signed confidentiality and inventions assignment agreements or has signed employment agreements containing confidentiality and inventions assignment provisions, and none are covered by a collective bargaining agreement. We have never experienced employment- related work stoppages and consider our employee relations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E.  Share Ownership</w:t>
      </w:r>
    </w:p>
    <w:p>
      <w:pPr>
        <w:ind w:left="620" w:right="2520"/>
        <w:spacing w:after="0" w:line="215" w:lineRule="auto"/>
        <w:rPr>
          <w:sz w:val="20"/>
          <w:szCs w:val="20"/>
          <w:color w:val="auto"/>
        </w:rPr>
      </w:pPr>
      <w:r>
        <w:rPr>
          <w:rFonts w:ascii="Times New Roman" w:cs="Times New Roman" w:eastAsia="Times New Roman" w:hAnsi="Times New Roman"/>
          <w:sz w:val="12"/>
          <w:szCs w:val="12"/>
          <w:color w:val="auto"/>
        </w:rPr>
        <w:t xml:space="preserve">For information regarding the share ownership of our directors and members of Executive Management, see </w:t>
      </w:r>
      <w:r>
        <w:rPr>
          <w:rFonts w:ascii="Times New Roman" w:cs="Times New Roman" w:eastAsia="Times New Roman" w:hAnsi="Times New Roman"/>
          <w:sz w:val="12"/>
          <w:szCs w:val="12"/>
          <w:i w:val="1"/>
          <w:iCs w:val="1"/>
          <w:color w:val="auto"/>
        </w:rPr>
        <w:t>“Item 6.B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—Compensation”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“Item 7.A—Major Shareholders.”</w:t>
      </w:r>
    </w:p>
    <w:p>
      <w:pPr>
        <w:ind w:left="620" w:right="3780" w:firstLine="4"/>
        <w:spacing w:after="0" w:line="215" w:lineRule="auto"/>
        <w:tabs>
          <w:tab w:leader="none" w:pos="819"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Disclosure of a Registrant’s Action to Recover Erroneously Awarded Compensation </w:t>
      </w:r>
      <w:r>
        <w:rPr>
          <w:rFonts w:ascii="Times New Roman" w:cs="Times New Roman" w:eastAsia="Times New Roman" w:hAnsi="Times New Roman"/>
          <w:sz w:val="12"/>
          <w:szCs w:val="12"/>
          <w:color w:val="auto"/>
        </w:rPr>
        <w:t>Not applicable.</w:t>
      </w:r>
    </w:p>
    <w:p>
      <w:pPr>
        <w:ind w:left="620" w:right="404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ITEM 7MAJOR SHAREHOLDERS AND RELATED PARTY TRANSACTIONS A. Major Shareholders</w:t>
      </w:r>
    </w:p>
    <w:p>
      <w:pPr>
        <w:ind w:left="620" w:right="266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table sets forth information relating to the beneficial ownership of our shares as of February 17, 2026 by:</w:t>
      </w:r>
    </w:p>
    <w:p>
      <w:pPr>
        <w:ind w:left="620" w:right="296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person, or group of affiliated persons, known by us to beneficially own equal to or more than 5% of our outstanding shares;</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of our directors; and</w:t>
      </w:r>
    </w:p>
    <w:p>
      <w:pPr>
        <w:ind w:left="620"/>
        <w:spacing w:after="0" w:line="22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member of our Executive Management</w:t>
      </w:r>
    </w:p>
    <w:tbl>
      <w:tblPr>
        <w:tblLayout w:type="fixed"/>
        <w:tblInd w:w="620" w:type="dxa"/>
        <w:tblCellMar>
          <w:top w:w="0" w:type="dxa"/>
          <w:left w:w="0" w:type="dxa"/>
          <w:bottom w:w="0" w:type="dxa"/>
          <w:right w:w="0" w:type="dxa"/>
        </w:tblCellMar>
      </w:tblPr>
      <w:tr>
        <w:trPr>
          <w:trHeight w:val="140"/>
        </w:trPr>
        <w:tc>
          <w:tcPr>
            <w:tcW w:w="2720" w:type="dxa"/>
            <w:vAlign w:val="bottom"/>
          </w:tcPr>
          <w:p>
            <w:pPr>
              <w:spacing w:after="0"/>
              <w:rPr>
                <w:sz w:val="12"/>
                <w:szCs w:val="12"/>
                <w:color w:val="auto"/>
              </w:rPr>
            </w:pPr>
          </w:p>
        </w:tc>
        <w:tc>
          <w:tcPr>
            <w:tcW w:w="1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Share Beneficial Ownership</w:t>
            </w:r>
          </w:p>
        </w:tc>
        <w:tc>
          <w:tcPr>
            <w:tcW w:w="9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95"/>
        </w:trPr>
        <w:tc>
          <w:tcPr>
            <w:tcW w:w="27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9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92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98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Fully Diluted</w:t>
            </w:r>
          </w:p>
        </w:tc>
        <w:tc>
          <w:tcPr>
            <w:tcW w:w="84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b w:val="1"/>
                <w:bCs w:val="1"/>
                <w:color w:val="auto"/>
              </w:rPr>
              <w:t>Fully Diluted</w:t>
            </w:r>
          </w:p>
        </w:tc>
      </w:tr>
      <w:tr>
        <w:trPr>
          <w:trHeight w:val="95"/>
        </w:trPr>
        <w:tc>
          <w:tcPr>
            <w:tcW w:w="2720" w:type="dxa"/>
            <w:vAlign w:val="bottom"/>
          </w:tcPr>
          <w:p>
            <w:pPr>
              <w:spacing w:after="0"/>
              <w:rPr>
                <w:sz w:val="8"/>
                <w:szCs w:val="8"/>
                <w:color w:val="auto"/>
              </w:rPr>
            </w:pPr>
          </w:p>
        </w:tc>
        <w:tc>
          <w:tcPr>
            <w:tcW w:w="9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Beneficially Owned</w:t>
            </w:r>
          </w:p>
        </w:tc>
        <w:tc>
          <w:tcPr>
            <w:tcW w:w="92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98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84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b w:val="1"/>
                <w:bCs w:val="1"/>
                <w:color w:val="auto"/>
              </w:rPr>
              <w:t>Percentage of</w:t>
            </w:r>
          </w:p>
        </w:tc>
      </w:tr>
      <w:tr>
        <w:trPr>
          <w:trHeight w:val="95"/>
        </w:trPr>
        <w:tc>
          <w:tcPr>
            <w:tcW w:w="2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Exercisable and</w:t>
            </w:r>
          </w:p>
        </w:tc>
        <w:tc>
          <w:tcPr>
            <w:tcW w:w="98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Beneficially Owned</w:t>
            </w:r>
          </w:p>
        </w:tc>
        <w:tc>
          <w:tcPr>
            <w:tcW w:w="84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b w:val="1"/>
                <w:bCs w:val="1"/>
                <w:color w:val="auto"/>
              </w:rPr>
              <w:t>Beneficial</w:t>
            </w:r>
          </w:p>
        </w:tc>
      </w:tr>
      <w:tr>
        <w:trPr>
          <w:trHeight w:val="95"/>
        </w:trPr>
        <w:tc>
          <w:tcPr>
            <w:tcW w:w="2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RSUs to be Settled</w:t>
            </w:r>
          </w:p>
        </w:tc>
        <w:tc>
          <w:tcPr>
            <w:tcW w:w="980" w:type="dxa"/>
            <w:vAlign w:val="bottom"/>
          </w:tcPr>
          <w:p>
            <w:pPr>
              <w:spacing w:after="0"/>
              <w:rPr>
                <w:sz w:val="8"/>
                <w:szCs w:val="8"/>
                <w:color w:val="auto"/>
              </w:rPr>
            </w:pPr>
          </w:p>
        </w:tc>
        <w:tc>
          <w:tcPr>
            <w:tcW w:w="84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b w:val="1"/>
                <w:bCs w:val="1"/>
                <w:color w:val="auto"/>
              </w:rPr>
              <w:t>Ownership</w:t>
            </w:r>
          </w:p>
        </w:tc>
      </w:tr>
      <w:tr>
        <w:trPr>
          <w:trHeight w:val="139"/>
        </w:trPr>
        <w:tc>
          <w:tcPr>
            <w:tcW w:w="2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Within 60 days</w:t>
            </w: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32"/>
        </w:trPr>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5% Shareholders</w:t>
            </w: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Inc.(1)</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3,707,346</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5.80 %</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Orbis Investment Management LTD.</w:t>
            </w:r>
            <w:r>
              <w:rPr>
                <w:rFonts w:ascii="Times New Roman" w:cs="Times New Roman" w:eastAsia="Times New Roman" w:hAnsi="Times New Roman"/>
                <w:sz w:val="7"/>
                <w:szCs w:val="7"/>
                <w:color w:val="auto"/>
              </w:rPr>
              <w:t>(2)</w:t>
            </w: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3,726,799</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5.80 %</w:t>
            </w:r>
          </w:p>
        </w:tc>
      </w:tr>
      <w:tr>
        <w:trPr>
          <w:trHeight w:val="67"/>
        </w:trPr>
        <w:tc>
          <w:tcPr>
            <w:tcW w:w="2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16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Board Members and Executive Management</w:t>
            </w: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Deirdre P. Connelly</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6,582</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6,582</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0.01 %</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Pernille Erenbjerg</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5,470</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0.01 %</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Anders Gersel Pedersen</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7,708</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0.01 %</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Paolo Paoletti</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2,506</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 %</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Rolf Hoffmann</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3,779</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0.01 %</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Elizabeth O’Farrell</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1,885</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 %</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Mijke Zachariasse</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787</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595</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 %</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Martin Schultz</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668</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2,207</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 %</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Michael Kavanagh</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221</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1,711</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 %</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 van de Winkel</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658,932</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21,171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680,103</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1.06 %</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Anthony Pagano</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9,546</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9,859</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19,405</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0.03 %</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Judith Klimovsky</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Tahamtan Ahmadi</w:t>
            </w:r>
          </w:p>
        </w:tc>
        <w:tc>
          <w:tcPr>
            <w:tcW w:w="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Christopher Cozic</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Martine van Vugt</w:t>
            </w:r>
          </w:p>
        </w:tc>
        <w:tc>
          <w:tcPr>
            <w:tcW w:w="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Brad Bailey</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Rayne Waller</w:t>
            </w:r>
          </w:p>
        </w:tc>
        <w:tc>
          <w:tcPr>
            <w:tcW w:w="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Greg Mueller</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105"/>
        </w:trPr>
        <w:tc>
          <w:tcPr>
            <w:tcW w:w="2720" w:type="dxa"/>
            <w:vAlign w:val="bottom"/>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rPr>
              <w:t>All Board Members and Executive Management as a</w:t>
            </w:r>
          </w:p>
        </w:tc>
        <w:tc>
          <w:tcPr>
            <w:tcW w:w="920" w:type="dxa"/>
            <w:vAlign w:val="bottom"/>
          </w:tcPr>
          <w:p>
            <w:pPr>
              <w:jc w:val="right"/>
              <w:ind w:right="4"/>
              <w:spacing w:after="0" w:line="105" w:lineRule="exact"/>
              <w:rPr>
                <w:sz w:val="20"/>
                <w:szCs w:val="20"/>
                <w:color w:val="auto"/>
              </w:rPr>
            </w:pPr>
            <w:r>
              <w:rPr>
                <w:rFonts w:ascii="Times New Roman" w:cs="Times New Roman" w:eastAsia="Times New Roman" w:hAnsi="Times New Roman"/>
                <w:sz w:val="11"/>
                <w:szCs w:val="11"/>
                <w:color w:val="auto"/>
              </w:rPr>
              <w:t>726,756</w:t>
            </w:r>
          </w:p>
        </w:tc>
        <w:tc>
          <w:tcPr>
            <w:tcW w:w="920" w:type="dxa"/>
            <w:vAlign w:val="bottom"/>
          </w:tcPr>
          <w:p>
            <w:pPr>
              <w:jc w:val="right"/>
              <w:ind w:right="4"/>
              <w:spacing w:after="0" w:line="105" w:lineRule="exact"/>
              <w:rPr>
                <w:sz w:val="20"/>
                <w:szCs w:val="20"/>
                <w:color w:val="auto"/>
              </w:rPr>
            </w:pPr>
            <w:r>
              <w:rPr>
                <w:rFonts w:ascii="Times New Roman" w:cs="Times New Roman" w:eastAsia="Times New Roman" w:hAnsi="Times New Roman"/>
                <w:sz w:val="11"/>
                <w:szCs w:val="11"/>
                <w:color w:val="auto"/>
              </w:rPr>
              <w:t>90,935</w:t>
            </w:r>
          </w:p>
        </w:tc>
        <w:tc>
          <w:tcPr>
            <w:tcW w:w="980" w:type="dxa"/>
            <w:vAlign w:val="bottom"/>
          </w:tcPr>
          <w:p>
            <w:pPr>
              <w:jc w:val="right"/>
              <w:spacing w:after="0" w:line="105" w:lineRule="exact"/>
              <w:rPr>
                <w:sz w:val="20"/>
                <w:szCs w:val="20"/>
                <w:color w:val="auto"/>
              </w:rPr>
            </w:pPr>
            <w:r>
              <w:rPr>
                <w:rFonts w:ascii="Times New Roman" w:cs="Times New Roman" w:eastAsia="Times New Roman" w:hAnsi="Times New Roman"/>
                <w:sz w:val="11"/>
                <w:szCs w:val="11"/>
                <w:color w:val="auto"/>
              </w:rPr>
              <w:t>817,691</w:t>
            </w:r>
          </w:p>
        </w:tc>
        <w:tc>
          <w:tcPr>
            <w:tcW w:w="840" w:type="dxa"/>
            <w:vAlign w:val="bottom"/>
          </w:tcPr>
          <w:p>
            <w:pPr>
              <w:ind w:left="60"/>
              <w:spacing w:after="0" w:line="105" w:lineRule="exact"/>
              <w:rPr>
                <w:sz w:val="20"/>
                <w:szCs w:val="20"/>
                <w:color w:val="auto"/>
              </w:rPr>
            </w:pPr>
            <w:r>
              <w:rPr>
                <w:rFonts w:ascii="Times New Roman" w:cs="Times New Roman" w:eastAsia="Times New Roman" w:hAnsi="Times New Roman"/>
                <w:sz w:val="11"/>
                <w:szCs w:val="11"/>
                <w:color w:val="auto"/>
              </w:rPr>
              <w:t>1.27 %</w:t>
            </w:r>
          </w:p>
        </w:tc>
      </w:tr>
      <w:tr>
        <w:trPr>
          <w:trHeight w:val="150"/>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group (18 persons)</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ectPr>
          <w:pgSz w:w="11900" w:h="16840" w:orient="portrait"/>
          <w:cols w:equalWidth="0" w:num="1">
            <w:col w:w="9020"/>
          </w:cols>
          <w:pgMar w:left="1440" w:top="559" w:right="1440" w:bottom="1440" w:gutter="0" w:footer="0" w:header="0"/>
        </w:sectPr>
      </w:pPr>
    </w:p>
    <w:bookmarkStart w:id="60" w:name="page61"/>
    <w:bookmarkEnd w:id="60"/>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94</w:t>
      </w:r>
    </w:p>
    <w:p>
      <w:pPr>
        <w:ind w:left="620"/>
        <w:spacing w:after="0" w:line="224"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600"/>
        <w:spacing w:after="0" w:line="198" w:lineRule="auto"/>
        <w:rPr>
          <w:sz w:val="20"/>
          <w:szCs w:val="20"/>
          <w:color w:val="auto"/>
        </w:rPr>
      </w:pPr>
      <w:r>
        <w:rPr>
          <w:rFonts w:ascii="Times New Roman" w:cs="Times New Roman" w:eastAsia="Times New Roman" w:hAnsi="Times New Roman"/>
          <w:sz w:val="9"/>
          <w:szCs w:val="9"/>
          <w:color w:val="auto"/>
        </w:rPr>
        <w:t>(1)This information is based solely on the Schedule 13G filed by BlackRock, Inc. on March 31, 2025 with the SEC. BlackRock, Inc. does not have different voting rights from other shareholders.</w:t>
      </w:r>
    </w:p>
    <w:p>
      <w:pPr>
        <w:spacing w:after="0" w:line="1" w:lineRule="exact"/>
        <w:rPr>
          <w:sz w:val="20"/>
          <w:szCs w:val="20"/>
          <w:color w:val="auto"/>
        </w:rPr>
      </w:pPr>
    </w:p>
    <w:p>
      <w:pPr>
        <w:ind w:left="620" w:right="2500"/>
        <w:spacing w:after="0" w:line="194" w:lineRule="auto"/>
        <w:rPr>
          <w:sz w:val="20"/>
          <w:szCs w:val="20"/>
          <w:color w:val="auto"/>
        </w:rPr>
      </w:pPr>
      <w:r>
        <w:rPr>
          <w:rFonts w:ascii="Times New Roman" w:cs="Times New Roman" w:eastAsia="Times New Roman" w:hAnsi="Times New Roman"/>
          <w:sz w:val="9"/>
          <w:szCs w:val="9"/>
          <w:color w:val="auto"/>
        </w:rPr>
        <w:t>(2)This information is based solely on the Schedule 13G filed by Orbis Investment Management LTD. on September 30, 2025 with the SEC. Orbis Investment Management LTD does not have different voting rights from other shareholders. Orbis Investment Management Limited is an investment manager which has investment discretion and voting control over the Genmab A/S shares and ADRs held by certain investment funds and portfolios.</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The number of shares beneficially owned by each entity, person or member of our Board of Directors or Executive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for which the individual has the right to subscribe within 60 days of February 17, 2026 through the exercise of any options, warrants or other rights. There are 90,935 shares for which our board members and Executive Management as a group have the right to subscribe within 60 days of February 17, 2026 pursuant to the exercise of warrants or settlement of RSUs.</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Subject to applicable community property laws, the persons named in the table have sole voting and investment power with respect to all shares owned by that person. The percentage of shares beneficially owned is computed on the basis of 64,238,408 shares outstanding as of February 17, 2026. Shares for which a person has the right to subscribe within 60 days of February 5, 2026 are deemed outstanding for purposes of computing the percentage ownership of the person holding such rights, but are not deemed outstanding for purposes of computing the percentage ownership of any other person. We conducted our last beneficial ownership analysis as of June 30, 2025 and we estimated that approximately 36%, or 23.0 million (including shares in the form of ADSs), of our outstanding shares as of such date were beneficially held by US residents.</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B.  Related-Party Transactions</w:t>
      </w:r>
    </w:p>
    <w:p>
      <w:pPr>
        <w:ind w:left="620" w:right="2500"/>
        <w:spacing w:after="0" w:line="215" w:lineRule="auto"/>
        <w:rPr>
          <w:sz w:val="20"/>
          <w:szCs w:val="20"/>
          <w:color w:val="auto"/>
        </w:rPr>
      </w:pPr>
      <w:r>
        <w:rPr>
          <w:rFonts w:ascii="Times New Roman" w:cs="Times New Roman" w:eastAsia="Times New Roman" w:hAnsi="Times New Roman"/>
          <w:sz w:val="12"/>
          <w:szCs w:val="12"/>
          <w:color w:val="auto"/>
        </w:rPr>
        <w:t xml:space="preserve">In the year ended December 31, 2025, there were no material related party transactions. The Company has employment agreements with, and has made equity compensation grants to, members of Executive Management in the ordinary course of business. The Company also has remuneration packages for members of the Board of Directors. See </w:t>
      </w:r>
      <w:r>
        <w:rPr>
          <w:rFonts w:ascii="Times New Roman" w:cs="Times New Roman" w:eastAsia="Times New Roman" w:hAnsi="Times New Roman"/>
          <w:sz w:val="12"/>
          <w:szCs w:val="12"/>
          <w:i w:val="1"/>
          <w:iCs w:val="1"/>
          <w:color w:val="auto"/>
        </w:rPr>
        <w:t>“Item 6.B—Compensation”</w:t>
      </w:r>
      <w:r>
        <w:rPr>
          <w:rFonts w:ascii="Times New Roman" w:cs="Times New Roman" w:eastAsia="Times New Roman" w:hAnsi="Times New Roman"/>
          <w:sz w:val="12"/>
          <w:szCs w:val="12"/>
          <w:color w:val="auto"/>
        </w:rPr>
        <w:t>, Note 5.1 and Note 5.2 to our Audited Financial Statements included in our Annual Report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2025 for details on related party transactions.</w:t>
      </w:r>
    </w:p>
    <w:p>
      <w:pPr>
        <w:spacing w:after="0" w:line="1" w:lineRule="exact"/>
        <w:rPr>
          <w:sz w:val="20"/>
          <w:szCs w:val="20"/>
          <w:color w:val="auto"/>
        </w:rPr>
      </w:pPr>
    </w:p>
    <w:p>
      <w:pPr>
        <w:ind w:left="620" w:right="6460" w:firstLine="4"/>
        <w:spacing w:after="0" w:line="234" w:lineRule="auto"/>
        <w:tabs>
          <w:tab w:leader="none" w:pos="833"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Interests of Experts and Counsel </w:t>
      </w: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8FINANCIAL INFORMATION</w:t>
      </w:r>
    </w:p>
    <w:p>
      <w:pPr>
        <w:ind w:left="620" w:right="5100" w:firstLine="4"/>
        <w:spacing w:after="0" w:line="215" w:lineRule="auto"/>
        <w:tabs>
          <w:tab w:leader="none" w:pos="833"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Consolidated Statements and Other Financial Information Financial Statements</w:t>
      </w:r>
    </w:p>
    <w:p>
      <w:pPr>
        <w:ind w:left="620" w:right="2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“Item 18—Financial Statements”</w:t>
      </w:r>
      <w:r>
        <w:rPr>
          <w:rFonts w:ascii="Times New Roman" w:cs="Times New Roman" w:eastAsia="Times New Roman" w:hAnsi="Times New Roman"/>
          <w:sz w:val="12"/>
          <w:szCs w:val="12"/>
          <w:color w:val="auto"/>
        </w:rPr>
        <w:t xml:space="preserve"> which contains our Audited Financial Statements prepared in accordance with IFRS Accounting Standards .</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Legal Proceedings</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From time to time in the ordinary course of business we may become involved in various lawsuits, claims and</w:t>
      </w:r>
    </w:p>
    <w:p>
      <w:pPr>
        <w:ind w:left="620" w:right="228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w:t>
      </w:r>
    </w:p>
    <w:p>
      <w:pPr>
        <w:ind w:left="66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See note 5.7 to our Audited Financial Statements included in our Annual Report 2025 for details on legal matters.</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Dividends</w:t>
      </w:r>
    </w:p>
    <w:p>
      <w:pPr>
        <w:ind w:left="620" w:right="230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do not currently pay out cash dividends on our shares and have not paid out any dividends within the last three financial years. Any future determination related to our dividend policy and the declaration of any dividends will be made at the discretion of our Board of Directors and will depend on a number of factors, including our results of operations, financial condition, future prospects, contractual restrictions, restrictions imposed by applicable law and other factors our Board of Directors deems relevant. In addition, the terms of our credit agreement and the indentures governing our outstanding notes restrict our ability to make certain restricted payments, including dividends and other distributions by us, as further described in Note 4.8 of our Annual Report 2025.</w:t>
      </w:r>
    </w:p>
    <w:p>
      <w:pPr>
        <w:ind w:left="840" w:hanging="216"/>
        <w:spacing w:after="0" w:line="215" w:lineRule="auto"/>
        <w:tabs>
          <w:tab w:leader="none" w:pos="840"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Changes</w:t>
      </w:r>
    </w:p>
    <w:p>
      <w:pPr>
        <w:ind w:left="620"/>
        <w:spacing w:after="0"/>
        <w:rPr>
          <w:sz w:val="20"/>
          <w:szCs w:val="20"/>
          <w:color w:val="auto"/>
        </w:rPr>
      </w:pPr>
      <w:r>
        <w:rPr>
          <w:rFonts w:ascii="Times New Roman" w:cs="Times New Roman" w:eastAsia="Times New Roman" w:hAnsi="Times New Roman"/>
          <w:sz w:val="12"/>
          <w:szCs w:val="12"/>
          <w:color w:val="auto"/>
        </w:rPr>
        <w:t>No significant changes occurred since the date of the annual financial statements.</w:t>
      </w:r>
    </w:p>
    <w:p>
      <w:pPr>
        <w:sectPr>
          <w:pgSz w:w="11900" w:h="16840" w:orient="portrait"/>
          <w:cols w:equalWidth="0" w:num="1">
            <w:col w:w="9020"/>
          </w:cols>
          <w:pgMar w:left="1440" w:top="1440" w:right="1440" w:bottom="1163"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9THE OFFER AND LISTING</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A.  Offer and Listing Details</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Our shares are listed on Nasdaq Copenhagen in Denmark under the symbol “GMAB.” Our ADSs are listed on Nasdaq Global Select Market in the US under the symbol “GMAB.”</w:t>
      </w:r>
    </w:p>
    <w:p>
      <w:pPr>
        <w:ind w:left="620" w:right="7140" w:firstLine="4"/>
        <w:spacing w:after="0" w:line="215" w:lineRule="auto"/>
        <w:tabs>
          <w:tab w:leader="none" w:pos="826"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Plan of Distribution </w:t>
      </w:r>
      <w:r>
        <w:rPr>
          <w:rFonts w:ascii="Times New Roman" w:cs="Times New Roman" w:eastAsia="Times New Roman" w:hAnsi="Times New Roman"/>
          <w:sz w:val="12"/>
          <w:szCs w:val="12"/>
          <w:color w:val="auto"/>
        </w:rPr>
        <w:t>Not applicable.</w:t>
      </w:r>
    </w:p>
    <w:p>
      <w:pPr>
        <w:ind w:left="840" w:hanging="216"/>
        <w:spacing w:after="0" w:line="215" w:lineRule="auto"/>
        <w:tabs>
          <w:tab w:leader="none" w:pos="840"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Markets</w:t>
      </w: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Our shares have been publicly traded since October 2000 and have been listed on Nasdaq Copenhagen in Denmark since that time.</w:t>
      </w:r>
    </w:p>
    <w:p>
      <w:pPr>
        <w:ind w:left="620" w:right="2600"/>
        <w:spacing w:after="0" w:line="215" w:lineRule="auto"/>
        <w:rPr>
          <w:sz w:val="20"/>
          <w:szCs w:val="20"/>
          <w:color w:val="auto"/>
        </w:rPr>
      </w:pPr>
      <w:r>
        <w:rPr>
          <w:rFonts w:ascii="Times New Roman" w:cs="Times New Roman" w:eastAsia="Times New Roman" w:hAnsi="Times New Roman"/>
          <w:sz w:val="12"/>
          <w:szCs w:val="12"/>
          <w:color w:val="auto"/>
        </w:rPr>
        <w:t>ADSs representing the shares, as evidenced by ADRs issued by JPMorgan Chase Bank, N.A. as the Depository, have been listed on the Nasdaq Global Select Market in the US since July 2019.</w:t>
      </w:r>
    </w:p>
    <w:p>
      <w:pPr>
        <w:ind w:left="620" w:right="7100" w:firstLine="4"/>
        <w:spacing w:after="0" w:line="215" w:lineRule="auto"/>
        <w:tabs>
          <w:tab w:leader="none" w:pos="833"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Selling Shareholders </w:t>
      </w:r>
      <w:r>
        <w:rPr>
          <w:rFonts w:ascii="Times New Roman" w:cs="Times New Roman" w:eastAsia="Times New Roman" w:hAnsi="Times New Roman"/>
          <w:sz w:val="12"/>
          <w:szCs w:val="12"/>
          <w:color w:val="auto"/>
        </w:rPr>
        <w:t>Not applicable.</w:t>
      </w:r>
    </w:p>
    <w:p>
      <w:pPr>
        <w:ind w:left="840" w:hanging="216"/>
        <w:spacing w:after="0" w:line="215" w:lineRule="auto"/>
        <w:tabs>
          <w:tab w:leader="none" w:pos="840"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Dilution</w:t>
      </w:r>
    </w:p>
    <w:p>
      <w:pPr>
        <w:ind w:left="620"/>
        <w:spacing w:after="0" w:line="215" w:lineRule="auto"/>
        <w:rPr>
          <w:sz w:val="20"/>
          <w:szCs w:val="20"/>
          <w:color w:val="auto"/>
        </w:rPr>
      </w:pPr>
      <w:r>
        <w:rPr>
          <w:rFonts w:ascii="Times New Roman" w:cs="Times New Roman" w:eastAsia="Times New Roman" w:hAnsi="Times New Roman"/>
          <w:sz w:val="12"/>
          <w:szCs w:val="12"/>
          <w:color w:val="auto"/>
        </w:rPr>
        <w:t>Not applicable.</w:t>
      </w:r>
    </w:p>
    <w:p>
      <w:pPr>
        <w:ind w:left="620" w:right="7080" w:firstLine="4"/>
        <w:spacing w:after="0" w:line="215" w:lineRule="auto"/>
        <w:tabs>
          <w:tab w:leader="none" w:pos="819"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Expenses of the Issue </w:t>
      </w:r>
      <w:r>
        <w:rPr>
          <w:rFonts w:ascii="Times New Roman" w:cs="Times New Roman" w:eastAsia="Times New Roman" w:hAnsi="Times New Roman"/>
          <w:sz w:val="12"/>
          <w:szCs w:val="12"/>
          <w:color w:val="auto"/>
        </w:rPr>
        <w:t>Not applicable.</w:t>
      </w:r>
    </w:p>
    <w:p>
      <w:pPr>
        <w:ind w:left="620" w:right="61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ITEM 10 ADDITIONAL INFORMATION A. Share Capital</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 applicable.</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  Memorandum and Articles of Association</w:t>
      </w:r>
    </w:p>
    <w:p>
      <w:pPr>
        <w:ind w:left="620" w:right="24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sections entitled “Description of Share Capital and Certain Corporate Matters—Shareholders’ Register,” “Description of Share Capital and Certain Corporate Matters—Articles of Association and Danish Corporate Law” and “Description of Share Capital and Certain Corporate Matters—Comparison of Danish Corporate Law and our Articles of Association and Delaware Corporate Law” in the Company’s prospectus, filed with the SEC on July 19, 2019 are incorporated herein by reference.</w:t>
      </w:r>
    </w:p>
    <w:p>
      <w:pPr>
        <w:ind w:left="620" w:right="2300"/>
        <w:spacing w:after="0" w:line="22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Danish foreign direct investment (“</w:t>
      </w:r>
      <w:r>
        <w:rPr>
          <w:rFonts w:ascii="Times New Roman" w:cs="Times New Roman" w:eastAsia="Times New Roman" w:hAnsi="Times New Roman"/>
          <w:sz w:val="12"/>
          <w:szCs w:val="12"/>
          <w:b w:val="1"/>
          <w:bCs w:val="1"/>
          <w:color w:val="auto"/>
        </w:rPr>
        <w:t>FDI</w:t>
      </w:r>
      <w:r>
        <w:rPr>
          <w:rFonts w:ascii="Times New Roman" w:cs="Times New Roman" w:eastAsia="Times New Roman" w:hAnsi="Times New Roman"/>
          <w:sz w:val="12"/>
          <w:szCs w:val="12"/>
          <w:color w:val="auto"/>
        </w:rPr>
        <w:t xml:space="preserve">”) Rules, a screening mechanism applies to foreign direct or indirect investments in certain sensitive sectors, if the foreign investor obtains at least 10% ownership or voting rights, or equivalent control by other means. Among such sensitive sectors are companies and entities within critical infrastructure in Denmark that are necessary to maintain or restore the production, registration, distribution, and monitoring of prescription drugs. If a contemplated foreign direct or indirect investment in Genmab A/S is considered to fall within the scope of the mandatory screening mechanism, the foreign investor is required to apply for prior authorization with the Danish Business Authority. If a foreign investor fails to comply with the Danish FDI Rules, the Danish Business Authority may impose restrictions,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ordering to reverse the investment or to suspend the foreign investor’s voting rights.</w:t>
      </w:r>
    </w:p>
    <w:p>
      <w:pPr>
        <w:sectPr>
          <w:pgSz w:w="11900" w:h="16840" w:orient="portrait"/>
          <w:cols w:equalWidth="0" w:num="1">
            <w:col w:w="9020"/>
          </w:cols>
          <w:pgMar w:left="1440" w:top="1440" w:right="1440"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2"/>
          <w:szCs w:val="12"/>
          <w:color w:val="auto"/>
        </w:rPr>
        <w:t>97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C.  Material Contracts</w:t>
      </w:r>
    </w:p>
    <w:p>
      <w:pPr>
        <w:ind w:left="620" w:right="2560"/>
        <w:spacing w:after="0" w:line="215" w:lineRule="auto"/>
        <w:rPr>
          <w:sz w:val="20"/>
          <w:szCs w:val="20"/>
          <w:color w:val="auto"/>
        </w:rPr>
      </w:pPr>
      <w:r>
        <w:rPr>
          <w:rFonts w:ascii="Times New Roman" w:cs="Times New Roman" w:eastAsia="Times New Roman" w:hAnsi="Times New Roman"/>
          <w:sz w:val="12"/>
          <w:szCs w:val="12"/>
          <w:color w:val="auto"/>
        </w:rPr>
        <w:t>Except as otherwise disclosed in this Annual Report on Form 20-F (including the Exhibits), we are not currently party to any material contract, other than contracts entered into in the ordinary course of business.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D.  Exchange Controls</w:t>
      </w:r>
    </w:p>
    <w:p>
      <w:pPr>
        <w:ind w:left="620"/>
        <w:spacing w:after="0" w:line="215" w:lineRule="auto"/>
        <w:rPr>
          <w:sz w:val="20"/>
          <w:szCs w:val="20"/>
          <w:color w:val="auto"/>
        </w:rPr>
      </w:pPr>
      <w:r>
        <w:rPr>
          <w:rFonts w:ascii="Times New Roman" w:cs="Times New Roman" w:eastAsia="Times New Roman" w:hAnsi="Times New Roman"/>
          <w:sz w:val="12"/>
          <w:szCs w:val="12"/>
          <w:color w:val="auto"/>
        </w:rPr>
        <w:t>Other than the Danish rules on screening of certain foreign direct investments etc. in Denmark (the “Danish FDI</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Rules”) and the applicable international trade and financial sanctions as outlined below, (i) there are no governmental laws, decrees, or regulations in Denmark (including, but not limited to, foreign exchange controls) that restrict the export or import of capital, or that affect the remittance of dividends, interest or other payments to non - resident holders of the shares or the ADSs, and (ii) there are no limitations on the right of non-resident or foreign owners to hold or vote the shares or the ADSs imposed by the laws of Denmark or the Articles of Association of the Company solely due to the fact that such holders are non -residents or foreign owners.</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Under the Danish FDI Rules, a screening mechanism applies to foreign direct investments in certain sensitive sectors, if the foreign investor obtains at least 10% ownership or voting rights, or equivalent control by other means. Among such sensitive sectors are companies and entities within critical infrastructure in Denmark that are necessary to maintain or restore the production, registration, distribution, and monitoring of prescription drugs. If a contemplated FDI in Genmab A/S is considered to fall within the scope of the mandatory screening mechanism, the foreign investor is required to apply for prior authorization with the Danish Business Authority. If a foreign investor fails to comply with the Danish FDI Rules, the Danish Business Authority may impose restrictions.</w:t>
      </w:r>
    </w:p>
    <w:p>
      <w:pPr>
        <w:spacing w:after="0" w:line="1"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International trade and financial sanctions are continually evolving. If applicable, such international trade and financial sanctions may under certain circumstances prevent the possibility of export and import of capital, and affect the remittance of dividends, interest and other payments to non-resident holders of shares or ADSs. In addition, international trade and financial sanctions may restrict the right of non-resident or foreign owners to acquire, transfer, hold or vote the shares and ADSs. Failure to comply with international trade and financial sanctions can lead to criminal and civil liability.</w:t>
      </w:r>
    </w:p>
    <w:p>
      <w:pPr>
        <w:spacing w:after="0" w:line="1" w:lineRule="exact"/>
        <w:rPr>
          <w:sz w:val="20"/>
          <w:szCs w:val="20"/>
          <w:color w:val="auto"/>
        </w:rPr>
      </w:pPr>
    </w:p>
    <w:p>
      <w:pPr>
        <w:ind w:left="620" w:right="7460" w:firstLine="4"/>
        <w:spacing w:after="0" w:line="215" w:lineRule="auto"/>
        <w:tabs>
          <w:tab w:leader="none" w:pos="826"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Taxation Payment of Taxes</w:t>
      </w:r>
    </w:p>
    <w:p>
      <w:pPr>
        <w:ind w:left="620" w:right="2320"/>
        <w:spacing w:after="0" w:line="23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Holders will be responsible for any taxes or other governmental charges payable, or which become payable, on their ADSs or on the deposited securities represented by any of their ADSs. The depositary may refuse to register or transfer their ADSs or allow holders to withdraw the deposited securities represented by their ADSs until such taxes or other charges are paid. It may apply payments owed to holders or sell deposited securities represented by their ADSs to pay any taxes owed and holders will remain liable for any deficiency. If the depositary sells deposited securities, it will, if appropriate, reduce the number of ADSs to reflect the sale and pay to holders any net proceeds, or send to holders any property, remaining after it has paid the taxes. Holders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holders. Holders’ obligations under this paragraph shall survive any transfer of ADRs, any surrender of ADRs and withdrawal of deposited securities or the termination of the deposit agreement.</w:t>
      </w:r>
    </w:p>
    <w:p>
      <w:pPr>
        <w:spacing w:after="0" w:line="4" w:lineRule="exact"/>
        <w:rPr>
          <w:rFonts w:ascii="Times New Roman" w:cs="Times New Roman" w:eastAsia="Times New Roman" w:hAnsi="Times New Roman"/>
          <w:sz w:val="12"/>
          <w:szCs w:val="12"/>
          <w:b w:val="1"/>
          <w:bCs w:val="1"/>
          <w:color w:val="auto"/>
        </w:rPr>
      </w:pPr>
    </w:p>
    <w:p>
      <w:pPr>
        <w:ind w:left="620" w:right="58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Material US Federal Income Tax Considerations </w:t>
      </w:r>
      <w:r>
        <w:rPr>
          <w:rFonts w:ascii="Times New Roman" w:cs="Times New Roman" w:eastAsia="Times New Roman" w:hAnsi="Times New Roman"/>
          <w:sz w:val="12"/>
          <w:szCs w:val="12"/>
          <w:b w:val="1"/>
          <w:bCs w:val="1"/>
          <w:i w:val="1"/>
          <w:iCs w:val="1"/>
          <w:color w:val="auto"/>
        </w:rPr>
        <w:t>General</w:t>
      </w:r>
    </w:p>
    <w:p>
      <w:pPr>
        <w:ind w:left="620" w:right="2300"/>
        <w:spacing w:after="0" w:line="22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discussion is a summary of the material US federal income tax consequences relating to the acquisition, ownership and disposition of the ADSs. This summary does not purport to be a comprehensive description of all of the US federal income tax considerations that may be relevant to a particular person’s decision to acquire the ADSs. This discussion is based on the Code, and US Treasury regulations promulgated thereunder (“</w:t>
      </w:r>
      <w:r>
        <w:rPr>
          <w:rFonts w:ascii="Times New Roman" w:cs="Times New Roman" w:eastAsia="Times New Roman" w:hAnsi="Times New Roman"/>
          <w:sz w:val="12"/>
          <w:szCs w:val="12"/>
          <w:b w:val="1"/>
          <w:bCs w:val="1"/>
          <w:color w:val="auto"/>
        </w:rPr>
        <w:t>Treasury Regulations</w:t>
      </w:r>
      <w:r>
        <w:rPr>
          <w:rFonts w:ascii="Times New Roman" w:cs="Times New Roman" w:eastAsia="Times New Roman" w:hAnsi="Times New Roman"/>
          <w:sz w:val="12"/>
          <w:szCs w:val="12"/>
          <w:color w:val="auto"/>
        </w:rPr>
        <w:t>”), as well as judicial and administrative interpretations thereof as in effect as of the date of this Annual Report on Form 20-F. All of the foregoing authorities are subject to change, which change could apply retroactively and could affect the tax consequences described below, and there can be no assurance that the US Internal Revenue Service (“</w:t>
      </w:r>
      <w:r>
        <w:rPr>
          <w:rFonts w:ascii="Times New Roman" w:cs="Times New Roman" w:eastAsia="Times New Roman" w:hAnsi="Times New Roman"/>
          <w:sz w:val="12"/>
          <w:szCs w:val="12"/>
          <w:b w:val="1"/>
          <w:bCs w:val="1"/>
          <w:color w:val="auto"/>
        </w:rPr>
        <w:t>IRS</w:t>
      </w:r>
      <w:r>
        <w:rPr>
          <w:rFonts w:ascii="Times New Roman" w:cs="Times New Roman" w:eastAsia="Times New Roman" w:hAnsi="Times New Roman"/>
          <w:sz w:val="12"/>
          <w:szCs w:val="12"/>
          <w:color w:val="auto"/>
        </w:rPr>
        <w:t>”) or US courts will agree with the tax consequences described in this summary. The Company undertakes no obligation to publicly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940"/>
        <w:spacing w:after="0" w:line="215" w:lineRule="auto"/>
        <w:rPr>
          <w:sz w:val="20"/>
          <w:szCs w:val="20"/>
          <w:color w:val="auto"/>
        </w:rPr>
      </w:pPr>
      <w:r>
        <w:rPr>
          <w:rFonts w:ascii="Times New Roman" w:cs="Times New Roman" w:eastAsia="Times New Roman" w:hAnsi="Times New Roman"/>
          <w:sz w:val="12"/>
          <w:szCs w:val="12"/>
          <w:color w:val="auto"/>
        </w:rPr>
        <w:t>or otherwise revise this summary whether as a result of new Treasury Regulations, Code sections, judicial and administrative interpretations or otherwise.</w:t>
      </w:r>
    </w:p>
    <w:p>
      <w:pPr>
        <w:ind w:left="620" w:right="2460"/>
        <w:spacing w:after="0"/>
        <w:rPr>
          <w:sz w:val="20"/>
          <w:szCs w:val="20"/>
          <w:color w:val="auto"/>
        </w:rPr>
      </w:pPr>
      <w:r>
        <w:rPr>
          <w:rFonts w:ascii="Times New Roman" w:cs="Times New Roman" w:eastAsia="Times New Roman" w:hAnsi="Times New Roman"/>
          <w:sz w:val="12"/>
          <w:szCs w:val="12"/>
          <w:color w:val="auto"/>
        </w:rPr>
        <w:t>This summary applies only to US Holders (as defined below) that hold the ADSs as capital assets within the meaning of Section 1221 of the Code (generally, property held for investment). This summary does not address any US federal estate and gift tax, alternative minimum tax or Medicare tax on net investment income consequences, or any US state or local or non- US tax consequences. This summary also does not address the tax considerations that may be relevant to certain types of investors subject to special treatment under US federal income tax laws, such as: •banks and other financial institutions;</w:t>
      </w:r>
    </w:p>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•insurance companies;</w:t>
      </w:r>
    </w:p>
    <w:p>
      <w:pPr>
        <w:ind w:left="620"/>
        <w:spacing w:after="0" w:line="215" w:lineRule="auto"/>
        <w:rPr>
          <w:sz w:val="20"/>
          <w:szCs w:val="20"/>
          <w:color w:val="auto"/>
        </w:rPr>
      </w:pPr>
      <w:r>
        <w:rPr>
          <w:rFonts w:ascii="Times New Roman" w:cs="Times New Roman" w:eastAsia="Times New Roman" w:hAnsi="Times New Roman"/>
          <w:sz w:val="12"/>
          <w:szCs w:val="12"/>
          <w:color w:val="auto"/>
        </w:rPr>
        <w:t>•regulated investment companies or real estate investment trusts;</w:t>
      </w:r>
    </w:p>
    <w:p>
      <w:pPr>
        <w:ind w:left="620" w:right="3760"/>
        <w:spacing w:after="0" w:line="215" w:lineRule="auto"/>
        <w:rPr>
          <w:sz w:val="20"/>
          <w:szCs w:val="20"/>
          <w:color w:val="auto"/>
        </w:rPr>
      </w:pPr>
      <w:r>
        <w:rPr>
          <w:rFonts w:ascii="Times New Roman" w:cs="Times New Roman" w:eastAsia="Times New Roman" w:hAnsi="Times New Roman"/>
          <w:sz w:val="12"/>
          <w:szCs w:val="12"/>
          <w:color w:val="auto"/>
        </w:rPr>
        <w:t>•dealers or traders in securities or currencies that use a mark-to-market method of accounting; •broker- dealers;</w:t>
      </w:r>
    </w:p>
    <w:p>
      <w:pPr>
        <w:ind w:left="620" w:right="3560"/>
        <w:spacing w:after="0" w:line="215" w:lineRule="auto"/>
        <w:rPr>
          <w:sz w:val="20"/>
          <w:szCs w:val="20"/>
          <w:color w:val="auto"/>
        </w:rPr>
      </w:pPr>
      <w:r>
        <w:rPr>
          <w:rFonts w:ascii="Times New Roman" w:cs="Times New Roman" w:eastAsia="Times New Roman" w:hAnsi="Times New Roman"/>
          <w:sz w:val="12"/>
          <w:szCs w:val="12"/>
          <w:color w:val="auto"/>
        </w:rPr>
        <w:t>•tax exempt organizations, retirement plans, individual retirement accounts and other tax deferred accounts;</w:t>
      </w:r>
    </w:p>
    <w:p>
      <w:pPr>
        <w:ind w:left="620"/>
        <w:spacing w:after="0" w:line="215" w:lineRule="auto"/>
        <w:rPr>
          <w:sz w:val="20"/>
          <w:szCs w:val="20"/>
          <w:color w:val="auto"/>
        </w:rPr>
      </w:pPr>
      <w:r>
        <w:rPr>
          <w:rFonts w:ascii="Times New Roman" w:cs="Times New Roman" w:eastAsia="Times New Roman" w:hAnsi="Times New Roman"/>
          <w:sz w:val="12"/>
          <w:szCs w:val="12"/>
          <w:color w:val="auto"/>
        </w:rPr>
        <w:t>•persons holding the ADSs as part of a straddle, hedging, conversion or integrated transaction for US</w:t>
      </w:r>
    </w:p>
    <w:p>
      <w:pPr>
        <w:ind w:left="620"/>
        <w:spacing w:after="0" w:line="215" w:lineRule="auto"/>
        <w:rPr>
          <w:sz w:val="20"/>
          <w:szCs w:val="20"/>
          <w:color w:val="auto"/>
        </w:rPr>
      </w:pPr>
      <w:r>
        <w:rPr>
          <w:rFonts w:ascii="Times New Roman" w:cs="Times New Roman" w:eastAsia="Times New Roman" w:hAnsi="Times New Roman"/>
          <w:sz w:val="12"/>
          <w:szCs w:val="12"/>
          <w:color w:val="auto"/>
        </w:rPr>
        <w:t>federal income tax purposes;</w:t>
      </w:r>
    </w:p>
    <w:p>
      <w:pPr>
        <w:ind w:left="620"/>
        <w:spacing w:after="0" w:line="215" w:lineRule="auto"/>
        <w:rPr>
          <w:sz w:val="20"/>
          <w:szCs w:val="20"/>
          <w:color w:val="auto"/>
        </w:rPr>
      </w:pPr>
      <w:r>
        <w:rPr>
          <w:rFonts w:ascii="Times New Roman" w:cs="Times New Roman" w:eastAsia="Times New Roman" w:hAnsi="Times New Roman"/>
          <w:sz w:val="12"/>
          <w:szCs w:val="12"/>
          <w:color w:val="auto"/>
        </w:rPr>
        <w:t>•US expatriates;</w:t>
      </w:r>
    </w:p>
    <w:p>
      <w:pPr>
        <w:ind w:left="620"/>
        <w:spacing w:after="0" w:line="216" w:lineRule="auto"/>
        <w:rPr>
          <w:sz w:val="20"/>
          <w:szCs w:val="20"/>
          <w:color w:val="auto"/>
        </w:rPr>
      </w:pPr>
      <w:r>
        <w:rPr>
          <w:rFonts w:ascii="Times New Roman" w:cs="Times New Roman" w:eastAsia="Times New Roman" w:hAnsi="Times New Roman"/>
          <w:sz w:val="12"/>
          <w:szCs w:val="12"/>
          <w:color w:val="auto"/>
        </w:rPr>
        <w:t>•US Holders whose functional currency is not the US dollar;</w:t>
      </w:r>
    </w:p>
    <w:p>
      <w:pPr>
        <w:ind w:left="620" w:right="3380"/>
        <w:spacing w:after="0" w:line="215" w:lineRule="auto"/>
        <w:rPr>
          <w:sz w:val="20"/>
          <w:szCs w:val="20"/>
          <w:color w:val="auto"/>
        </w:rPr>
      </w:pPr>
      <w:r>
        <w:rPr>
          <w:rFonts w:ascii="Times New Roman" w:cs="Times New Roman" w:eastAsia="Times New Roman" w:hAnsi="Times New Roman"/>
          <w:sz w:val="12"/>
          <w:szCs w:val="12"/>
          <w:color w:val="auto"/>
        </w:rPr>
        <w:t>•any entity or arrangement classified as a partnership for US federal income tax purposes or investors therein;</w:t>
      </w:r>
    </w:p>
    <w:p>
      <w:pPr>
        <w:jc w:val="both"/>
        <w:ind w:left="620" w:right="3240"/>
        <w:spacing w:after="0" w:line="215" w:lineRule="auto"/>
        <w:rPr>
          <w:sz w:val="20"/>
          <w:szCs w:val="20"/>
          <w:color w:val="auto"/>
        </w:rPr>
      </w:pPr>
      <w:r>
        <w:rPr>
          <w:rFonts w:ascii="Times New Roman" w:cs="Times New Roman" w:eastAsia="Times New Roman" w:hAnsi="Times New Roman"/>
          <w:sz w:val="12"/>
          <w:szCs w:val="12"/>
          <w:color w:val="auto"/>
        </w:rPr>
        <w:t>•persons who own or are deemed to own, directly or constructively, 10% or more of the total combined voting power of all classes of the Company’s voting stock or 10% or more of the total value of shares of all classes of the Company’s stock;</w:t>
      </w:r>
    </w:p>
    <w:p>
      <w:pPr>
        <w:ind w:left="620" w:right="3180"/>
        <w:spacing w:after="0" w:line="215" w:lineRule="auto"/>
        <w:rPr>
          <w:sz w:val="20"/>
          <w:szCs w:val="20"/>
          <w:color w:val="auto"/>
        </w:rPr>
      </w:pPr>
      <w:r>
        <w:rPr>
          <w:rFonts w:ascii="Times New Roman" w:cs="Times New Roman" w:eastAsia="Times New Roman" w:hAnsi="Times New Roman"/>
          <w:sz w:val="12"/>
          <w:szCs w:val="12"/>
          <w:color w:val="auto"/>
        </w:rPr>
        <w:t>•persons subject to special tax accounting rules as a result of any item of gross income with respect to the ADSs being taken into account in an applicable financial statement;</w:t>
      </w:r>
    </w:p>
    <w:p>
      <w:pPr>
        <w:ind w:left="620" w:right="3600"/>
        <w:spacing w:after="0" w:line="215" w:lineRule="auto"/>
        <w:rPr>
          <w:sz w:val="20"/>
          <w:szCs w:val="20"/>
          <w:color w:val="auto"/>
        </w:rPr>
      </w:pPr>
      <w:r>
        <w:rPr>
          <w:rFonts w:ascii="Times New Roman" w:cs="Times New Roman" w:eastAsia="Times New Roman" w:hAnsi="Times New Roman"/>
          <w:sz w:val="12"/>
          <w:szCs w:val="12"/>
          <w:color w:val="auto"/>
        </w:rPr>
        <w:t>•persons who acquire ADSs pursuant to the exercise of an employee stock option or otherwise as compensation; or</w:t>
      </w:r>
    </w:p>
    <w:p>
      <w:pPr>
        <w:ind w:left="620"/>
        <w:spacing w:after="0" w:line="215" w:lineRule="auto"/>
        <w:rPr>
          <w:sz w:val="20"/>
          <w:szCs w:val="20"/>
          <w:color w:val="auto"/>
        </w:rPr>
      </w:pPr>
      <w:r>
        <w:rPr>
          <w:rFonts w:ascii="Times New Roman" w:cs="Times New Roman" w:eastAsia="Times New Roman" w:hAnsi="Times New Roman"/>
          <w:sz w:val="12"/>
          <w:szCs w:val="12"/>
          <w:color w:val="auto"/>
        </w:rPr>
        <w:t>•persons holding the ADSs in connection with a trade or business conducted outside the US.</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THE SUMMARY OF US FEDERAL INCOME TAX CONSEQUENCES SET OUT BELOW IS FOR GENERAL INFORMATION ONLY.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1" w:lineRule="exact"/>
        <w:rPr>
          <w:sz w:val="20"/>
          <w:szCs w:val="20"/>
          <w:color w:val="auto"/>
        </w:rPr>
      </w:pPr>
    </w:p>
    <w:p>
      <w:pPr>
        <w:ind w:left="620" w:right="2580"/>
        <w:spacing w:after="0" w:line="215" w:lineRule="auto"/>
        <w:rPr>
          <w:sz w:val="20"/>
          <w:szCs w:val="20"/>
          <w:color w:val="auto"/>
        </w:rPr>
      </w:pPr>
      <w:r>
        <w:rPr>
          <w:rFonts w:ascii="Times New Roman" w:cs="Times New Roman" w:eastAsia="Times New Roman" w:hAnsi="Times New Roman"/>
          <w:sz w:val="12"/>
          <w:szCs w:val="12"/>
          <w:color w:val="auto"/>
        </w:rPr>
        <w:t>As used in this discussion, the term “US Holder” means a beneficial owner of the ADSs that is for US federal income tax purposes:</w:t>
      </w:r>
    </w:p>
    <w:p>
      <w:pPr>
        <w:ind w:left="620"/>
        <w:spacing w:after="0" w:line="215" w:lineRule="auto"/>
        <w:rPr>
          <w:sz w:val="20"/>
          <w:szCs w:val="20"/>
          <w:color w:val="auto"/>
        </w:rPr>
      </w:pPr>
      <w:r>
        <w:rPr>
          <w:rFonts w:ascii="Times New Roman" w:cs="Times New Roman" w:eastAsia="Times New Roman" w:hAnsi="Times New Roman"/>
          <w:sz w:val="12"/>
          <w:szCs w:val="12"/>
          <w:color w:val="auto"/>
        </w:rPr>
        <w:t>•a citizen or individual resident of the US;</w:t>
      </w:r>
    </w:p>
    <w:p>
      <w:pPr>
        <w:ind w:left="620" w:right="3320"/>
        <w:spacing w:after="0" w:line="234" w:lineRule="auto"/>
        <w:rPr>
          <w:sz w:val="20"/>
          <w:szCs w:val="20"/>
          <w:color w:val="auto"/>
        </w:rPr>
      </w:pPr>
      <w:r>
        <w:rPr>
          <w:rFonts w:ascii="Times New Roman" w:cs="Times New Roman" w:eastAsia="Times New Roman" w:hAnsi="Times New Roman"/>
          <w:sz w:val="12"/>
          <w:szCs w:val="12"/>
          <w:color w:val="auto"/>
        </w:rPr>
        <w:t>•a corporation (or other entity treated as a corporation) created or organized in or under the laws of the US, any state thereof or the District of Columbia;</w:t>
      </w:r>
    </w:p>
    <w:p>
      <w:pPr>
        <w:sectPr>
          <w:pgSz w:w="11900" w:h="16840" w:orient="portrait"/>
          <w:cols w:equalWidth="0" w:num="1">
            <w:col w:w="9020"/>
          </w:cols>
          <w:pgMar w:left="1440" w:top="997" w:right="1440" w:bottom="147"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99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3360"/>
        <w:spacing w:after="0" w:line="215" w:lineRule="auto"/>
        <w:rPr>
          <w:sz w:val="20"/>
          <w:szCs w:val="20"/>
          <w:color w:val="auto"/>
        </w:rPr>
      </w:pPr>
      <w:r>
        <w:rPr>
          <w:rFonts w:ascii="Times New Roman" w:cs="Times New Roman" w:eastAsia="Times New Roman" w:hAnsi="Times New Roman"/>
          <w:sz w:val="12"/>
          <w:szCs w:val="12"/>
          <w:color w:val="auto"/>
        </w:rPr>
        <w:t>•an estate, the income of which is subject to US federal income taxation regardless of its source; or •a trust that (1) is subject to the primary supervision of a court within the US and the control of one or more US persons for all substantial decisions of the trust or (2) has a valid election in effect under applicable Treasury Regulations to be treated as a US person.</w:t>
      </w:r>
    </w:p>
    <w:p>
      <w:pPr>
        <w:ind w:left="620" w:right="2280"/>
        <w:spacing w:after="0"/>
        <w:rPr>
          <w:sz w:val="20"/>
          <w:szCs w:val="20"/>
          <w:color w:val="auto"/>
        </w:rPr>
      </w:pPr>
      <w:r>
        <w:rPr>
          <w:rFonts w:ascii="Times New Roman" w:cs="Times New Roman" w:eastAsia="Times New Roman" w:hAnsi="Times New Roman"/>
          <w:sz w:val="12"/>
          <w:szCs w:val="12"/>
          <w:color w:val="auto"/>
        </w:rPr>
        <w:t>The US federal income tax treatment of a partner in an entity or arrangement treated as a partnership for US federal income tax purposes that holds ADSs generally will depend on the status of the partner and the activities of the partnership. Partnerships considering an investment in the ADSs and partners in such partnerships should consult their tax advisors regarding the specific US federal income tax consequences to them of the acquisition, ownership and disposition of the ADSs.</w:t>
      </w:r>
    </w:p>
    <w:p>
      <w:pPr>
        <w:spacing w:after="0" w:line="67" w:lineRule="exact"/>
        <w:rPr>
          <w:sz w:val="20"/>
          <w:szCs w:val="20"/>
          <w:color w:val="auto"/>
        </w:rPr>
      </w:pPr>
    </w:p>
    <w:p>
      <w:pPr>
        <w:ind w:left="620" w:right="2620"/>
        <w:spacing w:after="0" w:line="215" w:lineRule="auto"/>
        <w:rPr>
          <w:sz w:val="20"/>
          <w:szCs w:val="20"/>
          <w:color w:val="auto"/>
        </w:rPr>
      </w:pPr>
      <w:r>
        <w:rPr>
          <w:rFonts w:ascii="Times New Roman" w:cs="Times New Roman" w:eastAsia="Times New Roman" w:hAnsi="Times New Roman"/>
          <w:sz w:val="12"/>
          <w:szCs w:val="12"/>
          <w:color w:val="auto"/>
        </w:rPr>
        <w:t>The discussion below assumes that the representations contained in the deposit agreement and any related agreement are true and that the obligations in such agreements will be complied with in accordance with their terms.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ADSs</w:t>
      </w:r>
    </w:p>
    <w:p>
      <w:pPr>
        <w:ind w:left="620" w:right="2620"/>
        <w:spacing w:after="0" w:line="215" w:lineRule="auto"/>
        <w:rPr>
          <w:sz w:val="20"/>
          <w:szCs w:val="20"/>
          <w:color w:val="auto"/>
        </w:rPr>
      </w:pPr>
      <w:r>
        <w:rPr>
          <w:rFonts w:ascii="Times New Roman" w:cs="Times New Roman" w:eastAsia="Times New Roman" w:hAnsi="Times New Roman"/>
          <w:sz w:val="12"/>
          <w:szCs w:val="12"/>
          <w:color w:val="auto"/>
        </w:rPr>
        <w:t>For US federal income tax purposes, US Holders of ADSs generally will be treated as the beneficial owners of the underlying shares represented by the ADSs and an exchange of ADSs for the underlying shares generally will not be subject to US federal income tax.</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The US Treasury Department and the IRS have expressed concerns that US Holders of ADSs may be claiming foreign tax credits in situations where an intermediary in the chain of ownership between the holder of an ADS and the issuer of the security underlying the ADS has taken actions that are inconsistent with the US Holder of the ADS being treated as the beneficial owner of the underlying security. Such actions (for example, a pre-release of an ADS by a depositary) also may be inconsistent with the claiming of the reduced rate of tax applicable to certain dividends received by non-corporate US Holders of ADSs, including individual US Holders. Accordingly, the availability of foreign tax credits or the reduced US federal income tax rate for “qualified dividend income,” each discussed below, could be affected by actions taken by intermediaries in the chain of ownership between the holder of an ADS and the Company, if as a result of such actions the US Holder of an ADS is not properly treated as the beneficial owner of the underlying share.</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Dividends and Other Distributions</w:t>
      </w:r>
    </w:p>
    <w:p>
      <w:pPr>
        <w:spacing w:after="0" w:line="1"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Subject to the PFIC rules discussed below, the gross amount of any distribution made by the Company to a US Holder with respect to the ADSs (including the amount of any taxes withheld therefrom) generally will be included in such holder’s gross income as non-US source dividend income in the year actually or constructively received by the depository, but only to the extent that the distribution is paid out of the Company’s current or accumulated earnings and profits (as determined under US federal income tax principles). As a non-US company, the Company does not maintain calculations of its earnings and profits under US federal income tax principles. Therefore, it is expected that any distributions generally will be reported to US Holders as dividends. Any dividends that the Company pays will not be eligible for the dividends-received deduction allowed to qualifying corporations under Section 243 of the Code.</w:t>
      </w:r>
    </w:p>
    <w:p>
      <w:pPr>
        <w:ind w:left="620"/>
        <w:spacing w:after="0" w:line="216" w:lineRule="auto"/>
        <w:rPr>
          <w:sz w:val="20"/>
          <w:szCs w:val="20"/>
          <w:color w:val="auto"/>
        </w:rPr>
      </w:pPr>
      <w:r>
        <w:rPr>
          <w:rFonts w:ascii="Times New Roman" w:cs="Times New Roman" w:eastAsia="Times New Roman" w:hAnsi="Times New Roman"/>
          <w:sz w:val="12"/>
          <w:szCs w:val="12"/>
          <w:color w:val="auto"/>
        </w:rPr>
        <w:t>With respect to certain non-corporate US Holders, including individual US Holders, dividends paid on the ADSs may</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be eligible to be taxed at favorable rates applicable to “qualified dividend income,” provided that (1) the ADSs are readily tradable on an established securities market in the US, (2) the Company is not a PFIC (as discussed below) for either its taxable year in which the dividend is paid or the preceding taxable year and (3) certain minimum holding period and other requirements are met.</w:t>
      </w:r>
    </w:p>
    <w:p>
      <w:pPr>
        <w:ind w:left="620" w:right="2280"/>
        <w:spacing w:after="0" w:line="220" w:lineRule="auto"/>
        <w:rPr>
          <w:sz w:val="20"/>
          <w:szCs w:val="20"/>
          <w:color w:val="auto"/>
        </w:rPr>
      </w:pPr>
      <w:r>
        <w:rPr>
          <w:rFonts w:ascii="Times New Roman" w:cs="Times New Roman" w:eastAsia="Times New Roman" w:hAnsi="Times New Roman"/>
          <w:sz w:val="12"/>
          <w:szCs w:val="12"/>
          <w:color w:val="auto"/>
        </w:rPr>
        <w:t>Under a published IRS Notice, common or ordinary shares, or ADSs representing such shares, are considered to be readily tradable on an established securities market in the US if they are listed on the Nasdaq Global Select Market. Our ADSs are readily tradable on the Nasdaq Global Select Market. However, based on existing guidance, it is unclear whether the shares will be considered to be readily tradable on an established securities market in the US, because only the ADSs, and not the underlying shares, are listed on a securities market in the US. US Holders should consult their tax advisors regarding the availability of the favorable rate applicable to qualified dividend income for any dividends the Company pays with respect to the ADSs.</w:t>
      </w:r>
    </w:p>
    <w:p>
      <w:pPr>
        <w:sectPr>
          <w:pgSz w:w="11900" w:h="16840" w:orient="portrait"/>
          <w:cols w:equalWidth="0" w:num="1">
            <w:col w:w="9020"/>
          </w:cols>
          <w:pgMar w:left="1440" w:top="1440" w:right="1440" w:bottom="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color w:val="auto"/>
        </w:rPr>
        <w:t>The amount of any distribution paid in Danish kroner will be included in a US Holder’s income in an amount equal to</w:t>
      </w:r>
    </w:p>
    <w:p>
      <w:pPr>
        <w:ind w:left="620"/>
        <w:spacing w:after="0"/>
        <w:rPr>
          <w:sz w:val="20"/>
          <w:szCs w:val="20"/>
          <w:color w:val="auto"/>
        </w:rPr>
      </w:pPr>
      <w:r>
        <w:rPr>
          <w:rFonts w:ascii="Times New Roman" w:cs="Times New Roman" w:eastAsia="Times New Roman" w:hAnsi="Times New Roman"/>
          <w:sz w:val="12"/>
          <w:szCs w:val="12"/>
          <w:color w:val="auto"/>
        </w:rPr>
        <w:t>the US dollar value of such Danish kroner calculated by reference to the exchange rate in effect on the date the distribution</w:t>
      </w:r>
    </w:p>
    <w:p>
      <w:pPr>
        <w:sectPr>
          <w:pgSz w:w="11900" w:h="16840" w:orient="portrait"/>
          <w:cols w:equalWidth="0" w:num="1">
            <w:col w:w="9020"/>
          </w:cols>
          <w:pgMar w:left="1440" w:top="1440" w:right="1440" w:bottom="21" w:gutter="0" w:footer="0" w:header="0"/>
          <w:type w:val="continuous"/>
        </w:sectPr>
      </w:pPr>
    </w:p>
    <w:bookmarkStart w:id="64" w:name="page65"/>
    <w:bookmarkEnd w:id="64"/>
    <w:p>
      <w:pPr>
        <w:ind w:left="620" w:right="2340"/>
        <w:spacing w:after="0" w:line="221" w:lineRule="auto"/>
        <w:rPr>
          <w:sz w:val="20"/>
          <w:szCs w:val="20"/>
          <w:color w:val="auto"/>
        </w:rPr>
      </w:pPr>
      <w:r>
        <w:rPr>
          <w:rFonts w:ascii="Times New Roman" w:cs="Times New Roman" w:eastAsia="Times New Roman" w:hAnsi="Times New Roman"/>
          <w:sz w:val="12"/>
          <w:szCs w:val="12"/>
          <w:color w:val="auto"/>
        </w:rPr>
        <w:t>is actually or constructively received by the depository, regardless of whether the payment is in fact converted into US dollars at that time. If the distribution is converted into US dollars on the date of receipt, a US Holder generally should not be required to recognize foreign currency gain or loss in respect of the distribution. A US Holder may have foreign currency gain or loss if the distribution is converted into, or exchanged for, US dollars after the date of receipt.</w:t>
      </w:r>
    </w:p>
    <w:p>
      <w:pPr>
        <w:spacing w:after="0" w:line="1" w:lineRule="exact"/>
        <w:rPr>
          <w:sz w:val="20"/>
          <w:szCs w:val="20"/>
          <w:color w:val="auto"/>
        </w:rPr>
      </w:pPr>
    </w:p>
    <w:p>
      <w:pPr>
        <w:ind w:left="620" w:right="2300"/>
        <w:spacing w:after="0" w:line="227" w:lineRule="auto"/>
        <w:rPr>
          <w:sz w:val="20"/>
          <w:szCs w:val="20"/>
          <w:color w:val="auto"/>
        </w:rPr>
      </w:pPr>
      <w:r>
        <w:rPr>
          <w:rFonts w:ascii="Times New Roman" w:cs="Times New Roman" w:eastAsia="Times New Roman" w:hAnsi="Times New Roman"/>
          <w:sz w:val="12"/>
          <w:szCs w:val="12"/>
          <w:color w:val="auto"/>
        </w:rPr>
        <w:t>Any dividends the Company pays to US Holders generally will constitute non-US source “passive category” income for US foreign tax credit limitation purposes. If any Danish taxes are withheld with respect to dividends paid to a US Holder with respect to the ADSs, subject to certain conditions and limitations provided in the Code and the applicable Treasury Regulations (including those introduced by Treasury Regulations that apply to foreign income taxes paid or accrued in taxable years beginning on or after December 28, 2021), such taxes may be treated as non-US taxes eligible for credit against such US Holder’s US federal income tax liability (to the extent not exceeding the withholding rate applicable to the US Holder). A US Holder’s ability to use a foreign tax credit with respect to any such Danish taxes may not be allowed unless such holder elects benefits under an applicable income tax treaty with respect to such tax. In lieu of claiming a foreign tax credit, US Holders may, at their election, deduct creditable non-US taxes, including any Danish taxes withheld from dividends on the ADSs, in computing their taxable income, subject to generally applicable limitations under US federal income tax law. An election to deduct non- US taxes instead of claiming foreign tax credits applies to all non-US taxes paid or accrued in the taxable year. If a refund of the tax withheld is available under the laws of Denmark or under an applicable income tax treaty, the amount of tax withheld that is refundable will not be eligible for such credit against a US Holder’s US federal income tax liability (and will not be eligible for the deduction against US federal taxable income) . If the dividends constitute qualified dividend income as discussed above, the amount of the dividend taken into account for purposes of calculating the US foreign tax credit limitation generally will be limited to the gross amount of the dividend, multiplied by the reduced rate applicable to the qualified dividend income, divided by the highest rate of tax normally applicable to dividends.</w:t>
      </w:r>
    </w:p>
    <w:p>
      <w:pPr>
        <w:spacing w:after="0" w:line="8" w:lineRule="exact"/>
        <w:rPr>
          <w:sz w:val="20"/>
          <w:szCs w:val="20"/>
          <w:color w:val="auto"/>
        </w:rPr>
      </w:pPr>
    </w:p>
    <w:p>
      <w:pPr>
        <w:ind w:left="620" w:right="2500"/>
        <w:spacing w:after="0" w:line="215" w:lineRule="auto"/>
        <w:rPr>
          <w:sz w:val="20"/>
          <w:szCs w:val="20"/>
          <w:color w:val="auto"/>
        </w:rPr>
      </w:pPr>
      <w:r>
        <w:rPr>
          <w:rFonts w:ascii="Times New Roman" w:cs="Times New Roman" w:eastAsia="Times New Roman" w:hAnsi="Times New Roman"/>
          <w:sz w:val="12"/>
          <w:szCs w:val="12"/>
          <w:color w:val="auto"/>
        </w:rPr>
        <w:t>The rules relating to the determination of the US foreign tax credit and the deduction of non -US taxes are complex, and US Holders should consult their tax advisors to determine whether and to what extent a credit or deduction may be available in their particular circumstances.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Taxable Dispositions of the ADSs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Subject to the PFIC rules discussed below, a US Holder generally will recognize taxable gain or loss on any sale, exchange or other taxable disposition of an ADS in an amount equal to the difference between the sum of the fair market value of any property and the amount of cash received in such disposition and the holder’s tax basis in the ADS. The US Holder’s tax basis in the ADSs generally will equal the cost of the ADSs to the US Holder. The gain or loss generally will be capital gain or loss, and generally will be a long- term capital gain or loss if the US Holder has held the ADS for more than one year at the time of disposition. For certain non- corporate taxpayers (including individuals), long- term capital gains are subject to tax at favorable rates. The deductibility of capital losses is subject to limitations.</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Any gain or loss that a US Holder recognizes on a sale or other taxable disposition of an ADS generally will be treated as US source income or loss for US foreign tax credit limitation purposes. US Holders should consult their tax advisors regarding the proper treatment of any gain or loss in their particular circumstances, including the effects of any applicable income tax treaties.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Passive Foreign Investment Company Considerations</w:t>
      </w:r>
    </w:p>
    <w:p>
      <w:pPr>
        <w:spacing w:after="0" w:line="1" w:lineRule="exact"/>
        <w:rPr>
          <w:sz w:val="20"/>
          <w:szCs w:val="20"/>
          <w:color w:val="auto"/>
        </w:rPr>
      </w:pPr>
    </w:p>
    <w:p>
      <w:pPr>
        <w:ind w:left="620" w:right="2280"/>
        <w:spacing w:after="0" w:line="219" w:lineRule="auto"/>
        <w:rPr>
          <w:sz w:val="20"/>
          <w:szCs w:val="20"/>
          <w:color w:val="auto"/>
        </w:rPr>
      </w:pPr>
      <w:r>
        <w:rPr>
          <w:rFonts w:ascii="Times New Roman" w:cs="Times New Roman" w:eastAsia="Times New Roman" w:hAnsi="Times New Roman"/>
          <w:sz w:val="12"/>
          <w:szCs w:val="12"/>
          <w:color w:val="auto"/>
        </w:rPr>
        <w:t>Based on the current and anticipated value of our assets and the nature and composition of the Company’s income and assets, the Company does not expect to be a PFIC for our current taxable year ending December 31, 2026, or in the foreseeable future. However, PFIC status is based on an annual determination that cannot be made until the close of a taxable year, involves extensive factual investigation, including ascertaining the fair market value of all of our assets on a quarterly basis and the active or passive character of each item of income that we earn, and is subject to uncertainty in several respects. Changes in the nature or composition of our income or assets, the structure of our operation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2026, or for any future taxable year. If we are a PFIC for any year during which a US Holder 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80"/>
        <w:spacing w:after="0"/>
        <w:rPr>
          <w:sz w:val="20"/>
          <w:szCs w:val="20"/>
          <w:color w:val="auto"/>
        </w:rPr>
      </w:pPr>
      <w:r>
        <w:rPr>
          <w:rFonts w:ascii="Times New Roman" w:cs="Times New Roman" w:eastAsia="Times New Roman" w:hAnsi="Times New Roman"/>
          <w:sz w:val="12"/>
          <w:szCs w:val="12"/>
          <w:color w:val="auto"/>
        </w:rPr>
        <w:t>the ADSs, we generally would continue to be treated as a PFIC with respect to that US Holder for all succeeding years during which the US Holder holds the ADSs, even if we ceased to meet the threshold requirements for PFIC status in any particular year, unless the US Holder has made a “deemed sale” election under the PFIC Rules when we cease to be a PFIC.</w:t>
      </w:r>
    </w:p>
    <w:p>
      <w:pPr>
        <w:spacing w:after="0" w:line="81" w:lineRule="exact"/>
        <w:rPr>
          <w:sz w:val="20"/>
          <w:szCs w:val="20"/>
          <w:color w:val="auto"/>
        </w:rPr>
      </w:pPr>
    </w:p>
    <w:p>
      <w:pPr>
        <w:ind w:left="620" w:right="2780"/>
        <w:spacing w:after="0" w:line="215" w:lineRule="auto"/>
        <w:rPr>
          <w:sz w:val="20"/>
          <w:szCs w:val="20"/>
          <w:color w:val="auto"/>
        </w:rPr>
      </w:pPr>
      <w:r>
        <w:rPr>
          <w:rFonts w:ascii="Times New Roman" w:cs="Times New Roman" w:eastAsia="Times New Roman" w:hAnsi="Times New Roman"/>
          <w:sz w:val="12"/>
          <w:szCs w:val="12"/>
          <w:color w:val="auto"/>
        </w:rPr>
        <w:t>A non-US corporation such as the Company will be treated as a PFIC for US federal income tax purposes for any taxable year if, applying applicable look-through rules, either:</w:t>
      </w:r>
    </w:p>
    <w:p>
      <w:pPr>
        <w:ind w:left="620" w:right="3280"/>
        <w:spacing w:after="0" w:line="215" w:lineRule="auto"/>
        <w:rPr>
          <w:sz w:val="20"/>
          <w:szCs w:val="20"/>
          <w:color w:val="auto"/>
        </w:rPr>
      </w:pPr>
      <w:r>
        <w:rPr>
          <w:rFonts w:ascii="Times New Roman" w:cs="Times New Roman" w:eastAsia="Times New Roman" w:hAnsi="Times New Roman"/>
          <w:sz w:val="12"/>
          <w:szCs w:val="12"/>
          <w:color w:val="auto"/>
        </w:rPr>
        <w:t>•at least 75% of its gross income for such year is “passive income” for purposes of the PFIC rules; or •at least 50% of the value of its assets (generally, determined based on a quarterly average) during such year is attributable to assets that produce or are held for the production of passive income.</w:t>
      </w:r>
    </w:p>
    <w:p>
      <w:pPr>
        <w:ind w:left="620" w:right="2380" w:firstLine="31"/>
        <w:spacing w:after="0" w:line="215" w:lineRule="auto"/>
        <w:rPr>
          <w:sz w:val="20"/>
          <w:szCs w:val="20"/>
          <w:color w:val="auto"/>
        </w:rPr>
      </w:pPr>
      <w:r>
        <w:rPr>
          <w:rFonts w:ascii="Times New Roman" w:cs="Times New Roman" w:eastAsia="Times New Roman" w:hAnsi="Times New Roman"/>
          <w:sz w:val="12"/>
          <w:szCs w:val="12"/>
          <w:color w:val="auto"/>
        </w:rPr>
        <w:t>For this purpose, passive income generally includes dividends, interest, royalties and rents other than certain royalties and rents derived in the active conduct of a trade or business and not derived from a related person. The Company will be treated as owning a proportionate share of the assets and earning a proportionate share of the income of any other corporation in which we own, directly or indirectly, more than 25% by value of the stock.</w:t>
      </w:r>
    </w:p>
    <w:p>
      <w:pPr>
        <w:ind w:left="620" w:right="2260"/>
        <w:spacing w:after="0" w:line="215" w:lineRule="auto"/>
        <w:rPr>
          <w:sz w:val="20"/>
          <w:szCs w:val="20"/>
          <w:color w:val="auto"/>
        </w:rPr>
      </w:pPr>
      <w:r>
        <w:rPr>
          <w:rFonts w:ascii="Times New Roman" w:cs="Times New Roman" w:eastAsia="Times New Roman" w:hAnsi="Times New Roman"/>
          <w:sz w:val="12"/>
          <w:szCs w:val="12"/>
          <w:color w:val="auto"/>
        </w:rPr>
        <w:t>For purposes of the income test, we believe that we are engaged in an active trade or business of discovering and developing antibody therapeutics and that the royalties and milestone payments we receive from unrelated parties should be treated as derived in the active conduct of a trade or business and not characterized as passive income. However, we have no assurance that these anticipated milestone payments and royalties will be paid when expected. If any such payments are delayed or not received then, depending on the amount of passive income we receive from other sources, the relative percentage of our income that is passive could increase and potentially cause us to be classified as a PFIC. There can be no assurances that we will not be classified as a PFIC for the current taxable year or for any future taxable year.</w:t>
      </w:r>
    </w:p>
    <w:p>
      <w:pPr>
        <w:spacing w:after="0" w:line="1" w:lineRule="exact"/>
        <w:rPr>
          <w:sz w:val="20"/>
          <w:szCs w:val="20"/>
          <w:color w:val="auto"/>
        </w:rPr>
      </w:pPr>
    </w:p>
    <w:p>
      <w:pPr>
        <w:ind w:left="620" w:right="2280"/>
        <w:spacing w:after="0"/>
        <w:rPr>
          <w:sz w:val="20"/>
          <w:szCs w:val="20"/>
          <w:color w:val="auto"/>
        </w:rPr>
      </w:pPr>
      <w:r>
        <w:rPr>
          <w:rFonts w:ascii="Times New Roman" w:cs="Times New Roman" w:eastAsia="Times New Roman" w:hAnsi="Times New Roman"/>
          <w:sz w:val="12"/>
          <w:szCs w:val="12"/>
          <w:color w:val="auto"/>
        </w:rPr>
        <w:t>If we were a PFIC for any taxable year during which a US Holder holds ADSs, then, unless such US Holder makes a “mark-to-market” election (as discussed below), such US Holder generally would be subject to special adverse tax rules with respect to any “excess distribution” that it receives from the Company and any gain that it recognizes from a sale or other disposition, including, in certain circumstances, a pledge, of ADSs. For this purpose, distributions that a US Holder receives in a taxable year that are greater than 125% of the average annual distributions that it received during the shorter of the three preceding taxable years or its holding period for the ADSs will be treated as an excess distribution. Under these rules:</w:t>
      </w:r>
    </w:p>
    <w:p>
      <w:pPr>
        <w:spacing w:after="0" w:line="38" w:lineRule="exact"/>
        <w:rPr>
          <w:sz w:val="20"/>
          <w:szCs w:val="20"/>
          <w:color w:val="auto"/>
        </w:rPr>
      </w:pPr>
    </w:p>
    <w:p>
      <w:pPr>
        <w:ind w:left="620" w:right="3460"/>
        <w:spacing w:after="0" w:line="215" w:lineRule="auto"/>
        <w:rPr>
          <w:sz w:val="20"/>
          <w:szCs w:val="20"/>
          <w:color w:val="auto"/>
        </w:rPr>
      </w:pPr>
      <w:r>
        <w:rPr>
          <w:rFonts w:ascii="Times New Roman" w:cs="Times New Roman" w:eastAsia="Times New Roman" w:hAnsi="Times New Roman"/>
          <w:sz w:val="12"/>
          <w:szCs w:val="12"/>
          <w:color w:val="auto"/>
        </w:rPr>
        <w:t>•the excess distribution or recognized gain would be allocated ratably over the US Holder’s holding period for the ADSs;</w:t>
      </w:r>
    </w:p>
    <w:p>
      <w:pPr>
        <w:jc w:val="both"/>
        <w:ind w:left="620" w:right="3280"/>
        <w:spacing w:after="0" w:line="215" w:lineRule="auto"/>
        <w:rPr>
          <w:sz w:val="20"/>
          <w:szCs w:val="20"/>
          <w:color w:val="auto"/>
        </w:rPr>
      </w:pPr>
      <w:r>
        <w:rPr>
          <w:rFonts w:ascii="Times New Roman" w:cs="Times New Roman" w:eastAsia="Times New Roman" w:hAnsi="Times New Roman"/>
          <w:sz w:val="12"/>
          <w:szCs w:val="12"/>
          <w:color w:val="auto"/>
        </w:rPr>
        <w:t>•the amount of the excess distribution or recognized gain allocated to the taxable year of distribution or gain, and to any taxable years in the US Holder’s holding period prior to the first taxable year in which the Company was treated as a PFIC, would be treated as ordinary income; and</w:t>
      </w:r>
    </w:p>
    <w:p>
      <w:pPr>
        <w:jc w:val="both"/>
        <w:ind w:left="620" w:right="3280"/>
        <w:spacing w:after="0" w:line="215" w:lineRule="auto"/>
        <w:rPr>
          <w:sz w:val="20"/>
          <w:szCs w:val="20"/>
          <w:color w:val="auto"/>
        </w:rPr>
      </w:pPr>
      <w:r>
        <w:rPr>
          <w:rFonts w:ascii="Times New Roman" w:cs="Times New Roman" w:eastAsia="Times New Roman" w:hAnsi="Times New Roman"/>
          <w:sz w:val="12"/>
          <w:szCs w:val="12"/>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ind w:left="620" w:right="2360" w:firstLine="31"/>
        <w:spacing w:after="0" w:line="215" w:lineRule="auto"/>
        <w:rPr>
          <w:sz w:val="20"/>
          <w:szCs w:val="20"/>
          <w:color w:val="auto"/>
        </w:rPr>
      </w:pPr>
      <w:r>
        <w:rPr>
          <w:rFonts w:ascii="Times New Roman" w:cs="Times New Roman" w:eastAsia="Times New Roman" w:hAnsi="Times New Roman"/>
          <w:sz w:val="12"/>
          <w:szCs w:val="12"/>
          <w:color w:val="auto"/>
        </w:rPr>
        <w:t>If the Company were a PFIC for any taxable year during which a US Holder holds ADSs and any of our non -US subsidiaries or other corporate entities in which we own equity interests is also a PFIC, the US Holder would be treated as owning a proportionate amount (by value) of the shares of each such non-US entity classified as a PFIC, each such entity referred to as a lower-tier PFIC, for purposes of the application of these rules. US Holders should consult their own tax advisor regarding the application of the PFIC rules to any of the Company’s lower-tier PFICs.</w:t>
      </w:r>
    </w:p>
    <w:p>
      <w:pPr>
        <w:spacing w:after="0" w:line="1" w:lineRule="exact"/>
        <w:rPr>
          <w:sz w:val="20"/>
          <w:szCs w:val="20"/>
          <w:color w:val="auto"/>
        </w:rPr>
      </w:pPr>
    </w:p>
    <w:p>
      <w:pPr>
        <w:ind w:left="620" w:right="2280"/>
        <w:spacing w:after="0" w:line="221" w:lineRule="auto"/>
        <w:rPr>
          <w:sz w:val="20"/>
          <w:szCs w:val="20"/>
          <w:color w:val="auto"/>
        </w:rPr>
      </w:pPr>
      <w:r>
        <w:rPr>
          <w:rFonts w:ascii="Times New Roman" w:cs="Times New Roman" w:eastAsia="Times New Roman" w:hAnsi="Times New Roman"/>
          <w:sz w:val="12"/>
          <w:szCs w:val="12"/>
          <w:color w:val="auto"/>
        </w:rPr>
        <w:t>If the Company were a PFIC for any taxable year during which a US Holder holds ADSs, then in lieu of being subject to the tax and interest -charge rules discussed above, the US Holder may make an election to include gain on the ADSs as ordinary income under a mark- to- market method, provided that our ADSs constitute “marketable stock.” Marketable stock is stock that is regularly traded on a qualified exchange or other market, as defined in applicable Treasury Regulations. The Company expects that the ADSs, but not our shares, will be listed on the Nasdaq Global Select Market, which is a qualified exchange or other market for these purposes.</w:t>
      </w:r>
    </w:p>
    <w:p>
      <w:pPr>
        <w:sectPr>
          <w:pgSz w:w="11900" w:h="16840" w:orient="portrait"/>
          <w:cols w:equalWidth="0" w:num="1">
            <w:col w:w="9020"/>
          </w:cols>
          <w:pgMar w:left="1440" w:top="559" w:right="1440" w:bottom="13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560" w:firstLine="31"/>
        <w:spacing w:after="0" w:line="215" w:lineRule="auto"/>
        <w:rPr>
          <w:sz w:val="20"/>
          <w:szCs w:val="20"/>
          <w:color w:val="auto"/>
        </w:rPr>
      </w:pPr>
      <w:r>
        <w:rPr>
          <w:rFonts w:ascii="Times New Roman" w:cs="Times New Roman" w:eastAsia="Times New Roman" w:hAnsi="Times New Roman"/>
          <w:sz w:val="12"/>
          <w:szCs w:val="12"/>
          <w:color w:val="auto"/>
        </w:rPr>
        <w:t>Consequently, if the ADSs are listed on the Nasdaq Global Select Market and are regularly traded, we expect that the mark-to-market election would be available to US Holders of ADSs if the Company were to become a PFIC, but no assurances are given in this regard.</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Because a mark-to-market election cannot be made for any lower-tier PFICs that the Company may own (unless the shares in such lower-tier PFIC are themselves treated as marketable stock), if the Company were a PFIC for any taxable year, a US Holder that makes the mark-to-market election may continue to be subject to the tax and interest charges under the general PFIC rules with respect to such US Holder’s indirect interest in any investments held by the Company that are treated as an equity interest in a PFIC for US federal income tax purposes.</w:t>
      </w:r>
    </w:p>
    <w:p>
      <w:pPr>
        <w:ind w:left="620"/>
        <w:spacing w:after="0" w:line="216" w:lineRule="auto"/>
        <w:rPr>
          <w:sz w:val="20"/>
          <w:szCs w:val="20"/>
          <w:color w:val="auto"/>
        </w:rPr>
      </w:pPr>
      <w:r>
        <w:rPr>
          <w:rFonts w:ascii="Times New Roman" w:cs="Times New Roman" w:eastAsia="Times New Roman" w:hAnsi="Times New Roman"/>
          <w:sz w:val="12"/>
          <w:szCs w:val="12"/>
          <w:color w:val="auto"/>
        </w:rPr>
        <w:t>In certain circumstances, a shareholder in a PFIC may avoid the adverse tax and interest-charge regime described</w:t>
      </w:r>
    </w:p>
    <w:p>
      <w:pPr>
        <w:ind w:left="620" w:right="2260"/>
        <w:spacing w:after="0" w:line="215" w:lineRule="auto"/>
        <w:rPr>
          <w:sz w:val="20"/>
          <w:szCs w:val="20"/>
          <w:color w:val="auto"/>
        </w:rPr>
      </w:pPr>
      <w:r>
        <w:rPr>
          <w:rFonts w:ascii="Times New Roman" w:cs="Times New Roman" w:eastAsia="Times New Roman" w:hAnsi="Times New Roman"/>
          <w:sz w:val="12"/>
          <w:szCs w:val="12"/>
          <w:color w:val="auto"/>
        </w:rPr>
        <w:t>above by making a “qualified electing fund” election to include in income its share of the corporation’s income on a current basis. However, a US Holder may make a qualified electing fund election with respect to the ADSs only if the Company agrees to furnish such US Holder annually with a PFIC annual information statement as specified in the applicable Treasury Regulations. There is no assurance that we will provide such information that would enable a US Holder to make a qualified electing fund election.</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If a US Holder owns ADSs during any year in which the Company is a PFIC, such US Holder (including, potentially, indirect holders) generally will be required to file an IRS Form 8621 with such holder’s US federal income tax return for that year. US Holders should consult their own tax advisors regarding the application of the PFIC rules to their ownership of the ADSs.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Information Reporting and Backup Withholding</w:t>
      </w:r>
    </w:p>
    <w:p>
      <w:pPr>
        <w:ind w:left="620"/>
        <w:spacing w:after="0" w:line="216" w:lineRule="auto"/>
        <w:rPr>
          <w:sz w:val="20"/>
          <w:szCs w:val="20"/>
          <w:color w:val="auto"/>
        </w:rPr>
      </w:pPr>
      <w:r>
        <w:rPr>
          <w:rFonts w:ascii="Times New Roman" w:cs="Times New Roman" w:eastAsia="Times New Roman" w:hAnsi="Times New Roman"/>
          <w:sz w:val="12"/>
          <w:szCs w:val="12"/>
          <w:color w:val="auto"/>
        </w:rPr>
        <w:t>Dividend payments with respect to the ADSs and proceeds from a sale, exchange, redemption or other taxable</w:t>
      </w:r>
    </w:p>
    <w:p>
      <w:pPr>
        <w:ind w:left="620"/>
        <w:spacing w:after="0" w:line="215" w:lineRule="auto"/>
        <w:rPr>
          <w:sz w:val="20"/>
          <w:szCs w:val="20"/>
          <w:color w:val="auto"/>
        </w:rPr>
      </w:pPr>
      <w:r>
        <w:rPr>
          <w:rFonts w:ascii="Times New Roman" w:cs="Times New Roman" w:eastAsia="Times New Roman" w:hAnsi="Times New Roman"/>
          <w:sz w:val="12"/>
          <w:szCs w:val="12"/>
          <w:color w:val="auto"/>
        </w:rPr>
        <w:t>disposition of the ADSs made within the US or through certain US related financial intermediaries may be subject to</w:t>
      </w:r>
    </w:p>
    <w:p>
      <w:pPr>
        <w:ind w:left="620"/>
        <w:spacing w:after="0" w:line="215" w:lineRule="auto"/>
        <w:rPr>
          <w:sz w:val="20"/>
          <w:szCs w:val="20"/>
          <w:color w:val="auto"/>
        </w:rPr>
      </w:pPr>
      <w:r>
        <w:rPr>
          <w:rFonts w:ascii="Times New Roman" w:cs="Times New Roman" w:eastAsia="Times New Roman" w:hAnsi="Times New Roman"/>
          <w:sz w:val="12"/>
          <w:szCs w:val="12"/>
          <w:color w:val="auto"/>
        </w:rPr>
        <w:t>information reporting to the IRS and possible US backup withholding. Backup withholding will not apply, however, to a</w:t>
      </w:r>
    </w:p>
    <w:p>
      <w:pPr>
        <w:ind w:left="620"/>
        <w:spacing w:after="0" w:line="215" w:lineRule="auto"/>
        <w:rPr>
          <w:sz w:val="20"/>
          <w:szCs w:val="20"/>
          <w:color w:val="auto"/>
        </w:rPr>
      </w:pPr>
      <w:r>
        <w:rPr>
          <w:rFonts w:ascii="Times New Roman" w:cs="Times New Roman" w:eastAsia="Times New Roman" w:hAnsi="Times New Roman"/>
          <w:sz w:val="12"/>
          <w:szCs w:val="12"/>
          <w:color w:val="auto"/>
        </w:rPr>
        <w:t>US Holder that furnishes a correct taxpayer identification number and makes any other required certification on IRS</w:t>
      </w:r>
    </w:p>
    <w:p>
      <w:pPr>
        <w:ind w:left="620"/>
        <w:spacing w:after="0" w:line="215" w:lineRule="auto"/>
        <w:rPr>
          <w:sz w:val="20"/>
          <w:szCs w:val="20"/>
          <w:color w:val="auto"/>
        </w:rPr>
      </w:pPr>
      <w:r>
        <w:rPr>
          <w:rFonts w:ascii="Times New Roman" w:cs="Times New Roman" w:eastAsia="Times New Roman" w:hAnsi="Times New Roman"/>
          <w:sz w:val="12"/>
          <w:szCs w:val="12"/>
          <w:color w:val="auto"/>
        </w:rPr>
        <w:t>Form W-9 or that is otherwise exempt from backup withholding. US Holders of the ADSs should consult their tax advisors</w:t>
      </w:r>
    </w:p>
    <w:p>
      <w:pPr>
        <w:ind w:left="620"/>
        <w:spacing w:after="0" w:line="216" w:lineRule="auto"/>
        <w:rPr>
          <w:sz w:val="20"/>
          <w:szCs w:val="20"/>
          <w:color w:val="auto"/>
        </w:rPr>
      </w:pPr>
      <w:r>
        <w:rPr>
          <w:rFonts w:ascii="Times New Roman" w:cs="Times New Roman" w:eastAsia="Times New Roman" w:hAnsi="Times New Roman"/>
          <w:sz w:val="12"/>
          <w:szCs w:val="12"/>
          <w:color w:val="auto"/>
        </w:rPr>
        <w:t>regarding the application of the US information reporting and backup withholding rules.</w:t>
      </w:r>
    </w:p>
    <w:p>
      <w:pPr>
        <w:ind w:left="620" w:right="2420"/>
        <w:spacing w:after="0" w:line="215" w:lineRule="auto"/>
        <w:rPr>
          <w:sz w:val="20"/>
          <w:szCs w:val="20"/>
          <w:color w:val="auto"/>
        </w:rPr>
      </w:pPr>
      <w:r>
        <w:rPr>
          <w:rFonts w:ascii="Times New Roman" w:cs="Times New Roman" w:eastAsia="Times New Roman" w:hAnsi="Times New Roman"/>
          <w:sz w:val="12"/>
          <w:szCs w:val="12"/>
          <w:color w:val="auto"/>
        </w:rPr>
        <w:t>Backup withholding is not an additional tax. Amounts withheld as backup withholding may be credited against such US Holder’s US federal income tax liability, and such holder may obtain a refund of any excess amounts withheld under the backup withholding rules by filing an appropriate claim for refund with the IRS and furnishing any required information in a timely manner.</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Certain US Holders may be required to comply with certain reporting requirements relating to the ADSs, including filing IRS Form 8938, with respect to the holding of certain foreign financial assets, including stock of foreign issuers (such as the Company), either directly or through certain foreign financial institutions, if the aggregate value of all such assets exceeds US $50,000 on the last day of the tax year or US $75,000 at any time during the tax year. US Holders who fail to report the required information could be subject to substantial penalties. US Holders should consult their own tax advisors regarding the application of these rules to their ownership of the ADSs.</w:t>
      </w:r>
    </w:p>
    <w:p>
      <w:pPr>
        <w:spacing w:after="0" w:line="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THE DISCUSSION ABOVE IS A GENERAL SUMMARY. IT DOES NOT COVER ALL TAX MATTERS THAT MAY BE IMPORTANT TO YOU. PROSPECTIVE INVESTORS SHOULD CONSULT THEIR TAX ADVISORS REGARDING THE APPLICATION OF THE US FEDERAL TAX RULES TO THEIR PARTICULAR CIRCUMSTANCES AS WELL AS THE STATE, LOCAL, NON- US AND OTHER TAX CONSEQUENCES TO THEM OF THE ACQUISITION, OWNERSHIP AND DISPOSITION OF THE ADSS.</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Material Danish Income Tax Considerations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The following is a summary of material Danish tax considerations relating to the ownership and disposition of ADSs.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The summary is for general information purposes only and does not constitute exhaustive tax or legal advice.</w:t>
      </w:r>
    </w:p>
    <w:p>
      <w:pPr>
        <w:ind w:left="620" w:right="2320"/>
        <w:spacing w:after="0" w:line="228" w:lineRule="auto"/>
        <w:rPr>
          <w:sz w:val="20"/>
          <w:szCs w:val="20"/>
          <w:color w:val="auto"/>
        </w:rPr>
      </w:pPr>
      <w:r>
        <w:rPr>
          <w:rFonts w:ascii="Times New Roman" w:cs="Times New Roman" w:eastAsia="Times New Roman" w:hAnsi="Times New Roman"/>
          <w:sz w:val="12"/>
          <w:szCs w:val="12"/>
          <w:i w:val="1"/>
          <w:iCs w:val="1"/>
          <w:color w:val="auto"/>
        </w:rPr>
        <w:t>It is noted specifically that the summary does not address all possible tax consequences relating to the ownership and disposition of ADSs. The summary does accordingly not apply to investors to whom special tax rules apply, and, therefore, may not be relevant, for example, to investors subject to the Danish Tax on Pension Yields Act (i.e., pension savings),</w:t>
      </w:r>
    </w:p>
    <w:p>
      <w:pPr>
        <w:sectPr>
          <w:pgSz w:w="11900" w:h="16840" w:orient="portrait"/>
          <w:cols w:equalWidth="0" w:num="1">
            <w:col w:w="902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420"/>
        <w:spacing w:after="0" w:line="215" w:lineRule="auto"/>
        <w:rPr>
          <w:sz w:val="20"/>
          <w:szCs w:val="20"/>
          <w:color w:val="auto"/>
        </w:rPr>
      </w:pPr>
      <w:r>
        <w:rPr>
          <w:rFonts w:ascii="Times New Roman" w:cs="Times New Roman" w:eastAsia="Times New Roman" w:hAnsi="Times New Roman"/>
          <w:sz w:val="12"/>
          <w:szCs w:val="12"/>
          <w:i w:val="1"/>
          <w:iCs w:val="1"/>
          <w:color w:val="auto"/>
        </w:rPr>
        <w:t>professional investors, certain institutional investors, insurance companies, pension companies, banks, stockbrokers and investors with tax liability on return on pension investments. The summary does further not apply to non- Danish tax resident investors that carry on business activities in Denmark through a permanent establishment, or to non-Danish tax resident investors, who are resident in jurisdictions, which are considered non-cooperative tax jurisdictions by the EU. In the context of the following section, “companies” refers to entities treated as separate taxable entities under domestic tax laws of their jurisdiction of incorporation.</w:t>
      </w:r>
    </w:p>
    <w:p>
      <w:pPr>
        <w:ind w:left="620"/>
        <w:spacing w:after="0" w:line="216" w:lineRule="auto"/>
        <w:rPr>
          <w:sz w:val="20"/>
          <w:szCs w:val="20"/>
          <w:color w:val="auto"/>
        </w:rPr>
      </w:pPr>
      <w:r>
        <w:rPr>
          <w:rFonts w:ascii="Times New Roman" w:cs="Times New Roman" w:eastAsia="Times New Roman" w:hAnsi="Times New Roman"/>
          <w:sz w:val="12"/>
          <w:szCs w:val="12"/>
          <w:i w:val="1"/>
          <w:iCs w:val="1"/>
          <w:color w:val="auto"/>
        </w:rPr>
        <w:t>The summary is based solely on the tax laws of Denmark in effect on the date of this Annual Report on Form 20-F.</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Danish tax laws may be subject to change, potentially with retroactive effect.</w:t>
      </w:r>
    </w:p>
    <w:p>
      <w:pPr>
        <w:ind w:left="620" w:right="3120"/>
        <w:spacing w:after="0" w:line="234" w:lineRule="auto"/>
        <w:rPr>
          <w:sz w:val="20"/>
          <w:szCs w:val="20"/>
          <w:color w:val="auto"/>
        </w:rPr>
      </w:pPr>
      <w:r>
        <w:rPr>
          <w:rFonts w:ascii="Times New Roman" w:cs="Times New Roman" w:eastAsia="Times New Roman" w:hAnsi="Times New Roman"/>
          <w:sz w:val="12"/>
          <w:szCs w:val="12"/>
          <w:b w:val="1"/>
          <w:bCs w:val="1"/>
          <w:color w:val="auto"/>
        </w:rPr>
        <w:t>Potential investors in the ADSs are advised to consult their tax advisors regarding the applicable tax consequences of ownership and disposition of the ADSs based on their particular circumstances.</w:t>
      </w:r>
    </w:p>
    <w:p>
      <w:pPr>
        <w:sectPr>
          <w:pgSz w:w="11900" w:h="16840" w:orient="portrait"/>
          <w:cols w:equalWidth="0" w:num="1">
            <w:col w:w="9020"/>
          </w:cols>
          <w:pgMar w:left="1440" w:top="1440" w:right="1440" w:bottom="0" w:gutter="0" w:footer="0" w:header="0"/>
          <w:type w:val="continuous"/>
        </w:sectPr>
      </w:pPr>
    </w:p>
    <w:bookmarkStart w:id="66" w:name="page67"/>
    <w:bookmarkEnd w:id="66"/>
    <w:p>
      <w:pPr>
        <w:ind w:left="620"/>
        <w:spacing w:after="0"/>
        <w:rPr>
          <w:sz w:val="20"/>
          <w:szCs w:val="20"/>
          <w:color w:val="auto"/>
        </w:rPr>
      </w:pPr>
      <w:r>
        <w:rPr>
          <w:rFonts w:ascii="Times New Roman" w:cs="Times New Roman" w:eastAsia="Times New Roman" w:hAnsi="Times New Roman"/>
          <w:sz w:val="12"/>
          <w:szCs w:val="12"/>
          <w:b w:val="1"/>
          <w:bCs w:val="1"/>
          <w:i w:val="1"/>
          <w:iCs w:val="1"/>
          <w:color w:val="auto"/>
        </w:rPr>
        <w:t>Tax Treatment of ADSs Under Danish Tax Law</w:t>
      </w:r>
    </w:p>
    <w:p>
      <w:pPr>
        <w:spacing w:after="0" w:line="2"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It is currently not clear under Danish tax legislation or case law how ADSs are to be treated for Danish tax purposes. Recent administrative practice from the Danish tax authorities indicates that the ADSs may not be treated as shares for Danish tax purposes, and that the ADS holder may not be treated as the direct owner of the shares underlying the ADSs and accordingly not as the shareholder for Danish tax purposes. Thus, according to recent administrative practice, the Danish tax authorities are of the opinion that the depositary bank may be the owner of the shares underlying the ADSs, and that the qualification of whether the ADS holder or the depositary bank is the holder of the underlying shares for Danish tax purposes depends on an assessment of the specific ADS program, with the main emphasis on the allocation of the administrative rights attached to the shares, in particular the voting rights. Furthermore, the Danish tax authorities are of the opinion that the ADS holder cannot be regarded as a holder of the underlying shares for Danish tax purposes to the extent the number of ADS certificates held by the ADS holder represents a fraction of a share.</w:t>
      </w:r>
    </w:p>
    <w:p>
      <w:pPr>
        <w:ind w:left="620"/>
        <w:spacing w:after="0" w:line="217" w:lineRule="auto"/>
        <w:rPr>
          <w:sz w:val="20"/>
          <w:szCs w:val="20"/>
          <w:color w:val="auto"/>
        </w:rPr>
      </w:pPr>
      <w:r>
        <w:rPr>
          <w:rFonts w:ascii="Times New Roman" w:cs="Times New Roman" w:eastAsia="Times New Roman" w:hAnsi="Times New Roman"/>
          <w:sz w:val="12"/>
          <w:szCs w:val="12"/>
          <w:color w:val="auto"/>
        </w:rPr>
        <w:t>While it therefore is highly uncertain whether the ADS holder in respect of the ADSs is treated as the direct owner of</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the shares underlying the ADSs and accordingly as the shareholder for Danish domestic tax law purposes, the summary in the section immediately below assumes that the ADS holder for Danish tax purposes is treated as the direct owner of the shares underlying the ADSs.</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If, however, an ADS holder is found not to be the owner of the shares underlying the ADSs and accordingly not to be treated as a shareholder for Danish tax purposes, then the ADSs will likely be taxed pursuant to the Danish tax rules on taxation of financial contracts. The taxation of financial contracts differs from the taxation of shares in several ways, and, among other differences, any Danish resident ADS holders will - if taxed under the rules on financial contracts - be subject to a mark-to- market taxation, i.e., annual taxation on any unrealized gains accrued during the year. A high-level summary of the tax treatment of financial contracts is laid out in a later section.</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Taxation of ADS holders considered to be owners of the underlying shares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Danish Tax Resident Individuals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Sale of Shares</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Capital gains from the sale of shares realized by Danish tax resident individuals are taxed as share income at a rate of 27% on the first DKK 79,400 (for cohabiting spouses, a total of DKK 158,800) and at a rate of 42% on share income exceeding DKK 79,400 (for cohabiting spouses over DKK 158,800) (all 2026 amounts and thresholds). The threshold is subject to annual adjustments and includes all share income included in the calculation (i.e., all capital gains on shares and dividends derived by the individual or cohabiting spouses, respectively) .</w:t>
      </w:r>
    </w:p>
    <w:p>
      <w:pPr>
        <w:spacing w:after="0" w:line="1" w:lineRule="exact"/>
        <w:rPr>
          <w:sz w:val="20"/>
          <w:szCs w:val="20"/>
          <w:color w:val="auto"/>
        </w:rPr>
      </w:pPr>
    </w:p>
    <w:p>
      <w:pPr>
        <w:ind w:left="620" w:right="2420"/>
        <w:spacing w:after="0" w:line="228" w:lineRule="auto"/>
        <w:rPr>
          <w:sz w:val="20"/>
          <w:szCs w:val="20"/>
          <w:color w:val="auto"/>
        </w:rPr>
      </w:pPr>
      <w:r>
        <w:rPr>
          <w:rFonts w:ascii="Times New Roman" w:cs="Times New Roman" w:eastAsia="Times New Roman" w:hAnsi="Times New Roman"/>
          <w:sz w:val="12"/>
          <w:szCs w:val="12"/>
          <w:color w:val="auto"/>
        </w:rPr>
        <w:t>Gains and losses on the sale of shares are calculated as the difference between the purchase price and the sales price. The purchase price is based on the average purchase price paid for the shares in the company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xml:space="preserve"> not the purchase price paid for each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440"/>
        <w:spacing w:after="0" w:line="215" w:lineRule="auto"/>
        <w:rPr>
          <w:sz w:val="20"/>
          <w:szCs w:val="20"/>
          <w:color w:val="auto"/>
        </w:rPr>
      </w:pPr>
      <w:r>
        <w:rPr>
          <w:rFonts w:ascii="Times New Roman" w:cs="Times New Roman" w:eastAsia="Times New Roman" w:hAnsi="Times New Roman"/>
          <w:sz w:val="12"/>
          <w:szCs w:val="12"/>
          <w:color w:val="auto"/>
        </w:rPr>
        <w:t>Losses on the sale of listed shares can only be offset against other share income deriving from listed shares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dividends and capital gains on the sale of listed shares) and subject to the Danish tax authorities having received certain information concerning the ownership of the shares in due time. Unused losses will automatically be offset against a cohabiting spouse’s share income deriving from listed shares and any additional losses can be carried forward and offset against future share income deriving from listed shares.</w:t>
      </w:r>
    </w:p>
    <w:p>
      <w:pPr>
        <w:ind w:left="620"/>
        <w:spacing w:after="0" w:line="216" w:lineRule="auto"/>
        <w:rPr>
          <w:sz w:val="20"/>
          <w:szCs w:val="20"/>
          <w:color w:val="auto"/>
        </w:rPr>
      </w:pPr>
      <w:r>
        <w:rPr>
          <w:rFonts w:ascii="Times New Roman" w:cs="Times New Roman" w:eastAsia="Times New Roman" w:hAnsi="Times New Roman"/>
          <w:sz w:val="12"/>
          <w:szCs w:val="12"/>
          <w:i w:val="1"/>
          <w:iCs w:val="1"/>
          <w:color w:val="auto"/>
        </w:rPr>
        <w:t>Dividends</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It is highly uncertain if the actual distribution of dividends to the ADS holder are considered dividends for Danish tax purposes. However, if dividends paid to Danish tax resident individuals who are holders of ADSs are treated as dividends for Danish tax purposes, then such dividends are included in the individual’s share income and taxed as such, as outlined above. Dividends paid to Danish tax resident individuals are generally subject to withholding tax at the rate of 27%.</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Non-Danish Tax Resident Individuals</w:t>
      </w:r>
    </w:p>
    <w:p>
      <w:pPr>
        <w:ind w:left="620"/>
        <w:spacing w:after="0" w:line="216" w:lineRule="auto"/>
        <w:rPr>
          <w:sz w:val="20"/>
          <w:szCs w:val="20"/>
          <w:color w:val="auto"/>
        </w:rPr>
      </w:pPr>
      <w:r>
        <w:rPr>
          <w:rFonts w:ascii="Times New Roman" w:cs="Times New Roman" w:eastAsia="Times New Roman" w:hAnsi="Times New Roman"/>
          <w:sz w:val="12"/>
          <w:szCs w:val="12"/>
          <w:i w:val="1"/>
          <w:iCs w:val="1"/>
          <w:color w:val="auto"/>
        </w:rPr>
        <w:t>Sale of Shares</w:t>
      </w:r>
    </w:p>
    <w:p>
      <w:pPr>
        <w:ind w:left="620" w:right="2560" w:firstLine="31"/>
        <w:spacing w:after="0" w:line="215" w:lineRule="auto"/>
        <w:rPr>
          <w:sz w:val="20"/>
          <w:szCs w:val="20"/>
          <w:color w:val="auto"/>
        </w:rPr>
      </w:pPr>
      <w:r>
        <w:rPr>
          <w:rFonts w:ascii="Times New Roman" w:cs="Times New Roman" w:eastAsia="Times New Roman" w:hAnsi="Times New Roman"/>
          <w:sz w:val="12"/>
          <w:szCs w:val="12"/>
          <w:color w:val="auto"/>
        </w:rPr>
        <w:t>Non-Danish tax resident individuals, including individuals tax resident in the US, are generally not taxed in Denmark on gains realized on the sale of shares, subject to certain anti-avoidance rules (see below).</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Dividends</w:t>
      </w:r>
    </w:p>
    <w:p>
      <w:pPr>
        <w:ind w:left="620" w:right="2560"/>
        <w:spacing w:after="0" w:line="215" w:lineRule="auto"/>
        <w:rPr>
          <w:sz w:val="20"/>
          <w:szCs w:val="20"/>
          <w:color w:val="auto"/>
        </w:rPr>
      </w:pPr>
      <w:r>
        <w:rPr>
          <w:rFonts w:ascii="Times New Roman" w:cs="Times New Roman" w:eastAsia="Times New Roman" w:hAnsi="Times New Roman"/>
          <w:sz w:val="12"/>
          <w:szCs w:val="12"/>
          <w:color w:val="auto"/>
        </w:rPr>
        <w:t>Dividends paid on the shares underlying the ADSs to non-Danish tax resident individuals, including individuals tax resident in the US, are generally subject to withholding tax at the rate of 27%. No additional tax should be imposed. It is highly uncertain if the ADS holder is considered the holder of the shares underlying the ADSs. If the ADS holder</w:t>
      </w:r>
    </w:p>
    <w:p>
      <w:pPr>
        <w:jc w:val="both"/>
        <w:ind w:left="620" w:right="2300"/>
        <w:spacing w:after="0" w:line="215" w:lineRule="auto"/>
        <w:rPr>
          <w:sz w:val="20"/>
          <w:szCs w:val="20"/>
          <w:color w:val="auto"/>
        </w:rPr>
      </w:pPr>
      <w:r>
        <w:rPr>
          <w:rFonts w:ascii="Times New Roman" w:cs="Times New Roman" w:eastAsia="Times New Roman" w:hAnsi="Times New Roman"/>
          <w:sz w:val="12"/>
          <w:szCs w:val="12"/>
          <w:color w:val="auto"/>
        </w:rPr>
        <w:t>is considered to be the owner of the shares underlying the ADSs for Danish tax purposes and is the beneficial owner of the dividends paid on the shares, then the ADS holder may in certain circumstances seek a refund of tax withheld on dividends paid on the shares.</w:t>
      </w:r>
    </w:p>
    <w:p>
      <w:pPr>
        <w:ind w:left="620" w:right="2420"/>
        <w:spacing w:after="0" w:line="215" w:lineRule="auto"/>
        <w:rPr>
          <w:sz w:val="20"/>
          <w:szCs w:val="20"/>
          <w:color w:val="auto"/>
        </w:rPr>
      </w:pPr>
      <w:r>
        <w:rPr>
          <w:rFonts w:ascii="Times New Roman" w:cs="Times New Roman" w:eastAsia="Times New Roman" w:hAnsi="Times New Roman"/>
          <w:sz w:val="12"/>
          <w:szCs w:val="12"/>
          <w:color w:val="auto"/>
        </w:rPr>
        <w:t>If this is the case, and the ADS holder is tax resident in a state with which Denmark has entered into a tax treaty and is entitled to benefits under such tax treaty, the ADS holder may seek a refund from the Danish Tax Agency of the tax withheld in excess of the applicable treaty rate (Danish tax treaties typically provide for a 15% tax rate). Denmark has entered into tax treaties with dozens of countries, including the US and almost all EU member states. The treaty between Denmark and the US generally provides for a 15% tax rate.</w:t>
      </w:r>
    </w:p>
    <w:p>
      <w:pPr>
        <w:spacing w:after="0" w:line="1" w:lineRule="exact"/>
        <w:rPr>
          <w:sz w:val="20"/>
          <w:szCs w:val="20"/>
          <w:color w:val="auto"/>
        </w:rPr>
      </w:pPr>
    </w:p>
    <w:p>
      <w:pPr>
        <w:ind w:left="620" w:right="2340"/>
        <w:spacing w:after="0"/>
        <w:rPr>
          <w:sz w:val="20"/>
          <w:szCs w:val="20"/>
          <w:color w:val="auto"/>
        </w:rPr>
      </w:pPr>
      <w:r>
        <w:rPr>
          <w:rFonts w:ascii="Times New Roman" w:cs="Times New Roman" w:eastAsia="Times New Roman" w:hAnsi="Times New Roman"/>
          <w:sz w:val="12"/>
          <w:szCs w:val="12"/>
          <w:color w:val="auto"/>
        </w:rPr>
        <w:t>Similarly, if the ADS holder for Danish tax purposes is considered the owner of the underlying shares and the beneficial owner of the dividends paid on the shares, Danish domestic tax law provides for a 15% tax rate, if the ADS holder holds less than 10% of the nominal share capital in the company and is tax resident in a state that is obligated to exchange information with Denmark under a tax treaty or an international agreement, convention or other administrative agreement on assistance in tax matters. If the ADS holder is a tax resident outside the EU, it is an additional requirement for application of the 15% tax rate that the ADS holder together with related shareholders holds less than 10% of the share capital of the company.</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If the depositary bank is considered the owner of the shares underlying the ADSs for Danish tax purposes, then the</w:t>
      </w:r>
    </w:p>
    <w:p>
      <w:pPr>
        <w:ind w:left="620"/>
        <w:spacing w:after="0" w:line="215" w:lineRule="auto"/>
        <w:rPr>
          <w:sz w:val="20"/>
          <w:szCs w:val="20"/>
          <w:color w:val="auto"/>
        </w:rPr>
      </w:pPr>
      <w:r>
        <w:rPr>
          <w:rFonts w:ascii="Times New Roman" w:cs="Times New Roman" w:eastAsia="Times New Roman" w:hAnsi="Times New Roman"/>
          <w:sz w:val="12"/>
          <w:szCs w:val="12"/>
          <w:color w:val="auto"/>
        </w:rPr>
        <w:t>depositary bank may potentially in certain circumstances seek a refund of tax withheld on dividends paid on the shares.</w:t>
      </w:r>
    </w:p>
    <w:p>
      <w:pPr>
        <w:ind w:left="620"/>
        <w:spacing w:after="0" w:line="215" w:lineRule="auto"/>
        <w:rPr>
          <w:sz w:val="20"/>
          <w:szCs w:val="20"/>
          <w:color w:val="auto"/>
        </w:rPr>
      </w:pPr>
      <w:r>
        <w:rPr>
          <w:rFonts w:ascii="Times New Roman" w:cs="Times New Roman" w:eastAsia="Times New Roman" w:hAnsi="Times New Roman"/>
          <w:sz w:val="12"/>
          <w:szCs w:val="12"/>
          <w:color w:val="auto"/>
        </w:rPr>
        <w:t>Any reduced tax rate according to an applicable tax treaty and/or Danish domestic tax law will not affect the</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withholding rate (27%). In order to receive a refund (from 27% to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15%), the shareholder must make a claim for such a</w:t>
      </w:r>
    </w:p>
    <w:p>
      <w:pPr>
        <w:ind w:left="620"/>
        <w:spacing w:after="0" w:line="215" w:lineRule="auto"/>
        <w:rPr>
          <w:sz w:val="20"/>
          <w:szCs w:val="20"/>
          <w:color w:val="auto"/>
        </w:rPr>
      </w:pPr>
      <w:r>
        <w:rPr>
          <w:rFonts w:ascii="Times New Roman" w:cs="Times New Roman" w:eastAsia="Times New Roman" w:hAnsi="Times New Roman"/>
          <w:sz w:val="12"/>
          <w:szCs w:val="12"/>
          <w:color w:val="auto"/>
        </w:rPr>
        <w:t>refund through certain certification procedures.</w:t>
      </w:r>
    </w:p>
    <w:p>
      <w:pPr>
        <w:ind w:left="620" w:right="2280"/>
        <w:spacing w:after="0" w:line="223" w:lineRule="auto"/>
        <w:rPr>
          <w:sz w:val="20"/>
          <w:szCs w:val="20"/>
          <w:color w:val="auto"/>
        </w:rPr>
      </w:pPr>
      <w:r>
        <w:rPr>
          <w:rFonts w:ascii="Times New Roman" w:cs="Times New Roman" w:eastAsia="Times New Roman" w:hAnsi="Times New Roman"/>
          <w:sz w:val="12"/>
          <w:szCs w:val="12"/>
          <w:color w:val="auto"/>
        </w:rPr>
        <w:t>As a general rule, the refund shall be paid within six months following the Danish Tax Agency’s receipt of the refund claim. If the refund is paid later than six months after the receipt of the claim, interest will in general be calculated on the amount of the refund. The rate per month will be 0.2833% plus a premium (fixed annually). The six- month deadline is suspended by the Danish Tax Agency, if the Tax Agency is unable to determine whether the taxpayer is entitled to a refund based on the taxpayer’s affairs. If the deadline is suspended accordingly, computation of interest is also suspended.</w:t>
      </w:r>
    </w:p>
    <w:p>
      <w:pPr>
        <w:sectPr>
          <w:pgSz w:w="11900" w:h="16840" w:orient="portrait"/>
          <w:cols w:equalWidth="0" w:num="1">
            <w:col w:w="9020"/>
          </w:cols>
          <w:pgMar w:left="1440" w:top="557"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The Danish Tax Agency has published guidance on the documentation necessary for processing refund claims. The guidance is available in English from the Danish tax authorities’ website, https://skat.dk/en-us/businesses/companies-andfoundations/companies-and- foundations/declaring -and-paying-dividends-and-dividendtax/claiming-refund -of-danish-dividend-tax. The information on, or information that can be accessed through, such website is not part of and should not be incorporated by reference into this Annual Report on Form 20-F. We have included such website address as an inactive textual reference only.</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Danish Tax Resident Companies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Sale of Shares</w:t>
      </w:r>
    </w:p>
    <w:p>
      <w:pPr>
        <w:ind w:left="620" w:right="2680" w:firstLine="31"/>
        <w:spacing w:after="0" w:line="215" w:lineRule="auto"/>
        <w:rPr>
          <w:sz w:val="20"/>
          <w:szCs w:val="20"/>
          <w:color w:val="auto"/>
        </w:rPr>
      </w:pPr>
      <w:r>
        <w:rPr>
          <w:rFonts w:ascii="Times New Roman" w:cs="Times New Roman" w:eastAsia="Times New Roman" w:hAnsi="Times New Roman"/>
          <w:sz w:val="12"/>
          <w:szCs w:val="12"/>
          <w:color w:val="auto"/>
        </w:rPr>
        <w:t>For the purpose of taxation of sales of shares made by corporate shareholders (and dividends received by corporate shareholders, see below), a distinction is made between:</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 Shares</w:t>
      </w:r>
      <w:r>
        <w:rPr>
          <w:rFonts w:ascii="Times New Roman" w:cs="Times New Roman" w:eastAsia="Times New Roman" w:hAnsi="Times New Roman"/>
          <w:sz w:val="12"/>
          <w:szCs w:val="12"/>
          <w:color w:val="auto"/>
        </w:rPr>
        <w:t>,” which are generally defined as shares owned by a shareholder holding at least 10% of the share capital of the issuing company;</w:t>
      </w:r>
    </w:p>
    <w:p>
      <w:pPr>
        <w:ind w:left="620" w:right="24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 Shares</w:t>
      </w:r>
      <w:r>
        <w:rPr>
          <w:rFonts w:ascii="Times New Roman" w:cs="Times New Roman" w:eastAsia="Times New Roman" w:hAnsi="Times New Roman"/>
          <w:sz w:val="12"/>
          <w:szCs w:val="12"/>
          <w:color w:val="auto"/>
        </w:rPr>
        <w:t>,” which are generally defined as shares in a company in which the shareholder of the company and the issuing company are subject to Danish joint taxation or satisfy the requirements for international joint taxation under Danish law;</w:t>
      </w:r>
    </w:p>
    <w:p>
      <w:pPr>
        <w:ind w:left="620" w:right="25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Tax-Exempt Portfolio Shares</w:t>
      </w:r>
      <w:r>
        <w:rPr>
          <w:rFonts w:ascii="Times New Roman" w:cs="Times New Roman" w:eastAsia="Times New Roman" w:hAnsi="Times New Roman"/>
          <w:sz w:val="12"/>
          <w:szCs w:val="12"/>
          <w:color w:val="auto"/>
        </w:rPr>
        <w:t>,” which are generally defined as unlisted shares owned by a shareholder holding less than 10% of the share capital of the issuing company; and</w:t>
      </w: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Taxable Portfolio Shares</w:t>
      </w:r>
      <w:r>
        <w:rPr>
          <w:rFonts w:ascii="Times New Roman" w:cs="Times New Roman" w:eastAsia="Times New Roman" w:hAnsi="Times New Roman"/>
          <w:sz w:val="12"/>
          <w:szCs w:val="12"/>
          <w:color w:val="auto"/>
        </w:rPr>
        <w:t>,” which are defined as shares that do not qualify as Subsidiary Shares, Group Shares or Tax-Exempt Portfolio Shares.</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Gains and losses on disposal of Subsidiary Shares, Group Shares and Tax- Exempt Portfolio Shares realized by Danish tax resident companies are generally not included in the taxable income of the shareholder, subject to certain anti-avoidance rules (see below).</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Capital gains on listed Taxable Portfolio Shares are taxable at the general Danish corporate tax rate of 22% and losses on such shares are generally deductible. Gains and losses on listed Taxable Portfolio Shares are generally taxed under the mark-to -market principle irrespective of realization.</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Dividends</w:t>
      </w:r>
    </w:p>
    <w:p>
      <w:pPr>
        <w:ind w:left="620" w:right="2400"/>
        <w:spacing w:after="0" w:line="215" w:lineRule="auto"/>
        <w:rPr>
          <w:sz w:val="20"/>
          <w:szCs w:val="20"/>
          <w:color w:val="auto"/>
        </w:rPr>
      </w:pPr>
      <w:r>
        <w:rPr>
          <w:rFonts w:ascii="Times New Roman" w:cs="Times New Roman" w:eastAsia="Times New Roman" w:hAnsi="Times New Roman"/>
          <w:sz w:val="12"/>
          <w:szCs w:val="12"/>
          <w:color w:val="auto"/>
        </w:rPr>
        <w:t>It is highly uncertain if the actual distribution of dividends to the ADS holder are considered dividends for Danish tax purposes. However, if dividends paid to Danish tax resident companies who are holders of ADSs are treated as dividends for Danish tax purposes, then the following should apply:</w:t>
      </w:r>
    </w:p>
    <w:p>
      <w:pPr>
        <w:ind w:left="620" w:right="2620"/>
        <w:spacing w:after="0" w:line="215" w:lineRule="auto"/>
        <w:rPr>
          <w:sz w:val="20"/>
          <w:szCs w:val="20"/>
          <w:color w:val="auto"/>
        </w:rPr>
      </w:pPr>
      <w:r>
        <w:rPr>
          <w:rFonts w:ascii="Times New Roman" w:cs="Times New Roman" w:eastAsia="Times New Roman" w:hAnsi="Times New Roman"/>
          <w:sz w:val="12"/>
          <w:szCs w:val="12"/>
          <w:color w:val="auto"/>
        </w:rPr>
        <w:t>Dividends received on Subsidiary Shares, Group Shares, and Tax-Exempt Portfolio Shares are generally tax-exempt, subject to certain anti-avoidance rules (see below).</w:t>
      </w:r>
    </w:p>
    <w:p>
      <w:pPr>
        <w:ind w:left="620" w:right="2580"/>
        <w:spacing w:after="0" w:line="215" w:lineRule="auto"/>
        <w:rPr>
          <w:sz w:val="20"/>
          <w:szCs w:val="20"/>
          <w:color w:val="auto"/>
        </w:rPr>
      </w:pPr>
      <w:r>
        <w:rPr>
          <w:rFonts w:ascii="Times New Roman" w:cs="Times New Roman" w:eastAsia="Times New Roman" w:hAnsi="Times New Roman"/>
          <w:sz w:val="12"/>
          <w:szCs w:val="12"/>
          <w:color w:val="auto"/>
        </w:rPr>
        <w:t>Dividends received on Taxable Portfolio Shares are taxable at the general Danish corporate tax rate of 22% and tax is generally withheld similarly at 22%.</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Non-Danish Tax Resident Companies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Sale of Shares</w:t>
      </w:r>
    </w:p>
    <w:p>
      <w:pPr>
        <w:ind w:left="620" w:right="2620"/>
        <w:spacing w:after="0" w:line="234" w:lineRule="auto"/>
        <w:rPr>
          <w:sz w:val="20"/>
          <w:szCs w:val="20"/>
          <w:color w:val="auto"/>
        </w:rPr>
      </w:pPr>
      <w:r>
        <w:rPr>
          <w:rFonts w:ascii="Times New Roman" w:cs="Times New Roman" w:eastAsia="Times New Roman" w:hAnsi="Times New Roman"/>
          <w:sz w:val="12"/>
          <w:szCs w:val="12"/>
          <w:color w:val="auto"/>
        </w:rPr>
        <w:t>Non-Danish tax resident companies, including companies tax resident in the US, are generally not taxed in Denmark on gains realized on the sale of shares, subject to certain anti-avoidance rules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Dividends</w:t>
      </w:r>
    </w:p>
    <w:p>
      <w:pPr>
        <w:ind w:left="620" w:right="2720"/>
        <w:spacing w:after="0" w:line="215" w:lineRule="auto"/>
        <w:rPr>
          <w:sz w:val="20"/>
          <w:szCs w:val="20"/>
          <w:color w:val="auto"/>
        </w:rPr>
      </w:pPr>
      <w:r>
        <w:rPr>
          <w:rFonts w:ascii="Times New Roman" w:cs="Times New Roman" w:eastAsia="Times New Roman" w:hAnsi="Times New Roman"/>
          <w:sz w:val="12"/>
          <w:szCs w:val="12"/>
          <w:color w:val="auto"/>
        </w:rPr>
        <w:t>Dividends paid on the shares underlying the ADSs to non-Danish tax resident companies, including companies tax resident in the US, are generally subject to withholding tax at the rate of 27%.</w:t>
      </w:r>
    </w:p>
    <w:p>
      <w:pPr>
        <w:ind w:left="620"/>
        <w:spacing w:after="0" w:line="215" w:lineRule="auto"/>
        <w:rPr>
          <w:sz w:val="20"/>
          <w:szCs w:val="20"/>
          <w:color w:val="auto"/>
        </w:rPr>
      </w:pPr>
      <w:r>
        <w:rPr>
          <w:rFonts w:ascii="Times New Roman" w:cs="Times New Roman" w:eastAsia="Times New Roman" w:hAnsi="Times New Roman"/>
          <w:sz w:val="12"/>
          <w:szCs w:val="12"/>
          <w:color w:val="auto"/>
        </w:rPr>
        <w:t>It is highly uncertain if the ADS holder is considered the holder of the shares underlying the ADSs. If the ADS holder</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is considered to be the owner of the shares underlying the ADSs for Danish tax purposes and is the beneficial owner of the dividends paid on the shares, then the ADS holder may in certain circumstances benefit from certain exemptions from withholding tax on dividends or seek a refund of tax withheld on dividends paid on the shares.</w:t>
      </w:r>
    </w:p>
    <w:p>
      <w:pPr>
        <w:ind w:left="620"/>
        <w:spacing w:after="0" w:line="215" w:lineRule="auto"/>
        <w:rPr>
          <w:sz w:val="20"/>
          <w:szCs w:val="20"/>
          <w:color w:val="auto"/>
        </w:rPr>
      </w:pPr>
      <w:r>
        <w:rPr>
          <w:rFonts w:ascii="Times New Roman" w:cs="Times New Roman" w:eastAsia="Times New Roman" w:hAnsi="Times New Roman"/>
          <w:sz w:val="12"/>
          <w:szCs w:val="12"/>
          <w:color w:val="auto"/>
        </w:rPr>
        <w:t>If the ADS holder for Danish tax purposes is considered the holder of the shares underlying the ADSs and is</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considered the beneficial owner of dividends paid on the shares, then the following exemptions apply if the shares held by the ADS holder qualify as Subsidiary Shares or Group Shares: dividends received on Subsidiary Shares are exempt from Danish withholding tax provided that taxation shall be waived or reduced under the Parent-Subsidiary Directive (2011/96/ EU) or under an applicable tax treaty. Similarly, dividends received on Group Shares, which are not Subsidiary Shares, are exempt from Danish withholding tax if the shareholder is resident in the EU or the EEA and provided that taxation shall be waived or reduced under the Parent-Subsidiary Directive (2011/96/EU) or under an applicable tax treaty had the shares been Subsidiary Shares.</w:t>
      </w:r>
    </w:p>
    <w:p>
      <w:pPr>
        <w:spacing w:after="0" w:line="1" w:lineRule="exact"/>
        <w:rPr>
          <w:sz w:val="20"/>
          <w:szCs w:val="20"/>
          <w:color w:val="auto"/>
        </w:rPr>
      </w:pPr>
    </w:p>
    <w:p>
      <w:pPr>
        <w:ind w:left="620" w:right="2560"/>
        <w:spacing w:after="0" w:line="234" w:lineRule="auto"/>
        <w:rPr>
          <w:sz w:val="20"/>
          <w:szCs w:val="20"/>
          <w:color w:val="auto"/>
        </w:rPr>
      </w:pPr>
      <w:r>
        <w:rPr>
          <w:rFonts w:ascii="Times New Roman" w:cs="Times New Roman" w:eastAsia="Times New Roman" w:hAnsi="Times New Roman"/>
          <w:sz w:val="12"/>
          <w:szCs w:val="12"/>
          <w:color w:val="auto"/>
        </w:rPr>
        <w:t>In other cases, dividends will generally be subject to tax at a rate of 22% effective for dividends distributed. However, the withholding rate is 27%, meaning that foreign corporate shareholders receiving taxable dividends distributed from</w:t>
      </w:r>
    </w:p>
    <w:p>
      <w:pPr>
        <w:sectPr>
          <w:pgSz w:w="11900" w:h="16840" w:orient="portrait"/>
          <w:cols w:equalWidth="0" w:num="1">
            <w:col w:w="9020"/>
          </w:cols>
          <w:pgMar w:left="1440" w:top="1440" w:right="1440" w:bottom="99"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2"/>
          <w:szCs w:val="12"/>
          <w:color w:val="auto"/>
        </w:rPr>
        <w:t>Danish companies generally will be able to apply for a refund of at least 5% of the total dividend.</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Further, if the ADS holder for Danish tax purposes is considered the holder of the shares underlying the ADSs, is considered the beneficial owner of dividends paid on the shares, and is tax resident in a state with which Denmark has entered into a tax treaty and is entitled to the benefits under such tax treaty, the ADS holder may seek a refund from the Danish Tax Agency of the tax withheld in excess of the applicable treaty rate (Danish tax treaties typically provide for a 15% tax rate). Denmark has entered into tax treaties with dozens of countries, including the US and almost all EU member states. The treaty between Denmark and the US generally provides for a 15% tax rate.</w:t>
      </w:r>
    </w:p>
    <w:p>
      <w:pPr>
        <w:spacing w:after="0" w:line="1" w:lineRule="exact"/>
        <w:rPr>
          <w:sz w:val="20"/>
          <w:szCs w:val="20"/>
          <w:color w:val="auto"/>
        </w:rPr>
      </w:pPr>
    </w:p>
    <w:p>
      <w:pPr>
        <w:ind w:left="620" w:right="2260"/>
        <w:spacing w:after="0" w:line="215" w:lineRule="auto"/>
        <w:rPr>
          <w:sz w:val="20"/>
          <w:szCs w:val="20"/>
          <w:color w:val="auto"/>
        </w:rPr>
      </w:pPr>
      <w:r>
        <w:rPr>
          <w:rFonts w:ascii="Times New Roman" w:cs="Times New Roman" w:eastAsia="Times New Roman" w:hAnsi="Times New Roman"/>
          <w:sz w:val="12"/>
          <w:szCs w:val="12"/>
          <w:color w:val="auto"/>
        </w:rPr>
        <w:t>Similarly, in the event the ADS holder for Danish tax purposes is considered both the owner of the underlying shares and the beneficial owner of the dividends paid on the shares, Danish domestic tax law provides for an applicable 15% tax rate, if the ADS holder holds less than 10% of the share capital in the company and is tax resident in a state that is obligated to exchange information with Denmark under a tax treaty or an international agreement, convention or other administrative agreement on assistance in tax matters. If the ADS holder is a tax resident outside the EU, it is an additional requirement for eligibility for the 15% tax rate that the ADS holder together with related shareholders (i) holds less than 10% of the nominal share capital of the company (unless the ADS holder is tax resident in a country forming part of the EEA (European Economic Area) and which has entered into a tax treaty with Denmark) and (ii) has no controlling interest over the company (unless the ADS holder is tax resident in a country which has entered into a tax treaty with Denmark).</w:t>
      </w:r>
    </w:p>
    <w:p>
      <w:pPr>
        <w:spacing w:after="0" w:line="1" w:lineRule="exact"/>
        <w:rPr>
          <w:sz w:val="20"/>
          <w:szCs w:val="20"/>
          <w:color w:val="auto"/>
        </w:rPr>
      </w:pPr>
    </w:p>
    <w:p>
      <w:pPr>
        <w:ind w:left="620" w:right="2420"/>
        <w:spacing w:after="0" w:line="215" w:lineRule="auto"/>
        <w:rPr>
          <w:sz w:val="20"/>
          <w:szCs w:val="20"/>
          <w:color w:val="auto"/>
        </w:rPr>
      </w:pPr>
      <w:r>
        <w:rPr>
          <w:rFonts w:ascii="Times New Roman" w:cs="Times New Roman" w:eastAsia="Times New Roman" w:hAnsi="Times New Roman"/>
          <w:sz w:val="12"/>
          <w:szCs w:val="12"/>
          <w:color w:val="auto"/>
        </w:rPr>
        <w:t xml:space="preserve">If the depositary bank is considered the owner of the shares underlying the ADSs for Danish tax purposes, then the depositary bank may potentially in certain circumstances seek a refund of tax withheld on dividends paid on the shares. Any reduced tax rate according to an applicable tax treaty (and/or the 15% tax rate provided for under Danish domestic tax law) will not affect the withholding rate (27%). In order to receive a refund (from 27% to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15%), the shareholder must make a claim for such a refund through certain certification procedures.</w:t>
      </w:r>
    </w:p>
    <w:p>
      <w:pPr>
        <w:spacing w:after="0" w:line="1" w:lineRule="exact"/>
        <w:rPr>
          <w:sz w:val="20"/>
          <w:szCs w:val="20"/>
          <w:color w:val="auto"/>
        </w:rPr>
      </w:pP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As a general rule, the refund shall be paid within six months following the Danish Tax Agency’s receipt of the refund claim. If the refund is paid later than six months after the receipt of the claim, interest will be calculated on the amount of refund. The rate per month will be 0.2833% plus a premium fixed annually. The six-month deadline can be suspended by the Danish Tax Agency, if the Tax Agency is unable to determine whether the taxpayer is entitled to a refund based on the taxpayer’s affairs. If the deadline is suspended accordingly, computation of interest is also suspended.</w:t>
      </w:r>
    </w:p>
    <w:p>
      <w:pPr>
        <w:spacing w:after="0" w:line="1" w:lineRule="exact"/>
        <w:rPr>
          <w:sz w:val="20"/>
          <w:szCs w:val="20"/>
          <w:color w:val="auto"/>
        </w:rPr>
      </w:pPr>
    </w:p>
    <w:p>
      <w:pPr>
        <w:ind w:left="620" w:right="2380"/>
        <w:spacing w:after="0" w:line="224" w:lineRule="auto"/>
        <w:rPr>
          <w:sz w:val="20"/>
          <w:szCs w:val="20"/>
          <w:color w:val="auto"/>
        </w:rPr>
      </w:pPr>
      <w:r>
        <w:rPr>
          <w:rFonts w:ascii="Times New Roman" w:cs="Times New Roman" w:eastAsia="Times New Roman" w:hAnsi="Times New Roman"/>
          <w:sz w:val="12"/>
          <w:szCs w:val="12"/>
          <w:color w:val="auto"/>
        </w:rPr>
        <w:t>The Danish Tax Agency has published guidance on the documentation necessary for processing refund claims. The guidance is available in English from the Danish tax authorities’ website, https://skat.dk/en-us/businesses/companies-andfoundations/companies-and- foundations/declaring -and-paying-dividends-and-dividendtax/claiming-refund -of-danish-dividend-tax. The information on, or information that can be accessed through, such website is not part of and should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107</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be incorporated by reference into this Annual Report on Form 20-F. We have included such website address as an inactive textual reference only.</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Taxation of ADS holders not considered to be owners of the underlying shares</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Pursuant to Danish administrative practice, ADSs which do not constitute shares for tax purposes are instead likely taxed as financial contracts, but there is some uncertainty in this respect. A high- level summary of the tax treatment of financial contracts is laid out below.</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Danish tax resident ADS holder individuals and companies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Gains and losses</w:t>
      </w:r>
    </w:p>
    <w:p>
      <w:pPr>
        <w:ind w:left="620"/>
        <w:spacing w:after="0" w:line="216" w:lineRule="auto"/>
        <w:rPr>
          <w:sz w:val="20"/>
          <w:szCs w:val="20"/>
          <w:color w:val="auto"/>
        </w:rPr>
      </w:pPr>
      <w:r>
        <w:rPr>
          <w:rFonts w:ascii="Times New Roman" w:cs="Times New Roman" w:eastAsia="Times New Roman" w:hAnsi="Times New Roman"/>
          <w:sz w:val="12"/>
          <w:szCs w:val="12"/>
          <w:color w:val="auto"/>
        </w:rPr>
        <w:t>Danish tax resident holders of financial contracts are generally taxed according to a mark-to-market principle in</w:t>
      </w:r>
    </w:p>
    <w:p>
      <w:pPr>
        <w:jc w:val="both"/>
        <w:ind w:left="620" w:right="2280"/>
        <w:spacing w:after="0" w:line="215" w:lineRule="auto"/>
        <w:rPr>
          <w:sz w:val="20"/>
          <w:szCs w:val="20"/>
          <w:color w:val="auto"/>
        </w:rPr>
      </w:pPr>
      <w:r>
        <w:rPr>
          <w:rFonts w:ascii="Times New Roman" w:cs="Times New Roman" w:eastAsia="Times New Roman" w:hAnsi="Times New Roman"/>
          <w:sz w:val="12"/>
          <w:szCs w:val="12"/>
          <w:color w:val="auto"/>
        </w:rPr>
        <w:t>respect of gains and losses on the financial contracts. The mark-to- market principle entails that unrealized gains and losses on financial contracts are taxed annually regardless of whether the ADSs have been sold. The deductibility of losses may in certain cases be restricted.</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Dividends</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If the ADS holders are not considered the shareholders for Danish tax purposes, any dividends received by the ADS holders in respect of the ADSs will likely be taxable, and the ADS holders will likely not be able to obtain a refund of any tax withholding on the dividend.</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Non-Danish tax resident ADS holder individuals and companies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Gains and losses</w:t>
      </w:r>
    </w:p>
    <w:p>
      <w:pPr>
        <w:spacing w:after="0" w:line="1" w:lineRule="exact"/>
        <w:rPr>
          <w:sz w:val="20"/>
          <w:szCs w:val="20"/>
          <w:color w:val="auto"/>
        </w:rPr>
      </w:pPr>
    </w:p>
    <w:p>
      <w:pPr>
        <w:ind w:left="620" w:right="2300"/>
        <w:spacing w:after="0"/>
        <w:rPr>
          <w:sz w:val="20"/>
          <w:szCs w:val="20"/>
          <w:color w:val="auto"/>
        </w:rPr>
      </w:pPr>
      <w:r>
        <w:rPr>
          <w:rFonts w:ascii="Times New Roman" w:cs="Times New Roman" w:eastAsia="Times New Roman" w:hAnsi="Times New Roman"/>
          <w:sz w:val="12"/>
          <w:szCs w:val="12"/>
          <w:color w:val="auto"/>
        </w:rPr>
        <w:t xml:space="preserve">Non-Danish tax resident individuals and companies, including individuals and companies tax resident in the US, are generally not taxed in Denmark on gains realized on financial contracts, subject to certain anti-avoidance rules (see below). </w:t>
      </w:r>
      <w:r>
        <w:rPr>
          <w:rFonts w:ascii="Times New Roman" w:cs="Times New Roman" w:eastAsia="Times New Roman" w:hAnsi="Times New Roman"/>
          <w:sz w:val="12"/>
          <w:szCs w:val="12"/>
          <w:i w:val="1"/>
          <w:iCs w:val="1"/>
          <w:color w:val="auto"/>
        </w:rPr>
        <w:t>Dividends</w:t>
      </w:r>
    </w:p>
    <w:p>
      <w:pPr>
        <w:spacing w:after="0" w:line="95" w:lineRule="exact"/>
        <w:rPr>
          <w:sz w:val="20"/>
          <w:szCs w:val="20"/>
          <w:color w:val="auto"/>
        </w:rPr>
      </w:pPr>
    </w:p>
    <w:p>
      <w:pPr>
        <w:ind w:left="620" w:right="2380"/>
        <w:spacing w:after="0"/>
        <w:rPr>
          <w:sz w:val="20"/>
          <w:szCs w:val="20"/>
          <w:color w:val="auto"/>
        </w:rPr>
      </w:pPr>
      <w:r>
        <w:rPr>
          <w:rFonts w:ascii="Times New Roman" w:cs="Times New Roman" w:eastAsia="Times New Roman" w:hAnsi="Times New Roman"/>
          <w:sz w:val="12"/>
          <w:szCs w:val="12"/>
          <w:color w:val="auto"/>
        </w:rPr>
        <w:t>If the ADS holders are not considered the shareholders for Danish tax purposes, the ADS holders will likely not be eligible for a refund of withholding tax on dividends. Communications from the Danish tax authorities indicate that the depository bank in such cases in certain circumstances may be entitled to apply for a refund of Danish withholding tax on dividends.</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b w:val="1"/>
          <w:bCs w:val="1"/>
          <w:i w:val="1"/>
          <w:iCs w:val="1"/>
          <w:color w:val="auto"/>
        </w:rPr>
        <w:t>Danish Anti-Avoidance Rules</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below summary of Danish anti-avoidance rules is not exhaustive.</w:t>
      </w:r>
    </w:p>
    <w:p>
      <w:pPr>
        <w:ind w:left="620" w:right="2400"/>
        <w:spacing w:after="0" w:line="215" w:lineRule="auto"/>
        <w:rPr>
          <w:sz w:val="20"/>
          <w:szCs w:val="20"/>
          <w:color w:val="auto"/>
        </w:rPr>
      </w:pPr>
      <w:r>
        <w:rPr>
          <w:rFonts w:ascii="Times New Roman" w:cs="Times New Roman" w:eastAsia="Times New Roman" w:hAnsi="Times New Roman"/>
          <w:sz w:val="12"/>
          <w:szCs w:val="12"/>
          <w:color w:val="auto"/>
        </w:rPr>
        <w:t>Payments may be subject to Danish withholding tax irrespective of the above, if the shareholder is not the beneficial owner of the shares and dividend (e.g., if the shareholder reassigns the payments to a person or entity not itself entitled to the above exemptions).</w:t>
      </w:r>
    </w:p>
    <w:p>
      <w:pPr>
        <w:ind w:left="620"/>
        <w:spacing w:after="0" w:line="215" w:lineRule="auto"/>
        <w:rPr>
          <w:sz w:val="20"/>
          <w:szCs w:val="20"/>
          <w:color w:val="auto"/>
        </w:rPr>
      </w:pPr>
      <w:r>
        <w:rPr>
          <w:rFonts w:ascii="Times New Roman" w:cs="Times New Roman" w:eastAsia="Times New Roman" w:hAnsi="Times New Roman"/>
          <w:sz w:val="12"/>
          <w:szCs w:val="12"/>
          <w:color w:val="auto"/>
        </w:rPr>
        <w:t>Further, Danish law has certain general anti-avoidance rules (“</w:t>
      </w:r>
      <w:r>
        <w:rPr>
          <w:rFonts w:ascii="Times New Roman" w:cs="Times New Roman" w:eastAsia="Times New Roman" w:hAnsi="Times New Roman"/>
          <w:sz w:val="12"/>
          <w:szCs w:val="12"/>
          <w:b w:val="1"/>
          <w:bCs w:val="1"/>
          <w:color w:val="auto"/>
        </w:rPr>
        <w:t>GAAR</w:t>
      </w:r>
      <w:r>
        <w:rPr>
          <w:rFonts w:ascii="Times New Roman" w:cs="Times New Roman" w:eastAsia="Times New Roman" w:hAnsi="Times New Roman"/>
          <w:sz w:val="12"/>
          <w:szCs w:val="12"/>
          <w:color w:val="auto"/>
        </w:rPr>
        <w:t>”), which focus on substance over form. Under</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these rules the Danish tax authorities can set aside a setup, which, having been put into place for the main purpose or one of the main purposes of obtaining a tax advantage that defeats the object or purpose of the applicable tax law, is not genuine having regard to all relevant facts and circumstances. Subject to the conditions of the GAAR an investor might be denied the benefits of the Parent-Subsidiary Directive (2011/96/EU) or a tax treaty, and Danish withholding tax of 27% will in such cases be levied.</w:t>
      </w:r>
    </w:p>
    <w:p>
      <w:pPr>
        <w:spacing w:after="0" w:line="1" w:lineRule="exact"/>
        <w:rPr>
          <w:sz w:val="20"/>
          <w:szCs w:val="20"/>
          <w:color w:val="auto"/>
        </w:rPr>
      </w:pPr>
    </w:p>
    <w:p>
      <w:pPr>
        <w:jc w:val="both"/>
        <w:ind w:left="620" w:right="2660"/>
        <w:spacing w:after="0" w:line="228" w:lineRule="auto"/>
        <w:rPr>
          <w:sz w:val="20"/>
          <w:szCs w:val="20"/>
          <w:color w:val="auto"/>
        </w:rPr>
      </w:pPr>
      <w:r>
        <w:rPr>
          <w:rFonts w:ascii="Times New Roman" w:cs="Times New Roman" w:eastAsia="Times New Roman" w:hAnsi="Times New Roman"/>
          <w:sz w:val="12"/>
          <w:szCs w:val="12"/>
          <w:color w:val="auto"/>
        </w:rPr>
        <w:t>Finally, it should be noted that it is the shareholder who owns the share at the time of the general meeting where the decision to distribute a dividend is passed to the shareholder, who is subject to Danish taxation on the dividend, and thereby is entitled to make a tax reclaim if any.</w:t>
      </w:r>
    </w:p>
    <w:p>
      <w:pPr>
        <w:sectPr>
          <w:pgSz w:w="11900" w:h="16840" w:orient="portrait"/>
          <w:cols w:equalWidth="0" w:num="1">
            <w:col w:w="9020"/>
          </w:cols>
          <w:pgMar w:left="1440" w:top="559"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108</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6640" w:firstLine="4"/>
        <w:spacing w:after="0" w:line="215" w:lineRule="auto"/>
        <w:tabs>
          <w:tab w:leader="none" w:pos="819"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Dividends and Paying Agents </w:t>
      </w:r>
      <w:r>
        <w:rPr>
          <w:rFonts w:ascii="Times New Roman" w:cs="Times New Roman" w:eastAsia="Times New Roman" w:hAnsi="Times New Roman"/>
          <w:sz w:val="12"/>
          <w:szCs w:val="12"/>
          <w:color w:val="auto"/>
        </w:rPr>
        <w:t>Not applicable.</w:t>
      </w:r>
    </w:p>
    <w:p>
      <w:pPr>
        <w:ind w:left="840" w:hanging="216"/>
        <w:spacing w:after="0" w:line="215" w:lineRule="auto"/>
        <w:tabs>
          <w:tab w:leader="none" w:pos="840"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Statement by Experts</w:t>
      </w:r>
    </w:p>
    <w:p>
      <w:pPr>
        <w:ind w:left="620"/>
        <w:spacing w:after="0" w:line="215" w:lineRule="auto"/>
        <w:rPr>
          <w:sz w:val="20"/>
          <w:szCs w:val="20"/>
          <w:color w:val="auto"/>
        </w:rPr>
      </w:pPr>
      <w:r>
        <w:rPr>
          <w:rFonts w:ascii="Times New Roman" w:cs="Times New Roman" w:eastAsia="Times New Roman" w:hAnsi="Times New Roman"/>
          <w:sz w:val="12"/>
          <w:szCs w:val="12"/>
          <w:color w:val="auto"/>
        </w:rPr>
        <w:t>Not applicable.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H.  Documents on Display</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Copies of this Annual Report on Form 20-F, as well as our Annual Report 2025, which includes our Audited Financial Statements, can be downloaded from the “Investors” page at www.genmab.com. The contents of our website are not incorporated by reference into this Annual Report on Form 20-F. This Annual Report on Form 20-F is also filed and can be viewed via EDGAR on www.sec.gov.</w:t>
      </w:r>
    </w:p>
    <w:p>
      <w:pPr>
        <w:ind w:left="620" w:right="6980" w:firstLine="4"/>
        <w:spacing w:after="0" w:line="215" w:lineRule="auto"/>
        <w:tabs>
          <w:tab w:leader="none" w:pos="792"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Subsidiary Information </w:t>
      </w:r>
      <w:r>
        <w:rPr>
          <w:rFonts w:ascii="Times New Roman" w:cs="Times New Roman" w:eastAsia="Times New Roman" w:hAnsi="Times New Roman"/>
          <w:sz w:val="12"/>
          <w:szCs w:val="12"/>
          <w:color w:val="auto"/>
        </w:rPr>
        <w:t>Not applicable.</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J.Annual Report to Security Holders</w:t>
      </w:r>
    </w:p>
    <w:p>
      <w:pPr>
        <w:ind w:left="620" w:right="248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Annual Report 2025 has been attached as Exhibit 15.3 to this Annual Report on Form 20-F. Only those portions of the Annual Report 2025 specifically incorporated by reference herein are deemed to be filed.</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ITEM 11  QUALITATIVE AND QUANTITATIVE DISCLOSURES ABOUT MARKET RISKS</w:t>
      </w:r>
    </w:p>
    <w:p>
      <w:pPr>
        <w:ind w:left="620" w:right="266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For qualitative and quantitative disclosures about market risks including foreign currency risk, interest rate risk, and credit risk, see Note 4.2 to our Audited Financial Statements included in our Annual Report 2025.</w:t>
      </w:r>
    </w:p>
    <w:p>
      <w:pPr>
        <w:ind w:left="620" w:right="38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ITEM 12 DESCRIPTION OF SECURITIES OTHER THAN EQUITY SECURITIES A. Debt Securities</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 applicable.</w:t>
      </w:r>
    </w:p>
    <w:p>
      <w:pPr>
        <w:ind w:left="620" w:right="708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B. Warrants and Rights </w:t>
      </w:r>
      <w:r>
        <w:rPr>
          <w:rFonts w:ascii="Times New Roman" w:cs="Times New Roman" w:eastAsia="Times New Roman" w:hAnsi="Times New Roman"/>
          <w:sz w:val="12"/>
          <w:szCs w:val="12"/>
          <w:color w:val="auto"/>
        </w:rPr>
        <w:t>Not applicable.</w:t>
      </w:r>
    </w:p>
    <w:p>
      <w:pPr>
        <w:ind w:left="620" w:right="73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 Other Securities </w:t>
      </w:r>
      <w:r>
        <w:rPr>
          <w:rFonts w:ascii="Times New Roman" w:cs="Times New Roman" w:eastAsia="Times New Roman" w:hAnsi="Times New Roman"/>
          <w:sz w:val="12"/>
          <w:szCs w:val="12"/>
          <w:color w:val="auto"/>
        </w:rPr>
        <w:t>Not applicable.</w:t>
      </w:r>
    </w:p>
    <w:p>
      <w:pPr>
        <w:ind w:left="620"/>
        <w:spacing w:after="0" w:line="2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  American Depositary Shares</w:t>
      </w:r>
    </w:p>
    <w:p>
      <w:pPr>
        <w:ind w:left="620" w:right="2320"/>
        <w:spacing w:after="0" w:line="22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July 17, 2025 Genmab's ADS program is administered by JPMorgan Chase Bank, N.A. The principal executive office of the depositary is located at 383 Madison Avenue, Floor 11, New York, NY 10179. Below is a summary of fees and expenses payable by ADS holders and of fees and payments by the depositary to us. Below is a summary of fees and expenses payable by ADS holders and of fees and payments by the depositary to us. Please refer to Exhibit 2.3 hereto for a summary of certain other material provisions of the amended and restated deposit agreement related to our ADS program. For more complete information, holders should read the entire amended and restated deposit agreement and the form of American Depositary Receipt incorporated by reference as Exhibits 2.1 and 2.2 hereto,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109</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Fees and Expenses</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or issuances pursuant to a merger, exchange of securities or any other transaction or event affecting the ADSs or deposited securities, and each person surrendering ADSs for withdrawal of deposited securities or whose ADSs are cancelled or reduced for any other reason, a fee of up to U.S.$5.00 for each 100 ADSs (or portion thereof) for each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or other distribution prior to such deposit to pay such charge. The following additional fees, charges and expenses will also be incurred by the ADS holders, the beneficial</w:t>
      </w:r>
    </w:p>
    <w:p>
      <w:pPr>
        <w:spacing w:after="0" w:line="1" w:lineRule="exact"/>
        <w:rPr>
          <w:sz w:val="20"/>
          <w:szCs w:val="20"/>
          <w:color w:val="auto"/>
        </w:rPr>
      </w:pPr>
    </w:p>
    <w:p>
      <w:pPr>
        <w:jc w:val="both"/>
        <w:ind w:left="620" w:right="2400"/>
        <w:spacing w:after="0" w:line="215" w:lineRule="auto"/>
        <w:rPr>
          <w:sz w:val="20"/>
          <w:szCs w:val="20"/>
          <w:color w:val="auto"/>
        </w:rPr>
      </w:pPr>
      <w:r>
        <w:rPr>
          <w:rFonts w:ascii="Times New Roman" w:cs="Times New Roman" w:eastAsia="Times New Roman" w:hAnsi="Times New Roman"/>
          <w:sz w:val="12"/>
          <w:szCs w:val="12"/>
          <w:color w:val="auto"/>
        </w:rPr>
        <w:t>owners, by any party depositing or withdrawing shares or by any party surrendering ADSs 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 w:lineRule="exact"/>
        <w:rPr>
          <w:sz w:val="20"/>
          <w:szCs w:val="20"/>
          <w:color w:val="auto"/>
        </w:rPr>
      </w:pPr>
    </w:p>
    <w:p>
      <w:pPr>
        <w:ind w:left="620" w:right="2740"/>
        <w:spacing w:after="0" w:line="205" w:lineRule="auto"/>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2"/>
          <w:szCs w:val="12"/>
          <w:color w:val="auto"/>
        </w:rPr>
        <w:t>a fee of up to $0.05 per ADS held for any cash distribution made, or for any elective cash/stock dividend offered,</w:t>
      </w:r>
      <w:r>
        <w:rPr>
          <w:rFonts w:ascii="Arial" w:cs="Arial" w:eastAsia="Arial" w:hAnsi="Arial"/>
          <w:sz w:val="15"/>
          <w:szCs w:val="15"/>
          <w:color w:val="auto"/>
        </w:rPr>
        <w:t xml:space="preserve"> </w:t>
      </w:r>
      <w:r>
        <w:rPr>
          <w:rFonts w:ascii="Times New Roman" w:cs="Times New Roman" w:eastAsia="Times New Roman" w:hAnsi="Times New Roman"/>
          <w:sz w:val="12"/>
          <w:szCs w:val="12"/>
          <w:color w:val="auto"/>
        </w:rPr>
        <w:t>pursuant to the deposit agreements;</w:t>
      </w:r>
    </w:p>
    <w:p>
      <w:pPr>
        <w:ind w:left="620"/>
        <w:spacing w:after="0" w:line="237" w:lineRule="auto"/>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2"/>
          <w:szCs w:val="12"/>
          <w:color w:val="auto"/>
        </w:rPr>
        <w:t>an aggregate fee of up to $0.05 per ADS per calendar year (or portion thereof) for services performed by the</w:t>
      </w:r>
    </w:p>
    <w:p>
      <w:pPr>
        <w:jc w:val="both"/>
        <w:ind w:left="620" w:right="2880"/>
        <w:spacing w:after="0" w:line="215" w:lineRule="auto"/>
        <w:rPr>
          <w:sz w:val="20"/>
          <w:szCs w:val="20"/>
          <w:color w:val="auto"/>
        </w:rPr>
      </w:pPr>
      <w:r>
        <w:rPr>
          <w:rFonts w:ascii="Times New Roman" w:cs="Times New Roman" w:eastAsia="Times New Roman" w:hAnsi="Times New Roman"/>
          <w:sz w:val="12"/>
          <w:szCs w:val="12"/>
          <w:color w:val="auto"/>
        </w:rPr>
        <w:t>depositary in administering the ADSs (which fee may be charged on a periodic basis during each calendar year and will be assessed against ADS holders as of the record date or record dates set by the depositary during each calendar year and will be payable in the manner described in the next succeeding provision);</w:t>
      </w:r>
    </w:p>
    <w:p>
      <w:pPr>
        <w:ind w:left="62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2"/>
          <w:szCs w:val="12"/>
          <w:color w:val="auto"/>
        </w:rPr>
        <w:t>an amount for the reimbursement of such charges and expenses as are incurred by the depositary or any of its</w:t>
      </w:r>
    </w:p>
    <w:p>
      <w:pPr>
        <w:ind w:left="620" w:right="2760"/>
        <w:spacing w:after="0" w:line="224" w:lineRule="auto"/>
        <w:rPr>
          <w:sz w:val="20"/>
          <w:szCs w:val="20"/>
          <w:color w:val="auto"/>
        </w:rPr>
      </w:pPr>
      <w:r>
        <w:rPr>
          <w:rFonts w:ascii="Times New Roman" w:cs="Times New Roman" w:eastAsia="Times New Roman" w:hAnsi="Times New Roman"/>
          <w:sz w:val="12"/>
          <w:szCs w:val="12"/>
          <w:color w:val="auto"/>
        </w:rPr>
        <w:t>agents (including, without limitation, the custodian, as well as charges and expenses incurred on behalf of ADS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w:t>
      </w:r>
    </w:p>
    <w:p>
      <w:pPr>
        <w:sectPr>
          <w:pgSz w:w="11900" w:h="16840" w:orient="portrait"/>
          <w:cols w:equalWidth="0" w:num="1">
            <w:col w:w="9020"/>
          </w:cols>
          <w:pgMar w:left="1440" w:top="1440" w:right="1440" w:bottom="63" w:gutter="0" w:footer="0" w:header="0"/>
        </w:sectPr>
      </w:pPr>
    </w:p>
    <w:bookmarkStart w:id="70" w:name="page71"/>
    <w:bookmarkEnd w:id="70"/>
    <w:p>
      <w:pPr>
        <w:ind w:left="620" w:right="2740"/>
        <w:spacing w:after="0" w:line="221" w:lineRule="auto"/>
        <w:rPr>
          <w:sz w:val="20"/>
          <w:szCs w:val="20"/>
          <w:color w:val="auto"/>
        </w:rPr>
      </w:pPr>
      <w:r>
        <w:rPr>
          <w:rFonts w:ascii="Times New Roman" w:cs="Times New Roman" w:eastAsia="Times New Roman" w:hAnsi="Times New Roman"/>
          <w:sz w:val="12"/>
          <w:szCs w:val="12"/>
          <w:color w:val="auto"/>
        </w:rPr>
        <w:t>connection with the depositary’s or its custodian’s compliance with applicable law, rule or regulation (which charges and expenses may be assessed on a proportionate basis against ADS holders as of the record date or dates set by the depositary and will be payable at the sole discretion of the depositary by billing such ADS holders or by deducting such charge or expense from one or more cash dividends or other cash distributions);</w:t>
      </w:r>
    </w:p>
    <w:p>
      <w:pPr>
        <w:ind w:left="62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2"/>
          <w:szCs w:val="12"/>
          <w:color w:val="auto"/>
        </w:rPr>
        <w:t>a fee of up to $0.05 per ADS held for the direct or indirect distribution of securities (other than ADSs or rights to</w:t>
      </w:r>
    </w:p>
    <w:p>
      <w:pPr>
        <w:jc w:val="both"/>
        <w:ind w:left="620" w:right="2720"/>
        <w:spacing w:after="0" w:line="215" w:lineRule="auto"/>
        <w:rPr>
          <w:sz w:val="20"/>
          <w:szCs w:val="20"/>
          <w:color w:val="auto"/>
        </w:rPr>
      </w:pPr>
      <w:r>
        <w:rPr>
          <w:rFonts w:ascii="Times New Roman" w:cs="Times New Roman" w:eastAsia="Times New Roman" w:hAnsi="Times New Roman"/>
          <w:sz w:val="12"/>
          <w:szCs w:val="12"/>
          <w:color w:val="auto"/>
        </w:rPr>
        <w:t>purchase additional ADSs as described above) or the net cash proceeds from the public or private sale of any such securities, regardless of whether any such distribution or sale is made by, for or received from, or (in each case) on behalf of, the depositary, the Company or any third party (which fee may be assessed against ADS holders as of a record date set by the depositary);</w:t>
      </w:r>
    </w:p>
    <w:p>
      <w:pPr>
        <w:ind w:left="62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2"/>
          <w:szCs w:val="12"/>
          <w:color w:val="auto"/>
        </w:rPr>
        <w:t>stock transfer or other taxes and other governmental charges;</w:t>
      </w:r>
    </w:p>
    <w:p>
      <w:pPr>
        <w:ind w:left="620"/>
        <w:spacing w:after="0" w:line="237" w:lineRule="auto"/>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2"/>
          <w:szCs w:val="12"/>
          <w:color w:val="auto"/>
        </w:rPr>
        <w:t>a transaction fee per cancellation request (including any cancellation request made through SWIFT, facsimile</w:t>
      </w:r>
    </w:p>
    <w:p>
      <w:pPr>
        <w:ind w:left="620"/>
        <w:spacing w:after="0" w:line="215" w:lineRule="auto"/>
        <w:rPr>
          <w:sz w:val="20"/>
          <w:szCs w:val="20"/>
          <w:color w:val="auto"/>
        </w:rPr>
      </w:pPr>
      <w:r>
        <w:rPr>
          <w:rFonts w:ascii="Times New Roman" w:cs="Times New Roman" w:eastAsia="Times New Roman" w:hAnsi="Times New Roman"/>
          <w:sz w:val="12"/>
          <w:szCs w:val="12"/>
          <w:color w:val="auto"/>
        </w:rPr>
        <w:t>transmission or any other method of communication) as disclosed on the “Disclosures” page (or successor page)</w:t>
      </w:r>
    </w:p>
    <w:p>
      <w:pPr>
        <w:ind w:left="620"/>
        <w:spacing w:after="0" w:line="217" w:lineRule="auto"/>
        <w:rPr>
          <w:sz w:val="20"/>
          <w:szCs w:val="20"/>
          <w:color w:val="auto"/>
        </w:rPr>
      </w:pPr>
      <w:r>
        <w:rPr>
          <w:rFonts w:ascii="Times New Roman" w:cs="Times New Roman" w:eastAsia="Times New Roman" w:hAnsi="Times New Roman"/>
          <w:sz w:val="12"/>
          <w:szCs w:val="12"/>
          <w:color w:val="auto"/>
        </w:rPr>
        <w:t>of ADR.com and any applicable delivery expenses (which are payable by such persons or holders); and</w:t>
      </w:r>
    </w:p>
    <w:p>
      <w:pPr>
        <w:ind w:left="620" w:right="2940"/>
        <w:spacing w:after="0" w:line="204" w:lineRule="auto"/>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2"/>
          <w:szCs w:val="12"/>
          <w:color w:val="auto"/>
        </w:rPr>
        <w:t>transfer or registration fees for the registration of transfer of deposited securities on any applicable register in</w:t>
      </w:r>
      <w:r>
        <w:rPr>
          <w:rFonts w:ascii="Arial" w:cs="Arial" w:eastAsia="Arial" w:hAnsi="Arial"/>
          <w:sz w:val="15"/>
          <w:szCs w:val="15"/>
          <w:color w:val="auto"/>
        </w:rPr>
        <w:t xml:space="preserve"> </w:t>
      </w:r>
      <w:r>
        <w:rPr>
          <w:rFonts w:ascii="Times New Roman" w:cs="Times New Roman" w:eastAsia="Times New Roman" w:hAnsi="Times New Roman"/>
          <w:sz w:val="12"/>
          <w:szCs w:val="12"/>
          <w:color w:val="auto"/>
        </w:rPr>
        <w:t>connection with the deposit or withdrawal of deposited securities.</w:t>
      </w:r>
    </w:p>
    <w:p>
      <w:pPr>
        <w:spacing w:after="0" w:line="1" w:lineRule="exact"/>
        <w:rPr>
          <w:sz w:val="20"/>
          <w:szCs w:val="20"/>
          <w:color w:val="auto"/>
        </w:rPr>
      </w:pPr>
    </w:p>
    <w:p>
      <w:pPr>
        <w:ind w:left="620" w:right="2300"/>
        <w:spacing w:after="0" w:line="220" w:lineRule="auto"/>
        <w:rPr>
          <w:sz w:val="20"/>
          <w:szCs w:val="20"/>
          <w:color w:val="auto"/>
        </w:rPr>
      </w:pPr>
      <w:r>
        <w:rPr>
          <w:rFonts w:ascii="Times New Roman" w:cs="Times New Roman" w:eastAsia="Times New Roman" w:hAnsi="Times New Roman"/>
          <w:sz w:val="12"/>
          <w:szCs w:val="12"/>
          <w:color w:val="auto"/>
        </w:rPr>
        <w:t>To facilitate the administration of various depositary receipt transactions, including disbursement of dividends or other cash distributions and other corporate actions, the depositary may engage the foreign exchange desk within JPMorgan Chase or its affiliates in order to enter into spot foreign exchange transactions to convert foreign currency into U.S. dollars (“FX Transactions”). For certain currencies, FX Transactions are entered into with JPMorgan Chase or an affiliate, as the case may be, acting in a principal capacity. For other currencies, FX Transactions are routed directly to and managed by an unaffiliated local custodian (or other third-party local liquidity provider), and neither JPMorgan Chase nor any of its affiliates is a party to such FX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 foreign exchange rate applied to an FX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JPMorgan Chase nor any of their affiliates is under any obligation to ensure that such rate does not) differ from rates and spreads at which comparable transactions are entered into with other customers or the range of foreign exchange rates and spreads at which JPMorgan Chase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JPMorgan Chase and its affiliates may manage the associated risks of their position in the market in a manner they deem appropriate without regard to the impact of such activities on the depositary, us, ADS holders or beneficial owners. The spread applied does not reflect any gains or losses that may be earned or incurred by JPMorgan Chase and its affiliates as a result of risk management or other hedging related activity.</w:t>
      </w:r>
    </w:p>
    <w:p>
      <w:pPr>
        <w:spacing w:after="0" w:line="1" w:lineRule="exact"/>
        <w:rPr>
          <w:sz w:val="20"/>
          <w:szCs w:val="20"/>
          <w:color w:val="auto"/>
        </w:rPr>
      </w:pPr>
    </w:p>
    <w:p>
      <w:pPr>
        <w:ind w:left="620" w:right="2460"/>
        <w:spacing w:after="0" w:line="215" w:lineRule="auto"/>
        <w:rPr>
          <w:sz w:val="20"/>
          <w:szCs w:val="20"/>
          <w:color w:val="auto"/>
        </w:rPr>
      </w:pPr>
      <w:r>
        <w:rPr>
          <w:rFonts w:ascii="Times New Roman" w:cs="Times New Roman" w:eastAsia="Times New Roman" w:hAnsi="Times New Roman"/>
          <w:sz w:val="12"/>
          <w:szCs w:val="12"/>
          <w:color w:val="auto"/>
        </w:rPr>
        <w:t>Notwithstanding the foregoing, to the extent Genmab provides U.S. dollars to the depositary, neither JPMorgan Chase nor any of its affiliates will execute an FX Transaction as set forth herein. In such case, the depositary will distribute the U.S. dollars received from us.</w:t>
      </w:r>
    </w:p>
    <w:p>
      <w:pPr>
        <w:ind w:left="620" w:right="2380"/>
        <w:spacing w:after="0" w:line="215" w:lineRule="auto"/>
        <w:rPr>
          <w:sz w:val="20"/>
          <w:szCs w:val="20"/>
          <w:color w:val="auto"/>
        </w:rPr>
      </w:pPr>
      <w:r>
        <w:rPr>
          <w:rFonts w:ascii="Times New Roman" w:cs="Times New Roman" w:eastAsia="Times New Roman" w:hAnsi="Times New Roman"/>
          <w:sz w:val="12"/>
          <w:szCs w:val="12"/>
          <w:i w:val="1"/>
          <w:iCs w:val="1"/>
          <w:color w:val="auto"/>
        </w:rPr>
        <w:t xml:space="preserve">Further details relating to the applicable foreign exchange rate, the applicable spread and the execution of FX Transactions will be provided by the depositary on ADR.com. Each holder and beneficial owner by holding or owning an ADS or an interest therein, and Genmab, each acknowledge and agree that the terms applicable to FX Transactions disclosed from time to time on ADR.com will apply to any FX Transaction executed pursuant to the deposit agreements. </w:t>
      </w:r>
      <w:r>
        <w:rPr>
          <w:rFonts w:ascii="Times New Roman" w:cs="Times New Roman" w:eastAsia="Times New Roman" w:hAnsi="Times New Roman"/>
          <w:sz w:val="12"/>
          <w:szCs w:val="12"/>
          <w:color w:val="auto"/>
        </w:rPr>
        <w:t>Genmab will pay all other fees, charges and expenses of the depositary and any agent of the depositary (except the custodian) pursuant to agreements from time to time between us and the depositary.</w:t>
      </w:r>
    </w:p>
    <w:p>
      <w:pPr>
        <w:spacing w:after="0" w:line="1" w:lineRule="exact"/>
        <w:rPr>
          <w:sz w:val="20"/>
          <w:szCs w:val="20"/>
          <w:color w:val="auto"/>
        </w:rPr>
      </w:pPr>
    </w:p>
    <w:p>
      <w:pPr>
        <w:ind w:left="620" w:right="2500"/>
        <w:spacing w:after="0" w:line="215" w:lineRule="auto"/>
        <w:rPr>
          <w:sz w:val="20"/>
          <w:szCs w:val="20"/>
          <w:color w:val="auto"/>
        </w:rPr>
      </w:pPr>
      <w:r>
        <w:rPr>
          <w:rFonts w:ascii="Times New Roman" w:cs="Times New Roman" w:eastAsia="Times New Roman" w:hAnsi="Times New Roman"/>
          <w:sz w:val="12"/>
          <w:szCs w:val="12"/>
          <w:color w:val="auto"/>
        </w:rPr>
        <w:t>The right of the depositary to charge and receive payment of fees, charges and expenses survives the termination of the deposit agreements, and will extend for those fees, charges and expenses incurred prior to the effectiveness of any resignation or removal of the depositary.</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fees and charges described above may be amended from time to time by agreement between us and the depositary.</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depositary may make available to Genmab a set amount or a portion of the depositary fees charged in respect of</w:t>
      </w:r>
    </w:p>
    <w:p>
      <w:pPr>
        <w:spacing w:after="0" w:line="1" w:lineRule="exact"/>
        <w:rPr>
          <w:sz w:val="20"/>
          <w:szCs w:val="20"/>
          <w:color w:val="auto"/>
        </w:rPr>
      </w:pP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the ADS program or otherwise upon such terms and conditions as Genmab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w:t>
      </w:r>
    </w:p>
    <w:p>
      <w:pPr>
        <w:ind w:left="620"/>
        <w:spacing w:after="0" w:line="216" w:lineRule="auto"/>
        <w:rPr>
          <w:sz w:val="20"/>
          <w:szCs w:val="20"/>
          <w:color w:val="auto"/>
        </w:rPr>
      </w:pPr>
      <w:r>
        <w:rPr>
          <w:rFonts w:ascii="Times New Roman" w:cs="Times New Roman" w:eastAsia="Times New Roman" w:hAnsi="Times New Roman"/>
          <w:sz w:val="12"/>
          <w:szCs w:val="12"/>
          <w:color w:val="auto"/>
        </w:rPr>
        <w:t>The depositary may collect its annual fee for depositary services by deduction</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PART II</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13  DEFAULTS, DIVIDEND ARREARAGES AND DELINQUENCIES</w:t>
      </w:r>
    </w:p>
    <w:p>
      <w:pPr>
        <w:ind w:left="620"/>
        <w:spacing w:after="0" w:line="215" w:lineRule="auto"/>
        <w:rPr>
          <w:sz w:val="20"/>
          <w:szCs w:val="20"/>
          <w:color w:val="auto"/>
        </w:rPr>
      </w:pPr>
      <w:r>
        <w:rPr>
          <w:rFonts w:ascii="Times New Roman" w:cs="Times New Roman" w:eastAsia="Times New Roman" w:hAnsi="Times New Roman"/>
          <w:sz w:val="12"/>
          <w:szCs w:val="12"/>
          <w:color w:val="auto"/>
        </w:rPr>
        <w:t>None.</w:t>
      </w:r>
    </w:p>
    <w:p>
      <w:pPr>
        <w:ind w:left="620" w:right="2780"/>
        <w:spacing w:after="0" w:line="215" w:lineRule="auto"/>
        <w:rPr>
          <w:sz w:val="20"/>
          <w:szCs w:val="20"/>
          <w:color w:val="auto"/>
        </w:rPr>
      </w:pPr>
      <w:r>
        <w:rPr>
          <w:rFonts w:ascii="Times New Roman" w:cs="Times New Roman" w:eastAsia="Times New Roman" w:hAnsi="Times New Roman"/>
          <w:sz w:val="12"/>
          <w:szCs w:val="12"/>
          <w:b w:val="1"/>
          <w:bCs w:val="1"/>
          <w:color w:val="auto"/>
        </w:rPr>
        <w:t>ITEM 14 MATERIAL MODIFICATIONS TO THE RIGHTS OF SECURITY HOLDERS AND USE OF PROCEEDS</w:t>
      </w:r>
    </w:p>
    <w:p>
      <w:pPr>
        <w:ind w:left="620"/>
        <w:spacing w:after="0" w:line="215" w:lineRule="auto"/>
        <w:rPr>
          <w:sz w:val="20"/>
          <w:szCs w:val="20"/>
          <w:color w:val="auto"/>
        </w:rPr>
      </w:pPr>
      <w:r>
        <w:rPr>
          <w:rFonts w:ascii="Times New Roman" w:cs="Times New Roman" w:eastAsia="Times New Roman" w:hAnsi="Times New Roman"/>
          <w:sz w:val="12"/>
          <w:szCs w:val="12"/>
          <w:color w:val="auto"/>
        </w:rPr>
        <w:t>None.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15  CONTROLS AND PROCEDURES</w:t>
      </w:r>
    </w:p>
    <w:p>
      <w:pPr>
        <w:ind w:left="620"/>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ectPr>
          <w:pgSz w:w="11900" w:h="16840" w:orient="portrait"/>
          <w:cols w:equalWidth="0" w:num="1">
            <w:col w:w="9020"/>
          </w:cols>
          <w:pgMar w:left="1440" w:top="559" w:right="1440" w:bottom="1440" w:gutter="0" w:footer="0" w:header="0"/>
        </w:sectPr>
      </w:pPr>
    </w:p>
    <w:bookmarkStart w:id="71" w:name="page72"/>
    <w:bookmarkEnd w:id="71"/>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has evaluated the effectiveness of our disclosure controls and procedures (as defined in Rules 13a- 15(e) and 15d- 15(e) under the Exchange Act), as of the end of the period covered by this Annual Report on Form 20-F. Based on such evaluation, management, our principal executive officer and principal financial officer have concluded that our disclosure controls and procedures were effective as of December 31, 2025.</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Report of Genmab Management on Internal Control over Financial Reporting</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Exchange Act Rule 13a - 15(f). Internal control over financial reporting is designed to provide reasonable assurance regarding the reliability of financial reporting and the preparation of financial statements for external purposes in accordance with IFRS as issued by the IASB.</w:t>
      </w:r>
    </w:p>
    <w:p>
      <w:pPr>
        <w:ind w:left="620" w:right="2480"/>
        <w:spacing w:after="0" w:line="215"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due to error or fraud. Also, projections of any evaluation of effectiveness to future periods are subject to the risk that controls may become inadequate because of changes in conditions, or that the degree of compliance with the policies or procedures may deteriorate.</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assessed the effectiveness of our internal control over financial reporting as of December 31, 2025, using the criteria established in the Internal Control – Integrated Framework (2013) issued by the Committee of Sponsoring Organizations of the Treadway Commission (“</w:t>
      </w:r>
      <w:r>
        <w:rPr>
          <w:rFonts w:ascii="Times New Roman" w:cs="Times New Roman" w:eastAsia="Times New Roman" w:hAnsi="Times New Roman"/>
          <w:sz w:val="12"/>
          <w:szCs w:val="12"/>
          <w:b w:val="1"/>
          <w:bCs w:val="1"/>
          <w:color w:val="auto"/>
        </w:rPr>
        <w:t>COSO</w:t>
      </w:r>
      <w:r>
        <w:rPr>
          <w:rFonts w:ascii="Times New Roman" w:cs="Times New Roman" w:eastAsia="Times New Roman" w:hAnsi="Times New Roman"/>
          <w:sz w:val="12"/>
          <w:szCs w:val="12"/>
          <w:color w:val="auto"/>
        </w:rPr>
        <w:t>”). Based on this assessment our management concluded that, as of December 31, 2025, Genmab’s internal control over financial reporting was effective based on the COSO criteria. The effectiveness of the Company’s internal control over financial reporting as of December 31, 2025 has been audited by Deloitte, Statsautoriseret Revisionspartnerselskab, Denmark, an independent registered public accounting firm, as stated in their report which appears on page 64 of this Annual Report on Form 20-F.</w:t>
      </w:r>
    </w:p>
    <w:p>
      <w:pPr>
        <w:spacing w:after="0" w:line="1" w:lineRule="exact"/>
        <w:rPr>
          <w:sz w:val="20"/>
          <w:szCs w:val="20"/>
          <w:color w:val="auto"/>
        </w:rPr>
      </w:pP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Excluded from our evaluation were internal controls over financial reporting at Merus, for which control was acquired on December 12, 2025. The financial statements of this entity constitute 59.6% of total assets and less than 0.1% of revenues as of and for the year ended December 31, 2025.</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ind w:left="620" w:right="2520"/>
        <w:spacing w:after="0" w:line="215" w:lineRule="auto"/>
        <w:rPr>
          <w:sz w:val="20"/>
          <w:szCs w:val="20"/>
          <w:color w:val="auto"/>
        </w:rPr>
      </w:pPr>
      <w:r>
        <w:rPr>
          <w:rFonts w:ascii="Times New Roman" w:cs="Times New Roman" w:eastAsia="Times New Roman" w:hAnsi="Times New Roman"/>
          <w:sz w:val="12"/>
          <w:szCs w:val="12"/>
          <w:color w:val="auto"/>
        </w:rPr>
        <w:t>Except for changes related to debt, there were no changes in our internal control over financial reporting (as defined in Rule 13a-15(f) under the Exchange Act) during the period covered by this Annual Report on Form 20-F that have materially affected, or is reasonably likely to materially affect, internal control over financial reporting.</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16A  AUDIT COMMITTEE FINANCIAL EXPERTS</w:t>
      </w:r>
    </w:p>
    <w:p>
      <w:pPr>
        <w:ind w:left="620" w:right="2460"/>
        <w:spacing w:after="0" w:line="215" w:lineRule="auto"/>
        <w:rPr>
          <w:sz w:val="20"/>
          <w:szCs w:val="20"/>
          <w:color w:val="auto"/>
        </w:rPr>
      </w:pPr>
      <w:r>
        <w:rPr>
          <w:rFonts w:ascii="Times New Roman" w:cs="Times New Roman" w:eastAsia="Times New Roman" w:hAnsi="Times New Roman"/>
          <w:sz w:val="12"/>
          <w:szCs w:val="12"/>
          <w:color w:val="auto"/>
        </w:rPr>
        <w:t xml:space="preserve">Our Audit and Finance Committee consists of members Rolf Hoffmann, Elizabeth O’Farrell, and Deirdre P. Connelly and is chaired by Pernille Erenbjerg. Each member of the Audit and Finance Committee satisfies the independence requirements of the corporate governance standards of the Nasdaq Stock Market. Due to their professional experience, including their service in senior finance leadership positions and as audit committee chairs and members of other public companies, both Pernille Erenbjerg and Elizabeth O’Farrell qualify as “audit committee financial experts,” as defined in Nasdaq Rule 5605(c)(2)(A) and Item 407(d)(5)(ii) of Regulation S- K of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and as determined by our Board of Directors.</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ITEM 16B  CODE OF ETHICS</w:t>
      </w:r>
    </w:p>
    <w:p>
      <w:pPr>
        <w:ind w:left="620" w:right="2320"/>
        <w:spacing w:after="0" w:line="224" w:lineRule="auto"/>
        <w:rPr>
          <w:sz w:val="20"/>
          <w:szCs w:val="20"/>
          <w:color w:val="auto"/>
        </w:rPr>
      </w:pPr>
      <w:r>
        <w:rPr>
          <w:rFonts w:ascii="Times New Roman" w:cs="Times New Roman" w:eastAsia="Times New Roman" w:hAnsi="Times New Roman"/>
          <w:sz w:val="12"/>
          <w:szCs w:val="12"/>
          <w:color w:val="auto"/>
        </w:rPr>
        <w:t>We have adopted a written Code of Conduct, which articulates our commitment to conducting all aspects of our business with integrity and includes 20 key ethical standards that guide our conduct. The Code of Conduct applies to all Genmab employees, management, and members of our Board. This document is available on our website (www.genmab.com) . The contents of this website are not incorporated by reference into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500"/>
        <w:spacing w:after="0" w:line="215" w:lineRule="auto"/>
        <w:rPr>
          <w:sz w:val="20"/>
          <w:szCs w:val="20"/>
          <w:color w:val="auto"/>
        </w:rPr>
      </w:pPr>
      <w:r>
        <w:rPr>
          <w:rFonts w:ascii="Times New Roman" w:cs="Times New Roman" w:eastAsia="Times New Roman" w:hAnsi="Times New Roman"/>
          <w:sz w:val="12"/>
          <w:szCs w:val="12"/>
          <w:color w:val="auto"/>
        </w:rPr>
        <w:t>During 2025, the Company did not amend its Code of Conduct or grant any waiver, including any implicit waiver, from any provision of the Code of Conduct to any of its directors or employees. We expect that any amendments to the current Code of Conduct, or any waivers of its requirements, will be disclosed on our website.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16C  PRINCIPAL ACCOUNTANT FEES AND SERVICES</w:t>
      </w:r>
    </w:p>
    <w:p>
      <w:pPr>
        <w:ind w:left="620" w:right="2660"/>
        <w:spacing w:after="0" w:line="215" w:lineRule="auto"/>
        <w:rPr>
          <w:sz w:val="20"/>
          <w:szCs w:val="20"/>
          <w:color w:val="auto"/>
        </w:rPr>
      </w:pPr>
      <w:r>
        <w:rPr>
          <w:rFonts w:ascii="Times New Roman" w:cs="Times New Roman" w:eastAsia="Times New Roman" w:hAnsi="Times New Roman"/>
          <w:sz w:val="12"/>
          <w:szCs w:val="12"/>
          <w:color w:val="auto"/>
        </w:rPr>
        <w:t>For principal accountant fees and services, see Note 5.4 to our Audited Financial Statements included in our Annual Report 2025.</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audit opinion of Deloitte Statsautoriseret Revisionspartnerselskab (PCAOB no. 1294) is included in Item 18.</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Audit Fees</w:t>
      </w: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Audit fees consist of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Audit-Related Fees</w:t>
      </w:r>
    </w:p>
    <w:p>
      <w:pPr>
        <w:ind w:left="620"/>
        <w:spacing w:after="0" w:line="215" w:lineRule="auto"/>
        <w:rPr>
          <w:sz w:val="20"/>
          <w:szCs w:val="20"/>
          <w:color w:val="auto"/>
        </w:rPr>
      </w:pPr>
      <w:r>
        <w:rPr>
          <w:rFonts w:ascii="Times New Roman" w:cs="Times New Roman" w:eastAsia="Times New Roman" w:hAnsi="Times New Roman"/>
          <w:sz w:val="12"/>
          <w:szCs w:val="12"/>
          <w:color w:val="auto"/>
        </w:rPr>
        <w:t>Audit-related fees consist of assurance and related services by the principal accountant that are reasonably related to</w:t>
      </w:r>
    </w:p>
    <w:p>
      <w:pPr>
        <w:spacing w:after="0" w:line="1" w:lineRule="exact"/>
        <w:rPr>
          <w:sz w:val="20"/>
          <w:szCs w:val="20"/>
          <w:color w:val="auto"/>
        </w:rPr>
      </w:pPr>
    </w:p>
    <w:p>
      <w:pPr>
        <w:ind w:left="620" w:right="2260"/>
        <w:spacing w:after="0" w:line="215" w:lineRule="auto"/>
        <w:rPr>
          <w:sz w:val="20"/>
          <w:szCs w:val="20"/>
          <w:color w:val="auto"/>
        </w:rPr>
      </w:pPr>
      <w:r>
        <w:rPr>
          <w:rFonts w:ascii="Times New Roman" w:cs="Times New Roman" w:eastAsia="Times New Roman" w:hAnsi="Times New Roman"/>
          <w:sz w:val="12"/>
          <w:szCs w:val="12"/>
          <w:color w:val="auto"/>
        </w:rPr>
        <w:t>the performance of the audit or review of the registrant’s financial statements and are not reported under “Audit Fees”. Fees for audit-related services include consultations concerning financial accounting reporting standards.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Tax Fees</w:t>
      </w:r>
    </w:p>
    <w:p>
      <w:pPr>
        <w:ind w:left="620" w:right="2680"/>
        <w:spacing w:after="0" w:line="215" w:lineRule="auto"/>
        <w:rPr>
          <w:sz w:val="20"/>
          <w:szCs w:val="20"/>
          <w:color w:val="auto"/>
        </w:rPr>
      </w:pPr>
      <w:r>
        <w:rPr>
          <w:rFonts w:ascii="Times New Roman" w:cs="Times New Roman" w:eastAsia="Times New Roman" w:hAnsi="Times New Roman"/>
          <w:sz w:val="12"/>
          <w:szCs w:val="12"/>
          <w:color w:val="auto"/>
        </w:rPr>
        <w:t>Tax fees consist of fees billed for professional services rendered by the principal accountant for tax compliance, tax advice, and tax planning, including tax fees billed for tax consultations.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All Other Fees</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All other fees consist of products and services provided by the principal accountant, other than the services reported in “Audit Fees,” “Audit-Related Fees” and “Tax Fees”.</w:t>
      </w:r>
    </w:p>
    <w:p>
      <w:pPr>
        <w:ind w:left="620"/>
        <w:spacing w:after="0" w:line="215" w:lineRule="auto"/>
        <w:rPr>
          <w:sz w:val="20"/>
          <w:szCs w:val="20"/>
          <w:color w:val="auto"/>
        </w:rPr>
      </w:pPr>
      <w:r>
        <w:rPr>
          <w:rFonts w:ascii="Times New Roman" w:cs="Times New Roman" w:eastAsia="Times New Roman" w:hAnsi="Times New Roman"/>
          <w:sz w:val="12"/>
          <w:szCs w:val="12"/>
          <w:color w:val="auto"/>
        </w:rPr>
        <w:t>Fees for other services comprise fees billed for other permitted services.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Pre-Approval Policies</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Audit Committee assesses and pre-approves all audit and non-audit services provided by the principal accountant.</w:t>
      </w:r>
    </w:p>
    <w:p>
      <w:pPr>
        <w:spacing w:after="0" w:line="1" w:lineRule="exact"/>
        <w:rPr>
          <w:sz w:val="20"/>
          <w:szCs w:val="20"/>
          <w:color w:val="auto"/>
        </w:rPr>
      </w:pPr>
    </w:p>
    <w:p>
      <w:pPr>
        <w:ind w:left="620" w:right="324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ITEM 16D EXEMPTIONS FROM THE LISTING STANDARDS FOR AUDIT COMMITTEES </w:t>
      </w:r>
      <w:r>
        <w:rPr>
          <w:rFonts w:ascii="Times New Roman" w:cs="Times New Roman" w:eastAsia="Times New Roman" w:hAnsi="Times New Roman"/>
          <w:sz w:val="12"/>
          <w:szCs w:val="12"/>
          <w:color w:val="auto"/>
        </w:rPr>
        <w:t>Not applicable.</w:t>
      </w:r>
    </w:p>
    <w:p>
      <w:pPr>
        <w:ind w:left="620" w:right="2320"/>
        <w:spacing w:after="0" w:line="220" w:lineRule="auto"/>
        <w:rPr>
          <w:sz w:val="20"/>
          <w:szCs w:val="20"/>
          <w:color w:val="auto"/>
        </w:rPr>
      </w:pPr>
      <w:r>
        <w:rPr>
          <w:rFonts w:ascii="Times New Roman" w:cs="Times New Roman" w:eastAsia="Times New Roman" w:hAnsi="Times New Roman"/>
          <w:sz w:val="12"/>
          <w:szCs w:val="12"/>
          <w:b w:val="1"/>
          <w:bCs w:val="1"/>
          <w:color w:val="auto"/>
        </w:rPr>
        <w:t xml:space="preserve">ITEM 16E PURCHASES OF EQUITY SECURITIES BY THE ISSUER AND AFFILIATED PURCHASERS </w:t>
      </w:r>
      <w:r>
        <w:rPr>
          <w:rFonts w:ascii="Times New Roman" w:cs="Times New Roman" w:eastAsia="Times New Roman" w:hAnsi="Times New Roman"/>
          <w:sz w:val="12"/>
          <w:szCs w:val="12"/>
          <w:color w:val="auto"/>
        </w:rPr>
        <w:t xml:space="preserve">In 2025, Genmab conducted share repurchases under a single share buy-back program. The share buy-back program announced on March 25, 2025 provided for the repurchase of up to 2,200,000 ordinary shares, and expired on July 10, 2025 (the “March Share Buy-Back Program”). Genmab made purchases of its ordinary shares under the March Share Buy-Back Program to reduce capital and to honor our commitments under the RSU program. No shares remain to be repurchased under the March Share Buy-Back Program. See </w:t>
      </w:r>
      <w:r>
        <w:rPr>
          <w:rFonts w:ascii="Times New Roman" w:cs="Times New Roman" w:eastAsia="Times New Roman" w:hAnsi="Times New Roman"/>
          <w:sz w:val="12"/>
          <w:szCs w:val="12"/>
          <w:i w:val="1"/>
          <w:iCs w:val="1"/>
          <w:color w:val="auto"/>
        </w:rPr>
        <w:t>“Item 6—Directors, Senior Management and Employees—B.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Compensation” </w:t>
      </w:r>
      <w:r>
        <w:rPr>
          <w:rFonts w:ascii="Times New Roman" w:cs="Times New Roman" w:eastAsia="Times New Roman" w:hAnsi="Times New Roman"/>
          <w:sz w:val="12"/>
          <w:szCs w:val="12"/>
          <w:color w:val="auto"/>
        </w:rPr>
        <w:t>for more details on the RSU and warrant programs.</w:t>
      </w:r>
    </w:p>
    <w:p>
      <w:pPr>
        <w:sectPr>
          <w:pgSz w:w="11900" w:h="16840" w:orient="portrait"/>
          <w:cols w:equalWidth="0" w:num="1">
            <w:col w:w="9020"/>
          </w:cols>
          <w:pgMar w:left="1440" w:top="1440" w:right="1440" w:bottom="64"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113</w:t>
      </w:r>
    </w:p>
    <w:p>
      <w:pPr>
        <w:ind w:left="620"/>
        <w:spacing w:after="0" w:line="208" w:lineRule="auto"/>
        <w:rPr>
          <w:rFonts w:ascii="Times New Roman" w:cs="Times New Roman" w:eastAsia="Times New Roman" w:hAnsi="Times New Roman"/>
          <w:sz w:val="12"/>
          <w:szCs w:val="12"/>
          <w:color w:val="0563C1"/>
        </w:rPr>
      </w:pPr>
      <w:hyperlink w:anchor="page2">
        <w:r>
          <w:rPr>
            <w:rFonts w:ascii="Times New Roman" w:cs="Times New Roman" w:eastAsia="Times New Roman" w:hAnsi="Times New Roman"/>
            <w:sz w:val="12"/>
            <w:szCs w:val="12"/>
            <w:color w:val="0563C1"/>
          </w:rPr>
          <w:t>Table of Contents</w:t>
        </w:r>
      </w:hyperlink>
    </w:p>
    <w:tbl>
      <w:tblPr>
        <w:tblLayout w:type="fixed"/>
        <w:tblInd w:w="620" w:type="dxa"/>
        <w:tblCellMar>
          <w:top w:w="0" w:type="dxa"/>
          <w:left w:w="0" w:type="dxa"/>
          <w:bottom w:w="0" w:type="dxa"/>
          <w:right w:w="0" w:type="dxa"/>
        </w:tblCellMar>
      </w:tblPr>
      <w:tr>
        <w:trPr>
          <w:trHeight w:val="104"/>
        </w:trPr>
        <w:tc>
          <w:tcPr>
            <w:tcW w:w="880" w:type="dxa"/>
            <w:vAlign w:val="bottom"/>
            <w:tcBorders>
              <w:top w:val="single" w:sz="8" w:color="0563C1"/>
            </w:tcBorders>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Period</w:t>
            </w: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Total Number</w:t>
            </w:r>
          </w:p>
        </w:tc>
        <w:tc>
          <w:tcPr>
            <w:tcW w:w="20" w:type="dxa"/>
            <w:vAlign w:val="bottom"/>
          </w:tcPr>
          <w:p>
            <w:pPr>
              <w:spacing w:after="0"/>
              <w:rPr>
                <w:sz w:val="9"/>
                <w:szCs w:val="9"/>
                <w:color w:val="auto"/>
              </w:rPr>
            </w:pPr>
          </w:p>
        </w:tc>
        <w:tc>
          <w:tcPr>
            <w:tcW w:w="94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Average Price</w:t>
            </w:r>
          </w:p>
        </w:tc>
        <w:tc>
          <w:tcPr>
            <w:tcW w:w="20" w:type="dxa"/>
            <w:vAlign w:val="bottom"/>
          </w:tcPr>
          <w:p>
            <w:pPr>
              <w:spacing w:after="0"/>
              <w:rPr>
                <w:sz w:val="9"/>
                <w:szCs w:val="9"/>
                <w:color w:val="auto"/>
              </w:rPr>
            </w:pPr>
          </w:p>
        </w:tc>
        <w:tc>
          <w:tcPr>
            <w:tcW w:w="108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Total Number of</w:t>
            </w:r>
          </w:p>
        </w:tc>
        <w:tc>
          <w:tcPr>
            <w:tcW w:w="20" w:type="dxa"/>
            <w:vAlign w:val="bottom"/>
          </w:tcPr>
          <w:p>
            <w:pPr>
              <w:spacing w:after="0"/>
              <w:rPr>
                <w:sz w:val="9"/>
                <w:szCs w:val="9"/>
                <w:color w:val="auto"/>
              </w:rPr>
            </w:pPr>
          </w:p>
        </w:tc>
        <w:tc>
          <w:tcPr>
            <w:tcW w:w="120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Maximum Number</w:t>
            </w:r>
          </w:p>
        </w:tc>
      </w:tr>
      <w:tr>
        <w:trPr>
          <w:trHeight w:val="124"/>
        </w:trPr>
        <w:tc>
          <w:tcPr>
            <w:tcW w:w="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of Shares</w:t>
            </w:r>
          </w:p>
        </w:tc>
        <w:tc>
          <w:tcPr>
            <w:tcW w:w="2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Paid per Share</w:t>
            </w:r>
          </w:p>
        </w:tc>
        <w:tc>
          <w:tcPr>
            <w:tcW w:w="20" w:type="dxa"/>
            <w:vAlign w:val="bottom"/>
          </w:tcPr>
          <w:p>
            <w:pPr>
              <w:spacing w:after="0"/>
              <w:rPr>
                <w:sz w:val="10"/>
                <w:szCs w:val="10"/>
                <w:color w:val="auto"/>
              </w:rPr>
            </w:pPr>
          </w:p>
        </w:tc>
        <w:tc>
          <w:tcPr>
            <w:tcW w:w="10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Shares Purchased</w:t>
            </w:r>
          </w:p>
        </w:tc>
        <w:tc>
          <w:tcPr>
            <w:tcW w:w="20" w:type="dxa"/>
            <w:vAlign w:val="bottom"/>
          </w:tcPr>
          <w:p>
            <w:pPr>
              <w:spacing w:after="0"/>
              <w:rPr>
                <w:sz w:val="10"/>
                <w:szCs w:val="10"/>
                <w:color w:val="auto"/>
              </w:rPr>
            </w:pPr>
          </w:p>
        </w:tc>
        <w:tc>
          <w:tcPr>
            <w:tcW w:w="120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of Shares that May</w:t>
            </w:r>
          </w:p>
        </w:tc>
      </w:tr>
      <w:tr>
        <w:trPr>
          <w:trHeight w:val="124"/>
        </w:trPr>
        <w:tc>
          <w:tcPr>
            <w:tcW w:w="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Purchased</w:t>
            </w:r>
          </w:p>
        </w:tc>
        <w:tc>
          <w:tcPr>
            <w:tcW w:w="20" w:type="dxa"/>
            <w:vAlign w:val="bottom"/>
          </w:tcPr>
          <w:p>
            <w:pPr>
              <w:spacing w:after="0"/>
              <w:rPr>
                <w:sz w:val="10"/>
                <w:szCs w:val="10"/>
                <w:color w:val="auto"/>
              </w:rPr>
            </w:pPr>
          </w:p>
        </w:tc>
        <w:tc>
          <w:tcPr>
            <w:tcW w:w="940" w:type="dxa"/>
            <w:vAlign w:val="bottom"/>
          </w:tcPr>
          <w:p>
            <w:pPr>
              <w:jc w:val="right"/>
              <w:ind w:right="418"/>
              <w:spacing w:after="0" w:line="124" w:lineRule="exact"/>
              <w:rPr>
                <w:sz w:val="20"/>
                <w:szCs w:val="20"/>
                <w:color w:val="auto"/>
              </w:rPr>
            </w:pPr>
            <w:r>
              <w:rPr>
                <w:rFonts w:ascii="Times New Roman" w:cs="Times New Roman" w:eastAsia="Times New Roman" w:hAnsi="Times New Roman"/>
                <w:sz w:val="12"/>
                <w:szCs w:val="12"/>
                <w:b w:val="1"/>
                <w:bCs w:val="1"/>
                <w:color w:val="auto"/>
              </w:rPr>
              <w:t>in DKK</w:t>
            </w:r>
          </w:p>
        </w:tc>
        <w:tc>
          <w:tcPr>
            <w:tcW w:w="20" w:type="dxa"/>
            <w:vAlign w:val="bottom"/>
          </w:tcPr>
          <w:p>
            <w:pPr>
              <w:spacing w:after="0"/>
              <w:rPr>
                <w:sz w:val="10"/>
                <w:szCs w:val="10"/>
                <w:color w:val="auto"/>
              </w:rPr>
            </w:pPr>
          </w:p>
        </w:tc>
        <w:tc>
          <w:tcPr>
            <w:tcW w:w="10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as Part of Publicly</w:t>
            </w:r>
          </w:p>
        </w:tc>
        <w:tc>
          <w:tcPr>
            <w:tcW w:w="20" w:type="dxa"/>
            <w:vAlign w:val="bottom"/>
          </w:tcPr>
          <w:p>
            <w:pPr>
              <w:spacing w:after="0"/>
              <w:rPr>
                <w:sz w:val="10"/>
                <w:szCs w:val="10"/>
                <w:color w:val="auto"/>
              </w:rPr>
            </w:pPr>
          </w:p>
        </w:tc>
        <w:tc>
          <w:tcPr>
            <w:tcW w:w="120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Yet Be Purchased</w:t>
            </w:r>
          </w:p>
        </w:tc>
      </w:tr>
      <w:tr>
        <w:trPr>
          <w:trHeight w:val="124"/>
        </w:trPr>
        <w:tc>
          <w:tcPr>
            <w:tcW w:w="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Announced Plans</w:t>
            </w:r>
          </w:p>
        </w:tc>
        <w:tc>
          <w:tcPr>
            <w:tcW w:w="20" w:type="dxa"/>
            <w:vAlign w:val="bottom"/>
          </w:tcPr>
          <w:p>
            <w:pPr>
              <w:spacing w:after="0"/>
              <w:rPr>
                <w:sz w:val="10"/>
                <w:szCs w:val="10"/>
                <w:color w:val="auto"/>
              </w:rPr>
            </w:pPr>
          </w:p>
        </w:tc>
        <w:tc>
          <w:tcPr>
            <w:tcW w:w="120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Under the Plans or</w:t>
            </w:r>
          </w:p>
        </w:tc>
      </w:tr>
      <w:tr>
        <w:trPr>
          <w:trHeight w:val="162"/>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or Programs</w:t>
            </w:r>
          </w:p>
        </w:tc>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Programs</w:t>
            </w:r>
          </w:p>
        </w:tc>
      </w:tr>
      <w:tr>
        <w:trPr>
          <w:trHeight w:val="28"/>
        </w:trPr>
        <w:tc>
          <w:tcPr>
            <w:tcW w:w="2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Share Repurchase Programs</w:t>
            </w:r>
          </w:p>
        </w:tc>
        <w:tc>
          <w:tcPr>
            <w:tcW w:w="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March 26, 2025 - March 31, 2025</w:t>
            </w: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316,630</w:t>
            </w: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1,362.84</w:t>
            </w:r>
          </w:p>
        </w:tc>
        <w:tc>
          <w:tcPr>
            <w:tcW w:w="11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316,630</w:t>
            </w:r>
          </w:p>
        </w:tc>
        <w:tc>
          <w:tcPr>
            <w:tcW w:w="20" w:type="dxa"/>
            <w:vAlign w:val="bottom"/>
          </w:tcPr>
          <w:p>
            <w:pPr>
              <w:spacing w:after="0"/>
              <w:rPr>
                <w:sz w:val="14"/>
                <w:szCs w:val="14"/>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April 1, 2025 - April 30, 2025</w:t>
            </w:r>
          </w:p>
        </w:tc>
        <w:tc>
          <w:tcPr>
            <w:tcW w:w="9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1,152,244</w:t>
            </w:r>
          </w:p>
        </w:tc>
        <w:tc>
          <w:tcPr>
            <w:tcW w:w="9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1,269.71</w:t>
            </w:r>
          </w:p>
        </w:tc>
        <w:tc>
          <w:tcPr>
            <w:tcW w:w="11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1,152,244</w:t>
            </w: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May 1, 2025 - May 28, 2025</w:t>
            </w: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611,037</w:t>
            </w: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1,326.80</w:t>
            </w:r>
          </w:p>
        </w:tc>
        <w:tc>
          <w:tcPr>
            <w:tcW w:w="11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611,037</w:t>
            </w:r>
          </w:p>
        </w:tc>
        <w:tc>
          <w:tcPr>
            <w:tcW w:w="20" w:type="dxa"/>
            <w:vAlign w:val="bottom"/>
          </w:tcPr>
          <w:p>
            <w:pPr>
              <w:spacing w:after="0"/>
              <w:rPr>
                <w:sz w:val="14"/>
                <w:szCs w:val="14"/>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June 2, 2025 - June 26, 2025</w:t>
            </w:r>
          </w:p>
        </w:tc>
        <w:tc>
          <w:tcPr>
            <w:tcW w:w="20" w:type="dxa"/>
            <w:vAlign w:val="bottom"/>
          </w:tcPr>
          <w:p>
            <w:pPr>
              <w:spacing w:after="0"/>
              <w:rPr>
                <w:sz w:val="17"/>
                <w:szCs w:val="17"/>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120,089</w:t>
            </w:r>
          </w:p>
        </w:tc>
        <w:tc>
          <w:tcPr>
            <w:tcW w:w="9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1,324.59</w:t>
            </w:r>
          </w:p>
        </w:tc>
        <w:tc>
          <w:tcPr>
            <w:tcW w:w="11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120,089</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2,200,000</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2,200,000</w:t>
            </w:r>
          </w:p>
        </w:tc>
        <w:tc>
          <w:tcPr>
            <w:tcW w:w="20" w:type="dxa"/>
            <w:vAlign w:val="bottom"/>
          </w:tcPr>
          <w:p>
            <w:pPr>
              <w:spacing w:after="0"/>
              <w:rPr>
                <w:sz w:val="14"/>
                <w:szCs w:val="14"/>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r>
    </w:tbl>
    <w:p>
      <w:pPr>
        <w:ind w:left="620" w:right="2320"/>
        <w:spacing w:after="0" w:line="218" w:lineRule="auto"/>
        <w:rPr>
          <w:sz w:val="20"/>
          <w:szCs w:val="20"/>
          <w:color w:val="auto"/>
        </w:rPr>
      </w:pPr>
      <w:r>
        <w:rPr>
          <w:rFonts w:ascii="Times New Roman" w:cs="Times New Roman" w:eastAsia="Times New Roman" w:hAnsi="Times New Roman"/>
          <w:sz w:val="12"/>
          <w:szCs w:val="12"/>
          <w:color w:val="auto"/>
        </w:rPr>
        <w:t>At Genmab’s Annual General Meeting on March 12, 2025, the Board of Directors was authorized to allow Genmab to acquire treasury shares with a total nominal value of up to 10% of the share capital in the period until and including March 11, 2030 (the “2025 Authorization”). The purchase price for the relevant shares may not deviate by more than 10% from the price quoted on Nasdaq Copenhagen at the time of the acquisition. Such shares may only be acquired to the extent that the Company’s total holding of treasury shares does not at any time exceed a nominal value of 10% of the share capital. The authorization replaced existing previously provided authorizations to purchase treasury shares.</w:t>
      </w:r>
    </w:p>
    <w:p>
      <w:pPr>
        <w:ind w:left="620"/>
        <w:spacing w:after="0" w:line="221" w:lineRule="auto"/>
        <w:rPr>
          <w:sz w:val="20"/>
          <w:szCs w:val="20"/>
          <w:color w:val="auto"/>
        </w:rPr>
      </w:pPr>
      <w:r>
        <w:rPr>
          <w:rFonts w:ascii="Times New Roman" w:cs="Times New Roman" w:eastAsia="Times New Roman" w:hAnsi="Times New Roman"/>
          <w:sz w:val="12"/>
          <w:szCs w:val="12"/>
          <w:b w:val="1"/>
          <w:bCs w:val="1"/>
          <w:color w:val="auto"/>
        </w:rPr>
        <w:t>ITEM 16F  CHANGE IN REGISTRANT’S CERTIFYING ACCOUNTANT</w:t>
      </w:r>
    </w:p>
    <w:p>
      <w:pPr>
        <w:ind w:left="620"/>
        <w:spacing w:after="0" w:line="215" w:lineRule="auto"/>
        <w:rPr>
          <w:sz w:val="20"/>
          <w:szCs w:val="20"/>
          <w:color w:val="auto"/>
        </w:rPr>
      </w:pPr>
      <w:r>
        <w:rPr>
          <w:rFonts w:ascii="Times New Roman" w:cs="Times New Roman" w:eastAsia="Times New Roman" w:hAnsi="Times New Roman"/>
          <w:sz w:val="12"/>
          <w:szCs w:val="12"/>
          <w:color w:val="auto"/>
        </w:rPr>
        <w:t>Not applicable.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16G  CORPORATE GOVERNANCE</w:t>
      </w:r>
    </w:p>
    <w:p>
      <w:pPr>
        <w:ind w:left="620" w:right="2360"/>
        <w:spacing w:after="0" w:line="215" w:lineRule="auto"/>
        <w:rPr>
          <w:sz w:val="20"/>
          <w:szCs w:val="20"/>
          <w:color w:val="auto"/>
        </w:rPr>
      </w:pPr>
      <w:r>
        <w:rPr>
          <w:rFonts w:ascii="Times New Roman" w:cs="Times New Roman" w:eastAsia="Times New Roman" w:hAnsi="Times New Roman"/>
          <w:sz w:val="12"/>
          <w:szCs w:val="12"/>
          <w:color w:val="231F20"/>
        </w:rPr>
        <w:t>The listing rules of the Nasdaq (the “</w:t>
      </w:r>
      <w:r>
        <w:rPr>
          <w:rFonts w:ascii="Times New Roman" w:cs="Times New Roman" w:eastAsia="Times New Roman" w:hAnsi="Times New Roman"/>
          <w:sz w:val="12"/>
          <w:szCs w:val="12"/>
          <w:b w:val="1"/>
          <w:bCs w:val="1"/>
          <w:color w:val="231F20"/>
        </w:rPr>
        <w:t>Nasdaq Listing Rules</w:t>
      </w:r>
      <w:r>
        <w:rPr>
          <w:rFonts w:ascii="Times New Roman" w:cs="Times New Roman" w:eastAsia="Times New Roman" w:hAnsi="Times New Roman"/>
          <w:sz w:val="12"/>
          <w:szCs w:val="12"/>
          <w:color w:val="231F20"/>
        </w:rPr>
        <w:t>”) provide that foreign private issuers may follow home country practice in lieu of Nasdaq Global Select Market corporate governance standards, subject to certain exceptions and except to the extent that such exemptions would be contrary to US federal securities laws. The home country practices we follow in lieu of the Nasdaq Listing Rules are described below.</w:t>
      </w:r>
    </w:p>
    <w:p>
      <w:pPr>
        <w:ind w:left="620" w:right="30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We do not follow the quorum requirements of the Nasdaq Stock Market applicable to meetings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shareholders. In accordance with Danish corporate law and generally accepted business practice, our articles of association do not provide quorum requirements for general meetings of shareholders.</w:t>
      </w:r>
    </w:p>
    <w:p>
      <w:pPr>
        <w:ind w:left="620" w:right="2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We do not follow the requirements of the Nasdaq Stock Market regarding the provision of proxy statements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for general meetings of shareholders. Danish corporate law does not have a regulatory regime for the solicitation of proxies. The solicitation of proxies is not a generally accepted business practice in Denmark, although it has recently become more common for listed companies to do so. However, a shareholder may be represented at a general meeting by proxy. Unless containing a provision to the contrary, instruments of proxy will be deemed to be in force until revoked in writing by notification to the company. Rather than providing proxy statements, we provide notice prior to convening a general meeting, including an agenda and other relevant documents, to the Danish Business Authority and written notice to all registered shareholders who have so requested.</w:t>
      </w:r>
    </w:p>
    <w:p>
      <w:pPr>
        <w:spacing w:after="0" w:line="10" w:lineRule="exact"/>
        <w:rPr>
          <w:sz w:val="20"/>
          <w:szCs w:val="20"/>
          <w:color w:val="auto"/>
        </w:rPr>
      </w:pPr>
    </w:p>
    <w:p>
      <w:pPr>
        <w:jc w:val="both"/>
        <w:ind w:left="620" w:right="30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We do not follow the requirements of the Nasdaq Stock Market regarding shareholder approval for certain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issuances of securities under Nasdaq Listing Rule 5635. Pursuant to Danish </w:t>
      </w:r>
      <w:r>
        <w:rPr>
          <w:rFonts w:ascii="Times New Roman" w:cs="Times New Roman" w:eastAsia="Times New Roman" w:hAnsi="Times New Roman"/>
          <w:sz w:val="12"/>
          <w:szCs w:val="12"/>
          <w:color w:val="000000"/>
        </w:rPr>
        <w:t>corporate law and our articles of</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association, our shareholders have authorized our Board to issue securities, including shares and warrants.</w:t>
      </w:r>
    </w:p>
    <w:p>
      <w:pPr>
        <w:ind w:left="620" w:right="3000"/>
        <w:spacing w:after="0" w:line="22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We do not follow the requirement of the Nasdaq Stock Market that each member of the Compensation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Committee be independent as defined under Nasdaq Listing Rule 5605(a)(2). No such requirement exists pursuant to Danish law. We do not have an independent Compensation Committee within the meaning of the Nasdaq Listing Rules because we consider Anders Gersel Pedersen, a member of the Compensation</w:t>
      </w:r>
    </w:p>
    <w:p>
      <w:pPr>
        <w:sectPr>
          <w:pgSz w:w="11900" w:h="16840" w:orient="portrait"/>
          <w:cols w:equalWidth="0" w:num="1">
            <w:col w:w="9020"/>
          </w:cols>
          <w:pgMar w:left="1440" w:top="1440" w:right="1440"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2"/>
          <w:szCs w:val="12"/>
          <w:color w:val="auto"/>
        </w:rPr>
        <w:t>114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960"/>
        <w:spacing w:after="0" w:line="215" w:lineRule="auto"/>
        <w:rPr>
          <w:sz w:val="20"/>
          <w:szCs w:val="20"/>
          <w:color w:val="auto"/>
        </w:rPr>
      </w:pPr>
      <w:r>
        <w:rPr>
          <w:rFonts w:ascii="Times New Roman" w:cs="Times New Roman" w:eastAsia="Times New Roman" w:hAnsi="Times New Roman"/>
          <w:sz w:val="12"/>
          <w:szCs w:val="12"/>
          <w:color w:val="231F20"/>
        </w:rPr>
        <w:t>Committee, to be a non-independent director solely by virtue of the length of his tenure on our Board, following his election to the Board in 2003. We do not consider Dr. Pedersen’s tenure as material to his ability to be independent from Executive Management in connection with his duties as a Compensation Committee member. The charter of the Compensation Committee requires a majority of its members to meet the independence requirements established by the Board and applicable laws, regulations, corporate governance recommendations, and listing requirements (if any).We do not follow the requirement of the Nasdaq Stock Market that we have independent director oversight of director nominations as prescribed by Nasdaq Listing Rule 5605(e)(1). No such requirement exists pursuant to Danish law. We do not have independent oversight of director nominations because we consider Anders Gersel Pedersen to be a non-independent director solely by virtue of the length of his tenure on our Board, following his election to the Board in 2003. We do not consider Dr. Pedersen’s tenure as material to his ability to be independent from Executive Management in connection with his duties as a member of the Nominating and Corporate Governance Committee. The charter of the Nominating and Corporate Governance Committee requires a majority of its members to meet the independence requirements established by the Board and applicable laws, regulations, corporate governance recommendations, and listing requirements (if any).</w:t>
      </w:r>
    </w:p>
    <w:p>
      <w:pPr>
        <w:spacing w:after="0" w:line="2" w:lineRule="exact"/>
        <w:rPr>
          <w:sz w:val="20"/>
          <w:szCs w:val="20"/>
          <w:color w:val="auto"/>
        </w:rPr>
      </w:pPr>
    </w:p>
    <w:p>
      <w:pPr>
        <w:ind w:left="620" w:right="3020"/>
        <w:spacing w:after="0" w:line="21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31F20"/>
        </w:rPr>
        <w:t>We do not follow the requirement of the Nasdaq Stock Market that our independent directors must have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regularly scheduled meetings at which only independent directors are present. No such requirement exists pursuant to Danish law. Our directors regularly meet in executive sessions without the participation of management. However, our Employee Elected Directors, who are not independent within the meaning of the Nasdaq Listing Rules, attend these executive sessions.</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ITEM 16H  MINE SAFETY DISCLOSURE</w:t>
      </w:r>
    </w:p>
    <w:p>
      <w:pPr>
        <w:ind w:left="620"/>
        <w:spacing w:after="0" w:line="215" w:lineRule="auto"/>
        <w:rPr>
          <w:sz w:val="20"/>
          <w:szCs w:val="20"/>
          <w:color w:val="auto"/>
        </w:rPr>
      </w:pPr>
      <w:r>
        <w:rPr>
          <w:rFonts w:ascii="Times New Roman" w:cs="Times New Roman" w:eastAsia="Times New Roman" w:hAnsi="Times New Roman"/>
          <w:sz w:val="12"/>
          <w:szCs w:val="12"/>
          <w:color w:val="auto"/>
        </w:rPr>
        <w:t>Not applicable.</w:t>
      </w:r>
    </w:p>
    <w:p>
      <w:pPr>
        <w:ind w:left="620" w:right="272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ITEM 16I DISCLOSURE REGARDING FOREIGN JURISDICTIONS THAT PREVENT INSPECTIONS </w:t>
      </w:r>
      <w:r>
        <w:rPr>
          <w:rFonts w:ascii="Times New Roman" w:cs="Times New Roman" w:eastAsia="Times New Roman" w:hAnsi="Times New Roman"/>
          <w:sz w:val="12"/>
          <w:szCs w:val="12"/>
          <w:color w:val="auto"/>
        </w:rPr>
        <w:t>Not applicable.</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16J INSIDER TRADING POLICIES</w:t>
      </w:r>
    </w:p>
    <w:p>
      <w:pPr>
        <w:ind w:left="620" w:right="2360"/>
        <w:spacing w:after="0" w:line="223" w:lineRule="auto"/>
        <w:rPr>
          <w:sz w:val="20"/>
          <w:szCs w:val="20"/>
          <w:color w:val="auto"/>
        </w:rPr>
      </w:pPr>
      <w:r>
        <w:rPr>
          <w:rFonts w:ascii="Times New Roman" w:cs="Times New Roman" w:eastAsia="Times New Roman" w:hAnsi="Times New Roman"/>
          <w:sz w:val="12"/>
          <w:szCs w:val="12"/>
          <w:color w:val="auto"/>
        </w:rPr>
        <w:t>We have adopted two insider trading policies, one of which governs the purchase, sale, and other transactions in our securities by our Board of Directors, Executive Management and other permanent insiders and the other governs such transactions by our employees, and employees of our directly and indirectly owned subsidiaries. These policies have been reasonably designed to promote compliance with applicable insider trading laws, rules and regulations, and any listing standards applicable to us. Copies of our insider trading policies are attached as Exhibits 11.1 and 11.2 to this Annual</w:t>
      </w:r>
    </w:p>
    <w:p>
      <w:pPr>
        <w:ind w:left="620"/>
        <w:spacing w:after="0"/>
        <w:rPr>
          <w:sz w:val="20"/>
          <w:szCs w:val="20"/>
          <w:color w:val="auto"/>
        </w:rPr>
      </w:pPr>
      <w:r>
        <w:rPr>
          <w:rFonts w:ascii="Times New Roman" w:cs="Times New Roman" w:eastAsia="Times New Roman" w:hAnsi="Times New Roman"/>
          <w:sz w:val="12"/>
          <w:szCs w:val="12"/>
          <w:color w:val="auto"/>
        </w:rPr>
        <w:t>Report.</w:t>
      </w:r>
    </w:p>
    <w:p>
      <w:pPr>
        <w:ind w:left="620"/>
        <w:spacing w:after="0" w:line="234" w:lineRule="auto"/>
        <w:rPr>
          <w:sz w:val="20"/>
          <w:szCs w:val="20"/>
          <w:color w:val="auto"/>
        </w:rPr>
      </w:pPr>
      <w:r>
        <w:rPr>
          <w:rFonts w:ascii="Times New Roman" w:cs="Times New Roman" w:eastAsia="Times New Roman" w:hAnsi="Times New Roman"/>
          <w:sz w:val="12"/>
          <w:szCs w:val="12"/>
          <w:b w:val="1"/>
          <w:bCs w:val="1"/>
          <w:color w:val="auto"/>
        </w:rPr>
        <w:t>ITEM 16K CYBERSECURITY</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Overview of Cybersecurity Program and Risk Management</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Safeguarding the confidentiality, integrity, and availability of systems, data and applications as well as protecting trade secrets and data privacy is an essential pillar in ensuring the business continuity of Genmab, and complying with regulatory requirements, and maintaining the trust of our patients, employees, shareholders, partners, and other stakeholders. Genmab maintains a comprehensive cybersecurity program based on the National Institute of Standards and Technology’s NIST</w:t>
      </w:r>
    </w:p>
    <w:p>
      <w:pPr>
        <w:ind w:left="620" w:right="2260"/>
        <w:spacing w:after="0" w:line="215" w:lineRule="auto"/>
        <w:rPr>
          <w:sz w:val="20"/>
          <w:szCs w:val="20"/>
          <w:color w:val="auto"/>
        </w:rPr>
      </w:pPr>
      <w:r>
        <w:rPr>
          <w:rFonts w:ascii="Times New Roman" w:cs="Times New Roman" w:eastAsia="Times New Roman" w:hAnsi="Times New Roman"/>
          <w:sz w:val="12"/>
          <w:szCs w:val="12"/>
          <w:color w:val="auto"/>
        </w:rPr>
        <w:t>800 Special Publication Information Security standard (“</w:t>
      </w:r>
      <w:r>
        <w:rPr>
          <w:rFonts w:ascii="Times New Roman" w:cs="Times New Roman" w:eastAsia="Times New Roman" w:hAnsi="Times New Roman"/>
          <w:sz w:val="12"/>
          <w:szCs w:val="12"/>
          <w:b w:val="1"/>
          <w:bCs w:val="1"/>
          <w:color w:val="auto"/>
        </w:rPr>
        <w:t>NIST Standard</w:t>
      </w:r>
      <w:r>
        <w:rPr>
          <w:rFonts w:ascii="Times New Roman" w:cs="Times New Roman" w:eastAsia="Times New Roman" w:hAnsi="Times New Roman"/>
          <w:sz w:val="12"/>
          <w:szCs w:val="12"/>
          <w:color w:val="auto"/>
        </w:rPr>
        <w:t>”) for managing cybersecurity activities, including formulation of global objectives of the cybersecurity program and risk identification and mitigation activities.</w:t>
      </w:r>
    </w:p>
    <w:p>
      <w:pPr>
        <w:ind w:left="620" w:right="2300"/>
        <w:spacing w:after="0" w:line="223" w:lineRule="auto"/>
        <w:rPr>
          <w:sz w:val="20"/>
          <w:szCs w:val="20"/>
          <w:color w:val="auto"/>
        </w:rPr>
      </w:pPr>
      <w:r>
        <w:rPr>
          <w:rFonts w:ascii="Times New Roman" w:cs="Times New Roman" w:eastAsia="Times New Roman" w:hAnsi="Times New Roman"/>
          <w:sz w:val="12"/>
          <w:szCs w:val="12"/>
          <w:color w:val="auto"/>
        </w:rPr>
        <w:t>Genmab’s Information Security Department, led by the Global Head of Information Security and Digital Risk &amp; Compliance Management, is responsible for administering and annually updating our enterprise-wide information security program. The program includes activities and projects in all six functions (govern, identify, protect, detect, respond, recover) of the NIST standard with the goal of further improving Genmab’s security profile and adapting, where needed, to changes in Genmab’s business strategy and threat environment. Input for the program comes from the annual attack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115</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720"/>
        <w:spacing w:after="0" w:line="215" w:lineRule="auto"/>
        <w:rPr>
          <w:sz w:val="20"/>
          <w:szCs w:val="20"/>
          <w:color w:val="auto"/>
        </w:rPr>
      </w:pPr>
      <w:r>
        <w:rPr>
          <w:rFonts w:ascii="Times New Roman" w:cs="Times New Roman" w:eastAsia="Times New Roman" w:hAnsi="Times New Roman"/>
          <w:sz w:val="12"/>
          <w:szCs w:val="12"/>
          <w:color w:val="auto"/>
        </w:rPr>
        <w:t>penetration test, periodic threat landscape and security maturity assessments, as well as requirements of applicable cybersecurity regulations. The Information Security Department is also responsible for a number of global security processes and services that Genmab undertakes, such as the following: •proposing and administering information security policies and standards;</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•security awareness training (including the administration of a third-party phishing learning platform, conducting periodic global security awareness events and preparing other learning materials);</w:t>
      </w:r>
    </w:p>
    <w:p>
      <w:pPr>
        <w:ind w:left="620" w:right="2980"/>
        <w:spacing w:after="0" w:line="215" w:lineRule="auto"/>
        <w:rPr>
          <w:sz w:val="20"/>
          <w:szCs w:val="20"/>
          <w:color w:val="auto"/>
        </w:rPr>
      </w:pPr>
      <w:r>
        <w:rPr>
          <w:rFonts w:ascii="Times New Roman" w:cs="Times New Roman" w:eastAsia="Times New Roman" w:hAnsi="Times New Roman"/>
          <w:sz w:val="12"/>
          <w:szCs w:val="12"/>
          <w:color w:val="auto"/>
        </w:rPr>
        <w:t>•security risk assessment of new and existing vendors, partners and other third parties with respect to whom a security risk assessment is deemed appropriate;</w:t>
      </w:r>
    </w:p>
    <w:p>
      <w:pPr>
        <w:ind w:left="620"/>
        <w:spacing w:after="0" w:line="215" w:lineRule="auto"/>
        <w:rPr>
          <w:sz w:val="20"/>
          <w:szCs w:val="20"/>
          <w:color w:val="auto"/>
        </w:rPr>
      </w:pPr>
      <w:r>
        <w:rPr>
          <w:rFonts w:ascii="Times New Roman" w:cs="Times New Roman" w:eastAsia="Times New Roman" w:hAnsi="Times New Roman"/>
          <w:sz w:val="12"/>
          <w:szCs w:val="12"/>
          <w:color w:val="auto"/>
        </w:rPr>
        <w:t>•review of new contracts and assessment of the impact of new technologies on security;</w:t>
      </w:r>
    </w:p>
    <w:p>
      <w:pPr>
        <w:ind w:left="620" w:right="2860"/>
        <w:spacing w:after="0" w:line="215" w:lineRule="auto"/>
        <w:rPr>
          <w:sz w:val="20"/>
          <w:szCs w:val="20"/>
          <w:color w:val="auto"/>
        </w:rPr>
      </w:pPr>
      <w:r>
        <w:rPr>
          <w:rFonts w:ascii="Times New Roman" w:cs="Times New Roman" w:eastAsia="Times New Roman" w:hAnsi="Times New Roman"/>
          <w:sz w:val="12"/>
          <w:szCs w:val="12"/>
          <w:color w:val="auto"/>
        </w:rPr>
        <w:t>•defining mandatory security controls and assessing solution security architecture of new or changed systems or services;</w:t>
      </w:r>
    </w:p>
    <w:p>
      <w:pPr>
        <w:ind w:left="620"/>
        <w:spacing w:after="0" w:line="215" w:lineRule="auto"/>
        <w:rPr>
          <w:sz w:val="20"/>
          <w:szCs w:val="20"/>
          <w:color w:val="auto"/>
        </w:rPr>
      </w:pPr>
      <w:r>
        <w:rPr>
          <w:rFonts w:ascii="Times New Roman" w:cs="Times New Roman" w:eastAsia="Times New Roman" w:hAnsi="Times New Roman"/>
          <w:sz w:val="12"/>
          <w:szCs w:val="12"/>
          <w:color w:val="auto"/>
        </w:rPr>
        <w:t>•security incident detection and management;</w:t>
      </w:r>
    </w:p>
    <w:p>
      <w:pPr>
        <w:ind w:left="620"/>
        <w:spacing w:after="0" w:line="215" w:lineRule="auto"/>
        <w:rPr>
          <w:sz w:val="20"/>
          <w:szCs w:val="20"/>
          <w:color w:val="auto"/>
        </w:rPr>
      </w:pPr>
      <w:r>
        <w:rPr>
          <w:rFonts w:ascii="Times New Roman" w:cs="Times New Roman" w:eastAsia="Times New Roman" w:hAnsi="Times New Roman"/>
          <w:sz w:val="12"/>
          <w:szCs w:val="12"/>
          <w:color w:val="auto"/>
        </w:rPr>
        <w:t>•periodic operational security incident exercises, and vulnerability scanning.</w:t>
      </w:r>
    </w:p>
    <w:p>
      <w:pPr>
        <w:ind w:left="620" w:right="2320"/>
        <w:spacing w:after="0"/>
        <w:rPr>
          <w:sz w:val="20"/>
          <w:szCs w:val="20"/>
          <w:color w:val="auto"/>
        </w:rPr>
      </w:pPr>
      <w:r>
        <w:rPr>
          <w:rFonts w:ascii="Times New Roman" w:cs="Times New Roman" w:eastAsia="Times New Roman" w:hAnsi="Times New Roman"/>
          <w:sz w:val="12"/>
          <w:szCs w:val="12"/>
          <w:color w:val="auto"/>
        </w:rPr>
        <w:t>We work with consultants and other third- party advisors to perform security services and conduct security assessments and independent audits of the security and resilience of our systems and networks. We have also established a cyber response task force consisting of leaders from Finance, Legal, Compliance, Communications, and Data, Digital &amp; AI (“</w:t>
      </w:r>
      <w:r>
        <w:rPr>
          <w:rFonts w:ascii="Times New Roman" w:cs="Times New Roman" w:eastAsia="Times New Roman" w:hAnsi="Times New Roman"/>
          <w:sz w:val="12"/>
          <w:szCs w:val="12"/>
          <w:b w:val="1"/>
          <w:bCs w:val="1"/>
          <w:color w:val="auto"/>
        </w:rPr>
        <w:t>DD&amp;AI</w:t>
      </w:r>
      <w:r>
        <w:rPr>
          <w:rFonts w:ascii="Times New Roman" w:cs="Times New Roman" w:eastAsia="Times New Roman" w:hAnsi="Times New Roman"/>
          <w:sz w:val="12"/>
          <w:szCs w:val="12"/>
          <w:color w:val="auto"/>
        </w:rPr>
        <w:t>”) departments. The task force is responsible for cybersecurity crisis preparedness and the management of cybersecurity crisis situations. This task force regularly leads scenario exercises, which include engagement of all levels of management including members of Genmab’s Executive Committee, to assess Genmab’s resilience capabilities in the event of a cybersecurity crisis.</w:t>
      </w:r>
    </w:p>
    <w:p>
      <w:pPr>
        <w:spacing w:after="0" w:line="38" w:lineRule="exact"/>
        <w:rPr>
          <w:sz w:val="20"/>
          <w:szCs w:val="20"/>
          <w:color w:val="auto"/>
        </w:rPr>
      </w:pP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We have integrated information security risk management into our overall risk management infrastructure through our enterprise risk management program. The enterprise risk management program, which is overseen by our Global Compliance &amp; Risk Committee (“</w:t>
      </w:r>
      <w:r>
        <w:rPr>
          <w:rFonts w:ascii="Times New Roman" w:cs="Times New Roman" w:eastAsia="Times New Roman" w:hAnsi="Times New Roman"/>
          <w:sz w:val="12"/>
          <w:szCs w:val="12"/>
          <w:b w:val="1"/>
          <w:bCs w:val="1"/>
          <w:color w:val="auto"/>
        </w:rPr>
        <w:t>GCRC</w:t>
      </w:r>
      <w:r>
        <w:rPr>
          <w:rFonts w:ascii="Times New Roman" w:cs="Times New Roman" w:eastAsia="Times New Roman" w:hAnsi="Times New Roman"/>
          <w:sz w:val="12"/>
          <w:szCs w:val="12"/>
          <w:color w:val="auto"/>
        </w:rPr>
        <w:t>”), entails a formal process that seeks to identify, assess, mitigate and manage the risks from both internal and external conditions that could significantly impact the Company and influence our business strategy and performance.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Role of Management</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The Global Head of Information Security and Digital Risk &amp; Compliance Management is responsible for information security within Genmab and reports to the Global Head of DD&amp;AI. Our current Global Head of Information Security and IT Risk &amp; Compliance Management has more than 15 years of experience in leading global information and cyber security departments and programs, and our current Global Head of DD&amp;AI has more than 20 years of experience in leading, managing and transforming analytics and technology departments, in each case for large, global organizations. The Global Head of Information Security and Digital Risk &amp; Compliance Management reports the status of the</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Genmab information security program, security threats, incidents, and risks quarterly to the GCRC, chaired by Genmab’s CEO and the Senior Vice President, Head of Global Compliance and Risk, and in which members of our Executive Committee participate. The status of risk mitigation actions and newly identified risks are discussed during periodic meetings of the DD&amp;AI Risk Governance Board, consisting of members of the DD&amp;AI Leadership Team and chaired by the Global Head of DD&amp;AI. Results of security assessments and periodic cyber threat landscape assessments may also be integrated in strategic reports to Genmab’s relevant business leaders and the GCRC when appropriate.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Role of the Board of Directors</w:t>
      </w:r>
    </w:p>
    <w:p>
      <w:pPr>
        <w:ind w:left="620" w:right="2760"/>
        <w:spacing w:after="0" w:line="234" w:lineRule="auto"/>
        <w:rPr>
          <w:sz w:val="20"/>
          <w:szCs w:val="20"/>
          <w:color w:val="auto"/>
        </w:rPr>
      </w:pPr>
      <w:r>
        <w:rPr>
          <w:rFonts w:ascii="Times New Roman" w:cs="Times New Roman" w:eastAsia="Times New Roman" w:hAnsi="Times New Roman"/>
          <w:sz w:val="12"/>
          <w:szCs w:val="12"/>
          <w:color w:val="auto"/>
        </w:rPr>
        <w:t>The Board of Directors oversees our approach to overall risk management. The board has delegated oversight of information security strategy and risks to the Audit and Finance Committee. The Audit and Finance Committee is</w:t>
      </w:r>
    </w:p>
    <w:p>
      <w:pPr>
        <w:sectPr>
          <w:pgSz w:w="11900" w:h="16840" w:orient="portrait"/>
          <w:cols w:equalWidth="0" w:num="1">
            <w:col w:w="9020"/>
          </w:cols>
          <w:pgMar w:left="1440" w:top="731" w:right="1440" w:bottom="42" w:gutter="0" w:footer="0" w:header="0"/>
        </w:sectPr>
      </w:pPr>
    </w:p>
    <w:bookmarkStart w:id="74" w:name="page75"/>
    <w:bookmarkEnd w:id="74"/>
    <w:p>
      <w:pPr>
        <w:ind w:left="620" w:right="2280"/>
        <w:spacing w:after="0" w:line="253" w:lineRule="auto"/>
        <w:rPr>
          <w:sz w:val="20"/>
          <w:szCs w:val="20"/>
          <w:color w:val="auto"/>
        </w:rPr>
      </w:pPr>
      <w:r>
        <w:rPr>
          <w:rFonts w:ascii="Times New Roman" w:cs="Times New Roman" w:eastAsia="Times New Roman" w:hAnsi="Times New Roman"/>
          <w:sz w:val="12"/>
          <w:szCs w:val="12"/>
          <w:color w:val="auto"/>
        </w:rPr>
        <w:t>responsible for reviewing Genmab’s information security strategy and program, including with respect to identification and management of cybersecurity risks and threats. The Global Head of Information Security and Digital Risk &amp;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116</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Management presents an update on the status of the Genmab information security strategy and program, including strategic priorities, progress made in respect of those priorities and a review of cybersecurity incidents, risks, and threats to the Audit and Finance Committee at least annually. A summary management report on the information security strategy, program, incidents, risks and threats is presented to the Board of Directors periodically and is supplemented by discussions between the Board of Directors and Audit and Finance Committee.</w:t>
      </w:r>
    </w:p>
    <w:p>
      <w:pPr>
        <w:ind w:left="620"/>
        <w:spacing w:after="0" w:line="216" w:lineRule="auto"/>
        <w:rPr>
          <w:sz w:val="20"/>
          <w:szCs w:val="20"/>
          <w:color w:val="auto"/>
        </w:rPr>
      </w:pPr>
      <w:r>
        <w:rPr>
          <w:rFonts w:ascii="Times New Roman" w:cs="Times New Roman" w:eastAsia="Times New Roman" w:hAnsi="Times New Roman"/>
          <w:sz w:val="12"/>
          <w:szCs w:val="12"/>
          <w:b w:val="1"/>
          <w:bCs w:val="1"/>
          <w:color w:val="auto"/>
        </w:rPr>
        <w:t>Cybersecurity Threats</w:t>
      </w:r>
    </w:p>
    <w:p>
      <w:pPr>
        <w:jc w:val="both"/>
        <w:ind w:left="620" w:right="2500"/>
        <w:spacing w:after="0" w:line="215" w:lineRule="auto"/>
        <w:rPr>
          <w:sz w:val="20"/>
          <w:szCs w:val="20"/>
          <w:color w:val="auto"/>
        </w:rPr>
      </w:pPr>
      <w:r>
        <w:rPr>
          <w:rFonts w:ascii="Times New Roman" w:cs="Times New Roman" w:eastAsia="Times New Roman" w:hAnsi="Times New Roman"/>
          <w:sz w:val="12"/>
          <w:szCs w:val="12"/>
          <w:color w:val="auto"/>
        </w:rPr>
        <w:t>For the year ended December 31, 2025 through the date of this annual report, there were no security incidents/breaches leading to material risks from cybersecurity threats, that have materially affected or are reasonably likely to materially affect the Company, including its business strategy, results of operations or financial condition.</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PART III</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17  FINANCIAL STATEMENTS</w:t>
      </w:r>
    </w:p>
    <w:p>
      <w:pPr>
        <w:ind w:left="620"/>
        <w:spacing w:after="0" w:line="216" w:lineRule="auto"/>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“Item 18—Financial Statements.”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18  FINANCIAL STATEMENTS</w:t>
      </w: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The financial statements required by this item are incorporated herein by reference to pages 107-156 of our Annual Report 2025.</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ITEM 19  EXHIBITS</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a.Annual Report</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following pages from our Annual Report 2025, filed together with this Form 20-F, as Exhibit 15.3, are</w:t>
      </w:r>
    </w:p>
    <w:p>
      <w:pPr>
        <w:spacing w:after="0" w:line="1"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incorporated by reference into this Form 20-F. The content of websites, scientific articles and other sources referenced on these pages are not incorporated by reference into this Annual Report on Form 20 -F.</w:t>
      </w:r>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Page(s) incorporated by reference from our Annual Report 2025</w:t>
      </w:r>
    </w:p>
    <w:p>
      <w:pPr>
        <w:ind w:left="620"/>
        <w:spacing w:after="0" w:line="215" w:lineRule="auto"/>
        <w:rPr>
          <w:sz w:val="20"/>
          <w:szCs w:val="20"/>
          <w:color w:val="auto"/>
        </w:rPr>
      </w:pPr>
      <w:r>
        <w:rPr>
          <w:rFonts w:ascii="Times New Roman" w:cs="Times New Roman" w:eastAsia="Times New Roman" w:hAnsi="Times New Roman"/>
          <w:sz w:val="12"/>
          <w:szCs w:val="12"/>
          <w:color w:val="auto"/>
        </w:rPr>
        <w:t>Financial Review – pages 38-46</w:t>
      </w:r>
    </w:p>
    <w:p>
      <w:pPr>
        <w:ind w:left="620"/>
        <w:spacing w:after="0" w:line="215" w:lineRule="auto"/>
        <w:rPr>
          <w:sz w:val="20"/>
          <w:szCs w:val="20"/>
          <w:color w:val="auto"/>
        </w:rPr>
      </w:pPr>
      <w:r>
        <w:rPr>
          <w:rFonts w:ascii="Times New Roman" w:cs="Times New Roman" w:eastAsia="Times New Roman" w:hAnsi="Times New Roman"/>
          <w:sz w:val="12"/>
          <w:szCs w:val="12"/>
          <w:color w:val="auto"/>
        </w:rPr>
        <w:t>Consolidated Financial Statements for the Genmab Group – pages 107-156</w:t>
      </w:r>
    </w:p>
    <w:p>
      <w:pPr>
        <w:spacing w:after="0" w:line="1" w:lineRule="exact"/>
        <w:rPr>
          <w:sz w:val="20"/>
          <w:szCs w:val="20"/>
          <w:color w:val="auto"/>
        </w:rPr>
      </w:pP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Consolidated Statements of Comprehensive Income for the years ended December 31, 2025, 2024 and 2023 – page 107</w:t>
      </w:r>
    </w:p>
    <w:p>
      <w:pPr>
        <w:ind w:left="620"/>
        <w:spacing w:after="0" w:line="215" w:lineRule="auto"/>
        <w:rPr>
          <w:sz w:val="20"/>
          <w:szCs w:val="20"/>
          <w:color w:val="auto"/>
        </w:rPr>
      </w:pPr>
      <w:r>
        <w:rPr>
          <w:rFonts w:ascii="Times New Roman" w:cs="Times New Roman" w:eastAsia="Times New Roman" w:hAnsi="Times New Roman"/>
          <w:sz w:val="12"/>
          <w:szCs w:val="12"/>
          <w:color w:val="auto"/>
        </w:rPr>
        <w:t>Consolidated Balance Sheets as of December 31, 2025 and 2024 – page 108</w:t>
      </w:r>
    </w:p>
    <w:p>
      <w:pPr>
        <w:ind w:left="620"/>
        <w:spacing w:after="0" w:line="215" w:lineRule="auto"/>
        <w:rPr>
          <w:sz w:val="20"/>
          <w:szCs w:val="20"/>
          <w:color w:val="auto"/>
        </w:rPr>
      </w:pPr>
      <w:r>
        <w:rPr>
          <w:rFonts w:ascii="Times New Roman" w:cs="Times New Roman" w:eastAsia="Times New Roman" w:hAnsi="Times New Roman"/>
          <w:sz w:val="12"/>
          <w:szCs w:val="12"/>
          <w:color w:val="auto"/>
        </w:rPr>
        <w:t>Consolidated Statements of Cash Flows for the years ended December 31, 2025, 2024 and 2023 – page 109</w:t>
      </w:r>
    </w:p>
    <w:p>
      <w:pPr>
        <w:ind w:left="620"/>
        <w:spacing w:after="0" w:line="215" w:lineRule="auto"/>
        <w:rPr>
          <w:sz w:val="20"/>
          <w:szCs w:val="20"/>
          <w:color w:val="auto"/>
        </w:rPr>
      </w:pPr>
      <w:r>
        <w:rPr>
          <w:rFonts w:ascii="Times New Roman" w:cs="Times New Roman" w:eastAsia="Times New Roman" w:hAnsi="Times New Roman"/>
          <w:sz w:val="12"/>
          <w:szCs w:val="12"/>
          <w:color w:val="auto"/>
        </w:rPr>
        <w:t>Consolidated Statements of Changes in Equity for the years ended December 31, 2025, 2024 and 2023 – page 110</w:t>
      </w:r>
    </w:p>
    <w:p>
      <w:pPr>
        <w:ind w:left="620"/>
        <w:spacing w:after="0" w:line="216" w:lineRule="auto"/>
        <w:rPr>
          <w:sz w:val="20"/>
          <w:szCs w:val="20"/>
          <w:color w:val="auto"/>
        </w:rPr>
      </w:pPr>
      <w:r>
        <w:rPr>
          <w:rFonts w:ascii="Times New Roman" w:cs="Times New Roman" w:eastAsia="Times New Roman" w:hAnsi="Times New Roman"/>
          <w:sz w:val="12"/>
          <w:szCs w:val="12"/>
          <w:color w:val="auto"/>
        </w:rPr>
        <w:t>Notes to the Consolidated Financial Statements – pages 111-156</w:t>
      </w:r>
    </w:p>
    <w:p>
      <w:pPr>
        <w:ind w:left="620"/>
        <w:spacing w:after="0" w:line="215" w:lineRule="auto"/>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2"/>
          <w:szCs w:val="12"/>
          <w:b w:val="1"/>
          <w:bCs w:val="1"/>
          <w:color w:val="auto"/>
        </w:rPr>
        <w:t>Exhibits</w:t>
      </w:r>
    </w:p>
    <w:p>
      <w:pPr>
        <w:ind w:left="620"/>
        <w:spacing w:after="0"/>
        <w:rPr>
          <w:sz w:val="20"/>
          <w:szCs w:val="20"/>
          <w:color w:val="auto"/>
        </w:rPr>
      </w:pPr>
      <w:r>
        <w:rPr>
          <w:rFonts w:ascii="Times New Roman" w:cs="Times New Roman" w:eastAsia="Times New Roman" w:hAnsi="Times New Roman"/>
          <w:sz w:val="12"/>
          <w:szCs w:val="12"/>
          <w:b w:val="1"/>
          <w:bCs w:val="1"/>
          <w:color w:val="auto"/>
        </w:rPr>
        <w:t>Exhibit Index</w:t>
      </w:r>
    </w:p>
    <w:p>
      <w:pPr>
        <w:sectPr>
          <w:pgSz w:w="11900" w:h="16840" w:orient="portrait"/>
          <w:cols w:equalWidth="0" w:num="1">
            <w:col w:w="9020"/>
          </w:cols>
          <w:pgMar w:left="1440" w:top="559" w:right="1440" w:bottom="535" w:gutter="0" w:footer="0" w:header="0"/>
        </w:sectPr>
      </w:pPr>
    </w:p>
    <w:p>
      <w:pPr>
        <w:spacing w:after="0" w:line="8"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0"/>
          <w:szCs w:val="10"/>
          <w:b w:val="1"/>
          <w:bCs w:val="1"/>
          <w:color w:val="auto"/>
        </w:rPr>
        <w:t>Exhibit 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1" w:lineRule="exact"/>
        <w:rPr>
          <w:sz w:val="20"/>
          <w:szCs w:val="20"/>
          <w:color w:val="auto"/>
        </w:rPr>
      </w:pPr>
    </w:p>
    <w:p>
      <w:pPr>
        <w:ind w:left="640"/>
        <w:spacing w:after="0"/>
        <w:tabs>
          <w:tab w:leader="none" w:pos="1460" w:val="left"/>
        </w:tabs>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1.1</w:t>
      </w:r>
      <w:r>
        <w:rPr>
          <w:sz w:val="20"/>
          <w:szCs w:val="20"/>
          <w:color w:val="auto"/>
        </w:rPr>
        <w:tab/>
      </w:r>
      <w:hyperlink r:id="rId20">
        <w:r>
          <w:rPr>
            <w:rFonts w:ascii="Times New Roman" w:cs="Times New Roman" w:eastAsia="Times New Roman" w:hAnsi="Times New Roman"/>
            <w:sz w:val="10"/>
            <w:szCs w:val="10"/>
            <w:color w:val="auto"/>
          </w:rPr>
          <w:t>English translation of Articles of Association of Genmab A/S, as</w:t>
        </w:r>
      </w:hyperlink>
    </w:p>
    <w:p>
      <w:pPr>
        <w:ind w:left="1480"/>
        <w:spacing w:after="0"/>
        <w:rPr>
          <w:rFonts w:ascii="Times New Roman" w:cs="Times New Roman" w:eastAsia="Times New Roman" w:hAnsi="Times New Roman"/>
          <w:sz w:val="10"/>
          <w:szCs w:val="10"/>
          <w:color w:val="auto"/>
        </w:rPr>
      </w:pPr>
      <w:hyperlink r:id="rId20">
        <w:r>
          <w:rPr>
            <w:rFonts w:ascii="Times New Roman" w:cs="Times New Roman" w:eastAsia="Times New Roman" w:hAnsi="Times New Roman"/>
            <w:sz w:val="10"/>
            <w:szCs w:val="10"/>
            <w:color w:val="auto"/>
          </w:rPr>
          <w:t>currently in effect</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Method of filing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the Registrant’s Report</w:t>
      </w:r>
    </w:p>
    <w:p>
      <w:pPr>
        <w:spacing w:after="0"/>
        <w:rPr>
          <w:sz w:val="20"/>
          <w:szCs w:val="20"/>
          <w:color w:val="auto"/>
        </w:rPr>
      </w:pPr>
      <w:r>
        <w:rPr>
          <w:rFonts w:ascii="Times New Roman" w:cs="Times New Roman" w:eastAsia="Times New Roman" w:hAnsi="Times New Roman"/>
          <w:sz w:val="10"/>
          <w:szCs w:val="10"/>
          <w:color w:val="auto"/>
        </w:rPr>
        <w:t>furnished to the SEC on Form 6-K on February 3, 2025</w:t>
      </w:r>
    </w:p>
    <w:p>
      <w:pPr>
        <w:spacing w:after="0" w:line="200" w:lineRule="exact"/>
        <w:rPr>
          <w:sz w:val="20"/>
          <w:szCs w:val="20"/>
          <w:color w:val="auto"/>
        </w:rPr>
      </w:pPr>
    </w:p>
    <w:p>
      <w:pPr>
        <w:sectPr>
          <w:pgSz w:w="11900" w:h="16840" w:orient="portrait"/>
          <w:cols w:equalWidth="0" w:num="2">
            <w:col w:w="4200" w:space="180"/>
            <w:col w:w="4640"/>
          </w:cols>
          <w:pgMar w:left="1440" w:top="559" w:right="1440" w:bottom="5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117</w:t>
      </w:r>
    </w:p>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sectPr>
          <w:pgSz w:w="11900" w:h="16840" w:orient="portrait"/>
          <w:cols w:equalWidth="0" w:num="1">
            <w:col w:w="9020"/>
          </w:cols>
          <w:pgMar w:left="1440" w:top="559" w:right="1440" w:bottom="535" w:gutter="0" w:footer="0" w:header="0"/>
          <w:type w:val="continuous"/>
        </w:sectPr>
      </w:pPr>
    </w:p>
    <w:bookmarkStart w:id="75" w:name="page76"/>
    <w:bookmarkEnd w:id="75"/>
    <w:tbl>
      <w:tblPr>
        <w:tblLayout w:type="fixed"/>
        <w:tblInd w:w="640" w:type="dxa"/>
        <w:tblCellMar>
          <w:top w:w="0" w:type="dxa"/>
          <w:left w:w="0" w:type="dxa"/>
          <w:bottom w:w="0" w:type="dxa"/>
          <w:right w:w="0" w:type="dxa"/>
        </w:tblCellMar>
      </w:tblPr>
      <w:tr>
        <w:trPr>
          <w:trHeight w:val="139"/>
        </w:trPr>
        <w:tc>
          <w:tcPr>
            <w:tcW w:w="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9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52"/>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2.1</w:t>
            </w:r>
          </w:p>
        </w:tc>
        <w:tc>
          <w:tcPr>
            <w:tcW w:w="2920" w:type="dxa"/>
            <w:vAlign w:val="bottom"/>
          </w:tcPr>
          <w:p>
            <w:pPr>
              <w:ind w:left="16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Second Amended and Restated </w:t>
            </w:r>
            <w:hyperlink r:id="rId21">
              <w:r>
                <w:rPr>
                  <w:rFonts w:ascii="Times New Roman" w:cs="Times New Roman" w:eastAsia="Times New Roman" w:hAnsi="Times New Roman"/>
                  <w:sz w:val="10"/>
                  <w:szCs w:val="10"/>
                  <w:color w:val="auto"/>
                </w:rPr>
                <w:t>Deposit Agreement</w:t>
              </w:r>
            </w:hyperlink>
          </w:p>
        </w:tc>
      </w:tr>
      <w:tr>
        <w:trPr>
          <w:trHeight w:val="504"/>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2.2</w:t>
            </w:r>
          </w:p>
        </w:tc>
        <w:tc>
          <w:tcPr>
            <w:tcW w:w="2920" w:type="dxa"/>
            <w:vAlign w:val="bottom"/>
          </w:tcPr>
          <w:p>
            <w:pPr>
              <w:ind w:left="160"/>
              <w:spacing w:after="0"/>
              <w:rPr>
                <w:rFonts w:ascii="Times New Roman" w:cs="Times New Roman" w:eastAsia="Times New Roman" w:hAnsi="Times New Roman"/>
                <w:sz w:val="10"/>
                <w:szCs w:val="10"/>
                <w:color w:val="auto"/>
              </w:rPr>
            </w:pPr>
            <w:hyperlink r:id="rId21">
              <w:r>
                <w:rPr>
                  <w:rFonts w:ascii="Times New Roman" w:cs="Times New Roman" w:eastAsia="Times New Roman" w:hAnsi="Times New Roman"/>
                  <w:sz w:val="10"/>
                  <w:szCs w:val="10"/>
                  <w:color w:val="auto"/>
                </w:rPr>
                <w:t>Form of American Depositary Receipt</w:t>
              </w:r>
            </w:hyperlink>
          </w:p>
        </w:tc>
      </w:tr>
      <w:tr>
        <w:trPr>
          <w:trHeight w:val="568"/>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2.3</w:t>
            </w: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Indenture, dated as of December 3, 2025, among Genmab A/S,</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Genmab Finance LLC, the guarantors named therein and</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Wilmington Trust, National Association, as trustee</w:t>
              </w:r>
            </w:hyperlink>
          </w:p>
        </w:tc>
      </w:tr>
      <w:tr>
        <w:trPr>
          <w:trHeight w:val="301"/>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2.4</w:t>
            </w: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First Supplemental Indenture, dated as of January 28, 2026 amon</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g</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Genmab A/S, Genmab Finance LLC, the guarantors named therei</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n</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and Wilmington Trust, National Association, as trustee</w:t>
              </w:r>
            </w:hyperlink>
          </w:p>
        </w:tc>
      </w:t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2.5</w:t>
            </w: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Indenture, dated as of December 3, 2025, among Genmab A/S,</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Genmab Finance LLC, the guarantors named therein, Wilmingto</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n</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Trust, National Association, as trustee and as notes collateral</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agent</w:t>
              </w:r>
            </w:hyperlink>
          </w:p>
        </w:tc>
      </w:t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2.6</w:t>
            </w: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First Supplemental Indenture, dated as of January 28, 2026,</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among Genmab A/S, Genmab Finance LLC, the guarantors name</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d</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therein, Wilmington Trust, National Association, as trustee and a</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s</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notes collateral agent</w:t>
              </w:r>
            </w:hyperlink>
          </w:p>
        </w:tc>
      </w:t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2.7</w:t>
            </w: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Description of Securities Registered under Section 12 of the</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Exchange Act</w:t>
              </w:r>
            </w:hyperlink>
          </w:p>
        </w:tc>
      </w:tr>
      <w:tr>
        <w:trPr>
          <w:trHeight w:val="361"/>
        </w:trPr>
        <w:tc>
          <w:tcPr>
            <w:tcW w:w="3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Agreement with J&amp;J related to DARZALEX</w:t>
            </w:r>
          </w:p>
        </w:tc>
      </w:tr>
      <w:tr>
        <w:trPr>
          <w:trHeight w:val="371"/>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4.1</w:t>
            </w:r>
            <w:r>
              <w:rPr>
                <w:rFonts w:ascii="Times New Roman" w:cs="Times New Roman" w:eastAsia="Times New Roman" w:hAnsi="Times New Roman"/>
                <w:sz w:val="8"/>
                <w:szCs w:val="8"/>
                <w:color w:val="auto"/>
              </w:rPr>
              <w:t>†</w:t>
            </w:r>
          </w:p>
        </w:tc>
        <w:tc>
          <w:tcPr>
            <w:tcW w:w="2920" w:type="dxa"/>
            <w:vAlign w:val="bottom"/>
          </w:tcPr>
          <w:p>
            <w:pPr>
              <w:ind w:left="160"/>
              <w:spacing w:after="0"/>
              <w:rPr>
                <w:rFonts w:ascii="Times New Roman" w:cs="Times New Roman" w:eastAsia="Times New Roman" w:hAnsi="Times New Roman"/>
                <w:sz w:val="10"/>
                <w:szCs w:val="10"/>
                <w:color w:val="auto"/>
              </w:rPr>
            </w:pPr>
            <w:hyperlink r:id="rId22">
              <w:r>
                <w:rPr>
                  <w:rFonts w:ascii="Times New Roman" w:cs="Times New Roman" w:eastAsia="Times New Roman" w:hAnsi="Times New Roman"/>
                  <w:sz w:val="10"/>
                  <w:szCs w:val="10"/>
                  <w:color w:val="auto"/>
                </w:rPr>
                <w:t>License Agreement, dated as of August 30, 2012, by and between</w:t>
              </w:r>
            </w:hyperlink>
          </w:p>
        </w:tc>
      </w:tr>
      <w:tr>
        <w:trPr>
          <w:trHeight w:val="171"/>
        </w:trPr>
        <w:tc>
          <w:tcPr>
            <w:tcW w:w="680" w:type="dxa"/>
            <w:vAlign w:val="bottom"/>
          </w:tcPr>
          <w:p>
            <w:pPr>
              <w:spacing w:after="0"/>
              <w:rPr>
                <w:sz w:val="14"/>
                <w:szCs w:val="14"/>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r:id="rId22">
              <w:r>
                <w:rPr>
                  <w:rFonts w:ascii="Times New Roman" w:cs="Times New Roman" w:eastAsia="Times New Roman" w:hAnsi="Times New Roman"/>
                  <w:sz w:val="10"/>
                  <w:szCs w:val="10"/>
                  <w:color w:val="auto"/>
                </w:rPr>
                <w:t>Janssen Biotech, Inc. and Genmab A/S</w:t>
              </w:r>
            </w:hyperlink>
          </w:p>
        </w:tc>
      </w:tr>
      <w:tr>
        <w:trPr>
          <w:trHeight w:val="332"/>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4.2</w:t>
            </w:r>
            <w:r>
              <w:rPr>
                <w:rFonts w:ascii="Times New Roman" w:cs="Times New Roman" w:eastAsia="Times New Roman" w:hAnsi="Times New Roman"/>
                <w:sz w:val="8"/>
                <w:szCs w:val="8"/>
                <w:color w:val="auto"/>
              </w:rPr>
              <w:t>†</w:t>
            </w:r>
          </w:p>
        </w:tc>
        <w:tc>
          <w:tcPr>
            <w:tcW w:w="2920" w:type="dxa"/>
            <w:vAlign w:val="bottom"/>
          </w:tcPr>
          <w:p>
            <w:pPr>
              <w:ind w:left="160"/>
              <w:spacing w:after="0"/>
              <w:rPr>
                <w:rFonts w:ascii="Times New Roman" w:cs="Times New Roman" w:eastAsia="Times New Roman" w:hAnsi="Times New Roman"/>
                <w:sz w:val="10"/>
                <w:szCs w:val="10"/>
                <w:color w:val="auto"/>
              </w:rPr>
            </w:pPr>
            <w:hyperlink r:id="rId23">
              <w:r>
                <w:rPr>
                  <w:rFonts w:ascii="Times New Roman" w:cs="Times New Roman" w:eastAsia="Times New Roman" w:hAnsi="Times New Roman"/>
                  <w:sz w:val="10"/>
                  <w:szCs w:val="10"/>
                  <w:color w:val="auto"/>
                </w:rPr>
                <w:t>Amendment Number 1 to the License Agreement, dated as of</w:t>
              </w:r>
            </w:hyperlink>
          </w:p>
        </w:tc>
      </w:tr>
      <w:tr>
        <w:trPr>
          <w:trHeight w:val="93"/>
        </w:trPr>
        <w:tc>
          <w:tcPr>
            <w:tcW w:w="680" w:type="dxa"/>
            <w:vAlign w:val="bottom"/>
          </w:tcPr>
          <w:p>
            <w:pPr>
              <w:spacing w:after="0"/>
              <w:rPr>
                <w:sz w:val="8"/>
                <w:szCs w:val="8"/>
                <w:color w:val="auto"/>
              </w:rPr>
            </w:pPr>
          </w:p>
        </w:tc>
        <w:tc>
          <w:tcPr>
            <w:tcW w:w="2920" w:type="dxa"/>
            <w:vAlign w:val="bottom"/>
          </w:tcPr>
          <w:p>
            <w:pPr>
              <w:ind w:left="160"/>
              <w:spacing w:after="0" w:line="93" w:lineRule="exact"/>
              <w:rPr>
                <w:rFonts w:ascii="Times New Roman" w:cs="Times New Roman" w:eastAsia="Times New Roman" w:hAnsi="Times New Roman"/>
                <w:sz w:val="10"/>
                <w:szCs w:val="10"/>
                <w:color w:val="auto"/>
              </w:rPr>
            </w:pPr>
            <w:hyperlink r:id="rId23">
              <w:r>
                <w:rPr>
                  <w:rFonts w:ascii="Times New Roman" w:cs="Times New Roman" w:eastAsia="Times New Roman" w:hAnsi="Times New Roman"/>
                  <w:sz w:val="10"/>
                  <w:szCs w:val="10"/>
                  <w:color w:val="auto"/>
                </w:rPr>
                <w:t>January 31, 2013, by and between Janssen Biotech, Inc. and</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r:id="rId23">
              <w:r>
                <w:rPr>
                  <w:rFonts w:ascii="Times New Roman" w:cs="Times New Roman" w:eastAsia="Times New Roman" w:hAnsi="Times New Roman"/>
                  <w:sz w:val="10"/>
                  <w:szCs w:val="10"/>
                  <w:color w:val="auto"/>
                </w:rPr>
                <w:t>Genmab A/S</w:t>
              </w:r>
            </w:hyperlink>
          </w:p>
        </w:tc>
      </w:tr>
      <w:tr>
        <w:trPr>
          <w:trHeight w:val="360"/>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4.3</w:t>
            </w:r>
            <w:r>
              <w:rPr>
                <w:rFonts w:ascii="Times New Roman" w:cs="Times New Roman" w:eastAsia="Times New Roman" w:hAnsi="Times New Roman"/>
                <w:sz w:val="8"/>
                <w:szCs w:val="8"/>
                <w:color w:val="auto"/>
              </w:rPr>
              <w:t>†</w:t>
            </w:r>
          </w:p>
        </w:tc>
        <w:tc>
          <w:tcPr>
            <w:tcW w:w="2920" w:type="dxa"/>
            <w:vAlign w:val="bottom"/>
          </w:tcPr>
          <w:p>
            <w:pPr>
              <w:ind w:left="160"/>
              <w:spacing w:after="0"/>
              <w:rPr>
                <w:rFonts w:ascii="Times New Roman" w:cs="Times New Roman" w:eastAsia="Times New Roman" w:hAnsi="Times New Roman"/>
                <w:sz w:val="10"/>
                <w:szCs w:val="10"/>
                <w:color w:val="auto"/>
              </w:rPr>
            </w:pPr>
            <w:hyperlink r:id="rId24">
              <w:r>
                <w:rPr>
                  <w:rFonts w:ascii="Times New Roman" w:cs="Times New Roman" w:eastAsia="Times New Roman" w:hAnsi="Times New Roman"/>
                  <w:sz w:val="10"/>
                  <w:szCs w:val="10"/>
                  <w:color w:val="auto"/>
                </w:rPr>
                <w:t>Amendment Number 2 to the License Agreement, dated as of</w:t>
              </w:r>
            </w:hyperlink>
          </w:p>
        </w:tc>
      </w:tr>
      <w:tr>
        <w:trPr>
          <w:trHeight w:val="93"/>
        </w:trPr>
        <w:tc>
          <w:tcPr>
            <w:tcW w:w="680" w:type="dxa"/>
            <w:vAlign w:val="bottom"/>
          </w:tcPr>
          <w:p>
            <w:pPr>
              <w:spacing w:after="0"/>
              <w:rPr>
                <w:sz w:val="8"/>
                <w:szCs w:val="8"/>
                <w:color w:val="auto"/>
              </w:rPr>
            </w:pPr>
          </w:p>
        </w:tc>
        <w:tc>
          <w:tcPr>
            <w:tcW w:w="2920" w:type="dxa"/>
            <w:vAlign w:val="bottom"/>
          </w:tcPr>
          <w:p>
            <w:pPr>
              <w:ind w:left="160"/>
              <w:spacing w:after="0" w:line="93" w:lineRule="exact"/>
              <w:rPr>
                <w:rFonts w:ascii="Times New Roman" w:cs="Times New Roman" w:eastAsia="Times New Roman" w:hAnsi="Times New Roman"/>
                <w:sz w:val="10"/>
                <w:szCs w:val="10"/>
                <w:color w:val="auto"/>
              </w:rPr>
            </w:pPr>
            <w:hyperlink r:id="rId24">
              <w:r>
                <w:rPr>
                  <w:rFonts w:ascii="Times New Roman" w:cs="Times New Roman" w:eastAsia="Times New Roman" w:hAnsi="Times New Roman"/>
                  <w:sz w:val="10"/>
                  <w:szCs w:val="10"/>
                  <w:color w:val="auto"/>
                </w:rPr>
                <w:t>October 10, 2013, by and between Janssen Biotech, Inc. and</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r:id="rId24">
              <w:r>
                <w:rPr>
                  <w:rFonts w:ascii="Times New Roman" w:cs="Times New Roman" w:eastAsia="Times New Roman" w:hAnsi="Times New Roman"/>
                  <w:sz w:val="10"/>
                  <w:szCs w:val="10"/>
                  <w:color w:val="auto"/>
                </w:rPr>
                <w:t>Genmab A/S</w:t>
              </w:r>
            </w:hyperlink>
          </w:p>
        </w:tc>
      </w:tr>
      <w:tr>
        <w:trPr>
          <w:trHeight w:val="390"/>
        </w:trPr>
        <w:tc>
          <w:tcPr>
            <w:tcW w:w="3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Agreement with Novartis related to Kesimpta</w:t>
            </w:r>
          </w:p>
        </w:tc>
      </w:tr>
      <w:tr>
        <w:trPr>
          <w:trHeight w:val="322"/>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4.6</w:t>
            </w:r>
            <w:r>
              <w:rPr>
                <w:rFonts w:ascii="Times New Roman" w:cs="Times New Roman" w:eastAsia="Times New Roman" w:hAnsi="Times New Roman"/>
                <w:sz w:val="8"/>
                <w:szCs w:val="8"/>
                <w:color w:val="auto"/>
              </w:rPr>
              <w:t>†</w:t>
            </w:r>
          </w:p>
        </w:tc>
        <w:tc>
          <w:tcPr>
            <w:tcW w:w="2920" w:type="dxa"/>
            <w:vAlign w:val="bottom"/>
          </w:tcPr>
          <w:p>
            <w:pPr>
              <w:ind w:left="160"/>
              <w:spacing w:after="0"/>
              <w:rPr>
                <w:rFonts w:ascii="Times New Roman" w:cs="Times New Roman" w:eastAsia="Times New Roman" w:hAnsi="Times New Roman"/>
                <w:sz w:val="10"/>
                <w:szCs w:val="10"/>
                <w:color w:val="auto"/>
              </w:rPr>
            </w:pPr>
            <w:hyperlink r:id="rId25">
              <w:r>
                <w:rPr>
                  <w:rFonts w:ascii="Times New Roman" w:cs="Times New Roman" w:eastAsia="Times New Roman" w:hAnsi="Times New Roman"/>
                  <w:sz w:val="10"/>
                  <w:szCs w:val="10"/>
                  <w:color w:val="auto"/>
                </w:rPr>
                <w:t>Co-development and Collaboration Agreement, dated as of</w:t>
              </w:r>
            </w:hyperlink>
          </w:p>
        </w:tc>
      </w:tr>
      <w:tr>
        <w:trPr>
          <w:trHeight w:val="93"/>
        </w:trPr>
        <w:tc>
          <w:tcPr>
            <w:tcW w:w="680" w:type="dxa"/>
            <w:vAlign w:val="bottom"/>
          </w:tcPr>
          <w:p>
            <w:pPr>
              <w:spacing w:after="0"/>
              <w:rPr>
                <w:sz w:val="8"/>
                <w:szCs w:val="8"/>
                <w:color w:val="auto"/>
              </w:rPr>
            </w:pPr>
          </w:p>
        </w:tc>
        <w:tc>
          <w:tcPr>
            <w:tcW w:w="2920" w:type="dxa"/>
            <w:vAlign w:val="bottom"/>
          </w:tcPr>
          <w:p>
            <w:pPr>
              <w:ind w:left="160"/>
              <w:spacing w:after="0" w:line="93" w:lineRule="exact"/>
              <w:rPr>
                <w:rFonts w:ascii="Times New Roman" w:cs="Times New Roman" w:eastAsia="Times New Roman" w:hAnsi="Times New Roman"/>
                <w:sz w:val="10"/>
                <w:szCs w:val="10"/>
                <w:color w:val="auto"/>
              </w:rPr>
            </w:pPr>
            <w:hyperlink r:id="rId25">
              <w:r>
                <w:rPr>
                  <w:rFonts w:ascii="Times New Roman" w:cs="Times New Roman" w:eastAsia="Times New Roman" w:hAnsi="Times New Roman"/>
                  <w:sz w:val="10"/>
                  <w:szCs w:val="10"/>
                  <w:color w:val="auto"/>
                </w:rPr>
                <w:t>December 19, 2006, by and between Glaxo Group Limited and</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r:id="rId25">
              <w:r>
                <w:rPr>
                  <w:rFonts w:ascii="Times New Roman" w:cs="Times New Roman" w:eastAsia="Times New Roman" w:hAnsi="Times New Roman"/>
                  <w:sz w:val="10"/>
                  <w:szCs w:val="10"/>
                  <w:color w:val="auto"/>
                </w:rPr>
                <w:t>Genmab A/S</w:t>
              </w:r>
            </w:hyperlink>
          </w:p>
        </w:tc>
      </w:tr>
      <w:tr>
        <w:trPr>
          <w:trHeight w:val="360"/>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4.7</w:t>
            </w:r>
            <w:r>
              <w:rPr>
                <w:rFonts w:ascii="Times New Roman" w:cs="Times New Roman" w:eastAsia="Times New Roman" w:hAnsi="Times New Roman"/>
                <w:sz w:val="8"/>
                <w:szCs w:val="8"/>
                <w:color w:val="auto"/>
              </w:rPr>
              <w:t>†</w:t>
            </w:r>
          </w:p>
        </w:tc>
        <w:tc>
          <w:tcPr>
            <w:tcW w:w="2920" w:type="dxa"/>
            <w:vAlign w:val="bottom"/>
          </w:tcPr>
          <w:p>
            <w:pPr>
              <w:ind w:left="160"/>
              <w:spacing w:after="0"/>
              <w:rPr>
                <w:rFonts w:ascii="Times New Roman" w:cs="Times New Roman" w:eastAsia="Times New Roman" w:hAnsi="Times New Roman"/>
                <w:sz w:val="10"/>
                <w:szCs w:val="10"/>
                <w:color w:val="auto"/>
              </w:rPr>
            </w:pPr>
            <w:hyperlink r:id="rId26">
              <w:r>
                <w:rPr>
                  <w:rFonts w:ascii="Times New Roman" w:cs="Times New Roman" w:eastAsia="Times New Roman" w:hAnsi="Times New Roman"/>
                  <w:sz w:val="10"/>
                  <w:szCs w:val="10"/>
                  <w:color w:val="auto"/>
                </w:rPr>
                <w:t>Amendment Number 1 to the Co-development and Collaboration</w:t>
              </w:r>
            </w:hyperlink>
          </w:p>
        </w:tc>
      </w:tr>
      <w:tr>
        <w:trPr>
          <w:trHeight w:val="93"/>
        </w:trPr>
        <w:tc>
          <w:tcPr>
            <w:tcW w:w="680" w:type="dxa"/>
            <w:vAlign w:val="bottom"/>
          </w:tcPr>
          <w:p>
            <w:pPr>
              <w:spacing w:after="0"/>
              <w:rPr>
                <w:sz w:val="8"/>
                <w:szCs w:val="8"/>
                <w:color w:val="auto"/>
              </w:rPr>
            </w:pPr>
          </w:p>
        </w:tc>
        <w:tc>
          <w:tcPr>
            <w:tcW w:w="2920" w:type="dxa"/>
            <w:vAlign w:val="bottom"/>
          </w:tcPr>
          <w:p>
            <w:pPr>
              <w:ind w:left="160"/>
              <w:spacing w:after="0" w:line="93" w:lineRule="exact"/>
              <w:rPr>
                <w:rFonts w:ascii="Times New Roman" w:cs="Times New Roman" w:eastAsia="Times New Roman" w:hAnsi="Times New Roman"/>
                <w:sz w:val="10"/>
                <w:szCs w:val="10"/>
                <w:color w:val="auto"/>
              </w:rPr>
            </w:pPr>
            <w:hyperlink r:id="rId26">
              <w:r>
                <w:rPr>
                  <w:rFonts w:ascii="Times New Roman" w:cs="Times New Roman" w:eastAsia="Times New Roman" w:hAnsi="Times New Roman"/>
                  <w:sz w:val="10"/>
                  <w:szCs w:val="10"/>
                  <w:color w:val="auto"/>
                </w:rPr>
                <w:t>Agreement, dated as of June 30, 2008, by and between Glaxo</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r:id="rId26">
              <w:r>
                <w:rPr>
                  <w:rFonts w:ascii="Times New Roman" w:cs="Times New Roman" w:eastAsia="Times New Roman" w:hAnsi="Times New Roman"/>
                  <w:sz w:val="10"/>
                  <w:szCs w:val="10"/>
                  <w:color w:val="auto"/>
                </w:rPr>
                <w:t>Group Limited and Genmab A/S</w:t>
              </w:r>
            </w:hyperlink>
          </w:p>
        </w:tc>
      </w:tr>
      <w:tr>
        <w:trPr>
          <w:trHeight w:val="360"/>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4.8</w:t>
            </w:r>
            <w:r>
              <w:rPr>
                <w:rFonts w:ascii="Times New Roman" w:cs="Times New Roman" w:eastAsia="Times New Roman" w:hAnsi="Times New Roman"/>
                <w:sz w:val="8"/>
                <w:szCs w:val="8"/>
                <w:color w:val="auto"/>
              </w:rPr>
              <w:t>†</w:t>
            </w:r>
          </w:p>
        </w:tc>
        <w:tc>
          <w:tcPr>
            <w:tcW w:w="2920" w:type="dxa"/>
            <w:vAlign w:val="bottom"/>
          </w:tcPr>
          <w:p>
            <w:pPr>
              <w:ind w:left="160"/>
              <w:spacing w:after="0"/>
              <w:rPr>
                <w:rFonts w:ascii="Times New Roman" w:cs="Times New Roman" w:eastAsia="Times New Roman" w:hAnsi="Times New Roman"/>
                <w:sz w:val="10"/>
                <w:szCs w:val="10"/>
                <w:color w:val="auto"/>
              </w:rPr>
            </w:pPr>
            <w:hyperlink r:id="rId27">
              <w:r>
                <w:rPr>
                  <w:rFonts w:ascii="Times New Roman" w:cs="Times New Roman" w:eastAsia="Times New Roman" w:hAnsi="Times New Roman"/>
                  <w:sz w:val="10"/>
                  <w:szCs w:val="10"/>
                  <w:color w:val="auto"/>
                </w:rPr>
                <w:t>Amendment Number 2 to the Co-development and Collaboration</w:t>
              </w:r>
            </w:hyperlink>
          </w:p>
        </w:tc>
      </w:tr>
      <w:tr>
        <w:trPr>
          <w:trHeight w:val="93"/>
        </w:trPr>
        <w:tc>
          <w:tcPr>
            <w:tcW w:w="680" w:type="dxa"/>
            <w:vAlign w:val="bottom"/>
          </w:tcPr>
          <w:p>
            <w:pPr>
              <w:spacing w:after="0"/>
              <w:rPr>
                <w:sz w:val="8"/>
                <w:szCs w:val="8"/>
                <w:color w:val="auto"/>
              </w:rPr>
            </w:pPr>
          </w:p>
        </w:tc>
        <w:tc>
          <w:tcPr>
            <w:tcW w:w="2920" w:type="dxa"/>
            <w:vAlign w:val="bottom"/>
          </w:tcPr>
          <w:p>
            <w:pPr>
              <w:ind w:left="160"/>
              <w:spacing w:after="0" w:line="93" w:lineRule="exact"/>
              <w:rPr>
                <w:rFonts w:ascii="Times New Roman" w:cs="Times New Roman" w:eastAsia="Times New Roman" w:hAnsi="Times New Roman"/>
                <w:sz w:val="10"/>
                <w:szCs w:val="10"/>
                <w:color w:val="auto"/>
              </w:rPr>
            </w:pPr>
            <w:hyperlink r:id="rId27">
              <w:r>
                <w:rPr>
                  <w:rFonts w:ascii="Times New Roman" w:cs="Times New Roman" w:eastAsia="Times New Roman" w:hAnsi="Times New Roman"/>
                  <w:sz w:val="10"/>
                  <w:szCs w:val="10"/>
                  <w:color w:val="auto"/>
                </w:rPr>
                <w:t>Agreement, dated as of December 18, 2008, by and between Gla</w:t>
              </w:r>
            </w:hyperlink>
          </w:p>
        </w:tc>
      </w:tr>
      <w:tr>
        <w:trPr>
          <w:trHeight w:val="95"/>
        </w:trPr>
        <w:tc>
          <w:tcPr>
            <w:tcW w:w="680" w:type="dxa"/>
            <w:vAlign w:val="bottom"/>
          </w:tcPr>
          <w:p>
            <w:pPr>
              <w:spacing w:after="0"/>
              <w:rPr>
                <w:sz w:val="8"/>
                <w:szCs w:val="8"/>
                <w:color w:val="auto"/>
              </w:rPr>
            </w:pPr>
          </w:p>
        </w:tc>
        <w:tc>
          <w:tcPr>
            <w:tcW w:w="2920" w:type="dxa"/>
            <w:vAlign w:val="bottom"/>
          </w:tcPr>
          <w:p>
            <w:pPr>
              <w:ind w:left="160"/>
              <w:spacing w:after="0" w:line="95" w:lineRule="exact"/>
              <w:rPr>
                <w:rFonts w:ascii="Times New Roman" w:cs="Times New Roman" w:eastAsia="Times New Roman" w:hAnsi="Times New Roman"/>
                <w:sz w:val="10"/>
                <w:szCs w:val="10"/>
                <w:color w:val="auto"/>
              </w:rPr>
            </w:pPr>
            <w:hyperlink r:id="rId27">
              <w:r>
                <w:rPr>
                  <w:rFonts w:ascii="Times New Roman" w:cs="Times New Roman" w:eastAsia="Times New Roman" w:hAnsi="Times New Roman"/>
                  <w:sz w:val="10"/>
                  <w:szCs w:val="10"/>
                  <w:color w:val="auto"/>
                </w:rPr>
                <w:t>xo</w:t>
              </w:r>
            </w:hyperlink>
          </w:p>
        </w:tc>
      </w:tr>
      <w:tr>
        <w:trPr>
          <w:trHeight w:val="137"/>
        </w:trPr>
        <w:tc>
          <w:tcPr>
            <w:tcW w:w="680" w:type="dxa"/>
            <w:vAlign w:val="bottom"/>
          </w:tcPr>
          <w:p>
            <w:pPr>
              <w:spacing w:after="0"/>
              <w:rPr>
                <w:sz w:val="11"/>
                <w:szCs w:val="11"/>
                <w:color w:val="auto"/>
              </w:rPr>
            </w:pPr>
          </w:p>
        </w:tc>
        <w:tc>
          <w:tcPr>
            <w:tcW w:w="2920" w:type="dxa"/>
            <w:vAlign w:val="bottom"/>
          </w:tcPr>
          <w:p>
            <w:pPr>
              <w:ind w:left="160"/>
              <w:spacing w:after="0"/>
              <w:rPr>
                <w:rFonts w:ascii="Times New Roman" w:cs="Times New Roman" w:eastAsia="Times New Roman" w:hAnsi="Times New Roman"/>
                <w:sz w:val="10"/>
                <w:szCs w:val="10"/>
                <w:color w:val="auto"/>
              </w:rPr>
            </w:pPr>
            <w:hyperlink r:id="rId27">
              <w:r>
                <w:rPr>
                  <w:rFonts w:ascii="Times New Roman" w:cs="Times New Roman" w:eastAsia="Times New Roman" w:hAnsi="Times New Roman"/>
                  <w:sz w:val="10"/>
                  <w:szCs w:val="10"/>
                  <w:color w:val="auto"/>
                </w:rPr>
                <w:t>Group Limited and Genmab A/S</w:t>
              </w:r>
            </w:hyperlink>
          </w:p>
        </w:tc>
      </w:tr>
      <w:tr>
        <w:trPr>
          <w:trHeight w:val="274"/>
        </w:trPr>
        <w:tc>
          <w:tcPr>
            <w:tcW w:w="680" w:type="dxa"/>
            <w:vAlign w:val="bottom"/>
          </w:tcPr>
          <w:p>
            <w:pPr>
              <w:spacing w:after="0"/>
              <w:rPr>
                <w:sz w:val="20"/>
                <w:szCs w:val="20"/>
                <w:color w:val="auto"/>
              </w:rPr>
            </w:pPr>
            <w:r>
              <w:rPr>
                <w:rFonts w:ascii="Times New Roman" w:cs="Times New Roman" w:eastAsia="Times New Roman" w:hAnsi="Times New Roman"/>
                <w:sz w:val="10"/>
                <w:szCs w:val="10"/>
                <w:color w:val="auto"/>
              </w:rPr>
              <w:t>4.9</w:t>
            </w:r>
            <w:r>
              <w:rPr>
                <w:rFonts w:ascii="Times New Roman" w:cs="Times New Roman" w:eastAsia="Times New Roman" w:hAnsi="Times New Roman"/>
                <w:sz w:val="8"/>
                <w:szCs w:val="8"/>
                <w:color w:val="auto"/>
              </w:rPr>
              <w:t>†</w:t>
            </w:r>
          </w:p>
        </w:tc>
        <w:tc>
          <w:tcPr>
            <w:tcW w:w="2920" w:type="dxa"/>
            <w:vAlign w:val="bottom"/>
          </w:tcPr>
          <w:p>
            <w:pPr>
              <w:ind w:left="160"/>
              <w:spacing w:after="0"/>
              <w:rPr>
                <w:rFonts w:ascii="Times New Roman" w:cs="Times New Roman" w:eastAsia="Times New Roman" w:hAnsi="Times New Roman"/>
                <w:sz w:val="10"/>
                <w:szCs w:val="10"/>
                <w:color w:val="auto"/>
              </w:rPr>
            </w:pPr>
            <w:hyperlink r:id="rId28">
              <w:r>
                <w:rPr>
                  <w:rFonts w:ascii="Times New Roman" w:cs="Times New Roman" w:eastAsia="Times New Roman" w:hAnsi="Times New Roman"/>
                  <w:sz w:val="10"/>
                  <w:szCs w:val="10"/>
                  <w:color w:val="auto"/>
                </w:rPr>
                <w:t>Amendment Number 3 to the Co-development and Collaboration</w:t>
              </w:r>
            </w:hyperlink>
          </w:p>
        </w:tc>
      </w:tr>
    </w:tbl>
    <w:p>
      <w:pPr>
        <w:ind w:left="1480" w:right="20"/>
        <w:spacing w:after="0"/>
        <w:rPr>
          <w:rFonts w:ascii="Times New Roman" w:cs="Times New Roman" w:eastAsia="Times New Roman" w:hAnsi="Times New Roman"/>
          <w:sz w:val="10"/>
          <w:szCs w:val="10"/>
          <w:color w:val="auto"/>
        </w:rPr>
      </w:pPr>
      <w:hyperlink r:id="rId28">
        <w:r>
          <w:rPr>
            <w:rFonts w:ascii="Times New Roman" w:cs="Times New Roman" w:eastAsia="Times New Roman" w:hAnsi="Times New Roman"/>
            <w:sz w:val="10"/>
            <w:szCs w:val="10"/>
            <w:color w:val="auto"/>
          </w:rPr>
          <w:t>Agreement, dated as of July 1, 2010, by and between Glaxo Grou</w:t>
        </w:r>
      </w:hyperlink>
      <w:r>
        <w:rPr>
          <w:rFonts w:ascii="Times New Roman" w:cs="Times New Roman" w:eastAsia="Times New Roman" w:hAnsi="Times New Roman"/>
          <w:sz w:val="10"/>
          <w:szCs w:val="10"/>
          <w:color w:val="auto"/>
        </w:rPr>
        <w:t xml:space="preserve"> </w:t>
      </w:r>
      <w:hyperlink r:id="rId28">
        <w:r>
          <w:rPr>
            <w:rFonts w:ascii="Times New Roman" w:cs="Times New Roman" w:eastAsia="Times New Roman" w:hAnsi="Times New Roman"/>
            <w:sz w:val="10"/>
            <w:szCs w:val="10"/>
            <w:color w:val="auto"/>
          </w:rPr>
          <w:t>p</w:t>
        </w:r>
      </w:hyperlink>
    </w:p>
    <w:p>
      <w:pPr>
        <w:spacing w:after="0" w:line="75" w:lineRule="exact"/>
        <w:rPr>
          <w:sz w:val="20"/>
          <w:szCs w:val="20"/>
          <w:color w:val="auto"/>
        </w:rPr>
      </w:pPr>
    </w:p>
    <w:p>
      <w:pPr>
        <w:ind w:left="1480"/>
        <w:spacing w:after="0"/>
        <w:rPr>
          <w:rFonts w:ascii="Times New Roman" w:cs="Times New Roman" w:eastAsia="Times New Roman" w:hAnsi="Times New Roman"/>
          <w:sz w:val="10"/>
          <w:szCs w:val="10"/>
          <w:color w:val="auto"/>
        </w:rPr>
      </w:pPr>
      <w:hyperlink r:id="rId28">
        <w:r>
          <w:rPr>
            <w:rFonts w:ascii="Times New Roman" w:cs="Times New Roman" w:eastAsia="Times New Roman" w:hAnsi="Times New Roman"/>
            <w:sz w:val="10"/>
            <w:szCs w:val="10"/>
            <w:color w:val="auto"/>
          </w:rPr>
          <w:t>Limited and Genmab A/S</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Method of filing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(a) to the Registrant’s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Form F-6 filed with the SEC on July 3,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Included in Exhibit 2.1, which is incorporated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Exhibit (a) to the Registrant’s Form F-6 filed with the</w:t>
      </w:r>
    </w:p>
    <w:p>
      <w:pPr>
        <w:spacing w:after="0"/>
        <w:rPr>
          <w:sz w:val="20"/>
          <w:szCs w:val="20"/>
          <w:color w:val="auto"/>
        </w:rPr>
      </w:pPr>
      <w:r>
        <w:rPr>
          <w:rFonts w:ascii="Times New Roman" w:cs="Times New Roman" w:eastAsia="Times New Roman" w:hAnsi="Times New Roman"/>
          <w:sz w:val="10"/>
          <w:szCs w:val="10"/>
          <w:color w:val="auto"/>
        </w:rPr>
        <w:t>SEC on July 3,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Filed together with this Annual Report on Form 20-F for</w:t>
      </w:r>
    </w:p>
    <w:p>
      <w:pPr>
        <w:spacing w:after="0"/>
        <w:rPr>
          <w:sz w:val="20"/>
          <w:szCs w:val="20"/>
          <w:color w:val="auto"/>
        </w:rPr>
      </w:pPr>
      <w:r>
        <w:rPr>
          <w:rFonts w:ascii="Times New Roman" w:cs="Times New Roman" w:eastAsia="Times New Roman" w:hAnsi="Times New Roman"/>
          <w:sz w:val="10"/>
          <w:szCs w:val="10"/>
          <w:color w:val="auto"/>
        </w:rPr>
        <w:t>the year ended December 31,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Filed together with this Annual Report on Form 20-F for</w:t>
      </w:r>
    </w:p>
    <w:p>
      <w:pPr>
        <w:spacing w:after="0"/>
        <w:rPr>
          <w:sz w:val="20"/>
          <w:szCs w:val="20"/>
          <w:color w:val="auto"/>
        </w:rPr>
      </w:pPr>
      <w:r>
        <w:rPr>
          <w:rFonts w:ascii="Times New Roman" w:cs="Times New Roman" w:eastAsia="Times New Roman" w:hAnsi="Times New Roman"/>
          <w:sz w:val="10"/>
          <w:szCs w:val="10"/>
          <w:color w:val="auto"/>
        </w:rPr>
        <w:t>the year ended December 31,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Filed together with this Annual Report on Form 20-F for</w:t>
      </w:r>
    </w:p>
    <w:p>
      <w:pPr>
        <w:spacing w:after="0"/>
        <w:rPr>
          <w:sz w:val="20"/>
          <w:szCs w:val="20"/>
          <w:color w:val="auto"/>
        </w:rPr>
      </w:pPr>
      <w:r>
        <w:rPr>
          <w:rFonts w:ascii="Times New Roman" w:cs="Times New Roman" w:eastAsia="Times New Roman" w:hAnsi="Times New Roman"/>
          <w:sz w:val="10"/>
          <w:szCs w:val="10"/>
          <w:color w:val="auto"/>
        </w:rPr>
        <w:t>the year ended December 31,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Filed together with this Annual Report on Form 20-F for</w:t>
      </w:r>
    </w:p>
    <w:p>
      <w:pPr>
        <w:spacing w:after="0"/>
        <w:rPr>
          <w:sz w:val="20"/>
          <w:szCs w:val="20"/>
          <w:color w:val="auto"/>
        </w:rPr>
      </w:pPr>
      <w:r>
        <w:rPr>
          <w:rFonts w:ascii="Times New Roman" w:cs="Times New Roman" w:eastAsia="Times New Roman" w:hAnsi="Times New Roman"/>
          <w:sz w:val="10"/>
          <w:szCs w:val="10"/>
          <w:color w:val="auto"/>
        </w:rPr>
        <w:t>the year ended December 31, 2025</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Filed together with this Annual Report on Form 20-F for</w:t>
      </w:r>
    </w:p>
    <w:p>
      <w:pPr>
        <w:spacing w:after="0"/>
        <w:rPr>
          <w:sz w:val="20"/>
          <w:szCs w:val="20"/>
          <w:color w:val="auto"/>
        </w:rPr>
      </w:pPr>
      <w:r>
        <w:rPr>
          <w:rFonts w:ascii="Times New Roman" w:cs="Times New Roman" w:eastAsia="Times New Roman" w:hAnsi="Times New Roman"/>
          <w:sz w:val="10"/>
          <w:szCs w:val="10"/>
          <w:color w:val="auto"/>
        </w:rPr>
        <w:t>the year ended December 31, 2025</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10.1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10.2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10.3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10.5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10.6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10.7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10.8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95" w:lineRule="exact"/>
        <w:rPr>
          <w:sz w:val="20"/>
          <w:szCs w:val="20"/>
          <w:color w:val="auto"/>
        </w:rPr>
      </w:pPr>
    </w:p>
    <w:p>
      <w:pPr>
        <w:sectPr>
          <w:pgSz w:w="11900" w:h="16840" w:orient="portrait"/>
          <w:cols w:equalWidth="0" w:num="2">
            <w:col w:w="4240" w:space="140"/>
            <w:col w:w="4640"/>
          </w:cols>
          <w:pgMar w:left="1440" w:top="576" w:right="1440" w:bottom="1440" w:gutter="0" w:footer="0" w:header="0"/>
        </w:sectPr>
      </w:pP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118</w:t>
      </w:r>
    </w:p>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sectPr>
          <w:pgSz w:w="11900" w:h="16840" w:orient="portrait"/>
          <w:cols w:equalWidth="0" w:num="1">
            <w:col w:w="9020"/>
          </w:cols>
          <w:pgMar w:left="1440" w:top="576" w:right="1440" w:bottom="1440" w:gutter="0" w:footer="0" w:header="0"/>
          <w:type w:val="continuous"/>
        </w:sectPr>
      </w:pPr>
    </w:p>
    <w:bookmarkStart w:id="76" w:name="page77"/>
    <w:bookmarkEnd w:id="76"/>
    <w:p>
      <w:pPr>
        <w:ind w:left="640"/>
        <w:spacing w:after="0"/>
        <w:tabs>
          <w:tab w:leader="none" w:pos="1460" w:val="left"/>
          <w:tab w:leader="none" w:pos="4360" w:val="left"/>
        </w:tabs>
        <w:rPr>
          <w:sz w:val="20"/>
          <w:szCs w:val="20"/>
          <w:color w:val="auto"/>
        </w:rPr>
      </w:pPr>
      <w:r>
        <w:rPr>
          <w:rFonts w:ascii="Times New Roman" w:cs="Times New Roman" w:eastAsia="Times New Roman" w:hAnsi="Times New Roman"/>
          <w:sz w:val="10"/>
          <w:szCs w:val="10"/>
          <w:b w:val="1"/>
          <w:bCs w:val="1"/>
          <w:color w:val="auto"/>
        </w:rPr>
        <w:t>Exhibit No.</w:t>
      </w:r>
      <w:r>
        <w:rPr>
          <w:sz w:val="20"/>
          <w:szCs w:val="20"/>
          <w:color w:val="auto"/>
        </w:rPr>
        <w:tab/>
      </w:r>
      <w:r>
        <w:rPr>
          <w:rFonts w:ascii="Times New Roman" w:cs="Times New Roman" w:eastAsia="Times New Roman" w:hAnsi="Times New Roman"/>
          <w:sz w:val="10"/>
          <w:szCs w:val="10"/>
          <w:b w:val="1"/>
          <w:bCs w:val="1"/>
          <w:color w:val="auto"/>
        </w:rPr>
        <w:t>Description</w:t>
      </w:r>
      <w:r>
        <w:rPr>
          <w:sz w:val="20"/>
          <w:szCs w:val="20"/>
          <w:color w:val="auto"/>
        </w:rPr>
        <w:tab/>
      </w:r>
      <w:r>
        <w:rPr>
          <w:rFonts w:ascii="Times New Roman" w:cs="Times New Roman" w:eastAsia="Times New Roman" w:hAnsi="Times New Roman"/>
          <w:sz w:val="10"/>
          <w:szCs w:val="10"/>
          <w:b w:val="1"/>
          <w:bCs w:val="1"/>
          <w:color w:val="auto"/>
        </w:rPr>
        <w:t>Method of filing</w:t>
      </w:r>
    </w:p>
    <w:p>
      <w:pPr>
        <w:sectPr>
          <w:pgSz w:w="11900" w:h="16840" w:orient="portrait"/>
          <w:cols w:equalWidth="0" w:num="1">
            <w:col w:w="9020"/>
          </w:cols>
          <w:pgMar w:left="1440" w:top="576" w:right="1440" w:bottom="83" w:gutter="0" w:footer="0" w:header="0"/>
        </w:sectPr>
      </w:pP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4.10</w:t>
            </w:r>
            <w:r>
              <w:rPr>
                <w:rFonts w:ascii="Times New Roman" w:cs="Times New Roman" w:eastAsia="Times New Roman" w:hAnsi="Times New Roman"/>
                <w:sz w:val="8"/>
                <w:szCs w:val="8"/>
                <w:color w:val="auto"/>
              </w:rPr>
              <w:t>†</w:t>
            </w:r>
          </w:p>
        </w:tc>
        <w:tc>
          <w:tcPr>
            <w:tcW w:w="3040" w:type="dxa"/>
            <w:vAlign w:val="bottom"/>
          </w:tcPr>
          <w:p>
            <w:pPr>
              <w:ind w:left="320"/>
              <w:spacing w:after="0"/>
              <w:rPr>
                <w:rFonts w:ascii="Times New Roman" w:cs="Times New Roman" w:eastAsia="Times New Roman" w:hAnsi="Times New Roman"/>
                <w:sz w:val="10"/>
                <w:szCs w:val="10"/>
                <w:color w:val="auto"/>
              </w:rPr>
            </w:pPr>
            <w:hyperlink r:id="rId29">
              <w:r>
                <w:rPr>
                  <w:rFonts w:ascii="Times New Roman" w:cs="Times New Roman" w:eastAsia="Times New Roman" w:hAnsi="Times New Roman"/>
                  <w:sz w:val="10"/>
                  <w:szCs w:val="10"/>
                  <w:color w:val="auto"/>
                </w:rPr>
                <w:t>Amendment Number 4 to the Co-development and Collaboration</w:t>
              </w:r>
            </w:hyperlink>
          </w:p>
        </w:tc>
      </w:tr>
      <w:tr>
        <w:trPr>
          <w:trHeight w:val="93"/>
        </w:trPr>
        <w:tc>
          <w:tcPr>
            <w:tcW w:w="520" w:type="dxa"/>
            <w:vAlign w:val="bottom"/>
          </w:tcPr>
          <w:p>
            <w:pPr>
              <w:spacing w:after="0"/>
              <w:rPr>
                <w:sz w:val="8"/>
                <w:szCs w:val="8"/>
                <w:color w:val="auto"/>
              </w:rPr>
            </w:pPr>
          </w:p>
        </w:tc>
        <w:tc>
          <w:tcPr>
            <w:tcW w:w="3040" w:type="dxa"/>
            <w:vAlign w:val="bottom"/>
          </w:tcPr>
          <w:p>
            <w:pPr>
              <w:ind w:left="320"/>
              <w:spacing w:after="0" w:line="93" w:lineRule="exact"/>
              <w:rPr>
                <w:rFonts w:ascii="Times New Roman" w:cs="Times New Roman" w:eastAsia="Times New Roman" w:hAnsi="Times New Roman"/>
                <w:sz w:val="10"/>
                <w:szCs w:val="10"/>
                <w:color w:val="auto"/>
              </w:rPr>
            </w:pPr>
            <w:hyperlink r:id="rId29">
              <w:r>
                <w:rPr>
                  <w:rFonts w:ascii="Times New Roman" w:cs="Times New Roman" w:eastAsia="Times New Roman" w:hAnsi="Times New Roman"/>
                  <w:sz w:val="10"/>
                  <w:szCs w:val="10"/>
                  <w:color w:val="auto"/>
                </w:rPr>
                <w:t>Agreement, dated as of December 20, 2010, by and between Gla</w:t>
              </w:r>
            </w:hyperlink>
          </w:p>
        </w:tc>
      </w:tr>
      <w:tr>
        <w:trPr>
          <w:trHeight w:val="95"/>
        </w:trPr>
        <w:tc>
          <w:tcPr>
            <w:tcW w:w="520" w:type="dxa"/>
            <w:vAlign w:val="bottom"/>
          </w:tcPr>
          <w:p>
            <w:pPr>
              <w:spacing w:after="0"/>
              <w:rPr>
                <w:sz w:val="8"/>
                <w:szCs w:val="8"/>
                <w:color w:val="auto"/>
              </w:rPr>
            </w:pPr>
          </w:p>
        </w:tc>
        <w:tc>
          <w:tcPr>
            <w:tcW w:w="3040" w:type="dxa"/>
            <w:vAlign w:val="bottom"/>
          </w:tcPr>
          <w:p>
            <w:pPr>
              <w:ind w:left="320"/>
              <w:spacing w:after="0" w:line="95" w:lineRule="exact"/>
              <w:rPr>
                <w:rFonts w:ascii="Times New Roman" w:cs="Times New Roman" w:eastAsia="Times New Roman" w:hAnsi="Times New Roman"/>
                <w:sz w:val="10"/>
                <w:szCs w:val="10"/>
                <w:color w:val="auto"/>
              </w:rPr>
            </w:pPr>
            <w:hyperlink r:id="rId29">
              <w:r>
                <w:rPr>
                  <w:rFonts w:ascii="Times New Roman" w:cs="Times New Roman" w:eastAsia="Times New Roman" w:hAnsi="Times New Roman"/>
                  <w:sz w:val="10"/>
                  <w:szCs w:val="10"/>
                  <w:color w:val="auto"/>
                </w:rPr>
                <w:t>xo</w:t>
              </w:r>
            </w:hyperlink>
          </w:p>
        </w:tc>
      </w:tr>
      <w:tr>
        <w:trPr>
          <w:trHeight w:val="137"/>
        </w:trPr>
        <w:tc>
          <w:tcPr>
            <w:tcW w:w="520" w:type="dxa"/>
            <w:vAlign w:val="bottom"/>
          </w:tcPr>
          <w:p>
            <w:pPr>
              <w:spacing w:after="0"/>
              <w:rPr>
                <w:sz w:val="11"/>
                <w:szCs w:val="11"/>
                <w:color w:val="auto"/>
              </w:rPr>
            </w:pPr>
          </w:p>
        </w:tc>
        <w:tc>
          <w:tcPr>
            <w:tcW w:w="3040" w:type="dxa"/>
            <w:vAlign w:val="bottom"/>
          </w:tcPr>
          <w:p>
            <w:pPr>
              <w:ind w:left="320"/>
              <w:spacing w:after="0"/>
              <w:rPr>
                <w:rFonts w:ascii="Times New Roman" w:cs="Times New Roman" w:eastAsia="Times New Roman" w:hAnsi="Times New Roman"/>
                <w:sz w:val="10"/>
                <w:szCs w:val="10"/>
                <w:color w:val="auto"/>
              </w:rPr>
            </w:pPr>
            <w:hyperlink r:id="rId29">
              <w:r>
                <w:rPr>
                  <w:rFonts w:ascii="Times New Roman" w:cs="Times New Roman" w:eastAsia="Times New Roman" w:hAnsi="Times New Roman"/>
                  <w:sz w:val="10"/>
                  <w:szCs w:val="10"/>
                  <w:color w:val="auto"/>
                </w:rPr>
                <w:t>Group Limited and Genmab A/S</w:t>
              </w:r>
            </w:hyperlink>
          </w:p>
        </w:tc>
      </w:tr>
      <w:tr>
        <w:trPr>
          <w:trHeight w:val="274"/>
        </w:trPr>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4.11</w:t>
            </w:r>
            <w:r>
              <w:rPr>
                <w:rFonts w:ascii="Times New Roman" w:cs="Times New Roman" w:eastAsia="Times New Roman" w:hAnsi="Times New Roman"/>
                <w:sz w:val="8"/>
                <w:szCs w:val="8"/>
                <w:color w:val="auto"/>
              </w:rPr>
              <w:t>†</w:t>
            </w:r>
          </w:p>
        </w:tc>
        <w:tc>
          <w:tcPr>
            <w:tcW w:w="3040" w:type="dxa"/>
            <w:vAlign w:val="bottom"/>
          </w:tcPr>
          <w:p>
            <w:pPr>
              <w:ind w:left="320"/>
              <w:spacing w:after="0"/>
              <w:rPr>
                <w:rFonts w:ascii="Times New Roman" w:cs="Times New Roman" w:eastAsia="Times New Roman" w:hAnsi="Times New Roman"/>
                <w:sz w:val="10"/>
                <w:szCs w:val="10"/>
                <w:color w:val="auto"/>
              </w:rPr>
            </w:pPr>
            <w:hyperlink r:id="rId30">
              <w:r>
                <w:rPr>
                  <w:rFonts w:ascii="Times New Roman" w:cs="Times New Roman" w:eastAsia="Times New Roman" w:hAnsi="Times New Roman"/>
                  <w:sz w:val="10"/>
                  <w:szCs w:val="10"/>
                  <w:color w:val="auto"/>
                </w:rPr>
                <w:t>Novation Agreement, dated as of November 3, 2014, by and</w:t>
              </w:r>
            </w:hyperlink>
          </w:p>
        </w:tc>
      </w:tr>
      <w:tr>
        <w:trPr>
          <w:trHeight w:val="93"/>
        </w:trPr>
        <w:tc>
          <w:tcPr>
            <w:tcW w:w="520" w:type="dxa"/>
            <w:vAlign w:val="bottom"/>
          </w:tcPr>
          <w:p>
            <w:pPr>
              <w:spacing w:after="0"/>
              <w:rPr>
                <w:sz w:val="8"/>
                <w:szCs w:val="8"/>
                <w:color w:val="auto"/>
              </w:rPr>
            </w:pPr>
          </w:p>
        </w:tc>
        <w:tc>
          <w:tcPr>
            <w:tcW w:w="3040" w:type="dxa"/>
            <w:vAlign w:val="bottom"/>
          </w:tcPr>
          <w:p>
            <w:pPr>
              <w:ind w:left="320"/>
              <w:spacing w:after="0" w:line="93" w:lineRule="exact"/>
              <w:rPr>
                <w:rFonts w:ascii="Times New Roman" w:cs="Times New Roman" w:eastAsia="Times New Roman" w:hAnsi="Times New Roman"/>
                <w:sz w:val="10"/>
                <w:szCs w:val="10"/>
                <w:color w:val="auto"/>
              </w:rPr>
            </w:pPr>
            <w:hyperlink r:id="rId30">
              <w:r>
                <w:rPr>
                  <w:rFonts w:ascii="Times New Roman" w:cs="Times New Roman" w:eastAsia="Times New Roman" w:hAnsi="Times New Roman"/>
                  <w:sz w:val="10"/>
                  <w:szCs w:val="10"/>
                  <w:color w:val="auto"/>
                </w:rPr>
                <w:t>among Glaxo Group Limited, Novartis Pharma AG and Genmab</w:t>
              </w:r>
            </w:hyperlink>
          </w:p>
        </w:tc>
      </w:tr>
      <w:tr>
        <w:trPr>
          <w:trHeight w:val="137"/>
        </w:trPr>
        <w:tc>
          <w:tcPr>
            <w:tcW w:w="520" w:type="dxa"/>
            <w:vAlign w:val="bottom"/>
          </w:tcPr>
          <w:p>
            <w:pPr>
              <w:spacing w:after="0"/>
              <w:rPr>
                <w:sz w:val="11"/>
                <w:szCs w:val="11"/>
                <w:color w:val="auto"/>
              </w:rPr>
            </w:pPr>
          </w:p>
        </w:tc>
        <w:tc>
          <w:tcPr>
            <w:tcW w:w="3040" w:type="dxa"/>
            <w:vAlign w:val="bottom"/>
          </w:tcPr>
          <w:p>
            <w:pPr>
              <w:ind w:left="320"/>
              <w:spacing w:after="0"/>
              <w:rPr>
                <w:rFonts w:ascii="Times New Roman" w:cs="Times New Roman" w:eastAsia="Times New Roman" w:hAnsi="Times New Roman"/>
                <w:sz w:val="10"/>
                <w:szCs w:val="10"/>
                <w:color w:val="auto"/>
              </w:rPr>
            </w:pPr>
            <w:hyperlink r:id="rId30">
              <w:r>
                <w:rPr>
                  <w:rFonts w:ascii="Times New Roman" w:cs="Times New Roman" w:eastAsia="Times New Roman" w:hAnsi="Times New Roman"/>
                  <w:sz w:val="10"/>
                  <w:szCs w:val="10"/>
                  <w:color w:val="auto"/>
                </w:rPr>
                <w:t>A/S</w:t>
              </w:r>
            </w:hyperlink>
          </w:p>
        </w:tc>
      </w:tr>
      <w:tr>
        <w:trPr>
          <w:trHeight w:val="360"/>
        </w:trPr>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4.12</w:t>
            </w:r>
            <w:r>
              <w:rPr>
                <w:rFonts w:ascii="Times New Roman" w:cs="Times New Roman" w:eastAsia="Times New Roman" w:hAnsi="Times New Roman"/>
                <w:sz w:val="8"/>
                <w:szCs w:val="8"/>
                <w:color w:val="auto"/>
              </w:rPr>
              <w:t>†</w:t>
            </w:r>
          </w:p>
        </w:tc>
        <w:tc>
          <w:tcPr>
            <w:tcW w:w="3040" w:type="dxa"/>
            <w:vAlign w:val="bottom"/>
          </w:tcPr>
          <w:p>
            <w:pPr>
              <w:ind w:left="320"/>
              <w:spacing w:after="0"/>
              <w:rPr>
                <w:rFonts w:ascii="Times New Roman" w:cs="Times New Roman" w:eastAsia="Times New Roman" w:hAnsi="Times New Roman"/>
                <w:sz w:val="10"/>
                <w:szCs w:val="10"/>
                <w:color w:val="auto"/>
              </w:rPr>
            </w:pPr>
            <w:hyperlink r:id="rId31">
              <w:r>
                <w:rPr>
                  <w:rFonts w:ascii="Times New Roman" w:cs="Times New Roman" w:eastAsia="Times New Roman" w:hAnsi="Times New Roman"/>
                  <w:sz w:val="10"/>
                  <w:szCs w:val="10"/>
                  <w:color w:val="auto"/>
                </w:rPr>
                <w:t>Amendment Number 5 to the Co-development and Collaboration</w:t>
              </w:r>
            </w:hyperlink>
          </w:p>
        </w:tc>
      </w:tr>
    </w:tbl>
    <w:p>
      <w:pPr>
        <w:ind w:left="1480"/>
        <w:spacing w:after="0"/>
        <w:rPr>
          <w:rFonts w:ascii="Times New Roman" w:cs="Times New Roman" w:eastAsia="Times New Roman" w:hAnsi="Times New Roman"/>
          <w:sz w:val="10"/>
          <w:szCs w:val="10"/>
          <w:color w:val="auto"/>
        </w:rPr>
      </w:pPr>
      <w:hyperlink r:id="rId31">
        <w:r>
          <w:rPr>
            <w:rFonts w:ascii="Times New Roman" w:cs="Times New Roman" w:eastAsia="Times New Roman" w:hAnsi="Times New Roman"/>
            <w:sz w:val="10"/>
            <w:szCs w:val="10"/>
            <w:color w:val="auto"/>
          </w:rPr>
          <w:t>Agreement, dated as of January 22, 2018, by and between Novart</w:t>
        </w:r>
      </w:hyperlink>
      <w:r>
        <w:rPr>
          <w:rFonts w:ascii="Times New Roman" w:cs="Times New Roman" w:eastAsia="Times New Roman" w:hAnsi="Times New Roman"/>
          <w:sz w:val="10"/>
          <w:szCs w:val="10"/>
          <w:color w:val="auto"/>
        </w:rPr>
        <w:t xml:space="preserve"> </w:t>
      </w:r>
      <w:hyperlink r:id="rId31">
        <w:r>
          <w:rPr>
            <w:rFonts w:ascii="Times New Roman" w:cs="Times New Roman" w:eastAsia="Times New Roman" w:hAnsi="Times New Roman"/>
            <w:sz w:val="10"/>
            <w:szCs w:val="10"/>
            <w:color w:val="auto"/>
          </w:rPr>
          <w:t>is</w:t>
        </w:r>
      </w:hyperlink>
    </w:p>
    <w:p>
      <w:pPr>
        <w:spacing w:after="0" w:line="75" w:lineRule="exact"/>
        <w:rPr>
          <w:sz w:val="20"/>
          <w:szCs w:val="20"/>
          <w:color w:val="auto"/>
        </w:rPr>
      </w:pPr>
    </w:p>
    <w:p>
      <w:pPr>
        <w:ind w:left="1480"/>
        <w:spacing w:after="0"/>
        <w:rPr>
          <w:rFonts w:ascii="Times New Roman" w:cs="Times New Roman" w:eastAsia="Times New Roman" w:hAnsi="Times New Roman"/>
          <w:sz w:val="10"/>
          <w:szCs w:val="10"/>
          <w:color w:val="auto"/>
        </w:rPr>
      </w:pPr>
      <w:hyperlink r:id="rId31">
        <w:r>
          <w:rPr>
            <w:rFonts w:ascii="Times New Roman" w:cs="Times New Roman" w:eastAsia="Times New Roman" w:hAnsi="Times New Roman"/>
            <w:sz w:val="10"/>
            <w:szCs w:val="10"/>
            <w:color w:val="auto"/>
          </w:rPr>
          <w:t>Pharma AG and Genmab A/S</w:t>
        </w:r>
      </w:hyperlink>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Agreement with Medarex related to Medarex Technology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10.9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10.10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Incorporated by reference to Exhibit 10.11 to the</w:t>
      </w:r>
    </w:p>
    <w:p>
      <w:pPr>
        <w:spacing w:after="0" w:line="198" w:lineRule="auto"/>
        <w:rPr>
          <w:sz w:val="20"/>
          <w:szCs w:val="20"/>
          <w:color w:val="auto"/>
        </w:rPr>
      </w:pPr>
      <w:r>
        <w:rPr>
          <w:rFonts w:ascii="Times New Roman" w:cs="Times New Roman" w:eastAsia="Times New Roman" w:hAnsi="Times New Roman"/>
          <w:sz w:val="10"/>
          <w:szCs w:val="10"/>
          <w:color w:val="auto"/>
        </w:rPr>
        <w:t>Registrant’s registration statement on Form F-1/A filed</w:t>
      </w:r>
    </w:p>
    <w:p>
      <w:pPr>
        <w:spacing w:after="0"/>
        <w:rPr>
          <w:sz w:val="20"/>
          <w:szCs w:val="20"/>
          <w:color w:val="auto"/>
        </w:rPr>
      </w:pPr>
      <w:r>
        <w:rPr>
          <w:rFonts w:ascii="Times New Roman" w:cs="Times New Roman" w:eastAsia="Times New Roman" w:hAnsi="Times New Roman"/>
          <w:sz w:val="10"/>
          <w:szCs w:val="10"/>
          <w:color w:val="auto"/>
        </w:rPr>
        <w:t>with the SEC on July 16, 2019</w:t>
      </w:r>
    </w:p>
    <w:p>
      <w:pPr>
        <w:spacing w:after="0" w:line="595" w:lineRule="exact"/>
        <w:rPr>
          <w:sz w:val="20"/>
          <w:szCs w:val="20"/>
          <w:color w:val="auto"/>
        </w:rPr>
      </w:pPr>
    </w:p>
    <w:p>
      <w:pPr>
        <w:sectPr>
          <w:pgSz w:w="11900" w:h="16840" w:orient="portrait"/>
          <w:cols w:equalWidth="0" w:num="2">
            <w:col w:w="4220" w:space="160"/>
            <w:col w:w="4640"/>
          </w:cols>
          <w:pgMar w:left="1440" w:top="576" w:right="1440" w:bottom="83" w:gutter="0" w:footer="0" w:header="0"/>
          <w:type w:val="continuous"/>
        </w:sectPr>
      </w:pPr>
    </w:p>
    <w:p>
      <w:pPr>
        <w:spacing w:after="0" w:line="31"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4.13</w:t>
            </w:r>
            <w:r>
              <w:rPr>
                <w:rFonts w:ascii="Times New Roman" w:cs="Times New Roman" w:eastAsia="Times New Roman" w:hAnsi="Times New Roman"/>
                <w:sz w:val="8"/>
                <w:szCs w:val="8"/>
                <w:color w:val="auto"/>
              </w:rPr>
              <w:t>†</w:t>
            </w:r>
          </w:p>
        </w:tc>
        <w:tc>
          <w:tcPr>
            <w:tcW w:w="3140" w:type="dxa"/>
            <w:vAlign w:val="bottom"/>
          </w:tcPr>
          <w:p>
            <w:pPr>
              <w:ind w:left="320"/>
              <w:spacing w:after="0"/>
              <w:rPr>
                <w:rFonts w:ascii="Times New Roman" w:cs="Times New Roman" w:eastAsia="Times New Roman" w:hAnsi="Times New Roman"/>
                <w:sz w:val="10"/>
                <w:szCs w:val="10"/>
                <w:color w:val="auto"/>
              </w:rPr>
            </w:pPr>
            <w:hyperlink r:id="rId32">
              <w:r>
                <w:rPr>
                  <w:rFonts w:ascii="Times New Roman" w:cs="Times New Roman" w:eastAsia="Times New Roman" w:hAnsi="Times New Roman"/>
                  <w:sz w:val="10"/>
                  <w:szCs w:val="10"/>
                  <w:color w:val="auto"/>
                </w:rPr>
                <w:t>Amended and Restated Evaluation and Commercialization</w:t>
              </w:r>
            </w:hyperlink>
          </w:p>
        </w:tc>
        <w:tc>
          <w:tcPr>
            <w:tcW w:w="2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10.12 to the</w:t>
            </w:r>
          </w:p>
        </w:tc>
      </w:tr>
      <w:tr>
        <w:trPr>
          <w:trHeight w:val="93"/>
        </w:trPr>
        <w:tc>
          <w:tcPr>
            <w:tcW w:w="520" w:type="dxa"/>
            <w:vAlign w:val="bottom"/>
          </w:tcPr>
          <w:p>
            <w:pPr>
              <w:spacing w:after="0"/>
              <w:rPr>
                <w:sz w:val="8"/>
                <w:szCs w:val="8"/>
                <w:color w:val="auto"/>
              </w:rPr>
            </w:pPr>
          </w:p>
        </w:tc>
        <w:tc>
          <w:tcPr>
            <w:tcW w:w="3140" w:type="dxa"/>
            <w:vAlign w:val="bottom"/>
          </w:tcPr>
          <w:p>
            <w:pPr>
              <w:ind w:left="320"/>
              <w:spacing w:after="0" w:line="93" w:lineRule="exact"/>
              <w:rPr>
                <w:rFonts w:ascii="Times New Roman" w:cs="Times New Roman" w:eastAsia="Times New Roman" w:hAnsi="Times New Roman"/>
                <w:sz w:val="10"/>
                <w:szCs w:val="10"/>
                <w:color w:val="auto"/>
              </w:rPr>
            </w:pPr>
            <w:hyperlink r:id="rId32">
              <w:r>
                <w:rPr>
                  <w:rFonts w:ascii="Times New Roman" w:cs="Times New Roman" w:eastAsia="Times New Roman" w:hAnsi="Times New Roman"/>
                  <w:sz w:val="10"/>
                  <w:szCs w:val="10"/>
                  <w:color w:val="auto"/>
                </w:rPr>
                <w:t>Agreement, dated as of July 12, 2012, by and among Bristol Mye</w:t>
              </w:r>
            </w:hyperlink>
          </w:p>
        </w:tc>
        <w:tc>
          <w:tcPr>
            <w:tcW w:w="2400" w:type="dxa"/>
            <w:vAlign w:val="bottom"/>
          </w:tcPr>
          <w:p>
            <w:pPr>
              <w:ind w:left="80"/>
              <w:spacing w:after="0" w:line="93" w:lineRule="exact"/>
              <w:rPr>
                <w:sz w:val="20"/>
                <w:szCs w:val="20"/>
                <w:color w:val="auto"/>
              </w:rPr>
            </w:pPr>
            <w:r>
              <w:rPr>
                <w:rFonts w:ascii="Times New Roman" w:cs="Times New Roman" w:eastAsia="Times New Roman" w:hAnsi="Times New Roman"/>
                <w:sz w:val="10"/>
                <w:szCs w:val="10"/>
                <w:color w:val="auto"/>
              </w:rPr>
              <w:t>Registrant’s registration statement on Form F-1/A filed</w:t>
            </w:r>
          </w:p>
        </w:tc>
      </w:tr>
      <w:tr>
        <w:trPr>
          <w:trHeight w:val="95"/>
        </w:trPr>
        <w:tc>
          <w:tcPr>
            <w:tcW w:w="520" w:type="dxa"/>
            <w:vAlign w:val="bottom"/>
          </w:tcPr>
          <w:p>
            <w:pPr>
              <w:spacing w:after="0"/>
              <w:rPr>
                <w:sz w:val="8"/>
                <w:szCs w:val="8"/>
                <w:color w:val="auto"/>
              </w:rPr>
            </w:pPr>
          </w:p>
        </w:tc>
        <w:tc>
          <w:tcPr>
            <w:tcW w:w="3140" w:type="dxa"/>
            <w:vAlign w:val="bottom"/>
          </w:tcPr>
          <w:p>
            <w:pPr>
              <w:ind w:left="320"/>
              <w:spacing w:after="0" w:line="95" w:lineRule="exact"/>
              <w:rPr>
                <w:rFonts w:ascii="Times New Roman" w:cs="Times New Roman" w:eastAsia="Times New Roman" w:hAnsi="Times New Roman"/>
                <w:sz w:val="10"/>
                <w:szCs w:val="10"/>
                <w:color w:val="auto"/>
              </w:rPr>
            </w:pPr>
            <w:hyperlink r:id="rId32">
              <w:r>
                <w:rPr>
                  <w:rFonts w:ascii="Times New Roman" w:cs="Times New Roman" w:eastAsia="Times New Roman" w:hAnsi="Times New Roman"/>
                  <w:sz w:val="10"/>
                  <w:szCs w:val="10"/>
                  <w:color w:val="auto"/>
                </w:rPr>
                <w:t>r</w:t>
              </w:r>
            </w:hyperlink>
          </w:p>
        </w:tc>
        <w:tc>
          <w:tcPr>
            <w:tcW w:w="240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with the SEC on July 16, 2019</w:t>
            </w:r>
          </w:p>
        </w:tc>
      </w:tr>
      <w:tr>
        <w:trPr>
          <w:trHeight w:val="137"/>
        </w:trPr>
        <w:tc>
          <w:tcPr>
            <w:tcW w:w="520" w:type="dxa"/>
            <w:vAlign w:val="bottom"/>
          </w:tcPr>
          <w:p>
            <w:pPr>
              <w:spacing w:after="0"/>
              <w:rPr>
                <w:sz w:val="11"/>
                <w:szCs w:val="11"/>
                <w:color w:val="auto"/>
              </w:rPr>
            </w:pPr>
          </w:p>
        </w:tc>
        <w:tc>
          <w:tcPr>
            <w:tcW w:w="3140" w:type="dxa"/>
            <w:vAlign w:val="bottom"/>
          </w:tcPr>
          <w:p>
            <w:pPr>
              <w:ind w:left="320"/>
              <w:spacing w:after="0"/>
              <w:rPr>
                <w:rFonts w:ascii="Times New Roman" w:cs="Times New Roman" w:eastAsia="Times New Roman" w:hAnsi="Times New Roman"/>
                <w:sz w:val="10"/>
                <w:szCs w:val="10"/>
                <w:color w:val="auto"/>
              </w:rPr>
            </w:pPr>
            <w:hyperlink r:id="rId32">
              <w:r>
                <w:rPr>
                  <w:rFonts w:ascii="Times New Roman" w:cs="Times New Roman" w:eastAsia="Times New Roman" w:hAnsi="Times New Roman"/>
                  <w:sz w:val="10"/>
                  <w:szCs w:val="10"/>
                  <w:color w:val="auto"/>
                </w:rPr>
                <w:t>Squibb Corporation, Medarex, Inc., GenPharm International, Inc.</w:t>
              </w:r>
            </w:hyperlink>
          </w:p>
        </w:tc>
        <w:tc>
          <w:tcPr>
            <w:tcW w:w="2400" w:type="dxa"/>
            <w:vAlign w:val="bottom"/>
          </w:tcPr>
          <w:p>
            <w:pPr>
              <w:spacing w:after="0"/>
              <w:rPr>
                <w:sz w:val="11"/>
                <w:szCs w:val="11"/>
                <w:color w:val="auto"/>
              </w:rPr>
            </w:pPr>
          </w:p>
        </w:tc>
      </w:tr>
      <w:tr>
        <w:trPr>
          <w:trHeight w:val="180"/>
        </w:trPr>
        <w:tc>
          <w:tcPr>
            <w:tcW w:w="520" w:type="dxa"/>
            <w:vAlign w:val="bottom"/>
          </w:tcPr>
          <w:p>
            <w:pPr>
              <w:spacing w:after="0"/>
              <w:rPr>
                <w:sz w:val="15"/>
                <w:szCs w:val="15"/>
                <w:color w:val="auto"/>
              </w:rPr>
            </w:pPr>
          </w:p>
        </w:tc>
        <w:tc>
          <w:tcPr>
            <w:tcW w:w="3140" w:type="dxa"/>
            <w:vAlign w:val="bottom"/>
          </w:tcPr>
          <w:p>
            <w:pPr>
              <w:ind w:left="320"/>
              <w:spacing w:after="0"/>
              <w:rPr>
                <w:rFonts w:ascii="Times New Roman" w:cs="Times New Roman" w:eastAsia="Times New Roman" w:hAnsi="Times New Roman"/>
                <w:sz w:val="10"/>
                <w:szCs w:val="10"/>
                <w:color w:val="auto"/>
              </w:rPr>
            </w:pPr>
            <w:hyperlink r:id="rId32">
              <w:r>
                <w:rPr>
                  <w:rFonts w:ascii="Times New Roman" w:cs="Times New Roman" w:eastAsia="Times New Roman" w:hAnsi="Times New Roman"/>
                  <w:sz w:val="10"/>
                  <w:szCs w:val="10"/>
                  <w:color w:val="auto"/>
                </w:rPr>
                <w:t>and Genmab A/S</w:t>
              </w:r>
            </w:hyperlink>
          </w:p>
        </w:tc>
        <w:tc>
          <w:tcPr>
            <w:tcW w:w="2400" w:type="dxa"/>
            <w:vAlign w:val="bottom"/>
          </w:tcPr>
          <w:p>
            <w:pPr>
              <w:spacing w:after="0"/>
              <w:rPr>
                <w:sz w:val="15"/>
                <w:szCs w:val="15"/>
                <w:color w:val="auto"/>
              </w:rPr>
            </w:pPr>
          </w:p>
        </w:tc>
      </w:tr>
    </w:tbl>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Agreement with AbbVie related to EPKINLY</w:t>
      </w:r>
    </w:p>
    <w:p>
      <w:pPr>
        <w:spacing w:after="0" w:line="3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119</w:t>
      </w:r>
    </w:p>
    <w:p>
      <w:pPr>
        <w:ind w:left="620"/>
        <w:spacing w:after="0"/>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spacing w:after="0" w:line="8" w:lineRule="exact"/>
        <w:rPr>
          <w:sz w:val="20"/>
          <w:szCs w:val="20"/>
          <w:color w:val="auto"/>
        </w:rPr>
      </w:pPr>
    </w:p>
    <w:tbl>
      <w:tblPr>
        <w:tblLayout w:type="fixed"/>
        <w:tblInd w:w="640" w:type="dxa"/>
        <w:tblCellMar>
          <w:top w:w="0" w:type="dxa"/>
          <w:left w:w="0" w:type="dxa"/>
          <w:bottom w:w="0" w:type="dxa"/>
          <w:right w:w="0" w:type="dxa"/>
        </w:tblCellMar>
      </w:tblPr>
      <w:tr>
        <w:trPr>
          <w:trHeight w:val="139"/>
        </w:trPr>
        <w:tc>
          <w:tcPr>
            <w:tcW w:w="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Method of filing</w:t>
            </w:r>
          </w:p>
        </w:tc>
      </w:tr>
      <w:tr>
        <w:trPr>
          <w:trHeight w:val="310"/>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13.1</w:t>
            </w:r>
          </w:p>
        </w:tc>
        <w:tc>
          <w:tcPr>
            <w:tcW w:w="2960" w:type="dxa"/>
            <w:vAlign w:val="bottom"/>
          </w:tcPr>
          <w:p>
            <w:pPr>
              <w:ind w:left="140"/>
              <w:spacing w:after="0"/>
              <w:rPr>
                <w:rFonts w:ascii="Times New Roman" w:cs="Times New Roman" w:eastAsia="Times New Roman" w:hAnsi="Times New Roman"/>
                <w:sz w:val="10"/>
                <w:szCs w:val="10"/>
                <w:color w:val="auto"/>
              </w:rPr>
            </w:pPr>
            <w:hyperlink r:id="rId33">
              <w:r>
                <w:rPr>
                  <w:rFonts w:ascii="Times New Roman" w:cs="Times New Roman" w:eastAsia="Times New Roman" w:hAnsi="Times New Roman"/>
                  <w:sz w:val="10"/>
                  <w:szCs w:val="10"/>
                  <w:color w:val="auto"/>
                </w:rPr>
                <w:t>Certification of the Principal Executive Officer pursuant to 18</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Furnished together with this Annual Report on Form 20-F</w:t>
            </w:r>
          </w:p>
        </w:tc>
      </w:tr>
      <w:tr>
        <w:trPr>
          <w:trHeight w:val="137"/>
        </w:trPr>
        <w:tc>
          <w:tcPr>
            <w:tcW w:w="700" w:type="dxa"/>
            <w:vAlign w:val="bottom"/>
          </w:tcPr>
          <w:p>
            <w:pPr>
              <w:spacing w:after="0"/>
              <w:rPr>
                <w:sz w:val="11"/>
                <w:szCs w:val="11"/>
                <w:color w:val="auto"/>
              </w:rPr>
            </w:pPr>
          </w:p>
        </w:tc>
        <w:tc>
          <w:tcPr>
            <w:tcW w:w="2960" w:type="dxa"/>
            <w:vAlign w:val="bottom"/>
          </w:tcPr>
          <w:p>
            <w:pPr>
              <w:ind w:left="140"/>
              <w:spacing w:after="0"/>
              <w:rPr>
                <w:rFonts w:ascii="Times New Roman" w:cs="Times New Roman" w:eastAsia="Times New Roman" w:hAnsi="Times New Roman"/>
                <w:sz w:val="10"/>
                <w:szCs w:val="10"/>
                <w:color w:val="auto"/>
              </w:rPr>
            </w:pPr>
            <w:hyperlink r:id="rId33">
              <w:r>
                <w:rPr>
                  <w:rFonts w:ascii="Times New Roman" w:cs="Times New Roman" w:eastAsia="Times New Roman" w:hAnsi="Times New Roman"/>
                  <w:sz w:val="10"/>
                  <w:szCs w:val="10"/>
                  <w:color w:val="auto"/>
                </w:rPr>
                <w:t>U.S.C. section 1350</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the year ended December 31, 2025</w:t>
            </w:r>
          </w:p>
        </w:tc>
      </w:tr>
      <w:tr>
        <w:trPr>
          <w:trHeight w:val="329"/>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13.2</w:t>
            </w:r>
          </w:p>
        </w:tc>
        <w:tc>
          <w:tcPr>
            <w:tcW w:w="2960" w:type="dxa"/>
            <w:vAlign w:val="bottom"/>
          </w:tcPr>
          <w:p>
            <w:pPr>
              <w:ind w:left="14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Certification of the Principal Financial Officer pursuant to 18</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Furnished together with this Annual Report on Form 20-F</w:t>
            </w:r>
          </w:p>
        </w:tc>
      </w:tr>
      <w:tr>
        <w:trPr>
          <w:trHeight w:val="137"/>
        </w:trPr>
        <w:tc>
          <w:tcPr>
            <w:tcW w:w="700" w:type="dxa"/>
            <w:vAlign w:val="bottom"/>
          </w:tcPr>
          <w:p>
            <w:pPr>
              <w:spacing w:after="0"/>
              <w:rPr>
                <w:sz w:val="11"/>
                <w:szCs w:val="11"/>
                <w:color w:val="auto"/>
              </w:rPr>
            </w:pPr>
          </w:p>
        </w:tc>
        <w:tc>
          <w:tcPr>
            <w:tcW w:w="2960" w:type="dxa"/>
            <w:vAlign w:val="bottom"/>
          </w:tcPr>
          <w:p>
            <w:pPr>
              <w:ind w:left="14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U.S.C. section 1350</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the year ended December 31, 2025</w:t>
            </w:r>
          </w:p>
        </w:tc>
      </w:tr>
      <w:tr>
        <w:trPr>
          <w:trHeight w:val="329"/>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15.1</w:t>
            </w:r>
          </w:p>
        </w:tc>
        <w:tc>
          <w:tcPr>
            <w:tcW w:w="2960" w:type="dxa"/>
            <w:vAlign w:val="bottom"/>
          </w:tcPr>
          <w:p>
            <w:pPr>
              <w:ind w:left="14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Consent of Independent Registered Public Accounting Firm</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Filed together with this Annual Report on Form 20-F for</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the year ended December 31, 2025</w:t>
            </w:r>
          </w:p>
        </w:tc>
      </w:tr>
      <w:tr>
        <w:trPr>
          <w:trHeight w:val="320"/>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15.2</w:t>
            </w:r>
          </w:p>
        </w:tc>
        <w:tc>
          <w:tcPr>
            <w:tcW w:w="2960" w:type="dxa"/>
            <w:vAlign w:val="bottom"/>
          </w:tcPr>
          <w:p>
            <w:pPr>
              <w:ind w:left="14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Consent of Independent Registered Public Accounting Firm</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Filed together with this Annual Report on Form 20-F for</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the year ended December 31, 2025</w:t>
            </w:r>
          </w:p>
        </w:tc>
      </w:tr>
      <w:tr>
        <w:trPr>
          <w:trHeight w:val="320"/>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15.3</w:t>
            </w:r>
          </w:p>
        </w:tc>
        <w:tc>
          <w:tcPr>
            <w:tcW w:w="2960" w:type="dxa"/>
            <w:vAlign w:val="bottom"/>
          </w:tcPr>
          <w:p>
            <w:pPr>
              <w:ind w:left="14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Genmab A/S statutory Annual Report 2025*</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Filed together with this Annual Report on Form 20-F for t</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he</w:t>
            </w:r>
          </w:p>
        </w:tc>
      </w:tr>
      <w:tr>
        <w:trPr>
          <w:trHeight w:val="136"/>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year ended December 31, 2025</w:t>
            </w:r>
          </w:p>
        </w:tc>
      </w:tr>
      <w:tr>
        <w:trPr>
          <w:trHeight w:val="254"/>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97</w:t>
            </w:r>
          </w:p>
        </w:tc>
        <w:tc>
          <w:tcPr>
            <w:tcW w:w="2960" w:type="dxa"/>
            <w:vAlign w:val="bottom"/>
          </w:tcPr>
          <w:p>
            <w:pPr>
              <w:ind w:left="140"/>
              <w:spacing w:after="0"/>
              <w:rPr>
                <w:rFonts w:ascii="Times New Roman" w:cs="Times New Roman" w:eastAsia="Times New Roman" w:hAnsi="Times New Roman"/>
                <w:sz w:val="10"/>
                <w:szCs w:val="10"/>
                <w:color w:val="auto"/>
              </w:rPr>
            </w:pPr>
            <w:hyperlink r:id="rId34">
              <w:r>
                <w:rPr>
                  <w:rFonts w:ascii="Times New Roman" w:cs="Times New Roman" w:eastAsia="Times New Roman" w:hAnsi="Times New Roman"/>
                  <w:sz w:val="10"/>
                  <w:szCs w:val="10"/>
                  <w:color w:val="auto"/>
                </w:rPr>
                <w:t>Genmab A/S Dodd-Frank Clawback Policy</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97 to the Annual</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Report on Form 20-F for the year ended December 31,</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2023, filed with the SEC on February 14, 2024</w:t>
            </w:r>
          </w:p>
        </w:tc>
      </w:tr>
      <w:tr>
        <w:trPr>
          <w:trHeight w:val="320"/>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EX-101.INS</w:t>
            </w:r>
          </w:p>
        </w:tc>
        <w:tc>
          <w:tcPr>
            <w:tcW w:w="2960" w:type="dxa"/>
            <w:vAlign w:val="bottom"/>
          </w:tcPr>
          <w:p>
            <w:pPr>
              <w:ind w:left="140"/>
              <w:spacing w:after="0"/>
              <w:rPr>
                <w:rFonts w:ascii="Times New Roman" w:cs="Times New Roman" w:eastAsia="Times New Roman" w:hAnsi="Times New Roman"/>
                <w:sz w:val="10"/>
                <w:szCs w:val="10"/>
                <w:color w:val="auto"/>
              </w:rPr>
            </w:pPr>
            <w:hyperlink r:id="rId35">
              <w:r>
                <w:rPr>
                  <w:rFonts w:ascii="Times New Roman" w:cs="Times New Roman" w:eastAsia="Times New Roman" w:hAnsi="Times New Roman"/>
                  <w:sz w:val="10"/>
                  <w:szCs w:val="10"/>
                  <w:color w:val="auto"/>
                </w:rPr>
                <w:t>Inline XBRL Instance Document</w:t>
              </w:r>
            </w:hyperlink>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101.INS to the</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Registrant’s report filed together with this Annual Report</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on</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Form 20-F for the year ended December 31, 2025</w:t>
            </w:r>
          </w:p>
        </w:tc>
      </w:tr>
      <w:tr>
        <w:trPr>
          <w:trHeight w:val="281"/>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EX-101.SCH</w:t>
            </w:r>
          </w:p>
        </w:tc>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Inline XBRL Taxonomy Extension Schema Document</w:t>
            </w: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101.SCH to the</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Registrant’s report filed together with this Annual Report</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on</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Form 20-F for the year ended December 31, 2025</w:t>
            </w:r>
          </w:p>
        </w:tc>
      </w:tr>
      <w:tr>
        <w:trPr>
          <w:trHeight w:val="281"/>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EX-101.CAL</w:t>
            </w:r>
          </w:p>
        </w:tc>
        <w:tc>
          <w:tcPr>
            <w:tcW w:w="2960" w:type="dxa"/>
            <w:vAlign w:val="bottom"/>
          </w:tcPr>
          <w:p>
            <w:pPr>
              <w:ind w:left="140"/>
              <w:spacing w:after="0"/>
              <w:rPr>
                <w:rFonts w:ascii="Times New Roman" w:cs="Times New Roman" w:eastAsia="Times New Roman" w:hAnsi="Times New Roman"/>
                <w:sz w:val="10"/>
                <w:szCs w:val="10"/>
                <w:color w:val="auto"/>
              </w:rPr>
            </w:pPr>
            <w:hyperlink w:anchor="page1">
              <w:r>
                <w:rPr>
                  <w:rFonts w:ascii="Times New Roman" w:cs="Times New Roman" w:eastAsia="Times New Roman" w:hAnsi="Times New Roman"/>
                  <w:sz w:val="10"/>
                  <w:szCs w:val="10"/>
                  <w:color w:val="auto"/>
                </w:rPr>
                <w:t xml:space="preserve">Inline XBRL Taxonomy Extension Calculation </w:t>
              </w:r>
            </w:hyperlink>
            <w:r>
              <w:rPr>
                <w:rFonts w:ascii="Times New Roman" w:cs="Times New Roman" w:eastAsia="Times New Roman" w:hAnsi="Times New Roman"/>
                <w:sz w:val="10"/>
                <w:szCs w:val="10"/>
                <w:color w:val="auto"/>
              </w:rPr>
              <w:t>Linkbase</w:t>
            </w: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101.CAL to the</w:t>
            </w:r>
          </w:p>
        </w:tc>
      </w:tr>
      <w:tr>
        <w:trPr>
          <w:trHeight w:val="95"/>
        </w:trPr>
        <w:tc>
          <w:tcPr>
            <w:tcW w:w="700" w:type="dxa"/>
            <w:vAlign w:val="bottom"/>
          </w:tcPr>
          <w:p>
            <w:pPr>
              <w:spacing w:after="0"/>
              <w:rPr>
                <w:sz w:val="8"/>
                <w:szCs w:val="8"/>
                <w:color w:val="auto"/>
              </w:rPr>
            </w:pPr>
          </w:p>
        </w:tc>
        <w:tc>
          <w:tcPr>
            <w:tcW w:w="2960" w:type="dxa"/>
            <w:vAlign w:val="bottom"/>
          </w:tcPr>
          <w:p>
            <w:pPr>
              <w:ind w:left="140"/>
              <w:spacing w:after="0" w:line="95" w:lineRule="exact"/>
              <w:rPr>
                <w:sz w:val="20"/>
                <w:szCs w:val="20"/>
                <w:color w:val="auto"/>
              </w:rPr>
            </w:pPr>
            <w:r>
              <w:rPr>
                <w:rFonts w:ascii="Times New Roman" w:cs="Times New Roman" w:eastAsia="Times New Roman" w:hAnsi="Times New Roman"/>
                <w:sz w:val="10"/>
                <w:szCs w:val="10"/>
                <w:color w:val="auto"/>
              </w:rPr>
              <w:t>Document</w:t>
            </w: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Registrant’s report filed together with this Annual Report</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on</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Form 20-F for the year ended December 31, 2025</w:t>
            </w:r>
          </w:p>
        </w:tc>
      </w:tr>
      <w:tr>
        <w:trPr>
          <w:trHeight w:val="281"/>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EX-101.DEF</w:t>
            </w:r>
          </w:p>
        </w:tc>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Inline XBRL Taxonomy Extension Definition Linkbase Docume</w:t>
            </w: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101.DEF to the</w:t>
            </w:r>
          </w:p>
        </w:tc>
      </w:tr>
      <w:tr>
        <w:trPr>
          <w:trHeight w:val="95"/>
        </w:trPr>
        <w:tc>
          <w:tcPr>
            <w:tcW w:w="700" w:type="dxa"/>
            <w:vAlign w:val="bottom"/>
          </w:tcPr>
          <w:p>
            <w:pPr>
              <w:spacing w:after="0"/>
              <w:rPr>
                <w:sz w:val="8"/>
                <w:szCs w:val="8"/>
                <w:color w:val="auto"/>
              </w:rPr>
            </w:pPr>
          </w:p>
        </w:tc>
        <w:tc>
          <w:tcPr>
            <w:tcW w:w="2960" w:type="dxa"/>
            <w:vAlign w:val="bottom"/>
          </w:tcPr>
          <w:p>
            <w:pPr>
              <w:ind w:left="140"/>
              <w:spacing w:after="0" w:line="95" w:lineRule="exact"/>
              <w:rPr>
                <w:sz w:val="20"/>
                <w:szCs w:val="20"/>
                <w:color w:val="auto"/>
              </w:rPr>
            </w:pPr>
            <w:r>
              <w:rPr>
                <w:rFonts w:ascii="Times New Roman" w:cs="Times New Roman" w:eastAsia="Times New Roman" w:hAnsi="Times New Roman"/>
                <w:sz w:val="10"/>
                <w:szCs w:val="10"/>
                <w:color w:val="auto"/>
              </w:rPr>
              <w:t>nt</w:t>
            </w: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Registrant’s report filed together with this Annual Report</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on</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Form 20-F for the year ended December 31, 2025</w:t>
            </w:r>
          </w:p>
        </w:tc>
      </w:tr>
      <w:tr>
        <w:trPr>
          <w:trHeight w:val="281"/>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EX-101.LAB</w:t>
            </w:r>
          </w:p>
        </w:tc>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Inline XBRL Taxonomy Extension Labels Linkbase Document</w:t>
            </w: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101.LAB to the</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Registrant’s report filed together with this Annual Report</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on</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Form 20-F for the year ended December 31, 2025</w:t>
            </w:r>
          </w:p>
        </w:tc>
      </w:tr>
      <w:tr>
        <w:trPr>
          <w:trHeight w:val="281"/>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EX-101.PRE</w:t>
            </w:r>
          </w:p>
        </w:tc>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Inline XBRL Taxonomy Extension Presentation Linkbase</w:t>
            </w: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Incorporated by reference to Exhibit 101.PRE to the</w:t>
            </w:r>
          </w:p>
        </w:tc>
      </w:tr>
      <w:tr>
        <w:trPr>
          <w:trHeight w:val="95"/>
        </w:trPr>
        <w:tc>
          <w:tcPr>
            <w:tcW w:w="700" w:type="dxa"/>
            <w:vAlign w:val="bottom"/>
          </w:tcPr>
          <w:p>
            <w:pPr>
              <w:spacing w:after="0"/>
              <w:rPr>
                <w:sz w:val="8"/>
                <w:szCs w:val="8"/>
                <w:color w:val="auto"/>
              </w:rPr>
            </w:pPr>
          </w:p>
        </w:tc>
        <w:tc>
          <w:tcPr>
            <w:tcW w:w="2960" w:type="dxa"/>
            <w:vAlign w:val="bottom"/>
          </w:tcPr>
          <w:p>
            <w:pPr>
              <w:ind w:left="140"/>
              <w:spacing w:after="0" w:line="95" w:lineRule="exact"/>
              <w:rPr>
                <w:sz w:val="20"/>
                <w:szCs w:val="20"/>
                <w:color w:val="auto"/>
              </w:rPr>
            </w:pPr>
            <w:r>
              <w:rPr>
                <w:rFonts w:ascii="Times New Roman" w:cs="Times New Roman" w:eastAsia="Times New Roman" w:hAnsi="Times New Roman"/>
                <w:sz w:val="10"/>
                <w:szCs w:val="10"/>
                <w:color w:val="auto"/>
              </w:rPr>
              <w:t>Document</w:t>
            </w: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Registrant’s report filed together with this Annual Report</w:t>
            </w:r>
          </w:p>
        </w:tc>
      </w:tr>
      <w:tr>
        <w:trPr>
          <w:trHeight w:val="95"/>
        </w:trPr>
        <w:tc>
          <w:tcPr>
            <w:tcW w:w="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520" w:type="dxa"/>
            <w:vAlign w:val="bottom"/>
          </w:tcPr>
          <w:p>
            <w:pPr>
              <w:ind w:left="80"/>
              <w:spacing w:after="0" w:line="95" w:lineRule="exact"/>
              <w:rPr>
                <w:sz w:val="20"/>
                <w:szCs w:val="20"/>
                <w:color w:val="auto"/>
              </w:rPr>
            </w:pPr>
            <w:r>
              <w:rPr>
                <w:rFonts w:ascii="Times New Roman" w:cs="Times New Roman" w:eastAsia="Times New Roman" w:hAnsi="Times New Roman"/>
                <w:sz w:val="10"/>
                <w:szCs w:val="10"/>
                <w:color w:val="auto"/>
              </w:rPr>
              <w:t>on</w:t>
            </w:r>
          </w:p>
        </w:tc>
      </w:tr>
      <w:tr>
        <w:trPr>
          <w:trHeight w:val="137"/>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Form 20-F for the year ended December 31,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-8255</wp:posOffset>
            </wp:positionV>
            <wp:extent cx="98488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984885" cy="18415"/>
                    </a:xfrm>
                    <a:prstGeom prst="rect">
                      <a:avLst/>
                    </a:prstGeom>
                    <a:noFill/>
                  </pic:spPr>
                </pic:pic>
              </a:graphicData>
            </a:graphic>
          </wp:anchor>
        </w:drawing>
      </w:r>
    </w:p>
    <w:p>
      <w:pPr>
        <w:ind w:left="620" w:right="2400" w:firstLine="4"/>
        <w:spacing w:after="0" w:line="223" w:lineRule="auto"/>
        <w:tabs>
          <w:tab w:leader="none" w:pos="849"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marked by brackets, have been omitted pursuant to Instruction 4(a) to Exhibits to Form 20-F because they are both (i) not material and (ii) include information of the type that we treat as private or confidential.</w:t>
      </w:r>
    </w:p>
    <w:p>
      <w:pPr>
        <w:ind w:left="620" w:right="2280"/>
        <w:spacing w:after="0" w:line="21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Certain of the information included within Exhibit 15.3, which is provided pursuant to Rule 12b-23(a) of the Securities Exchange Act of 1934, as amended, is incorporated by reference in this Form 20-F, as specified elsewhere in this Form 20-F. With the exception of the items and pages so specified, the Annual Report 2025 is not deemed to be filed as part</w:t>
      </w:r>
    </w:p>
    <w:p>
      <w:pPr>
        <w:ind w:left="6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120</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SIGNATURES</w:t>
      </w:r>
    </w:p>
    <w:p>
      <w:pPr>
        <w:ind w:left="620" w:right="2560"/>
        <w:spacing w:after="0" w:line="234" w:lineRule="auto"/>
        <w:rPr>
          <w:sz w:val="20"/>
          <w:szCs w:val="20"/>
          <w:color w:val="auto"/>
        </w:rPr>
      </w:pPr>
      <w:r>
        <w:rPr>
          <w:rFonts w:ascii="Times New Roman" w:cs="Times New Roman" w:eastAsia="Times New Roman" w:hAnsi="Times New Roman"/>
          <w:sz w:val="12"/>
          <w:szCs w:val="12"/>
          <w:color w:val="auto"/>
        </w:rPr>
        <w:t>The Registrant hereby certifies that it meets all of the requirements for filing on Form 20-F and that it has duly caused and authorized the undersigned to sign this Annual Report on its behalf.</w:t>
      </w:r>
    </w:p>
    <w:p>
      <w:pPr>
        <w:spacing w:after="0" w:line="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2"/>
          <w:szCs w:val="12"/>
          <w:color w:val="auto"/>
        </w:rPr>
        <w:t>Genmab A/S</w:t>
      </w: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2"/>
          <w:szCs w:val="12"/>
          <w:color w:val="auto"/>
        </w:rPr>
        <w:t>/s/ Jan G. van de Winkel</w:t>
      </w:r>
    </w:p>
    <w:p>
      <w:pPr>
        <w:spacing w:after="0" w:line="4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2"/>
          <w:szCs w:val="12"/>
          <w:color w:val="auto"/>
        </w:rPr>
        <w:t>Name: Jan G. van de Winkel</w:t>
      </w:r>
    </w:p>
    <w:p>
      <w:pPr>
        <w:spacing w:after="0" w:line="43" w:lineRule="exact"/>
        <w:rPr>
          <w:sz w:val="20"/>
          <w:szCs w:val="20"/>
          <w:color w:val="auto"/>
        </w:rPr>
      </w:pPr>
    </w:p>
    <w:p>
      <w:pPr>
        <w:ind w:left="3660"/>
        <w:spacing w:after="0"/>
        <w:tabs>
          <w:tab w:leader="none" w:pos="4040" w:val="left"/>
        </w:tabs>
        <w:rPr>
          <w:sz w:val="20"/>
          <w:szCs w:val="20"/>
          <w:color w:val="auto"/>
        </w:rPr>
      </w:pPr>
      <w:r>
        <w:rPr>
          <w:rFonts w:ascii="Times New Roman" w:cs="Times New Roman" w:eastAsia="Times New Roman" w:hAnsi="Times New Roman"/>
          <w:sz w:val="12"/>
          <w:szCs w:val="12"/>
          <w:color w:val="auto"/>
        </w:rPr>
        <w:t>Title:</w:t>
        <w:tab/>
        <w:t>President and Chief Executive Officer</w:t>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Dated: February 17, 2026</w:t>
      </w:r>
    </w:p>
    <w:p>
      <w:pPr>
        <w:sectPr>
          <w:pgSz w:w="11900" w:h="16840" w:orient="portrait"/>
          <w:cols w:equalWidth="0" w:num="1">
            <w:col w:w="9020"/>
          </w:cols>
          <w:pgMar w:left="1440" w:top="576" w:right="1440" w:bottom="83"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121</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line="215" w:lineRule="auto"/>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ind w:left="620"/>
        <w:spacing w:after="0" w:line="215" w:lineRule="auto"/>
        <w:rPr>
          <w:sz w:val="20"/>
          <w:szCs w:val="20"/>
          <w:color w:val="auto"/>
        </w:rPr>
      </w:pPr>
      <w:r>
        <w:rPr>
          <w:rFonts w:ascii="Times New Roman" w:cs="Times New Roman" w:eastAsia="Times New Roman" w:hAnsi="Times New Roman"/>
          <w:sz w:val="12"/>
          <w:szCs w:val="12"/>
          <w:color w:val="auto"/>
        </w:rPr>
        <w:t>To the Shareholders and Board of Directors of Genmab A/S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ind w:left="620" w:right="2380"/>
        <w:spacing w:after="0"/>
        <w:rPr>
          <w:sz w:val="20"/>
          <w:szCs w:val="20"/>
          <w:color w:val="auto"/>
        </w:rPr>
      </w:pPr>
      <w:r>
        <w:rPr>
          <w:rFonts w:ascii="Times New Roman" w:cs="Times New Roman" w:eastAsia="Times New Roman" w:hAnsi="Times New Roman"/>
          <w:sz w:val="12"/>
          <w:szCs w:val="12"/>
          <w:color w:val="auto"/>
        </w:rPr>
        <w:t xml:space="preserve">We have audited the accompanying Consolidated Balance Sheets of Genmab A/S and its subsidiaries (the “Company”) as of December 31, 2025 and 2024, the related Consolidated Statements of Comprehensive Income, Consolidated Statements of Cash Flows and the Consolidated Statements of Changes in Equity, for each of the two years in the period ended December 31, 2025, and the related notes (collectively referred to as the “financial statements”). We also have audited the Company’s internal control over financial reporting as of December 31, 2025, based on criteria established in </w:t>
      </w:r>
      <w:r>
        <w:rPr>
          <w:rFonts w:ascii="Times New Roman" w:cs="Times New Roman" w:eastAsia="Times New Roman" w:hAnsi="Times New Roman"/>
          <w:sz w:val="12"/>
          <w:szCs w:val="12"/>
          <w:i w:val="1"/>
          <w:iCs w:val="1"/>
          <w:color w:val="auto"/>
        </w:rPr>
        <w:t xml:space="preserve">Internal Control — Integrated Framework (2013) </w:t>
      </w:r>
      <w:r>
        <w:rPr>
          <w:rFonts w:ascii="Times New Roman" w:cs="Times New Roman" w:eastAsia="Times New Roman" w:hAnsi="Times New Roman"/>
          <w:sz w:val="12"/>
          <w:szCs w:val="12"/>
          <w:color w:val="auto"/>
        </w:rPr>
        <w:t>issued by the Committee of Sponsoring Organizations of the Treadway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Commission (COSO).</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In our opinion, the financial statements referred to above present fairly, in all material respects, the financial position</w:t>
      </w:r>
    </w:p>
    <w:p>
      <w:pPr>
        <w:ind w:left="620" w:right="2280"/>
        <w:spacing w:after="0" w:line="215" w:lineRule="auto"/>
        <w:rPr>
          <w:sz w:val="20"/>
          <w:szCs w:val="20"/>
          <w:color w:val="auto"/>
        </w:rPr>
      </w:pPr>
      <w:r>
        <w:rPr>
          <w:rFonts w:ascii="Times New Roman" w:cs="Times New Roman" w:eastAsia="Times New Roman" w:hAnsi="Times New Roman"/>
          <w:sz w:val="12"/>
          <w:szCs w:val="12"/>
          <w:color w:val="auto"/>
        </w:rPr>
        <w:t xml:space="preserve">of the Company as of December 31, 2025 and 2024, and the results of its operations and its cash flows for each of the two years in the period ended December 31, 2025, in conformity with IFRS Accounting Standards as issued by the International Accounting Standards Board (IASB).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2"/>
          <w:szCs w:val="12"/>
          <w:i w:val="1"/>
          <w:iCs w:val="1"/>
          <w:color w:val="auto"/>
        </w:rPr>
        <w:t>Internal Control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 Integrated Framework (2013) </w:t>
      </w:r>
      <w:r>
        <w:rPr>
          <w:rFonts w:ascii="Times New Roman" w:cs="Times New Roman" w:eastAsia="Times New Roman" w:hAnsi="Times New Roman"/>
          <w:sz w:val="12"/>
          <w:szCs w:val="12"/>
          <w:color w:val="auto"/>
        </w:rPr>
        <w:t>issued by COSO.</w:t>
      </w:r>
    </w:p>
    <w:p>
      <w:pPr>
        <w:ind w:left="620"/>
        <w:spacing w:after="0" w:line="216" w:lineRule="auto"/>
        <w:rPr>
          <w:sz w:val="20"/>
          <w:szCs w:val="20"/>
          <w:color w:val="auto"/>
        </w:rPr>
      </w:pPr>
      <w:r>
        <w:rPr>
          <w:rFonts w:ascii="Times New Roman" w:cs="Times New Roman" w:eastAsia="Times New Roman" w:hAnsi="Times New Roman"/>
          <w:sz w:val="12"/>
          <w:szCs w:val="12"/>
          <w:color w:val="auto"/>
        </w:rPr>
        <w:t>As described in the Report of Genmab Management on Internal Control over Financial Reporting, management</w:t>
      </w: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excluded from its assessment the internal control over financial reporting at Merus N.V. (“Merus”), which was acquired on December 12, 2025, and whose financial statements constitute 59.6% of total assets and less than 0.1% of revenues of the consolidated financial statement amounts as of and for the year ended December 31, 2025. Accordingly, our audit did not include the internal control over financial reporting at Merus.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ind w:left="620"/>
        <w:spacing w:after="0" w:line="216" w:lineRule="auto"/>
        <w:rPr>
          <w:sz w:val="20"/>
          <w:szCs w:val="20"/>
          <w:color w:val="auto"/>
        </w:rPr>
      </w:pPr>
      <w:r>
        <w:rPr>
          <w:rFonts w:ascii="Times New Roman" w:cs="Times New Roman" w:eastAsia="Times New Roman" w:hAnsi="Times New Roman"/>
          <w:sz w:val="12"/>
          <w:szCs w:val="12"/>
          <w:color w:val="auto"/>
        </w:rPr>
        <w:t>The Company’s management is responsible for these financial statements, for maintaining effective internal control</w:t>
      </w:r>
    </w:p>
    <w:p>
      <w:pPr>
        <w:ind w:left="620" w:right="2320"/>
        <w:spacing w:after="0"/>
        <w:rPr>
          <w:sz w:val="20"/>
          <w:szCs w:val="20"/>
          <w:color w:val="auto"/>
        </w:rPr>
      </w:pPr>
      <w:r>
        <w:rPr>
          <w:rFonts w:ascii="Times New Roman" w:cs="Times New Roman" w:eastAsia="Times New Roman" w:hAnsi="Times New Roman"/>
          <w:sz w:val="12"/>
          <w:szCs w:val="12"/>
          <w:color w:val="auto"/>
        </w:rPr>
        <w:t xml:space="preserve">over financial reporting, and for its assessment of the effectiveness of internal control over financial reporting, included in the accompanying </w:t>
      </w:r>
      <w:r>
        <w:rPr>
          <w:rFonts w:ascii="Times New Roman" w:cs="Times New Roman" w:eastAsia="Times New Roman" w:hAnsi="Times New Roman"/>
          <w:sz w:val="12"/>
          <w:szCs w:val="12"/>
          <w:i w:val="1"/>
          <w:iCs w:val="1"/>
          <w:color w:val="auto"/>
        </w:rPr>
        <w:t>Report of Genmab Management on Internal Control over Financial Reporting</w:t>
      </w:r>
      <w:r>
        <w:rPr>
          <w:rFonts w:ascii="Times New Roman" w:cs="Times New Roman" w:eastAsia="Times New Roman" w:hAnsi="Times New Roman"/>
          <w:sz w:val="12"/>
          <w:szCs w:val="12"/>
          <w:color w:val="auto"/>
        </w:rPr>
        <w:t>.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8" w:lineRule="exact"/>
        <w:rPr>
          <w:sz w:val="20"/>
          <w:szCs w:val="20"/>
          <w:color w:val="auto"/>
        </w:rPr>
      </w:pPr>
    </w:p>
    <w:p>
      <w:pPr>
        <w:ind w:left="620" w:right="2320"/>
        <w:spacing w:after="0"/>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81" w:lineRule="exact"/>
        <w:rPr>
          <w:sz w:val="20"/>
          <w:szCs w:val="20"/>
          <w:color w:val="auto"/>
        </w:rPr>
      </w:pPr>
    </w:p>
    <w:p>
      <w:pPr>
        <w:ind w:left="620" w:right="2300"/>
        <w:spacing w:after="0" w:line="215" w:lineRule="auto"/>
        <w:rPr>
          <w:sz w:val="20"/>
          <w:szCs w:val="20"/>
          <w:color w:val="auto"/>
        </w:rPr>
      </w:pPr>
      <w:r>
        <w:rPr>
          <w:rFonts w:ascii="Times New Roman" w:cs="Times New Roman" w:eastAsia="Times New Roman" w:hAnsi="Times New Roman"/>
          <w:sz w:val="12"/>
          <w:szCs w:val="12"/>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ectPr>
          <w:pgSz w:w="11900" w:h="16840" w:orient="portrait"/>
          <w:cols w:equalWidth="0" w:num="1">
            <w:col w:w="9020"/>
          </w:cols>
          <w:pgMar w:left="1440" w:top="1440" w:right="1440"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122</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300"/>
        <w:spacing w:after="0" w:line="233"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ind w:left="620"/>
        <w:spacing w:after="0" w:line="216" w:lineRule="auto"/>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 w:lineRule="exact"/>
        <w:rPr>
          <w:sz w:val="20"/>
          <w:szCs w:val="20"/>
          <w:color w:val="auto"/>
        </w:rPr>
      </w:pPr>
    </w:p>
    <w:p>
      <w:pPr>
        <w:ind w:left="620" w:right="248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Valuation of Acquired IPR&amp;D Asset in the Merus N.V. Acquisition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Refer to Notes 3.1 and 5.5 to the financial statements</w:t>
      </w:r>
    </w:p>
    <w:p>
      <w:pPr>
        <w:ind w:left="620"/>
        <w:spacing w:after="0" w:line="215" w:lineRule="auto"/>
        <w:rPr>
          <w:sz w:val="20"/>
          <w:szCs w:val="20"/>
          <w:color w:val="auto"/>
        </w:rPr>
      </w:pPr>
      <w:r>
        <w:rPr>
          <w:rFonts w:ascii="Times New Roman" w:cs="Times New Roman" w:eastAsia="Times New Roman" w:hAnsi="Times New Roman"/>
          <w:sz w:val="12"/>
          <w:szCs w:val="12"/>
          <w:i w:val="1"/>
          <w:iCs w:val="1"/>
          <w:color w:val="auto"/>
        </w:rPr>
        <w:t>Critical Audit Matter Description</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Company acquired Merus N.V. (“Merus”) for USD 8.017 billion on December 12, 2025. The Company accounted</w:t>
      </w:r>
    </w:p>
    <w:p>
      <w:pPr>
        <w:ind w:left="620"/>
        <w:spacing w:after="0" w:line="215" w:lineRule="auto"/>
        <w:rPr>
          <w:sz w:val="20"/>
          <w:szCs w:val="20"/>
          <w:color w:val="auto"/>
        </w:rPr>
      </w:pPr>
      <w:r>
        <w:rPr>
          <w:rFonts w:ascii="Times New Roman" w:cs="Times New Roman" w:eastAsia="Times New Roman" w:hAnsi="Times New Roman"/>
          <w:sz w:val="12"/>
          <w:szCs w:val="12"/>
          <w:color w:val="auto"/>
        </w:rPr>
        <w:t xml:space="preserve">for the acquisition as an asset acquisition based on an asset concentration test in accordance with IFRS 3 </w:t>
      </w:r>
      <w:r>
        <w:rPr>
          <w:rFonts w:ascii="Times New Roman" w:cs="Times New Roman" w:eastAsia="Times New Roman" w:hAnsi="Times New Roman"/>
          <w:sz w:val="12"/>
          <w:szCs w:val="12"/>
          <w:i w:val="1"/>
          <w:iCs w:val="1"/>
          <w:color w:val="auto"/>
        </w:rPr>
        <w:t>Business</w:t>
      </w:r>
    </w:p>
    <w:p>
      <w:pPr>
        <w:ind w:left="620"/>
        <w:spacing w:after="0" w:line="216" w:lineRule="auto"/>
        <w:rPr>
          <w:sz w:val="20"/>
          <w:szCs w:val="20"/>
          <w:color w:val="auto"/>
        </w:rPr>
      </w:pPr>
      <w:r>
        <w:rPr>
          <w:rFonts w:ascii="Times New Roman" w:cs="Times New Roman" w:eastAsia="Times New Roman" w:hAnsi="Times New Roman"/>
          <w:sz w:val="12"/>
          <w:szCs w:val="12"/>
          <w:i w:val="1"/>
          <w:iCs w:val="1"/>
          <w:color w:val="auto"/>
        </w:rPr>
        <w:t>Combinations</w:t>
      </w:r>
      <w:r>
        <w:rPr>
          <w:rFonts w:ascii="Times New Roman" w:cs="Times New Roman" w:eastAsia="Times New Roman" w:hAnsi="Times New Roman"/>
          <w:sz w:val="12"/>
          <w:szCs w:val="12"/>
          <w:color w:val="auto"/>
        </w:rPr>
        <w:t>, as substantially all of the fair value of the acquired assets is concentrated in a single identifiable asset.</w:t>
      </w:r>
    </w:p>
    <w:p>
      <w:pPr>
        <w:ind w:left="620"/>
        <w:spacing w:after="0" w:line="215" w:lineRule="auto"/>
        <w:rPr>
          <w:sz w:val="20"/>
          <w:szCs w:val="20"/>
          <w:color w:val="auto"/>
        </w:rPr>
      </w:pPr>
      <w:r>
        <w:rPr>
          <w:rFonts w:ascii="Times New Roman" w:cs="Times New Roman" w:eastAsia="Times New Roman" w:hAnsi="Times New Roman"/>
          <w:sz w:val="12"/>
          <w:szCs w:val="12"/>
          <w:color w:val="auto"/>
        </w:rPr>
        <w:t>Intangible assets acquired primarily included an in-process research and development intangible asset (“Acquired</w:t>
      </w:r>
    </w:p>
    <w:p>
      <w:pPr>
        <w:ind w:left="620"/>
        <w:spacing w:after="0" w:line="215" w:lineRule="auto"/>
        <w:rPr>
          <w:sz w:val="20"/>
          <w:szCs w:val="20"/>
          <w:color w:val="auto"/>
        </w:rPr>
      </w:pPr>
      <w:r>
        <w:rPr>
          <w:rFonts w:ascii="Times New Roman" w:cs="Times New Roman" w:eastAsia="Times New Roman" w:hAnsi="Times New Roman"/>
          <w:sz w:val="12"/>
          <w:szCs w:val="12"/>
          <w:color w:val="auto"/>
        </w:rPr>
        <w:t>IPR&amp;D asset”). The Company allocated the cost price of the Acquired IPR&amp;D asset using an income approach to estimate</w:t>
      </w:r>
    </w:p>
    <w:p>
      <w:pPr>
        <w:ind w:left="620"/>
        <w:spacing w:after="0" w:line="215" w:lineRule="auto"/>
        <w:rPr>
          <w:sz w:val="20"/>
          <w:szCs w:val="20"/>
          <w:color w:val="auto"/>
        </w:rPr>
      </w:pPr>
      <w:r>
        <w:rPr>
          <w:rFonts w:ascii="Times New Roman" w:cs="Times New Roman" w:eastAsia="Times New Roman" w:hAnsi="Times New Roman"/>
          <w:sz w:val="12"/>
          <w:szCs w:val="12"/>
          <w:color w:val="auto"/>
        </w:rPr>
        <w:t>the fair value at the acquisition date. The fair value determination of the Acquired IPR&amp;D asset required the Company to</w:t>
      </w:r>
    </w:p>
    <w:p>
      <w:pPr>
        <w:ind w:left="620"/>
        <w:spacing w:after="0" w:line="215" w:lineRule="auto"/>
        <w:rPr>
          <w:sz w:val="20"/>
          <w:szCs w:val="20"/>
          <w:color w:val="auto"/>
        </w:rPr>
      </w:pPr>
      <w:r>
        <w:rPr>
          <w:rFonts w:ascii="Times New Roman" w:cs="Times New Roman" w:eastAsia="Times New Roman" w:hAnsi="Times New Roman"/>
          <w:sz w:val="12"/>
          <w:szCs w:val="12"/>
          <w:color w:val="auto"/>
        </w:rPr>
        <w:t>apply significant estimates and assumptions related to the forecasted future cash flows, such as probabilities of technical</w:t>
      </w:r>
    </w:p>
    <w:p>
      <w:pPr>
        <w:ind w:left="620"/>
        <w:spacing w:after="0" w:line="216" w:lineRule="auto"/>
        <w:rPr>
          <w:sz w:val="20"/>
          <w:szCs w:val="20"/>
          <w:color w:val="auto"/>
        </w:rPr>
      </w:pPr>
      <w:r>
        <w:rPr>
          <w:rFonts w:ascii="Times New Roman" w:cs="Times New Roman" w:eastAsia="Times New Roman" w:hAnsi="Times New Roman"/>
          <w:sz w:val="12"/>
          <w:szCs w:val="12"/>
          <w:color w:val="auto"/>
        </w:rPr>
        <w:t>and regulatory success, and the determination of the discount rates.</w:t>
      </w: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We identified the valuation of the Acquired IPR&amp;D asset for the Merus acquisition as a critical audit matter because of the high level of complexity and management judgement involved in determining the above outlined significant estimates and assumptions used by the Company to determine the fair value of the asset. This required a high degree of auditor judgement and an increased extent of effort when performing audit procedures to evaluate the reasonableness of management’s estimates and assumptions.</w:t>
      </w:r>
    </w:p>
    <w:p>
      <w:pPr>
        <w:ind w:left="620"/>
        <w:spacing w:after="0" w:line="216" w:lineRule="auto"/>
        <w:rPr>
          <w:sz w:val="20"/>
          <w:szCs w:val="20"/>
          <w:color w:val="auto"/>
        </w:rPr>
      </w:pPr>
      <w:r>
        <w:rPr>
          <w:rFonts w:ascii="Times New Roman" w:cs="Times New Roman" w:eastAsia="Times New Roman" w:hAnsi="Times New Roman"/>
          <w:sz w:val="12"/>
          <w:szCs w:val="12"/>
          <w:i w:val="1"/>
          <w:iCs w:val="1"/>
          <w:color w:val="auto"/>
        </w:rPr>
        <w:t>How the Critical Audit Matter Was Addressed in the Audit</w:t>
      </w:r>
    </w:p>
    <w:p>
      <w:pPr>
        <w:ind w:left="620" w:right="2860"/>
        <w:spacing w:after="0" w:line="215" w:lineRule="auto"/>
        <w:rPr>
          <w:sz w:val="20"/>
          <w:szCs w:val="20"/>
          <w:color w:val="auto"/>
        </w:rPr>
      </w:pPr>
      <w:r>
        <w:rPr>
          <w:rFonts w:ascii="Times New Roman" w:cs="Times New Roman" w:eastAsia="Times New Roman" w:hAnsi="Times New Roman"/>
          <w:sz w:val="12"/>
          <w:szCs w:val="12"/>
          <w:color w:val="auto"/>
        </w:rPr>
        <w:t>Our audit procedures related to the Company’s valuation of the Acquired IPR&amp;D asset in the Merus acquisition included the following, among others:</w:t>
      </w:r>
    </w:p>
    <w:p>
      <w:pPr>
        <w:ind w:left="620" w:right="2900"/>
        <w:spacing w:after="0" w:line="215" w:lineRule="auto"/>
        <w:rPr>
          <w:sz w:val="20"/>
          <w:szCs w:val="20"/>
          <w:color w:val="auto"/>
        </w:rPr>
      </w:pPr>
      <w:r>
        <w:rPr>
          <w:rFonts w:ascii="Times New Roman" w:cs="Times New Roman" w:eastAsia="Times New Roman" w:hAnsi="Times New Roman"/>
          <w:sz w:val="12"/>
          <w:szCs w:val="12"/>
          <w:color w:val="auto"/>
        </w:rPr>
        <w:t>•We performed corroborative inquiries of key individuals from senior leadership, including research &amp; development, and personnel involved in forecasting the future cash flows in determining the appropriateness of the probabilities of technical and regulatory success.</w:t>
      </w:r>
    </w:p>
    <w:p>
      <w:pPr>
        <w:ind w:left="620" w:right="3160"/>
        <w:spacing w:after="0" w:line="228" w:lineRule="auto"/>
        <w:rPr>
          <w:sz w:val="20"/>
          <w:szCs w:val="20"/>
          <w:color w:val="auto"/>
        </w:rPr>
      </w:pPr>
      <w:r>
        <w:rPr>
          <w:rFonts w:ascii="Times New Roman" w:cs="Times New Roman" w:eastAsia="Times New Roman" w:hAnsi="Times New Roman"/>
          <w:sz w:val="12"/>
          <w:szCs w:val="12"/>
          <w:color w:val="auto"/>
        </w:rPr>
        <w:t>•We tested the effectiveness of controls relating to management's review of the significant estimates and assumptions related to the forecasted future cash flows, including the determination of the probabilities of technical and regulatory success and discount rates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123</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right="2820"/>
        <w:spacing w:after="0" w:line="215" w:lineRule="auto"/>
        <w:rPr>
          <w:sz w:val="20"/>
          <w:szCs w:val="20"/>
          <w:color w:val="auto"/>
        </w:rPr>
      </w:pPr>
      <w:r>
        <w:rPr>
          <w:rFonts w:ascii="Times New Roman" w:cs="Times New Roman" w:eastAsia="Times New Roman" w:hAnsi="Times New Roman"/>
          <w:sz w:val="12"/>
          <w:szCs w:val="12"/>
          <w:color w:val="auto"/>
        </w:rPr>
        <w:t>•We evaluated the probabilities of technical and regulatory success against external medical studies and industry benchmarks to determine if these were corroborative or contradictory to the probabilities of technical and regulatory success applied by management.</w:t>
      </w:r>
    </w:p>
    <w:p>
      <w:pPr>
        <w:ind w:left="620" w:right="2740"/>
        <w:spacing w:after="0"/>
        <w:rPr>
          <w:sz w:val="20"/>
          <w:szCs w:val="20"/>
          <w:color w:val="auto"/>
        </w:rPr>
      </w:pPr>
      <w:r>
        <w:rPr>
          <w:rFonts w:ascii="Times New Roman" w:cs="Times New Roman" w:eastAsia="Times New Roman" w:hAnsi="Times New Roman"/>
          <w:sz w:val="12"/>
          <w:szCs w:val="12"/>
          <w:color w:val="auto"/>
        </w:rPr>
        <w:t>•With the assistance of our valuation specialists, we evaluated the appropriateness of the valuation method and we tested the source information and inputs applied in the determination of the discount rates, including comparison to publicly available information of comparable companies, and tested the mathematical accuracy of the calculation.</w:t>
      </w:r>
    </w:p>
    <w:p>
      <w:pPr>
        <w:spacing w:after="0" w:line="81" w:lineRule="exact"/>
        <w:rPr>
          <w:sz w:val="20"/>
          <w:szCs w:val="20"/>
          <w:color w:val="auto"/>
        </w:rPr>
      </w:pPr>
    </w:p>
    <w:p>
      <w:pPr>
        <w:ind w:left="620" w:right="3820"/>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Revenue recognition of royalty revenue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Refer to Note 2.1 to the financial statements </w:t>
      </w:r>
      <w:r>
        <w:rPr>
          <w:rFonts w:ascii="Times New Roman" w:cs="Times New Roman" w:eastAsia="Times New Roman" w:hAnsi="Times New Roman"/>
          <w:sz w:val="12"/>
          <w:szCs w:val="12"/>
          <w:i w:val="1"/>
          <w:iCs w:val="1"/>
          <w:color w:val="auto"/>
        </w:rPr>
        <w:t>Critical Audit Matter Description</w:t>
      </w:r>
    </w:p>
    <w:p>
      <w:pPr>
        <w:ind w:left="620" w:right="2320"/>
        <w:spacing w:after="0" w:line="215" w:lineRule="auto"/>
        <w:rPr>
          <w:sz w:val="20"/>
          <w:szCs w:val="20"/>
          <w:color w:val="auto"/>
        </w:rPr>
      </w:pPr>
      <w:r>
        <w:rPr>
          <w:rFonts w:ascii="Times New Roman" w:cs="Times New Roman" w:eastAsia="Times New Roman" w:hAnsi="Times New Roman"/>
          <w:sz w:val="12"/>
          <w:szCs w:val="12"/>
          <w:color w:val="auto"/>
        </w:rPr>
        <w:t>The Company recognized royalty revenue, where revenue is recognized based on net sales by collaboration partners. The Company uses net sales provided by its collaboration partners as an input to its calculation of the amount of royalty revenue to recognize in each period. The preliminary net sales data provided by the collaboration partner may change once final net sales data is available.</w:t>
      </w:r>
    </w:p>
    <w:p>
      <w:pPr>
        <w:ind w:left="620" w:right="2440"/>
        <w:spacing w:after="0" w:line="220" w:lineRule="auto"/>
        <w:rPr>
          <w:sz w:val="20"/>
          <w:szCs w:val="20"/>
          <w:color w:val="auto"/>
        </w:rPr>
      </w:pPr>
      <w:r>
        <w:rPr>
          <w:rFonts w:ascii="Times New Roman" w:cs="Times New Roman" w:eastAsia="Times New Roman" w:hAnsi="Times New Roman"/>
          <w:sz w:val="12"/>
          <w:szCs w:val="12"/>
          <w:color w:val="auto"/>
        </w:rPr>
        <w:t>We identified the revenue recognition of royalty contracts for selected products as a critical audit matter because of the significant estimation uncertainty related to the net sales data provided by collaboration partners. Specifically, the collaboration partner’s estimate of net sales could change based on the final net sales impacting the royalty revenue recognized in each period. This required a high degree of auditor judgement and an increased extent of effort when performing audit procedures to evaluate the reliability of management’s estimates of the net sales. Further, the contracts with the collaboration partners are complex and contain multiple clauses that directly impact revenue recognition, which require an increased extent of audit effort to ensure accurate and complete revenue recognition.</w:t>
      </w:r>
    </w:p>
    <w:p>
      <w:pPr>
        <w:sectPr>
          <w:pgSz w:w="11900" w:h="16840" w:orient="portrait"/>
          <w:cols w:equalWidth="0" w:num="1">
            <w:col w:w="9020"/>
          </w:cols>
          <w:pgMar w:left="1440" w:top="1440" w:right="1440" w:bottom="0" w:gutter="0" w:footer="0" w:header="0"/>
        </w:sectPr>
      </w:pPr>
    </w:p>
    <w:bookmarkStart w:id="79" w:name="page80"/>
    <w:bookmarkEnd w:id="79"/>
    <w:p>
      <w:pPr>
        <w:ind w:left="620"/>
        <w:spacing w:after="0"/>
        <w:rPr>
          <w:sz w:val="20"/>
          <w:szCs w:val="20"/>
          <w:color w:val="auto"/>
        </w:rPr>
      </w:pPr>
      <w:r>
        <w:rPr>
          <w:rFonts w:ascii="Times New Roman" w:cs="Times New Roman" w:eastAsia="Times New Roman" w:hAnsi="Times New Roman"/>
          <w:sz w:val="12"/>
          <w:szCs w:val="12"/>
          <w:i w:val="1"/>
          <w:iCs w:val="1"/>
          <w:color w:val="auto"/>
        </w:rPr>
        <w:t>How the Critical Audit Matter Was Addressed in the Audit</w:t>
      </w:r>
    </w:p>
    <w:p>
      <w:pPr>
        <w:spacing w:after="0" w:line="2" w:lineRule="exact"/>
        <w:rPr>
          <w:sz w:val="20"/>
          <w:szCs w:val="20"/>
          <w:color w:val="auto"/>
        </w:rPr>
      </w:pPr>
    </w:p>
    <w:p>
      <w:pPr>
        <w:ind w:left="620" w:right="2380"/>
        <w:spacing w:after="0" w:line="215" w:lineRule="auto"/>
        <w:rPr>
          <w:sz w:val="20"/>
          <w:szCs w:val="20"/>
          <w:color w:val="auto"/>
        </w:rPr>
      </w:pPr>
      <w:r>
        <w:rPr>
          <w:rFonts w:ascii="Times New Roman" w:cs="Times New Roman" w:eastAsia="Times New Roman" w:hAnsi="Times New Roman"/>
          <w:sz w:val="12"/>
          <w:szCs w:val="12"/>
          <w:color w:val="auto"/>
        </w:rPr>
        <w:t>Our audit procedures related to the royalty revenue recognized based on the significant assumption of estimated net sales provided by the collaboration partners and the complex and multiple clauses in the contracts included the following, among others:</w:t>
      </w:r>
    </w:p>
    <w:p>
      <w:pPr>
        <w:ind w:left="620" w:right="2940"/>
        <w:spacing w:after="0" w:line="215" w:lineRule="auto"/>
        <w:rPr>
          <w:sz w:val="20"/>
          <w:szCs w:val="20"/>
          <w:color w:val="auto"/>
        </w:rPr>
      </w:pPr>
      <w:r>
        <w:rPr>
          <w:rFonts w:ascii="Times New Roman" w:cs="Times New Roman" w:eastAsia="Times New Roman" w:hAnsi="Times New Roman"/>
          <w:sz w:val="12"/>
          <w:szCs w:val="12"/>
          <w:color w:val="auto"/>
        </w:rPr>
        <w:t>•We tested the effectiveness of controls relating to management’s review of the estimated net sales used in the determination of royalty revenue recognition.</w:t>
      </w:r>
    </w:p>
    <w:p>
      <w:pPr>
        <w:ind w:left="620" w:right="2800"/>
        <w:spacing w:after="0" w:line="215" w:lineRule="auto"/>
        <w:rPr>
          <w:sz w:val="20"/>
          <w:szCs w:val="20"/>
          <w:color w:val="auto"/>
        </w:rPr>
      </w:pPr>
      <w:r>
        <w:rPr>
          <w:rFonts w:ascii="Times New Roman" w:cs="Times New Roman" w:eastAsia="Times New Roman" w:hAnsi="Times New Roman"/>
          <w:sz w:val="12"/>
          <w:szCs w:val="12"/>
          <w:color w:val="auto"/>
        </w:rPr>
        <w:t>•We tested the overall reliability of the estimated net sales reported by the collaboration partners by assessing the historical accuracy of the estimates.</w:t>
      </w:r>
    </w:p>
    <w:p>
      <w:pPr>
        <w:ind w:left="620" w:right="2700"/>
        <w:spacing w:after="0" w:line="215" w:lineRule="auto"/>
        <w:rPr>
          <w:sz w:val="20"/>
          <w:szCs w:val="20"/>
          <w:color w:val="auto"/>
        </w:rPr>
      </w:pPr>
      <w:r>
        <w:rPr>
          <w:rFonts w:ascii="Times New Roman" w:cs="Times New Roman" w:eastAsia="Times New Roman" w:hAnsi="Times New Roman"/>
          <w:sz w:val="12"/>
          <w:szCs w:val="12"/>
          <w:color w:val="auto"/>
        </w:rPr>
        <w:t>•We tested the recognition of royalty revenue by reconciling to the contract terms, cash receipts and royalty reports from collaboration partners or reported net sales.</w:t>
      </w:r>
    </w:p>
    <w:p>
      <w:pPr>
        <w:ind w:left="620" w:right="2900"/>
        <w:spacing w:after="0" w:line="215" w:lineRule="auto"/>
        <w:rPr>
          <w:sz w:val="20"/>
          <w:szCs w:val="20"/>
          <w:color w:val="auto"/>
        </w:rPr>
      </w:pPr>
      <w:r>
        <w:rPr>
          <w:rFonts w:ascii="Times New Roman" w:cs="Times New Roman" w:eastAsia="Times New Roman" w:hAnsi="Times New Roman"/>
          <w:sz w:val="12"/>
          <w:szCs w:val="12"/>
          <w:color w:val="auto"/>
        </w:rPr>
        <w:t>•We obtained external confirmations from collaboration partners on the estimated and actual net sales amounts reported.</w:t>
      </w:r>
    </w:p>
    <w:p>
      <w:pPr>
        <w:ind w:left="620"/>
        <w:spacing w:after="0" w:line="215" w:lineRule="auto"/>
        <w:rPr>
          <w:sz w:val="20"/>
          <w:szCs w:val="20"/>
          <w:color w:val="auto"/>
        </w:rPr>
      </w:pPr>
      <w:r>
        <w:rPr>
          <w:rFonts w:ascii="Times New Roman" w:cs="Times New Roman" w:eastAsia="Times New Roman" w:hAnsi="Times New Roman"/>
          <w:sz w:val="12"/>
          <w:szCs w:val="12"/>
          <w:color w:val="auto"/>
        </w:rPr>
        <w:t>/s/ Deloitte Statsautoriseret Revisionspartnerselskab</w:t>
      </w:r>
    </w:p>
    <w:p>
      <w:pPr>
        <w:ind w:left="620"/>
        <w:spacing w:after="0" w:line="215" w:lineRule="auto"/>
        <w:rPr>
          <w:sz w:val="20"/>
          <w:szCs w:val="20"/>
          <w:color w:val="auto"/>
        </w:rPr>
      </w:pPr>
      <w:r>
        <w:rPr>
          <w:rFonts w:ascii="Times New Roman" w:cs="Times New Roman" w:eastAsia="Times New Roman" w:hAnsi="Times New Roman"/>
          <w:sz w:val="12"/>
          <w:szCs w:val="12"/>
          <w:color w:val="auto"/>
        </w:rPr>
        <w:t>Copenhagen, Denmark</w:t>
      </w:r>
    </w:p>
    <w:p>
      <w:pPr>
        <w:ind w:left="620"/>
        <w:spacing w:after="0" w:line="215" w:lineRule="auto"/>
        <w:rPr>
          <w:sz w:val="20"/>
          <w:szCs w:val="20"/>
          <w:color w:val="auto"/>
        </w:rPr>
      </w:pPr>
      <w:r>
        <w:rPr>
          <w:rFonts w:ascii="Times New Roman" w:cs="Times New Roman" w:eastAsia="Times New Roman" w:hAnsi="Times New Roman"/>
          <w:sz w:val="12"/>
          <w:szCs w:val="12"/>
          <w:color w:val="auto"/>
        </w:rPr>
        <w:t>February 17, 2026</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124</w:t>
      </w:r>
    </w:p>
    <w:p>
      <w:pPr>
        <w:ind w:left="620"/>
        <w:spacing w:after="0" w:line="215" w:lineRule="auto"/>
        <w:rPr>
          <w:rFonts w:ascii="Times New Roman" w:cs="Times New Roman" w:eastAsia="Times New Roman" w:hAnsi="Times New Roman"/>
          <w:sz w:val="12"/>
          <w:szCs w:val="12"/>
          <w:u w:val="single" w:color="auto"/>
          <w:color w:val="0563C1"/>
        </w:rPr>
      </w:pPr>
      <w:hyperlink w:anchor="page2">
        <w:r>
          <w:rPr>
            <w:rFonts w:ascii="Times New Roman" w:cs="Times New Roman" w:eastAsia="Times New Roman" w:hAnsi="Times New Roman"/>
            <w:sz w:val="12"/>
            <w:szCs w:val="12"/>
            <w:u w:val="single" w:color="auto"/>
            <w:color w:val="0563C1"/>
          </w:rPr>
          <w:t>Table of Contents</w:t>
        </w:r>
      </w:hyperlink>
    </w:p>
    <w:p>
      <w:pPr>
        <w:ind w:left="62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To the Board of Directors and Shareholders of Genmab A/S</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Opinion on the Financial Statements</w:t>
      </w:r>
    </w:p>
    <w:p>
      <w:pPr>
        <w:ind w:left="620" w:right="2540"/>
        <w:spacing w:after="0" w:line="215" w:lineRule="auto"/>
        <w:rPr>
          <w:sz w:val="20"/>
          <w:szCs w:val="20"/>
          <w:color w:val="auto"/>
        </w:rPr>
      </w:pPr>
      <w:r>
        <w:rPr>
          <w:rFonts w:ascii="Times New Roman" w:cs="Times New Roman" w:eastAsia="Times New Roman" w:hAnsi="Times New Roman"/>
          <w:sz w:val="12"/>
          <w:szCs w:val="12"/>
          <w:color w:val="auto"/>
        </w:rPr>
        <w:t>We have audited the consolidated statements of comprehensive income, statements of changes in equity and statements of cash flows of Genmab A/S and its subsidiaries (the “Company”) for the year ended December 31, 2023, including the related notes, as listed in the index appearing under Item 19 (collectively referred to as the “consolidated financial statements”).</w:t>
      </w:r>
    </w:p>
    <w:p>
      <w:pPr>
        <w:ind w:left="620"/>
        <w:spacing w:after="0" w:line="215" w:lineRule="auto"/>
        <w:rPr>
          <w:sz w:val="20"/>
          <w:szCs w:val="20"/>
          <w:color w:val="auto"/>
        </w:rPr>
      </w:pPr>
      <w:r>
        <w:rPr>
          <w:rFonts w:ascii="Times New Roman" w:cs="Times New Roman" w:eastAsia="Times New Roman" w:hAnsi="Times New Roman"/>
          <w:sz w:val="12"/>
          <w:szCs w:val="12"/>
          <w:color w:val="auto"/>
        </w:rPr>
        <w:t>In our opinion, the consolidated financial statements present fairly, in all material respects, the results of operations</w:t>
      </w:r>
    </w:p>
    <w:p>
      <w:pPr>
        <w:spacing w:after="0" w:line="1" w:lineRule="exact"/>
        <w:rPr>
          <w:sz w:val="20"/>
          <w:szCs w:val="20"/>
          <w:color w:val="auto"/>
        </w:rPr>
      </w:pPr>
    </w:p>
    <w:p>
      <w:pPr>
        <w:ind w:left="620" w:right="2400"/>
        <w:spacing w:after="0"/>
        <w:rPr>
          <w:sz w:val="20"/>
          <w:szCs w:val="20"/>
          <w:color w:val="auto"/>
        </w:rPr>
      </w:pPr>
      <w:r>
        <w:rPr>
          <w:rFonts w:ascii="Times New Roman" w:cs="Times New Roman" w:eastAsia="Times New Roman" w:hAnsi="Times New Roman"/>
          <w:sz w:val="12"/>
          <w:szCs w:val="12"/>
          <w:color w:val="auto"/>
        </w:rPr>
        <w:t>and cash flows of the Company for the year ended December 31, 2023 in conformity with IFRS Accounting Standards as issued by the International Accounting Standards Board and IFRS Accounting Standards as adopted by the European Union.</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i w:val="1"/>
          <w:iCs w:val="1"/>
          <w:color w:val="auto"/>
        </w:rPr>
        <w:t>Change in Accounting Principle</w:t>
      </w:r>
    </w:p>
    <w:p>
      <w:pPr>
        <w:ind w:left="620" w:right="2820"/>
        <w:spacing w:after="0" w:line="215" w:lineRule="auto"/>
        <w:rPr>
          <w:sz w:val="20"/>
          <w:szCs w:val="20"/>
          <w:color w:val="auto"/>
        </w:rPr>
      </w:pPr>
      <w:r>
        <w:rPr>
          <w:rFonts w:ascii="Times New Roman" w:cs="Times New Roman" w:eastAsia="Times New Roman" w:hAnsi="Times New Roman"/>
          <w:sz w:val="12"/>
          <w:szCs w:val="12"/>
          <w:color w:val="auto"/>
        </w:rPr>
        <w:t>As discussed in Note 1.1 to the consolidated financial statements, the Company changed the currency in which it presents its financial statements in 2025 from Danish Kroner to U.S. Dollar.</w:t>
      </w:r>
    </w:p>
    <w:p>
      <w:pPr>
        <w:ind w:left="620"/>
        <w:spacing w:after="0" w:line="215" w:lineRule="auto"/>
        <w:rPr>
          <w:sz w:val="20"/>
          <w:szCs w:val="20"/>
          <w:color w:val="auto"/>
        </w:rPr>
      </w:pPr>
      <w:r>
        <w:rPr>
          <w:rFonts w:ascii="Times New Roman" w:cs="Times New Roman" w:eastAsia="Times New Roman" w:hAnsi="Times New Roman"/>
          <w:sz w:val="12"/>
          <w:szCs w:val="12"/>
          <w:b w:val="1"/>
          <w:bCs w:val="1"/>
          <w:i w:val="1"/>
          <w:iCs w:val="1"/>
          <w:color w:val="auto"/>
        </w:rPr>
        <w:t>Basis for Opinion</w:t>
      </w:r>
    </w:p>
    <w:p>
      <w:pPr>
        <w:ind w:left="620" w:right="2400"/>
        <w:spacing w:after="0" w:line="215"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ind w:left="620" w:right="2360"/>
        <w:spacing w:after="0" w:line="215" w:lineRule="auto"/>
        <w:rPr>
          <w:sz w:val="20"/>
          <w:szCs w:val="20"/>
          <w:color w:val="auto"/>
        </w:rPr>
      </w:pPr>
      <w:r>
        <w:rPr>
          <w:rFonts w:ascii="Times New Roman" w:cs="Times New Roman" w:eastAsia="Times New Roman" w:hAnsi="Times New Roman"/>
          <w:sz w:val="12"/>
          <w:szCs w:val="12"/>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ind w:left="620" w:right="2280"/>
        <w:spacing w:after="0"/>
        <w:rPr>
          <w:sz w:val="20"/>
          <w:szCs w:val="20"/>
          <w:color w:val="auto"/>
        </w:rPr>
      </w:pPr>
      <w:r>
        <w:rPr>
          <w:rFonts w:ascii="Times New Roman" w:cs="Times New Roman" w:eastAsia="Times New Roman" w:hAnsi="Times New Roman"/>
          <w:sz w:val="12"/>
          <w:szCs w:val="12"/>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/s/ PricewaterhouseCoopers</w:t>
      </w:r>
    </w:p>
    <w:p>
      <w:pPr>
        <w:ind w:left="620"/>
        <w:spacing w:after="0" w:line="215" w:lineRule="auto"/>
        <w:rPr>
          <w:sz w:val="20"/>
          <w:szCs w:val="20"/>
          <w:color w:val="auto"/>
        </w:rPr>
      </w:pPr>
      <w:r>
        <w:rPr>
          <w:rFonts w:ascii="Times New Roman" w:cs="Times New Roman" w:eastAsia="Times New Roman" w:hAnsi="Times New Roman"/>
          <w:sz w:val="12"/>
          <w:szCs w:val="12"/>
          <w:color w:val="auto"/>
        </w:rPr>
        <w:t>Statsautoriseret Revisionspartnerselskab</w:t>
      </w:r>
    </w:p>
    <w:p>
      <w:pPr>
        <w:ind w:left="620"/>
        <w:spacing w:after="0" w:line="215" w:lineRule="auto"/>
        <w:rPr>
          <w:sz w:val="20"/>
          <w:szCs w:val="20"/>
          <w:color w:val="auto"/>
        </w:rPr>
      </w:pPr>
      <w:r>
        <w:rPr>
          <w:rFonts w:ascii="Times New Roman" w:cs="Times New Roman" w:eastAsia="Times New Roman" w:hAnsi="Times New Roman"/>
          <w:sz w:val="12"/>
          <w:szCs w:val="12"/>
          <w:color w:val="auto"/>
        </w:rPr>
        <w:t>Hellerup, Denmark</w:t>
      </w:r>
    </w:p>
    <w:p>
      <w:pPr>
        <w:ind w:left="620" w:right="2340"/>
        <w:spacing w:after="0" w:line="215" w:lineRule="auto"/>
        <w:rPr>
          <w:sz w:val="20"/>
          <w:szCs w:val="20"/>
          <w:color w:val="auto"/>
        </w:rPr>
      </w:pPr>
      <w:r>
        <w:rPr>
          <w:rFonts w:ascii="Times New Roman" w:cs="Times New Roman" w:eastAsia="Times New Roman" w:hAnsi="Times New Roman"/>
          <w:sz w:val="12"/>
          <w:szCs w:val="12"/>
          <w:color w:val="auto"/>
        </w:rPr>
        <w:t>February 17, 2024, except for the revisions in Notes 1.4 and 4.5 (not presented herein) to the consolidated financial statements appearing under Item 19 of the Company's 2024 annual report on Form 20 - F, as to which the date is February 12, 2025, and the changes in presentation currency and reclassifications in Notes 1.1, 1.4, 4.2 and 4.5, as to which the date is November 6, 2025.</w:t>
      </w:r>
    </w:p>
    <w:p>
      <w:pPr>
        <w:ind w:left="620"/>
        <w:spacing w:after="0"/>
        <w:rPr>
          <w:sz w:val="20"/>
          <w:szCs w:val="20"/>
          <w:color w:val="auto"/>
        </w:rPr>
      </w:pPr>
      <w:r>
        <w:rPr>
          <w:rFonts w:ascii="Times New Roman" w:cs="Times New Roman" w:eastAsia="Times New Roman" w:hAnsi="Times New Roman"/>
          <w:sz w:val="12"/>
          <w:szCs w:val="12"/>
          <w:color w:val="auto"/>
        </w:rPr>
        <w:t>We served as the Company's auditor from 2001 to 2024.</w:t>
      </w:r>
    </w:p>
    <w:p>
      <w:pPr>
        <w:sectPr>
          <w:pgSz w:w="11900" w:h="16840" w:orient="portrait"/>
          <w:cols w:equalWidth="0" w:num="1">
            <w:col w:w="9020"/>
          </w:cols>
          <w:pgMar w:left="1440" w:top="557" w:right="1440" w:bottom="1440" w:gutter="0" w:footer="0" w:header="0"/>
        </w:sectPr>
      </w:pPr>
    </w:p>
    <w:bookmarkStart w:id="80" w:name="page81"/>
    <w:bookmarkEnd w:id="80"/>
    <w:p>
      <w:pPr>
        <w:spacing w:after="0"/>
        <w:rPr>
          <w:sz w:val="20"/>
          <w:szCs w:val="20"/>
          <w:color w:val="auto"/>
        </w:rPr>
      </w:pPr>
    </w:p>
    <w:p>
      <w:pPr>
        <w:sectPr>
          <w:pgSz w:w="11900" w:h="16840"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16</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1"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9D94"/>
        </w:rPr>
        <w:t>Expanding the Reach of Our Medicines</w:t>
      </w:r>
    </w:p>
    <w:p>
      <w:pPr>
        <w:spacing w:after="0" w:line="198" w:lineRule="auto"/>
        <w:rPr>
          <w:sz w:val="20"/>
          <w:szCs w:val="20"/>
          <w:color w:val="auto"/>
        </w:rPr>
      </w:pPr>
      <w:r>
        <w:rPr>
          <w:rFonts w:ascii="Arial" w:cs="Arial" w:eastAsia="Arial" w:hAnsi="Arial"/>
          <w:sz w:val="18"/>
          <w:szCs w:val="18"/>
          <w:color w:val="009D94"/>
        </w:rPr>
        <w:t>A fully integrated biotech</w:t>
      </w:r>
    </w:p>
    <w:p>
      <w:pPr>
        <w:spacing w:after="0" w:line="199" w:lineRule="auto"/>
        <w:rPr>
          <w:sz w:val="20"/>
          <w:szCs w:val="20"/>
          <w:color w:val="auto"/>
        </w:rPr>
      </w:pPr>
      <w:r>
        <w:rPr>
          <w:rFonts w:ascii="Arial" w:cs="Arial" w:eastAsia="Arial" w:hAnsi="Arial"/>
          <w:sz w:val="18"/>
          <w:szCs w:val="18"/>
          <w:color w:val="009D94"/>
        </w:rPr>
        <w:t>delivering for patients</w:t>
      </w:r>
    </w:p>
    <w:p>
      <w:pPr>
        <w:spacing w:after="0" w:line="201" w:lineRule="auto"/>
        <w:rPr>
          <w:sz w:val="20"/>
          <w:szCs w:val="20"/>
          <w:color w:val="auto"/>
        </w:rPr>
      </w:pPr>
      <w:r>
        <w:rPr>
          <w:rFonts w:ascii="Arial" w:cs="Arial" w:eastAsia="Arial" w:hAnsi="Arial"/>
          <w:sz w:val="18"/>
          <w:szCs w:val="18"/>
          <w:color w:val="009D94"/>
        </w:rPr>
        <w:t>around the world</w:t>
      </w:r>
    </w:p>
    <w:p>
      <w:pPr>
        <w:spacing w:after="0" w:line="199" w:lineRule="auto"/>
        <w:rPr>
          <w:sz w:val="20"/>
          <w:szCs w:val="20"/>
          <w:color w:val="auto"/>
        </w:rPr>
      </w:pPr>
      <w:r>
        <w:rPr>
          <w:rFonts w:ascii="Arial" w:cs="Arial" w:eastAsia="Arial" w:hAnsi="Arial"/>
          <w:sz w:val="10"/>
          <w:szCs w:val="10"/>
          <w:color w:val="auto"/>
        </w:rPr>
        <w:t>This year, we accelerated our transformation into</w:t>
      </w:r>
    </w:p>
    <w:p>
      <w:pPr>
        <w:spacing w:after="0" w:line="199" w:lineRule="auto"/>
        <w:rPr>
          <w:sz w:val="20"/>
          <w:szCs w:val="20"/>
          <w:color w:val="auto"/>
        </w:rPr>
      </w:pPr>
      <w:r>
        <w:rPr>
          <w:rFonts w:ascii="Arial" w:cs="Arial" w:eastAsia="Arial" w:hAnsi="Arial"/>
          <w:sz w:val="10"/>
          <w:szCs w:val="10"/>
          <w:color w:val="auto"/>
        </w:rPr>
        <w:t>a fully integrated biotechnology company—one</w:t>
      </w:r>
    </w:p>
    <w:p>
      <w:pPr>
        <w:spacing w:after="0" w:line="198" w:lineRule="auto"/>
        <w:rPr>
          <w:sz w:val="20"/>
          <w:szCs w:val="20"/>
          <w:color w:val="auto"/>
        </w:rPr>
      </w:pPr>
      <w:r>
        <w:rPr>
          <w:rFonts w:ascii="Arial" w:cs="Arial" w:eastAsia="Arial" w:hAnsi="Arial"/>
          <w:sz w:val="10"/>
          <w:szCs w:val="10"/>
          <w:color w:val="auto"/>
        </w:rPr>
        <w:t>designed to deliver meaningful, antibody-based</w:t>
      </w:r>
    </w:p>
    <w:p>
      <w:pPr>
        <w:spacing w:after="0" w:line="199" w:lineRule="auto"/>
        <w:rPr>
          <w:sz w:val="20"/>
          <w:szCs w:val="20"/>
          <w:color w:val="auto"/>
        </w:rPr>
      </w:pPr>
      <w:r>
        <w:rPr>
          <w:rFonts w:ascii="Arial" w:cs="Arial" w:eastAsia="Arial" w:hAnsi="Arial"/>
          <w:sz w:val="10"/>
          <w:szCs w:val="10"/>
          <w:color w:val="auto"/>
        </w:rPr>
        <w:t>medicines to patients at scale. We reached more</w:t>
      </w:r>
    </w:p>
    <w:p>
      <w:pPr>
        <w:spacing w:after="0" w:line="199" w:lineRule="auto"/>
        <w:rPr>
          <w:sz w:val="20"/>
          <w:szCs w:val="20"/>
          <w:color w:val="auto"/>
        </w:rPr>
      </w:pPr>
      <w:r>
        <w:rPr>
          <w:rFonts w:ascii="Arial" w:cs="Arial" w:eastAsia="Arial" w:hAnsi="Arial"/>
          <w:sz w:val="10"/>
          <w:szCs w:val="10"/>
          <w:color w:val="auto"/>
        </w:rPr>
        <w:t>patients than ever before, reflecting the growing</w:t>
      </w:r>
    </w:p>
    <w:p>
      <w:pPr>
        <w:spacing w:after="0" w:line="198" w:lineRule="auto"/>
        <w:rPr>
          <w:sz w:val="20"/>
          <w:szCs w:val="20"/>
          <w:color w:val="auto"/>
        </w:rPr>
      </w:pPr>
      <w:r>
        <w:rPr>
          <w:rFonts w:ascii="Arial" w:cs="Arial" w:eastAsia="Arial" w:hAnsi="Arial"/>
          <w:sz w:val="10"/>
          <w:szCs w:val="10"/>
          <w:color w:val="auto"/>
        </w:rPr>
        <w:t>global impact of our science and our ability to</w:t>
      </w:r>
    </w:p>
    <w:p>
      <w:pPr>
        <w:spacing w:after="0" w:line="199" w:lineRule="auto"/>
        <w:rPr>
          <w:sz w:val="20"/>
          <w:szCs w:val="20"/>
          <w:color w:val="auto"/>
        </w:rPr>
      </w:pPr>
      <w:r>
        <w:rPr>
          <w:rFonts w:ascii="Arial" w:cs="Arial" w:eastAsia="Arial" w:hAnsi="Arial"/>
          <w:sz w:val="10"/>
          <w:szCs w:val="10"/>
          <w:color w:val="auto"/>
        </w:rPr>
        <w:t>reliably bring innovation to the people who</w:t>
      </w:r>
    </w:p>
    <w:p>
      <w:pPr>
        <w:spacing w:after="0" w:line="199" w:lineRule="auto"/>
        <w:rPr>
          <w:sz w:val="20"/>
          <w:szCs w:val="20"/>
          <w:color w:val="auto"/>
        </w:rPr>
      </w:pPr>
      <w:r>
        <w:rPr>
          <w:rFonts w:ascii="Arial" w:cs="Arial" w:eastAsia="Arial" w:hAnsi="Arial"/>
          <w:sz w:val="10"/>
          <w:szCs w:val="10"/>
          <w:color w:val="auto"/>
        </w:rPr>
        <w:t>need it most.</w:t>
      </w:r>
    </w:p>
    <w:p>
      <w:pPr>
        <w:spacing w:after="0" w:line="198" w:lineRule="auto"/>
        <w:rPr>
          <w:sz w:val="20"/>
          <w:szCs w:val="20"/>
          <w:color w:val="auto"/>
        </w:rPr>
      </w:pPr>
      <w:r>
        <w:rPr>
          <w:rFonts w:ascii="Arial" w:cs="Arial" w:eastAsia="Arial" w:hAnsi="Arial"/>
          <w:sz w:val="10"/>
          <w:szCs w:val="10"/>
          <w:color w:val="auto"/>
        </w:rPr>
        <w:t>Our medicines have achieved leading positions</w:t>
      </w:r>
    </w:p>
    <w:p>
      <w:pPr>
        <w:spacing w:after="0" w:line="199" w:lineRule="auto"/>
        <w:rPr>
          <w:sz w:val="20"/>
          <w:szCs w:val="20"/>
          <w:color w:val="auto"/>
        </w:rPr>
      </w:pPr>
      <w:r>
        <w:rPr>
          <w:rFonts w:ascii="Arial" w:cs="Arial" w:eastAsia="Arial" w:hAnsi="Arial"/>
          <w:sz w:val="10"/>
          <w:szCs w:val="10"/>
          <w:color w:val="auto"/>
        </w:rPr>
        <w:t>worldwide, reaching more than 13,000 patients</w:t>
      </w:r>
    </w:p>
    <w:p>
      <w:pPr>
        <w:spacing w:after="0" w:line="199" w:lineRule="auto"/>
        <w:rPr>
          <w:sz w:val="20"/>
          <w:szCs w:val="20"/>
          <w:color w:val="auto"/>
        </w:rPr>
      </w:pPr>
      <w:r>
        <w:rPr>
          <w:rFonts w:ascii="Arial" w:cs="Arial" w:eastAsia="Arial" w:hAnsi="Arial"/>
          <w:sz w:val="10"/>
          <w:szCs w:val="10"/>
          <w:color w:val="auto"/>
        </w:rPr>
        <w:t>through 2025. We also celebrated a major</w:t>
      </w:r>
    </w:p>
    <w:p>
      <w:pPr>
        <w:spacing w:after="0" w:line="198" w:lineRule="auto"/>
        <w:rPr>
          <w:sz w:val="20"/>
          <w:szCs w:val="20"/>
          <w:color w:val="auto"/>
        </w:rPr>
      </w:pPr>
      <w:r>
        <w:rPr>
          <w:rFonts w:ascii="Arial" w:cs="Arial" w:eastAsia="Arial" w:hAnsi="Arial"/>
          <w:sz w:val="10"/>
          <w:szCs w:val="10"/>
          <w:color w:val="auto"/>
        </w:rPr>
        <w:t>milestone with our first independently led launches,</w:t>
      </w:r>
    </w:p>
    <w:p>
      <w:pPr>
        <w:spacing w:after="0" w:line="199" w:lineRule="auto"/>
        <w:rPr>
          <w:sz w:val="20"/>
          <w:szCs w:val="20"/>
          <w:color w:val="auto"/>
        </w:rPr>
      </w:pPr>
      <w:r>
        <w:rPr>
          <w:rFonts w:ascii="Arial" w:cs="Arial" w:eastAsia="Arial" w:hAnsi="Arial"/>
          <w:sz w:val="10"/>
          <w:szCs w:val="10"/>
          <w:color w:val="auto"/>
        </w:rPr>
        <w:t>and expanded our operations into France,</w:t>
      </w:r>
    </w:p>
    <w:p>
      <w:pPr>
        <w:spacing w:after="0" w:line="231" w:lineRule="auto"/>
        <w:rPr>
          <w:sz w:val="20"/>
          <w:szCs w:val="20"/>
          <w:color w:val="auto"/>
        </w:rPr>
      </w:pPr>
      <w:r>
        <w:rPr>
          <w:rFonts w:ascii="Arial" w:cs="Arial" w:eastAsia="Arial" w:hAnsi="Arial"/>
          <w:sz w:val="10"/>
          <w:szCs w:val="10"/>
          <w:color w:val="auto"/>
        </w:rPr>
        <w:t>Germany, and the UK, supported by</w:t>
      </w:r>
    </w:p>
    <w:p>
      <w:pPr>
        <w:spacing w:after="0" w:line="189" w:lineRule="auto"/>
        <w:rPr>
          <w:sz w:val="20"/>
          <w:szCs w:val="20"/>
          <w:color w:val="auto"/>
        </w:rPr>
      </w:pPr>
      <w:r>
        <w:rPr>
          <w:rFonts w:ascii="Arial" w:cs="Arial" w:eastAsia="Arial" w:hAnsi="Arial"/>
          <w:sz w:val="10"/>
          <w:szCs w:val="10"/>
          <w:color w:val="auto"/>
        </w:rPr>
        <w:t>extra[not]ordinary</w:t>
      </w:r>
      <w:r>
        <w:rPr>
          <w:rFonts w:ascii="Arial" w:cs="Arial" w:eastAsia="Arial" w:hAnsi="Arial"/>
          <w:sz w:val="13"/>
          <w:szCs w:val="13"/>
          <w:color w:val="auto"/>
          <w:vertAlign w:val="superscript"/>
        </w:rPr>
        <w:t>®</w:t>
      </w:r>
      <w:r>
        <w:rPr>
          <w:rFonts w:ascii="Arial" w:cs="Arial" w:eastAsia="Arial" w:hAnsi="Arial"/>
          <w:sz w:val="10"/>
          <w:szCs w:val="10"/>
          <w:color w:val="auto"/>
        </w:rPr>
        <w:t xml:space="preserve"> talent and capabilities that</w:t>
      </w:r>
    </w:p>
    <w:p>
      <w:pPr>
        <w:spacing w:after="0" w:line="199" w:lineRule="auto"/>
        <w:rPr>
          <w:sz w:val="20"/>
          <w:szCs w:val="20"/>
          <w:color w:val="auto"/>
        </w:rPr>
      </w:pPr>
      <w:r>
        <w:rPr>
          <w:rFonts w:ascii="Arial" w:cs="Arial" w:eastAsia="Arial" w:hAnsi="Arial"/>
          <w:sz w:val="10"/>
          <w:szCs w:val="10"/>
          <w:color w:val="auto"/>
        </w:rPr>
        <w:t>position us to extend our reach and impact even</w:t>
      </w:r>
    </w:p>
    <w:p>
      <w:pPr>
        <w:spacing w:after="0" w:line="193" w:lineRule="auto"/>
        <w:rPr>
          <w:sz w:val="20"/>
          <w:szCs w:val="20"/>
          <w:color w:val="auto"/>
        </w:rPr>
      </w:pPr>
      <w:r>
        <w:rPr>
          <w:rFonts w:ascii="Arial" w:cs="Arial" w:eastAsia="Arial" w:hAnsi="Arial"/>
          <w:sz w:val="10"/>
          <w:szCs w:val="10"/>
          <w:color w:val="auto"/>
        </w:rPr>
        <w:t>further in the years ahead.</w:t>
      </w:r>
    </w:p>
    <w:p>
      <w:pPr>
        <w:spacing w:after="0" w:line="199" w:lineRule="auto"/>
        <w:rPr>
          <w:sz w:val="20"/>
          <w:szCs w:val="20"/>
          <w:color w:val="auto"/>
        </w:rPr>
      </w:pPr>
      <w:r>
        <w:rPr>
          <w:rFonts w:ascii="Arial" w:cs="Arial" w:eastAsia="Arial" w:hAnsi="Arial"/>
          <w:sz w:val="18"/>
          <w:szCs w:val="18"/>
          <w:color w:val="009D94"/>
        </w:rPr>
        <w:t>Driving Meaningful</w:t>
      </w:r>
    </w:p>
    <w:p>
      <w:pPr>
        <w:spacing w:after="0" w:line="201" w:lineRule="auto"/>
        <w:rPr>
          <w:sz w:val="20"/>
          <w:szCs w:val="20"/>
          <w:color w:val="auto"/>
        </w:rPr>
      </w:pPr>
      <w:r>
        <w:rPr>
          <w:rFonts w:ascii="Arial" w:cs="Arial" w:eastAsia="Arial" w:hAnsi="Arial"/>
          <w:sz w:val="18"/>
          <w:szCs w:val="18"/>
          <w:color w:val="009D94"/>
        </w:rPr>
        <w:t>Progress in Lymphoma</w:t>
      </w:r>
    </w:p>
    <w:p>
      <w:pPr>
        <w:spacing w:after="0" w:line="199" w:lineRule="auto"/>
        <w:rPr>
          <w:sz w:val="20"/>
          <w:szCs w:val="20"/>
          <w:color w:val="auto"/>
        </w:rPr>
      </w:pPr>
      <w:r>
        <w:rPr>
          <w:rFonts w:ascii="Arial" w:cs="Arial" w:eastAsia="Arial" w:hAnsi="Arial"/>
          <w:sz w:val="10"/>
          <w:szCs w:val="10"/>
          <w:color w:val="auto"/>
        </w:rPr>
        <w:t>EPKINLY (epcoritamab) continued to redefine</w:t>
      </w:r>
    </w:p>
    <w:p>
      <w:pPr>
        <w:spacing w:after="0" w:line="199" w:lineRule="auto"/>
        <w:rPr>
          <w:sz w:val="20"/>
          <w:szCs w:val="20"/>
          <w:color w:val="auto"/>
        </w:rPr>
      </w:pPr>
      <w:r>
        <w:rPr>
          <w:rFonts w:ascii="Arial" w:cs="Arial" w:eastAsia="Arial" w:hAnsi="Arial"/>
          <w:sz w:val="10"/>
          <w:szCs w:val="10"/>
          <w:color w:val="auto"/>
        </w:rPr>
        <w:t>what’s possible for patients as the only bispecific</w:t>
      </w:r>
    </w:p>
    <w:p>
      <w:pPr>
        <w:spacing w:after="0" w:line="198" w:lineRule="auto"/>
        <w:rPr>
          <w:sz w:val="20"/>
          <w:szCs w:val="20"/>
          <w:color w:val="auto"/>
        </w:rPr>
      </w:pPr>
      <w:r>
        <w:rPr>
          <w:rFonts w:ascii="Arial" w:cs="Arial" w:eastAsia="Arial" w:hAnsi="Arial"/>
          <w:sz w:val="10"/>
          <w:szCs w:val="10"/>
          <w:color w:val="auto"/>
        </w:rPr>
        <w:t>antibody with indications in both FL and DLBCL</w:t>
      </w:r>
    </w:p>
    <w:p>
      <w:pPr>
        <w:spacing w:after="0"/>
        <w:rPr>
          <w:sz w:val="20"/>
          <w:szCs w:val="20"/>
          <w:color w:val="auto"/>
        </w:rPr>
      </w:pPr>
      <w:r>
        <w:rPr>
          <w:rFonts w:ascii="Arial" w:cs="Arial" w:eastAsia="Arial" w:hAnsi="Arial"/>
          <w:sz w:val="10"/>
          <w:szCs w:val="10"/>
          <w:color w:val="auto"/>
        </w:rPr>
        <w:t>in the U.S., Europe, and Japan.</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571625" cy="2187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1571625" cy="2187575"/>
                    </a:xfrm>
                    <a:prstGeom prst="rect">
                      <a:avLst/>
                    </a:prstGeom>
                    <a:noFill/>
                  </pic:spPr>
                </pic:pic>
              </a:graphicData>
            </a:graphic>
          </wp:anchor>
        </w:drawing>
      </w:r>
    </w:p>
    <w:p>
      <w:pPr>
        <w:sectPr>
          <w:pgSz w:w="11900" w:h="16840" w:orient="portrait"/>
          <w:cols w:equalWidth="0" w:num="1">
            <w:col w:w="9820"/>
          </w:cols>
          <w:pgMar w:left="640" w:top="1440" w:right="1440" w:bottom="505" w:gutter="0" w:footer="0" w:header="0"/>
        </w:sect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8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0"/>
          <w:szCs w:val="10"/>
          <w:color w:val="auto"/>
        </w:rPr>
        <w:t>In February, EPKINLY became the first bispecific</w:t>
      </w:r>
    </w:p>
    <w:p>
      <w:pPr>
        <w:spacing w:after="0" w:line="198" w:lineRule="auto"/>
        <w:rPr>
          <w:sz w:val="20"/>
          <w:szCs w:val="20"/>
          <w:color w:val="auto"/>
        </w:rPr>
      </w:pPr>
      <w:r>
        <w:rPr>
          <w:rFonts w:ascii="Arial" w:cs="Arial" w:eastAsia="Arial" w:hAnsi="Arial"/>
          <w:sz w:val="10"/>
          <w:szCs w:val="10"/>
          <w:color w:val="auto"/>
        </w:rPr>
        <w:t>therapy approved in Japan for 3L+ relapsed/</w:t>
      </w:r>
    </w:p>
    <w:p>
      <w:pPr>
        <w:spacing w:after="0" w:line="199" w:lineRule="auto"/>
        <w:rPr>
          <w:sz w:val="20"/>
          <w:szCs w:val="20"/>
          <w:color w:val="auto"/>
        </w:rPr>
      </w:pPr>
      <w:r>
        <w:rPr>
          <w:rFonts w:ascii="Arial" w:cs="Arial" w:eastAsia="Arial" w:hAnsi="Arial"/>
          <w:sz w:val="10"/>
          <w:szCs w:val="10"/>
          <w:color w:val="auto"/>
        </w:rPr>
        <w:t>refractory FL, marking the medicine’s second</w:t>
      </w:r>
    </w:p>
    <w:p>
      <w:pPr>
        <w:spacing w:after="0" w:line="198" w:lineRule="auto"/>
        <w:rPr>
          <w:sz w:val="20"/>
          <w:szCs w:val="20"/>
          <w:color w:val="auto"/>
        </w:rPr>
      </w:pPr>
      <w:r>
        <w:rPr>
          <w:rFonts w:ascii="Arial" w:cs="Arial" w:eastAsia="Arial" w:hAnsi="Arial"/>
          <w:sz w:val="10"/>
          <w:szCs w:val="10"/>
          <w:color w:val="auto"/>
        </w:rPr>
        <w:t>indication in the country and reinforcing its growing</w:t>
      </w:r>
    </w:p>
    <w:p>
      <w:pPr>
        <w:spacing w:after="0" w:line="199" w:lineRule="auto"/>
        <w:rPr>
          <w:sz w:val="20"/>
          <w:szCs w:val="20"/>
          <w:color w:val="auto"/>
        </w:rPr>
      </w:pPr>
      <w:r>
        <w:rPr>
          <w:rFonts w:ascii="Arial" w:cs="Arial" w:eastAsia="Arial" w:hAnsi="Arial"/>
          <w:sz w:val="10"/>
          <w:szCs w:val="10"/>
          <w:color w:val="auto"/>
        </w:rPr>
        <w:t>global presence.</w:t>
      </w:r>
    </w:p>
    <w:p>
      <w:pPr>
        <w:spacing w:after="0"/>
        <w:rPr>
          <w:sz w:val="20"/>
          <w:szCs w:val="20"/>
          <w:color w:val="auto"/>
        </w:rPr>
      </w:pPr>
      <w:r>
        <w:rPr>
          <w:rFonts w:ascii="Arial" w:cs="Arial" w:eastAsia="Arial" w:hAnsi="Arial"/>
          <w:sz w:val="10"/>
          <w:szCs w:val="10"/>
          <w:color w:val="auto"/>
        </w:rPr>
        <w:t>In November, EPKINLY in combination with R</w:t>
      </w:r>
      <w:r>
        <w:rPr>
          <w:rFonts w:ascii="Arial" w:cs="Arial" w:eastAsia="Arial" w:hAnsi="Arial"/>
          <w:sz w:val="6"/>
          <w:szCs w:val="6"/>
          <w:color w:val="auto"/>
        </w:rPr>
        <w:t>2</w:t>
      </w:r>
    </w:p>
    <w:p>
      <w:pPr>
        <w:sectPr>
          <w:pgSz w:w="11900" w:h="16840" w:orient="portrait"/>
          <w:cols w:equalWidth="0" w:num="1">
            <w:col w:w="9820"/>
          </w:cols>
          <w:pgMar w:left="640" w:top="1440" w:right="1440" w:bottom="505" w:gutter="0" w:footer="0" w:header="0"/>
          <w:type w:val="continuous"/>
        </w:sectPr>
      </w:pPr>
    </w:p>
    <w:bookmarkStart w:id="89" w:name="page90"/>
    <w:bookmarkEnd w:id="89"/>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9D94"/>
        </w:rPr>
        <w:t>Expanding the Reach of Our Medicines</w:t>
      </w:r>
    </w:p>
    <w:p>
      <w:pPr>
        <w:spacing w:after="0" w:line="198" w:lineRule="auto"/>
        <w:rPr>
          <w:sz w:val="20"/>
          <w:szCs w:val="20"/>
          <w:color w:val="auto"/>
        </w:rPr>
      </w:pPr>
      <w:r>
        <w:rPr>
          <w:rFonts w:ascii="Arial" w:cs="Arial" w:eastAsia="Arial" w:hAnsi="Arial"/>
          <w:sz w:val="10"/>
          <w:szCs w:val="10"/>
          <w:color w:val="auto"/>
        </w:rPr>
        <w:t>In September, Tivdak became available in</w:t>
      </w:r>
    </w:p>
    <w:p>
      <w:pPr>
        <w:spacing w:after="0" w:line="199" w:lineRule="auto"/>
        <w:rPr>
          <w:sz w:val="20"/>
          <w:szCs w:val="20"/>
          <w:color w:val="auto"/>
        </w:rPr>
      </w:pPr>
      <w:r>
        <w:rPr>
          <w:rFonts w:ascii="Arial" w:cs="Arial" w:eastAsia="Arial" w:hAnsi="Arial"/>
          <w:sz w:val="10"/>
          <w:szCs w:val="10"/>
          <w:color w:val="auto"/>
        </w:rPr>
        <w:t>Germany, marking our first commercial launch in</w:t>
      </w:r>
    </w:p>
    <w:p>
      <w:pPr>
        <w:spacing w:after="0" w:line="198" w:lineRule="auto"/>
        <w:rPr>
          <w:sz w:val="20"/>
          <w:szCs w:val="20"/>
          <w:color w:val="auto"/>
        </w:rPr>
      </w:pPr>
      <w:r>
        <w:rPr>
          <w:rFonts w:ascii="Arial" w:cs="Arial" w:eastAsia="Arial" w:hAnsi="Arial"/>
          <w:sz w:val="10"/>
          <w:szCs w:val="10"/>
          <w:color w:val="auto"/>
        </w:rPr>
        <w:t>Europe and establishing the foundation for our</w:t>
      </w:r>
    </w:p>
    <w:p>
      <w:pPr>
        <w:spacing w:after="0" w:line="199" w:lineRule="auto"/>
        <w:rPr>
          <w:sz w:val="20"/>
          <w:szCs w:val="20"/>
          <w:color w:val="auto"/>
        </w:rPr>
      </w:pPr>
      <w:r>
        <w:rPr>
          <w:rFonts w:ascii="Arial" w:cs="Arial" w:eastAsia="Arial" w:hAnsi="Arial"/>
          <w:sz w:val="10"/>
          <w:szCs w:val="10"/>
          <w:color w:val="auto"/>
        </w:rPr>
        <w:t>expanding regional footprint, including new</w:t>
      </w:r>
    </w:p>
    <w:p>
      <w:pPr>
        <w:spacing w:after="0" w:line="199" w:lineRule="auto"/>
        <w:rPr>
          <w:sz w:val="20"/>
          <w:szCs w:val="20"/>
          <w:color w:val="auto"/>
        </w:rPr>
      </w:pPr>
      <w:r>
        <w:rPr>
          <w:rFonts w:ascii="Arial" w:cs="Arial" w:eastAsia="Arial" w:hAnsi="Arial"/>
          <w:sz w:val="10"/>
          <w:szCs w:val="10"/>
          <w:color w:val="auto"/>
        </w:rPr>
        <w:t>operations in France, Germany, and the</w:t>
      </w:r>
    </w:p>
    <w:p>
      <w:pPr>
        <w:spacing w:after="0" w:line="198" w:lineRule="auto"/>
        <w:rPr>
          <w:sz w:val="20"/>
          <w:szCs w:val="20"/>
          <w:color w:val="auto"/>
        </w:rPr>
      </w:pPr>
      <w:r>
        <w:rPr>
          <w:rFonts w:ascii="Arial" w:cs="Arial" w:eastAsia="Arial" w:hAnsi="Arial"/>
          <w:sz w:val="10"/>
          <w:szCs w:val="10"/>
          <w:color w:val="auto"/>
        </w:rPr>
        <w:t>United Kingdom.</w:t>
      </w:r>
    </w:p>
    <w:p>
      <w:pPr>
        <w:spacing w:after="0" w:line="199" w:lineRule="auto"/>
        <w:rPr>
          <w:sz w:val="20"/>
          <w:szCs w:val="20"/>
          <w:color w:val="auto"/>
        </w:rPr>
      </w:pPr>
      <w:r>
        <w:rPr>
          <w:rFonts w:ascii="Arial" w:cs="Arial" w:eastAsia="Arial" w:hAnsi="Arial"/>
          <w:sz w:val="10"/>
          <w:szCs w:val="10"/>
          <w:color w:val="auto"/>
        </w:rPr>
        <w:t>With increasing global access to Tivdak and strong</w:t>
      </w:r>
    </w:p>
    <w:p>
      <w:pPr>
        <w:spacing w:after="0" w:line="199" w:lineRule="auto"/>
        <w:rPr>
          <w:sz w:val="20"/>
          <w:szCs w:val="20"/>
          <w:color w:val="auto"/>
        </w:rPr>
      </w:pPr>
      <w:r>
        <w:rPr>
          <w:rFonts w:ascii="Arial" w:cs="Arial" w:eastAsia="Arial" w:hAnsi="Arial"/>
          <w:sz w:val="10"/>
          <w:szCs w:val="10"/>
          <w:color w:val="auto"/>
        </w:rPr>
        <w:t>patient uptake, Genmab is building a robust</w:t>
      </w:r>
    </w:p>
    <w:p>
      <w:pPr>
        <w:spacing w:after="0" w:line="198" w:lineRule="auto"/>
        <w:rPr>
          <w:sz w:val="20"/>
          <w:szCs w:val="20"/>
          <w:color w:val="auto"/>
        </w:rPr>
      </w:pPr>
      <w:r>
        <w:rPr>
          <w:rFonts w:ascii="Arial" w:cs="Arial" w:eastAsia="Arial" w:hAnsi="Arial"/>
          <w:sz w:val="10"/>
          <w:szCs w:val="10"/>
          <w:color w:val="auto"/>
        </w:rPr>
        <w:t>foundation for broader impact across gynecologic</w:t>
      </w:r>
    </w:p>
    <w:p>
      <w:pPr>
        <w:spacing w:after="0" w:line="199" w:lineRule="auto"/>
        <w:rPr>
          <w:sz w:val="20"/>
          <w:szCs w:val="20"/>
          <w:color w:val="auto"/>
        </w:rPr>
      </w:pPr>
      <w:r>
        <w:rPr>
          <w:rFonts w:ascii="Arial" w:cs="Arial" w:eastAsia="Arial" w:hAnsi="Arial"/>
          <w:sz w:val="10"/>
          <w:szCs w:val="10"/>
          <w:color w:val="auto"/>
        </w:rPr>
        <w:t>cancers as we continue to advance our innovative</w:t>
      </w:r>
    </w:p>
    <w:p>
      <w:pPr>
        <w:spacing w:after="0" w:line="199" w:lineRule="auto"/>
        <w:rPr>
          <w:sz w:val="20"/>
          <w:szCs w:val="20"/>
          <w:color w:val="auto"/>
        </w:rPr>
      </w:pPr>
      <w:r>
        <w:rPr>
          <w:rFonts w:ascii="Arial" w:cs="Arial" w:eastAsia="Arial" w:hAnsi="Arial"/>
          <w:sz w:val="10"/>
          <w:szCs w:val="10"/>
          <w:color w:val="auto"/>
        </w:rPr>
        <w:t>pipeline with investigational assets like Rina-S that</w:t>
      </w:r>
    </w:p>
    <w:p>
      <w:pPr>
        <w:spacing w:after="0" w:line="198" w:lineRule="auto"/>
        <w:rPr>
          <w:sz w:val="20"/>
          <w:szCs w:val="20"/>
          <w:color w:val="auto"/>
        </w:rPr>
      </w:pPr>
      <w:r>
        <w:rPr>
          <w:rFonts w:ascii="Arial" w:cs="Arial" w:eastAsia="Arial" w:hAnsi="Arial"/>
          <w:sz w:val="10"/>
          <w:szCs w:val="10"/>
          <w:color w:val="auto"/>
        </w:rPr>
        <w:t>could broaden our reach to areas including ovarian</w:t>
      </w:r>
    </w:p>
    <w:p>
      <w:pPr>
        <w:spacing w:after="0"/>
        <w:rPr>
          <w:sz w:val="20"/>
          <w:szCs w:val="20"/>
          <w:color w:val="auto"/>
        </w:rPr>
      </w:pPr>
      <w:r>
        <w:rPr>
          <w:rFonts w:ascii="Arial" w:cs="Arial" w:eastAsia="Arial" w:hAnsi="Arial"/>
          <w:sz w:val="10"/>
          <w:szCs w:val="10"/>
          <w:color w:val="auto"/>
        </w:rPr>
        <w:t>and endometrial cancers.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571625" cy="979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1571625" cy="979170"/>
                    </a:xfrm>
                    <a:prstGeom prst="rect">
                      <a:avLst/>
                    </a:prstGeom>
                    <a:noFill/>
                  </pic:spPr>
                </pic:pic>
              </a:graphicData>
            </a:graphic>
          </wp:anchor>
        </w:drawing>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30" w:lineRule="exact"/>
        <w:rPr>
          <w:rFonts w:ascii="Arial" w:cs="Arial" w:eastAsia="Arial" w:hAnsi="Arial"/>
          <w:sz w:val="10"/>
          <w:szCs w:val="10"/>
          <w:b w:val="1"/>
          <w:bCs w:val="1"/>
          <w:color w:val="auto"/>
        </w:rPr>
      </w:pPr>
    </w:p>
    <w:p>
      <w:pPr>
        <w:ind w:left="100"/>
        <w:spacing w:after="0"/>
        <w:rPr>
          <w:sz w:val="20"/>
          <w:szCs w:val="20"/>
          <w:color w:val="auto"/>
        </w:rPr>
      </w:pPr>
      <w:r>
        <w:rPr>
          <w:rFonts w:ascii="Arial" w:cs="Arial" w:eastAsia="Arial" w:hAnsi="Arial"/>
          <w:sz w:val="13"/>
          <w:szCs w:val="13"/>
          <w:b w:val="1"/>
          <w:bCs w:val="1"/>
          <w:color w:val="auto"/>
        </w:rPr>
        <w:t>Tivdak</w:t>
      </w:r>
    </w:p>
    <w:p>
      <w:pPr>
        <w:ind w:left="100"/>
        <w:spacing w:after="0" w:line="216" w:lineRule="auto"/>
        <w:rPr>
          <w:sz w:val="20"/>
          <w:szCs w:val="20"/>
          <w:color w:val="auto"/>
        </w:rPr>
      </w:pPr>
      <w:r>
        <w:rPr>
          <w:rFonts w:ascii="Arial" w:cs="Arial" w:eastAsia="Arial" w:hAnsi="Arial"/>
          <w:sz w:val="11"/>
          <w:szCs w:val="11"/>
          <w:color w:val="auto"/>
        </w:rPr>
        <w:t>Tivdak is the first and only ADC</w:t>
      </w:r>
    </w:p>
    <w:p>
      <w:pPr>
        <w:ind w:left="100"/>
        <w:spacing w:after="0" w:line="217" w:lineRule="auto"/>
        <w:rPr>
          <w:sz w:val="20"/>
          <w:szCs w:val="20"/>
          <w:color w:val="auto"/>
        </w:rPr>
      </w:pPr>
      <w:r>
        <w:rPr>
          <w:rFonts w:ascii="Arial" w:cs="Arial" w:eastAsia="Arial" w:hAnsi="Arial"/>
          <w:sz w:val="11"/>
          <w:szCs w:val="11"/>
          <w:color w:val="auto"/>
        </w:rPr>
        <w:t>approved in the US, Europe, and Japan</w:t>
      </w:r>
    </w:p>
    <w:p>
      <w:pPr>
        <w:ind w:left="100"/>
        <w:spacing w:after="0" w:line="217" w:lineRule="auto"/>
        <w:rPr>
          <w:sz w:val="20"/>
          <w:szCs w:val="20"/>
          <w:color w:val="auto"/>
        </w:rPr>
      </w:pPr>
      <w:r>
        <w:rPr>
          <w:rFonts w:ascii="Arial" w:cs="Arial" w:eastAsia="Arial" w:hAnsi="Arial"/>
          <w:sz w:val="11"/>
          <w:szCs w:val="11"/>
          <w:color w:val="auto"/>
        </w:rPr>
        <w:t>for the treatment of recurrent or</w:t>
      </w:r>
    </w:p>
    <w:p>
      <w:pPr>
        <w:ind w:left="100"/>
        <w:spacing w:after="0" w:line="216" w:lineRule="auto"/>
        <w:rPr>
          <w:sz w:val="20"/>
          <w:szCs w:val="20"/>
          <w:color w:val="auto"/>
        </w:rPr>
      </w:pPr>
      <w:r>
        <w:rPr>
          <w:rFonts w:ascii="Arial" w:cs="Arial" w:eastAsia="Arial" w:hAnsi="Arial"/>
          <w:sz w:val="11"/>
          <w:szCs w:val="11"/>
          <w:color w:val="auto"/>
        </w:rPr>
        <w:t>metastatic cervical cancer after prior</w:t>
      </w:r>
    </w:p>
    <w:p>
      <w:pPr>
        <w:ind w:left="100"/>
        <w:spacing w:after="0" w:line="217" w:lineRule="auto"/>
        <w:rPr>
          <w:sz w:val="20"/>
          <w:szCs w:val="20"/>
          <w:color w:val="auto"/>
        </w:rPr>
      </w:pPr>
      <w:r>
        <w:rPr>
          <w:rFonts w:ascii="Arial" w:cs="Arial" w:eastAsia="Arial" w:hAnsi="Arial"/>
          <w:sz w:val="11"/>
          <w:szCs w:val="11"/>
          <w:color w:val="auto"/>
        </w:rPr>
        <w:t>therapy and is the only ADC with</w:t>
      </w:r>
    </w:p>
    <w:p>
      <w:pPr>
        <w:ind w:left="100"/>
        <w:spacing w:after="0" w:line="217" w:lineRule="auto"/>
        <w:rPr>
          <w:sz w:val="20"/>
          <w:szCs w:val="20"/>
          <w:color w:val="auto"/>
        </w:rPr>
      </w:pPr>
      <w:r>
        <w:rPr>
          <w:rFonts w:ascii="Arial" w:cs="Arial" w:eastAsia="Arial" w:hAnsi="Arial"/>
          <w:sz w:val="11"/>
          <w:szCs w:val="11"/>
          <w:color w:val="auto"/>
        </w:rPr>
        <w:t>demonstrated overall survival data in</w:t>
      </w:r>
    </w:p>
    <w:p>
      <w:pPr>
        <w:ind w:left="100"/>
        <w:spacing w:after="0"/>
        <w:rPr>
          <w:sz w:val="20"/>
          <w:szCs w:val="20"/>
          <w:color w:val="auto"/>
        </w:rPr>
      </w:pPr>
      <w:r>
        <w:rPr>
          <w:rFonts w:ascii="Arial" w:cs="Arial" w:eastAsia="Arial" w:hAnsi="Arial"/>
          <w:sz w:val="11"/>
          <w:szCs w:val="11"/>
          <w:color w:val="auto"/>
        </w:rPr>
        <w:t>this setting compared to chemotherapy.</w:t>
      </w:r>
    </w:p>
    <w:p>
      <w:pPr>
        <w:spacing w:after="0" w:line="301"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8"/>
          <w:szCs w:val="18"/>
          <w:color w:val="009D94"/>
        </w:rPr>
        <w:t>Ensuring Rapid and</w:t>
      </w:r>
    </w:p>
    <w:p>
      <w:pPr>
        <w:spacing w:after="0" w:line="198" w:lineRule="auto"/>
        <w:rPr>
          <w:sz w:val="20"/>
          <w:szCs w:val="20"/>
          <w:color w:val="auto"/>
        </w:rPr>
      </w:pPr>
      <w:r>
        <w:rPr>
          <w:rFonts w:ascii="Arial" w:cs="Arial" w:eastAsia="Arial" w:hAnsi="Arial"/>
          <w:sz w:val="18"/>
          <w:szCs w:val="18"/>
          <w:color w:val="009D94"/>
        </w:rPr>
        <w:t>Sustainable Access to</w:t>
      </w:r>
    </w:p>
    <w:p>
      <w:pPr>
        <w:spacing w:after="0" w:line="201" w:lineRule="auto"/>
        <w:rPr>
          <w:sz w:val="20"/>
          <w:szCs w:val="20"/>
          <w:color w:val="auto"/>
        </w:rPr>
      </w:pPr>
      <w:r>
        <w:rPr>
          <w:rFonts w:ascii="Arial" w:cs="Arial" w:eastAsia="Arial" w:hAnsi="Arial"/>
          <w:sz w:val="18"/>
          <w:szCs w:val="18"/>
          <w:color w:val="009D94"/>
        </w:rPr>
        <w:t>Our Medicines</w:t>
      </w:r>
    </w:p>
    <w:p>
      <w:pPr>
        <w:spacing w:after="0" w:line="200" w:lineRule="auto"/>
        <w:rPr>
          <w:sz w:val="20"/>
          <w:szCs w:val="20"/>
          <w:color w:val="auto"/>
        </w:rPr>
      </w:pPr>
      <w:r>
        <w:rPr>
          <w:rFonts w:ascii="Arial" w:cs="Arial" w:eastAsia="Arial" w:hAnsi="Arial"/>
          <w:sz w:val="10"/>
          <w:szCs w:val="10"/>
          <w:color w:val="auto"/>
        </w:rPr>
        <w:t>We are focused on our pursuit to turn innovative</w:t>
      </w:r>
    </w:p>
    <w:p>
      <w:pPr>
        <w:spacing w:after="0" w:line="198" w:lineRule="auto"/>
        <w:rPr>
          <w:sz w:val="20"/>
          <w:szCs w:val="20"/>
          <w:color w:val="auto"/>
        </w:rPr>
      </w:pPr>
      <w:r>
        <w:rPr>
          <w:rFonts w:ascii="Arial" w:cs="Arial" w:eastAsia="Arial" w:hAnsi="Arial"/>
          <w:sz w:val="10"/>
          <w:szCs w:val="10"/>
          <w:color w:val="auto"/>
        </w:rPr>
        <w:t>science into medicines that create value and</w:t>
      </w:r>
    </w:p>
    <w:p>
      <w:pPr>
        <w:spacing w:after="0"/>
        <w:rPr>
          <w:sz w:val="20"/>
          <w:szCs w:val="20"/>
          <w:color w:val="auto"/>
        </w:rPr>
      </w:pPr>
      <w:r>
        <w:rPr>
          <w:rFonts w:ascii="Arial" w:cs="Arial" w:eastAsia="Arial" w:hAnsi="Arial"/>
          <w:sz w:val="10"/>
          <w:szCs w:val="10"/>
          <w:color w:val="auto"/>
        </w:rPr>
        <w:t>provide meaningful impact to patients and</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6781165" cy="6109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6781165" cy="6109970"/>
                    </a:xfrm>
                    <a:prstGeom prst="rect">
                      <a:avLst/>
                    </a:prstGeom>
                    <a:noFill/>
                  </pic:spPr>
                </pic:pic>
              </a:graphicData>
            </a:graphic>
          </wp:anchor>
        </w:drawing>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17</w:t>
      </w:r>
    </w:p>
    <w:p>
      <w:pPr>
        <w:sectPr>
          <w:pgSz w:w="11900" w:h="16840" w:orient="portrait"/>
          <w:cols w:equalWidth="0" w:num="2">
            <w:col w:w="7400" w:space="720"/>
            <w:col w:w="1700"/>
          </w:cols>
          <w:pgMar w:left="640" w:top="571" w:right="1440" w:bottom="1440" w:gutter="0" w:footer="0" w:header="0"/>
        </w:sectPr>
      </w:pPr>
    </w:p>
    <w:bookmarkStart w:id="90" w:name="page91"/>
    <w:bookmarkEnd w:id="90"/>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1" w:name="page92"/>
    <w:bookmarkEnd w:id="91"/>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2" w:name="page93"/>
    <w:bookmarkEnd w:id="92"/>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3" w:name="page94"/>
    <w:bookmarkEnd w:id="93"/>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4" w:name="page95"/>
    <w:bookmarkEnd w:id="94"/>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5" w:name="page96"/>
    <w:bookmarkEnd w:id="95"/>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6" w:name="page97"/>
    <w:bookmarkEnd w:id="96"/>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7" w:name="page98"/>
    <w:bookmarkEnd w:id="97"/>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8" w:name="page99"/>
    <w:bookmarkEnd w:id="98"/>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51"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3"/>
          <w:szCs w:val="33"/>
          <w:color w:val="009D94"/>
        </w:rPr>
        <w:t>Financial Review — Group</w:t>
      </w:r>
    </w:p>
    <w:p>
      <w:pPr>
        <w:spacing w:after="0" w:line="198" w:lineRule="auto"/>
        <w:rPr>
          <w:sz w:val="20"/>
          <w:szCs w:val="20"/>
          <w:color w:val="auto"/>
        </w:rPr>
      </w:pPr>
      <w:r>
        <w:rPr>
          <w:rFonts w:ascii="Arial" w:cs="Arial" w:eastAsia="Arial" w:hAnsi="Arial"/>
          <w:sz w:val="10"/>
          <w:szCs w:val="10"/>
          <w:color w:val="auto"/>
        </w:rPr>
        <w:t>The financial statements are prepared on a consolidated basis for Genmab A/S (parent company)</w:t>
      </w:r>
    </w:p>
    <w:p>
      <w:pPr>
        <w:ind w:right="2540"/>
        <w:spacing w:after="0" w:line="198" w:lineRule="auto"/>
        <w:rPr>
          <w:sz w:val="20"/>
          <w:szCs w:val="20"/>
          <w:color w:val="auto"/>
        </w:rPr>
      </w:pPr>
      <w:r>
        <w:rPr>
          <w:rFonts w:ascii="Arial" w:cs="Arial" w:eastAsia="Arial" w:hAnsi="Arial"/>
          <w:sz w:val="10"/>
          <w:szCs w:val="10"/>
          <w:color w:val="auto"/>
        </w:rPr>
        <w:t>and its subsidiaries. Management has determined it is appropriate to change both the functional currency of the Genmab A/S legal entity and the presentation currency of the consolidated financial statements from DKK to USD effective January 1, 2025. The change in functional currency was triggered by</w:t>
      </w:r>
    </w:p>
    <w:p>
      <w:pPr>
        <w:spacing w:after="0" w:line="1" w:lineRule="exact"/>
        <w:rPr>
          <w:rFonts w:ascii="Arial" w:cs="Arial" w:eastAsia="Arial" w:hAnsi="Arial"/>
          <w:sz w:val="10"/>
          <w:szCs w:val="10"/>
          <w:b w:val="1"/>
          <w:bCs w:val="1"/>
          <w:color w:val="auto"/>
        </w:rPr>
      </w:pPr>
    </w:p>
    <w:p>
      <w:pPr>
        <w:ind w:right="2460"/>
        <w:spacing w:after="0" w:line="198" w:lineRule="auto"/>
        <w:rPr>
          <w:sz w:val="20"/>
          <w:szCs w:val="20"/>
          <w:color w:val="auto"/>
        </w:rPr>
      </w:pPr>
      <w:r>
        <w:rPr>
          <w:rFonts w:ascii="Arial" w:cs="Arial" w:eastAsia="Arial" w:hAnsi="Arial"/>
          <w:sz w:val="10"/>
          <w:szCs w:val="10"/>
          <w:color w:val="auto"/>
        </w:rPr>
        <w:t>the expanding commercialization of EPKINLY and was made to reflect that USD has become the predominant currency of the Genmab A/S legal entity. The change has been implemented with prospective effect. The change in presentation currency is applied retrospectively and was made to better reflect the Company’s financial position. Comparative figures for prior periods have been restated accordingly. The symbol “ $” is used throughout this annual report to refer to the U.S. dollar. The Genmab consolidated Group is referenced herein as “Genmab” or the “Company.”</w:t>
      </w:r>
    </w:p>
    <w:p>
      <w:pPr>
        <w:spacing w:after="0" w:line="2" w:lineRule="exact"/>
        <w:rPr>
          <w:rFonts w:ascii="Arial" w:cs="Arial" w:eastAsia="Arial" w:hAnsi="Arial"/>
          <w:sz w:val="10"/>
          <w:szCs w:val="10"/>
          <w:b w:val="1"/>
          <w:bCs w:val="1"/>
          <w:color w:val="auto"/>
        </w:rPr>
      </w:pPr>
    </w:p>
    <w:p>
      <w:pPr>
        <w:jc w:val="both"/>
        <w:ind w:right="2440"/>
        <w:spacing w:after="0" w:line="198" w:lineRule="auto"/>
        <w:rPr>
          <w:sz w:val="20"/>
          <w:szCs w:val="20"/>
          <w:color w:val="auto"/>
        </w:rPr>
      </w:pPr>
      <w:r>
        <w:rPr>
          <w:rFonts w:ascii="Arial" w:cs="Arial" w:eastAsia="Arial" w:hAnsi="Arial"/>
          <w:sz w:val="10"/>
          <w:szCs w:val="10"/>
          <w:color w:val="auto"/>
        </w:rPr>
        <w:t>On December 12, 2025, Genmab closed on the acquisition of Merus, including its late-stage breakthrough therapy asset petosemtamab. In order to finance the acquisition, Genmab incurred borrowing of $5.5 billion and utilized cash on hand. Genmab’s financial results for 2025 reflect the impact of these transactions.</w:t>
      </w:r>
    </w:p>
    <w:p>
      <w:pPr>
        <w:spacing w:after="0" w:line="1" w:lineRule="exact"/>
        <w:rPr>
          <w:rFonts w:ascii="Arial" w:cs="Arial" w:eastAsia="Arial" w:hAnsi="Arial"/>
          <w:sz w:val="10"/>
          <w:szCs w:val="10"/>
          <w:b w:val="1"/>
          <w:bCs w:val="1"/>
          <w:color w:val="auto"/>
        </w:rPr>
      </w:pPr>
    </w:p>
    <w:p>
      <w:pPr>
        <w:ind w:right="2740"/>
        <w:spacing w:after="0" w:line="196" w:lineRule="auto"/>
        <w:rPr>
          <w:sz w:val="20"/>
          <w:szCs w:val="20"/>
          <w:color w:val="auto"/>
        </w:rPr>
      </w:pPr>
      <w:r>
        <w:rPr>
          <w:rFonts w:ascii="Arial" w:cs="Arial" w:eastAsia="Arial" w:hAnsi="Arial"/>
          <w:sz w:val="10"/>
          <w:szCs w:val="10"/>
          <w:color w:val="auto"/>
        </w:rPr>
        <w:t>(In all accompanying tables, amounts of dollars are expressed in millions, except per share amounts, unless otherwise noted)</w:t>
      </w:r>
    </w:p>
    <w:p>
      <w:pPr>
        <w:spacing w:after="0" w:line="204" w:lineRule="auto"/>
        <w:rPr>
          <w:sz w:val="20"/>
          <w:szCs w:val="20"/>
          <w:color w:val="auto"/>
        </w:rPr>
      </w:pPr>
      <w:r>
        <w:rPr>
          <w:rFonts w:ascii="Arial" w:cs="Arial" w:eastAsia="Arial" w:hAnsi="Arial"/>
          <w:sz w:val="18"/>
          <w:szCs w:val="18"/>
          <w:color w:val="009D94"/>
        </w:rPr>
        <w:t>Financial Performance For The Year</w:t>
      </w:r>
    </w:p>
    <w:p>
      <w:pPr>
        <w:spacing w:after="0" w:line="225" w:lineRule="auto"/>
        <w:rPr>
          <w:sz w:val="20"/>
          <w:szCs w:val="20"/>
          <w:color w:val="auto"/>
        </w:rPr>
      </w:pPr>
      <w:r>
        <w:rPr>
          <w:rFonts w:ascii="Arial" w:cs="Arial" w:eastAsia="Arial" w:hAnsi="Arial"/>
          <w:sz w:val="13"/>
          <w:szCs w:val="13"/>
          <w:b w:val="1"/>
          <w:bCs w:val="1"/>
          <w:color w:val="009D94"/>
        </w:rPr>
        <w:t>Guidance and Result for 2025</w:t>
      </w:r>
    </w:p>
    <w:tbl>
      <w:tblPr>
        <w:tblLayout w:type="fixed"/>
        <w:tblInd w:w="0" w:type="dxa"/>
        <w:tblCellMar>
          <w:top w:w="0" w:type="dxa"/>
          <w:left w:w="0" w:type="dxa"/>
          <w:bottom w:w="0" w:type="dxa"/>
          <w:right w:w="0" w:type="dxa"/>
        </w:tblCellMar>
      </w:tblPr>
      <w:tr>
        <w:trPr>
          <w:trHeight w:val="123"/>
        </w:trPr>
        <w:tc>
          <w:tcPr>
            <w:tcW w:w="1980" w:type="dxa"/>
            <w:vAlign w:val="bottom"/>
            <w:tcBorders>
              <w:top w:val="single" w:sz="8" w:color="009D94"/>
            </w:tcBorders>
          </w:tcPr>
          <w:p>
            <w:pPr>
              <w:spacing w:after="0"/>
              <w:rPr>
                <w:sz w:val="10"/>
                <w:szCs w:val="10"/>
                <w:color w:val="auto"/>
              </w:rPr>
            </w:pPr>
          </w:p>
        </w:tc>
        <w:tc>
          <w:tcPr>
            <w:tcW w:w="980" w:type="dxa"/>
            <w:vAlign w:val="bottom"/>
            <w:tcBorders>
              <w:top w:val="single" w:sz="8" w:color="009D94"/>
            </w:tcBorders>
          </w:tcPr>
          <w:p>
            <w:pPr>
              <w:jc w:val="right"/>
              <w:ind w:right="248"/>
              <w:spacing w:after="0"/>
              <w:rPr>
                <w:sz w:val="20"/>
                <w:szCs w:val="20"/>
                <w:color w:val="auto"/>
              </w:rPr>
            </w:pPr>
            <w:r>
              <w:rPr>
                <w:rFonts w:ascii="Arial" w:cs="Arial" w:eastAsia="Arial" w:hAnsi="Arial"/>
                <w:sz w:val="10"/>
                <w:szCs w:val="10"/>
                <w:b w:val="1"/>
                <w:bCs w:val="1"/>
                <w:color w:val="auto"/>
              </w:rPr>
              <w:t>Actual Result</w:t>
            </w:r>
          </w:p>
        </w:tc>
        <w:tc>
          <w:tcPr>
            <w:tcW w:w="920" w:type="dxa"/>
            <w:vAlign w:val="bottom"/>
            <w:tcBorders>
              <w:top w:val="single" w:sz="8" w:color="009D94"/>
            </w:tcBorders>
          </w:tcPr>
          <w:p>
            <w:pPr>
              <w:jc w:val="right"/>
              <w:ind w:right="88"/>
              <w:spacing w:after="0"/>
              <w:rPr>
                <w:sz w:val="20"/>
                <w:szCs w:val="20"/>
                <w:color w:val="auto"/>
              </w:rPr>
            </w:pPr>
            <w:r>
              <w:rPr>
                <w:rFonts w:ascii="Arial" w:cs="Arial" w:eastAsia="Arial" w:hAnsi="Arial"/>
                <w:sz w:val="10"/>
                <w:szCs w:val="10"/>
                <w:b w:val="1"/>
                <w:bCs w:val="1"/>
                <w:color w:val="auto"/>
                <w:w w:val="95"/>
              </w:rPr>
              <w:t>Adjusted Result</w:t>
            </w:r>
            <w:r>
              <w:rPr>
                <w:rFonts w:ascii="Arial" w:cs="Arial" w:eastAsia="Arial" w:hAnsi="Arial"/>
                <w:sz w:val="6"/>
                <w:szCs w:val="6"/>
                <w:b w:val="1"/>
                <w:bCs w:val="1"/>
                <w:color w:val="auto"/>
                <w:w w:val="95"/>
              </w:rPr>
              <w:t>1</w:t>
            </w:r>
          </w:p>
        </w:tc>
        <w:tc>
          <w:tcPr>
            <w:tcW w:w="940" w:type="dxa"/>
            <w:vAlign w:val="bottom"/>
            <w:tcBorders>
              <w:top w:val="single" w:sz="8" w:color="009D94"/>
            </w:tcBorders>
          </w:tcPr>
          <w:p>
            <w:pPr>
              <w:ind w:left="20"/>
              <w:spacing w:after="0"/>
              <w:rPr>
                <w:sz w:val="20"/>
                <w:szCs w:val="20"/>
                <w:color w:val="auto"/>
              </w:rPr>
            </w:pPr>
            <w:r>
              <w:rPr>
                <w:rFonts w:ascii="Arial" w:cs="Arial" w:eastAsia="Arial" w:hAnsi="Arial"/>
                <w:sz w:val="10"/>
                <w:szCs w:val="10"/>
                <w:b w:val="1"/>
                <w:bCs w:val="1"/>
                <w:color w:val="auto"/>
              </w:rPr>
              <w:t>Latest Guidance</w:t>
            </w:r>
          </w:p>
        </w:tc>
      </w:tr>
      <w:tr>
        <w:trPr>
          <w:trHeight w:val="137"/>
        </w:trPr>
        <w:tc>
          <w:tcPr>
            <w:tcW w:w="1980" w:type="dxa"/>
            <w:vAlign w:val="bottom"/>
          </w:tcPr>
          <w:p>
            <w:pPr>
              <w:ind w:left="20"/>
              <w:spacing w:after="0"/>
              <w:rPr>
                <w:sz w:val="20"/>
                <w:szCs w:val="20"/>
                <w:color w:val="auto"/>
              </w:rPr>
            </w:pPr>
            <w:r>
              <w:rPr>
                <w:rFonts w:ascii="Arial" w:cs="Arial" w:eastAsia="Arial" w:hAnsi="Arial"/>
                <w:sz w:val="10"/>
                <w:szCs w:val="10"/>
                <w:color w:val="auto"/>
              </w:rPr>
              <w:t>Revenue</w:t>
            </w:r>
          </w:p>
        </w:tc>
        <w:tc>
          <w:tcPr>
            <w:tcW w:w="980" w:type="dxa"/>
            <w:vAlign w:val="bottom"/>
          </w:tcPr>
          <w:p>
            <w:pPr>
              <w:jc w:val="right"/>
              <w:ind w:right="8"/>
              <w:spacing w:after="0"/>
              <w:rPr>
                <w:sz w:val="20"/>
                <w:szCs w:val="20"/>
                <w:color w:val="auto"/>
              </w:rPr>
            </w:pPr>
            <w:r>
              <w:rPr>
                <w:rFonts w:ascii="Arial" w:cs="Arial" w:eastAsia="Arial" w:hAnsi="Arial"/>
                <w:sz w:val="10"/>
                <w:szCs w:val="10"/>
                <w:color w:val="auto"/>
              </w:rPr>
              <w:t>3,720</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3,720</w:t>
            </w:r>
          </w:p>
        </w:tc>
        <w:tc>
          <w:tcPr>
            <w:tcW w:w="940" w:type="dxa"/>
            <w:vAlign w:val="bottom"/>
          </w:tcPr>
          <w:p>
            <w:pPr>
              <w:ind w:left="20"/>
              <w:spacing w:after="0"/>
              <w:rPr>
                <w:sz w:val="20"/>
                <w:szCs w:val="20"/>
                <w:color w:val="auto"/>
              </w:rPr>
            </w:pPr>
            <w:r>
              <w:rPr>
                <w:rFonts w:ascii="Arial" w:cs="Arial" w:eastAsia="Arial" w:hAnsi="Arial"/>
                <w:sz w:val="10"/>
                <w:szCs w:val="10"/>
                <w:color w:val="auto"/>
              </w:rPr>
              <w:t>3,500 - 3,700</w:t>
            </w:r>
          </w:p>
        </w:tc>
      </w:tr>
      <w:tr>
        <w:trPr>
          <w:trHeight w:val="152"/>
        </w:trPr>
        <w:tc>
          <w:tcPr>
            <w:tcW w:w="1980" w:type="dxa"/>
            <w:vAlign w:val="bottom"/>
          </w:tcPr>
          <w:p>
            <w:pPr>
              <w:ind w:left="20"/>
              <w:spacing w:after="0"/>
              <w:rPr>
                <w:sz w:val="20"/>
                <w:szCs w:val="20"/>
                <w:color w:val="auto"/>
              </w:rPr>
            </w:pPr>
            <w:r>
              <w:rPr>
                <w:rFonts w:ascii="Arial" w:cs="Arial" w:eastAsia="Arial" w:hAnsi="Arial"/>
                <w:sz w:val="10"/>
                <w:szCs w:val="10"/>
                <w:i w:val="1"/>
                <w:iCs w:val="1"/>
                <w:color w:val="auto"/>
              </w:rPr>
              <w:t>Royalties</w:t>
            </w:r>
          </w:p>
        </w:tc>
        <w:tc>
          <w:tcPr>
            <w:tcW w:w="980" w:type="dxa"/>
            <w:vAlign w:val="bottom"/>
          </w:tcPr>
          <w:p>
            <w:pPr>
              <w:jc w:val="right"/>
              <w:ind w:right="8"/>
              <w:spacing w:after="0"/>
              <w:rPr>
                <w:sz w:val="20"/>
                <w:szCs w:val="20"/>
                <w:color w:val="auto"/>
              </w:rPr>
            </w:pPr>
            <w:r>
              <w:rPr>
                <w:rFonts w:ascii="Arial" w:cs="Arial" w:eastAsia="Arial" w:hAnsi="Arial"/>
                <w:sz w:val="10"/>
                <w:szCs w:val="10"/>
                <w:color w:val="auto"/>
              </w:rPr>
              <w:t>3,102</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3,102</w:t>
            </w:r>
          </w:p>
        </w:tc>
        <w:tc>
          <w:tcPr>
            <w:tcW w:w="940" w:type="dxa"/>
            <w:vAlign w:val="bottom"/>
          </w:tcPr>
          <w:p>
            <w:pPr>
              <w:ind w:left="20"/>
              <w:spacing w:after="0"/>
              <w:rPr>
                <w:sz w:val="20"/>
                <w:szCs w:val="20"/>
                <w:color w:val="auto"/>
              </w:rPr>
            </w:pPr>
            <w:r>
              <w:rPr>
                <w:rFonts w:ascii="Arial" w:cs="Arial" w:eastAsia="Arial" w:hAnsi="Arial"/>
                <w:sz w:val="10"/>
                <w:szCs w:val="10"/>
                <w:color w:val="auto"/>
              </w:rPr>
              <w:t>2,945 - 3,090</w:t>
            </w:r>
          </w:p>
        </w:tc>
      </w:tr>
      <w:tr>
        <w:trPr>
          <w:trHeight w:val="152"/>
        </w:trPr>
        <w:tc>
          <w:tcPr>
            <w:tcW w:w="1980" w:type="dxa"/>
            <w:vAlign w:val="bottom"/>
          </w:tcPr>
          <w:p>
            <w:pPr>
              <w:ind w:left="20"/>
              <w:spacing w:after="0"/>
              <w:rPr>
                <w:sz w:val="20"/>
                <w:szCs w:val="20"/>
                <w:color w:val="auto"/>
              </w:rPr>
            </w:pPr>
            <w:r>
              <w:rPr>
                <w:rFonts w:ascii="Arial" w:cs="Arial" w:eastAsia="Arial" w:hAnsi="Arial"/>
                <w:sz w:val="10"/>
                <w:szCs w:val="10"/>
                <w:i w:val="1"/>
                <w:iCs w:val="1"/>
                <w:color w:val="auto"/>
              </w:rPr>
              <w:t>Net product sales/Collaboration revenue</w:t>
            </w:r>
          </w:p>
        </w:tc>
        <w:tc>
          <w:tcPr>
            <w:tcW w:w="980" w:type="dxa"/>
            <w:vAlign w:val="bottom"/>
          </w:tcPr>
          <w:p>
            <w:pPr>
              <w:jc w:val="right"/>
              <w:ind w:right="8"/>
              <w:spacing w:after="0"/>
              <w:rPr>
                <w:sz w:val="20"/>
                <w:szCs w:val="20"/>
                <w:color w:val="auto"/>
              </w:rPr>
            </w:pPr>
            <w:r>
              <w:rPr>
                <w:rFonts w:ascii="Arial" w:cs="Arial" w:eastAsia="Arial" w:hAnsi="Arial"/>
                <w:sz w:val="10"/>
                <w:szCs w:val="10"/>
                <w:color w:val="auto"/>
              </w:rPr>
              <w:t>468</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468</w:t>
            </w:r>
          </w:p>
        </w:tc>
        <w:tc>
          <w:tcPr>
            <w:tcW w:w="940" w:type="dxa"/>
            <w:vAlign w:val="bottom"/>
          </w:tcPr>
          <w:p>
            <w:pPr>
              <w:ind w:left="20"/>
              <w:spacing w:after="0"/>
              <w:rPr>
                <w:sz w:val="20"/>
                <w:szCs w:val="20"/>
                <w:color w:val="auto"/>
              </w:rPr>
            </w:pPr>
            <w:r>
              <w:rPr>
                <w:rFonts w:ascii="Arial" w:cs="Arial" w:eastAsia="Arial" w:hAnsi="Arial"/>
                <w:sz w:val="10"/>
                <w:szCs w:val="10"/>
                <w:color w:val="auto"/>
              </w:rPr>
              <w:t>425 - 465</w:t>
            </w:r>
          </w:p>
        </w:tc>
      </w:tr>
      <w:tr>
        <w:trPr>
          <w:trHeight w:val="152"/>
        </w:trPr>
        <w:tc>
          <w:tcPr>
            <w:tcW w:w="1980" w:type="dxa"/>
            <w:vAlign w:val="bottom"/>
          </w:tcPr>
          <w:p>
            <w:pPr>
              <w:ind w:left="20"/>
              <w:spacing w:after="0"/>
              <w:rPr>
                <w:sz w:val="20"/>
                <w:szCs w:val="20"/>
                <w:color w:val="auto"/>
              </w:rPr>
            </w:pPr>
            <w:r>
              <w:rPr>
                <w:rFonts w:ascii="Arial" w:cs="Arial" w:eastAsia="Arial" w:hAnsi="Arial"/>
                <w:sz w:val="10"/>
                <w:szCs w:val="10"/>
                <w:i w:val="1"/>
                <w:iCs w:val="1"/>
                <w:color w:val="auto"/>
              </w:rPr>
              <w:t>Milestones/Reimbursement revenue</w:t>
            </w:r>
          </w:p>
        </w:tc>
        <w:tc>
          <w:tcPr>
            <w:tcW w:w="980" w:type="dxa"/>
            <w:vAlign w:val="bottom"/>
          </w:tcPr>
          <w:p>
            <w:pPr>
              <w:jc w:val="right"/>
              <w:ind w:right="8"/>
              <w:spacing w:after="0"/>
              <w:rPr>
                <w:sz w:val="20"/>
                <w:szCs w:val="20"/>
                <w:color w:val="auto"/>
              </w:rPr>
            </w:pPr>
            <w:r>
              <w:rPr>
                <w:rFonts w:ascii="Arial" w:cs="Arial" w:eastAsia="Arial" w:hAnsi="Arial"/>
                <w:sz w:val="10"/>
                <w:szCs w:val="10"/>
                <w:color w:val="auto"/>
              </w:rPr>
              <w:t>150</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150</w:t>
            </w:r>
          </w:p>
        </w:tc>
        <w:tc>
          <w:tcPr>
            <w:tcW w:w="940" w:type="dxa"/>
            <w:vAlign w:val="bottom"/>
          </w:tcPr>
          <w:p>
            <w:pPr>
              <w:ind w:left="20"/>
              <w:spacing w:after="0"/>
              <w:rPr>
                <w:sz w:val="20"/>
                <w:szCs w:val="20"/>
                <w:color w:val="auto"/>
              </w:rPr>
            </w:pPr>
            <w:r>
              <w:rPr>
                <w:rFonts w:ascii="Arial" w:cs="Arial" w:eastAsia="Arial" w:hAnsi="Arial"/>
                <w:sz w:val="10"/>
                <w:szCs w:val="10"/>
                <w:color w:val="auto"/>
              </w:rPr>
              <w:t>130 - 145</w:t>
            </w:r>
          </w:p>
        </w:tc>
      </w:tr>
      <w:tr>
        <w:trPr>
          <w:trHeight w:val="152"/>
        </w:trPr>
        <w:tc>
          <w:tcPr>
            <w:tcW w:w="1980" w:type="dxa"/>
            <w:vAlign w:val="bottom"/>
          </w:tcPr>
          <w:p>
            <w:pPr>
              <w:ind w:left="20"/>
              <w:spacing w:after="0"/>
              <w:rPr>
                <w:sz w:val="20"/>
                <w:szCs w:val="20"/>
                <w:color w:val="auto"/>
              </w:rPr>
            </w:pPr>
            <w:r>
              <w:rPr>
                <w:rFonts w:ascii="Arial" w:cs="Arial" w:eastAsia="Arial" w:hAnsi="Arial"/>
                <w:sz w:val="10"/>
                <w:szCs w:val="10"/>
                <w:color w:val="auto"/>
              </w:rPr>
              <w:t>Gross Profit</w:t>
            </w:r>
          </w:p>
        </w:tc>
        <w:tc>
          <w:tcPr>
            <w:tcW w:w="980" w:type="dxa"/>
            <w:vAlign w:val="bottom"/>
          </w:tcPr>
          <w:p>
            <w:pPr>
              <w:jc w:val="right"/>
              <w:ind w:right="8"/>
              <w:spacing w:after="0"/>
              <w:rPr>
                <w:sz w:val="20"/>
                <w:szCs w:val="20"/>
                <w:color w:val="auto"/>
              </w:rPr>
            </w:pPr>
            <w:r>
              <w:rPr>
                <w:rFonts w:ascii="Arial" w:cs="Arial" w:eastAsia="Arial" w:hAnsi="Arial"/>
                <w:sz w:val="10"/>
                <w:szCs w:val="10"/>
                <w:color w:val="auto"/>
              </w:rPr>
              <w:t>3,482</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3,482</w:t>
            </w:r>
          </w:p>
        </w:tc>
        <w:tc>
          <w:tcPr>
            <w:tcW w:w="940" w:type="dxa"/>
            <w:vAlign w:val="bottom"/>
          </w:tcPr>
          <w:p>
            <w:pPr>
              <w:ind w:left="20"/>
              <w:spacing w:after="0"/>
              <w:rPr>
                <w:sz w:val="20"/>
                <w:szCs w:val="20"/>
                <w:color w:val="auto"/>
              </w:rPr>
            </w:pPr>
            <w:r>
              <w:rPr>
                <w:rFonts w:ascii="Arial" w:cs="Arial" w:eastAsia="Arial" w:hAnsi="Arial"/>
                <w:sz w:val="10"/>
                <w:szCs w:val="10"/>
                <w:color w:val="auto"/>
              </w:rPr>
              <w:t>3,280 - 3,460</w:t>
            </w:r>
          </w:p>
        </w:tc>
      </w:tr>
      <w:tr>
        <w:trPr>
          <w:trHeight w:val="152"/>
        </w:trPr>
        <w:tc>
          <w:tcPr>
            <w:tcW w:w="1980" w:type="dxa"/>
            <w:vAlign w:val="bottom"/>
          </w:tcPr>
          <w:p>
            <w:pPr>
              <w:ind w:left="20"/>
              <w:spacing w:after="0"/>
              <w:rPr>
                <w:sz w:val="20"/>
                <w:szCs w:val="20"/>
                <w:color w:val="auto"/>
              </w:rPr>
            </w:pPr>
            <w:r>
              <w:rPr>
                <w:rFonts w:ascii="Arial" w:cs="Arial" w:eastAsia="Arial" w:hAnsi="Arial"/>
                <w:sz w:val="10"/>
                <w:szCs w:val="10"/>
                <w:color w:val="auto"/>
              </w:rPr>
              <w:t>Operating Expenses</w:t>
            </w:r>
          </w:p>
        </w:tc>
        <w:tc>
          <w:tcPr>
            <w:tcW w:w="980" w:type="dxa"/>
            <w:vAlign w:val="bottom"/>
          </w:tcPr>
          <w:p>
            <w:pPr>
              <w:jc w:val="right"/>
              <w:spacing w:after="0"/>
              <w:rPr>
                <w:sz w:val="20"/>
                <w:szCs w:val="20"/>
                <w:color w:val="auto"/>
              </w:rPr>
            </w:pPr>
            <w:r>
              <w:rPr>
                <w:rFonts w:ascii="Arial" w:cs="Arial" w:eastAsia="Arial" w:hAnsi="Arial"/>
                <w:sz w:val="10"/>
                <w:szCs w:val="10"/>
                <w:color w:val="auto"/>
              </w:rPr>
              <w:t>(2,417)</w:t>
            </w:r>
          </w:p>
        </w:tc>
        <w:tc>
          <w:tcPr>
            <w:tcW w:w="920" w:type="dxa"/>
            <w:vAlign w:val="bottom"/>
          </w:tcPr>
          <w:p>
            <w:pPr>
              <w:jc w:val="right"/>
              <w:spacing w:after="0"/>
              <w:rPr>
                <w:sz w:val="20"/>
                <w:szCs w:val="20"/>
                <w:color w:val="auto"/>
              </w:rPr>
            </w:pPr>
            <w:r>
              <w:rPr>
                <w:rFonts w:ascii="Arial" w:cs="Arial" w:eastAsia="Arial" w:hAnsi="Arial"/>
                <w:sz w:val="10"/>
                <w:szCs w:val="10"/>
                <w:color w:val="auto"/>
              </w:rPr>
              <w:t>(2,219)</w:t>
            </w:r>
          </w:p>
        </w:tc>
        <w:tc>
          <w:tcPr>
            <w:tcW w:w="940" w:type="dxa"/>
            <w:vAlign w:val="bottom"/>
          </w:tcPr>
          <w:p>
            <w:pPr>
              <w:ind w:left="20"/>
              <w:spacing w:after="0"/>
              <w:rPr>
                <w:sz w:val="20"/>
                <w:szCs w:val="20"/>
                <w:color w:val="auto"/>
              </w:rPr>
            </w:pPr>
            <w:r>
              <w:rPr>
                <w:rFonts w:ascii="Arial" w:cs="Arial" w:eastAsia="Arial" w:hAnsi="Arial"/>
                <w:sz w:val="10"/>
                <w:szCs w:val="10"/>
                <w:color w:val="auto"/>
              </w:rPr>
              <w:t>(2,055) - (2,225)</w:t>
            </w:r>
          </w:p>
        </w:tc>
      </w:tr>
      <w:tr>
        <w:trPr>
          <w:trHeight w:val="152"/>
        </w:trPr>
        <w:tc>
          <w:tcPr>
            <w:tcW w:w="1980" w:type="dxa"/>
            <w:vAlign w:val="bottom"/>
          </w:tcPr>
          <w:p>
            <w:pPr>
              <w:ind w:left="20"/>
              <w:spacing w:after="0"/>
              <w:rPr>
                <w:sz w:val="20"/>
                <w:szCs w:val="20"/>
                <w:color w:val="auto"/>
              </w:rPr>
            </w:pPr>
            <w:r>
              <w:rPr>
                <w:rFonts w:ascii="Arial" w:cs="Arial" w:eastAsia="Arial" w:hAnsi="Arial"/>
                <w:sz w:val="10"/>
                <w:szCs w:val="10"/>
                <w:color w:val="auto"/>
              </w:rPr>
              <w:t>Operating Profit</w:t>
            </w:r>
          </w:p>
        </w:tc>
        <w:tc>
          <w:tcPr>
            <w:tcW w:w="980" w:type="dxa"/>
            <w:vAlign w:val="bottom"/>
          </w:tcPr>
          <w:p>
            <w:pPr>
              <w:jc w:val="right"/>
              <w:ind w:right="8"/>
              <w:spacing w:after="0"/>
              <w:rPr>
                <w:sz w:val="20"/>
                <w:szCs w:val="20"/>
                <w:color w:val="auto"/>
              </w:rPr>
            </w:pPr>
            <w:r>
              <w:rPr>
                <w:rFonts w:ascii="Arial" w:cs="Arial" w:eastAsia="Arial" w:hAnsi="Arial"/>
                <w:sz w:val="10"/>
                <w:szCs w:val="10"/>
                <w:color w:val="auto"/>
              </w:rPr>
              <w:t>1,065</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1,263</w:t>
            </w:r>
          </w:p>
        </w:tc>
        <w:tc>
          <w:tcPr>
            <w:tcW w:w="940" w:type="dxa"/>
            <w:vAlign w:val="bottom"/>
          </w:tcPr>
          <w:p>
            <w:pPr>
              <w:ind w:left="20"/>
              <w:spacing w:after="0"/>
              <w:rPr>
                <w:sz w:val="20"/>
                <w:szCs w:val="20"/>
                <w:color w:val="auto"/>
              </w:rPr>
            </w:pPr>
            <w:r>
              <w:rPr>
                <w:rFonts w:ascii="Arial" w:cs="Arial" w:eastAsia="Arial" w:hAnsi="Arial"/>
                <w:sz w:val="10"/>
                <w:szCs w:val="10"/>
                <w:color w:val="auto"/>
              </w:rPr>
              <w:t>1,055 - 1,405</w:t>
            </w:r>
          </w:p>
        </w:tc>
      </w:tr>
    </w:tbl>
    <w:p>
      <w:pPr>
        <w:spacing w:after="0" w:line="16" w:lineRule="exact"/>
        <w:rPr>
          <w:rFonts w:ascii="Arial" w:cs="Arial" w:eastAsia="Arial" w:hAnsi="Arial"/>
          <w:sz w:val="10"/>
          <w:szCs w:val="10"/>
          <w:b w:val="1"/>
          <w:bCs w:val="1"/>
          <w:color w:val="auto"/>
        </w:rPr>
      </w:pPr>
    </w:p>
    <w:p>
      <w:pPr>
        <w:ind w:right="3160"/>
        <w:spacing w:after="0" w:line="255" w:lineRule="auto"/>
        <w:rPr>
          <w:sz w:val="20"/>
          <w:szCs w:val="20"/>
          <w:color w:val="auto"/>
        </w:rPr>
      </w:pPr>
      <w:r>
        <w:rPr>
          <w:rFonts w:ascii="Arial" w:cs="Arial" w:eastAsia="Arial" w:hAnsi="Arial"/>
          <w:sz w:val="7"/>
          <w:szCs w:val="7"/>
          <w:color w:val="auto"/>
        </w:rPr>
        <w:t>1.Adjusted 2025 results exclude from operating expenses and operating profit Merus Acquisition and Integration related charges of $185 million and amortization of intangible assets acquired through acquisitions of $13 million</w:t>
      </w:r>
    </w:p>
    <w:p>
      <w:pPr>
        <w:spacing w:after="0" w:line="1" w:lineRule="exact"/>
        <w:rPr>
          <w:rFonts w:ascii="Arial" w:cs="Arial" w:eastAsia="Arial" w:hAnsi="Arial"/>
          <w:sz w:val="10"/>
          <w:szCs w:val="10"/>
          <w:b w:val="1"/>
          <w:bCs w:val="1"/>
          <w:color w:val="auto"/>
        </w:rPr>
      </w:pPr>
    </w:p>
    <w:p>
      <w:pPr>
        <w:ind w:right="2640"/>
        <w:spacing w:after="0" w:line="196" w:lineRule="auto"/>
        <w:rPr>
          <w:sz w:val="20"/>
          <w:szCs w:val="20"/>
          <w:color w:val="auto"/>
        </w:rPr>
      </w:pPr>
      <w:r>
        <w:rPr>
          <w:rFonts w:ascii="Arial" w:cs="Arial" w:eastAsia="Arial" w:hAnsi="Arial"/>
          <w:sz w:val="10"/>
          <w:szCs w:val="10"/>
          <w:color w:val="auto"/>
        </w:rPr>
        <w:t>Actual revenue, operating expenses and operating profit were in line with the latest guidance published on August 7, 2025</w:t>
      </w:r>
    </w:p>
    <w:p>
      <w:pPr>
        <w:spacing w:after="0" w:line="201" w:lineRule="auto"/>
        <w:rPr>
          <w:sz w:val="20"/>
          <w:szCs w:val="20"/>
          <w:color w:val="auto"/>
        </w:rPr>
      </w:pPr>
      <w:r>
        <w:rPr>
          <w:rFonts w:ascii="Arial" w:cs="Arial" w:eastAsia="Arial" w:hAnsi="Arial"/>
          <w:sz w:val="18"/>
          <w:szCs w:val="18"/>
          <w:color w:val="009D94"/>
        </w:rPr>
        <w:t>Revenue</w:t>
      </w:r>
    </w:p>
    <w:p>
      <w:pPr>
        <w:spacing w:after="0" w:line="199" w:lineRule="auto"/>
        <w:rPr>
          <w:sz w:val="20"/>
          <w:szCs w:val="20"/>
          <w:color w:val="auto"/>
        </w:rPr>
      </w:pPr>
      <w:r>
        <w:rPr>
          <w:rFonts w:ascii="Arial" w:cs="Arial" w:eastAsia="Arial" w:hAnsi="Arial"/>
          <w:sz w:val="10"/>
          <w:szCs w:val="10"/>
          <w:color w:val="auto"/>
        </w:rPr>
        <w:t>Genmab’s revenue was $3,720 million in 2025 compared to $3,121 million in 2024. The increase of</w:t>
      </w:r>
    </w:p>
    <w:p>
      <w:pPr>
        <w:ind w:right="2580"/>
        <w:spacing w:after="0" w:line="198" w:lineRule="auto"/>
        <w:rPr>
          <w:sz w:val="20"/>
          <w:szCs w:val="20"/>
          <w:color w:val="auto"/>
        </w:rPr>
      </w:pPr>
      <w:r>
        <w:rPr>
          <w:rFonts w:ascii="Arial" w:cs="Arial" w:eastAsia="Arial" w:hAnsi="Arial"/>
          <w:sz w:val="10"/>
          <w:szCs w:val="10"/>
          <w:color w:val="auto"/>
        </w:rPr>
        <w:t>$599 million, or 19%, was primarily driven by higher DARZALEX and Kesimpta royalties achieved under our collaborations with J&amp;J and Novartis, respectively, and increased EPKINLY net product sales. This increase was partly offset by reduced reimbursement revenue associated with Genmab assuming full control of the development of the acasunlimab program, effective in the second half of 2024.</w:t>
      </w:r>
    </w:p>
    <w:p>
      <w:pPr>
        <w:spacing w:after="0" w:line="201" w:lineRule="auto"/>
        <w:rPr>
          <w:sz w:val="20"/>
          <w:szCs w:val="20"/>
          <w:color w:val="auto"/>
        </w:rPr>
      </w:pPr>
      <w:r>
        <w:rPr>
          <w:rFonts w:ascii="Arial" w:cs="Arial" w:eastAsia="Arial" w:hAnsi="Arial"/>
          <w:sz w:val="10"/>
          <w:szCs w:val="10"/>
          <w:color w:val="auto"/>
        </w:rPr>
        <w:t>Genmab’s revenue was $3,121 million in 2024 compared to $2,390 million in 2023. The increase of</w:t>
      </w:r>
    </w:p>
    <w:p>
      <w:pPr>
        <w:spacing w:after="0" w:line="198" w:lineRule="auto"/>
        <w:rPr>
          <w:sz w:val="20"/>
          <w:szCs w:val="20"/>
          <w:color w:val="auto"/>
        </w:rPr>
      </w:pPr>
      <w:r>
        <w:rPr>
          <w:rFonts w:ascii="Arial" w:cs="Arial" w:eastAsia="Arial" w:hAnsi="Arial"/>
          <w:sz w:val="10"/>
          <w:szCs w:val="10"/>
          <w:color w:val="auto"/>
        </w:rPr>
        <w:t>$731 million, or 31%, was primarily driven by higher DARZALEX and Kesimpta royalties achieved under</w:t>
      </w:r>
    </w:p>
    <w:p>
      <w:pPr>
        <w:spacing w:after="0" w:line="199" w:lineRule="auto"/>
        <w:rPr>
          <w:sz w:val="20"/>
          <w:szCs w:val="20"/>
          <w:color w:val="auto"/>
        </w:rPr>
      </w:pPr>
      <w:r>
        <w:rPr>
          <w:rFonts w:ascii="Arial" w:cs="Arial" w:eastAsia="Arial" w:hAnsi="Arial"/>
          <w:sz w:val="10"/>
          <w:szCs w:val="10"/>
          <w:color w:val="auto"/>
        </w:rPr>
        <w:t>our collaborations with J&amp;J and Novartis, respectively. Increased EPKINLY net product sales, driven by</w:t>
      </w:r>
    </w:p>
    <w:p>
      <w:pPr>
        <w:spacing w:after="0" w:line="199" w:lineRule="auto"/>
        <w:rPr>
          <w:sz w:val="20"/>
          <w:szCs w:val="20"/>
          <w:color w:val="auto"/>
        </w:rPr>
      </w:pPr>
      <w:r>
        <w:rPr>
          <w:rFonts w:ascii="Arial" w:cs="Arial" w:eastAsia="Arial" w:hAnsi="Arial"/>
          <w:sz w:val="10"/>
          <w:szCs w:val="10"/>
          <w:color w:val="auto"/>
        </w:rPr>
        <w:t>a strong product launch in 2023 with a full year of net sales in 2024, also contributed to increased</w:t>
      </w:r>
    </w:p>
    <w:p>
      <w:pPr>
        <w:spacing w:after="0" w:line="217" w:lineRule="auto"/>
        <w:rPr>
          <w:sz w:val="20"/>
          <w:szCs w:val="20"/>
          <w:color w:val="auto"/>
        </w:rPr>
      </w:pPr>
      <w:r>
        <w:rPr>
          <w:rFonts w:ascii="Arial" w:cs="Arial" w:eastAsia="Arial" w:hAnsi="Arial"/>
          <w:sz w:val="10"/>
          <w:szCs w:val="10"/>
          <w:color w:val="auto"/>
        </w:rPr>
        <w:t>revenue in 2024.</w:t>
      </w:r>
    </w:p>
    <w:tbl>
      <w:tblPr>
        <w:tblLayout w:type="fixed"/>
        <w:tblInd w:w="0" w:type="dxa"/>
        <w:tblCellMar>
          <w:top w:w="0" w:type="dxa"/>
          <w:left w:w="0" w:type="dxa"/>
          <w:bottom w:w="0" w:type="dxa"/>
          <w:right w:w="0" w:type="dxa"/>
        </w:tblCellMar>
      </w:tblPr>
      <w:tr>
        <w:trPr>
          <w:trHeight w:val="123"/>
        </w:trPr>
        <w:tc>
          <w:tcPr>
            <w:tcW w:w="1620" w:type="dxa"/>
            <w:vAlign w:val="bottom"/>
            <w:tcBorders>
              <w:top w:val="single" w:sz="8" w:color="009D94"/>
            </w:tcBorders>
          </w:tcPr>
          <w:p>
            <w:pPr>
              <w:spacing w:after="0"/>
              <w:rPr>
                <w:sz w:val="10"/>
                <w:szCs w:val="10"/>
                <w:color w:val="auto"/>
              </w:rPr>
            </w:pPr>
          </w:p>
        </w:tc>
        <w:tc>
          <w:tcPr>
            <w:tcW w:w="900" w:type="dxa"/>
            <w:vAlign w:val="bottom"/>
            <w:tcBorders>
              <w:top w:val="single" w:sz="8" w:color="009D94"/>
            </w:tcBorders>
          </w:tcPr>
          <w:p>
            <w:pPr>
              <w:jc w:val="right"/>
              <w:ind w:right="168"/>
              <w:spacing w:after="0"/>
              <w:rPr>
                <w:sz w:val="20"/>
                <w:szCs w:val="20"/>
                <w:color w:val="auto"/>
              </w:rPr>
            </w:pPr>
            <w:r>
              <w:rPr>
                <w:rFonts w:ascii="Arial" w:cs="Arial" w:eastAsia="Arial" w:hAnsi="Arial"/>
                <w:sz w:val="10"/>
                <w:szCs w:val="10"/>
                <w:b w:val="1"/>
                <w:bCs w:val="1"/>
                <w:color w:val="009D94"/>
              </w:rPr>
              <w:t>2025</w:t>
            </w:r>
          </w:p>
        </w:tc>
        <w:tc>
          <w:tcPr>
            <w:tcW w:w="440" w:type="dxa"/>
            <w:vAlign w:val="bottom"/>
            <w:tcBorders>
              <w:top w:val="single" w:sz="8" w:color="009D94"/>
            </w:tcBorders>
          </w:tcPr>
          <w:p>
            <w:pPr>
              <w:spacing w:after="0"/>
              <w:rPr>
                <w:sz w:val="10"/>
                <w:szCs w:val="10"/>
                <w:color w:val="auto"/>
              </w:rPr>
            </w:pPr>
          </w:p>
        </w:tc>
        <w:tc>
          <w:tcPr>
            <w:tcW w:w="520" w:type="dxa"/>
            <w:vAlign w:val="bottom"/>
            <w:tcBorders>
              <w:top w:val="single" w:sz="8" w:color="009D94"/>
            </w:tcBorders>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top w:val="single" w:sz="8" w:color="009D94"/>
            </w:tcBorders>
          </w:tcPr>
          <w:p>
            <w:pPr>
              <w:spacing w:after="0"/>
              <w:rPr>
                <w:sz w:val="10"/>
                <w:szCs w:val="10"/>
                <w:color w:val="auto"/>
              </w:rPr>
            </w:pPr>
          </w:p>
        </w:tc>
        <w:tc>
          <w:tcPr>
            <w:tcW w:w="520" w:type="dxa"/>
            <w:vAlign w:val="bottom"/>
            <w:tcBorders>
              <w:top w:val="single" w:sz="8" w:color="009D94"/>
            </w:tcBorders>
          </w:tcPr>
          <w:p>
            <w:pPr>
              <w:jc w:val="right"/>
              <w:ind w:right="168"/>
              <w:spacing w:after="0"/>
              <w:rPr>
                <w:sz w:val="20"/>
                <w:szCs w:val="20"/>
                <w:color w:val="auto"/>
              </w:rPr>
            </w:pPr>
            <w:r>
              <w:rPr>
                <w:rFonts w:ascii="Arial" w:cs="Arial" w:eastAsia="Arial" w:hAnsi="Arial"/>
                <w:sz w:val="10"/>
                <w:szCs w:val="10"/>
                <w:b w:val="1"/>
                <w:bCs w:val="1"/>
                <w:color w:val="auto"/>
              </w:rPr>
              <w:t>2023</w:t>
            </w:r>
          </w:p>
        </w:tc>
        <w:tc>
          <w:tcPr>
            <w:tcW w:w="520" w:type="dxa"/>
            <w:vAlign w:val="bottom"/>
            <w:tcBorders>
              <w:top w:val="single" w:sz="8" w:color="009D94"/>
            </w:tcBorders>
          </w:tcPr>
          <w:p>
            <w:pPr>
              <w:spacing w:after="0"/>
              <w:rPr>
                <w:sz w:val="10"/>
                <w:szCs w:val="10"/>
                <w:color w:val="auto"/>
              </w:rPr>
            </w:pPr>
          </w:p>
        </w:tc>
      </w:tr>
      <w:tr>
        <w:trPr>
          <w:trHeight w:val="137"/>
        </w:trPr>
        <w:tc>
          <w:tcPr>
            <w:tcW w:w="1620" w:type="dxa"/>
            <w:vAlign w:val="bottom"/>
          </w:tcPr>
          <w:p>
            <w:pPr>
              <w:ind w:left="20"/>
              <w:spacing w:after="0"/>
              <w:rPr>
                <w:sz w:val="20"/>
                <w:szCs w:val="20"/>
                <w:color w:val="auto"/>
              </w:rPr>
            </w:pPr>
            <w:r>
              <w:rPr>
                <w:rFonts w:ascii="Arial" w:cs="Arial" w:eastAsia="Arial" w:hAnsi="Arial"/>
                <w:sz w:val="10"/>
                <w:szCs w:val="10"/>
                <w:color w:val="auto"/>
              </w:rPr>
              <w:t>Royalties</w:t>
            </w:r>
          </w:p>
        </w:tc>
        <w:tc>
          <w:tcPr>
            <w:tcW w:w="900" w:type="dxa"/>
            <w:vAlign w:val="bottom"/>
          </w:tcPr>
          <w:p>
            <w:pPr>
              <w:jc w:val="right"/>
              <w:spacing w:after="0"/>
              <w:rPr>
                <w:sz w:val="20"/>
                <w:szCs w:val="20"/>
                <w:color w:val="auto"/>
              </w:rPr>
            </w:pPr>
            <w:r>
              <w:rPr>
                <w:rFonts w:ascii="Arial" w:cs="Arial" w:eastAsia="Arial" w:hAnsi="Arial"/>
                <w:sz w:val="10"/>
                <w:szCs w:val="10"/>
                <w:color w:val="009D94"/>
              </w:rPr>
              <w:t>3,102</w:t>
            </w:r>
          </w:p>
        </w:tc>
        <w:tc>
          <w:tcPr>
            <w:tcW w:w="440" w:type="dxa"/>
            <w:vAlign w:val="bottom"/>
          </w:tcPr>
          <w:p>
            <w:pPr>
              <w:ind w:left="40"/>
              <w:spacing w:after="0"/>
              <w:rPr>
                <w:sz w:val="20"/>
                <w:szCs w:val="20"/>
                <w:color w:val="auto"/>
              </w:rPr>
            </w:pPr>
            <w:r>
              <w:rPr>
                <w:rFonts w:ascii="Arial" w:cs="Arial" w:eastAsia="Arial" w:hAnsi="Arial"/>
                <w:sz w:val="10"/>
                <w:szCs w:val="10"/>
                <w:color w:val="009D94"/>
              </w:rPr>
              <w:t>83 %</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2,517</w:t>
            </w:r>
          </w:p>
        </w:tc>
        <w:tc>
          <w:tcPr>
            <w:tcW w:w="420" w:type="dxa"/>
            <w:vAlign w:val="bottom"/>
          </w:tcPr>
          <w:p>
            <w:pPr>
              <w:ind w:left="40"/>
              <w:spacing w:after="0"/>
              <w:rPr>
                <w:sz w:val="20"/>
                <w:szCs w:val="20"/>
                <w:color w:val="auto"/>
              </w:rPr>
            </w:pPr>
            <w:r>
              <w:rPr>
                <w:rFonts w:ascii="Arial" w:cs="Arial" w:eastAsia="Arial" w:hAnsi="Arial"/>
                <w:sz w:val="10"/>
                <w:szCs w:val="10"/>
                <w:color w:val="auto"/>
              </w:rPr>
              <w:t>80 %</w:t>
            </w:r>
          </w:p>
        </w:tc>
        <w:tc>
          <w:tcPr>
            <w:tcW w:w="520" w:type="dxa"/>
            <w:vAlign w:val="bottom"/>
          </w:tcPr>
          <w:p>
            <w:pPr>
              <w:jc w:val="right"/>
              <w:spacing w:after="0"/>
              <w:rPr>
                <w:sz w:val="20"/>
                <w:szCs w:val="20"/>
                <w:color w:val="auto"/>
              </w:rPr>
            </w:pPr>
            <w:r>
              <w:rPr>
                <w:rFonts w:ascii="Arial" w:cs="Arial" w:eastAsia="Arial" w:hAnsi="Arial"/>
                <w:sz w:val="10"/>
                <w:szCs w:val="10"/>
                <w:color w:val="auto"/>
              </w:rPr>
              <w:t>1,989</w:t>
            </w:r>
          </w:p>
        </w:tc>
        <w:tc>
          <w:tcPr>
            <w:tcW w:w="520" w:type="dxa"/>
            <w:vAlign w:val="bottom"/>
          </w:tcPr>
          <w:p>
            <w:pPr>
              <w:ind w:left="60"/>
              <w:spacing w:after="0"/>
              <w:rPr>
                <w:sz w:val="20"/>
                <w:szCs w:val="20"/>
                <w:color w:val="auto"/>
              </w:rPr>
            </w:pPr>
            <w:r>
              <w:rPr>
                <w:rFonts w:ascii="Arial" w:cs="Arial" w:eastAsia="Arial" w:hAnsi="Arial"/>
                <w:sz w:val="10"/>
                <w:szCs w:val="10"/>
                <w:color w:val="auto"/>
              </w:rPr>
              <w:t>83 %</w:t>
            </w:r>
          </w:p>
        </w:tc>
      </w:tr>
      <w:tr>
        <w:trPr>
          <w:trHeight w:val="152"/>
        </w:trPr>
        <w:tc>
          <w:tcPr>
            <w:tcW w:w="1620" w:type="dxa"/>
            <w:vAlign w:val="bottom"/>
          </w:tcPr>
          <w:p>
            <w:pPr>
              <w:ind w:left="20"/>
              <w:spacing w:after="0"/>
              <w:rPr>
                <w:sz w:val="20"/>
                <w:szCs w:val="20"/>
                <w:color w:val="auto"/>
              </w:rPr>
            </w:pPr>
            <w:r>
              <w:rPr>
                <w:rFonts w:ascii="Arial" w:cs="Arial" w:eastAsia="Arial" w:hAnsi="Arial"/>
                <w:sz w:val="10"/>
                <w:szCs w:val="10"/>
                <w:color w:val="auto"/>
              </w:rPr>
              <w:t>Net Product Sales</w:t>
            </w:r>
          </w:p>
        </w:tc>
        <w:tc>
          <w:tcPr>
            <w:tcW w:w="900" w:type="dxa"/>
            <w:vAlign w:val="bottom"/>
          </w:tcPr>
          <w:p>
            <w:pPr>
              <w:jc w:val="right"/>
              <w:spacing w:after="0"/>
              <w:rPr>
                <w:sz w:val="20"/>
                <w:szCs w:val="20"/>
                <w:color w:val="auto"/>
              </w:rPr>
            </w:pPr>
            <w:r>
              <w:rPr>
                <w:rFonts w:ascii="Arial" w:cs="Arial" w:eastAsia="Arial" w:hAnsi="Arial"/>
                <w:sz w:val="10"/>
                <w:szCs w:val="10"/>
                <w:color w:val="009D94"/>
              </w:rPr>
              <w:t>398</w:t>
            </w:r>
          </w:p>
        </w:tc>
        <w:tc>
          <w:tcPr>
            <w:tcW w:w="440" w:type="dxa"/>
            <w:vAlign w:val="bottom"/>
          </w:tcPr>
          <w:p>
            <w:pPr>
              <w:ind w:left="40"/>
              <w:spacing w:after="0"/>
              <w:rPr>
                <w:sz w:val="20"/>
                <w:szCs w:val="20"/>
                <w:color w:val="auto"/>
              </w:rPr>
            </w:pPr>
            <w:r>
              <w:rPr>
                <w:rFonts w:ascii="Arial" w:cs="Arial" w:eastAsia="Arial" w:hAnsi="Arial"/>
                <w:sz w:val="10"/>
                <w:szCs w:val="10"/>
                <w:color w:val="009D94"/>
              </w:rPr>
              <w:t>11 %</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253</w:t>
            </w:r>
          </w:p>
        </w:tc>
        <w:tc>
          <w:tcPr>
            <w:tcW w:w="420" w:type="dxa"/>
            <w:vAlign w:val="bottom"/>
          </w:tcPr>
          <w:p>
            <w:pPr>
              <w:ind w:left="40"/>
              <w:spacing w:after="0"/>
              <w:rPr>
                <w:sz w:val="20"/>
                <w:szCs w:val="20"/>
                <w:color w:val="auto"/>
              </w:rPr>
            </w:pPr>
            <w:r>
              <w:rPr>
                <w:rFonts w:ascii="Arial" w:cs="Arial" w:eastAsia="Arial" w:hAnsi="Arial"/>
                <w:sz w:val="10"/>
                <w:szCs w:val="10"/>
                <w:color w:val="auto"/>
              </w:rPr>
              <w:t>8 %</w:t>
            </w:r>
          </w:p>
        </w:tc>
        <w:tc>
          <w:tcPr>
            <w:tcW w:w="520" w:type="dxa"/>
            <w:vAlign w:val="bottom"/>
          </w:tcPr>
          <w:p>
            <w:pPr>
              <w:jc w:val="right"/>
              <w:spacing w:after="0"/>
              <w:rPr>
                <w:sz w:val="20"/>
                <w:szCs w:val="20"/>
                <w:color w:val="auto"/>
              </w:rPr>
            </w:pPr>
            <w:r>
              <w:rPr>
                <w:rFonts w:ascii="Arial" w:cs="Arial" w:eastAsia="Arial" w:hAnsi="Arial"/>
                <w:sz w:val="10"/>
                <w:szCs w:val="10"/>
                <w:color w:val="auto"/>
              </w:rPr>
              <w:t>61</w:t>
            </w:r>
          </w:p>
        </w:tc>
        <w:tc>
          <w:tcPr>
            <w:tcW w:w="520" w:type="dxa"/>
            <w:vAlign w:val="bottom"/>
          </w:tcPr>
          <w:p>
            <w:pPr>
              <w:ind w:left="60"/>
              <w:spacing w:after="0"/>
              <w:rPr>
                <w:sz w:val="20"/>
                <w:szCs w:val="20"/>
                <w:color w:val="auto"/>
              </w:rPr>
            </w:pPr>
            <w:r>
              <w:rPr>
                <w:rFonts w:ascii="Arial" w:cs="Arial" w:eastAsia="Arial" w:hAnsi="Arial"/>
                <w:sz w:val="10"/>
                <w:szCs w:val="10"/>
                <w:color w:val="auto"/>
              </w:rPr>
              <w:t>3 %</w:t>
            </w:r>
          </w:p>
        </w:tc>
      </w:tr>
      <w:tr>
        <w:trPr>
          <w:trHeight w:val="152"/>
        </w:trPr>
        <w:tc>
          <w:tcPr>
            <w:tcW w:w="1620" w:type="dxa"/>
            <w:vAlign w:val="bottom"/>
          </w:tcPr>
          <w:p>
            <w:pPr>
              <w:ind w:left="20"/>
              <w:spacing w:after="0"/>
              <w:rPr>
                <w:sz w:val="20"/>
                <w:szCs w:val="20"/>
                <w:color w:val="auto"/>
              </w:rPr>
            </w:pPr>
            <w:r>
              <w:rPr>
                <w:rFonts w:ascii="Arial" w:cs="Arial" w:eastAsia="Arial" w:hAnsi="Arial"/>
                <w:sz w:val="10"/>
                <w:szCs w:val="10"/>
                <w:color w:val="auto"/>
              </w:rPr>
              <w:t>Reimbursement revenue</w:t>
            </w:r>
          </w:p>
        </w:tc>
        <w:tc>
          <w:tcPr>
            <w:tcW w:w="900" w:type="dxa"/>
            <w:vAlign w:val="bottom"/>
          </w:tcPr>
          <w:p>
            <w:pPr>
              <w:jc w:val="right"/>
              <w:spacing w:after="0"/>
              <w:rPr>
                <w:sz w:val="20"/>
                <w:szCs w:val="20"/>
                <w:color w:val="auto"/>
              </w:rPr>
            </w:pPr>
            <w:r>
              <w:rPr>
                <w:rFonts w:ascii="Arial" w:cs="Arial" w:eastAsia="Arial" w:hAnsi="Arial"/>
                <w:sz w:val="10"/>
                <w:szCs w:val="10"/>
                <w:color w:val="009D94"/>
              </w:rPr>
              <w:t>53</w:t>
            </w:r>
          </w:p>
        </w:tc>
        <w:tc>
          <w:tcPr>
            <w:tcW w:w="440" w:type="dxa"/>
            <w:vAlign w:val="bottom"/>
          </w:tcPr>
          <w:p>
            <w:pPr>
              <w:ind w:left="40"/>
              <w:spacing w:after="0"/>
              <w:rPr>
                <w:sz w:val="20"/>
                <w:szCs w:val="20"/>
                <w:color w:val="auto"/>
              </w:rPr>
            </w:pPr>
            <w:r>
              <w:rPr>
                <w:rFonts w:ascii="Arial" w:cs="Arial" w:eastAsia="Arial" w:hAnsi="Arial"/>
                <w:sz w:val="10"/>
                <w:szCs w:val="10"/>
                <w:color w:val="009D94"/>
              </w:rPr>
              <w:t>1 %</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144</w:t>
            </w:r>
          </w:p>
        </w:tc>
        <w:tc>
          <w:tcPr>
            <w:tcW w:w="420" w:type="dxa"/>
            <w:vAlign w:val="bottom"/>
          </w:tcPr>
          <w:p>
            <w:pPr>
              <w:ind w:left="40"/>
              <w:spacing w:after="0"/>
              <w:rPr>
                <w:sz w:val="20"/>
                <w:szCs w:val="20"/>
                <w:color w:val="auto"/>
              </w:rPr>
            </w:pPr>
            <w:r>
              <w:rPr>
                <w:rFonts w:ascii="Arial" w:cs="Arial" w:eastAsia="Arial" w:hAnsi="Arial"/>
                <w:sz w:val="10"/>
                <w:szCs w:val="10"/>
                <w:color w:val="auto"/>
              </w:rPr>
              <w:t>5 %</w:t>
            </w:r>
          </w:p>
        </w:tc>
        <w:tc>
          <w:tcPr>
            <w:tcW w:w="520" w:type="dxa"/>
            <w:vAlign w:val="bottom"/>
          </w:tcPr>
          <w:p>
            <w:pPr>
              <w:jc w:val="right"/>
              <w:spacing w:after="0"/>
              <w:rPr>
                <w:sz w:val="20"/>
                <w:szCs w:val="20"/>
                <w:color w:val="auto"/>
              </w:rPr>
            </w:pPr>
            <w:r>
              <w:rPr>
                <w:rFonts w:ascii="Arial" w:cs="Arial" w:eastAsia="Arial" w:hAnsi="Arial"/>
                <w:sz w:val="10"/>
                <w:szCs w:val="10"/>
                <w:color w:val="auto"/>
              </w:rPr>
              <w:t>124</w:t>
            </w:r>
          </w:p>
        </w:tc>
        <w:tc>
          <w:tcPr>
            <w:tcW w:w="520" w:type="dxa"/>
            <w:vAlign w:val="bottom"/>
          </w:tcPr>
          <w:p>
            <w:pPr>
              <w:ind w:left="60"/>
              <w:spacing w:after="0"/>
              <w:rPr>
                <w:sz w:val="20"/>
                <w:szCs w:val="20"/>
                <w:color w:val="auto"/>
              </w:rPr>
            </w:pPr>
            <w:r>
              <w:rPr>
                <w:rFonts w:ascii="Arial" w:cs="Arial" w:eastAsia="Arial" w:hAnsi="Arial"/>
                <w:sz w:val="10"/>
                <w:szCs w:val="10"/>
                <w:color w:val="auto"/>
              </w:rPr>
              <w:t>5 %</w:t>
            </w:r>
          </w:p>
        </w:tc>
      </w:tr>
      <w:tr>
        <w:trPr>
          <w:trHeight w:val="152"/>
        </w:trPr>
        <w:tc>
          <w:tcPr>
            <w:tcW w:w="1620" w:type="dxa"/>
            <w:vAlign w:val="bottom"/>
          </w:tcPr>
          <w:p>
            <w:pPr>
              <w:ind w:left="20"/>
              <w:spacing w:after="0"/>
              <w:rPr>
                <w:sz w:val="20"/>
                <w:szCs w:val="20"/>
                <w:color w:val="auto"/>
              </w:rPr>
            </w:pPr>
            <w:r>
              <w:rPr>
                <w:rFonts w:ascii="Arial" w:cs="Arial" w:eastAsia="Arial" w:hAnsi="Arial"/>
                <w:sz w:val="10"/>
                <w:szCs w:val="10"/>
                <w:color w:val="auto"/>
              </w:rPr>
              <w:t>Milestone revenue</w:t>
            </w:r>
          </w:p>
        </w:tc>
        <w:tc>
          <w:tcPr>
            <w:tcW w:w="900" w:type="dxa"/>
            <w:vAlign w:val="bottom"/>
          </w:tcPr>
          <w:p>
            <w:pPr>
              <w:jc w:val="right"/>
              <w:spacing w:after="0"/>
              <w:rPr>
                <w:sz w:val="20"/>
                <w:szCs w:val="20"/>
                <w:color w:val="auto"/>
              </w:rPr>
            </w:pPr>
            <w:r>
              <w:rPr>
                <w:rFonts w:ascii="Arial" w:cs="Arial" w:eastAsia="Arial" w:hAnsi="Arial"/>
                <w:sz w:val="10"/>
                <w:szCs w:val="10"/>
                <w:color w:val="009D94"/>
              </w:rPr>
              <w:t>97</w:t>
            </w:r>
          </w:p>
        </w:tc>
        <w:tc>
          <w:tcPr>
            <w:tcW w:w="440" w:type="dxa"/>
            <w:vAlign w:val="bottom"/>
          </w:tcPr>
          <w:p>
            <w:pPr>
              <w:ind w:left="40"/>
              <w:spacing w:after="0"/>
              <w:rPr>
                <w:sz w:val="20"/>
                <w:szCs w:val="20"/>
                <w:color w:val="auto"/>
              </w:rPr>
            </w:pPr>
            <w:r>
              <w:rPr>
                <w:rFonts w:ascii="Arial" w:cs="Arial" w:eastAsia="Arial" w:hAnsi="Arial"/>
                <w:sz w:val="10"/>
                <w:szCs w:val="10"/>
                <w:color w:val="009D94"/>
              </w:rPr>
              <w:t>3 %</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145</w:t>
            </w:r>
          </w:p>
        </w:tc>
        <w:tc>
          <w:tcPr>
            <w:tcW w:w="420" w:type="dxa"/>
            <w:vAlign w:val="bottom"/>
          </w:tcPr>
          <w:p>
            <w:pPr>
              <w:ind w:left="40"/>
              <w:spacing w:after="0"/>
              <w:rPr>
                <w:sz w:val="20"/>
                <w:szCs w:val="20"/>
                <w:color w:val="auto"/>
              </w:rPr>
            </w:pPr>
            <w:r>
              <w:rPr>
                <w:rFonts w:ascii="Arial" w:cs="Arial" w:eastAsia="Arial" w:hAnsi="Arial"/>
                <w:sz w:val="10"/>
                <w:szCs w:val="10"/>
                <w:color w:val="auto"/>
              </w:rPr>
              <w:t>5 %</w:t>
            </w:r>
          </w:p>
        </w:tc>
        <w:tc>
          <w:tcPr>
            <w:tcW w:w="520" w:type="dxa"/>
            <w:vAlign w:val="bottom"/>
          </w:tcPr>
          <w:p>
            <w:pPr>
              <w:jc w:val="right"/>
              <w:spacing w:after="0"/>
              <w:rPr>
                <w:sz w:val="20"/>
                <w:szCs w:val="20"/>
                <w:color w:val="auto"/>
              </w:rPr>
            </w:pPr>
            <w:r>
              <w:rPr>
                <w:rFonts w:ascii="Arial" w:cs="Arial" w:eastAsia="Arial" w:hAnsi="Arial"/>
                <w:sz w:val="10"/>
                <w:szCs w:val="10"/>
                <w:color w:val="auto"/>
              </w:rPr>
              <w:t>171</w:t>
            </w:r>
          </w:p>
        </w:tc>
        <w:tc>
          <w:tcPr>
            <w:tcW w:w="520" w:type="dxa"/>
            <w:vAlign w:val="bottom"/>
          </w:tcPr>
          <w:p>
            <w:pPr>
              <w:ind w:left="60"/>
              <w:spacing w:after="0"/>
              <w:rPr>
                <w:sz w:val="20"/>
                <w:szCs w:val="20"/>
                <w:color w:val="auto"/>
              </w:rPr>
            </w:pPr>
            <w:r>
              <w:rPr>
                <w:rFonts w:ascii="Arial" w:cs="Arial" w:eastAsia="Arial" w:hAnsi="Arial"/>
                <w:sz w:val="10"/>
                <w:szCs w:val="10"/>
                <w:color w:val="auto"/>
              </w:rPr>
              <w:t>7 %</w:t>
            </w:r>
          </w:p>
        </w:tc>
      </w:tr>
      <w:tr>
        <w:trPr>
          <w:trHeight w:val="152"/>
        </w:trPr>
        <w:tc>
          <w:tcPr>
            <w:tcW w:w="1620" w:type="dxa"/>
            <w:vAlign w:val="bottom"/>
          </w:tcPr>
          <w:p>
            <w:pPr>
              <w:ind w:left="20"/>
              <w:spacing w:after="0"/>
              <w:rPr>
                <w:sz w:val="20"/>
                <w:szCs w:val="20"/>
                <w:color w:val="auto"/>
              </w:rPr>
            </w:pPr>
            <w:r>
              <w:rPr>
                <w:rFonts w:ascii="Arial" w:cs="Arial" w:eastAsia="Arial" w:hAnsi="Arial"/>
                <w:sz w:val="10"/>
                <w:szCs w:val="10"/>
                <w:color w:val="auto"/>
              </w:rPr>
              <w:t>Collaboration revenue</w:t>
            </w:r>
          </w:p>
        </w:tc>
        <w:tc>
          <w:tcPr>
            <w:tcW w:w="900" w:type="dxa"/>
            <w:vAlign w:val="bottom"/>
          </w:tcPr>
          <w:p>
            <w:pPr>
              <w:jc w:val="right"/>
              <w:spacing w:after="0"/>
              <w:rPr>
                <w:sz w:val="20"/>
                <w:szCs w:val="20"/>
                <w:color w:val="auto"/>
              </w:rPr>
            </w:pPr>
            <w:r>
              <w:rPr>
                <w:rFonts w:ascii="Arial" w:cs="Arial" w:eastAsia="Arial" w:hAnsi="Arial"/>
                <w:sz w:val="10"/>
                <w:szCs w:val="10"/>
                <w:color w:val="009D94"/>
              </w:rPr>
              <w:t>70</w:t>
            </w:r>
          </w:p>
        </w:tc>
        <w:tc>
          <w:tcPr>
            <w:tcW w:w="440" w:type="dxa"/>
            <w:vAlign w:val="bottom"/>
          </w:tcPr>
          <w:p>
            <w:pPr>
              <w:ind w:left="40"/>
              <w:spacing w:after="0"/>
              <w:rPr>
                <w:sz w:val="20"/>
                <w:szCs w:val="20"/>
                <w:color w:val="auto"/>
              </w:rPr>
            </w:pPr>
            <w:r>
              <w:rPr>
                <w:rFonts w:ascii="Arial" w:cs="Arial" w:eastAsia="Arial" w:hAnsi="Arial"/>
                <w:sz w:val="10"/>
                <w:szCs w:val="10"/>
                <w:color w:val="009D94"/>
              </w:rPr>
              <w:t>2 %</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62</w:t>
            </w:r>
          </w:p>
        </w:tc>
        <w:tc>
          <w:tcPr>
            <w:tcW w:w="420" w:type="dxa"/>
            <w:vAlign w:val="bottom"/>
          </w:tcPr>
          <w:p>
            <w:pPr>
              <w:ind w:left="40"/>
              <w:spacing w:after="0"/>
              <w:rPr>
                <w:sz w:val="20"/>
                <w:szCs w:val="20"/>
                <w:color w:val="auto"/>
              </w:rPr>
            </w:pPr>
            <w:r>
              <w:rPr>
                <w:rFonts w:ascii="Arial" w:cs="Arial" w:eastAsia="Arial" w:hAnsi="Arial"/>
                <w:sz w:val="10"/>
                <w:szCs w:val="10"/>
                <w:color w:val="auto"/>
              </w:rPr>
              <w:t>2 %</w:t>
            </w:r>
          </w:p>
        </w:tc>
        <w:tc>
          <w:tcPr>
            <w:tcW w:w="520" w:type="dxa"/>
            <w:vAlign w:val="bottom"/>
          </w:tcPr>
          <w:p>
            <w:pPr>
              <w:jc w:val="right"/>
              <w:spacing w:after="0"/>
              <w:rPr>
                <w:sz w:val="20"/>
                <w:szCs w:val="20"/>
                <w:color w:val="auto"/>
              </w:rPr>
            </w:pPr>
            <w:r>
              <w:rPr>
                <w:rFonts w:ascii="Arial" w:cs="Arial" w:eastAsia="Arial" w:hAnsi="Arial"/>
                <w:sz w:val="10"/>
                <w:szCs w:val="10"/>
                <w:color w:val="auto"/>
              </w:rPr>
              <w:t>45</w:t>
            </w:r>
          </w:p>
        </w:tc>
        <w:tc>
          <w:tcPr>
            <w:tcW w:w="520" w:type="dxa"/>
            <w:vAlign w:val="bottom"/>
          </w:tcPr>
          <w:p>
            <w:pPr>
              <w:ind w:left="60"/>
              <w:spacing w:after="0"/>
              <w:rPr>
                <w:sz w:val="20"/>
                <w:szCs w:val="20"/>
                <w:color w:val="auto"/>
              </w:rPr>
            </w:pPr>
            <w:r>
              <w:rPr>
                <w:rFonts w:ascii="Arial" w:cs="Arial" w:eastAsia="Arial" w:hAnsi="Arial"/>
                <w:sz w:val="10"/>
                <w:szCs w:val="10"/>
                <w:color w:val="auto"/>
              </w:rPr>
              <w:t>2 %</w:t>
            </w:r>
          </w:p>
        </w:tc>
      </w:tr>
      <w:tr>
        <w:trPr>
          <w:trHeight w:val="158"/>
        </w:trPr>
        <w:tc>
          <w:tcPr>
            <w:tcW w:w="1620" w:type="dxa"/>
            <w:vAlign w:val="bottom"/>
          </w:tcPr>
          <w:p>
            <w:pPr>
              <w:ind w:left="20"/>
              <w:spacing w:after="0"/>
              <w:rPr>
                <w:sz w:val="20"/>
                <w:szCs w:val="20"/>
                <w:color w:val="auto"/>
              </w:rPr>
            </w:pPr>
            <w:r>
              <w:rPr>
                <w:rFonts w:ascii="Arial" w:cs="Arial" w:eastAsia="Arial" w:hAnsi="Arial"/>
                <w:sz w:val="10"/>
                <w:szCs w:val="10"/>
                <w:b w:val="1"/>
                <w:bCs w:val="1"/>
                <w:color w:val="auto"/>
              </w:rPr>
              <w:t>Total revenue</w:t>
            </w:r>
          </w:p>
        </w:tc>
        <w:tc>
          <w:tcPr>
            <w:tcW w:w="900" w:type="dxa"/>
            <w:vAlign w:val="bottom"/>
          </w:tcPr>
          <w:p>
            <w:pPr>
              <w:jc w:val="right"/>
              <w:spacing w:after="0"/>
              <w:rPr>
                <w:sz w:val="20"/>
                <w:szCs w:val="20"/>
                <w:color w:val="auto"/>
              </w:rPr>
            </w:pPr>
            <w:r>
              <w:rPr>
                <w:rFonts w:ascii="Arial" w:cs="Arial" w:eastAsia="Arial" w:hAnsi="Arial"/>
                <w:sz w:val="10"/>
                <w:szCs w:val="10"/>
                <w:b w:val="1"/>
                <w:bCs w:val="1"/>
                <w:color w:val="009D94"/>
              </w:rPr>
              <w:t>3,720</w:t>
            </w:r>
          </w:p>
        </w:tc>
        <w:tc>
          <w:tcPr>
            <w:tcW w:w="440" w:type="dxa"/>
            <w:vAlign w:val="bottom"/>
          </w:tcPr>
          <w:p>
            <w:pPr>
              <w:ind w:left="40"/>
              <w:spacing w:after="0"/>
              <w:rPr>
                <w:sz w:val="20"/>
                <w:szCs w:val="20"/>
                <w:color w:val="auto"/>
              </w:rPr>
            </w:pPr>
            <w:r>
              <w:rPr>
                <w:rFonts w:ascii="Arial" w:cs="Arial" w:eastAsia="Arial" w:hAnsi="Arial"/>
                <w:sz w:val="10"/>
                <w:szCs w:val="10"/>
                <w:b w:val="1"/>
                <w:bCs w:val="1"/>
                <w:color w:val="009D94"/>
              </w:rPr>
              <w:t>100 %</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3,121</w:t>
            </w: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rPr>
              <w:t>100 %</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2,390</w:t>
            </w: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100 %</w:t>
            </w:r>
          </w:p>
        </w:tc>
      </w:tr>
    </w:tbl>
    <w:p>
      <w:pPr>
        <w:spacing w:after="0" w:line="229" w:lineRule="auto"/>
        <w:rPr>
          <w:sz w:val="20"/>
          <w:szCs w:val="20"/>
          <w:color w:val="auto"/>
        </w:rPr>
      </w:pPr>
      <w:r>
        <w:rPr>
          <w:rFonts w:ascii="Arial" w:cs="Arial" w:eastAsia="Arial" w:hAnsi="Arial"/>
          <w:sz w:val="13"/>
          <w:szCs w:val="13"/>
          <w:b w:val="1"/>
          <w:bCs w:val="1"/>
          <w:color w:val="009D94"/>
        </w:rPr>
        <w:t>Royalties</w:t>
      </w:r>
    </w:p>
    <w:p>
      <w:pPr>
        <w:spacing w:after="0" w:line="1" w:lineRule="exact"/>
        <w:rPr>
          <w:rFonts w:ascii="Arial" w:cs="Arial" w:eastAsia="Arial" w:hAnsi="Arial"/>
          <w:sz w:val="10"/>
          <w:szCs w:val="10"/>
          <w:b w:val="1"/>
          <w:bCs w:val="1"/>
          <w:color w:val="auto"/>
        </w:rPr>
      </w:pPr>
    </w:p>
    <w:p>
      <w:pPr>
        <w:ind w:right="2540"/>
        <w:spacing w:after="0" w:line="203" w:lineRule="auto"/>
        <w:rPr>
          <w:sz w:val="20"/>
          <w:szCs w:val="20"/>
          <w:color w:val="auto"/>
        </w:rPr>
      </w:pPr>
      <w:r>
        <w:rPr>
          <w:rFonts w:ascii="Arial" w:cs="Arial" w:eastAsia="Arial" w:hAnsi="Arial"/>
          <w:sz w:val="10"/>
          <w:szCs w:val="10"/>
          <w:color w:val="auto"/>
        </w:rPr>
        <w:t>Royalty revenue amounted to $3,102 million in 2025 compared to $2,517 million in 2024. The increase of $585 million, or 23%, was primarily driven by higher DARZALEX and Kesimpta royalties achieved under our daratumumab collaboration with J&amp;J and ofatumumab collaboration with Novartis, respectively. The table below summarizes Genmab’s royalty revenue by product.</w:t>
      </w:r>
    </w:p>
    <w:p>
      <w:pPr>
        <w:spacing w:after="0" w:line="1"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123"/>
        </w:trPr>
        <w:tc>
          <w:tcPr>
            <w:tcW w:w="2440" w:type="dxa"/>
            <w:vAlign w:val="bottom"/>
            <w:tcBorders>
              <w:top w:val="single" w:sz="8" w:color="009D94"/>
            </w:tcBorders>
          </w:tcPr>
          <w:p>
            <w:pPr>
              <w:jc w:val="right"/>
              <w:ind w:right="129"/>
              <w:spacing w:after="0"/>
              <w:rPr>
                <w:sz w:val="20"/>
                <w:szCs w:val="20"/>
                <w:color w:val="auto"/>
              </w:rPr>
            </w:pPr>
            <w:r>
              <w:rPr>
                <w:rFonts w:ascii="Arial" w:cs="Arial" w:eastAsia="Arial" w:hAnsi="Arial"/>
                <w:sz w:val="10"/>
                <w:szCs w:val="10"/>
                <w:b w:val="1"/>
                <w:bCs w:val="1"/>
                <w:color w:val="009D94"/>
              </w:rPr>
              <w:t>2025</w:t>
            </w:r>
          </w:p>
        </w:tc>
        <w:tc>
          <w:tcPr>
            <w:tcW w:w="940" w:type="dxa"/>
            <w:vAlign w:val="bottom"/>
            <w:tcBorders>
              <w:top w:val="single" w:sz="8" w:color="009D94"/>
            </w:tcBorders>
          </w:tcPr>
          <w:p>
            <w:pPr>
              <w:jc w:val="right"/>
              <w:ind w:right="129"/>
              <w:spacing w:after="0"/>
              <w:rPr>
                <w:sz w:val="20"/>
                <w:szCs w:val="20"/>
                <w:color w:val="auto"/>
              </w:rPr>
            </w:pPr>
            <w:r>
              <w:rPr>
                <w:rFonts w:ascii="Arial" w:cs="Arial" w:eastAsia="Arial" w:hAnsi="Arial"/>
                <w:sz w:val="10"/>
                <w:szCs w:val="10"/>
                <w:b w:val="1"/>
                <w:bCs w:val="1"/>
                <w:color w:val="auto"/>
              </w:rPr>
              <w:t>2024</w:t>
            </w:r>
          </w:p>
        </w:tc>
        <w:tc>
          <w:tcPr>
            <w:tcW w:w="500" w:type="dxa"/>
            <w:vAlign w:val="bottom"/>
            <w:tcBorders>
              <w:top w:val="single" w:sz="8" w:color="009D94"/>
            </w:tcBorders>
          </w:tcPr>
          <w:p>
            <w:pPr>
              <w:spacing w:after="0"/>
              <w:rPr>
                <w:sz w:val="10"/>
                <w:szCs w:val="10"/>
                <w:color w:val="auto"/>
              </w:rPr>
            </w:pPr>
          </w:p>
        </w:tc>
        <w:tc>
          <w:tcPr>
            <w:tcW w:w="960" w:type="dxa"/>
            <w:vAlign w:val="bottom"/>
            <w:tcBorders>
              <w:top w:val="single" w:sz="8" w:color="009D94"/>
            </w:tcBorders>
          </w:tcPr>
          <w:p>
            <w:pPr>
              <w:jc w:val="right"/>
              <w:ind w:right="669"/>
              <w:spacing w:after="0"/>
              <w:rPr>
                <w:sz w:val="20"/>
                <w:szCs w:val="20"/>
                <w:color w:val="auto"/>
              </w:rPr>
            </w:pPr>
            <w:r>
              <w:rPr>
                <w:rFonts w:ascii="Arial" w:cs="Arial" w:eastAsia="Arial" w:hAnsi="Arial"/>
                <w:sz w:val="10"/>
                <w:szCs w:val="10"/>
                <w:b w:val="1"/>
                <w:bCs w:val="1"/>
                <w:color w:val="auto"/>
                <w:w w:val="98"/>
              </w:rPr>
              <w:t>2023</w:t>
            </w:r>
          </w:p>
        </w:tc>
      </w:tr>
      <w:tr>
        <w:trPr>
          <w:trHeight w:val="137"/>
        </w:trPr>
        <w:tc>
          <w:tcPr>
            <w:tcW w:w="2440" w:type="dxa"/>
            <w:vAlign w:val="bottom"/>
          </w:tcPr>
          <w:p>
            <w:pPr>
              <w:ind w:left="20"/>
              <w:spacing w:after="0"/>
              <w:rPr>
                <w:sz w:val="20"/>
                <w:szCs w:val="20"/>
                <w:color w:val="auto"/>
              </w:rPr>
            </w:pPr>
            <w:r>
              <w:rPr>
                <w:rFonts w:ascii="Arial" w:cs="Arial" w:eastAsia="Arial" w:hAnsi="Arial"/>
                <w:sz w:val="10"/>
                <w:szCs w:val="10"/>
                <w:color w:val="auto"/>
              </w:rPr>
              <w:t>DARZALEX</w:t>
            </w:r>
          </w:p>
        </w:tc>
        <w:tc>
          <w:tcPr>
            <w:tcW w:w="940" w:type="dxa"/>
            <w:vAlign w:val="bottom"/>
          </w:tcPr>
          <w:p>
            <w:pPr>
              <w:jc w:val="right"/>
              <w:ind w:right="429"/>
              <w:spacing w:after="0"/>
              <w:rPr>
                <w:sz w:val="20"/>
                <w:szCs w:val="20"/>
                <w:color w:val="auto"/>
              </w:rPr>
            </w:pPr>
            <w:r>
              <w:rPr>
                <w:rFonts w:ascii="Arial" w:cs="Arial" w:eastAsia="Arial" w:hAnsi="Arial"/>
                <w:sz w:val="10"/>
                <w:szCs w:val="10"/>
                <w:color w:val="009D94"/>
              </w:rPr>
              <w:t>2,443</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2,019</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1,635</w:t>
            </w:r>
          </w:p>
        </w:tc>
      </w:tr>
      <w:tr>
        <w:trPr>
          <w:trHeight w:val="152"/>
        </w:trPr>
        <w:tc>
          <w:tcPr>
            <w:tcW w:w="2440" w:type="dxa"/>
            <w:vAlign w:val="bottom"/>
          </w:tcPr>
          <w:p>
            <w:pPr>
              <w:ind w:left="20"/>
              <w:spacing w:after="0"/>
              <w:rPr>
                <w:sz w:val="20"/>
                <w:szCs w:val="20"/>
                <w:color w:val="auto"/>
              </w:rPr>
            </w:pPr>
            <w:r>
              <w:rPr>
                <w:rFonts w:ascii="Arial" w:cs="Arial" w:eastAsia="Arial" w:hAnsi="Arial"/>
                <w:sz w:val="10"/>
                <w:szCs w:val="10"/>
                <w:color w:val="auto"/>
              </w:rPr>
              <w:t>Kesimpta</w:t>
            </w:r>
          </w:p>
        </w:tc>
        <w:tc>
          <w:tcPr>
            <w:tcW w:w="940" w:type="dxa"/>
            <w:vAlign w:val="bottom"/>
          </w:tcPr>
          <w:p>
            <w:pPr>
              <w:jc w:val="right"/>
              <w:ind w:right="429"/>
              <w:spacing w:after="0"/>
              <w:rPr>
                <w:sz w:val="20"/>
                <w:szCs w:val="20"/>
                <w:color w:val="auto"/>
              </w:rPr>
            </w:pPr>
            <w:r>
              <w:rPr>
                <w:rFonts w:ascii="Arial" w:cs="Arial" w:eastAsia="Arial" w:hAnsi="Arial"/>
                <w:sz w:val="10"/>
                <w:szCs w:val="10"/>
                <w:color w:val="009D94"/>
              </w:rPr>
              <w:t>443</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323</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217</w:t>
            </w:r>
          </w:p>
        </w:tc>
      </w:tr>
      <w:tr>
        <w:trPr>
          <w:trHeight w:val="152"/>
        </w:trPr>
        <w:tc>
          <w:tcPr>
            <w:tcW w:w="2440" w:type="dxa"/>
            <w:vAlign w:val="bottom"/>
          </w:tcPr>
          <w:p>
            <w:pPr>
              <w:ind w:left="20"/>
              <w:spacing w:after="0"/>
              <w:rPr>
                <w:sz w:val="20"/>
                <w:szCs w:val="20"/>
                <w:color w:val="auto"/>
              </w:rPr>
            </w:pPr>
            <w:r>
              <w:rPr>
                <w:rFonts w:ascii="Arial" w:cs="Arial" w:eastAsia="Arial" w:hAnsi="Arial"/>
                <w:sz w:val="10"/>
                <w:szCs w:val="10"/>
                <w:color w:val="auto"/>
              </w:rPr>
              <w:t>TEPEZZA</w:t>
            </w:r>
          </w:p>
        </w:tc>
        <w:tc>
          <w:tcPr>
            <w:tcW w:w="940" w:type="dxa"/>
            <w:vAlign w:val="bottom"/>
          </w:tcPr>
          <w:p>
            <w:pPr>
              <w:jc w:val="right"/>
              <w:ind w:right="429"/>
              <w:spacing w:after="0"/>
              <w:rPr>
                <w:sz w:val="20"/>
                <w:szCs w:val="20"/>
                <w:color w:val="auto"/>
              </w:rPr>
            </w:pPr>
            <w:r>
              <w:rPr>
                <w:rFonts w:ascii="Arial" w:cs="Arial" w:eastAsia="Arial" w:hAnsi="Arial"/>
                <w:sz w:val="10"/>
                <w:szCs w:val="10"/>
                <w:color w:val="009D94"/>
              </w:rPr>
              <w:t>105</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106</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102</w:t>
            </w: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54" w:lineRule="exact"/>
        <w:rPr>
          <w:rFonts w:ascii="Arial" w:cs="Arial" w:eastAsia="Arial" w:hAnsi="Arial"/>
          <w:sz w:val="10"/>
          <w:szCs w:val="10"/>
          <w:b w:val="1"/>
          <w:bCs w:val="1"/>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38</w:t>
      </w:r>
    </w:p>
    <w:p>
      <w:pPr>
        <w:sectPr>
          <w:pgSz w:w="11900" w:h="16840" w:orient="portrait"/>
          <w:cols w:equalWidth="0" w:num="2">
            <w:col w:w="7400" w:space="720"/>
            <w:col w:w="1700"/>
          </w:cols>
          <w:pgMar w:left="640" w:top="1440" w:right="1440" w:bottom="588" w:gutter="0" w:footer="0" w:header="0"/>
        </w:sectPr>
      </w:pPr>
    </w:p>
    <w:bookmarkStart w:id="100" w:name="page101"/>
    <w:bookmarkEnd w:id="100"/>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009D94"/>
        </w:rPr>
        <w:t>Financial Review – Group</w:t>
      </w:r>
    </w:p>
    <w:p>
      <w:pPr>
        <w:spacing w:after="0" w:line="195" w:lineRule="auto"/>
        <w:rPr>
          <w:sz w:val="20"/>
          <w:szCs w:val="20"/>
          <w:color w:val="auto"/>
        </w:rPr>
      </w:pPr>
      <w:r>
        <w:rPr>
          <w:rFonts w:ascii="Arial" w:cs="Arial" w:eastAsia="Arial" w:hAnsi="Arial"/>
          <w:sz w:val="12"/>
          <w:szCs w:val="12"/>
          <w:b w:val="1"/>
          <w:bCs w:val="1"/>
          <w:color w:val="auto"/>
        </w:rPr>
        <w:t>DARZALEX</w:t>
      </w:r>
    </w:p>
    <w:p>
      <w:pPr>
        <w:ind w:right="240"/>
        <w:spacing w:after="0" w:line="198" w:lineRule="auto"/>
        <w:rPr>
          <w:sz w:val="20"/>
          <w:szCs w:val="20"/>
          <w:color w:val="auto"/>
        </w:rPr>
      </w:pPr>
      <w:r>
        <w:rPr>
          <w:rFonts w:ascii="Arial" w:cs="Arial" w:eastAsia="Arial" w:hAnsi="Arial"/>
          <w:sz w:val="10"/>
          <w:szCs w:val="10"/>
          <w:color w:val="auto"/>
        </w:rPr>
        <w:t>J&amp;J’s net sales of DARZALEX were $14,351 million in 2025 compared to $11,670 million in 2024 and $9,744 million in 2023. The increase from 2024</w:t>
      </w:r>
    </w:p>
    <w:p>
      <w:pPr>
        <w:spacing w:after="0" w:line="1" w:lineRule="exact"/>
        <w:rPr>
          <w:sz w:val="20"/>
          <w:szCs w:val="20"/>
          <w:color w:val="auto"/>
        </w:rPr>
      </w:pPr>
    </w:p>
    <w:p>
      <w:pPr>
        <w:ind w:right="280"/>
        <w:spacing w:after="0" w:line="198" w:lineRule="auto"/>
        <w:rPr>
          <w:sz w:val="20"/>
          <w:szCs w:val="20"/>
          <w:color w:val="auto"/>
        </w:rPr>
      </w:pPr>
      <w:r>
        <w:rPr>
          <w:rFonts w:ascii="Arial" w:cs="Arial" w:eastAsia="Arial" w:hAnsi="Arial"/>
          <w:sz w:val="10"/>
          <w:szCs w:val="10"/>
          <w:color w:val="auto"/>
        </w:rPr>
        <w:t>to 2025 of $ 2,681 million, or 23%, was driven by share gains in all regions. The increase from 2023 to 2024 of $ 1,926 million, or 20%, was also driven by share gains in all regions.</w:t>
      </w:r>
    </w:p>
    <w:p>
      <w:pPr>
        <w:spacing w:after="0" w:line="1" w:lineRule="exact"/>
        <w:rPr>
          <w:sz w:val="20"/>
          <w:szCs w:val="20"/>
          <w:color w:val="auto"/>
        </w:rPr>
      </w:pPr>
    </w:p>
    <w:p>
      <w:pPr>
        <w:jc w:val="both"/>
        <w:ind w:right="280"/>
        <w:spacing w:after="0" w:line="202" w:lineRule="auto"/>
        <w:rPr>
          <w:sz w:val="20"/>
          <w:szCs w:val="20"/>
          <w:color w:val="auto"/>
        </w:rPr>
      </w:pPr>
      <w:r>
        <w:rPr>
          <w:rFonts w:ascii="Arial" w:cs="Arial" w:eastAsia="Arial" w:hAnsi="Arial"/>
          <w:sz w:val="10"/>
          <w:szCs w:val="10"/>
          <w:color w:val="auto"/>
        </w:rPr>
        <w:t>Royalty revenue on net sales of DARZALEX was $2,443 million in 2025 compared to $2,019 million in 2024 and $1,635 million in 2023, an increase of $424 million from 2024 to 2025, and an increase of $384 million from 2023 to 2024.</w:t>
      </w:r>
    </w:p>
    <w:p>
      <w:pPr>
        <w:spacing w:after="0" w:line="201" w:lineRule="auto"/>
        <w:rPr>
          <w:sz w:val="20"/>
          <w:szCs w:val="20"/>
          <w:color w:val="auto"/>
        </w:rPr>
      </w:pPr>
      <w:r>
        <w:rPr>
          <w:rFonts w:ascii="Arial" w:cs="Arial" w:eastAsia="Arial" w:hAnsi="Arial"/>
          <w:sz w:val="10"/>
          <w:szCs w:val="10"/>
          <w:color w:val="auto"/>
        </w:rPr>
        <w:t>The percentage increase in royalties of 21%</w:t>
      </w:r>
    </w:p>
    <w:p>
      <w:pPr>
        <w:spacing w:after="0" w:line="199" w:lineRule="auto"/>
        <w:rPr>
          <w:sz w:val="20"/>
          <w:szCs w:val="20"/>
          <w:color w:val="auto"/>
        </w:rPr>
      </w:pPr>
      <w:r>
        <w:rPr>
          <w:rFonts w:ascii="Arial" w:cs="Arial" w:eastAsia="Arial" w:hAnsi="Arial"/>
          <w:sz w:val="10"/>
          <w:szCs w:val="10"/>
          <w:color w:val="auto"/>
        </w:rPr>
        <w:t>from 2024 to 2025 is lower than the percentage</w:t>
      </w:r>
    </w:p>
    <w:p>
      <w:pPr>
        <w:spacing w:after="0" w:line="198" w:lineRule="auto"/>
        <w:rPr>
          <w:sz w:val="20"/>
          <w:szCs w:val="20"/>
          <w:color w:val="auto"/>
        </w:rPr>
      </w:pPr>
      <w:r>
        <w:rPr>
          <w:rFonts w:ascii="Arial" w:cs="Arial" w:eastAsia="Arial" w:hAnsi="Arial"/>
          <w:sz w:val="10"/>
          <w:szCs w:val="10"/>
          <w:color w:val="auto"/>
        </w:rPr>
        <w:t>increase in the underlying net sales of 23%</w:t>
      </w:r>
    </w:p>
    <w:p>
      <w:pPr>
        <w:spacing w:after="0" w:line="199" w:lineRule="auto"/>
        <w:rPr>
          <w:sz w:val="20"/>
          <w:szCs w:val="20"/>
          <w:color w:val="auto"/>
        </w:rPr>
      </w:pPr>
      <w:r>
        <w:rPr>
          <w:rFonts w:ascii="Arial" w:cs="Arial" w:eastAsia="Arial" w:hAnsi="Arial"/>
          <w:sz w:val="10"/>
          <w:szCs w:val="10"/>
          <w:color w:val="auto"/>
        </w:rPr>
        <w:t>primarily due to negative foreign exchange rate</w:t>
      </w:r>
    </w:p>
    <w:p>
      <w:pPr>
        <w:spacing w:after="0" w:line="199" w:lineRule="auto"/>
        <w:rPr>
          <w:sz w:val="20"/>
          <w:szCs w:val="20"/>
          <w:color w:val="auto"/>
        </w:rPr>
      </w:pPr>
      <w:r>
        <w:rPr>
          <w:rFonts w:ascii="Arial" w:cs="Arial" w:eastAsia="Arial" w:hAnsi="Arial"/>
          <w:sz w:val="10"/>
          <w:szCs w:val="10"/>
          <w:color w:val="auto"/>
        </w:rPr>
        <w:t>impacts and an increase in Genmab’s Halozyme</w:t>
      </w:r>
    </w:p>
    <w:p>
      <w:pPr>
        <w:spacing w:after="0" w:line="198" w:lineRule="auto"/>
        <w:rPr>
          <w:sz w:val="20"/>
          <w:szCs w:val="20"/>
          <w:color w:val="auto"/>
        </w:rPr>
      </w:pPr>
      <w:r>
        <w:rPr>
          <w:rFonts w:ascii="Arial" w:cs="Arial" w:eastAsia="Arial" w:hAnsi="Arial"/>
          <w:sz w:val="10"/>
          <w:szCs w:val="10"/>
          <w:color w:val="auto"/>
        </w:rPr>
        <w:t>royalty reductions in connection with the increase in</w:t>
      </w:r>
    </w:p>
    <w:p>
      <w:pPr>
        <w:spacing w:after="0" w:line="199" w:lineRule="auto"/>
        <w:rPr>
          <w:sz w:val="20"/>
          <w:szCs w:val="20"/>
          <w:color w:val="auto"/>
        </w:rPr>
      </w:pPr>
      <w:r>
        <w:rPr>
          <w:rFonts w:ascii="Arial" w:cs="Arial" w:eastAsia="Arial" w:hAnsi="Arial"/>
          <w:sz w:val="10"/>
          <w:szCs w:val="10"/>
          <w:color w:val="auto"/>
        </w:rPr>
        <w:t>SC product net sales, partially offset by higher</w:t>
      </w:r>
    </w:p>
    <w:p>
      <w:pPr>
        <w:spacing w:after="0" w:line="199" w:lineRule="auto"/>
        <w:rPr>
          <w:sz w:val="20"/>
          <w:szCs w:val="20"/>
          <w:color w:val="auto"/>
        </w:rPr>
      </w:pPr>
      <w:r>
        <w:rPr>
          <w:rFonts w:ascii="Arial" w:cs="Arial" w:eastAsia="Arial" w:hAnsi="Arial"/>
          <w:sz w:val="10"/>
          <w:szCs w:val="10"/>
          <w:color w:val="auto"/>
        </w:rPr>
        <w:t>effective royalty rate for 2025. Under our license</w:t>
      </w:r>
    </w:p>
    <w:p>
      <w:pPr>
        <w:spacing w:after="0" w:line="198" w:lineRule="auto"/>
        <w:rPr>
          <w:sz w:val="20"/>
          <w:szCs w:val="20"/>
          <w:color w:val="auto"/>
        </w:rPr>
      </w:pPr>
      <w:r>
        <w:rPr>
          <w:rFonts w:ascii="Arial" w:cs="Arial" w:eastAsia="Arial" w:hAnsi="Arial"/>
          <w:sz w:val="10"/>
          <w:szCs w:val="10"/>
          <w:color w:val="auto"/>
        </w:rPr>
        <w:t>agreement with Janssen for DARZALEX, for</w:t>
      </w:r>
    </w:p>
    <w:p>
      <w:pPr>
        <w:spacing w:after="0" w:line="199" w:lineRule="auto"/>
        <w:rPr>
          <w:sz w:val="20"/>
          <w:szCs w:val="20"/>
          <w:color w:val="auto"/>
        </w:rPr>
      </w:pPr>
      <w:r>
        <w:rPr>
          <w:rFonts w:ascii="Arial" w:cs="Arial" w:eastAsia="Arial" w:hAnsi="Arial"/>
          <w:sz w:val="10"/>
          <w:szCs w:val="10"/>
          <w:color w:val="auto"/>
        </w:rPr>
        <w:t>purposes of calculating royalties due to</w:t>
      </w:r>
    </w:p>
    <w:p>
      <w:pPr>
        <w:spacing w:after="0" w:line="199" w:lineRule="auto"/>
        <w:rPr>
          <w:sz w:val="20"/>
          <w:szCs w:val="20"/>
          <w:color w:val="auto"/>
        </w:rPr>
      </w:pPr>
      <w:r>
        <w:rPr>
          <w:rFonts w:ascii="Arial" w:cs="Arial" w:eastAsia="Arial" w:hAnsi="Arial"/>
          <w:sz w:val="10"/>
          <w:szCs w:val="10"/>
          <w:color w:val="auto"/>
        </w:rPr>
        <w:t>Genmab, DARZALEX net sales for non-U.S. dollar</w:t>
      </w:r>
    </w:p>
    <w:p>
      <w:pPr>
        <w:spacing w:after="0" w:line="198" w:lineRule="auto"/>
        <w:rPr>
          <w:sz w:val="20"/>
          <w:szCs w:val="20"/>
          <w:color w:val="auto"/>
        </w:rPr>
      </w:pPr>
      <w:r>
        <w:rPr>
          <w:rFonts w:ascii="Arial" w:cs="Arial" w:eastAsia="Arial" w:hAnsi="Arial"/>
          <w:sz w:val="10"/>
          <w:szCs w:val="10"/>
          <w:color w:val="auto"/>
        </w:rPr>
        <w:t>denominated currencies are translated to U.S.</w:t>
      </w:r>
    </w:p>
    <w:p>
      <w:pPr>
        <w:spacing w:after="0" w:line="199" w:lineRule="auto"/>
        <w:rPr>
          <w:sz w:val="20"/>
          <w:szCs w:val="20"/>
          <w:color w:val="auto"/>
        </w:rPr>
      </w:pPr>
      <w:r>
        <w:rPr>
          <w:rFonts w:ascii="Arial" w:cs="Arial" w:eastAsia="Arial" w:hAnsi="Arial"/>
          <w:sz w:val="10"/>
          <w:szCs w:val="10"/>
          <w:color w:val="auto"/>
        </w:rPr>
        <w:t>dollars at a specified annual Currency Hedge Rate.</w:t>
      </w:r>
    </w:p>
    <w:p>
      <w:pPr>
        <w:spacing w:after="0" w:line="199" w:lineRule="auto"/>
        <w:rPr>
          <w:sz w:val="20"/>
          <w:szCs w:val="20"/>
          <w:color w:val="auto"/>
        </w:rPr>
      </w:pPr>
      <w:r>
        <w:rPr>
          <w:rFonts w:ascii="Arial" w:cs="Arial" w:eastAsia="Arial" w:hAnsi="Arial"/>
          <w:sz w:val="10"/>
          <w:szCs w:val="10"/>
          <w:color w:val="auto"/>
        </w:rPr>
        <w:t>This contractual arrangement is the driver for the</w:t>
      </w:r>
    </w:p>
    <w:p>
      <w:pPr>
        <w:spacing w:after="0" w:line="198" w:lineRule="auto"/>
        <w:rPr>
          <w:sz w:val="20"/>
          <w:szCs w:val="20"/>
          <w:color w:val="auto"/>
        </w:rPr>
      </w:pPr>
      <w:r>
        <w:rPr>
          <w:rFonts w:ascii="Arial" w:cs="Arial" w:eastAsia="Arial" w:hAnsi="Arial"/>
          <w:sz w:val="10"/>
          <w:szCs w:val="10"/>
          <w:color w:val="auto"/>
        </w:rPr>
        <w:t>other foreign exchange impacts discussed above.</w:t>
      </w:r>
    </w:p>
    <w:p>
      <w:pPr>
        <w:ind w:right="400"/>
        <w:spacing w:after="0" w:line="198" w:lineRule="auto"/>
        <w:rPr>
          <w:sz w:val="20"/>
          <w:szCs w:val="20"/>
          <w:color w:val="auto"/>
        </w:rPr>
      </w:pPr>
      <w:r>
        <w:rPr>
          <w:rFonts w:ascii="Arial" w:cs="Arial" w:eastAsia="Arial" w:hAnsi="Arial"/>
          <w:sz w:val="10"/>
          <w:szCs w:val="10"/>
          <w:color w:val="auto"/>
        </w:rPr>
        <w:t>The percentage increase in royalties of 23% from 2023 to 2024 is higher than the percentage increase in the underlying net sales of 20% primarily due to a higher effective royalty rate for 2024 and other positive foreign exchange rate impacts, partially offset by the increase</w:t>
      </w:r>
    </w:p>
    <w:p>
      <w:pPr>
        <w:spacing w:after="0" w:line="2" w:lineRule="exact"/>
        <w:rPr>
          <w:sz w:val="20"/>
          <w:szCs w:val="20"/>
          <w:color w:val="auto"/>
        </w:rPr>
      </w:pPr>
    </w:p>
    <w:p>
      <w:pPr>
        <w:ind w:right="240"/>
        <w:spacing w:after="0" w:line="214" w:lineRule="auto"/>
        <w:rPr>
          <w:sz w:val="20"/>
          <w:szCs w:val="20"/>
          <w:color w:val="auto"/>
        </w:rPr>
      </w:pPr>
      <w:r>
        <w:rPr>
          <w:rFonts w:ascii="Arial" w:cs="Arial" w:eastAsia="Arial" w:hAnsi="Arial"/>
          <w:sz w:val="10"/>
          <w:szCs w:val="10"/>
          <w:color w:val="auto"/>
        </w:rPr>
        <w:t>in Genmab’s Halozyme royalty reductions in connection with the increase in SC product net sales and an increase in royalty reductions on net sales in countries and territories where there is no Genmab patent coverage as well as lower average exchange rate between the USD and DKK in 2024. Under our license agreement with Janssen for DARZALEX, for purposes of calculating royalties due to Genmab, DARZALEX net sales for non-U.S. dollar denominated currencies are translated to U.S. dollars at a specified annual Currency Hedge Rate. This contractual arrangement is the driver for the other foreign exchange impacts discussed above.</w:t>
      </w:r>
    </w:p>
    <w:p>
      <w:pPr>
        <w:spacing w:after="0" w:line="197" w:lineRule="auto"/>
        <w:rPr>
          <w:sz w:val="20"/>
          <w:szCs w:val="20"/>
          <w:color w:val="auto"/>
        </w:rPr>
      </w:pPr>
      <w:r>
        <w:rPr>
          <w:rFonts w:ascii="Arial" w:cs="Arial" w:eastAsia="Arial" w:hAnsi="Arial"/>
          <w:sz w:val="12"/>
          <w:szCs w:val="12"/>
          <w:b w:val="1"/>
          <w:bCs w:val="1"/>
          <w:color w:val="auto"/>
        </w:rPr>
        <w:t>Kesimpta</w:t>
      </w:r>
    </w:p>
    <w:p>
      <w:pPr>
        <w:ind w:right="220"/>
        <w:spacing w:after="0" w:line="198" w:lineRule="auto"/>
        <w:rPr>
          <w:sz w:val="20"/>
          <w:szCs w:val="20"/>
          <w:color w:val="auto"/>
        </w:rPr>
      </w:pPr>
      <w:r>
        <w:rPr>
          <w:rFonts w:ascii="Arial" w:cs="Arial" w:eastAsia="Arial" w:hAnsi="Arial"/>
          <w:sz w:val="10"/>
          <w:szCs w:val="10"/>
          <w:color w:val="auto"/>
        </w:rPr>
        <w:t>Novartis’ net sales of Kesimpta were $4,426 million in 2025 compared to $3,224 million in 2024 and $2,171 million in 2023. The increase of $1,202 million from 2024 to 2025, or 37%, was primarily driven by increased demand and continued strong access. The increase of $1,053 million from 2023 to 2024, or 49%, was primarily driven by increased demand and strong access.</w:t>
      </w:r>
    </w:p>
    <w:p>
      <w:pPr>
        <w:spacing w:after="0" w:line="2" w:lineRule="exact"/>
        <w:rPr>
          <w:sz w:val="20"/>
          <w:szCs w:val="20"/>
          <w:color w:val="auto"/>
        </w:rPr>
      </w:pPr>
    </w:p>
    <w:p>
      <w:pPr>
        <w:ind w:right="260"/>
        <w:spacing w:after="0" w:line="199" w:lineRule="auto"/>
        <w:rPr>
          <w:sz w:val="20"/>
          <w:szCs w:val="20"/>
          <w:color w:val="auto"/>
        </w:rPr>
      </w:pPr>
      <w:r>
        <w:rPr>
          <w:rFonts w:ascii="Arial" w:cs="Arial" w:eastAsia="Arial" w:hAnsi="Arial"/>
          <w:sz w:val="10"/>
          <w:szCs w:val="10"/>
          <w:color w:val="auto"/>
        </w:rPr>
        <w:t>Royalty revenue on net sales of Kesimpta was $443 million in 2025 compared to $323 million in 2024, an increase of $120 million, or 37%. Royalty revenue on net sales of Kesimpta was $323 million in 2024 compared to $217 million in 2023, an increase of $106 million, or 49%.</w:t>
      </w:r>
    </w:p>
    <w:p>
      <w:pPr>
        <w:spacing w:after="0" w:line="196" w:lineRule="auto"/>
        <w:rPr>
          <w:sz w:val="20"/>
          <w:szCs w:val="20"/>
          <w:color w:val="auto"/>
        </w:rPr>
      </w:pPr>
      <w:r>
        <w:rPr>
          <w:rFonts w:ascii="Arial" w:cs="Arial" w:eastAsia="Arial" w:hAnsi="Arial"/>
          <w:sz w:val="12"/>
          <w:szCs w:val="12"/>
          <w:b w:val="1"/>
          <w:bCs w:val="1"/>
          <w:color w:val="auto"/>
        </w:rPr>
        <w:t>TEPEZZA</w:t>
      </w:r>
    </w:p>
    <w:p>
      <w:pPr>
        <w:ind w:right="220"/>
        <w:spacing w:after="0" w:line="208" w:lineRule="auto"/>
        <w:rPr>
          <w:sz w:val="20"/>
          <w:szCs w:val="20"/>
          <w:color w:val="auto"/>
        </w:rPr>
      </w:pPr>
      <w:r>
        <w:rPr>
          <w:rFonts w:ascii="Arial" w:cs="Arial" w:eastAsia="Arial" w:hAnsi="Arial"/>
          <w:sz w:val="10"/>
          <w:szCs w:val="10"/>
          <w:color w:val="auto"/>
        </w:rPr>
        <w:t>Amgen’s net sales of TEPEZZA were $1,903 million in 2025 compared to $1,851 million in 2024 and $1,771 million in 2023. Royalty revenue on net sales of TEPEZZA was $105 million in 2025 compared to $106 million in 2024 and $ 102 million in 2023, a decrease of $ 1 million, or 1% from 2024 to 2025 and an increase of $4 million, or 4% from</w:t>
      </w:r>
    </w:p>
    <w:p>
      <w:pPr>
        <w:spacing w:after="0" w:line="36" w:lineRule="exact"/>
        <w:rPr>
          <w:sz w:val="20"/>
          <w:szCs w:val="20"/>
          <w:color w:val="auto"/>
        </w:rPr>
      </w:pPr>
    </w:p>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009D94"/>
        </w:rPr>
        <w:t>Financial Review – Group</w:t>
      </w:r>
    </w:p>
    <w:p>
      <w:pPr>
        <w:spacing w:after="0" w:line="209" w:lineRule="auto"/>
        <w:rPr>
          <w:sz w:val="20"/>
          <w:szCs w:val="20"/>
          <w:color w:val="auto"/>
        </w:rPr>
      </w:pPr>
      <w:r>
        <w:rPr>
          <w:rFonts w:ascii="Arial" w:cs="Arial" w:eastAsia="Arial" w:hAnsi="Arial"/>
          <w:sz w:val="13"/>
          <w:szCs w:val="13"/>
          <w:b w:val="1"/>
          <w:bCs w:val="1"/>
          <w:color w:val="009D94"/>
        </w:rPr>
        <w:t>Reimbursement Revenue</w:t>
      </w:r>
    </w:p>
    <w:p>
      <w:pPr>
        <w:ind w:right="220"/>
        <w:spacing w:after="0" w:line="198" w:lineRule="auto"/>
        <w:rPr>
          <w:sz w:val="20"/>
          <w:szCs w:val="20"/>
          <w:color w:val="auto"/>
        </w:rPr>
      </w:pPr>
      <w:r>
        <w:rPr>
          <w:rFonts w:ascii="Arial" w:cs="Arial" w:eastAsia="Arial" w:hAnsi="Arial"/>
          <w:sz w:val="10"/>
          <w:szCs w:val="10"/>
          <w:color w:val="auto"/>
        </w:rPr>
        <w:t>Reimbursement revenue, mainly comprised of the reimbursement of certain research and development costs related to the development work under Genmab’s collaboration agreements, amounted to $ 53 million in 2025 compared to $144 million in 2024 and $124 million in 2023.</w:t>
      </w:r>
    </w:p>
    <w:p>
      <w:pPr>
        <w:spacing w:after="0" w:line="2" w:lineRule="exact"/>
        <w:rPr>
          <w:sz w:val="20"/>
          <w:szCs w:val="20"/>
          <w:color w:val="auto"/>
        </w:rPr>
      </w:pPr>
    </w:p>
    <w:p>
      <w:pPr>
        <w:ind w:right="220"/>
        <w:spacing w:after="0" w:line="198" w:lineRule="auto"/>
        <w:rPr>
          <w:sz w:val="20"/>
          <w:szCs w:val="20"/>
          <w:color w:val="auto"/>
        </w:rPr>
      </w:pPr>
      <w:r>
        <w:rPr>
          <w:rFonts w:ascii="Arial" w:cs="Arial" w:eastAsia="Arial" w:hAnsi="Arial"/>
          <w:sz w:val="10"/>
          <w:szCs w:val="10"/>
          <w:color w:val="auto"/>
        </w:rPr>
        <w:t>The decrease of $91 million , or 63%, from 2024 to 2025 was driven by Genmab assuming full control of the development, as well as future commercialization, of the acasunlimab program, effective in the second half of 2024. The increase of $20 million, or 16%, from 2023 to 2024 was primarily driven by higher activities under our collaboration agreements with BioNTech for DuoBody-CD40x4-1BB and acasunlimab prior</w:t>
      </w:r>
    </w:p>
    <w:p>
      <w:pPr>
        <w:spacing w:after="0" w:line="3" w:lineRule="exact"/>
        <w:rPr>
          <w:sz w:val="20"/>
          <w:szCs w:val="20"/>
          <w:color w:val="auto"/>
        </w:rPr>
      </w:pPr>
    </w:p>
    <w:p>
      <w:pPr>
        <w:ind w:right="520"/>
        <w:spacing w:after="0" w:line="200" w:lineRule="auto"/>
        <w:rPr>
          <w:sz w:val="20"/>
          <w:szCs w:val="20"/>
          <w:color w:val="auto"/>
        </w:rPr>
      </w:pPr>
      <w:r>
        <w:rPr>
          <w:rFonts w:ascii="Arial" w:cs="Arial" w:eastAsia="Arial" w:hAnsi="Arial"/>
          <w:sz w:val="10"/>
          <w:szCs w:val="10"/>
          <w:color w:val="auto"/>
        </w:rPr>
        <w:t>to Genmab assuming full ownership, as well as by higher activities under our collaboration agreement with Pfizer for Tivdak.</w:t>
      </w:r>
    </w:p>
    <w:p>
      <w:pPr>
        <w:spacing w:after="0" w:line="210" w:lineRule="auto"/>
        <w:rPr>
          <w:sz w:val="20"/>
          <w:szCs w:val="20"/>
          <w:color w:val="auto"/>
        </w:rPr>
      </w:pPr>
      <w:r>
        <w:rPr>
          <w:rFonts w:ascii="Arial" w:cs="Arial" w:eastAsia="Arial" w:hAnsi="Arial"/>
          <w:sz w:val="13"/>
          <w:szCs w:val="13"/>
          <w:b w:val="1"/>
          <w:bCs w:val="1"/>
          <w:color w:val="009D94"/>
        </w:rPr>
        <w:t>Milestone Revenue</w:t>
      </w:r>
    </w:p>
    <w:p>
      <w:pPr>
        <w:ind w:right="280"/>
        <w:spacing w:after="0" w:line="199" w:lineRule="auto"/>
        <w:rPr>
          <w:sz w:val="20"/>
          <w:szCs w:val="20"/>
          <w:color w:val="auto"/>
        </w:rPr>
      </w:pPr>
      <w:r>
        <w:rPr>
          <w:rFonts w:ascii="Arial" w:cs="Arial" w:eastAsia="Arial" w:hAnsi="Arial"/>
          <w:sz w:val="10"/>
          <w:szCs w:val="10"/>
          <w:color w:val="auto"/>
        </w:rPr>
        <w:t>Milestone revenue was $97 million in 2025 compared to $145 million in 2024 and $171 million in 2023, a decrease of $48 million , or 33%, from 2024 to 2025, and a decrease of $ 26 million , or 15%, from 2023 to 2024, primarily driven by the following milestones by year as presented below:</w:t>
      </w:r>
    </w:p>
    <w:p>
      <w:pPr>
        <w:spacing w:after="0" w:line="196" w:lineRule="auto"/>
        <w:rPr>
          <w:sz w:val="20"/>
          <w:szCs w:val="20"/>
          <w:color w:val="auto"/>
        </w:rPr>
      </w:pPr>
      <w:r>
        <w:rPr>
          <w:rFonts w:ascii="Arial" w:cs="Arial" w:eastAsia="Arial" w:hAnsi="Arial"/>
          <w:sz w:val="12"/>
          <w:szCs w:val="12"/>
          <w:b w:val="1"/>
          <w:bCs w:val="1"/>
          <w:color w:val="auto"/>
        </w:rPr>
        <w:t>2025 milestones:</w:t>
      </w:r>
    </w:p>
    <w:p>
      <w:pPr>
        <w:ind w:right="580"/>
        <w:spacing w:after="0" w:line="198" w:lineRule="auto"/>
        <w:rPr>
          <w:sz w:val="20"/>
          <w:szCs w:val="20"/>
          <w:color w:val="auto"/>
        </w:rPr>
      </w:pPr>
      <w:r>
        <w:rPr>
          <w:rFonts w:ascii="Arial" w:cs="Arial" w:eastAsia="Arial" w:hAnsi="Arial"/>
          <w:sz w:val="10"/>
          <w:szCs w:val="10"/>
          <w:color w:val="auto"/>
        </w:rPr>
        <w:t>•AbbVie milestone of $ 30 million due to acceptance for filing of a BLA by the FDA in the third Indication for epcoritamab. •AbbVie milestone of $ 15 million due to acceptance for filing of a BLA by the EMA in the third indication for epcoritamab.</w:t>
      </w:r>
    </w:p>
    <w:p>
      <w:pPr>
        <w:spacing w:after="0" w:line="2" w:lineRule="exact"/>
        <w:rPr>
          <w:sz w:val="20"/>
          <w:szCs w:val="20"/>
          <w:color w:val="auto"/>
        </w:rPr>
      </w:pPr>
    </w:p>
    <w:p>
      <w:pPr>
        <w:ind w:right="540"/>
        <w:spacing w:after="0" w:line="198" w:lineRule="auto"/>
        <w:rPr>
          <w:sz w:val="20"/>
          <w:szCs w:val="20"/>
          <w:color w:val="auto"/>
        </w:rPr>
      </w:pPr>
      <w:r>
        <w:rPr>
          <w:rFonts w:ascii="Arial" w:cs="Arial" w:eastAsia="Arial" w:hAnsi="Arial"/>
          <w:sz w:val="10"/>
          <w:szCs w:val="10"/>
          <w:color w:val="auto"/>
        </w:rPr>
        <w:t>•Novo Nordisk milestone of $12.5 million due to filing of a BLA in the United States for an exclusive product.</w:t>
      </w:r>
    </w:p>
    <w:p>
      <w:pPr>
        <w:spacing w:after="0" w:line="200" w:lineRule="auto"/>
        <w:rPr>
          <w:sz w:val="20"/>
          <w:szCs w:val="20"/>
          <w:color w:val="auto"/>
        </w:rPr>
      </w:pPr>
      <w:r>
        <w:rPr>
          <w:rFonts w:ascii="Arial" w:cs="Arial" w:eastAsia="Arial" w:hAnsi="Arial"/>
          <w:sz w:val="10"/>
          <w:szCs w:val="10"/>
          <w:color w:val="auto"/>
        </w:rPr>
        <w:t>•J&amp;J milestone of $10 million due to Biologics</w:t>
      </w:r>
    </w:p>
    <w:p>
      <w:pPr>
        <w:spacing w:after="0" w:line="199" w:lineRule="auto"/>
        <w:rPr>
          <w:sz w:val="20"/>
          <w:szCs w:val="20"/>
          <w:color w:val="auto"/>
        </w:rPr>
      </w:pPr>
      <w:r>
        <w:rPr>
          <w:rFonts w:ascii="Arial" w:cs="Arial" w:eastAsia="Arial" w:hAnsi="Arial"/>
          <w:sz w:val="10"/>
          <w:szCs w:val="10"/>
          <w:color w:val="auto"/>
        </w:rPr>
        <w:t>License Application (BLA) approval in any of</w:t>
      </w:r>
    </w:p>
    <w:p>
      <w:pPr>
        <w:spacing w:after="0" w:line="198" w:lineRule="auto"/>
        <w:rPr>
          <w:sz w:val="20"/>
          <w:szCs w:val="20"/>
          <w:color w:val="auto"/>
        </w:rPr>
      </w:pPr>
      <w:r>
        <w:rPr>
          <w:rFonts w:ascii="Arial" w:cs="Arial" w:eastAsia="Arial" w:hAnsi="Arial"/>
          <w:sz w:val="10"/>
          <w:szCs w:val="10"/>
          <w:color w:val="auto"/>
        </w:rPr>
        <w:t>Japan, China or India of Licensed Product</w:t>
      </w:r>
    </w:p>
    <w:p>
      <w:pPr>
        <w:spacing w:after="0" w:line="199" w:lineRule="auto"/>
        <w:rPr>
          <w:sz w:val="20"/>
          <w:szCs w:val="20"/>
          <w:color w:val="auto"/>
        </w:rPr>
      </w:pPr>
      <w:r>
        <w:rPr>
          <w:rFonts w:ascii="Arial" w:cs="Arial" w:eastAsia="Arial" w:hAnsi="Arial"/>
          <w:sz w:val="10"/>
          <w:szCs w:val="10"/>
          <w:color w:val="auto"/>
        </w:rPr>
        <w:t>targeting an Optioned Target Binding Pair</w:t>
      </w:r>
    </w:p>
    <w:p>
      <w:pPr>
        <w:spacing w:after="0" w:line="199" w:lineRule="auto"/>
        <w:rPr>
          <w:sz w:val="20"/>
          <w:szCs w:val="20"/>
          <w:color w:val="auto"/>
        </w:rPr>
      </w:pPr>
      <w:r>
        <w:rPr>
          <w:rFonts w:ascii="Arial" w:cs="Arial" w:eastAsia="Arial" w:hAnsi="Arial"/>
          <w:sz w:val="10"/>
          <w:szCs w:val="10"/>
          <w:color w:val="auto"/>
        </w:rPr>
        <w:t>from First or Second Tranches (talquetamab).</w:t>
      </w:r>
    </w:p>
    <w:p>
      <w:pPr>
        <w:spacing w:after="0" w:line="198" w:lineRule="auto"/>
        <w:rPr>
          <w:sz w:val="20"/>
          <w:szCs w:val="20"/>
          <w:color w:val="auto"/>
        </w:rPr>
      </w:pPr>
      <w:r>
        <w:rPr>
          <w:rFonts w:ascii="Arial" w:cs="Arial" w:eastAsia="Arial" w:hAnsi="Arial"/>
          <w:sz w:val="10"/>
          <w:szCs w:val="10"/>
          <w:color w:val="auto"/>
        </w:rPr>
        <w:t>•J&amp;J milestone of $10 million due to first</w:t>
      </w:r>
    </w:p>
    <w:p>
      <w:pPr>
        <w:spacing w:after="0" w:line="199" w:lineRule="auto"/>
        <w:rPr>
          <w:sz w:val="20"/>
          <w:szCs w:val="20"/>
          <w:color w:val="auto"/>
        </w:rPr>
      </w:pPr>
      <w:r>
        <w:rPr>
          <w:rFonts w:ascii="Arial" w:cs="Arial" w:eastAsia="Arial" w:hAnsi="Arial"/>
          <w:sz w:val="10"/>
          <w:szCs w:val="10"/>
          <w:color w:val="auto"/>
        </w:rPr>
        <w:t>commercial sale in the United States or a</w:t>
      </w:r>
    </w:p>
    <w:p>
      <w:pPr>
        <w:spacing w:after="0" w:line="199" w:lineRule="auto"/>
        <w:rPr>
          <w:sz w:val="20"/>
          <w:szCs w:val="20"/>
          <w:color w:val="auto"/>
        </w:rPr>
      </w:pPr>
      <w:r>
        <w:rPr>
          <w:rFonts w:ascii="Arial" w:cs="Arial" w:eastAsia="Arial" w:hAnsi="Arial"/>
          <w:sz w:val="10"/>
          <w:szCs w:val="10"/>
          <w:color w:val="auto"/>
        </w:rPr>
        <w:t>major EU country for either a smoldering multiple</w:t>
      </w:r>
    </w:p>
    <w:p>
      <w:pPr>
        <w:spacing w:after="0" w:line="198" w:lineRule="auto"/>
        <w:rPr>
          <w:sz w:val="20"/>
          <w:szCs w:val="20"/>
          <w:color w:val="auto"/>
        </w:rPr>
      </w:pPr>
      <w:r>
        <w:rPr>
          <w:rFonts w:ascii="Arial" w:cs="Arial" w:eastAsia="Arial" w:hAnsi="Arial"/>
          <w:sz w:val="10"/>
          <w:szCs w:val="10"/>
          <w:color w:val="auto"/>
        </w:rPr>
        <w:t>myeloma indication or a maintenance indication</w:t>
      </w:r>
    </w:p>
    <w:p>
      <w:pPr>
        <w:spacing w:after="0" w:line="199" w:lineRule="auto"/>
        <w:rPr>
          <w:sz w:val="20"/>
          <w:szCs w:val="20"/>
          <w:color w:val="auto"/>
        </w:rPr>
      </w:pPr>
      <w:r>
        <w:rPr>
          <w:rFonts w:ascii="Arial" w:cs="Arial" w:eastAsia="Arial" w:hAnsi="Arial"/>
          <w:sz w:val="10"/>
          <w:szCs w:val="10"/>
          <w:color w:val="auto"/>
        </w:rPr>
        <w:t>for DARZALEX.</w:t>
      </w:r>
    </w:p>
    <w:p>
      <w:pPr>
        <w:ind w:right="760"/>
        <w:spacing w:after="0" w:line="199" w:lineRule="auto"/>
        <w:rPr>
          <w:sz w:val="20"/>
          <w:szCs w:val="20"/>
          <w:color w:val="auto"/>
        </w:rPr>
      </w:pPr>
      <w:r>
        <w:rPr>
          <w:rFonts w:ascii="Arial" w:cs="Arial" w:eastAsia="Arial" w:hAnsi="Arial"/>
          <w:sz w:val="10"/>
          <w:szCs w:val="10"/>
          <w:color w:val="auto"/>
        </w:rPr>
        <w:t>•J&amp;J milestone of $10 million driven by Worldwide Net Sales for TECVAYLI first exceeding $0.5 billion in 2025.</w:t>
      </w:r>
    </w:p>
    <w:p>
      <w:pPr>
        <w:spacing w:after="0" w:line="197" w:lineRule="auto"/>
        <w:rPr>
          <w:sz w:val="20"/>
          <w:szCs w:val="20"/>
          <w:color w:val="auto"/>
        </w:rPr>
      </w:pPr>
      <w:r>
        <w:rPr>
          <w:rFonts w:ascii="Arial" w:cs="Arial" w:eastAsia="Arial" w:hAnsi="Arial"/>
          <w:sz w:val="12"/>
          <w:szCs w:val="12"/>
          <w:b w:val="1"/>
          <w:bCs w:val="1"/>
          <w:color w:val="auto"/>
        </w:rPr>
        <w:t>2024 milestones:</w:t>
      </w:r>
    </w:p>
    <w:p>
      <w:pPr>
        <w:ind w:right="420"/>
        <w:spacing w:after="0" w:line="199" w:lineRule="auto"/>
        <w:rPr>
          <w:sz w:val="20"/>
          <w:szCs w:val="20"/>
          <w:color w:val="auto"/>
        </w:rPr>
      </w:pPr>
      <w:r>
        <w:rPr>
          <w:rFonts w:ascii="Arial" w:cs="Arial" w:eastAsia="Arial" w:hAnsi="Arial"/>
          <w:sz w:val="10"/>
          <w:szCs w:val="10"/>
          <w:color w:val="auto"/>
        </w:rPr>
        <w:t>•Novartis milestone of $84 million driven by worldwide net sales for Kesimpta, first exceeding $2.5 billion in 2024, and •AbbVie milestone of $ 50 million due to the acceptance for filing of a BLA by the FDA in the second indication of epcoritamab in the US.</w:t>
      </w:r>
    </w:p>
    <w:p>
      <w:pPr>
        <w:spacing w:after="0" w:line="196" w:lineRule="auto"/>
        <w:rPr>
          <w:sz w:val="20"/>
          <w:szCs w:val="20"/>
          <w:color w:val="auto"/>
        </w:rPr>
      </w:pPr>
      <w:r>
        <w:rPr>
          <w:rFonts w:ascii="Arial" w:cs="Arial" w:eastAsia="Arial" w:hAnsi="Arial"/>
          <w:sz w:val="12"/>
          <w:szCs w:val="12"/>
          <w:b w:val="1"/>
          <w:bCs w:val="1"/>
          <w:color w:val="auto"/>
        </w:rPr>
        <w:t>2023 milestones:</w:t>
      </w:r>
    </w:p>
    <w:p>
      <w:pPr>
        <w:ind w:right="480"/>
        <w:spacing w:after="0" w:line="198" w:lineRule="auto"/>
        <w:rPr>
          <w:sz w:val="20"/>
          <w:szCs w:val="20"/>
          <w:color w:val="auto"/>
        </w:rPr>
      </w:pPr>
      <w:r>
        <w:rPr>
          <w:rFonts w:ascii="Arial" w:cs="Arial" w:eastAsia="Arial" w:hAnsi="Arial"/>
          <w:sz w:val="10"/>
          <w:szCs w:val="10"/>
          <w:color w:val="auto"/>
        </w:rPr>
        <w:t>•AbbVie milestone of $50 million driven by the first commercial sale of EPKINLY in the US. •AbbVie milestone of $30 million due to the acceptance of the marketing authorization application (MAA) filing by the EMA of the type II variation for marketing authorization of TEPKINLY,</w:t>
      </w:r>
    </w:p>
    <w:p>
      <w:pPr>
        <w:spacing w:after="0" w:line="2" w:lineRule="exact"/>
        <w:rPr>
          <w:sz w:val="20"/>
          <w:szCs w:val="20"/>
          <w:color w:val="auto"/>
        </w:rPr>
      </w:pPr>
    </w:p>
    <w:p>
      <w:pPr>
        <w:ind w:right="400"/>
        <w:spacing w:after="0" w:line="198" w:lineRule="auto"/>
        <w:rPr>
          <w:sz w:val="20"/>
          <w:szCs w:val="20"/>
          <w:color w:val="auto"/>
        </w:rPr>
      </w:pPr>
      <w:r>
        <w:rPr>
          <w:rFonts w:ascii="Arial" w:cs="Arial" w:eastAsia="Arial" w:hAnsi="Arial"/>
          <w:sz w:val="10"/>
          <w:szCs w:val="10"/>
          <w:color w:val="auto"/>
        </w:rPr>
        <w:t>•AbbVie milestone of $25 million due to the first commercial sale of TEPKINLY in Europe, and •J&amp;J milestone of $ 25 million related to the BLA approval in the US for talquetamab.</w:t>
      </w:r>
    </w:p>
    <w:p>
      <w:pPr>
        <w:spacing w:after="0" w:line="1" w:lineRule="exact"/>
        <w:rPr>
          <w:sz w:val="20"/>
          <w:szCs w:val="20"/>
          <w:color w:val="auto"/>
        </w:rPr>
      </w:pPr>
    </w:p>
    <w:p>
      <w:pPr>
        <w:ind w:right="500"/>
        <w:spacing w:after="0" w:line="231" w:lineRule="auto"/>
        <w:rPr>
          <w:sz w:val="20"/>
          <w:szCs w:val="20"/>
          <w:color w:val="auto"/>
        </w:rPr>
      </w:pPr>
      <w:r>
        <w:rPr>
          <w:rFonts w:ascii="Arial" w:cs="Arial" w:eastAsia="Arial" w:hAnsi="Arial"/>
          <w:sz w:val="10"/>
          <w:szCs w:val="10"/>
          <w:color w:val="auto"/>
        </w:rPr>
        <w:t>Milestone revenue may fluctuate significantly from period to period due to both the timing of</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40</w:t>
      </w:r>
    </w:p>
    <w:p>
      <w:pPr>
        <w:sectPr>
          <w:pgSz w:w="11900" w:h="16840" w:orient="portrait"/>
          <w:cols w:equalWidth="0" w:num="3">
            <w:col w:w="2620" w:space="520"/>
            <w:col w:w="4260" w:space="720"/>
            <w:col w:w="1700"/>
          </w:cols>
          <w:pgMar w:left="640" w:top="571" w:right="1440" w:bottom="484" w:gutter="0" w:footer="0" w:header="0"/>
        </w:sectPr>
      </w:pPr>
    </w:p>
    <w:bookmarkStart w:id="101" w:name="page102"/>
    <w:bookmarkEnd w:id="101"/>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9D94"/>
        </w:rPr>
        <w:t>Financial Review – Group</w:t>
      </w:r>
    </w:p>
    <w:p>
      <w:pPr>
        <w:ind w:right="2620"/>
        <w:spacing w:after="0" w:line="208" w:lineRule="auto"/>
        <w:rPr>
          <w:sz w:val="20"/>
          <w:szCs w:val="20"/>
          <w:color w:val="auto"/>
        </w:rPr>
      </w:pPr>
      <w:r>
        <w:rPr>
          <w:rFonts w:ascii="Arial" w:cs="Arial" w:eastAsia="Arial" w:hAnsi="Arial"/>
          <w:sz w:val="10"/>
          <w:szCs w:val="10"/>
          <w:color w:val="auto"/>
        </w:rPr>
        <w:t>The following table provides information regarding our research and development expenses for 2025 as compared to 2024 and 2023.</w:t>
      </w:r>
    </w:p>
    <w:tbl>
      <w:tblPr>
        <w:tblLayout w:type="fixed"/>
        <w:tblInd w:w="0" w:type="dxa"/>
        <w:tblCellMar>
          <w:top w:w="0" w:type="dxa"/>
          <w:left w:w="0" w:type="dxa"/>
          <w:bottom w:w="0" w:type="dxa"/>
          <w:right w:w="0" w:type="dxa"/>
        </w:tblCellMar>
      </w:tblPr>
      <w:tr>
        <w:trPr>
          <w:trHeight w:val="95"/>
        </w:trPr>
        <w:tc>
          <w:tcPr>
            <w:tcW w:w="1900" w:type="dxa"/>
            <w:vAlign w:val="bottom"/>
            <w:tcBorders>
              <w:top w:val="single" w:sz="8" w:color="009D94"/>
            </w:tcBorders>
          </w:tcPr>
          <w:p>
            <w:pPr>
              <w:spacing w:after="0"/>
              <w:rPr>
                <w:sz w:val="8"/>
                <w:szCs w:val="8"/>
                <w:color w:val="auto"/>
              </w:rPr>
            </w:pPr>
          </w:p>
        </w:tc>
        <w:tc>
          <w:tcPr>
            <w:tcW w:w="660" w:type="dxa"/>
            <w:vAlign w:val="bottom"/>
            <w:tcBorders>
              <w:top w:val="single" w:sz="8" w:color="009D94"/>
            </w:tcBorders>
          </w:tcPr>
          <w:p>
            <w:pPr>
              <w:spacing w:after="0"/>
              <w:rPr>
                <w:sz w:val="8"/>
                <w:szCs w:val="8"/>
                <w:color w:val="auto"/>
              </w:rPr>
            </w:pPr>
          </w:p>
        </w:tc>
        <w:tc>
          <w:tcPr>
            <w:tcW w:w="660" w:type="dxa"/>
            <w:vAlign w:val="bottom"/>
            <w:tcBorders>
              <w:top w:val="single" w:sz="8" w:color="009D94"/>
            </w:tcBorders>
          </w:tcPr>
          <w:p>
            <w:pPr>
              <w:spacing w:after="0"/>
              <w:rPr>
                <w:sz w:val="8"/>
                <w:szCs w:val="8"/>
                <w:color w:val="auto"/>
              </w:rPr>
            </w:pPr>
          </w:p>
        </w:tc>
        <w:tc>
          <w:tcPr>
            <w:tcW w:w="340" w:type="dxa"/>
            <w:vAlign w:val="bottom"/>
            <w:tcBorders>
              <w:top w:val="single" w:sz="8" w:color="009D94"/>
            </w:tcBorders>
          </w:tcPr>
          <w:p>
            <w:pPr>
              <w:spacing w:after="0"/>
              <w:rPr>
                <w:sz w:val="8"/>
                <w:szCs w:val="8"/>
                <w:color w:val="auto"/>
              </w:rPr>
            </w:pPr>
          </w:p>
        </w:tc>
        <w:tc>
          <w:tcPr>
            <w:tcW w:w="640" w:type="dxa"/>
            <w:vAlign w:val="bottom"/>
            <w:tcBorders>
              <w:top w:val="single" w:sz="8" w:color="009D94"/>
            </w:tcBorders>
          </w:tcPr>
          <w:p>
            <w:pPr>
              <w:ind w:left="60"/>
              <w:spacing w:after="0" w:line="95" w:lineRule="exact"/>
              <w:rPr>
                <w:sz w:val="20"/>
                <w:szCs w:val="20"/>
                <w:color w:val="auto"/>
              </w:rPr>
            </w:pPr>
            <w:r>
              <w:rPr>
                <w:rFonts w:ascii="Arial" w:cs="Arial" w:eastAsia="Arial" w:hAnsi="Arial"/>
                <w:sz w:val="10"/>
                <w:szCs w:val="10"/>
                <w:b w:val="1"/>
                <w:bCs w:val="1"/>
                <w:color w:val="auto"/>
              </w:rPr>
              <w:t>Percentage</w:t>
            </w:r>
          </w:p>
        </w:tc>
        <w:tc>
          <w:tcPr>
            <w:tcW w:w="720" w:type="dxa"/>
            <w:vAlign w:val="bottom"/>
            <w:tcBorders>
              <w:top w:val="single" w:sz="8" w:color="009D94"/>
            </w:tcBorders>
          </w:tcPr>
          <w:p>
            <w:pPr>
              <w:ind w:left="80"/>
              <w:spacing w:after="0" w:line="95" w:lineRule="exact"/>
              <w:rPr>
                <w:sz w:val="20"/>
                <w:szCs w:val="20"/>
                <w:color w:val="auto"/>
              </w:rPr>
            </w:pPr>
            <w:r>
              <w:rPr>
                <w:rFonts w:ascii="Arial" w:cs="Arial" w:eastAsia="Arial" w:hAnsi="Arial"/>
                <w:sz w:val="10"/>
                <w:szCs w:val="10"/>
                <w:b w:val="1"/>
                <w:bCs w:val="1"/>
                <w:color w:val="auto"/>
              </w:rPr>
              <w:t>Percentage</w:t>
            </w:r>
          </w:p>
        </w:tc>
      </w:tr>
      <w:tr>
        <w:trPr>
          <w:trHeight w:val="128"/>
        </w:trPr>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Change</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Change</w:t>
            </w:r>
          </w:p>
        </w:tc>
      </w:tr>
      <w:tr>
        <w:trPr>
          <w:trHeight w:val="152"/>
        </w:trPr>
        <w:tc>
          <w:tcPr>
            <w:tcW w:w="1900" w:type="dxa"/>
            <w:vAlign w:val="bottom"/>
          </w:tcPr>
          <w:p>
            <w:pPr>
              <w:ind w:left="1640"/>
              <w:spacing w:after="0"/>
              <w:rPr>
                <w:sz w:val="20"/>
                <w:szCs w:val="20"/>
                <w:color w:val="auto"/>
              </w:rPr>
            </w:pPr>
            <w:r>
              <w:rPr>
                <w:rFonts w:ascii="Arial" w:cs="Arial" w:eastAsia="Arial" w:hAnsi="Arial"/>
                <w:sz w:val="10"/>
                <w:szCs w:val="10"/>
                <w:b w:val="1"/>
                <w:bCs w:val="1"/>
                <w:color w:val="009D94"/>
              </w:rPr>
              <w:t>2025</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2024</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2023</w:t>
            </w:r>
          </w:p>
        </w:tc>
        <w:tc>
          <w:tcPr>
            <w:tcW w:w="3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2025/2024</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2024/2023</w:t>
            </w:r>
          </w:p>
        </w:tc>
      </w:tr>
      <w:tr>
        <w:trPr>
          <w:trHeight w:val="141"/>
        </w:trPr>
        <w:tc>
          <w:tcPr>
            <w:tcW w:w="1900" w:type="dxa"/>
            <w:vAlign w:val="bottom"/>
          </w:tcPr>
          <w:p>
            <w:pPr>
              <w:ind w:left="20"/>
              <w:spacing w:after="0"/>
              <w:rPr>
                <w:sz w:val="20"/>
                <w:szCs w:val="20"/>
                <w:color w:val="auto"/>
              </w:rPr>
            </w:pPr>
            <w:r>
              <w:rPr>
                <w:rFonts w:ascii="Arial" w:cs="Arial" w:eastAsia="Arial" w:hAnsi="Arial"/>
                <w:sz w:val="10"/>
                <w:szCs w:val="10"/>
                <w:color w:val="auto"/>
              </w:rPr>
              <w:t>Research¹</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267</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310</w:t>
            </w:r>
          </w:p>
        </w:tc>
        <w:tc>
          <w:tcPr>
            <w:tcW w:w="340" w:type="dxa"/>
            <w:vAlign w:val="bottom"/>
          </w:tcPr>
          <w:p>
            <w:pPr>
              <w:jc w:val="right"/>
              <w:spacing w:after="0"/>
              <w:rPr>
                <w:sz w:val="20"/>
                <w:szCs w:val="20"/>
                <w:color w:val="auto"/>
              </w:rPr>
            </w:pPr>
            <w:r>
              <w:rPr>
                <w:rFonts w:ascii="Arial" w:cs="Arial" w:eastAsia="Arial" w:hAnsi="Arial"/>
                <w:sz w:val="10"/>
                <w:szCs w:val="10"/>
                <w:color w:val="auto"/>
              </w:rPr>
              <w:t>219</w:t>
            </w:r>
          </w:p>
        </w:tc>
        <w:tc>
          <w:tcPr>
            <w:tcW w:w="640" w:type="dxa"/>
            <w:vAlign w:val="bottom"/>
          </w:tcPr>
          <w:p>
            <w:pPr>
              <w:ind w:left="60"/>
              <w:spacing w:after="0"/>
              <w:rPr>
                <w:sz w:val="20"/>
                <w:szCs w:val="20"/>
                <w:color w:val="auto"/>
              </w:rPr>
            </w:pPr>
            <w:r>
              <w:rPr>
                <w:rFonts w:ascii="Arial" w:cs="Arial" w:eastAsia="Arial" w:hAnsi="Arial"/>
                <w:sz w:val="10"/>
                <w:szCs w:val="10"/>
                <w:color w:val="auto"/>
              </w:rPr>
              <w:t>(14)%</w:t>
            </w:r>
          </w:p>
        </w:tc>
        <w:tc>
          <w:tcPr>
            <w:tcW w:w="720" w:type="dxa"/>
            <w:vAlign w:val="bottom"/>
          </w:tcPr>
          <w:p>
            <w:pPr>
              <w:ind w:left="80"/>
              <w:spacing w:after="0"/>
              <w:rPr>
                <w:sz w:val="20"/>
                <w:szCs w:val="20"/>
                <w:color w:val="auto"/>
              </w:rPr>
            </w:pPr>
            <w:r>
              <w:rPr>
                <w:rFonts w:ascii="Arial" w:cs="Arial" w:eastAsia="Arial" w:hAnsi="Arial"/>
                <w:sz w:val="10"/>
                <w:szCs w:val="10"/>
                <w:color w:val="auto"/>
              </w:rPr>
              <w:t>42 %</w:t>
            </w:r>
          </w:p>
        </w:tc>
      </w:tr>
      <w:tr>
        <w:trPr>
          <w:trHeight w:val="120"/>
        </w:trPr>
        <w:tc>
          <w:tcPr>
            <w:tcW w:w="1900" w:type="dxa"/>
            <w:vAlign w:val="bottom"/>
          </w:tcPr>
          <w:p>
            <w:pPr>
              <w:ind w:left="20"/>
              <w:spacing w:after="0"/>
              <w:rPr>
                <w:sz w:val="20"/>
                <w:szCs w:val="20"/>
                <w:color w:val="auto"/>
              </w:rPr>
            </w:pPr>
            <w:r>
              <w:rPr>
                <w:rFonts w:ascii="Arial" w:cs="Arial" w:eastAsia="Arial" w:hAnsi="Arial"/>
                <w:sz w:val="10"/>
                <w:szCs w:val="10"/>
                <w:color w:val="auto"/>
              </w:rPr>
              <w:t>Development and contract</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598</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516</w:t>
            </w:r>
          </w:p>
        </w:tc>
        <w:tc>
          <w:tcPr>
            <w:tcW w:w="340" w:type="dxa"/>
            <w:vAlign w:val="bottom"/>
          </w:tcPr>
          <w:p>
            <w:pPr>
              <w:jc w:val="right"/>
              <w:spacing w:after="0"/>
              <w:rPr>
                <w:sz w:val="20"/>
                <w:szCs w:val="20"/>
                <w:color w:val="auto"/>
              </w:rPr>
            </w:pPr>
            <w:r>
              <w:rPr>
                <w:rFonts w:ascii="Arial" w:cs="Arial" w:eastAsia="Arial" w:hAnsi="Arial"/>
                <w:sz w:val="10"/>
                <w:szCs w:val="10"/>
                <w:color w:val="auto"/>
              </w:rPr>
              <w:t>337</w:t>
            </w:r>
          </w:p>
        </w:tc>
        <w:tc>
          <w:tcPr>
            <w:tcW w:w="640" w:type="dxa"/>
            <w:vAlign w:val="bottom"/>
          </w:tcPr>
          <w:p>
            <w:pPr>
              <w:ind w:left="60"/>
              <w:spacing w:after="0"/>
              <w:rPr>
                <w:sz w:val="20"/>
                <w:szCs w:val="20"/>
                <w:color w:val="auto"/>
              </w:rPr>
            </w:pPr>
            <w:r>
              <w:rPr>
                <w:rFonts w:ascii="Arial" w:cs="Arial" w:eastAsia="Arial" w:hAnsi="Arial"/>
                <w:sz w:val="10"/>
                <w:szCs w:val="10"/>
                <w:color w:val="auto"/>
              </w:rPr>
              <w:t>16 %</w:t>
            </w:r>
          </w:p>
        </w:tc>
        <w:tc>
          <w:tcPr>
            <w:tcW w:w="720" w:type="dxa"/>
            <w:vAlign w:val="bottom"/>
          </w:tcPr>
          <w:p>
            <w:pPr>
              <w:ind w:left="80"/>
              <w:spacing w:after="0"/>
              <w:rPr>
                <w:sz w:val="20"/>
                <w:szCs w:val="20"/>
                <w:color w:val="auto"/>
              </w:rPr>
            </w:pPr>
            <w:r>
              <w:rPr>
                <w:rFonts w:ascii="Arial" w:cs="Arial" w:eastAsia="Arial" w:hAnsi="Arial"/>
                <w:sz w:val="10"/>
                <w:szCs w:val="10"/>
                <w:color w:val="auto"/>
              </w:rPr>
              <w:t>53 %</w:t>
            </w:r>
          </w:p>
        </w:tc>
      </w:tr>
      <w:tr>
        <w:trPr>
          <w:trHeight w:val="137"/>
        </w:trPr>
        <w:tc>
          <w:tcPr>
            <w:tcW w:w="1900" w:type="dxa"/>
            <w:vAlign w:val="bottom"/>
          </w:tcPr>
          <w:p>
            <w:pPr>
              <w:ind w:left="20"/>
              <w:spacing w:after="0"/>
              <w:rPr>
                <w:sz w:val="20"/>
                <w:szCs w:val="20"/>
                <w:color w:val="auto"/>
              </w:rPr>
            </w:pPr>
            <w:r>
              <w:rPr>
                <w:rFonts w:ascii="Arial" w:cs="Arial" w:eastAsia="Arial" w:hAnsi="Arial"/>
                <w:sz w:val="10"/>
                <w:szCs w:val="10"/>
                <w:color w:val="auto"/>
              </w:rPr>
              <w:t>manufacturing²</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1900" w:type="dxa"/>
            <w:vAlign w:val="bottom"/>
          </w:tcPr>
          <w:p>
            <w:pPr>
              <w:ind w:left="20"/>
              <w:spacing w:after="0"/>
              <w:rPr>
                <w:sz w:val="20"/>
                <w:szCs w:val="20"/>
                <w:color w:val="auto"/>
              </w:rPr>
            </w:pPr>
            <w:r>
              <w:rPr>
                <w:rFonts w:ascii="Arial" w:cs="Arial" w:eastAsia="Arial" w:hAnsi="Arial"/>
                <w:sz w:val="10"/>
                <w:szCs w:val="10"/>
                <w:color w:val="auto"/>
              </w:rPr>
              <w:t>Clinical³</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607</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478</w:t>
            </w:r>
          </w:p>
        </w:tc>
        <w:tc>
          <w:tcPr>
            <w:tcW w:w="340" w:type="dxa"/>
            <w:vAlign w:val="bottom"/>
          </w:tcPr>
          <w:p>
            <w:pPr>
              <w:jc w:val="right"/>
              <w:spacing w:after="0"/>
              <w:rPr>
                <w:sz w:val="20"/>
                <w:szCs w:val="20"/>
                <w:color w:val="auto"/>
              </w:rPr>
            </w:pPr>
            <w:r>
              <w:rPr>
                <w:rFonts w:ascii="Arial" w:cs="Arial" w:eastAsia="Arial" w:hAnsi="Arial"/>
                <w:sz w:val="10"/>
                <w:szCs w:val="10"/>
                <w:color w:val="auto"/>
              </w:rPr>
              <w:t>476</w:t>
            </w:r>
          </w:p>
        </w:tc>
        <w:tc>
          <w:tcPr>
            <w:tcW w:w="640" w:type="dxa"/>
            <w:vAlign w:val="bottom"/>
          </w:tcPr>
          <w:p>
            <w:pPr>
              <w:ind w:left="60"/>
              <w:spacing w:after="0"/>
              <w:rPr>
                <w:sz w:val="20"/>
                <w:szCs w:val="20"/>
                <w:color w:val="auto"/>
              </w:rPr>
            </w:pPr>
            <w:r>
              <w:rPr>
                <w:rFonts w:ascii="Arial" w:cs="Arial" w:eastAsia="Arial" w:hAnsi="Arial"/>
                <w:sz w:val="10"/>
                <w:szCs w:val="10"/>
                <w:color w:val="auto"/>
              </w:rPr>
              <w:t>27 %</w:t>
            </w:r>
          </w:p>
        </w:tc>
        <w:tc>
          <w:tcPr>
            <w:tcW w:w="720" w:type="dxa"/>
            <w:vAlign w:val="bottom"/>
          </w:tcPr>
          <w:p>
            <w:pPr>
              <w:ind w:left="80"/>
              <w:spacing w:after="0"/>
              <w:rPr>
                <w:sz w:val="20"/>
                <w:szCs w:val="20"/>
                <w:color w:val="auto"/>
              </w:rPr>
            </w:pPr>
            <w:r>
              <w:rPr>
                <w:rFonts w:ascii="Arial" w:cs="Arial" w:eastAsia="Arial" w:hAnsi="Arial"/>
                <w:sz w:val="10"/>
                <w:szCs w:val="10"/>
                <w:color w:val="auto"/>
              </w:rPr>
              <w:t>— %</w:t>
            </w:r>
          </w:p>
        </w:tc>
      </w:tr>
      <w:tr>
        <w:trPr>
          <w:trHeight w:val="152"/>
        </w:trPr>
        <w:tc>
          <w:tcPr>
            <w:tcW w:w="1900" w:type="dxa"/>
            <w:vAlign w:val="bottom"/>
          </w:tcPr>
          <w:p>
            <w:pPr>
              <w:ind w:left="20"/>
              <w:spacing w:after="0"/>
              <w:rPr>
                <w:sz w:val="20"/>
                <w:szCs w:val="20"/>
                <w:color w:val="auto"/>
              </w:rPr>
            </w:pPr>
            <w:r>
              <w:rPr>
                <w:rFonts w:ascii="Arial" w:cs="Arial" w:eastAsia="Arial" w:hAnsi="Arial"/>
                <w:sz w:val="10"/>
                <w:szCs w:val="10"/>
                <w:color w:val="auto"/>
              </w:rPr>
              <w:t>Other</w:t>
            </w:r>
            <w:r>
              <w:rPr>
                <w:rFonts w:ascii="Arial" w:cs="Arial" w:eastAsia="Arial" w:hAnsi="Arial"/>
                <w:sz w:val="6"/>
                <w:szCs w:val="6"/>
                <w:color w:val="auto"/>
              </w:rPr>
              <w:t>4</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134</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110</w:t>
            </w:r>
          </w:p>
        </w:tc>
        <w:tc>
          <w:tcPr>
            <w:tcW w:w="340" w:type="dxa"/>
            <w:vAlign w:val="bottom"/>
          </w:tcPr>
          <w:p>
            <w:pPr>
              <w:jc w:val="right"/>
              <w:spacing w:after="0"/>
              <w:rPr>
                <w:sz w:val="20"/>
                <w:szCs w:val="20"/>
                <w:color w:val="auto"/>
              </w:rPr>
            </w:pPr>
            <w:r>
              <w:rPr>
                <w:rFonts w:ascii="Arial" w:cs="Arial" w:eastAsia="Arial" w:hAnsi="Arial"/>
                <w:sz w:val="10"/>
                <w:szCs w:val="10"/>
                <w:color w:val="auto"/>
              </w:rPr>
              <w:t>75</w:t>
            </w:r>
          </w:p>
        </w:tc>
        <w:tc>
          <w:tcPr>
            <w:tcW w:w="640" w:type="dxa"/>
            <w:vAlign w:val="bottom"/>
          </w:tcPr>
          <w:p>
            <w:pPr>
              <w:ind w:left="60"/>
              <w:spacing w:after="0"/>
              <w:rPr>
                <w:sz w:val="20"/>
                <w:szCs w:val="20"/>
                <w:color w:val="auto"/>
              </w:rPr>
            </w:pPr>
            <w:r>
              <w:rPr>
                <w:rFonts w:ascii="Arial" w:cs="Arial" w:eastAsia="Arial" w:hAnsi="Arial"/>
                <w:sz w:val="10"/>
                <w:szCs w:val="10"/>
                <w:color w:val="auto"/>
              </w:rPr>
              <w:t>22 %</w:t>
            </w:r>
          </w:p>
        </w:tc>
        <w:tc>
          <w:tcPr>
            <w:tcW w:w="720" w:type="dxa"/>
            <w:vAlign w:val="bottom"/>
          </w:tcPr>
          <w:p>
            <w:pPr>
              <w:ind w:left="80"/>
              <w:spacing w:after="0"/>
              <w:rPr>
                <w:sz w:val="20"/>
                <w:szCs w:val="20"/>
                <w:color w:val="auto"/>
              </w:rPr>
            </w:pPr>
            <w:r>
              <w:rPr>
                <w:rFonts w:ascii="Arial" w:cs="Arial" w:eastAsia="Arial" w:hAnsi="Arial"/>
                <w:sz w:val="10"/>
                <w:szCs w:val="10"/>
                <w:color w:val="auto"/>
              </w:rPr>
              <w:t>47 %</w:t>
            </w:r>
          </w:p>
        </w:tc>
      </w:tr>
      <w:tr>
        <w:trPr>
          <w:trHeight w:val="158"/>
        </w:trPr>
        <w:tc>
          <w:tcPr>
            <w:tcW w:w="1900" w:type="dxa"/>
            <w:vAlign w:val="bottom"/>
          </w:tcPr>
          <w:p>
            <w:pPr>
              <w:ind w:left="20"/>
              <w:spacing w:after="0"/>
              <w:rPr>
                <w:sz w:val="20"/>
                <w:szCs w:val="20"/>
                <w:color w:val="auto"/>
              </w:rPr>
            </w:pPr>
            <w:r>
              <w:rPr>
                <w:rFonts w:ascii="Arial" w:cs="Arial" w:eastAsia="Arial" w:hAnsi="Arial"/>
                <w:sz w:val="10"/>
                <w:szCs w:val="10"/>
                <w:b w:val="1"/>
                <w:bCs w:val="1"/>
                <w:color w:val="auto"/>
              </w:rPr>
              <w:t>Total research and development</w:t>
            </w:r>
          </w:p>
        </w:tc>
        <w:tc>
          <w:tcPr>
            <w:tcW w:w="660" w:type="dxa"/>
            <w:vAlign w:val="bottom"/>
          </w:tcPr>
          <w:p>
            <w:pPr>
              <w:jc w:val="right"/>
              <w:ind w:right="308"/>
              <w:spacing w:after="0"/>
              <w:rPr>
                <w:sz w:val="20"/>
                <w:szCs w:val="20"/>
                <w:color w:val="auto"/>
              </w:rPr>
            </w:pPr>
            <w:r>
              <w:rPr>
                <w:rFonts w:ascii="Arial" w:cs="Arial" w:eastAsia="Arial" w:hAnsi="Arial"/>
                <w:sz w:val="10"/>
                <w:szCs w:val="10"/>
                <w:b w:val="1"/>
                <w:bCs w:val="1"/>
                <w:color w:val="009D94"/>
              </w:rPr>
              <w:t>1,606</w:t>
            </w:r>
          </w:p>
        </w:tc>
        <w:tc>
          <w:tcPr>
            <w:tcW w:w="660" w:type="dxa"/>
            <w:vAlign w:val="bottom"/>
          </w:tcPr>
          <w:p>
            <w:pPr>
              <w:jc w:val="right"/>
              <w:ind w:right="308"/>
              <w:spacing w:after="0"/>
              <w:rPr>
                <w:sz w:val="20"/>
                <w:szCs w:val="20"/>
                <w:color w:val="auto"/>
              </w:rPr>
            </w:pPr>
            <w:r>
              <w:rPr>
                <w:rFonts w:ascii="Arial" w:cs="Arial" w:eastAsia="Arial" w:hAnsi="Arial"/>
                <w:sz w:val="10"/>
                <w:szCs w:val="10"/>
                <w:b w:val="1"/>
                <w:bCs w:val="1"/>
                <w:color w:val="auto"/>
              </w:rPr>
              <w:t>1,414</w:t>
            </w: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1,107</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14 %</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28 %</w:t>
            </w:r>
          </w:p>
        </w:tc>
      </w:tr>
    </w:tbl>
    <w:p>
      <w:pPr>
        <w:spacing w:after="0" w:line="48" w:lineRule="exact"/>
        <w:rPr>
          <w:rFonts w:ascii="Arial" w:cs="Arial" w:eastAsia="Arial" w:hAnsi="Arial"/>
          <w:sz w:val="10"/>
          <w:szCs w:val="10"/>
          <w:b w:val="1"/>
          <w:bCs w:val="1"/>
          <w:color w:val="auto"/>
        </w:rPr>
      </w:pPr>
    </w:p>
    <w:p>
      <w:pPr>
        <w:ind w:left="20"/>
        <w:spacing w:after="0"/>
        <w:rPr>
          <w:sz w:val="20"/>
          <w:szCs w:val="20"/>
          <w:color w:val="auto"/>
        </w:rPr>
      </w:pPr>
      <w:r>
        <w:rPr>
          <w:rFonts w:ascii="Arial" w:cs="Arial" w:eastAsia="Arial" w:hAnsi="Arial"/>
          <w:sz w:val="10"/>
          <w:szCs w:val="10"/>
          <w:b w:val="1"/>
          <w:bCs w:val="1"/>
          <w:color w:val="auto"/>
        </w:rPr>
        <w:t>expenses</w:t>
      </w:r>
    </w:p>
    <w:p>
      <w:pPr>
        <w:spacing w:after="0" w:line="7" w:lineRule="exact"/>
        <w:rPr>
          <w:rFonts w:ascii="Arial" w:cs="Arial" w:eastAsia="Arial" w:hAnsi="Arial"/>
          <w:sz w:val="10"/>
          <w:szCs w:val="10"/>
          <w:b w:val="1"/>
          <w:bCs w:val="1"/>
          <w:color w:val="auto"/>
        </w:rPr>
      </w:pPr>
    </w:p>
    <w:p>
      <w:pPr>
        <w:jc w:val="both"/>
        <w:ind w:right="2880" w:firstLine="6"/>
        <w:spacing w:after="0" w:line="263" w:lineRule="auto"/>
        <w:tabs>
          <w:tab w:leader="none" w:pos="76" w:val="left"/>
        </w:tabs>
        <w:numPr>
          <w:ilvl w:val="0"/>
          <w:numId w:val="26"/>
        </w:numPr>
        <w:rPr>
          <w:rFonts w:ascii="Arial" w:cs="Arial" w:eastAsia="Arial" w:hAnsi="Arial"/>
          <w:sz w:val="7"/>
          <w:szCs w:val="7"/>
          <w:color w:val="auto"/>
        </w:rPr>
      </w:pPr>
      <w:r>
        <w:rPr>
          <w:rFonts w:ascii="Arial" w:cs="Arial" w:eastAsia="Arial" w:hAnsi="Arial"/>
          <w:sz w:val="7"/>
          <w:szCs w:val="7"/>
          <w:color w:val="auto"/>
        </w:rPr>
        <w:t>Research expenses include, among other things, personnel, occupancy and laboratory expenses, technology access fees associated with identification of new monoclonal antibodies (mAbs), expenses associated with the development of new proprietary technologies and research activities associated with our product candidates, such as in vitro and in vivo studies, translational research, and IND enabling toxicology studies.</w:t>
      </w:r>
    </w:p>
    <w:p>
      <w:pPr>
        <w:spacing w:after="0" w:line="78" w:lineRule="exact"/>
        <w:rPr>
          <w:rFonts w:ascii="Arial" w:cs="Arial" w:eastAsia="Arial" w:hAnsi="Arial"/>
          <w:sz w:val="7"/>
          <w:szCs w:val="7"/>
          <w:color w:val="auto"/>
        </w:rPr>
      </w:pPr>
    </w:p>
    <w:p>
      <w:pPr>
        <w:ind w:right="2960" w:firstLine="6"/>
        <w:spacing w:after="0" w:line="260" w:lineRule="auto"/>
        <w:tabs>
          <w:tab w:leader="none" w:pos="76" w:val="left"/>
        </w:tabs>
        <w:numPr>
          <w:ilvl w:val="0"/>
          <w:numId w:val="26"/>
        </w:numPr>
        <w:rPr>
          <w:rFonts w:ascii="Arial" w:cs="Arial" w:eastAsia="Arial" w:hAnsi="Arial"/>
          <w:sz w:val="7"/>
          <w:szCs w:val="7"/>
          <w:color w:val="auto"/>
        </w:rPr>
      </w:pPr>
      <w:r>
        <w:rPr>
          <w:rFonts w:ascii="Arial" w:cs="Arial" w:eastAsia="Arial" w:hAnsi="Arial"/>
          <w:sz w:val="7"/>
          <w:szCs w:val="7"/>
          <w:color w:val="auto"/>
        </w:rPr>
        <w:t>Development and contract manufacturing expenses include personnel and occupancy expenses, external contract manufacturing costs for the scaleup and pre-approval manufacturing of drug product used in research and our clinical trials, costs for drug product supplied to our collaborators, costs related to preparation for the production of process validation batches to be used in potential future regulatory submissions, quality control and assurance activities, and storage and shipment of our product candidates.</w:t>
      </w:r>
    </w:p>
    <w:p>
      <w:pPr>
        <w:spacing w:after="0" w:line="79" w:lineRule="exact"/>
        <w:rPr>
          <w:rFonts w:ascii="Arial" w:cs="Arial" w:eastAsia="Arial" w:hAnsi="Arial"/>
          <w:sz w:val="7"/>
          <w:szCs w:val="7"/>
          <w:color w:val="auto"/>
        </w:rPr>
      </w:pPr>
    </w:p>
    <w:p>
      <w:pPr>
        <w:ind w:right="2900" w:firstLine="6"/>
        <w:spacing w:after="0" w:line="270" w:lineRule="auto"/>
        <w:tabs>
          <w:tab w:leader="none" w:pos="76" w:val="left"/>
        </w:tabs>
        <w:numPr>
          <w:ilvl w:val="0"/>
          <w:numId w:val="26"/>
        </w:numPr>
        <w:rPr>
          <w:rFonts w:ascii="Arial" w:cs="Arial" w:eastAsia="Arial" w:hAnsi="Arial"/>
          <w:sz w:val="7"/>
          <w:szCs w:val="7"/>
          <w:color w:val="auto"/>
        </w:rPr>
      </w:pPr>
      <w:r>
        <w:rPr>
          <w:rFonts w:ascii="Arial" w:cs="Arial" w:eastAsia="Arial" w:hAnsi="Arial"/>
          <w:sz w:val="7"/>
          <w:szCs w:val="7"/>
          <w:color w:val="auto"/>
        </w:rPr>
        <w:t>Clinical expenses include personnel, travel, occupancy costs, and external clinical trial costs including contract research organizations (CROs), investigator fees, clinical site fees, contractors and regulatory activities associated with conducting human clinical trials.</w:t>
      </w:r>
    </w:p>
    <w:p>
      <w:pPr>
        <w:spacing w:after="0" w:line="75" w:lineRule="exact"/>
        <w:rPr>
          <w:rFonts w:ascii="Arial" w:cs="Arial" w:eastAsia="Arial" w:hAnsi="Arial"/>
          <w:sz w:val="7"/>
          <w:szCs w:val="7"/>
          <w:color w:val="auto"/>
        </w:rPr>
      </w:pPr>
    </w:p>
    <w:p>
      <w:pPr>
        <w:ind w:right="2960" w:firstLine="6"/>
        <w:spacing w:after="0" w:line="243" w:lineRule="auto"/>
        <w:tabs>
          <w:tab w:leader="none" w:pos="76" w:val="left"/>
        </w:tabs>
        <w:numPr>
          <w:ilvl w:val="0"/>
          <w:numId w:val="26"/>
        </w:numPr>
        <w:rPr>
          <w:rFonts w:ascii="Arial" w:cs="Arial" w:eastAsia="Arial" w:hAnsi="Arial"/>
          <w:sz w:val="7"/>
          <w:szCs w:val="7"/>
          <w:color w:val="auto"/>
        </w:rPr>
      </w:pPr>
      <w:r>
        <w:rPr>
          <w:rFonts w:ascii="Arial" w:cs="Arial" w:eastAsia="Arial" w:hAnsi="Arial"/>
          <w:sz w:val="7"/>
          <w:szCs w:val="7"/>
          <w:color w:val="auto"/>
        </w:rPr>
        <w:t>Other research and development expenses primarily include share-based compensation, depreciation, amortization and impairment losses.</w:t>
      </w:r>
    </w:p>
    <w:p>
      <w:pPr>
        <w:spacing w:after="0" w:line="82" w:lineRule="exact"/>
        <w:rPr>
          <w:rFonts w:ascii="Arial" w:cs="Arial" w:eastAsia="Arial" w:hAnsi="Arial"/>
          <w:sz w:val="7"/>
          <w:szCs w:val="7"/>
          <w:color w:val="auto"/>
        </w:rPr>
      </w:pPr>
    </w:p>
    <w:p>
      <w:pPr>
        <w:ind w:right="2500"/>
        <w:spacing w:after="0" w:line="203" w:lineRule="auto"/>
        <w:rPr>
          <w:rFonts w:ascii="Arial" w:cs="Arial" w:eastAsia="Arial" w:hAnsi="Arial"/>
          <w:sz w:val="7"/>
          <w:szCs w:val="7"/>
          <w:color w:val="auto"/>
        </w:rPr>
      </w:pPr>
      <w:r>
        <w:rPr>
          <w:rFonts w:ascii="Arial" w:cs="Arial" w:eastAsia="Arial" w:hAnsi="Arial"/>
          <w:sz w:val="10"/>
          <w:szCs w:val="10"/>
          <w:color w:val="auto"/>
        </w:rPr>
        <w:t>The following table shows third-party costs incurred for research, contract manufacturing of our product candidates and clinical and regulatory services for 2025 as compared to 2024 and 2023. The table also presents unallocated costs and overhead consisting of third-party costs for our preclinical stage programs, personnel, facilities, and other indirect costs not directly charged to development programs.</w:t>
      </w:r>
    </w:p>
    <w:p>
      <w:pPr>
        <w:spacing w:after="0" w:line="1"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95"/>
        </w:trPr>
        <w:tc>
          <w:tcPr>
            <w:tcW w:w="1920" w:type="dxa"/>
            <w:vAlign w:val="bottom"/>
            <w:tcBorders>
              <w:top w:val="single" w:sz="8" w:color="009D94"/>
            </w:tcBorders>
          </w:tcPr>
          <w:p>
            <w:pPr>
              <w:spacing w:after="0"/>
              <w:rPr>
                <w:sz w:val="8"/>
                <w:szCs w:val="8"/>
                <w:color w:val="auto"/>
              </w:rPr>
            </w:pPr>
          </w:p>
        </w:tc>
        <w:tc>
          <w:tcPr>
            <w:tcW w:w="660" w:type="dxa"/>
            <w:vAlign w:val="bottom"/>
            <w:tcBorders>
              <w:top w:val="single" w:sz="8" w:color="009D94"/>
            </w:tcBorders>
          </w:tcPr>
          <w:p>
            <w:pPr>
              <w:spacing w:after="0"/>
              <w:rPr>
                <w:sz w:val="8"/>
                <w:szCs w:val="8"/>
                <w:color w:val="auto"/>
              </w:rPr>
            </w:pPr>
          </w:p>
        </w:tc>
        <w:tc>
          <w:tcPr>
            <w:tcW w:w="660" w:type="dxa"/>
            <w:vAlign w:val="bottom"/>
            <w:tcBorders>
              <w:top w:val="single" w:sz="8" w:color="009D94"/>
            </w:tcBorders>
          </w:tcPr>
          <w:p>
            <w:pPr>
              <w:spacing w:after="0"/>
              <w:rPr>
                <w:sz w:val="8"/>
                <w:szCs w:val="8"/>
                <w:color w:val="auto"/>
              </w:rPr>
            </w:pPr>
          </w:p>
        </w:tc>
        <w:tc>
          <w:tcPr>
            <w:tcW w:w="340" w:type="dxa"/>
            <w:vAlign w:val="bottom"/>
            <w:tcBorders>
              <w:top w:val="single" w:sz="8" w:color="009D94"/>
            </w:tcBorders>
          </w:tcPr>
          <w:p>
            <w:pPr>
              <w:spacing w:after="0"/>
              <w:rPr>
                <w:sz w:val="8"/>
                <w:szCs w:val="8"/>
                <w:color w:val="auto"/>
              </w:rPr>
            </w:pPr>
          </w:p>
        </w:tc>
        <w:tc>
          <w:tcPr>
            <w:tcW w:w="640" w:type="dxa"/>
            <w:vAlign w:val="bottom"/>
            <w:tcBorders>
              <w:top w:val="single" w:sz="8" w:color="009D94"/>
            </w:tcBorders>
          </w:tcPr>
          <w:p>
            <w:pPr>
              <w:ind w:left="60"/>
              <w:spacing w:after="0" w:line="95" w:lineRule="exact"/>
              <w:rPr>
                <w:sz w:val="20"/>
                <w:szCs w:val="20"/>
                <w:color w:val="auto"/>
              </w:rPr>
            </w:pPr>
            <w:r>
              <w:rPr>
                <w:rFonts w:ascii="Arial" w:cs="Arial" w:eastAsia="Arial" w:hAnsi="Arial"/>
                <w:sz w:val="10"/>
                <w:szCs w:val="10"/>
                <w:b w:val="1"/>
                <w:bCs w:val="1"/>
                <w:color w:val="auto"/>
              </w:rPr>
              <w:t>Percentage</w:t>
            </w:r>
          </w:p>
        </w:tc>
        <w:tc>
          <w:tcPr>
            <w:tcW w:w="720" w:type="dxa"/>
            <w:vAlign w:val="bottom"/>
            <w:tcBorders>
              <w:top w:val="single" w:sz="8" w:color="009D94"/>
            </w:tcBorders>
          </w:tcPr>
          <w:p>
            <w:pPr>
              <w:ind w:left="60"/>
              <w:spacing w:after="0" w:line="95" w:lineRule="exact"/>
              <w:rPr>
                <w:sz w:val="20"/>
                <w:szCs w:val="20"/>
                <w:color w:val="auto"/>
              </w:rPr>
            </w:pPr>
            <w:r>
              <w:rPr>
                <w:rFonts w:ascii="Arial" w:cs="Arial" w:eastAsia="Arial" w:hAnsi="Arial"/>
                <w:sz w:val="10"/>
                <w:szCs w:val="10"/>
                <w:b w:val="1"/>
                <w:bCs w:val="1"/>
                <w:color w:val="auto"/>
              </w:rPr>
              <w:t>Percentage</w:t>
            </w:r>
          </w:p>
        </w:tc>
      </w:tr>
      <w:tr>
        <w:trPr>
          <w:trHeight w:val="128"/>
        </w:trPr>
        <w:tc>
          <w:tcPr>
            <w:tcW w:w="1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Change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Change</w:t>
            </w:r>
          </w:p>
        </w:tc>
      </w:tr>
      <w:tr>
        <w:trPr>
          <w:trHeight w:val="152"/>
        </w:trPr>
        <w:tc>
          <w:tcPr>
            <w:tcW w:w="1920" w:type="dxa"/>
            <w:vAlign w:val="bottom"/>
          </w:tcPr>
          <w:p>
            <w:pPr>
              <w:ind w:left="1660"/>
              <w:spacing w:after="0"/>
              <w:rPr>
                <w:sz w:val="20"/>
                <w:szCs w:val="20"/>
                <w:color w:val="auto"/>
              </w:rPr>
            </w:pPr>
            <w:r>
              <w:rPr>
                <w:rFonts w:ascii="Arial" w:cs="Arial" w:eastAsia="Arial" w:hAnsi="Arial"/>
                <w:sz w:val="10"/>
                <w:szCs w:val="10"/>
                <w:b w:val="1"/>
                <w:bCs w:val="1"/>
                <w:color w:val="009D94"/>
              </w:rPr>
              <w:t>2025</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2024</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2023</w:t>
            </w:r>
          </w:p>
        </w:tc>
        <w:tc>
          <w:tcPr>
            <w:tcW w:w="3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2025/2024</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2024/2023</w:t>
            </w:r>
          </w:p>
        </w:tc>
      </w:tr>
      <w:tr>
        <w:trPr>
          <w:trHeight w:val="141"/>
        </w:trPr>
        <w:tc>
          <w:tcPr>
            <w:tcW w:w="1920" w:type="dxa"/>
            <w:vAlign w:val="bottom"/>
          </w:tcPr>
          <w:p>
            <w:pPr>
              <w:ind w:left="20"/>
              <w:spacing w:after="0"/>
              <w:rPr>
                <w:sz w:val="20"/>
                <w:szCs w:val="20"/>
                <w:color w:val="auto"/>
              </w:rPr>
            </w:pPr>
            <w:r>
              <w:rPr>
                <w:rFonts w:ascii="Arial" w:cs="Arial" w:eastAsia="Arial" w:hAnsi="Arial"/>
                <w:sz w:val="10"/>
                <w:szCs w:val="10"/>
                <w:color w:val="auto"/>
              </w:rPr>
              <w:t>Epcoritamab</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303</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414</w:t>
            </w:r>
          </w:p>
        </w:tc>
        <w:tc>
          <w:tcPr>
            <w:tcW w:w="340" w:type="dxa"/>
            <w:vAlign w:val="bottom"/>
          </w:tcPr>
          <w:p>
            <w:pPr>
              <w:jc w:val="right"/>
              <w:spacing w:after="0"/>
              <w:rPr>
                <w:sz w:val="20"/>
                <w:szCs w:val="20"/>
                <w:color w:val="auto"/>
              </w:rPr>
            </w:pPr>
            <w:r>
              <w:rPr>
                <w:rFonts w:ascii="Arial" w:cs="Arial" w:eastAsia="Arial" w:hAnsi="Arial"/>
                <w:sz w:val="10"/>
                <w:szCs w:val="10"/>
                <w:color w:val="auto"/>
              </w:rPr>
              <w:t>192</w:t>
            </w:r>
          </w:p>
        </w:tc>
        <w:tc>
          <w:tcPr>
            <w:tcW w:w="640" w:type="dxa"/>
            <w:vAlign w:val="bottom"/>
          </w:tcPr>
          <w:p>
            <w:pPr>
              <w:ind w:left="60"/>
              <w:spacing w:after="0"/>
              <w:rPr>
                <w:sz w:val="20"/>
                <w:szCs w:val="20"/>
                <w:color w:val="auto"/>
              </w:rPr>
            </w:pPr>
            <w:r>
              <w:rPr>
                <w:rFonts w:ascii="Arial" w:cs="Arial" w:eastAsia="Arial" w:hAnsi="Arial"/>
                <w:sz w:val="10"/>
                <w:szCs w:val="10"/>
                <w:color w:val="auto"/>
              </w:rPr>
              <w:t>(27)%</w:t>
            </w:r>
          </w:p>
        </w:tc>
        <w:tc>
          <w:tcPr>
            <w:tcW w:w="720" w:type="dxa"/>
            <w:vAlign w:val="bottom"/>
          </w:tcPr>
          <w:p>
            <w:pPr>
              <w:ind w:left="60"/>
              <w:spacing w:after="0"/>
              <w:rPr>
                <w:sz w:val="20"/>
                <w:szCs w:val="20"/>
                <w:color w:val="auto"/>
              </w:rPr>
            </w:pPr>
            <w:r>
              <w:rPr>
                <w:rFonts w:ascii="Arial" w:cs="Arial" w:eastAsia="Arial" w:hAnsi="Arial"/>
                <w:sz w:val="10"/>
                <w:szCs w:val="10"/>
                <w:color w:val="auto"/>
              </w:rPr>
              <w:t>116 %</w:t>
            </w:r>
          </w:p>
        </w:tc>
      </w:tr>
      <w:tr>
        <w:trPr>
          <w:trHeight w:val="152"/>
        </w:trPr>
        <w:tc>
          <w:tcPr>
            <w:tcW w:w="1920" w:type="dxa"/>
            <w:vAlign w:val="bottom"/>
          </w:tcPr>
          <w:p>
            <w:pPr>
              <w:ind w:left="20"/>
              <w:spacing w:after="0"/>
              <w:rPr>
                <w:sz w:val="20"/>
                <w:szCs w:val="20"/>
                <w:color w:val="auto"/>
              </w:rPr>
            </w:pPr>
            <w:r>
              <w:rPr>
                <w:rFonts w:ascii="Arial" w:cs="Arial" w:eastAsia="Arial" w:hAnsi="Arial"/>
                <w:sz w:val="10"/>
                <w:szCs w:val="10"/>
                <w:color w:val="auto"/>
              </w:rPr>
              <w:t>Rina-S</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230</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46</w:t>
            </w:r>
          </w:p>
        </w:tc>
        <w:tc>
          <w:tcPr>
            <w:tcW w:w="34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ind w:left="60"/>
              <w:spacing w:after="0"/>
              <w:rPr>
                <w:sz w:val="20"/>
                <w:szCs w:val="20"/>
                <w:color w:val="auto"/>
              </w:rPr>
            </w:pPr>
            <w:r>
              <w:rPr>
                <w:rFonts w:ascii="Arial" w:cs="Arial" w:eastAsia="Arial" w:hAnsi="Arial"/>
                <w:sz w:val="10"/>
                <w:szCs w:val="10"/>
                <w:color w:val="auto"/>
              </w:rPr>
              <w:t>400 %</w:t>
            </w:r>
          </w:p>
        </w:tc>
        <w:tc>
          <w:tcPr>
            <w:tcW w:w="720" w:type="dxa"/>
            <w:vAlign w:val="bottom"/>
          </w:tcPr>
          <w:p>
            <w:pPr>
              <w:ind w:left="60"/>
              <w:spacing w:after="0"/>
              <w:rPr>
                <w:sz w:val="20"/>
                <w:szCs w:val="20"/>
                <w:color w:val="auto"/>
              </w:rPr>
            </w:pPr>
            <w:r>
              <w:rPr>
                <w:rFonts w:ascii="Arial" w:cs="Arial" w:eastAsia="Arial" w:hAnsi="Arial"/>
                <w:sz w:val="10"/>
                <w:szCs w:val="10"/>
                <w:color w:val="auto"/>
              </w:rPr>
              <w:t>N/A</w:t>
            </w:r>
          </w:p>
        </w:tc>
      </w:tr>
      <w:tr>
        <w:trPr>
          <w:trHeight w:val="152"/>
        </w:trPr>
        <w:tc>
          <w:tcPr>
            <w:tcW w:w="1920" w:type="dxa"/>
            <w:vAlign w:val="bottom"/>
          </w:tcPr>
          <w:p>
            <w:pPr>
              <w:ind w:left="20"/>
              <w:spacing w:after="0"/>
              <w:rPr>
                <w:sz w:val="20"/>
                <w:szCs w:val="20"/>
                <w:color w:val="auto"/>
              </w:rPr>
            </w:pPr>
            <w:r>
              <w:rPr>
                <w:rFonts w:ascii="Arial" w:cs="Arial" w:eastAsia="Arial" w:hAnsi="Arial"/>
                <w:sz w:val="10"/>
                <w:szCs w:val="10"/>
                <w:color w:val="auto"/>
              </w:rPr>
              <w:t>Tisotumab vedotin</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23</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38</w:t>
            </w:r>
          </w:p>
        </w:tc>
        <w:tc>
          <w:tcPr>
            <w:tcW w:w="340" w:type="dxa"/>
            <w:vAlign w:val="bottom"/>
          </w:tcPr>
          <w:p>
            <w:pPr>
              <w:jc w:val="right"/>
              <w:spacing w:after="0"/>
              <w:rPr>
                <w:sz w:val="20"/>
                <w:szCs w:val="20"/>
                <w:color w:val="auto"/>
              </w:rPr>
            </w:pPr>
            <w:r>
              <w:rPr>
                <w:rFonts w:ascii="Arial" w:cs="Arial" w:eastAsia="Arial" w:hAnsi="Arial"/>
                <w:sz w:val="10"/>
                <w:szCs w:val="10"/>
                <w:color w:val="auto"/>
              </w:rPr>
              <w:t>41</w:t>
            </w:r>
          </w:p>
        </w:tc>
        <w:tc>
          <w:tcPr>
            <w:tcW w:w="640" w:type="dxa"/>
            <w:vAlign w:val="bottom"/>
          </w:tcPr>
          <w:p>
            <w:pPr>
              <w:ind w:left="60"/>
              <w:spacing w:after="0"/>
              <w:rPr>
                <w:sz w:val="20"/>
                <w:szCs w:val="20"/>
                <w:color w:val="auto"/>
              </w:rPr>
            </w:pPr>
            <w:r>
              <w:rPr>
                <w:rFonts w:ascii="Arial" w:cs="Arial" w:eastAsia="Arial" w:hAnsi="Arial"/>
                <w:sz w:val="10"/>
                <w:szCs w:val="10"/>
                <w:color w:val="auto"/>
              </w:rPr>
              <w:t>(39)%</w:t>
            </w:r>
          </w:p>
        </w:tc>
        <w:tc>
          <w:tcPr>
            <w:tcW w:w="720" w:type="dxa"/>
            <w:vAlign w:val="bottom"/>
          </w:tcPr>
          <w:p>
            <w:pPr>
              <w:ind w:left="60"/>
              <w:spacing w:after="0"/>
              <w:rPr>
                <w:sz w:val="20"/>
                <w:szCs w:val="20"/>
                <w:color w:val="auto"/>
              </w:rPr>
            </w:pPr>
            <w:r>
              <w:rPr>
                <w:rFonts w:ascii="Arial" w:cs="Arial" w:eastAsia="Arial" w:hAnsi="Arial"/>
                <w:sz w:val="10"/>
                <w:szCs w:val="10"/>
                <w:color w:val="auto"/>
              </w:rPr>
              <w:t>(7)%</w:t>
            </w:r>
          </w:p>
        </w:tc>
      </w:tr>
      <w:tr>
        <w:trPr>
          <w:trHeight w:val="152"/>
        </w:trPr>
        <w:tc>
          <w:tcPr>
            <w:tcW w:w="1920" w:type="dxa"/>
            <w:vAlign w:val="bottom"/>
          </w:tcPr>
          <w:p>
            <w:pPr>
              <w:ind w:left="20"/>
              <w:spacing w:after="0"/>
              <w:rPr>
                <w:sz w:val="20"/>
                <w:szCs w:val="20"/>
                <w:color w:val="auto"/>
              </w:rPr>
            </w:pPr>
            <w:r>
              <w:rPr>
                <w:rFonts w:ascii="Arial" w:cs="Arial" w:eastAsia="Arial" w:hAnsi="Arial"/>
                <w:sz w:val="10"/>
                <w:szCs w:val="10"/>
                <w:color w:val="auto"/>
              </w:rPr>
              <w:t>Acasunlimab</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159</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102</w:t>
            </w:r>
          </w:p>
        </w:tc>
        <w:tc>
          <w:tcPr>
            <w:tcW w:w="340" w:type="dxa"/>
            <w:vAlign w:val="bottom"/>
          </w:tcPr>
          <w:p>
            <w:pPr>
              <w:jc w:val="right"/>
              <w:spacing w:after="0"/>
              <w:rPr>
                <w:sz w:val="20"/>
                <w:szCs w:val="20"/>
                <w:color w:val="auto"/>
              </w:rPr>
            </w:pPr>
            <w:r>
              <w:rPr>
                <w:rFonts w:ascii="Arial" w:cs="Arial" w:eastAsia="Arial" w:hAnsi="Arial"/>
                <w:sz w:val="10"/>
                <w:szCs w:val="10"/>
                <w:color w:val="auto"/>
              </w:rPr>
              <w:t>80</w:t>
            </w:r>
          </w:p>
        </w:tc>
        <w:tc>
          <w:tcPr>
            <w:tcW w:w="640" w:type="dxa"/>
            <w:vAlign w:val="bottom"/>
          </w:tcPr>
          <w:p>
            <w:pPr>
              <w:ind w:left="60"/>
              <w:spacing w:after="0"/>
              <w:rPr>
                <w:sz w:val="20"/>
                <w:szCs w:val="20"/>
                <w:color w:val="auto"/>
              </w:rPr>
            </w:pPr>
            <w:r>
              <w:rPr>
                <w:rFonts w:ascii="Arial" w:cs="Arial" w:eastAsia="Arial" w:hAnsi="Arial"/>
                <w:sz w:val="10"/>
                <w:szCs w:val="10"/>
                <w:color w:val="auto"/>
              </w:rPr>
              <w:t>56 %</w:t>
            </w:r>
          </w:p>
        </w:tc>
        <w:tc>
          <w:tcPr>
            <w:tcW w:w="720" w:type="dxa"/>
            <w:vAlign w:val="bottom"/>
          </w:tcPr>
          <w:p>
            <w:pPr>
              <w:ind w:left="60"/>
              <w:spacing w:after="0"/>
              <w:rPr>
                <w:sz w:val="20"/>
                <w:szCs w:val="20"/>
                <w:color w:val="auto"/>
              </w:rPr>
            </w:pPr>
            <w:r>
              <w:rPr>
                <w:rFonts w:ascii="Arial" w:cs="Arial" w:eastAsia="Arial" w:hAnsi="Arial"/>
                <w:sz w:val="10"/>
                <w:szCs w:val="10"/>
                <w:color w:val="auto"/>
              </w:rPr>
              <w:t>28 %</w:t>
            </w:r>
          </w:p>
        </w:tc>
      </w:tr>
      <w:tr>
        <w:trPr>
          <w:trHeight w:val="152"/>
        </w:trPr>
        <w:tc>
          <w:tcPr>
            <w:tcW w:w="1920" w:type="dxa"/>
            <w:vAlign w:val="bottom"/>
          </w:tcPr>
          <w:p>
            <w:pPr>
              <w:ind w:left="20"/>
              <w:spacing w:after="0"/>
              <w:rPr>
                <w:sz w:val="20"/>
                <w:szCs w:val="20"/>
                <w:color w:val="auto"/>
              </w:rPr>
            </w:pPr>
            <w:r>
              <w:rPr>
                <w:rFonts w:ascii="Arial" w:cs="Arial" w:eastAsia="Arial" w:hAnsi="Arial"/>
                <w:sz w:val="10"/>
                <w:szCs w:val="10"/>
                <w:color w:val="auto"/>
              </w:rPr>
              <w:t>DuoBody-CD40x4-1BB</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50</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75</w:t>
            </w:r>
          </w:p>
        </w:tc>
        <w:tc>
          <w:tcPr>
            <w:tcW w:w="340" w:type="dxa"/>
            <w:vAlign w:val="bottom"/>
          </w:tcPr>
          <w:p>
            <w:pPr>
              <w:jc w:val="right"/>
              <w:spacing w:after="0"/>
              <w:rPr>
                <w:sz w:val="20"/>
                <w:szCs w:val="20"/>
                <w:color w:val="auto"/>
              </w:rPr>
            </w:pPr>
            <w:r>
              <w:rPr>
                <w:rFonts w:ascii="Arial" w:cs="Arial" w:eastAsia="Arial" w:hAnsi="Arial"/>
                <w:sz w:val="10"/>
                <w:szCs w:val="10"/>
                <w:color w:val="auto"/>
              </w:rPr>
              <w:t>59</w:t>
            </w:r>
          </w:p>
        </w:tc>
        <w:tc>
          <w:tcPr>
            <w:tcW w:w="640" w:type="dxa"/>
            <w:vAlign w:val="bottom"/>
          </w:tcPr>
          <w:p>
            <w:pPr>
              <w:ind w:left="60"/>
              <w:spacing w:after="0"/>
              <w:rPr>
                <w:sz w:val="20"/>
                <w:szCs w:val="20"/>
                <w:color w:val="auto"/>
              </w:rPr>
            </w:pPr>
            <w:r>
              <w:rPr>
                <w:rFonts w:ascii="Arial" w:cs="Arial" w:eastAsia="Arial" w:hAnsi="Arial"/>
                <w:sz w:val="10"/>
                <w:szCs w:val="10"/>
                <w:color w:val="auto"/>
              </w:rPr>
              <w:t>(33)%</w:t>
            </w:r>
          </w:p>
        </w:tc>
        <w:tc>
          <w:tcPr>
            <w:tcW w:w="720" w:type="dxa"/>
            <w:vAlign w:val="bottom"/>
          </w:tcPr>
          <w:p>
            <w:pPr>
              <w:ind w:left="60"/>
              <w:spacing w:after="0"/>
              <w:rPr>
                <w:sz w:val="20"/>
                <w:szCs w:val="20"/>
                <w:color w:val="auto"/>
              </w:rPr>
            </w:pPr>
            <w:r>
              <w:rPr>
                <w:rFonts w:ascii="Arial" w:cs="Arial" w:eastAsia="Arial" w:hAnsi="Arial"/>
                <w:sz w:val="10"/>
                <w:szCs w:val="10"/>
                <w:color w:val="auto"/>
              </w:rPr>
              <w:t>27 %</w:t>
            </w:r>
          </w:p>
        </w:tc>
      </w:tr>
      <w:tr>
        <w:trPr>
          <w:trHeight w:val="152"/>
        </w:trPr>
        <w:tc>
          <w:tcPr>
            <w:tcW w:w="1920" w:type="dxa"/>
            <w:vAlign w:val="bottom"/>
          </w:tcPr>
          <w:p>
            <w:pPr>
              <w:ind w:left="20"/>
              <w:spacing w:after="0"/>
              <w:rPr>
                <w:sz w:val="20"/>
                <w:szCs w:val="20"/>
                <w:color w:val="auto"/>
              </w:rPr>
            </w:pPr>
            <w:r>
              <w:rPr>
                <w:rFonts w:ascii="Arial" w:cs="Arial" w:eastAsia="Arial" w:hAnsi="Arial"/>
                <w:sz w:val="10"/>
                <w:szCs w:val="10"/>
                <w:color w:val="auto"/>
              </w:rPr>
              <w:t>Other clinical stage programs</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23</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73</w:t>
            </w:r>
          </w:p>
        </w:tc>
        <w:tc>
          <w:tcPr>
            <w:tcW w:w="340" w:type="dxa"/>
            <w:vAlign w:val="bottom"/>
          </w:tcPr>
          <w:p>
            <w:pPr>
              <w:jc w:val="right"/>
              <w:spacing w:after="0"/>
              <w:rPr>
                <w:sz w:val="20"/>
                <w:szCs w:val="20"/>
                <w:color w:val="auto"/>
              </w:rPr>
            </w:pPr>
            <w:r>
              <w:rPr>
                <w:rFonts w:ascii="Arial" w:cs="Arial" w:eastAsia="Arial" w:hAnsi="Arial"/>
                <w:sz w:val="10"/>
                <w:szCs w:val="10"/>
                <w:color w:val="auto"/>
              </w:rPr>
              <w:t>109</w:t>
            </w:r>
          </w:p>
        </w:tc>
        <w:tc>
          <w:tcPr>
            <w:tcW w:w="640" w:type="dxa"/>
            <w:vAlign w:val="bottom"/>
          </w:tcPr>
          <w:p>
            <w:pPr>
              <w:ind w:left="60"/>
              <w:spacing w:after="0"/>
              <w:rPr>
                <w:sz w:val="20"/>
                <w:szCs w:val="20"/>
                <w:color w:val="auto"/>
              </w:rPr>
            </w:pPr>
            <w:r>
              <w:rPr>
                <w:rFonts w:ascii="Arial" w:cs="Arial" w:eastAsia="Arial" w:hAnsi="Arial"/>
                <w:sz w:val="10"/>
                <w:szCs w:val="10"/>
                <w:color w:val="auto"/>
              </w:rPr>
              <w:t>(68)%</w:t>
            </w:r>
          </w:p>
        </w:tc>
        <w:tc>
          <w:tcPr>
            <w:tcW w:w="720" w:type="dxa"/>
            <w:vAlign w:val="bottom"/>
          </w:tcPr>
          <w:p>
            <w:pPr>
              <w:ind w:left="60"/>
              <w:spacing w:after="0"/>
              <w:rPr>
                <w:sz w:val="20"/>
                <w:szCs w:val="20"/>
                <w:color w:val="auto"/>
              </w:rPr>
            </w:pPr>
            <w:r>
              <w:rPr>
                <w:rFonts w:ascii="Arial" w:cs="Arial" w:eastAsia="Arial" w:hAnsi="Arial"/>
                <w:sz w:val="10"/>
                <w:szCs w:val="10"/>
                <w:color w:val="auto"/>
              </w:rPr>
              <w:t>(33)%</w:t>
            </w:r>
          </w:p>
        </w:tc>
      </w:tr>
      <w:tr>
        <w:trPr>
          <w:trHeight w:val="120"/>
        </w:trPr>
        <w:tc>
          <w:tcPr>
            <w:tcW w:w="1920" w:type="dxa"/>
            <w:vAlign w:val="bottom"/>
          </w:tcPr>
          <w:p>
            <w:pPr>
              <w:ind w:left="20"/>
              <w:spacing w:after="0"/>
              <w:rPr>
                <w:sz w:val="20"/>
                <w:szCs w:val="20"/>
                <w:color w:val="auto"/>
              </w:rPr>
            </w:pPr>
            <w:r>
              <w:rPr>
                <w:rFonts w:ascii="Arial" w:cs="Arial" w:eastAsia="Arial" w:hAnsi="Arial"/>
                <w:sz w:val="10"/>
                <w:szCs w:val="10"/>
                <w:b w:val="1"/>
                <w:bCs w:val="1"/>
                <w:color w:val="auto"/>
              </w:rPr>
              <w:t>Total third-party costs for clinica</w:t>
            </w:r>
          </w:p>
        </w:tc>
        <w:tc>
          <w:tcPr>
            <w:tcW w:w="660" w:type="dxa"/>
            <w:vAlign w:val="bottom"/>
          </w:tcPr>
          <w:p>
            <w:pPr>
              <w:jc w:val="right"/>
              <w:ind w:right="308"/>
              <w:spacing w:after="0"/>
              <w:rPr>
                <w:sz w:val="20"/>
                <w:szCs w:val="20"/>
                <w:color w:val="auto"/>
              </w:rPr>
            </w:pPr>
            <w:r>
              <w:rPr>
                <w:rFonts w:ascii="Arial" w:cs="Arial" w:eastAsia="Arial" w:hAnsi="Arial"/>
                <w:sz w:val="10"/>
                <w:szCs w:val="10"/>
                <w:b w:val="1"/>
                <w:bCs w:val="1"/>
                <w:color w:val="009D94"/>
              </w:rPr>
              <w:t>788</w:t>
            </w:r>
          </w:p>
        </w:tc>
        <w:tc>
          <w:tcPr>
            <w:tcW w:w="660" w:type="dxa"/>
            <w:vAlign w:val="bottom"/>
          </w:tcPr>
          <w:p>
            <w:pPr>
              <w:jc w:val="right"/>
              <w:ind w:right="308"/>
              <w:spacing w:after="0"/>
              <w:rPr>
                <w:sz w:val="20"/>
                <w:szCs w:val="20"/>
                <w:color w:val="auto"/>
              </w:rPr>
            </w:pPr>
            <w:r>
              <w:rPr>
                <w:rFonts w:ascii="Arial" w:cs="Arial" w:eastAsia="Arial" w:hAnsi="Arial"/>
                <w:sz w:val="10"/>
                <w:szCs w:val="10"/>
                <w:b w:val="1"/>
                <w:bCs w:val="1"/>
                <w:color w:val="auto"/>
              </w:rPr>
              <w:t>748</w:t>
            </w: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481</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5 %</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56 %</w:t>
            </w:r>
          </w:p>
        </w:tc>
      </w:tr>
      <w:tr>
        <w:trPr>
          <w:trHeight w:val="95"/>
        </w:trPr>
        <w:tc>
          <w:tcPr>
            <w:tcW w:w="1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l</w:t>
            </w: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5"/>
        </w:trPr>
        <w:tc>
          <w:tcPr>
            <w:tcW w:w="192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stage programs</w:t>
            </w: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7"/>
        </w:trPr>
        <w:tc>
          <w:tcPr>
            <w:tcW w:w="1920" w:type="dxa"/>
            <w:vAlign w:val="bottom"/>
          </w:tcPr>
          <w:p>
            <w:pPr>
              <w:ind w:left="20"/>
              <w:spacing w:after="0"/>
              <w:rPr>
                <w:sz w:val="20"/>
                <w:szCs w:val="20"/>
                <w:color w:val="auto"/>
              </w:rPr>
            </w:pPr>
            <w:r>
              <w:rPr>
                <w:rFonts w:ascii="Arial" w:cs="Arial" w:eastAsia="Arial" w:hAnsi="Arial"/>
                <w:sz w:val="10"/>
                <w:szCs w:val="10"/>
                <w:color w:val="auto"/>
              </w:rPr>
              <w:t>Preclinical projects</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245</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216</w:t>
            </w:r>
          </w:p>
        </w:tc>
        <w:tc>
          <w:tcPr>
            <w:tcW w:w="340" w:type="dxa"/>
            <w:vAlign w:val="bottom"/>
          </w:tcPr>
          <w:p>
            <w:pPr>
              <w:jc w:val="right"/>
              <w:spacing w:after="0"/>
              <w:rPr>
                <w:sz w:val="20"/>
                <w:szCs w:val="20"/>
                <w:color w:val="auto"/>
              </w:rPr>
            </w:pPr>
            <w:r>
              <w:rPr>
                <w:rFonts w:ascii="Arial" w:cs="Arial" w:eastAsia="Arial" w:hAnsi="Arial"/>
                <w:sz w:val="10"/>
                <w:szCs w:val="10"/>
                <w:color w:val="auto"/>
              </w:rPr>
              <w:t>164</w:t>
            </w:r>
          </w:p>
        </w:tc>
        <w:tc>
          <w:tcPr>
            <w:tcW w:w="640" w:type="dxa"/>
            <w:vAlign w:val="bottom"/>
          </w:tcPr>
          <w:p>
            <w:pPr>
              <w:ind w:left="60"/>
              <w:spacing w:after="0"/>
              <w:rPr>
                <w:sz w:val="20"/>
                <w:szCs w:val="20"/>
                <w:color w:val="auto"/>
              </w:rPr>
            </w:pPr>
            <w:r>
              <w:rPr>
                <w:rFonts w:ascii="Arial" w:cs="Arial" w:eastAsia="Arial" w:hAnsi="Arial"/>
                <w:sz w:val="10"/>
                <w:szCs w:val="10"/>
                <w:color w:val="auto"/>
              </w:rPr>
              <w:t>13 %</w:t>
            </w:r>
          </w:p>
        </w:tc>
        <w:tc>
          <w:tcPr>
            <w:tcW w:w="720" w:type="dxa"/>
            <w:vAlign w:val="bottom"/>
          </w:tcPr>
          <w:p>
            <w:pPr>
              <w:ind w:left="60"/>
              <w:spacing w:after="0"/>
              <w:rPr>
                <w:sz w:val="20"/>
                <w:szCs w:val="20"/>
                <w:color w:val="auto"/>
              </w:rPr>
            </w:pPr>
            <w:r>
              <w:rPr>
                <w:rFonts w:ascii="Arial" w:cs="Arial" w:eastAsia="Arial" w:hAnsi="Arial"/>
                <w:sz w:val="10"/>
                <w:szCs w:val="10"/>
                <w:color w:val="auto"/>
              </w:rPr>
              <w:t>32 %</w:t>
            </w:r>
          </w:p>
        </w:tc>
      </w:tr>
      <w:tr>
        <w:trPr>
          <w:trHeight w:val="120"/>
        </w:trPr>
        <w:tc>
          <w:tcPr>
            <w:tcW w:w="1920" w:type="dxa"/>
            <w:vAlign w:val="bottom"/>
          </w:tcPr>
          <w:p>
            <w:pPr>
              <w:ind w:left="20"/>
              <w:spacing w:after="0"/>
              <w:rPr>
                <w:sz w:val="20"/>
                <w:szCs w:val="20"/>
                <w:color w:val="auto"/>
              </w:rPr>
            </w:pPr>
            <w:r>
              <w:rPr>
                <w:rFonts w:ascii="Arial" w:cs="Arial" w:eastAsia="Arial" w:hAnsi="Arial"/>
                <w:sz w:val="10"/>
                <w:szCs w:val="10"/>
                <w:color w:val="auto"/>
              </w:rPr>
              <w:t>Personnel, unallocated costs and</w:t>
            </w:r>
          </w:p>
        </w:tc>
        <w:tc>
          <w:tcPr>
            <w:tcW w:w="660" w:type="dxa"/>
            <w:vAlign w:val="bottom"/>
          </w:tcPr>
          <w:p>
            <w:pPr>
              <w:jc w:val="right"/>
              <w:ind w:right="308"/>
              <w:spacing w:after="0"/>
              <w:rPr>
                <w:sz w:val="20"/>
                <w:szCs w:val="20"/>
                <w:color w:val="auto"/>
              </w:rPr>
            </w:pPr>
            <w:r>
              <w:rPr>
                <w:rFonts w:ascii="Arial" w:cs="Arial" w:eastAsia="Arial" w:hAnsi="Arial"/>
                <w:sz w:val="10"/>
                <w:szCs w:val="10"/>
                <w:color w:val="009D94"/>
              </w:rPr>
              <w:t>573</w:t>
            </w:r>
          </w:p>
        </w:tc>
        <w:tc>
          <w:tcPr>
            <w:tcW w:w="660" w:type="dxa"/>
            <w:vAlign w:val="bottom"/>
          </w:tcPr>
          <w:p>
            <w:pPr>
              <w:jc w:val="right"/>
              <w:ind w:right="308"/>
              <w:spacing w:after="0"/>
              <w:rPr>
                <w:sz w:val="20"/>
                <w:szCs w:val="20"/>
                <w:color w:val="auto"/>
              </w:rPr>
            </w:pPr>
            <w:r>
              <w:rPr>
                <w:rFonts w:ascii="Arial" w:cs="Arial" w:eastAsia="Arial" w:hAnsi="Arial"/>
                <w:sz w:val="10"/>
                <w:szCs w:val="10"/>
                <w:color w:val="auto"/>
              </w:rPr>
              <w:t>450</w:t>
            </w:r>
          </w:p>
        </w:tc>
        <w:tc>
          <w:tcPr>
            <w:tcW w:w="340" w:type="dxa"/>
            <w:vAlign w:val="bottom"/>
          </w:tcPr>
          <w:p>
            <w:pPr>
              <w:jc w:val="right"/>
              <w:spacing w:after="0"/>
              <w:rPr>
                <w:sz w:val="20"/>
                <w:szCs w:val="20"/>
                <w:color w:val="auto"/>
              </w:rPr>
            </w:pPr>
            <w:r>
              <w:rPr>
                <w:rFonts w:ascii="Arial" w:cs="Arial" w:eastAsia="Arial" w:hAnsi="Arial"/>
                <w:sz w:val="10"/>
                <w:szCs w:val="10"/>
                <w:color w:val="auto"/>
              </w:rPr>
              <w:t>462</w:t>
            </w:r>
          </w:p>
        </w:tc>
        <w:tc>
          <w:tcPr>
            <w:tcW w:w="640" w:type="dxa"/>
            <w:vAlign w:val="bottom"/>
          </w:tcPr>
          <w:p>
            <w:pPr>
              <w:ind w:left="60"/>
              <w:spacing w:after="0"/>
              <w:rPr>
                <w:sz w:val="20"/>
                <w:szCs w:val="20"/>
                <w:color w:val="auto"/>
              </w:rPr>
            </w:pPr>
            <w:r>
              <w:rPr>
                <w:rFonts w:ascii="Arial" w:cs="Arial" w:eastAsia="Arial" w:hAnsi="Arial"/>
                <w:sz w:val="10"/>
                <w:szCs w:val="10"/>
                <w:color w:val="auto"/>
              </w:rPr>
              <w:t>27 %</w:t>
            </w:r>
          </w:p>
        </w:tc>
        <w:tc>
          <w:tcPr>
            <w:tcW w:w="720" w:type="dxa"/>
            <w:vAlign w:val="bottom"/>
          </w:tcPr>
          <w:p>
            <w:pPr>
              <w:ind w:left="60"/>
              <w:spacing w:after="0"/>
              <w:rPr>
                <w:sz w:val="20"/>
                <w:szCs w:val="20"/>
                <w:color w:val="auto"/>
              </w:rPr>
            </w:pPr>
            <w:r>
              <w:rPr>
                <w:rFonts w:ascii="Arial" w:cs="Arial" w:eastAsia="Arial" w:hAnsi="Arial"/>
                <w:sz w:val="10"/>
                <w:szCs w:val="10"/>
                <w:color w:val="auto"/>
              </w:rPr>
              <w:t>(3)%</w:t>
            </w:r>
          </w:p>
        </w:tc>
      </w:tr>
      <w:tr>
        <w:trPr>
          <w:trHeight w:val="137"/>
        </w:trPr>
        <w:tc>
          <w:tcPr>
            <w:tcW w:w="1920" w:type="dxa"/>
            <w:vAlign w:val="bottom"/>
          </w:tcPr>
          <w:p>
            <w:pPr>
              <w:ind w:left="20"/>
              <w:spacing w:after="0"/>
              <w:rPr>
                <w:sz w:val="20"/>
                <w:szCs w:val="20"/>
                <w:color w:val="auto"/>
              </w:rPr>
            </w:pPr>
            <w:r>
              <w:rPr>
                <w:rFonts w:ascii="Arial" w:cs="Arial" w:eastAsia="Arial" w:hAnsi="Arial"/>
                <w:sz w:val="10"/>
                <w:szCs w:val="10"/>
                <w:color w:val="auto"/>
              </w:rPr>
              <w:t>overhead</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8"/>
        </w:trPr>
        <w:tc>
          <w:tcPr>
            <w:tcW w:w="1920" w:type="dxa"/>
            <w:vAlign w:val="bottom"/>
          </w:tcPr>
          <w:p>
            <w:pPr>
              <w:ind w:left="20"/>
              <w:spacing w:after="0"/>
              <w:rPr>
                <w:sz w:val="20"/>
                <w:szCs w:val="20"/>
                <w:color w:val="auto"/>
              </w:rPr>
            </w:pPr>
            <w:r>
              <w:rPr>
                <w:rFonts w:ascii="Arial" w:cs="Arial" w:eastAsia="Arial" w:hAnsi="Arial"/>
                <w:sz w:val="10"/>
                <w:szCs w:val="10"/>
                <w:b w:val="1"/>
                <w:bCs w:val="1"/>
                <w:color w:val="auto"/>
              </w:rPr>
              <w:t>Total research and development</w:t>
            </w:r>
          </w:p>
        </w:tc>
        <w:tc>
          <w:tcPr>
            <w:tcW w:w="660" w:type="dxa"/>
            <w:vAlign w:val="bottom"/>
          </w:tcPr>
          <w:p>
            <w:pPr>
              <w:jc w:val="right"/>
              <w:ind w:right="308"/>
              <w:spacing w:after="0"/>
              <w:rPr>
                <w:sz w:val="20"/>
                <w:szCs w:val="20"/>
                <w:color w:val="auto"/>
              </w:rPr>
            </w:pPr>
            <w:r>
              <w:rPr>
                <w:rFonts w:ascii="Arial" w:cs="Arial" w:eastAsia="Arial" w:hAnsi="Arial"/>
                <w:sz w:val="10"/>
                <w:szCs w:val="10"/>
                <w:b w:val="1"/>
                <w:bCs w:val="1"/>
                <w:color w:val="009D94"/>
              </w:rPr>
              <w:t>1,606</w:t>
            </w:r>
          </w:p>
        </w:tc>
        <w:tc>
          <w:tcPr>
            <w:tcW w:w="660" w:type="dxa"/>
            <w:vAlign w:val="bottom"/>
          </w:tcPr>
          <w:p>
            <w:pPr>
              <w:jc w:val="right"/>
              <w:ind w:right="308"/>
              <w:spacing w:after="0"/>
              <w:rPr>
                <w:sz w:val="20"/>
                <w:szCs w:val="20"/>
                <w:color w:val="auto"/>
              </w:rPr>
            </w:pPr>
            <w:r>
              <w:rPr>
                <w:rFonts w:ascii="Arial" w:cs="Arial" w:eastAsia="Arial" w:hAnsi="Arial"/>
                <w:sz w:val="10"/>
                <w:szCs w:val="10"/>
                <w:b w:val="1"/>
                <w:bCs w:val="1"/>
                <w:color w:val="auto"/>
              </w:rPr>
              <w:t>1,414</w:t>
            </w: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1,107</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14 %</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28 %</w:t>
            </w:r>
          </w:p>
        </w:tc>
      </w:tr>
    </w:tbl>
    <w:p>
      <w:pPr>
        <w:spacing w:after="0" w:line="47" w:lineRule="exact"/>
        <w:rPr>
          <w:rFonts w:ascii="Arial" w:cs="Arial" w:eastAsia="Arial" w:hAnsi="Arial"/>
          <w:sz w:val="10"/>
          <w:szCs w:val="10"/>
          <w:b w:val="1"/>
          <w:bCs w:val="1"/>
          <w:color w:val="auto"/>
        </w:rPr>
      </w:pPr>
    </w:p>
    <w:p>
      <w:pPr>
        <w:ind w:left="20"/>
        <w:spacing w:after="0"/>
        <w:rPr>
          <w:sz w:val="20"/>
          <w:szCs w:val="20"/>
          <w:color w:val="auto"/>
        </w:rPr>
      </w:pPr>
      <w:r>
        <w:rPr>
          <w:rFonts w:ascii="Arial" w:cs="Arial" w:eastAsia="Arial" w:hAnsi="Arial"/>
          <w:sz w:val="10"/>
          <w:szCs w:val="10"/>
          <w:b w:val="1"/>
          <w:bCs w:val="1"/>
          <w:color w:val="auto"/>
        </w:rPr>
        <w:t>expenses</w:t>
      </w:r>
    </w:p>
    <w:p>
      <w:pPr>
        <w:spacing w:after="0" w:line="198" w:lineRule="auto"/>
        <w:rPr>
          <w:sz w:val="20"/>
          <w:szCs w:val="20"/>
          <w:color w:val="auto"/>
        </w:rPr>
      </w:pPr>
      <w:r>
        <w:rPr>
          <w:rFonts w:ascii="Arial" w:cs="Arial" w:eastAsia="Arial" w:hAnsi="Arial"/>
          <w:sz w:val="10"/>
          <w:szCs w:val="10"/>
          <w:color w:val="auto"/>
        </w:rPr>
        <w:t>Third-party costs for epcoritamab decreased by $111 million, or 27%, in 2025 as compared to 2024,</w:t>
      </w:r>
    </w:p>
    <w:p>
      <w:pPr>
        <w:spacing w:after="0" w:line="199" w:lineRule="auto"/>
        <w:rPr>
          <w:sz w:val="20"/>
          <w:szCs w:val="20"/>
          <w:color w:val="auto"/>
        </w:rPr>
      </w:pPr>
      <w:r>
        <w:rPr>
          <w:rFonts w:ascii="Arial" w:cs="Arial" w:eastAsia="Arial" w:hAnsi="Arial"/>
          <w:sz w:val="10"/>
          <w:szCs w:val="10"/>
          <w:color w:val="auto"/>
        </w:rPr>
        <w:t>primarily due to lower CMC costs in 2025 compared to 2024 related to epcoritamab under our collaboration</w:t>
      </w:r>
    </w:p>
    <w:p>
      <w:pPr>
        <w:spacing w:after="0" w:line="198" w:lineRule="auto"/>
        <w:rPr>
          <w:sz w:val="20"/>
          <w:szCs w:val="20"/>
          <w:color w:val="auto"/>
        </w:rPr>
      </w:pPr>
      <w:r>
        <w:rPr>
          <w:rFonts w:ascii="Arial" w:cs="Arial" w:eastAsia="Arial" w:hAnsi="Arial"/>
          <w:sz w:val="10"/>
          <w:szCs w:val="10"/>
          <w:color w:val="auto"/>
        </w:rPr>
        <w:t>with AbbVie. Third-party costs for epcoritamab increased by $222 million, or 116%, in 2024 as compared to</w:t>
      </w:r>
    </w:p>
    <w:p>
      <w:pPr>
        <w:spacing w:after="0" w:line="199" w:lineRule="auto"/>
        <w:rPr>
          <w:sz w:val="20"/>
          <w:szCs w:val="20"/>
          <w:color w:val="auto"/>
        </w:rPr>
      </w:pPr>
      <w:r>
        <w:rPr>
          <w:rFonts w:ascii="Arial" w:cs="Arial" w:eastAsia="Arial" w:hAnsi="Arial"/>
          <w:sz w:val="10"/>
          <w:szCs w:val="10"/>
          <w:color w:val="auto"/>
        </w:rPr>
        <w:t>2023, primarily due to the advancement and acceleration of the epcoritamab program under Genmab’s</w:t>
      </w:r>
    </w:p>
    <w:p>
      <w:pPr>
        <w:spacing w:after="0" w:line="199" w:lineRule="auto"/>
        <w:rPr>
          <w:sz w:val="20"/>
          <w:szCs w:val="20"/>
          <w:color w:val="auto"/>
        </w:rPr>
      </w:pPr>
      <w:r>
        <w:rPr>
          <w:rFonts w:ascii="Arial" w:cs="Arial" w:eastAsia="Arial" w:hAnsi="Arial"/>
          <w:sz w:val="10"/>
          <w:szCs w:val="10"/>
          <w:color w:val="auto"/>
        </w:rPr>
        <w:t>collaboration with AbbVie.</w:t>
      </w:r>
    </w:p>
    <w:p>
      <w:pPr>
        <w:spacing w:after="0" w:line="198" w:lineRule="auto"/>
        <w:rPr>
          <w:sz w:val="20"/>
          <w:szCs w:val="20"/>
          <w:color w:val="auto"/>
        </w:rPr>
      </w:pPr>
      <w:r>
        <w:rPr>
          <w:rFonts w:ascii="Arial" w:cs="Arial" w:eastAsia="Arial" w:hAnsi="Arial"/>
          <w:sz w:val="10"/>
          <w:szCs w:val="10"/>
          <w:color w:val="auto"/>
        </w:rPr>
        <w:t>Third-party costs for Rina-S were $230 million in 2025 compared to $46 million in 2024. Rina-S was</w:t>
      </w:r>
    </w:p>
    <w:p>
      <w:pPr>
        <w:spacing w:after="0" w:line="199" w:lineRule="auto"/>
        <w:rPr>
          <w:sz w:val="20"/>
          <w:szCs w:val="20"/>
          <w:color w:val="auto"/>
        </w:rPr>
      </w:pPr>
      <w:r>
        <w:rPr>
          <w:rFonts w:ascii="Arial" w:cs="Arial" w:eastAsia="Arial" w:hAnsi="Arial"/>
          <w:sz w:val="10"/>
          <w:szCs w:val="10"/>
          <w:color w:val="auto"/>
        </w:rPr>
        <w:t>acquired through the acquisition of ProfoundBio in the second quarter of 2024 and therefore there</w:t>
      </w:r>
    </w:p>
    <w:p>
      <w:pPr>
        <w:spacing w:after="0" w:line="199" w:lineRule="auto"/>
        <w:rPr>
          <w:sz w:val="20"/>
          <w:szCs w:val="20"/>
          <w:color w:val="auto"/>
        </w:rPr>
      </w:pPr>
      <w:r>
        <w:rPr>
          <w:rFonts w:ascii="Arial" w:cs="Arial" w:eastAsia="Arial" w:hAnsi="Arial"/>
          <w:sz w:val="10"/>
          <w:szCs w:val="10"/>
          <w:color w:val="auto"/>
        </w:rPr>
        <w:t>were minimal Rina-S related research and development expenses during 2024 compared to 2025 due to</w:t>
      </w:r>
    </w:p>
    <w:p>
      <w:pPr>
        <w:spacing w:after="0" w:line="198" w:lineRule="auto"/>
        <w:rPr>
          <w:sz w:val="20"/>
          <w:szCs w:val="20"/>
          <w:color w:val="auto"/>
        </w:rPr>
      </w:pPr>
      <w:r>
        <w:rPr>
          <w:rFonts w:ascii="Arial" w:cs="Arial" w:eastAsia="Arial" w:hAnsi="Arial"/>
          <w:sz w:val="10"/>
          <w:szCs w:val="10"/>
          <w:color w:val="auto"/>
        </w:rPr>
        <w:t>the increased development of Rina-S.</w:t>
      </w:r>
    </w:p>
    <w:p>
      <w:pPr>
        <w:spacing w:after="0" w:line="199" w:lineRule="auto"/>
        <w:rPr>
          <w:sz w:val="20"/>
          <w:szCs w:val="20"/>
          <w:color w:val="auto"/>
        </w:rPr>
      </w:pPr>
      <w:r>
        <w:rPr>
          <w:rFonts w:ascii="Arial" w:cs="Arial" w:eastAsia="Arial" w:hAnsi="Arial"/>
          <w:sz w:val="10"/>
          <w:szCs w:val="10"/>
          <w:color w:val="auto"/>
        </w:rPr>
        <w:t>Third-party costs for tisotumab vedotin decreased by $15 million, or 39%, in 2025 as compared to 2024,</w:t>
      </w:r>
    </w:p>
    <w:p>
      <w:pPr>
        <w:spacing w:after="0" w:line="199" w:lineRule="auto"/>
        <w:rPr>
          <w:sz w:val="20"/>
          <w:szCs w:val="20"/>
          <w:color w:val="auto"/>
        </w:rPr>
      </w:pPr>
      <w:r>
        <w:rPr>
          <w:rFonts w:ascii="Arial" w:cs="Arial" w:eastAsia="Arial" w:hAnsi="Arial"/>
          <w:sz w:val="10"/>
          <w:szCs w:val="10"/>
          <w:color w:val="auto"/>
        </w:rPr>
        <w:t>primarily due to the completion of certain clinical study activities in 2024. Third-party costs for tisotumab</w:t>
      </w:r>
    </w:p>
    <w:p>
      <w:pPr>
        <w:spacing w:after="0" w:line="198" w:lineRule="auto"/>
        <w:rPr>
          <w:sz w:val="20"/>
          <w:szCs w:val="20"/>
          <w:color w:val="auto"/>
        </w:rPr>
      </w:pPr>
      <w:r>
        <w:rPr>
          <w:rFonts w:ascii="Arial" w:cs="Arial" w:eastAsia="Arial" w:hAnsi="Arial"/>
          <w:sz w:val="10"/>
          <w:szCs w:val="10"/>
          <w:color w:val="auto"/>
        </w:rPr>
        <w:t>vedotin decreased by $3 million, or 7%, in 2024 as compared to 2023, primarily due to the completion of</w:t>
      </w:r>
    </w:p>
    <w:p>
      <w:pPr>
        <w:spacing w:after="0"/>
        <w:rPr>
          <w:sz w:val="20"/>
          <w:szCs w:val="20"/>
          <w:color w:val="auto"/>
        </w:rPr>
      </w:pPr>
      <w:r>
        <w:rPr>
          <w:rFonts w:ascii="Arial" w:cs="Arial" w:eastAsia="Arial" w:hAnsi="Arial"/>
          <w:sz w:val="10"/>
          <w:szCs w:val="10"/>
          <w:color w:val="auto"/>
        </w:rPr>
        <w:t>certain clinical study activities in 2024.</w:t>
      </w:r>
    </w:p>
    <w:p>
      <w:pPr>
        <w:spacing w:after="0" w:line="76" w:lineRule="exact"/>
        <w:rPr>
          <w:rFonts w:ascii="Arial" w:cs="Arial" w:eastAsia="Arial" w:hAnsi="Arial"/>
          <w:sz w:val="10"/>
          <w:szCs w:val="10"/>
          <w:b w:val="1"/>
          <w:bCs w:val="1"/>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9D94"/>
        </w:rPr>
        <w:t>Financial Review – Group</w:t>
      </w:r>
    </w:p>
    <w:p>
      <w:pPr>
        <w:spacing w:after="0" w:line="198" w:lineRule="auto"/>
        <w:rPr>
          <w:sz w:val="20"/>
          <w:szCs w:val="20"/>
          <w:color w:val="auto"/>
        </w:rPr>
      </w:pPr>
      <w:r>
        <w:rPr>
          <w:rFonts w:ascii="Arial" w:cs="Arial" w:eastAsia="Arial" w:hAnsi="Arial"/>
          <w:sz w:val="10"/>
          <w:szCs w:val="10"/>
          <w:color w:val="auto"/>
        </w:rPr>
        <w:t>Third-party costs for DuoBody-CD40x4-1BB</w:t>
      </w:r>
    </w:p>
    <w:p>
      <w:pPr>
        <w:spacing w:after="0" w:line="199" w:lineRule="auto"/>
        <w:rPr>
          <w:sz w:val="20"/>
          <w:szCs w:val="20"/>
          <w:color w:val="auto"/>
        </w:rPr>
      </w:pPr>
      <w:r>
        <w:rPr>
          <w:rFonts w:ascii="Arial" w:cs="Arial" w:eastAsia="Arial" w:hAnsi="Arial"/>
          <w:sz w:val="10"/>
          <w:szCs w:val="10"/>
          <w:color w:val="auto"/>
        </w:rPr>
        <w:t>decreased by $25 million, or 33%, in 2025 as</w:t>
      </w:r>
    </w:p>
    <w:p>
      <w:pPr>
        <w:spacing w:after="0" w:line="198" w:lineRule="auto"/>
        <w:rPr>
          <w:sz w:val="20"/>
          <w:szCs w:val="20"/>
          <w:color w:val="auto"/>
        </w:rPr>
      </w:pPr>
      <w:r>
        <w:rPr>
          <w:rFonts w:ascii="Arial" w:cs="Arial" w:eastAsia="Arial" w:hAnsi="Arial"/>
          <w:sz w:val="10"/>
          <w:szCs w:val="10"/>
          <w:color w:val="auto"/>
        </w:rPr>
        <w:t>compared to 2024, primarily due to lower CMC</w:t>
      </w:r>
    </w:p>
    <w:p>
      <w:pPr>
        <w:spacing w:after="0" w:line="199" w:lineRule="auto"/>
        <w:rPr>
          <w:sz w:val="20"/>
          <w:szCs w:val="20"/>
          <w:color w:val="auto"/>
        </w:rPr>
      </w:pPr>
      <w:r>
        <w:rPr>
          <w:rFonts w:ascii="Arial" w:cs="Arial" w:eastAsia="Arial" w:hAnsi="Arial"/>
          <w:sz w:val="10"/>
          <w:szCs w:val="10"/>
          <w:color w:val="auto"/>
        </w:rPr>
        <w:t>spending for the program under Genmab’s</w:t>
      </w:r>
    </w:p>
    <w:p>
      <w:pPr>
        <w:spacing w:after="0" w:line="199" w:lineRule="auto"/>
        <w:rPr>
          <w:sz w:val="20"/>
          <w:szCs w:val="20"/>
          <w:color w:val="auto"/>
        </w:rPr>
      </w:pPr>
      <w:r>
        <w:rPr>
          <w:rFonts w:ascii="Arial" w:cs="Arial" w:eastAsia="Arial" w:hAnsi="Arial"/>
          <w:sz w:val="10"/>
          <w:szCs w:val="10"/>
          <w:color w:val="auto"/>
        </w:rPr>
        <w:t>collaboration with BioNTech, which was terminated</w:t>
      </w:r>
    </w:p>
    <w:p>
      <w:pPr>
        <w:spacing w:after="0" w:line="198" w:lineRule="auto"/>
        <w:rPr>
          <w:sz w:val="20"/>
          <w:szCs w:val="20"/>
          <w:color w:val="auto"/>
        </w:rPr>
      </w:pPr>
      <w:r>
        <w:rPr>
          <w:rFonts w:ascii="Arial" w:cs="Arial" w:eastAsia="Arial" w:hAnsi="Arial"/>
          <w:sz w:val="10"/>
          <w:szCs w:val="10"/>
          <w:color w:val="auto"/>
        </w:rPr>
        <w:t>during the fourth quarter of 2025. Third-party costs</w:t>
      </w:r>
    </w:p>
    <w:p>
      <w:pPr>
        <w:spacing w:after="0" w:line="199" w:lineRule="auto"/>
        <w:rPr>
          <w:sz w:val="20"/>
          <w:szCs w:val="20"/>
          <w:color w:val="auto"/>
        </w:rPr>
      </w:pPr>
      <w:r>
        <w:rPr>
          <w:rFonts w:ascii="Arial" w:cs="Arial" w:eastAsia="Arial" w:hAnsi="Arial"/>
          <w:sz w:val="10"/>
          <w:szCs w:val="10"/>
          <w:color w:val="auto"/>
        </w:rPr>
        <w:t>for DuoBody-CD40x4-1BB increased by $16</w:t>
      </w:r>
    </w:p>
    <w:p>
      <w:pPr>
        <w:spacing w:after="0" w:line="199" w:lineRule="auto"/>
        <w:rPr>
          <w:sz w:val="20"/>
          <w:szCs w:val="20"/>
          <w:color w:val="auto"/>
        </w:rPr>
      </w:pPr>
      <w:r>
        <w:rPr>
          <w:rFonts w:ascii="Arial" w:cs="Arial" w:eastAsia="Arial" w:hAnsi="Arial"/>
          <w:sz w:val="10"/>
          <w:szCs w:val="10"/>
          <w:color w:val="auto"/>
        </w:rPr>
        <w:t>million, or 27%, in 2024 as compared to 2023,</w:t>
      </w:r>
    </w:p>
    <w:p>
      <w:pPr>
        <w:spacing w:after="0" w:line="198" w:lineRule="auto"/>
        <w:rPr>
          <w:sz w:val="20"/>
          <w:szCs w:val="20"/>
          <w:color w:val="auto"/>
        </w:rPr>
      </w:pPr>
      <w:r>
        <w:rPr>
          <w:rFonts w:ascii="Arial" w:cs="Arial" w:eastAsia="Arial" w:hAnsi="Arial"/>
          <w:sz w:val="10"/>
          <w:szCs w:val="10"/>
          <w:color w:val="auto"/>
        </w:rPr>
        <w:t>primarily due to the continued advancement and</w:t>
      </w:r>
    </w:p>
    <w:p>
      <w:pPr>
        <w:spacing w:after="0" w:line="199" w:lineRule="auto"/>
        <w:rPr>
          <w:sz w:val="20"/>
          <w:szCs w:val="20"/>
          <w:color w:val="auto"/>
        </w:rPr>
      </w:pPr>
      <w:r>
        <w:rPr>
          <w:rFonts w:ascii="Arial" w:cs="Arial" w:eastAsia="Arial" w:hAnsi="Arial"/>
          <w:sz w:val="10"/>
          <w:szCs w:val="10"/>
          <w:color w:val="auto"/>
        </w:rPr>
        <w:t>expansion of the program under Genmab’s</w:t>
      </w:r>
    </w:p>
    <w:p>
      <w:pPr>
        <w:spacing w:after="0" w:line="199" w:lineRule="auto"/>
        <w:rPr>
          <w:sz w:val="20"/>
          <w:szCs w:val="20"/>
          <w:color w:val="auto"/>
        </w:rPr>
      </w:pPr>
      <w:r>
        <w:rPr>
          <w:rFonts w:ascii="Arial" w:cs="Arial" w:eastAsia="Arial" w:hAnsi="Arial"/>
          <w:sz w:val="10"/>
          <w:szCs w:val="10"/>
          <w:color w:val="auto"/>
        </w:rPr>
        <w:t>collaboration with BioNTech during 2024.</w:t>
      </w:r>
    </w:p>
    <w:p>
      <w:pPr>
        <w:spacing w:after="0" w:line="198" w:lineRule="auto"/>
        <w:rPr>
          <w:sz w:val="20"/>
          <w:szCs w:val="20"/>
          <w:color w:val="auto"/>
        </w:rPr>
      </w:pPr>
      <w:r>
        <w:rPr>
          <w:rFonts w:ascii="Arial" w:cs="Arial" w:eastAsia="Arial" w:hAnsi="Arial"/>
          <w:sz w:val="10"/>
          <w:szCs w:val="10"/>
          <w:color w:val="auto"/>
        </w:rPr>
        <w:t>Third-party costs for Genmab’s other clinical stage</w:t>
      </w:r>
    </w:p>
    <w:p>
      <w:pPr>
        <w:spacing w:after="0" w:line="199" w:lineRule="auto"/>
        <w:rPr>
          <w:sz w:val="20"/>
          <w:szCs w:val="20"/>
          <w:color w:val="auto"/>
        </w:rPr>
      </w:pPr>
      <w:r>
        <w:rPr>
          <w:rFonts w:ascii="Arial" w:cs="Arial" w:eastAsia="Arial" w:hAnsi="Arial"/>
          <w:sz w:val="10"/>
          <w:szCs w:val="10"/>
          <w:color w:val="auto"/>
        </w:rPr>
        <w:t>programs decreased by $50 million, or 68%, in</w:t>
      </w:r>
    </w:p>
    <w:p>
      <w:pPr>
        <w:spacing w:after="0" w:line="198" w:lineRule="auto"/>
        <w:rPr>
          <w:sz w:val="20"/>
          <w:szCs w:val="20"/>
          <w:color w:val="auto"/>
        </w:rPr>
      </w:pPr>
      <w:r>
        <w:rPr>
          <w:rFonts w:ascii="Arial" w:cs="Arial" w:eastAsia="Arial" w:hAnsi="Arial"/>
          <w:sz w:val="10"/>
          <w:szCs w:val="10"/>
          <w:color w:val="auto"/>
        </w:rPr>
        <w:t>2025 as compared to 2024, primarily related to</w:t>
      </w:r>
    </w:p>
    <w:p>
      <w:pPr>
        <w:spacing w:after="0" w:line="199" w:lineRule="auto"/>
        <w:rPr>
          <w:sz w:val="20"/>
          <w:szCs w:val="20"/>
          <w:color w:val="auto"/>
        </w:rPr>
      </w:pPr>
      <w:r>
        <w:rPr>
          <w:rFonts w:ascii="Arial" w:cs="Arial" w:eastAsia="Arial" w:hAnsi="Arial"/>
          <w:sz w:val="10"/>
          <w:szCs w:val="10"/>
          <w:color w:val="auto"/>
        </w:rPr>
        <w:t>discontinuance of the DuoBody-CD3xB7H4 and</w:t>
      </w:r>
    </w:p>
    <w:p>
      <w:pPr>
        <w:spacing w:after="0" w:line="199" w:lineRule="auto"/>
        <w:rPr>
          <w:sz w:val="20"/>
          <w:szCs w:val="20"/>
          <w:color w:val="auto"/>
        </w:rPr>
      </w:pPr>
      <w:r>
        <w:rPr>
          <w:rFonts w:ascii="Arial" w:cs="Arial" w:eastAsia="Arial" w:hAnsi="Arial"/>
          <w:sz w:val="10"/>
          <w:szCs w:val="10"/>
          <w:color w:val="auto"/>
        </w:rPr>
        <w:t>DuoBody-CD3xCD30 programs. Third-party costs</w:t>
      </w:r>
    </w:p>
    <w:p>
      <w:pPr>
        <w:spacing w:after="0" w:line="198" w:lineRule="auto"/>
        <w:rPr>
          <w:sz w:val="20"/>
          <w:szCs w:val="20"/>
          <w:color w:val="auto"/>
        </w:rPr>
      </w:pPr>
      <w:r>
        <w:rPr>
          <w:rFonts w:ascii="Arial" w:cs="Arial" w:eastAsia="Arial" w:hAnsi="Arial"/>
          <w:sz w:val="10"/>
          <w:szCs w:val="10"/>
          <w:color w:val="auto"/>
        </w:rPr>
        <w:t>for Genmab’s other clinical stage programs</w:t>
      </w:r>
    </w:p>
    <w:p>
      <w:pPr>
        <w:spacing w:after="0" w:line="199" w:lineRule="auto"/>
        <w:rPr>
          <w:sz w:val="20"/>
          <w:szCs w:val="20"/>
          <w:color w:val="auto"/>
        </w:rPr>
      </w:pPr>
      <w:r>
        <w:rPr>
          <w:rFonts w:ascii="Arial" w:cs="Arial" w:eastAsia="Arial" w:hAnsi="Arial"/>
          <w:sz w:val="10"/>
          <w:szCs w:val="10"/>
          <w:color w:val="auto"/>
        </w:rPr>
        <w:t>decreased by $36 million, or 33%, in 2024 as</w:t>
      </w:r>
    </w:p>
    <w:p>
      <w:pPr>
        <w:spacing w:after="0" w:line="199" w:lineRule="auto"/>
        <w:rPr>
          <w:sz w:val="20"/>
          <w:szCs w:val="20"/>
          <w:color w:val="auto"/>
        </w:rPr>
      </w:pPr>
      <w:r>
        <w:rPr>
          <w:rFonts w:ascii="Arial" w:cs="Arial" w:eastAsia="Arial" w:hAnsi="Arial"/>
          <w:sz w:val="10"/>
          <w:szCs w:val="10"/>
          <w:color w:val="auto"/>
        </w:rPr>
        <w:t>compared to 2023, primarily related to DuoBody-</w:t>
      </w:r>
    </w:p>
    <w:p>
      <w:pPr>
        <w:spacing w:after="0" w:line="198" w:lineRule="auto"/>
        <w:rPr>
          <w:sz w:val="20"/>
          <w:szCs w:val="20"/>
          <w:color w:val="auto"/>
        </w:rPr>
      </w:pPr>
      <w:r>
        <w:rPr>
          <w:rFonts w:ascii="Arial" w:cs="Arial" w:eastAsia="Arial" w:hAnsi="Arial"/>
          <w:sz w:val="10"/>
          <w:szCs w:val="10"/>
          <w:color w:val="auto"/>
        </w:rPr>
        <w:t>CD3xB7H4 and DuoBody-CD3xCD30 in 2024.</w:t>
      </w:r>
    </w:p>
    <w:p>
      <w:pPr>
        <w:spacing w:after="0" w:line="199" w:lineRule="auto"/>
        <w:rPr>
          <w:sz w:val="20"/>
          <w:szCs w:val="20"/>
          <w:color w:val="auto"/>
        </w:rPr>
      </w:pPr>
      <w:r>
        <w:rPr>
          <w:rFonts w:ascii="Arial" w:cs="Arial" w:eastAsia="Arial" w:hAnsi="Arial"/>
          <w:sz w:val="10"/>
          <w:szCs w:val="10"/>
          <w:color w:val="auto"/>
        </w:rPr>
        <w:t>Research and development expenses related to</w:t>
      </w:r>
    </w:p>
    <w:p>
      <w:pPr>
        <w:spacing w:after="0" w:line="199" w:lineRule="auto"/>
        <w:rPr>
          <w:sz w:val="20"/>
          <w:szCs w:val="20"/>
          <w:color w:val="auto"/>
        </w:rPr>
      </w:pPr>
      <w:r>
        <w:rPr>
          <w:rFonts w:ascii="Arial" w:cs="Arial" w:eastAsia="Arial" w:hAnsi="Arial"/>
          <w:sz w:val="10"/>
          <w:szCs w:val="10"/>
          <w:color w:val="auto"/>
        </w:rPr>
        <w:t>our preclinical projects increased by $29 million, or</w:t>
      </w:r>
    </w:p>
    <w:p>
      <w:pPr>
        <w:spacing w:after="0" w:line="198" w:lineRule="auto"/>
        <w:rPr>
          <w:sz w:val="20"/>
          <w:szCs w:val="20"/>
          <w:color w:val="auto"/>
        </w:rPr>
      </w:pPr>
      <w:r>
        <w:rPr>
          <w:rFonts w:ascii="Arial" w:cs="Arial" w:eastAsia="Arial" w:hAnsi="Arial"/>
          <w:sz w:val="10"/>
          <w:szCs w:val="10"/>
          <w:color w:val="auto"/>
        </w:rPr>
        <w:t>13%, in 2025 as compared to 2024, driven by the</w:t>
      </w:r>
    </w:p>
    <w:p>
      <w:pPr>
        <w:spacing w:after="0" w:line="199" w:lineRule="auto"/>
        <w:rPr>
          <w:sz w:val="20"/>
          <w:szCs w:val="20"/>
          <w:color w:val="auto"/>
        </w:rPr>
      </w:pPr>
      <w:r>
        <w:rPr>
          <w:rFonts w:ascii="Arial" w:cs="Arial" w:eastAsia="Arial" w:hAnsi="Arial"/>
          <w:sz w:val="10"/>
          <w:szCs w:val="10"/>
          <w:color w:val="auto"/>
        </w:rPr>
        <w:t>continued investment in new and existing</w:t>
      </w:r>
    </w:p>
    <w:p>
      <w:pPr>
        <w:spacing w:after="0" w:line="198" w:lineRule="auto"/>
        <w:rPr>
          <w:sz w:val="20"/>
          <w:szCs w:val="20"/>
          <w:color w:val="auto"/>
        </w:rPr>
      </w:pPr>
      <w:r>
        <w:rPr>
          <w:rFonts w:ascii="Arial" w:cs="Arial" w:eastAsia="Arial" w:hAnsi="Arial"/>
          <w:sz w:val="10"/>
          <w:szCs w:val="10"/>
          <w:color w:val="auto"/>
        </w:rPr>
        <w:t>preclinical programs. Research and development</w:t>
      </w:r>
    </w:p>
    <w:p>
      <w:pPr>
        <w:spacing w:after="0" w:line="199" w:lineRule="auto"/>
        <w:rPr>
          <w:sz w:val="20"/>
          <w:szCs w:val="20"/>
          <w:color w:val="auto"/>
        </w:rPr>
      </w:pPr>
      <w:r>
        <w:rPr>
          <w:rFonts w:ascii="Arial" w:cs="Arial" w:eastAsia="Arial" w:hAnsi="Arial"/>
          <w:sz w:val="10"/>
          <w:szCs w:val="10"/>
          <w:color w:val="auto"/>
        </w:rPr>
        <w:t>expenses related to our preclinical projects</w:t>
      </w:r>
    </w:p>
    <w:p>
      <w:pPr>
        <w:spacing w:after="0" w:line="199" w:lineRule="auto"/>
        <w:rPr>
          <w:sz w:val="20"/>
          <w:szCs w:val="20"/>
          <w:color w:val="auto"/>
        </w:rPr>
      </w:pPr>
      <w:r>
        <w:rPr>
          <w:rFonts w:ascii="Arial" w:cs="Arial" w:eastAsia="Arial" w:hAnsi="Arial"/>
          <w:sz w:val="10"/>
          <w:szCs w:val="10"/>
          <w:color w:val="auto"/>
        </w:rPr>
        <w:t>increased by $52 million, or 32%, in 2024 as</w:t>
      </w:r>
    </w:p>
    <w:p>
      <w:pPr>
        <w:spacing w:after="0" w:line="198" w:lineRule="auto"/>
        <w:rPr>
          <w:sz w:val="20"/>
          <w:szCs w:val="20"/>
          <w:color w:val="auto"/>
        </w:rPr>
      </w:pPr>
      <w:r>
        <w:rPr>
          <w:rFonts w:ascii="Arial" w:cs="Arial" w:eastAsia="Arial" w:hAnsi="Arial"/>
          <w:sz w:val="10"/>
          <w:szCs w:val="10"/>
          <w:color w:val="auto"/>
        </w:rPr>
        <w:t>compared to 2023, driven by the continued</w:t>
      </w:r>
    </w:p>
    <w:p>
      <w:pPr>
        <w:spacing w:after="0" w:line="199" w:lineRule="auto"/>
        <w:rPr>
          <w:sz w:val="20"/>
          <w:szCs w:val="20"/>
          <w:color w:val="auto"/>
        </w:rPr>
      </w:pPr>
      <w:r>
        <w:rPr>
          <w:rFonts w:ascii="Arial" w:cs="Arial" w:eastAsia="Arial" w:hAnsi="Arial"/>
          <w:sz w:val="10"/>
          <w:szCs w:val="10"/>
          <w:color w:val="auto"/>
        </w:rPr>
        <w:t>investment in new and existing preclinical</w:t>
      </w:r>
    </w:p>
    <w:p>
      <w:pPr>
        <w:spacing w:after="0" w:line="199" w:lineRule="auto"/>
        <w:rPr>
          <w:sz w:val="20"/>
          <w:szCs w:val="20"/>
          <w:color w:val="auto"/>
        </w:rPr>
      </w:pPr>
      <w:r>
        <w:rPr>
          <w:rFonts w:ascii="Arial" w:cs="Arial" w:eastAsia="Arial" w:hAnsi="Arial"/>
          <w:sz w:val="10"/>
          <w:szCs w:val="10"/>
          <w:color w:val="auto"/>
        </w:rPr>
        <w:t>programs. An IND was submitted for</w:t>
      </w:r>
    </w:p>
    <w:p>
      <w:pPr>
        <w:spacing w:after="0" w:line="198" w:lineRule="auto"/>
        <w:rPr>
          <w:sz w:val="20"/>
          <w:szCs w:val="20"/>
          <w:color w:val="auto"/>
        </w:rPr>
      </w:pPr>
      <w:r>
        <w:rPr>
          <w:rFonts w:ascii="Arial" w:cs="Arial" w:eastAsia="Arial" w:hAnsi="Arial"/>
          <w:sz w:val="10"/>
          <w:szCs w:val="10"/>
          <w:color w:val="auto"/>
        </w:rPr>
        <w:t>DuoBody-FAPαxDR4 and a CTA was submitted</w:t>
      </w:r>
    </w:p>
    <w:p>
      <w:pPr>
        <w:spacing w:after="0" w:line="199" w:lineRule="auto"/>
        <w:rPr>
          <w:sz w:val="20"/>
          <w:szCs w:val="20"/>
          <w:color w:val="auto"/>
        </w:rPr>
      </w:pPr>
      <w:r>
        <w:rPr>
          <w:rFonts w:ascii="Arial" w:cs="Arial" w:eastAsia="Arial" w:hAnsi="Arial"/>
          <w:sz w:val="10"/>
          <w:szCs w:val="10"/>
          <w:color w:val="auto"/>
        </w:rPr>
        <w:t>for GEN1078.</w:t>
      </w:r>
    </w:p>
    <w:p>
      <w:pPr>
        <w:spacing w:after="0" w:line="199" w:lineRule="auto"/>
        <w:rPr>
          <w:sz w:val="20"/>
          <w:szCs w:val="20"/>
          <w:color w:val="auto"/>
        </w:rPr>
      </w:pPr>
      <w:r>
        <w:rPr>
          <w:rFonts w:ascii="Arial" w:cs="Arial" w:eastAsia="Arial" w:hAnsi="Arial"/>
          <w:sz w:val="10"/>
          <w:szCs w:val="10"/>
          <w:color w:val="auto"/>
        </w:rPr>
        <w:t>Personnel, unallocated costs and overhead</w:t>
      </w:r>
    </w:p>
    <w:p>
      <w:pPr>
        <w:spacing w:after="0" w:line="198" w:lineRule="auto"/>
        <w:rPr>
          <w:sz w:val="20"/>
          <w:szCs w:val="20"/>
          <w:color w:val="auto"/>
        </w:rPr>
      </w:pPr>
      <w:r>
        <w:rPr>
          <w:rFonts w:ascii="Arial" w:cs="Arial" w:eastAsia="Arial" w:hAnsi="Arial"/>
          <w:sz w:val="10"/>
          <w:szCs w:val="10"/>
          <w:color w:val="auto"/>
        </w:rPr>
        <w:t>increased by $123 million, or 27%, in 2025</w:t>
      </w:r>
    </w:p>
    <w:p>
      <w:pPr>
        <w:spacing w:after="0" w:line="199" w:lineRule="auto"/>
        <w:rPr>
          <w:sz w:val="20"/>
          <w:szCs w:val="20"/>
          <w:color w:val="auto"/>
        </w:rPr>
      </w:pPr>
      <w:r>
        <w:rPr>
          <w:rFonts w:ascii="Arial" w:cs="Arial" w:eastAsia="Arial" w:hAnsi="Arial"/>
          <w:sz w:val="10"/>
          <w:szCs w:val="10"/>
          <w:color w:val="auto"/>
        </w:rPr>
        <w:t>as compared to 2024, primarily related to</w:t>
      </w:r>
    </w:p>
    <w:p>
      <w:pPr>
        <w:spacing w:after="0" w:line="199" w:lineRule="auto"/>
        <w:rPr>
          <w:sz w:val="20"/>
          <w:szCs w:val="20"/>
          <w:color w:val="auto"/>
        </w:rPr>
      </w:pPr>
      <w:r>
        <w:rPr>
          <w:rFonts w:ascii="Arial" w:cs="Arial" w:eastAsia="Arial" w:hAnsi="Arial"/>
          <w:sz w:val="10"/>
          <w:szCs w:val="10"/>
          <w:color w:val="auto"/>
        </w:rPr>
        <w:t>incremental FTE costs to support our late state</w:t>
      </w:r>
    </w:p>
    <w:p>
      <w:pPr>
        <w:spacing w:after="0" w:line="198" w:lineRule="auto"/>
        <w:rPr>
          <w:sz w:val="20"/>
          <w:szCs w:val="20"/>
          <w:color w:val="auto"/>
        </w:rPr>
      </w:pPr>
      <w:r>
        <w:rPr>
          <w:rFonts w:ascii="Arial" w:cs="Arial" w:eastAsia="Arial" w:hAnsi="Arial"/>
          <w:sz w:val="10"/>
          <w:szCs w:val="10"/>
          <w:color w:val="auto"/>
        </w:rPr>
        <w:t>pipeline. Our research and development FTEs</w:t>
      </w:r>
    </w:p>
    <w:p>
      <w:pPr>
        <w:spacing w:after="0" w:line="199" w:lineRule="auto"/>
        <w:rPr>
          <w:sz w:val="20"/>
          <w:szCs w:val="20"/>
          <w:color w:val="auto"/>
        </w:rPr>
      </w:pPr>
      <w:r>
        <w:rPr>
          <w:rFonts w:ascii="Arial" w:cs="Arial" w:eastAsia="Arial" w:hAnsi="Arial"/>
          <w:sz w:val="10"/>
          <w:szCs w:val="10"/>
          <w:color w:val="auto"/>
        </w:rPr>
        <w:t>increased from 1,886 at the end of 2024 to 2,089 at</w:t>
      </w:r>
    </w:p>
    <w:p>
      <w:pPr>
        <w:spacing w:after="0" w:line="198" w:lineRule="auto"/>
        <w:rPr>
          <w:sz w:val="20"/>
          <w:szCs w:val="20"/>
          <w:color w:val="auto"/>
        </w:rPr>
      </w:pPr>
      <w:r>
        <w:rPr>
          <w:rFonts w:ascii="Arial" w:cs="Arial" w:eastAsia="Arial" w:hAnsi="Arial"/>
          <w:sz w:val="10"/>
          <w:szCs w:val="10"/>
          <w:color w:val="auto"/>
        </w:rPr>
        <w:t>the end of 2025. Personnel, unallocated costs and</w:t>
      </w:r>
    </w:p>
    <w:p>
      <w:pPr>
        <w:spacing w:after="0" w:line="199" w:lineRule="auto"/>
        <w:rPr>
          <w:sz w:val="20"/>
          <w:szCs w:val="20"/>
          <w:color w:val="auto"/>
        </w:rPr>
      </w:pPr>
      <w:r>
        <w:rPr>
          <w:rFonts w:ascii="Arial" w:cs="Arial" w:eastAsia="Arial" w:hAnsi="Arial"/>
          <w:sz w:val="10"/>
          <w:szCs w:val="10"/>
          <w:color w:val="auto"/>
        </w:rPr>
        <w:t>overhead decreased by $12 million, or 3%, in 2024</w:t>
      </w:r>
    </w:p>
    <w:p>
      <w:pPr>
        <w:spacing w:after="0" w:line="199" w:lineRule="auto"/>
        <w:rPr>
          <w:sz w:val="20"/>
          <w:szCs w:val="20"/>
          <w:color w:val="auto"/>
        </w:rPr>
      </w:pPr>
      <w:r>
        <w:rPr>
          <w:rFonts w:ascii="Arial" w:cs="Arial" w:eastAsia="Arial" w:hAnsi="Arial"/>
          <w:sz w:val="10"/>
          <w:szCs w:val="10"/>
          <w:color w:val="auto"/>
        </w:rPr>
        <w:t>as compared to 2023, primarily due to travel costs,</w:t>
      </w:r>
    </w:p>
    <w:p>
      <w:pPr>
        <w:spacing w:after="0" w:line="198" w:lineRule="auto"/>
        <w:rPr>
          <w:sz w:val="20"/>
          <w:szCs w:val="20"/>
          <w:color w:val="auto"/>
        </w:rPr>
      </w:pPr>
      <w:r>
        <w:rPr>
          <w:rFonts w:ascii="Arial" w:cs="Arial" w:eastAsia="Arial" w:hAnsi="Arial"/>
          <w:sz w:val="10"/>
          <w:szCs w:val="10"/>
          <w:color w:val="auto"/>
        </w:rPr>
        <w:t>which were higher in 2023 due to the upcoming</w:t>
      </w:r>
    </w:p>
    <w:p>
      <w:pPr>
        <w:spacing w:after="0" w:line="199" w:lineRule="auto"/>
        <w:rPr>
          <w:sz w:val="20"/>
          <w:szCs w:val="20"/>
          <w:color w:val="auto"/>
        </w:rPr>
      </w:pPr>
      <w:r>
        <w:rPr>
          <w:rFonts w:ascii="Arial" w:cs="Arial" w:eastAsia="Arial" w:hAnsi="Arial"/>
          <w:sz w:val="10"/>
          <w:szCs w:val="10"/>
          <w:color w:val="auto"/>
        </w:rPr>
        <w:t>launch of EPKINLY in 2023. Our research and</w:t>
      </w:r>
    </w:p>
    <w:p>
      <w:pPr>
        <w:spacing w:after="0" w:line="199" w:lineRule="auto"/>
        <w:rPr>
          <w:sz w:val="20"/>
          <w:szCs w:val="20"/>
          <w:color w:val="auto"/>
        </w:rPr>
      </w:pPr>
      <w:r>
        <w:rPr>
          <w:rFonts w:ascii="Arial" w:cs="Arial" w:eastAsia="Arial" w:hAnsi="Arial"/>
          <w:sz w:val="10"/>
          <w:szCs w:val="10"/>
          <w:color w:val="auto"/>
        </w:rPr>
        <w:t>development FTEs increased from 1,541 at the end</w:t>
      </w:r>
    </w:p>
    <w:p>
      <w:pPr>
        <w:spacing w:after="0" w:line="198" w:lineRule="auto"/>
        <w:rPr>
          <w:sz w:val="20"/>
          <w:szCs w:val="20"/>
          <w:color w:val="auto"/>
        </w:rPr>
      </w:pPr>
      <w:r>
        <w:rPr>
          <w:rFonts w:ascii="Arial" w:cs="Arial" w:eastAsia="Arial" w:hAnsi="Arial"/>
          <w:sz w:val="10"/>
          <w:szCs w:val="10"/>
          <w:color w:val="auto"/>
        </w:rPr>
        <w:t>of 2023 to 1,886 at the end of 2024.</w:t>
      </w:r>
    </w:p>
    <w:p>
      <w:pPr>
        <w:spacing w:after="0" w:line="199" w:lineRule="auto"/>
        <w:rPr>
          <w:sz w:val="20"/>
          <w:szCs w:val="20"/>
          <w:color w:val="auto"/>
        </w:rPr>
      </w:pPr>
      <w:r>
        <w:rPr>
          <w:rFonts w:ascii="Arial" w:cs="Arial" w:eastAsia="Arial" w:hAnsi="Arial"/>
          <w:sz w:val="10"/>
          <w:szCs w:val="10"/>
          <w:color w:val="009D94"/>
        </w:rPr>
        <w:t xml:space="preserve">Refer to </w:t>
      </w:r>
      <w:r>
        <w:rPr>
          <w:rFonts w:ascii="Arial" w:cs="Arial" w:eastAsia="Arial" w:hAnsi="Arial"/>
          <w:sz w:val="10"/>
          <w:szCs w:val="10"/>
          <w:b w:val="1"/>
          <w:bCs w:val="1"/>
          <w:color w:val="009D94"/>
        </w:rPr>
        <w:t>Note 2.3</w:t>
      </w:r>
      <w:r>
        <w:rPr>
          <w:rFonts w:ascii="Arial" w:cs="Arial" w:eastAsia="Arial" w:hAnsi="Arial"/>
          <w:sz w:val="10"/>
          <w:szCs w:val="10"/>
          <w:color w:val="009D94"/>
        </w:rPr>
        <w:t xml:space="preserve">, </w:t>
      </w:r>
      <w:r>
        <w:rPr>
          <w:rFonts w:ascii="Arial" w:cs="Arial" w:eastAsia="Arial" w:hAnsi="Arial"/>
          <w:sz w:val="10"/>
          <w:szCs w:val="10"/>
          <w:b w:val="1"/>
          <w:bCs w:val="1"/>
          <w:color w:val="009D94"/>
        </w:rPr>
        <w:t>3.1</w:t>
      </w:r>
      <w:r>
        <w:rPr>
          <w:rFonts w:ascii="Arial" w:cs="Arial" w:eastAsia="Arial" w:hAnsi="Arial"/>
          <w:sz w:val="10"/>
          <w:szCs w:val="10"/>
          <w:color w:val="009D94"/>
        </w:rPr>
        <w:t xml:space="preserve">, </w:t>
      </w:r>
      <w:r>
        <w:rPr>
          <w:rFonts w:ascii="Arial" w:cs="Arial" w:eastAsia="Arial" w:hAnsi="Arial"/>
          <w:sz w:val="10"/>
          <w:szCs w:val="10"/>
          <w:b w:val="1"/>
          <w:bCs w:val="1"/>
          <w:color w:val="009D94"/>
        </w:rPr>
        <w:t>3.2</w:t>
      </w:r>
      <w:r>
        <w:rPr>
          <w:rFonts w:ascii="Arial" w:cs="Arial" w:eastAsia="Arial" w:hAnsi="Arial"/>
          <w:sz w:val="10"/>
          <w:szCs w:val="10"/>
          <w:color w:val="009D94"/>
        </w:rPr>
        <w:t xml:space="preserve"> and </w:t>
      </w:r>
      <w:r>
        <w:rPr>
          <w:rFonts w:ascii="Arial" w:cs="Arial" w:eastAsia="Arial" w:hAnsi="Arial"/>
          <w:sz w:val="10"/>
          <w:szCs w:val="10"/>
          <w:b w:val="1"/>
          <w:bCs w:val="1"/>
          <w:color w:val="009D94"/>
        </w:rPr>
        <w:t>5.5</w:t>
      </w:r>
      <w:r>
        <w:rPr>
          <w:rFonts w:ascii="Arial" w:cs="Arial" w:eastAsia="Arial" w:hAnsi="Arial"/>
          <w:sz w:val="10"/>
          <w:szCs w:val="10"/>
          <w:color w:val="009D94"/>
        </w:rPr>
        <w:t xml:space="preserve"> for further</w:t>
      </w:r>
    </w:p>
    <w:p>
      <w:pPr>
        <w:spacing w:after="0" w:line="199" w:lineRule="auto"/>
        <w:rPr>
          <w:rFonts w:ascii="Arial" w:cs="Arial" w:eastAsia="Arial" w:hAnsi="Arial"/>
          <w:sz w:val="10"/>
          <w:szCs w:val="10"/>
          <w:color w:val="009D94"/>
        </w:rPr>
      </w:pPr>
      <w:r>
        <w:rPr>
          <w:rFonts w:ascii="Arial" w:cs="Arial" w:eastAsia="Arial" w:hAnsi="Arial"/>
          <w:sz w:val="10"/>
          <w:szCs w:val="10"/>
          <w:color w:val="009D94"/>
        </w:rPr>
        <w:t xml:space="preserve">details about </w:t>
      </w:r>
      <w:hyperlink w:anchor="page141">
        <w:r>
          <w:rPr>
            <w:rFonts w:ascii="Arial" w:cs="Arial" w:eastAsia="Arial" w:hAnsi="Arial"/>
            <w:sz w:val="10"/>
            <w:szCs w:val="10"/>
            <w:b w:val="1"/>
            <w:bCs w:val="1"/>
            <w:color w:val="009D94"/>
          </w:rPr>
          <w:t xml:space="preserve">staff costs, </w:t>
        </w:r>
      </w:hyperlink>
      <w:hyperlink w:anchor="page143">
        <w:r>
          <w:rPr>
            <w:rFonts w:ascii="Arial" w:cs="Arial" w:eastAsia="Arial" w:hAnsi="Arial"/>
            <w:sz w:val="10"/>
            <w:szCs w:val="10"/>
            <w:color w:val="009D94"/>
          </w:rPr>
          <w:t xml:space="preserve">intangible </w:t>
        </w:r>
        <w:r>
          <w:rPr>
            <w:rFonts w:ascii="Arial" w:cs="Arial" w:eastAsia="Arial" w:hAnsi="Arial"/>
            <w:sz w:val="10"/>
            <w:szCs w:val="10"/>
            <w:b w:val="1"/>
            <w:bCs w:val="1"/>
            <w:color w:val="009D94"/>
          </w:rPr>
          <w:t>assets,</w:t>
        </w:r>
      </w:hyperlink>
    </w:p>
    <w:p>
      <w:pPr>
        <w:spacing w:after="0" w:line="198" w:lineRule="auto"/>
        <w:rPr>
          <w:rFonts w:ascii="Arial" w:cs="Arial" w:eastAsia="Arial" w:hAnsi="Arial"/>
          <w:sz w:val="10"/>
          <w:szCs w:val="10"/>
          <w:b w:val="1"/>
          <w:bCs w:val="1"/>
          <w:color w:val="009D94"/>
        </w:rPr>
      </w:pPr>
      <w:hyperlink w:anchor="page144">
        <w:r>
          <w:rPr>
            <w:rFonts w:ascii="Arial" w:cs="Arial" w:eastAsia="Arial" w:hAnsi="Arial"/>
            <w:sz w:val="10"/>
            <w:szCs w:val="10"/>
            <w:b w:val="1"/>
            <w:bCs w:val="1"/>
            <w:color w:val="009D94"/>
          </w:rPr>
          <w:t xml:space="preserve">property and equipment </w:t>
        </w:r>
      </w:hyperlink>
      <w:r>
        <w:rPr>
          <w:rFonts w:ascii="Arial" w:cs="Arial" w:eastAsia="Arial" w:hAnsi="Arial"/>
          <w:sz w:val="10"/>
          <w:szCs w:val="10"/>
          <w:color w:val="009D94"/>
        </w:rPr>
        <w:t>and</w:t>
      </w:r>
      <w:r>
        <w:rPr>
          <w:rFonts w:ascii="Arial" w:cs="Arial" w:eastAsia="Arial" w:hAnsi="Arial"/>
          <w:sz w:val="10"/>
          <w:szCs w:val="10"/>
          <w:b w:val="1"/>
          <w:bCs w:val="1"/>
          <w:color w:val="009D94"/>
        </w:rPr>
        <w:t xml:space="preserve"> </w:t>
      </w:r>
      <w:r>
        <w:rPr>
          <w:rFonts w:ascii="Arial" w:cs="Arial" w:eastAsia="Arial" w:hAnsi="Arial"/>
          <w:sz w:val="10"/>
          <w:szCs w:val="10"/>
          <w:color w:val="009D94"/>
        </w:rPr>
        <w:t>the</w:t>
      </w:r>
      <w:r>
        <w:rPr>
          <w:rFonts w:ascii="Arial" w:cs="Arial" w:eastAsia="Arial" w:hAnsi="Arial"/>
          <w:sz w:val="10"/>
          <w:szCs w:val="10"/>
          <w:b w:val="1"/>
          <w:bCs w:val="1"/>
          <w:color w:val="009D94"/>
        </w:rPr>
        <w:t xml:space="preserve"> </w:t>
      </w:r>
      <w:hyperlink w:anchor="page156">
        <w:r>
          <w:rPr>
            <w:rFonts w:ascii="Arial" w:cs="Arial" w:eastAsia="Arial" w:hAnsi="Arial"/>
            <w:sz w:val="10"/>
            <w:szCs w:val="10"/>
            <w:b w:val="1"/>
            <w:bCs w:val="1"/>
            <w:color w:val="009D94"/>
          </w:rPr>
          <w:t>acquisition</w:t>
        </w:r>
      </w:hyperlink>
    </w:p>
    <w:p>
      <w:pPr>
        <w:spacing w:after="0" w:line="194" w:lineRule="auto"/>
        <w:rPr>
          <w:rFonts w:ascii="Arial" w:cs="Arial" w:eastAsia="Arial" w:hAnsi="Arial"/>
          <w:sz w:val="10"/>
          <w:szCs w:val="10"/>
          <w:b w:val="1"/>
          <w:bCs w:val="1"/>
          <w:color w:val="009D94"/>
        </w:rPr>
      </w:pPr>
      <w:hyperlink w:anchor="page156">
        <w:r>
          <w:rPr>
            <w:rFonts w:ascii="Arial" w:cs="Arial" w:eastAsia="Arial" w:hAnsi="Arial"/>
            <w:sz w:val="10"/>
            <w:szCs w:val="10"/>
            <w:b w:val="1"/>
            <w:bCs w:val="1"/>
            <w:color w:val="009D94"/>
          </w:rPr>
          <w:t>of ProfoundBio</w:t>
        </w:r>
      </w:hyperlink>
      <w:r>
        <w:rPr>
          <w:rFonts w:ascii="Arial" w:cs="Arial" w:eastAsia="Arial" w:hAnsi="Arial"/>
          <w:sz w:val="10"/>
          <w:szCs w:val="10"/>
          <w:color w:val="009D94"/>
        </w:rPr>
        <w:t>.</w:t>
      </w:r>
    </w:p>
    <w:p>
      <w:pPr>
        <w:spacing w:after="0" w:line="198" w:lineRule="auto"/>
        <w:rPr>
          <w:sz w:val="20"/>
          <w:szCs w:val="20"/>
          <w:color w:val="auto"/>
        </w:rPr>
      </w:pPr>
      <w:r>
        <w:rPr>
          <w:rFonts w:ascii="Arial" w:cs="Arial" w:eastAsia="Arial" w:hAnsi="Arial"/>
          <w:sz w:val="18"/>
          <w:szCs w:val="18"/>
          <w:color w:val="009D94"/>
        </w:rPr>
        <w:t>Selling, General and</w:t>
      </w:r>
    </w:p>
    <w:p>
      <w:pPr>
        <w:spacing w:after="0" w:line="202" w:lineRule="auto"/>
        <w:rPr>
          <w:sz w:val="20"/>
          <w:szCs w:val="20"/>
          <w:color w:val="auto"/>
        </w:rPr>
      </w:pPr>
      <w:r>
        <w:rPr>
          <w:rFonts w:ascii="Arial" w:cs="Arial" w:eastAsia="Arial" w:hAnsi="Arial"/>
          <w:sz w:val="18"/>
          <w:szCs w:val="18"/>
          <w:color w:val="009D94"/>
        </w:rPr>
        <w:t>Administrative Expenses</w:t>
      </w:r>
    </w:p>
    <w:p>
      <w:pPr>
        <w:spacing w:after="0" w:line="199" w:lineRule="auto"/>
        <w:rPr>
          <w:sz w:val="20"/>
          <w:szCs w:val="20"/>
          <w:color w:val="auto"/>
        </w:rPr>
      </w:pPr>
      <w:r>
        <w:rPr>
          <w:rFonts w:ascii="Arial" w:cs="Arial" w:eastAsia="Arial" w:hAnsi="Arial"/>
          <w:sz w:val="10"/>
          <w:szCs w:val="10"/>
          <w:color w:val="auto"/>
        </w:rPr>
        <w:t>Selling, general and administrative expenses were</w:t>
      </w:r>
    </w:p>
    <w:p>
      <w:pPr>
        <w:spacing w:after="0" w:line="198" w:lineRule="auto"/>
        <w:rPr>
          <w:sz w:val="20"/>
          <w:szCs w:val="20"/>
          <w:color w:val="auto"/>
        </w:rPr>
      </w:pPr>
      <w:r>
        <w:rPr>
          <w:rFonts w:ascii="Arial" w:cs="Arial" w:eastAsia="Arial" w:hAnsi="Arial"/>
          <w:sz w:val="10"/>
          <w:szCs w:val="10"/>
          <w:color w:val="auto"/>
        </w:rPr>
        <w:t>$626 million in 2025 compared to $549 million in</w:t>
      </w:r>
    </w:p>
    <w:p>
      <w:pPr>
        <w:spacing w:after="0" w:line="199" w:lineRule="auto"/>
        <w:rPr>
          <w:sz w:val="20"/>
          <w:szCs w:val="20"/>
          <w:color w:val="auto"/>
        </w:rPr>
      </w:pPr>
      <w:r>
        <w:rPr>
          <w:rFonts w:ascii="Arial" w:cs="Arial" w:eastAsia="Arial" w:hAnsi="Arial"/>
          <w:sz w:val="10"/>
          <w:szCs w:val="10"/>
          <w:color w:val="auto"/>
        </w:rPr>
        <w:t>2024 and $478 million in 2023. The increase from</w:t>
      </w:r>
    </w:p>
    <w:p>
      <w:pPr>
        <w:spacing w:after="0" w:line="199" w:lineRule="auto"/>
        <w:rPr>
          <w:sz w:val="20"/>
          <w:szCs w:val="20"/>
          <w:color w:val="auto"/>
        </w:rPr>
      </w:pPr>
      <w:r>
        <w:rPr>
          <w:rFonts w:ascii="Arial" w:cs="Arial" w:eastAsia="Arial" w:hAnsi="Arial"/>
          <w:sz w:val="10"/>
          <w:szCs w:val="10"/>
          <w:color w:val="auto"/>
        </w:rPr>
        <w:t>2024 to 2025 of $77 million, or 14%, was driven</w:t>
      </w:r>
    </w:p>
    <w:p>
      <w:pPr>
        <w:spacing w:after="0" w:line="198" w:lineRule="auto"/>
        <w:rPr>
          <w:sz w:val="20"/>
          <w:szCs w:val="20"/>
          <w:color w:val="auto"/>
        </w:rPr>
      </w:pPr>
      <w:r>
        <w:rPr>
          <w:rFonts w:ascii="Arial" w:cs="Arial" w:eastAsia="Arial" w:hAnsi="Arial"/>
          <w:sz w:val="10"/>
          <w:szCs w:val="10"/>
          <w:color w:val="auto"/>
        </w:rPr>
        <w:t>primarily by the expansion of Genmab’s global</w:t>
      </w:r>
    </w:p>
    <w:p>
      <w:pPr>
        <w:spacing w:after="0" w:line="199" w:lineRule="auto"/>
        <w:rPr>
          <w:sz w:val="20"/>
          <w:szCs w:val="20"/>
          <w:color w:val="auto"/>
        </w:rPr>
      </w:pPr>
      <w:r>
        <w:rPr>
          <w:rFonts w:ascii="Arial" w:cs="Arial" w:eastAsia="Arial" w:hAnsi="Arial"/>
          <w:sz w:val="10"/>
          <w:szCs w:val="10"/>
          <w:color w:val="auto"/>
        </w:rPr>
        <w:t>commercialization capabilities, primarily associated</w:t>
      </w:r>
    </w:p>
    <w:p>
      <w:pPr>
        <w:spacing w:after="0" w:line="198" w:lineRule="auto"/>
        <w:rPr>
          <w:sz w:val="20"/>
          <w:szCs w:val="20"/>
          <w:color w:val="auto"/>
        </w:rPr>
      </w:pPr>
      <w:r>
        <w:rPr>
          <w:rFonts w:ascii="Arial" w:cs="Arial" w:eastAsia="Arial" w:hAnsi="Arial"/>
          <w:sz w:val="10"/>
          <w:szCs w:val="10"/>
          <w:color w:val="auto"/>
        </w:rPr>
        <w:t>with the expansion of epcoritamab and investment</w:t>
      </w:r>
    </w:p>
    <w:p>
      <w:pPr>
        <w:spacing w:after="0" w:line="199" w:lineRule="auto"/>
        <w:rPr>
          <w:sz w:val="20"/>
          <w:szCs w:val="20"/>
          <w:color w:val="auto"/>
        </w:rPr>
      </w:pPr>
      <w:r>
        <w:rPr>
          <w:rFonts w:ascii="Arial" w:cs="Arial" w:eastAsia="Arial" w:hAnsi="Arial"/>
          <w:sz w:val="10"/>
          <w:szCs w:val="10"/>
          <w:color w:val="auto"/>
        </w:rPr>
        <w:t>in commercialization related activities for Rina-S to</w:t>
      </w:r>
    </w:p>
    <w:p>
      <w:pPr>
        <w:spacing w:after="0" w:line="199" w:lineRule="auto"/>
        <w:rPr>
          <w:sz w:val="20"/>
          <w:szCs w:val="20"/>
          <w:color w:val="auto"/>
        </w:rPr>
      </w:pPr>
      <w:r>
        <w:rPr>
          <w:rFonts w:ascii="Arial" w:cs="Arial" w:eastAsia="Arial" w:hAnsi="Arial"/>
          <w:sz w:val="10"/>
          <w:szCs w:val="10"/>
          <w:color w:val="auto"/>
        </w:rPr>
        <w:t>prepare for its projected launch. The increase from</w:t>
      </w:r>
    </w:p>
    <w:p>
      <w:pPr>
        <w:spacing w:after="0" w:line="198" w:lineRule="auto"/>
        <w:rPr>
          <w:sz w:val="20"/>
          <w:szCs w:val="20"/>
          <w:color w:val="auto"/>
        </w:rPr>
      </w:pPr>
      <w:r>
        <w:rPr>
          <w:rFonts w:ascii="Arial" w:cs="Arial" w:eastAsia="Arial" w:hAnsi="Arial"/>
          <w:sz w:val="10"/>
          <w:szCs w:val="10"/>
          <w:color w:val="auto"/>
        </w:rPr>
        <w:t>2023 to 2024 of $71 million, or 15%, was driven by</w:t>
      </w:r>
    </w:p>
    <w:p>
      <w:pPr>
        <w:spacing w:after="0" w:line="199" w:lineRule="auto"/>
        <w:rPr>
          <w:sz w:val="20"/>
          <w:szCs w:val="20"/>
          <w:color w:val="auto"/>
        </w:rPr>
      </w:pPr>
      <w:r>
        <w:rPr>
          <w:rFonts w:ascii="Arial" w:cs="Arial" w:eastAsia="Arial" w:hAnsi="Arial"/>
          <w:sz w:val="10"/>
          <w:szCs w:val="10"/>
          <w:color w:val="auto"/>
        </w:rPr>
        <w:t>the continued expansion of Genmab’s</w:t>
      </w:r>
    </w:p>
    <w:p>
      <w:pPr>
        <w:spacing w:after="0" w:line="199" w:lineRule="auto"/>
        <w:rPr>
          <w:sz w:val="20"/>
          <w:szCs w:val="20"/>
          <w:color w:val="auto"/>
        </w:rPr>
      </w:pPr>
      <w:r>
        <w:rPr>
          <w:rFonts w:ascii="Arial" w:cs="Arial" w:eastAsia="Arial" w:hAnsi="Arial"/>
          <w:sz w:val="10"/>
          <w:szCs w:val="10"/>
          <w:color w:val="auto"/>
        </w:rPr>
        <w:t>commercialization capabilities through the increase</w:t>
      </w:r>
    </w:p>
    <w:p>
      <w:pPr>
        <w:spacing w:after="0" w:line="198" w:lineRule="auto"/>
        <w:rPr>
          <w:sz w:val="20"/>
          <w:szCs w:val="20"/>
          <w:color w:val="auto"/>
        </w:rPr>
      </w:pPr>
      <w:r>
        <w:rPr>
          <w:rFonts w:ascii="Arial" w:cs="Arial" w:eastAsia="Arial" w:hAnsi="Arial"/>
          <w:sz w:val="10"/>
          <w:szCs w:val="10"/>
          <w:color w:val="auto"/>
        </w:rPr>
        <w:t>in team members to support the continued launch</w:t>
      </w:r>
    </w:p>
    <w:p>
      <w:pPr>
        <w:spacing w:after="0" w:line="199" w:lineRule="auto"/>
        <w:rPr>
          <w:sz w:val="20"/>
          <w:szCs w:val="20"/>
          <w:color w:val="auto"/>
        </w:rPr>
      </w:pPr>
      <w:r>
        <w:rPr>
          <w:rFonts w:ascii="Arial" w:cs="Arial" w:eastAsia="Arial" w:hAnsi="Arial"/>
          <w:sz w:val="10"/>
          <w:szCs w:val="10"/>
          <w:color w:val="auto"/>
        </w:rPr>
        <w:t>of EPKINLY in the US and Japan in 2023, and the</w:t>
      </w:r>
    </w:p>
    <w:p>
      <w:pPr>
        <w:spacing w:after="0" w:line="199" w:lineRule="auto"/>
        <w:rPr>
          <w:sz w:val="20"/>
          <w:szCs w:val="20"/>
          <w:color w:val="auto"/>
        </w:rPr>
      </w:pPr>
      <w:r>
        <w:rPr>
          <w:rFonts w:ascii="Arial" w:cs="Arial" w:eastAsia="Arial" w:hAnsi="Arial"/>
          <w:sz w:val="10"/>
          <w:szCs w:val="10"/>
          <w:color w:val="auto"/>
        </w:rPr>
        <w:t>investment in Genmab’s broader organizational</w:t>
      </w:r>
    </w:p>
    <w:p>
      <w:pPr>
        <w:spacing w:after="0" w:line="198" w:lineRule="auto"/>
        <w:rPr>
          <w:sz w:val="20"/>
          <w:szCs w:val="20"/>
          <w:color w:val="auto"/>
        </w:rPr>
      </w:pPr>
      <w:r>
        <w:rPr>
          <w:rFonts w:ascii="Arial" w:cs="Arial" w:eastAsia="Arial" w:hAnsi="Arial"/>
          <w:sz w:val="10"/>
          <w:szCs w:val="10"/>
          <w:color w:val="auto"/>
        </w:rPr>
        <w:t>capabilities.</w:t>
      </w:r>
    </w:p>
    <w:p>
      <w:pPr>
        <w:spacing w:after="0" w:line="199" w:lineRule="auto"/>
        <w:rPr>
          <w:sz w:val="20"/>
          <w:szCs w:val="20"/>
          <w:color w:val="auto"/>
        </w:rPr>
      </w:pPr>
      <w:r>
        <w:rPr>
          <w:rFonts w:ascii="Arial" w:cs="Arial" w:eastAsia="Arial" w:hAnsi="Arial"/>
          <w:sz w:val="10"/>
          <w:szCs w:val="10"/>
          <w:color w:val="auto"/>
        </w:rPr>
        <w:t>$323 million, or 52% of selling, general and</w:t>
      </w:r>
    </w:p>
    <w:p>
      <w:pPr>
        <w:spacing w:after="0" w:line="198" w:lineRule="auto"/>
        <w:rPr>
          <w:sz w:val="20"/>
          <w:szCs w:val="20"/>
          <w:color w:val="auto"/>
        </w:rPr>
      </w:pPr>
      <w:r>
        <w:rPr>
          <w:rFonts w:ascii="Arial" w:cs="Arial" w:eastAsia="Arial" w:hAnsi="Arial"/>
          <w:sz w:val="10"/>
          <w:szCs w:val="10"/>
          <w:color w:val="auto"/>
        </w:rPr>
        <w:t>administrative expenses in 2025, was related</w:t>
      </w:r>
    </w:p>
    <w:p>
      <w:pPr>
        <w:spacing w:after="0"/>
        <w:rPr>
          <w:sz w:val="20"/>
          <w:szCs w:val="20"/>
          <w:color w:val="auto"/>
        </w:rPr>
      </w:pPr>
      <w:r>
        <w:rPr>
          <w:rFonts w:ascii="Arial" w:cs="Arial" w:eastAsia="Arial" w:hAnsi="Arial"/>
          <w:sz w:val="10"/>
          <w:szCs w:val="10"/>
          <w:color w:val="auto"/>
        </w:rPr>
        <w:t>to compensation of Genmab team members</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42</w:t>
      </w:r>
    </w:p>
    <w:p>
      <w:pPr>
        <w:sectPr>
          <w:pgSz w:w="11900" w:h="16840" w:orient="portrait"/>
          <w:cols w:equalWidth="0" w:num="2">
            <w:col w:w="7400" w:space="720"/>
            <w:col w:w="1700"/>
          </w:cols>
          <w:pgMar w:left="640" w:top="571" w:right="1440" w:bottom="476" w:gutter="0" w:footer="0" w:header="0"/>
        </w:sectPr>
      </w:pPr>
    </w:p>
    <w:bookmarkStart w:id="102" w:name="page103"/>
    <w:bookmarkEnd w:id="102"/>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009D94"/>
        </w:rPr>
        <w:t>Financial Review – Group</w:t>
      </w:r>
    </w:p>
    <w:p>
      <w:pPr>
        <w:spacing w:after="0" w:line="209" w:lineRule="auto"/>
        <w:rPr>
          <w:sz w:val="20"/>
          <w:szCs w:val="20"/>
          <w:color w:val="auto"/>
        </w:rPr>
      </w:pPr>
      <w:r>
        <w:rPr>
          <w:rFonts w:ascii="Arial" w:cs="Arial" w:eastAsia="Arial" w:hAnsi="Arial"/>
          <w:sz w:val="13"/>
          <w:szCs w:val="13"/>
          <w:b w:val="1"/>
          <w:bCs w:val="1"/>
          <w:color w:val="009D94"/>
        </w:rPr>
        <w:t>Interest Income</w:t>
      </w:r>
    </w:p>
    <w:p>
      <w:pPr>
        <w:ind w:right="220"/>
        <w:spacing w:after="0" w:line="209" w:lineRule="auto"/>
        <w:rPr>
          <w:sz w:val="20"/>
          <w:szCs w:val="20"/>
          <w:color w:val="auto"/>
        </w:rPr>
      </w:pPr>
      <w:r>
        <w:rPr>
          <w:rFonts w:ascii="Arial" w:cs="Arial" w:eastAsia="Arial" w:hAnsi="Arial"/>
          <w:sz w:val="10"/>
          <w:szCs w:val="10"/>
          <w:color w:val="auto"/>
        </w:rPr>
        <w:t>Interest income was $138 million in 2025 compared to $144 million in 2024 and $142 million in 2023. The decrease of $6 million, or 4% from 2024 to 2025, was primarily driven by the lower average cash and cash equivalents and marketable securities as a result of the ProfoundBio acquisition in the second quarter of 2024, as well as lower interest rates of USD denominated marketable securities in 2025 compared to 2024. Additionally, Genmab liquidated its entire marketable security portfolio in December 2025 to contribute to the financing of the Merus acquisition. The increase of $2 million, or 1% from 2023 to 2024 was primarily driven by the higher cash and cash equivalents and marketable securities in the first half of 2024 compared to 2023, almost entirely offset by lower cash and cash equivalents and marketable securities in the second half of 2024 compared to 2023 as a result of liquidating marketable securities and using cash to purchase ProfoundBio.</w:t>
      </w:r>
    </w:p>
    <w:p>
      <w:pPr>
        <w:spacing w:after="0" w:line="215" w:lineRule="auto"/>
        <w:rPr>
          <w:sz w:val="20"/>
          <w:szCs w:val="20"/>
          <w:color w:val="auto"/>
        </w:rPr>
      </w:pPr>
      <w:r>
        <w:rPr>
          <w:rFonts w:ascii="Arial" w:cs="Arial" w:eastAsia="Arial" w:hAnsi="Arial"/>
          <w:sz w:val="13"/>
          <w:szCs w:val="13"/>
          <w:b w:val="1"/>
          <w:bCs w:val="1"/>
          <w:color w:val="009D94"/>
        </w:rPr>
        <w:t>Interest Expense on Borrowings</w:t>
      </w:r>
    </w:p>
    <w:p>
      <w:pPr>
        <w:ind w:right="300"/>
        <w:spacing w:after="0" w:line="198" w:lineRule="auto"/>
        <w:rPr>
          <w:sz w:val="20"/>
          <w:szCs w:val="20"/>
          <w:color w:val="auto"/>
        </w:rPr>
      </w:pPr>
      <w:r>
        <w:rPr>
          <w:rFonts w:ascii="Arial" w:cs="Arial" w:eastAsia="Arial" w:hAnsi="Arial"/>
          <w:sz w:val="10"/>
          <w:szCs w:val="10"/>
          <w:color w:val="auto"/>
        </w:rPr>
        <w:t>The increase of $27 million, or 100% from 2024 to 2025, was primarily driven by interest expense associated with debt issued in December 2025 in connection with financing the Merus acquisition. There was no interest expense on borrowings in 2024 and 2023.</w:t>
      </w:r>
    </w:p>
    <w:p>
      <w:pPr>
        <w:spacing w:after="0" w:line="2" w:lineRule="exact"/>
        <w:rPr>
          <w:sz w:val="20"/>
          <w:szCs w:val="20"/>
          <w:color w:val="auto"/>
        </w:rPr>
      </w:pPr>
    </w:p>
    <w:p>
      <w:pPr>
        <w:ind w:right="540"/>
        <w:spacing w:after="0" w:line="201" w:lineRule="auto"/>
        <w:rPr>
          <w:sz w:val="20"/>
          <w:szCs w:val="20"/>
          <w:color w:val="auto"/>
        </w:rPr>
      </w:pPr>
      <w:r>
        <w:rPr>
          <w:rFonts w:ascii="Arial" w:cs="Arial" w:eastAsia="Arial" w:hAnsi="Arial"/>
          <w:sz w:val="10"/>
          <w:szCs w:val="10"/>
          <w:color w:val="009D94"/>
        </w:rPr>
        <w:t xml:space="preserve">Refer to </w:t>
      </w:r>
      <w:r>
        <w:rPr>
          <w:rFonts w:ascii="Arial" w:cs="Arial" w:eastAsia="Arial" w:hAnsi="Arial"/>
          <w:sz w:val="10"/>
          <w:szCs w:val="10"/>
          <w:b w:val="1"/>
          <w:bCs w:val="1"/>
          <w:color w:val="009D94"/>
        </w:rPr>
        <w:t>Note 4.8</w:t>
      </w:r>
      <w:r>
        <w:rPr>
          <w:rFonts w:ascii="Arial" w:cs="Arial" w:eastAsia="Arial" w:hAnsi="Arial"/>
          <w:sz w:val="10"/>
          <w:szCs w:val="10"/>
          <w:color w:val="009D94"/>
        </w:rPr>
        <w:t xml:space="preserve"> for further details regarding Genmab borrowings.</w:t>
      </w:r>
    </w:p>
    <w:p>
      <w:pPr>
        <w:ind w:right="720"/>
        <w:spacing w:after="0" w:line="211" w:lineRule="auto"/>
        <w:rPr>
          <w:sz w:val="20"/>
          <w:szCs w:val="20"/>
          <w:color w:val="auto"/>
        </w:rPr>
      </w:pPr>
      <w:r>
        <w:rPr>
          <w:rFonts w:ascii="Arial" w:cs="Arial" w:eastAsia="Arial" w:hAnsi="Arial"/>
          <w:sz w:val="13"/>
          <w:szCs w:val="13"/>
          <w:b w:val="1"/>
          <w:bCs w:val="1"/>
          <w:color w:val="009D94"/>
        </w:rPr>
        <w:t>Foreign Exchange Rate Gains and Losses</w:t>
      </w:r>
    </w:p>
    <w:p>
      <w:pPr>
        <w:spacing w:after="0" w:line="1" w:lineRule="exact"/>
        <w:rPr>
          <w:sz w:val="20"/>
          <w:szCs w:val="20"/>
          <w:color w:val="auto"/>
        </w:rPr>
      </w:pPr>
    </w:p>
    <w:p>
      <w:pPr>
        <w:ind w:right="300"/>
        <w:spacing w:after="0" w:line="198" w:lineRule="auto"/>
        <w:rPr>
          <w:sz w:val="20"/>
          <w:szCs w:val="20"/>
          <w:color w:val="auto"/>
        </w:rPr>
      </w:pPr>
      <w:r>
        <w:rPr>
          <w:rFonts w:ascii="Arial" w:cs="Arial" w:eastAsia="Arial" w:hAnsi="Arial"/>
          <w:sz w:val="10"/>
          <w:szCs w:val="10"/>
          <w:color w:val="auto"/>
        </w:rPr>
        <w:t>Foreign exchange rate loss, net, which excludes foreign exchange rate movements on marketable securities, was $3 million in 2025 compared to the foreign exchange rate gain, net of $92 million in 2024 and foreign exchange rate loss, net of</w:t>
      </w:r>
    </w:p>
    <w:p>
      <w:pPr>
        <w:spacing w:after="0" w:line="2" w:lineRule="exact"/>
        <w:rPr>
          <w:sz w:val="20"/>
          <w:szCs w:val="20"/>
          <w:color w:val="auto"/>
        </w:rPr>
      </w:pPr>
    </w:p>
    <w:p>
      <w:pPr>
        <w:ind w:right="220"/>
        <w:spacing w:after="0" w:line="221" w:lineRule="auto"/>
        <w:rPr>
          <w:sz w:val="20"/>
          <w:szCs w:val="20"/>
          <w:color w:val="auto"/>
        </w:rPr>
      </w:pPr>
      <w:r>
        <w:rPr>
          <w:rFonts w:ascii="Arial" w:cs="Arial" w:eastAsia="Arial" w:hAnsi="Arial"/>
          <w:sz w:val="10"/>
          <w:szCs w:val="10"/>
          <w:color w:val="auto"/>
        </w:rPr>
        <w:t>$66 million in 2023. The change from 2024 to 2025 is primarily driven by a lower exchange rate impact due to the change in functional currency of Genmab A/S from DKK to USD on January 1, 2025. The change from 2023 to 2024 was primarily driven by foreign exchange rate movements impacting Genmab’s USD denominated assets (excluding marketable securities) and liabilities, noting Genmab A/S functional currency was DKK during 2023 and 2024.</w:t>
      </w:r>
    </w:p>
    <w:p>
      <w:pPr>
        <w:spacing w:after="0" w:line="1" w:lineRule="exact"/>
        <w:rPr>
          <w:sz w:val="20"/>
          <w:szCs w:val="20"/>
          <w:color w:val="auto"/>
        </w:rPr>
      </w:pPr>
    </w:p>
    <w:p>
      <w:pPr>
        <w:ind w:right="840"/>
        <w:spacing w:after="0" w:line="211" w:lineRule="auto"/>
        <w:rPr>
          <w:sz w:val="20"/>
          <w:szCs w:val="20"/>
          <w:color w:val="auto"/>
        </w:rPr>
      </w:pPr>
      <w:r>
        <w:rPr>
          <w:rFonts w:ascii="Arial" w:cs="Arial" w:eastAsia="Arial" w:hAnsi="Arial"/>
          <w:sz w:val="13"/>
          <w:szCs w:val="13"/>
          <w:b w:val="1"/>
          <w:bCs w:val="1"/>
          <w:color w:val="009D94"/>
        </w:rPr>
        <w:t>Marketable Securities Gains and Losses</w:t>
      </w:r>
    </w:p>
    <w:p>
      <w:pPr>
        <w:spacing w:after="0" w:line="1" w:lineRule="exact"/>
        <w:rPr>
          <w:sz w:val="20"/>
          <w:szCs w:val="20"/>
          <w:color w:val="auto"/>
        </w:rPr>
      </w:pPr>
    </w:p>
    <w:p>
      <w:pPr>
        <w:ind w:right="280"/>
        <w:spacing w:after="0" w:line="198" w:lineRule="auto"/>
        <w:rPr>
          <w:sz w:val="20"/>
          <w:szCs w:val="20"/>
          <w:color w:val="auto"/>
        </w:rPr>
      </w:pPr>
      <w:r>
        <w:rPr>
          <w:rFonts w:ascii="Arial" w:cs="Arial" w:eastAsia="Arial" w:hAnsi="Arial"/>
          <w:sz w:val="10"/>
          <w:szCs w:val="10"/>
          <w:color w:val="auto"/>
        </w:rPr>
        <w:t>Gain on marketable securities, net, which includes the impact of foreign exchange rate movements, was $66 million in 2025 compared to gain on marketable securities, net of $130 million in</w:t>
      </w:r>
    </w:p>
    <w:p>
      <w:pPr>
        <w:spacing w:after="0" w:line="1" w:lineRule="exact"/>
        <w:rPr>
          <w:sz w:val="20"/>
          <w:szCs w:val="20"/>
          <w:color w:val="auto"/>
        </w:rPr>
      </w:pPr>
    </w:p>
    <w:p>
      <w:pPr>
        <w:ind w:right="240"/>
        <w:spacing w:after="0" w:line="202" w:lineRule="auto"/>
        <w:rPr>
          <w:sz w:val="20"/>
          <w:szCs w:val="20"/>
          <w:color w:val="auto"/>
        </w:rPr>
      </w:pPr>
      <w:r>
        <w:rPr>
          <w:rFonts w:ascii="Arial" w:cs="Arial" w:eastAsia="Arial" w:hAnsi="Arial"/>
          <w:sz w:val="10"/>
          <w:szCs w:val="10"/>
          <w:color w:val="auto"/>
        </w:rPr>
        <w:t>2024 and loss on marketable securities, net of $17 million in 2023. The decrease in gain, net of $64 million, or 49% from 2024 to 2025 was primarily driven by the change in the functional currency of Genmab A/S effective January 1, 2025. As the majority of Genmab’s investment portfolio is denominated in U.S. dollars, these securities benefited from the strengthening of the USD against the DKK in 2024. In 2025, Genmab’s DKK and EUR denominated currencies strengthened against the USD, but to a lesser extent than the USD strengthening against the DKK in 2024. Additionally, Genmab liquidated its marketable security portfolio in December 2025 to contribute to financing of the Merus acquisition. The increase in gain, net of $147 million, or 865% from 2023</w:t>
      </w:r>
    </w:p>
    <w:p>
      <w:pPr>
        <w:spacing w:after="0" w:line="70" w:lineRule="exact"/>
        <w:rPr>
          <w:sz w:val="20"/>
          <w:szCs w:val="20"/>
          <w:color w:val="auto"/>
        </w:rPr>
      </w:pPr>
    </w:p>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009D94"/>
        </w:rPr>
        <w:t>Financial Review – Group</w:t>
      </w:r>
    </w:p>
    <w:p>
      <w:pPr>
        <w:spacing w:after="0" w:line="209" w:lineRule="auto"/>
        <w:rPr>
          <w:rFonts w:ascii="Arial" w:cs="Arial" w:eastAsia="Arial" w:hAnsi="Arial"/>
          <w:sz w:val="13"/>
          <w:szCs w:val="13"/>
          <w:b w:val="1"/>
          <w:bCs w:val="1"/>
          <w:color w:val="009D94"/>
        </w:rPr>
      </w:pPr>
      <w:r>
        <w:rPr>
          <w:rFonts w:ascii="Arial" w:cs="Arial" w:eastAsia="Arial" w:hAnsi="Arial"/>
          <w:sz w:val="13"/>
          <w:szCs w:val="13"/>
          <w:b w:val="1"/>
          <w:bCs w:val="1"/>
          <w:color w:val="009D94"/>
        </w:rPr>
        <w:t xml:space="preserve">Cash and </w:t>
      </w:r>
      <w:hyperlink w:anchor="page147">
        <w:r>
          <w:rPr>
            <w:rFonts w:ascii="Arial" w:cs="Arial" w:eastAsia="Arial" w:hAnsi="Arial"/>
            <w:sz w:val="13"/>
            <w:szCs w:val="13"/>
            <w:b w:val="1"/>
            <w:bCs w:val="1"/>
            <w:color w:val="009D94"/>
          </w:rPr>
          <w:t>Cash Equivalents</w:t>
        </w:r>
      </w:hyperlink>
    </w:p>
    <w:p>
      <w:pPr>
        <w:ind w:right="200"/>
        <w:spacing w:after="0" w:line="198" w:lineRule="auto"/>
        <w:rPr>
          <w:rFonts w:ascii="Arial" w:cs="Arial" w:eastAsia="Arial" w:hAnsi="Arial"/>
          <w:sz w:val="10"/>
          <w:szCs w:val="10"/>
          <w:color w:val="auto"/>
        </w:rPr>
      </w:pPr>
      <w:hyperlink w:anchor="page149">
        <w:r>
          <w:rPr>
            <w:rFonts w:ascii="Arial" w:cs="Arial" w:eastAsia="Arial" w:hAnsi="Arial"/>
            <w:sz w:val="10"/>
            <w:szCs w:val="10"/>
            <w:color w:val="auto"/>
          </w:rPr>
          <w:t xml:space="preserve">As of </w:t>
        </w:r>
      </w:hyperlink>
      <w:r>
        <w:rPr>
          <w:rFonts w:ascii="Arial" w:cs="Arial" w:eastAsia="Arial" w:hAnsi="Arial"/>
          <w:sz w:val="10"/>
          <w:szCs w:val="10"/>
          <w:color w:val="auto"/>
        </w:rPr>
        <w:t>December 31, 2025, $1,715 million, as compared to $1,380 million as of December 31, 2024, was held as cash and cash equivalents Cash and cash equivalents did not include any short- term marketable securities at the end of December 2025, compared to $11 million at the end of December 2024. In accordance with Genmab’s accounting policy, securities purchased with a maturity of less than 90 days at the date</w:t>
      </w:r>
    </w:p>
    <w:p>
      <w:pPr>
        <w:spacing w:after="0" w:line="3" w:lineRule="exact"/>
        <w:rPr>
          <w:sz w:val="20"/>
          <w:szCs w:val="20"/>
          <w:color w:val="auto"/>
        </w:rPr>
      </w:pPr>
    </w:p>
    <w:p>
      <w:pPr>
        <w:ind w:right="780"/>
        <w:spacing w:after="0" w:line="198" w:lineRule="auto"/>
        <w:rPr>
          <w:sz w:val="20"/>
          <w:szCs w:val="20"/>
          <w:color w:val="auto"/>
        </w:rPr>
      </w:pPr>
      <w:r>
        <w:rPr>
          <w:rFonts w:ascii="Arial" w:cs="Arial" w:eastAsia="Arial" w:hAnsi="Arial"/>
          <w:sz w:val="10"/>
          <w:szCs w:val="10"/>
          <w:color w:val="auto"/>
        </w:rPr>
        <w:t>of acquisition are classified as cash and cash equivalents.</w:t>
      </w:r>
    </w:p>
    <w:p>
      <w:pPr>
        <w:spacing w:after="0" w:line="1" w:lineRule="exact"/>
        <w:rPr>
          <w:sz w:val="20"/>
          <w:szCs w:val="20"/>
          <w:color w:val="auto"/>
        </w:rPr>
      </w:pPr>
    </w:p>
    <w:p>
      <w:pPr>
        <w:ind w:right="260"/>
        <w:spacing w:after="0" w:line="198" w:lineRule="auto"/>
        <w:rPr>
          <w:sz w:val="20"/>
          <w:szCs w:val="20"/>
          <w:color w:val="auto"/>
        </w:rPr>
      </w:pPr>
      <w:r>
        <w:rPr>
          <w:rFonts w:ascii="Arial" w:cs="Arial" w:eastAsia="Arial" w:hAnsi="Arial"/>
          <w:sz w:val="10"/>
          <w:szCs w:val="10"/>
          <w:color w:val="auto"/>
        </w:rPr>
        <w:t>Genmab requires cash to meet our operating expenses and capital expenditures. We have primarily funded our cash requirements since inception, including through December 31, 2025, primarily with royalty and milestone payments from our partners, upfront payments, and equity financing. Genmab expects to continue to fund</w:t>
      </w:r>
    </w:p>
    <w:p>
      <w:pPr>
        <w:spacing w:after="0" w:line="2" w:lineRule="exact"/>
        <w:rPr>
          <w:sz w:val="20"/>
          <w:szCs w:val="20"/>
          <w:color w:val="auto"/>
        </w:rPr>
      </w:pPr>
    </w:p>
    <w:p>
      <w:pPr>
        <w:ind w:right="220"/>
        <w:spacing w:after="0" w:line="199" w:lineRule="auto"/>
        <w:rPr>
          <w:rFonts w:ascii="Arial" w:cs="Arial" w:eastAsia="Arial" w:hAnsi="Arial"/>
          <w:sz w:val="10"/>
          <w:szCs w:val="10"/>
          <w:color w:val="auto"/>
        </w:rPr>
      </w:pPr>
      <w:r>
        <w:rPr>
          <w:rFonts w:ascii="Arial" w:cs="Arial" w:eastAsia="Arial" w:hAnsi="Arial"/>
          <w:sz w:val="10"/>
          <w:szCs w:val="10"/>
          <w:color w:val="auto"/>
        </w:rPr>
        <w:t xml:space="preserve">a significant portion </w:t>
      </w:r>
      <w:hyperlink w:anchor="page141">
        <w:r>
          <w:rPr>
            <w:rFonts w:ascii="Arial" w:cs="Arial" w:eastAsia="Arial" w:hAnsi="Arial"/>
            <w:sz w:val="10"/>
            <w:szCs w:val="10"/>
            <w:color w:val="auto"/>
          </w:rPr>
          <w:t>of our development costs</w:t>
        </w:r>
      </w:hyperlink>
      <w:r>
        <w:rPr>
          <w:rFonts w:ascii="Arial" w:cs="Arial" w:eastAsia="Arial" w:hAnsi="Arial"/>
          <w:sz w:val="10"/>
          <w:szCs w:val="10"/>
          <w:color w:val="auto"/>
        </w:rPr>
        <w:t xml:space="preserve"> </w:t>
      </w:r>
      <w:hyperlink w:anchor="page141">
        <w:r>
          <w:rPr>
            <w:rFonts w:ascii="Arial" w:cs="Arial" w:eastAsia="Arial" w:hAnsi="Arial"/>
            <w:sz w:val="10"/>
            <w:szCs w:val="10"/>
            <w:color w:val="auto"/>
          </w:rPr>
          <w:t xml:space="preserve">for proprietary product candidates as </w:t>
        </w:r>
      </w:hyperlink>
      <w:r>
        <w:rPr>
          <w:rFonts w:ascii="Arial" w:cs="Arial" w:eastAsia="Arial" w:hAnsi="Arial"/>
          <w:sz w:val="10"/>
          <w:szCs w:val="10"/>
          <w:color w:val="auto"/>
        </w:rPr>
        <w:t xml:space="preserve">well as </w:t>
      </w:r>
      <w:hyperlink w:anchor="page141">
        <w:r>
          <w:rPr>
            <w:rFonts w:ascii="Arial" w:cs="Arial" w:eastAsia="Arial" w:hAnsi="Arial"/>
            <w:sz w:val="10"/>
            <w:szCs w:val="10"/>
            <w:color w:val="auto"/>
          </w:rPr>
          <w:t xml:space="preserve">commercialization activities with cash </w:t>
        </w:r>
      </w:hyperlink>
      <w:r>
        <w:rPr>
          <w:rFonts w:ascii="Arial" w:cs="Arial" w:eastAsia="Arial" w:hAnsi="Arial"/>
          <w:sz w:val="10"/>
          <w:szCs w:val="10"/>
          <w:color w:val="auto"/>
        </w:rPr>
        <w:t xml:space="preserve">received from </w:t>
      </w:r>
      <w:hyperlink w:anchor="page141">
        <w:r>
          <w:rPr>
            <w:rFonts w:ascii="Arial" w:cs="Arial" w:eastAsia="Arial" w:hAnsi="Arial"/>
            <w:sz w:val="10"/>
            <w:szCs w:val="10"/>
            <w:color w:val="auto"/>
          </w:rPr>
          <w:t xml:space="preserve">royalties and </w:t>
        </w:r>
      </w:hyperlink>
      <w:r>
        <w:rPr>
          <w:rFonts w:ascii="Arial" w:cs="Arial" w:eastAsia="Arial" w:hAnsi="Arial"/>
          <w:sz w:val="10"/>
          <w:szCs w:val="10"/>
          <w:color w:val="auto"/>
        </w:rPr>
        <w:t>milestone payments from partners, and net sales of Genmab products. During December 2025, with the acquisition of Merus, we incurred borrowing of $5.5 billion to contribute to the financing of the acquisition.</w:t>
      </w:r>
    </w:p>
    <w:p>
      <w:pPr>
        <w:spacing w:after="0" w:line="211" w:lineRule="auto"/>
        <w:rPr>
          <w:sz w:val="20"/>
          <w:szCs w:val="20"/>
          <w:color w:val="auto"/>
        </w:rPr>
      </w:pPr>
      <w:r>
        <w:rPr>
          <w:rFonts w:ascii="Arial" w:cs="Arial" w:eastAsia="Arial" w:hAnsi="Arial"/>
          <w:sz w:val="13"/>
          <w:szCs w:val="13"/>
          <w:b w:val="1"/>
          <w:bCs w:val="1"/>
          <w:color w:val="009D94"/>
        </w:rPr>
        <w:t>Borrowings</w:t>
      </w:r>
    </w:p>
    <w:p>
      <w:pPr>
        <w:ind w:right="300"/>
        <w:spacing w:after="0" w:line="199" w:lineRule="auto"/>
        <w:rPr>
          <w:sz w:val="20"/>
          <w:szCs w:val="20"/>
          <w:color w:val="auto"/>
        </w:rPr>
      </w:pPr>
      <w:r>
        <w:rPr>
          <w:rFonts w:ascii="Arial" w:cs="Arial" w:eastAsia="Arial" w:hAnsi="Arial"/>
          <w:sz w:val="10"/>
          <w:szCs w:val="10"/>
          <w:color w:val="auto"/>
        </w:rPr>
        <w:t>Genmab entered into financing arrangements totaling $ 5.5 billion, consisting of senior secured notes, senior unsecured notes, and term loans, as well as a revolving credit facility that remained undrawn.</w:t>
      </w:r>
    </w:p>
    <w:p>
      <w:pPr>
        <w:spacing w:after="0" w:line="197" w:lineRule="auto"/>
        <w:rPr>
          <w:sz w:val="20"/>
          <w:szCs w:val="20"/>
          <w:color w:val="auto"/>
        </w:rPr>
      </w:pPr>
      <w:r>
        <w:rPr>
          <w:rFonts w:ascii="Arial" w:cs="Arial" w:eastAsia="Arial" w:hAnsi="Arial"/>
          <w:sz w:val="12"/>
          <w:szCs w:val="12"/>
          <w:b w:val="1"/>
          <w:bCs w:val="1"/>
          <w:color w:val="auto"/>
        </w:rPr>
        <w:t>Term Loans</w:t>
      </w:r>
    </w:p>
    <w:p>
      <w:pPr>
        <w:ind w:right="220"/>
        <w:spacing w:after="0" w:line="198" w:lineRule="auto"/>
        <w:rPr>
          <w:sz w:val="20"/>
          <w:szCs w:val="20"/>
          <w:color w:val="auto"/>
        </w:rPr>
      </w:pPr>
      <w:r>
        <w:rPr>
          <w:rFonts w:ascii="Arial" w:cs="Arial" w:eastAsia="Arial" w:hAnsi="Arial"/>
          <w:sz w:val="10"/>
          <w:szCs w:val="10"/>
          <w:color w:val="auto"/>
        </w:rPr>
        <w:t>In December 2025, Genmab entered into two senior secured term loans, Term Loan A and Term Loan B, with nominal amounts of $1 billion and $2 billion, respectively (collectively, the “Loans”). The Loans were obtained to contribute to the financing of the acquisition of Merus and contain certain customary financial covenants. The Loans are secured by a first-priority lien on substantially all assets of Genmab Finance LLC, Genmab A/S, and certain other guarantor subsidiaries.</w:t>
      </w:r>
    </w:p>
    <w:p>
      <w:pPr>
        <w:spacing w:after="0" w:line="3" w:lineRule="exact"/>
        <w:rPr>
          <w:rFonts w:ascii="Arial" w:cs="Arial" w:eastAsia="Arial" w:hAnsi="Arial"/>
          <w:sz w:val="10"/>
          <w:szCs w:val="10"/>
          <w:color w:val="auto"/>
        </w:rPr>
      </w:pPr>
    </w:p>
    <w:p>
      <w:pPr>
        <w:ind w:right="240"/>
        <w:spacing w:after="0" w:line="199" w:lineRule="auto"/>
        <w:rPr>
          <w:sz w:val="20"/>
          <w:szCs w:val="20"/>
          <w:color w:val="auto"/>
        </w:rPr>
      </w:pPr>
      <w:r>
        <w:rPr>
          <w:rFonts w:ascii="Arial" w:cs="Arial" w:eastAsia="Arial" w:hAnsi="Arial"/>
          <w:sz w:val="10"/>
          <w:szCs w:val="10"/>
          <w:color w:val="auto"/>
        </w:rPr>
        <w:t>As of December 31, 2025, Genmab retains ownership and control of the pledged assets, which continue to be recognized in the Consolidated Balance Sheets and Genmab is in compliance with all applicable financial covenants. As of December 31, 2025, the carrying amount of assets, including goodwill and other intangible assets, corporate tax receivable, inventory, financial assets, and property and equipment pledged as collateral for the Loans is $11.1 billion.</w:t>
      </w:r>
    </w:p>
    <w:p>
      <w:pPr>
        <w:spacing w:after="0" w:line="195" w:lineRule="auto"/>
        <w:rPr>
          <w:sz w:val="20"/>
          <w:szCs w:val="20"/>
          <w:color w:val="auto"/>
        </w:rPr>
      </w:pPr>
      <w:r>
        <w:rPr>
          <w:rFonts w:ascii="Arial" w:cs="Arial" w:eastAsia="Arial" w:hAnsi="Arial"/>
          <w:sz w:val="12"/>
          <w:szCs w:val="12"/>
          <w:b w:val="1"/>
          <w:bCs w:val="1"/>
          <w:color w:val="auto"/>
        </w:rPr>
        <w:t>Notes</w:t>
      </w:r>
    </w:p>
    <w:p>
      <w:pPr>
        <w:ind w:right="320"/>
        <w:spacing w:after="0" w:line="199" w:lineRule="auto"/>
        <w:rPr>
          <w:sz w:val="20"/>
          <w:szCs w:val="20"/>
          <w:color w:val="auto"/>
        </w:rPr>
      </w:pPr>
      <w:r>
        <w:rPr>
          <w:rFonts w:ascii="Arial" w:cs="Arial" w:eastAsia="Arial" w:hAnsi="Arial"/>
          <w:sz w:val="10"/>
          <w:szCs w:val="10"/>
          <w:color w:val="auto"/>
        </w:rPr>
        <w:t>In December 2025, Genmab entered into Senior Secured Notes of $ 1.5 billion and Senior Unsecured Notes of $1.0 billion (together, the “Notes”). The proceeds were also used to finance the Merus acquisition. The Senior Secured Notes are backed by the same collateral package as the Loans, while the Senior Unsecured Notes are not collateralized. Genmab is subject to certain financial covenants testing on a quarter-end and annual basis beginning March 31, 2026.</w:t>
      </w:r>
    </w:p>
    <w:p>
      <w:pPr>
        <w:spacing w:after="0" w:line="195" w:lineRule="auto"/>
        <w:rPr>
          <w:sz w:val="20"/>
          <w:szCs w:val="20"/>
          <w:color w:val="auto"/>
        </w:rPr>
      </w:pPr>
      <w:r>
        <w:rPr>
          <w:rFonts w:ascii="Arial" w:cs="Arial" w:eastAsia="Arial" w:hAnsi="Arial"/>
          <w:sz w:val="12"/>
          <w:szCs w:val="12"/>
          <w:b w:val="1"/>
          <w:bCs w:val="1"/>
          <w:color w:val="auto"/>
        </w:rPr>
        <w:t>Revolving Credit Facilities</w:t>
      </w:r>
    </w:p>
    <w:p>
      <w:pPr>
        <w:ind w:right="220"/>
        <w:spacing w:after="0" w:line="215" w:lineRule="auto"/>
        <w:rPr>
          <w:sz w:val="20"/>
          <w:szCs w:val="20"/>
          <w:color w:val="auto"/>
        </w:rPr>
      </w:pPr>
      <w:r>
        <w:rPr>
          <w:rFonts w:ascii="Arial" w:cs="Arial" w:eastAsia="Arial" w:hAnsi="Arial"/>
          <w:sz w:val="10"/>
          <w:szCs w:val="10"/>
          <w:color w:val="auto"/>
        </w:rPr>
        <w:t>During the fourth quarter of 2024, Genmab entered into an unsecured three -year revolving credit facility (“2024 Revolving Credit Facility”) of up to $300 million with a syndicate of lenders. The 2024</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51" w:lineRule="exact"/>
        <w:rPr>
          <w:rFonts w:ascii="Arial" w:cs="Arial" w:eastAsia="Arial" w:hAnsi="Arial"/>
          <w:sz w:val="10"/>
          <w:szCs w:val="10"/>
          <w:color w:val="auto"/>
        </w:rPr>
      </w:pP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43</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44</w:t>
      </w:r>
    </w:p>
    <w:p>
      <w:pPr>
        <w:sectPr>
          <w:pgSz w:w="11900" w:h="16840" w:orient="portrait"/>
          <w:cols w:equalWidth="0" w:num="3">
            <w:col w:w="2620" w:space="520"/>
            <w:col w:w="4260" w:space="720"/>
            <w:col w:w="1700"/>
          </w:cols>
          <w:pgMar w:left="640" w:top="571" w:right="1440" w:bottom="483" w:gutter="0" w:footer="0" w:header="0"/>
        </w:sectPr>
      </w:pPr>
    </w:p>
    <w:bookmarkStart w:id="103" w:name="page104"/>
    <w:bookmarkEnd w:id="103"/>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1"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9D94"/>
        </w:rPr>
        <w:t>Financial Review – Group</w:t>
      </w:r>
    </w:p>
    <w:p>
      <w:pPr>
        <w:spacing w:after="0" w:line="201" w:lineRule="auto"/>
        <w:rPr>
          <w:sz w:val="20"/>
          <w:szCs w:val="20"/>
          <w:color w:val="auto"/>
        </w:rPr>
      </w:pPr>
      <w:r>
        <w:rPr>
          <w:rFonts w:ascii="Arial" w:cs="Arial" w:eastAsia="Arial" w:hAnsi="Arial"/>
          <w:sz w:val="18"/>
          <w:szCs w:val="18"/>
          <w:color w:val="009D94"/>
        </w:rPr>
        <w:t>Cash Flows</w:t>
      </w:r>
    </w:p>
    <w:p>
      <w:pPr>
        <w:spacing w:after="0" w:line="218" w:lineRule="auto"/>
        <w:rPr>
          <w:sz w:val="20"/>
          <w:szCs w:val="20"/>
          <w:color w:val="auto"/>
        </w:rPr>
      </w:pPr>
      <w:r>
        <w:rPr>
          <w:rFonts w:ascii="Arial" w:cs="Arial" w:eastAsia="Arial" w:hAnsi="Arial"/>
          <w:sz w:val="10"/>
          <w:szCs w:val="10"/>
          <w:color w:val="auto"/>
        </w:rPr>
        <w:t>The following table provides information regarding Genmab’s cash flow for 2025, 2024 and 2023.</w:t>
      </w:r>
    </w:p>
    <w:tbl>
      <w:tblPr>
        <w:tblLayout w:type="fixed"/>
        <w:tblInd w:w="0" w:type="dxa"/>
        <w:tblCellMar>
          <w:top w:w="0" w:type="dxa"/>
          <w:left w:w="0" w:type="dxa"/>
          <w:bottom w:w="0" w:type="dxa"/>
          <w:right w:w="0" w:type="dxa"/>
        </w:tblCellMar>
      </w:tblPr>
      <w:tr>
        <w:trPr>
          <w:trHeight w:val="123"/>
        </w:trPr>
        <w:tc>
          <w:tcPr>
            <w:tcW w:w="2540" w:type="dxa"/>
            <w:vAlign w:val="bottom"/>
            <w:tcBorders>
              <w:top w:val="single" w:sz="8" w:color="009D94"/>
            </w:tcBorders>
          </w:tcPr>
          <w:p>
            <w:pPr>
              <w:ind w:left="20"/>
              <w:spacing w:after="0"/>
              <w:rPr>
                <w:sz w:val="20"/>
                <w:szCs w:val="20"/>
                <w:color w:val="auto"/>
              </w:rPr>
            </w:pPr>
            <w:r>
              <w:rPr>
                <w:rFonts w:ascii="Arial" w:cs="Arial" w:eastAsia="Arial" w:hAnsi="Arial"/>
                <w:sz w:val="10"/>
                <w:szCs w:val="10"/>
                <w:color w:val="auto"/>
              </w:rPr>
              <w:t>Cash Flow ($ million)</w:t>
            </w:r>
          </w:p>
        </w:tc>
        <w:tc>
          <w:tcPr>
            <w:tcW w:w="1020" w:type="dxa"/>
            <w:vAlign w:val="bottom"/>
            <w:tcBorders>
              <w:top w:val="single" w:sz="8" w:color="009D94"/>
            </w:tcBorders>
          </w:tcPr>
          <w:p>
            <w:pPr>
              <w:jc w:val="right"/>
              <w:ind w:right="368"/>
              <w:spacing w:after="0"/>
              <w:rPr>
                <w:sz w:val="20"/>
                <w:szCs w:val="20"/>
                <w:color w:val="auto"/>
              </w:rPr>
            </w:pPr>
            <w:r>
              <w:rPr>
                <w:rFonts w:ascii="Arial" w:cs="Arial" w:eastAsia="Arial" w:hAnsi="Arial"/>
                <w:sz w:val="10"/>
                <w:szCs w:val="10"/>
                <w:b w:val="1"/>
                <w:bCs w:val="1"/>
                <w:color w:val="009D94"/>
              </w:rPr>
              <w:t>2025</w:t>
            </w:r>
          </w:p>
        </w:tc>
        <w:tc>
          <w:tcPr>
            <w:tcW w:w="660" w:type="dxa"/>
            <w:vAlign w:val="bottom"/>
            <w:tcBorders>
              <w:top w:val="single" w:sz="8" w:color="009D94"/>
            </w:tcBorders>
          </w:tcPr>
          <w:p>
            <w:pPr>
              <w:jc w:val="right"/>
              <w:ind w:right="368"/>
              <w:spacing w:after="0"/>
              <w:rPr>
                <w:sz w:val="20"/>
                <w:szCs w:val="20"/>
                <w:color w:val="auto"/>
              </w:rPr>
            </w:pPr>
            <w:r>
              <w:rPr>
                <w:rFonts w:ascii="Arial" w:cs="Arial" w:eastAsia="Arial" w:hAnsi="Arial"/>
                <w:sz w:val="10"/>
                <w:szCs w:val="10"/>
                <w:b w:val="1"/>
                <w:bCs w:val="1"/>
                <w:color w:val="auto"/>
                <w:w w:val="98"/>
              </w:rPr>
              <w:t>2024</w:t>
            </w:r>
          </w:p>
        </w:tc>
        <w:tc>
          <w:tcPr>
            <w:tcW w:w="680" w:type="dxa"/>
            <w:vAlign w:val="bottom"/>
            <w:tcBorders>
              <w:top w:val="single" w:sz="8" w:color="009D94"/>
            </w:tcBorders>
          </w:tcPr>
          <w:p>
            <w:pPr>
              <w:jc w:val="right"/>
              <w:ind w:right="388"/>
              <w:spacing w:after="0"/>
              <w:rPr>
                <w:sz w:val="20"/>
                <w:szCs w:val="20"/>
                <w:color w:val="auto"/>
              </w:rPr>
            </w:pPr>
            <w:r>
              <w:rPr>
                <w:rFonts w:ascii="Arial" w:cs="Arial" w:eastAsia="Arial" w:hAnsi="Arial"/>
                <w:sz w:val="10"/>
                <w:szCs w:val="10"/>
                <w:b w:val="1"/>
                <w:bCs w:val="1"/>
                <w:color w:val="auto"/>
                <w:w w:val="98"/>
              </w:rPr>
              <w:t>2023</w:t>
            </w:r>
          </w:p>
        </w:tc>
      </w:tr>
      <w:tr>
        <w:trPr>
          <w:trHeight w:val="137"/>
        </w:trPr>
        <w:tc>
          <w:tcPr>
            <w:tcW w:w="2540" w:type="dxa"/>
            <w:vAlign w:val="bottom"/>
          </w:tcPr>
          <w:p>
            <w:pPr>
              <w:ind w:left="20"/>
              <w:spacing w:after="0"/>
              <w:rPr>
                <w:sz w:val="20"/>
                <w:szCs w:val="20"/>
                <w:color w:val="auto"/>
              </w:rPr>
            </w:pPr>
            <w:r>
              <w:rPr>
                <w:rFonts w:ascii="Arial" w:cs="Arial" w:eastAsia="Arial" w:hAnsi="Arial"/>
                <w:sz w:val="10"/>
                <w:szCs w:val="10"/>
                <w:color w:val="auto"/>
              </w:rPr>
              <w:t>Cash provided by operating activities</w:t>
            </w:r>
          </w:p>
        </w:tc>
        <w:tc>
          <w:tcPr>
            <w:tcW w:w="1020" w:type="dxa"/>
            <w:vAlign w:val="bottom"/>
          </w:tcPr>
          <w:p>
            <w:pPr>
              <w:jc w:val="right"/>
              <w:ind w:right="8"/>
              <w:spacing w:after="0"/>
              <w:rPr>
                <w:sz w:val="20"/>
                <w:szCs w:val="20"/>
                <w:color w:val="auto"/>
              </w:rPr>
            </w:pPr>
            <w:r>
              <w:rPr>
                <w:rFonts w:ascii="Arial" w:cs="Arial" w:eastAsia="Arial" w:hAnsi="Arial"/>
                <w:sz w:val="10"/>
                <w:szCs w:val="10"/>
                <w:color w:val="009D94"/>
              </w:rPr>
              <w:t>1,186</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1,126</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1,071</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Cash (used in) investing activities</w:t>
            </w:r>
          </w:p>
        </w:tc>
        <w:tc>
          <w:tcPr>
            <w:tcW w:w="1020" w:type="dxa"/>
            <w:vAlign w:val="bottom"/>
          </w:tcPr>
          <w:p>
            <w:pPr>
              <w:jc w:val="right"/>
              <w:spacing w:after="0"/>
              <w:rPr>
                <w:sz w:val="20"/>
                <w:szCs w:val="20"/>
                <w:color w:val="auto"/>
              </w:rPr>
            </w:pPr>
            <w:r>
              <w:rPr>
                <w:rFonts w:ascii="Arial" w:cs="Arial" w:eastAsia="Arial" w:hAnsi="Arial"/>
                <w:sz w:val="10"/>
                <w:szCs w:val="10"/>
                <w:color w:val="009D94"/>
              </w:rPr>
              <w:t>(5,643)</w:t>
            </w:r>
          </w:p>
        </w:tc>
        <w:tc>
          <w:tcPr>
            <w:tcW w:w="660" w:type="dxa"/>
            <w:vAlign w:val="bottom"/>
          </w:tcPr>
          <w:p>
            <w:pPr>
              <w:jc w:val="right"/>
              <w:spacing w:after="0"/>
              <w:rPr>
                <w:sz w:val="20"/>
                <w:szCs w:val="20"/>
                <w:color w:val="auto"/>
              </w:rPr>
            </w:pPr>
            <w:r>
              <w:rPr>
                <w:rFonts w:ascii="Arial" w:cs="Arial" w:eastAsia="Arial" w:hAnsi="Arial"/>
                <w:sz w:val="10"/>
                <w:szCs w:val="10"/>
                <w:color w:val="auto"/>
              </w:rPr>
              <w:t>(1,447)</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(185)</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Cash provided by (used in) financing activities</w:t>
            </w:r>
          </w:p>
        </w:tc>
        <w:tc>
          <w:tcPr>
            <w:tcW w:w="1020" w:type="dxa"/>
            <w:vAlign w:val="bottom"/>
          </w:tcPr>
          <w:p>
            <w:pPr>
              <w:jc w:val="right"/>
              <w:ind w:right="8"/>
              <w:spacing w:after="0"/>
              <w:rPr>
                <w:sz w:val="20"/>
                <w:szCs w:val="20"/>
                <w:color w:val="auto"/>
              </w:rPr>
            </w:pPr>
            <w:r>
              <w:rPr>
                <w:rFonts w:ascii="Arial" w:cs="Arial" w:eastAsia="Arial" w:hAnsi="Arial"/>
                <w:sz w:val="10"/>
                <w:szCs w:val="10"/>
                <w:color w:val="009D94"/>
              </w:rPr>
              <w:t>4,789</w:t>
            </w:r>
          </w:p>
        </w:tc>
        <w:tc>
          <w:tcPr>
            <w:tcW w:w="660" w:type="dxa"/>
            <w:vAlign w:val="bottom"/>
          </w:tcPr>
          <w:p>
            <w:pPr>
              <w:jc w:val="right"/>
              <w:spacing w:after="0"/>
              <w:rPr>
                <w:sz w:val="20"/>
                <w:szCs w:val="20"/>
                <w:color w:val="auto"/>
              </w:rPr>
            </w:pPr>
            <w:r>
              <w:rPr>
                <w:rFonts w:ascii="Arial" w:cs="Arial" w:eastAsia="Arial" w:hAnsi="Arial"/>
                <w:sz w:val="10"/>
                <w:szCs w:val="10"/>
                <w:color w:val="auto"/>
              </w:rPr>
              <w:t>(566)</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(89)</w:t>
            </w:r>
          </w:p>
        </w:tc>
      </w:tr>
      <w:tr>
        <w:trPr>
          <w:trHeight w:val="158"/>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Changes in cash and cash equivalents</w:t>
            </w:r>
          </w:p>
        </w:tc>
        <w:tc>
          <w:tcPr>
            <w:tcW w:w="1020" w:type="dxa"/>
            <w:vAlign w:val="bottom"/>
          </w:tcPr>
          <w:p>
            <w:pPr>
              <w:jc w:val="right"/>
              <w:ind w:right="8"/>
              <w:spacing w:after="0"/>
              <w:rPr>
                <w:sz w:val="20"/>
                <w:szCs w:val="20"/>
                <w:color w:val="auto"/>
              </w:rPr>
            </w:pPr>
            <w:r>
              <w:rPr>
                <w:rFonts w:ascii="Arial" w:cs="Arial" w:eastAsia="Arial" w:hAnsi="Arial"/>
                <w:sz w:val="10"/>
                <w:szCs w:val="10"/>
                <w:b w:val="1"/>
                <w:bCs w:val="1"/>
                <w:color w:val="009D94"/>
              </w:rPr>
              <w:t>332</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(887)</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auto"/>
              </w:rPr>
              <w:t>797</w:t>
            </w:r>
          </w:p>
        </w:tc>
      </w:tr>
      <w:tr>
        <w:trPr>
          <w:trHeight w:val="146"/>
        </w:trPr>
        <w:tc>
          <w:tcPr>
            <w:tcW w:w="2540" w:type="dxa"/>
            <w:vAlign w:val="bottom"/>
          </w:tcPr>
          <w:p>
            <w:pPr>
              <w:ind w:left="20"/>
              <w:spacing w:after="0"/>
              <w:rPr>
                <w:sz w:val="20"/>
                <w:szCs w:val="20"/>
                <w:color w:val="auto"/>
              </w:rPr>
            </w:pPr>
            <w:r>
              <w:rPr>
                <w:rFonts w:ascii="Arial" w:cs="Arial" w:eastAsia="Arial" w:hAnsi="Arial"/>
                <w:sz w:val="10"/>
                <w:szCs w:val="10"/>
                <w:color w:val="auto"/>
              </w:rPr>
              <w:t>Exchange rate adjustments</w:t>
            </w:r>
          </w:p>
        </w:tc>
        <w:tc>
          <w:tcPr>
            <w:tcW w:w="1020" w:type="dxa"/>
            <w:vAlign w:val="bottom"/>
          </w:tcPr>
          <w:p>
            <w:pPr>
              <w:jc w:val="right"/>
              <w:ind w:right="8"/>
              <w:spacing w:after="0"/>
              <w:rPr>
                <w:sz w:val="20"/>
                <w:szCs w:val="20"/>
                <w:color w:val="auto"/>
              </w:rPr>
            </w:pPr>
            <w:r>
              <w:rPr>
                <w:rFonts w:ascii="Arial" w:cs="Arial" w:eastAsia="Arial" w:hAnsi="Arial"/>
                <w:sz w:val="10"/>
                <w:szCs w:val="10"/>
                <w:color w:val="009D94"/>
              </w:rPr>
              <w:t>3</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63</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(12)</w:t>
            </w:r>
          </w:p>
        </w:tc>
      </w:tr>
    </w:tbl>
    <w:p>
      <w:pPr>
        <w:spacing w:after="0" w:line="6" w:lineRule="exact"/>
        <w:rPr>
          <w:rFonts w:ascii="Arial" w:cs="Arial" w:eastAsia="Arial" w:hAnsi="Arial"/>
          <w:sz w:val="10"/>
          <w:szCs w:val="10"/>
          <w:b w:val="1"/>
          <w:bCs w:val="1"/>
          <w:color w:val="auto"/>
        </w:rPr>
      </w:pPr>
    </w:p>
    <w:p>
      <w:pPr>
        <w:ind w:right="2460"/>
        <w:spacing w:after="0" w:line="200" w:lineRule="auto"/>
        <w:rPr>
          <w:sz w:val="20"/>
          <w:szCs w:val="20"/>
          <w:color w:val="auto"/>
        </w:rPr>
      </w:pPr>
      <w:r>
        <w:rPr>
          <w:rFonts w:ascii="Arial" w:cs="Arial" w:eastAsia="Arial" w:hAnsi="Arial"/>
          <w:sz w:val="10"/>
          <w:szCs w:val="10"/>
          <w:color w:val="auto"/>
        </w:rPr>
        <w:t>Net cash provided by operating activities is primarily related to our operating profit, changes in operating assets and liabilities, reversal of net financial items, and adjustments related to non- cash transactions. Cash provided by operating activities increased in 2025 compared to 2024 primarily driven by increase in other payables of $278 million in 2025 compared to 2024 primarily related to the expansion of our product pipeline as well as accrued termination costs associated with the discontinuance of the acasunlimab program during the fourth quarter of 2025. Also contributing to the increase was a reduction of financial income, net of $215 million from 2024 to 2025 attributable to a lower exchange rate impact due to the change in functional currency of Genmab A/S from DKK to USD on January 1, 2025 and an increase in non-cash transactions of $49 million. Theses increases were partly offset by a decrease in net profit before tax of $122 million and an increase in taxes paid of $410 million in 2025 compared to 2024. Cash provided by operating activities increased in 2024 compared to 2023 primarily driven by an increase in net profit before tax of $509 million, an increase in non-cash transactions of $54 million, and a decrease in taxes paid of $105 million in 2024 compared to 2023, partly offset by significant AbbVie milestones achieved during the fourth quarter of 2022 with related cash received during 2023, and an increase in DARZALEX royalty receivables in the fourth quarter of 2024 compared to the fourth quarter in 2023.</w:t>
      </w:r>
    </w:p>
    <w:p>
      <w:pPr>
        <w:ind w:right="2540"/>
        <w:spacing w:after="0" w:line="218" w:lineRule="auto"/>
        <w:rPr>
          <w:sz w:val="20"/>
          <w:szCs w:val="20"/>
          <w:color w:val="auto"/>
        </w:rPr>
      </w:pPr>
      <w:r>
        <w:rPr>
          <w:rFonts w:ascii="Arial" w:cs="Arial" w:eastAsia="Arial" w:hAnsi="Arial"/>
          <w:sz w:val="10"/>
          <w:szCs w:val="10"/>
          <w:color w:val="auto"/>
        </w:rPr>
        <w:t>Net cash (used in) investing activities primarily reflects cash used in making acquisitions, differences between the proceeds received from the sale and maturity of our marketable securities and amounts invested, and the cash paid for investments in tangible and intangible assets. The increase from 2024 to 2025 in net cash (used in) investing activities is primarily driven by the larger acquisition of Merus in 2025 of $7.2 billion compared to the acquisition of ProfoundBio in 2024 of $1.8 billion, partly offset by the sales and maturities of marketable securities exceeding purchases in 2025 to a greater extent than compared to 2024 due to the liquidation of marketable securities during the fourth quarter of 2025 to contribute towards the financing of the Merus acquisition. The increase from 2023 to 2024 in net cash (used in) investing activities is primarily driven by the acquisition of ProfoundBio, partly offset by the sales and maturities of marketable securities exceeding purchases in 2024, compared to purchases exceeding sales and maturities in 2023.</w:t>
      </w:r>
    </w:p>
    <w:p>
      <w:pPr>
        <w:spacing w:after="0" w:line="203" w:lineRule="auto"/>
        <w:rPr>
          <w:sz w:val="20"/>
          <w:szCs w:val="20"/>
          <w:color w:val="auto"/>
        </w:rPr>
      </w:pPr>
      <w:r>
        <w:rPr>
          <w:rFonts w:ascii="Arial" w:cs="Arial" w:eastAsia="Arial" w:hAnsi="Arial"/>
          <w:sz w:val="10"/>
          <w:szCs w:val="10"/>
          <w:color w:val="auto"/>
        </w:rPr>
        <w:t>Net cash provided by (used in) financing activities</w:t>
      </w:r>
    </w:p>
    <w:p>
      <w:pPr>
        <w:spacing w:after="0" w:line="199" w:lineRule="auto"/>
        <w:rPr>
          <w:sz w:val="20"/>
          <w:szCs w:val="20"/>
          <w:color w:val="auto"/>
        </w:rPr>
      </w:pPr>
      <w:r>
        <w:rPr>
          <w:rFonts w:ascii="Arial" w:cs="Arial" w:eastAsia="Arial" w:hAnsi="Arial"/>
          <w:sz w:val="10"/>
          <w:szCs w:val="10"/>
          <w:color w:val="auto"/>
        </w:rPr>
        <w:t>is primarily related to the issuance of borrowings,</w:t>
      </w:r>
    </w:p>
    <w:p>
      <w:pPr>
        <w:spacing w:after="0" w:line="198" w:lineRule="auto"/>
        <w:rPr>
          <w:sz w:val="20"/>
          <w:szCs w:val="20"/>
          <w:color w:val="auto"/>
        </w:rPr>
      </w:pPr>
      <w:r>
        <w:rPr>
          <w:rFonts w:ascii="Arial" w:cs="Arial" w:eastAsia="Arial" w:hAnsi="Arial"/>
          <w:sz w:val="10"/>
          <w:szCs w:val="10"/>
          <w:color w:val="auto"/>
        </w:rPr>
        <w:t>purchase of treasury shares, exercise of warrants,</w:t>
      </w:r>
    </w:p>
    <w:p>
      <w:pPr>
        <w:spacing w:after="0" w:line="199" w:lineRule="auto"/>
        <w:rPr>
          <w:sz w:val="20"/>
          <w:szCs w:val="20"/>
          <w:color w:val="auto"/>
        </w:rPr>
      </w:pPr>
      <w:r>
        <w:rPr>
          <w:rFonts w:ascii="Arial" w:cs="Arial" w:eastAsia="Arial" w:hAnsi="Arial"/>
          <w:sz w:val="10"/>
          <w:szCs w:val="10"/>
          <w:color w:val="auto"/>
        </w:rPr>
        <w:t>lease payments, and payment of withholding taxes</w:t>
      </w:r>
    </w:p>
    <w:p>
      <w:pPr>
        <w:spacing w:after="0" w:line="199" w:lineRule="auto"/>
        <w:rPr>
          <w:sz w:val="20"/>
          <w:szCs w:val="20"/>
          <w:color w:val="auto"/>
        </w:rPr>
      </w:pPr>
      <w:r>
        <w:rPr>
          <w:rFonts w:ascii="Arial" w:cs="Arial" w:eastAsia="Arial" w:hAnsi="Arial"/>
          <w:sz w:val="10"/>
          <w:szCs w:val="10"/>
          <w:color w:val="auto"/>
        </w:rPr>
        <w:t>on behalf of employees on net settled Restricted</w:t>
      </w:r>
    </w:p>
    <w:p>
      <w:pPr>
        <w:spacing w:after="0" w:line="198" w:lineRule="auto"/>
        <w:rPr>
          <w:sz w:val="20"/>
          <w:szCs w:val="20"/>
          <w:color w:val="auto"/>
        </w:rPr>
      </w:pPr>
      <w:r>
        <w:rPr>
          <w:rFonts w:ascii="Arial" w:cs="Arial" w:eastAsia="Arial" w:hAnsi="Arial"/>
          <w:sz w:val="10"/>
          <w:szCs w:val="10"/>
          <w:color w:val="auto"/>
        </w:rPr>
        <w:t>Stock Units (RSUs). The increase from 2024 to</w:t>
      </w:r>
    </w:p>
    <w:p>
      <w:pPr>
        <w:spacing w:after="0" w:line="199" w:lineRule="auto"/>
        <w:rPr>
          <w:sz w:val="20"/>
          <w:szCs w:val="20"/>
          <w:color w:val="auto"/>
        </w:rPr>
      </w:pPr>
      <w:r>
        <w:rPr>
          <w:rFonts w:ascii="Arial" w:cs="Arial" w:eastAsia="Arial" w:hAnsi="Arial"/>
          <w:sz w:val="10"/>
          <w:szCs w:val="10"/>
          <w:color w:val="auto"/>
        </w:rPr>
        <w:t>2025 in net cash provided by financing activities is</w:t>
      </w:r>
    </w:p>
    <w:p>
      <w:pPr>
        <w:spacing w:after="0" w:line="199" w:lineRule="auto"/>
        <w:rPr>
          <w:sz w:val="20"/>
          <w:szCs w:val="20"/>
          <w:color w:val="auto"/>
        </w:rPr>
      </w:pPr>
      <w:r>
        <w:rPr>
          <w:rFonts w:ascii="Arial" w:cs="Arial" w:eastAsia="Arial" w:hAnsi="Arial"/>
          <w:sz w:val="10"/>
          <w:szCs w:val="10"/>
          <w:color w:val="auto"/>
        </w:rPr>
        <w:t>as a result of the $5.5 billion of proceeds from</w:t>
      </w:r>
    </w:p>
    <w:p>
      <w:pPr>
        <w:spacing w:after="0" w:line="198" w:lineRule="auto"/>
        <w:rPr>
          <w:sz w:val="20"/>
          <w:szCs w:val="20"/>
          <w:color w:val="auto"/>
        </w:rPr>
      </w:pPr>
      <w:r>
        <w:rPr>
          <w:rFonts w:ascii="Arial" w:cs="Arial" w:eastAsia="Arial" w:hAnsi="Arial"/>
          <w:sz w:val="10"/>
          <w:szCs w:val="10"/>
          <w:color w:val="auto"/>
        </w:rPr>
        <w:t>issuance of borrowings, net of $273 million of debt</w:t>
      </w:r>
    </w:p>
    <w:p>
      <w:pPr>
        <w:spacing w:after="0" w:line="199" w:lineRule="auto"/>
        <w:rPr>
          <w:sz w:val="20"/>
          <w:szCs w:val="20"/>
          <w:color w:val="auto"/>
        </w:rPr>
      </w:pPr>
      <w:r>
        <w:rPr>
          <w:rFonts w:ascii="Arial" w:cs="Arial" w:eastAsia="Arial" w:hAnsi="Arial"/>
          <w:sz w:val="10"/>
          <w:szCs w:val="10"/>
          <w:color w:val="auto"/>
        </w:rPr>
        <w:t>issuance costs paid. The increase from 2023 to</w:t>
      </w:r>
    </w:p>
    <w:p>
      <w:pPr>
        <w:spacing w:after="0" w:line="199" w:lineRule="auto"/>
        <w:rPr>
          <w:sz w:val="20"/>
          <w:szCs w:val="20"/>
          <w:color w:val="auto"/>
        </w:rPr>
      </w:pPr>
      <w:r>
        <w:rPr>
          <w:rFonts w:ascii="Arial" w:cs="Arial" w:eastAsia="Arial" w:hAnsi="Arial"/>
          <w:sz w:val="10"/>
          <w:szCs w:val="10"/>
          <w:color w:val="auto"/>
        </w:rPr>
        <w:t>2024 in net cash (used in) financing activities is</w:t>
      </w:r>
    </w:p>
    <w:p>
      <w:pPr>
        <w:spacing w:after="0" w:line="198" w:lineRule="auto"/>
        <w:rPr>
          <w:sz w:val="20"/>
          <w:szCs w:val="20"/>
          <w:color w:val="auto"/>
        </w:rPr>
      </w:pPr>
      <w:r>
        <w:rPr>
          <w:rFonts w:ascii="Arial" w:cs="Arial" w:eastAsia="Arial" w:hAnsi="Arial"/>
          <w:sz w:val="10"/>
          <w:szCs w:val="10"/>
          <w:color w:val="auto"/>
        </w:rPr>
        <w:t>primarily driven by cash payments for the purchase</w:t>
      </w:r>
    </w:p>
    <w:p>
      <w:pPr>
        <w:spacing w:after="0" w:line="199" w:lineRule="auto"/>
        <w:rPr>
          <w:sz w:val="20"/>
          <w:szCs w:val="20"/>
          <w:color w:val="auto"/>
        </w:rPr>
      </w:pPr>
      <w:r>
        <w:rPr>
          <w:rFonts w:ascii="Arial" w:cs="Arial" w:eastAsia="Arial" w:hAnsi="Arial"/>
          <w:sz w:val="10"/>
          <w:szCs w:val="10"/>
          <w:color w:val="auto"/>
        </w:rPr>
        <w:t>of treasury shares of $560 million in 2024</w:t>
      </w:r>
    </w:p>
    <w:p>
      <w:pPr>
        <w:spacing w:after="0" w:line="199" w:lineRule="auto"/>
        <w:rPr>
          <w:sz w:val="20"/>
          <w:szCs w:val="20"/>
          <w:color w:val="auto"/>
        </w:rPr>
      </w:pPr>
      <w:r>
        <w:rPr>
          <w:rFonts w:ascii="Arial" w:cs="Arial" w:eastAsia="Arial" w:hAnsi="Arial"/>
          <w:sz w:val="10"/>
          <w:szCs w:val="10"/>
          <w:color w:val="auto"/>
        </w:rPr>
        <w:t>compared to $81 million in 2023.</w:t>
      </w:r>
    </w:p>
    <w:p>
      <w:pPr>
        <w:spacing w:after="0" w:line="198" w:lineRule="auto"/>
        <w:rPr>
          <w:sz w:val="20"/>
          <w:szCs w:val="20"/>
          <w:color w:val="auto"/>
        </w:rPr>
      </w:pPr>
      <w:r>
        <w:rPr>
          <w:rFonts w:ascii="Arial" w:cs="Arial" w:eastAsia="Arial" w:hAnsi="Arial"/>
          <w:sz w:val="10"/>
          <w:szCs w:val="10"/>
          <w:color w:val="auto"/>
        </w:rPr>
        <w:t>Exchange rate adjustments represent foreign</w:t>
      </w:r>
    </w:p>
    <w:p>
      <w:pPr>
        <w:spacing w:after="0" w:line="199" w:lineRule="auto"/>
        <w:rPr>
          <w:sz w:val="20"/>
          <w:szCs w:val="20"/>
          <w:color w:val="auto"/>
        </w:rPr>
      </w:pPr>
      <w:r>
        <w:rPr>
          <w:rFonts w:ascii="Arial" w:cs="Arial" w:eastAsia="Arial" w:hAnsi="Arial"/>
          <w:sz w:val="10"/>
          <w:szCs w:val="10"/>
          <w:color w:val="auto"/>
        </w:rPr>
        <w:t>currency gains or losses on Genmab’s cash and</w:t>
      </w:r>
    </w:p>
    <w:p>
      <w:pPr>
        <w:spacing w:after="0" w:line="198" w:lineRule="auto"/>
        <w:rPr>
          <w:sz w:val="20"/>
          <w:szCs w:val="20"/>
          <w:color w:val="auto"/>
        </w:rPr>
      </w:pPr>
      <w:r>
        <w:rPr>
          <w:rFonts w:ascii="Arial" w:cs="Arial" w:eastAsia="Arial" w:hAnsi="Arial"/>
          <w:sz w:val="10"/>
          <w:szCs w:val="10"/>
          <w:color w:val="auto"/>
        </w:rPr>
        <w:t>cash equivalents, primarily driven by our cash</w:t>
      </w:r>
    </w:p>
    <w:p>
      <w:pPr>
        <w:spacing w:after="0" w:line="199" w:lineRule="auto"/>
        <w:rPr>
          <w:sz w:val="20"/>
          <w:szCs w:val="20"/>
          <w:color w:val="auto"/>
        </w:rPr>
      </w:pPr>
      <w:r>
        <w:rPr>
          <w:rFonts w:ascii="Arial" w:cs="Arial" w:eastAsia="Arial" w:hAnsi="Arial"/>
          <w:sz w:val="10"/>
          <w:szCs w:val="10"/>
          <w:color w:val="auto"/>
        </w:rPr>
        <w:t>and cash equivalents holdings denominated in</w:t>
      </w:r>
    </w:p>
    <w:p>
      <w:pPr>
        <w:spacing w:after="0" w:line="194" w:lineRule="auto"/>
        <w:rPr>
          <w:sz w:val="20"/>
          <w:szCs w:val="20"/>
          <w:color w:val="auto"/>
        </w:rPr>
      </w:pPr>
      <w:r>
        <w:rPr>
          <w:rFonts w:ascii="Arial" w:cs="Arial" w:eastAsia="Arial" w:hAnsi="Arial"/>
          <w:sz w:val="10"/>
          <w:szCs w:val="10"/>
          <w:color w:val="auto"/>
        </w:rPr>
        <w:t>currencies other than USD.</w:t>
      </w:r>
    </w:p>
    <w:p>
      <w:pPr>
        <w:spacing w:after="0" w:line="201" w:lineRule="auto"/>
        <w:rPr>
          <w:sz w:val="20"/>
          <w:szCs w:val="20"/>
          <w:color w:val="auto"/>
        </w:rPr>
      </w:pPr>
      <w:r>
        <w:rPr>
          <w:rFonts w:ascii="Arial" w:cs="Arial" w:eastAsia="Arial" w:hAnsi="Arial"/>
          <w:sz w:val="18"/>
          <w:szCs w:val="18"/>
          <w:color w:val="009D94"/>
        </w:rPr>
        <w:t>Balance Sheet</w:t>
      </w:r>
    </w:p>
    <w:p>
      <w:pPr>
        <w:spacing w:after="0" w:line="199" w:lineRule="auto"/>
        <w:rPr>
          <w:sz w:val="20"/>
          <w:szCs w:val="20"/>
          <w:color w:val="auto"/>
        </w:rPr>
      </w:pPr>
      <w:r>
        <w:rPr>
          <w:rFonts w:ascii="Arial" w:cs="Arial" w:eastAsia="Arial" w:hAnsi="Arial"/>
          <w:sz w:val="10"/>
          <w:szCs w:val="10"/>
          <w:color w:val="auto"/>
        </w:rPr>
        <w:t>As of December 31, 2025, total assets were</w:t>
      </w:r>
    </w:p>
    <w:p>
      <w:pPr>
        <w:spacing w:after="0" w:line="199" w:lineRule="auto"/>
        <w:rPr>
          <w:sz w:val="20"/>
          <w:szCs w:val="20"/>
          <w:color w:val="auto"/>
        </w:rPr>
      </w:pPr>
      <w:r>
        <w:rPr>
          <w:rFonts w:ascii="Arial" w:cs="Arial" w:eastAsia="Arial" w:hAnsi="Arial"/>
          <w:sz w:val="10"/>
          <w:szCs w:val="10"/>
          <w:color w:val="auto"/>
        </w:rPr>
        <w:t>$12,873 million, compared to $6,414 million as</w:t>
      </w:r>
    </w:p>
    <w:p>
      <w:pPr>
        <w:spacing w:after="0" w:line="198" w:lineRule="auto"/>
        <w:rPr>
          <w:sz w:val="20"/>
          <w:szCs w:val="20"/>
          <w:color w:val="auto"/>
        </w:rPr>
      </w:pPr>
      <w:r>
        <w:rPr>
          <w:rFonts w:ascii="Arial" w:cs="Arial" w:eastAsia="Arial" w:hAnsi="Arial"/>
          <w:sz w:val="10"/>
          <w:szCs w:val="10"/>
          <w:color w:val="auto"/>
        </w:rPr>
        <w:t>of December 31, 2024. As of December 31, 2025,</w:t>
      </w:r>
    </w:p>
    <w:p>
      <w:pPr>
        <w:spacing w:after="0" w:line="199" w:lineRule="auto"/>
        <w:rPr>
          <w:sz w:val="20"/>
          <w:szCs w:val="20"/>
          <w:color w:val="auto"/>
        </w:rPr>
      </w:pPr>
      <w:r>
        <w:rPr>
          <w:rFonts w:ascii="Arial" w:cs="Arial" w:eastAsia="Arial" w:hAnsi="Arial"/>
          <w:sz w:val="10"/>
          <w:szCs w:val="10"/>
          <w:color w:val="auto"/>
        </w:rPr>
        <w:t>assets are mainly comprised of intangible assets of</w:t>
      </w:r>
    </w:p>
    <w:p>
      <w:pPr>
        <w:spacing w:after="0" w:line="199" w:lineRule="auto"/>
        <w:rPr>
          <w:sz w:val="20"/>
          <w:szCs w:val="20"/>
          <w:color w:val="auto"/>
        </w:rPr>
      </w:pPr>
      <w:r>
        <w:rPr>
          <w:rFonts w:ascii="Arial" w:cs="Arial" w:eastAsia="Arial" w:hAnsi="Arial"/>
          <w:sz w:val="10"/>
          <w:szCs w:val="10"/>
          <w:color w:val="auto"/>
        </w:rPr>
        <w:t>$9,123 million, as a result of intangible assets</w:t>
      </w:r>
    </w:p>
    <w:p>
      <w:pPr>
        <w:spacing w:after="0" w:line="198" w:lineRule="auto"/>
        <w:rPr>
          <w:sz w:val="20"/>
          <w:szCs w:val="20"/>
          <w:color w:val="auto"/>
        </w:rPr>
      </w:pPr>
      <w:r>
        <w:rPr>
          <w:rFonts w:ascii="Arial" w:cs="Arial" w:eastAsia="Arial" w:hAnsi="Arial"/>
          <w:sz w:val="10"/>
          <w:szCs w:val="10"/>
          <w:color w:val="auto"/>
        </w:rPr>
        <w:t>acquired in the Merus and ProfoundBIo</w:t>
      </w:r>
    </w:p>
    <w:p>
      <w:pPr>
        <w:spacing w:after="0" w:line="199" w:lineRule="auto"/>
        <w:rPr>
          <w:rFonts w:ascii="Arial" w:cs="Arial" w:eastAsia="Arial" w:hAnsi="Arial"/>
          <w:sz w:val="10"/>
          <w:szCs w:val="10"/>
          <w:color w:val="auto"/>
        </w:rPr>
      </w:pPr>
      <w:hyperlink w:anchor="page147">
        <w:r>
          <w:rPr>
            <w:rFonts w:ascii="Arial" w:cs="Arial" w:eastAsia="Arial" w:hAnsi="Arial"/>
            <w:sz w:val="10"/>
            <w:szCs w:val="10"/>
            <w:color w:val="auto"/>
          </w:rPr>
          <w:t xml:space="preserve">acquisitions, current </w:t>
        </w:r>
      </w:hyperlink>
      <w:r>
        <w:rPr>
          <w:rFonts w:ascii="Arial" w:cs="Arial" w:eastAsia="Arial" w:hAnsi="Arial"/>
          <w:sz w:val="10"/>
          <w:szCs w:val="10"/>
          <w:color w:val="auto"/>
        </w:rPr>
        <w:t xml:space="preserve">receivables </w:t>
      </w:r>
      <w:hyperlink w:anchor="page149">
        <w:r>
          <w:rPr>
            <w:rFonts w:ascii="Arial" w:cs="Arial" w:eastAsia="Arial" w:hAnsi="Arial"/>
            <w:sz w:val="10"/>
            <w:szCs w:val="10"/>
            <w:color w:val="auto"/>
          </w:rPr>
          <w:t>of $1,112 million,</w:t>
        </w:r>
      </w:hyperlink>
    </w:p>
    <w:p>
      <w:pPr>
        <w:spacing w:after="0" w:line="199" w:lineRule="auto"/>
        <w:rPr>
          <w:rFonts w:ascii="Arial" w:cs="Arial" w:eastAsia="Arial" w:hAnsi="Arial"/>
          <w:sz w:val="10"/>
          <w:szCs w:val="10"/>
          <w:color w:val="auto"/>
        </w:rPr>
      </w:pPr>
      <w:r>
        <w:rPr>
          <w:rFonts w:ascii="Arial" w:cs="Arial" w:eastAsia="Arial" w:hAnsi="Arial"/>
          <w:sz w:val="10"/>
          <w:szCs w:val="10"/>
          <w:color w:val="auto"/>
        </w:rPr>
        <w:t xml:space="preserve">cash </w:t>
      </w:r>
      <w:hyperlink w:anchor="page153">
        <w:r>
          <w:rPr>
            <w:rFonts w:ascii="Arial" w:cs="Arial" w:eastAsia="Arial" w:hAnsi="Arial"/>
            <w:sz w:val="10"/>
            <w:szCs w:val="10"/>
            <w:color w:val="auto"/>
          </w:rPr>
          <w:t xml:space="preserve">and cash </w:t>
        </w:r>
      </w:hyperlink>
      <w:r>
        <w:rPr>
          <w:rFonts w:ascii="Arial" w:cs="Arial" w:eastAsia="Arial" w:hAnsi="Arial"/>
          <w:sz w:val="10"/>
          <w:szCs w:val="10"/>
          <w:color w:val="auto"/>
        </w:rPr>
        <w:t>equivalents of $1,715 million and</w:t>
      </w:r>
    </w:p>
    <w:p>
      <w:pPr>
        <w:spacing w:after="0" w:line="198" w:lineRule="auto"/>
        <w:rPr>
          <w:sz w:val="20"/>
          <w:szCs w:val="20"/>
          <w:color w:val="auto"/>
        </w:rPr>
      </w:pPr>
      <w:r>
        <w:rPr>
          <w:rFonts w:ascii="Arial" w:cs="Arial" w:eastAsia="Arial" w:hAnsi="Arial"/>
          <w:sz w:val="10"/>
          <w:szCs w:val="10"/>
          <w:color w:val="auto"/>
        </w:rPr>
        <w:t>$355 million of goodwill related to the acquisition of</w:t>
      </w:r>
    </w:p>
    <w:p>
      <w:pPr>
        <w:spacing w:after="0" w:line="199" w:lineRule="auto"/>
        <w:rPr>
          <w:sz w:val="20"/>
          <w:szCs w:val="20"/>
          <w:color w:val="auto"/>
        </w:rPr>
      </w:pPr>
      <w:r>
        <w:rPr>
          <w:rFonts w:ascii="Arial" w:cs="Arial" w:eastAsia="Arial" w:hAnsi="Arial"/>
          <w:sz w:val="10"/>
          <w:szCs w:val="10"/>
          <w:color w:val="auto"/>
        </w:rPr>
        <w:t>ProfoundBio. The current receivables consist</w:t>
      </w:r>
    </w:p>
    <w:p>
      <w:pPr>
        <w:spacing w:after="0" w:line="199" w:lineRule="auto"/>
        <w:rPr>
          <w:sz w:val="20"/>
          <w:szCs w:val="20"/>
          <w:color w:val="auto"/>
        </w:rPr>
      </w:pPr>
      <w:r>
        <w:rPr>
          <w:rFonts w:ascii="Arial" w:cs="Arial" w:eastAsia="Arial" w:hAnsi="Arial"/>
          <w:sz w:val="10"/>
          <w:szCs w:val="10"/>
          <w:color w:val="auto"/>
        </w:rPr>
        <w:t>primarily of amounts related to royalties from our</w:t>
      </w:r>
    </w:p>
    <w:p>
      <w:pPr>
        <w:spacing w:after="0"/>
        <w:rPr>
          <w:sz w:val="20"/>
          <w:szCs w:val="20"/>
          <w:color w:val="auto"/>
        </w:rPr>
      </w:pPr>
      <w:r>
        <w:rPr>
          <w:rFonts w:ascii="Arial" w:cs="Arial" w:eastAsia="Arial" w:hAnsi="Arial"/>
          <w:sz w:val="10"/>
          <w:szCs w:val="10"/>
          <w:color w:val="auto"/>
        </w:rPr>
        <w:t>collaboration agreements. The credit risk related to</w:t>
      </w:r>
    </w:p>
    <w:p>
      <w:pPr>
        <w:spacing w:after="0" w:line="95"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1" w:lineRule="exact"/>
        <w:rPr>
          <w:rFonts w:ascii="Arial" w:cs="Arial" w:eastAsia="Arial" w:hAnsi="Arial"/>
          <w:sz w:val="10"/>
          <w:szCs w:val="10"/>
          <w:b w:val="1"/>
          <w:bCs w:val="1"/>
          <w:color w:val="auto"/>
        </w:rPr>
      </w:pPr>
    </w:p>
    <w:p>
      <w:pPr>
        <w:spacing w:after="0"/>
        <w:rPr>
          <w:rFonts w:ascii="Arial" w:cs="Arial" w:eastAsia="Arial" w:hAnsi="Arial"/>
          <w:sz w:val="22"/>
          <w:szCs w:val="22"/>
          <w:color w:val="009D94"/>
        </w:rPr>
      </w:pPr>
      <w:hyperlink w:anchor="page156">
        <w:r>
          <w:rPr>
            <w:rFonts w:ascii="Arial" w:cs="Arial" w:eastAsia="Arial" w:hAnsi="Arial"/>
            <w:sz w:val="22"/>
            <w:szCs w:val="22"/>
            <w:color w:val="009D94"/>
          </w:rPr>
          <w:t xml:space="preserve">Financial </w:t>
        </w:r>
      </w:hyperlink>
      <w:r>
        <w:rPr>
          <w:rFonts w:ascii="Arial" w:cs="Arial" w:eastAsia="Arial" w:hAnsi="Arial"/>
          <w:sz w:val="22"/>
          <w:szCs w:val="22"/>
          <w:color w:val="009D94"/>
        </w:rPr>
        <w:t>Review – Group</w:t>
      </w:r>
    </w:p>
    <w:p>
      <w:pPr>
        <w:spacing w:after="0" w:line="201" w:lineRule="auto"/>
        <w:rPr>
          <w:sz w:val="20"/>
          <w:szCs w:val="20"/>
          <w:color w:val="auto"/>
        </w:rPr>
      </w:pPr>
      <w:r>
        <w:rPr>
          <w:rFonts w:ascii="Arial" w:cs="Arial" w:eastAsia="Arial" w:hAnsi="Arial"/>
          <w:sz w:val="18"/>
          <w:szCs w:val="18"/>
          <w:color w:val="009D94"/>
        </w:rPr>
        <w:t>Legal Matters</w:t>
      </w:r>
    </w:p>
    <w:p>
      <w:pPr>
        <w:spacing w:after="0" w:line="199" w:lineRule="auto"/>
        <w:rPr>
          <w:sz w:val="20"/>
          <w:szCs w:val="20"/>
          <w:color w:val="auto"/>
        </w:rPr>
      </w:pPr>
      <w:r>
        <w:rPr>
          <w:rFonts w:ascii="Arial" w:cs="Arial" w:eastAsia="Arial" w:hAnsi="Arial"/>
          <w:sz w:val="10"/>
          <w:szCs w:val="10"/>
          <w:color w:val="auto"/>
        </w:rPr>
        <w:t>In September 2020, Genmab commenced</w:t>
      </w:r>
    </w:p>
    <w:p>
      <w:pPr>
        <w:spacing w:after="0" w:line="198" w:lineRule="auto"/>
        <w:rPr>
          <w:sz w:val="20"/>
          <w:szCs w:val="20"/>
          <w:color w:val="auto"/>
        </w:rPr>
      </w:pPr>
      <w:r>
        <w:rPr>
          <w:rFonts w:ascii="Arial" w:cs="Arial" w:eastAsia="Arial" w:hAnsi="Arial"/>
          <w:sz w:val="10"/>
          <w:szCs w:val="10"/>
          <w:color w:val="auto"/>
        </w:rPr>
        <w:t>arbitration against J&amp;J with respect to two</w:t>
      </w:r>
    </w:p>
    <w:p>
      <w:pPr>
        <w:spacing w:after="0" w:line="199" w:lineRule="auto"/>
        <w:rPr>
          <w:sz w:val="20"/>
          <w:szCs w:val="20"/>
          <w:color w:val="auto"/>
        </w:rPr>
      </w:pPr>
      <w:r>
        <w:rPr>
          <w:rFonts w:ascii="Arial" w:cs="Arial" w:eastAsia="Arial" w:hAnsi="Arial"/>
          <w:sz w:val="10"/>
          <w:szCs w:val="10"/>
          <w:color w:val="auto"/>
        </w:rPr>
        <w:t>different provisions of our license agreement for</w:t>
      </w:r>
    </w:p>
    <w:p>
      <w:pPr>
        <w:spacing w:after="0" w:line="199" w:lineRule="auto"/>
        <w:rPr>
          <w:sz w:val="20"/>
          <w:szCs w:val="20"/>
          <w:color w:val="auto"/>
        </w:rPr>
      </w:pPr>
      <w:r>
        <w:rPr>
          <w:rFonts w:ascii="Arial" w:cs="Arial" w:eastAsia="Arial" w:hAnsi="Arial"/>
          <w:sz w:val="10"/>
          <w:szCs w:val="10"/>
          <w:color w:val="auto"/>
        </w:rPr>
        <w:t>daratumumab, both relating to royalties payable to</w:t>
      </w:r>
    </w:p>
    <w:p>
      <w:pPr>
        <w:spacing w:after="0" w:line="198" w:lineRule="auto"/>
        <w:rPr>
          <w:sz w:val="20"/>
          <w:szCs w:val="20"/>
          <w:color w:val="auto"/>
        </w:rPr>
      </w:pPr>
      <w:r>
        <w:rPr>
          <w:rFonts w:ascii="Arial" w:cs="Arial" w:eastAsia="Arial" w:hAnsi="Arial"/>
          <w:sz w:val="10"/>
          <w:szCs w:val="10"/>
          <w:color w:val="auto"/>
        </w:rPr>
        <w:t>Genmab on net sales of daratumumab (marketed</w:t>
      </w:r>
    </w:p>
    <w:p>
      <w:pPr>
        <w:spacing w:after="0" w:line="199" w:lineRule="auto"/>
        <w:rPr>
          <w:sz w:val="20"/>
          <w:szCs w:val="20"/>
          <w:color w:val="auto"/>
        </w:rPr>
      </w:pPr>
      <w:r>
        <w:rPr>
          <w:rFonts w:ascii="Arial" w:cs="Arial" w:eastAsia="Arial" w:hAnsi="Arial"/>
          <w:sz w:val="10"/>
          <w:szCs w:val="10"/>
          <w:color w:val="auto"/>
        </w:rPr>
        <w:t>as DARZALEX for IV administration and as</w:t>
      </w:r>
    </w:p>
    <w:p>
      <w:pPr>
        <w:spacing w:after="0" w:line="199" w:lineRule="auto"/>
        <w:rPr>
          <w:sz w:val="20"/>
          <w:szCs w:val="20"/>
          <w:color w:val="auto"/>
        </w:rPr>
      </w:pPr>
      <w:r>
        <w:rPr>
          <w:rFonts w:ascii="Arial" w:cs="Arial" w:eastAsia="Arial" w:hAnsi="Arial"/>
          <w:sz w:val="10"/>
          <w:szCs w:val="10"/>
          <w:color w:val="auto"/>
        </w:rPr>
        <w:t xml:space="preserve">DARZALEX </w:t>
      </w:r>
      <w:r>
        <w:rPr>
          <w:rFonts w:ascii="Arial" w:cs="Arial" w:eastAsia="Arial" w:hAnsi="Arial"/>
          <w:sz w:val="10"/>
          <w:szCs w:val="10"/>
          <w:i w:val="1"/>
          <w:iCs w:val="1"/>
          <w:color w:val="auto"/>
        </w:rPr>
        <w:t>FASPRO</w:t>
      </w:r>
      <w:r>
        <w:rPr>
          <w:rFonts w:ascii="Arial" w:cs="Arial" w:eastAsia="Arial" w:hAnsi="Arial"/>
          <w:sz w:val="10"/>
          <w:szCs w:val="10"/>
          <w:color w:val="auto"/>
        </w:rPr>
        <w:t xml:space="preserve"> in the US and as DARZALEX</w:t>
      </w:r>
    </w:p>
    <w:p>
      <w:pPr>
        <w:spacing w:after="0" w:line="198" w:lineRule="auto"/>
        <w:rPr>
          <w:sz w:val="20"/>
          <w:szCs w:val="20"/>
          <w:color w:val="auto"/>
        </w:rPr>
      </w:pPr>
      <w:r>
        <w:rPr>
          <w:rFonts w:ascii="Arial" w:cs="Arial" w:eastAsia="Arial" w:hAnsi="Arial"/>
          <w:sz w:val="10"/>
          <w:szCs w:val="10"/>
          <w:color w:val="auto"/>
        </w:rPr>
        <w:t>SC in Europe for SC administration). In April 2022,</w:t>
      </w:r>
    </w:p>
    <w:p>
      <w:pPr>
        <w:spacing w:after="0" w:line="199" w:lineRule="auto"/>
        <w:rPr>
          <w:sz w:val="20"/>
          <w:szCs w:val="20"/>
          <w:color w:val="auto"/>
        </w:rPr>
      </w:pPr>
      <w:r>
        <w:rPr>
          <w:rFonts w:ascii="Arial" w:cs="Arial" w:eastAsia="Arial" w:hAnsi="Arial"/>
          <w:sz w:val="10"/>
          <w:szCs w:val="10"/>
          <w:color w:val="auto"/>
        </w:rPr>
        <w:t>the arbitral tribunal issued an award in that</w:t>
      </w:r>
    </w:p>
    <w:p>
      <w:pPr>
        <w:spacing w:after="0" w:line="198" w:lineRule="auto"/>
        <w:rPr>
          <w:sz w:val="20"/>
          <w:szCs w:val="20"/>
          <w:color w:val="auto"/>
        </w:rPr>
      </w:pPr>
      <w:r>
        <w:rPr>
          <w:rFonts w:ascii="Arial" w:cs="Arial" w:eastAsia="Arial" w:hAnsi="Arial"/>
          <w:sz w:val="10"/>
          <w:szCs w:val="10"/>
          <w:color w:val="auto"/>
        </w:rPr>
        <w:t>arbitration denying both of Genmab’s claims.</w:t>
      </w:r>
    </w:p>
    <w:p>
      <w:pPr>
        <w:spacing w:after="0" w:line="199" w:lineRule="auto"/>
        <w:rPr>
          <w:sz w:val="20"/>
          <w:szCs w:val="20"/>
          <w:color w:val="auto"/>
        </w:rPr>
      </w:pPr>
      <w:r>
        <w:rPr>
          <w:rFonts w:ascii="Arial" w:cs="Arial" w:eastAsia="Arial" w:hAnsi="Arial"/>
          <w:sz w:val="10"/>
          <w:szCs w:val="10"/>
          <w:color w:val="auto"/>
        </w:rPr>
        <w:t>Genmab did not seek review of the award. On June</w:t>
      </w:r>
    </w:p>
    <w:p>
      <w:pPr>
        <w:spacing w:after="0" w:line="199" w:lineRule="auto"/>
        <w:rPr>
          <w:sz w:val="20"/>
          <w:szCs w:val="20"/>
          <w:color w:val="auto"/>
        </w:rPr>
      </w:pPr>
      <w:r>
        <w:rPr>
          <w:rFonts w:ascii="Arial" w:cs="Arial" w:eastAsia="Arial" w:hAnsi="Arial"/>
          <w:sz w:val="10"/>
          <w:szCs w:val="10"/>
          <w:color w:val="auto"/>
        </w:rPr>
        <w:t>9, 2022, Genmab commenced a second arbitration</w:t>
      </w:r>
    </w:p>
    <w:p>
      <w:pPr>
        <w:spacing w:after="0" w:line="198" w:lineRule="auto"/>
        <w:rPr>
          <w:sz w:val="20"/>
          <w:szCs w:val="20"/>
          <w:color w:val="auto"/>
        </w:rPr>
      </w:pPr>
      <w:r>
        <w:rPr>
          <w:rFonts w:ascii="Arial" w:cs="Arial" w:eastAsia="Arial" w:hAnsi="Arial"/>
          <w:sz w:val="10"/>
          <w:szCs w:val="10"/>
          <w:color w:val="auto"/>
        </w:rPr>
        <w:t>against J&amp;J under the license agreement, in which</w:t>
      </w:r>
    </w:p>
    <w:p>
      <w:pPr>
        <w:spacing w:after="0" w:line="199" w:lineRule="auto"/>
        <w:rPr>
          <w:sz w:val="20"/>
          <w:szCs w:val="20"/>
          <w:color w:val="auto"/>
        </w:rPr>
      </w:pPr>
      <w:r>
        <w:rPr>
          <w:rFonts w:ascii="Arial" w:cs="Arial" w:eastAsia="Arial" w:hAnsi="Arial"/>
          <w:sz w:val="10"/>
          <w:szCs w:val="10"/>
          <w:color w:val="auto"/>
        </w:rPr>
        <w:t>Genmab sought additional compensation from</w:t>
      </w:r>
    </w:p>
    <w:p>
      <w:pPr>
        <w:spacing w:after="0" w:line="199" w:lineRule="auto"/>
        <w:rPr>
          <w:sz w:val="20"/>
          <w:szCs w:val="20"/>
          <w:color w:val="auto"/>
        </w:rPr>
      </w:pPr>
      <w:r>
        <w:rPr>
          <w:rFonts w:ascii="Arial" w:cs="Arial" w:eastAsia="Arial" w:hAnsi="Arial"/>
          <w:sz w:val="10"/>
          <w:szCs w:val="10"/>
          <w:color w:val="auto"/>
        </w:rPr>
        <w:t>J&amp;J with respect to SC daratumumab based on</w:t>
      </w:r>
    </w:p>
    <w:p>
      <w:pPr>
        <w:spacing w:after="0" w:line="198" w:lineRule="auto"/>
        <w:rPr>
          <w:sz w:val="20"/>
          <w:szCs w:val="20"/>
          <w:color w:val="auto"/>
        </w:rPr>
      </w:pPr>
      <w:r>
        <w:rPr>
          <w:rFonts w:ascii="Arial" w:cs="Arial" w:eastAsia="Arial" w:hAnsi="Arial"/>
          <w:sz w:val="10"/>
          <w:szCs w:val="10"/>
          <w:color w:val="auto"/>
        </w:rPr>
        <w:t>Genmab’s position that the award in favor of J&amp;J in</w:t>
      </w:r>
    </w:p>
    <w:p>
      <w:pPr>
        <w:spacing w:after="0" w:line="199" w:lineRule="auto"/>
        <w:rPr>
          <w:sz w:val="20"/>
          <w:szCs w:val="20"/>
          <w:color w:val="auto"/>
        </w:rPr>
      </w:pPr>
      <w:r>
        <w:rPr>
          <w:rFonts w:ascii="Arial" w:cs="Arial" w:eastAsia="Arial" w:hAnsi="Arial"/>
          <w:sz w:val="10"/>
          <w:szCs w:val="10"/>
          <w:color w:val="auto"/>
        </w:rPr>
        <w:t>the first arbitration was premised on that tribunal’s</w:t>
      </w:r>
    </w:p>
    <w:p>
      <w:pPr>
        <w:spacing w:after="0" w:line="199" w:lineRule="auto"/>
        <w:rPr>
          <w:sz w:val="20"/>
          <w:szCs w:val="20"/>
          <w:color w:val="auto"/>
        </w:rPr>
      </w:pPr>
      <w:r>
        <w:rPr>
          <w:rFonts w:ascii="Arial" w:cs="Arial" w:eastAsia="Arial" w:hAnsi="Arial"/>
          <w:sz w:val="10"/>
          <w:szCs w:val="10"/>
          <w:color w:val="auto"/>
        </w:rPr>
        <w:t>determination that IV daratumumab and SC</w:t>
      </w:r>
    </w:p>
    <w:p>
      <w:pPr>
        <w:spacing w:after="0" w:line="198" w:lineRule="auto"/>
        <w:rPr>
          <w:sz w:val="20"/>
          <w:szCs w:val="20"/>
          <w:color w:val="auto"/>
        </w:rPr>
      </w:pPr>
      <w:r>
        <w:rPr>
          <w:rFonts w:ascii="Arial" w:cs="Arial" w:eastAsia="Arial" w:hAnsi="Arial"/>
          <w:sz w:val="10"/>
          <w:szCs w:val="10"/>
          <w:color w:val="auto"/>
        </w:rPr>
        <w:t>daratumumab were separate “Licensed Products”</w:t>
      </w:r>
    </w:p>
    <w:p>
      <w:pPr>
        <w:spacing w:after="0" w:line="199" w:lineRule="auto"/>
        <w:rPr>
          <w:sz w:val="20"/>
          <w:szCs w:val="20"/>
          <w:color w:val="auto"/>
        </w:rPr>
      </w:pPr>
      <w:r>
        <w:rPr>
          <w:rFonts w:ascii="Arial" w:cs="Arial" w:eastAsia="Arial" w:hAnsi="Arial"/>
          <w:sz w:val="10"/>
          <w:szCs w:val="10"/>
          <w:color w:val="auto"/>
        </w:rPr>
        <w:t>as that term is defined in the license agreement.</w:t>
      </w:r>
    </w:p>
    <w:p>
      <w:pPr>
        <w:spacing w:after="0" w:line="198" w:lineRule="auto"/>
        <w:rPr>
          <w:sz w:val="20"/>
          <w:szCs w:val="20"/>
          <w:color w:val="auto"/>
        </w:rPr>
      </w:pPr>
      <w:r>
        <w:rPr>
          <w:rFonts w:ascii="Arial" w:cs="Arial" w:eastAsia="Arial" w:hAnsi="Arial"/>
          <w:sz w:val="10"/>
          <w:szCs w:val="10"/>
          <w:color w:val="auto"/>
        </w:rPr>
        <w:t>Genmab’s claim in that second arbitration was</w:t>
      </w:r>
    </w:p>
    <w:p>
      <w:pPr>
        <w:spacing w:after="0" w:line="199" w:lineRule="auto"/>
        <w:rPr>
          <w:sz w:val="20"/>
          <w:szCs w:val="20"/>
          <w:color w:val="auto"/>
        </w:rPr>
      </w:pPr>
      <w:r>
        <w:rPr>
          <w:rFonts w:ascii="Arial" w:cs="Arial" w:eastAsia="Arial" w:hAnsi="Arial"/>
          <w:sz w:val="10"/>
          <w:szCs w:val="10"/>
          <w:color w:val="auto"/>
        </w:rPr>
        <w:t>denied by the tribunal on April 21, 2023 on the</w:t>
      </w:r>
    </w:p>
    <w:p>
      <w:pPr>
        <w:spacing w:after="0" w:line="199" w:lineRule="auto"/>
        <w:rPr>
          <w:sz w:val="20"/>
          <w:szCs w:val="20"/>
          <w:color w:val="auto"/>
        </w:rPr>
      </w:pPr>
      <w:r>
        <w:rPr>
          <w:rFonts w:ascii="Arial" w:cs="Arial" w:eastAsia="Arial" w:hAnsi="Arial"/>
          <w:sz w:val="10"/>
          <w:szCs w:val="10"/>
          <w:color w:val="auto"/>
        </w:rPr>
        <w:t>ground that it should have been brought in the first</w:t>
      </w:r>
    </w:p>
    <w:p>
      <w:pPr>
        <w:spacing w:after="0" w:line="198" w:lineRule="auto"/>
        <w:rPr>
          <w:sz w:val="20"/>
          <w:szCs w:val="20"/>
          <w:color w:val="auto"/>
        </w:rPr>
      </w:pPr>
      <w:r>
        <w:rPr>
          <w:rFonts w:ascii="Arial" w:cs="Arial" w:eastAsia="Arial" w:hAnsi="Arial"/>
          <w:sz w:val="10"/>
          <w:szCs w:val="10"/>
          <w:color w:val="auto"/>
        </w:rPr>
        <w:t>arbitration, and the dismissal was affirmed by an</w:t>
      </w:r>
    </w:p>
    <w:p>
      <w:pPr>
        <w:spacing w:after="0" w:line="199" w:lineRule="auto"/>
        <w:rPr>
          <w:sz w:val="20"/>
          <w:szCs w:val="20"/>
          <w:color w:val="auto"/>
        </w:rPr>
      </w:pPr>
      <w:r>
        <w:rPr>
          <w:rFonts w:ascii="Arial" w:cs="Arial" w:eastAsia="Arial" w:hAnsi="Arial"/>
          <w:sz w:val="10"/>
          <w:szCs w:val="10"/>
          <w:color w:val="auto"/>
        </w:rPr>
        <w:t>appellate arbitrator on January 23, 2024.</w:t>
      </w:r>
    </w:p>
    <w:p>
      <w:pPr>
        <w:spacing w:after="0" w:line="199" w:lineRule="auto"/>
        <w:rPr>
          <w:sz w:val="20"/>
          <w:szCs w:val="20"/>
          <w:color w:val="auto"/>
        </w:rPr>
      </w:pPr>
      <w:r>
        <w:rPr>
          <w:rFonts w:ascii="Arial" w:cs="Arial" w:eastAsia="Arial" w:hAnsi="Arial"/>
          <w:sz w:val="10"/>
          <w:szCs w:val="10"/>
          <w:color w:val="auto"/>
        </w:rPr>
        <w:t>In 2024, Chugai Pharmaceutical Co., Ltd. filed a</w:t>
      </w:r>
    </w:p>
    <w:p>
      <w:pPr>
        <w:spacing w:after="0" w:line="198" w:lineRule="auto"/>
        <w:rPr>
          <w:sz w:val="20"/>
          <w:szCs w:val="20"/>
          <w:color w:val="auto"/>
        </w:rPr>
      </w:pPr>
      <w:r>
        <w:rPr>
          <w:rFonts w:ascii="Arial" w:cs="Arial" w:eastAsia="Arial" w:hAnsi="Arial"/>
          <w:sz w:val="10"/>
          <w:szCs w:val="10"/>
          <w:color w:val="auto"/>
        </w:rPr>
        <w:t>lawsuit in the Tokyo District Court in Japan against</w:t>
      </w:r>
    </w:p>
    <w:p>
      <w:pPr>
        <w:spacing w:after="0" w:line="199" w:lineRule="auto"/>
        <w:rPr>
          <w:sz w:val="20"/>
          <w:szCs w:val="20"/>
          <w:color w:val="auto"/>
        </w:rPr>
      </w:pPr>
      <w:r>
        <w:rPr>
          <w:rFonts w:ascii="Arial" w:cs="Arial" w:eastAsia="Arial" w:hAnsi="Arial"/>
          <w:sz w:val="10"/>
          <w:szCs w:val="10"/>
          <w:color w:val="auto"/>
        </w:rPr>
        <w:t>AbbVie’s and Genmab’s Japanese subsidiaries</w:t>
      </w:r>
    </w:p>
    <w:p>
      <w:pPr>
        <w:spacing w:after="0" w:line="199" w:lineRule="auto"/>
        <w:rPr>
          <w:sz w:val="20"/>
          <w:szCs w:val="20"/>
          <w:color w:val="auto"/>
        </w:rPr>
      </w:pPr>
      <w:r>
        <w:rPr>
          <w:rFonts w:ascii="Arial" w:cs="Arial" w:eastAsia="Arial" w:hAnsi="Arial"/>
          <w:sz w:val="10"/>
          <w:szCs w:val="10"/>
          <w:color w:val="auto"/>
        </w:rPr>
        <w:t>asserting that their activities related to EPKINLY</w:t>
      </w:r>
    </w:p>
    <w:p>
      <w:pPr>
        <w:spacing w:after="0" w:line="198" w:lineRule="auto"/>
        <w:rPr>
          <w:sz w:val="20"/>
          <w:szCs w:val="20"/>
          <w:color w:val="auto"/>
        </w:rPr>
      </w:pPr>
      <w:r>
        <w:rPr>
          <w:rFonts w:ascii="Arial" w:cs="Arial" w:eastAsia="Arial" w:hAnsi="Arial"/>
          <w:sz w:val="10"/>
          <w:szCs w:val="10"/>
          <w:color w:val="auto"/>
        </w:rPr>
        <w:t>(epcoritamab) in Japan infringe two Japanese</w:t>
      </w:r>
    </w:p>
    <w:p>
      <w:pPr>
        <w:spacing w:after="0" w:line="199" w:lineRule="auto"/>
        <w:rPr>
          <w:sz w:val="20"/>
          <w:szCs w:val="20"/>
          <w:color w:val="auto"/>
        </w:rPr>
      </w:pPr>
      <w:r>
        <w:rPr>
          <w:rFonts w:ascii="Arial" w:cs="Arial" w:eastAsia="Arial" w:hAnsi="Arial"/>
          <w:sz w:val="10"/>
          <w:szCs w:val="10"/>
          <w:color w:val="auto"/>
        </w:rPr>
        <w:t>patents held by Chugai, claiming damages and</w:t>
      </w:r>
    </w:p>
    <w:p>
      <w:pPr>
        <w:spacing w:after="0" w:line="198" w:lineRule="auto"/>
        <w:rPr>
          <w:sz w:val="20"/>
          <w:szCs w:val="20"/>
          <w:color w:val="auto"/>
        </w:rPr>
      </w:pPr>
      <w:r>
        <w:rPr>
          <w:rFonts w:ascii="Arial" w:cs="Arial" w:eastAsia="Arial" w:hAnsi="Arial"/>
          <w:sz w:val="10"/>
          <w:szCs w:val="10"/>
          <w:color w:val="auto"/>
        </w:rPr>
        <w:t>injunctive relief. In September 2025, Chugai filed</w:t>
      </w:r>
    </w:p>
    <w:p>
      <w:pPr>
        <w:spacing w:after="0" w:line="199" w:lineRule="auto"/>
        <w:rPr>
          <w:sz w:val="20"/>
          <w:szCs w:val="20"/>
          <w:color w:val="auto"/>
        </w:rPr>
      </w:pPr>
      <w:r>
        <w:rPr>
          <w:rFonts w:ascii="Arial" w:cs="Arial" w:eastAsia="Arial" w:hAnsi="Arial"/>
          <w:sz w:val="10"/>
          <w:szCs w:val="10"/>
          <w:color w:val="auto"/>
        </w:rPr>
        <w:t>two further lawsuits in the same court, against the</w:t>
      </w:r>
    </w:p>
    <w:p>
      <w:pPr>
        <w:spacing w:after="0" w:line="199" w:lineRule="auto"/>
        <w:rPr>
          <w:sz w:val="20"/>
          <w:szCs w:val="20"/>
          <w:color w:val="auto"/>
        </w:rPr>
      </w:pPr>
      <w:r>
        <w:rPr>
          <w:rFonts w:ascii="Arial" w:cs="Arial" w:eastAsia="Arial" w:hAnsi="Arial"/>
          <w:sz w:val="10"/>
          <w:szCs w:val="10"/>
          <w:color w:val="auto"/>
        </w:rPr>
        <w:t>same parties and with similar assertions, based</w:t>
      </w:r>
    </w:p>
    <w:p>
      <w:pPr>
        <w:spacing w:after="0" w:line="198" w:lineRule="auto"/>
        <w:rPr>
          <w:sz w:val="20"/>
          <w:szCs w:val="20"/>
          <w:color w:val="auto"/>
        </w:rPr>
      </w:pPr>
      <w:r>
        <w:rPr>
          <w:rFonts w:ascii="Arial" w:cs="Arial" w:eastAsia="Arial" w:hAnsi="Arial"/>
          <w:sz w:val="10"/>
          <w:szCs w:val="10"/>
          <w:color w:val="auto"/>
        </w:rPr>
        <w:t>on two newly granted Japanese patents held by</w:t>
      </w:r>
    </w:p>
    <w:p>
      <w:pPr>
        <w:spacing w:after="0" w:line="199" w:lineRule="auto"/>
        <w:rPr>
          <w:sz w:val="20"/>
          <w:szCs w:val="20"/>
          <w:color w:val="auto"/>
        </w:rPr>
      </w:pPr>
      <w:r>
        <w:rPr>
          <w:rFonts w:ascii="Arial" w:cs="Arial" w:eastAsia="Arial" w:hAnsi="Arial"/>
          <w:sz w:val="10"/>
          <w:szCs w:val="10"/>
          <w:color w:val="auto"/>
        </w:rPr>
        <w:t>Chugai which are similar to the patents from the</w:t>
      </w:r>
    </w:p>
    <w:p>
      <w:pPr>
        <w:spacing w:after="0" w:line="199" w:lineRule="auto"/>
        <w:rPr>
          <w:sz w:val="20"/>
          <w:szCs w:val="20"/>
          <w:color w:val="auto"/>
        </w:rPr>
      </w:pPr>
      <w:r>
        <w:rPr>
          <w:rFonts w:ascii="Arial" w:cs="Arial" w:eastAsia="Arial" w:hAnsi="Arial"/>
          <w:sz w:val="10"/>
          <w:szCs w:val="10"/>
          <w:color w:val="auto"/>
        </w:rPr>
        <w:t>original lawsuit.</w:t>
      </w:r>
    </w:p>
    <w:p>
      <w:pPr>
        <w:spacing w:after="0" w:line="198" w:lineRule="auto"/>
        <w:rPr>
          <w:sz w:val="20"/>
          <w:szCs w:val="20"/>
          <w:color w:val="auto"/>
        </w:rPr>
      </w:pPr>
      <w:r>
        <w:rPr>
          <w:rFonts w:ascii="Arial" w:cs="Arial" w:eastAsia="Arial" w:hAnsi="Arial"/>
          <w:sz w:val="10"/>
          <w:szCs w:val="10"/>
          <w:color w:val="auto"/>
        </w:rPr>
        <w:t>Genmab and AbbVie believe that all four patents</w:t>
      </w:r>
    </w:p>
    <w:p>
      <w:pPr>
        <w:spacing w:after="0" w:line="199" w:lineRule="auto"/>
        <w:rPr>
          <w:sz w:val="20"/>
          <w:szCs w:val="20"/>
          <w:color w:val="auto"/>
        </w:rPr>
      </w:pPr>
      <w:r>
        <w:rPr>
          <w:rFonts w:ascii="Arial" w:cs="Arial" w:eastAsia="Arial" w:hAnsi="Arial"/>
          <w:sz w:val="10"/>
          <w:szCs w:val="10"/>
          <w:color w:val="auto"/>
        </w:rPr>
        <w:t>are invalid and/or not infringed and intend to</w:t>
      </w:r>
    </w:p>
    <w:p>
      <w:pPr>
        <w:spacing w:after="0" w:line="199" w:lineRule="auto"/>
        <w:rPr>
          <w:sz w:val="20"/>
          <w:szCs w:val="20"/>
          <w:color w:val="auto"/>
        </w:rPr>
      </w:pPr>
      <w:r>
        <w:rPr>
          <w:rFonts w:ascii="Arial" w:cs="Arial" w:eastAsia="Arial" w:hAnsi="Arial"/>
          <w:sz w:val="10"/>
          <w:szCs w:val="10"/>
          <w:color w:val="auto"/>
        </w:rPr>
        <w:t>vigorously defend the claims, and thus no provision</w:t>
      </w:r>
    </w:p>
    <w:p>
      <w:pPr>
        <w:spacing w:after="0" w:line="198" w:lineRule="auto"/>
        <w:rPr>
          <w:sz w:val="20"/>
          <w:szCs w:val="20"/>
          <w:color w:val="auto"/>
        </w:rPr>
      </w:pPr>
      <w:r>
        <w:rPr>
          <w:rFonts w:ascii="Arial" w:cs="Arial" w:eastAsia="Arial" w:hAnsi="Arial"/>
          <w:sz w:val="10"/>
          <w:szCs w:val="10"/>
          <w:color w:val="auto"/>
        </w:rPr>
        <w:t>has been recorded related to this matter.</w:t>
      </w:r>
    </w:p>
    <w:p>
      <w:pPr>
        <w:spacing w:after="0" w:line="199" w:lineRule="auto"/>
        <w:rPr>
          <w:sz w:val="20"/>
          <w:szCs w:val="20"/>
          <w:color w:val="auto"/>
        </w:rPr>
      </w:pPr>
      <w:r>
        <w:rPr>
          <w:rFonts w:ascii="Arial" w:cs="Arial" w:eastAsia="Arial" w:hAnsi="Arial"/>
          <w:sz w:val="10"/>
          <w:szCs w:val="10"/>
          <w:color w:val="auto"/>
        </w:rPr>
        <w:t>During the first quarter of 2025, AbbVie filed a</w:t>
      </w:r>
    </w:p>
    <w:p>
      <w:pPr>
        <w:spacing w:after="0" w:line="199" w:lineRule="auto"/>
        <w:rPr>
          <w:sz w:val="20"/>
          <w:szCs w:val="20"/>
          <w:color w:val="auto"/>
        </w:rPr>
      </w:pPr>
      <w:r>
        <w:rPr>
          <w:rFonts w:ascii="Arial" w:cs="Arial" w:eastAsia="Arial" w:hAnsi="Arial"/>
          <w:sz w:val="10"/>
          <w:szCs w:val="10"/>
          <w:color w:val="auto"/>
        </w:rPr>
        <w:t>complaint in the U.S. District Court for the Western</w:t>
      </w:r>
    </w:p>
    <w:p>
      <w:pPr>
        <w:spacing w:after="0" w:line="198" w:lineRule="auto"/>
        <w:rPr>
          <w:sz w:val="20"/>
          <w:szCs w:val="20"/>
          <w:color w:val="auto"/>
        </w:rPr>
      </w:pPr>
      <w:r>
        <w:rPr>
          <w:rFonts w:ascii="Arial" w:cs="Arial" w:eastAsia="Arial" w:hAnsi="Arial"/>
          <w:sz w:val="10"/>
          <w:szCs w:val="10"/>
          <w:color w:val="auto"/>
        </w:rPr>
        <w:t>District of Washington (Seattle) naming</w:t>
      </w:r>
    </w:p>
    <w:p>
      <w:pPr>
        <w:ind w:left="40"/>
        <w:spacing w:after="0" w:line="199" w:lineRule="auto"/>
        <w:rPr>
          <w:sz w:val="20"/>
          <w:szCs w:val="20"/>
          <w:color w:val="auto"/>
        </w:rPr>
      </w:pPr>
      <w:r>
        <w:rPr>
          <w:rFonts w:ascii="Arial" w:cs="Arial" w:eastAsia="Arial" w:hAnsi="Arial"/>
          <w:sz w:val="10"/>
          <w:szCs w:val="10"/>
          <w:color w:val="auto"/>
        </w:rPr>
        <w:t>Genmab A/S; ProfoundBio US Co.; ProfoundBio</w:t>
      </w:r>
    </w:p>
    <w:p>
      <w:pPr>
        <w:spacing w:after="0" w:line="198" w:lineRule="auto"/>
        <w:rPr>
          <w:sz w:val="20"/>
          <w:szCs w:val="20"/>
          <w:color w:val="auto"/>
        </w:rPr>
      </w:pPr>
      <w:r>
        <w:rPr>
          <w:rFonts w:ascii="Arial" w:cs="Arial" w:eastAsia="Arial" w:hAnsi="Arial"/>
          <w:sz w:val="10"/>
          <w:szCs w:val="10"/>
          <w:color w:val="auto"/>
        </w:rPr>
        <w:t>(Suzhou) Co., Ltd.; and former AbbVie employees</w:t>
      </w:r>
    </w:p>
    <w:p>
      <w:pPr>
        <w:spacing w:after="0" w:line="199" w:lineRule="auto"/>
        <w:rPr>
          <w:sz w:val="20"/>
          <w:szCs w:val="20"/>
          <w:color w:val="auto"/>
        </w:rPr>
      </w:pPr>
      <w:r>
        <w:rPr>
          <w:rFonts w:ascii="Arial" w:cs="Arial" w:eastAsia="Arial" w:hAnsi="Arial"/>
          <w:sz w:val="10"/>
          <w:szCs w:val="10"/>
          <w:color w:val="auto"/>
        </w:rPr>
        <w:t>as defendants. AbbVie alleges that the defendants</w:t>
      </w:r>
    </w:p>
    <w:p>
      <w:pPr>
        <w:spacing w:after="0" w:line="199" w:lineRule="auto"/>
        <w:rPr>
          <w:sz w:val="20"/>
          <w:szCs w:val="20"/>
          <w:color w:val="auto"/>
        </w:rPr>
      </w:pPr>
      <w:r>
        <w:rPr>
          <w:rFonts w:ascii="Arial" w:cs="Arial" w:eastAsia="Arial" w:hAnsi="Arial"/>
          <w:sz w:val="10"/>
          <w:szCs w:val="10"/>
          <w:color w:val="auto"/>
        </w:rPr>
        <w:t>have misappropriated AbbVie’s alleged trade</w:t>
      </w:r>
    </w:p>
    <w:p>
      <w:pPr>
        <w:spacing w:after="0" w:line="198" w:lineRule="auto"/>
        <w:rPr>
          <w:sz w:val="20"/>
          <w:szCs w:val="20"/>
          <w:color w:val="auto"/>
        </w:rPr>
      </w:pPr>
      <w:r>
        <w:rPr>
          <w:rFonts w:ascii="Arial" w:cs="Arial" w:eastAsia="Arial" w:hAnsi="Arial"/>
          <w:sz w:val="10"/>
          <w:szCs w:val="10"/>
          <w:color w:val="auto"/>
        </w:rPr>
        <w:t>secrets relating to the use of disaccharides to</w:t>
      </w:r>
    </w:p>
    <w:p>
      <w:pPr>
        <w:spacing w:after="0" w:line="199" w:lineRule="auto"/>
        <w:rPr>
          <w:sz w:val="20"/>
          <w:szCs w:val="20"/>
          <w:color w:val="auto"/>
        </w:rPr>
      </w:pPr>
      <w:r>
        <w:rPr>
          <w:rFonts w:ascii="Arial" w:cs="Arial" w:eastAsia="Arial" w:hAnsi="Arial"/>
          <w:sz w:val="10"/>
          <w:szCs w:val="10"/>
          <w:color w:val="auto"/>
        </w:rPr>
        <w:t>improve the hydrophilicity of drug-linkers in ADCs</w:t>
      </w:r>
    </w:p>
    <w:p>
      <w:pPr>
        <w:spacing w:after="0" w:line="199" w:lineRule="auto"/>
        <w:rPr>
          <w:sz w:val="20"/>
          <w:szCs w:val="20"/>
          <w:color w:val="auto"/>
        </w:rPr>
      </w:pPr>
      <w:r>
        <w:rPr>
          <w:rFonts w:ascii="Arial" w:cs="Arial" w:eastAsia="Arial" w:hAnsi="Arial"/>
          <w:sz w:val="10"/>
          <w:szCs w:val="10"/>
          <w:color w:val="auto"/>
        </w:rPr>
        <w:t>in connection with Rina-S and other ADC pipeline</w:t>
      </w:r>
    </w:p>
    <w:p>
      <w:pPr>
        <w:spacing w:after="0" w:line="198" w:lineRule="auto"/>
        <w:rPr>
          <w:sz w:val="20"/>
          <w:szCs w:val="20"/>
          <w:color w:val="auto"/>
        </w:rPr>
      </w:pPr>
      <w:r>
        <w:rPr>
          <w:rFonts w:ascii="Arial" w:cs="Arial" w:eastAsia="Arial" w:hAnsi="Arial"/>
          <w:sz w:val="10"/>
          <w:szCs w:val="10"/>
          <w:color w:val="auto"/>
        </w:rPr>
        <w:t>products of ProfoundBio. AbbVie is seeking</w:t>
      </w:r>
    </w:p>
    <w:p>
      <w:pPr>
        <w:spacing w:after="0" w:line="199" w:lineRule="auto"/>
        <w:rPr>
          <w:sz w:val="20"/>
          <w:szCs w:val="20"/>
          <w:color w:val="auto"/>
        </w:rPr>
      </w:pPr>
      <w:r>
        <w:rPr>
          <w:rFonts w:ascii="Arial" w:cs="Arial" w:eastAsia="Arial" w:hAnsi="Arial"/>
          <w:sz w:val="10"/>
          <w:szCs w:val="10"/>
          <w:color w:val="auto"/>
        </w:rPr>
        <w:t>damages and broad injunctive relief. AbbVie is not</w:t>
      </w:r>
    </w:p>
    <w:p>
      <w:pPr>
        <w:spacing w:after="0" w:line="199" w:lineRule="auto"/>
        <w:rPr>
          <w:sz w:val="20"/>
          <w:szCs w:val="20"/>
          <w:color w:val="auto"/>
        </w:rPr>
      </w:pPr>
      <w:r>
        <w:rPr>
          <w:rFonts w:ascii="Arial" w:cs="Arial" w:eastAsia="Arial" w:hAnsi="Arial"/>
          <w:sz w:val="10"/>
          <w:szCs w:val="10"/>
          <w:color w:val="auto"/>
        </w:rPr>
        <w:t>asserting or enforcing any patent rights against the</w:t>
      </w:r>
    </w:p>
    <w:p>
      <w:pPr>
        <w:spacing w:after="0" w:line="198" w:lineRule="auto"/>
        <w:rPr>
          <w:sz w:val="20"/>
          <w:szCs w:val="20"/>
          <w:color w:val="auto"/>
        </w:rPr>
      </w:pPr>
      <w:r>
        <w:rPr>
          <w:rFonts w:ascii="Arial" w:cs="Arial" w:eastAsia="Arial" w:hAnsi="Arial"/>
          <w:sz w:val="10"/>
          <w:szCs w:val="10"/>
          <w:color w:val="auto"/>
        </w:rPr>
        <w:t>defendants, and to Genmab’s knowledge, AbbVie</w:t>
      </w:r>
    </w:p>
    <w:p>
      <w:pPr>
        <w:spacing w:after="0" w:line="199" w:lineRule="auto"/>
        <w:rPr>
          <w:sz w:val="20"/>
          <w:szCs w:val="20"/>
          <w:color w:val="auto"/>
        </w:rPr>
      </w:pPr>
      <w:r>
        <w:rPr>
          <w:rFonts w:ascii="Arial" w:cs="Arial" w:eastAsia="Arial" w:hAnsi="Arial"/>
          <w:sz w:val="10"/>
          <w:szCs w:val="10"/>
          <w:color w:val="auto"/>
        </w:rPr>
        <w:t>has not pursued any development of products</w:t>
      </w:r>
    </w:p>
    <w:p>
      <w:pPr>
        <w:spacing w:after="0" w:line="198" w:lineRule="auto"/>
        <w:rPr>
          <w:sz w:val="20"/>
          <w:szCs w:val="20"/>
          <w:color w:val="auto"/>
        </w:rPr>
      </w:pPr>
      <w:r>
        <w:rPr>
          <w:rFonts w:ascii="Arial" w:cs="Arial" w:eastAsia="Arial" w:hAnsi="Arial"/>
          <w:sz w:val="10"/>
          <w:szCs w:val="10"/>
          <w:color w:val="auto"/>
        </w:rPr>
        <w:t>incorporating their alleged trade secrets. During</w:t>
      </w:r>
    </w:p>
    <w:p>
      <w:pPr>
        <w:spacing w:after="0" w:line="199" w:lineRule="auto"/>
        <w:rPr>
          <w:sz w:val="20"/>
          <w:szCs w:val="20"/>
          <w:color w:val="auto"/>
        </w:rPr>
      </w:pPr>
      <w:r>
        <w:rPr>
          <w:rFonts w:ascii="Arial" w:cs="Arial" w:eastAsia="Arial" w:hAnsi="Arial"/>
          <w:sz w:val="10"/>
          <w:szCs w:val="10"/>
          <w:color w:val="auto"/>
        </w:rPr>
        <w:t>the fourth quarter of 2025, AbbVie filed a complaint</w:t>
      </w:r>
    </w:p>
    <w:p>
      <w:pPr>
        <w:spacing w:after="0" w:line="199" w:lineRule="auto"/>
        <w:rPr>
          <w:sz w:val="20"/>
          <w:szCs w:val="20"/>
          <w:color w:val="auto"/>
        </w:rPr>
      </w:pPr>
      <w:r>
        <w:rPr>
          <w:rFonts w:ascii="Arial" w:cs="Arial" w:eastAsia="Arial" w:hAnsi="Arial"/>
          <w:sz w:val="10"/>
          <w:szCs w:val="10"/>
          <w:color w:val="auto"/>
        </w:rPr>
        <w:t>with the U.S. International Trade Commission (ITC)</w:t>
      </w:r>
    </w:p>
    <w:p>
      <w:pPr>
        <w:spacing w:after="0" w:line="198" w:lineRule="auto"/>
        <w:rPr>
          <w:sz w:val="20"/>
          <w:szCs w:val="20"/>
          <w:color w:val="auto"/>
        </w:rPr>
      </w:pPr>
      <w:r>
        <w:rPr>
          <w:rFonts w:ascii="Arial" w:cs="Arial" w:eastAsia="Arial" w:hAnsi="Arial"/>
          <w:sz w:val="10"/>
          <w:szCs w:val="10"/>
          <w:color w:val="auto"/>
        </w:rPr>
        <w:t>under Section 337 of the Tariff Act against</w:t>
      </w:r>
    </w:p>
    <w:p>
      <w:pPr>
        <w:spacing w:after="0" w:line="199" w:lineRule="auto"/>
        <w:rPr>
          <w:sz w:val="20"/>
          <w:szCs w:val="20"/>
          <w:color w:val="auto"/>
        </w:rPr>
      </w:pPr>
      <w:r>
        <w:rPr>
          <w:rFonts w:ascii="Arial" w:cs="Arial" w:eastAsia="Arial" w:hAnsi="Arial"/>
          <w:sz w:val="10"/>
          <w:szCs w:val="10"/>
          <w:color w:val="auto"/>
        </w:rPr>
        <w:t>ProfoundBio US Co.; ProfoundBio (Suzhou) Co.,</w:t>
      </w:r>
    </w:p>
    <w:p>
      <w:pPr>
        <w:spacing w:after="0" w:line="199" w:lineRule="auto"/>
        <w:rPr>
          <w:sz w:val="20"/>
          <w:szCs w:val="20"/>
          <w:color w:val="auto"/>
        </w:rPr>
      </w:pPr>
      <w:r>
        <w:rPr>
          <w:rFonts w:ascii="Arial" w:cs="Arial" w:eastAsia="Arial" w:hAnsi="Arial"/>
          <w:sz w:val="10"/>
          <w:szCs w:val="10"/>
          <w:color w:val="auto"/>
        </w:rPr>
        <w:t>Ltd.; Genmab A/S; Genmab B.V.; and Genmab US,</w:t>
      </w:r>
    </w:p>
    <w:p>
      <w:pPr>
        <w:spacing w:after="0" w:line="198" w:lineRule="auto"/>
        <w:rPr>
          <w:sz w:val="20"/>
          <w:szCs w:val="20"/>
          <w:color w:val="auto"/>
        </w:rPr>
      </w:pPr>
      <w:r>
        <w:rPr>
          <w:rFonts w:ascii="Arial" w:cs="Arial" w:eastAsia="Arial" w:hAnsi="Arial"/>
          <w:sz w:val="10"/>
          <w:szCs w:val="10"/>
          <w:color w:val="auto"/>
        </w:rPr>
        <w:t>Inc., seeking to exclude certain antibody drug</w:t>
      </w:r>
    </w:p>
    <w:p>
      <w:pPr>
        <w:spacing w:after="0" w:line="199" w:lineRule="auto"/>
        <w:rPr>
          <w:sz w:val="20"/>
          <w:szCs w:val="20"/>
          <w:color w:val="auto"/>
        </w:rPr>
      </w:pPr>
      <w:r>
        <w:rPr>
          <w:rFonts w:ascii="Arial" w:cs="Arial" w:eastAsia="Arial" w:hAnsi="Arial"/>
          <w:sz w:val="10"/>
          <w:szCs w:val="10"/>
          <w:color w:val="auto"/>
        </w:rPr>
        <w:t>conjugate products from importation into the United</w:t>
      </w:r>
    </w:p>
    <w:p>
      <w:pPr>
        <w:spacing w:after="0" w:line="199" w:lineRule="auto"/>
        <w:rPr>
          <w:sz w:val="20"/>
          <w:szCs w:val="20"/>
          <w:color w:val="auto"/>
        </w:rPr>
      </w:pPr>
      <w:r>
        <w:rPr>
          <w:rFonts w:ascii="Arial" w:cs="Arial" w:eastAsia="Arial" w:hAnsi="Arial"/>
          <w:sz w:val="10"/>
          <w:szCs w:val="10"/>
          <w:color w:val="auto"/>
        </w:rPr>
        <w:t>States. The district court action has since been</w:t>
      </w:r>
    </w:p>
    <w:p>
      <w:pPr>
        <w:spacing w:after="0" w:line="198" w:lineRule="auto"/>
        <w:rPr>
          <w:sz w:val="20"/>
          <w:szCs w:val="20"/>
          <w:color w:val="auto"/>
        </w:rPr>
      </w:pPr>
      <w:r>
        <w:rPr>
          <w:rFonts w:ascii="Arial" w:cs="Arial" w:eastAsia="Arial" w:hAnsi="Arial"/>
          <w:sz w:val="10"/>
          <w:szCs w:val="10"/>
          <w:color w:val="auto"/>
        </w:rPr>
        <w:t>stayed. The ITC complaint is based on allegations</w:t>
      </w:r>
    </w:p>
    <w:p>
      <w:pPr>
        <w:spacing w:after="0" w:line="199" w:lineRule="auto"/>
        <w:rPr>
          <w:sz w:val="20"/>
          <w:szCs w:val="20"/>
          <w:color w:val="auto"/>
        </w:rPr>
      </w:pPr>
      <w:r>
        <w:rPr>
          <w:rFonts w:ascii="Arial" w:cs="Arial" w:eastAsia="Arial" w:hAnsi="Arial"/>
          <w:sz w:val="10"/>
          <w:szCs w:val="10"/>
          <w:color w:val="auto"/>
        </w:rPr>
        <w:t>that are substantially similar to those asserted in</w:t>
      </w:r>
    </w:p>
    <w:p>
      <w:pPr>
        <w:spacing w:after="0" w:line="199" w:lineRule="auto"/>
        <w:rPr>
          <w:sz w:val="20"/>
          <w:szCs w:val="20"/>
          <w:color w:val="auto"/>
        </w:rPr>
      </w:pPr>
      <w:r>
        <w:rPr>
          <w:rFonts w:ascii="Arial" w:cs="Arial" w:eastAsia="Arial" w:hAnsi="Arial"/>
          <w:sz w:val="10"/>
          <w:szCs w:val="10"/>
          <w:color w:val="auto"/>
        </w:rPr>
        <w:t>the Washington district court action.</w:t>
      </w:r>
    </w:p>
    <w:p>
      <w:pPr>
        <w:spacing w:after="0" w:line="198" w:lineRule="auto"/>
        <w:rPr>
          <w:sz w:val="20"/>
          <w:szCs w:val="20"/>
          <w:color w:val="auto"/>
        </w:rPr>
      </w:pPr>
      <w:r>
        <w:rPr>
          <w:rFonts w:ascii="Arial" w:cs="Arial" w:eastAsia="Arial" w:hAnsi="Arial"/>
          <w:sz w:val="10"/>
          <w:szCs w:val="10"/>
          <w:color w:val="auto"/>
        </w:rPr>
        <w:t>Genmab categorically refutes these allegations and</w:t>
      </w:r>
    </w:p>
    <w:p>
      <w:pPr>
        <w:spacing w:after="0"/>
        <w:rPr>
          <w:sz w:val="20"/>
          <w:szCs w:val="20"/>
          <w:color w:val="auto"/>
        </w:rPr>
      </w:pPr>
      <w:r>
        <w:rPr>
          <w:rFonts w:ascii="Arial" w:cs="Arial" w:eastAsia="Arial" w:hAnsi="Arial"/>
          <w:sz w:val="10"/>
          <w:szCs w:val="10"/>
          <w:color w:val="auto"/>
        </w:rPr>
        <w:t>will vigorously defend the Company against</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45</w:t>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28" w:lineRule="exact"/>
        <w:rPr>
          <w:rFonts w:ascii="Arial" w:cs="Arial" w:eastAsia="Arial" w:hAnsi="Arial"/>
          <w:sz w:val="10"/>
          <w:szCs w:val="10"/>
          <w:b w:val="1"/>
          <w:bCs w:val="1"/>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46</w:t>
      </w:r>
    </w:p>
    <w:p>
      <w:pPr>
        <w:sectPr>
          <w:pgSz w:w="11900" w:h="16840" w:orient="portrait"/>
          <w:cols w:equalWidth="0" w:num="2">
            <w:col w:w="7400" w:space="720"/>
            <w:col w:w="1700"/>
          </w:cols>
          <w:pgMar w:left="640" w:top="571" w:right="1440" w:bottom="457" w:gutter="0" w:footer="0" w:header="0"/>
        </w:sectPr>
      </w:pPr>
    </w:p>
    <w:bookmarkStart w:id="104" w:name="page105"/>
    <w:bookmarkEnd w:id="104"/>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5" w:name="page106"/>
    <w:bookmarkEnd w:id="105"/>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6" w:name="page107"/>
    <w:bookmarkEnd w:id="106"/>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45"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3"/>
          <w:szCs w:val="33"/>
          <w:color w:val="009D94"/>
        </w:rPr>
        <w:t>Corporate Governance</w:t>
      </w:r>
    </w:p>
    <w:p>
      <w:pPr>
        <w:spacing w:after="0" w:line="198" w:lineRule="auto"/>
        <w:rPr>
          <w:sz w:val="20"/>
          <w:szCs w:val="20"/>
          <w:color w:val="auto"/>
        </w:rPr>
      </w:pPr>
      <w:r>
        <w:rPr>
          <w:rFonts w:ascii="Arial" w:cs="Arial" w:eastAsia="Arial" w:hAnsi="Arial"/>
          <w:sz w:val="14"/>
          <w:szCs w:val="14"/>
          <w:color w:val="auto"/>
        </w:rPr>
        <w:t>Genmab works diligently to improve</w:t>
      </w:r>
    </w:p>
    <w:p>
      <w:pPr>
        <w:spacing w:after="0" w:line="199" w:lineRule="auto"/>
        <w:rPr>
          <w:sz w:val="20"/>
          <w:szCs w:val="20"/>
          <w:color w:val="auto"/>
        </w:rPr>
      </w:pPr>
      <w:r>
        <w:rPr>
          <w:rFonts w:ascii="Arial" w:cs="Arial" w:eastAsia="Arial" w:hAnsi="Arial"/>
          <w:sz w:val="14"/>
          <w:szCs w:val="14"/>
          <w:color w:val="auto"/>
        </w:rPr>
        <w:t>its guidelines and policies for</w:t>
      </w:r>
    </w:p>
    <w:p>
      <w:pPr>
        <w:spacing w:after="0" w:line="198" w:lineRule="auto"/>
        <w:rPr>
          <w:sz w:val="20"/>
          <w:szCs w:val="20"/>
          <w:color w:val="auto"/>
        </w:rPr>
      </w:pPr>
      <w:r>
        <w:rPr>
          <w:rFonts w:ascii="Arial" w:cs="Arial" w:eastAsia="Arial" w:hAnsi="Arial"/>
          <w:sz w:val="14"/>
          <w:szCs w:val="14"/>
          <w:color w:val="auto"/>
        </w:rPr>
        <w:t>corporate governance, taking</w:t>
      </w:r>
    </w:p>
    <w:p>
      <w:pPr>
        <w:spacing w:after="0" w:line="199" w:lineRule="auto"/>
        <w:rPr>
          <w:sz w:val="20"/>
          <w:szCs w:val="20"/>
          <w:color w:val="auto"/>
        </w:rPr>
      </w:pPr>
      <w:r>
        <w:rPr>
          <w:rFonts w:ascii="Arial" w:cs="Arial" w:eastAsia="Arial" w:hAnsi="Arial"/>
          <w:sz w:val="14"/>
          <w:szCs w:val="14"/>
          <w:color w:val="auto"/>
        </w:rPr>
        <w:t>into account the recent trends</w:t>
      </w:r>
    </w:p>
    <w:p>
      <w:pPr>
        <w:spacing w:after="0" w:line="199" w:lineRule="auto"/>
        <w:rPr>
          <w:sz w:val="20"/>
          <w:szCs w:val="20"/>
          <w:color w:val="auto"/>
        </w:rPr>
      </w:pPr>
      <w:r>
        <w:rPr>
          <w:rFonts w:ascii="Arial" w:cs="Arial" w:eastAsia="Arial" w:hAnsi="Arial"/>
          <w:sz w:val="14"/>
          <w:szCs w:val="14"/>
          <w:color w:val="auto"/>
        </w:rPr>
        <w:t>in international and domestic</w:t>
      </w:r>
    </w:p>
    <w:p>
      <w:pPr>
        <w:spacing w:after="0" w:line="198" w:lineRule="auto"/>
        <w:rPr>
          <w:sz w:val="20"/>
          <w:szCs w:val="20"/>
          <w:color w:val="auto"/>
        </w:rPr>
      </w:pPr>
      <w:r>
        <w:rPr>
          <w:rFonts w:ascii="Arial" w:cs="Arial" w:eastAsia="Arial" w:hAnsi="Arial"/>
          <w:sz w:val="14"/>
          <w:szCs w:val="14"/>
          <w:color w:val="auto"/>
        </w:rPr>
        <w:t>requirements and recommendations.</w:t>
      </w:r>
    </w:p>
    <w:p>
      <w:pPr>
        <w:spacing w:after="0" w:line="199" w:lineRule="auto"/>
        <w:rPr>
          <w:sz w:val="20"/>
          <w:szCs w:val="20"/>
          <w:color w:val="auto"/>
        </w:rPr>
      </w:pPr>
      <w:r>
        <w:rPr>
          <w:rFonts w:ascii="Arial" w:cs="Arial" w:eastAsia="Arial" w:hAnsi="Arial"/>
          <w:sz w:val="14"/>
          <w:szCs w:val="14"/>
          <w:color w:val="auto"/>
        </w:rPr>
        <w:t>Genmab’s commitment to corporate</w:t>
      </w:r>
    </w:p>
    <w:p>
      <w:pPr>
        <w:spacing w:after="0" w:line="199" w:lineRule="auto"/>
        <w:rPr>
          <w:sz w:val="20"/>
          <w:szCs w:val="20"/>
          <w:color w:val="auto"/>
        </w:rPr>
      </w:pPr>
      <w:r>
        <w:rPr>
          <w:rFonts w:ascii="Arial" w:cs="Arial" w:eastAsia="Arial" w:hAnsi="Arial"/>
          <w:sz w:val="14"/>
          <w:szCs w:val="14"/>
          <w:color w:val="auto"/>
        </w:rPr>
        <w:t>governance is based on ethics and</w:t>
      </w:r>
    </w:p>
    <w:p>
      <w:pPr>
        <w:spacing w:after="0" w:line="198" w:lineRule="auto"/>
        <w:rPr>
          <w:sz w:val="20"/>
          <w:szCs w:val="20"/>
          <w:color w:val="auto"/>
        </w:rPr>
      </w:pPr>
      <w:r>
        <w:rPr>
          <w:rFonts w:ascii="Arial" w:cs="Arial" w:eastAsia="Arial" w:hAnsi="Arial"/>
          <w:sz w:val="14"/>
          <w:szCs w:val="14"/>
          <w:color w:val="auto"/>
        </w:rPr>
        <w:t>integrity and forms the basis of its</w:t>
      </w:r>
    </w:p>
    <w:p>
      <w:pPr>
        <w:spacing w:after="0" w:line="199" w:lineRule="auto"/>
        <w:rPr>
          <w:sz w:val="20"/>
          <w:szCs w:val="20"/>
          <w:color w:val="auto"/>
        </w:rPr>
      </w:pPr>
      <w:r>
        <w:rPr>
          <w:rFonts w:ascii="Arial" w:cs="Arial" w:eastAsia="Arial" w:hAnsi="Arial"/>
          <w:sz w:val="14"/>
          <w:szCs w:val="14"/>
          <w:color w:val="auto"/>
        </w:rPr>
        <w:t>effort to strengthen the confidence</w:t>
      </w:r>
    </w:p>
    <w:p>
      <w:pPr>
        <w:spacing w:after="0" w:line="199" w:lineRule="auto"/>
        <w:rPr>
          <w:sz w:val="20"/>
          <w:szCs w:val="20"/>
          <w:color w:val="auto"/>
        </w:rPr>
      </w:pPr>
      <w:r>
        <w:rPr>
          <w:rFonts w:ascii="Arial" w:cs="Arial" w:eastAsia="Arial" w:hAnsi="Arial"/>
          <w:sz w:val="14"/>
          <w:szCs w:val="14"/>
          <w:color w:val="auto"/>
        </w:rPr>
        <w:t>that existing and future shareholders,</w:t>
      </w:r>
    </w:p>
    <w:p>
      <w:pPr>
        <w:spacing w:after="0" w:line="198" w:lineRule="auto"/>
        <w:rPr>
          <w:sz w:val="20"/>
          <w:szCs w:val="20"/>
          <w:color w:val="auto"/>
        </w:rPr>
      </w:pPr>
      <w:r>
        <w:rPr>
          <w:rFonts w:ascii="Arial" w:cs="Arial" w:eastAsia="Arial" w:hAnsi="Arial"/>
          <w:sz w:val="14"/>
          <w:szCs w:val="14"/>
          <w:color w:val="auto"/>
        </w:rPr>
        <w:t>partners, employees, and other</w:t>
      </w:r>
    </w:p>
    <w:p>
      <w:pPr>
        <w:spacing w:after="0" w:line="199" w:lineRule="auto"/>
        <w:rPr>
          <w:sz w:val="20"/>
          <w:szCs w:val="20"/>
          <w:color w:val="auto"/>
        </w:rPr>
      </w:pPr>
      <w:r>
        <w:rPr>
          <w:rFonts w:ascii="Arial" w:cs="Arial" w:eastAsia="Arial" w:hAnsi="Arial"/>
          <w:sz w:val="14"/>
          <w:szCs w:val="14"/>
          <w:color w:val="auto"/>
        </w:rPr>
        <w:t>stakeholders have in Genmab.</w:t>
      </w:r>
    </w:p>
    <w:p>
      <w:pPr>
        <w:spacing w:after="0" w:line="198" w:lineRule="auto"/>
        <w:rPr>
          <w:sz w:val="20"/>
          <w:szCs w:val="20"/>
          <w:color w:val="auto"/>
        </w:rPr>
      </w:pPr>
      <w:r>
        <w:rPr>
          <w:rFonts w:ascii="Arial" w:cs="Arial" w:eastAsia="Arial" w:hAnsi="Arial"/>
          <w:sz w:val="14"/>
          <w:szCs w:val="14"/>
          <w:color w:val="auto"/>
        </w:rPr>
        <w:t>The role of shareholders and their</w:t>
      </w:r>
    </w:p>
    <w:p>
      <w:pPr>
        <w:spacing w:after="0" w:line="199" w:lineRule="auto"/>
        <w:rPr>
          <w:sz w:val="20"/>
          <w:szCs w:val="20"/>
          <w:color w:val="auto"/>
        </w:rPr>
      </w:pPr>
      <w:r>
        <w:rPr>
          <w:rFonts w:ascii="Arial" w:cs="Arial" w:eastAsia="Arial" w:hAnsi="Arial"/>
          <w:sz w:val="14"/>
          <w:szCs w:val="14"/>
          <w:color w:val="auto"/>
        </w:rPr>
        <w:t>interaction with Genmab is important.</w:t>
      </w:r>
    </w:p>
    <w:p>
      <w:pPr>
        <w:spacing w:after="0" w:line="199" w:lineRule="auto"/>
        <w:rPr>
          <w:sz w:val="20"/>
          <w:szCs w:val="20"/>
          <w:color w:val="auto"/>
        </w:rPr>
      </w:pPr>
      <w:r>
        <w:rPr>
          <w:rFonts w:ascii="Arial" w:cs="Arial" w:eastAsia="Arial" w:hAnsi="Arial"/>
          <w:sz w:val="14"/>
          <w:szCs w:val="14"/>
          <w:color w:val="auto"/>
        </w:rPr>
        <w:t>Genmab believes that open and</w:t>
      </w:r>
    </w:p>
    <w:p>
      <w:pPr>
        <w:spacing w:after="0" w:line="198" w:lineRule="auto"/>
        <w:rPr>
          <w:sz w:val="20"/>
          <w:szCs w:val="20"/>
          <w:color w:val="auto"/>
        </w:rPr>
      </w:pPr>
      <w:r>
        <w:rPr>
          <w:rFonts w:ascii="Arial" w:cs="Arial" w:eastAsia="Arial" w:hAnsi="Arial"/>
          <w:sz w:val="14"/>
          <w:szCs w:val="14"/>
          <w:color w:val="auto"/>
        </w:rPr>
        <w:t>transparent communication is</w:t>
      </w:r>
    </w:p>
    <w:p>
      <w:pPr>
        <w:spacing w:after="0" w:line="199" w:lineRule="auto"/>
        <w:rPr>
          <w:sz w:val="20"/>
          <w:szCs w:val="20"/>
          <w:color w:val="auto"/>
        </w:rPr>
      </w:pPr>
      <w:r>
        <w:rPr>
          <w:rFonts w:ascii="Arial" w:cs="Arial" w:eastAsia="Arial" w:hAnsi="Arial"/>
          <w:sz w:val="14"/>
          <w:szCs w:val="14"/>
          <w:color w:val="auto"/>
        </w:rPr>
        <w:t>necessary to maintain the confidence</w:t>
      </w:r>
    </w:p>
    <w:p>
      <w:pPr>
        <w:spacing w:after="0" w:line="199" w:lineRule="auto"/>
        <w:rPr>
          <w:sz w:val="20"/>
          <w:szCs w:val="20"/>
          <w:color w:val="auto"/>
        </w:rPr>
      </w:pPr>
      <w:r>
        <w:rPr>
          <w:rFonts w:ascii="Arial" w:cs="Arial" w:eastAsia="Arial" w:hAnsi="Arial"/>
          <w:sz w:val="14"/>
          <w:szCs w:val="14"/>
          <w:color w:val="auto"/>
        </w:rPr>
        <w:t>of Genmab’s shareholders and</w:t>
      </w:r>
    </w:p>
    <w:p>
      <w:pPr>
        <w:spacing w:after="0" w:line="198" w:lineRule="auto"/>
        <w:rPr>
          <w:sz w:val="20"/>
          <w:szCs w:val="20"/>
          <w:color w:val="auto"/>
        </w:rPr>
      </w:pPr>
      <w:r>
        <w:rPr>
          <w:rFonts w:ascii="Arial" w:cs="Arial" w:eastAsia="Arial" w:hAnsi="Arial"/>
          <w:sz w:val="14"/>
          <w:szCs w:val="14"/>
          <w:color w:val="auto"/>
        </w:rPr>
        <w:t>achieves this through company</w:t>
      </w:r>
    </w:p>
    <w:p>
      <w:pPr>
        <w:spacing w:after="0" w:line="199" w:lineRule="auto"/>
        <w:rPr>
          <w:sz w:val="20"/>
          <w:szCs w:val="20"/>
          <w:color w:val="auto"/>
        </w:rPr>
      </w:pPr>
      <w:r>
        <w:rPr>
          <w:rFonts w:ascii="Arial" w:cs="Arial" w:eastAsia="Arial" w:hAnsi="Arial"/>
          <w:sz w:val="14"/>
          <w:szCs w:val="14"/>
          <w:color w:val="auto"/>
        </w:rPr>
        <w:t>announcements, investor meetings</w:t>
      </w:r>
    </w:p>
    <w:p>
      <w:pPr>
        <w:spacing w:after="0" w:line="199" w:lineRule="auto"/>
        <w:rPr>
          <w:sz w:val="20"/>
          <w:szCs w:val="20"/>
          <w:color w:val="auto"/>
        </w:rPr>
      </w:pPr>
      <w:r>
        <w:rPr>
          <w:rFonts w:ascii="Arial" w:cs="Arial" w:eastAsia="Arial" w:hAnsi="Arial"/>
          <w:sz w:val="14"/>
          <w:szCs w:val="14"/>
          <w:color w:val="auto"/>
        </w:rPr>
        <w:t>and company presentations. Genmab</w:t>
      </w:r>
    </w:p>
    <w:p>
      <w:pPr>
        <w:spacing w:after="0" w:line="198" w:lineRule="auto"/>
        <w:rPr>
          <w:sz w:val="20"/>
          <w:szCs w:val="20"/>
          <w:color w:val="auto"/>
        </w:rPr>
      </w:pPr>
      <w:r>
        <w:rPr>
          <w:rFonts w:ascii="Arial" w:cs="Arial" w:eastAsia="Arial" w:hAnsi="Arial"/>
          <w:sz w:val="14"/>
          <w:szCs w:val="14"/>
          <w:color w:val="auto"/>
        </w:rPr>
        <w:t>is committed to providing reliable</w:t>
      </w:r>
    </w:p>
    <w:p>
      <w:pPr>
        <w:spacing w:after="0" w:line="199" w:lineRule="auto"/>
        <w:rPr>
          <w:sz w:val="20"/>
          <w:szCs w:val="20"/>
          <w:color w:val="auto"/>
        </w:rPr>
      </w:pPr>
      <w:r>
        <w:rPr>
          <w:rFonts w:ascii="Arial" w:cs="Arial" w:eastAsia="Arial" w:hAnsi="Arial"/>
          <w:sz w:val="14"/>
          <w:szCs w:val="14"/>
          <w:color w:val="auto"/>
        </w:rPr>
        <w:t>and transparent information about</w:t>
      </w:r>
    </w:p>
    <w:p>
      <w:pPr>
        <w:spacing w:after="0" w:line="198" w:lineRule="auto"/>
        <w:rPr>
          <w:sz w:val="20"/>
          <w:szCs w:val="20"/>
          <w:color w:val="auto"/>
        </w:rPr>
      </w:pPr>
      <w:r>
        <w:rPr>
          <w:rFonts w:ascii="Arial" w:cs="Arial" w:eastAsia="Arial" w:hAnsi="Arial"/>
          <w:sz w:val="14"/>
          <w:szCs w:val="14"/>
          <w:color w:val="auto"/>
        </w:rPr>
        <w:t>its business, financial results,</w:t>
      </w:r>
    </w:p>
    <w:p>
      <w:pPr>
        <w:spacing w:after="0" w:line="199" w:lineRule="auto"/>
        <w:rPr>
          <w:sz w:val="20"/>
          <w:szCs w:val="20"/>
          <w:color w:val="auto"/>
        </w:rPr>
      </w:pPr>
      <w:r>
        <w:rPr>
          <w:rFonts w:ascii="Arial" w:cs="Arial" w:eastAsia="Arial" w:hAnsi="Arial"/>
          <w:sz w:val="14"/>
          <w:szCs w:val="14"/>
          <w:color w:val="auto"/>
        </w:rPr>
        <w:t>development programs and scientific</w:t>
      </w:r>
    </w:p>
    <w:p>
      <w:pPr>
        <w:spacing w:after="0" w:line="208" w:lineRule="auto"/>
        <w:rPr>
          <w:sz w:val="20"/>
          <w:szCs w:val="20"/>
          <w:color w:val="auto"/>
        </w:rPr>
      </w:pPr>
      <w:r>
        <w:rPr>
          <w:rFonts w:ascii="Arial" w:cs="Arial" w:eastAsia="Arial" w:hAnsi="Arial"/>
          <w:sz w:val="14"/>
          <w:szCs w:val="14"/>
          <w:color w:val="auto"/>
        </w:rPr>
        <w:t>results in a clear and timely manner.</w:t>
      </w:r>
    </w:p>
    <w:p>
      <w:pPr>
        <w:spacing w:after="0" w:line="198" w:lineRule="auto"/>
        <w:rPr>
          <w:sz w:val="20"/>
          <w:szCs w:val="20"/>
          <w:color w:val="auto"/>
        </w:rPr>
      </w:pPr>
      <w:r>
        <w:rPr>
          <w:rFonts w:ascii="Arial" w:cs="Arial" w:eastAsia="Arial" w:hAnsi="Arial"/>
          <w:sz w:val="10"/>
          <w:szCs w:val="10"/>
          <w:color w:val="auto"/>
        </w:rPr>
        <w:t>All Danish companies listed on the Nasdaq</w:t>
      </w:r>
    </w:p>
    <w:p>
      <w:pPr>
        <w:spacing w:after="0" w:line="199" w:lineRule="auto"/>
        <w:rPr>
          <w:sz w:val="20"/>
          <w:szCs w:val="20"/>
          <w:color w:val="auto"/>
        </w:rPr>
      </w:pPr>
      <w:r>
        <w:rPr>
          <w:rFonts w:ascii="Arial" w:cs="Arial" w:eastAsia="Arial" w:hAnsi="Arial"/>
          <w:sz w:val="10"/>
          <w:szCs w:val="10"/>
          <w:color w:val="auto"/>
        </w:rPr>
        <w:t>Copenhagen are required to disclose in their annual</w:t>
      </w:r>
    </w:p>
    <w:p>
      <w:pPr>
        <w:spacing w:after="0" w:line="198" w:lineRule="auto"/>
        <w:rPr>
          <w:sz w:val="20"/>
          <w:szCs w:val="20"/>
          <w:color w:val="auto"/>
        </w:rPr>
      </w:pPr>
      <w:r>
        <w:rPr>
          <w:rFonts w:ascii="Arial" w:cs="Arial" w:eastAsia="Arial" w:hAnsi="Arial"/>
          <w:sz w:val="10"/>
          <w:szCs w:val="10"/>
          <w:color w:val="auto"/>
        </w:rPr>
        <w:t>reports how they address the Recommendations for</w:t>
      </w:r>
    </w:p>
    <w:p>
      <w:pPr>
        <w:spacing w:after="0" w:line="199" w:lineRule="auto"/>
        <w:rPr>
          <w:sz w:val="20"/>
          <w:szCs w:val="20"/>
          <w:color w:val="auto"/>
        </w:rPr>
      </w:pPr>
      <w:r>
        <w:rPr>
          <w:rFonts w:ascii="Arial" w:cs="Arial" w:eastAsia="Arial" w:hAnsi="Arial"/>
          <w:sz w:val="10"/>
          <w:szCs w:val="10"/>
          <w:color w:val="auto"/>
        </w:rPr>
        <w:t>Corporate Governance issued by the Committee on</w:t>
      </w:r>
    </w:p>
    <w:p>
      <w:pPr>
        <w:spacing w:after="0" w:line="199" w:lineRule="auto"/>
        <w:rPr>
          <w:sz w:val="20"/>
          <w:szCs w:val="20"/>
          <w:color w:val="auto"/>
        </w:rPr>
      </w:pPr>
      <w:r>
        <w:rPr>
          <w:rFonts w:ascii="Arial" w:cs="Arial" w:eastAsia="Arial" w:hAnsi="Arial"/>
          <w:sz w:val="10"/>
          <w:szCs w:val="10"/>
          <w:color w:val="auto"/>
        </w:rPr>
        <w:t>Corporate Governance in December 2020 (the</w:t>
      </w:r>
    </w:p>
    <w:p>
      <w:pPr>
        <w:spacing w:after="0" w:line="198" w:lineRule="auto"/>
        <w:rPr>
          <w:sz w:val="20"/>
          <w:szCs w:val="20"/>
          <w:color w:val="auto"/>
        </w:rPr>
      </w:pPr>
      <w:r>
        <w:rPr>
          <w:rFonts w:ascii="Arial" w:cs="Arial" w:eastAsia="Arial" w:hAnsi="Arial"/>
          <w:sz w:val="10"/>
          <w:szCs w:val="10"/>
          <w:color w:val="auto"/>
        </w:rPr>
        <w:t>“Recommendations”), applying the “comply-or-</w:t>
      </w:r>
    </w:p>
    <w:p>
      <w:pPr>
        <w:spacing w:after="0" w:line="199" w:lineRule="auto"/>
        <w:rPr>
          <w:sz w:val="20"/>
          <w:szCs w:val="20"/>
          <w:color w:val="auto"/>
        </w:rPr>
      </w:pPr>
      <w:r>
        <w:rPr>
          <w:rFonts w:ascii="Arial" w:cs="Arial" w:eastAsia="Arial" w:hAnsi="Arial"/>
          <w:sz w:val="10"/>
          <w:szCs w:val="10"/>
          <w:color w:val="auto"/>
        </w:rPr>
        <w:t>explain” principle.</w:t>
      </w:r>
    </w:p>
    <w:p>
      <w:pPr>
        <w:spacing w:after="0" w:line="199" w:lineRule="auto"/>
        <w:rPr>
          <w:sz w:val="20"/>
          <w:szCs w:val="20"/>
          <w:color w:val="auto"/>
        </w:rPr>
      </w:pPr>
      <w:r>
        <w:rPr>
          <w:rFonts w:ascii="Arial" w:cs="Arial" w:eastAsia="Arial" w:hAnsi="Arial"/>
          <w:sz w:val="10"/>
          <w:szCs w:val="10"/>
          <w:color w:val="auto"/>
        </w:rPr>
        <w:t>Genmab follows the Recommendations, except</w:t>
      </w:r>
    </w:p>
    <w:p>
      <w:pPr>
        <w:spacing w:after="0" w:line="198" w:lineRule="auto"/>
        <w:rPr>
          <w:sz w:val="20"/>
          <w:szCs w:val="20"/>
          <w:color w:val="auto"/>
        </w:rPr>
      </w:pPr>
      <w:r>
        <w:rPr>
          <w:rFonts w:ascii="Arial" w:cs="Arial" w:eastAsia="Arial" w:hAnsi="Arial"/>
          <w:sz w:val="10"/>
          <w:szCs w:val="10"/>
          <w:color w:val="auto"/>
        </w:rPr>
        <w:t>for one specific sub-area where Genmab’s</w:t>
      </w:r>
    </w:p>
    <w:p>
      <w:pPr>
        <w:spacing w:after="0" w:line="199" w:lineRule="auto"/>
        <w:rPr>
          <w:sz w:val="20"/>
          <w:szCs w:val="20"/>
          <w:color w:val="auto"/>
        </w:rPr>
      </w:pPr>
      <w:r>
        <w:rPr>
          <w:rFonts w:ascii="Arial" w:cs="Arial" w:eastAsia="Arial" w:hAnsi="Arial"/>
          <w:sz w:val="10"/>
          <w:szCs w:val="10"/>
          <w:color w:val="auto"/>
        </w:rPr>
        <w:t>corporate governance principles differ from</w:t>
      </w:r>
    </w:p>
    <w:p>
      <w:pPr>
        <w:spacing w:after="0" w:line="199" w:lineRule="auto"/>
        <w:rPr>
          <w:sz w:val="20"/>
          <w:szCs w:val="20"/>
          <w:color w:val="auto"/>
        </w:rPr>
      </w:pPr>
      <w:r>
        <w:rPr>
          <w:rFonts w:ascii="Arial" w:cs="Arial" w:eastAsia="Arial" w:hAnsi="Arial"/>
          <w:sz w:val="10"/>
          <w:szCs w:val="10"/>
          <w:color w:val="auto"/>
        </w:rPr>
        <w:t>the Recommendations. The Recommendations</w:t>
      </w:r>
    </w:p>
    <w:p>
      <w:pPr>
        <w:spacing w:after="0" w:line="198" w:lineRule="auto"/>
        <w:rPr>
          <w:sz w:val="20"/>
          <w:szCs w:val="20"/>
          <w:color w:val="auto"/>
        </w:rPr>
      </w:pPr>
      <w:r>
        <w:rPr>
          <w:rFonts w:ascii="Arial" w:cs="Arial" w:eastAsia="Arial" w:hAnsi="Arial"/>
          <w:sz w:val="10"/>
          <w:szCs w:val="10"/>
          <w:color w:val="auto"/>
        </w:rPr>
        <w:t>provide that according to a company’s takeover</w:t>
      </w:r>
    </w:p>
    <w:p>
      <w:pPr>
        <w:spacing w:after="0" w:line="199" w:lineRule="auto"/>
        <w:rPr>
          <w:sz w:val="20"/>
          <w:szCs w:val="20"/>
          <w:color w:val="auto"/>
        </w:rPr>
      </w:pPr>
      <w:r>
        <w:rPr>
          <w:rFonts w:ascii="Arial" w:cs="Arial" w:eastAsia="Arial" w:hAnsi="Arial"/>
          <w:sz w:val="10"/>
          <w:szCs w:val="10"/>
          <w:color w:val="auto"/>
        </w:rPr>
        <w:t>contingency procedures, the Board abstains from</w:t>
      </w:r>
    </w:p>
    <w:p>
      <w:pPr>
        <w:spacing w:after="0" w:line="198" w:lineRule="auto"/>
        <w:rPr>
          <w:sz w:val="20"/>
          <w:szCs w:val="20"/>
          <w:color w:val="auto"/>
        </w:rPr>
      </w:pPr>
      <w:r>
        <w:rPr>
          <w:rFonts w:ascii="Arial" w:cs="Arial" w:eastAsia="Arial" w:hAnsi="Arial"/>
          <w:sz w:val="10"/>
          <w:szCs w:val="10"/>
          <w:color w:val="auto"/>
        </w:rPr>
        <w:t>countering any takeover bids by taking actions that</w:t>
      </w:r>
    </w:p>
    <w:p>
      <w:pPr>
        <w:spacing w:after="0" w:line="199" w:lineRule="auto"/>
        <w:rPr>
          <w:sz w:val="20"/>
          <w:szCs w:val="20"/>
          <w:color w:val="auto"/>
        </w:rPr>
      </w:pPr>
      <w:r>
        <w:rPr>
          <w:rFonts w:ascii="Arial" w:cs="Arial" w:eastAsia="Arial" w:hAnsi="Arial"/>
          <w:sz w:val="10"/>
          <w:szCs w:val="10"/>
          <w:color w:val="auto"/>
        </w:rPr>
        <w:t>seek to prevent the shareholders from deciding on</w:t>
      </w:r>
    </w:p>
    <w:p>
      <w:pPr>
        <w:spacing w:after="0" w:line="199" w:lineRule="auto"/>
        <w:rPr>
          <w:sz w:val="20"/>
          <w:szCs w:val="20"/>
          <w:color w:val="auto"/>
        </w:rPr>
      </w:pPr>
      <w:r>
        <w:rPr>
          <w:rFonts w:ascii="Arial" w:cs="Arial" w:eastAsia="Arial" w:hAnsi="Arial"/>
          <w:sz w:val="10"/>
          <w:szCs w:val="10"/>
          <w:color w:val="auto"/>
        </w:rPr>
        <w:t>the takeover bid, without the approval of the</w:t>
      </w:r>
    </w:p>
    <w:p>
      <w:pPr>
        <w:spacing w:after="0" w:line="198" w:lineRule="auto"/>
        <w:rPr>
          <w:sz w:val="20"/>
          <w:szCs w:val="20"/>
          <w:color w:val="auto"/>
        </w:rPr>
      </w:pPr>
      <w:r>
        <w:rPr>
          <w:rFonts w:ascii="Arial" w:cs="Arial" w:eastAsia="Arial" w:hAnsi="Arial"/>
          <w:sz w:val="10"/>
          <w:szCs w:val="10"/>
          <w:color w:val="auto"/>
        </w:rPr>
        <w:t>general meeting. Genmab does not have such a</w:t>
      </w:r>
    </w:p>
    <w:p>
      <w:pPr>
        <w:spacing w:after="0" w:line="199" w:lineRule="auto"/>
        <w:rPr>
          <w:sz w:val="20"/>
          <w:szCs w:val="20"/>
          <w:color w:val="auto"/>
        </w:rPr>
      </w:pPr>
      <w:r>
        <w:rPr>
          <w:rFonts w:ascii="Arial" w:cs="Arial" w:eastAsia="Arial" w:hAnsi="Arial"/>
          <w:sz w:val="10"/>
          <w:szCs w:val="10"/>
          <w:color w:val="auto"/>
        </w:rPr>
        <w:t>restriction in its takeover contingency procedures</w:t>
      </w:r>
    </w:p>
    <w:p>
      <w:pPr>
        <w:spacing w:after="0" w:line="199" w:lineRule="auto"/>
        <w:rPr>
          <w:sz w:val="20"/>
          <w:szCs w:val="20"/>
          <w:color w:val="auto"/>
        </w:rPr>
      </w:pPr>
      <w:r>
        <w:rPr>
          <w:rFonts w:ascii="Arial" w:cs="Arial" w:eastAsia="Arial" w:hAnsi="Arial"/>
          <w:sz w:val="10"/>
          <w:szCs w:val="10"/>
          <w:color w:val="auto"/>
        </w:rPr>
        <w:t>and retains the right in certain circumstances to</w:t>
      </w:r>
    </w:p>
    <w:p>
      <w:pPr>
        <w:spacing w:after="0" w:line="198" w:lineRule="auto"/>
        <w:rPr>
          <w:sz w:val="20"/>
          <w:szCs w:val="20"/>
          <w:color w:val="auto"/>
        </w:rPr>
      </w:pPr>
      <w:r>
        <w:rPr>
          <w:rFonts w:ascii="Arial" w:cs="Arial" w:eastAsia="Arial" w:hAnsi="Arial"/>
          <w:sz w:val="10"/>
          <w:szCs w:val="10"/>
          <w:color w:val="auto"/>
        </w:rPr>
        <w:t>reject takeover bids without consulting the</w:t>
      </w:r>
    </w:p>
    <w:p>
      <w:pPr>
        <w:spacing w:after="0" w:line="199" w:lineRule="auto"/>
        <w:rPr>
          <w:sz w:val="20"/>
          <w:szCs w:val="20"/>
          <w:color w:val="auto"/>
        </w:rPr>
      </w:pPr>
      <w:r>
        <w:rPr>
          <w:rFonts w:ascii="Arial" w:cs="Arial" w:eastAsia="Arial" w:hAnsi="Arial"/>
          <w:sz w:val="10"/>
          <w:szCs w:val="10"/>
          <w:color w:val="auto"/>
        </w:rPr>
        <w:t>shareholders. Genmab believes this provides the</w:t>
      </w:r>
    </w:p>
    <w:p>
      <w:pPr>
        <w:spacing w:after="0" w:line="199" w:lineRule="auto"/>
        <w:rPr>
          <w:sz w:val="20"/>
          <w:szCs w:val="20"/>
          <w:color w:val="auto"/>
        </w:rPr>
      </w:pPr>
      <w:r>
        <w:rPr>
          <w:rFonts w:ascii="Arial" w:cs="Arial" w:eastAsia="Arial" w:hAnsi="Arial"/>
          <w:sz w:val="10"/>
          <w:szCs w:val="10"/>
          <w:color w:val="auto"/>
        </w:rPr>
        <w:t>Board with the needed flexibility to best respond to</w:t>
      </w:r>
    </w:p>
    <w:p>
      <w:pPr>
        <w:spacing w:after="0" w:line="198" w:lineRule="auto"/>
        <w:rPr>
          <w:sz w:val="20"/>
          <w:szCs w:val="20"/>
          <w:color w:val="auto"/>
        </w:rPr>
      </w:pPr>
      <w:r>
        <w:rPr>
          <w:rFonts w:ascii="Arial" w:cs="Arial" w:eastAsia="Arial" w:hAnsi="Arial"/>
          <w:sz w:val="10"/>
          <w:szCs w:val="10"/>
          <w:color w:val="auto"/>
        </w:rPr>
        <w:t>takeover bids and to negotiate with bidders;</w:t>
      </w:r>
    </w:p>
    <w:p>
      <w:pPr>
        <w:spacing w:after="0" w:line="199" w:lineRule="auto"/>
        <w:rPr>
          <w:sz w:val="20"/>
          <w:szCs w:val="20"/>
          <w:color w:val="auto"/>
        </w:rPr>
      </w:pPr>
      <w:r>
        <w:rPr>
          <w:rFonts w:ascii="Arial" w:cs="Arial" w:eastAsia="Arial" w:hAnsi="Arial"/>
          <w:sz w:val="10"/>
          <w:szCs w:val="10"/>
          <w:color w:val="auto"/>
        </w:rPr>
        <w:t>retaining this flexibility helps the Board meet its</w:t>
      </w:r>
    </w:p>
    <w:p>
      <w:pPr>
        <w:spacing w:after="0" w:line="199" w:lineRule="auto"/>
        <w:rPr>
          <w:sz w:val="20"/>
          <w:szCs w:val="20"/>
          <w:color w:val="auto"/>
        </w:rPr>
      </w:pPr>
      <w:r>
        <w:rPr>
          <w:rFonts w:ascii="Arial" w:cs="Arial" w:eastAsia="Arial" w:hAnsi="Arial"/>
          <w:sz w:val="10"/>
          <w:szCs w:val="10"/>
          <w:color w:val="auto"/>
        </w:rPr>
        <w:t>objectives in protecting and creating value in the</w:t>
      </w:r>
    </w:p>
    <w:p>
      <w:pPr>
        <w:spacing w:after="0" w:line="198" w:lineRule="auto"/>
        <w:rPr>
          <w:sz w:val="20"/>
          <w:szCs w:val="20"/>
          <w:color w:val="auto"/>
        </w:rPr>
      </w:pPr>
      <w:r>
        <w:rPr>
          <w:rFonts w:ascii="Arial" w:cs="Arial" w:eastAsia="Arial" w:hAnsi="Arial"/>
          <w:sz w:val="10"/>
          <w:szCs w:val="10"/>
          <w:color w:val="auto"/>
        </w:rPr>
        <w:t>interest of the shareholders. Actions will be</w:t>
      </w:r>
    </w:p>
    <w:p>
      <w:pPr>
        <w:spacing w:after="0" w:line="199" w:lineRule="auto"/>
        <w:rPr>
          <w:sz w:val="20"/>
          <w:szCs w:val="20"/>
          <w:color w:val="auto"/>
        </w:rPr>
      </w:pPr>
      <w:r>
        <w:rPr>
          <w:rFonts w:ascii="Arial" w:cs="Arial" w:eastAsia="Arial" w:hAnsi="Arial"/>
          <w:sz w:val="10"/>
          <w:szCs w:val="10"/>
          <w:color w:val="auto"/>
        </w:rPr>
        <w:t>determined on a case-by-case basis with due</w:t>
      </w:r>
    </w:p>
    <w:p>
      <w:pPr>
        <w:spacing w:after="0" w:line="198" w:lineRule="auto"/>
        <w:rPr>
          <w:sz w:val="20"/>
          <w:szCs w:val="20"/>
          <w:color w:val="auto"/>
        </w:rPr>
      </w:pPr>
      <w:r>
        <w:rPr>
          <w:rFonts w:ascii="Arial" w:cs="Arial" w:eastAsia="Arial" w:hAnsi="Arial"/>
          <w:sz w:val="10"/>
          <w:szCs w:val="10"/>
          <w:color w:val="auto"/>
        </w:rPr>
        <w:t>consideration of the interests of the shareholders</w:t>
      </w:r>
    </w:p>
    <w:p>
      <w:pPr>
        <w:spacing w:after="0" w:line="199" w:lineRule="auto"/>
        <w:rPr>
          <w:sz w:val="20"/>
          <w:szCs w:val="20"/>
          <w:color w:val="auto"/>
        </w:rPr>
      </w:pPr>
      <w:r>
        <w:rPr>
          <w:rFonts w:ascii="Arial" w:cs="Arial" w:eastAsia="Arial" w:hAnsi="Arial"/>
          <w:sz w:val="10"/>
          <w:szCs w:val="10"/>
          <w:color w:val="auto"/>
        </w:rPr>
        <w:t>and other stakeholders.</w:t>
      </w:r>
    </w:p>
    <w:p>
      <w:pPr>
        <w:spacing w:after="0" w:line="199" w:lineRule="auto"/>
        <w:rPr>
          <w:sz w:val="20"/>
          <w:szCs w:val="20"/>
          <w:color w:val="auto"/>
        </w:rPr>
      </w:pPr>
      <w:r>
        <w:rPr>
          <w:rFonts w:ascii="Arial" w:cs="Arial" w:eastAsia="Arial" w:hAnsi="Arial"/>
          <w:sz w:val="10"/>
          <w:szCs w:val="10"/>
          <w:color w:val="auto"/>
        </w:rPr>
        <w:t>Genmab publishes its statutory report on Corporate</w:t>
      </w:r>
    </w:p>
    <w:p>
      <w:pPr>
        <w:spacing w:after="0" w:line="198" w:lineRule="auto"/>
        <w:rPr>
          <w:sz w:val="20"/>
          <w:szCs w:val="20"/>
          <w:color w:val="auto"/>
        </w:rPr>
      </w:pPr>
      <w:r>
        <w:rPr>
          <w:rFonts w:ascii="Arial" w:cs="Arial" w:eastAsia="Arial" w:hAnsi="Arial"/>
          <w:sz w:val="10"/>
          <w:szCs w:val="10"/>
          <w:color w:val="auto"/>
        </w:rPr>
        <w:t>Governance for the financial year 2025 cf.</w:t>
      </w:r>
    </w:p>
    <w:p>
      <w:pPr>
        <w:spacing w:after="0"/>
        <w:rPr>
          <w:sz w:val="20"/>
          <w:szCs w:val="20"/>
          <w:color w:val="auto"/>
        </w:rPr>
      </w:pPr>
      <w:r>
        <w:rPr>
          <w:rFonts w:ascii="Arial" w:cs="Arial" w:eastAsia="Arial" w:hAnsi="Arial"/>
          <w:sz w:val="10"/>
          <w:szCs w:val="10"/>
          <w:color w:val="auto"/>
        </w:rPr>
        <w:t>Article 107b of the Danish Financial Statements Act</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54" w:lineRule="exact"/>
        <w:rPr>
          <w:rFonts w:ascii="Arial" w:cs="Arial" w:eastAsia="Arial" w:hAnsi="Arial"/>
          <w:sz w:val="10"/>
          <w:szCs w:val="10"/>
          <w:b w:val="1"/>
          <w:bCs w:val="1"/>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54</w:t>
      </w:r>
    </w:p>
    <w:p>
      <w:pPr>
        <w:sectPr>
          <w:pgSz w:w="11900" w:h="16840" w:orient="portrait"/>
          <w:cols w:equalWidth="0" w:num="2">
            <w:col w:w="7400" w:space="720"/>
            <w:col w:w="1700"/>
          </w:cols>
          <w:pgMar w:left="640" w:top="1440" w:right="1440" w:bottom="533" w:gutter="0" w:footer="0" w:header="0"/>
        </w:sectPr>
      </w:pPr>
    </w:p>
    <w:bookmarkStart w:id="108" w:name="page109"/>
    <w:bookmarkEnd w:id="108"/>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009D94"/>
        </w:rPr>
        <w:t>Corporate Governance</w:t>
      </w:r>
    </w:p>
    <w:p>
      <w:pPr>
        <w:spacing w:after="0" w:line="201" w:lineRule="auto"/>
        <w:rPr>
          <w:sz w:val="20"/>
          <w:szCs w:val="20"/>
          <w:color w:val="auto"/>
        </w:rPr>
      </w:pPr>
      <w:r>
        <w:rPr>
          <w:rFonts w:ascii="Arial" w:cs="Arial" w:eastAsia="Arial" w:hAnsi="Arial"/>
          <w:sz w:val="18"/>
          <w:szCs w:val="18"/>
          <w:color w:val="009D94"/>
        </w:rPr>
        <w:t>Change of control</w:t>
      </w:r>
    </w:p>
    <w:p>
      <w:pPr>
        <w:ind w:right="220"/>
        <w:spacing w:after="0" w:line="199" w:lineRule="auto"/>
        <w:rPr>
          <w:sz w:val="20"/>
          <w:szCs w:val="20"/>
          <w:color w:val="auto"/>
        </w:rPr>
      </w:pPr>
      <w:r>
        <w:rPr>
          <w:rFonts w:ascii="Arial" w:cs="Arial" w:eastAsia="Arial" w:hAnsi="Arial"/>
          <w:sz w:val="10"/>
          <w:szCs w:val="10"/>
          <w:color w:val="auto"/>
        </w:rPr>
        <w:t>The Danish Financial Statements Act (Section 107a) contains rules relating to listed companies with respect to certain disclosures that may be of interest to the stock market and potential takeover bidders, in particular in relation to disclosure of change of control provisions. In the event of a change of control, change of control clauses are included in some of our collaboration, development, and license agreements as well as in service agreements for certain employees.</w:t>
      </w:r>
    </w:p>
    <w:p>
      <w:pPr>
        <w:spacing w:after="0" w:line="1" w:lineRule="exact"/>
        <w:rPr>
          <w:sz w:val="20"/>
          <w:szCs w:val="20"/>
          <w:color w:val="auto"/>
        </w:rPr>
      </w:pPr>
    </w:p>
    <w:p>
      <w:pPr>
        <w:ind w:right="580"/>
        <w:spacing w:after="0" w:line="211" w:lineRule="auto"/>
        <w:rPr>
          <w:sz w:val="20"/>
          <w:szCs w:val="20"/>
          <w:color w:val="auto"/>
        </w:rPr>
      </w:pPr>
      <w:r>
        <w:rPr>
          <w:rFonts w:ascii="Arial" w:cs="Arial" w:eastAsia="Arial" w:hAnsi="Arial"/>
          <w:sz w:val="13"/>
          <w:szCs w:val="13"/>
          <w:b w:val="1"/>
          <w:bCs w:val="1"/>
          <w:color w:val="009D94"/>
        </w:rPr>
        <w:t>Collaboration, Development and License Agreements</w:t>
      </w:r>
    </w:p>
    <w:p>
      <w:pPr>
        <w:spacing w:after="0" w:line="1" w:lineRule="exact"/>
        <w:rPr>
          <w:sz w:val="20"/>
          <w:szCs w:val="20"/>
          <w:color w:val="auto"/>
        </w:rPr>
      </w:pPr>
    </w:p>
    <w:p>
      <w:pPr>
        <w:ind w:right="260"/>
        <w:spacing w:after="0" w:line="199" w:lineRule="auto"/>
        <w:rPr>
          <w:sz w:val="20"/>
          <w:szCs w:val="20"/>
          <w:color w:val="auto"/>
        </w:rPr>
      </w:pPr>
      <w:r>
        <w:rPr>
          <w:rFonts w:ascii="Arial" w:cs="Arial" w:eastAsia="Arial" w:hAnsi="Arial"/>
          <w:sz w:val="10"/>
          <w:szCs w:val="10"/>
          <w:color w:val="auto"/>
        </w:rPr>
        <w:t>Genmab has entered into collaboration, development and license agreements with external parties, which may be subject to renegotiation in the case of a change of control event as specified in the individual agreements. However, any changes in the agreements are not expected to have a significant impact on our financial position.</w:t>
      </w:r>
    </w:p>
    <w:p>
      <w:pPr>
        <w:spacing w:after="0" w:line="2" w:lineRule="exact"/>
        <w:rPr>
          <w:sz w:val="20"/>
          <w:szCs w:val="20"/>
          <w:color w:val="auto"/>
        </w:rPr>
      </w:pPr>
    </w:p>
    <w:p>
      <w:pPr>
        <w:ind w:right="380"/>
        <w:spacing w:after="0" w:line="211" w:lineRule="auto"/>
        <w:rPr>
          <w:sz w:val="20"/>
          <w:szCs w:val="20"/>
          <w:color w:val="auto"/>
        </w:rPr>
      </w:pPr>
      <w:r>
        <w:rPr>
          <w:rFonts w:ascii="Arial" w:cs="Arial" w:eastAsia="Arial" w:hAnsi="Arial"/>
          <w:sz w:val="13"/>
          <w:szCs w:val="13"/>
          <w:b w:val="1"/>
          <w:bCs w:val="1"/>
          <w:color w:val="009D94"/>
        </w:rPr>
        <w:t>Service Agreements with Executive Management and Employees</w:t>
      </w:r>
    </w:p>
    <w:p>
      <w:pPr>
        <w:spacing w:after="0" w:line="1" w:lineRule="exact"/>
        <w:rPr>
          <w:sz w:val="20"/>
          <w:szCs w:val="20"/>
          <w:color w:val="auto"/>
        </w:rPr>
      </w:pPr>
    </w:p>
    <w:p>
      <w:pPr>
        <w:ind w:right="80"/>
        <w:spacing w:after="0" w:line="212" w:lineRule="auto"/>
        <w:rPr>
          <w:sz w:val="20"/>
          <w:szCs w:val="20"/>
          <w:color w:val="auto"/>
        </w:rPr>
      </w:pPr>
      <w:r>
        <w:rPr>
          <w:rFonts w:ascii="Arial" w:cs="Arial" w:eastAsia="Arial" w:hAnsi="Arial"/>
          <w:sz w:val="10"/>
          <w:szCs w:val="10"/>
          <w:color w:val="auto"/>
        </w:rPr>
        <w:t>The service agreements with each registered member of the Executive Management may be terminated by Genmab with no less than 12 months’ notice and by the registered member of the Executive Management with no less than six months’ notice. In the event of a change of control of Genmab, the termination notice due to the registered member of the Executive Management is extended to 24 months. In the event of termination by Genmab (unless for cause) or by a registered member of Executive Management as a result of a change of control of Genmab, Genmab is obliged to pay a registered member of Executive Management a compensation equal to his/her existing total salary (including benefits) for up to two years in addition to the notice period.</w:t>
      </w:r>
    </w:p>
    <w:p>
      <w:pPr>
        <w:spacing w:after="0" w:line="6" w:lineRule="exact"/>
        <w:rPr>
          <w:sz w:val="20"/>
          <w:szCs w:val="20"/>
          <w:color w:val="auto"/>
        </w:rPr>
      </w:pPr>
    </w:p>
    <w:p>
      <w:pPr>
        <w:ind w:right="240"/>
        <w:spacing w:after="0" w:line="198" w:lineRule="auto"/>
        <w:rPr>
          <w:sz w:val="20"/>
          <w:szCs w:val="20"/>
          <w:color w:val="auto"/>
        </w:rPr>
      </w:pPr>
      <w:r>
        <w:rPr>
          <w:rFonts w:ascii="Arial" w:cs="Arial" w:eastAsia="Arial" w:hAnsi="Arial"/>
          <w:sz w:val="10"/>
          <w:szCs w:val="10"/>
          <w:color w:val="auto"/>
        </w:rPr>
        <w:t>In addition, Genmab has entered into service agreements with a limited number of employees according to which Genmab may become obliged to compensate the employees in connection with a change of control of Genmab. If Genmab, as a result of a change of control, terminates the service agreement without cause or changes the working conditions to the detriment of the employee, the employee shall be entitled to terminate the employment relationship without further cause with one month’s notice in which case Genmab shall pay the employee a compensation equal to one-half, one or two times the employee’s existing annual salary (including benefits).</w:t>
      </w:r>
    </w:p>
    <w:p>
      <w:pPr>
        <w:spacing w:after="0" w:line="4" w:lineRule="exact"/>
        <w:rPr>
          <w:sz w:val="20"/>
          <w:szCs w:val="20"/>
          <w:color w:val="auto"/>
        </w:rPr>
      </w:pPr>
    </w:p>
    <w:p>
      <w:pPr>
        <w:ind w:right="280"/>
        <w:spacing w:after="0" w:line="196" w:lineRule="auto"/>
        <w:rPr>
          <w:rFonts w:ascii="Arial" w:cs="Arial" w:eastAsia="Arial" w:hAnsi="Arial"/>
          <w:sz w:val="10"/>
          <w:szCs w:val="10"/>
          <w:color w:val="009D94"/>
        </w:rPr>
      </w:pPr>
      <w:hyperlink w:anchor="page150">
        <w:r>
          <w:rPr>
            <w:rFonts w:ascii="Arial" w:cs="Arial" w:eastAsia="Arial" w:hAnsi="Arial"/>
            <w:sz w:val="10"/>
            <w:szCs w:val="10"/>
            <w:b w:val="1"/>
            <w:bCs w:val="1"/>
            <w:color w:val="009D94"/>
          </w:rPr>
          <w:t xml:space="preserve">Change of control clauses </w:t>
        </w:r>
      </w:hyperlink>
      <w:r>
        <w:rPr>
          <w:rFonts w:ascii="Arial" w:cs="Arial" w:eastAsia="Arial" w:hAnsi="Arial"/>
          <w:sz w:val="10"/>
          <w:szCs w:val="10"/>
          <w:color w:val="009D94"/>
        </w:rPr>
        <w:t>related</w:t>
      </w:r>
      <w:r>
        <w:rPr>
          <w:rFonts w:ascii="Arial" w:cs="Arial" w:eastAsia="Arial" w:hAnsi="Arial"/>
          <w:sz w:val="10"/>
          <w:szCs w:val="10"/>
          <w:b w:val="1"/>
          <w:bCs w:val="1"/>
          <w:color w:val="009D94"/>
        </w:rPr>
        <w:t xml:space="preserve"> </w:t>
      </w:r>
      <w:r>
        <w:rPr>
          <w:rFonts w:ascii="Arial" w:cs="Arial" w:eastAsia="Arial" w:hAnsi="Arial"/>
          <w:sz w:val="10"/>
          <w:szCs w:val="10"/>
          <w:color w:val="009D94"/>
        </w:rPr>
        <w:t>to our warrant</w:t>
      </w:r>
      <w:r>
        <w:rPr>
          <w:rFonts w:ascii="Arial" w:cs="Arial" w:eastAsia="Arial" w:hAnsi="Arial"/>
          <w:sz w:val="10"/>
          <w:szCs w:val="10"/>
          <w:b w:val="1"/>
          <w:bCs w:val="1"/>
          <w:color w:val="009D94"/>
        </w:rPr>
        <w:t xml:space="preserve"> </w:t>
      </w:r>
      <w:r>
        <w:rPr>
          <w:rFonts w:ascii="Arial" w:cs="Arial" w:eastAsia="Arial" w:hAnsi="Arial"/>
          <w:sz w:val="10"/>
          <w:szCs w:val="10"/>
          <w:color w:val="009D94"/>
        </w:rPr>
        <w:t xml:space="preserve">and RSU programs are outlined in </w:t>
      </w:r>
      <w:hyperlink w:anchor="page150">
        <w:r>
          <w:rPr>
            <w:rFonts w:ascii="Arial" w:cs="Arial" w:eastAsia="Arial" w:hAnsi="Arial"/>
            <w:sz w:val="10"/>
            <w:szCs w:val="10"/>
            <w:b w:val="1"/>
            <w:bCs w:val="1"/>
            <w:color w:val="009D94"/>
          </w:rPr>
          <w:t xml:space="preserve">Note </w:t>
        </w:r>
      </w:hyperlink>
      <w:r>
        <w:rPr>
          <w:rFonts w:ascii="Arial" w:cs="Arial" w:eastAsia="Arial" w:hAnsi="Arial"/>
          <w:sz w:val="10"/>
          <w:szCs w:val="10"/>
          <w:color w:val="009D94"/>
        </w:rPr>
        <w:t>4.6.</w:t>
      </w:r>
    </w:p>
    <w:p>
      <w:pPr>
        <w:spacing w:after="0" w:line="201" w:lineRule="auto"/>
        <w:rPr>
          <w:sz w:val="20"/>
          <w:szCs w:val="20"/>
          <w:color w:val="auto"/>
        </w:rPr>
      </w:pPr>
      <w:r>
        <w:rPr>
          <w:rFonts w:ascii="Arial" w:cs="Arial" w:eastAsia="Arial" w:hAnsi="Arial"/>
          <w:sz w:val="18"/>
          <w:szCs w:val="18"/>
          <w:color w:val="009D94"/>
        </w:rPr>
        <w:t>Share capital</w:t>
      </w:r>
    </w:p>
    <w:p>
      <w:pPr>
        <w:spacing w:after="0" w:line="199" w:lineRule="auto"/>
        <w:rPr>
          <w:rFonts w:ascii="Arial" w:cs="Arial" w:eastAsia="Arial" w:hAnsi="Arial"/>
          <w:sz w:val="10"/>
          <w:szCs w:val="10"/>
          <w:color w:val="auto"/>
        </w:rPr>
      </w:pPr>
      <w:r>
        <w:rPr>
          <w:rFonts w:ascii="Arial" w:cs="Arial" w:eastAsia="Arial" w:hAnsi="Arial"/>
          <w:sz w:val="10"/>
          <w:szCs w:val="10"/>
          <w:color w:val="auto"/>
        </w:rPr>
        <w:t xml:space="preserve">Information on share capital is included in </w:t>
      </w:r>
      <w:hyperlink w:anchor="page153">
        <w:r>
          <w:rPr>
            <w:rFonts w:ascii="Arial" w:cs="Arial" w:eastAsia="Arial" w:hAnsi="Arial"/>
            <w:sz w:val="10"/>
            <w:szCs w:val="10"/>
            <w:b w:val="1"/>
            <w:bCs w:val="1"/>
            <w:color w:val="009D94"/>
          </w:rPr>
          <w:t xml:space="preserve">Note </w:t>
        </w:r>
      </w:hyperlink>
      <w:r>
        <w:rPr>
          <w:rFonts w:ascii="Arial" w:cs="Arial" w:eastAsia="Arial" w:hAnsi="Arial"/>
          <w:sz w:val="10"/>
          <w:szCs w:val="10"/>
          <w:color w:val="auto"/>
        </w:rPr>
        <w:t>4.7.</w:t>
      </w:r>
    </w:p>
    <w:p>
      <w:pPr>
        <w:spacing w:after="0" w:line="199" w:lineRule="auto"/>
        <w:rPr>
          <w:sz w:val="20"/>
          <w:szCs w:val="20"/>
          <w:color w:val="auto"/>
        </w:rPr>
      </w:pPr>
      <w:r>
        <w:rPr>
          <w:rFonts w:ascii="Arial" w:cs="Arial" w:eastAsia="Arial" w:hAnsi="Arial"/>
          <w:sz w:val="10"/>
          <w:szCs w:val="10"/>
          <w:color w:val="auto"/>
        </w:rPr>
        <w:t>Unless otherwise provided in the</w:t>
      </w:r>
    </w:p>
    <w:p>
      <w:pPr>
        <w:spacing w:after="0" w:line="198" w:lineRule="auto"/>
        <w:rPr>
          <w:sz w:val="20"/>
          <w:szCs w:val="20"/>
          <w:color w:val="auto"/>
        </w:rPr>
      </w:pPr>
      <w:r>
        <w:rPr>
          <w:rFonts w:ascii="Arial" w:cs="Arial" w:eastAsia="Arial" w:hAnsi="Arial"/>
          <w:sz w:val="10"/>
          <w:szCs w:val="10"/>
          <w:color w:val="auto"/>
        </w:rPr>
        <w:t>Danish Companies Act, the adoption of any</w:t>
      </w:r>
    </w:p>
    <w:p>
      <w:pPr>
        <w:spacing w:after="0" w:line="199" w:lineRule="auto"/>
        <w:rPr>
          <w:sz w:val="20"/>
          <w:szCs w:val="20"/>
          <w:color w:val="auto"/>
        </w:rPr>
      </w:pPr>
      <w:r>
        <w:rPr>
          <w:rFonts w:ascii="Arial" w:cs="Arial" w:eastAsia="Arial" w:hAnsi="Arial"/>
          <w:sz w:val="10"/>
          <w:szCs w:val="10"/>
          <w:color w:val="auto"/>
        </w:rPr>
        <w:t>resolution to amend Genmab A/S’s articles of</w:t>
      </w:r>
    </w:p>
    <w:p>
      <w:pPr>
        <w:spacing w:after="0" w:line="199" w:lineRule="auto"/>
        <w:rPr>
          <w:sz w:val="20"/>
          <w:szCs w:val="20"/>
          <w:color w:val="auto"/>
        </w:rPr>
      </w:pPr>
      <w:r>
        <w:rPr>
          <w:rFonts w:ascii="Arial" w:cs="Arial" w:eastAsia="Arial" w:hAnsi="Arial"/>
          <w:sz w:val="10"/>
          <w:szCs w:val="10"/>
          <w:color w:val="auto"/>
        </w:rPr>
        <w:t>association shall be subject to the affirmative</w:t>
      </w:r>
    </w:p>
    <w:p>
      <w:pPr>
        <w:spacing w:after="0" w:line="198" w:lineRule="auto"/>
        <w:rPr>
          <w:sz w:val="20"/>
          <w:szCs w:val="20"/>
          <w:color w:val="auto"/>
        </w:rPr>
      </w:pPr>
      <w:r>
        <w:rPr>
          <w:rFonts w:ascii="Arial" w:cs="Arial" w:eastAsia="Arial" w:hAnsi="Arial"/>
          <w:sz w:val="10"/>
          <w:szCs w:val="10"/>
          <w:color w:val="auto"/>
        </w:rPr>
        <w:t>vote of not less than two thirds of the votes cast, as</w:t>
      </w:r>
    </w:p>
    <w:p>
      <w:pPr>
        <w:spacing w:after="0" w:line="199" w:lineRule="auto"/>
        <w:rPr>
          <w:sz w:val="20"/>
          <w:szCs w:val="20"/>
          <w:color w:val="auto"/>
        </w:rPr>
      </w:pPr>
      <w:r>
        <w:rPr>
          <w:rFonts w:ascii="Arial" w:cs="Arial" w:eastAsia="Arial" w:hAnsi="Arial"/>
          <w:sz w:val="10"/>
          <w:szCs w:val="10"/>
          <w:color w:val="auto"/>
        </w:rPr>
        <w:t>well as of the voting share capital represented at</w:t>
      </w:r>
    </w:p>
    <w:p>
      <w:pPr>
        <w:spacing w:after="0" w:line="199" w:lineRule="auto"/>
        <w:rPr>
          <w:sz w:val="20"/>
          <w:szCs w:val="20"/>
          <w:color w:val="auto"/>
        </w:rPr>
      </w:pPr>
      <w:r>
        <w:rPr>
          <w:rFonts w:ascii="Arial" w:cs="Arial" w:eastAsia="Arial" w:hAnsi="Arial"/>
          <w:sz w:val="10"/>
          <w:szCs w:val="10"/>
          <w:color w:val="auto"/>
        </w:rPr>
        <w:t>the general meeting. Genmab A/S’s entire articles</w:t>
      </w:r>
    </w:p>
    <w:p>
      <w:pPr>
        <w:spacing w:after="0" w:line="198" w:lineRule="auto"/>
        <w:rPr>
          <w:sz w:val="20"/>
          <w:szCs w:val="20"/>
          <w:color w:val="auto"/>
        </w:rPr>
      </w:pPr>
      <w:r>
        <w:rPr>
          <w:rFonts w:ascii="Arial" w:cs="Arial" w:eastAsia="Arial" w:hAnsi="Arial"/>
          <w:sz w:val="10"/>
          <w:szCs w:val="10"/>
          <w:color w:val="auto"/>
        </w:rPr>
        <w:t>of association can be found on our website</w:t>
      </w:r>
    </w:p>
    <w:p>
      <w:pPr>
        <w:spacing w:after="0"/>
        <w:rPr>
          <w:sz w:val="20"/>
          <w:szCs w:val="20"/>
          <w:color w:val="auto"/>
        </w:rPr>
      </w:pPr>
      <w:r>
        <w:rPr>
          <w:rFonts w:ascii="Arial" w:cs="Arial" w:eastAsia="Arial" w:hAnsi="Arial"/>
          <w:sz w:val="10"/>
          <w:szCs w:val="10"/>
          <w:b w:val="1"/>
          <w:bCs w:val="1"/>
          <w:color w:val="009D94"/>
        </w:rPr>
        <w:t>genmab.com</w:t>
      </w:r>
      <w:r>
        <w:rPr>
          <w:rFonts w:ascii="Arial" w:cs="Arial" w:eastAsia="Arial" w:hAnsi="Arial"/>
          <w:sz w:val="10"/>
          <w:szCs w:val="1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034030" cy="2476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3034030" cy="247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4794250</wp:posOffset>
            </wp:positionV>
            <wp:extent cx="6781165" cy="4792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55</w:t>
      </w:r>
    </w:p>
    <w:p>
      <w:pPr>
        <w:sectPr>
          <w:pgSz w:w="11900" w:h="16840" w:orient="portrait"/>
          <w:cols w:equalWidth="0" w:num="3">
            <w:col w:w="2620" w:space="520"/>
            <w:col w:w="4260" w:space="720"/>
            <w:col w:w="1700"/>
          </w:cols>
          <w:pgMar w:left="640" w:top="571" w:right="1440" w:bottom="1440" w:gutter="0" w:footer="0" w:header="0"/>
        </w:sectPr>
      </w:pPr>
    </w:p>
    <w:bookmarkStart w:id="109" w:name="page110"/>
    <w:bookmarkEnd w:id="109"/>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1"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9D94"/>
        </w:rPr>
        <w:t>Shareholders and Share Information</w:t>
      </w:r>
    </w:p>
    <w:p>
      <w:pPr>
        <w:spacing w:after="0" w:line="201" w:lineRule="auto"/>
        <w:rPr>
          <w:sz w:val="20"/>
          <w:szCs w:val="20"/>
          <w:color w:val="auto"/>
        </w:rPr>
      </w:pPr>
      <w:r>
        <w:rPr>
          <w:rFonts w:ascii="Arial" w:cs="Arial" w:eastAsia="Arial" w:hAnsi="Arial"/>
          <w:sz w:val="18"/>
          <w:szCs w:val="18"/>
          <w:color w:val="009D94"/>
        </w:rPr>
        <w:t>Ownership</w:t>
      </w:r>
    </w:p>
    <w:p>
      <w:pPr>
        <w:spacing w:after="0" w:line="199" w:lineRule="auto"/>
        <w:rPr>
          <w:sz w:val="20"/>
          <w:szCs w:val="20"/>
          <w:color w:val="auto"/>
        </w:rPr>
      </w:pPr>
      <w:r>
        <w:rPr>
          <w:rFonts w:ascii="Arial" w:cs="Arial" w:eastAsia="Arial" w:hAnsi="Arial"/>
          <w:sz w:val="10"/>
          <w:szCs w:val="10"/>
          <w:color w:val="auto"/>
        </w:rPr>
        <w:t>Genmab is dual listed on the Nasdaq Copenhagen</w:t>
      </w:r>
    </w:p>
    <w:p>
      <w:pPr>
        <w:spacing w:after="0" w:line="198" w:lineRule="auto"/>
        <w:rPr>
          <w:sz w:val="20"/>
          <w:szCs w:val="20"/>
          <w:color w:val="auto"/>
        </w:rPr>
      </w:pPr>
      <w:r>
        <w:rPr>
          <w:rFonts w:ascii="Arial" w:cs="Arial" w:eastAsia="Arial" w:hAnsi="Arial"/>
          <w:sz w:val="10"/>
          <w:szCs w:val="10"/>
          <w:color w:val="auto"/>
        </w:rPr>
        <w:t>and the Nasdaq Global Select Market in the US</w:t>
      </w:r>
    </w:p>
    <w:p>
      <w:pPr>
        <w:spacing w:after="0" w:line="199" w:lineRule="auto"/>
        <w:rPr>
          <w:sz w:val="20"/>
          <w:szCs w:val="20"/>
          <w:color w:val="auto"/>
        </w:rPr>
      </w:pPr>
      <w:r>
        <w:rPr>
          <w:rFonts w:ascii="Arial" w:cs="Arial" w:eastAsia="Arial" w:hAnsi="Arial"/>
          <w:sz w:val="10"/>
          <w:szCs w:val="10"/>
          <w:color w:val="auto"/>
        </w:rPr>
        <w:t>under the symbol GMAB. Our communication with</w:t>
      </w:r>
    </w:p>
    <w:p>
      <w:pPr>
        <w:spacing w:after="0" w:line="199" w:lineRule="auto"/>
        <w:rPr>
          <w:sz w:val="20"/>
          <w:szCs w:val="20"/>
          <w:color w:val="auto"/>
        </w:rPr>
      </w:pPr>
      <w:r>
        <w:rPr>
          <w:rFonts w:ascii="Arial" w:cs="Arial" w:eastAsia="Arial" w:hAnsi="Arial"/>
          <w:sz w:val="10"/>
          <w:szCs w:val="10"/>
          <w:color w:val="auto"/>
        </w:rPr>
        <w:t>the capital markets complies with the disclosure</w:t>
      </w:r>
    </w:p>
    <w:p>
      <w:pPr>
        <w:spacing w:after="0" w:line="198" w:lineRule="auto"/>
        <w:rPr>
          <w:sz w:val="20"/>
          <w:szCs w:val="20"/>
          <w:color w:val="auto"/>
        </w:rPr>
      </w:pPr>
      <w:r>
        <w:rPr>
          <w:rFonts w:ascii="Arial" w:cs="Arial" w:eastAsia="Arial" w:hAnsi="Arial"/>
          <w:sz w:val="10"/>
          <w:szCs w:val="10"/>
          <w:color w:val="auto"/>
        </w:rPr>
        <w:t>rules and regulations of these exchanges. As of</w:t>
      </w:r>
    </w:p>
    <w:p>
      <w:pPr>
        <w:spacing w:after="0" w:line="199" w:lineRule="auto"/>
        <w:rPr>
          <w:sz w:val="20"/>
          <w:szCs w:val="20"/>
          <w:color w:val="auto"/>
        </w:rPr>
      </w:pPr>
      <w:r>
        <w:rPr>
          <w:rFonts w:ascii="Arial" w:cs="Arial" w:eastAsia="Arial" w:hAnsi="Arial"/>
          <w:sz w:val="10"/>
          <w:szCs w:val="10"/>
          <w:color w:val="auto"/>
        </w:rPr>
        <w:t>December 31, 2025, the number of registered</w:t>
      </w:r>
    </w:p>
    <w:p>
      <w:pPr>
        <w:spacing w:after="0" w:line="199" w:lineRule="auto"/>
        <w:rPr>
          <w:sz w:val="20"/>
          <w:szCs w:val="20"/>
          <w:color w:val="auto"/>
        </w:rPr>
      </w:pPr>
      <w:r>
        <w:rPr>
          <w:rFonts w:ascii="Arial" w:cs="Arial" w:eastAsia="Arial" w:hAnsi="Arial"/>
          <w:sz w:val="10"/>
          <w:szCs w:val="10"/>
          <w:color w:val="auto"/>
        </w:rPr>
        <w:t>shareholders totaled 88,163 shareholders holding a</w:t>
      </w:r>
    </w:p>
    <w:p>
      <w:pPr>
        <w:spacing w:after="0" w:line="198" w:lineRule="auto"/>
        <w:rPr>
          <w:sz w:val="20"/>
          <w:szCs w:val="20"/>
          <w:color w:val="auto"/>
        </w:rPr>
      </w:pPr>
      <w:r>
        <w:rPr>
          <w:rFonts w:ascii="Arial" w:cs="Arial" w:eastAsia="Arial" w:hAnsi="Arial"/>
          <w:sz w:val="10"/>
          <w:szCs w:val="10"/>
          <w:color w:val="auto"/>
        </w:rPr>
        <w:t>total of 61,758,725 shares, which represented 96%</w:t>
      </w:r>
    </w:p>
    <w:p>
      <w:pPr>
        <w:spacing w:after="0" w:line="199" w:lineRule="auto"/>
        <w:rPr>
          <w:sz w:val="20"/>
          <w:szCs w:val="20"/>
          <w:color w:val="auto"/>
        </w:rPr>
      </w:pPr>
      <w:r>
        <w:rPr>
          <w:rFonts w:ascii="Arial" w:cs="Arial" w:eastAsia="Arial" w:hAnsi="Arial"/>
          <w:sz w:val="10"/>
          <w:szCs w:val="10"/>
          <w:color w:val="auto"/>
        </w:rPr>
        <w:t>of the total share capital of 64,238,408.</w:t>
      </w:r>
    </w:p>
    <w:p>
      <w:pPr>
        <w:spacing w:after="0" w:line="198" w:lineRule="auto"/>
        <w:rPr>
          <w:sz w:val="20"/>
          <w:szCs w:val="20"/>
          <w:color w:val="auto"/>
        </w:rPr>
      </w:pPr>
      <w:r>
        <w:rPr>
          <w:rFonts w:ascii="Arial" w:cs="Arial" w:eastAsia="Arial" w:hAnsi="Arial"/>
          <w:sz w:val="10"/>
          <w:szCs w:val="10"/>
          <w:color w:val="auto"/>
        </w:rPr>
        <w:t>The following shareholders are registered in</w:t>
      </w:r>
    </w:p>
    <w:p>
      <w:pPr>
        <w:spacing w:after="0" w:line="199" w:lineRule="auto"/>
        <w:rPr>
          <w:sz w:val="20"/>
          <w:szCs w:val="20"/>
          <w:color w:val="auto"/>
        </w:rPr>
      </w:pPr>
      <w:r>
        <w:rPr>
          <w:rFonts w:ascii="Arial" w:cs="Arial" w:eastAsia="Arial" w:hAnsi="Arial"/>
          <w:sz w:val="10"/>
          <w:szCs w:val="10"/>
          <w:color w:val="auto"/>
        </w:rPr>
        <w:t>Genmab’s register of shareholders as being the</w:t>
      </w:r>
    </w:p>
    <w:p>
      <w:pPr>
        <w:spacing w:after="0" w:line="199" w:lineRule="auto"/>
        <w:rPr>
          <w:sz w:val="20"/>
          <w:szCs w:val="20"/>
          <w:color w:val="auto"/>
        </w:rPr>
      </w:pPr>
      <w:r>
        <w:rPr>
          <w:rFonts w:ascii="Arial" w:cs="Arial" w:eastAsia="Arial" w:hAnsi="Arial"/>
          <w:sz w:val="10"/>
          <w:szCs w:val="10"/>
          <w:color w:val="auto"/>
        </w:rPr>
        <w:t>owner of a minimum of 5% of the voting rights or</w:t>
      </w:r>
    </w:p>
    <w:p>
      <w:pPr>
        <w:spacing w:after="0" w:line="198" w:lineRule="auto"/>
        <w:rPr>
          <w:sz w:val="20"/>
          <w:szCs w:val="20"/>
          <w:color w:val="auto"/>
        </w:rPr>
      </w:pPr>
      <w:r>
        <w:rPr>
          <w:rFonts w:ascii="Arial" w:cs="Arial" w:eastAsia="Arial" w:hAnsi="Arial"/>
          <w:sz w:val="10"/>
          <w:szCs w:val="10"/>
          <w:color w:val="auto"/>
        </w:rPr>
        <w:t>a minimum of 5% of the share capital (one share</w:t>
      </w:r>
    </w:p>
    <w:p>
      <w:pPr>
        <w:spacing w:after="0" w:line="199" w:lineRule="auto"/>
        <w:rPr>
          <w:sz w:val="20"/>
          <w:szCs w:val="20"/>
          <w:color w:val="auto"/>
        </w:rPr>
      </w:pPr>
      <w:r>
        <w:rPr>
          <w:rFonts w:ascii="Arial" w:cs="Arial" w:eastAsia="Arial" w:hAnsi="Arial"/>
          <w:sz w:val="10"/>
          <w:szCs w:val="10"/>
          <w:color w:val="auto"/>
        </w:rPr>
        <w:t>equals one vote) as of December 31, 2025:</w:t>
      </w:r>
    </w:p>
    <w:p>
      <w:pPr>
        <w:spacing w:after="0" w:line="199" w:lineRule="auto"/>
        <w:rPr>
          <w:sz w:val="20"/>
          <w:szCs w:val="20"/>
          <w:color w:val="auto"/>
        </w:rPr>
      </w:pPr>
      <w:r>
        <w:rPr>
          <w:rFonts w:ascii="Arial" w:cs="Arial" w:eastAsia="Arial" w:hAnsi="Arial"/>
          <w:sz w:val="10"/>
          <w:szCs w:val="10"/>
          <w:color w:val="auto"/>
        </w:rPr>
        <w:t>•BlackRock, Inc., 50 Hudson Yards, New York,</w:t>
      </w:r>
    </w:p>
    <w:p>
      <w:pPr>
        <w:spacing w:after="0" w:line="198" w:lineRule="auto"/>
        <w:rPr>
          <w:sz w:val="20"/>
          <w:szCs w:val="20"/>
          <w:color w:val="auto"/>
        </w:rPr>
      </w:pPr>
      <w:r>
        <w:rPr>
          <w:rFonts w:ascii="Arial" w:cs="Arial" w:eastAsia="Arial" w:hAnsi="Arial"/>
          <w:sz w:val="10"/>
          <w:szCs w:val="10"/>
          <w:color w:val="auto"/>
        </w:rPr>
        <w:t>New York 10001, United States of America</w:t>
      </w:r>
    </w:p>
    <w:p>
      <w:pPr>
        <w:spacing w:after="0" w:line="199" w:lineRule="auto"/>
        <w:rPr>
          <w:sz w:val="20"/>
          <w:szCs w:val="20"/>
          <w:color w:val="auto"/>
        </w:rPr>
      </w:pPr>
      <w:r>
        <w:rPr>
          <w:rFonts w:ascii="Arial" w:cs="Arial" w:eastAsia="Arial" w:hAnsi="Arial"/>
          <w:sz w:val="10"/>
          <w:szCs w:val="10"/>
          <w:color w:val="auto"/>
        </w:rPr>
        <w:t>(5.8%)</w:t>
      </w:r>
    </w:p>
    <w:p>
      <w:pPr>
        <w:spacing w:after="0" w:line="218" w:lineRule="auto"/>
        <w:rPr>
          <w:sz w:val="20"/>
          <w:szCs w:val="20"/>
          <w:color w:val="auto"/>
        </w:rPr>
      </w:pPr>
      <w:r>
        <w:rPr>
          <w:rFonts w:ascii="Arial" w:cs="Arial" w:eastAsia="Arial" w:hAnsi="Arial"/>
          <w:sz w:val="10"/>
          <w:szCs w:val="10"/>
          <w:color w:val="auto"/>
        </w:rPr>
        <w:t>•Orbis Investment Management Limited</w:t>
      </w:r>
      <w:r>
        <w:rPr>
          <w:rFonts w:ascii="Arial" w:cs="Arial" w:eastAsia="Arial" w:hAnsi="Arial"/>
          <w:sz w:val="6"/>
          <w:szCs w:val="6"/>
          <w:color w:val="auto"/>
        </w:rPr>
        <w:t>1</w:t>
      </w:r>
      <w:r>
        <w:rPr>
          <w:rFonts w:ascii="Arial" w:cs="Arial" w:eastAsia="Arial" w:hAnsi="Arial"/>
          <w:sz w:val="10"/>
          <w:szCs w:val="10"/>
          <w:color w:val="auto"/>
        </w:rPr>
        <w:t xml:space="preserve"> (5.8%)</w:t>
      </w:r>
    </w:p>
    <w:p>
      <w:pPr>
        <w:spacing w:after="0" w:line="199" w:lineRule="auto"/>
        <w:rPr>
          <w:sz w:val="20"/>
          <w:szCs w:val="20"/>
          <w:color w:val="auto"/>
        </w:rPr>
      </w:pPr>
      <w:r>
        <w:rPr>
          <w:rFonts w:ascii="Arial" w:cs="Arial" w:eastAsia="Arial" w:hAnsi="Arial"/>
          <w:sz w:val="10"/>
          <w:szCs w:val="10"/>
          <w:color w:val="auto"/>
        </w:rPr>
        <w:t>Shareholders registered in the Company’s</w:t>
      </w:r>
    </w:p>
    <w:p>
      <w:pPr>
        <w:spacing w:after="0" w:line="199" w:lineRule="auto"/>
        <w:rPr>
          <w:sz w:val="20"/>
          <w:szCs w:val="20"/>
          <w:color w:val="auto"/>
        </w:rPr>
      </w:pPr>
      <w:r>
        <w:rPr>
          <w:rFonts w:ascii="Arial" w:cs="Arial" w:eastAsia="Arial" w:hAnsi="Arial"/>
          <w:sz w:val="10"/>
          <w:szCs w:val="10"/>
          <w:color w:val="auto"/>
        </w:rPr>
        <w:t>shareholder registry may sign up for electronic</w:t>
      </w:r>
    </w:p>
    <w:p>
      <w:pPr>
        <w:spacing w:after="0" w:line="198" w:lineRule="auto"/>
        <w:rPr>
          <w:sz w:val="20"/>
          <w:szCs w:val="20"/>
          <w:color w:val="auto"/>
        </w:rPr>
      </w:pPr>
      <w:r>
        <w:rPr>
          <w:rFonts w:ascii="Arial" w:cs="Arial" w:eastAsia="Arial" w:hAnsi="Arial"/>
          <w:sz w:val="10"/>
          <w:szCs w:val="10"/>
          <w:color w:val="auto"/>
        </w:rPr>
        <w:t>shareholder communications via Genmab’s investor</w:t>
      </w:r>
    </w:p>
    <w:p>
      <w:pPr>
        <w:spacing w:after="0" w:line="199" w:lineRule="auto"/>
        <w:rPr>
          <w:sz w:val="20"/>
          <w:szCs w:val="20"/>
          <w:color w:val="auto"/>
        </w:rPr>
      </w:pPr>
      <w:r>
        <w:rPr>
          <w:rFonts w:ascii="Arial" w:cs="Arial" w:eastAsia="Arial" w:hAnsi="Arial"/>
          <w:sz w:val="10"/>
          <w:szCs w:val="10"/>
          <w:color w:val="auto"/>
        </w:rPr>
        <w:t>portal. The investor portal can be accessed at</w:t>
      </w:r>
    </w:p>
    <w:p>
      <w:pPr>
        <w:spacing w:after="0" w:line="199" w:lineRule="auto"/>
        <w:rPr>
          <w:sz w:val="20"/>
          <w:szCs w:val="20"/>
          <w:color w:val="auto"/>
        </w:rPr>
      </w:pPr>
      <w:r>
        <w:rPr>
          <w:rFonts w:ascii="Arial" w:cs="Arial" w:eastAsia="Arial" w:hAnsi="Arial"/>
          <w:sz w:val="10"/>
          <w:szCs w:val="10"/>
          <w:color w:val="auto"/>
        </w:rPr>
        <w:t xml:space="preserve">Genmab’s website </w:t>
      </w:r>
      <w:r>
        <w:rPr>
          <w:rFonts w:ascii="Arial" w:cs="Arial" w:eastAsia="Arial" w:hAnsi="Arial"/>
          <w:sz w:val="10"/>
          <w:szCs w:val="10"/>
          <w:b w:val="1"/>
          <w:bCs w:val="1"/>
          <w:color w:val="009D94"/>
        </w:rPr>
        <w:t>genmab.com/investors</w:t>
      </w:r>
      <w:r>
        <w:rPr>
          <w:rFonts w:ascii="Arial" w:cs="Arial" w:eastAsia="Arial" w:hAnsi="Arial"/>
          <w:sz w:val="10"/>
          <w:szCs w:val="10"/>
          <w:color w:val="auto"/>
        </w:rPr>
        <w:t>.</w:t>
      </w:r>
    </w:p>
    <w:p>
      <w:pPr>
        <w:spacing w:after="0" w:line="198" w:lineRule="auto"/>
        <w:rPr>
          <w:sz w:val="20"/>
          <w:szCs w:val="20"/>
          <w:color w:val="auto"/>
        </w:rPr>
      </w:pPr>
      <w:r>
        <w:rPr>
          <w:rFonts w:ascii="Arial" w:cs="Arial" w:eastAsia="Arial" w:hAnsi="Arial"/>
          <w:sz w:val="10"/>
          <w:szCs w:val="10"/>
          <w:color w:val="auto"/>
        </w:rPr>
        <w:t>Electronic shareholder communication enables</w:t>
      </w:r>
    </w:p>
    <w:p>
      <w:pPr>
        <w:spacing w:after="0" w:line="199" w:lineRule="auto"/>
        <w:rPr>
          <w:sz w:val="20"/>
          <w:szCs w:val="20"/>
          <w:color w:val="auto"/>
        </w:rPr>
      </w:pPr>
      <w:r>
        <w:rPr>
          <w:rFonts w:ascii="Arial" w:cs="Arial" w:eastAsia="Arial" w:hAnsi="Arial"/>
          <w:sz w:val="10"/>
          <w:szCs w:val="10"/>
          <w:color w:val="auto"/>
        </w:rPr>
        <w:t>Genmab to, among other things, quickly and</w:t>
      </w:r>
    </w:p>
    <w:p>
      <w:pPr>
        <w:spacing w:after="0" w:line="199" w:lineRule="auto"/>
        <w:rPr>
          <w:sz w:val="20"/>
          <w:szCs w:val="20"/>
          <w:color w:val="auto"/>
        </w:rPr>
      </w:pPr>
      <w:r>
        <w:rPr>
          <w:rFonts w:ascii="Arial" w:cs="Arial" w:eastAsia="Arial" w:hAnsi="Arial"/>
          <w:sz w:val="10"/>
          <w:szCs w:val="10"/>
          <w:color w:val="auto"/>
        </w:rPr>
        <w:t>efficiently call general meetings.</w:t>
      </w:r>
    </w:p>
    <w:p>
      <w:pPr>
        <w:spacing w:after="0" w:line="198" w:lineRule="auto"/>
        <w:rPr>
          <w:sz w:val="20"/>
          <w:szCs w:val="20"/>
          <w:color w:val="auto"/>
        </w:rPr>
      </w:pPr>
      <w:r>
        <w:rPr>
          <w:rFonts w:ascii="Arial" w:cs="Arial" w:eastAsia="Arial" w:hAnsi="Arial"/>
          <w:sz w:val="10"/>
          <w:szCs w:val="10"/>
          <w:color w:val="auto"/>
        </w:rPr>
        <w:t>The charts included here illustrate the performance</w:t>
      </w:r>
    </w:p>
    <w:p>
      <w:pPr>
        <w:spacing w:after="0" w:line="199" w:lineRule="auto"/>
        <w:rPr>
          <w:sz w:val="20"/>
          <w:szCs w:val="20"/>
          <w:color w:val="auto"/>
        </w:rPr>
      </w:pPr>
      <w:r>
        <w:rPr>
          <w:rFonts w:ascii="Arial" w:cs="Arial" w:eastAsia="Arial" w:hAnsi="Arial"/>
          <w:sz w:val="10"/>
          <w:szCs w:val="10"/>
          <w:color w:val="auto"/>
        </w:rPr>
        <w:t>of the Genmab share during 2025, the performance</w:t>
      </w:r>
    </w:p>
    <w:p>
      <w:pPr>
        <w:spacing w:after="0" w:line="198" w:lineRule="auto"/>
        <w:rPr>
          <w:sz w:val="20"/>
          <w:szCs w:val="20"/>
          <w:color w:val="auto"/>
        </w:rPr>
      </w:pPr>
      <w:r>
        <w:rPr>
          <w:rFonts w:ascii="Arial" w:cs="Arial" w:eastAsia="Arial" w:hAnsi="Arial"/>
          <w:sz w:val="10"/>
          <w:szCs w:val="10"/>
          <w:color w:val="auto"/>
        </w:rPr>
        <w:t>of the Genmab share over the last five years, from</w:t>
      </w:r>
    </w:p>
    <w:p>
      <w:pPr>
        <w:spacing w:after="0" w:line="199" w:lineRule="auto"/>
        <w:rPr>
          <w:sz w:val="20"/>
          <w:szCs w:val="20"/>
          <w:color w:val="auto"/>
        </w:rPr>
      </w:pPr>
      <w:r>
        <w:rPr>
          <w:rFonts w:ascii="Arial" w:cs="Arial" w:eastAsia="Arial" w:hAnsi="Arial"/>
          <w:sz w:val="10"/>
          <w:szCs w:val="10"/>
          <w:color w:val="auto"/>
        </w:rPr>
        <w:t>2021 through the end of 2025, and the</w:t>
      </w:r>
    </w:p>
    <w:p>
      <w:pPr>
        <w:spacing w:after="0" w:line="199" w:lineRule="auto"/>
        <w:rPr>
          <w:sz w:val="20"/>
          <w:szCs w:val="20"/>
          <w:color w:val="auto"/>
        </w:rPr>
      </w:pPr>
      <w:r>
        <w:rPr>
          <w:rFonts w:ascii="Arial" w:cs="Arial" w:eastAsia="Arial" w:hAnsi="Arial"/>
          <w:sz w:val="10"/>
          <w:szCs w:val="10"/>
          <w:color w:val="auto"/>
        </w:rPr>
        <w:t>geographical distribution of our shareholders. As of</w:t>
      </w:r>
    </w:p>
    <w:p>
      <w:pPr>
        <w:spacing w:after="0" w:line="198" w:lineRule="auto"/>
        <w:rPr>
          <w:sz w:val="20"/>
          <w:szCs w:val="20"/>
          <w:color w:val="auto"/>
        </w:rPr>
      </w:pPr>
      <w:r>
        <w:rPr>
          <w:rFonts w:ascii="Arial" w:cs="Arial" w:eastAsia="Arial" w:hAnsi="Arial"/>
          <w:sz w:val="10"/>
          <w:szCs w:val="10"/>
          <w:color w:val="auto"/>
        </w:rPr>
        <w:t>December 31, 2025, Genmab’s shares closed at</w:t>
      </w:r>
    </w:p>
    <w:p>
      <w:pPr>
        <w:spacing w:after="0" w:line="199" w:lineRule="auto"/>
        <w:rPr>
          <w:sz w:val="20"/>
          <w:szCs w:val="20"/>
          <w:color w:val="auto"/>
        </w:rPr>
      </w:pPr>
      <w:r>
        <w:rPr>
          <w:rFonts w:ascii="Arial" w:cs="Arial" w:eastAsia="Arial" w:hAnsi="Arial"/>
          <w:sz w:val="10"/>
          <w:szCs w:val="10"/>
          <w:color w:val="auto"/>
        </w:rPr>
        <w:t>DKK 2,027.00. As of December 31, 2025 Genmab’s</w:t>
      </w:r>
    </w:p>
    <w:p>
      <w:pPr>
        <w:spacing w:after="0"/>
        <w:rPr>
          <w:sz w:val="20"/>
          <w:szCs w:val="20"/>
          <w:color w:val="auto"/>
        </w:rPr>
      </w:pPr>
      <w:r>
        <w:rPr>
          <w:rFonts w:ascii="Arial" w:cs="Arial" w:eastAsia="Arial" w:hAnsi="Arial"/>
          <w:sz w:val="10"/>
          <w:szCs w:val="10"/>
          <w:color w:val="auto"/>
        </w:rPr>
        <w:t>ADSs closed at USD 30.80.</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54" w:lineRule="exact"/>
        <w:rPr>
          <w:rFonts w:ascii="Arial" w:cs="Arial" w:eastAsia="Arial" w:hAnsi="Arial"/>
          <w:sz w:val="10"/>
          <w:szCs w:val="10"/>
          <w:b w:val="1"/>
          <w:bCs w:val="1"/>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60</w:t>
      </w:r>
    </w:p>
    <w:p>
      <w:pPr>
        <w:sectPr>
          <w:pgSz w:w="11900" w:h="16840" w:orient="portrait"/>
          <w:cols w:equalWidth="0" w:num="2">
            <w:col w:w="7400" w:space="720"/>
            <w:col w:w="1700"/>
          </w:cols>
          <w:pgMar w:left="640" w:top="1440" w:right="1440" w:bottom="1440" w:gutter="0" w:footer="0" w:header="0"/>
        </w:sectPr>
      </w:pPr>
    </w:p>
    <w:bookmarkStart w:id="111" w:name="page112"/>
    <w:bookmarkEnd w:id="111"/>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9D94"/>
        </w:rPr>
        <w:t>Shareholders and Share Information</w:t>
      </w:r>
    </w:p>
    <w:p>
      <w:pPr>
        <w:spacing w:after="0" w:line="198" w:lineRule="auto"/>
        <w:rPr>
          <w:rFonts w:ascii="Arial" w:cs="Arial" w:eastAsia="Arial" w:hAnsi="Arial"/>
          <w:sz w:val="10"/>
          <w:szCs w:val="10"/>
          <w:color w:val="009D94"/>
        </w:rPr>
      </w:pPr>
      <w:hyperlink w:anchor="page153">
        <w:r>
          <w:rPr>
            <w:rFonts w:ascii="Arial" w:cs="Arial" w:eastAsia="Arial" w:hAnsi="Arial"/>
            <w:sz w:val="10"/>
            <w:szCs w:val="10"/>
            <w:color w:val="009D94"/>
          </w:rPr>
          <w:t xml:space="preserve">Please refer to </w:t>
        </w:r>
        <w:r>
          <w:rPr>
            <w:rFonts w:ascii="Arial" w:cs="Arial" w:eastAsia="Arial" w:hAnsi="Arial"/>
            <w:sz w:val="10"/>
            <w:szCs w:val="10"/>
            <w:b w:val="1"/>
            <w:bCs w:val="1"/>
            <w:color w:val="009D94"/>
          </w:rPr>
          <w:t>Note 4.7</w:t>
        </w:r>
        <w:r>
          <w:rPr>
            <w:rFonts w:ascii="Arial" w:cs="Arial" w:eastAsia="Arial" w:hAnsi="Arial"/>
            <w:sz w:val="10"/>
            <w:szCs w:val="10"/>
            <w:color w:val="009D94"/>
          </w:rPr>
          <w:t xml:space="preserve"> of the financial statements</w:t>
        </w:r>
      </w:hyperlink>
    </w:p>
    <w:p>
      <w:pPr>
        <w:spacing w:after="0" w:line="199" w:lineRule="auto"/>
        <w:rPr>
          <w:rFonts w:ascii="Arial" w:cs="Arial" w:eastAsia="Arial" w:hAnsi="Arial"/>
          <w:sz w:val="10"/>
          <w:szCs w:val="10"/>
          <w:color w:val="009D94"/>
        </w:rPr>
      </w:pPr>
      <w:hyperlink w:anchor="page153">
        <w:r>
          <w:rPr>
            <w:rFonts w:ascii="Arial" w:cs="Arial" w:eastAsia="Arial" w:hAnsi="Arial"/>
            <w:sz w:val="10"/>
            <w:szCs w:val="10"/>
            <w:color w:val="009D94"/>
          </w:rPr>
          <w:t xml:space="preserve">for additional information regarding </w:t>
        </w:r>
        <w:r>
          <w:rPr>
            <w:rFonts w:ascii="Arial" w:cs="Arial" w:eastAsia="Arial" w:hAnsi="Arial"/>
            <w:sz w:val="10"/>
            <w:szCs w:val="10"/>
            <w:b w:val="1"/>
            <w:bCs w:val="1"/>
            <w:color w:val="009D94"/>
          </w:rPr>
          <w:t>Genmab’s</w:t>
        </w:r>
      </w:hyperlink>
    </w:p>
    <w:p>
      <w:pPr>
        <w:spacing w:after="0" w:line="198" w:lineRule="auto"/>
        <w:rPr>
          <w:rFonts w:ascii="Arial" w:cs="Arial" w:eastAsia="Arial" w:hAnsi="Arial"/>
          <w:sz w:val="10"/>
          <w:szCs w:val="10"/>
          <w:b w:val="1"/>
          <w:bCs w:val="1"/>
          <w:color w:val="009D94"/>
        </w:rPr>
      </w:pPr>
      <w:hyperlink w:anchor="page153">
        <w:r>
          <w:rPr>
            <w:rFonts w:ascii="Arial" w:cs="Arial" w:eastAsia="Arial" w:hAnsi="Arial"/>
            <w:sz w:val="10"/>
            <w:szCs w:val="10"/>
            <w:b w:val="1"/>
            <w:bCs w:val="1"/>
            <w:color w:val="009D94"/>
          </w:rPr>
          <w:t xml:space="preserve">share capital </w:t>
        </w:r>
        <w:r>
          <w:rPr>
            <w:rFonts w:ascii="Arial" w:cs="Arial" w:eastAsia="Arial" w:hAnsi="Arial"/>
            <w:sz w:val="10"/>
            <w:szCs w:val="10"/>
            <w:color w:val="009D94"/>
          </w:rPr>
          <w:t>including authorizations to issue</w:t>
        </w:r>
      </w:hyperlink>
    </w:p>
    <w:p>
      <w:pPr>
        <w:spacing w:after="0" w:line="199" w:lineRule="auto"/>
        <w:rPr>
          <w:rFonts w:ascii="Arial" w:cs="Arial" w:eastAsia="Arial" w:hAnsi="Arial"/>
          <w:sz w:val="10"/>
          <w:szCs w:val="10"/>
          <w:color w:val="009D94"/>
        </w:rPr>
      </w:pPr>
      <w:hyperlink w:anchor="page153">
        <w:r>
          <w:rPr>
            <w:rFonts w:ascii="Arial" w:cs="Arial" w:eastAsia="Arial" w:hAnsi="Arial"/>
            <w:sz w:val="10"/>
            <w:szCs w:val="10"/>
            <w:color w:val="009D94"/>
          </w:rPr>
          <w:t>shares and purchase its own shares.</w:t>
        </w:r>
      </w:hyperlink>
    </w:p>
    <w:p>
      <w:pPr>
        <w:spacing w:after="0" w:line="199" w:lineRule="auto"/>
        <w:rPr>
          <w:sz w:val="20"/>
          <w:szCs w:val="20"/>
          <w:color w:val="auto"/>
        </w:rPr>
      </w:pPr>
      <w:r>
        <w:rPr>
          <w:rFonts w:ascii="Arial" w:cs="Arial" w:eastAsia="Arial" w:hAnsi="Arial"/>
          <w:sz w:val="10"/>
          <w:szCs w:val="10"/>
          <w:color w:val="auto"/>
        </w:rPr>
        <w:t>Genmab is a Foreign Private Issuer as defined in</w:t>
      </w:r>
    </w:p>
    <w:p>
      <w:pPr>
        <w:spacing w:after="0" w:line="198" w:lineRule="auto"/>
        <w:rPr>
          <w:sz w:val="20"/>
          <w:szCs w:val="20"/>
          <w:color w:val="auto"/>
        </w:rPr>
      </w:pPr>
      <w:r>
        <w:rPr>
          <w:rFonts w:ascii="Arial" w:cs="Arial" w:eastAsia="Arial" w:hAnsi="Arial"/>
          <w:sz w:val="10"/>
          <w:szCs w:val="10"/>
          <w:color w:val="auto"/>
        </w:rPr>
        <w:t>the SEC's rules and regulations. The determination</w:t>
      </w:r>
    </w:p>
    <w:p>
      <w:pPr>
        <w:spacing w:after="0" w:line="199" w:lineRule="auto"/>
        <w:rPr>
          <w:sz w:val="20"/>
          <w:szCs w:val="20"/>
          <w:color w:val="auto"/>
        </w:rPr>
      </w:pPr>
      <w:r>
        <w:rPr>
          <w:rFonts w:ascii="Arial" w:cs="Arial" w:eastAsia="Arial" w:hAnsi="Arial"/>
          <w:sz w:val="10"/>
          <w:szCs w:val="10"/>
          <w:color w:val="auto"/>
        </w:rPr>
        <w:t>of foreign private issuer status is made annually.</w:t>
      </w:r>
    </w:p>
    <w:p>
      <w:pPr>
        <w:spacing w:after="0" w:line="199" w:lineRule="auto"/>
        <w:rPr>
          <w:sz w:val="20"/>
          <w:szCs w:val="20"/>
          <w:color w:val="auto"/>
        </w:rPr>
      </w:pPr>
      <w:r>
        <w:rPr>
          <w:rFonts w:ascii="Arial" w:cs="Arial" w:eastAsia="Arial" w:hAnsi="Arial"/>
          <w:sz w:val="10"/>
          <w:szCs w:val="10"/>
          <w:color w:val="auto"/>
        </w:rPr>
        <w:t>We plan to make our next determination with</w:t>
      </w:r>
    </w:p>
    <w:p>
      <w:pPr>
        <w:spacing w:after="0" w:line="198" w:lineRule="auto"/>
        <w:rPr>
          <w:sz w:val="20"/>
          <w:szCs w:val="20"/>
          <w:color w:val="auto"/>
        </w:rPr>
      </w:pPr>
      <w:r>
        <w:rPr>
          <w:rFonts w:ascii="Arial" w:cs="Arial" w:eastAsia="Arial" w:hAnsi="Arial"/>
          <w:sz w:val="10"/>
          <w:szCs w:val="10"/>
          <w:color w:val="auto"/>
        </w:rPr>
        <w:t>respect to our foreign private issuer status on</w:t>
      </w:r>
    </w:p>
    <w:p>
      <w:pPr>
        <w:spacing w:after="0" w:line="194" w:lineRule="auto"/>
        <w:rPr>
          <w:sz w:val="20"/>
          <w:szCs w:val="20"/>
          <w:color w:val="auto"/>
        </w:rPr>
      </w:pPr>
      <w:r>
        <w:rPr>
          <w:rFonts w:ascii="Arial" w:cs="Arial" w:eastAsia="Arial" w:hAnsi="Arial"/>
          <w:sz w:val="10"/>
          <w:szCs w:val="10"/>
          <w:color w:val="auto"/>
        </w:rPr>
        <w:t>June 30, 2026.</w:t>
      </w:r>
    </w:p>
    <w:p>
      <w:pPr>
        <w:spacing w:after="0" w:line="198" w:lineRule="auto"/>
        <w:rPr>
          <w:sz w:val="20"/>
          <w:szCs w:val="20"/>
          <w:color w:val="auto"/>
        </w:rPr>
      </w:pPr>
      <w:r>
        <w:rPr>
          <w:rFonts w:ascii="Arial" w:cs="Arial" w:eastAsia="Arial" w:hAnsi="Arial"/>
          <w:sz w:val="18"/>
          <w:szCs w:val="18"/>
          <w:color w:val="009D94"/>
        </w:rPr>
        <w:t>American Depositary Receipt</w:t>
      </w:r>
    </w:p>
    <w:p>
      <w:pPr>
        <w:spacing w:after="0" w:line="202" w:lineRule="auto"/>
        <w:rPr>
          <w:sz w:val="20"/>
          <w:szCs w:val="20"/>
          <w:color w:val="auto"/>
        </w:rPr>
      </w:pPr>
      <w:r>
        <w:rPr>
          <w:rFonts w:ascii="Arial" w:cs="Arial" w:eastAsia="Arial" w:hAnsi="Arial"/>
          <w:sz w:val="18"/>
          <w:szCs w:val="18"/>
          <w:color w:val="009D94"/>
        </w:rPr>
        <w:t>(ADR) Program</w:t>
      </w:r>
    </w:p>
    <w:p>
      <w:pPr>
        <w:spacing w:after="0" w:line="199" w:lineRule="auto"/>
        <w:rPr>
          <w:sz w:val="20"/>
          <w:szCs w:val="20"/>
          <w:color w:val="auto"/>
        </w:rPr>
      </w:pPr>
      <w:r>
        <w:rPr>
          <w:rFonts w:ascii="Arial" w:cs="Arial" w:eastAsia="Arial" w:hAnsi="Arial"/>
          <w:sz w:val="10"/>
          <w:szCs w:val="10"/>
          <w:color w:val="auto"/>
        </w:rPr>
        <w:t>Genmab has a sponsored Level 3 ADR program</w:t>
      </w:r>
    </w:p>
    <w:p>
      <w:pPr>
        <w:spacing w:after="0" w:line="198" w:lineRule="auto"/>
        <w:rPr>
          <w:sz w:val="20"/>
          <w:szCs w:val="20"/>
          <w:color w:val="auto"/>
        </w:rPr>
      </w:pPr>
      <w:r>
        <w:rPr>
          <w:rFonts w:ascii="Arial" w:cs="Arial" w:eastAsia="Arial" w:hAnsi="Arial"/>
          <w:sz w:val="10"/>
          <w:szCs w:val="10"/>
          <w:color w:val="auto"/>
        </w:rPr>
        <w:t>with J.P. Morgan Chase Bank N.A.. An ADS is a</w:t>
      </w:r>
    </w:p>
    <w:p>
      <w:pPr>
        <w:spacing w:after="0" w:line="199" w:lineRule="auto"/>
        <w:rPr>
          <w:sz w:val="20"/>
          <w:szCs w:val="20"/>
          <w:color w:val="auto"/>
        </w:rPr>
      </w:pPr>
      <w:r>
        <w:rPr>
          <w:rFonts w:ascii="Arial" w:cs="Arial" w:eastAsia="Arial" w:hAnsi="Arial"/>
          <w:sz w:val="10"/>
          <w:szCs w:val="10"/>
          <w:color w:val="auto"/>
        </w:rPr>
        <w:t>share certificate representing ownership of shares</w:t>
      </w:r>
    </w:p>
    <w:p>
      <w:pPr>
        <w:spacing w:after="0" w:line="199" w:lineRule="auto"/>
        <w:rPr>
          <w:sz w:val="20"/>
          <w:szCs w:val="20"/>
          <w:color w:val="auto"/>
        </w:rPr>
      </w:pPr>
      <w:r>
        <w:rPr>
          <w:rFonts w:ascii="Arial" w:cs="Arial" w:eastAsia="Arial" w:hAnsi="Arial"/>
          <w:sz w:val="10"/>
          <w:szCs w:val="10"/>
          <w:color w:val="auto"/>
        </w:rPr>
        <w:t>in a non-U.S. corporation. ADSs issued under</w:t>
      </w:r>
    </w:p>
    <w:p>
      <w:pPr>
        <w:spacing w:after="0" w:line="198" w:lineRule="auto"/>
        <w:rPr>
          <w:sz w:val="20"/>
          <w:szCs w:val="20"/>
          <w:color w:val="auto"/>
        </w:rPr>
      </w:pPr>
      <w:r>
        <w:rPr>
          <w:rFonts w:ascii="Arial" w:cs="Arial" w:eastAsia="Arial" w:hAnsi="Arial"/>
          <w:sz w:val="10"/>
          <w:szCs w:val="10"/>
          <w:color w:val="auto"/>
        </w:rPr>
        <w:t>Genmab’s ADR Program are quoted and traded in</w:t>
      </w:r>
    </w:p>
    <w:p>
      <w:pPr>
        <w:spacing w:after="0" w:line="199" w:lineRule="auto"/>
        <w:rPr>
          <w:sz w:val="20"/>
          <w:szCs w:val="20"/>
          <w:color w:val="auto"/>
        </w:rPr>
      </w:pPr>
      <w:r>
        <w:rPr>
          <w:rFonts w:ascii="Arial" w:cs="Arial" w:eastAsia="Arial" w:hAnsi="Arial"/>
          <w:sz w:val="10"/>
          <w:szCs w:val="10"/>
          <w:color w:val="auto"/>
        </w:rPr>
        <w:t>U.S. dollars on the Nasdaq Global Select Market in</w:t>
      </w:r>
    </w:p>
    <w:p>
      <w:pPr>
        <w:spacing w:after="0" w:line="199" w:lineRule="auto"/>
        <w:rPr>
          <w:sz w:val="20"/>
          <w:szCs w:val="20"/>
          <w:color w:val="auto"/>
        </w:rPr>
      </w:pPr>
      <w:r>
        <w:rPr>
          <w:rFonts w:ascii="Arial" w:cs="Arial" w:eastAsia="Arial" w:hAnsi="Arial"/>
          <w:sz w:val="10"/>
          <w:szCs w:val="10"/>
          <w:color w:val="auto"/>
        </w:rPr>
        <w:t>the United States. Ten Genmab ADSs correspond</w:t>
      </w:r>
    </w:p>
    <w:p>
      <w:pPr>
        <w:spacing w:after="0" w:line="198" w:lineRule="auto"/>
        <w:rPr>
          <w:sz w:val="20"/>
          <w:szCs w:val="20"/>
          <w:color w:val="auto"/>
        </w:rPr>
      </w:pPr>
      <w:r>
        <w:rPr>
          <w:rFonts w:ascii="Arial" w:cs="Arial" w:eastAsia="Arial" w:hAnsi="Arial"/>
          <w:sz w:val="10"/>
          <w:szCs w:val="10"/>
          <w:color w:val="auto"/>
        </w:rPr>
        <w:t>to one Genmab ordinary share. Genmab’s ADR</w:t>
      </w:r>
    </w:p>
    <w:p>
      <w:pPr>
        <w:spacing w:after="0" w:line="199" w:lineRule="auto"/>
        <w:rPr>
          <w:sz w:val="20"/>
          <w:szCs w:val="20"/>
          <w:color w:val="auto"/>
        </w:rPr>
      </w:pPr>
      <w:r>
        <w:rPr>
          <w:rFonts w:ascii="Arial" w:cs="Arial" w:eastAsia="Arial" w:hAnsi="Arial"/>
          <w:sz w:val="10"/>
          <w:szCs w:val="10"/>
          <w:color w:val="auto"/>
        </w:rPr>
        <w:t>ticker symbol is GMAB. For more information</w:t>
      </w:r>
    </w:p>
    <w:p>
      <w:pPr>
        <w:spacing w:after="0" w:line="198" w:lineRule="auto"/>
        <w:rPr>
          <w:sz w:val="20"/>
          <w:szCs w:val="20"/>
          <w:color w:val="auto"/>
        </w:rPr>
      </w:pPr>
      <w:r>
        <w:rPr>
          <w:rFonts w:ascii="Arial" w:cs="Arial" w:eastAsia="Arial" w:hAnsi="Arial"/>
          <w:sz w:val="10"/>
          <w:szCs w:val="10"/>
          <w:color w:val="auto"/>
        </w:rPr>
        <w:t>on Genmab’s ADR Program, visit</w:t>
      </w:r>
    </w:p>
    <w:p>
      <w:pPr>
        <w:spacing w:after="0" w:line="194" w:lineRule="auto"/>
        <w:rPr>
          <w:sz w:val="20"/>
          <w:szCs w:val="20"/>
          <w:color w:val="auto"/>
        </w:rPr>
      </w:pPr>
      <w:r>
        <w:rPr>
          <w:rFonts w:ascii="Arial" w:cs="Arial" w:eastAsia="Arial" w:hAnsi="Arial"/>
          <w:sz w:val="10"/>
          <w:szCs w:val="10"/>
          <w:b w:val="1"/>
          <w:bCs w:val="1"/>
          <w:color w:val="009D94"/>
        </w:rPr>
        <w:t>https://ir.genmab.com/adr-program</w:t>
      </w:r>
      <w:r>
        <w:rPr>
          <w:rFonts w:ascii="Arial" w:cs="Arial" w:eastAsia="Arial" w:hAnsi="Arial"/>
          <w:sz w:val="10"/>
          <w:szCs w:val="10"/>
          <w:color w:val="000000"/>
        </w:rPr>
        <w:t>.</w:t>
      </w:r>
    </w:p>
    <w:p>
      <w:pPr>
        <w:spacing w:after="0" w:line="201" w:lineRule="auto"/>
        <w:rPr>
          <w:sz w:val="20"/>
          <w:szCs w:val="20"/>
          <w:color w:val="auto"/>
        </w:rPr>
      </w:pPr>
      <w:r>
        <w:rPr>
          <w:rFonts w:ascii="Arial" w:cs="Arial" w:eastAsia="Arial" w:hAnsi="Arial"/>
          <w:sz w:val="18"/>
          <w:szCs w:val="18"/>
          <w:color w:val="009D94"/>
        </w:rPr>
        <w:t>Investor Relations</w:t>
      </w:r>
    </w:p>
    <w:p>
      <w:pPr>
        <w:spacing w:after="0" w:line="199" w:lineRule="auto"/>
        <w:rPr>
          <w:sz w:val="20"/>
          <w:szCs w:val="20"/>
          <w:color w:val="auto"/>
        </w:rPr>
      </w:pPr>
      <w:r>
        <w:rPr>
          <w:rFonts w:ascii="Arial" w:cs="Arial" w:eastAsia="Arial" w:hAnsi="Arial"/>
          <w:sz w:val="10"/>
          <w:szCs w:val="10"/>
          <w:color w:val="auto"/>
        </w:rPr>
        <w:t>Genmab’s Investor Relations department aims to</w:t>
      </w:r>
    </w:p>
    <w:p>
      <w:pPr>
        <w:spacing w:after="0" w:line="199" w:lineRule="auto"/>
        <w:rPr>
          <w:sz w:val="20"/>
          <w:szCs w:val="20"/>
          <w:color w:val="auto"/>
        </w:rPr>
      </w:pPr>
      <w:r>
        <w:rPr>
          <w:rFonts w:ascii="Arial" w:cs="Arial" w:eastAsia="Arial" w:hAnsi="Arial"/>
          <w:sz w:val="10"/>
          <w:szCs w:val="10"/>
          <w:color w:val="auto"/>
        </w:rPr>
        <w:t>ensure relevant, accurate and timely information</w:t>
      </w:r>
    </w:p>
    <w:p>
      <w:pPr>
        <w:spacing w:after="0" w:line="199" w:lineRule="auto"/>
        <w:rPr>
          <w:sz w:val="20"/>
          <w:szCs w:val="20"/>
          <w:color w:val="auto"/>
        </w:rPr>
      </w:pPr>
      <w:r>
        <w:rPr>
          <w:rFonts w:ascii="Arial" w:cs="Arial" w:eastAsia="Arial" w:hAnsi="Arial"/>
          <w:sz w:val="10"/>
          <w:szCs w:val="10"/>
          <w:color w:val="auto"/>
        </w:rPr>
        <w:t>is available to our investors and the financial</w:t>
      </w:r>
    </w:p>
    <w:p>
      <w:pPr>
        <w:spacing w:after="0" w:line="198" w:lineRule="auto"/>
        <w:rPr>
          <w:sz w:val="20"/>
          <w:szCs w:val="20"/>
          <w:color w:val="auto"/>
        </w:rPr>
      </w:pPr>
      <w:r>
        <w:rPr>
          <w:rFonts w:ascii="Arial" w:cs="Arial" w:eastAsia="Arial" w:hAnsi="Arial"/>
          <w:sz w:val="10"/>
          <w:szCs w:val="10"/>
          <w:color w:val="auto"/>
        </w:rPr>
        <w:t>community. We maintain an ongoing dialogue</w:t>
      </w:r>
    </w:p>
    <w:p>
      <w:pPr>
        <w:spacing w:after="0" w:line="199" w:lineRule="auto"/>
        <w:rPr>
          <w:sz w:val="20"/>
          <w:szCs w:val="20"/>
          <w:color w:val="auto"/>
        </w:rPr>
      </w:pPr>
      <w:r>
        <w:rPr>
          <w:rFonts w:ascii="Arial" w:cs="Arial" w:eastAsia="Arial" w:hAnsi="Arial"/>
          <w:sz w:val="10"/>
          <w:szCs w:val="10"/>
          <w:color w:val="auto"/>
        </w:rPr>
        <w:t>with sell-side equity analysts, as well as major</w:t>
      </w:r>
    </w:p>
    <w:p>
      <w:pPr>
        <w:spacing w:after="0" w:line="199" w:lineRule="auto"/>
        <w:rPr>
          <w:sz w:val="20"/>
          <w:szCs w:val="20"/>
          <w:color w:val="auto"/>
        </w:rPr>
      </w:pPr>
      <w:r>
        <w:rPr>
          <w:rFonts w:ascii="Arial" w:cs="Arial" w:eastAsia="Arial" w:hAnsi="Arial"/>
          <w:sz w:val="10"/>
          <w:szCs w:val="10"/>
          <w:color w:val="auto"/>
        </w:rPr>
        <w:t>institutional and retail shareholders. A list of the</w:t>
      </w:r>
    </w:p>
    <w:p>
      <w:pPr>
        <w:spacing w:after="0" w:line="198" w:lineRule="auto"/>
        <w:rPr>
          <w:sz w:val="20"/>
          <w:szCs w:val="20"/>
          <w:color w:val="auto"/>
        </w:rPr>
      </w:pPr>
      <w:r>
        <w:rPr>
          <w:rFonts w:ascii="Arial" w:cs="Arial" w:eastAsia="Arial" w:hAnsi="Arial"/>
          <w:sz w:val="10"/>
          <w:szCs w:val="10"/>
          <w:color w:val="auto"/>
        </w:rPr>
        <w:t>current analysts covering Genmab can be found at</w:t>
      </w:r>
    </w:p>
    <w:p>
      <w:pPr>
        <w:spacing w:after="0" w:line="199" w:lineRule="auto"/>
        <w:rPr>
          <w:sz w:val="20"/>
          <w:szCs w:val="20"/>
          <w:color w:val="auto"/>
        </w:rPr>
      </w:pPr>
      <w:r>
        <w:rPr>
          <w:rFonts w:ascii="Arial" w:cs="Arial" w:eastAsia="Arial" w:hAnsi="Arial"/>
          <w:sz w:val="10"/>
          <w:szCs w:val="10"/>
          <w:color w:val="auto"/>
        </w:rPr>
        <w:t>our website along with financial reports, company</w:t>
      </w:r>
    </w:p>
    <w:p>
      <w:pPr>
        <w:spacing w:after="0" w:line="199" w:lineRule="auto"/>
        <w:rPr>
          <w:sz w:val="20"/>
          <w:szCs w:val="20"/>
          <w:color w:val="auto"/>
        </w:rPr>
      </w:pPr>
      <w:r>
        <w:rPr>
          <w:rFonts w:ascii="Arial" w:cs="Arial" w:eastAsia="Arial" w:hAnsi="Arial"/>
          <w:sz w:val="10"/>
          <w:szCs w:val="10"/>
          <w:color w:val="auto"/>
        </w:rPr>
        <w:t>announcements, current presentations, fact sheets</w:t>
      </w:r>
    </w:p>
    <w:p>
      <w:pPr>
        <w:spacing w:after="0" w:line="204" w:lineRule="auto"/>
        <w:rPr>
          <w:sz w:val="20"/>
          <w:szCs w:val="20"/>
          <w:color w:val="auto"/>
        </w:rPr>
      </w:pPr>
      <w:r>
        <w:rPr>
          <w:rFonts w:ascii="Arial" w:cs="Arial" w:eastAsia="Arial" w:hAnsi="Arial"/>
          <w:sz w:val="10"/>
          <w:szCs w:val="10"/>
          <w:color w:val="auto"/>
        </w:rPr>
        <w:t>and other downloads.</w:t>
      </w:r>
    </w:p>
    <w:p>
      <w:pPr>
        <w:spacing w:after="0" w:line="211" w:lineRule="auto"/>
        <w:rPr>
          <w:sz w:val="20"/>
          <w:szCs w:val="20"/>
          <w:color w:val="auto"/>
        </w:rPr>
      </w:pPr>
      <w:r>
        <w:rPr>
          <w:rFonts w:ascii="Arial" w:cs="Arial" w:eastAsia="Arial" w:hAnsi="Arial"/>
          <w:sz w:val="13"/>
          <w:szCs w:val="13"/>
          <w:b w:val="1"/>
          <w:bCs w:val="1"/>
          <w:color w:val="009D94"/>
        </w:rPr>
        <w:t>Contact</w:t>
      </w:r>
    </w:p>
    <w:p>
      <w:pPr>
        <w:spacing w:after="0" w:line="217" w:lineRule="auto"/>
        <w:rPr>
          <w:sz w:val="20"/>
          <w:szCs w:val="20"/>
          <w:color w:val="auto"/>
        </w:rPr>
      </w:pPr>
      <w:r>
        <w:rPr>
          <w:rFonts w:ascii="Arial" w:cs="Arial" w:eastAsia="Arial" w:hAnsi="Arial"/>
          <w:sz w:val="11"/>
          <w:szCs w:val="11"/>
          <w:b w:val="1"/>
          <w:bCs w:val="1"/>
          <w:color w:val="009D94"/>
        </w:rPr>
        <w:t>For Media Relations:</w:t>
      </w:r>
    </w:p>
    <w:p>
      <w:pPr>
        <w:spacing w:after="0" w:line="215" w:lineRule="auto"/>
        <w:rPr>
          <w:sz w:val="20"/>
          <w:szCs w:val="20"/>
          <w:color w:val="auto"/>
        </w:rPr>
      </w:pPr>
      <w:r>
        <w:rPr>
          <w:rFonts w:ascii="Arial" w:cs="Arial" w:eastAsia="Arial" w:hAnsi="Arial"/>
          <w:sz w:val="11"/>
          <w:szCs w:val="11"/>
          <w:b w:val="1"/>
          <w:bCs w:val="1"/>
          <w:color w:val="auto"/>
        </w:rPr>
        <w:t>Marisol Peron,</w:t>
      </w:r>
    </w:p>
    <w:p>
      <w:pPr>
        <w:spacing w:after="0" w:line="198" w:lineRule="auto"/>
        <w:rPr>
          <w:sz w:val="20"/>
          <w:szCs w:val="20"/>
          <w:color w:val="auto"/>
        </w:rPr>
      </w:pPr>
      <w:r>
        <w:rPr>
          <w:rFonts w:ascii="Arial" w:cs="Arial" w:eastAsia="Arial" w:hAnsi="Arial"/>
          <w:sz w:val="10"/>
          <w:szCs w:val="10"/>
          <w:color w:val="auto"/>
        </w:rPr>
        <w:t>Senior Vice President, Global Communications &amp;</w:t>
      </w:r>
    </w:p>
    <w:p>
      <w:pPr>
        <w:spacing w:after="0" w:line="199" w:lineRule="auto"/>
        <w:rPr>
          <w:sz w:val="20"/>
          <w:szCs w:val="20"/>
          <w:color w:val="auto"/>
        </w:rPr>
      </w:pPr>
      <w:r>
        <w:rPr>
          <w:rFonts w:ascii="Arial" w:cs="Arial" w:eastAsia="Arial" w:hAnsi="Arial"/>
          <w:sz w:val="10"/>
          <w:szCs w:val="10"/>
          <w:color w:val="auto"/>
        </w:rPr>
        <w:t>Corporate Affairs</w:t>
      </w:r>
    </w:p>
    <w:p>
      <w:pPr>
        <w:ind w:left="120" w:hanging="114"/>
        <w:spacing w:after="0" w:line="200" w:lineRule="auto"/>
        <w:tabs>
          <w:tab w:leader="none" w:pos="1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 xml:space="preserve">+1 609 524 0065; E: </w:t>
      </w:r>
      <w:r>
        <w:rPr>
          <w:rFonts w:ascii="Arial" w:cs="Arial" w:eastAsia="Arial" w:hAnsi="Arial"/>
          <w:sz w:val="10"/>
          <w:szCs w:val="10"/>
          <w:b w:val="1"/>
          <w:bCs w:val="1"/>
          <w:color w:val="009D94"/>
        </w:rPr>
        <w:t>mmp@genmab.com</w:t>
      </w:r>
    </w:p>
    <w:p>
      <w:pPr>
        <w:ind w:right="6160"/>
        <w:spacing w:after="0" w:line="215" w:lineRule="auto"/>
        <w:rPr>
          <w:rFonts w:ascii="Arial" w:cs="Arial" w:eastAsia="Arial" w:hAnsi="Arial"/>
          <w:sz w:val="10"/>
          <w:szCs w:val="10"/>
          <w:color w:val="auto"/>
        </w:rPr>
      </w:pPr>
      <w:r>
        <w:rPr>
          <w:rFonts w:ascii="Arial" w:cs="Arial" w:eastAsia="Arial" w:hAnsi="Arial"/>
          <w:sz w:val="11"/>
          <w:szCs w:val="11"/>
          <w:b w:val="1"/>
          <w:bCs w:val="1"/>
          <w:color w:val="009D94"/>
        </w:rPr>
        <w:t xml:space="preserve">For Investor Relations: </w:t>
      </w:r>
      <w:r>
        <w:rPr>
          <w:rFonts w:ascii="Arial" w:cs="Arial" w:eastAsia="Arial" w:hAnsi="Arial"/>
          <w:sz w:val="11"/>
          <w:szCs w:val="11"/>
          <w:b w:val="1"/>
          <w:bCs w:val="1"/>
          <w:color w:val="000000"/>
        </w:rPr>
        <w:t>Andrew Carlsen,</w:t>
      </w:r>
    </w:p>
    <w:p>
      <w:pPr>
        <w:spacing w:after="0" w:line="198" w:lineRule="auto"/>
        <w:rPr>
          <w:rFonts w:ascii="Arial" w:cs="Arial" w:eastAsia="Arial" w:hAnsi="Arial"/>
          <w:sz w:val="10"/>
          <w:szCs w:val="10"/>
          <w:color w:val="auto"/>
        </w:rPr>
      </w:pPr>
      <w:r>
        <w:rPr>
          <w:rFonts w:ascii="Arial" w:cs="Arial" w:eastAsia="Arial" w:hAnsi="Arial"/>
          <w:sz w:val="10"/>
          <w:szCs w:val="10"/>
          <w:color w:val="auto"/>
        </w:rPr>
        <w:t>Vice President, Head of Investor Relations</w:t>
      </w:r>
    </w:p>
    <w:p>
      <w:pPr>
        <w:ind w:left="120" w:hanging="114"/>
        <w:spacing w:after="0" w:line="204" w:lineRule="auto"/>
        <w:tabs>
          <w:tab w:leader="none" w:pos="1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 xml:space="preserve">+45 33 77 95 58; E: </w:t>
      </w:r>
      <w:r>
        <w:rPr>
          <w:rFonts w:ascii="Arial" w:cs="Arial" w:eastAsia="Arial" w:hAnsi="Arial"/>
          <w:sz w:val="10"/>
          <w:szCs w:val="10"/>
          <w:b w:val="1"/>
          <w:bCs w:val="1"/>
          <w:color w:val="009D94"/>
        </w:rPr>
        <w:t>acn@genmab.com</w:t>
      </w:r>
    </w:p>
    <w:p>
      <w:pPr>
        <w:spacing w:after="0" w:line="209" w:lineRule="auto"/>
        <w:rPr>
          <w:sz w:val="20"/>
          <w:szCs w:val="20"/>
          <w:color w:val="auto"/>
        </w:rPr>
      </w:pPr>
      <w:r>
        <w:rPr>
          <w:rFonts w:ascii="Arial" w:cs="Arial" w:eastAsia="Arial" w:hAnsi="Arial"/>
          <w:sz w:val="13"/>
          <w:szCs w:val="13"/>
          <w:b w:val="1"/>
          <w:bCs w:val="1"/>
          <w:color w:val="009D94"/>
        </w:rPr>
        <w:t>Annual General Meeting</w:t>
      </w:r>
    </w:p>
    <w:p>
      <w:pPr>
        <w:ind w:right="2440"/>
        <w:spacing w:after="0" w:line="201" w:lineRule="auto"/>
        <w:rPr>
          <w:sz w:val="20"/>
          <w:szCs w:val="20"/>
          <w:color w:val="auto"/>
        </w:rPr>
      </w:pPr>
      <w:r>
        <w:rPr>
          <w:rFonts w:ascii="Arial" w:cs="Arial" w:eastAsia="Arial" w:hAnsi="Arial"/>
          <w:sz w:val="10"/>
          <w:szCs w:val="10"/>
          <w:color w:val="auto"/>
        </w:rPr>
        <w:t>Genmab’s Annual General Meeting will be held on March 19, 2026 at 2:00 PM CEST. Further details will be included in the notice to convene the Annual General Meeting.</w:t>
      </w:r>
    </w:p>
    <w:p>
      <w:pPr>
        <w:spacing w:after="0" w:line="225" w:lineRule="auto"/>
        <w:rPr>
          <w:sz w:val="20"/>
          <w:szCs w:val="20"/>
          <w:color w:val="auto"/>
        </w:rPr>
      </w:pPr>
      <w:r>
        <w:rPr>
          <w:rFonts w:ascii="Arial" w:cs="Arial" w:eastAsia="Arial" w:hAnsi="Arial"/>
          <w:sz w:val="13"/>
          <w:szCs w:val="13"/>
          <w:b w:val="1"/>
          <w:bCs w:val="1"/>
          <w:color w:val="009D94"/>
        </w:rPr>
        <w:t>Financial Calendar for 2026</w:t>
      </w:r>
    </w:p>
    <w:p>
      <w:pPr>
        <w:ind w:left="20"/>
        <w:spacing w:after="0"/>
        <w:tabs>
          <w:tab w:leader="none" w:pos="3480" w:val="left"/>
        </w:tabs>
        <w:rPr>
          <w:sz w:val="20"/>
          <w:szCs w:val="20"/>
          <w:color w:val="auto"/>
        </w:rPr>
      </w:pPr>
      <w:r>
        <w:rPr>
          <w:rFonts w:ascii="Arial" w:cs="Arial" w:eastAsia="Arial" w:hAnsi="Arial"/>
          <w:sz w:val="10"/>
          <w:szCs w:val="10"/>
          <w:color w:val="auto"/>
        </w:rPr>
        <w:t>Annual General Meeting 2026</w:t>
      </w:r>
      <w:r>
        <w:rPr>
          <w:sz w:val="20"/>
          <w:szCs w:val="20"/>
          <w:color w:val="auto"/>
        </w:rPr>
        <w:tab/>
      </w:r>
      <w:r>
        <w:rPr>
          <w:rFonts w:ascii="Arial" w:cs="Arial" w:eastAsia="Arial" w:hAnsi="Arial"/>
          <w:sz w:val="10"/>
          <w:szCs w:val="10"/>
          <w:color w:val="auto"/>
        </w:rPr>
        <w:t>Thursday, March 19, 2026</w:t>
      </w:r>
    </w:p>
    <w:p>
      <w:pPr>
        <w:spacing w:after="0" w:line="27" w:lineRule="exact"/>
        <w:rPr>
          <w:rFonts w:ascii="Arial" w:cs="Arial" w:eastAsia="Arial" w:hAnsi="Arial"/>
          <w:sz w:val="10"/>
          <w:szCs w:val="10"/>
          <w:b w:val="1"/>
          <w:bCs w:val="1"/>
          <w:color w:val="auto"/>
        </w:rPr>
      </w:pPr>
    </w:p>
    <w:p>
      <w:pPr>
        <w:ind w:left="20"/>
        <w:spacing w:after="0"/>
        <w:tabs>
          <w:tab w:leader="none" w:pos="3480" w:val="left"/>
        </w:tabs>
        <w:rPr>
          <w:sz w:val="20"/>
          <w:szCs w:val="20"/>
          <w:color w:val="auto"/>
        </w:rPr>
      </w:pPr>
      <w:r>
        <w:rPr>
          <w:rFonts w:ascii="Arial" w:cs="Arial" w:eastAsia="Arial" w:hAnsi="Arial"/>
          <w:sz w:val="10"/>
          <w:szCs w:val="10"/>
          <w:color w:val="auto"/>
        </w:rPr>
        <w:t>Publication of the Interim Report for the first quarter 2026</w:t>
      </w:r>
      <w:r>
        <w:rPr>
          <w:sz w:val="20"/>
          <w:szCs w:val="20"/>
          <w:color w:val="auto"/>
        </w:rPr>
        <w:tab/>
      </w:r>
      <w:r>
        <w:rPr>
          <w:rFonts w:ascii="Arial" w:cs="Arial" w:eastAsia="Arial" w:hAnsi="Arial"/>
          <w:sz w:val="10"/>
          <w:szCs w:val="10"/>
          <w:color w:val="auto"/>
        </w:rPr>
        <w:t>Thursday, May 7, 2026</w:t>
      </w:r>
    </w:p>
    <w:p>
      <w:pPr>
        <w:spacing w:after="0" w:line="37" w:lineRule="exact"/>
        <w:rPr>
          <w:rFonts w:ascii="Arial" w:cs="Arial" w:eastAsia="Arial" w:hAnsi="Arial"/>
          <w:sz w:val="10"/>
          <w:szCs w:val="10"/>
          <w:b w:val="1"/>
          <w:bCs w:val="1"/>
          <w:color w:val="auto"/>
        </w:rPr>
      </w:pPr>
    </w:p>
    <w:p>
      <w:pPr>
        <w:ind w:left="20"/>
        <w:spacing w:after="0"/>
        <w:tabs>
          <w:tab w:leader="none" w:pos="3480" w:val="left"/>
        </w:tabs>
        <w:rPr>
          <w:sz w:val="20"/>
          <w:szCs w:val="20"/>
          <w:color w:val="auto"/>
        </w:rPr>
      </w:pPr>
      <w:r>
        <w:rPr>
          <w:rFonts w:ascii="Arial" w:cs="Arial" w:eastAsia="Arial" w:hAnsi="Arial"/>
          <w:sz w:val="10"/>
          <w:szCs w:val="10"/>
          <w:color w:val="auto"/>
        </w:rPr>
        <w:t>Publication of the Interim Report for the first half 2026</w:t>
      </w:r>
      <w:r>
        <w:rPr>
          <w:sz w:val="20"/>
          <w:szCs w:val="20"/>
          <w:color w:val="auto"/>
        </w:rPr>
        <w:tab/>
      </w:r>
      <w:r>
        <w:rPr>
          <w:rFonts w:ascii="Arial" w:cs="Arial" w:eastAsia="Arial" w:hAnsi="Arial"/>
          <w:sz w:val="10"/>
          <w:szCs w:val="10"/>
          <w:color w:val="auto"/>
        </w:rPr>
        <w:t>Thursday, August 6, 2026</w:t>
      </w:r>
    </w:p>
    <w:p>
      <w:pPr>
        <w:spacing w:after="0" w:line="27" w:lineRule="exact"/>
        <w:rPr>
          <w:rFonts w:ascii="Arial" w:cs="Arial" w:eastAsia="Arial" w:hAnsi="Arial"/>
          <w:sz w:val="10"/>
          <w:szCs w:val="10"/>
          <w:b w:val="1"/>
          <w:bCs w:val="1"/>
          <w:color w:val="auto"/>
        </w:rPr>
      </w:pPr>
    </w:p>
    <w:p>
      <w:pPr>
        <w:ind w:left="20"/>
        <w:spacing w:after="0"/>
        <w:tabs>
          <w:tab w:leader="none" w:pos="3480" w:val="left"/>
        </w:tabs>
        <w:rPr>
          <w:sz w:val="20"/>
          <w:szCs w:val="20"/>
          <w:color w:val="auto"/>
        </w:rPr>
      </w:pPr>
      <w:r>
        <w:rPr>
          <w:rFonts w:ascii="Arial" w:cs="Arial" w:eastAsia="Arial" w:hAnsi="Arial"/>
          <w:sz w:val="10"/>
          <w:szCs w:val="10"/>
          <w:color w:val="auto"/>
        </w:rPr>
        <w:t>Publication of the Interim Report for the first nine months 2026</w:t>
      </w:r>
      <w:r>
        <w:rPr>
          <w:sz w:val="20"/>
          <w:szCs w:val="20"/>
          <w:color w:val="auto"/>
        </w:rPr>
        <w:tab/>
      </w:r>
      <w:r>
        <w:rPr>
          <w:rFonts w:ascii="Arial" w:cs="Arial" w:eastAsia="Arial" w:hAnsi="Arial"/>
          <w:sz w:val="10"/>
          <w:szCs w:val="10"/>
          <w:color w:val="auto"/>
        </w:rPr>
        <w:t>Thursday, November 5,</w:t>
      </w:r>
    </w:p>
    <w:p>
      <w:pPr>
        <w:ind w:left="3500"/>
        <w:spacing w:after="0"/>
        <w:rPr>
          <w:sz w:val="20"/>
          <w:szCs w:val="20"/>
          <w:color w:val="auto"/>
        </w:rPr>
      </w:pPr>
      <w:r>
        <w:rPr>
          <w:rFonts w:ascii="Arial" w:cs="Arial" w:eastAsia="Arial" w:hAnsi="Arial"/>
          <w:sz w:val="10"/>
          <w:szCs w:val="10"/>
          <w:color w:val="auto"/>
        </w:rPr>
        <w:t>2026</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779145</wp:posOffset>
            </wp:positionV>
            <wp:extent cx="6781165" cy="4792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61</w:t>
      </w:r>
    </w:p>
    <w:p>
      <w:pPr>
        <w:sectPr>
          <w:pgSz w:w="11900" w:h="16840" w:orient="portrait"/>
          <w:cols w:equalWidth="0" w:num="2">
            <w:col w:w="7400" w:space="720"/>
            <w:col w:w="1700"/>
          </w:cols>
          <w:pgMar w:left="640" w:top="571" w:right="144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1.1</w:t>
      </w:r>
    </w:p>
    <w:p>
      <w:pPr>
        <w:spacing w:after="0" w:line="210" w:lineRule="auto"/>
        <w:rPr>
          <w:sz w:val="20"/>
          <w:szCs w:val="20"/>
          <w:color w:val="auto"/>
        </w:rPr>
      </w:pPr>
      <w:r>
        <w:rPr>
          <w:rFonts w:ascii="Arial" w:cs="Arial" w:eastAsia="Arial" w:hAnsi="Arial"/>
          <w:sz w:val="15"/>
          <w:szCs w:val="15"/>
          <w:color w:val="0057CF"/>
        </w:rPr>
        <w:t>Basis for presentation</w:t>
      </w:r>
    </w:p>
    <w:p>
      <w:pPr>
        <w:ind w:right="360"/>
        <w:spacing w:after="0" w:line="213" w:lineRule="auto"/>
        <w:rPr>
          <w:sz w:val="20"/>
          <w:szCs w:val="20"/>
          <w:color w:val="auto"/>
        </w:rPr>
      </w:pPr>
      <w:r>
        <w:rPr>
          <w:rFonts w:ascii="Arial" w:cs="Arial" w:eastAsia="Arial" w:hAnsi="Arial"/>
          <w:sz w:val="13"/>
          <w:szCs w:val="13"/>
          <w:b w:val="1"/>
          <w:bCs w:val="1"/>
          <w:color w:val="0057CF"/>
        </w:rPr>
        <w:t>General basis for preparation of the sustainability statement (BP-1)</w:t>
      </w:r>
    </w:p>
    <w:p>
      <w:pPr>
        <w:spacing w:after="0" w:line="195" w:lineRule="auto"/>
        <w:rPr>
          <w:sz w:val="20"/>
          <w:szCs w:val="20"/>
          <w:color w:val="auto"/>
        </w:rPr>
      </w:pPr>
      <w:r>
        <w:rPr>
          <w:rFonts w:ascii="Arial" w:cs="Arial" w:eastAsia="Arial" w:hAnsi="Arial"/>
          <w:sz w:val="12"/>
          <w:szCs w:val="12"/>
          <w:b w:val="1"/>
          <w:bCs w:val="1"/>
          <w:color w:val="auto"/>
        </w:rPr>
        <w:t>Frameworks</w:t>
      </w:r>
    </w:p>
    <w:p>
      <w:pPr>
        <w:spacing w:after="0" w:line="1" w:lineRule="exact"/>
        <w:rPr>
          <w:sz w:val="20"/>
          <w:szCs w:val="20"/>
          <w:color w:val="auto"/>
        </w:rPr>
      </w:pPr>
    </w:p>
    <w:p>
      <w:pPr>
        <w:ind w:right="280"/>
        <w:spacing w:after="0" w:line="199" w:lineRule="auto"/>
        <w:rPr>
          <w:sz w:val="20"/>
          <w:szCs w:val="20"/>
          <w:color w:val="auto"/>
        </w:rPr>
      </w:pPr>
      <w:r>
        <w:rPr>
          <w:rFonts w:ascii="Arial" w:cs="Arial" w:eastAsia="Arial" w:hAnsi="Arial"/>
          <w:sz w:val="10"/>
          <w:szCs w:val="10"/>
          <w:color w:val="auto"/>
        </w:rPr>
        <w:t>This 2025 annual report marks Genmab’s second year reporting in accordance with the European Sustainability Reporting Standards (ESRS), as required under section 99a of the Danish Financial Statements Act. For EU Taxonomy reporting, Genmab has opted to apply the amended EU Taxonomy legislation, Commission Delegated Regulation (EU) 2026/73 amending the Delegated Regulations (EU) 2021/2178, (EU) 2021/2139 and (EU) 2023/2486.</w:t>
      </w:r>
    </w:p>
    <w:p>
      <w:pPr>
        <w:spacing w:after="0" w:line="195" w:lineRule="auto"/>
        <w:rPr>
          <w:sz w:val="20"/>
          <w:szCs w:val="20"/>
          <w:color w:val="auto"/>
        </w:rPr>
      </w:pPr>
      <w:r>
        <w:rPr>
          <w:rFonts w:ascii="Arial" w:cs="Arial" w:eastAsia="Arial" w:hAnsi="Arial"/>
          <w:sz w:val="12"/>
          <w:szCs w:val="12"/>
          <w:b w:val="1"/>
          <w:bCs w:val="1"/>
          <w:color w:val="auto"/>
        </w:rPr>
        <w:t>Consolidation</w:t>
      </w:r>
    </w:p>
    <w:p>
      <w:pPr>
        <w:ind w:right="560"/>
        <w:spacing w:after="0" w:line="198" w:lineRule="auto"/>
        <w:rPr>
          <w:sz w:val="20"/>
          <w:szCs w:val="20"/>
          <w:color w:val="auto"/>
        </w:rPr>
      </w:pPr>
      <w:r>
        <w:rPr>
          <w:rFonts w:ascii="Arial" w:cs="Arial" w:eastAsia="Arial" w:hAnsi="Arial"/>
          <w:sz w:val="10"/>
          <w:szCs w:val="10"/>
          <w:color w:val="auto"/>
        </w:rPr>
        <w:t>The sustainability statements have been prepared on a consolidated basis in line with</w:t>
      </w:r>
    </w:p>
    <w:p>
      <w:pPr>
        <w:spacing w:after="0" w:line="1" w:lineRule="exact"/>
        <w:rPr>
          <w:sz w:val="20"/>
          <w:szCs w:val="20"/>
          <w:color w:val="auto"/>
        </w:rPr>
      </w:pPr>
    </w:p>
    <w:p>
      <w:pPr>
        <w:ind w:right="220"/>
        <w:spacing w:after="0" w:line="198" w:lineRule="auto"/>
        <w:rPr>
          <w:sz w:val="20"/>
          <w:szCs w:val="20"/>
          <w:color w:val="auto"/>
        </w:rPr>
      </w:pPr>
      <w:r>
        <w:rPr>
          <w:rFonts w:ascii="Arial" w:cs="Arial" w:eastAsia="Arial" w:hAnsi="Arial"/>
          <w:sz w:val="10"/>
          <w:szCs w:val="10"/>
          <w:color w:val="auto"/>
        </w:rPr>
        <w:t>our consolidated financial statements; therefore, the disclosures comprise the Genmab A/S (parent company) and its subsidiaries. The E1 disclosures in particular have been consolidated on the basis of both financial and operational control. The sustainability statements cover Genmab’s</w:t>
      </w:r>
    </w:p>
    <w:p>
      <w:pPr>
        <w:spacing w:after="0" w:line="2" w:lineRule="exact"/>
        <w:rPr>
          <w:sz w:val="20"/>
          <w:szCs w:val="20"/>
          <w:color w:val="auto"/>
        </w:rPr>
      </w:pPr>
    </w:p>
    <w:p>
      <w:pPr>
        <w:ind w:right="220"/>
        <w:spacing w:after="0" w:line="198" w:lineRule="auto"/>
        <w:rPr>
          <w:sz w:val="20"/>
          <w:szCs w:val="20"/>
          <w:color w:val="auto"/>
        </w:rPr>
      </w:pPr>
      <w:r>
        <w:rPr>
          <w:rFonts w:ascii="Arial" w:cs="Arial" w:eastAsia="Arial" w:hAnsi="Arial"/>
          <w:sz w:val="10"/>
          <w:szCs w:val="10"/>
          <w:color w:val="auto"/>
        </w:rPr>
        <w:t>own operations and upstream and downstream value chains, where material, specifically regarding disclosures around impacts, risks and opportunities (IROs), policies, actions, targets and metrics. We have applied transitional provisions relating to some value chain information.</w:t>
      </w:r>
    </w:p>
    <w:p>
      <w:pPr>
        <w:spacing w:after="0" w:line="2" w:lineRule="exact"/>
        <w:rPr>
          <w:sz w:val="20"/>
          <w:szCs w:val="20"/>
          <w:color w:val="auto"/>
        </w:rPr>
      </w:pPr>
    </w:p>
    <w:p>
      <w:pPr>
        <w:ind w:right="700"/>
        <w:spacing w:after="0" w:line="198" w:lineRule="auto"/>
        <w:rPr>
          <w:sz w:val="20"/>
          <w:szCs w:val="20"/>
          <w:color w:val="auto"/>
        </w:rPr>
      </w:pPr>
      <w:r>
        <w:rPr>
          <w:rFonts w:ascii="Arial" w:cs="Arial" w:eastAsia="Arial" w:hAnsi="Arial"/>
          <w:sz w:val="10"/>
          <w:szCs w:val="10"/>
          <w:color w:val="0057CF"/>
        </w:rPr>
        <w:t>Refer to the topical sections for additional information.</w:t>
      </w:r>
    </w:p>
    <w:p>
      <w:pPr>
        <w:spacing w:after="0" w:line="1" w:lineRule="exact"/>
        <w:rPr>
          <w:sz w:val="20"/>
          <w:szCs w:val="20"/>
          <w:color w:val="auto"/>
        </w:rPr>
      </w:pPr>
    </w:p>
    <w:p>
      <w:pPr>
        <w:ind w:right="160"/>
        <w:spacing w:after="0" w:line="198" w:lineRule="auto"/>
        <w:rPr>
          <w:sz w:val="20"/>
          <w:szCs w:val="20"/>
          <w:color w:val="auto"/>
        </w:rPr>
      </w:pPr>
      <w:r>
        <w:rPr>
          <w:rFonts w:ascii="Arial" w:cs="Arial" w:eastAsia="Arial" w:hAnsi="Arial"/>
          <w:sz w:val="10"/>
          <w:szCs w:val="10"/>
          <w:color w:val="auto"/>
        </w:rPr>
        <w:t>Genmab has not omitted any specific pieces of information corresponding to intellectual property, know-how or the results of innovation nor used the exemption from disclosure of impending developments or matters in the course of negotiation. On December 12, 2025, Genmab completed the acquisition of Merus, a clinical-stage biotech developing multispecific antibodies. The impact</w:t>
      </w:r>
    </w:p>
    <w:p>
      <w:pPr>
        <w:spacing w:after="0" w:line="2" w:lineRule="exact"/>
        <w:rPr>
          <w:sz w:val="20"/>
          <w:szCs w:val="20"/>
          <w:color w:val="auto"/>
        </w:rPr>
      </w:pPr>
    </w:p>
    <w:p>
      <w:pPr>
        <w:ind w:right="300"/>
        <w:spacing w:after="0" w:line="199" w:lineRule="auto"/>
        <w:rPr>
          <w:sz w:val="20"/>
          <w:szCs w:val="20"/>
          <w:color w:val="auto"/>
        </w:rPr>
      </w:pPr>
      <w:r>
        <w:rPr>
          <w:rFonts w:ascii="Arial" w:cs="Arial" w:eastAsia="Arial" w:hAnsi="Arial"/>
          <w:sz w:val="10"/>
          <w:szCs w:val="10"/>
          <w:color w:val="auto"/>
        </w:rPr>
        <w:t>of the acquisition has been deemed immaterial for sustainability reporting and is not included in our sustainability statements, except as noted in the E1-6 table for Scope 3 GHG emissions and EU Taxonomy tables.</w:t>
      </w:r>
    </w:p>
    <w:p>
      <w:pPr>
        <w:spacing w:after="0" w:line="2" w:lineRule="exact"/>
        <w:rPr>
          <w:sz w:val="20"/>
          <w:szCs w:val="20"/>
          <w:color w:val="auto"/>
        </w:rPr>
      </w:pPr>
    </w:p>
    <w:p>
      <w:pPr>
        <w:ind w:right="500"/>
        <w:spacing w:after="0" w:line="213" w:lineRule="auto"/>
        <w:rPr>
          <w:sz w:val="20"/>
          <w:szCs w:val="20"/>
          <w:color w:val="auto"/>
        </w:rPr>
      </w:pPr>
      <w:r>
        <w:rPr>
          <w:rFonts w:ascii="Arial" w:cs="Arial" w:eastAsia="Arial" w:hAnsi="Arial"/>
          <w:sz w:val="13"/>
          <w:szCs w:val="13"/>
          <w:b w:val="1"/>
          <w:bCs w:val="1"/>
          <w:color w:val="0057CF"/>
        </w:rPr>
        <w:t>Disclosures in relation to specific circumstances (BP-2)</w:t>
      </w:r>
    </w:p>
    <w:p>
      <w:pPr>
        <w:ind w:right="980"/>
        <w:spacing w:after="0" w:line="197" w:lineRule="auto"/>
        <w:rPr>
          <w:sz w:val="20"/>
          <w:szCs w:val="20"/>
          <w:color w:val="auto"/>
        </w:rPr>
      </w:pPr>
      <w:r>
        <w:rPr>
          <w:rFonts w:ascii="Arial" w:cs="Arial" w:eastAsia="Arial" w:hAnsi="Arial"/>
          <w:sz w:val="12"/>
          <w:szCs w:val="12"/>
          <w:b w:val="1"/>
          <w:bCs w:val="1"/>
          <w:color w:val="auto"/>
        </w:rPr>
        <w:t>Disclosures Stemming from Other Regulation</w:t>
      </w:r>
    </w:p>
    <w:p>
      <w:pPr>
        <w:ind w:right="380"/>
        <w:spacing w:after="0" w:line="198" w:lineRule="auto"/>
        <w:rPr>
          <w:sz w:val="20"/>
          <w:szCs w:val="20"/>
          <w:color w:val="auto"/>
        </w:rPr>
      </w:pPr>
      <w:r>
        <w:rPr>
          <w:rFonts w:ascii="Arial" w:cs="Arial" w:eastAsia="Arial" w:hAnsi="Arial"/>
          <w:sz w:val="10"/>
          <w:szCs w:val="10"/>
          <w:color w:val="auto"/>
        </w:rPr>
        <w:t>Genmab’s sustainability statements also comply with sections 99d, 107(d) and 107(f) of the Danish Financial Statements Act.</w:t>
      </w:r>
    </w:p>
    <w:p>
      <w:pPr>
        <w:spacing w:after="0" w:line="204" w:lineRule="auto"/>
        <w:rPr>
          <w:rFonts w:ascii="Arial" w:cs="Arial" w:eastAsia="Arial" w:hAnsi="Arial"/>
          <w:sz w:val="10"/>
          <w:szCs w:val="10"/>
          <w:color w:val="0057CF"/>
        </w:rPr>
      </w:pPr>
      <w:hyperlink w:anchor="page133">
        <w:r>
          <w:rPr>
            <w:rFonts w:ascii="Arial" w:cs="Arial" w:eastAsia="Arial" w:hAnsi="Arial"/>
            <w:sz w:val="10"/>
            <w:szCs w:val="10"/>
            <w:color w:val="0057CF"/>
          </w:rPr>
          <w:t xml:space="preserve">Refer to </w:t>
        </w:r>
        <w:r>
          <w:rPr>
            <w:rFonts w:ascii="Arial" w:cs="Arial" w:eastAsia="Arial" w:hAnsi="Arial"/>
            <w:sz w:val="10"/>
            <w:szCs w:val="10"/>
            <w:b w:val="1"/>
            <w:bCs w:val="1"/>
            <w:color w:val="0057CF"/>
          </w:rPr>
          <w:t>Appendix A</w:t>
        </w:r>
        <w:r>
          <w:rPr>
            <w:rFonts w:ascii="Arial" w:cs="Arial" w:eastAsia="Arial" w:hAnsi="Arial"/>
            <w:sz w:val="10"/>
            <w:szCs w:val="10"/>
            <w:color w:val="0057CF"/>
          </w:rPr>
          <w:t xml:space="preserve"> for a complete overview.</w:t>
        </w:r>
      </w:hyperlink>
    </w:p>
    <w:p>
      <w:pPr>
        <w:spacing w:after="0" w:line="195" w:lineRule="auto"/>
        <w:rPr>
          <w:sz w:val="20"/>
          <w:szCs w:val="20"/>
          <w:color w:val="auto"/>
        </w:rPr>
      </w:pPr>
      <w:r>
        <w:rPr>
          <w:rFonts w:ascii="Arial" w:cs="Arial" w:eastAsia="Arial" w:hAnsi="Arial"/>
          <w:sz w:val="12"/>
          <w:szCs w:val="12"/>
          <w:b w:val="1"/>
          <w:bCs w:val="1"/>
          <w:color w:val="auto"/>
        </w:rPr>
        <w:t>Accounting Policies</w:t>
      </w:r>
    </w:p>
    <w:p>
      <w:pPr>
        <w:jc w:val="both"/>
        <w:ind w:right="280"/>
        <w:spacing w:after="0" w:line="199" w:lineRule="auto"/>
        <w:rPr>
          <w:sz w:val="20"/>
          <w:szCs w:val="20"/>
          <w:color w:val="auto"/>
        </w:rPr>
      </w:pPr>
      <w:r>
        <w:rPr>
          <w:rFonts w:ascii="Arial" w:cs="Arial" w:eastAsia="Arial" w:hAnsi="Arial"/>
          <w:sz w:val="10"/>
          <w:szCs w:val="10"/>
          <w:color w:val="auto"/>
        </w:rPr>
        <w:t>Genmab’s accounting policies have been applied, in all material respects, consistently in the financial year and for comparative figures.</w:t>
      </w:r>
    </w:p>
    <w:p>
      <w:pPr>
        <w:spacing w:after="0" w:line="1" w:lineRule="exact"/>
        <w:rPr>
          <w:sz w:val="20"/>
          <w:szCs w:val="20"/>
          <w:color w:val="auto"/>
        </w:rPr>
      </w:pPr>
    </w:p>
    <w:p>
      <w:pPr>
        <w:ind w:right="800"/>
        <w:spacing w:after="0" w:line="197" w:lineRule="auto"/>
        <w:rPr>
          <w:sz w:val="20"/>
          <w:szCs w:val="20"/>
          <w:color w:val="auto"/>
        </w:rPr>
      </w:pPr>
      <w:r>
        <w:rPr>
          <w:rFonts w:ascii="Arial" w:cs="Arial" w:eastAsia="Arial" w:hAnsi="Arial"/>
          <w:sz w:val="12"/>
          <w:szCs w:val="12"/>
          <w:b w:val="1"/>
          <w:bCs w:val="1"/>
          <w:color w:val="auto"/>
        </w:rPr>
        <w:t>Key Accounting Estimates and Judgements</w:t>
      </w:r>
    </w:p>
    <w:p>
      <w:pPr>
        <w:ind w:right="220"/>
        <w:spacing w:after="0" w:line="206" w:lineRule="auto"/>
        <w:rPr>
          <w:sz w:val="20"/>
          <w:szCs w:val="20"/>
          <w:color w:val="auto"/>
        </w:rPr>
      </w:pPr>
      <w:r>
        <w:rPr>
          <w:rFonts w:ascii="Arial" w:cs="Arial" w:eastAsia="Arial" w:hAnsi="Arial"/>
          <w:sz w:val="10"/>
          <w:szCs w:val="10"/>
          <w:color w:val="auto"/>
        </w:rPr>
        <w:t>Genmab uses estimates and judgements for the reporting of certain data points related to our Scope 3 emissions, which are detailed in the relevant accounting policies. Quantifying GHG emissions inherently involves significant uncertainty due to the complexity of natural and anthropogenic systems. Measurement challenges arise from factors such as variability in emissions sources, accuracy of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-4911725</wp:posOffset>
            </wp:positionV>
            <wp:extent cx="6781165" cy="4792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64</w:t>
      </w:r>
    </w:p>
    <w:p>
      <w:pPr>
        <w:sectPr>
          <w:pgSz w:w="11900" w:h="16840" w:orient="portrait"/>
          <w:cols w:equalWidth="0" w:num="3">
            <w:col w:w="2620" w:space="520"/>
            <w:col w:w="4260" w:space="720"/>
            <w:col w:w="1700"/>
          </w:cols>
          <w:pgMar w:left="640" w:top="1440" w:right="1440" w:bottom="506" w:gutter="0" w:footer="0" w:header="0"/>
        </w:sectPr>
      </w:pPr>
    </w:p>
    <w:bookmarkStart w:id="113" w:name="page114"/>
    <w:bookmarkEnd w:id="113"/>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3" w:lineRule="auto"/>
        <w:rPr>
          <w:sz w:val="20"/>
          <w:szCs w:val="20"/>
          <w:color w:val="auto"/>
        </w:rPr>
      </w:pPr>
      <w:r>
        <w:rPr>
          <w:rFonts w:ascii="Arial" w:cs="Arial" w:eastAsia="Arial" w:hAnsi="Arial"/>
          <w:sz w:val="13"/>
          <w:szCs w:val="13"/>
          <w:b w:val="1"/>
          <w:bCs w:val="1"/>
          <w:color w:val="0057CF"/>
        </w:rPr>
        <w:t>Executive and Management</w:t>
      </w:r>
    </w:p>
    <w:p>
      <w:pPr>
        <w:spacing w:after="0" w:line="210" w:lineRule="auto"/>
        <w:rPr>
          <w:sz w:val="20"/>
          <w:szCs w:val="20"/>
          <w:color w:val="auto"/>
        </w:rPr>
      </w:pPr>
      <w:r>
        <w:rPr>
          <w:rFonts w:ascii="Arial" w:cs="Arial" w:eastAsia="Arial" w:hAnsi="Arial"/>
          <w:sz w:val="13"/>
          <w:szCs w:val="13"/>
          <w:b w:val="1"/>
          <w:bCs w:val="1"/>
          <w:color w:val="0057CF"/>
        </w:rPr>
        <w:t>Structure</w:t>
      </w:r>
    </w:p>
    <w:p>
      <w:pPr>
        <w:spacing w:after="0" w:line="199" w:lineRule="auto"/>
        <w:rPr>
          <w:sz w:val="20"/>
          <w:szCs w:val="20"/>
          <w:color w:val="auto"/>
        </w:rPr>
      </w:pPr>
      <w:r>
        <w:rPr>
          <w:rFonts w:ascii="Arial" w:cs="Arial" w:eastAsia="Arial" w:hAnsi="Arial"/>
          <w:sz w:val="10"/>
          <w:szCs w:val="10"/>
          <w:color w:val="auto"/>
        </w:rPr>
        <w:t>The sustainability statements are approved</w:t>
      </w:r>
    </w:p>
    <w:p>
      <w:pPr>
        <w:spacing w:after="0" w:line="198" w:lineRule="auto"/>
        <w:rPr>
          <w:sz w:val="20"/>
          <w:szCs w:val="20"/>
          <w:color w:val="auto"/>
        </w:rPr>
      </w:pPr>
      <w:r>
        <w:rPr>
          <w:rFonts w:ascii="Arial" w:cs="Arial" w:eastAsia="Arial" w:hAnsi="Arial"/>
          <w:sz w:val="10"/>
          <w:szCs w:val="10"/>
          <w:color w:val="auto"/>
        </w:rPr>
        <w:t>annually by Executive Management (9 executive</w:t>
      </w:r>
    </w:p>
    <w:p>
      <w:pPr>
        <w:spacing w:after="0" w:line="199" w:lineRule="auto"/>
        <w:rPr>
          <w:sz w:val="20"/>
          <w:szCs w:val="20"/>
          <w:color w:val="auto"/>
        </w:rPr>
      </w:pPr>
      <w:r>
        <w:rPr>
          <w:rFonts w:ascii="Arial" w:cs="Arial" w:eastAsia="Arial" w:hAnsi="Arial"/>
          <w:sz w:val="10"/>
          <w:szCs w:val="10"/>
          <w:color w:val="auto"/>
        </w:rPr>
        <w:t>members, 0 non-executive members who are</w:t>
      </w:r>
    </w:p>
    <w:p>
      <w:pPr>
        <w:spacing w:after="0" w:line="199" w:lineRule="auto"/>
        <w:rPr>
          <w:sz w:val="20"/>
          <w:szCs w:val="20"/>
          <w:color w:val="auto"/>
        </w:rPr>
      </w:pPr>
      <w:r>
        <w:rPr>
          <w:rFonts w:ascii="Arial" w:cs="Arial" w:eastAsia="Arial" w:hAnsi="Arial"/>
          <w:sz w:val="10"/>
          <w:szCs w:val="10"/>
          <w:color w:val="auto"/>
        </w:rPr>
        <w:t>Genmab’s top management) and the Board.</w:t>
      </w:r>
    </w:p>
    <w:p>
      <w:pPr>
        <w:spacing w:after="0" w:line="198" w:lineRule="auto"/>
        <w:rPr>
          <w:sz w:val="20"/>
          <w:szCs w:val="20"/>
          <w:color w:val="auto"/>
        </w:rPr>
      </w:pPr>
      <w:r>
        <w:rPr>
          <w:rFonts w:ascii="Arial" w:cs="Arial" w:eastAsia="Arial" w:hAnsi="Arial"/>
          <w:sz w:val="10"/>
          <w:szCs w:val="10"/>
          <w:color w:val="auto"/>
        </w:rPr>
        <w:t>Executive Management brings deep expertise</w:t>
      </w:r>
    </w:p>
    <w:p>
      <w:pPr>
        <w:spacing w:after="0" w:line="199" w:lineRule="auto"/>
        <w:rPr>
          <w:sz w:val="20"/>
          <w:szCs w:val="20"/>
          <w:color w:val="auto"/>
        </w:rPr>
      </w:pPr>
      <w:r>
        <w:rPr>
          <w:rFonts w:ascii="Arial" w:cs="Arial" w:eastAsia="Arial" w:hAnsi="Arial"/>
          <w:sz w:val="10"/>
          <w:szCs w:val="10"/>
          <w:color w:val="auto"/>
        </w:rPr>
        <w:t>in the pharmaceutical, biotech, and life sciences</w:t>
      </w:r>
    </w:p>
    <w:p>
      <w:pPr>
        <w:spacing w:after="0" w:line="199" w:lineRule="auto"/>
        <w:rPr>
          <w:sz w:val="20"/>
          <w:szCs w:val="20"/>
          <w:color w:val="auto"/>
        </w:rPr>
      </w:pPr>
      <w:r>
        <w:rPr>
          <w:rFonts w:ascii="Arial" w:cs="Arial" w:eastAsia="Arial" w:hAnsi="Arial"/>
          <w:sz w:val="10"/>
          <w:szCs w:val="10"/>
          <w:color w:val="auto"/>
        </w:rPr>
        <w:t>sectors, including ESG matters. External experts</w:t>
      </w:r>
    </w:p>
    <w:p>
      <w:pPr>
        <w:spacing w:after="0" w:line="198" w:lineRule="auto"/>
        <w:rPr>
          <w:sz w:val="20"/>
          <w:szCs w:val="20"/>
          <w:color w:val="auto"/>
        </w:rPr>
      </w:pPr>
      <w:r>
        <w:rPr>
          <w:rFonts w:ascii="Arial" w:cs="Arial" w:eastAsia="Arial" w:hAnsi="Arial"/>
          <w:sz w:val="10"/>
          <w:szCs w:val="10"/>
          <w:color w:val="auto"/>
        </w:rPr>
        <w:t>and consultants are engaged to support materiality</w:t>
      </w:r>
    </w:p>
    <w:p>
      <w:pPr>
        <w:spacing w:after="0" w:line="199" w:lineRule="auto"/>
        <w:rPr>
          <w:sz w:val="20"/>
          <w:szCs w:val="20"/>
          <w:color w:val="auto"/>
        </w:rPr>
      </w:pPr>
      <w:r>
        <w:rPr>
          <w:rFonts w:ascii="Arial" w:cs="Arial" w:eastAsia="Arial" w:hAnsi="Arial"/>
          <w:sz w:val="10"/>
          <w:szCs w:val="10"/>
          <w:color w:val="auto"/>
        </w:rPr>
        <w:t>assessments and environmental disclosures.</w:t>
      </w:r>
    </w:p>
    <w:p>
      <w:pPr>
        <w:spacing w:after="0" w:line="199" w:lineRule="auto"/>
        <w:rPr>
          <w:rFonts w:ascii="Arial" w:cs="Arial" w:eastAsia="Arial" w:hAnsi="Arial"/>
          <w:sz w:val="10"/>
          <w:szCs w:val="10"/>
          <w:color w:val="0057CF"/>
        </w:rPr>
      </w:pPr>
      <w:r>
        <w:rPr>
          <w:rFonts w:ascii="Arial" w:cs="Arial" w:eastAsia="Arial" w:hAnsi="Arial"/>
          <w:sz w:val="10"/>
          <w:szCs w:val="10"/>
          <w:color w:val="0057CF"/>
        </w:rPr>
        <w:t>See the “</w:t>
      </w:r>
      <w:hyperlink w:anchor="page110">
        <w:r>
          <w:rPr>
            <w:rFonts w:ascii="Arial" w:cs="Arial" w:eastAsia="Arial" w:hAnsi="Arial"/>
            <w:sz w:val="10"/>
            <w:szCs w:val="10"/>
            <w:b w:val="1"/>
            <w:bCs w:val="1"/>
            <w:color w:val="0057CF"/>
          </w:rPr>
          <w:t>Board of Directors</w:t>
        </w:r>
      </w:hyperlink>
      <w:r>
        <w:rPr>
          <w:rFonts w:ascii="Arial" w:cs="Arial" w:eastAsia="Arial" w:hAnsi="Arial"/>
          <w:sz w:val="10"/>
          <w:szCs w:val="10"/>
          <w:color w:val="0057CF"/>
        </w:rPr>
        <w:t>” and “</w:t>
      </w:r>
      <w:hyperlink w:anchor="page109">
        <w:r>
          <w:rPr>
            <w:rFonts w:ascii="Arial" w:cs="Arial" w:eastAsia="Arial" w:hAnsi="Arial"/>
            <w:sz w:val="10"/>
            <w:szCs w:val="10"/>
            <w:b w:val="1"/>
            <w:bCs w:val="1"/>
            <w:color w:val="0057CF"/>
          </w:rPr>
          <w:t>Executive</w:t>
        </w:r>
      </w:hyperlink>
    </w:p>
    <w:p>
      <w:pPr>
        <w:spacing w:after="0" w:line="198" w:lineRule="auto"/>
        <w:rPr>
          <w:rFonts w:ascii="Arial" w:cs="Arial" w:eastAsia="Arial" w:hAnsi="Arial"/>
          <w:sz w:val="10"/>
          <w:szCs w:val="10"/>
          <w:b w:val="1"/>
          <w:bCs w:val="1"/>
          <w:color w:val="0057CF"/>
        </w:rPr>
      </w:pPr>
      <w:hyperlink w:anchor="page109">
        <w:r>
          <w:rPr>
            <w:rFonts w:ascii="Arial" w:cs="Arial" w:eastAsia="Arial" w:hAnsi="Arial"/>
            <w:sz w:val="10"/>
            <w:szCs w:val="10"/>
            <w:b w:val="1"/>
            <w:bCs w:val="1"/>
            <w:color w:val="0057CF"/>
          </w:rPr>
          <w:t>Management</w:t>
        </w:r>
      </w:hyperlink>
      <w:r>
        <w:rPr>
          <w:rFonts w:ascii="Arial" w:cs="Arial" w:eastAsia="Arial" w:hAnsi="Arial"/>
          <w:sz w:val="10"/>
          <w:szCs w:val="10"/>
          <w:color w:val="0057CF"/>
        </w:rPr>
        <w:t>”</w:t>
      </w:r>
      <w:r>
        <w:rPr>
          <w:rFonts w:ascii="Arial" w:cs="Arial" w:eastAsia="Arial" w:hAnsi="Arial"/>
          <w:sz w:val="10"/>
          <w:szCs w:val="10"/>
          <w:b w:val="1"/>
          <w:bCs w:val="1"/>
          <w:color w:val="0057CF"/>
        </w:rPr>
        <w:t xml:space="preserve"> </w:t>
      </w:r>
      <w:r>
        <w:rPr>
          <w:rFonts w:ascii="Arial" w:cs="Arial" w:eastAsia="Arial" w:hAnsi="Arial"/>
          <w:sz w:val="10"/>
          <w:szCs w:val="10"/>
          <w:color w:val="0057CF"/>
        </w:rPr>
        <w:t>sections in the Management’s</w:t>
      </w:r>
    </w:p>
    <w:p>
      <w:pPr>
        <w:spacing w:after="0" w:line="199" w:lineRule="auto"/>
        <w:rPr>
          <w:sz w:val="20"/>
          <w:szCs w:val="20"/>
          <w:color w:val="auto"/>
        </w:rPr>
      </w:pPr>
      <w:r>
        <w:rPr>
          <w:rFonts w:ascii="Arial" w:cs="Arial" w:eastAsia="Arial" w:hAnsi="Arial"/>
          <w:sz w:val="10"/>
          <w:szCs w:val="10"/>
          <w:color w:val="0057CF"/>
        </w:rPr>
        <w:t>Review for further detail.</w:t>
      </w:r>
    </w:p>
    <w:p>
      <w:pPr>
        <w:spacing w:after="0" w:line="198" w:lineRule="auto"/>
        <w:rPr>
          <w:sz w:val="20"/>
          <w:szCs w:val="20"/>
          <w:color w:val="auto"/>
        </w:rPr>
      </w:pPr>
      <w:r>
        <w:rPr>
          <w:rFonts w:ascii="Arial" w:cs="Arial" w:eastAsia="Arial" w:hAnsi="Arial"/>
          <w:sz w:val="10"/>
          <w:szCs w:val="10"/>
          <w:color w:val="auto"/>
        </w:rPr>
        <w:t>Genmab’s CSR &amp; Sustainability Committee,</w:t>
      </w:r>
    </w:p>
    <w:p>
      <w:pPr>
        <w:spacing w:after="0" w:line="199" w:lineRule="auto"/>
        <w:rPr>
          <w:sz w:val="20"/>
          <w:szCs w:val="20"/>
          <w:color w:val="auto"/>
        </w:rPr>
      </w:pPr>
      <w:r>
        <w:rPr>
          <w:rFonts w:ascii="Arial" w:cs="Arial" w:eastAsia="Arial" w:hAnsi="Arial"/>
          <w:sz w:val="10"/>
          <w:szCs w:val="10"/>
          <w:color w:val="auto"/>
        </w:rPr>
        <w:t>co-chaired by the CEO and SVP of Global</w:t>
      </w:r>
    </w:p>
    <w:p>
      <w:pPr>
        <w:spacing w:after="0" w:line="199" w:lineRule="auto"/>
        <w:rPr>
          <w:sz w:val="20"/>
          <w:szCs w:val="20"/>
          <w:color w:val="auto"/>
        </w:rPr>
      </w:pPr>
      <w:r>
        <w:rPr>
          <w:rFonts w:ascii="Arial" w:cs="Arial" w:eastAsia="Arial" w:hAnsi="Arial"/>
          <w:sz w:val="10"/>
          <w:szCs w:val="10"/>
          <w:color w:val="auto"/>
        </w:rPr>
        <w:t>Communications and Corporate Affairs, includes</w:t>
      </w:r>
    </w:p>
    <w:p>
      <w:pPr>
        <w:spacing w:after="0" w:line="198" w:lineRule="auto"/>
        <w:rPr>
          <w:sz w:val="20"/>
          <w:szCs w:val="20"/>
          <w:color w:val="auto"/>
        </w:rPr>
      </w:pPr>
      <w:r>
        <w:rPr>
          <w:rFonts w:ascii="Arial" w:cs="Arial" w:eastAsia="Arial" w:hAnsi="Arial"/>
          <w:sz w:val="10"/>
          <w:szCs w:val="10"/>
          <w:color w:val="auto"/>
        </w:rPr>
        <w:t>senior leaders from R&amp;D, commercial operations,</w:t>
      </w:r>
    </w:p>
    <w:p>
      <w:pPr>
        <w:spacing w:after="0" w:line="199" w:lineRule="auto"/>
        <w:rPr>
          <w:sz w:val="20"/>
          <w:szCs w:val="20"/>
          <w:color w:val="auto"/>
        </w:rPr>
      </w:pPr>
      <w:r>
        <w:rPr>
          <w:rFonts w:ascii="Arial" w:cs="Arial" w:eastAsia="Arial" w:hAnsi="Arial"/>
          <w:sz w:val="10"/>
          <w:szCs w:val="10"/>
          <w:color w:val="auto"/>
        </w:rPr>
        <w:t>compliance &amp; risk, legal, HR, and finance.</w:t>
      </w:r>
    </w:p>
    <w:p>
      <w:pPr>
        <w:spacing w:after="0" w:line="199" w:lineRule="auto"/>
        <w:rPr>
          <w:sz w:val="20"/>
          <w:szCs w:val="20"/>
          <w:color w:val="auto"/>
        </w:rPr>
      </w:pPr>
      <w:r>
        <w:rPr>
          <w:rFonts w:ascii="Arial" w:cs="Arial" w:eastAsia="Arial" w:hAnsi="Arial"/>
          <w:sz w:val="10"/>
          <w:szCs w:val="10"/>
          <w:color w:val="auto"/>
        </w:rPr>
        <w:t>The committee defines strategic priorities,</w:t>
      </w:r>
    </w:p>
    <w:p>
      <w:pPr>
        <w:spacing w:after="0" w:line="198" w:lineRule="auto"/>
        <w:rPr>
          <w:sz w:val="20"/>
          <w:szCs w:val="20"/>
          <w:color w:val="auto"/>
        </w:rPr>
      </w:pPr>
      <w:r>
        <w:rPr>
          <w:rFonts w:ascii="Arial" w:cs="Arial" w:eastAsia="Arial" w:hAnsi="Arial"/>
          <w:sz w:val="10"/>
          <w:szCs w:val="10"/>
          <w:color w:val="auto"/>
        </w:rPr>
        <w:t>and oversees material IROs, targets, and</w:t>
      </w:r>
    </w:p>
    <w:p>
      <w:pPr>
        <w:spacing w:after="0" w:line="199" w:lineRule="auto"/>
        <w:rPr>
          <w:sz w:val="20"/>
          <w:szCs w:val="20"/>
          <w:color w:val="auto"/>
        </w:rPr>
      </w:pPr>
      <w:r>
        <w:rPr>
          <w:rFonts w:ascii="Arial" w:cs="Arial" w:eastAsia="Arial" w:hAnsi="Arial"/>
          <w:sz w:val="10"/>
          <w:szCs w:val="10"/>
          <w:color w:val="auto"/>
        </w:rPr>
        <w:t>progress toward sustainability goals.</w:t>
      </w:r>
    </w:p>
    <w:p>
      <w:pPr>
        <w:spacing w:after="0" w:line="199" w:lineRule="auto"/>
        <w:rPr>
          <w:sz w:val="20"/>
          <w:szCs w:val="20"/>
          <w:color w:val="auto"/>
        </w:rPr>
      </w:pPr>
      <w:r>
        <w:rPr>
          <w:rFonts w:ascii="Arial" w:cs="Arial" w:eastAsia="Arial" w:hAnsi="Arial"/>
          <w:sz w:val="10"/>
          <w:szCs w:val="10"/>
          <w:color w:val="auto"/>
        </w:rPr>
        <w:t>Supporting this structure is the Corporate</w:t>
      </w:r>
    </w:p>
    <w:p>
      <w:pPr>
        <w:spacing w:after="0" w:line="198" w:lineRule="auto"/>
        <w:rPr>
          <w:sz w:val="20"/>
          <w:szCs w:val="20"/>
          <w:color w:val="auto"/>
        </w:rPr>
      </w:pPr>
      <w:r>
        <w:rPr>
          <w:rFonts w:ascii="Arial" w:cs="Arial" w:eastAsia="Arial" w:hAnsi="Arial"/>
          <w:sz w:val="10"/>
          <w:szCs w:val="10"/>
          <w:color w:val="auto"/>
        </w:rPr>
        <w:t>Sustainability Team, responsible for executing</w:t>
      </w:r>
    </w:p>
    <w:p>
      <w:pPr>
        <w:spacing w:after="0" w:line="199" w:lineRule="auto"/>
        <w:rPr>
          <w:sz w:val="20"/>
          <w:szCs w:val="20"/>
          <w:color w:val="auto"/>
        </w:rPr>
      </w:pPr>
      <w:r>
        <w:rPr>
          <w:rFonts w:ascii="Arial" w:cs="Arial" w:eastAsia="Arial" w:hAnsi="Arial"/>
          <w:sz w:val="10"/>
          <w:szCs w:val="10"/>
          <w:color w:val="auto"/>
        </w:rPr>
        <w:t>the DMA, identifying material IROs, setting and</w:t>
      </w:r>
    </w:p>
    <w:p>
      <w:pPr>
        <w:spacing w:after="0" w:line="198" w:lineRule="auto"/>
        <w:rPr>
          <w:sz w:val="20"/>
          <w:szCs w:val="20"/>
          <w:color w:val="auto"/>
        </w:rPr>
      </w:pPr>
      <w:r>
        <w:rPr>
          <w:rFonts w:ascii="Arial" w:cs="Arial" w:eastAsia="Arial" w:hAnsi="Arial"/>
          <w:sz w:val="10"/>
          <w:szCs w:val="10"/>
          <w:color w:val="auto"/>
        </w:rPr>
        <w:t>tracking targets, and collecting data for reporting.</w:t>
      </w:r>
    </w:p>
    <w:p>
      <w:pPr>
        <w:spacing w:after="0" w:line="199" w:lineRule="auto"/>
        <w:rPr>
          <w:sz w:val="20"/>
          <w:szCs w:val="20"/>
          <w:color w:val="auto"/>
        </w:rPr>
      </w:pPr>
      <w:r>
        <w:rPr>
          <w:rFonts w:ascii="Arial" w:cs="Arial" w:eastAsia="Arial" w:hAnsi="Arial"/>
          <w:sz w:val="10"/>
          <w:szCs w:val="10"/>
          <w:color w:val="auto"/>
        </w:rPr>
        <w:t>The team works closely with functional leads across</w:t>
      </w:r>
    </w:p>
    <w:p>
      <w:pPr>
        <w:spacing w:after="0" w:line="199" w:lineRule="auto"/>
        <w:rPr>
          <w:sz w:val="20"/>
          <w:szCs w:val="20"/>
          <w:color w:val="auto"/>
        </w:rPr>
      </w:pPr>
      <w:r>
        <w:rPr>
          <w:rFonts w:ascii="Arial" w:cs="Arial" w:eastAsia="Arial" w:hAnsi="Arial"/>
          <w:sz w:val="10"/>
          <w:szCs w:val="10"/>
          <w:color w:val="auto"/>
        </w:rPr>
        <w:t>the business to integrate sustainability into day-to-</w:t>
      </w:r>
    </w:p>
    <w:p>
      <w:pPr>
        <w:spacing w:after="0" w:line="204" w:lineRule="auto"/>
        <w:rPr>
          <w:sz w:val="20"/>
          <w:szCs w:val="20"/>
          <w:color w:val="auto"/>
        </w:rPr>
      </w:pPr>
      <w:r>
        <w:rPr>
          <w:rFonts w:ascii="Arial" w:cs="Arial" w:eastAsia="Arial" w:hAnsi="Arial"/>
          <w:sz w:val="10"/>
          <w:szCs w:val="10"/>
          <w:color w:val="auto"/>
        </w:rPr>
        <w:t>day operations.</w:t>
      </w:r>
    </w:p>
    <w:p>
      <w:pPr>
        <w:spacing w:after="0" w:line="214" w:lineRule="auto"/>
        <w:rPr>
          <w:sz w:val="20"/>
          <w:szCs w:val="20"/>
          <w:color w:val="auto"/>
        </w:rPr>
      </w:pPr>
      <w:r>
        <w:rPr>
          <w:rFonts w:ascii="Arial" w:cs="Arial" w:eastAsia="Arial" w:hAnsi="Arial"/>
          <w:sz w:val="13"/>
          <w:szCs w:val="13"/>
          <w:b w:val="1"/>
          <w:bCs w:val="1"/>
          <w:color w:val="0057CF"/>
        </w:rPr>
        <w:t>Business Conduct and Stakeholder</w:t>
      </w:r>
    </w:p>
    <w:p>
      <w:pPr>
        <w:spacing w:after="0" w:line="209" w:lineRule="auto"/>
        <w:rPr>
          <w:sz w:val="20"/>
          <w:szCs w:val="20"/>
          <w:color w:val="auto"/>
        </w:rPr>
      </w:pPr>
      <w:r>
        <w:rPr>
          <w:rFonts w:ascii="Arial" w:cs="Arial" w:eastAsia="Arial" w:hAnsi="Arial"/>
          <w:sz w:val="13"/>
          <w:szCs w:val="13"/>
          <w:b w:val="1"/>
          <w:bCs w:val="1"/>
          <w:color w:val="0057CF"/>
        </w:rPr>
        <w:t>Engagement</w:t>
      </w:r>
    </w:p>
    <w:p>
      <w:pPr>
        <w:spacing w:after="0" w:line="199" w:lineRule="auto"/>
        <w:rPr>
          <w:sz w:val="20"/>
          <w:szCs w:val="20"/>
          <w:color w:val="auto"/>
        </w:rPr>
      </w:pPr>
      <w:r>
        <w:rPr>
          <w:rFonts w:ascii="Arial" w:cs="Arial" w:eastAsia="Arial" w:hAnsi="Arial"/>
          <w:sz w:val="10"/>
          <w:szCs w:val="10"/>
          <w:color w:val="auto"/>
        </w:rPr>
        <w:t>Leaders of Genmab’s Global Compliance,</w:t>
      </w:r>
    </w:p>
    <w:p>
      <w:pPr>
        <w:spacing w:after="0" w:line="199" w:lineRule="auto"/>
        <w:rPr>
          <w:sz w:val="20"/>
          <w:szCs w:val="20"/>
          <w:color w:val="auto"/>
        </w:rPr>
      </w:pPr>
      <w:r>
        <w:rPr>
          <w:rFonts w:ascii="Arial" w:cs="Arial" w:eastAsia="Arial" w:hAnsi="Arial"/>
          <w:sz w:val="10"/>
          <w:szCs w:val="10"/>
          <w:color w:val="auto"/>
        </w:rPr>
        <w:t>Data Privacy, and Enterprise Risk Management</w:t>
      </w:r>
    </w:p>
    <w:p>
      <w:pPr>
        <w:spacing w:after="0" w:line="199" w:lineRule="auto"/>
        <w:rPr>
          <w:sz w:val="20"/>
          <w:szCs w:val="20"/>
          <w:color w:val="auto"/>
        </w:rPr>
      </w:pPr>
      <w:r>
        <w:rPr>
          <w:rFonts w:ascii="Arial" w:cs="Arial" w:eastAsia="Arial" w:hAnsi="Arial"/>
          <w:sz w:val="10"/>
          <w:szCs w:val="10"/>
          <w:color w:val="auto"/>
        </w:rPr>
        <w:t>Programs report directly to the Chief Legal Officer</w:t>
      </w:r>
    </w:p>
    <w:p>
      <w:pPr>
        <w:spacing w:after="0" w:line="198" w:lineRule="auto"/>
        <w:rPr>
          <w:sz w:val="20"/>
          <w:szCs w:val="20"/>
          <w:color w:val="auto"/>
        </w:rPr>
      </w:pPr>
      <w:r>
        <w:rPr>
          <w:rFonts w:ascii="Arial" w:cs="Arial" w:eastAsia="Arial" w:hAnsi="Arial"/>
          <w:sz w:val="10"/>
          <w:szCs w:val="10"/>
          <w:color w:val="auto"/>
        </w:rPr>
        <w:t>and the Board on business conduct matters.</w:t>
      </w:r>
    </w:p>
    <w:p>
      <w:pPr>
        <w:spacing w:after="0" w:line="199" w:lineRule="auto"/>
        <w:rPr>
          <w:sz w:val="20"/>
          <w:szCs w:val="20"/>
          <w:color w:val="auto"/>
        </w:rPr>
      </w:pPr>
      <w:r>
        <w:rPr>
          <w:rFonts w:ascii="Arial" w:cs="Arial" w:eastAsia="Arial" w:hAnsi="Arial"/>
          <w:sz w:val="10"/>
          <w:szCs w:val="10"/>
          <w:color w:val="auto"/>
        </w:rPr>
        <w:t>Genmab engages regularly with stakeholders</w:t>
      </w:r>
    </w:p>
    <w:p>
      <w:pPr>
        <w:spacing w:after="0" w:line="199" w:lineRule="auto"/>
        <w:rPr>
          <w:sz w:val="20"/>
          <w:szCs w:val="20"/>
          <w:color w:val="auto"/>
        </w:rPr>
      </w:pPr>
      <w:r>
        <w:rPr>
          <w:rFonts w:ascii="Arial" w:cs="Arial" w:eastAsia="Arial" w:hAnsi="Arial"/>
          <w:sz w:val="10"/>
          <w:szCs w:val="10"/>
          <w:color w:val="auto"/>
        </w:rPr>
        <w:t>through reports, presentations, and engagement</w:t>
      </w:r>
    </w:p>
    <w:p>
      <w:pPr>
        <w:spacing w:after="0" w:line="198" w:lineRule="auto"/>
        <w:rPr>
          <w:sz w:val="20"/>
          <w:szCs w:val="20"/>
          <w:color w:val="auto"/>
        </w:rPr>
      </w:pPr>
      <w:r>
        <w:rPr>
          <w:rFonts w:ascii="Arial" w:cs="Arial" w:eastAsia="Arial" w:hAnsi="Arial"/>
          <w:sz w:val="10"/>
          <w:szCs w:val="10"/>
          <w:color w:val="auto"/>
        </w:rPr>
        <w:t>sessions. Feedback is incorporated to align</w:t>
      </w:r>
    </w:p>
    <w:p>
      <w:pPr>
        <w:spacing w:after="0" w:line="199" w:lineRule="auto"/>
        <w:rPr>
          <w:sz w:val="20"/>
          <w:szCs w:val="20"/>
          <w:color w:val="auto"/>
        </w:rPr>
      </w:pPr>
      <w:r>
        <w:rPr>
          <w:rFonts w:ascii="Arial" w:cs="Arial" w:eastAsia="Arial" w:hAnsi="Arial"/>
          <w:sz w:val="10"/>
          <w:szCs w:val="10"/>
          <w:color w:val="auto"/>
        </w:rPr>
        <w:t>initiatives with stakeholder expectations and</w:t>
      </w:r>
    </w:p>
    <w:p>
      <w:pPr>
        <w:spacing w:after="0" w:line="198" w:lineRule="auto"/>
        <w:rPr>
          <w:sz w:val="20"/>
          <w:szCs w:val="20"/>
          <w:color w:val="auto"/>
        </w:rPr>
      </w:pPr>
      <w:r>
        <w:rPr>
          <w:rFonts w:ascii="Arial" w:cs="Arial" w:eastAsia="Arial" w:hAnsi="Arial"/>
          <w:sz w:val="10"/>
          <w:szCs w:val="10"/>
          <w:color w:val="auto"/>
        </w:rPr>
        <w:t>societal needs.</w:t>
      </w:r>
    </w:p>
    <w:p>
      <w:pPr>
        <w:spacing w:after="0" w:line="199" w:lineRule="auto"/>
        <w:rPr>
          <w:rFonts w:ascii="Arial" w:cs="Arial" w:eastAsia="Arial" w:hAnsi="Arial"/>
          <w:sz w:val="10"/>
          <w:szCs w:val="10"/>
          <w:color w:val="0057CF"/>
        </w:rPr>
      </w:pPr>
      <w:r>
        <w:rPr>
          <w:rFonts w:ascii="Arial" w:cs="Arial" w:eastAsia="Arial" w:hAnsi="Arial"/>
          <w:sz w:val="10"/>
          <w:szCs w:val="10"/>
          <w:color w:val="0057CF"/>
        </w:rPr>
        <w:t xml:space="preserve">Refer to the </w:t>
      </w:r>
      <w:hyperlink w:anchor="page108">
        <w:r>
          <w:rPr>
            <w:rFonts w:ascii="Arial" w:cs="Arial" w:eastAsia="Arial" w:hAnsi="Arial"/>
            <w:sz w:val="10"/>
            <w:szCs w:val="10"/>
            <w:color w:val="0057CF"/>
          </w:rPr>
          <w:t xml:space="preserve">“Corporate Governance” </w:t>
        </w:r>
      </w:hyperlink>
      <w:r>
        <w:rPr>
          <w:rFonts w:ascii="Arial" w:cs="Arial" w:eastAsia="Arial" w:hAnsi="Arial"/>
          <w:sz w:val="10"/>
          <w:szCs w:val="10"/>
          <w:color w:val="0057CF"/>
        </w:rPr>
        <w:t>section</w:t>
      </w:r>
    </w:p>
    <w:p>
      <w:pPr>
        <w:spacing w:after="0" w:line="199" w:lineRule="auto"/>
        <w:rPr>
          <w:sz w:val="20"/>
          <w:szCs w:val="20"/>
          <w:color w:val="auto"/>
        </w:rPr>
      </w:pPr>
      <w:r>
        <w:rPr>
          <w:rFonts w:ascii="Arial" w:cs="Arial" w:eastAsia="Arial" w:hAnsi="Arial"/>
          <w:sz w:val="10"/>
          <w:szCs w:val="10"/>
          <w:color w:val="0057CF"/>
        </w:rPr>
        <w:t>in Management’s Review for additional information</w:t>
      </w:r>
    </w:p>
    <w:p>
      <w:pPr>
        <w:spacing w:after="0" w:line="198" w:lineRule="auto"/>
        <w:rPr>
          <w:sz w:val="20"/>
          <w:szCs w:val="20"/>
          <w:color w:val="auto"/>
        </w:rPr>
      </w:pPr>
      <w:r>
        <w:rPr>
          <w:rFonts w:ascii="Arial" w:cs="Arial" w:eastAsia="Arial" w:hAnsi="Arial"/>
          <w:sz w:val="10"/>
          <w:szCs w:val="10"/>
          <w:color w:val="0057CF"/>
        </w:rPr>
        <w:t>on governance structure and SBM-3 for the list of</w:t>
      </w:r>
    </w:p>
    <w:p>
      <w:pPr>
        <w:spacing w:after="0" w:line="205" w:lineRule="auto"/>
        <w:rPr>
          <w:sz w:val="20"/>
          <w:szCs w:val="20"/>
          <w:color w:val="auto"/>
        </w:rPr>
      </w:pPr>
      <w:r>
        <w:rPr>
          <w:rFonts w:ascii="Arial" w:cs="Arial" w:eastAsia="Arial" w:hAnsi="Arial"/>
          <w:sz w:val="10"/>
          <w:szCs w:val="10"/>
          <w:color w:val="0057CF"/>
        </w:rPr>
        <w:t>the material IROs.</w:t>
      </w:r>
    </w:p>
    <w:p>
      <w:pPr>
        <w:spacing w:after="0" w:line="214" w:lineRule="auto"/>
        <w:rPr>
          <w:sz w:val="20"/>
          <w:szCs w:val="20"/>
          <w:color w:val="auto"/>
        </w:rPr>
      </w:pPr>
      <w:r>
        <w:rPr>
          <w:rFonts w:ascii="Arial" w:cs="Arial" w:eastAsia="Arial" w:hAnsi="Arial"/>
          <w:sz w:val="13"/>
          <w:szCs w:val="13"/>
          <w:b w:val="1"/>
          <w:bCs w:val="1"/>
          <w:color w:val="0057CF"/>
        </w:rPr>
        <w:t>Sustainability-related performance</w:t>
      </w:r>
    </w:p>
    <w:p>
      <w:pPr>
        <w:spacing w:after="0" w:line="209" w:lineRule="auto"/>
        <w:rPr>
          <w:sz w:val="20"/>
          <w:szCs w:val="20"/>
          <w:color w:val="auto"/>
        </w:rPr>
      </w:pPr>
      <w:r>
        <w:rPr>
          <w:rFonts w:ascii="Arial" w:cs="Arial" w:eastAsia="Arial" w:hAnsi="Arial"/>
          <w:sz w:val="13"/>
          <w:szCs w:val="13"/>
          <w:b w:val="1"/>
          <w:bCs w:val="1"/>
          <w:color w:val="0057CF"/>
        </w:rPr>
        <w:t>in incentive schemes (GOV-3)</w:t>
      </w:r>
    </w:p>
    <w:p>
      <w:pPr>
        <w:spacing w:after="0" w:line="199" w:lineRule="auto"/>
        <w:rPr>
          <w:sz w:val="20"/>
          <w:szCs w:val="20"/>
          <w:color w:val="auto"/>
        </w:rPr>
      </w:pPr>
      <w:r>
        <w:rPr>
          <w:rFonts w:ascii="Arial" w:cs="Arial" w:eastAsia="Arial" w:hAnsi="Arial"/>
          <w:sz w:val="10"/>
          <w:szCs w:val="10"/>
          <w:color w:val="auto"/>
        </w:rPr>
        <w:t>Per Genmab’s Remuneration Policy, the variable</w:t>
      </w:r>
    </w:p>
    <w:p>
      <w:pPr>
        <w:spacing w:after="0" w:line="199" w:lineRule="auto"/>
        <w:rPr>
          <w:sz w:val="20"/>
          <w:szCs w:val="20"/>
          <w:color w:val="auto"/>
        </w:rPr>
      </w:pPr>
      <w:r>
        <w:rPr>
          <w:rFonts w:ascii="Arial" w:cs="Arial" w:eastAsia="Arial" w:hAnsi="Arial"/>
          <w:sz w:val="10"/>
          <w:szCs w:val="10"/>
          <w:color w:val="auto"/>
        </w:rPr>
        <w:t>compensation of Executive Management is based</w:t>
      </w:r>
    </w:p>
    <w:p>
      <w:pPr>
        <w:spacing w:after="0" w:line="198" w:lineRule="auto"/>
        <w:rPr>
          <w:sz w:val="20"/>
          <w:szCs w:val="20"/>
          <w:color w:val="auto"/>
        </w:rPr>
      </w:pPr>
      <w:r>
        <w:rPr>
          <w:rFonts w:ascii="Arial" w:cs="Arial" w:eastAsia="Arial" w:hAnsi="Arial"/>
          <w:sz w:val="10"/>
          <w:szCs w:val="10"/>
          <w:color w:val="auto"/>
        </w:rPr>
        <w:t>on predefined Key Performance Indicators (KPIs)</w:t>
      </w:r>
    </w:p>
    <w:p>
      <w:pPr>
        <w:spacing w:after="0" w:line="199" w:lineRule="auto"/>
        <w:rPr>
          <w:sz w:val="20"/>
          <w:szCs w:val="20"/>
          <w:color w:val="auto"/>
        </w:rPr>
      </w:pPr>
      <w:r>
        <w:rPr>
          <w:rFonts w:ascii="Arial" w:cs="Arial" w:eastAsia="Arial" w:hAnsi="Arial"/>
          <w:sz w:val="10"/>
          <w:szCs w:val="10"/>
          <w:color w:val="auto"/>
        </w:rPr>
        <w:t>and performance goals related to Genmab A/S’s</w:t>
      </w:r>
    </w:p>
    <w:p>
      <w:pPr>
        <w:spacing w:after="0" w:line="199" w:lineRule="auto"/>
        <w:rPr>
          <w:sz w:val="20"/>
          <w:szCs w:val="20"/>
          <w:color w:val="auto"/>
        </w:rPr>
      </w:pPr>
      <w:r>
        <w:rPr>
          <w:rFonts w:ascii="Arial" w:cs="Arial" w:eastAsia="Arial" w:hAnsi="Arial"/>
          <w:sz w:val="10"/>
          <w:szCs w:val="10"/>
          <w:color w:val="auto"/>
        </w:rPr>
        <w:t>short- and long-term business results. These KPIs,</w:t>
      </w:r>
    </w:p>
    <w:p>
      <w:pPr>
        <w:spacing w:after="0" w:line="198" w:lineRule="auto"/>
        <w:rPr>
          <w:sz w:val="20"/>
          <w:szCs w:val="20"/>
          <w:color w:val="auto"/>
        </w:rPr>
      </w:pPr>
      <w:r>
        <w:rPr>
          <w:rFonts w:ascii="Arial" w:cs="Arial" w:eastAsia="Arial" w:hAnsi="Arial"/>
          <w:sz w:val="10"/>
          <w:szCs w:val="10"/>
          <w:color w:val="auto"/>
        </w:rPr>
        <w:t>which may be financial, operational, strategic,</w:t>
      </w:r>
    </w:p>
    <w:p>
      <w:pPr>
        <w:spacing w:after="0" w:line="199" w:lineRule="auto"/>
        <w:rPr>
          <w:sz w:val="20"/>
          <w:szCs w:val="20"/>
          <w:color w:val="auto"/>
        </w:rPr>
      </w:pPr>
      <w:r>
        <w:rPr>
          <w:rFonts w:ascii="Arial" w:cs="Arial" w:eastAsia="Arial" w:hAnsi="Arial"/>
          <w:sz w:val="10"/>
          <w:szCs w:val="10"/>
          <w:color w:val="auto"/>
        </w:rPr>
        <w:t>or organizational, are aligned with Genmab’s</w:t>
      </w:r>
    </w:p>
    <w:p>
      <w:pPr>
        <w:spacing w:after="0" w:line="198" w:lineRule="auto"/>
        <w:rPr>
          <w:sz w:val="20"/>
          <w:szCs w:val="20"/>
          <w:color w:val="auto"/>
        </w:rPr>
      </w:pPr>
      <w:r>
        <w:rPr>
          <w:rFonts w:ascii="Arial" w:cs="Arial" w:eastAsia="Arial" w:hAnsi="Arial"/>
          <w:sz w:val="10"/>
          <w:szCs w:val="10"/>
          <w:color w:val="auto"/>
        </w:rPr>
        <w:t>business strategy and annual plans. They are</w:t>
      </w:r>
    </w:p>
    <w:p>
      <w:pPr>
        <w:spacing w:after="0" w:line="199" w:lineRule="auto"/>
        <w:rPr>
          <w:sz w:val="20"/>
          <w:szCs w:val="20"/>
          <w:color w:val="auto"/>
        </w:rPr>
      </w:pPr>
      <w:r>
        <w:rPr>
          <w:rFonts w:ascii="Arial" w:cs="Arial" w:eastAsia="Arial" w:hAnsi="Arial"/>
          <w:sz w:val="10"/>
          <w:szCs w:val="10"/>
          <w:color w:val="auto"/>
        </w:rPr>
        <w:t>recommended by the Compensation Committee</w:t>
      </w:r>
    </w:p>
    <w:p>
      <w:pPr>
        <w:spacing w:after="0" w:line="199" w:lineRule="auto"/>
        <w:rPr>
          <w:sz w:val="20"/>
          <w:szCs w:val="20"/>
          <w:color w:val="auto"/>
        </w:rPr>
      </w:pPr>
      <w:r>
        <w:rPr>
          <w:rFonts w:ascii="Arial" w:cs="Arial" w:eastAsia="Arial" w:hAnsi="Arial"/>
          <w:sz w:val="10"/>
          <w:szCs w:val="10"/>
          <w:color w:val="auto"/>
        </w:rPr>
        <w:t>and approved by the Board.</w:t>
      </w:r>
    </w:p>
    <w:p>
      <w:pPr>
        <w:spacing w:after="0" w:line="198" w:lineRule="auto"/>
        <w:rPr>
          <w:sz w:val="20"/>
          <w:szCs w:val="20"/>
          <w:color w:val="auto"/>
        </w:rPr>
      </w:pPr>
      <w:r>
        <w:rPr>
          <w:rFonts w:ascii="Arial" w:cs="Arial" w:eastAsia="Arial" w:hAnsi="Arial"/>
          <w:sz w:val="10"/>
          <w:szCs w:val="10"/>
          <w:color w:val="auto"/>
        </w:rPr>
        <w:t>Genmab grants restricted stock units (RSUs) to</w:t>
      </w:r>
    </w:p>
    <w:p>
      <w:pPr>
        <w:spacing w:after="0" w:line="199" w:lineRule="auto"/>
        <w:rPr>
          <w:sz w:val="20"/>
          <w:szCs w:val="20"/>
          <w:color w:val="auto"/>
        </w:rPr>
      </w:pPr>
      <w:r>
        <w:rPr>
          <w:rFonts w:ascii="Arial" w:cs="Arial" w:eastAsia="Arial" w:hAnsi="Arial"/>
          <w:sz w:val="10"/>
          <w:szCs w:val="10"/>
          <w:color w:val="auto"/>
        </w:rPr>
        <w:t>Executive Management which are performance-</w:t>
      </w:r>
    </w:p>
    <w:p>
      <w:pPr>
        <w:spacing w:after="0" w:line="199" w:lineRule="auto"/>
        <w:rPr>
          <w:sz w:val="20"/>
          <w:szCs w:val="20"/>
          <w:color w:val="auto"/>
        </w:rPr>
      </w:pPr>
      <w:r>
        <w:rPr>
          <w:rFonts w:ascii="Arial" w:cs="Arial" w:eastAsia="Arial" w:hAnsi="Arial"/>
          <w:sz w:val="10"/>
          <w:szCs w:val="10"/>
          <w:color w:val="auto"/>
        </w:rPr>
        <w:t>based and include sustainability-related</w:t>
      </w:r>
    </w:p>
    <w:p>
      <w:pPr>
        <w:spacing w:after="0" w:line="198" w:lineRule="auto"/>
        <w:rPr>
          <w:sz w:val="20"/>
          <w:szCs w:val="20"/>
          <w:color w:val="auto"/>
        </w:rPr>
      </w:pPr>
      <w:r>
        <w:rPr>
          <w:rFonts w:ascii="Arial" w:cs="Arial" w:eastAsia="Arial" w:hAnsi="Arial"/>
          <w:sz w:val="10"/>
          <w:szCs w:val="10"/>
          <w:color w:val="auto"/>
        </w:rPr>
        <w:t>performance goals. RSUs granted to the Board</w:t>
      </w:r>
    </w:p>
    <w:p>
      <w:pPr>
        <w:spacing w:after="0" w:line="199" w:lineRule="auto"/>
        <w:rPr>
          <w:sz w:val="20"/>
          <w:szCs w:val="20"/>
          <w:color w:val="auto"/>
        </w:rPr>
      </w:pPr>
      <w:r>
        <w:rPr>
          <w:rFonts w:ascii="Arial" w:cs="Arial" w:eastAsia="Arial" w:hAnsi="Arial"/>
          <w:sz w:val="10"/>
          <w:szCs w:val="10"/>
          <w:color w:val="auto"/>
        </w:rPr>
        <w:t>are not performance-based and do not include</w:t>
      </w:r>
    </w:p>
    <w:p>
      <w:pPr>
        <w:spacing w:after="0" w:line="199" w:lineRule="auto"/>
        <w:rPr>
          <w:sz w:val="20"/>
          <w:szCs w:val="20"/>
          <w:color w:val="auto"/>
        </w:rPr>
      </w:pPr>
      <w:r>
        <w:rPr>
          <w:rFonts w:ascii="Arial" w:cs="Arial" w:eastAsia="Arial" w:hAnsi="Arial"/>
          <w:sz w:val="10"/>
          <w:szCs w:val="10"/>
          <w:color w:val="auto"/>
        </w:rPr>
        <w:t>sustainability-related performance goals.</w:t>
      </w:r>
    </w:p>
    <w:p>
      <w:pPr>
        <w:spacing w:after="0" w:line="198" w:lineRule="auto"/>
        <w:rPr>
          <w:sz w:val="20"/>
          <w:szCs w:val="20"/>
          <w:color w:val="auto"/>
        </w:rPr>
      </w:pPr>
      <w:r>
        <w:rPr>
          <w:rFonts w:ascii="Arial" w:cs="Arial" w:eastAsia="Arial" w:hAnsi="Arial"/>
          <w:sz w:val="10"/>
          <w:szCs w:val="10"/>
          <w:color w:val="auto"/>
        </w:rPr>
        <w:t>Sustainability KPIs for Executive Management are</w:t>
      </w:r>
    </w:p>
    <w:p>
      <w:pPr>
        <w:spacing w:after="0" w:line="199" w:lineRule="auto"/>
        <w:rPr>
          <w:sz w:val="20"/>
          <w:szCs w:val="20"/>
          <w:color w:val="auto"/>
        </w:rPr>
      </w:pPr>
      <w:r>
        <w:rPr>
          <w:rFonts w:ascii="Arial" w:cs="Arial" w:eastAsia="Arial" w:hAnsi="Arial"/>
          <w:sz w:val="10"/>
          <w:szCs w:val="10"/>
          <w:color w:val="auto"/>
        </w:rPr>
        <w:t>tied to Climate and Employee Well-Being targets,</w:t>
      </w:r>
    </w:p>
    <w:p>
      <w:pPr>
        <w:spacing w:after="0" w:line="198" w:lineRule="auto"/>
        <w:rPr>
          <w:sz w:val="20"/>
          <w:szCs w:val="20"/>
          <w:color w:val="auto"/>
        </w:rPr>
      </w:pPr>
      <w:r>
        <w:rPr>
          <w:rFonts w:ascii="Arial" w:cs="Arial" w:eastAsia="Arial" w:hAnsi="Arial"/>
          <w:sz w:val="10"/>
          <w:szCs w:val="10"/>
          <w:color w:val="auto"/>
        </w:rPr>
        <w:t>weighted at 10% of total performance goals for</w:t>
      </w:r>
    </w:p>
    <w:p>
      <w:pPr>
        <w:spacing w:after="0" w:line="199" w:lineRule="auto"/>
        <w:rPr>
          <w:sz w:val="20"/>
          <w:szCs w:val="20"/>
          <w:color w:val="auto"/>
        </w:rPr>
      </w:pPr>
      <w:r>
        <w:rPr>
          <w:rFonts w:ascii="Arial" w:cs="Arial" w:eastAsia="Arial" w:hAnsi="Arial"/>
          <w:sz w:val="10"/>
          <w:szCs w:val="10"/>
          <w:color w:val="auto"/>
        </w:rPr>
        <w:t>the 2025, 2024 and 2023 grants. Share-based</w:t>
      </w:r>
    </w:p>
    <w:p>
      <w:pPr>
        <w:spacing w:after="0" w:line="199" w:lineRule="auto"/>
        <w:rPr>
          <w:sz w:val="20"/>
          <w:szCs w:val="20"/>
          <w:color w:val="auto"/>
        </w:rPr>
      </w:pPr>
      <w:r>
        <w:rPr>
          <w:rFonts w:ascii="Arial" w:cs="Arial" w:eastAsia="Arial" w:hAnsi="Arial"/>
          <w:sz w:val="10"/>
          <w:szCs w:val="10"/>
          <w:color w:val="auto"/>
        </w:rPr>
        <w:t>compensation granted is at a 4x target multiplier</w:t>
      </w:r>
    </w:p>
    <w:p>
      <w:pPr>
        <w:spacing w:after="0" w:line="198" w:lineRule="auto"/>
        <w:rPr>
          <w:sz w:val="20"/>
          <w:szCs w:val="20"/>
          <w:color w:val="auto"/>
        </w:rPr>
      </w:pPr>
      <w:r>
        <w:rPr>
          <w:rFonts w:ascii="Arial" w:cs="Arial" w:eastAsia="Arial" w:hAnsi="Arial"/>
          <w:sz w:val="10"/>
          <w:szCs w:val="10"/>
          <w:color w:val="auto"/>
        </w:rPr>
        <w:t>with maximum opportunity of 6x multiplier with</w:t>
      </w:r>
    </w:p>
    <w:p>
      <w:pPr>
        <w:spacing w:after="0"/>
        <w:rPr>
          <w:sz w:val="20"/>
          <w:szCs w:val="20"/>
          <w:color w:val="auto"/>
        </w:rPr>
      </w:pPr>
      <w:r>
        <w:rPr>
          <w:rFonts w:ascii="Arial" w:cs="Arial" w:eastAsia="Arial" w:hAnsi="Arial"/>
          <w:sz w:val="10"/>
          <w:szCs w:val="10"/>
          <w:color w:val="auto"/>
        </w:rPr>
        <w:t>no cap in 2025, 2024 and 2023. In 2025, Genmab</w:t>
      </w:r>
    </w:p>
    <w:p>
      <w:pPr>
        <w:spacing w:after="0" w:line="76"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9" w:lineRule="auto"/>
        <w:rPr>
          <w:sz w:val="20"/>
          <w:szCs w:val="20"/>
          <w:color w:val="auto"/>
        </w:rPr>
      </w:pPr>
      <w:r>
        <w:rPr>
          <w:rFonts w:ascii="Arial" w:cs="Arial" w:eastAsia="Arial" w:hAnsi="Arial"/>
          <w:sz w:val="13"/>
          <w:szCs w:val="13"/>
          <w:b w:val="1"/>
          <w:bCs w:val="1"/>
          <w:color w:val="0057CF"/>
        </w:rPr>
        <w:t>Statement on due diligence (GOV-4)</w:t>
      </w:r>
    </w:p>
    <w:p>
      <w:pPr>
        <w:ind w:right="2900"/>
        <w:spacing w:after="0" w:line="208" w:lineRule="auto"/>
        <w:rPr>
          <w:sz w:val="20"/>
          <w:szCs w:val="20"/>
          <w:color w:val="auto"/>
        </w:rPr>
      </w:pPr>
      <w:r>
        <w:rPr>
          <w:rFonts w:ascii="Arial" w:cs="Arial" w:eastAsia="Arial" w:hAnsi="Arial"/>
          <w:sz w:val="10"/>
          <w:szCs w:val="10"/>
          <w:color w:val="auto"/>
        </w:rPr>
        <w:t>The following table maps the core elements of due diligence related to impacts on people and the environment to the corresponding disclosures in Genmab’s sustainability statements:</w:t>
      </w:r>
    </w:p>
    <w:tbl>
      <w:tblPr>
        <w:tblLayout w:type="fixed"/>
        <w:tblInd w:w="0" w:type="dxa"/>
        <w:tblCellMar>
          <w:top w:w="0" w:type="dxa"/>
          <w:left w:w="0" w:type="dxa"/>
          <w:bottom w:w="0" w:type="dxa"/>
          <w:right w:w="0" w:type="dxa"/>
        </w:tblCellMar>
      </w:tblPr>
      <w:tr>
        <w:trPr>
          <w:trHeight w:val="95"/>
        </w:trPr>
        <w:tc>
          <w:tcPr>
            <w:tcW w:w="196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Core elements of Due Diligence</w:t>
            </w:r>
          </w:p>
        </w:tc>
        <w:tc>
          <w:tcPr>
            <w:tcW w:w="1280" w:type="dxa"/>
            <w:vAlign w:val="bottom"/>
            <w:tcBorders>
              <w:top w:val="single" w:sz="8" w:color="0057CF"/>
            </w:tcBorders>
            <w:gridSpan w:val="2"/>
          </w:tcPr>
          <w:p>
            <w:pPr>
              <w:ind w:left="40"/>
              <w:spacing w:after="0" w:line="95" w:lineRule="exact"/>
              <w:rPr>
                <w:sz w:val="20"/>
                <w:szCs w:val="20"/>
                <w:color w:val="auto"/>
              </w:rPr>
            </w:pPr>
            <w:r>
              <w:rPr>
                <w:rFonts w:ascii="Arial" w:cs="Arial" w:eastAsia="Arial" w:hAnsi="Arial"/>
                <w:sz w:val="10"/>
                <w:szCs w:val="10"/>
                <w:b w:val="1"/>
                <w:bCs w:val="1"/>
                <w:color w:val="auto"/>
              </w:rPr>
              <w:t>Sections in the</w:t>
            </w:r>
          </w:p>
        </w:tc>
        <w:tc>
          <w:tcPr>
            <w:tcW w:w="1620" w:type="dxa"/>
            <w:vAlign w:val="bottom"/>
            <w:tcBorders>
              <w:top w:val="single" w:sz="8" w:color="0057CF"/>
            </w:tcBorders>
          </w:tcPr>
          <w:p>
            <w:pPr>
              <w:ind w:left="120"/>
              <w:spacing w:after="0" w:line="95" w:lineRule="exact"/>
              <w:rPr>
                <w:sz w:val="20"/>
                <w:szCs w:val="20"/>
                <w:color w:val="auto"/>
              </w:rPr>
            </w:pPr>
            <w:r>
              <w:rPr>
                <w:rFonts w:ascii="Arial" w:cs="Arial" w:eastAsia="Arial" w:hAnsi="Arial"/>
                <w:sz w:val="10"/>
                <w:szCs w:val="10"/>
                <w:b w:val="1"/>
                <w:bCs w:val="1"/>
                <w:color w:val="auto"/>
              </w:rPr>
              <w:t>Does the disclosure relate to</w:t>
            </w: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28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Sustainability Statement</w:t>
            </w:r>
          </w:p>
        </w:tc>
        <w:tc>
          <w:tcPr>
            <w:tcW w:w="1620" w:type="dxa"/>
            <w:vAlign w:val="bottom"/>
          </w:tcPr>
          <w:p>
            <w:pPr>
              <w:ind w:left="120"/>
              <w:spacing w:after="0" w:line="95" w:lineRule="exact"/>
              <w:rPr>
                <w:sz w:val="20"/>
                <w:szCs w:val="20"/>
                <w:color w:val="auto"/>
              </w:rPr>
            </w:pPr>
            <w:r>
              <w:rPr>
                <w:rFonts w:ascii="Arial" w:cs="Arial" w:eastAsia="Arial" w:hAnsi="Arial"/>
                <w:sz w:val="10"/>
                <w:szCs w:val="10"/>
                <w:b w:val="1"/>
                <w:bCs w:val="1"/>
                <w:color w:val="auto"/>
              </w:rPr>
              <w:t>people and/or the</w:t>
            </w:r>
          </w:p>
        </w:tc>
        <w:tc>
          <w:tcPr>
            <w:tcW w:w="0" w:type="dxa"/>
            <w:vAlign w:val="bottom"/>
          </w:tcPr>
          <w:p>
            <w:pPr>
              <w:spacing w:after="0"/>
              <w:rPr>
                <w:sz w:val="1"/>
                <w:szCs w:val="1"/>
                <w:color w:val="auto"/>
              </w:rPr>
            </w:pPr>
          </w:p>
        </w:tc>
      </w:tr>
      <w:tr>
        <w:trPr>
          <w:trHeight w:val="128"/>
        </w:trPr>
        <w:tc>
          <w:tcPr>
            <w:tcW w:w="1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20" w:type="dxa"/>
            <w:vAlign w:val="bottom"/>
          </w:tcPr>
          <w:p>
            <w:pPr>
              <w:ind w:left="120"/>
              <w:spacing w:after="0"/>
              <w:rPr>
                <w:sz w:val="20"/>
                <w:szCs w:val="20"/>
                <w:color w:val="auto"/>
              </w:rPr>
            </w:pPr>
            <w:r>
              <w:rPr>
                <w:rFonts w:ascii="Arial" w:cs="Arial" w:eastAsia="Arial" w:hAnsi="Arial"/>
                <w:sz w:val="10"/>
                <w:szCs w:val="10"/>
                <w:b w:val="1"/>
                <w:bCs w:val="1"/>
                <w:color w:val="auto"/>
              </w:rPr>
              <w:t>environment?</w:t>
            </w:r>
          </w:p>
        </w:tc>
        <w:tc>
          <w:tcPr>
            <w:tcW w:w="0" w:type="dxa"/>
            <w:vAlign w:val="bottom"/>
          </w:tcPr>
          <w:p>
            <w:pPr>
              <w:spacing w:after="0"/>
              <w:rPr>
                <w:sz w:val="1"/>
                <w:szCs w:val="1"/>
                <w:color w:val="auto"/>
              </w:rPr>
            </w:pPr>
          </w:p>
        </w:tc>
      </w:tr>
      <w:tr>
        <w:trPr>
          <w:trHeight w:val="137"/>
        </w:trPr>
        <w:tc>
          <w:tcPr>
            <w:tcW w:w="2400" w:type="dxa"/>
            <w:vAlign w:val="bottom"/>
            <w:gridSpan w:val="2"/>
          </w:tcPr>
          <w:p>
            <w:pPr>
              <w:ind w:left="20"/>
              <w:spacing w:after="0"/>
              <w:rPr>
                <w:sz w:val="20"/>
                <w:szCs w:val="20"/>
                <w:color w:val="auto"/>
              </w:rPr>
            </w:pPr>
            <w:r>
              <w:rPr>
                <w:rFonts w:ascii="Arial" w:cs="Arial" w:eastAsia="Arial" w:hAnsi="Arial"/>
                <w:sz w:val="10"/>
                <w:szCs w:val="10"/>
                <w:color w:val="auto"/>
              </w:rPr>
              <w:t>a) Embedding due diligence in governanceESRS 2</w:t>
            </w:r>
          </w:p>
        </w:tc>
        <w:tc>
          <w:tcPr>
            <w:tcW w:w="840" w:type="dxa"/>
            <w:vAlign w:val="bottom"/>
          </w:tcPr>
          <w:p>
            <w:pPr>
              <w:spacing w:after="0"/>
              <w:rPr>
                <w:sz w:val="20"/>
                <w:szCs w:val="20"/>
                <w:color w:val="auto"/>
              </w:rPr>
            </w:pPr>
            <w:r>
              <w:rPr>
                <w:rFonts w:ascii="Arial" w:cs="Arial" w:eastAsia="Arial" w:hAnsi="Arial"/>
                <w:sz w:val="10"/>
                <w:szCs w:val="10"/>
                <w:color w:val="auto"/>
              </w:rPr>
              <w:t>GOV-1, GOV-2,</w:t>
            </w:r>
          </w:p>
        </w:tc>
        <w:tc>
          <w:tcPr>
            <w:tcW w:w="1620" w:type="dxa"/>
            <w:vAlign w:val="bottom"/>
          </w:tcPr>
          <w:p>
            <w:pPr>
              <w:ind w:left="120"/>
              <w:spacing w:after="0"/>
              <w:rPr>
                <w:sz w:val="20"/>
                <w:szCs w:val="20"/>
                <w:color w:val="auto"/>
              </w:rPr>
            </w:pPr>
            <w:r>
              <w:rPr>
                <w:rFonts w:ascii="Arial" w:cs="Arial" w:eastAsia="Arial" w:hAnsi="Arial"/>
                <w:sz w:val="10"/>
                <w:szCs w:val="10"/>
                <w:color w:val="auto"/>
              </w:rPr>
              <w:t>People and Environment</w:t>
            </w:r>
          </w:p>
        </w:tc>
        <w:tc>
          <w:tcPr>
            <w:tcW w:w="0" w:type="dxa"/>
            <w:vAlign w:val="bottom"/>
          </w:tcPr>
          <w:p>
            <w:pPr>
              <w:spacing w:after="0"/>
              <w:rPr>
                <w:sz w:val="1"/>
                <w:szCs w:val="1"/>
                <w:color w:val="auto"/>
              </w:rPr>
            </w:pPr>
          </w:p>
        </w:tc>
      </w:tr>
      <w:tr>
        <w:trPr>
          <w:trHeight w:val="95"/>
        </w:trPr>
        <w:tc>
          <w:tcPr>
            <w:tcW w:w="196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ind w:left="40"/>
              <w:spacing w:after="0" w:line="95" w:lineRule="exact"/>
              <w:rPr>
                <w:sz w:val="20"/>
                <w:szCs w:val="20"/>
                <w:color w:val="auto"/>
              </w:rPr>
            </w:pPr>
            <w:r>
              <w:rPr>
                <w:rFonts w:ascii="Arial" w:cs="Arial" w:eastAsia="Arial" w:hAnsi="Arial"/>
                <w:sz w:val="10"/>
                <w:szCs w:val="10"/>
                <w:color w:val="auto"/>
              </w:rPr>
              <w:t>GOV-3</w:t>
            </w:r>
          </w:p>
        </w:tc>
        <w:tc>
          <w:tcPr>
            <w:tcW w:w="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960" w:type="dxa"/>
            <w:vAlign w:val="bottom"/>
          </w:tcPr>
          <w:p>
            <w:pPr>
              <w:ind w:left="20"/>
              <w:spacing w:after="0"/>
              <w:rPr>
                <w:sz w:val="20"/>
                <w:szCs w:val="20"/>
                <w:color w:val="auto"/>
              </w:rPr>
            </w:pPr>
            <w:r>
              <w:rPr>
                <w:rFonts w:ascii="Arial" w:cs="Arial" w:eastAsia="Arial" w:hAnsi="Arial"/>
                <w:sz w:val="10"/>
                <w:szCs w:val="10"/>
                <w:color w:val="auto"/>
              </w:rPr>
              <w:t>strategy, and business model</w:t>
            </w:r>
          </w:p>
        </w:tc>
        <w:tc>
          <w:tcPr>
            <w:tcW w:w="1280" w:type="dxa"/>
            <w:vAlign w:val="bottom"/>
            <w:gridSpan w:val="2"/>
            <w:vMerge w:val="restart"/>
          </w:tcPr>
          <w:p>
            <w:pPr>
              <w:ind w:left="40"/>
              <w:spacing w:after="0"/>
              <w:rPr>
                <w:sz w:val="20"/>
                <w:szCs w:val="20"/>
                <w:color w:val="auto"/>
              </w:rPr>
            </w:pPr>
            <w:r>
              <w:rPr>
                <w:rFonts w:ascii="Arial" w:cs="Arial" w:eastAsia="Arial" w:hAnsi="Arial"/>
                <w:sz w:val="10"/>
                <w:szCs w:val="10"/>
                <w:color w:val="auto"/>
              </w:rPr>
              <w:t>ESRS 2 SBM-3:</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9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0"/>
                <w:szCs w:val="10"/>
                <w:color w:val="auto"/>
              </w:rPr>
              <w:t>E1</w:t>
            </w:r>
          </w:p>
        </w:tc>
        <w:tc>
          <w:tcPr>
            <w:tcW w:w="84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Arial" w:cs="Arial" w:eastAsia="Arial" w:hAnsi="Arial"/>
                <w:sz w:val="10"/>
                <w:szCs w:val="10"/>
                <w:color w:val="auto"/>
              </w:rPr>
              <w:t>Environment</w:t>
            </w:r>
          </w:p>
        </w:tc>
        <w:tc>
          <w:tcPr>
            <w:tcW w:w="0" w:type="dxa"/>
            <w:vAlign w:val="bottom"/>
          </w:tcPr>
          <w:p>
            <w:pPr>
              <w:spacing w:after="0"/>
              <w:rPr>
                <w:sz w:val="1"/>
                <w:szCs w:val="1"/>
                <w:color w:val="auto"/>
              </w:rPr>
            </w:pPr>
          </w:p>
        </w:tc>
      </w:tr>
      <w:tr>
        <w:trPr>
          <w:trHeight w:val="120"/>
        </w:trPr>
        <w:tc>
          <w:tcPr>
            <w:tcW w:w="1960" w:type="dxa"/>
            <w:vAlign w:val="bottom"/>
          </w:tcPr>
          <w:p>
            <w:pPr>
              <w:ind w:left="20"/>
              <w:spacing w:after="0"/>
              <w:rPr>
                <w:sz w:val="20"/>
                <w:szCs w:val="20"/>
                <w:color w:val="auto"/>
              </w:rPr>
            </w:pPr>
            <w:r>
              <w:rPr>
                <w:rFonts w:ascii="Arial" w:cs="Arial" w:eastAsia="Arial" w:hAnsi="Arial"/>
                <w:sz w:val="10"/>
                <w:szCs w:val="10"/>
                <w:color w:val="auto"/>
              </w:rPr>
              <w:t>b) Engaging with affected stakeholders in</w:t>
            </w:r>
          </w:p>
        </w:tc>
        <w:tc>
          <w:tcPr>
            <w:tcW w:w="440" w:type="dxa"/>
            <w:vAlign w:val="bottom"/>
          </w:tcPr>
          <w:p>
            <w:pPr>
              <w:ind w:left="40"/>
              <w:spacing w:after="0"/>
              <w:rPr>
                <w:sz w:val="20"/>
                <w:szCs w:val="20"/>
                <w:color w:val="auto"/>
              </w:rPr>
            </w:pPr>
            <w:r>
              <w:rPr>
                <w:rFonts w:ascii="Arial" w:cs="Arial" w:eastAsia="Arial" w:hAnsi="Arial"/>
                <w:sz w:val="10"/>
                <w:szCs w:val="10"/>
                <w:color w:val="auto"/>
              </w:rPr>
              <w:t>ESRS 2</w:t>
            </w:r>
          </w:p>
        </w:tc>
        <w:tc>
          <w:tcPr>
            <w:tcW w:w="840" w:type="dxa"/>
            <w:vAlign w:val="bottom"/>
          </w:tcPr>
          <w:p>
            <w:pPr>
              <w:spacing w:after="0"/>
              <w:rPr>
                <w:sz w:val="20"/>
                <w:szCs w:val="20"/>
                <w:color w:val="auto"/>
              </w:rPr>
            </w:pPr>
            <w:r>
              <w:rPr>
                <w:rFonts w:ascii="Arial" w:cs="Arial" w:eastAsia="Arial" w:hAnsi="Arial"/>
                <w:sz w:val="10"/>
                <w:szCs w:val="10"/>
                <w:color w:val="auto"/>
              </w:rPr>
              <w:t>GOV-1, GOV-2</w:t>
            </w:r>
          </w:p>
        </w:tc>
        <w:tc>
          <w:tcPr>
            <w:tcW w:w="1620" w:type="dxa"/>
            <w:vAlign w:val="bottom"/>
          </w:tcPr>
          <w:p>
            <w:pPr>
              <w:ind w:left="120"/>
              <w:spacing w:after="0"/>
              <w:rPr>
                <w:sz w:val="20"/>
                <w:szCs w:val="20"/>
                <w:color w:val="auto"/>
              </w:rPr>
            </w:pPr>
            <w:r>
              <w:rPr>
                <w:rFonts w:ascii="Arial" w:cs="Arial" w:eastAsia="Arial" w:hAnsi="Arial"/>
                <w:sz w:val="10"/>
                <w:szCs w:val="10"/>
                <w:color w:val="auto"/>
              </w:rPr>
              <w:t>People and Environment</w:t>
            </w:r>
          </w:p>
        </w:tc>
        <w:tc>
          <w:tcPr>
            <w:tcW w:w="0" w:type="dxa"/>
            <w:vAlign w:val="bottom"/>
          </w:tcPr>
          <w:p>
            <w:pPr>
              <w:spacing w:after="0"/>
              <w:rPr>
                <w:sz w:val="1"/>
                <w:szCs w:val="1"/>
                <w:color w:val="auto"/>
              </w:rPr>
            </w:pPr>
          </w:p>
        </w:tc>
      </w:tr>
      <w:tr>
        <w:trPr>
          <w:trHeight w:val="137"/>
        </w:trPr>
        <w:tc>
          <w:tcPr>
            <w:tcW w:w="1960" w:type="dxa"/>
            <w:vAlign w:val="bottom"/>
          </w:tcPr>
          <w:p>
            <w:pPr>
              <w:ind w:left="20"/>
              <w:spacing w:after="0"/>
              <w:rPr>
                <w:sz w:val="20"/>
                <w:szCs w:val="20"/>
                <w:color w:val="auto"/>
              </w:rPr>
            </w:pPr>
            <w:r>
              <w:rPr>
                <w:rFonts w:ascii="Arial" w:cs="Arial" w:eastAsia="Arial" w:hAnsi="Arial"/>
                <w:sz w:val="10"/>
                <w:szCs w:val="10"/>
                <w:color w:val="auto"/>
              </w:rPr>
              <w:t>all key steps of the due diligence</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ESRS 2</w:t>
            </w:r>
          </w:p>
        </w:tc>
        <w:tc>
          <w:tcPr>
            <w:tcW w:w="840" w:type="dxa"/>
            <w:vAlign w:val="bottom"/>
            <w:vMerge w:val="restart"/>
          </w:tcPr>
          <w:p>
            <w:pPr>
              <w:spacing w:after="0"/>
              <w:rPr>
                <w:sz w:val="20"/>
                <w:szCs w:val="20"/>
                <w:color w:val="auto"/>
              </w:rPr>
            </w:pPr>
            <w:r>
              <w:rPr>
                <w:rFonts w:ascii="Arial" w:cs="Arial" w:eastAsia="Arial" w:hAnsi="Arial"/>
                <w:sz w:val="10"/>
                <w:szCs w:val="10"/>
                <w:color w:val="auto"/>
              </w:rPr>
              <w:t>SBM-2</w:t>
            </w:r>
          </w:p>
        </w:tc>
        <w:tc>
          <w:tcPr>
            <w:tcW w:w="1620" w:type="dxa"/>
            <w:vAlign w:val="bottom"/>
            <w:vMerge w:val="restart"/>
          </w:tcPr>
          <w:p>
            <w:pPr>
              <w:ind w:left="120"/>
              <w:spacing w:after="0"/>
              <w:rPr>
                <w:sz w:val="20"/>
                <w:szCs w:val="20"/>
                <w:color w:val="auto"/>
              </w:rPr>
            </w:pPr>
            <w:r>
              <w:rPr>
                <w:rFonts w:ascii="Arial" w:cs="Arial" w:eastAsia="Arial" w:hAnsi="Arial"/>
                <w:sz w:val="10"/>
                <w:szCs w:val="10"/>
                <w:color w:val="auto"/>
              </w:rPr>
              <w:t>People and Environment</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0"/>
                <w:szCs w:val="10"/>
                <w:color w:val="auto"/>
              </w:rPr>
              <w:t>ESRS 2</w:t>
            </w:r>
          </w:p>
        </w:tc>
        <w:tc>
          <w:tcPr>
            <w:tcW w:w="840" w:type="dxa"/>
            <w:vAlign w:val="bottom"/>
          </w:tcPr>
          <w:p>
            <w:pPr>
              <w:spacing w:after="0"/>
              <w:rPr>
                <w:sz w:val="20"/>
                <w:szCs w:val="20"/>
                <w:color w:val="auto"/>
              </w:rPr>
            </w:pPr>
            <w:r>
              <w:rPr>
                <w:rFonts w:ascii="Arial" w:cs="Arial" w:eastAsia="Arial" w:hAnsi="Arial"/>
                <w:sz w:val="10"/>
                <w:szCs w:val="10"/>
                <w:color w:val="auto"/>
              </w:rPr>
              <w:t>IRO-1</w:t>
            </w:r>
          </w:p>
        </w:tc>
        <w:tc>
          <w:tcPr>
            <w:tcW w:w="1620" w:type="dxa"/>
            <w:vAlign w:val="bottom"/>
          </w:tcPr>
          <w:p>
            <w:pPr>
              <w:ind w:left="120"/>
              <w:spacing w:after="0"/>
              <w:rPr>
                <w:sz w:val="20"/>
                <w:szCs w:val="20"/>
                <w:color w:val="auto"/>
              </w:rPr>
            </w:pPr>
            <w:r>
              <w:rPr>
                <w:rFonts w:ascii="Arial" w:cs="Arial" w:eastAsia="Arial" w:hAnsi="Arial"/>
                <w:sz w:val="10"/>
                <w:szCs w:val="10"/>
                <w:color w:val="auto"/>
              </w:rPr>
              <w:t>People and Environment</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ESRS 2 MDR-P:</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0"/>
                <w:szCs w:val="10"/>
                <w:color w:val="auto"/>
              </w:rPr>
              <w:t>E1-2</w:t>
            </w:r>
          </w:p>
        </w:tc>
        <w:tc>
          <w:tcPr>
            <w:tcW w:w="84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Arial" w:cs="Arial" w:eastAsia="Arial" w:hAnsi="Arial"/>
                <w:sz w:val="10"/>
                <w:szCs w:val="10"/>
                <w:color w:val="auto"/>
              </w:rPr>
              <w:t>Environment</w:t>
            </w:r>
          </w:p>
        </w:tc>
        <w:tc>
          <w:tcPr>
            <w:tcW w:w="0" w:type="dxa"/>
            <w:vAlign w:val="bottom"/>
          </w:tcPr>
          <w:p>
            <w:pPr>
              <w:spacing w:after="0"/>
              <w:rPr>
                <w:sz w:val="1"/>
                <w:szCs w:val="1"/>
                <w:color w:val="auto"/>
              </w:rPr>
            </w:pPr>
          </w:p>
        </w:tc>
      </w:tr>
      <w:tr>
        <w:trPr>
          <w:trHeight w:val="120"/>
        </w:trPr>
        <w:tc>
          <w:tcPr>
            <w:tcW w:w="1960" w:type="dxa"/>
            <w:vAlign w:val="bottom"/>
          </w:tcPr>
          <w:p>
            <w:pPr>
              <w:ind w:left="20"/>
              <w:spacing w:after="0"/>
              <w:rPr>
                <w:sz w:val="20"/>
                <w:szCs w:val="20"/>
                <w:color w:val="auto"/>
              </w:rPr>
            </w:pPr>
            <w:r>
              <w:rPr>
                <w:rFonts w:ascii="Arial" w:cs="Arial" w:eastAsia="Arial" w:hAnsi="Arial"/>
                <w:sz w:val="10"/>
                <w:szCs w:val="10"/>
                <w:color w:val="auto"/>
              </w:rPr>
              <w:t>c) Identifying and assessing adverse</w:t>
            </w:r>
          </w:p>
        </w:tc>
        <w:tc>
          <w:tcPr>
            <w:tcW w:w="440" w:type="dxa"/>
            <w:vAlign w:val="bottom"/>
          </w:tcPr>
          <w:p>
            <w:pPr>
              <w:ind w:left="40"/>
              <w:spacing w:after="0"/>
              <w:rPr>
                <w:sz w:val="20"/>
                <w:szCs w:val="20"/>
                <w:color w:val="auto"/>
              </w:rPr>
            </w:pPr>
            <w:r>
              <w:rPr>
                <w:rFonts w:ascii="Arial" w:cs="Arial" w:eastAsia="Arial" w:hAnsi="Arial"/>
                <w:sz w:val="10"/>
                <w:szCs w:val="10"/>
                <w:color w:val="auto"/>
              </w:rPr>
              <w:t>ESRS 2</w:t>
            </w:r>
          </w:p>
        </w:tc>
        <w:tc>
          <w:tcPr>
            <w:tcW w:w="840" w:type="dxa"/>
            <w:vAlign w:val="bottom"/>
          </w:tcPr>
          <w:p>
            <w:pPr>
              <w:spacing w:after="0"/>
              <w:rPr>
                <w:sz w:val="20"/>
                <w:szCs w:val="20"/>
                <w:color w:val="auto"/>
              </w:rPr>
            </w:pPr>
            <w:r>
              <w:rPr>
                <w:rFonts w:ascii="Arial" w:cs="Arial" w:eastAsia="Arial" w:hAnsi="Arial"/>
                <w:sz w:val="10"/>
                <w:szCs w:val="10"/>
                <w:color w:val="auto"/>
              </w:rPr>
              <w:t>IRO-1:</w:t>
            </w: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960" w:type="dxa"/>
            <w:vAlign w:val="bottom"/>
          </w:tcPr>
          <w:p>
            <w:pPr>
              <w:ind w:left="20"/>
              <w:spacing w:after="0"/>
              <w:rPr>
                <w:sz w:val="20"/>
                <w:szCs w:val="20"/>
                <w:color w:val="auto"/>
              </w:rPr>
            </w:pPr>
            <w:r>
              <w:rPr>
                <w:rFonts w:ascii="Arial" w:cs="Arial" w:eastAsia="Arial" w:hAnsi="Arial"/>
                <w:sz w:val="10"/>
                <w:szCs w:val="10"/>
                <w:color w:val="auto"/>
              </w:rPr>
              <w:t>impacts</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E1</w:t>
            </w:r>
          </w:p>
        </w:tc>
        <w:tc>
          <w:tcPr>
            <w:tcW w:w="840" w:type="dxa"/>
            <w:vAlign w:val="bottom"/>
          </w:tcPr>
          <w:p>
            <w:pPr>
              <w:spacing w:after="0"/>
              <w:rPr>
                <w:sz w:val="11"/>
                <w:szCs w:val="11"/>
                <w:color w:val="auto"/>
              </w:rPr>
            </w:pPr>
          </w:p>
        </w:tc>
        <w:tc>
          <w:tcPr>
            <w:tcW w:w="1620" w:type="dxa"/>
            <w:vAlign w:val="bottom"/>
            <w:vMerge w:val="restart"/>
          </w:tcPr>
          <w:p>
            <w:pPr>
              <w:ind w:left="120"/>
              <w:spacing w:after="0"/>
              <w:rPr>
                <w:sz w:val="20"/>
                <w:szCs w:val="20"/>
                <w:color w:val="auto"/>
              </w:rPr>
            </w:pPr>
            <w:r>
              <w:rPr>
                <w:rFonts w:ascii="Arial" w:cs="Arial" w:eastAsia="Arial" w:hAnsi="Arial"/>
                <w:sz w:val="10"/>
                <w:szCs w:val="10"/>
                <w:color w:val="auto"/>
              </w:rPr>
              <w:t>Environment</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400" w:type="dxa"/>
            <w:vAlign w:val="bottom"/>
            <w:gridSpan w:val="2"/>
          </w:tcPr>
          <w:p>
            <w:pPr>
              <w:ind w:left="20"/>
              <w:spacing w:after="0"/>
              <w:rPr>
                <w:sz w:val="20"/>
                <w:szCs w:val="20"/>
                <w:color w:val="auto"/>
              </w:rPr>
            </w:pPr>
            <w:r>
              <w:rPr>
                <w:rFonts w:ascii="Arial" w:cs="Arial" w:eastAsia="Arial" w:hAnsi="Arial"/>
                <w:sz w:val="10"/>
                <w:szCs w:val="10"/>
                <w:color w:val="auto"/>
              </w:rPr>
              <w:t>d) Taking actions to address those advers ESRS 2</w:t>
            </w:r>
          </w:p>
        </w:tc>
        <w:tc>
          <w:tcPr>
            <w:tcW w:w="840" w:type="dxa"/>
            <w:vAlign w:val="bottom"/>
          </w:tcPr>
          <w:p>
            <w:pPr>
              <w:spacing w:after="0"/>
              <w:rPr>
                <w:sz w:val="20"/>
                <w:szCs w:val="20"/>
                <w:color w:val="auto"/>
              </w:rPr>
            </w:pPr>
            <w:r>
              <w:rPr>
                <w:rFonts w:ascii="Arial" w:cs="Arial" w:eastAsia="Arial" w:hAnsi="Arial"/>
                <w:sz w:val="10"/>
                <w:szCs w:val="10"/>
                <w:color w:val="auto"/>
              </w:rPr>
              <w:t>MDR-A:</w:t>
            </w: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tcPr>
          <w:p>
            <w:pPr>
              <w:ind w:left="20"/>
              <w:spacing w:after="0" w:line="95" w:lineRule="exact"/>
              <w:rPr>
                <w:sz w:val="20"/>
                <w:szCs w:val="20"/>
                <w:color w:val="auto"/>
              </w:rPr>
            </w:pPr>
            <w:r>
              <w:rPr>
                <w:rFonts w:ascii="Arial" w:cs="Arial" w:eastAsia="Arial" w:hAnsi="Arial"/>
                <w:sz w:val="10"/>
                <w:szCs w:val="10"/>
                <w:color w:val="auto"/>
              </w:rPr>
              <w:t>e</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E1-3</w:t>
            </w:r>
          </w:p>
        </w:tc>
        <w:tc>
          <w:tcPr>
            <w:tcW w:w="840" w:type="dxa"/>
            <w:vAlign w:val="bottom"/>
          </w:tcPr>
          <w:p>
            <w:pPr>
              <w:spacing w:after="0"/>
              <w:rPr>
                <w:sz w:val="8"/>
                <w:szCs w:val="8"/>
                <w:color w:val="auto"/>
              </w:rPr>
            </w:pPr>
          </w:p>
        </w:tc>
        <w:tc>
          <w:tcPr>
            <w:tcW w:w="1620" w:type="dxa"/>
            <w:vAlign w:val="bottom"/>
            <w:vMerge w:val="restart"/>
          </w:tcPr>
          <w:p>
            <w:pPr>
              <w:ind w:left="120"/>
              <w:spacing w:after="0"/>
              <w:rPr>
                <w:sz w:val="20"/>
                <w:szCs w:val="20"/>
                <w:color w:val="auto"/>
              </w:rPr>
            </w:pPr>
            <w:r>
              <w:rPr>
                <w:rFonts w:ascii="Arial" w:cs="Arial" w:eastAsia="Arial" w:hAnsi="Arial"/>
                <w:sz w:val="10"/>
                <w:szCs w:val="10"/>
                <w:color w:val="auto"/>
              </w:rPr>
              <w:t>Environment</w:t>
            </w:r>
          </w:p>
        </w:tc>
        <w:tc>
          <w:tcPr>
            <w:tcW w:w="0" w:type="dxa"/>
            <w:vAlign w:val="bottom"/>
          </w:tcPr>
          <w:p>
            <w:pPr>
              <w:spacing w:after="0"/>
              <w:rPr>
                <w:sz w:val="1"/>
                <w:szCs w:val="1"/>
                <w:color w:val="auto"/>
              </w:rPr>
            </w:pPr>
          </w:p>
        </w:tc>
      </w:tr>
      <w:tr>
        <w:trPr>
          <w:trHeight w:val="105"/>
        </w:trPr>
        <w:tc>
          <w:tcPr>
            <w:tcW w:w="1960" w:type="dxa"/>
            <w:vAlign w:val="bottom"/>
          </w:tcPr>
          <w:p>
            <w:pPr>
              <w:ind w:left="20"/>
              <w:spacing w:after="0" w:line="105" w:lineRule="exact"/>
              <w:rPr>
                <w:sz w:val="20"/>
                <w:szCs w:val="20"/>
                <w:color w:val="auto"/>
              </w:rPr>
            </w:pPr>
            <w:r>
              <w:rPr>
                <w:rFonts w:ascii="Arial" w:cs="Arial" w:eastAsia="Arial" w:hAnsi="Arial"/>
                <w:sz w:val="10"/>
                <w:szCs w:val="10"/>
                <w:color w:val="auto"/>
              </w:rPr>
              <w:t>impact</w:t>
            </w:r>
          </w:p>
        </w:tc>
        <w:tc>
          <w:tcPr>
            <w:tcW w:w="4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tcPr>
          <w:p>
            <w:pPr>
              <w:ind w:left="20"/>
              <w:spacing w:after="0" w:line="105" w:lineRule="exact"/>
              <w:rPr>
                <w:sz w:val="20"/>
                <w:szCs w:val="20"/>
                <w:color w:val="auto"/>
              </w:rPr>
            </w:pPr>
            <w:r>
              <w:rPr>
                <w:rFonts w:ascii="Arial" w:cs="Arial" w:eastAsia="Arial" w:hAnsi="Arial"/>
                <w:sz w:val="10"/>
                <w:szCs w:val="10"/>
                <w:color w:val="auto"/>
              </w:rPr>
              <w:t>e) Tracking the effectiveness of these</w:t>
            </w:r>
          </w:p>
        </w:tc>
        <w:tc>
          <w:tcPr>
            <w:tcW w:w="440" w:type="dxa"/>
            <w:vAlign w:val="bottom"/>
          </w:tcPr>
          <w:p>
            <w:pPr>
              <w:ind w:left="40"/>
              <w:spacing w:after="0" w:line="105" w:lineRule="exact"/>
              <w:rPr>
                <w:sz w:val="20"/>
                <w:szCs w:val="20"/>
                <w:color w:val="auto"/>
              </w:rPr>
            </w:pPr>
            <w:r>
              <w:rPr>
                <w:rFonts w:ascii="Arial" w:cs="Arial" w:eastAsia="Arial" w:hAnsi="Arial"/>
                <w:sz w:val="10"/>
                <w:szCs w:val="10"/>
                <w:color w:val="auto"/>
              </w:rPr>
              <w:t>ESRS 2</w:t>
            </w:r>
          </w:p>
        </w:tc>
        <w:tc>
          <w:tcPr>
            <w:tcW w:w="840" w:type="dxa"/>
            <w:vAlign w:val="bottom"/>
          </w:tcPr>
          <w:p>
            <w:pPr>
              <w:spacing w:after="0" w:line="105" w:lineRule="exact"/>
              <w:rPr>
                <w:sz w:val="20"/>
                <w:szCs w:val="20"/>
                <w:color w:val="auto"/>
              </w:rPr>
            </w:pPr>
            <w:r>
              <w:rPr>
                <w:rFonts w:ascii="Arial" w:cs="Arial" w:eastAsia="Arial" w:hAnsi="Arial"/>
                <w:sz w:val="10"/>
                <w:szCs w:val="10"/>
                <w:color w:val="auto"/>
              </w:rPr>
              <w:t>MDR-M:</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60" w:type="dxa"/>
            <w:vAlign w:val="bottom"/>
          </w:tcPr>
          <w:p>
            <w:pPr>
              <w:ind w:left="20"/>
              <w:spacing w:after="0"/>
              <w:rPr>
                <w:sz w:val="20"/>
                <w:szCs w:val="20"/>
                <w:color w:val="auto"/>
              </w:rPr>
            </w:pPr>
            <w:r>
              <w:rPr>
                <w:rFonts w:ascii="Arial" w:cs="Arial" w:eastAsia="Arial" w:hAnsi="Arial"/>
                <w:sz w:val="10"/>
                <w:szCs w:val="10"/>
                <w:color w:val="auto"/>
              </w:rPr>
              <w:t>efforts and communicating</w:t>
            </w:r>
          </w:p>
        </w:tc>
        <w:tc>
          <w:tcPr>
            <w:tcW w:w="440" w:type="dxa"/>
            <w:vAlign w:val="bottom"/>
            <w:vMerge w:val="restart"/>
          </w:tcPr>
          <w:p>
            <w:pPr>
              <w:ind w:left="40"/>
              <w:spacing w:after="0"/>
              <w:rPr>
                <w:sz w:val="20"/>
                <w:szCs w:val="20"/>
                <w:color w:val="auto"/>
              </w:rPr>
            </w:pPr>
            <w:r>
              <w:rPr>
                <w:rFonts w:ascii="Arial" w:cs="Arial" w:eastAsia="Arial" w:hAnsi="Arial"/>
                <w:sz w:val="10"/>
                <w:szCs w:val="10"/>
                <w:color w:val="auto"/>
              </w:rPr>
              <w:t>E1-4</w:t>
            </w:r>
          </w:p>
        </w:tc>
        <w:tc>
          <w:tcPr>
            <w:tcW w:w="840" w:type="dxa"/>
            <w:vAlign w:val="bottom"/>
          </w:tcPr>
          <w:p>
            <w:pPr>
              <w:spacing w:after="0"/>
              <w:rPr>
                <w:sz w:val="11"/>
                <w:szCs w:val="11"/>
                <w:color w:val="auto"/>
              </w:rPr>
            </w:pPr>
          </w:p>
        </w:tc>
        <w:tc>
          <w:tcPr>
            <w:tcW w:w="1620" w:type="dxa"/>
            <w:vAlign w:val="bottom"/>
            <w:vMerge w:val="restart"/>
          </w:tcPr>
          <w:p>
            <w:pPr>
              <w:ind w:left="120"/>
              <w:spacing w:after="0"/>
              <w:rPr>
                <w:sz w:val="20"/>
                <w:szCs w:val="20"/>
                <w:color w:val="auto"/>
              </w:rPr>
            </w:pPr>
            <w:r>
              <w:rPr>
                <w:rFonts w:ascii="Arial" w:cs="Arial" w:eastAsia="Arial" w:hAnsi="Arial"/>
                <w:sz w:val="10"/>
                <w:szCs w:val="10"/>
                <w:color w:val="auto"/>
              </w:rPr>
              <w:t>Environment</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ESRS 2 MDR-T:</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0"/>
                <w:szCs w:val="10"/>
                <w:color w:val="auto"/>
              </w:rPr>
              <w:t>E1-4</w:t>
            </w:r>
          </w:p>
        </w:tc>
        <w:tc>
          <w:tcPr>
            <w:tcW w:w="84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Arial" w:cs="Arial" w:eastAsia="Arial" w:hAnsi="Arial"/>
                <w:sz w:val="10"/>
                <w:szCs w:val="10"/>
                <w:color w:val="auto"/>
              </w:rPr>
              <w:t>Environment</w:t>
            </w:r>
          </w:p>
        </w:tc>
        <w:tc>
          <w:tcPr>
            <w:tcW w:w="0" w:type="dxa"/>
            <w:vAlign w:val="bottom"/>
          </w:tcPr>
          <w:p>
            <w:pPr>
              <w:spacing w:after="0"/>
              <w:rPr>
                <w:sz w:val="1"/>
                <w:szCs w:val="1"/>
                <w:color w:val="auto"/>
              </w:rPr>
            </w:pPr>
          </w:p>
        </w:tc>
      </w:tr>
    </w:tbl>
    <w:p>
      <w:pPr>
        <w:spacing w:after="0" w:line="7" w:lineRule="exact"/>
        <w:rPr>
          <w:rFonts w:ascii="Arial" w:cs="Arial" w:eastAsia="Arial" w:hAnsi="Arial"/>
          <w:sz w:val="10"/>
          <w:szCs w:val="10"/>
          <w:b w:val="1"/>
          <w:bCs w:val="1"/>
          <w:color w:val="auto"/>
        </w:rPr>
      </w:pPr>
    </w:p>
    <w:p>
      <w:pPr>
        <w:ind w:right="3080"/>
        <w:spacing w:after="0" w:line="221" w:lineRule="auto"/>
        <w:rPr>
          <w:sz w:val="20"/>
          <w:szCs w:val="20"/>
          <w:color w:val="auto"/>
        </w:rPr>
      </w:pPr>
      <w:r>
        <w:rPr>
          <w:rFonts w:ascii="Arial" w:cs="Arial" w:eastAsia="Arial" w:hAnsi="Arial"/>
          <w:sz w:val="13"/>
          <w:szCs w:val="13"/>
          <w:b w:val="1"/>
          <w:bCs w:val="1"/>
          <w:color w:val="0057CF"/>
        </w:rPr>
        <w:t>Risk management and internal controls over sustainability reporting (GOV-5)</w:t>
      </w:r>
    </w:p>
    <w:p>
      <w:pPr>
        <w:ind w:right="2720"/>
        <w:spacing w:after="0" w:line="198" w:lineRule="auto"/>
        <w:rPr>
          <w:sz w:val="20"/>
          <w:szCs w:val="20"/>
          <w:color w:val="auto"/>
        </w:rPr>
      </w:pPr>
      <w:r>
        <w:rPr>
          <w:rFonts w:ascii="Arial" w:cs="Arial" w:eastAsia="Arial" w:hAnsi="Arial"/>
          <w:sz w:val="10"/>
          <w:szCs w:val="10"/>
          <w:color w:val="auto"/>
        </w:rPr>
        <w:t>Genmab identifies and assesses sustainability-related risks primarily through its CSR &amp; Sustainability Committee and Enterprise Risk Program. Clear governance supports our overall risk management framework. The Board oversees, and Executive Management is responsible for, sustainability-related risk management and internal controls.</w:t>
      </w:r>
    </w:p>
    <w:p>
      <w:pPr>
        <w:spacing w:after="0" w:line="1" w:lineRule="exact"/>
        <w:rPr>
          <w:rFonts w:ascii="Arial" w:cs="Arial" w:eastAsia="Arial" w:hAnsi="Arial"/>
          <w:sz w:val="10"/>
          <w:szCs w:val="10"/>
          <w:b w:val="1"/>
          <w:bCs w:val="1"/>
          <w:color w:val="auto"/>
        </w:rPr>
      </w:pPr>
    </w:p>
    <w:p>
      <w:pPr>
        <w:ind w:right="2960"/>
        <w:spacing w:after="0" w:line="198" w:lineRule="auto"/>
        <w:rPr>
          <w:sz w:val="20"/>
          <w:szCs w:val="20"/>
          <w:color w:val="auto"/>
        </w:rPr>
      </w:pPr>
      <w:r>
        <w:rPr>
          <w:rFonts w:ascii="Arial" w:cs="Arial" w:eastAsia="Arial" w:hAnsi="Arial"/>
          <w:sz w:val="10"/>
          <w:szCs w:val="10"/>
          <w:color w:val="auto"/>
        </w:rPr>
        <w:t>Genmab evaluates how such risks may affect operations, reputation, and financial performance, and has implemented processes to ensure the accuracy and traceability of sustainability data.</w:t>
      </w:r>
    </w:p>
    <w:p>
      <w:pPr>
        <w:spacing w:after="0" w:line="199" w:lineRule="auto"/>
        <w:rPr>
          <w:sz w:val="20"/>
          <w:szCs w:val="20"/>
          <w:color w:val="auto"/>
        </w:rPr>
      </w:pPr>
      <w:r>
        <w:rPr>
          <w:rFonts w:ascii="Arial" w:cs="Arial" w:eastAsia="Arial" w:hAnsi="Arial"/>
          <w:sz w:val="10"/>
          <w:szCs w:val="10"/>
          <w:color w:val="auto"/>
        </w:rPr>
        <w:t>Our reporting aligns with recognized frameworks to support consistency, comparability, and stakeholder</w:t>
      </w:r>
    </w:p>
    <w:p>
      <w:pPr>
        <w:spacing w:after="0" w:line="199" w:lineRule="auto"/>
        <w:rPr>
          <w:rFonts w:ascii="Arial" w:cs="Arial" w:eastAsia="Arial" w:hAnsi="Arial"/>
          <w:sz w:val="10"/>
          <w:szCs w:val="10"/>
          <w:color w:val="auto"/>
        </w:rPr>
      </w:pPr>
      <w:hyperlink w:anchor="page154">
        <w:r>
          <w:rPr>
            <w:rFonts w:ascii="Arial" w:cs="Arial" w:eastAsia="Arial" w:hAnsi="Arial"/>
            <w:sz w:val="10"/>
            <w:szCs w:val="10"/>
            <w:color w:val="auto"/>
          </w:rPr>
          <w:t xml:space="preserve">relevance. Internal and external audits are </w:t>
        </w:r>
      </w:hyperlink>
      <w:r>
        <w:rPr>
          <w:rFonts w:ascii="Arial" w:cs="Arial" w:eastAsia="Arial" w:hAnsi="Arial"/>
          <w:sz w:val="10"/>
          <w:szCs w:val="10"/>
          <w:color w:val="auto"/>
        </w:rPr>
        <w:t xml:space="preserve">conducted </w:t>
      </w:r>
      <w:hyperlink w:anchor="page154">
        <w:r>
          <w:rPr>
            <w:rFonts w:ascii="Arial" w:cs="Arial" w:eastAsia="Arial" w:hAnsi="Arial"/>
            <w:sz w:val="10"/>
            <w:szCs w:val="10"/>
            <w:color w:val="auto"/>
          </w:rPr>
          <w:t xml:space="preserve">to </w:t>
        </w:r>
      </w:hyperlink>
      <w:r>
        <w:rPr>
          <w:rFonts w:ascii="Arial" w:cs="Arial" w:eastAsia="Arial" w:hAnsi="Arial"/>
          <w:sz w:val="10"/>
          <w:szCs w:val="10"/>
          <w:color w:val="auto"/>
        </w:rPr>
        <w:t>assess compliance with sustainability</w:t>
      </w:r>
    </w:p>
    <w:p>
      <w:pPr>
        <w:spacing w:after="0" w:line="199" w:lineRule="auto"/>
        <w:rPr>
          <w:sz w:val="20"/>
          <w:szCs w:val="20"/>
          <w:color w:val="auto"/>
        </w:rPr>
      </w:pPr>
      <w:r>
        <w:rPr>
          <w:rFonts w:ascii="Arial" w:cs="Arial" w:eastAsia="Arial" w:hAnsi="Arial"/>
          <w:sz w:val="10"/>
          <w:szCs w:val="10"/>
          <w:color w:val="auto"/>
        </w:rPr>
        <w:t>reporting controls. Genmab’s Internal Audit function reports to the Audit and Finance Committee and</w:t>
      </w:r>
    </w:p>
    <w:p>
      <w:pPr>
        <w:spacing w:after="0" w:line="198" w:lineRule="auto"/>
        <w:rPr>
          <w:sz w:val="20"/>
          <w:szCs w:val="20"/>
          <w:color w:val="auto"/>
        </w:rPr>
      </w:pPr>
      <w:r>
        <w:rPr>
          <w:rFonts w:ascii="Arial" w:cs="Arial" w:eastAsia="Arial" w:hAnsi="Arial"/>
          <w:sz w:val="10"/>
          <w:szCs w:val="10"/>
          <w:color w:val="auto"/>
        </w:rPr>
        <w:t>administratively to the CFO, with findings communicated at least annually. The Corporate Sustainability</w:t>
      </w:r>
    </w:p>
    <w:p>
      <w:pPr>
        <w:spacing w:after="0" w:line="199" w:lineRule="auto"/>
        <w:rPr>
          <w:sz w:val="20"/>
          <w:szCs w:val="20"/>
          <w:color w:val="auto"/>
        </w:rPr>
      </w:pPr>
      <w:r>
        <w:rPr>
          <w:rFonts w:ascii="Arial" w:cs="Arial" w:eastAsia="Arial" w:hAnsi="Arial"/>
          <w:sz w:val="10"/>
          <w:szCs w:val="10"/>
          <w:color w:val="auto"/>
        </w:rPr>
        <w:t>Team integrates risk assessment outcomes and internal controls regarding sustainability reporting</w:t>
      </w:r>
    </w:p>
    <w:p>
      <w:pPr>
        <w:spacing w:after="0" w:line="199" w:lineRule="auto"/>
        <w:rPr>
          <w:sz w:val="20"/>
          <w:szCs w:val="20"/>
          <w:color w:val="auto"/>
        </w:rPr>
      </w:pPr>
      <w:r>
        <w:rPr>
          <w:rFonts w:ascii="Arial" w:cs="Arial" w:eastAsia="Arial" w:hAnsi="Arial"/>
          <w:sz w:val="10"/>
          <w:szCs w:val="10"/>
          <w:color w:val="auto"/>
        </w:rPr>
        <w:t>into relevant processes and maintains controls and</w:t>
      </w:r>
    </w:p>
    <w:p>
      <w:pPr>
        <w:spacing w:after="0" w:line="198" w:lineRule="auto"/>
        <w:rPr>
          <w:sz w:val="20"/>
          <w:szCs w:val="20"/>
          <w:color w:val="auto"/>
        </w:rPr>
      </w:pPr>
      <w:r>
        <w:rPr>
          <w:rFonts w:ascii="Arial" w:cs="Arial" w:eastAsia="Arial" w:hAnsi="Arial"/>
          <w:sz w:val="10"/>
          <w:szCs w:val="10"/>
          <w:color w:val="auto"/>
        </w:rPr>
        <w:t>documentation for identifying material IROs under</w:t>
      </w:r>
    </w:p>
    <w:p>
      <w:pPr>
        <w:spacing w:after="0" w:line="199" w:lineRule="auto"/>
        <w:rPr>
          <w:sz w:val="20"/>
          <w:szCs w:val="20"/>
          <w:color w:val="auto"/>
        </w:rPr>
      </w:pPr>
      <w:r>
        <w:rPr>
          <w:rFonts w:ascii="Arial" w:cs="Arial" w:eastAsia="Arial" w:hAnsi="Arial"/>
          <w:sz w:val="10"/>
          <w:szCs w:val="10"/>
          <w:color w:val="auto"/>
        </w:rPr>
        <w:t>the DMA. Genmab’s external auditor provides</w:t>
      </w:r>
    </w:p>
    <w:p>
      <w:pPr>
        <w:spacing w:after="0" w:line="199" w:lineRule="auto"/>
        <w:rPr>
          <w:sz w:val="20"/>
          <w:szCs w:val="20"/>
          <w:color w:val="auto"/>
        </w:rPr>
      </w:pPr>
      <w:r>
        <w:rPr>
          <w:rFonts w:ascii="Arial" w:cs="Arial" w:eastAsia="Arial" w:hAnsi="Arial"/>
          <w:sz w:val="10"/>
          <w:szCs w:val="10"/>
          <w:color w:val="auto"/>
        </w:rPr>
        <w:t>limited assurance on Genmab’s sustainability</w:t>
      </w:r>
    </w:p>
    <w:p>
      <w:pPr>
        <w:spacing w:after="0" w:line="198" w:lineRule="auto"/>
        <w:rPr>
          <w:sz w:val="20"/>
          <w:szCs w:val="20"/>
          <w:color w:val="auto"/>
        </w:rPr>
      </w:pPr>
      <w:r>
        <w:rPr>
          <w:rFonts w:ascii="Arial" w:cs="Arial" w:eastAsia="Arial" w:hAnsi="Arial"/>
          <w:sz w:val="10"/>
          <w:szCs w:val="10"/>
          <w:color w:val="auto"/>
        </w:rPr>
        <w:t>statements.</w:t>
      </w:r>
    </w:p>
    <w:p>
      <w:pPr>
        <w:spacing w:after="0" w:line="199" w:lineRule="auto"/>
        <w:rPr>
          <w:sz w:val="20"/>
          <w:szCs w:val="20"/>
          <w:color w:val="auto"/>
        </w:rPr>
      </w:pPr>
      <w:r>
        <w:rPr>
          <w:rFonts w:ascii="Arial" w:cs="Arial" w:eastAsia="Arial" w:hAnsi="Arial"/>
          <w:sz w:val="10"/>
          <w:szCs w:val="10"/>
          <w:color w:val="auto"/>
        </w:rPr>
        <w:t>Training is provided to employees on sustainability-</w:t>
      </w:r>
    </w:p>
    <w:p>
      <w:pPr>
        <w:spacing w:after="0" w:line="198" w:lineRule="auto"/>
        <w:rPr>
          <w:sz w:val="20"/>
          <w:szCs w:val="20"/>
          <w:color w:val="auto"/>
        </w:rPr>
      </w:pPr>
      <w:r>
        <w:rPr>
          <w:rFonts w:ascii="Arial" w:cs="Arial" w:eastAsia="Arial" w:hAnsi="Arial"/>
          <w:sz w:val="10"/>
          <w:szCs w:val="10"/>
          <w:color w:val="auto"/>
        </w:rPr>
        <w:t>related risks and reporting responsibilities to</w:t>
      </w:r>
    </w:p>
    <w:p>
      <w:pPr>
        <w:spacing w:after="0" w:line="199" w:lineRule="auto"/>
        <w:rPr>
          <w:sz w:val="20"/>
          <w:szCs w:val="20"/>
          <w:color w:val="auto"/>
        </w:rPr>
      </w:pPr>
      <w:r>
        <w:rPr>
          <w:rFonts w:ascii="Arial" w:cs="Arial" w:eastAsia="Arial" w:hAnsi="Arial"/>
          <w:sz w:val="10"/>
          <w:szCs w:val="10"/>
          <w:color w:val="auto"/>
        </w:rPr>
        <w:t>promote accountability and support reporting</w:t>
      </w:r>
    </w:p>
    <w:p>
      <w:pPr>
        <w:spacing w:after="0" w:line="199" w:lineRule="auto"/>
        <w:rPr>
          <w:sz w:val="20"/>
          <w:szCs w:val="20"/>
          <w:color w:val="auto"/>
        </w:rPr>
      </w:pPr>
      <w:r>
        <w:rPr>
          <w:rFonts w:ascii="Arial" w:cs="Arial" w:eastAsia="Arial" w:hAnsi="Arial"/>
          <w:sz w:val="10"/>
          <w:szCs w:val="10"/>
          <w:color w:val="auto"/>
        </w:rPr>
        <w:t>integrity.</w:t>
      </w:r>
    </w:p>
    <w:p>
      <w:pPr>
        <w:spacing w:after="0" w:line="198" w:lineRule="auto"/>
        <w:rPr>
          <w:rFonts w:ascii="Arial" w:cs="Arial" w:eastAsia="Arial" w:hAnsi="Arial"/>
          <w:sz w:val="10"/>
          <w:szCs w:val="10"/>
          <w:color w:val="0057CF"/>
        </w:rPr>
      </w:pPr>
      <w:hyperlink w:anchor="page105">
        <w:r>
          <w:rPr>
            <w:rFonts w:ascii="Arial" w:cs="Arial" w:eastAsia="Arial" w:hAnsi="Arial"/>
            <w:sz w:val="10"/>
            <w:szCs w:val="10"/>
            <w:color w:val="0057CF"/>
          </w:rPr>
          <w:t xml:space="preserve">Refer to the </w:t>
        </w:r>
        <w:r>
          <w:rPr>
            <w:rFonts w:ascii="Arial" w:cs="Arial" w:eastAsia="Arial" w:hAnsi="Arial"/>
            <w:sz w:val="10"/>
            <w:szCs w:val="10"/>
            <w:b w:val="1"/>
            <w:bCs w:val="1"/>
            <w:color w:val="0057CF"/>
          </w:rPr>
          <w:t>Risk Management</w:t>
        </w:r>
        <w:r>
          <w:rPr>
            <w:rFonts w:ascii="Arial" w:cs="Arial" w:eastAsia="Arial" w:hAnsi="Arial"/>
            <w:sz w:val="10"/>
            <w:szCs w:val="10"/>
            <w:color w:val="0057CF"/>
          </w:rPr>
          <w:t xml:space="preserve"> section in</w:t>
        </w:r>
      </w:hyperlink>
    </w:p>
    <w:p>
      <w:pPr>
        <w:spacing w:after="0" w:line="199" w:lineRule="auto"/>
        <w:rPr>
          <w:rFonts w:ascii="Arial" w:cs="Arial" w:eastAsia="Arial" w:hAnsi="Arial"/>
          <w:sz w:val="10"/>
          <w:szCs w:val="10"/>
          <w:color w:val="0057CF"/>
        </w:rPr>
      </w:pPr>
      <w:hyperlink w:anchor="page105">
        <w:r>
          <w:rPr>
            <w:rFonts w:ascii="Arial" w:cs="Arial" w:eastAsia="Arial" w:hAnsi="Arial"/>
            <w:sz w:val="10"/>
            <w:szCs w:val="10"/>
            <w:color w:val="0057CF"/>
          </w:rPr>
          <w:t>Management’s Review for the followed risk</w:t>
        </w:r>
      </w:hyperlink>
    </w:p>
    <w:p>
      <w:pPr>
        <w:spacing w:after="0" w:line="199" w:lineRule="auto"/>
        <w:rPr>
          <w:rFonts w:ascii="Arial" w:cs="Arial" w:eastAsia="Arial" w:hAnsi="Arial"/>
          <w:sz w:val="10"/>
          <w:szCs w:val="10"/>
          <w:color w:val="0057CF"/>
        </w:rPr>
      </w:pPr>
      <w:hyperlink w:anchor="page105">
        <w:r>
          <w:rPr>
            <w:rFonts w:ascii="Arial" w:cs="Arial" w:eastAsia="Arial" w:hAnsi="Arial"/>
            <w:sz w:val="10"/>
            <w:szCs w:val="10"/>
            <w:color w:val="0057CF"/>
          </w:rPr>
          <w:t>assessment approach including the risk</w:t>
        </w:r>
      </w:hyperlink>
    </w:p>
    <w:p>
      <w:pPr>
        <w:spacing w:after="0" w:line="198" w:lineRule="auto"/>
        <w:rPr>
          <w:rFonts w:ascii="Arial" w:cs="Arial" w:eastAsia="Arial" w:hAnsi="Arial"/>
          <w:sz w:val="10"/>
          <w:szCs w:val="10"/>
          <w:color w:val="0057CF"/>
        </w:rPr>
      </w:pPr>
      <w:hyperlink w:anchor="page105">
        <w:r>
          <w:rPr>
            <w:rFonts w:ascii="Arial" w:cs="Arial" w:eastAsia="Arial" w:hAnsi="Arial"/>
            <w:sz w:val="10"/>
            <w:szCs w:val="10"/>
            <w:color w:val="0057CF"/>
          </w:rPr>
          <w:t>prioritization methodology, details of risks identified</w:t>
        </w:r>
      </w:hyperlink>
    </w:p>
    <w:p>
      <w:pPr>
        <w:spacing w:after="0" w:line="208" w:lineRule="auto"/>
        <w:rPr>
          <w:rFonts w:ascii="Arial" w:cs="Arial" w:eastAsia="Arial" w:hAnsi="Arial"/>
          <w:sz w:val="10"/>
          <w:szCs w:val="10"/>
          <w:color w:val="0057CF"/>
        </w:rPr>
      </w:pPr>
      <w:hyperlink w:anchor="page105">
        <w:r>
          <w:rPr>
            <w:rFonts w:ascii="Arial" w:cs="Arial" w:eastAsia="Arial" w:hAnsi="Arial"/>
            <w:sz w:val="10"/>
            <w:szCs w:val="10"/>
            <w:color w:val="0057CF"/>
          </w:rPr>
          <w:t>and mitigation strategies, and related controls.</w:t>
        </w:r>
      </w:hyperlink>
    </w:p>
    <w:p>
      <w:pPr>
        <w:spacing w:after="0" w:line="212" w:lineRule="auto"/>
        <w:rPr>
          <w:sz w:val="20"/>
          <w:szCs w:val="20"/>
          <w:color w:val="auto"/>
        </w:rPr>
      </w:pPr>
      <w:r>
        <w:rPr>
          <w:rFonts w:ascii="Arial" w:cs="Arial" w:eastAsia="Arial" w:hAnsi="Arial"/>
          <w:sz w:val="15"/>
          <w:szCs w:val="15"/>
          <w:b w:val="1"/>
          <w:bCs w:val="1"/>
          <w:color w:val="0057CF"/>
        </w:rPr>
        <w:t>1.3</w:t>
      </w:r>
    </w:p>
    <w:p>
      <w:pPr>
        <w:spacing w:after="0" w:line="212" w:lineRule="auto"/>
        <w:rPr>
          <w:sz w:val="20"/>
          <w:szCs w:val="20"/>
          <w:color w:val="auto"/>
        </w:rPr>
      </w:pPr>
      <w:r>
        <w:rPr>
          <w:rFonts w:ascii="Arial" w:cs="Arial" w:eastAsia="Arial" w:hAnsi="Arial"/>
          <w:sz w:val="15"/>
          <w:szCs w:val="15"/>
          <w:color w:val="0057CF"/>
        </w:rPr>
        <w:t>Strategy</w:t>
      </w:r>
    </w:p>
    <w:p>
      <w:pPr>
        <w:spacing w:after="0" w:line="212" w:lineRule="auto"/>
        <w:rPr>
          <w:sz w:val="20"/>
          <w:szCs w:val="20"/>
          <w:color w:val="auto"/>
        </w:rPr>
      </w:pPr>
      <w:r>
        <w:rPr>
          <w:rFonts w:ascii="Arial" w:cs="Arial" w:eastAsia="Arial" w:hAnsi="Arial"/>
          <w:sz w:val="15"/>
          <w:szCs w:val="15"/>
          <w:b w:val="1"/>
          <w:bCs w:val="1"/>
          <w:color w:val="0057CF"/>
        </w:rPr>
        <w:t>Strategy, business model and</w:t>
      </w:r>
    </w:p>
    <w:p>
      <w:pPr>
        <w:spacing w:after="0" w:line="205" w:lineRule="auto"/>
        <w:rPr>
          <w:sz w:val="20"/>
          <w:szCs w:val="20"/>
          <w:color w:val="auto"/>
        </w:rPr>
      </w:pPr>
      <w:r>
        <w:rPr>
          <w:rFonts w:ascii="Arial" w:cs="Arial" w:eastAsia="Arial" w:hAnsi="Arial"/>
          <w:sz w:val="15"/>
          <w:szCs w:val="15"/>
          <w:b w:val="1"/>
          <w:bCs w:val="1"/>
          <w:color w:val="0057CF"/>
        </w:rPr>
        <w:t>value chain (SBM-1)</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66</w:t>
      </w:r>
    </w:p>
    <w:p>
      <w:pPr>
        <w:spacing w:after="0" w:line="7146" w:lineRule="exact"/>
        <w:rPr>
          <w:sz w:val="20"/>
          <w:szCs w:val="20"/>
          <w:color w:val="auto"/>
        </w:rPr>
      </w:pPr>
    </w:p>
    <w:p>
      <w:pPr>
        <w:sectPr>
          <w:pgSz w:w="11900" w:h="16840" w:orient="portrait"/>
          <w:cols w:equalWidth="0" w:num="2">
            <w:col w:w="7400" w:space="720"/>
            <w:col w:w="1700"/>
          </w:cols>
          <w:pgMar w:left="640" w:top="571" w:right="1440" w:bottom="495" w:gutter="0" w:footer="0" w:header="0"/>
        </w:sectPr>
      </w:pPr>
    </w:p>
    <w:p>
      <w:pPr>
        <w:spacing w:after="0" w:line="199" w:lineRule="auto"/>
        <w:rPr>
          <w:sz w:val="20"/>
          <w:szCs w:val="20"/>
          <w:color w:val="auto"/>
        </w:rPr>
      </w:pPr>
      <w:r>
        <w:rPr>
          <w:rFonts w:ascii="Arial" w:cs="Arial" w:eastAsia="Arial" w:hAnsi="Arial"/>
          <w:sz w:val="10"/>
          <w:szCs w:val="10"/>
          <w:color w:val="auto"/>
        </w:rPr>
        <w:t>Genmab’s strategy including our response/priorities</w:t>
      </w:r>
    </w:p>
    <w:p>
      <w:pPr>
        <w:spacing w:after="0" w:line="199" w:lineRule="auto"/>
        <w:rPr>
          <w:sz w:val="20"/>
          <w:szCs w:val="20"/>
          <w:color w:val="auto"/>
        </w:rPr>
      </w:pPr>
      <w:r>
        <w:rPr>
          <w:rFonts w:ascii="Arial" w:cs="Arial" w:eastAsia="Arial" w:hAnsi="Arial"/>
          <w:sz w:val="10"/>
          <w:szCs w:val="10"/>
          <w:color w:val="auto"/>
        </w:rPr>
        <w:t>to the main challenges ahead, business model,</w:t>
      </w:r>
    </w:p>
    <w:p>
      <w:pPr>
        <w:spacing w:after="0"/>
        <w:rPr>
          <w:sz w:val="20"/>
          <w:szCs w:val="20"/>
          <w:color w:val="auto"/>
        </w:rPr>
      </w:pPr>
      <w:r>
        <w:rPr>
          <w:rFonts w:ascii="Arial" w:cs="Arial" w:eastAsia="Arial" w:hAnsi="Arial"/>
          <w:sz w:val="10"/>
          <w:szCs w:val="10"/>
          <w:color w:val="auto"/>
        </w:rPr>
        <w:t>value chain, products, and customers in relation to</w:t>
      </w:r>
    </w:p>
    <w:p>
      <w:pPr>
        <w:sectPr>
          <w:pgSz w:w="11900" w:h="16840" w:orient="portrait"/>
          <w:cols w:equalWidth="0" w:num="1">
            <w:col w:w="9820"/>
          </w:cols>
          <w:pgMar w:left="640" w:top="571" w:right="1440" w:bottom="495" w:gutter="0" w:footer="0" w:header="0"/>
          <w:type w:val="continuous"/>
        </w:sectPr>
      </w:pPr>
    </w:p>
    <w:bookmarkStart w:id="114" w:name="page115"/>
    <w:bookmarkEnd w:id="114"/>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67</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7"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255385" cy="1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6255385" cy="12065"/>
                    </a:xfrm>
                    <a:prstGeom prst="rect">
                      <a:avLst/>
                    </a:prstGeom>
                    <a:noFill/>
                  </pic:spPr>
                </pic:pic>
              </a:graphicData>
            </a:graphic>
          </wp:anchor>
        </w:drawing>
      </w:r>
    </w:p>
    <w:p>
      <w:pPr>
        <w:sectPr>
          <w:pgSz w:w="11900" w:h="16840" w:orient="portrait"/>
          <w:cols w:equalWidth="0" w:num="1">
            <w:col w:w="9940"/>
          </w:cols>
          <w:pgMar w:left="640" w:top="571" w:right="1320" w:bottom="515" w:gutter="0" w:footer="0" w:header="0"/>
        </w:sectPr>
      </w:pPr>
    </w:p>
    <w:p>
      <w:pPr>
        <w:spacing w:after="0" w:line="23" w:lineRule="exact"/>
        <w:rPr>
          <w:rFonts w:ascii="Arial" w:cs="Arial" w:eastAsia="Arial" w:hAnsi="Arial"/>
          <w:sz w:val="10"/>
          <w:szCs w:val="10"/>
          <w:b w:val="1"/>
          <w:bCs w:val="1"/>
          <w:color w:val="auto"/>
        </w:rPr>
      </w:pPr>
    </w:p>
    <w:tbl>
      <w:tblPr>
        <w:tblLayout w:type="fixed"/>
        <w:tblInd w:w="20" w:type="dxa"/>
        <w:tblCellMar>
          <w:top w:w="0" w:type="dxa"/>
          <w:left w:w="0" w:type="dxa"/>
          <w:bottom w:w="0" w:type="dxa"/>
          <w:right w:w="0" w:type="dxa"/>
        </w:tblCellMar>
      </w:tblPr>
      <w:tr>
        <w:trPr>
          <w:trHeight w:val="115"/>
        </w:trPr>
        <w:tc>
          <w:tcPr>
            <w:tcW w:w="1160" w:type="dxa"/>
            <w:vAlign w:val="bottom"/>
          </w:tcPr>
          <w:p>
            <w:pPr>
              <w:spacing w:after="0"/>
              <w:rPr>
                <w:sz w:val="20"/>
                <w:szCs w:val="20"/>
                <w:color w:val="auto"/>
              </w:rPr>
            </w:pPr>
            <w:r>
              <w:rPr>
                <w:rFonts w:ascii="Arial" w:cs="Arial" w:eastAsia="Arial" w:hAnsi="Arial"/>
                <w:sz w:val="10"/>
                <w:szCs w:val="10"/>
                <w:b w:val="1"/>
                <w:bCs w:val="1"/>
                <w:color w:val="auto"/>
              </w:rPr>
              <w:t>Stakeholder Group</w:t>
            </w:r>
          </w:p>
        </w:tc>
        <w:tc>
          <w:tcPr>
            <w:tcW w:w="1760" w:type="dxa"/>
            <w:vAlign w:val="bottom"/>
          </w:tcPr>
          <w:p>
            <w:pPr>
              <w:ind w:left="40"/>
              <w:spacing w:after="0"/>
              <w:rPr>
                <w:sz w:val="20"/>
                <w:szCs w:val="20"/>
                <w:color w:val="auto"/>
              </w:rPr>
            </w:pPr>
            <w:r>
              <w:rPr>
                <w:rFonts w:ascii="Arial" w:cs="Arial" w:eastAsia="Arial" w:hAnsi="Arial"/>
                <w:sz w:val="10"/>
                <w:szCs w:val="10"/>
                <w:b w:val="1"/>
                <w:bCs w:val="1"/>
                <w:color w:val="auto"/>
              </w:rPr>
              <w:t>Description</w:t>
            </w:r>
          </w:p>
        </w:tc>
        <w:tc>
          <w:tcPr>
            <w:tcW w:w="980" w:type="dxa"/>
            <w:vAlign w:val="bottom"/>
          </w:tcPr>
          <w:p>
            <w:pPr>
              <w:ind w:left="20"/>
              <w:spacing w:after="0"/>
              <w:rPr>
                <w:sz w:val="20"/>
                <w:szCs w:val="20"/>
                <w:color w:val="auto"/>
              </w:rPr>
            </w:pPr>
            <w:r>
              <w:rPr>
                <w:rFonts w:ascii="Arial" w:cs="Arial" w:eastAsia="Arial" w:hAnsi="Arial"/>
                <w:sz w:val="10"/>
                <w:szCs w:val="10"/>
                <w:b w:val="1"/>
                <w:bCs w:val="1"/>
                <w:color w:val="auto"/>
                <w:w w:val="92"/>
              </w:rPr>
              <w:t>Value Chain Location</w:t>
            </w:r>
          </w:p>
        </w:tc>
      </w:tr>
      <w:tr>
        <w:trPr>
          <w:trHeight w:val="105"/>
        </w:trPr>
        <w:tc>
          <w:tcPr>
            <w:tcW w:w="1160" w:type="dxa"/>
            <w:vAlign w:val="bottom"/>
          </w:tcPr>
          <w:p>
            <w:pPr>
              <w:spacing w:after="0" w:line="105" w:lineRule="exact"/>
              <w:rPr>
                <w:sz w:val="20"/>
                <w:szCs w:val="20"/>
                <w:color w:val="auto"/>
              </w:rPr>
            </w:pPr>
            <w:r>
              <w:rPr>
                <w:rFonts w:ascii="Arial" w:cs="Arial" w:eastAsia="Arial" w:hAnsi="Arial"/>
                <w:sz w:val="10"/>
                <w:szCs w:val="10"/>
                <w:b w:val="1"/>
                <w:bCs w:val="1"/>
                <w:color w:val="auto"/>
              </w:rPr>
              <w:t>Academic, Scientific &amp;</w:t>
            </w:r>
          </w:p>
        </w:tc>
        <w:tc>
          <w:tcPr>
            <w:tcW w:w="1760" w:type="dxa"/>
            <w:vAlign w:val="bottom"/>
          </w:tcPr>
          <w:p>
            <w:pPr>
              <w:ind w:left="40"/>
              <w:spacing w:after="0" w:line="105" w:lineRule="exact"/>
              <w:rPr>
                <w:sz w:val="20"/>
                <w:szCs w:val="20"/>
                <w:color w:val="auto"/>
              </w:rPr>
            </w:pPr>
            <w:r>
              <w:rPr>
                <w:rFonts w:ascii="Arial" w:cs="Arial" w:eastAsia="Arial" w:hAnsi="Arial"/>
                <w:sz w:val="10"/>
                <w:szCs w:val="10"/>
                <w:color w:val="auto"/>
              </w:rPr>
              <w:t>Academic institutions, Contract</w:t>
            </w:r>
          </w:p>
        </w:tc>
        <w:tc>
          <w:tcPr>
            <w:tcW w:w="980" w:type="dxa"/>
            <w:vAlign w:val="bottom"/>
          </w:tcPr>
          <w:p>
            <w:pPr>
              <w:ind w:left="20"/>
              <w:spacing w:after="0" w:line="105" w:lineRule="exact"/>
              <w:rPr>
                <w:sz w:val="20"/>
                <w:szCs w:val="20"/>
                <w:color w:val="auto"/>
              </w:rPr>
            </w:pPr>
            <w:r>
              <w:rPr>
                <w:rFonts w:ascii="Arial" w:cs="Arial" w:eastAsia="Arial" w:hAnsi="Arial"/>
                <w:sz w:val="10"/>
                <w:szCs w:val="10"/>
                <w:color w:val="auto"/>
              </w:rPr>
              <w:t>Upstream, Own</w:t>
            </w:r>
          </w:p>
        </w:tc>
      </w:tr>
      <w:tr>
        <w:trPr>
          <w:trHeight w:val="143"/>
        </w:trPr>
        <w:tc>
          <w:tcPr>
            <w:tcW w:w="1160" w:type="dxa"/>
            <w:vAlign w:val="bottom"/>
          </w:tcPr>
          <w:p>
            <w:pPr>
              <w:spacing w:after="0"/>
              <w:rPr>
                <w:rFonts w:ascii="Arial" w:cs="Arial" w:eastAsia="Arial" w:hAnsi="Arial"/>
                <w:sz w:val="10"/>
                <w:szCs w:val="10"/>
                <w:b w:val="1"/>
                <w:bCs w:val="1"/>
                <w:color w:val="auto"/>
              </w:rPr>
            </w:pPr>
            <w:hyperlink w:anchor="page140">
              <w:r>
                <w:rPr>
                  <w:rFonts w:ascii="Arial" w:cs="Arial" w:eastAsia="Arial" w:hAnsi="Arial"/>
                  <w:sz w:val="10"/>
                  <w:szCs w:val="10"/>
                  <w:b w:val="1"/>
                  <w:bCs w:val="1"/>
                  <w:color w:val="auto"/>
                </w:rPr>
                <w:t xml:space="preserve">Research </w:t>
              </w:r>
            </w:hyperlink>
            <w:r>
              <w:rPr>
                <w:rFonts w:ascii="Arial" w:cs="Arial" w:eastAsia="Arial" w:hAnsi="Arial"/>
                <w:sz w:val="10"/>
                <w:szCs w:val="10"/>
                <w:b w:val="1"/>
                <w:bCs w:val="1"/>
                <w:color w:val="auto"/>
              </w:rPr>
              <w:t>Partners</w:t>
            </w:r>
          </w:p>
        </w:tc>
        <w:tc>
          <w:tcPr>
            <w:tcW w:w="2740" w:type="dxa"/>
            <w:vAlign w:val="bottom"/>
            <w:gridSpan w:val="2"/>
          </w:tcPr>
          <w:p>
            <w:pPr>
              <w:ind w:left="40"/>
              <w:spacing w:after="0"/>
              <w:rPr>
                <w:rFonts w:ascii="Arial" w:cs="Arial" w:eastAsia="Arial" w:hAnsi="Arial"/>
                <w:sz w:val="10"/>
                <w:szCs w:val="10"/>
                <w:color w:val="auto"/>
              </w:rPr>
            </w:pPr>
            <w:hyperlink w:anchor="page140">
              <w:r>
                <w:rPr>
                  <w:rFonts w:ascii="Arial" w:cs="Arial" w:eastAsia="Arial" w:hAnsi="Arial"/>
                  <w:sz w:val="10"/>
                  <w:szCs w:val="10"/>
                  <w:color w:val="auto"/>
                </w:rPr>
                <w:t xml:space="preserve">Research </w:t>
              </w:r>
            </w:hyperlink>
            <w:r>
              <w:rPr>
                <w:rFonts w:ascii="Arial" w:cs="Arial" w:eastAsia="Arial" w:hAnsi="Arial"/>
                <w:sz w:val="10"/>
                <w:szCs w:val="10"/>
                <w:color w:val="auto"/>
              </w:rPr>
              <w:t>Organizations (CROs) and Operations</w:t>
            </w:r>
          </w:p>
        </w:tc>
      </w:tr>
      <w:tr>
        <w:trPr>
          <w:trHeight w:val="143"/>
        </w:trPr>
        <w:tc>
          <w:tcPr>
            <w:tcW w:w="1160" w:type="dxa"/>
            <w:vAlign w:val="bottom"/>
          </w:tcPr>
          <w:p>
            <w:pPr>
              <w:spacing w:after="0"/>
              <w:rPr>
                <w:sz w:val="12"/>
                <w:szCs w:val="12"/>
                <w:color w:val="auto"/>
              </w:rPr>
            </w:pPr>
          </w:p>
        </w:tc>
        <w:tc>
          <w:tcPr>
            <w:tcW w:w="1760" w:type="dxa"/>
            <w:vAlign w:val="bottom"/>
          </w:tcPr>
          <w:p>
            <w:pPr>
              <w:ind w:left="40"/>
              <w:spacing w:after="0"/>
              <w:rPr>
                <w:rFonts w:ascii="Arial" w:cs="Arial" w:eastAsia="Arial" w:hAnsi="Arial"/>
                <w:sz w:val="10"/>
                <w:szCs w:val="10"/>
                <w:color w:val="auto"/>
              </w:rPr>
            </w:pPr>
            <w:hyperlink w:anchor="page140">
              <w:r>
                <w:rPr>
                  <w:rFonts w:ascii="Arial" w:cs="Arial" w:eastAsia="Arial" w:hAnsi="Arial"/>
                  <w:sz w:val="10"/>
                  <w:szCs w:val="10"/>
                  <w:color w:val="auto"/>
                </w:rPr>
                <w:t xml:space="preserve">research organizations </w:t>
              </w:r>
            </w:hyperlink>
            <w:r>
              <w:rPr>
                <w:rFonts w:ascii="Arial" w:cs="Arial" w:eastAsia="Arial" w:hAnsi="Arial"/>
                <w:sz w:val="10"/>
                <w:szCs w:val="10"/>
                <w:color w:val="auto"/>
              </w:rPr>
              <w:t>collaborating</w:t>
            </w:r>
          </w:p>
        </w:tc>
        <w:tc>
          <w:tcPr>
            <w:tcW w:w="980" w:type="dxa"/>
            <w:vAlign w:val="bottom"/>
          </w:tcPr>
          <w:p>
            <w:pPr>
              <w:spacing w:after="0"/>
              <w:rPr>
                <w:sz w:val="12"/>
                <w:szCs w:val="12"/>
                <w:color w:val="auto"/>
              </w:rPr>
            </w:pPr>
          </w:p>
        </w:tc>
      </w:tr>
      <w:tr>
        <w:trPr>
          <w:trHeight w:val="95"/>
        </w:trPr>
        <w:tc>
          <w:tcPr>
            <w:tcW w:w="1160" w:type="dxa"/>
            <w:vAlign w:val="bottom"/>
          </w:tcPr>
          <w:p>
            <w:pPr>
              <w:spacing w:after="0"/>
              <w:rPr>
                <w:sz w:val="8"/>
                <w:szCs w:val="8"/>
                <w:color w:val="auto"/>
              </w:rPr>
            </w:pPr>
          </w:p>
        </w:tc>
        <w:tc>
          <w:tcPr>
            <w:tcW w:w="1760" w:type="dxa"/>
            <w:vAlign w:val="bottom"/>
          </w:tcPr>
          <w:p>
            <w:pPr>
              <w:ind w:left="40"/>
              <w:spacing w:after="0" w:line="95" w:lineRule="exact"/>
              <w:rPr>
                <w:rFonts w:ascii="Arial" w:cs="Arial" w:eastAsia="Arial" w:hAnsi="Arial"/>
                <w:sz w:val="10"/>
                <w:szCs w:val="10"/>
                <w:color w:val="auto"/>
              </w:rPr>
            </w:pPr>
            <w:hyperlink w:anchor="page141">
              <w:r>
                <w:rPr>
                  <w:rFonts w:ascii="Arial" w:cs="Arial" w:eastAsia="Arial" w:hAnsi="Arial"/>
                  <w:sz w:val="10"/>
                  <w:szCs w:val="10"/>
                  <w:color w:val="auto"/>
                </w:rPr>
                <w:t>on early-</w:t>
              </w:r>
            </w:hyperlink>
            <w:r>
              <w:rPr>
                <w:rFonts w:ascii="Arial" w:cs="Arial" w:eastAsia="Arial" w:hAnsi="Arial"/>
                <w:sz w:val="10"/>
                <w:szCs w:val="10"/>
                <w:color w:val="auto"/>
              </w:rPr>
              <w:t>stage research, technology,</w:t>
            </w:r>
          </w:p>
        </w:tc>
        <w:tc>
          <w:tcPr>
            <w:tcW w:w="980" w:type="dxa"/>
            <w:vAlign w:val="bottom"/>
          </w:tcPr>
          <w:p>
            <w:pPr>
              <w:spacing w:after="0"/>
              <w:rPr>
                <w:sz w:val="8"/>
                <w:szCs w:val="8"/>
                <w:color w:val="auto"/>
              </w:rPr>
            </w:pPr>
          </w:p>
        </w:tc>
      </w:tr>
      <w:tr>
        <w:trPr>
          <w:trHeight w:val="133"/>
        </w:trPr>
        <w:tc>
          <w:tcPr>
            <w:tcW w:w="1160" w:type="dxa"/>
            <w:vAlign w:val="bottom"/>
          </w:tcPr>
          <w:p>
            <w:pPr>
              <w:spacing w:after="0"/>
              <w:rPr>
                <w:sz w:val="11"/>
                <w:szCs w:val="11"/>
                <w:color w:val="auto"/>
              </w:rPr>
            </w:pPr>
          </w:p>
        </w:tc>
        <w:tc>
          <w:tcPr>
            <w:tcW w:w="1760" w:type="dxa"/>
            <w:vAlign w:val="bottom"/>
          </w:tcPr>
          <w:p>
            <w:pPr>
              <w:ind w:left="40"/>
              <w:spacing w:after="0"/>
              <w:rPr>
                <w:sz w:val="20"/>
                <w:szCs w:val="20"/>
                <w:color w:val="auto"/>
              </w:rPr>
            </w:pPr>
            <w:r>
              <w:rPr>
                <w:rFonts w:ascii="Arial" w:cs="Arial" w:eastAsia="Arial" w:hAnsi="Arial"/>
                <w:sz w:val="10"/>
                <w:szCs w:val="10"/>
                <w:color w:val="auto"/>
              </w:rPr>
              <w:t>and innovation.</w:t>
            </w:r>
          </w:p>
        </w:tc>
        <w:tc>
          <w:tcPr>
            <w:tcW w:w="980" w:type="dxa"/>
            <w:vAlign w:val="bottom"/>
          </w:tcPr>
          <w:p>
            <w:pPr>
              <w:spacing w:after="0"/>
              <w:rPr>
                <w:sz w:val="11"/>
                <w:szCs w:val="11"/>
                <w:color w:val="auto"/>
              </w:rPr>
            </w:pPr>
          </w:p>
        </w:tc>
      </w:tr>
      <w:tr>
        <w:trPr>
          <w:trHeight w:val="105"/>
        </w:trPr>
        <w:tc>
          <w:tcPr>
            <w:tcW w:w="1160" w:type="dxa"/>
            <w:vAlign w:val="bottom"/>
          </w:tcPr>
          <w:p>
            <w:pPr>
              <w:spacing w:after="0" w:line="105" w:lineRule="exact"/>
              <w:rPr>
                <w:sz w:val="20"/>
                <w:szCs w:val="20"/>
                <w:color w:val="auto"/>
              </w:rPr>
            </w:pPr>
            <w:r>
              <w:rPr>
                <w:rFonts w:ascii="Arial" w:cs="Arial" w:eastAsia="Arial" w:hAnsi="Arial"/>
                <w:sz w:val="10"/>
                <w:szCs w:val="10"/>
                <w:b w:val="1"/>
                <w:bCs w:val="1"/>
                <w:color w:val="auto"/>
              </w:rPr>
              <w:t>Collaboration Partners</w:t>
            </w:r>
          </w:p>
        </w:tc>
        <w:tc>
          <w:tcPr>
            <w:tcW w:w="1760" w:type="dxa"/>
            <w:vAlign w:val="bottom"/>
          </w:tcPr>
          <w:p>
            <w:pPr>
              <w:ind w:left="40"/>
              <w:spacing w:after="0" w:line="105" w:lineRule="exact"/>
              <w:rPr>
                <w:sz w:val="20"/>
                <w:szCs w:val="20"/>
                <w:color w:val="auto"/>
              </w:rPr>
            </w:pPr>
            <w:r>
              <w:rPr>
                <w:rFonts w:ascii="Arial" w:cs="Arial" w:eastAsia="Arial" w:hAnsi="Arial"/>
                <w:sz w:val="10"/>
                <w:szCs w:val="10"/>
                <w:color w:val="auto"/>
              </w:rPr>
              <w:t>Companies partnering in co-</w:t>
            </w:r>
          </w:p>
        </w:tc>
        <w:tc>
          <w:tcPr>
            <w:tcW w:w="980" w:type="dxa"/>
            <w:vAlign w:val="bottom"/>
          </w:tcPr>
          <w:p>
            <w:pPr>
              <w:ind w:left="20"/>
              <w:spacing w:after="0" w:line="105" w:lineRule="exact"/>
              <w:rPr>
                <w:sz w:val="20"/>
                <w:szCs w:val="20"/>
                <w:color w:val="auto"/>
              </w:rPr>
            </w:pPr>
            <w:r>
              <w:rPr>
                <w:rFonts w:ascii="Arial" w:cs="Arial" w:eastAsia="Arial" w:hAnsi="Arial"/>
                <w:sz w:val="10"/>
                <w:szCs w:val="10"/>
                <w:color w:val="auto"/>
              </w:rPr>
              <w:t>Upstream,</w:t>
            </w:r>
          </w:p>
        </w:tc>
      </w:tr>
      <w:tr>
        <w:trPr>
          <w:trHeight w:val="95"/>
        </w:trPr>
        <w:tc>
          <w:tcPr>
            <w:tcW w:w="1160" w:type="dxa"/>
            <w:vAlign w:val="bottom"/>
          </w:tcPr>
          <w:p>
            <w:pPr>
              <w:spacing w:after="0"/>
              <w:rPr>
                <w:sz w:val="8"/>
                <w:szCs w:val="8"/>
                <w:color w:val="auto"/>
              </w:rPr>
            </w:pPr>
          </w:p>
        </w:tc>
        <w:tc>
          <w:tcPr>
            <w:tcW w:w="1760" w:type="dxa"/>
            <w:vAlign w:val="bottom"/>
          </w:tcPr>
          <w:p>
            <w:pPr>
              <w:ind w:left="40"/>
              <w:spacing w:after="0" w:line="95" w:lineRule="exact"/>
              <w:rPr>
                <w:sz w:val="20"/>
                <w:szCs w:val="20"/>
                <w:color w:val="auto"/>
              </w:rPr>
            </w:pPr>
            <w:r>
              <w:rPr>
                <w:rFonts w:ascii="Arial" w:cs="Arial" w:eastAsia="Arial" w:hAnsi="Arial"/>
                <w:sz w:val="10"/>
                <w:szCs w:val="10"/>
                <w:color w:val="auto"/>
              </w:rPr>
              <w:t>development, licensing, or</w:t>
            </w:r>
          </w:p>
        </w:tc>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Downstream</w:t>
            </w:r>
          </w:p>
        </w:tc>
      </w:tr>
      <w:tr>
        <w:trPr>
          <w:trHeight w:val="137"/>
        </w:trPr>
        <w:tc>
          <w:tcPr>
            <w:tcW w:w="1160" w:type="dxa"/>
            <w:vAlign w:val="bottom"/>
          </w:tcPr>
          <w:p>
            <w:pPr>
              <w:spacing w:after="0"/>
              <w:rPr>
                <w:sz w:val="11"/>
                <w:szCs w:val="11"/>
                <w:color w:val="auto"/>
              </w:rPr>
            </w:pPr>
          </w:p>
        </w:tc>
        <w:tc>
          <w:tcPr>
            <w:tcW w:w="1760" w:type="dxa"/>
            <w:vAlign w:val="bottom"/>
          </w:tcPr>
          <w:p>
            <w:pPr>
              <w:ind w:left="40"/>
              <w:spacing w:after="0"/>
              <w:rPr>
                <w:sz w:val="20"/>
                <w:szCs w:val="20"/>
                <w:color w:val="auto"/>
              </w:rPr>
            </w:pPr>
            <w:r>
              <w:rPr>
                <w:rFonts w:ascii="Arial" w:cs="Arial" w:eastAsia="Arial" w:hAnsi="Arial"/>
                <w:sz w:val="10"/>
                <w:szCs w:val="10"/>
                <w:color w:val="auto"/>
              </w:rPr>
              <w:t>commercialization.</w:t>
            </w:r>
          </w:p>
        </w:tc>
        <w:tc>
          <w:tcPr>
            <w:tcW w:w="980" w:type="dxa"/>
            <w:vAlign w:val="bottom"/>
          </w:tcPr>
          <w:p>
            <w:pPr>
              <w:spacing w:after="0"/>
              <w:rPr>
                <w:sz w:val="11"/>
                <w:szCs w:val="11"/>
                <w:color w:val="auto"/>
              </w:rPr>
            </w:pPr>
          </w:p>
        </w:tc>
      </w:tr>
      <w:tr>
        <w:trPr>
          <w:trHeight w:val="158"/>
        </w:trPr>
        <w:tc>
          <w:tcPr>
            <w:tcW w:w="1160" w:type="dxa"/>
            <w:vAlign w:val="bottom"/>
          </w:tcPr>
          <w:p>
            <w:pPr>
              <w:spacing w:after="0"/>
              <w:rPr>
                <w:sz w:val="20"/>
                <w:szCs w:val="20"/>
                <w:color w:val="auto"/>
              </w:rPr>
            </w:pPr>
            <w:r>
              <w:rPr>
                <w:rFonts w:ascii="Arial" w:cs="Arial" w:eastAsia="Arial" w:hAnsi="Arial"/>
                <w:sz w:val="10"/>
                <w:szCs w:val="10"/>
                <w:b w:val="1"/>
                <w:bCs w:val="1"/>
                <w:color w:val="auto"/>
              </w:rPr>
              <w:t>Contract</w:t>
            </w:r>
          </w:p>
        </w:tc>
        <w:tc>
          <w:tcPr>
            <w:tcW w:w="2740" w:type="dxa"/>
            <w:vAlign w:val="bottom"/>
            <w:gridSpan w:val="2"/>
          </w:tcPr>
          <w:p>
            <w:pPr>
              <w:ind w:left="40"/>
              <w:spacing w:after="0"/>
              <w:rPr>
                <w:sz w:val="20"/>
                <w:szCs w:val="20"/>
                <w:color w:val="auto"/>
              </w:rPr>
            </w:pPr>
            <w:r>
              <w:rPr>
                <w:rFonts w:ascii="Arial" w:cs="Arial" w:eastAsia="Arial" w:hAnsi="Arial"/>
                <w:sz w:val="10"/>
                <w:szCs w:val="10"/>
                <w:color w:val="auto"/>
              </w:rPr>
              <w:t>Contract Manufacturing Organization Upstream, Own</w:t>
            </w:r>
          </w:p>
        </w:tc>
      </w:tr>
      <w:tr>
        <w:trPr>
          <w:trHeight w:val="95"/>
        </w:trPr>
        <w:tc>
          <w:tcPr>
            <w:tcW w:w="1160" w:type="dxa"/>
            <w:vAlign w:val="bottom"/>
          </w:tcPr>
          <w:p>
            <w:pPr>
              <w:spacing w:after="0" w:line="95" w:lineRule="exact"/>
              <w:rPr>
                <w:sz w:val="20"/>
                <w:szCs w:val="20"/>
                <w:color w:val="auto"/>
              </w:rPr>
            </w:pPr>
            <w:r>
              <w:rPr>
                <w:rFonts w:ascii="Arial" w:cs="Arial" w:eastAsia="Arial" w:hAnsi="Arial"/>
                <w:sz w:val="10"/>
                <w:szCs w:val="10"/>
                <w:b w:val="1"/>
                <w:bCs w:val="1"/>
                <w:color w:val="auto"/>
              </w:rPr>
              <w:t>Manufacturers,</w:t>
            </w:r>
          </w:p>
        </w:tc>
        <w:tc>
          <w:tcPr>
            <w:tcW w:w="1760" w:type="dxa"/>
            <w:vAlign w:val="bottom"/>
          </w:tcPr>
          <w:p>
            <w:pPr>
              <w:ind w:left="40"/>
              <w:spacing w:after="0" w:line="95" w:lineRule="exact"/>
              <w:rPr>
                <w:sz w:val="20"/>
                <w:szCs w:val="20"/>
                <w:color w:val="auto"/>
              </w:rPr>
            </w:pPr>
            <w:r>
              <w:rPr>
                <w:rFonts w:ascii="Arial" w:cs="Arial" w:eastAsia="Arial" w:hAnsi="Arial"/>
                <w:sz w:val="10"/>
                <w:szCs w:val="10"/>
                <w:color w:val="auto"/>
              </w:rPr>
              <w:t>s</w:t>
            </w:r>
          </w:p>
        </w:tc>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Operations</w:t>
            </w:r>
          </w:p>
        </w:tc>
      </w:tr>
      <w:tr>
        <w:trPr>
          <w:trHeight w:val="95"/>
        </w:trPr>
        <w:tc>
          <w:tcPr>
            <w:tcW w:w="1160" w:type="dxa"/>
            <w:vAlign w:val="bottom"/>
          </w:tcPr>
          <w:p>
            <w:pPr>
              <w:spacing w:after="0" w:line="95" w:lineRule="exact"/>
              <w:rPr>
                <w:sz w:val="20"/>
                <w:szCs w:val="20"/>
                <w:color w:val="auto"/>
              </w:rPr>
            </w:pPr>
            <w:r>
              <w:rPr>
                <w:rFonts w:ascii="Arial" w:cs="Arial" w:eastAsia="Arial" w:hAnsi="Arial"/>
                <w:sz w:val="10"/>
                <w:szCs w:val="10"/>
                <w:b w:val="1"/>
                <w:bCs w:val="1"/>
                <w:color w:val="auto"/>
              </w:rPr>
              <w:t>Suppliers &amp; Quality</w:t>
            </w:r>
          </w:p>
        </w:tc>
        <w:tc>
          <w:tcPr>
            <w:tcW w:w="1760" w:type="dxa"/>
            <w:vAlign w:val="bottom"/>
          </w:tcPr>
          <w:p>
            <w:pPr>
              <w:ind w:left="40"/>
              <w:spacing w:after="0" w:line="95" w:lineRule="exact"/>
              <w:rPr>
                <w:sz w:val="20"/>
                <w:szCs w:val="20"/>
                <w:color w:val="auto"/>
              </w:rPr>
            </w:pPr>
            <w:r>
              <w:rPr>
                <w:rFonts w:ascii="Arial" w:cs="Arial" w:eastAsia="Arial" w:hAnsi="Arial"/>
                <w:sz w:val="10"/>
                <w:szCs w:val="10"/>
                <w:color w:val="auto"/>
              </w:rPr>
              <w:t>(CMOs), suppliers, and QA teams</w:t>
            </w:r>
          </w:p>
        </w:tc>
        <w:tc>
          <w:tcPr>
            <w:tcW w:w="980" w:type="dxa"/>
            <w:vAlign w:val="bottom"/>
          </w:tcPr>
          <w:p>
            <w:pPr>
              <w:spacing w:after="0"/>
              <w:rPr>
                <w:sz w:val="8"/>
                <w:szCs w:val="8"/>
                <w:color w:val="auto"/>
              </w:rPr>
            </w:pPr>
          </w:p>
        </w:tc>
      </w:tr>
      <w:tr>
        <w:trPr>
          <w:trHeight w:val="95"/>
        </w:trPr>
        <w:tc>
          <w:tcPr>
            <w:tcW w:w="1160" w:type="dxa"/>
            <w:vAlign w:val="bottom"/>
          </w:tcPr>
          <w:p>
            <w:pPr>
              <w:spacing w:after="0" w:line="95" w:lineRule="exact"/>
              <w:rPr>
                <w:sz w:val="20"/>
                <w:szCs w:val="20"/>
                <w:color w:val="auto"/>
              </w:rPr>
            </w:pPr>
            <w:r>
              <w:rPr>
                <w:rFonts w:ascii="Arial" w:cs="Arial" w:eastAsia="Arial" w:hAnsi="Arial"/>
                <w:sz w:val="10"/>
                <w:szCs w:val="10"/>
                <w:b w:val="1"/>
                <w:bCs w:val="1"/>
                <w:color w:val="auto"/>
              </w:rPr>
              <w:t>Partners</w:t>
            </w:r>
          </w:p>
        </w:tc>
        <w:tc>
          <w:tcPr>
            <w:tcW w:w="1760" w:type="dxa"/>
            <w:vAlign w:val="bottom"/>
          </w:tcPr>
          <w:p>
            <w:pPr>
              <w:ind w:left="40"/>
              <w:spacing w:after="0" w:line="95" w:lineRule="exact"/>
              <w:rPr>
                <w:sz w:val="20"/>
                <w:szCs w:val="20"/>
                <w:color w:val="auto"/>
              </w:rPr>
            </w:pPr>
            <w:r>
              <w:rPr>
                <w:rFonts w:ascii="Arial" w:cs="Arial" w:eastAsia="Arial" w:hAnsi="Arial"/>
                <w:sz w:val="10"/>
                <w:szCs w:val="10"/>
                <w:color w:val="auto"/>
              </w:rPr>
              <w:t>ensuring quality, reliability, and</w:t>
            </w:r>
          </w:p>
        </w:tc>
        <w:tc>
          <w:tcPr>
            <w:tcW w:w="980" w:type="dxa"/>
            <w:vAlign w:val="bottom"/>
          </w:tcPr>
          <w:p>
            <w:pPr>
              <w:spacing w:after="0"/>
              <w:rPr>
                <w:sz w:val="8"/>
                <w:szCs w:val="8"/>
                <w:color w:val="auto"/>
              </w:rPr>
            </w:pPr>
          </w:p>
        </w:tc>
      </w:tr>
      <w:tr>
        <w:trPr>
          <w:trHeight w:val="95"/>
        </w:trPr>
        <w:tc>
          <w:tcPr>
            <w:tcW w:w="1160" w:type="dxa"/>
            <w:vAlign w:val="bottom"/>
          </w:tcPr>
          <w:p>
            <w:pPr>
              <w:spacing w:after="0"/>
              <w:rPr>
                <w:sz w:val="8"/>
                <w:szCs w:val="8"/>
                <w:color w:val="auto"/>
              </w:rPr>
            </w:pPr>
          </w:p>
        </w:tc>
        <w:tc>
          <w:tcPr>
            <w:tcW w:w="1760" w:type="dxa"/>
            <w:vAlign w:val="bottom"/>
          </w:tcPr>
          <w:p>
            <w:pPr>
              <w:ind w:left="40"/>
              <w:spacing w:after="0" w:line="95" w:lineRule="exact"/>
              <w:rPr>
                <w:sz w:val="20"/>
                <w:szCs w:val="20"/>
                <w:color w:val="auto"/>
              </w:rPr>
            </w:pPr>
            <w:r>
              <w:rPr>
                <w:rFonts w:ascii="Arial" w:cs="Arial" w:eastAsia="Arial" w:hAnsi="Arial"/>
                <w:sz w:val="10"/>
                <w:szCs w:val="10"/>
                <w:color w:val="auto"/>
              </w:rPr>
              <w:t>sustainability of materials and</w:t>
            </w:r>
          </w:p>
        </w:tc>
        <w:tc>
          <w:tcPr>
            <w:tcW w:w="980" w:type="dxa"/>
            <w:vAlign w:val="bottom"/>
          </w:tcPr>
          <w:p>
            <w:pPr>
              <w:spacing w:after="0"/>
              <w:rPr>
                <w:sz w:val="8"/>
                <w:szCs w:val="8"/>
                <w:color w:val="auto"/>
              </w:rPr>
            </w:pPr>
          </w:p>
        </w:tc>
      </w:tr>
      <w:tr>
        <w:trPr>
          <w:trHeight w:val="134"/>
        </w:trPr>
        <w:tc>
          <w:tcPr>
            <w:tcW w:w="1160" w:type="dxa"/>
            <w:vAlign w:val="bottom"/>
          </w:tcPr>
          <w:p>
            <w:pPr>
              <w:spacing w:after="0"/>
              <w:rPr>
                <w:sz w:val="11"/>
                <w:szCs w:val="11"/>
                <w:color w:val="auto"/>
              </w:rPr>
            </w:pPr>
          </w:p>
        </w:tc>
        <w:tc>
          <w:tcPr>
            <w:tcW w:w="1760" w:type="dxa"/>
            <w:vAlign w:val="bottom"/>
          </w:tcPr>
          <w:p>
            <w:pPr>
              <w:ind w:left="40"/>
              <w:spacing w:after="0"/>
              <w:rPr>
                <w:sz w:val="20"/>
                <w:szCs w:val="20"/>
                <w:color w:val="auto"/>
              </w:rPr>
            </w:pPr>
            <w:r>
              <w:rPr>
                <w:rFonts w:ascii="Arial" w:cs="Arial" w:eastAsia="Arial" w:hAnsi="Arial"/>
                <w:sz w:val="10"/>
                <w:szCs w:val="10"/>
                <w:color w:val="auto"/>
              </w:rPr>
              <w:t>production.</w:t>
            </w:r>
          </w:p>
        </w:tc>
        <w:tc>
          <w:tcPr>
            <w:tcW w:w="9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900" w:type="dxa"/>
            <w:vAlign w:val="bottom"/>
          </w:tcPr>
          <w:p>
            <w:pPr>
              <w:spacing w:after="0"/>
              <w:rPr>
                <w:sz w:val="20"/>
                <w:szCs w:val="20"/>
                <w:color w:val="auto"/>
              </w:rPr>
            </w:pPr>
            <w:r>
              <w:rPr>
                <w:rFonts w:ascii="Arial" w:cs="Arial" w:eastAsia="Arial" w:hAnsi="Arial"/>
                <w:sz w:val="10"/>
                <w:szCs w:val="10"/>
                <w:b w:val="1"/>
                <w:bCs w:val="1"/>
                <w:color w:val="auto"/>
              </w:rPr>
              <w:t>How Engagement is Organized</w:t>
            </w:r>
          </w:p>
        </w:tc>
        <w:tc>
          <w:tcPr>
            <w:tcW w:w="1960" w:type="dxa"/>
            <w:vAlign w:val="bottom"/>
          </w:tcPr>
          <w:p>
            <w:pPr>
              <w:ind w:left="60"/>
              <w:spacing w:after="0"/>
              <w:rPr>
                <w:sz w:val="20"/>
                <w:szCs w:val="20"/>
                <w:color w:val="auto"/>
              </w:rPr>
            </w:pPr>
            <w:r>
              <w:rPr>
                <w:rFonts w:ascii="Arial" w:cs="Arial" w:eastAsia="Arial" w:hAnsi="Arial"/>
                <w:sz w:val="10"/>
                <w:szCs w:val="10"/>
                <w:b w:val="1"/>
                <w:bCs w:val="1"/>
                <w:color w:val="auto"/>
              </w:rPr>
              <w:t>Purpose of Engagement</w:t>
            </w:r>
          </w:p>
        </w:tc>
        <w:tc>
          <w:tcPr>
            <w:tcW w:w="1860" w:type="dxa"/>
            <w:vAlign w:val="bottom"/>
          </w:tcPr>
          <w:p>
            <w:pPr>
              <w:ind w:left="40"/>
              <w:spacing w:after="0"/>
              <w:rPr>
                <w:sz w:val="20"/>
                <w:szCs w:val="20"/>
                <w:color w:val="auto"/>
              </w:rPr>
            </w:pPr>
            <w:r>
              <w:rPr>
                <w:rFonts w:ascii="Arial" w:cs="Arial" w:eastAsia="Arial" w:hAnsi="Arial"/>
                <w:sz w:val="10"/>
                <w:szCs w:val="10"/>
                <w:b w:val="1"/>
                <w:bCs w:val="1"/>
                <w:color w:val="auto"/>
              </w:rPr>
              <w:t>Key Outcomes</w:t>
            </w:r>
          </w:p>
        </w:tc>
      </w:tr>
      <w:tr>
        <w:trPr>
          <w:trHeight w:val="105"/>
        </w:trPr>
        <w:tc>
          <w:tcPr>
            <w:tcW w:w="1900" w:type="dxa"/>
            <w:vAlign w:val="bottom"/>
          </w:tcPr>
          <w:p>
            <w:pPr>
              <w:spacing w:after="0" w:line="105" w:lineRule="exact"/>
              <w:rPr>
                <w:sz w:val="20"/>
                <w:szCs w:val="20"/>
                <w:color w:val="auto"/>
              </w:rPr>
            </w:pPr>
            <w:r>
              <w:rPr>
                <w:rFonts w:ascii="Arial" w:cs="Arial" w:eastAsia="Arial" w:hAnsi="Arial"/>
                <w:sz w:val="10"/>
                <w:szCs w:val="10"/>
                <w:color w:val="auto"/>
              </w:rPr>
              <w:t>•Collaborative research programs and</w:t>
            </w:r>
          </w:p>
        </w:tc>
        <w:tc>
          <w:tcPr>
            <w:tcW w:w="1960" w:type="dxa"/>
            <w:vAlign w:val="bottom"/>
          </w:tcPr>
          <w:p>
            <w:pPr>
              <w:ind w:left="60"/>
              <w:spacing w:after="0" w:line="105" w:lineRule="exact"/>
              <w:rPr>
                <w:sz w:val="20"/>
                <w:szCs w:val="20"/>
                <w:color w:val="auto"/>
              </w:rPr>
            </w:pPr>
            <w:r>
              <w:rPr>
                <w:rFonts w:ascii="Arial" w:cs="Arial" w:eastAsia="Arial" w:hAnsi="Arial"/>
                <w:sz w:val="10"/>
                <w:szCs w:val="10"/>
                <w:color w:val="auto"/>
              </w:rPr>
              <w:t>•Drive innovation and access new</w:t>
            </w:r>
          </w:p>
        </w:tc>
        <w:tc>
          <w:tcPr>
            <w:tcW w:w="1860" w:type="dxa"/>
            <w:vAlign w:val="bottom"/>
          </w:tcPr>
          <w:p>
            <w:pPr>
              <w:ind w:left="40"/>
              <w:spacing w:after="0" w:line="105" w:lineRule="exact"/>
              <w:rPr>
                <w:sz w:val="20"/>
                <w:szCs w:val="20"/>
                <w:color w:val="auto"/>
              </w:rPr>
            </w:pPr>
            <w:r>
              <w:rPr>
                <w:rFonts w:ascii="Arial" w:cs="Arial" w:eastAsia="Arial" w:hAnsi="Arial"/>
                <w:sz w:val="10"/>
                <w:szCs w:val="10"/>
                <w:color w:val="auto"/>
              </w:rPr>
              <w:t>•Accelerated innovation – Publications</w:t>
            </w:r>
          </w:p>
        </w:tc>
      </w:tr>
      <w:tr>
        <w:trPr>
          <w:trHeight w:val="95"/>
        </w:trPr>
        <w:tc>
          <w:tcPr>
            <w:tcW w:w="1900" w:type="dxa"/>
            <w:vAlign w:val="bottom"/>
          </w:tcPr>
          <w:p>
            <w:pPr>
              <w:spacing w:after="0" w:line="95" w:lineRule="exact"/>
              <w:rPr>
                <w:sz w:val="20"/>
                <w:szCs w:val="20"/>
                <w:color w:val="auto"/>
              </w:rPr>
            </w:pPr>
            <w:r>
              <w:rPr>
                <w:rFonts w:ascii="Arial" w:cs="Arial" w:eastAsia="Arial" w:hAnsi="Arial"/>
                <w:sz w:val="10"/>
                <w:szCs w:val="10"/>
                <w:color w:val="auto"/>
              </w:rPr>
              <w:t>licensing agreements – Scientific</w:t>
            </w:r>
          </w:p>
        </w:tc>
        <w:tc>
          <w:tcPr>
            <w:tcW w:w="1960" w:type="dxa"/>
            <w:vAlign w:val="bottom"/>
          </w:tcPr>
          <w:p>
            <w:pPr>
              <w:ind w:left="60"/>
              <w:spacing w:after="0" w:line="95" w:lineRule="exact"/>
              <w:rPr>
                <w:sz w:val="20"/>
                <w:szCs w:val="20"/>
                <w:color w:val="auto"/>
              </w:rPr>
            </w:pPr>
            <w:r>
              <w:rPr>
                <w:rFonts w:ascii="Arial" w:cs="Arial" w:eastAsia="Arial" w:hAnsi="Arial"/>
                <w:sz w:val="10"/>
                <w:szCs w:val="10"/>
                <w:color w:val="auto"/>
              </w:rPr>
              <w:t>technologies – Exchange knowledge</w:t>
            </w:r>
          </w:p>
        </w:tc>
        <w:tc>
          <w:tcPr>
            <w:tcW w:w="1860" w:type="dxa"/>
            <w:vAlign w:val="bottom"/>
          </w:tcPr>
          <w:p>
            <w:pPr>
              <w:ind w:left="40"/>
              <w:spacing w:after="0" w:line="95" w:lineRule="exact"/>
              <w:rPr>
                <w:sz w:val="20"/>
                <w:szCs w:val="20"/>
                <w:color w:val="auto"/>
              </w:rPr>
            </w:pPr>
            <w:r>
              <w:rPr>
                <w:rFonts w:ascii="Arial" w:cs="Arial" w:eastAsia="Arial" w:hAnsi="Arial"/>
                <w:sz w:val="10"/>
                <w:szCs w:val="10"/>
                <w:color w:val="auto"/>
              </w:rPr>
              <w:t>and patents – Strengthened reputation</w:t>
            </w:r>
          </w:p>
        </w:tc>
      </w:tr>
      <w:tr>
        <w:trPr>
          <w:trHeight w:val="95"/>
        </w:trPr>
        <w:tc>
          <w:tcPr>
            <w:tcW w:w="1900" w:type="dxa"/>
            <w:vAlign w:val="bottom"/>
          </w:tcPr>
          <w:p>
            <w:pPr>
              <w:spacing w:after="0" w:line="95" w:lineRule="exact"/>
              <w:rPr>
                <w:sz w:val="20"/>
                <w:szCs w:val="20"/>
                <w:color w:val="auto"/>
              </w:rPr>
            </w:pPr>
            <w:r>
              <w:rPr>
                <w:rFonts w:ascii="Arial" w:cs="Arial" w:eastAsia="Arial" w:hAnsi="Arial"/>
                <w:sz w:val="10"/>
                <w:szCs w:val="10"/>
                <w:color w:val="auto"/>
              </w:rPr>
              <w:t>conferences and workshops –</w:t>
            </w:r>
          </w:p>
        </w:tc>
        <w:tc>
          <w:tcPr>
            <w:tcW w:w="1960" w:type="dxa"/>
            <w:vAlign w:val="bottom"/>
          </w:tcPr>
          <w:p>
            <w:pPr>
              <w:ind w:left="60"/>
              <w:spacing w:after="0" w:line="95" w:lineRule="exact"/>
              <w:rPr>
                <w:sz w:val="20"/>
                <w:szCs w:val="20"/>
                <w:color w:val="auto"/>
              </w:rPr>
            </w:pPr>
            <w:r>
              <w:rPr>
                <w:rFonts w:ascii="Arial" w:cs="Arial" w:eastAsia="Arial" w:hAnsi="Arial"/>
                <w:sz w:val="10"/>
                <w:szCs w:val="10"/>
                <w:color w:val="auto"/>
              </w:rPr>
              <w:t>and expertise</w:t>
            </w:r>
          </w:p>
        </w:tc>
        <w:tc>
          <w:tcPr>
            <w:tcW w:w="1860" w:type="dxa"/>
            <w:vAlign w:val="bottom"/>
          </w:tcPr>
          <w:p>
            <w:pPr>
              <w:ind w:left="40"/>
              <w:spacing w:after="0" w:line="95" w:lineRule="exact"/>
              <w:rPr>
                <w:sz w:val="20"/>
                <w:szCs w:val="20"/>
                <w:color w:val="auto"/>
              </w:rPr>
            </w:pPr>
            <w:r>
              <w:rPr>
                <w:rFonts w:ascii="Arial" w:cs="Arial" w:eastAsia="Arial" w:hAnsi="Arial"/>
                <w:sz w:val="10"/>
                <w:szCs w:val="10"/>
                <w:color w:val="auto"/>
              </w:rPr>
              <w:t>and talent development</w:t>
            </w:r>
          </w:p>
        </w:tc>
      </w:tr>
      <w:tr>
        <w:trPr>
          <w:trHeight w:val="95"/>
        </w:trPr>
        <w:tc>
          <w:tcPr>
            <w:tcW w:w="1900" w:type="dxa"/>
            <w:vAlign w:val="bottom"/>
          </w:tcPr>
          <w:p>
            <w:pPr>
              <w:spacing w:after="0" w:line="95" w:lineRule="exact"/>
              <w:rPr>
                <w:sz w:val="20"/>
                <w:szCs w:val="20"/>
                <w:color w:val="auto"/>
              </w:rPr>
            </w:pPr>
            <w:r>
              <w:rPr>
                <w:rFonts w:ascii="Arial" w:cs="Arial" w:eastAsia="Arial" w:hAnsi="Arial"/>
                <w:sz w:val="10"/>
                <w:szCs w:val="10"/>
                <w:color w:val="auto"/>
              </w:rPr>
              <w:t>Sponsorships and co-development</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r>
      <w:tr>
        <w:trPr>
          <w:trHeight w:val="137"/>
        </w:trPr>
        <w:tc>
          <w:tcPr>
            <w:tcW w:w="1900" w:type="dxa"/>
            <w:vAlign w:val="bottom"/>
          </w:tcPr>
          <w:p>
            <w:pPr>
              <w:spacing w:after="0"/>
              <w:rPr>
                <w:sz w:val="20"/>
                <w:szCs w:val="20"/>
                <w:color w:val="auto"/>
              </w:rPr>
            </w:pPr>
            <w:r>
              <w:rPr>
                <w:rFonts w:ascii="Arial" w:cs="Arial" w:eastAsia="Arial" w:hAnsi="Arial"/>
                <w:sz w:val="10"/>
                <w:szCs w:val="10"/>
                <w:color w:val="auto"/>
              </w:rPr>
              <w:t>meetings</w:t>
            </w: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96"/>
        </w:trPr>
        <w:tc>
          <w:tcPr>
            <w:tcW w:w="1900" w:type="dxa"/>
            <w:vAlign w:val="bottom"/>
          </w:tcPr>
          <w:p>
            <w:pPr>
              <w:spacing w:after="0"/>
              <w:rPr>
                <w:sz w:val="20"/>
                <w:szCs w:val="20"/>
                <w:color w:val="auto"/>
              </w:rPr>
            </w:pPr>
            <w:r>
              <w:rPr>
                <w:rFonts w:ascii="Arial" w:cs="Arial" w:eastAsia="Arial" w:hAnsi="Arial"/>
                <w:sz w:val="10"/>
                <w:szCs w:val="10"/>
                <w:color w:val="auto"/>
              </w:rPr>
              <w:t>•Joint steering committees – Regular</w:t>
            </w:r>
          </w:p>
        </w:tc>
        <w:tc>
          <w:tcPr>
            <w:tcW w:w="1960" w:type="dxa"/>
            <w:vAlign w:val="bottom"/>
          </w:tcPr>
          <w:p>
            <w:pPr>
              <w:ind w:left="60"/>
              <w:spacing w:after="0"/>
              <w:rPr>
                <w:sz w:val="20"/>
                <w:szCs w:val="20"/>
                <w:color w:val="auto"/>
              </w:rPr>
            </w:pPr>
            <w:r>
              <w:rPr>
                <w:rFonts w:ascii="Arial" w:cs="Arial" w:eastAsia="Arial" w:hAnsi="Arial"/>
                <w:sz w:val="10"/>
                <w:szCs w:val="10"/>
                <w:color w:val="auto"/>
              </w:rPr>
              <w:t>•Strategic alignment and innovation –</w:t>
            </w:r>
          </w:p>
        </w:tc>
        <w:tc>
          <w:tcPr>
            <w:tcW w:w="1860" w:type="dxa"/>
            <w:vAlign w:val="bottom"/>
          </w:tcPr>
          <w:p>
            <w:pPr>
              <w:ind w:left="40"/>
              <w:spacing w:after="0"/>
              <w:rPr>
                <w:sz w:val="20"/>
                <w:szCs w:val="20"/>
                <w:color w:val="auto"/>
              </w:rPr>
            </w:pPr>
            <w:r>
              <w:rPr>
                <w:rFonts w:ascii="Arial" w:cs="Arial" w:eastAsia="Arial" w:hAnsi="Arial"/>
                <w:sz w:val="10"/>
                <w:szCs w:val="10"/>
                <w:color w:val="auto"/>
              </w:rPr>
              <w:t>•Successful product launches – Shared</w:t>
            </w:r>
          </w:p>
        </w:tc>
      </w:tr>
      <w:tr>
        <w:trPr>
          <w:trHeight w:val="95"/>
        </w:trPr>
        <w:tc>
          <w:tcPr>
            <w:tcW w:w="1900" w:type="dxa"/>
            <w:vAlign w:val="bottom"/>
          </w:tcPr>
          <w:p>
            <w:pPr>
              <w:spacing w:after="0" w:line="95" w:lineRule="exact"/>
              <w:rPr>
                <w:sz w:val="20"/>
                <w:szCs w:val="20"/>
                <w:color w:val="auto"/>
              </w:rPr>
            </w:pPr>
            <w:r>
              <w:rPr>
                <w:rFonts w:ascii="Arial" w:cs="Arial" w:eastAsia="Arial" w:hAnsi="Arial"/>
                <w:sz w:val="10"/>
                <w:szCs w:val="10"/>
                <w:color w:val="auto"/>
              </w:rPr>
              <w:t>project reviews and team meetings</w:t>
            </w:r>
          </w:p>
        </w:tc>
        <w:tc>
          <w:tcPr>
            <w:tcW w:w="1960" w:type="dxa"/>
            <w:vAlign w:val="bottom"/>
          </w:tcPr>
          <w:p>
            <w:pPr>
              <w:ind w:left="60"/>
              <w:spacing w:after="0" w:line="95" w:lineRule="exact"/>
              <w:rPr>
                <w:sz w:val="20"/>
                <w:szCs w:val="20"/>
                <w:color w:val="auto"/>
              </w:rPr>
            </w:pPr>
            <w:r>
              <w:rPr>
                <w:rFonts w:ascii="Arial" w:cs="Arial" w:eastAsia="Arial" w:hAnsi="Arial"/>
                <w:sz w:val="10"/>
                <w:szCs w:val="10"/>
                <w:color w:val="auto"/>
              </w:rPr>
              <w:t>Shared development responsibilities</w:t>
            </w:r>
          </w:p>
        </w:tc>
        <w:tc>
          <w:tcPr>
            <w:tcW w:w="1860" w:type="dxa"/>
            <w:vAlign w:val="bottom"/>
          </w:tcPr>
          <w:p>
            <w:pPr>
              <w:ind w:left="40"/>
              <w:spacing w:after="0" w:line="95" w:lineRule="exact"/>
              <w:rPr>
                <w:sz w:val="20"/>
                <w:szCs w:val="20"/>
                <w:color w:val="auto"/>
              </w:rPr>
            </w:pPr>
            <w:r>
              <w:rPr>
                <w:rFonts w:ascii="Arial" w:cs="Arial" w:eastAsia="Arial" w:hAnsi="Arial"/>
                <w:sz w:val="10"/>
                <w:szCs w:val="10"/>
                <w:color w:val="auto"/>
              </w:rPr>
              <w:t>expertise and strengthened</w:t>
            </w:r>
          </w:p>
        </w:tc>
      </w:tr>
      <w:tr>
        <w:trPr>
          <w:trHeight w:val="137"/>
        </w:trPr>
        <w:tc>
          <w:tcPr>
            <w:tcW w:w="1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ind w:left="40"/>
              <w:spacing w:after="0"/>
              <w:rPr>
                <w:sz w:val="20"/>
                <w:szCs w:val="20"/>
                <w:color w:val="auto"/>
              </w:rPr>
            </w:pPr>
            <w:r>
              <w:rPr>
                <w:rFonts w:ascii="Arial" w:cs="Arial" w:eastAsia="Arial" w:hAnsi="Arial"/>
                <w:sz w:val="10"/>
                <w:szCs w:val="10"/>
                <w:color w:val="auto"/>
              </w:rPr>
              <w:t>partnerships</w:t>
            </w:r>
          </w:p>
        </w:tc>
      </w:tr>
      <w:tr>
        <w:trPr>
          <w:trHeight w:val="158"/>
        </w:trPr>
        <w:tc>
          <w:tcPr>
            <w:tcW w:w="1900" w:type="dxa"/>
            <w:vAlign w:val="bottom"/>
          </w:tcPr>
          <w:p>
            <w:pPr>
              <w:spacing w:after="0"/>
              <w:rPr>
                <w:sz w:val="20"/>
                <w:szCs w:val="20"/>
                <w:color w:val="auto"/>
              </w:rPr>
            </w:pPr>
            <w:r>
              <w:rPr>
                <w:rFonts w:ascii="Arial" w:cs="Arial" w:eastAsia="Arial" w:hAnsi="Arial"/>
                <w:sz w:val="10"/>
                <w:szCs w:val="10"/>
                <w:color w:val="auto"/>
              </w:rPr>
              <w:t>•Supplier qualification and audits –</w:t>
            </w:r>
          </w:p>
        </w:tc>
        <w:tc>
          <w:tcPr>
            <w:tcW w:w="1960" w:type="dxa"/>
            <w:vAlign w:val="bottom"/>
          </w:tcPr>
          <w:p>
            <w:pPr>
              <w:ind w:left="60"/>
              <w:spacing w:after="0"/>
              <w:rPr>
                <w:sz w:val="20"/>
                <w:szCs w:val="20"/>
                <w:color w:val="auto"/>
              </w:rPr>
            </w:pPr>
            <w:r>
              <w:rPr>
                <w:rFonts w:ascii="Arial" w:cs="Arial" w:eastAsia="Arial" w:hAnsi="Arial"/>
                <w:sz w:val="10"/>
                <w:szCs w:val="10"/>
                <w:color w:val="auto"/>
              </w:rPr>
              <w:t>•Ensure supply chain quality, safety, and</w:t>
            </w:r>
          </w:p>
        </w:tc>
        <w:tc>
          <w:tcPr>
            <w:tcW w:w="1860" w:type="dxa"/>
            <w:vAlign w:val="bottom"/>
          </w:tcPr>
          <w:p>
            <w:pPr>
              <w:ind w:left="40"/>
              <w:spacing w:after="0"/>
              <w:rPr>
                <w:sz w:val="20"/>
                <w:szCs w:val="20"/>
                <w:color w:val="auto"/>
              </w:rPr>
            </w:pPr>
            <w:r>
              <w:rPr>
                <w:rFonts w:ascii="Arial" w:cs="Arial" w:eastAsia="Arial" w:hAnsi="Arial"/>
                <w:sz w:val="10"/>
                <w:szCs w:val="10"/>
                <w:color w:val="auto"/>
              </w:rPr>
              <w:t>•Consistent product quality – Reduced</w:t>
            </w:r>
          </w:p>
        </w:tc>
      </w:tr>
      <w:tr>
        <w:trPr>
          <w:trHeight w:val="95"/>
        </w:trPr>
        <w:tc>
          <w:tcPr>
            <w:tcW w:w="1900" w:type="dxa"/>
            <w:vAlign w:val="bottom"/>
          </w:tcPr>
          <w:p>
            <w:pPr>
              <w:spacing w:after="0" w:line="95" w:lineRule="exact"/>
              <w:rPr>
                <w:sz w:val="20"/>
                <w:szCs w:val="20"/>
                <w:color w:val="auto"/>
              </w:rPr>
            </w:pPr>
            <w:r>
              <w:rPr>
                <w:rFonts w:ascii="Arial" w:cs="Arial" w:eastAsia="Arial" w:hAnsi="Arial"/>
                <w:sz w:val="10"/>
                <w:szCs w:val="10"/>
                <w:color w:val="auto"/>
              </w:rPr>
              <w:t>Regular communication and SOP</w:t>
            </w:r>
          </w:p>
        </w:tc>
        <w:tc>
          <w:tcPr>
            <w:tcW w:w="1960" w:type="dxa"/>
            <w:vAlign w:val="bottom"/>
          </w:tcPr>
          <w:p>
            <w:pPr>
              <w:ind w:left="60"/>
              <w:spacing w:after="0" w:line="95" w:lineRule="exact"/>
              <w:rPr>
                <w:sz w:val="20"/>
                <w:szCs w:val="20"/>
                <w:color w:val="auto"/>
              </w:rPr>
            </w:pPr>
            <w:r>
              <w:rPr>
                <w:rFonts w:ascii="Arial" w:cs="Arial" w:eastAsia="Arial" w:hAnsi="Arial"/>
                <w:sz w:val="10"/>
                <w:szCs w:val="10"/>
                <w:color w:val="auto"/>
              </w:rPr>
              <w:t>compliance – Drive continuous</w:t>
            </w:r>
          </w:p>
        </w:tc>
        <w:tc>
          <w:tcPr>
            <w:tcW w:w="1860" w:type="dxa"/>
            <w:vAlign w:val="bottom"/>
          </w:tcPr>
          <w:p>
            <w:pPr>
              <w:ind w:left="40"/>
              <w:spacing w:after="0" w:line="95" w:lineRule="exact"/>
              <w:rPr>
                <w:sz w:val="20"/>
                <w:szCs w:val="20"/>
                <w:color w:val="auto"/>
              </w:rPr>
            </w:pPr>
            <w:r>
              <w:rPr>
                <w:rFonts w:ascii="Arial" w:cs="Arial" w:eastAsia="Arial" w:hAnsi="Arial"/>
                <w:sz w:val="10"/>
                <w:szCs w:val="10"/>
                <w:color w:val="auto"/>
              </w:rPr>
              <w:t>compliance risks – Long-term, trusted</w:t>
            </w:r>
          </w:p>
        </w:tc>
      </w:tr>
      <w:tr>
        <w:trPr>
          <w:trHeight w:val="95"/>
        </w:trPr>
        <w:tc>
          <w:tcPr>
            <w:tcW w:w="1900" w:type="dxa"/>
            <w:vAlign w:val="bottom"/>
          </w:tcPr>
          <w:p>
            <w:pPr>
              <w:spacing w:after="0" w:line="95" w:lineRule="exact"/>
              <w:rPr>
                <w:sz w:val="20"/>
                <w:szCs w:val="20"/>
                <w:color w:val="auto"/>
              </w:rPr>
            </w:pPr>
            <w:r>
              <w:rPr>
                <w:rFonts w:ascii="Arial" w:cs="Arial" w:eastAsia="Arial" w:hAnsi="Arial"/>
                <w:sz w:val="10"/>
                <w:szCs w:val="10"/>
                <w:color w:val="auto"/>
              </w:rPr>
              <w:t>adherence – Quality assurance reviews</w:t>
            </w:r>
          </w:p>
        </w:tc>
        <w:tc>
          <w:tcPr>
            <w:tcW w:w="1960" w:type="dxa"/>
            <w:vAlign w:val="bottom"/>
          </w:tcPr>
          <w:p>
            <w:pPr>
              <w:ind w:left="60"/>
              <w:spacing w:after="0" w:line="95" w:lineRule="exact"/>
              <w:rPr>
                <w:sz w:val="20"/>
                <w:szCs w:val="20"/>
                <w:color w:val="auto"/>
              </w:rPr>
            </w:pPr>
            <w:r>
              <w:rPr>
                <w:rFonts w:ascii="Arial" w:cs="Arial" w:eastAsia="Arial" w:hAnsi="Arial"/>
                <w:sz w:val="10"/>
                <w:szCs w:val="10"/>
                <w:color w:val="auto"/>
              </w:rPr>
              <w:t>improvement and sustainability</w:t>
            </w:r>
          </w:p>
        </w:tc>
        <w:tc>
          <w:tcPr>
            <w:tcW w:w="1860" w:type="dxa"/>
            <w:vAlign w:val="bottom"/>
          </w:tcPr>
          <w:p>
            <w:pPr>
              <w:ind w:left="40"/>
              <w:spacing w:after="0" w:line="95" w:lineRule="exact"/>
              <w:rPr>
                <w:sz w:val="20"/>
                <w:szCs w:val="20"/>
                <w:color w:val="auto"/>
              </w:rPr>
            </w:pPr>
            <w:r>
              <w:rPr>
                <w:rFonts w:ascii="Arial" w:cs="Arial" w:eastAsia="Arial" w:hAnsi="Arial"/>
                <w:sz w:val="10"/>
                <w:szCs w:val="10"/>
                <w:color w:val="auto"/>
              </w:rPr>
              <w:t>supplier relationships</w:t>
            </w:r>
          </w:p>
        </w:tc>
      </w:tr>
      <w:tr>
        <w:trPr>
          <w:trHeight w:val="137"/>
        </w:trPr>
        <w:tc>
          <w:tcPr>
            <w:tcW w:w="1900" w:type="dxa"/>
            <w:vAlign w:val="bottom"/>
          </w:tcPr>
          <w:p>
            <w:pPr>
              <w:spacing w:after="0"/>
              <w:rPr>
                <w:sz w:val="20"/>
                <w:szCs w:val="20"/>
                <w:color w:val="auto"/>
              </w:rPr>
            </w:pPr>
            <w:r>
              <w:rPr>
                <w:rFonts w:ascii="Arial" w:cs="Arial" w:eastAsia="Arial" w:hAnsi="Arial"/>
                <w:sz w:val="10"/>
                <w:szCs w:val="10"/>
                <w:color w:val="auto"/>
              </w:rPr>
              <w:t>and training</w:t>
            </w: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-515620</wp:posOffset>
            </wp:positionV>
            <wp:extent cx="6255385" cy="247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6255385" cy="24765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118745</wp:posOffset>
            </wp:positionV>
            <wp:extent cx="6255385" cy="3200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6255385" cy="320040"/>
                    </a:xfrm>
                    <a:prstGeom prst="rect">
                      <a:avLst/>
                    </a:prstGeom>
                    <a:noFill/>
                  </pic:spPr>
                </pic:pic>
              </a:graphicData>
            </a:graphic>
          </wp:anchor>
        </w:drawing>
      </w:r>
    </w:p>
    <w:p>
      <w:pPr>
        <w:spacing w:after="0" w:line="188" w:lineRule="exact"/>
        <w:rPr>
          <w:sz w:val="20"/>
          <w:szCs w:val="20"/>
          <w:color w:val="auto"/>
        </w:rPr>
      </w:pPr>
    </w:p>
    <w:p>
      <w:pPr>
        <w:sectPr>
          <w:pgSz w:w="11900" w:h="16840" w:orient="portrait"/>
          <w:cols w:equalWidth="0" w:num="2">
            <w:col w:w="3920" w:space="120"/>
            <w:col w:w="5900"/>
          </w:cols>
          <w:pgMar w:left="640" w:top="571" w:right="1320" w:bottom="515" w:gutter="0" w:footer="0" w:header="0"/>
          <w:type w:val="continuous"/>
        </w:sectPr>
      </w:pPr>
    </w:p>
    <w:tbl>
      <w:tblPr>
        <w:tblLayout w:type="fixed"/>
        <w:tblInd w:w="20" w:type="dxa"/>
        <w:tblCellMar>
          <w:top w:w="0" w:type="dxa"/>
          <w:left w:w="0" w:type="dxa"/>
          <w:bottom w:w="0" w:type="dxa"/>
          <w:right w:w="0" w:type="dxa"/>
        </w:tblCellMar>
      </w:tblP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b w:val="1"/>
                <w:bCs w:val="1"/>
                <w:color w:val="auto"/>
              </w:rPr>
              <w:t>Employees</w:t>
            </w: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Core internal stakeholders supportin</w:t>
            </w:r>
          </w:p>
        </w:tc>
        <w:tc>
          <w:tcPr>
            <w:tcW w:w="800" w:type="dxa"/>
            <w:vAlign w:val="bottom"/>
          </w:tcPr>
          <w:p>
            <w:pPr>
              <w:ind w:left="40"/>
              <w:spacing w:after="0" w:line="95" w:lineRule="exact"/>
              <w:rPr>
                <w:sz w:val="20"/>
                <w:szCs w:val="20"/>
                <w:color w:val="auto"/>
              </w:rPr>
            </w:pPr>
            <w:r>
              <w:rPr>
                <w:rFonts w:ascii="Arial" w:cs="Arial" w:eastAsia="Arial" w:hAnsi="Arial"/>
                <w:sz w:val="10"/>
                <w:szCs w:val="10"/>
                <w:color w:val="auto"/>
              </w:rPr>
              <w:t>Own Operations</w:t>
            </w:r>
          </w:p>
        </w:tc>
      </w:tr>
      <w:tr>
        <w:trPr>
          <w:trHeight w:val="95"/>
        </w:trPr>
        <w:tc>
          <w:tcPr>
            <w:tcW w:w="1120" w:type="dxa"/>
            <w:vAlign w:val="bottom"/>
          </w:tcPr>
          <w:p>
            <w:pPr>
              <w:spacing w:after="0"/>
              <w:rPr>
                <w:sz w:val="8"/>
                <w:szCs w:val="8"/>
                <w:color w:val="auto"/>
              </w:rPr>
            </w:pP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g</w:t>
            </w:r>
          </w:p>
        </w:tc>
        <w:tc>
          <w:tcPr>
            <w:tcW w:w="800" w:type="dxa"/>
            <w:vAlign w:val="bottom"/>
          </w:tcPr>
          <w:p>
            <w:pPr>
              <w:spacing w:after="0"/>
              <w:rPr>
                <w:sz w:val="8"/>
                <w:szCs w:val="8"/>
                <w:color w:val="auto"/>
              </w:rPr>
            </w:pPr>
          </w:p>
        </w:tc>
      </w:tr>
      <w:tr>
        <w:trPr>
          <w:trHeight w:val="95"/>
        </w:trPr>
        <w:tc>
          <w:tcPr>
            <w:tcW w:w="1120" w:type="dxa"/>
            <w:vAlign w:val="bottom"/>
          </w:tcPr>
          <w:p>
            <w:pPr>
              <w:spacing w:after="0"/>
              <w:rPr>
                <w:sz w:val="8"/>
                <w:szCs w:val="8"/>
                <w:color w:val="auto"/>
              </w:rPr>
            </w:pP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research, development, and</w:t>
            </w:r>
          </w:p>
        </w:tc>
        <w:tc>
          <w:tcPr>
            <w:tcW w:w="800" w:type="dxa"/>
            <w:vAlign w:val="bottom"/>
          </w:tcPr>
          <w:p>
            <w:pPr>
              <w:spacing w:after="0"/>
              <w:rPr>
                <w:sz w:val="8"/>
                <w:szCs w:val="8"/>
                <w:color w:val="auto"/>
              </w:rPr>
            </w:pPr>
          </w:p>
        </w:tc>
      </w:tr>
      <w:tr>
        <w:trPr>
          <w:trHeight w:val="95"/>
        </w:trPr>
        <w:tc>
          <w:tcPr>
            <w:tcW w:w="1120" w:type="dxa"/>
            <w:vAlign w:val="bottom"/>
          </w:tcPr>
          <w:p>
            <w:pPr>
              <w:spacing w:after="0"/>
              <w:rPr>
                <w:sz w:val="8"/>
                <w:szCs w:val="8"/>
                <w:color w:val="auto"/>
              </w:rPr>
            </w:pP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operations aligned with Genmab’s</w:t>
            </w:r>
          </w:p>
        </w:tc>
        <w:tc>
          <w:tcPr>
            <w:tcW w:w="800" w:type="dxa"/>
            <w:vAlign w:val="bottom"/>
          </w:tcPr>
          <w:p>
            <w:pPr>
              <w:spacing w:after="0"/>
              <w:rPr>
                <w:sz w:val="8"/>
                <w:szCs w:val="8"/>
                <w:color w:val="auto"/>
              </w:rPr>
            </w:pPr>
          </w:p>
        </w:tc>
      </w:tr>
      <w:tr>
        <w:trPr>
          <w:trHeight w:val="114"/>
        </w:trPr>
        <w:tc>
          <w:tcPr>
            <w:tcW w:w="1120" w:type="dxa"/>
            <w:vAlign w:val="bottom"/>
          </w:tcPr>
          <w:p>
            <w:pPr>
              <w:spacing w:after="0"/>
              <w:rPr>
                <w:sz w:val="9"/>
                <w:szCs w:val="9"/>
                <w:color w:val="auto"/>
              </w:rPr>
            </w:pPr>
          </w:p>
        </w:tc>
        <w:tc>
          <w:tcPr>
            <w:tcW w:w="1780" w:type="dxa"/>
            <w:vAlign w:val="bottom"/>
          </w:tcPr>
          <w:p>
            <w:pPr>
              <w:ind w:left="80"/>
              <w:spacing w:after="0"/>
              <w:rPr>
                <w:sz w:val="20"/>
                <w:szCs w:val="20"/>
                <w:color w:val="auto"/>
              </w:rPr>
            </w:pPr>
            <w:r>
              <w:rPr>
                <w:rFonts w:ascii="Arial" w:cs="Arial" w:eastAsia="Arial" w:hAnsi="Arial"/>
                <w:sz w:val="10"/>
                <w:szCs w:val="10"/>
                <w:color w:val="auto"/>
              </w:rPr>
              <w:t>strategic goals and 2030 Vision.</w:t>
            </w:r>
          </w:p>
        </w:tc>
        <w:tc>
          <w:tcPr>
            <w:tcW w:w="800" w:type="dxa"/>
            <w:vAlign w:val="bottom"/>
          </w:tcPr>
          <w:p>
            <w:pPr>
              <w:spacing w:after="0"/>
              <w:rPr>
                <w:sz w:val="9"/>
                <w:szCs w:val="9"/>
                <w:color w:val="auto"/>
              </w:rPr>
            </w:pPr>
          </w:p>
        </w:tc>
      </w:tr>
      <w:tr>
        <w:trPr>
          <w:trHeight w:val="105"/>
        </w:trPr>
        <w:tc>
          <w:tcPr>
            <w:tcW w:w="1120" w:type="dxa"/>
            <w:vAlign w:val="bottom"/>
          </w:tcPr>
          <w:p>
            <w:pPr>
              <w:spacing w:after="0" w:line="105" w:lineRule="exact"/>
              <w:rPr>
                <w:sz w:val="20"/>
                <w:szCs w:val="20"/>
                <w:color w:val="auto"/>
              </w:rPr>
            </w:pPr>
            <w:r>
              <w:rPr>
                <w:rFonts w:ascii="Arial" w:cs="Arial" w:eastAsia="Arial" w:hAnsi="Arial"/>
                <w:sz w:val="10"/>
                <w:szCs w:val="10"/>
                <w:b w:val="1"/>
                <w:bCs w:val="1"/>
                <w:color w:val="auto"/>
              </w:rPr>
              <w:t>Healthcare Providers</w:t>
            </w:r>
          </w:p>
        </w:tc>
        <w:tc>
          <w:tcPr>
            <w:tcW w:w="1780" w:type="dxa"/>
            <w:vAlign w:val="bottom"/>
          </w:tcPr>
          <w:p>
            <w:pPr>
              <w:ind w:left="80"/>
              <w:spacing w:after="0" w:line="105" w:lineRule="exact"/>
              <w:rPr>
                <w:sz w:val="20"/>
                <w:szCs w:val="20"/>
                <w:color w:val="auto"/>
              </w:rPr>
            </w:pPr>
            <w:r>
              <w:rPr>
                <w:rFonts w:ascii="Arial" w:cs="Arial" w:eastAsia="Arial" w:hAnsi="Arial"/>
                <w:sz w:val="10"/>
                <w:szCs w:val="10"/>
                <w:color w:val="auto"/>
              </w:rPr>
              <w:t>Physicians, nurses, and medical</w:t>
            </w:r>
          </w:p>
        </w:tc>
        <w:tc>
          <w:tcPr>
            <w:tcW w:w="800" w:type="dxa"/>
            <w:vAlign w:val="bottom"/>
          </w:tcPr>
          <w:p>
            <w:pPr>
              <w:ind w:left="40"/>
              <w:spacing w:after="0" w:line="105" w:lineRule="exact"/>
              <w:rPr>
                <w:sz w:val="20"/>
                <w:szCs w:val="20"/>
                <w:color w:val="auto"/>
              </w:rPr>
            </w:pPr>
            <w:r>
              <w:rPr>
                <w:rFonts w:ascii="Arial" w:cs="Arial" w:eastAsia="Arial" w:hAnsi="Arial"/>
                <w:sz w:val="10"/>
                <w:szCs w:val="10"/>
                <w:color w:val="auto"/>
              </w:rPr>
              <w:t>Upstream,</w:t>
            </w:r>
          </w:p>
        </w:tc>
      </w:tr>
      <w:tr>
        <w:trPr>
          <w:trHeight w:val="95"/>
        </w:trPr>
        <w:tc>
          <w:tcPr>
            <w:tcW w:w="1120" w:type="dxa"/>
            <w:vAlign w:val="bottom"/>
          </w:tcPr>
          <w:p>
            <w:pPr>
              <w:spacing w:after="0"/>
              <w:rPr>
                <w:sz w:val="8"/>
                <w:szCs w:val="8"/>
                <w:color w:val="auto"/>
              </w:rPr>
            </w:pP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institutions supporting clinical trials</w:t>
            </w:r>
          </w:p>
        </w:tc>
        <w:tc>
          <w:tcPr>
            <w:tcW w:w="800" w:type="dxa"/>
            <w:vAlign w:val="bottom"/>
          </w:tcPr>
          <w:p>
            <w:pPr>
              <w:ind w:left="40"/>
              <w:spacing w:after="0" w:line="95" w:lineRule="exact"/>
              <w:rPr>
                <w:sz w:val="20"/>
                <w:szCs w:val="20"/>
                <w:color w:val="auto"/>
              </w:rPr>
            </w:pPr>
            <w:r>
              <w:rPr>
                <w:rFonts w:ascii="Arial" w:cs="Arial" w:eastAsia="Arial" w:hAnsi="Arial"/>
                <w:sz w:val="10"/>
                <w:szCs w:val="10"/>
                <w:color w:val="auto"/>
              </w:rPr>
              <w:t>Downstream</w:t>
            </w:r>
          </w:p>
        </w:tc>
      </w:tr>
      <w:tr>
        <w:trPr>
          <w:trHeight w:val="137"/>
        </w:trPr>
        <w:tc>
          <w:tcPr>
            <w:tcW w:w="1120" w:type="dxa"/>
            <w:vAlign w:val="bottom"/>
          </w:tcPr>
          <w:p>
            <w:pPr>
              <w:spacing w:after="0"/>
              <w:rPr>
                <w:sz w:val="11"/>
                <w:szCs w:val="11"/>
                <w:color w:val="auto"/>
              </w:rPr>
            </w:pPr>
          </w:p>
        </w:tc>
        <w:tc>
          <w:tcPr>
            <w:tcW w:w="1780" w:type="dxa"/>
            <w:vAlign w:val="bottom"/>
          </w:tcPr>
          <w:p>
            <w:pPr>
              <w:ind w:left="80"/>
              <w:spacing w:after="0"/>
              <w:rPr>
                <w:sz w:val="20"/>
                <w:szCs w:val="20"/>
                <w:color w:val="auto"/>
              </w:rPr>
            </w:pPr>
            <w:r>
              <w:rPr>
                <w:rFonts w:ascii="Arial" w:cs="Arial" w:eastAsia="Arial" w:hAnsi="Arial"/>
                <w:sz w:val="10"/>
                <w:szCs w:val="10"/>
                <w:color w:val="auto"/>
              </w:rPr>
              <w:t>and patient care.</w:t>
            </w:r>
          </w:p>
        </w:tc>
        <w:tc>
          <w:tcPr>
            <w:tcW w:w="800" w:type="dxa"/>
            <w:vAlign w:val="bottom"/>
          </w:tcPr>
          <w:p>
            <w:pPr>
              <w:spacing w:after="0"/>
              <w:rPr>
                <w:sz w:val="11"/>
                <w:szCs w:val="11"/>
                <w:color w:val="auto"/>
              </w:rPr>
            </w:pPr>
          </w:p>
        </w:tc>
      </w:tr>
      <w:tr>
        <w:trPr>
          <w:trHeight w:val="158"/>
        </w:trPr>
        <w:tc>
          <w:tcPr>
            <w:tcW w:w="1120" w:type="dxa"/>
            <w:vAlign w:val="bottom"/>
          </w:tcPr>
          <w:p>
            <w:pPr>
              <w:spacing w:after="0"/>
              <w:rPr>
                <w:sz w:val="20"/>
                <w:szCs w:val="20"/>
                <w:color w:val="auto"/>
              </w:rPr>
            </w:pPr>
            <w:r>
              <w:rPr>
                <w:rFonts w:ascii="Arial" w:cs="Arial" w:eastAsia="Arial" w:hAnsi="Arial"/>
                <w:sz w:val="10"/>
                <w:szCs w:val="10"/>
                <w:b w:val="1"/>
                <w:bCs w:val="1"/>
                <w:color w:val="auto"/>
              </w:rPr>
              <w:t>Patients &amp; Patient</w:t>
            </w:r>
          </w:p>
        </w:tc>
        <w:tc>
          <w:tcPr>
            <w:tcW w:w="1780" w:type="dxa"/>
            <w:vAlign w:val="bottom"/>
          </w:tcPr>
          <w:p>
            <w:pPr>
              <w:ind w:left="80"/>
              <w:spacing w:after="0"/>
              <w:rPr>
                <w:sz w:val="20"/>
                <w:szCs w:val="20"/>
                <w:color w:val="auto"/>
              </w:rPr>
            </w:pPr>
            <w:r>
              <w:rPr>
                <w:rFonts w:ascii="Arial" w:cs="Arial" w:eastAsia="Arial" w:hAnsi="Arial"/>
                <w:sz w:val="10"/>
                <w:szCs w:val="10"/>
                <w:color w:val="auto"/>
              </w:rPr>
              <w:t>End-users and advocacy groups</w:t>
            </w:r>
          </w:p>
        </w:tc>
        <w:tc>
          <w:tcPr>
            <w:tcW w:w="800" w:type="dxa"/>
            <w:vAlign w:val="bottom"/>
          </w:tcPr>
          <w:p>
            <w:pPr>
              <w:ind w:left="40"/>
              <w:spacing w:after="0"/>
              <w:rPr>
                <w:sz w:val="20"/>
                <w:szCs w:val="20"/>
                <w:color w:val="auto"/>
              </w:rPr>
            </w:pPr>
            <w:r>
              <w:rPr>
                <w:rFonts w:ascii="Arial" w:cs="Arial" w:eastAsia="Arial" w:hAnsi="Arial"/>
                <w:sz w:val="10"/>
                <w:szCs w:val="10"/>
                <w:color w:val="auto"/>
              </w:rPr>
              <w:t>Upstream,</w:t>
            </w:r>
          </w:p>
        </w:tc>
      </w:tr>
      <w:tr>
        <w:trPr>
          <w:trHeight w:val="95"/>
        </w:trPr>
        <w:tc>
          <w:tcPr>
            <w:tcW w:w="1120" w:type="dxa"/>
            <w:vAlign w:val="bottom"/>
          </w:tcPr>
          <w:p>
            <w:pPr>
              <w:spacing w:after="0" w:line="95" w:lineRule="exact"/>
              <w:rPr>
                <w:sz w:val="20"/>
                <w:szCs w:val="20"/>
                <w:color w:val="auto"/>
              </w:rPr>
            </w:pPr>
            <w:r>
              <w:rPr>
                <w:rFonts w:ascii="Arial" w:cs="Arial" w:eastAsia="Arial" w:hAnsi="Arial"/>
                <w:sz w:val="10"/>
                <w:szCs w:val="10"/>
                <w:b w:val="1"/>
                <w:bCs w:val="1"/>
                <w:color w:val="auto"/>
              </w:rPr>
              <w:t>Organizations</w:t>
            </w: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providing insights on therapies and</w:t>
            </w:r>
          </w:p>
        </w:tc>
        <w:tc>
          <w:tcPr>
            <w:tcW w:w="800" w:type="dxa"/>
            <w:vAlign w:val="bottom"/>
          </w:tcPr>
          <w:p>
            <w:pPr>
              <w:ind w:left="40"/>
              <w:spacing w:after="0" w:line="95" w:lineRule="exact"/>
              <w:rPr>
                <w:sz w:val="20"/>
                <w:szCs w:val="20"/>
                <w:color w:val="auto"/>
              </w:rPr>
            </w:pPr>
            <w:r>
              <w:rPr>
                <w:rFonts w:ascii="Arial" w:cs="Arial" w:eastAsia="Arial" w:hAnsi="Arial"/>
                <w:sz w:val="10"/>
                <w:szCs w:val="10"/>
                <w:color w:val="auto"/>
              </w:rPr>
              <w:t>Downstream</w:t>
            </w:r>
          </w:p>
        </w:tc>
      </w:tr>
      <w:tr>
        <w:trPr>
          <w:trHeight w:val="137"/>
        </w:trPr>
        <w:tc>
          <w:tcPr>
            <w:tcW w:w="1120" w:type="dxa"/>
            <w:vAlign w:val="bottom"/>
          </w:tcPr>
          <w:p>
            <w:pPr>
              <w:spacing w:after="0"/>
              <w:rPr>
                <w:sz w:val="11"/>
                <w:szCs w:val="11"/>
                <w:color w:val="auto"/>
              </w:rPr>
            </w:pPr>
          </w:p>
        </w:tc>
        <w:tc>
          <w:tcPr>
            <w:tcW w:w="1780" w:type="dxa"/>
            <w:vAlign w:val="bottom"/>
          </w:tcPr>
          <w:p>
            <w:pPr>
              <w:ind w:left="80"/>
              <w:spacing w:after="0"/>
              <w:rPr>
                <w:sz w:val="20"/>
                <w:szCs w:val="20"/>
                <w:color w:val="auto"/>
              </w:rPr>
            </w:pPr>
            <w:r>
              <w:rPr>
                <w:rFonts w:ascii="Arial" w:cs="Arial" w:eastAsia="Arial" w:hAnsi="Arial"/>
                <w:sz w:val="10"/>
                <w:szCs w:val="10"/>
                <w:color w:val="auto"/>
              </w:rPr>
              <w:t>clinical trials.</w:t>
            </w:r>
          </w:p>
        </w:tc>
        <w:tc>
          <w:tcPr>
            <w:tcW w:w="800" w:type="dxa"/>
            <w:vAlign w:val="bottom"/>
          </w:tcPr>
          <w:p>
            <w:pPr>
              <w:spacing w:after="0"/>
              <w:rPr>
                <w:sz w:val="11"/>
                <w:szCs w:val="11"/>
                <w:color w:val="auto"/>
              </w:rPr>
            </w:pPr>
          </w:p>
        </w:tc>
      </w:tr>
      <w:tr>
        <w:trPr>
          <w:trHeight w:val="158"/>
        </w:trPr>
        <w:tc>
          <w:tcPr>
            <w:tcW w:w="1120" w:type="dxa"/>
            <w:vAlign w:val="bottom"/>
          </w:tcPr>
          <w:p>
            <w:pPr>
              <w:spacing w:after="0"/>
              <w:rPr>
                <w:sz w:val="20"/>
                <w:szCs w:val="20"/>
                <w:color w:val="auto"/>
              </w:rPr>
            </w:pPr>
            <w:r>
              <w:rPr>
                <w:rFonts w:ascii="Arial" w:cs="Arial" w:eastAsia="Arial" w:hAnsi="Arial"/>
                <w:sz w:val="10"/>
                <w:szCs w:val="10"/>
                <w:b w:val="1"/>
                <w:bCs w:val="1"/>
                <w:color w:val="auto"/>
              </w:rPr>
              <w:t>Payers</w:t>
            </w:r>
          </w:p>
        </w:tc>
        <w:tc>
          <w:tcPr>
            <w:tcW w:w="1780" w:type="dxa"/>
            <w:vAlign w:val="bottom"/>
          </w:tcPr>
          <w:p>
            <w:pPr>
              <w:ind w:left="80"/>
              <w:spacing w:after="0"/>
              <w:rPr>
                <w:sz w:val="20"/>
                <w:szCs w:val="20"/>
                <w:color w:val="auto"/>
              </w:rPr>
            </w:pPr>
            <w:r>
              <w:rPr>
                <w:rFonts w:ascii="Arial" w:cs="Arial" w:eastAsia="Arial" w:hAnsi="Arial"/>
                <w:sz w:val="10"/>
                <w:szCs w:val="10"/>
                <w:color w:val="auto"/>
              </w:rPr>
              <w:t>Insurance providers and health</w:t>
            </w:r>
          </w:p>
        </w:tc>
        <w:tc>
          <w:tcPr>
            <w:tcW w:w="800" w:type="dxa"/>
            <w:vAlign w:val="bottom"/>
          </w:tcPr>
          <w:p>
            <w:pPr>
              <w:ind w:left="40"/>
              <w:spacing w:after="0"/>
              <w:rPr>
                <w:sz w:val="20"/>
                <w:szCs w:val="20"/>
                <w:color w:val="auto"/>
              </w:rPr>
            </w:pPr>
            <w:r>
              <w:rPr>
                <w:rFonts w:ascii="Arial" w:cs="Arial" w:eastAsia="Arial" w:hAnsi="Arial"/>
                <w:sz w:val="10"/>
                <w:szCs w:val="10"/>
                <w:color w:val="auto"/>
              </w:rPr>
              <w:t>Downstream</w:t>
            </w:r>
          </w:p>
        </w:tc>
      </w:tr>
      <w:tr>
        <w:trPr>
          <w:trHeight w:val="95"/>
        </w:trPr>
        <w:tc>
          <w:tcPr>
            <w:tcW w:w="1120" w:type="dxa"/>
            <w:vAlign w:val="bottom"/>
          </w:tcPr>
          <w:p>
            <w:pPr>
              <w:spacing w:after="0"/>
              <w:rPr>
                <w:sz w:val="8"/>
                <w:szCs w:val="8"/>
                <w:color w:val="auto"/>
              </w:rPr>
            </w:pP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systems determining reimbursement</w:t>
            </w:r>
          </w:p>
        </w:tc>
        <w:tc>
          <w:tcPr>
            <w:tcW w:w="800" w:type="dxa"/>
            <w:vAlign w:val="bottom"/>
          </w:tcPr>
          <w:p>
            <w:pPr>
              <w:spacing w:after="0"/>
              <w:rPr>
                <w:sz w:val="8"/>
                <w:szCs w:val="8"/>
                <w:color w:val="auto"/>
              </w:rPr>
            </w:pPr>
          </w:p>
        </w:tc>
      </w:tr>
      <w:tr>
        <w:trPr>
          <w:trHeight w:val="137"/>
        </w:trPr>
        <w:tc>
          <w:tcPr>
            <w:tcW w:w="1120" w:type="dxa"/>
            <w:vAlign w:val="bottom"/>
          </w:tcPr>
          <w:p>
            <w:pPr>
              <w:spacing w:after="0"/>
              <w:rPr>
                <w:sz w:val="11"/>
                <w:szCs w:val="11"/>
                <w:color w:val="auto"/>
              </w:rPr>
            </w:pPr>
          </w:p>
        </w:tc>
        <w:tc>
          <w:tcPr>
            <w:tcW w:w="1780" w:type="dxa"/>
            <w:vAlign w:val="bottom"/>
          </w:tcPr>
          <w:p>
            <w:pPr>
              <w:ind w:left="80"/>
              <w:spacing w:after="0"/>
              <w:rPr>
                <w:sz w:val="20"/>
                <w:szCs w:val="20"/>
                <w:color w:val="auto"/>
              </w:rPr>
            </w:pPr>
            <w:r>
              <w:rPr>
                <w:rFonts w:ascii="Arial" w:cs="Arial" w:eastAsia="Arial" w:hAnsi="Arial"/>
                <w:sz w:val="10"/>
                <w:szCs w:val="10"/>
                <w:color w:val="auto"/>
              </w:rPr>
              <w:t>and market access.</w:t>
            </w:r>
          </w:p>
        </w:tc>
        <w:tc>
          <w:tcPr>
            <w:tcW w:w="800" w:type="dxa"/>
            <w:vAlign w:val="bottom"/>
          </w:tcPr>
          <w:p>
            <w:pPr>
              <w:spacing w:after="0"/>
              <w:rPr>
                <w:sz w:val="11"/>
                <w:szCs w:val="11"/>
                <w:color w:val="auto"/>
              </w:rPr>
            </w:pPr>
          </w:p>
        </w:tc>
      </w:tr>
      <w:tr>
        <w:trPr>
          <w:trHeight w:val="158"/>
        </w:trPr>
        <w:tc>
          <w:tcPr>
            <w:tcW w:w="1120" w:type="dxa"/>
            <w:vAlign w:val="bottom"/>
          </w:tcPr>
          <w:p>
            <w:pPr>
              <w:spacing w:after="0"/>
              <w:rPr>
                <w:sz w:val="20"/>
                <w:szCs w:val="20"/>
                <w:color w:val="auto"/>
              </w:rPr>
            </w:pPr>
            <w:r>
              <w:rPr>
                <w:rFonts w:ascii="Arial" w:cs="Arial" w:eastAsia="Arial" w:hAnsi="Arial"/>
                <w:sz w:val="10"/>
                <w:szCs w:val="10"/>
                <w:b w:val="1"/>
                <w:bCs w:val="1"/>
                <w:color w:val="auto"/>
              </w:rPr>
              <w:t>Regulatory Agencies</w:t>
            </w:r>
          </w:p>
        </w:tc>
        <w:tc>
          <w:tcPr>
            <w:tcW w:w="1780" w:type="dxa"/>
            <w:vAlign w:val="bottom"/>
          </w:tcPr>
          <w:p>
            <w:pPr>
              <w:ind w:left="80"/>
              <w:spacing w:after="0"/>
              <w:rPr>
                <w:sz w:val="20"/>
                <w:szCs w:val="20"/>
                <w:color w:val="auto"/>
              </w:rPr>
            </w:pPr>
            <w:r>
              <w:rPr>
                <w:rFonts w:ascii="Arial" w:cs="Arial" w:eastAsia="Arial" w:hAnsi="Arial"/>
                <w:sz w:val="10"/>
                <w:szCs w:val="10"/>
                <w:color w:val="auto"/>
              </w:rPr>
              <w:t>Authorities such as EMA, FDA, and</w:t>
            </w:r>
          </w:p>
        </w:tc>
        <w:tc>
          <w:tcPr>
            <w:tcW w:w="800" w:type="dxa"/>
            <w:vAlign w:val="bottom"/>
          </w:tcPr>
          <w:p>
            <w:pPr>
              <w:ind w:left="40"/>
              <w:spacing w:after="0"/>
              <w:rPr>
                <w:sz w:val="20"/>
                <w:szCs w:val="20"/>
                <w:color w:val="auto"/>
              </w:rPr>
            </w:pPr>
            <w:r>
              <w:rPr>
                <w:rFonts w:ascii="Arial" w:cs="Arial" w:eastAsia="Arial" w:hAnsi="Arial"/>
                <w:sz w:val="10"/>
                <w:szCs w:val="10"/>
                <w:color w:val="auto"/>
              </w:rPr>
              <w:t>Upstream,</w:t>
            </w:r>
          </w:p>
        </w:tc>
      </w:tr>
      <w:tr>
        <w:trPr>
          <w:trHeight w:val="95"/>
        </w:trPr>
        <w:tc>
          <w:tcPr>
            <w:tcW w:w="1120" w:type="dxa"/>
            <w:vAlign w:val="bottom"/>
          </w:tcPr>
          <w:p>
            <w:pPr>
              <w:spacing w:after="0"/>
              <w:rPr>
                <w:sz w:val="8"/>
                <w:szCs w:val="8"/>
                <w:color w:val="auto"/>
              </w:rPr>
            </w:pPr>
          </w:p>
        </w:tc>
        <w:tc>
          <w:tcPr>
            <w:tcW w:w="1780" w:type="dxa"/>
            <w:vAlign w:val="bottom"/>
          </w:tcPr>
          <w:p>
            <w:pPr>
              <w:ind w:left="80"/>
              <w:spacing w:after="0" w:line="95" w:lineRule="exact"/>
              <w:rPr>
                <w:sz w:val="20"/>
                <w:szCs w:val="20"/>
                <w:color w:val="auto"/>
              </w:rPr>
            </w:pPr>
            <w:r>
              <w:rPr>
                <w:rFonts w:ascii="Arial" w:cs="Arial" w:eastAsia="Arial" w:hAnsi="Arial"/>
                <w:sz w:val="10"/>
                <w:szCs w:val="10"/>
                <w:color w:val="auto"/>
              </w:rPr>
              <w:t>MHLW, overseeing clinical trials and</w:t>
            </w:r>
          </w:p>
        </w:tc>
        <w:tc>
          <w:tcPr>
            <w:tcW w:w="800" w:type="dxa"/>
            <w:vAlign w:val="bottom"/>
          </w:tcPr>
          <w:p>
            <w:pPr>
              <w:ind w:left="40"/>
              <w:spacing w:after="0" w:line="95" w:lineRule="exact"/>
              <w:rPr>
                <w:sz w:val="20"/>
                <w:szCs w:val="20"/>
                <w:color w:val="auto"/>
              </w:rPr>
            </w:pPr>
            <w:r>
              <w:rPr>
                <w:rFonts w:ascii="Arial" w:cs="Arial" w:eastAsia="Arial" w:hAnsi="Arial"/>
                <w:sz w:val="10"/>
                <w:szCs w:val="10"/>
                <w:color w:val="auto"/>
              </w:rPr>
              <w:t>Downstream</w:t>
            </w:r>
          </w:p>
        </w:tc>
      </w:tr>
      <w:tr>
        <w:trPr>
          <w:trHeight w:val="137"/>
        </w:trPr>
        <w:tc>
          <w:tcPr>
            <w:tcW w:w="1120" w:type="dxa"/>
            <w:vAlign w:val="bottom"/>
          </w:tcPr>
          <w:p>
            <w:pPr>
              <w:spacing w:after="0"/>
              <w:rPr>
                <w:sz w:val="11"/>
                <w:szCs w:val="11"/>
                <w:color w:val="auto"/>
              </w:rPr>
            </w:pPr>
          </w:p>
        </w:tc>
        <w:tc>
          <w:tcPr>
            <w:tcW w:w="1780" w:type="dxa"/>
            <w:vAlign w:val="bottom"/>
          </w:tcPr>
          <w:p>
            <w:pPr>
              <w:ind w:left="80"/>
              <w:spacing w:after="0"/>
              <w:rPr>
                <w:sz w:val="20"/>
                <w:szCs w:val="20"/>
                <w:color w:val="auto"/>
              </w:rPr>
            </w:pPr>
            <w:r>
              <w:rPr>
                <w:rFonts w:ascii="Arial" w:cs="Arial" w:eastAsia="Arial" w:hAnsi="Arial"/>
                <w:sz w:val="10"/>
                <w:szCs w:val="10"/>
                <w:color w:val="auto"/>
              </w:rPr>
              <w:t>approvals.</w:t>
            </w: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ind w:right="100"/>
        <w:spacing w:after="0" w:line="215" w:lineRule="auto"/>
        <w:rPr>
          <w:sz w:val="20"/>
          <w:szCs w:val="20"/>
          <w:color w:val="auto"/>
        </w:rPr>
      </w:pPr>
      <w:r>
        <w:rPr>
          <w:rFonts w:ascii="Arial" w:cs="Arial" w:eastAsia="Arial" w:hAnsi="Arial"/>
          <w:sz w:val="10"/>
          <w:szCs w:val="10"/>
          <w:color w:val="auto"/>
        </w:rPr>
        <w:t>•Engagement surveys and networks – Development dialogues and training – Works councils and employee representatives</w:t>
      </w:r>
    </w:p>
    <w:p>
      <w:pPr>
        <w:spacing w:after="0" w:line="82" w:lineRule="exact"/>
        <w:rPr>
          <w:sz w:val="20"/>
          <w:szCs w:val="20"/>
          <w:color w:val="auto"/>
        </w:rPr>
      </w:pPr>
    </w:p>
    <w:p>
      <w:pPr>
        <w:ind w:right="200"/>
        <w:spacing w:after="0" w:line="227" w:lineRule="auto"/>
        <w:rPr>
          <w:sz w:val="20"/>
          <w:szCs w:val="20"/>
          <w:color w:val="auto"/>
        </w:rPr>
      </w:pPr>
      <w:r>
        <w:rPr>
          <w:rFonts w:ascii="Arial" w:cs="Arial" w:eastAsia="Arial" w:hAnsi="Arial"/>
          <w:sz w:val="10"/>
          <w:szCs w:val="10"/>
          <w:color w:val="auto"/>
        </w:rPr>
        <w:t>•Advisory boards – Clinical trials – Educational initiatives and feedback mechanisms</w:t>
      </w:r>
    </w:p>
    <w:p>
      <w:pPr>
        <w:spacing w:after="0" w:line="64" w:lineRule="exact"/>
        <w:rPr>
          <w:sz w:val="20"/>
          <w:szCs w:val="20"/>
          <w:color w:val="auto"/>
        </w:rPr>
      </w:pPr>
    </w:p>
    <w:p>
      <w:pPr>
        <w:jc w:val="both"/>
        <w:ind w:right="300"/>
        <w:spacing w:after="0" w:line="227" w:lineRule="auto"/>
        <w:rPr>
          <w:sz w:val="20"/>
          <w:szCs w:val="20"/>
          <w:color w:val="auto"/>
        </w:rPr>
      </w:pPr>
      <w:r>
        <w:rPr>
          <w:rFonts w:ascii="Arial" w:cs="Arial" w:eastAsia="Arial" w:hAnsi="Arial"/>
          <w:sz w:val="10"/>
          <w:szCs w:val="10"/>
          <w:color w:val="auto"/>
        </w:rPr>
        <w:t>•Patient Advisory Council – Focus groups and surveys – Support for patient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-200660</wp:posOffset>
            </wp:positionV>
            <wp:extent cx="6255385" cy="2476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6255385" cy="247650"/>
                    </a:xfrm>
                    <a:prstGeom prst="rect">
                      <a:avLst/>
                    </a:prstGeom>
                    <a:noFill/>
                  </pic:spPr>
                </pic:pic>
              </a:graphicData>
            </a:graphic>
          </wp:anchor>
        </w:drawing>
      </w:r>
    </w:p>
    <w:p>
      <w:pPr>
        <w:spacing w:after="0" w:line="44" w:lineRule="exact"/>
        <w:rPr>
          <w:sz w:val="20"/>
          <w:szCs w:val="20"/>
          <w:color w:val="auto"/>
        </w:rPr>
      </w:pPr>
    </w:p>
    <w:p>
      <w:pPr>
        <w:jc w:val="both"/>
        <w:spacing w:after="0" w:line="227" w:lineRule="auto"/>
        <w:rPr>
          <w:sz w:val="20"/>
          <w:szCs w:val="20"/>
          <w:color w:val="auto"/>
        </w:rPr>
      </w:pPr>
      <w:r>
        <w:rPr>
          <w:rFonts w:ascii="Arial" w:cs="Arial" w:eastAsia="Arial" w:hAnsi="Arial"/>
          <w:sz w:val="10"/>
          <w:szCs w:val="10"/>
          <w:color w:val="auto"/>
        </w:rPr>
        <w:t>•Advisory boards and meetings – Value assessment studies – Health economics collaborations</w:t>
      </w:r>
    </w:p>
    <w:p>
      <w:pPr>
        <w:spacing w:after="0" w:line="64" w:lineRule="exact"/>
        <w:rPr>
          <w:sz w:val="20"/>
          <w:szCs w:val="20"/>
          <w:color w:val="auto"/>
        </w:rPr>
      </w:pPr>
    </w:p>
    <w:p>
      <w:pPr>
        <w:ind w:right="260"/>
        <w:spacing w:after="0" w:line="244" w:lineRule="auto"/>
        <w:rPr>
          <w:sz w:val="20"/>
          <w:szCs w:val="20"/>
          <w:color w:val="auto"/>
        </w:rPr>
      </w:pPr>
      <w:r>
        <w:rPr>
          <w:rFonts w:ascii="Arial" w:cs="Arial" w:eastAsia="Arial" w:hAnsi="Arial"/>
          <w:sz w:val="10"/>
          <w:szCs w:val="10"/>
          <w:color w:val="auto"/>
        </w:rPr>
        <w:t>•Submissions, reports, and regular meetings – Advisory consultations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-141605</wp:posOffset>
            </wp:positionV>
            <wp:extent cx="6255385" cy="2476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255385" cy="247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auto"/>
        <w:tabs>
          <w:tab w:leader="none" w:pos="1920" w:val="left"/>
        </w:tabs>
        <w:rPr>
          <w:sz w:val="20"/>
          <w:szCs w:val="20"/>
          <w:color w:val="auto"/>
        </w:rPr>
      </w:pPr>
      <w:r>
        <w:rPr>
          <w:rFonts w:ascii="Arial" w:cs="Arial" w:eastAsia="Arial" w:hAnsi="Arial"/>
          <w:sz w:val="10"/>
          <w:szCs w:val="10"/>
          <w:color w:val="auto"/>
        </w:rPr>
        <w:t>•Foster inclusive, safe, and engaging</w:t>
      </w:r>
      <w:r>
        <w:rPr>
          <w:sz w:val="20"/>
          <w:szCs w:val="20"/>
          <w:color w:val="auto"/>
        </w:rPr>
        <w:tab/>
      </w:r>
      <w:r>
        <w:rPr>
          <w:rFonts w:ascii="Arial" w:cs="Arial" w:eastAsia="Arial" w:hAnsi="Arial"/>
          <w:sz w:val="10"/>
          <w:szCs w:val="10"/>
          <w:color w:val="auto"/>
        </w:rPr>
        <w:t>•Action plans and improved</w:t>
      </w:r>
    </w:p>
    <w:p>
      <w:pPr>
        <w:spacing w:after="0" w:line="199" w:lineRule="auto"/>
        <w:tabs>
          <w:tab w:leader="none" w:pos="1920" w:val="left"/>
        </w:tabs>
        <w:rPr>
          <w:sz w:val="20"/>
          <w:szCs w:val="20"/>
          <w:color w:val="auto"/>
        </w:rPr>
      </w:pPr>
      <w:r>
        <w:rPr>
          <w:rFonts w:ascii="Arial" w:cs="Arial" w:eastAsia="Arial" w:hAnsi="Arial"/>
          <w:sz w:val="10"/>
          <w:szCs w:val="10"/>
          <w:color w:val="auto"/>
        </w:rPr>
        <w:t>workplace – Promote well-being and</w:t>
      </w:r>
      <w:r>
        <w:rPr>
          <w:sz w:val="20"/>
          <w:szCs w:val="20"/>
          <w:color w:val="auto"/>
        </w:rPr>
        <w:tab/>
      </w:r>
      <w:r>
        <w:rPr>
          <w:rFonts w:ascii="Arial" w:cs="Arial" w:eastAsia="Arial" w:hAnsi="Arial"/>
          <w:sz w:val="10"/>
          <w:szCs w:val="10"/>
          <w:color w:val="auto"/>
        </w:rPr>
        <w:t>engagement – Enhanced workplace</w:t>
      </w:r>
    </w:p>
    <w:p>
      <w:pPr>
        <w:spacing w:after="0"/>
        <w:tabs>
          <w:tab w:leader="none" w:pos="1920" w:val="left"/>
        </w:tabs>
        <w:rPr>
          <w:sz w:val="20"/>
          <w:szCs w:val="20"/>
          <w:color w:val="auto"/>
        </w:rPr>
      </w:pPr>
      <w:r>
        <w:rPr>
          <w:rFonts w:ascii="Arial" w:cs="Arial" w:eastAsia="Arial" w:hAnsi="Arial"/>
          <w:sz w:val="10"/>
          <w:szCs w:val="10"/>
          <w:color w:val="auto"/>
        </w:rPr>
        <w:t>collaboration</w:t>
      </w:r>
      <w:r>
        <w:rPr>
          <w:sz w:val="20"/>
          <w:szCs w:val="20"/>
          <w:color w:val="auto"/>
        </w:rPr>
        <w:tab/>
      </w:r>
      <w:r>
        <w:rPr>
          <w:rFonts w:ascii="Arial" w:cs="Arial" w:eastAsia="Arial" w:hAnsi="Arial"/>
          <w:sz w:val="10"/>
          <w:szCs w:val="10"/>
          <w:color w:val="auto"/>
        </w:rPr>
        <w:t>culture and communication</w:t>
      </w:r>
    </w:p>
    <w:p>
      <w:pPr>
        <w:spacing w:after="0" w:line="179" w:lineRule="exact"/>
        <w:rPr>
          <w:sz w:val="20"/>
          <w:szCs w:val="20"/>
          <w:color w:val="auto"/>
        </w:rPr>
      </w:pPr>
    </w:p>
    <w:p>
      <w:pPr>
        <w:spacing w:after="0"/>
        <w:tabs>
          <w:tab w:leader="none" w:pos="1920" w:val="left"/>
        </w:tabs>
        <w:rPr>
          <w:sz w:val="20"/>
          <w:szCs w:val="20"/>
          <w:color w:val="auto"/>
        </w:rPr>
      </w:pPr>
      <w:r>
        <w:rPr>
          <w:rFonts w:ascii="Arial" w:cs="Arial" w:eastAsia="Arial" w:hAnsi="Arial"/>
          <w:sz w:val="10"/>
          <w:szCs w:val="10"/>
          <w:color w:val="auto"/>
        </w:rPr>
        <w:t>•Understand clinical needs – Enhance</w:t>
      </w:r>
      <w:r>
        <w:rPr>
          <w:sz w:val="20"/>
          <w:szCs w:val="20"/>
          <w:color w:val="auto"/>
        </w:rPr>
        <w:tab/>
      </w:r>
      <w:r>
        <w:rPr>
          <w:rFonts w:ascii="Arial" w:cs="Arial" w:eastAsia="Arial" w:hAnsi="Arial"/>
          <w:sz w:val="10"/>
          <w:szCs w:val="10"/>
          <w:color w:val="auto"/>
        </w:rPr>
        <w:t>•Improved clinical trial design –</w:t>
      </w:r>
    </w:p>
    <w:p>
      <w:pPr>
        <w:spacing w:after="0" w:line="198" w:lineRule="auto"/>
        <w:tabs>
          <w:tab w:leader="none" w:pos="1920" w:val="left"/>
        </w:tabs>
        <w:rPr>
          <w:sz w:val="20"/>
          <w:szCs w:val="20"/>
          <w:color w:val="auto"/>
        </w:rPr>
      </w:pPr>
      <w:r>
        <w:rPr>
          <w:rFonts w:ascii="Arial" w:cs="Arial" w:eastAsia="Arial" w:hAnsi="Arial"/>
          <w:sz w:val="10"/>
          <w:szCs w:val="10"/>
          <w:color w:val="auto"/>
        </w:rPr>
        <w:t>patient outcomes and research quality</w:t>
      </w:r>
      <w:r>
        <w:rPr>
          <w:sz w:val="20"/>
          <w:szCs w:val="20"/>
          <w:color w:val="auto"/>
        </w:rPr>
        <w:tab/>
      </w:r>
      <w:r>
        <w:rPr>
          <w:rFonts w:ascii="Arial" w:cs="Arial" w:eastAsia="Arial" w:hAnsi="Arial"/>
          <w:sz w:val="10"/>
          <w:szCs w:val="10"/>
          <w:color w:val="auto"/>
        </w:rPr>
        <w:t>Increased therapy adoption and safety</w:t>
      </w:r>
    </w:p>
    <w:p>
      <w:pPr>
        <w:ind w:left="1940"/>
        <w:spacing w:after="0"/>
        <w:rPr>
          <w:sz w:val="20"/>
          <w:szCs w:val="20"/>
          <w:color w:val="auto"/>
        </w:rPr>
      </w:pPr>
      <w:r>
        <w:rPr>
          <w:rFonts w:ascii="Arial" w:cs="Arial" w:eastAsia="Arial" w:hAnsi="Arial"/>
          <w:sz w:val="10"/>
          <w:szCs w:val="10"/>
          <w:color w:val="auto"/>
        </w:rPr>
        <w:t>awareness</w:t>
      </w:r>
    </w:p>
    <w:p>
      <w:pPr>
        <w:spacing w:after="0" w:line="65" w:lineRule="exact"/>
        <w:rPr>
          <w:sz w:val="20"/>
          <w:szCs w:val="20"/>
          <w:color w:val="auto"/>
        </w:rPr>
      </w:pPr>
    </w:p>
    <w:p>
      <w:pPr>
        <w:spacing w:after="0"/>
        <w:tabs>
          <w:tab w:leader="none" w:pos="1920" w:val="left"/>
        </w:tabs>
        <w:rPr>
          <w:sz w:val="20"/>
          <w:szCs w:val="20"/>
          <w:color w:val="auto"/>
        </w:rPr>
      </w:pPr>
      <w:r>
        <w:rPr>
          <w:rFonts w:ascii="Arial" w:cs="Arial" w:eastAsia="Arial" w:hAnsi="Arial"/>
          <w:sz w:val="10"/>
          <w:szCs w:val="10"/>
          <w:color w:val="auto"/>
        </w:rPr>
        <w:t>•Embed patient perspectives in R&amp;D –</w:t>
        <w:tab/>
        <w:t>•Enhanced trial design and patient</w:t>
      </w:r>
    </w:p>
    <w:p>
      <w:pPr>
        <w:spacing w:after="0" w:line="198" w:lineRule="auto"/>
        <w:tabs>
          <w:tab w:leader="none" w:pos="1920" w:val="left"/>
        </w:tabs>
        <w:rPr>
          <w:sz w:val="20"/>
          <w:szCs w:val="20"/>
          <w:color w:val="auto"/>
        </w:rPr>
      </w:pPr>
      <w:r>
        <w:rPr>
          <w:rFonts w:ascii="Arial" w:cs="Arial" w:eastAsia="Arial" w:hAnsi="Arial"/>
          <w:sz w:val="10"/>
          <w:szCs w:val="10"/>
          <w:color w:val="auto"/>
        </w:rPr>
        <w:t>Improve education and awareness</w:t>
      </w:r>
      <w:r>
        <w:rPr>
          <w:sz w:val="20"/>
          <w:szCs w:val="20"/>
          <w:color w:val="auto"/>
        </w:rPr>
        <w:tab/>
      </w:r>
      <w:r>
        <w:rPr>
          <w:rFonts w:ascii="Arial" w:cs="Arial" w:eastAsia="Arial" w:hAnsi="Arial"/>
          <w:sz w:val="10"/>
          <w:szCs w:val="10"/>
          <w:color w:val="auto"/>
        </w:rPr>
        <w:t>experience – Safer, more effective</w:t>
      </w:r>
    </w:p>
    <w:p>
      <w:pPr>
        <w:ind w:left="1940"/>
        <w:spacing w:after="0"/>
        <w:rPr>
          <w:sz w:val="20"/>
          <w:szCs w:val="20"/>
          <w:color w:val="auto"/>
        </w:rPr>
      </w:pPr>
      <w:r>
        <w:rPr>
          <w:rFonts w:ascii="Arial" w:cs="Arial" w:eastAsia="Arial" w:hAnsi="Arial"/>
          <w:sz w:val="10"/>
          <w:szCs w:val="10"/>
          <w:color w:val="auto"/>
        </w:rPr>
        <w:t>therapies</w:t>
      </w:r>
    </w:p>
    <w:p>
      <w:pPr>
        <w:spacing w:after="0" w:line="65" w:lineRule="exact"/>
        <w:rPr>
          <w:sz w:val="20"/>
          <w:szCs w:val="20"/>
          <w:color w:val="auto"/>
        </w:rPr>
      </w:pPr>
    </w:p>
    <w:p>
      <w:pPr>
        <w:spacing w:after="0"/>
        <w:tabs>
          <w:tab w:leader="none" w:pos="1920" w:val="left"/>
        </w:tabs>
        <w:rPr>
          <w:sz w:val="20"/>
          <w:szCs w:val="20"/>
          <w:color w:val="auto"/>
        </w:rPr>
      </w:pPr>
      <w:r>
        <w:rPr>
          <w:rFonts w:ascii="Arial" w:cs="Arial" w:eastAsia="Arial" w:hAnsi="Arial"/>
          <w:sz w:val="10"/>
          <w:szCs w:val="10"/>
          <w:color w:val="auto"/>
        </w:rPr>
        <w:t>•Demonstrate therapeutic value and</w:t>
      </w:r>
      <w:r>
        <w:rPr>
          <w:sz w:val="20"/>
          <w:szCs w:val="20"/>
          <w:color w:val="auto"/>
        </w:rPr>
        <w:tab/>
      </w:r>
      <w:r>
        <w:rPr>
          <w:rFonts w:ascii="Arial" w:cs="Arial" w:eastAsia="Arial" w:hAnsi="Arial"/>
          <w:sz w:val="10"/>
          <w:szCs w:val="10"/>
          <w:color w:val="auto"/>
        </w:rPr>
        <w:t>•Strengthened payer relationships –</w:t>
      </w:r>
    </w:p>
    <w:p>
      <w:pPr>
        <w:spacing w:after="0" w:line="198" w:lineRule="auto"/>
        <w:tabs>
          <w:tab w:leader="none" w:pos="1920" w:val="left"/>
        </w:tabs>
        <w:rPr>
          <w:sz w:val="20"/>
          <w:szCs w:val="20"/>
          <w:color w:val="auto"/>
        </w:rPr>
      </w:pPr>
      <w:r>
        <w:rPr>
          <w:rFonts w:ascii="Arial" w:cs="Arial" w:eastAsia="Arial" w:hAnsi="Arial"/>
          <w:sz w:val="10"/>
          <w:szCs w:val="10"/>
          <w:color w:val="auto"/>
        </w:rPr>
        <w:t>pricing rationale – Support equitable</w:t>
      </w:r>
      <w:r>
        <w:rPr>
          <w:sz w:val="20"/>
          <w:szCs w:val="20"/>
          <w:color w:val="auto"/>
        </w:rPr>
        <w:tab/>
      </w:r>
      <w:r>
        <w:rPr>
          <w:rFonts w:ascii="Arial" w:cs="Arial" w:eastAsia="Arial" w:hAnsi="Arial"/>
          <w:sz w:val="10"/>
          <w:szCs w:val="10"/>
          <w:color w:val="auto"/>
        </w:rPr>
        <w:t>Improved access and affordability</w:t>
      </w:r>
    </w:p>
    <w:p>
      <w:pPr>
        <w:spacing w:after="0"/>
        <w:rPr>
          <w:sz w:val="20"/>
          <w:szCs w:val="20"/>
          <w:color w:val="auto"/>
        </w:rPr>
      </w:pPr>
      <w:r>
        <w:rPr>
          <w:rFonts w:ascii="Arial" w:cs="Arial" w:eastAsia="Arial" w:hAnsi="Arial"/>
          <w:sz w:val="10"/>
          <w:szCs w:val="10"/>
          <w:color w:val="auto"/>
        </w:rPr>
        <w:t>access</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•Ensure compliance and patient safety – •Regulatory approvals – Streamlined</w:t>
      </w:r>
    </w:p>
    <w:p>
      <w:pPr>
        <w:spacing w:after="0"/>
        <w:tabs>
          <w:tab w:leader="none" w:pos="1920" w:val="left"/>
        </w:tabs>
        <w:rPr>
          <w:sz w:val="20"/>
          <w:szCs w:val="20"/>
          <w:color w:val="auto"/>
        </w:rPr>
      </w:pPr>
      <w:r>
        <w:rPr>
          <w:rFonts w:ascii="Arial" w:cs="Arial" w:eastAsia="Arial" w:hAnsi="Arial"/>
          <w:sz w:val="10"/>
          <w:szCs w:val="10"/>
          <w:color w:val="auto"/>
        </w:rPr>
        <w:t>Clarify approval pathways</w:t>
      </w:r>
      <w:r>
        <w:rPr>
          <w:sz w:val="20"/>
          <w:szCs w:val="20"/>
          <w:color w:val="auto"/>
        </w:rPr>
        <w:tab/>
      </w:r>
      <w:r>
        <w:rPr>
          <w:rFonts w:ascii="Arial" w:cs="Arial" w:eastAsia="Arial" w:hAnsi="Arial"/>
          <w:sz w:val="10"/>
          <w:szCs w:val="10"/>
          <w:color w:val="auto"/>
        </w:rPr>
        <w:t>development and improved safety data</w:t>
      </w:r>
    </w:p>
    <w:p>
      <w:pPr>
        <w:spacing w:after="0" w:line="159" w:lineRule="exact"/>
        <w:rPr>
          <w:sz w:val="20"/>
          <w:szCs w:val="20"/>
          <w:color w:val="auto"/>
        </w:rPr>
      </w:pPr>
    </w:p>
    <w:p>
      <w:pPr>
        <w:sectPr>
          <w:pgSz w:w="11900" w:h="16840" w:orient="portrait"/>
          <w:cols w:equalWidth="0" w:num="3">
            <w:col w:w="3720" w:space="320"/>
            <w:col w:w="1860" w:space="100"/>
            <w:col w:w="3940"/>
          </w:cols>
          <w:pgMar w:left="640" w:top="571" w:right="1320" w:bottom="515" w:gutter="0" w:footer="0" w:header="0"/>
          <w:type w:val="continuous"/>
        </w:sectPr>
      </w:pPr>
    </w:p>
    <w:p>
      <w:pPr>
        <w:spacing w:after="0" w:line="1" w:lineRule="exact"/>
        <w:rPr>
          <w:sz w:val="20"/>
          <w:szCs w:val="20"/>
          <w:color w:val="auto"/>
        </w:rPr>
      </w:pPr>
    </w:p>
    <w:p>
      <w:pPr>
        <w:ind w:left="20"/>
        <w:spacing w:after="0"/>
        <w:tabs>
          <w:tab w:leader="none" w:pos="1200" w:val="left"/>
          <w:tab w:leader="none" w:pos="2940" w:val="left"/>
        </w:tabs>
        <w:rPr>
          <w:sz w:val="20"/>
          <w:szCs w:val="20"/>
          <w:color w:val="auto"/>
        </w:rPr>
      </w:pPr>
      <w:r>
        <w:rPr>
          <w:rFonts w:ascii="Arial" w:cs="Arial" w:eastAsia="Arial" w:hAnsi="Arial"/>
          <w:sz w:val="10"/>
          <w:szCs w:val="10"/>
          <w:b w:val="1"/>
          <w:bCs w:val="1"/>
          <w:color w:val="auto"/>
        </w:rPr>
        <w:t>Investors</w:t>
      </w:r>
      <w:r>
        <w:rPr>
          <w:sz w:val="20"/>
          <w:szCs w:val="20"/>
          <w:color w:val="auto"/>
        </w:rPr>
        <w:tab/>
      </w:r>
      <w:r>
        <w:rPr>
          <w:rFonts w:ascii="Arial" w:cs="Arial" w:eastAsia="Arial" w:hAnsi="Arial"/>
          <w:sz w:val="10"/>
          <w:szCs w:val="10"/>
          <w:color w:val="auto"/>
        </w:rPr>
        <w:t>Shareholders supporting Genmab’s</w:t>
        <w:tab/>
        <w:t>Upstream,</w:t>
      </w:r>
    </w:p>
    <w:p>
      <w:pPr>
        <w:jc w:val="right"/>
        <w:spacing w:after="0" w:line="198" w:lineRule="auto"/>
        <w:tabs>
          <w:tab w:leader="none" w:pos="760" w:val="left"/>
        </w:tabs>
        <w:rPr>
          <w:sz w:val="20"/>
          <w:szCs w:val="20"/>
          <w:color w:val="auto"/>
        </w:rPr>
      </w:pPr>
      <w:r>
        <w:rPr>
          <w:rFonts w:ascii="Arial" w:cs="Arial" w:eastAsia="Arial" w:hAnsi="Arial"/>
          <w:sz w:val="10"/>
          <w:szCs w:val="10"/>
          <w:color w:val="auto"/>
        </w:rPr>
        <w:t>financial growth and long-term</w:t>
      </w:r>
      <w:r>
        <w:rPr>
          <w:sz w:val="20"/>
          <w:szCs w:val="20"/>
          <w:color w:val="auto"/>
        </w:rPr>
        <w:tab/>
      </w:r>
      <w:r>
        <w:rPr>
          <w:rFonts w:ascii="Arial" w:cs="Arial" w:eastAsia="Arial" w:hAnsi="Arial"/>
          <w:sz w:val="10"/>
          <w:szCs w:val="10"/>
          <w:color w:val="auto"/>
        </w:rPr>
        <w:t>Own Operations,</w:t>
      </w:r>
    </w:p>
    <w:p>
      <w:pPr>
        <w:ind w:left="1220"/>
        <w:spacing w:after="0"/>
        <w:tabs>
          <w:tab w:leader="none" w:pos="2940" w:val="left"/>
        </w:tabs>
        <w:rPr>
          <w:sz w:val="20"/>
          <w:szCs w:val="20"/>
          <w:color w:val="auto"/>
        </w:rPr>
      </w:pPr>
      <w:r>
        <w:rPr>
          <w:rFonts w:ascii="Arial" w:cs="Arial" w:eastAsia="Arial" w:hAnsi="Arial"/>
          <w:sz w:val="10"/>
          <w:szCs w:val="10"/>
          <w:color w:val="auto"/>
        </w:rPr>
        <w:t>strategy.</w:t>
      </w:r>
      <w:r>
        <w:rPr>
          <w:sz w:val="20"/>
          <w:szCs w:val="20"/>
          <w:color w:val="auto"/>
        </w:rPr>
        <w:tab/>
      </w:r>
      <w:r>
        <w:rPr>
          <w:rFonts w:ascii="Arial" w:cs="Arial" w:eastAsia="Arial" w:hAnsi="Arial"/>
          <w:sz w:val="10"/>
          <w:szCs w:val="10"/>
          <w:color w:val="auto"/>
        </w:rPr>
        <w:t>Downstream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800" w:type="dxa"/>
            <w:vAlign w:val="bottom"/>
          </w:tcPr>
          <w:p>
            <w:pPr>
              <w:spacing w:after="0"/>
              <w:rPr>
                <w:sz w:val="20"/>
                <w:szCs w:val="20"/>
                <w:color w:val="auto"/>
              </w:rPr>
            </w:pPr>
            <w:r>
              <w:rPr>
                <w:rFonts w:ascii="Arial" w:cs="Arial" w:eastAsia="Arial" w:hAnsi="Arial"/>
                <w:sz w:val="10"/>
                <w:szCs w:val="10"/>
                <w:color w:val="auto"/>
              </w:rPr>
              <w:t>•Earnings calls, roadshows, and</w:t>
            </w:r>
          </w:p>
        </w:tc>
        <w:tc>
          <w:tcPr>
            <w:tcW w:w="1940" w:type="dxa"/>
            <w:vAlign w:val="bottom"/>
          </w:tcPr>
          <w:p>
            <w:pPr>
              <w:ind w:left="160"/>
              <w:spacing w:after="0"/>
              <w:rPr>
                <w:sz w:val="20"/>
                <w:szCs w:val="20"/>
                <w:color w:val="auto"/>
              </w:rPr>
            </w:pPr>
            <w:r>
              <w:rPr>
                <w:rFonts w:ascii="Arial" w:cs="Arial" w:eastAsia="Arial" w:hAnsi="Arial"/>
                <w:sz w:val="10"/>
                <w:szCs w:val="10"/>
                <w:color w:val="auto"/>
              </w:rPr>
              <w:t>•Build trust through transparency –</w:t>
            </w:r>
          </w:p>
        </w:tc>
        <w:tc>
          <w:tcPr>
            <w:tcW w:w="1660" w:type="dxa"/>
            <w:vAlign w:val="bottom"/>
          </w:tcPr>
          <w:p>
            <w:pPr>
              <w:ind w:left="160"/>
              <w:spacing w:after="0"/>
              <w:rPr>
                <w:sz w:val="20"/>
                <w:szCs w:val="20"/>
                <w:color w:val="auto"/>
              </w:rPr>
            </w:pPr>
            <w:r>
              <w:rPr>
                <w:rFonts w:ascii="Arial" w:cs="Arial" w:eastAsia="Arial" w:hAnsi="Arial"/>
                <w:sz w:val="10"/>
                <w:szCs w:val="10"/>
                <w:color w:val="auto"/>
              </w:rPr>
              <w:t>•Increased investor confidence –</w:t>
            </w:r>
          </w:p>
        </w:tc>
      </w:tr>
      <w:tr>
        <w:trPr>
          <w:trHeight w:val="95"/>
        </w:trPr>
        <w:tc>
          <w:tcPr>
            <w:tcW w:w="1800" w:type="dxa"/>
            <w:vAlign w:val="bottom"/>
          </w:tcPr>
          <w:p>
            <w:pPr>
              <w:spacing w:after="0" w:line="95" w:lineRule="exact"/>
              <w:rPr>
                <w:sz w:val="20"/>
                <w:szCs w:val="20"/>
                <w:color w:val="auto"/>
              </w:rPr>
            </w:pPr>
            <w:r>
              <w:rPr>
                <w:rFonts w:ascii="Arial" w:cs="Arial" w:eastAsia="Arial" w:hAnsi="Arial"/>
                <w:sz w:val="10"/>
                <w:szCs w:val="10"/>
                <w:color w:val="auto"/>
              </w:rPr>
              <w:t>conferences – One-on-one investor</w:t>
            </w:r>
          </w:p>
        </w:tc>
        <w:tc>
          <w:tcPr>
            <w:tcW w:w="1940" w:type="dxa"/>
            <w:vAlign w:val="bottom"/>
          </w:tcPr>
          <w:p>
            <w:pPr>
              <w:ind w:left="160"/>
              <w:spacing w:after="0" w:line="95" w:lineRule="exact"/>
              <w:rPr>
                <w:sz w:val="20"/>
                <w:szCs w:val="20"/>
                <w:color w:val="auto"/>
              </w:rPr>
            </w:pPr>
            <w:r>
              <w:rPr>
                <w:rFonts w:ascii="Arial" w:cs="Arial" w:eastAsia="Arial" w:hAnsi="Arial"/>
                <w:sz w:val="10"/>
                <w:szCs w:val="10"/>
                <w:color w:val="auto"/>
              </w:rPr>
              <w:t>Gather feedback on strategy and</w:t>
            </w:r>
          </w:p>
        </w:tc>
        <w:tc>
          <w:tcPr>
            <w:tcW w:w="1660" w:type="dxa"/>
            <w:vAlign w:val="bottom"/>
          </w:tcPr>
          <w:p>
            <w:pPr>
              <w:ind w:left="160"/>
              <w:spacing w:after="0" w:line="95" w:lineRule="exact"/>
              <w:rPr>
                <w:sz w:val="20"/>
                <w:szCs w:val="20"/>
                <w:color w:val="auto"/>
              </w:rPr>
            </w:pPr>
            <w:r>
              <w:rPr>
                <w:rFonts w:ascii="Arial" w:cs="Arial" w:eastAsia="Arial" w:hAnsi="Arial"/>
                <w:sz w:val="10"/>
                <w:szCs w:val="10"/>
                <w:color w:val="auto"/>
              </w:rPr>
              <w:t>Broader shareholder base</w:t>
            </w:r>
          </w:p>
        </w:tc>
      </w:tr>
      <w:tr>
        <w:trPr>
          <w:trHeight w:val="137"/>
        </w:trPr>
        <w:tc>
          <w:tcPr>
            <w:tcW w:w="1800" w:type="dxa"/>
            <w:vAlign w:val="bottom"/>
          </w:tcPr>
          <w:p>
            <w:pPr>
              <w:spacing w:after="0"/>
              <w:rPr>
                <w:sz w:val="20"/>
                <w:szCs w:val="20"/>
                <w:color w:val="auto"/>
              </w:rPr>
            </w:pPr>
            <w:r>
              <w:rPr>
                <w:rFonts w:ascii="Arial" w:cs="Arial" w:eastAsia="Arial" w:hAnsi="Arial"/>
                <w:sz w:val="10"/>
                <w:szCs w:val="10"/>
                <w:color w:val="auto"/>
              </w:rPr>
              <w:t>meetings</w:t>
            </w:r>
          </w:p>
        </w:tc>
        <w:tc>
          <w:tcPr>
            <w:tcW w:w="1940" w:type="dxa"/>
            <w:vAlign w:val="bottom"/>
          </w:tcPr>
          <w:p>
            <w:pPr>
              <w:ind w:left="160"/>
              <w:spacing w:after="0"/>
              <w:rPr>
                <w:sz w:val="20"/>
                <w:szCs w:val="20"/>
                <w:color w:val="auto"/>
              </w:rPr>
            </w:pPr>
            <w:r>
              <w:rPr>
                <w:rFonts w:ascii="Arial" w:cs="Arial" w:eastAsia="Arial" w:hAnsi="Arial"/>
                <w:sz w:val="10"/>
                <w:szCs w:val="10"/>
                <w:color w:val="auto"/>
              </w:rPr>
              <w:t>performance</w:t>
            </w:r>
          </w:p>
        </w:tc>
        <w:tc>
          <w:tcPr>
            <w:tcW w:w="1660" w:type="dxa"/>
            <w:vAlign w:val="bottom"/>
          </w:tcPr>
          <w:p>
            <w:pPr>
              <w:spacing w:after="0"/>
              <w:rPr>
                <w:sz w:val="11"/>
                <w:szCs w:val="11"/>
                <w:color w:val="auto"/>
              </w:rPr>
            </w:pPr>
          </w:p>
        </w:tc>
      </w:tr>
    </w:tbl>
    <w:p>
      <w:pPr>
        <w:spacing w:after="0" w:line="43" w:lineRule="exact"/>
        <w:rPr>
          <w:sz w:val="20"/>
          <w:szCs w:val="20"/>
          <w:color w:val="auto"/>
        </w:rPr>
      </w:pPr>
    </w:p>
    <w:p>
      <w:pPr>
        <w:sectPr>
          <w:pgSz w:w="11900" w:h="16840" w:orient="portrait"/>
          <w:cols w:equalWidth="0" w:num="2">
            <w:col w:w="3740" w:space="300"/>
            <w:col w:w="5900"/>
          </w:cols>
          <w:pgMar w:left="640" w:top="571" w:right="1320" w:bottom="515"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940" w:type="dxa"/>
            <w:vAlign w:val="bottom"/>
            <w:shd w:val="clear" w:color="auto" w:fill="EDEEEE"/>
          </w:tcPr>
          <w:p>
            <w:pPr>
              <w:ind w:left="20"/>
              <w:spacing w:after="0"/>
              <w:rPr>
                <w:sz w:val="20"/>
                <w:szCs w:val="20"/>
                <w:color w:val="auto"/>
              </w:rPr>
            </w:pPr>
            <w:r>
              <w:rPr>
                <w:rFonts w:ascii="Arial" w:cs="Arial" w:eastAsia="Arial" w:hAnsi="Arial"/>
                <w:sz w:val="10"/>
                <w:szCs w:val="10"/>
                <w:b w:val="1"/>
                <w:bCs w:val="1"/>
                <w:color w:val="auto"/>
              </w:rPr>
              <w:t>Communities</w:t>
            </w:r>
          </w:p>
        </w:tc>
        <w:tc>
          <w:tcPr>
            <w:tcW w:w="2000" w:type="dxa"/>
            <w:vAlign w:val="bottom"/>
            <w:shd w:val="clear" w:color="auto" w:fill="EDEEEE"/>
          </w:tcPr>
          <w:p>
            <w:pPr>
              <w:ind w:left="280"/>
              <w:spacing w:after="0"/>
              <w:rPr>
                <w:sz w:val="20"/>
                <w:szCs w:val="20"/>
                <w:color w:val="auto"/>
              </w:rPr>
            </w:pPr>
            <w:r>
              <w:rPr>
                <w:rFonts w:ascii="Arial" w:cs="Arial" w:eastAsia="Arial" w:hAnsi="Arial"/>
                <w:sz w:val="10"/>
                <w:szCs w:val="10"/>
                <w:color w:val="auto"/>
              </w:rPr>
              <w:t>Local and global communities where</w:t>
            </w:r>
          </w:p>
        </w:tc>
        <w:tc>
          <w:tcPr>
            <w:tcW w:w="940" w:type="dxa"/>
            <w:vAlign w:val="bottom"/>
            <w:shd w:val="clear" w:color="auto" w:fill="EDEEEE"/>
          </w:tcPr>
          <w:p>
            <w:pPr>
              <w:ind w:left="20"/>
              <w:spacing w:after="0"/>
              <w:rPr>
                <w:sz w:val="20"/>
                <w:szCs w:val="20"/>
                <w:color w:val="auto"/>
              </w:rPr>
            </w:pPr>
            <w:r>
              <w:rPr>
                <w:rFonts w:ascii="Arial" w:cs="Arial" w:eastAsia="Arial" w:hAnsi="Arial"/>
                <w:sz w:val="10"/>
                <w:szCs w:val="10"/>
                <w:color w:val="auto"/>
              </w:rPr>
              <w:t>Upstream,</w:t>
            </w:r>
          </w:p>
        </w:tc>
        <w:tc>
          <w:tcPr>
            <w:tcW w:w="2060" w:type="dxa"/>
            <w:vAlign w:val="bottom"/>
            <w:shd w:val="clear" w:color="auto" w:fill="EDEEEE"/>
          </w:tcPr>
          <w:p>
            <w:pPr>
              <w:ind w:left="160"/>
              <w:spacing w:after="0"/>
              <w:rPr>
                <w:sz w:val="20"/>
                <w:szCs w:val="20"/>
                <w:color w:val="auto"/>
              </w:rPr>
            </w:pPr>
            <w:r>
              <w:rPr>
                <w:rFonts w:ascii="Arial" w:cs="Arial" w:eastAsia="Arial" w:hAnsi="Arial"/>
                <w:sz w:val="10"/>
                <w:szCs w:val="10"/>
                <w:color w:val="auto"/>
              </w:rPr>
              <w:t>•Community programs and partnerships</w:t>
            </w:r>
          </w:p>
        </w:tc>
        <w:tc>
          <w:tcPr>
            <w:tcW w:w="1920" w:type="dxa"/>
            <w:vAlign w:val="bottom"/>
            <w:shd w:val="clear" w:color="auto" w:fill="EDEEEE"/>
          </w:tcPr>
          <w:p>
            <w:pPr>
              <w:ind w:left="60"/>
              <w:spacing w:after="0"/>
              <w:rPr>
                <w:sz w:val="20"/>
                <w:szCs w:val="20"/>
                <w:color w:val="auto"/>
              </w:rPr>
            </w:pPr>
            <w:r>
              <w:rPr>
                <w:rFonts w:ascii="Arial" w:cs="Arial" w:eastAsia="Arial" w:hAnsi="Arial"/>
                <w:sz w:val="10"/>
                <w:szCs w:val="10"/>
                <w:color w:val="auto"/>
              </w:rPr>
              <w:t>•Promote health awareness and social</w:t>
            </w:r>
          </w:p>
        </w:tc>
        <w:tc>
          <w:tcPr>
            <w:tcW w:w="2000" w:type="dxa"/>
            <w:vAlign w:val="bottom"/>
            <w:shd w:val="clear" w:color="auto" w:fill="EDEEEE"/>
          </w:tcPr>
          <w:p>
            <w:pPr>
              <w:ind w:left="80"/>
              <w:spacing w:after="0"/>
              <w:rPr>
                <w:sz w:val="20"/>
                <w:szCs w:val="20"/>
                <w:color w:val="auto"/>
              </w:rPr>
            </w:pPr>
            <w:r>
              <w:rPr>
                <w:rFonts w:ascii="Arial" w:cs="Arial" w:eastAsia="Arial" w:hAnsi="Arial"/>
                <w:sz w:val="10"/>
                <w:szCs w:val="10"/>
                <w:color w:val="auto"/>
              </w:rPr>
              <w:t>•Positive social impact – Enhanced</w:t>
            </w:r>
          </w:p>
        </w:tc>
      </w:tr>
      <w:tr>
        <w:trPr>
          <w:trHeight w:val="95"/>
        </w:trPr>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280"/>
              <w:spacing w:after="0" w:line="95" w:lineRule="exact"/>
              <w:rPr>
                <w:sz w:val="20"/>
                <w:szCs w:val="20"/>
                <w:color w:val="auto"/>
              </w:rPr>
            </w:pPr>
            <w:r>
              <w:rPr>
                <w:rFonts w:ascii="Arial" w:cs="Arial" w:eastAsia="Arial" w:hAnsi="Arial"/>
                <w:sz w:val="10"/>
                <w:szCs w:val="10"/>
                <w:color w:val="auto"/>
              </w:rPr>
              <w:t>Genmab operates, benefiting from</w:t>
            </w:r>
          </w:p>
        </w:tc>
        <w:tc>
          <w:tcPr>
            <w:tcW w:w="9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Own Operations,</w:t>
            </w:r>
          </w:p>
        </w:tc>
        <w:tc>
          <w:tcPr>
            <w:tcW w:w="2060" w:type="dxa"/>
            <w:vAlign w:val="bottom"/>
            <w:shd w:val="clear" w:color="auto" w:fill="EDEEEE"/>
          </w:tcPr>
          <w:p>
            <w:pPr>
              <w:ind w:left="160"/>
              <w:spacing w:after="0" w:line="95" w:lineRule="exact"/>
              <w:rPr>
                <w:sz w:val="20"/>
                <w:szCs w:val="20"/>
                <w:color w:val="auto"/>
              </w:rPr>
            </w:pPr>
            <w:r>
              <w:rPr>
                <w:rFonts w:ascii="Arial" w:cs="Arial" w:eastAsia="Arial" w:hAnsi="Arial"/>
                <w:sz w:val="10"/>
                <w:szCs w:val="10"/>
                <w:color w:val="auto"/>
              </w:rPr>
              <w:t>– Employee volunteering</w:t>
            </w:r>
          </w:p>
        </w:tc>
        <w:tc>
          <w:tcPr>
            <w:tcW w:w="192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responsibility – Strengthen community</w:t>
            </w:r>
          </w:p>
        </w:tc>
        <w:tc>
          <w:tcPr>
            <w:tcW w:w="2000" w:type="dxa"/>
            <w:vAlign w:val="bottom"/>
            <w:shd w:val="clear" w:color="auto" w:fill="EDEEEE"/>
          </w:tcPr>
          <w:p>
            <w:pPr>
              <w:ind w:left="80"/>
              <w:spacing w:after="0" w:line="95" w:lineRule="exact"/>
              <w:rPr>
                <w:sz w:val="20"/>
                <w:szCs w:val="20"/>
                <w:color w:val="auto"/>
              </w:rPr>
            </w:pPr>
            <w:r>
              <w:rPr>
                <w:rFonts w:ascii="Arial" w:cs="Arial" w:eastAsia="Arial" w:hAnsi="Arial"/>
                <w:sz w:val="10"/>
                <w:szCs w:val="10"/>
                <w:color w:val="auto"/>
              </w:rPr>
              <w:t>employee morale and community</w:t>
            </w:r>
          </w:p>
        </w:tc>
      </w:tr>
      <w:tr>
        <w:trPr>
          <w:trHeight w:val="137"/>
        </w:trPr>
        <w:tc>
          <w:tcPr>
            <w:tcW w:w="940" w:type="dxa"/>
            <w:vAlign w:val="bottom"/>
            <w:shd w:val="clear" w:color="auto" w:fill="EDEEEE"/>
          </w:tcPr>
          <w:p>
            <w:pPr>
              <w:spacing w:after="0"/>
              <w:rPr>
                <w:sz w:val="11"/>
                <w:szCs w:val="11"/>
                <w:color w:val="auto"/>
              </w:rPr>
            </w:pPr>
          </w:p>
        </w:tc>
        <w:tc>
          <w:tcPr>
            <w:tcW w:w="2000" w:type="dxa"/>
            <w:vAlign w:val="bottom"/>
            <w:shd w:val="clear" w:color="auto" w:fill="EDEEEE"/>
          </w:tcPr>
          <w:p>
            <w:pPr>
              <w:ind w:left="280"/>
              <w:spacing w:after="0"/>
              <w:rPr>
                <w:sz w:val="20"/>
                <w:szCs w:val="20"/>
                <w:color w:val="auto"/>
              </w:rPr>
            </w:pPr>
            <w:r>
              <w:rPr>
                <w:rFonts w:ascii="Arial" w:cs="Arial" w:eastAsia="Arial" w:hAnsi="Arial"/>
                <w:sz w:val="10"/>
                <w:szCs w:val="10"/>
                <w:color w:val="auto"/>
              </w:rPr>
              <w:t>CSR and social initiatives.</w:t>
            </w:r>
          </w:p>
        </w:tc>
        <w:tc>
          <w:tcPr>
            <w:tcW w:w="940" w:type="dxa"/>
            <w:vAlign w:val="bottom"/>
            <w:shd w:val="clear" w:color="auto" w:fill="EDEEEE"/>
          </w:tcPr>
          <w:p>
            <w:pPr>
              <w:ind w:left="20"/>
              <w:spacing w:after="0"/>
              <w:rPr>
                <w:sz w:val="20"/>
                <w:szCs w:val="20"/>
                <w:color w:val="auto"/>
              </w:rPr>
            </w:pPr>
            <w:r>
              <w:rPr>
                <w:rFonts w:ascii="Arial" w:cs="Arial" w:eastAsia="Arial" w:hAnsi="Arial"/>
                <w:sz w:val="10"/>
                <w:szCs w:val="10"/>
                <w:color w:val="auto"/>
              </w:rPr>
              <w:t>Downstream</w:t>
            </w:r>
          </w:p>
        </w:tc>
        <w:tc>
          <w:tcPr>
            <w:tcW w:w="2060" w:type="dxa"/>
            <w:vAlign w:val="bottom"/>
            <w:shd w:val="clear" w:color="auto" w:fill="EDEEEE"/>
          </w:tcPr>
          <w:p>
            <w:pPr>
              <w:spacing w:after="0"/>
              <w:rPr>
                <w:sz w:val="11"/>
                <w:szCs w:val="11"/>
                <w:color w:val="auto"/>
              </w:rPr>
            </w:pPr>
          </w:p>
        </w:tc>
        <w:tc>
          <w:tcPr>
            <w:tcW w:w="1920" w:type="dxa"/>
            <w:vAlign w:val="bottom"/>
            <w:shd w:val="clear" w:color="auto" w:fill="EDEEEE"/>
          </w:tcPr>
          <w:p>
            <w:pPr>
              <w:ind w:left="60"/>
              <w:spacing w:after="0"/>
              <w:rPr>
                <w:sz w:val="20"/>
                <w:szCs w:val="20"/>
                <w:color w:val="auto"/>
              </w:rPr>
            </w:pPr>
            <w:r>
              <w:rPr>
                <w:rFonts w:ascii="Arial" w:cs="Arial" w:eastAsia="Arial" w:hAnsi="Arial"/>
                <w:sz w:val="10"/>
                <w:szCs w:val="10"/>
                <w:color w:val="auto"/>
              </w:rPr>
              <w:t>trust</w:t>
            </w:r>
          </w:p>
        </w:tc>
        <w:tc>
          <w:tcPr>
            <w:tcW w:w="2000" w:type="dxa"/>
            <w:vAlign w:val="bottom"/>
            <w:shd w:val="clear" w:color="auto" w:fill="EDEEEE"/>
          </w:tcPr>
          <w:p>
            <w:pPr>
              <w:ind w:left="80"/>
              <w:spacing w:after="0"/>
              <w:rPr>
                <w:sz w:val="20"/>
                <w:szCs w:val="20"/>
                <w:color w:val="auto"/>
              </w:rPr>
            </w:pPr>
            <w:r>
              <w:rPr>
                <w:rFonts w:ascii="Arial" w:cs="Arial" w:eastAsia="Arial" w:hAnsi="Arial"/>
                <w:sz w:val="10"/>
                <w:szCs w:val="10"/>
                <w:color w:val="auto"/>
              </w:rPr>
              <w:t>relations</w:t>
            </w:r>
          </w:p>
        </w:tc>
      </w:tr>
      <w:tr>
        <w:trPr>
          <w:trHeight w:val="63"/>
        </w:trPr>
        <w:tc>
          <w:tcPr>
            <w:tcW w:w="940" w:type="dxa"/>
            <w:vAlign w:val="bottom"/>
            <w:shd w:val="clear" w:color="auto" w:fill="EDEEEE"/>
          </w:tcPr>
          <w:p>
            <w:pPr>
              <w:spacing w:after="0"/>
              <w:rPr>
                <w:sz w:val="5"/>
                <w:szCs w:val="5"/>
                <w:color w:val="auto"/>
              </w:rPr>
            </w:pPr>
          </w:p>
        </w:tc>
        <w:tc>
          <w:tcPr>
            <w:tcW w:w="2000" w:type="dxa"/>
            <w:vAlign w:val="bottom"/>
            <w:shd w:val="clear" w:color="auto" w:fill="EDEEEE"/>
          </w:tcPr>
          <w:p>
            <w:pPr>
              <w:spacing w:after="0"/>
              <w:rPr>
                <w:sz w:val="5"/>
                <w:szCs w:val="5"/>
                <w:color w:val="auto"/>
              </w:rPr>
            </w:pPr>
          </w:p>
        </w:tc>
        <w:tc>
          <w:tcPr>
            <w:tcW w:w="940" w:type="dxa"/>
            <w:vAlign w:val="bottom"/>
            <w:shd w:val="clear" w:color="auto" w:fill="EDEEEE"/>
          </w:tcPr>
          <w:p>
            <w:pPr>
              <w:spacing w:after="0"/>
              <w:rPr>
                <w:sz w:val="5"/>
                <w:szCs w:val="5"/>
                <w:color w:val="auto"/>
              </w:rPr>
            </w:pPr>
          </w:p>
        </w:tc>
        <w:tc>
          <w:tcPr>
            <w:tcW w:w="2060" w:type="dxa"/>
            <w:vAlign w:val="bottom"/>
            <w:shd w:val="clear" w:color="auto" w:fill="EDEEEE"/>
          </w:tcPr>
          <w:p>
            <w:pPr>
              <w:spacing w:after="0"/>
              <w:rPr>
                <w:sz w:val="5"/>
                <w:szCs w:val="5"/>
                <w:color w:val="auto"/>
              </w:rPr>
            </w:pPr>
          </w:p>
        </w:tc>
        <w:tc>
          <w:tcPr>
            <w:tcW w:w="1920" w:type="dxa"/>
            <w:vAlign w:val="bottom"/>
            <w:shd w:val="clear" w:color="auto" w:fill="EDEEEE"/>
          </w:tcPr>
          <w:p>
            <w:pPr>
              <w:spacing w:after="0"/>
              <w:rPr>
                <w:sz w:val="5"/>
                <w:szCs w:val="5"/>
                <w:color w:val="auto"/>
              </w:rPr>
            </w:pPr>
          </w:p>
        </w:tc>
        <w:tc>
          <w:tcPr>
            <w:tcW w:w="2000" w:type="dxa"/>
            <w:vAlign w:val="bottom"/>
            <w:shd w:val="clear" w:color="auto" w:fill="EDEEEE"/>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68</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3" w:lineRule="auto"/>
        <w:rPr>
          <w:sz w:val="20"/>
          <w:szCs w:val="20"/>
          <w:color w:val="auto"/>
        </w:rPr>
      </w:pPr>
      <w:r>
        <w:rPr>
          <w:rFonts w:ascii="Arial" w:cs="Arial" w:eastAsia="Arial" w:hAnsi="Arial"/>
          <w:sz w:val="13"/>
          <w:szCs w:val="13"/>
          <w:b w:val="1"/>
          <w:bCs w:val="1"/>
          <w:color w:val="0057CF"/>
        </w:rPr>
        <w:t>Material impacts, risks, and</w:t>
      </w:r>
    </w:p>
    <w:p>
      <w:pPr>
        <w:spacing w:after="0" w:line="214" w:lineRule="auto"/>
        <w:rPr>
          <w:sz w:val="20"/>
          <w:szCs w:val="20"/>
          <w:color w:val="auto"/>
        </w:rPr>
      </w:pPr>
      <w:r>
        <w:rPr>
          <w:rFonts w:ascii="Arial" w:cs="Arial" w:eastAsia="Arial" w:hAnsi="Arial"/>
          <w:sz w:val="13"/>
          <w:szCs w:val="13"/>
          <w:b w:val="1"/>
          <w:bCs w:val="1"/>
          <w:color w:val="0057CF"/>
        </w:rPr>
        <w:t>opportunities and how they interact</w:t>
      </w:r>
    </w:p>
    <w:p>
      <w:pPr>
        <w:spacing w:after="0" w:line="214" w:lineRule="auto"/>
        <w:rPr>
          <w:sz w:val="20"/>
          <w:szCs w:val="20"/>
          <w:color w:val="auto"/>
        </w:rPr>
      </w:pPr>
      <w:r>
        <w:rPr>
          <w:rFonts w:ascii="Arial" w:cs="Arial" w:eastAsia="Arial" w:hAnsi="Arial"/>
          <w:sz w:val="13"/>
          <w:szCs w:val="13"/>
          <w:b w:val="1"/>
          <w:bCs w:val="1"/>
          <w:color w:val="0057CF"/>
        </w:rPr>
        <w:t>with our strategy and business</w:t>
      </w:r>
    </w:p>
    <w:p>
      <w:pPr>
        <w:spacing w:after="0" w:line="210" w:lineRule="auto"/>
        <w:rPr>
          <w:sz w:val="20"/>
          <w:szCs w:val="20"/>
          <w:color w:val="auto"/>
        </w:rPr>
      </w:pPr>
      <w:r>
        <w:rPr>
          <w:rFonts w:ascii="Arial" w:cs="Arial" w:eastAsia="Arial" w:hAnsi="Arial"/>
          <w:sz w:val="13"/>
          <w:szCs w:val="13"/>
          <w:b w:val="1"/>
          <w:bCs w:val="1"/>
          <w:color w:val="0057CF"/>
        </w:rPr>
        <w:t>model (SBM-3)</w:t>
      </w:r>
    </w:p>
    <w:p>
      <w:pPr>
        <w:spacing w:after="0" w:line="199" w:lineRule="auto"/>
        <w:rPr>
          <w:sz w:val="20"/>
          <w:szCs w:val="20"/>
          <w:color w:val="auto"/>
        </w:rPr>
      </w:pPr>
      <w:r>
        <w:rPr>
          <w:rFonts w:ascii="Arial" w:cs="Arial" w:eastAsia="Arial" w:hAnsi="Arial"/>
          <w:sz w:val="10"/>
          <w:szCs w:val="10"/>
          <w:color w:val="auto"/>
        </w:rPr>
        <w:t>The table outlines Genmab’s material IROs</w:t>
      </w:r>
    </w:p>
    <w:p>
      <w:pPr>
        <w:spacing w:after="0" w:line="198" w:lineRule="auto"/>
        <w:rPr>
          <w:sz w:val="20"/>
          <w:szCs w:val="20"/>
          <w:color w:val="auto"/>
        </w:rPr>
      </w:pPr>
      <w:r>
        <w:rPr>
          <w:rFonts w:ascii="Arial" w:cs="Arial" w:eastAsia="Arial" w:hAnsi="Arial"/>
          <w:sz w:val="10"/>
          <w:szCs w:val="10"/>
          <w:color w:val="auto"/>
        </w:rPr>
        <w:t>identified through our DMA indicating where these</w:t>
      </w:r>
    </w:p>
    <w:p>
      <w:pPr>
        <w:spacing w:after="0" w:line="199" w:lineRule="auto"/>
        <w:rPr>
          <w:sz w:val="20"/>
          <w:szCs w:val="20"/>
          <w:color w:val="auto"/>
        </w:rPr>
      </w:pPr>
      <w:r>
        <w:rPr>
          <w:rFonts w:ascii="Arial" w:cs="Arial" w:eastAsia="Arial" w:hAnsi="Arial"/>
          <w:sz w:val="10"/>
          <w:szCs w:val="10"/>
          <w:color w:val="auto"/>
        </w:rPr>
        <w:t>IROs are concentrated within our business model,</w:t>
      </w:r>
    </w:p>
    <w:p>
      <w:pPr>
        <w:spacing w:after="0" w:line="198" w:lineRule="auto"/>
        <w:rPr>
          <w:sz w:val="20"/>
          <w:szCs w:val="20"/>
          <w:color w:val="auto"/>
        </w:rPr>
      </w:pPr>
      <w:r>
        <w:rPr>
          <w:rFonts w:ascii="Arial" w:cs="Arial" w:eastAsia="Arial" w:hAnsi="Arial"/>
          <w:sz w:val="10"/>
          <w:szCs w:val="10"/>
          <w:color w:val="auto"/>
        </w:rPr>
        <w:t>own operations, and value chain, and whether</w:t>
      </w:r>
    </w:p>
    <w:p>
      <w:pPr>
        <w:spacing w:after="0" w:line="199" w:lineRule="auto"/>
        <w:rPr>
          <w:sz w:val="20"/>
          <w:szCs w:val="20"/>
          <w:color w:val="auto"/>
        </w:rPr>
      </w:pPr>
      <w:r>
        <w:rPr>
          <w:rFonts w:ascii="Arial" w:cs="Arial" w:eastAsia="Arial" w:hAnsi="Arial"/>
          <w:sz w:val="10"/>
          <w:szCs w:val="10"/>
          <w:color w:val="auto"/>
        </w:rPr>
        <w:t>impacts are positive or negative.</w:t>
      </w:r>
    </w:p>
    <w:p>
      <w:pPr>
        <w:spacing w:after="0" w:line="199" w:lineRule="auto"/>
        <w:rPr>
          <w:sz w:val="20"/>
          <w:szCs w:val="20"/>
          <w:color w:val="auto"/>
        </w:rPr>
      </w:pPr>
      <w:r>
        <w:rPr>
          <w:rFonts w:ascii="Arial" w:cs="Arial" w:eastAsia="Arial" w:hAnsi="Arial"/>
          <w:sz w:val="10"/>
          <w:szCs w:val="10"/>
          <w:color w:val="auto"/>
        </w:rPr>
        <w:t>Further details on our responses to these IROs—</w:t>
      </w:r>
    </w:p>
    <w:p>
      <w:pPr>
        <w:spacing w:after="0" w:line="198" w:lineRule="auto"/>
        <w:rPr>
          <w:sz w:val="20"/>
          <w:szCs w:val="20"/>
          <w:color w:val="auto"/>
        </w:rPr>
      </w:pPr>
      <w:r>
        <w:rPr>
          <w:rFonts w:ascii="Arial" w:cs="Arial" w:eastAsia="Arial" w:hAnsi="Arial"/>
          <w:sz w:val="10"/>
          <w:szCs w:val="10"/>
          <w:color w:val="auto"/>
        </w:rPr>
        <w:t>including links to our sustainability strategy,</w:t>
      </w:r>
    </w:p>
    <w:p>
      <w:pPr>
        <w:spacing w:after="0" w:line="199" w:lineRule="auto"/>
        <w:rPr>
          <w:sz w:val="20"/>
          <w:szCs w:val="20"/>
          <w:color w:val="auto"/>
        </w:rPr>
      </w:pPr>
      <w:r>
        <w:rPr>
          <w:rFonts w:ascii="Arial" w:cs="Arial" w:eastAsia="Arial" w:hAnsi="Arial"/>
          <w:sz w:val="10"/>
          <w:szCs w:val="10"/>
          <w:color w:val="auto"/>
        </w:rPr>
        <w:t>business model, expected time horizons, and</w:t>
      </w:r>
    </w:p>
    <w:p>
      <w:pPr>
        <w:spacing w:after="0" w:line="199" w:lineRule="auto"/>
        <w:rPr>
          <w:sz w:val="20"/>
          <w:szCs w:val="20"/>
          <w:color w:val="auto"/>
        </w:rPr>
      </w:pPr>
      <w:r>
        <w:rPr>
          <w:rFonts w:ascii="Arial" w:cs="Arial" w:eastAsia="Arial" w:hAnsi="Arial"/>
          <w:sz w:val="10"/>
          <w:szCs w:val="10"/>
          <w:color w:val="auto"/>
        </w:rPr>
        <w:t>business relationships—are provided in the</w:t>
      </w:r>
    </w:p>
    <w:p>
      <w:pPr>
        <w:spacing w:after="0" w:line="198" w:lineRule="auto"/>
        <w:rPr>
          <w:sz w:val="20"/>
          <w:szCs w:val="20"/>
          <w:color w:val="auto"/>
        </w:rPr>
      </w:pPr>
      <w:r>
        <w:rPr>
          <w:rFonts w:ascii="Arial" w:cs="Arial" w:eastAsia="Arial" w:hAnsi="Arial"/>
          <w:sz w:val="10"/>
          <w:szCs w:val="10"/>
          <w:color w:val="auto"/>
        </w:rPr>
        <w:t>Environmental, Social, and Governance sections.</w:t>
      </w:r>
    </w:p>
    <w:p>
      <w:pPr>
        <w:spacing w:after="0" w:line="199" w:lineRule="auto"/>
        <w:rPr>
          <w:sz w:val="20"/>
          <w:szCs w:val="20"/>
          <w:color w:val="auto"/>
        </w:rPr>
      </w:pPr>
      <w:r>
        <w:rPr>
          <w:rFonts w:ascii="Arial" w:cs="Arial" w:eastAsia="Arial" w:hAnsi="Arial"/>
          <w:sz w:val="10"/>
          <w:szCs w:val="10"/>
          <w:color w:val="auto"/>
        </w:rPr>
        <w:t>There is no identified significant risk of material</w:t>
      </w:r>
    </w:p>
    <w:p>
      <w:pPr>
        <w:spacing w:after="0" w:line="199" w:lineRule="auto"/>
        <w:rPr>
          <w:sz w:val="20"/>
          <w:szCs w:val="20"/>
          <w:color w:val="auto"/>
        </w:rPr>
      </w:pPr>
      <w:r>
        <w:rPr>
          <w:rFonts w:ascii="Arial" w:cs="Arial" w:eastAsia="Arial" w:hAnsi="Arial"/>
          <w:sz w:val="10"/>
          <w:szCs w:val="10"/>
          <w:color w:val="auto"/>
        </w:rPr>
        <w:t>adjustments to asset or liability values in the next</w:t>
      </w:r>
    </w:p>
    <w:p>
      <w:pPr>
        <w:spacing w:after="0" w:line="198" w:lineRule="auto"/>
        <w:rPr>
          <w:sz w:val="20"/>
          <w:szCs w:val="20"/>
          <w:color w:val="auto"/>
        </w:rPr>
      </w:pPr>
      <w:r>
        <w:rPr>
          <w:rFonts w:ascii="Arial" w:cs="Arial" w:eastAsia="Arial" w:hAnsi="Arial"/>
          <w:sz w:val="10"/>
          <w:szCs w:val="10"/>
          <w:color w:val="auto"/>
        </w:rPr>
        <w:t>annual reporting period related to these IROs.</w:t>
      </w:r>
    </w:p>
    <w:p>
      <w:pPr>
        <w:spacing w:after="0" w:line="199" w:lineRule="auto"/>
        <w:rPr>
          <w:sz w:val="20"/>
          <w:szCs w:val="20"/>
          <w:color w:val="auto"/>
        </w:rPr>
      </w:pPr>
      <w:r>
        <w:rPr>
          <w:rFonts w:ascii="Arial" w:cs="Arial" w:eastAsia="Arial" w:hAnsi="Arial"/>
          <w:sz w:val="10"/>
          <w:szCs w:val="10"/>
          <w:color w:val="auto"/>
        </w:rPr>
        <w:t>Genmab has no material investment or disposal</w:t>
      </w:r>
    </w:p>
    <w:p>
      <w:pPr>
        <w:spacing w:after="0" w:line="199" w:lineRule="auto"/>
        <w:rPr>
          <w:sz w:val="20"/>
          <w:szCs w:val="20"/>
          <w:color w:val="auto"/>
        </w:rPr>
      </w:pPr>
      <w:r>
        <w:rPr>
          <w:rFonts w:ascii="Arial" w:cs="Arial" w:eastAsia="Arial" w:hAnsi="Arial"/>
          <w:sz w:val="10"/>
          <w:szCs w:val="10"/>
          <w:color w:val="auto"/>
        </w:rPr>
        <w:t>plans, nor specific funding arrangements currently</w:t>
      </w:r>
    </w:p>
    <w:p>
      <w:pPr>
        <w:spacing w:after="0" w:line="198" w:lineRule="auto"/>
        <w:rPr>
          <w:sz w:val="20"/>
          <w:szCs w:val="20"/>
          <w:color w:val="auto"/>
        </w:rPr>
      </w:pPr>
      <w:r>
        <w:rPr>
          <w:rFonts w:ascii="Arial" w:cs="Arial" w:eastAsia="Arial" w:hAnsi="Arial"/>
          <w:sz w:val="10"/>
          <w:szCs w:val="10"/>
          <w:color w:val="auto"/>
        </w:rPr>
        <w:t>linked to our material IROs or sustainability</w:t>
      </w:r>
    </w:p>
    <w:p>
      <w:pPr>
        <w:spacing w:after="0" w:line="237" w:lineRule="auto"/>
        <w:rPr>
          <w:sz w:val="20"/>
          <w:szCs w:val="20"/>
          <w:color w:val="auto"/>
        </w:rPr>
      </w:pPr>
      <w:r>
        <w:rPr>
          <w:rFonts w:ascii="Arial" w:cs="Arial" w:eastAsia="Arial" w:hAnsi="Arial"/>
          <w:sz w:val="10"/>
          <w:szCs w:val="10"/>
          <w:color w:val="auto"/>
        </w:rPr>
        <w:t>strategy.</w:t>
      </w:r>
    </w:p>
    <w:tbl>
      <w:tblPr>
        <w:tblLayout w:type="fixed"/>
        <w:tblInd w:w="0" w:type="dxa"/>
        <w:tblCellMar>
          <w:top w:w="0" w:type="dxa"/>
          <w:left w:w="0" w:type="dxa"/>
          <w:bottom w:w="0" w:type="dxa"/>
          <w:right w:w="0" w:type="dxa"/>
        </w:tblCellMar>
      </w:tblPr>
      <w:tr>
        <w:trPr>
          <w:trHeight w:val="128"/>
        </w:trPr>
        <w:tc>
          <w:tcPr>
            <w:tcW w:w="380" w:type="dxa"/>
            <w:vAlign w:val="bottom"/>
          </w:tcPr>
          <w:p>
            <w:pPr>
              <w:ind w:left="20"/>
              <w:spacing w:after="0"/>
              <w:rPr>
                <w:sz w:val="20"/>
                <w:szCs w:val="20"/>
                <w:color w:val="auto"/>
              </w:rPr>
            </w:pPr>
            <w:r>
              <w:rPr>
                <w:rFonts w:ascii="Arial" w:cs="Arial" w:eastAsia="Arial" w:hAnsi="Arial"/>
                <w:sz w:val="10"/>
                <w:szCs w:val="10"/>
                <w:b w:val="1"/>
                <w:bCs w:val="1"/>
                <w:color w:val="auto"/>
              </w:rPr>
              <w:t>Key:</w:t>
            </w:r>
          </w:p>
        </w:tc>
        <w:tc>
          <w:tcPr>
            <w:tcW w:w="220" w:type="dxa"/>
            <w:vAlign w:val="bottom"/>
          </w:tcPr>
          <w:p>
            <w:pPr>
              <w:ind w:left="20"/>
              <w:spacing w:after="0"/>
              <w:rPr>
                <w:sz w:val="20"/>
                <w:szCs w:val="20"/>
                <w:color w:val="auto"/>
              </w:rPr>
            </w:pPr>
            <w:r>
              <w:rPr>
                <w:rFonts w:ascii="Arial" w:cs="Arial" w:eastAsia="Arial" w:hAnsi="Arial"/>
                <w:sz w:val="10"/>
                <w:szCs w:val="10"/>
                <w:b w:val="1"/>
                <w:bCs w:val="1"/>
                <w:color w:val="auto"/>
              </w:rPr>
              <w:t>U</w:t>
            </w:r>
          </w:p>
        </w:tc>
        <w:tc>
          <w:tcPr>
            <w:tcW w:w="800" w:type="dxa"/>
            <w:vAlign w:val="bottom"/>
            <w:gridSpan w:val="2"/>
          </w:tcPr>
          <w:p>
            <w:pPr>
              <w:ind w:left="60"/>
              <w:spacing w:after="0"/>
              <w:rPr>
                <w:sz w:val="20"/>
                <w:szCs w:val="20"/>
                <w:color w:val="auto"/>
              </w:rPr>
            </w:pPr>
            <w:r>
              <w:rPr>
                <w:rFonts w:ascii="Arial" w:cs="Arial" w:eastAsia="Arial" w:hAnsi="Arial"/>
                <w:sz w:val="10"/>
                <w:szCs w:val="10"/>
                <w:color w:val="auto"/>
              </w:rPr>
              <w:t>Upstream</w:t>
            </w:r>
          </w:p>
        </w:tc>
        <w:tc>
          <w:tcPr>
            <w:tcW w:w="260" w:type="dxa"/>
            <w:vAlign w:val="bottom"/>
          </w:tcPr>
          <w:p>
            <w:pPr>
              <w:ind w:left="60"/>
              <w:spacing w:after="0"/>
              <w:rPr>
                <w:sz w:val="20"/>
                <w:szCs w:val="20"/>
                <w:color w:val="auto"/>
              </w:rPr>
            </w:pPr>
            <w:r>
              <w:rPr>
                <w:rFonts w:ascii="Arial" w:cs="Arial" w:eastAsia="Arial" w:hAnsi="Arial"/>
                <w:sz w:val="10"/>
                <w:szCs w:val="10"/>
                <w:b w:val="1"/>
                <w:bCs w:val="1"/>
                <w:color w:val="auto"/>
              </w:rPr>
              <w:t>D</w:t>
            </w:r>
          </w:p>
        </w:tc>
        <w:tc>
          <w:tcPr>
            <w:tcW w:w="860" w:type="dxa"/>
            <w:vAlign w:val="bottom"/>
            <w:gridSpan w:val="2"/>
          </w:tcPr>
          <w:p>
            <w:pPr>
              <w:ind w:left="60"/>
              <w:spacing w:after="0"/>
              <w:rPr>
                <w:sz w:val="20"/>
                <w:szCs w:val="20"/>
                <w:color w:val="auto"/>
              </w:rPr>
            </w:pPr>
            <w:r>
              <w:rPr>
                <w:rFonts w:ascii="Arial" w:cs="Arial" w:eastAsia="Arial" w:hAnsi="Arial"/>
                <w:sz w:val="10"/>
                <w:szCs w:val="10"/>
                <w:color w:val="auto"/>
              </w:rPr>
              <w:t>Downstream</w:t>
            </w:r>
          </w:p>
        </w:tc>
        <w:tc>
          <w:tcPr>
            <w:tcW w:w="200" w:type="dxa"/>
            <w:vAlign w:val="bottom"/>
          </w:tcPr>
          <w:p>
            <w:pPr>
              <w:spacing w:after="0"/>
              <w:rPr>
                <w:sz w:val="20"/>
                <w:szCs w:val="20"/>
                <w:color w:val="auto"/>
              </w:rPr>
            </w:pPr>
            <w:r>
              <w:rPr>
                <w:rFonts w:ascii="Arial" w:cs="Arial" w:eastAsia="Arial" w:hAnsi="Arial"/>
                <w:sz w:val="10"/>
                <w:szCs w:val="10"/>
                <w:b w:val="1"/>
                <w:bCs w:val="1"/>
                <w:color w:val="auto"/>
              </w:rPr>
              <w:t>MT</w:t>
            </w:r>
          </w:p>
        </w:tc>
        <w:tc>
          <w:tcPr>
            <w:tcW w:w="5740" w:type="dxa"/>
            <w:vAlign w:val="bottom"/>
          </w:tcPr>
          <w:p>
            <w:pPr>
              <w:ind w:left="60"/>
              <w:spacing w:after="0"/>
              <w:rPr>
                <w:sz w:val="20"/>
                <w:szCs w:val="20"/>
                <w:color w:val="auto"/>
              </w:rPr>
            </w:pPr>
            <w:r>
              <w:rPr>
                <w:rFonts w:ascii="Arial" w:cs="Arial" w:eastAsia="Arial" w:hAnsi="Arial"/>
                <w:sz w:val="10"/>
                <w:szCs w:val="10"/>
                <w:color w:val="auto"/>
              </w:rPr>
              <w:t>Medium-Term</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Arial" w:cs="Arial" w:eastAsia="Arial" w:hAnsi="Arial"/>
                <w:sz w:val="10"/>
                <w:szCs w:val="10"/>
                <w:b w:val="1"/>
                <w:bCs w:val="1"/>
                <w:color w:val="auto"/>
              </w:rPr>
              <w:t>OO</w:t>
            </w:r>
          </w:p>
        </w:tc>
        <w:tc>
          <w:tcPr>
            <w:tcW w:w="800" w:type="dxa"/>
            <w:vAlign w:val="bottom"/>
            <w:gridSpan w:val="2"/>
          </w:tcPr>
          <w:p>
            <w:pPr>
              <w:ind w:left="60"/>
              <w:spacing w:after="0"/>
              <w:rPr>
                <w:sz w:val="20"/>
                <w:szCs w:val="20"/>
                <w:color w:val="auto"/>
              </w:rPr>
            </w:pPr>
            <w:r>
              <w:rPr>
                <w:rFonts w:ascii="Arial" w:cs="Arial" w:eastAsia="Arial" w:hAnsi="Arial"/>
                <w:sz w:val="10"/>
                <w:szCs w:val="10"/>
                <w:color w:val="auto"/>
              </w:rPr>
              <w:t>Own operations</w:t>
            </w:r>
          </w:p>
        </w:tc>
        <w:tc>
          <w:tcPr>
            <w:tcW w:w="260" w:type="dxa"/>
            <w:vAlign w:val="bottom"/>
          </w:tcPr>
          <w:p>
            <w:pPr>
              <w:ind w:left="60"/>
              <w:spacing w:after="0"/>
              <w:rPr>
                <w:sz w:val="20"/>
                <w:szCs w:val="20"/>
                <w:color w:val="auto"/>
              </w:rPr>
            </w:pPr>
            <w:r>
              <w:rPr>
                <w:rFonts w:ascii="Arial" w:cs="Arial" w:eastAsia="Arial" w:hAnsi="Arial"/>
                <w:sz w:val="10"/>
                <w:szCs w:val="10"/>
                <w:b w:val="1"/>
                <w:bCs w:val="1"/>
                <w:color w:val="auto"/>
              </w:rPr>
              <w:t>ST</w:t>
            </w:r>
          </w:p>
        </w:tc>
        <w:tc>
          <w:tcPr>
            <w:tcW w:w="860" w:type="dxa"/>
            <w:vAlign w:val="bottom"/>
            <w:gridSpan w:val="2"/>
          </w:tcPr>
          <w:p>
            <w:pPr>
              <w:ind w:left="60"/>
              <w:spacing w:after="0"/>
              <w:rPr>
                <w:sz w:val="20"/>
                <w:szCs w:val="20"/>
                <w:color w:val="auto"/>
              </w:rPr>
            </w:pPr>
            <w:r>
              <w:rPr>
                <w:rFonts w:ascii="Arial" w:cs="Arial" w:eastAsia="Arial" w:hAnsi="Arial"/>
                <w:sz w:val="10"/>
                <w:szCs w:val="10"/>
                <w:color w:val="auto"/>
              </w:rPr>
              <w:t>Short-Term</w:t>
            </w:r>
          </w:p>
        </w:tc>
        <w:tc>
          <w:tcPr>
            <w:tcW w:w="200" w:type="dxa"/>
            <w:vAlign w:val="bottom"/>
          </w:tcPr>
          <w:p>
            <w:pPr>
              <w:spacing w:after="0"/>
              <w:rPr>
                <w:sz w:val="20"/>
                <w:szCs w:val="20"/>
                <w:color w:val="auto"/>
              </w:rPr>
            </w:pPr>
            <w:r>
              <w:rPr>
                <w:rFonts w:ascii="Arial" w:cs="Arial" w:eastAsia="Arial" w:hAnsi="Arial"/>
                <w:sz w:val="10"/>
                <w:szCs w:val="10"/>
                <w:b w:val="1"/>
                <w:bCs w:val="1"/>
                <w:color w:val="auto"/>
              </w:rPr>
              <w:t>LT</w:t>
            </w:r>
          </w:p>
        </w:tc>
        <w:tc>
          <w:tcPr>
            <w:tcW w:w="5740" w:type="dxa"/>
            <w:vAlign w:val="bottom"/>
          </w:tcPr>
          <w:p>
            <w:pPr>
              <w:ind w:left="60"/>
              <w:spacing w:after="0"/>
              <w:rPr>
                <w:sz w:val="20"/>
                <w:szCs w:val="20"/>
                <w:color w:val="auto"/>
              </w:rPr>
            </w:pPr>
            <w:r>
              <w:rPr>
                <w:rFonts w:ascii="Arial" w:cs="Arial" w:eastAsia="Arial" w:hAnsi="Arial"/>
                <w:sz w:val="10"/>
                <w:szCs w:val="10"/>
                <w:color w:val="auto"/>
              </w:rPr>
              <w:t>Long-Term</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520" w:type="dxa"/>
            <w:vAlign w:val="bottom"/>
            <w:gridSpan w:val="7"/>
          </w:tcPr>
          <w:p>
            <w:pPr>
              <w:spacing w:after="0" w:line="105" w:lineRule="exact"/>
              <w:rPr>
                <w:sz w:val="20"/>
                <w:szCs w:val="20"/>
                <w:color w:val="auto"/>
              </w:rPr>
            </w:pPr>
            <w:r>
              <w:rPr>
                <w:rFonts w:ascii="Arial" w:cs="Arial" w:eastAsia="Arial" w:hAnsi="Arial"/>
                <w:sz w:val="10"/>
                <w:szCs w:val="10"/>
                <w:color w:val="auto"/>
              </w:rPr>
              <w:t>During the reporting period, Genmab reviewed</w:t>
            </w:r>
          </w:p>
        </w:tc>
        <w:tc>
          <w:tcPr>
            <w:tcW w:w="2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and refined the presentation of its IROs. As part of</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this exercise, IRO naming and categorization were</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gridSpan w:val="6"/>
          </w:tcPr>
          <w:p>
            <w:pPr>
              <w:spacing w:after="0" w:line="95" w:lineRule="exact"/>
              <w:rPr>
                <w:sz w:val="20"/>
                <w:szCs w:val="20"/>
                <w:color w:val="auto"/>
              </w:rPr>
            </w:pPr>
            <w:r>
              <w:rPr>
                <w:rFonts w:ascii="Arial" w:cs="Arial" w:eastAsia="Arial" w:hAnsi="Arial"/>
                <w:sz w:val="10"/>
                <w:szCs w:val="10"/>
                <w:color w:val="auto"/>
              </w:rPr>
              <w:t>updated to improve clarity and consistency of</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documentation. These updates were editorial in</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nature and did not result in any changes to the</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gridSpan w:val="6"/>
          </w:tcPr>
          <w:p>
            <w:pPr>
              <w:spacing w:after="0" w:line="95" w:lineRule="exact"/>
              <w:rPr>
                <w:sz w:val="20"/>
                <w:szCs w:val="20"/>
                <w:color w:val="auto"/>
              </w:rPr>
            </w:pPr>
            <w:r>
              <w:rPr>
                <w:rFonts w:ascii="Arial" w:cs="Arial" w:eastAsia="Arial" w:hAnsi="Arial"/>
                <w:sz w:val="10"/>
                <w:szCs w:val="10"/>
                <w:color w:val="auto"/>
              </w:rPr>
              <w:t>underlying content or substance of the IROs.</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gridSpan w:val="6"/>
          </w:tcPr>
          <w:p>
            <w:pPr>
              <w:spacing w:after="0" w:line="95" w:lineRule="exact"/>
              <w:rPr>
                <w:sz w:val="20"/>
                <w:szCs w:val="20"/>
                <w:color w:val="auto"/>
              </w:rPr>
            </w:pPr>
            <w:r>
              <w:rPr>
                <w:rFonts w:ascii="Arial" w:cs="Arial" w:eastAsia="Arial" w:hAnsi="Arial"/>
                <w:sz w:val="10"/>
                <w:szCs w:val="10"/>
                <w:color w:val="auto"/>
              </w:rPr>
              <w:t>The DMA methodology and outcomes remain</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unchanged. In addition, Genmab reassessed the</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materiality of IROs related to opportunities. Based</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on this review, the number of opportunity-related</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gridSpan w:val="6"/>
          </w:tcPr>
          <w:p>
            <w:pPr>
              <w:spacing w:after="0" w:line="95" w:lineRule="exact"/>
              <w:rPr>
                <w:sz w:val="20"/>
                <w:szCs w:val="20"/>
                <w:color w:val="auto"/>
              </w:rPr>
            </w:pPr>
            <w:r>
              <w:rPr>
                <w:rFonts w:ascii="Arial" w:cs="Arial" w:eastAsia="Arial" w:hAnsi="Arial"/>
                <w:sz w:val="10"/>
                <w:szCs w:val="10"/>
                <w:color w:val="auto"/>
              </w:rPr>
              <w:t>IROs was reduced, reflecting a more focused</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articulation of those opportunities that are assessed</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gridSpan w:val="6"/>
          </w:tcPr>
          <w:p>
            <w:pPr>
              <w:spacing w:after="0" w:line="95" w:lineRule="exact"/>
              <w:rPr>
                <w:sz w:val="20"/>
                <w:szCs w:val="20"/>
                <w:color w:val="auto"/>
              </w:rPr>
            </w:pPr>
            <w:r>
              <w:rPr>
                <w:rFonts w:ascii="Arial" w:cs="Arial" w:eastAsia="Arial" w:hAnsi="Arial"/>
                <w:sz w:val="10"/>
                <w:szCs w:val="10"/>
                <w:color w:val="auto"/>
              </w:rPr>
              <w:t>as material. This refinement did not change</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gridSpan w:val="6"/>
          </w:tcPr>
          <w:p>
            <w:pPr>
              <w:spacing w:after="0" w:line="95" w:lineRule="exact"/>
              <w:rPr>
                <w:sz w:val="20"/>
                <w:szCs w:val="20"/>
                <w:color w:val="auto"/>
              </w:rPr>
            </w:pPr>
            <w:r>
              <w:rPr>
                <w:rFonts w:ascii="Arial" w:cs="Arial" w:eastAsia="Arial" w:hAnsi="Arial"/>
                <w:sz w:val="10"/>
                <w:szCs w:val="10"/>
                <w:color w:val="auto"/>
              </w:rPr>
              <w:t>Genmab’s overall material topics or strategic</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20" w:type="dxa"/>
            <w:vAlign w:val="bottom"/>
            <w:gridSpan w:val="7"/>
          </w:tcPr>
          <w:p>
            <w:pPr>
              <w:spacing w:after="0" w:line="95" w:lineRule="exact"/>
              <w:rPr>
                <w:sz w:val="20"/>
                <w:szCs w:val="20"/>
                <w:color w:val="auto"/>
              </w:rPr>
            </w:pPr>
            <w:r>
              <w:rPr>
                <w:rFonts w:ascii="Arial" w:cs="Arial" w:eastAsia="Arial" w:hAnsi="Arial"/>
                <w:sz w:val="10"/>
                <w:szCs w:val="10"/>
                <w:color w:val="auto"/>
              </w:rPr>
              <w:t>priorities but improves the clarity and relevance of</w:t>
            </w: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00" w:type="dxa"/>
            <w:vAlign w:val="bottom"/>
            <w:tcBorders>
              <w:bottom w:val="single" w:sz="8" w:color="0057CF"/>
            </w:tcBorders>
            <w:gridSpan w:val="4"/>
          </w:tcPr>
          <w:p>
            <w:pPr>
              <w:spacing w:after="0" w:line="105" w:lineRule="exact"/>
              <w:rPr>
                <w:sz w:val="20"/>
                <w:szCs w:val="20"/>
                <w:color w:val="auto"/>
              </w:rPr>
            </w:pPr>
            <w:r>
              <w:rPr>
                <w:rFonts w:ascii="Arial" w:cs="Arial" w:eastAsia="Arial" w:hAnsi="Arial"/>
                <w:sz w:val="10"/>
                <w:szCs w:val="10"/>
                <w:color w:val="auto"/>
              </w:rPr>
              <w:t>the disclosed information.</w:t>
            </w:r>
          </w:p>
        </w:tc>
        <w:tc>
          <w:tcPr>
            <w:tcW w:w="260" w:type="dxa"/>
            <w:vAlign w:val="bottom"/>
            <w:tcBorders>
              <w:bottom w:val="single" w:sz="8" w:color="0057CF"/>
            </w:tcBorders>
          </w:tcPr>
          <w:p>
            <w:pPr>
              <w:spacing w:after="0"/>
              <w:rPr>
                <w:sz w:val="9"/>
                <w:szCs w:val="9"/>
                <w:color w:val="auto"/>
              </w:rPr>
            </w:pPr>
          </w:p>
        </w:tc>
        <w:tc>
          <w:tcPr>
            <w:tcW w:w="460" w:type="dxa"/>
            <w:vAlign w:val="bottom"/>
            <w:tcBorders>
              <w:bottom w:val="single" w:sz="8" w:color="0057CF"/>
            </w:tcBorders>
          </w:tcPr>
          <w:p>
            <w:pPr>
              <w:spacing w:after="0"/>
              <w:rPr>
                <w:sz w:val="9"/>
                <w:szCs w:val="9"/>
                <w:color w:val="auto"/>
              </w:rPr>
            </w:pPr>
          </w:p>
        </w:tc>
        <w:tc>
          <w:tcPr>
            <w:tcW w:w="400" w:type="dxa"/>
            <w:vAlign w:val="bottom"/>
            <w:tcBorders>
              <w:bottom w:val="single" w:sz="8" w:color="0057CF"/>
            </w:tcBorders>
          </w:tcPr>
          <w:p>
            <w:pPr>
              <w:spacing w:after="0"/>
              <w:rPr>
                <w:sz w:val="9"/>
                <w:szCs w:val="9"/>
                <w:color w:val="auto"/>
              </w:rPr>
            </w:pPr>
          </w:p>
        </w:tc>
        <w:tc>
          <w:tcPr>
            <w:tcW w:w="200" w:type="dxa"/>
            <w:vAlign w:val="bottom"/>
            <w:tcBorders>
              <w:bottom w:val="single" w:sz="8" w:color="0057CF"/>
            </w:tcBorders>
          </w:tcPr>
          <w:p>
            <w:pPr>
              <w:spacing w:after="0"/>
              <w:rPr>
                <w:sz w:val="9"/>
                <w:szCs w:val="9"/>
                <w:color w:val="auto"/>
              </w:rPr>
            </w:pPr>
          </w:p>
        </w:tc>
        <w:tc>
          <w:tcPr>
            <w:tcW w:w="5740" w:type="dxa"/>
            <w:vAlign w:val="bottom"/>
            <w:tcBorders>
              <w:bottom w:val="single" w:sz="8" w:color="0057CF"/>
            </w:tcBorders>
          </w:tcPr>
          <w:p>
            <w:pPr>
              <w:spacing w:after="0"/>
              <w:rPr>
                <w:sz w:val="9"/>
                <w:szCs w:val="9"/>
                <w:color w:val="auto"/>
              </w:rPr>
            </w:pPr>
          </w:p>
        </w:tc>
        <w:tc>
          <w:tcPr>
            <w:tcW w:w="180" w:type="dxa"/>
            <w:vAlign w:val="bottom"/>
            <w:tcBorders>
              <w:bottom w:val="single" w:sz="8" w:color="0057CF"/>
            </w:tcBorders>
          </w:tcPr>
          <w:p>
            <w:pPr>
              <w:spacing w:after="0"/>
              <w:rPr>
                <w:sz w:val="9"/>
                <w:szCs w:val="9"/>
                <w:color w:val="auto"/>
              </w:rPr>
            </w:pPr>
          </w:p>
        </w:tc>
        <w:tc>
          <w:tcPr>
            <w:tcW w:w="480" w:type="dxa"/>
            <w:vAlign w:val="bottom"/>
            <w:tcBorders>
              <w:bottom w:val="single" w:sz="8" w:color="0057CF"/>
            </w:tcBorders>
          </w:tcPr>
          <w:p>
            <w:pPr>
              <w:spacing w:after="0"/>
              <w:rPr>
                <w:sz w:val="9"/>
                <w:szCs w:val="9"/>
                <w:color w:val="auto"/>
              </w:rPr>
            </w:pPr>
          </w:p>
        </w:tc>
        <w:tc>
          <w:tcPr>
            <w:tcW w:w="820" w:type="dxa"/>
            <w:vAlign w:val="bottom"/>
            <w:tcBorders>
              <w:bottom w:val="single" w:sz="8" w:color="0057CF"/>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Value Chain</w:t>
            </w: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Time Horizon</w:t>
            </w: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IRO Name</w:t>
            </w:r>
          </w:p>
        </w:tc>
        <w:tc>
          <w:tcPr>
            <w:tcW w:w="46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IRO Type</w:t>
            </w:r>
          </w:p>
        </w:tc>
        <w:tc>
          <w:tcPr>
            <w:tcW w:w="5740" w:type="dxa"/>
            <w:vAlign w:val="bottom"/>
          </w:tcPr>
          <w:p>
            <w:pPr>
              <w:ind w:left="40"/>
              <w:spacing w:after="0"/>
              <w:rPr>
                <w:sz w:val="20"/>
                <w:szCs w:val="20"/>
                <w:color w:val="auto"/>
              </w:rPr>
            </w:pPr>
            <w:r>
              <w:rPr>
                <w:rFonts w:ascii="Arial" w:cs="Arial" w:eastAsia="Arial" w:hAnsi="Arial"/>
                <w:sz w:val="10"/>
                <w:szCs w:val="10"/>
                <w:b w:val="1"/>
                <w:bCs w:val="1"/>
                <w:color w:val="auto"/>
              </w:rPr>
              <w:t>IRO Description</w:t>
            </w:r>
          </w:p>
        </w:tc>
        <w:tc>
          <w:tcPr>
            <w:tcW w:w="180" w:type="dxa"/>
            <w:vAlign w:val="bottom"/>
          </w:tcPr>
          <w:p>
            <w:pPr>
              <w:spacing w:after="0"/>
              <w:rPr>
                <w:sz w:val="20"/>
                <w:szCs w:val="20"/>
                <w:color w:val="auto"/>
              </w:rPr>
            </w:pPr>
            <w:r>
              <w:rPr>
                <w:rFonts w:ascii="Arial" w:cs="Arial" w:eastAsia="Arial" w:hAnsi="Arial"/>
                <w:sz w:val="10"/>
                <w:szCs w:val="10"/>
                <w:b w:val="1"/>
                <w:bCs w:val="1"/>
                <w:color w:val="auto"/>
              </w:rPr>
              <w:t>U</w:t>
            </w:r>
          </w:p>
        </w:tc>
        <w:tc>
          <w:tcPr>
            <w:tcW w:w="480" w:type="dxa"/>
            <w:vAlign w:val="bottom"/>
          </w:tcPr>
          <w:p>
            <w:pPr>
              <w:jc w:val="right"/>
              <w:ind w:right="48"/>
              <w:spacing w:after="0"/>
              <w:rPr>
                <w:sz w:val="20"/>
                <w:szCs w:val="20"/>
                <w:color w:val="auto"/>
              </w:rPr>
            </w:pPr>
            <w:r>
              <w:rPr>
                <w:rFonts w:ascii="Arial" w:cs="Arial" w:eastAsia="Arial" w:hAnsi="Arial"/>
                <w:sz w:val="10"/>
                <w:szCs w:val="10"/>
                <w:b w:val="1"/>
                <w:bCs w:val="1"/>
                <w:color w:val="auto"/>
              </w:rPr>
              <w:t>OO  D</w:t>
            </w:r>
          </w:p>
        </w:tc>
        <w:tc>
          <w:tcPr>
            <w:tcW w:w="820" w:type="dxa"/>
            <w:vAlign w:val="bottom"/>
          </w:tcPr>
          <w:p>
            <w:pPr>
              <w:ind w:left="80"/>
              <w:spacing w:after="0"/>
              <w:rPr>
                <w:sz w:val="20"/>
                <w:szCs w:val="20"/>
                <w:color w:val="auto"/>
              </w:rPr>
            </w:pPr>
            <w:r>
              <w:rPr>
                <w:rFonts w:ascii="Arial" w:cs="Arial" w:eastAsia="Arial" w:hAnsi="Arial"/>
                <w:sz w:val="10"/>
                <w:szCs w:val="10"/>
                <w:b w:val="1"/>
                <w:bCs w:val="1"/>
                <w:color w:val="auto"/>
              </w:rPr>
              <w:t>ST   MT  LT</w:t>
            </w:r>
          </w:p>
        </w:tc>
        <w:tc>
          <w:tcPr>
            <w:tcW w:w="0" w:type="dxa"/>
            <w:vAlign w:val="bottom"/>
          </w:tcPr>
          <w:p>
            <w:pPr>
              <w:spacing w:after="0"/>
              <w:rPr>
                <w:sz w:val="1"/>
                <w:szCs w:val="1"/>
                <w:color w:val="auto"/>
              </w:rPr>
            </w:pPr>
          </w:p>
        </w:tc>
      </w:tr>
      <w:tr>
        <w:trPr>
          <w:trHeight w:val="159"/>
        </w:trPr>
        <w:tc>
          <w:tcPr>
            <w:tcW w:w="1020" w:type="dxa"/>
            <w:vAlign w:val="bottom"/>
            <w:gridSpan w:val="3"/>
            <w:shd w:val="clear" w:color="auto" w:fill="0057CF"/>
          </w:tcPr>
          <w:p>
            <w:pPr>
              <w:ind w:left="20"/>
              <w:spacing w:after="0"/>
              <w:rPr>
                <w:sz w:val="20"/>
                <w:szCs w:val="20"/>
                <w:color w:val="auto"/>
              </w:rPr>
            </w:pPr>
            <w:r>
              <w:rPr>
                <w:rFonts w:ascii="Arial" w:cs="Arial" w:eastAsia="Arial" w:hAnsi="Arial"/>
                <w:sz w:val="10"/>
                <w:szCs w:val="10"/>
                <w:b w:val="1"/>
                <w:bCs w:val="1"/>
                <w:color w:val="FFFFFF"/>
              </w:rPr>
              <w:t>E1 - Climate Change</w:t>
            </w:r>
          </w:p>
        </w:tc>
        <w:tc>
          <w:tcPr>
            <w:tcW w:w="380" w:type="dxa"/>
            <w:vAlign w:val="bottom"/>
            <w:shd w:val="clear" w:color="auto" w:fill="0057CF"/>
          </w:tcPr>
          <w:p>
            <w:pPr>
              <w:spacing w:after="0"/>
              <w:rPr>
                <w:sz w:val="13"/>
                <w:szCs w:val="13"/>
                <w:color w:val="auto"/>
              </w:rPr>
            </w:pPr>
          </w:p>
        </w:tc>
        <w:tc>
          <w:tcPr>
            <w:tcW w:w="260" w:type="dxa"/>
            <w:vAlign w:val="bottom"/>
            <w:shd w:val="clear" w:color="auto" w:fill="0057CF"/>
          </w:tcPr>
          <w:p>
            <w:pPr>
              <w:spacing w:after="0"/>
              <w:rPr>
                <w:sz w:val="13"/>
                <w:szCs w:val="13"/>
                <w:color w:val="auto"/>
              </w:rPr>
            </w:pPr>
          </w:p>
        </w:tc>
        <w:tc>
          <w:tcPr>
            <w:tcW w:w="460" w:type="dxa"/>
            <w:vAlign w:val="bottom"/>
            <w:shd w:val="clear" w:color="auto" w:fill="0057CF"/>
          </w:tcPr>
          <w:p>
            <w:pPr>
              <w:spacing w:after="0"/>
              <w:rPr>
                <w:sz w:val="13"/>
                <w:szCs w:val="13"/>
                <w:color w:val="auto"/>
              </w:rPr>
            </w:pPr>
          </w:p>
        </w:tc>
        <w:tc>
          <w:tcPr>
            <w:tcW w:w="400" w:type="dxa"/>
            <w:vAlign w:val="bottom"/>
            <w:shd w:val="clear" w:color="auto" w:fill="0057CF"/>
          </w:tcPr>
          <w:p>
            <w:pPr>
              <w:spacing w:after="0"/>
              <w:rPr>
                <w:sz w:val="13"/>
                <w:szCs w:val="13"/>
                <w:color w:val="auto"/>
              </w:rPr>
            </w:pPr>
          </w:p>
        </w:tc>
        <w:tc>
          <w:tcPr>
            <w:tcW w:w="200" w:type="dxa"/>
            <w:vAlign w:val="bottom"/>
            <w:shd w:val="clear" w:color="auto" w:fill="0057CF"/>
          </w:tcPr>
          <w:p>
            <w:pPr>
              <w:spacing w:after="0"/>
              <w:rPr>
                <w:sz w:val="13"/>
                <w:szCs w:val="13"/>
                <w:color w:val="auto"/>
              </w:rPr>
            </w:pPr>
          </w:p>
        </w:tc>
        <w:tc>
          <w:tcPr>
            <w:tcW w:w="5740" w:type="dxa"/>
            <w:vAlign w:val="bottom"/>
            <w:shd w:val="clear" w:color="auto" w:fill="0057CF"/>
          </w:tcPr>
          <w:p>
            <w:pPr>
              <w:spacing w:after="0"/>
              <w:rPr>
                <w:sz w:val="13"/>
                <w:szCs w:val="13"/>
                <w:color w:val="auto"/>
              </w:rPr>
            </w:pPr>
          </w:p>
        </w:tc>
        <w:tc>
          <w:tcPr>
            <w:tcW w:w="180" w:type="dxa"/>
            <w:vAlign w:val="bottom"/>
            <w:shd w:val="clear" w:color="auto" w:fill="0057CF"/>
          </w:tcPr>
          <w:p>
            <w:pPr>
              <w:spacing w:after="0"/>
              <w:rPr>
                <w:sz w:val="13"/>
                <w:szCs w:val="13"/>
                <w:color w:val="auto"/>
              </w:rPr>
            </w:pPr>
          </w:p>
        </w:tc>
        <w:tc>
          <w:tcPr>
            <w:tcW w:w="480" w:type="dxa"/>
            <w:vAlign w:val="bottom"/>
            <w:shd w:val="clear" w:color="auto" w:fill="0057CF"/>
          </w:tcPr>
          <w:p>
            <w:pPr>
              <w:spacing w:after="0"/>
              <w:rPr>
                <w:sz w:val="13"/>
                <w:szCs w:val="13"/>
                <w:color w:val="auto"/>
              </w:rPr>
            </w:pPr>
          </w:p>
        </w:tc>
        <w:tc>
          <w:tcPr>
            <w:tcW w:w="820" w:type="dxa"/>
            <w:vAlign w:val="bottom"/>
            <w:shd w:val="clear" w:color="auto" w:fill="0057CF"/>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20" w:type="dxa"/>
            <w:vAlign w:val="bottom"/>
            <w:gridSpan w:val="3"/>
          </w:tcPr>
          <w:p>
            <w:pPr>
              <w:ind w:left="20"/>
              <w:spacing w:after="0" w:line="95" w:lineRule="exact"/>
              <w:rPr>
                <w:sz w:val="20"/>
                <w:szCs w:val="20"/>
                <w:color w:val="auto"/>
              </w:rPr>
            </w:pPr>
            <w:r>
              <w:rPr>
                <w:rFonts w:ascii="Arial" w:cs="Arial" w:eastAsia="Arial" w:hAnsi="Arial"/>
                <w:sz w:val="10"/>
                <w:szCs w:val="10"/>
                <w:color w:val="auto"/>
              </w:rPr>
              <w:t>Climate Change -</w:t>
            </w:r>
          </w:p>
        </w:tc>
        <w:tc>
          <w:tcPr>
            <w:tcW w:w="1100" w:type="dxa"/>
            <w:vAlign w:val="bottom"/>
            <w:gridSpan w:val="3"/>
          </w:tcPr>
          <w:p>
            <w:pPr>
              <w:spacing w:after="0" w:line="95" w:lineRule="exact"/>
              <w:rPr>
                <w:sz w:val="20"/>
                <w:szCs w:val="20"/>
                <w:color w:val="auto"/>
              </w:rPr>
            </w:pPr>
            <w:r>
              <w:rPr>
                <w:rFonts w:ascii="Arial" w:cs="Arial" w:eastAsia="Arial" w:hAnsi="Arial"/>
                <w:sz w:val="10"/>
                <w:szCs w:val="10"/>
                <w:color w:val="auto"/>
              </w:rPr>
              <w:t>GHG emissions from</w:t>
            </w:r>
          </w:p>
        </w:tc>
        <w:tc>
          <w:tcPr>
            <w:tcW w:w="400" w:type="dxa"/>
            <w:vAlign w:val="bottom"/>
          </w:tcPr>
          <w:p>
            <w:pPr>
              <w:ind w:left="20"/>
              <w:spacing w:after="0" w:line="95" w:lineRule="exact"/>
              <w:rPr>
                <w:sz w:val="20"/>
                <w:szCs w:val="20"/>
                <w:color w:val="auto"/>
              </w:rPr>
            </w:pPr>
            <w:r>
              <w:rPr>
                <w:rFonts w:ascii="Arial" w:cs="Arial" w:eastAsia="Arial" w:hAnsi="Arial"/>
                <w:sz w:val="10"/>
                <w:szCs w:val="10"/>
                <w:color w:val="auto"/>
              </w:rPr>
              <w:t>Actual</w:t>
            </w:r>
          </w:p>
        </w:tc>
        <w:tc>
          <w:tcPr>
            <w:tcW w:w="2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Genmab’s business model centers on the research, development, and commercialization of innovative antibody therapies.</w:t>
            </w:r>
          </w:p>
        </w:tc>
        <w:tc>
          <w:tcPr>
            <w:tcW w:w="660" w:type="dxa"/>
            <w:vAlign w:val="bottom"/>
            <w:gridSpan w:val="2"/>
            <w:vMerge w:val="restart"/>
          </w:tcPr>
          <w:p>
            <w:pPr>
              <w:jc w:val="right"/>
              <w:ind w:right="248"/>
              <w:spacing w:after="0" w:line="381" w:lineRule="exact"/>
              <w:rPr>
                <w:sz w:val="20"/>
                <w:szCs w:val="20"/>
                <w:color w:val="auto"/>
              </w:rPr>
            </w:pPr>
            <w:r>
              <w:rPr>
                <w:rFonts w:ascii="Arial" w:cs="Arial" w:eastAsia="Arial" w:hAnsi="Arial"/>
                <w:sz w:val="35"/>
                <w:szCs w:val="35"/>
                <w:color w:val="0057CF"/>
                <w:w w:val="99"/>
              </w:rPr>
              <w:t>• •</w:t>
            </w:r>
          </w:p>
        </w:tc>
        <w:tc>
          <w:tcPr>
            <w:tcW w:w="820" w:type="dxa"/>
            <w:vAlign w:val="bottom"/>
            <w:vMerge w:val="restart"/>
          </w:tcPr>
          <w:p>
            <w:pPr>
              <w:ind w:left="80"/>
              <w:spacing w:after="0" w:line="381" w:lineRule="exact"/>
              <w:rPr>
                <w:sz w:val="20"/>
                <w:szCs w:val="20"/>
                <w:color w:val="auto"/>
              </w:rPr>
            </w:pPr>
            <w:r>
              <w:rPr>
                <w:rFonts w:ascii="Arial" w:cs="Arial" w:eastAsia="Arial" w:hAnsi="Arial"/>
                <w:sz w:val="35"/>
                <w:szCs w:val="35"/>
                <w:color w:val="0057CF"/>
              </w:rPr>
              <w:t>• • •</w:t>
            </w:r>
          </w:p>
        </w:tc>
        <w:tc>
          <w:tcPr>
            <w:tcW w:w="0" w:type="dxa"/>
            <w:vAlign w:val="bottom"/>
          </w:tcPr>
          <w:p>
            <w:pPr>
              <w:spacing w:after="0"/>
              <w:rPr>
                <w:sz w:val="1"/>
                <w:szCs w:val="1"/>
                <w:color w:val="auto"/>
              </w:rPr>
            </w:pPr>
          </w:p>
        </w:tc>
      </w:tr>
      <w:tr>
        <w:trPr>
          <w:trHeight w:val="95"/>
        </w:trPr>
        <w:tc>
          <w:tcPr>
            <w:tcW w:w="6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Adaptation,</w:t>
            </w:r>
          </w:p>
        </w:tc>
        <w:tc>
          <w:tcPr>
            <w:tcW w:w="420" w:type="dxa"/>
            <w:vAlign w:val="bottom"/>
          </w:tcPr>
          <w:p>
            <w:pPr>
              <w:spacing w:after="0"/>
              <w:rPr>
                <w:sz w:val="8"/>
                <w:szCs w:val="8"/>
                <w:color w:val="auto"/>
              </w:rPr>
            </w:pPr>
          </w:p>
        </w:tc>
        <w:tc>
          <w:tcPr>
            <w:tcW w:w="1100" w:type="dxa"/>
            <w:vAlign w:val="bottom"/>
            <w:gridSpan w:val="3"/>
          </w:tcPr>
          <w:p>
            <w:pPr>
              <w:spacing w:after="0" w:line="95" w:lineRule="exact"/>
              <w:rPr>
                <w:sz w:val="20"/>
                <w:szCs w:val="20"/>
                <w:color w:val="auto"/>
              </w:rPr>
            </w:pPr>
            <w:r>
              <w:rPr>
                <w:rFonts w:ascii="Arial" w:cs="Arial" w:eastAsia="Arial" w:hAnsi="Arial"/>
                <w:sz w:val="10"/>
                <w:szCs w:val="10"/>
                <w:color w:val="auto"/>
              </w:rPr>
              <w:t>own operations and</w:t>
            </w:r>
          </w:p>
        </w:tc>
        <w:tc>
          <w:tcPr>
            <w:tcW w:w="6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Negative</w:t>
            </w: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These</w:t>
            </w:r>
          </w:p>
        </w:tc>
        <w:tc>
          <w:tcPr>
            <w:tcW w:w="6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20" w:type="dxa"/>
            <w:vAlign w:val="bottom"/>
            <w:gridSpan w:val="3"/>
          </w:tcPr>
          <w:p>
            <w:pPr>
              <w:ind w:left="20"/>
              <w:spacing w:after="0" w:line="95" w:lineRule="exact"/>
              <w:rPr>
                <w:sz w:val="20"/>
                <w:szCs w:val="20"/>
                <w:color w:val="auto"/>
              </w:rPr>
            </w:pPr>
            <w:r>
              <w:rPr>
                <w:rFonts w:ascii="Arial" w:cs="Arial" w:eastAsia="Arial" w:hAnsi="Arial"/>
                <w:sz w:val="10"/>
                <w:szCs w:val="10"/>
                <w:color w:val="auto"/>
              </w:rPr>
              <w:t>Mitigation and</w:t>
            </w:r>
          </w:p>
        </w:tc>
        <w:tc>
          <w:tcPr>
            <w:tcW w:w="640" w:type="dxa"/>
            <w:vAlign w:val="bottom"/>
            <w:gridSpan w:val="2"/>
          </w:tcPr>
          <w:p>
            <w:pPr>
              <w:spacing w:after="0" w:line="95" w:lineRule="exact"/>
              <w:rPr>
                <w:sz w:val="20"/>
                <w:szCs w:val="20"/>
                <w:color w:val="auto"/>
              </w:rPr>
            </w:pPr>
            <w:r>
              <w:rPr>
                <w:rFonts w:ascii="Arial" w:cs="Arial" w:eastAsia="Arial" w:hAnsi="Arial"/>
                <w:sz w:val="10"/>
                <w:szCs w:val="10"/>
                <w:color w:val="auto"/>
              </w:rPr>
              <w:t>value chain</w:t>
            </w:r>
          </w:p>
        </w:tc>
        <w:tc>
          <w:tcPr>
            <w:tcW w:w="460" w:type="dxa"/>
            <w:vAlign w:val="bottom"/>
          </w:tcPr>
          <w:p>
            <w:pPr>
              <w:spacing w:after="0"/>
              <w:rPr>
                <w:sz w:val="8"/>
                <w:szCs w:val="8"/>
                <w:color w:val="auto"/>
              </w:rPr>
            </w:pPr>
          </w:p>
        </w:tc>
        <w:tc>
          <w:tcPr>
            <w:tcW w:w="400" w:type="dxa"/>
            <w:vAlign w:val="bottom"/>
          </w:tcPr>
          <w:p>
            <w:pPr>
              <w:ind w:left="20"/>
              <w:spacing w:after="0" w:line="95" w:lineRule="exact"/>
              <w:rPr>
                <w:sz w:val="20"/>
                <w:szCs w:val="20"/>
                <w:color w:val="auto"/>
              </w:rPr>
            </w:pPr>
            <w:r>
              <w:rPr>
                <w:rFonts w:ascii="Arial" w:cs="Arial" w:eastAsia="Arial" w:hAnsi="Arial"/>
                <w:sz w:val="10"/>
                <w:szCs w:val="10"/>
                <w:color w:val="auto"/>
              </w:rPr>
              <w:t>Impact</w:t>
            </w:r>
          </w:p>
        </w:tc>
        <w:tc>
          <w:tcPr>
            <w:tcW w:w="2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activities generate GHG emissions which have an actual negative impact on the environment.</w:t>
            </w:r>
          </w:p>
        </w:tc>
        <w:tc>
          <w:tcPr>
            <w:tcW w:w="6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0" w:type="dxa"/>
            <w:vAlign w:val="bottom"/>
          </w:tcPr>
          <w:p>
            <w:pPr>
              <w:ind w:left="20"/>
              <w:spacing w:after="0" w:line="95" w:lineRule="exact"/>
              <w:rPr>
                <w:sz w:val="20"/>
                <w:szCs w:val="20"/>
                <w:color w:val="auto"/>
              </w:rPr>
            </w:pPr>
            <w:r>
              <w:rPr>
                <w:rFonts w:ascii="Arial" w:cs="Arial" w:eastAsia="Arial" w:hAnsi="Arial"/>
                <w:sz w:val="10"/>
                <w:szCs w:val="10"/>
                <w:color w:val="auto"/>
              </w:rPr>
              <w:t>Energy</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gridSpan w:val="3"/>
            <w:vMerge w:val="restart"/>
          </w:tcPr>
          <w:p>
            <w:pPr>
              <w:spacing w:after="0"/>
              <w:rPr>
                <w:sz w:val="20"/>
                <w:szCs w:val="20"/>
                <w:color w:val="auto"/>
              </w:rPr>
            </w:pPr>
            <w:r>
              <w:rPr>
                <w:rFonts w:ascii="Arial" w:cs="Arial" w:eastAsia="Arial" w:hAnsi="Arial"/>
                <w:sz w:val="10"/>
                <w:szCs w:val="10"/>
                <w:color w:val="auto"/>
              </w:rPr>
              <w:t>Transitional and</w:t>
            </w:r>
          </w:p>
        </w:tc>
        <w:tc>
          <w:tcPr>
            <w:tcW w:w="400" w:type="dxa"/>
            <w:vAlign w:val="bottom"/>
            <w:vMerge w:val="restart"/>
          </w:tcPr>
          <w:p>
            <w:pPr>
              <w:ind w:left="20"/>
              <w:spacing w:after="0"/>
              <w:rPr>
                <w:sz w:val="20"/>
                <w:szCs w:val="20"/>
                <w:color w:val="auto"/>
              </w:rPr>
            </w:pPr>
            <w:r>
              <w:rPr>
                <w:rFonts w:ascii="Arial" w:cs="Arial" w:eastAsia="Arial" w:hAnsi="Arial"/>
                <w:sz w:val="10"/>
                <w:szCs w:val="10"/>
                <w:color w:val="auto"/>
              </w:rPr>
              <w:t>Risk</w:t>
            </w:r>
          </w:p>
        </w:tc>
        <w:tc>
          <w:tcPr>
            <w:tcW w:w="200" w:type="dxa"/>
            <w:vAlign w:val="bottom"/>
          </w:tcPr>
          <w:p>
            <w:pPr>
              <w:spacing w:after="0"/>
              <w:rPr>
                <w:sz w:val="8"/>
                <w:szCs w:val="8"/>
                <w:color w:val="auto"/>
              </w:rPr>
            </w:pPr>
          </w:p>
        </w:tc>
        <w:tc>
          <w:tcPr>
            <w:tcW w:w="5740" w:type="dxa"/>
            <w:vAlign w:val="bottom"/>
            <w:vMerge w:val="restart"/>
          </w:tcPr>
          <w:p>
            <w:pPr>
              <w:ind w:left="40"/>
              <w:spacing w:after="0"/>
              <w:rPr>
                <w:sz w:val="20"/>
                <w:szCs w:val="20"/>
                <w:color w:val="auto"/>
              </w:rPr>
            </w:pPr>
            <w:r>
              <w:rPr>
                <w:rFonts w:ascii="Arial" w:cs="Arial" w:eastAsia="Arial" w:hAnsi="Arial"/>
                <w:sz w:val="10"/>
                <w:szCs w:val="10"/>
                <w:color w:val="auto"/>
              </w:rPr>
              <w:t>Genmab faces potential transitional risks including loss of market access and higher costs from investments in green</w:t>
            </w:r>
          </w:p>
        </w:tc>
        <w:tc>
          <w:tcPr>
            <w:tcW w:w="6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35"/>
                <w:szCs w:val="35"/>
                <w:color w:val="0057CF"/>
              </w:rPr>
              <w:t>• • •</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gridSpan w:val="3"/>
          </w:tcPr>
          <w:p>
            <w:pPr>
              <w:spacing w:after="0" w:line="95" w:lineRule="exact"/>
              <w:rPr>
                <w:sz w:val="20"/>
                <w:szCs w:val="20"/>
                <w:color w:val="auto"/>
              </w:rPr>
            </w:pPr>
            <w:r>
              <w:rPr>
                <w:rFonts w:ascii="Arial" w:cs="Arial" w:eastAsia="Arial" w:hAnsi="Arial"/>
                <w:sz w:val="10"/>
                <w:szCs w:val="10"/>
                <w:color w:val="auto"/>
              </w:rPr>
              <w:t>physical risks related to</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technologies, alongside reputational, regulatory, and financial pressures linked to the net-zero transition. Genmab also face</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gridSpan w:val="3"/>
            <w:vMerge w:val="restart"/>
          </w:tcPr>
          <w:p>
            <w:pPr>
              <w:spacing w:after="0"/>
              <w:rPr>
                <w:sz w:val="20"/>
                <w:szCs w:val="20"/>
                <w:color w:val="auto"/>
              </w:rPr>
            </w:pPr>
            <w:r>
              <w:rPr>
                <w:rFonts w:ascii="Arial" w:cs="Arial" w:eastAsia="Arial" w:hAnsi="Arial"/>
                <w:sz w:val="10"/>
                <w:szCs w:val="10"/>
                <w:color w:val="auto"/>
              </w:rPr>
              <w:t>GHG emissions</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s</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0" w:type="dxa"/>
            <w:vAlign w:val="bottom"/>
            <w:gridSpan w:val="3"/>
          </w:tcPr>
          <w:p>
            <w:pPr>
              <w:ind w:left="40"/>
              <w:spacing w:after="0" w:line="181" w:lineRule="exact"/>
              <w:rPr>
                <w:sz w:val="20"/>
                <w:szCs w:val="20"/>
                <w:color w:val="auto"/>
              </w:rPr>
            </w:pPr>
            <w:r>
              <w:rPr>
                <w:rFonts w:ascii="Arial" w:cs="Arial" w:eastAsia="Arial" w:hAnsi="Arial"/>
                <w:sz w:val="8"/>
                <w:szCs w:val="8"/>
                <w:color w:val="auto"/>
              </w:rPr>
              <w:t>potential physical risks including disruption of supply chain and operations from extreme weather, heat waves, and flooding,</w:t>
            </w:r>
            <w:r>
              <w:rPr>
                <w:rFonts w:ascii="Arial" w:cs="Arial" w:eastAsia="Arial" w:hAnsi="Arial"/>
                <w:sz w:val="20"/>
                <w:szCs w:val="20"/>
                <w:color w:val="0057CF"/>
                <w:vertAlign w:val="superscript"/>
              </w:rPr>
              <w:t>• •</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740" w:type="dxa"/>
            <w:vAlign w:val="bottom"/>
          </w:tcPr>
          <w:p>
            <w:pPr>
              <w:ind w:left="40"/>
              <w:spacing w:after="0"/>
              <w:rPr>
                <w:sz w:val="20"/>
                <w:szCs w:val="20"/>
                <w:color w:val="auto"/>
              </w:rPr>
            </w:pPr>
            <w:r>
              <w:rPr>
                <w:rFonts w:ascii="Arial" w:cs="Arial" w:eastAsia="Arial" w:hAnsi="Arial"/>
                <w:sz w:val="10"/>
                <w:szCs w:val="10"/>
                <w:color w:val="auto"/>
              </w:rPr>
              <w:t>though exposure is limited in our own operations due to Genmab’s asset-light model.</w:t>
            </w:r>
          </w:p>
        </w:tc>
        <w:tc>
          <w:tcPr>
            <w:tcW w:w="180" w:type="dxa"/>
            <w:vAlign w:val="bottom"/>
            <w:vMerge w:val="restart"/>
          </w:tcPr>
          <w:p>
            <w:pPr>
              <w:spacing w:after="0" w:line="218" w:lineRule="exact"/>
              <w:rPr>
                <w:sz w:val="20"/>
                <w:szCs w:val="20"/>
                <w:color w:val="auto"/>
              </w:rPr>
            </w:pPr>
            <w:r>
              <w:rPr>
                <w:rFonts w:ascii="Arial" w:cs="Arial" w:eastAsia="Arial" w:hAnsi="Arial"/>
                <w:sz w:val="25"/>
                <w:szCs w:val="25"/>
                <w:color w:val="0057CF"/>
              </w:rPr>
              <w:t>•</w:t>
            </w:r>
          </w:p>
        </w:tc>
        <w:tc>
          <w:tcPr>
            <w:tcW w:w="480" w:type="dxa"/>
            <w:vAlign w:val="bottom"/>
          </w:tcPr>
          <w:p>
            <w:pPr>
              <w:spacing w:after="0"/>
              <w:rPr>
                <w:sz w:val="9"/>
                <w:szCs w:val="9"/>
                <w:color w:val="auto"/>
              </w:rPr>
            </w:pPr>
          </w:p>
        </w:tc>
        <w:tc>
          <w:tcPr>
            <w:tcW w:w="820" w:type="dxa"/>
            <w:vAlign w:val="bottom"/>
            <w:vMerge w:val="restart"/>
          </w:tcPr>
          <w:p>
            <w:pPr>
              <w:ind w:left="80"/>
              <w:spacing w:after="0" w:line="218" w:lineRule="exact"/>
              <w:rPr>
                <w:sz w:val="20"/>
                <w:szCs w:val="20"/>
                <w:color w:val="auto"/>
              </w:rPr>
            </w:pPr>
            <w:r>
              <w:rPr>
                <w:rFonts w:ascii="Arial" w:cs="Arial" w:eastAsia="Arial" w:hAnsi="Arial"/>
                <w:sz w:val="25"/>
                <w:szCs w:val="25"/>
                <w:color w:val="0057CF"/>
              </w:rPr>
              <w:t>• • •</w:t>
            </w: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gridSpan w:val="3"/>
          </w:tcPr>
          <w:p>
            <w:pPr>
              <w:spacing w:after="0" w:line="105" w:lineRule="exact"/>
              <w:rPr>
                <w:sz w:val="20"/>
                <w:szCs w:val="20"/>
                <w:color w:val="auto"/>
              </w:rPr>
            </w:pPr>
            <w:r>
              <w:rPr>
                <w:rFonts w:ascii="Arial" w:cs="Arial" w:eastAsia="Arial" w:hAnsi="Arial"/>
                <w:sz w:val="10"/>
                <w:szCs w:val="10"/>
                <w:color w:val="auto"/>
              </w:rPr>
              <w:t>Partner with value</w:t>
            </w:r>
          </w:p>
        </w:tc>
        <w:tc>
          <w:tcPr>
            <w:tcW w:w="600" w:type="dxa"/>
            <w:vAlign w:val="bottom"/>
            <w:gridSpan w:val="2"/>
          </w:tcPr>
          <w:p>
            <w:pPr>
              <w:ind w:left="20"/>
              <w:spacing w:after="0" w:line="105" w:lineRule="exact"/>
              <w:rPr>
                <w:sz w:val="20"/>
                <w:szCs w:val="20"/>
                <w:color w:val="auto"/>
              </w:rPr>
            </w:pPr>
            <w:r>
              <w:rPr>
                <w:rFonts w:ascii="Arial" w:cs="Arial" w:eastAsia="Arial" w:hAnsi="Arial"/>
                <w:sz w:val="10"/>
                <w:szCs w:val="10"/>
                <w:color w:val="auto"/>
              </w:rPr>
              <w:t>Opportunity</w:t>
            </w:r>
          </w:p>
        </w:tc>
        <w:tc>
          <w:tcPr>
            <w:tcW w:w="5740" w:type="dxa"/>
            <w:vAlign w:val="bottom"/>
          </w:tcPr>
          <w:p>
            <w:pPr>
              <w:ind w:left="40"/>
              <w:spacing w:after="0" w:line="105" w:lineRule="exact"/>
              <w:rPr>
                <w:sz w:val="20"/>
                <w:szCs w:val="20"/>
                <w:color w:val="auto"/>
              </w:rPr>
            </w:pPr>
            <w:r>
              <w:rPr>
                <w:rFonts w:ascii="Arial" w:cs="Arial" w:eastAsia="Arial" w:hAnsi="Arial"/>
                <w:sz w:val="10"/>
                <w:szCs w:val="10"/>
                <w:color w:val="auto"/>
              </w:rPr>
              <w:t>Genmab has an opportunity to partner with the value chain to reduce upstream emissions while driving efficiency and poten</w:t>
            </w:r>
          </w:p>
        </w:tc>
        <w:tc>
          <w:tcPr>
            <w:tcW w:w="1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gridSpan w:val="3"/>
          </w:tcPr>
          <w:p>
            <w:pPr>
              <w:spacing w:after="0" w:line="95" w:lineRule="exact"/>
              <w:rPr>
                <w:sz w:val="20"/>
                <w:szCs w:val="20"/>
                <w:color w:val="auto"/>
              </w:rPr>
            </w:pPr>
            <w:r>
              <w:rPr>
                <w:rFonts w:ascii="Arial" w:cs="Arial" w:eastAsia="Arial" w:hAnsi="Arial"/>
                <w:sz w:val="10"/>
                <w:szCs w:val="10"/>
                <w:color w:val="auto"/>
              </w:rPr>
              <w:t>chain to reduce Scope</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tial</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color w:val="auto"/>
              </w:rPr>
              <w:t>3 emissions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740" w:type="dxa"/>
            <w:vAlign w:val="bottom"/>
          </w:tcPr>
          <w:p>
            <w:pPr>
              <w:ind w:left="40"/>
              <w:spacing w:after="0"/>
              <w:rPr>
                <w:sz w:val="20"/>
                <w:szCs w:val="20"/>
                <w:color w:val="auto"/>
              </w:rPr>
            </w:pPr>
            <w:r>
              <w:rPr>
                <w:rFonts w:ascii="Arial" w:cs="Arial" w:eastAsia="Arial" w:hAnsi="Arial"/>
                <w:sz w:val="10"/>
                <w:szCs w:val="10"/>
                <w:color w:val="auto"/>
              </w:rPr>
              <w:t>cost savings for both Genmab and its suppliers. This opportunity is linked to our Scope 3 supplier engagement target.</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20" w:type="dxa"/>
            <w:vAlign w:val="bottom"/>
            <w:gridSpan w:val="3"/>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020" w:type="dxa"/>
            <w:vAlign w:val="bottom"/>
            <w:gridSpan w:val="3"/>
            <w:shd w:val="clear" w:color="auto" w:fill="0057CF"/>
          </w:tcPr>
          <w:p>
            <w:pPr>
              <w:ind w:left="20"/>
              <w:spacing w:after="0"/>
              <w:rPr>
                <w:sz w:val="20"/>
                <w:szCs w:val="20"/>
                <w:color w:val="auto"/>
              </w:rPr>
            </w:pPr>
            <w:r>
              <w:rPr>
                <w:rFonts w:ascii="Arial" w:cs="Arial" w:eastAsia="Arial" w:hAnsi="Arial"/>
                <w:sz w:val="10"/>
                <w:szCs w:val="10"/>
                <w:b w:val="1"/>
                <w:bCs w:val="1"/>
                <w:color w:val="FFFFFF"/>
              </w:rPr>
              <w:t>S1 - Own Workforce</w:t>
            </w:r>
          </w:p>
        </w:tc>
        <w:tc>
          <w:tcPr>
            <w:tcW w:w="380" w:type="dxa"/>
            <w:vAlign w:val="bottom"/>
            <w:shd w:val="clear" w:color="auto" w:fill="0057CF"/>
          </w:tcPr>
          <w:p>
            <w:pPr>
              <w:spacing w:after="0"/>
              <w:rPr>
                <w:sz w:val="13"/>
                <w:szCs w:val="13"/>
                <w:color w:val="auto"/>
              </w:rPr>
            </w:pPr>
          </w:p>
        </w:tc>
        <w:tc>
          <w:tcPr>
            <w:tcW w:w="260" w:type="dxa"/>
            <w:vAlign w:val="bottom"/>
            <w:shd w:val="clear" w:color="auto" w:fill="0057CF"/>
          </w:tcPr>
          <w:p>
            <w:pPr>
              <w:spacing w:after="0"/>
              <w:rPr>
                <w:sz w:val="13"/>
                <w:szCs w:val="13"/>
                <w:color w:val="auto"/>
              </w:rPr>
            </w:pPr>
          </w:p>
        </w:tc>
        <w:tc>
          <w:tcPr>
            <w:tcW w:w="460" w:type="dxa"/>
            <w:vAlign w:val="bottom"/>
            <w:shd w:val="clear" w:color="auto" w:fill="0057CF"/>
          </w:tcPr>
          <w:p>
            <w:pPr>
              <w:spacing w:after="0"/>
              <w:rPr>
                <w:sz w:val="13"/>
                <w:szCs w:val="13"/>
                <w:color w:val="auto"/>
              </w:rPr>
            </w:pPr>
          </w:p>
        </w:tc>
        <w:tc>
          <w:tcPr>
            <w:tcW w:w="400" w:type="dxa"/>
            <w:vAlign w:val="bottom"/>
            <w:shd w:val="clear" w:color="auto" w:fill="0057CF"/>
          </w:tcPr>
          <w:p>
            <w:pPr>
              <w:spacing w:after="0"/>
              <w:rPr>
                <w:sz w:val="13"/>
                <w:szCs w:val="13"/>
                <w:color w:val="auto"/>
              </w:rPr>
            </w:pPr>
          </w:p>
        </w:tc>
        <w:tc>
          <w:tcPr>
            <w:tcW w:w="200" w:type="dxa"/>
            <w:vAlign w:val="bottom"/>
            <w:shd w:val="clear" w:color="auto" w:fill="0057CF"/>
          </w:tcPr>
          <w:p>
            <w:pPr>
              <w:spacing w:after="0"/>
              <w:rPr>
                <w:sz w:val="13"/>
                <w:szCs w:val="13"/>
                <w:color w:val="auto"/>
              </w:rPr>
            </w:pPr>
          </w:p>
        </w:tc>
        <w:tc>
          <w:tcPr>
            <w:tcW w:w="5740" w:type="dxa"/>
            <w:vAlign w:val="bottom"/>
            <w:shd w:val="clear" w:color="auto" w:fill="0057CF"/>
          </w:tcPr>
          <w:p>
            <w:pPr>
              <w:spacing w:after="0"/>
              <w:rPr>
                <w:sz w:val="13"/>
                <w:szCs w:val="13"/>
                <w:color w:val="auto"/>
              </w:rPr>
            </w:pPr>
          </w:p>
        </w:tc>
        <w:tc>
          <w:tcPr>
            <w:tcW w:w="180" w:type="dxa"/>
            <w:vAlign w:val="bottom"/>
            <w:shd w:val="clear" w:color="auto" w:fill="0057CF"/>
          </w:tcPr>
          <w:p>
            <w:pPr>
              <w:spacing w:after="0"/>
              <w:rPr>
                <w:sz w:val="13"/>
                <w:szCs w:val="13"/>
                <w:color w:val="auto"/>
              </w:rPr>
            </w:pPr>
          </w:p>
        </w:tc>
        <w:tc>
          <w:tcPr>
            <w:tcW w:w="480" w:type="dxa"/>
            <w:vAlign w:val="bottom"/>
            <w:shd w:val="clear" w:color="auto" w:fill="0057CF"/>
          </w:tcPr>
          <w:p>
            <w:pPr>
              <w:spacing w:after="0"/>
              <w:rPr>
                <w:sz w:val="13"/>
                <w:szCs w:val="13"/>
                <w:color w:val="auto"/>
              </w:rPr>
            </w:pPr>
          </w:p>
        </w:tc>
        <w:tc>
          <w:tcPr>
            <w:tcW w:w="820" w:type="dxa"/>
            <w:vAlign w:val="bottom"/>
            <w:shd w:val="clear" w:color="auto" w:fill="0057C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20" w:type="dxa"/>
            <w:vAlign w:val="bottom"/>
            <w:gridSpan w:val="3"/>
            <w:shd w:val="clear" w:color="auto" w:fill="7BD1EB"/>
          </w:tcPr>
          <w:p>
            <w:pPr>
              <w:ind w:left="20"/>
              <w:spacing w:after="0"/>
              <w:rPr>
                <w:sz w:val="20"/>
                <w:szCs w:val="20"/>
                <w:color w:val="auto"/>
              </w:rPr>
            </w:pPr>
            <w:r>
              <w:rPr>
                <w:rFonts w:ascii="Arial" w:cs="Arial" w:eastAsia="Arial" w:hAnsi="Arial"/>
                <w:sz w:val="10"/>
                <w:szCs w:val="10"/>
                <w:b w:val="1"/>
                <w:bCs w:val="1"/>
                <w:color w:val="auto"/>
              </w:rPr>
              <w:t>Working Conditions</w:t>
            </w:r>
          </w:p>
        </w:tc>
        <w:tc>
          <w:tcPr>
            <w:tcW w:w="380" w:type="dxa"/>
            <w:vAlign w:val="bottom"/>
            <w:shd w:val="clear" w:color="auto" w:fill="7BD1EB"/>
          </w:tcPr>
          <w:p>
            <w:pPr>
              <w:spacing w:after="0"/>
              <w:rPr>
                <w:sz w:val="13"/>
                <w:szCs w:val="13"/>
                <w:color w:val="auto"/>
              </w:rPr>
            </w:pPr>
          </w:p>
        </w:tc>
        <w:tc>
          <w:tcPr>
            <w:tcW w:w="260" w:type="dxa"/>
            <w:vAlign w:val="bottom"/>
            <w:shd w:val="clear" w:color="auto" w:fill="7BD1EB"/>
          </w:tcPr>
          <w:p>
            <w:pPr>
              <w:spacing w:after="0"/>
              <w:rPr>
                <w:sz w:val="13"/>
                <w:szCs w:val="13"/>
                <w:color w:val="auto"/>
              </w:rPr>
            </w:pPr>
          </w:p>
        </w:tc>
        <w:tc>
          <w:tcPr>
            <w:tcW w:w="460" w:type="dxa"/>
            <w:vAlign w:val="bottom"/>
            <w:shd w:val="clear" w:color="auto" w:fill="7BD1EB"/>
          </w:tcPr>
          <w:p>
            <w:pPr>
              <w:spacing w:after="0"/>
              <w:rPr>
                <w:sz w:val="13"/>
                <w:szCs w:val="13"/>
                <w:color w:val="auto"/>
              </w:rPr>
            </w:pPr>
          </w:p>
        </w:tc>
        <w:tc>
          <w:tcPr>
            <w:tcW w:w="400" w:type="dxa"/>
            <w:vAlign w:val="bottom"/>
            <w:shd w:val="clear" w:color="auto" w:fill="7BD1EB"/>
          </w:tcPr>
          <w:p>
            <w:pPr>
              <w:spacing w:after="0"/>
              <w:rPr>
                <w:sz w:val="13"/>
                <w:szCs w:val="13"/>
                <w:color w:val="auto"/>
              </w:rPr>
            </w:pPr>
          </w:p>
        </w:tc>
        <w:tc>
          <w:tcPr>
            <w:tcW w:w="200" w:type="dxa"/>
            <w:vAlign w:val="bottom"/>
            <w:shd w:val="clear" w:color="auto" w:fill="7BD1EB"/>
          </w:tcPr>
          <w:p>
            <w:pPr>
              <w:spacing w:after="0"/>
              <w:rPr>
                <w:sz w:val="13"/>
                <w:szCs w:val="13"/>
                <w:color w:val="auto"/>
              </w:rPr>
            </w:pPr>
          </w:p>
        </w:tc>
        <w:tc>
          <w:tcPr>
            <w:tcW w:w="5740" w:type="dxa"/>
            <w:vAlign w:val="bottom"/>
            <w:shd w:val="clear" w:color="auto" w:fill="7BD1EB"/>
          </w:tcPr>
          <w:p>
            <w:pPr>
              <w:spacing w:after="0"/>
              <w:rPr>
                <w:sz w:val="13"/>
                <w:szCs w:val="13"/>
                <w:color w:val="auto"/>
              </w:rPr>
            </w:pPr>
          </w:p>
        </w:tc>
        <w:tc>
          <w:tcPr>
            <w:tcW w:w="180" w:type="dxa"/>
            <w:vAlign w:val="bottom"/>
            <w:shd w:val="clear" w:color="auto" w:fill="7BD1EB"/>
          </w:tcPr>
          <w:p>
            <w:pPr>
              <w:spacing w:after="0"/>
              <w:rPr>
                <w:sz w:val="13"/>
                <w:szCs w:val="13"/>
                <w:color w:val="auto"/>
              </w:rPr>
            </w:pPr>
          </w:p>
        </w:tc>
        <w:tc>
          <w:tcPr>
            <w:tcW w:w="480" w:type="dxa"/>
            <w:vAlign w:val="bottom"/>
            <w:shd w:val="clear" w:color="auto" w:fill="7BD1EB"/>
          </w:tcPr>
          <w:p>
            <w:pPr>
              <w:spacing w:after="0"/>
              <w:rPr>
                <w:sz w:val="13"/>
                <w:szCs w:val="13"/>
                <w:color w:val="auto"/>
              </w:rPr>
            </w:pPr>
          </w:p>
        </w:tc>
        <w:tc>
          <w:tcPr>
            <w:tcW w:w="820" w:type="dxa"/>
            <w:vAlign w:val="bottom"/>
            <w:shd w:val="clear" w:color="auto" w:fill="7BD1EB"/>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20" w:type="dxa"/>
            <w:vAlign w:val="bottom"/>
            <w:gridSpan w:val="3"/>
          </w:tcPr>
          <w:p>
            <w:pPr>
              <w:ind w:left="20"/>
              <w:spacing w:after="0" w:line="95" w:lineRule="exact"/>
              <w:rPr>
                <w:sz w:val="20"/>
                <w:szCs w:val="20"/>
                <w:color w:val="auto"/>
              </w:rPr>
            </w:pPr>
            <w:r>
              <w:rPr>
                <w:rFonts w:ascii="Arial" w:cs="Arial" w:eastAsia="Arial" w:hAnsi="Arial"/>
                <w:sz w:val="10"/>
                <w:szCs w:val="10"/>
                <w:color w:val="auto"/>
              </w:rPr>
              <w:t>Own Workforce -</w:t>
            </w:r>
          </w:p>
        </w:tc>
        <w:tc>
          <w:tcPr>
            <w:tcW w:w="1100" w:type="dxa"/>
            <w:vAlign w:val="bottom"/>
            <w:gridSpan w:val="3"/>
          </w:tcPr>
          <w:p>
            <w:pPr>
              <w:spacing w:after="0" w:line="95" w:lineRule="exact"/>
              <w:rPr>
                <w:sz w:val="20"/>
                <w:szCs w:val="20"/>
                <w:color w:val="auto"/>
              </w:rPr>
            </w:pPr>
            <w:r>
              <w:rPr>
                <w:rFonts w:ascii="Arial" w:cs="Arial" w:eastAsia="Arial" w:hAnsi="Arial"/>
                <w:sz w:val="10"/>
                <w:szCs w:val="10"/>
                <w:color w:val="auto"/>
              </w:rPr>
              <w:t>Employee well-being</w:t>
            </w:r>
          </w:p>
        </w:tc>
        <w:tc>
          <w:tcPr>
            <w:tcW w:w="400" w:type="dxa"/>
            <w:vAlign w:val="bottom"/>
          </w:tcPr>
          <w:p>
            <w:pPr>
              <w:ind w:left="20"/>
              <w:spacing w:after="0" w:line="95" w:lineRule="exact"/>
              <w:rPr>
                <w:sz w:val="20"/>
                <w:szCs w:val="20"/>
                <w:color w:val="auto"/>
              </w:rPr>
            </w:pPr>
            <w:r>
              <w:rPr>
                <w:rFonts w:ascii="Arial" w:cs="Arial" w:eastAsia="Arial" w:hAnsi="Arial"/>
                <w:sz w:val="10"/>
                <w:szCs w:val="10"/>
                <w:color w:val="auto"/>
              </w:rPr>
              <w:t>Actual</w:t>
            </w:r>
          </w:p>
        </w:tc>
        <w:tc>
          <w:tcPr>
            <w:tcW w:w="200" w:type="dxa"/>
            <w:vAlign w:val="bottom"/>
          </w:tcPr>
          <w:p>
            <w:pPr>
              <w:spacing w:after="0"/>
              <w:rPr>
                <w:sz w:val="8"/>
                <w:szCs w:val="8"/>
                <w:color w:val="auto"/>
              </w:rPr>
            </w:pPr>
          </w:p>
        </w:tc>
        <w:tc>
          <w:tcPr>
            <w:tcW w:w="5920" w:type="dxa"/>
            <w:vAlign w:val="bottom"/>
            <w:gridSpan w:val="2"/>
          </w:tcPr>
          <w:p>
            <w:pPr>
              <w:ind w:left="40"/>
              <w:spacing w:after="0" w:line="95" w:lineRule="exact"/>
              <w:rPr>
                <w:sz w:val="20"/>
                <w:szCs w:val="20"/>
                <w:color w:val="auto"/>
              </w:rPr>
            </w:pPr>
            <w:r>
              <w:rPr>
                <w:rFonts w:ascii="Arial" w:cs="Arial" w:eastAsia="Arial" w:hAnsi="Arial"/>
                <w:sz w:val="10"/>
                <w:szCs w:val="10"/>
                <w:color w:val="auto"/>
              </w:rPr>
              <w:t>Genmab’s employees feel connected and motivated in a safe work environment enabling them to thrive and perform at their</w:t>
            </w:r>
          </w:p>
        </w:tc>
        <w:tc>
          <w:tcPr>
            <w:tcW w:w="480" w:type="dxa"/>
            <w:vAlign w:val="bottom"/>
          </w:tcPr>
          <w:p>
            <w:pPr>
              <w:jc w:val="right"/>
              <w:ind w:right="248"/>
              <w:spacing w:after="0" w:line="95" w:lineRule="exact"/>
              <w:rPr>
                <w:sz w:val="20"/>
                <w:szCs w:val="20"/>
                <w:color w:val="auto"/>
              </w:rPr>
            </w:pPr>
            <w:r>
              <w:rPr>
                <w:rFonts w:ascii="Arial" w:cs="Arial" w:eastAsia="Arial" w:hAnsi="Arial"/>
                <w:sz w:val="11"/>
                <w:szCs w:val="11"/>
                <w:color w:val="0057CF"/>
              </w:rPr>
              <w:t>•</w:t>
            </w:r>
          </w:p>
        </w:tc>
        <w:tc>
          <w:tcPr>
            <w:tcW w:w="820" w:type="dxa"/>
            <w:vAlign w:val="bottom"/>
          </w:tcPr>
          <w:p>
            <w:pPr>
              <w:ind w:left="80"/>
              <w:spacing w:after="0" w:line="95" w:lineRule="exact"/>
              <w:rPr>
                <w:sz w:val="20"/>
                <w:szCs w:val="20"/>
                <w:color w:val="auto"/>
              </w:rPr>
            </w:pPr>
            <w:r>
              <w:rPr>
                <w:rFonts w:ascii="Arial" w:cs="Arial" w:eastAsia="Arial" w:hAnsi="Arial"/>
                <w:sz w:val="11"/>
                <w:szCs w:val="11"/>
                <w:color w:val="0057CF"/>
              </w:rPr>
              <w:t>• • •</w:t>
            </w:r>
          </w:p>
        </w:tc>
        <w:tc>
          <w:tcPr>
            <w:tcW w:w="0" w:type="dxa"/>
            <w:vAlign w:val="bottom"/>
          </w:tcPr>
          <w:p>
            <w:pPr>
              <w:spacing w:after="0"/>
              <w:rPr>
                <w:sz w:val="1"/>
                <w:szCs w:val="1"/>
                <w:color w:val="auto"/>
              </w:rPr>
            </w:pPr>
          </w:p>
        </w:tc>
      </w:tr>
      <w:tr>
        <w:trPr>
          <w:trHeight w:val="95"/>
        </w:trPr>
        <w:tc>
          <w:tcPr>
            <w:tcW w:w="1020" w:type="dxa"/>
            <w:vAlign w:val="bottom"/>
            <w:gridSpan w:val="3"/>
          </w:tcPr>
          <w:p>
            <w:pPr>
              <w:ind w:left="20"/>
              <w:spacing w:after="0" w:line="95" w:lineRule="exact"/>
              <w:rPr>
                <w:sz w:val="20"/>
                <w:szCs w:val="20"/>
                <w:color w:val="auto"/>
              </w:rPr>
            </w:pPr>
            <w:r>
              <w:rPr>
                <w:rFonts w:ascii="Arial" w:cs="Arial" w:eastAsia="Arial" w:hAnsi="Arial"/>
                <w:sz w:val="10"/>
                <w:szCs w:val="10"/>
                <w:color w:val="auto"/>
              </w:rPr>
              <w:t>Working Conditions</w:t>
            </w:r>
          </w:p>
        </w:tc>
        <w:tc>
          <w:tcPr>
            <w:tcW w:w="640" w:type="dxa"/>
            <w:vAlign w:val="bottom"/>
            <w:gridSpan w:val="2"/>
          </w:tcPr>
          <w:p>
            <w:pPr>
              <w:spacing w:after="0" w:line="95" w:lineRule="exact"/>
              <w:rPr>
                <w:sz w:val="20"/>
                <w:szCs w:val="20"/>
                <w:color w:val="auto"/>
              </w:rPr>
            </w:pPr>
            <w:r>
              <w:rPr>
                <w:rFonts w:ascii="Arial" w:cs="Arial" w:eastAsia="Arial" w:hAnsi="Arial"/>
                <w:sz w:val="10"/>
                <w:szCs w:val="10"/>
                <w:color w:val="auto"/>
              </w:rPr>
              <w:t>and vitality</w:t>
            </w:r>
          </w:p>
        </w:tc>
        <w:tc>
          <w:tcPr>
            <w:tcW w:w="460" w:type="dxa"/>
            <w:vAlign w:val="bottom"/>
          </w:tcPr>
          <w:p>
            <w:pPr>
              <w:spacing w:after="0"/>
              <w:rPr>
                <w:sz w:val="8"/>
                <w:szCs w:val="8"/>
                <w:color w:val="auto"/>
              </w:rPr>
            </w:pPr>
          </w:p>
        </w:tc>
        <w:tc>
          <w:tcPr>
            <w:tcW w:w="400" w:type="dxa"/>
            <w:vAlign w:val="bottom"/>
          </w:tcPr>
          <w:p>
            <w:pPr>
              <w:ind w:left="20"/>
              <w:spacing w:after="0" w:line="95" w:lineRule="exact"/>
              <w:rPr>
                <w:sz w:val="20"/>
                <w:szCs w:val="20"/>
                <w:color w:val="auto"/>
              </w:rPr>
            </w:pPr>
            <w:r>
              <w:rPr>
                <w:rFonts w:ascii="Arial" w:cs="Arial" w:eastAsia="Arial" w:hAnsi="Arial"/>
                <w:sz w:val="10"/>
                <w:szCs w:val="10"/>
                <w:color w:val="auto"/>
              </w:rPr>
              <w:t>Positive</w:t>
            </w:r>
          </w:p>
        </w:tc>
        <w:tc>
          <w:tcPr>
            <w:tcW w:w="200" w:type="dxa"/>
            <w:vAlign w:val="bottom"/>
          </w:tcPr>
          <w:p>
            <w:pPr>
              <w:spacing w:after="0"/>
              <w:rPr>
                <w:sz w:val="8"/>
                <w:szCs w:val="8"/>
                <w:color w:val="auto"/>
              </w:rPr>
            </w:pPr>
          </w:p>
        </w:tc>
        <w:tc>
          <w:tcPr>
            <w:tcW w:w="5740" w:type="dxa"/>
            <w:vAlign w:val="bottom"/>
          </w:tcPr>
          <w:p>
            <w:pPr>
              <w:ind w:left="60"/>
              <w:spacing w:after="0" w:line="95" w:lineRule="exact"/>
              <w:rPr>
                <w:sz w:val="20"/>
                <w:szCs w:val="20"/>
                <w:color w:val="auto"/>
              </w:rPr>
            </w:pPr>
            <w:r>
              <w:rPr>
                <w:rFonts w:ascii="Arial" w:cs="Arial" w:eastAsia="Arial" w:hAnsi="Arial"/>
                <w:sz w:val="10"/>
                <w:szCs w:val="10"/>
                <w:color w:val="auto"/>
              </w:rPr>
              <w:t>best.</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0"/>
                <w:szCs w:val="10"/>
                <w:color w:val="auto"/>
              </w:rPr>
              <w:t>Impact</w:t>
            </w:r>
          </w:p>
        </w:tc>
        <w:tc>
          <w:tcPr>
            <w:tcW w:w="2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rFonts w:ascii="Arial" w:cs="Arial" w:eastAsia="Arial" w:hAnsi="Arial"/>
          <w:sz w:val="10"/>
          <w:szCs w:val="10"/>
          <w:b w:val="1"/>
          <w:bCs w:val="1"/>
          <w:color w:val="auto"/>
        </w:rPr>
      </w:pPr>
    </w:p>
    <w:p>
      <w:pPr>
        <w:sectPr>
          <w:pgSz w:w="11900" w:h="16840" w:orient="portrait"/>
          <w:cols w:equalWidth="0" w:num="1">
            <w:col w:w="9940"/>
          </w:cols>
          <w:pgMar w:left="640" w:top="571" w:right="1320" w:bottom="515" w:gutter="0" w:footer="0" w:header="0"/>
          <w:type w:val="continuous"/>
        </w:sectPr>
      </w:pPr>
    </w:p>
    <w:p>
      <w:pPr>
        <w:ind w:left="1020"/>
        <w:spacing w:after="0"/>
        <w:tabs>
          <w:tab w:leader="none" w:pos="2740" w:val="left"/>
        </w:tabs>
        <w:rPr>
          <w:sz w:val="20"/>
          <w:szCs w:val="20"/>
          <w:color w:val="auto"/>
        </w:rPr>
      </w:pPr>
      <w:r>
        <w:rPr>
          <w:rFonts w:ascii="Arial" w:cs="Arial" w:eastAsia="Arial" w:hAnsi="Arial"/>
          <w:sz w:val="10"/>
          <w:szCs w:val="10"/>
          <w:color w:val="auto"/>
        </w:rPr>
        <w:t>Attracting and retaining Risk</w:t>
      </w:r>
      <w:r>
        <w:rPr>
          <w:sz w:val="20"/>
          <w:szCs w:val="20"/>
          <w:color w:val="auto"/>
        </w:rPr>
        <w:tab/>
      </w:r>
      <w:r>
        <w:rPr>
          <w:rFonts w:ascii="Arial" w:cs="Arial" w:eastAsia="Arial" w:hAnsi="Arial"/>
          <w:sz w:val="10"/>
          <w:szCs w:val="10"/>
          <w:color w:val="auto"/>
        </w:rPr>
        <w:t>As a science-driven innovation company, Genmab recognizes that our success depends on our ability to attract, develop, a</w:t>
      </w:r>
    </w:p>
    <w:p>
      <w:pPr>
        <w:sectPr>
          <w:pgSz w:w="11900" w:h="16840" w:orient="portrait"/>
          <w:cols w:equalWidth="0" w:num="1">
            <w:col w:w="9940"/>
          </w:cols>
          <w:pgMar w:left="640" w:top="571" w:right="1320" w:bottom="515" w:gutter="0" w:footer="0" w:header="0"/>
          <w:type w:val="continuous"/>
        </w:sectPr>
      </w:pPr>
    </w:p>
    <w:bookmarkStart w:id="115" w:name="page116"/>
    <w:bookmarkEnd w:id="115"/>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69</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7"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5"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128"/>
        </w:trPr>
        <w:tc>
          <w:tcPr>
            <w:tcW w:w="320" w:type="dxa"/>
            <w:vAlign w:val="bottom"/>
          </w:tcPr>
          <w:p>
            <w:pPr>
              <w:ind w:left="20"/>
              <w:spacing w:after="0"/>
              <w:rPr>
                <w:sz w:val="20"/>
                <w:szCs w:val="20"/>
                <w:color w:val="auto"/>
              </w:rPr>
            </w:pPr>
            <w:r>
              <w:rPr>
                <w:rFonts w:ascii="Arial" w:cs="Arial" w:eastAsia="Arial" w:hAnsi="Arial"/>
                <w:sz w:val="10"/>
                <w:szCs w:val="10"/>
                <w:b w:val="1"/>
                <w:bCs w:val="1"/>
                <w:color w:val="auto"/>
              </w:rPr>
              <w:t>Key:</w:t>
            </w:r>
          </w:p>
        </w:tc>
        <w:tc>
          <w:tcPr>
            <w:tcW w:w="280" w:type="dxa"/>
            <w:vAlign w:val="bottom"/>
          </w:tcPr>
          <w:p>
            <w:pPr>
              <w:ind w:left="80"/>
              <w:spacing w:after="0"/>
              <w:rPr>
                <w:sz w:val="20"/>
                <w:szCs w:val="20"/>
                <w:color w:val="auto"/>
              </w:rPr>
            </w:pPr>
            <w:r>
              <w:rPr>
                <w:rFonts w:ascii="Arial" w:cs="Arial" w:eastAsia="Arial" w:hAnsi="Arial"/>
                <w:sz w:val="10"/>
                <w:szCs w:val="10"/>
                <w:b w:val="1"/>
                <w:bCs w:val="1"/>
                <w:color w:val="auto"/>
              </w:rPr>
              <w:t>U</w:t>
            </w:r>
          </w:p>
        </w:tc>
        <w:tc>
          <w:tcPr>
            <w:tcW w:w="800" w:type="dxa"/>
            <w:vAlign w:val="bottom"/>
          </w:tcPr>
          <w:p>
            <w:pPr>
              <w:ind w:left="60"/>
              <w:spacing w:after="0"/>
              <w:rPr>
                <w:sz w:val="20"/>
                <w:szCs w:val="20"/>
                <w:color w:val="auto"/>
              </w:rPr>
            </w:pPr>
            <w:r>
              <w:rPr>
                <w:rFonts w:ascii="Arial" w:cs="Arial" w:eastAsia="Arial" w:hAnsi="Arial"/>
                <w:sz w:val="10"/>
                <w:szCs w:val="10"/>
                <w:color w:val="auto"/>
              </w:rPr>
              <w:t>Upstream</w:t>
            </w:r>
          </w:p>
        </w:tc>
        <w:tc>
          <w:tcPr>
            <w:tcW w:w="260" w:type="dxa"/>
            <w:vAlign w:val="bottom"/>
          </w:tcPr>
          <w:p>
            <w:pPr>
              <w:ind w:left="60"/>
              <w:spacing w:after="0"/>
              <w:rPr>
                <w:sz w:val="20"/>
                <w:szCs w:val="20"/>
                <w:color w:val="auto"/>
              </w:rPr>
            </w:pPr>
            <w:r>
              <w:rPr>
                <w:rFonts w:ascii="Arial" w:cs="Arial" w:eastAsia="Arial" w:hAnsi="Arial"/>
                <w:sz w:val="10"/>
                <w:szCs w:val="10"/>
                <w:b w:val="1"/>
                <w:bCs w:val="1"/>
                <w:color w:val="auto"/>
              </w:rPr>
              <w:t>D</w:t>
            </w:r>
          </w:p>
        </w:tc>
        <w:tc>
          <w:tcPr>
            <w:tcW w:w="720" w:type="dxa"/>
            <w:vAlign w:val="bottom"/>
          </w:tcPr>
          <w:p>
            <w:pPr>
              <w:ind w:left="60"/>
              <w:spacing w:after="0"/>
              <w:rPr>
                <w:sz w:val="20"/>
                <w:szCs w:val="20"/>
                <w:color w:val="auto"/>
              </w:rPr>
            </w:pPr>
            <w:r>
              <w:rPr>
                <w:rFonts w:ascii="Arial" w:cs="Arial" w:eastAsia="Arial" w:hAnsi="Arial"/>
                <w:sz w:val="10"/>
                <w:szCs w:val="10"/>
                <w:color w:val="auto"/>
              </w:rPr>
              <w:t>Downstream</w:t>
            </w:r>
          </w:p>
        </w:tc>
        <w:tc>
          <w:tcPr>
            <w:tcW w:w="340" w:type="dxa"/>
            <w:vAlign w:val="bottom"/>
          </w:tcPr>
          <w:p>
            <w:pPr>
              <w:ind w:left="140"/>
              <w:spacing w:after="0"/>
              <w:rPr>
                <w:sz w:val="20"/>
                <w:szCs w:val="20"/>
                <w:color w:val="auto"/>
              </w:rPr>
            </w:pPr>
            <w:r>
              <w:rPr>
                <w:rFonts w:ascii="Arial" w:cs="Arial" w:eastAsia="Arial" w:hAnsi="Arial"/>
                <w:sz w:val="10"/>
                <w:szCs w:val="10"/>
                <w:b w:val="1"/>
                <w:bCs w:val="1"/>
                <w:color w:val="auto"/>
              </w:rPr>
              <w:t>MT</w:t>
            </w:r>
          </w:p>
        </w:tc>
        <w:tc>
          <w:tcPr>
            <w:tcW w:w="6380" w:type="dxa"/>
            <w:vAlign w:val="bottom"/>
          </w:tcPr>
          <w:p>
            <w:pPr>
              <w:ind w:left="60"/>
              <w:spacing w:after="0"/>
              <w:rPr>
                <w:sz w:val="20"/>
                <w:szCs w:val="20"/>
                <w:color w:val="auto"/>
              </w:rPr>
            </w:pPr>
            <w:r>
              <w:rPr>
                <w:rFonts w:ascii="Arial" w:cs="Arial" w:eastAsia="Arial" w:hAnsi="Arial"/>
                <w:sz w:val="10"/>
                <w:szCs w:val="10"/>
                <w:color w:val="auto"/>
              </w:rPr>
              <w:t>Medium-Term</w:t>
            </w:r>
          </w:p>
        </w:tc>
        <w:tc>
          <w:tcPr>
            <w:tcW w:w="840" w:type="dxa"/>
            <w:vAlign w:val="bottom"/>
          </w:tcPr>
          <w:p>
            <w:pPr>
              <w:spacing w:after="0"/>
              <w:rPr>
                <w:sz w:val="11"/>
                <w:szCs w:val="11"/>
                <w:color w:val="auto"/>
              </w:rPr>
            </w:pPr>
          </w:p>
        </w:tc>
      </w:tr>
      <w:tr>
        <w:trPr>
          <w:trHeight w:val="147"/>
        </w:trPr>
        <w:tc>
          <w:tcPr>
            <w:tcW w:w="320" w:type="dxa"/>
            <w:vAlign w:val="bottom"/>
            <w:tcBorders>
              <w:bottom w:val="single" w:sz="8" w:color="0057CF"/>
            </w:tcBorders>
          </w:tcPr>
          <w:p>
            <w:pPr>
              <w:spacing w:after="0"/>
              <w:rPr>
                <w:sz w:val="12"/>
                <w:szCs w:val="12"/>
                <w:color w:val="auto"/>
              </w:rPr>
            </w:pPr>
          </w:p>
        </w:tc>
        <w:tc>
          <w:tcPr>
            <w:tcW w:w="280" w:type="dxa"/>
            <w:vAlign w:val="bottom"/>
            <w:tcBorders>
              <w:bottom w:val="single" w:sz="8" w:color="0057CF"/>
            </w:tcBorders>
          </w:tcPr>
          <w:p>
            <w:pPr>
              <w:ind w:left="80"/>
              <w:spacing w:after="0"/>
              <w:rPr>
                <w:sz w:val="20"/>
                <w:szCs w:val="20"/>
                <w:color w:val="auto"/>
              </w:rPr>
            </w:pPr>
            <w:r>
              <w:rPr>
                <w:rFonts w:ascii="Arial" w:cs="Arial" w:eastAsia="Arial" w:hAnsi="Arial"/>
                <w:sz w:val="10"/>
                <w:szCs w:val="10"/>
                <w:b w:val="1"/>
                <w:bCs w:val="1"/>
                <w:color w:val="auto"/>
              </w:rPr>
              <w:t>OO</w:t>
            </w:r>
          </w:p>
        </w:tc>
        <w:tc>
          <w:tcPr>
            <w:tcW w:w="800" w:type="dxa"/>
            <w:vAlign w:val="bottom"/>
            <w:tcBorders>
              <w:bottom w:val="single" w:sz="8" w:color="0057CF"/>
            </w:tcBorders>
          </w:tcPr>
          <w:p>
            <w:pPr>
              <w:ind w:left="60"/>
              <w:spacing w:after="0"/>
              <w:rPr>
                <w:sz w:val="20"/>
                <w:szCs w:val="20"/>
                <w:color w:val="auto"/>
              </w:rPr>
            </w:pPr>
            <w:r>
              <w:rPr>
                <w:rFonts w:ascii="Arial" w:cs="Arial" w:eastAsia="Arial" w:hAnsi="Arial"/>
                <w:sz w:val="10"/>
                <w:szCs w:val="10"/>
                <w:color w:val="auto"/>
              </w:rPr>
              <w:t>Own operations</w:t>
            </w:r>
          </w:p>
        </w:tc>
        <w:tc>
          <w:tcPr>
            <w:tcW w:w="260" w:type="dxa"/>
            <w:vAlign w:val="bottom"/>
            <w:tcBorders>
              <w:bottom w:val="single" w:sz="8" w:color="0057CF"/>
            </w:tcBorders>
          </w:tcPr>
          <w:p>
            <w:pPr>
              <w:ind w:left="60"/>
              <w:spacing w:after="0"/>
              <w:rPr>
                <w:sz w:val="20"/>
                <w:szCs w:val="20"/>
                <w:color w:val="auto"/>
              </w:rPr>
            </w:pPr>
            <w:r>
              <w:rPr>
                <w:rFonts w:ascii="Arial" w:cs="Arial" w:eastAsia="Arial" w:hAnsi="Arial"/>
                <w:sz w:val="10"/>
                <w:szCs w:val="10"/>
                <w:b w:val="1"/>
                <w:bCs w:val="1"/>
                <w:color w:val="auto"/>
              </w:rPr>
              <w:t>ST</w:t>
            </w:r>
          </w:p>
        </w:tc>
        <w:tc>
          <w:tcPr>
            <w:tcW w:w="720" w:type="dxa"/>
            <w:vAlign w:val="bottom"/>
            <w:tcBorders>
              <w:bottom w:val="single" w:sz="8" w:color="0057CF"/>
            </w:tcBorders>
          </w:tcPr>
          <w:p>
            <w:pPr>
              <w:ind w:left="60"/>
              <w:spacing w:after="0"/>
              <w:rPr>
                <w:sz w:val="20"/>
                <w:szCs w:val="20"/>
                <w:color w:val="auto"/>
              </w:rPr>
            </w:pPr>
            <w:r>
              <w:rPr>
                <w:rFonts w:ascii="Arial" w:cs="Arial" w:eastAsia="Arial" w:hAnsi="Arial"/>
                <w:sz w:val="10"/>
                <w:szCs w:val="10"/>
                <w:color w:val="auto"/>
              </w:rPr>
              <w:t>Short-Term</w:t>
            </w:r>
          </w:p>
        </w:tc>
        <w:tc>
          <w:tcPr>
            <w:tcW w:w="340" w:type="dxa"/>
            <w:vAlign w:val="bottom"/>
            <w:tcBorders>
              <w:bottom w:val="single" w:sz="8" w:color="0057CF"/>
            </w:tcBorders>
          </w:tcPr>
          <w:p>
            <w:pPr>
              <w:ind w:left="140"/>
              <w:spacing w:after="0"/>
              <w:rPr>
                <w:sz w:val="20"/>
                <w:szCs w:val="20"/>
                <w:color w:val="auto"/>
              </w:rPr>
            </w:pPr>
            <w:r>
              <w:rPr>
                <w:rFonts w:ascii="Arial" w:cs="Arial" w:eastAsia="Arial" w:hAnsi="Arial"/>
                <w:sz w:val="10"/>
                <w:szCs w:val="10"/>
                <w:b w:val="1"/>
                <w:bCs w:val="1"/>
                <w:color w:val="auto"/>
              </w:rPr>
              <w:t>LT</w:t>
            </w:r>
          </w:p>
        </w:tc>
        <w:tc>
          <w:tcPr>
            <w:tcW w:w="6380" w:type="dxa"/>
            <w:vAlign w:val="bottom"/>
            <w:tcBorders>
              <w:bottom w:val="single" w:sz="8" w:color="0057CF"/>
            </w:tcBorders>
          </w:tcPr>
          <w:p>
            <w:pPr>
              <w:ind w:left="60"/>
              <w:spacing w:after="0"/>
              <w:rPr>
                <w:sz w:val="20"/>
                <w:szCs w:val="20"/>
                <w:color w:val="auto"/>
              </w:rPr>
            </w:pPr>
            <w:r>
              <w:rPr>
                <w:rFonts w:ascii="Arial" w:cs="Arial" w:eastAsia="Arial" w:hAnsi="Arial"/>
                <w:sz w:val="10"/>
                <w:szCs w:val="10"/>
                <w:color w:val="auto"/>
              </w:rPr>
              <w:t>Long-Term</w:t>
            </w:r>
          </w:p>
        </w:tc>
        <w:tc>
          <w:tcPr>
            <w:tcW w:w="840" w:type="dxa"/>
            <w:vAlign w:val="bottom"/>
            <w:tcBorders>
              <w:bottom w:val="single" w:sz="8" w:color="0057CF"/>
            </w:tcBorders>
          </w:tcPr>
          <w:p>
            <w:pPr>
              <w:spacing w:after="0"/>
              <w:rPr>
                <w:sz w:val="12"/>
                <w:szCs w:val="12"/>
                <w:color w:val="auto"/>
              </w:rPr>
            </w:pPr>
          </w:p>
        </w:tc>
      </w:tr>
      <w:tr>
        <w:trPr>
          <w:trHeight w:val="96"/>
        </w:trPr>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380" w:type="dxa"/>
            <w:vAlign w:val="bottom"/>
          </w:tcPr>
          <w:p>
            <w:pPr>
              <w:ind w:left="5740"/>
              <w:spacing w:after="0" w:line="96" w:lineRule="exact"/>
              <w:rPr>
                <w:sz w:val="20"/>
                <w:szCs w:val="20"/>
                <w:color w:val="auto"/>
              </w:rPr>
            </w:pPr>
            <w:r>
              <w:rPr>
                <w:rFonts w:ascii="Arial" w:cs="Arial" w:eastAsia="Arial" w:hAnsi="Arial"/>
                <w:sz w:val="10"/>
                <w:szCs w:val="10"/>
                <w:b w:val="1"/>
                <w:bCs w:val="1"/>
                <w:color w:val="auto"/>
              </w:rPr>
              <w:t>Value Chain</w:t>
            </w:r>
          </w:p>
        </w:tc>
        <w:tc>
          <w:tcPr>
            <w:tcW w:w="840" w:type="dxa"/>
            <w:vAlign w:val="bottom"/>
          </w:tcPr>
          <w:p>
            <w:pPr>
              <w:ind w:left="100"/>
              <w:spacing w:after="0" w:line="96" w:lineRule="exact"/>
              <w:rPr>
                <w:sz w:val="20"/>
                <w:szCs w:val="20"/>
                <w:color w:val="auto"/>
              </w:rPr>
            </w:pPr>
            <w:r>
              <w:rPr>
                <w:rFonts w:ascii="Arial" w:cs="Arial" w:eastAsia="Arial" w:hAnsi="Arial"/>
                <w:sz w:val="10"/>
                <w:szCs w:val="10"/>
                <w:b w:val="1"/>
                <w:bCs w:val="1"/>
                <w:color w:val="auto"/>
              </w:rPr>
              <w:t>Time Horizon</w:t>
            </w:r>
          </w:p>
        </w:tc>
      </w:tr>
      <w:tr>
        <w:trPr>
          <w:trHeight w:val="128"/>
        </w:trPr>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380" w:type="dxa"/>
            <w:vAlign w:val="bottom"/>
          </w:tcPr>
          <w:p>
            <w:pPr>
              <w:ind w:left="5740"/>
              <w:spacing w:after="0"/>
              <w:rPr>
                <w:sz w:val="20"/>
                <w:szCs w:val="20"/>
                <w:color w:val="auto"/>
              </w:rPr>
            </w:pPr>
            <w:r>
              <w:rPr>
                <w:rFonts w:ascii="Arial" w:cs="Arial" w:eastAsia="Arial" w:hAnsi="Arial"/>
                <w:sz w:val="10"/>
                <w:szCs w:val="10"/>
                <w:b w:val="1"/>
                <w:bCs w:val="1"/>
                <w:color w:val="auto"/>
              </w:rPr>
              <w:t>Location</w:t>
            </w:r>
          </w:p>
        </w:tc>
        <w:tc>
          <w:tcPr>
            <w:tcW w:w="840" w:type="dxa"/>
            <w:vAlign w:val="bottom"/>
          </w:tcPr>
          <w:p>
            <w:pPr>
              <w:spacing w:after="0"/>
              <w:rPr>
                <w:sz w:val="11"/>
                <w:szCs w:val="11"/>
                <w:color w:val="auto"/>
              </w:rPr>
            </w:pPr>
          </w:p>
        </w:tc>
      </w:tr>
    </w:tbl>
    <w:p>
      <w:pPr>
        <w:spacing w:after="0" w:line="12" w:lineRule="exact"/>
        <w:rPr>
          <w:rFonts w:ascii="Arial" w:cs="Arial" w:eastAsia="Arial" w:hAnsi="Arial"/>
          <w:sz w:val="10"/>
          <w:szCs w:val="10"/>
          <w:b w:val="1"/>
          <w:bCs w:val="1"/>
          <w:color w:val="auto"/>
        </w:rPr>
      </w:pPr>
    </w:p>
    <w:p>
      <w:pPr>
        <w:sectPr>
          <w:pgSz w:w="11900" w:h="16840" w:orient="portrait"/>
          <w:cols w:equalWidth="0" w:num="1">
            <w:col w:w="9940"/>
          </w:cols>
          <w:pgMar w:left="640" w:top="571" w:right="1320" w:bottom="1440" w:gutter="0" w:footer="0" w:header="0"/>
        </w:sectPr>
      </w:pPr>
    </w:p>
    <w:tbl>
      <w:tblPr>
        <w:tblLayout w:type="fixed"/>
        <w:tblInd w:w="1020" w:type="dxa"/>
        <w:tblCellMar>
          <w:top w:w="0" w:type="dxa"/>
          <w:left w:w="0" w:type="dxa"/>
          <w:bottom w:w="0" w:type="dxa"/>
          <w:right w:w="0" w:type="dxa"/>
        </w:tblCellMar>
      </w:tblPr>
      <w:tr>
        <w:trPr>
          <w:trHeight w:val="115"/>
        </w:trPr>
        <w:tc>
          <w:tcPr>
            <w:tcW w:w="1100" w:type="dxa"/>
            <w:vAlign w:val="bottom"/>
          </w:tcPr>
          <w:p>
            <w:pPr>
              <w:spacing w:after="0"/>
              <w:rPr>
                <w:sz w:val="20"/>
                <w:szCs w:val="20"/>
                <w:color w:val="auto"/>
              </w:rPr>
            </w:pPr>
            <w:r>
              <w:rPr>
                <w:rFonts w:ascii="Arial" w:cs="Arial" w:eastAsia="Arial" w:hAnsi="Arial"/>
                <w:sz w:val="10"/>
                <w:szCs w:val="10"/>
                <w:b w:val="1"/>
                <w:bCs w:val="1"/>
                <w:color w:val="auto"/>
              </w:rPr>
              <w:t>IRO Name</w:t>
            </w:r>
          </w:p>
        </w:tc>
        <w:tc>
          <w:tcPr>
            <w:tcW w:w="600" w:type="dxa"/>
            <w:vAlign w:val="bottom"/>
          </w:tcPr>
          <w:p>
            <w:pPr>
              <w:ind w:left="20"/>
              <w:spacing w:after="0"/>
              <w:rPr>
                <w:sz w:val="20"/>
                <w:szCs w:val="20"/>
                <w:color w:val="auto"/>
              </w:rPr>
            </w:pPr>
            <w:r>
              <w:rPr>
                <w:rFonts w:ascii="Arial" w:cs="Arial" w:eastAsia="Arial" w:hAnsi="Arial"/>
                <w:sz w:val="10"/>
                <w:szCs w:val="10"/>
                <w:b w:val="1"/>
                <w:bCs w:val="1"/>
                <w:color w:val="auto"/>
              </w:rPr>
              <w:t>IRO Type</w:t>
            </w:r>
          </w:p>
        </w:tc>
        <w:tc>
          <w:tcPr>
            <w:tcW w:w="5740" w:type="dxa"/>
            <w:vAlign w:val="bottom"/>
          </w:tcPr>
          <w:p>
            <w:pPr>
              <w:ind w:left="40"/>
              <w:spacing w:after="0"/>
              <w:rPr>
                <w:sz w:val="20"/>
                <w:szCs w:val="20"/>
                <w:color w:val="auto"/>
              </w:rPr>
            </w:pPr>
            <w:r>
              <w:rPr>
                <w:rFonts w:ascii="Arial" w:cs="Arial" w:eastAsia="Arial" w:hAnsi="Arial"/>
                <w:sz w:val="10"/>
                <w:szCs w:val="10"/>
                <w:b w:val="1"/>
                <w:bCs w:val="1"/>
                <w:color w:val="auto"/>
              </w:rPr>
              <w:t>IRO Description</w:t>
            </w:r>
          </w:p>
        </w:tc>
        <w:tc>
          <w:tcPr>
            <w:tcW w:w="160" w:type="dxa"/>
            <w:vAlign w:val="bottom"/>
          </w:tcPr>
          <w:p>
            <w:pPr>
              <w:spacing w:after="0"/>
              <w:rPr>
                <w:sz w:val="20"/>
                <w:szCs w:val="20"/>
                <w:color w:val="auto"/>
              </w:rPr>
            </w:pPr>
            <w:r>
              <w:rPr>
                <w:rFonts w:ascii="Arial" w:cs="Arial" w:eastAsia="Arial" w:hAnsi="Arial"/>
                <w:sz w:val="10"/>
                <w:szCs w:val="10"/>
                <w:b w:val="1"/>
                <w:bCs w:val="1"/>
                <w:color w:val="auto"/>
              </w:rPr>
              <w:t>U</w:t>
            </w:r>
          </w:p>
        </w:tc>
        <w:tc>
          <w:tcPr>
            <w:tcW w:w="400" w:type="dxa"/>
            <w:vAlign w:val="bottom"/>
          </w:tcPr>
          <w:p>
            <w:pPr>
              <w:ind w:left="80"/>
              <w:spacing w:after="0"/>
              <w:rPr>
                <w:sz w:val="20"/>
                <w:szCs w:val="20"/>
                <w:color w:val="auto"/>
              </w:rPr>
            </w:pPr>
            <w:r>
              <w:rPr>
                <w:rFonts w:ascii="Arial" w:cs="Arial" w:eastAsia="Arial" w:hAnsi="Arial"/>
                <w:sz w:val="10"/>
                <w:szCs w:val="10"/>
                <w:b w:val="1"/>
                <w:bCs w:val="1"/>
                <w:color w:val="auto"/>
              </w:rPr>
              <w:t>OO  D</w:t>
            </w:r>
          </w:p>
        </w:tc>
        <w:tc>
          <w:tcPr>
            <w:tcW w:w="0" w:type="dxa"/>
            <w:vAlign w:val="bottom"/>
          </w:tcPr>
          <w:p>
            <w:pPr>
              <w:spacing w:after="0"/>
              <w:rPr>
                <w:sz w:val="1"/>
                <w:szCs w:val="1"/>
                <w:color w:val="auto"/>
              </w:rPr>
            </w:pPr>
          </w:p>
        </w:tc>
      </w:tr>
      <w:tr>
        <w:trPr>
          <w:trHeight w:val="134"/>
        </w:trPr>
        <w:tc>
          <w:tcPr>
            <w:tcW w:w="1100" w:type="dxa"/>
            <w:vAlign w:val="bottom"/>
          </w:tcPr>
          <w:p>
            <w:pPr>
              <w:spacing w:after="0"/>
              <w:rPr>
                <w:sz w:val="20"/>
                <w:szCs w:val="20"/>
                <w:color w:val="auto"/>
              </w:rPr>
            </w:pPr>
            <w:r>
              <w:rPr>
                <w:rFonts w:ascii="Arial" w:cs="Arial" w:eastAsia="Arial" w:hAnsi="Arial"/>
                <w:sz w:val="10"/>
                <w:szCs w:val="10"/>
                <w:color w:val="auto"/>
              </w:rPr>
              <w:t>Provide a voice to</w:t>
            </w:r>
          </w:p>
        </w:tc>
        <w:tc>
          <w:tcPr>
            <w:tcW w:w="600" w:type="dxa"/>
            <w:vAlign w:val="bottom"/>
          </w:tcPr>
          <w:p>
            <w:pPr>
              <w:ind w:left="20"/>
              <w:spacing w:after="0"/>
              <w:rPr>
                <w:sz w:val="20"/>
                <w:szCs w:val="20"/>
                <w:color w:val="auto"/>
              </w:rPr>
            </w:pPr>
            <w:r>
              <w:rPr>
                <w:rFonts w:ascii="Arial" w:cs="Arial" w:eastAsia="Arial" w:hAnsi="Arial"/>
                <w:sz w:val="10"/>
                <w:szCs w:val="10"/>
                <w:color w:val="auto"/>
              </w:rPr>
              <w:t>Opportunity</w:t>
            </w:r>
          </w:p>
        </w:tc>
        <w:tc>
          <w:tcPr>
            <w:tcW w:w="5900" w:type="dxa"/>
            <w:vAlign w:val="bottom"/>
            <w:gridSpan w:val="2"/>
          </w:tcPr>
          <w:p>
            <w:pPr>
              <w:ind w:left="40"/>
              <w:spacing w:after="0"/>
              <w:rPr>
                <w:sz w:val="20"/>
                <w:szCs w:val="20"/>
                <w:color w:val="auto"/>
              </w:rPr>
            </w:pPr>
            <w:r>
              <w:rPr>
                <w:rFonts w:ascii="Arial" w:cs="Arial" w:eastAsia="Arial" w:hAnsi="Arial"/>
                <w:sz w:val="10"/>
                <w:szCs w:val="10"/>
                <w:color w:val="auto"/>
              </w:rPr>
              <w:t>Genmab has an opportunity through our annual Global Engagement Survey to assesses satisfaction, well-being, and workp</w:t>
            </w:r>
          </w:p>
        </w:tc>
        <w:tc>
          <w:tcPr>
            <w:tcW w:w="400" w:type="dxa"/>
            <w:vAlign w:val="bottom"/>
            <w:vMerge w:val="restart"/>
          </w:tcPr>
          <w:p>
            <w:pPr>
              <w:ind w:left="80"/>
              <w:spacing w:after="0"/>
              <w:rPr>
                <w:sz w:val="20"/>
                <w:szCs w:val="20"/>
                <w:color w:val="auto"/>
              </w:rPr>
            </w:pPr>
            <w:r>
              <w:rPr>
                <w:rFonts w:ascii="Arial" w:cs="Arial" w:eastAsia="Arial" w:hAnsi="Arial"/>
                <w:sz w:val="35"/>
                <w:szCs w:val="35"/>
                <w:color w:val="0057CF"/>
              </w:rPr>
              <w:t>•</w:t>
            </w:r>
          </w:p>
        </w:tc>
        <w:tc>
          <w:tcPr>
            <w:tcW w:w="0" w:type="dxa"/>
            <w:vAlign w:val="bottom"/>
          </w:tcPr>
          <w:p>
            <w:pPr>
              <w:spacing w:after="0"/>
              <w:rPr>
                <w:sz w:val="1"/>
                <w:szCs w:val="1"/>
                <w:color w:val="auto"/>
              </w:rPr>
            </w:pPr>
          </w:p>
        </w:tc>
      </w:tr>
      <w:tr>
        <w:trPr>
          <w:trHeight w:val="95"/>
        </w:trPr>
        <w:tc>
          <w:tcPr>
            <w:tcW w:w="1100" w:type="dxa"/>
            <w:vAlign w:val="bottom"/>
          </w:tcPr>
          <w:p>
            <w:pPr>
              <w:spacing w:after="0" w:line="95" w:lineRule="exact"/>
              <w:rPr>
                <w:sz w:val="20"/>
                <w:szCs w:val="20"/>
                <w:color w:val="auto"/>
              </w:rPr>
            </w:pPr>
            <w:r>
              <w:rPr>
                <w:rFonts w:ascii="Arial" w:cs="Arial" w:eastAsia="Arial" w:hAnsi="Arial"/>
                <w:sz w:val="10"/>
                <w:szCs w:val="10"/>
                <w:color w:val="auto"/>
              </w:rPr>
              <w:t>employees through our</w:t>
            </w:r>
          </w:p>
        </w:tc>
        <w:tc>
          <w:tcPr>
            <w:tcW w:w="6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lace</w:t>
            </w:r>
          </w:p>
        </w:tc>
        <w:tc>
          <w:tcPr>
            <w:tcW w:w="1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line="95" w:lineRule="exact"/>
              <w:rPr>
                <w:sz w:val="20"/>
                <w:szCs w:val="20"/>
                <w:color w:val="auto"/>
              </w:rPr>
            </w:pPr>
            <w:r>
              <w:rPr>
                <w:rFonts w:ascii="Arial" w:cs="Arial" w:eastAsia="Arial" w:hAnsi="Arial"/>
                <w:sz w:val="10"/>
                <w:szCs w:val="10"/>
                <w:color w:val="auto"/>
              </w:rPr>
              <w:t>global engagement</w:t>
            </w:r>
          </w:p>
        </w:tc>
        <w:tc>
          <w:tcPr>
            <w:tcW w:w="6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conditions, using results to drive improvement. Leaders are accountable for acting on feedback, ensuring employees feel h</w:t>
            </w:r>
          </w:p>
        </w:tc>
        <w:tc>
          <w:tcPr>
            <w:tcW w:w="1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line="95" w:lineRule="exact"/>
              <w:rPr>
                <w:sz w:val="20"/>
                <w:szCs w:val="20"/>
                <w:color w:val="auto"/>
              </w:rPr>
            </w:pPr>
            <w:r>
              <w:rPr>
                <w:rFonts w:ascii="Arial" w:cs="Arial" w:eastAsia="Arial" w:hAnsi="Arial"/>
                <w:sz w:val="10"/>
                <w:szCs w:val="10"/>
                <w:color w:val="auto"/>
              </w:rPr>
              <w:t>survey</w:t>
            </w:r>
          </w:p>
        </w:tc>
        <w:tc>
          <w:tcPr>
            <w:tcW w:w="6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eard,</w:t>
            </w:r>
          </w:p>
        </w:tc>
        <w:tc>
          <w:tcPr>
            <w:tcW w:w="1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valued, and aligned with the Company’s goals—fostering a positive, supportive, and sustainable work environment. This</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opportunity is linked to our Global Engagement Survey target which is part of Executive Management performance criteria f</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740" w:type="dxa"/>
            <w:vAlign w:val="bottom"/>
          </w:tcPr>
          <w:p>
            <w:pPr>
              <w:ind w:left="40"/>
              <w:spacing w:after="0" w:line="95" w:lineRule="exact"/>
              <w:rPr>
                <w:sz w:val="20"/>
                <w:szCs w:val="20"/>
                <w:color w:val="auto"/>
              </w:rPr>
            </w:pPr>
            <w:r>
              <w:rPr>
                <w:rFonts w:ascii="Arial" w:cs="Arial" w:eastAsia="Arial" w:hAnsi="Arial"/>
                <w:sz w:val="10"/>
                <w:szCs w:val="10"/>
                <w:color w:val="auto"/>
              </w:rPr>
              <w:t>or</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740" w:type="dxa"/>
            <w:vAlign w:val="bottom"/>
          </w:tcPr>
          <w:p>
            <w:pPr>
              <w:ind w:left="40"/>
              <w:spacing w:after="0" w:line="105" w:lineRule="exact"/>
              <w:rPr>
                <w:sz w:val="20"/>
                <w:szCs w:val="20"/>
                <w:color w:val="auto"/>
              </w:rPr>
            </w:pPr>
            <w:r>
              <w:rPr>
                <w:rFonts w:ascii="Arial" w:cs="Arial" w:eastAsia="Arial" w:hAnsi="Arial"/>
                <w:sz w:val="10"/>
                <w:szCs w:val="10"/>
                <w:color w:val="auto"/>
              </w:rPr>
              <w:t>incentive compensation.</w:t>
            </w:r>
          </w:p>
        </w:tc>
        <w:tc>
          <w:tcPr>
            <w:tcW w:w="160" w:type="dxa"/>
            <w:vAlign w:val="bottom"/>
          </w:tcPr>
          <w:p>
            <w:pPr>
              <w:spacing w:after="0"/>
              <w:rPr>
                <w:sz w:val="9"/>
                <w:szCs w:val="9"/>
                <w:color w:val="auto"/>
              </w:rPr>
            </w:pPr>
          </w:p>
        </w:tc>
        <w:tc>
          <w:tcPr>
            <w:tcW w:w="400" w:type="dxa"/>
            <w:vAlign w:val="bottom"/>
            <w:vMerge w:val="restart"/>
          </w:tcPr>
          <w:p>
            <w:pPr>
              <w:ind w:left="80"/>
              <w:spacing w:after="0" w:line="210" w:lineRule="exact"/>
              <w:rPr>
                <w:sz w:val="20"/>
                <w:szCs w:val="20"/>
                <w:color w:val="auto"/>
              </w:rPr>
            </w:pPr>
            <w:r>
              <w:rPr>
                <w:rFonts w:ascii="Arial" w:cs="Arial" w:eastAsia="Arial" w:hAnsi="Arial"/>
                <w:sz w:val="24"/>
                <w:szCs w:val="24"/>
                <w:color w:val="0057CF"/>
              </w:rPr>
              <w:t>•</w:t>
            </w:r>
          </w:p>
        </w:tc>
        <w:tc>
          <w:tcPr>
            <w:tcW w:w="0" w:type="dxa"/>
            <w:vAlign w:val="bottom"/>
          </w:tcPr>
          <w:p>
            <w:pPr>
              <w:spacing w:after="0"/>
              <w:rPr>
                <w:sz w:val="1"/>
                <w:szCs w:val="1"/>
                <w:color w:val="auto"/>
              </w:rPr>
            </w:pPr>
          </w:p>
        </w:tc>
      </w:tr>
      <w:tr>
        <w:trPr>
          <w:trHeight w:val="105"/>
        </w:trPr>
        <w:tc>
          <w:tcPr>
            <w:tcW w:w="1100" w:type="dxa"/>
            <w:vAlign w:val="bottom"/>
          </w:tcPr>
          <w:p>
            <w:pPr>
              <w:spacing w:after="0" w:line="105" w:lineRule="exact"/>
              <w:rPr>
                <w:sz w:val="20"/>
                <w:szCs w:val="20"/>
                <w:color w:val="auto"/>
              </w:rPr>
            </w:pPr>
            <w:r>
              <w:rPr>
                <w:rFonts w:ascii="Arial" w:cs="Arial" w:eastAsia="Arial" w:hAnsi="Arial"/>
                <w:sz w:val="10"/>
                <w:szCs w:val="10"/>
                <w:color w:val="auto"/>
              </w:rPr>
              <w:t>Safety in our facilities</w:t>
            </w:r>
          </w:p>
        </w:tc>
        <w:tc>
          <w:tcPr>
            <w:tcW w:w="600" w:type="dxa"/>
            <w:vAlign w:val="bottom"/>
          </w:tcPr>
          <w:p>
            <w:pPr>
              <w:ind w:left="20"/>
              <w:spacing w:after="0" w:line="105" w:lineRule="exact"/>
              <w:rPr>
                <w:sz w:val="20"/>
                <w:szCs w:val="20"/>
                <w:color w:val="auto"/>
              </w:rPr>
            </w:pPr>
            <w:r>
              <w:rPr>
                <w:rFonts w:ascii="Arial" w:cs="Arial" w:eastAsia="Arial" w:hAnsi="Arial"/>
                <w:sz w:val="10"/>
                <w:szCs w:val="10"/>
                <w:color w:val="auto"/>
              </w:rPr>
              <w:t>Potential</w:t>
            </w:r>
          </w:p>
        </w:tc>
        <w:tc>
          <w:tcPr>
            <w:tcW w:w="590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Genmab recognizes there is a systemic potential negative impact around safety in our facilities due to potential work-related</w:t>
            </w: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600" w:type="dxa"/>
            <w:vAlign w:val="bottom"/>
          </w:tcPr>
          <w:p>
            <w:pPr>
              <w:ind w:left="20"/>
              <w:spacing w:after="0" w:line="95" w:lineRule="exact"/>
              <w:rPr>
                <w:sz w:val="20"/>
                <w:szCs w:val="20"/>
                <w:color w:val="auto"/>
              </w:rPr>
            </w:pPr>
            <w:r>
              <w:rPr>
                <w:rFonts w:ascii="Arial" w:cs="Arial" w:eastAsia="Arial" w:hAnsi="Arial"/>
                <w:sz w:val="10"/>
                <w:szCs w:val="10"/>
                <w:color w:val="auto"/>
              </w:rPr>
              <w:t>Negative</w:t>
            </w:r>
          </w:p>
        </w:tc>
        <w:tc>
          <w:tcPr>
            <w:tcW w:w="5740" w:type="dxa"/>
            <w:vAlign w:val="bottom"/>
            <w:vMerge w:val="restart"/>
          </w:tcPr>
          <w:p>
            <w:pPr>
              <w:ind w:left="40"/>
              <w:spacing w:after="0"/>
              <w:rPr>
                <w:sz w:val="20"/>
                <w:szCs w:val="20"/>
                <w:color w:val="auto"/>
              </w:rPr>
            </w:pPr>
            <w:r>
              <w:rPr>
                <w:rFonts w:ascii="Arial" w:cs="Arial" w:eastAsia="Arial" w:hAnsi="Arial"/>
                <w:sz w:val="10"/>
                <w:szCs w:val="10"/>
                <w:color w:val="auto"/>
              </w:rPr>
              <w:t>accidents, illnesses or fatalities that can arise in a laboratory setting.</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0"/>
                <w:szCs w:val="10"/>
                <w:color w:val="auto"/>
              </w:rPr>
              <w:t>Impact</w:t>
            </w:r>
          </w:p>
        </w:tc>
        <w:tc>
          <w:tcPr>
            <w:tcW w:w="5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6303645" cy="965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6303645" cy="96520"/>
                    </a:xfrm>
                    <a:prstGeom prst="rect">
                      <a:avLst/>
                    </a:prstGeom>
                    <a:noFill/>
                  </pic:spPr>
                </pic:pic>
              </a:graphicData>
            </a:graphic>
          </wp:anchor>
        </w:drawing>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tabs>
          <w:tab w:leader="none" w:pos="220" w:val="left"/>
          <w:tab w:leader="none" w:pos="480" w:val="left"/>
        </w:tabs>
        <w:rPr>
          <w:sz w:val="20"/>
          <w:szCs w:val="20"/>
          <w:color w:val="auto"/>
        </w:rPr>
      </w:pPr>
      <w:r>
        <w:rPr>
          <w:rFonts w:ascii="Arial" w:cs="Arial" w:eastAsia="Arial" w:hAnsi="Arial"/>
          <w:sz w:val="10"/>
          <w:szCs w:val="10"/>
          <w:b w:val="1"/>
          <w:bCs w:val="1"/>
          <w:color w:val="auto"/>
        </w:rPr>
        <w:t>ST</w:t>
        <w:tab/>
        <w:t>MT</w:t>
      </w:r>
      <w:r>
        <w:rPr>
          <w:sz w:val="20"/>
          <w:szCs w:val="20"/>
          <w:color w:val="auto"/>
        </w:rPr>
        <w:tab/>
      </w:r>
      <w:r>
        <w:rPr>
          <w:rFonts w:ascii="Arial" w:cs="Arial" w:eastAsia="Arial" w:hAnsi="Arial"/>
          <w:sz w:val="8"/>
          <w:szCs w:val="8"/>
          <w:b w:val="1"/>
          <w:bCs w:val="1"/>
          <w:color w:val="auto"/>
        </w:rPr>
        <w:t>LT</w:t>
      </w:r>
    </w:p>
    <w:p>
      <w:pPr>
        <w:spacing w:after="0" w:line="1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w:t>
      </w:r>
    </w:p>
    <w:p>
      <w:pPr>
        <w:spacing w:after="0" w:line="35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w:t>
      </w:r>
    </w:p>
    <w:p>
      <w:pPr>
        <w:spacing w:after="0" w:line="27" w:lineRule="exact"/>
        <w:rPr>
          <w:rFonts w:ascii="Arial" w:cs="Arial" w:eastAsia="Arial" w:hAnsi="Arial"/>
          <w:sz w:val="10"/>
          <w:szCs w:val="10"/>
          <w:b w:val="1"/>
          <w:bCs w:val="1"/>
          <w:color w:val="auto"/>
        </w:rPr>
      </w:pPr>
    </w:p>
    <w:p>
      <w:pPr>
        <w:sectPr>
          <w:pgSz w:w="11900" w:h="16840" w:orient="portrait"/>
          <w:cols w:equalWidth="0" w:num="2">
            <w:col w:w="9020" w:space="180"/>
            <w:col w:w="740"/>
          </w:cols>
          <w:pgMar w:left="640" w:top="571" w:right="1320" w:bottom="1440" w:gutter="0" w:footer="0" w:header="0"/>
          <w:type w:val="continuous"/>
        </w:sectPr>
      </w:pPr>
    </w:p>
    <w:tbl>
      <w:tblPr>
        <w:tblLayout w:type="fixed"/>
        <w:tblInd w:w="20" w:type="dxa"/>
        <w:tblCellMar>
          <w:top w:w="0" w:type="dxa"/>
          <w:left w:w="0" w:type="dxa"/>
          <w:bottom w:w="0" w:type="dxa"/>
          <w:right w:w="0" w:type="dxa"/>
        </w:tblCellMar>
      </w:tblPr>
      <w:tr>
        <w:trPr>
          <w:trHeight w:val="142"/>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Equal Treatment and Opportunities for All</w:t>
            </w:r>
          </w:p>
        </w:tc>
        <w:tc>
          <w:tcPr>
            <w:tcW w:w="5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105"/>
        </w:trPr>
        <w:tc>
          <w:tcPr>
            <w:tcW w:w="960" w:type="dxa"/>
            <w:vAlign w:val="bottom"/>
          </w:tcPr>
          <w:p>
            <w:pPr>
              <w:spacing w:after="0" w:line="105" w:lineRule="exact"/>
              <w:rPr>
                <w:sz w:val="20"/>
                <w:szCs w:val="20"/>
                <w:color w:val="auto"/>
              </w:rPr>
            </w:pPr>
            <w:r>
              <w:rPr>
                <w:rFonts w:ascii="Arial" w:cs="Arial" w:eastAsia="Arial" w:hAnsi="Arial"/>
                <w:sz w:val="10"/>
                <w:szCs w:val="10"/>
                <w:color w:val="auto"/>
              </w:rPr>
              <w:t>Own Workforce -</w:t>
            </w:r>
          </w:p>
        </w:tc>
        <w:tc>
          <w:tcPr>
            <w:tcW w:w="1140" w:type="dxa"/>
            <w:vAlign w:val="bottom"/>
          </w:tcPr>
          <w:p>
            <w:pPr>
              <w:ind w:left="40"/>
              <w:spacing w:after="0" w:line="105" w:lineRule="exact"/>
              <w:rPr>
                <w:sz w:val="20"/>
                <w:szCs w:val="20"/>
                <w:color w:val="auto"/>
              </w:rPr>
            </w:pPr>
            <w:r>
              <w:rPr>
                <w:rFonts w:ascii="Arial" w:cs="Arial" w:eastAsia="Arial" w:hAnsi="Arial"/>
                <w:sz w:val="10"/>
                <w:szCs w:val="10"/>
                <w:color w:val="auto"/>
              </w:rPr>
              <w:t>Career development</w:t>
            </w:r>
          </w:p>
        </w:tc>
        <w:tc>
          <w:tcPr>
            <w:tcW w:w="520" w:type="dxa"/>
            <w:vAlign w:val="bottom"/>
          </w:tcPr>
          <w:p>
            <w:pPr>
              <w:ind w:left="20"/>
              <w:spacing w:after="0" w:line="105" w:lineRule="exact"/>
              <w:rPr>
                <w:sz w:val="20"/>
                <w:szCs w:val="20"/>
                <w:color w:val="auto"/>
              </w:rPr>
            </w:pPr>
            <w:r>
              <w:rPr>
                <w:rFonts w:ascii="Arial" w:cs="Arial" w:eastAsia="Arial" w:hAnsi="Arial"/>
                <w:sz w:val="10"/>
                <w:szCs w:val="10"/>
                <w:color w:val="auto"/>
              </w:rPr>
              <w:t>Actual</w:t>
            </w:r>
          </w:p>
        </w:tc>
        <w:tc>
          <w:tcPr>
            <w:tcW w:w="5820" w:type="dxa"/>
            <w:vAlign w:val="bottom"/>
          </w:tcPr>
          <w:p>
            <w:pPr>
              <w:ind w:left="120"/>
              <w:spacing w:after="0" w:line="105" w:lineRule="exact"/>
              <w:rPr>
                <w:sz w:val="20"/>
                <w:szCs w:val="20"/>
                <w:color w:val="auto"/>
              </w:rPr>
            </w:pPr>
            <w:r>
              <w:rPr>
                <w:rFonts w:ascii="Arial" w:cs="Arial" w:eastAsia="Arial" w:hAnsi="Arial"/>
                <w:sz w:val="10"/>
                <w:szCs w:val="10"/>
                <w:color w:val="auto"/>
              </w:rPr>
              <w:t>Genmab’s focus on continuous learning fosters growth, collaboration, and morale while strengthening its ability to attract an</w:t>
            </w:r>
          </w:p>
        </w:tc>
      </w:tr>
      <w:tr>
        <w:trPr>
          <w:trHeight w:val="95"/>
        </w:trPr>
        <w:tc>
          <w:tcPr>
            <w:tcW w:w="2100" w:type="dxa"/>
            <w:vAlign w:val="bottom"/>
            <w:gridSpan w:val="2"/>
          </w:tcPr>
          <w:p>
            <w:pPr>
              <w:spacing w:after="0" w:line="95" w:lineRule="exact"/>
              <w:rPr>
                <w:sz w:val="20"/>
                <w:szCs w:val="20"/>
                <w:color w:val="auto"/>
              </w:rPr>
            </w:pPr>
            <w:r>
              <w:rPr>
                <w:rFonts w:ascii="Arial" w:cs="Arial" w:eastAsia="Arial" w:hAnsi="Arial"/>
                <w:sz w:val="10"/>
                <w:szCs w:val="10"/>
                <w:color w:val="auto"/>
              </w:rPr>
              <w:t>Equal Treatment and through training and</w:t>
            </w:r>
          </w:p>
        </w:tc>
        <w:tc>
          <w:tcPr>
            <w:tcW w:w="520" w:type="dxa"/>
            <w:vAlign w:val="bottom"/>
          </w:tcPr>
          <w:p>
            <w:pPr>
              <w:ind w:left="20"/>
              <w:spacing w:after="0" w:line="95" w:lineRule="exact"/>
              <w:rPr>
                <w:sz w:val="20"/>
                <w:szCs w:val="20"/>
                <w:color w:val="auto"/>
              </w:rPr>
            </w:pPr>
            <w:r>
              <w:rPr>
                <w:rFonts w:ascii="Arial" w:cs="Arial" w:eastAsia="Arial" w:hAnsi="Arial"/>
                <w:sz w:val="10"/>
                <w:szCs w:val="10"/>
                <w:color w:val="auto"/>
              </w:rPr>
              <w:t>Positive</w:t>
            </w:r>
          </w:p>
        </w:tc>
        <w:tc>
          <w:tcPr>
            <w:tcW w:w="5820" w:type="dxa"/>
            <w:vAlign w:val="bottom"/>
          </w:tcPr>
          <w:p>
            <w:pPr>
              <w:ind w:left="120"/>
              <w:spacing w:after="0" w:line="95" w:lineRule="exact"/>
              <w:rPr>
                <w:sz w:val="20"/>
                <w:szCs w:val="20"/>
                <w:color w:val="auto"/>
              </w:rPr>
            </w:pPr>
            <w:r>
              <w:rPr>
                <w:rFonts w:ascii="Arial" w:cs="Arial" w:eastAsia="Arial" w:hAnsi="Arial"/>
                <w:sz w:val="10"/>
                <w:szCs w:val="10"/>
                <w:color w:val="auto"/>
              </w:rPr>
              <w:t>d</w:t>
            </w:r>
          </w:p>
        </w:tc>
      </w:tr>
      <w:tr>
        <w:trPr>
          <w:trHeight w:val="137"/>
        </w:trPr>
        <w:tc>
          <w:tcPr>
            <w:tcW w:w="960" w:type="dxa"/>
            <w:vAlign w:val="bottom"/>
          </w:tcPr>
          <w:p>
            <w:pPr>
              <w:spacing w:after="0"/>
              <w:rPr>
                <w:sz w:val="20"/>
                <w:szCs w:val="20"/>
                <w:color w:val="auto"/>
              </w:rPr>
            </w:pPr>
            <w:r>
              <w:rPr>
                <w:rFonts w:ascii="Arial" w:cs="Arial" w:eastAsia="Arial" w:hAnsi="Arial"/>
                <w:sz w:val="10"/>
                <w:szCs w:val="10"/>
                <w:color w:val="auto"/>
              </w:rPr>
              <w:t>Opportunities for All</w:t>
            </w:r>
          </w:p>
        </w:tc>
        <w:tc>
          <w:tcPr>
            <w:tcW w:w="1140" w:type="dxa"/>
            <w:vAlign w:val="bottom"/>
          </w:tcPr>
          <w:p>
            <w:pPr>
              <w:ind w:left="40"/>
              <w:spacing w:after="0"/>
              <w:rPr>
                <w:sz w:val="20"/>
                <w:szCs w:val="20"/>
                <w:color w:val="auto"/>
              </w:rPr>
            </w:pPr>
            <w:r>
              <w:rPr>
                <w:rFonts w:ascii="Arial" w:cs="Arial" w:eastAsia="Arial" w:hAnsi="Arial"/>
                <w:sz w:val="10"/>
                <w:szCs w:val="10"/>
                <w:color w:val="auto"/>
              </w:rPr>
              <w:t>skill building</w:t>
            </w:r>
          </w:p>
        </w:tc>
        <w:tc>
          <w:tcPr>
            <w:tcW w:w="520" w:type="dxa"/>
            <w:vAlign w:val="bottom"/>
          </w:tcPr>
          <w:p>
            <w:pPr>
              <w:ind w:left="20"/>
              <w:spacing w:after="0"/>
              <w:rPr>
                <w:sz w:val="20"/>
                <w:szCs w:val="20"/>
                <w:color w:val="auto"/>
              </w:rPr>
            </w:pPr>
            <w:r>
              <w:rPr>
                <w:rFonts w:ascii="Arial" w:cs="Arial" w:eastAsia="Arial" w:hAnsi="Arial"/>
                <w:sz w:val="10"/>
                <w:szCs w:val="10"/>
                <w:color w:val="auto"/>
              </w:rPr>
              <w:t>Impact</w:t>
            </w:r>
          </w:p>
        </w:tc>
        <w:tc>
          <w:tcPr>
            <w:tcW w:w="5820" w:type="dxa"/>
            <w:vAlign w:val="bottom"/>
          </w:tcPr>
          <w:p>
            <w:pPr>
              <w:ind w:left="120"/>
              <w:spacing w:after="0"/>
              <w:rPr>
                <w:sz w:val="20"/>
                <w:szCs w:val="20"/>
                <w:color w:val="auto"/>
              </w:rPr>
            </w:pPr>
            <w:r>
              <w:rPr>
                <w:rFonts w:ascii="Arial" w:cs="Arial" w:eastAsia="Arial" w:hAnsi="Arial"/>
                <w:sz w:val="10"/>
                <w:szCs w:val="10"/>
                <w:color w:val="auto"/>
              </w:rPr>
              <w:t>retain top talent.</w:t>
            </w:r>
          </w:p>
        </w:tc>
      </w:tr>
      <w:tr>
        <w:trPr>
          <w:trHeight w:val="149"/>
        </w:trPr>
        <w:tc>
          <w:tcPr>
            <w:tcW w:w="9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0"/>
                <w:szCs w:val="10"/>
                <w:color w:val="auto"/>
              </w:rPr>
              <w:t>Equal opportunity</w:t>
            </w:r>
          </w:p>
        </w:tc>
        <w:tc>
          <w:tcPr>
            <w:tcW w:w="520" w:type="dxa"/>
            <w:vAlign w:val="bottom"/>
          </w:tcPr>
          <w:p>
            <w:pPr>
              <w:ind w:left="20"/>
              <w:spacing w:after="0"/>
              <w:rPr>
                <w:sz w:val="20"/>
                <w:szCs w:val="20"/>
                <w:color w:val="auto"/>
              </w:rPr>
            </w:pPr>
            <w:r>
              <w:rPr>
                <w:rFonts w:ascii="Arial" w:cs="Arial" w:eastAsia="Arial" w:hAnsi="Arial"/>
                <w:sz w:val="10"/>
                <w:szCs w:val="10"/>
                <w:color w:val="auto"/>
              </w:rPr>
              <w:t>Actual</w:t>
            </w:r>
          </w:p>
        </w:tc>
        <w:tc>
          <w:tcPr>
            <w:tcW w:w="5820" w:type="dxa"/>
            <w:vAlign w:val="bottom"/>
          </w:tcPr>
          <w:p>
            <w:pPr>
              <w:ind w:left="120"/>
              <w:spacing w:after="0"/>
              <w:rPr>
                <w:sz w:val="20"/>
                <w:szCs w:val="20"/>
                <w:color w:val="auto"/>
              </w:rPr>
            </w:pPr>
            <w:r>
              <w:rPr>
                <w:rFonts w:ascii="Arial" w:cs="Arial" w:eastAsia="Arial" w:hAnsi="Arial"/>
                <w:sz w:val="10"/>
                <w:szCs w:val="10"/>
                <w:color w:val="auto"/>
              </w:rPr>
              <w:t>Genmab’s team members encompass over 75 nationalities. We foster a global, inclusive culture, with access to equal</w:t>
            </w:r>
          </w:p>
        </w:tc>
      </w:tr>
      <w:tr>
        <w:trPr>
          <w:trHeight w:val="95"/>
        </w:trPr>
        <w:tc>
          <w:tcPr>
            <w:tcW w:w="960" w:type="dxa"/>
            <w:vAlign w:val="bottom"/>
          </w:tcPr>
          <w:p>
            <w:pPr>
              <w:spacing w:after="0"/>
              <w:rPr>
                <w:sz w:val="8"/>
                <w:szCs w:val="8"/>
                <w:color w:val="auto"/>
              </w:rPr>
            </w:pPr>
          </w:p>
        </w:tc>
        <w:tc>
          <w:tcPr>
            <w:tcW w:w="1140" w:type="dxa"/>
            <w:vAlign w:val="bottom"/>
          </w:tcPr>
          <w:p>
            <w:pPr>
              <w:ind w:left="40"/>
              <w:spacing w:after="0" w:line="95" w:lineRule="exact"/>
              <w:rPr>
                <w:sz w:val="20"/>
                <w:szCs w:val="20"/>
                <w:color w:val="auto"/>
              </w:rPr>
            </w:pPr>
            <w:r>
              <w:rPr>
                <w:rFonts w:ascii="Arial" w:cs="Arial" w:eastAsia="Arial" w:hAnsi="Arial"/>
                <w:sz w:val="10"/>
                <w:szCs w:val="10"/>
                <w:color w:val="auto"/>
              </w:rPr>
              <w:t>promoting innovation</w:t>
            </w:r>
          </w:p>
        </w:tc>
        <w:tc>
          <w:tcPr>
            <w:tcW w:w="520" w:type="dxa"/>
            <w:vAlign w:val="bottom"/>
          </w:tcPr>
          <w:p>
            <w:pPr>
              <w:ind w:left="20"/>
              <w:spacing w:after="0" w:line="95" w:lineRule="exact"/>
              <w:rPr>
                <w:sz w:val="20"/>
                <w:szCs w:val="20"/>
                <w:color w:val="auto"/>
              </w:rPr>
            </w:pPr>
            <w:r>
              <w:rPr>
                <w:rFonts w:ascii="Arial" w:cs="Arial" w:eastAsia="Arial" w:hAnsi="Arial"/>
                <w:sz w:val="10"/>
                <w:szCs w:val="10"/>
                <w:color w:val="auto"/>
              </w:rPr>
              <w:t>Positive</w:t>
            </w:r>
          </w:p>
        </w:tc>
        <w:tc>
          <w:tcPr>
            <w:tcW w:w="5820" w:type="dxa"/>
            <w:vAlign w:val="bottom"/>
          </w:tcPr>
          <w:p>
            <w:pPr>
              <w:ind w:left="120"/>
              <w:spacing w:after="0" w:line="95" w:lineRule="exact"/>
              <w:rPr>
                <w:sz w:val="20"/>
                <w:szCs w:val="20"/>
                <w:color w:val="auto"/>
              </w:rPr>
            </w:pPr>
            <w:r>
              <w:rPr>
                <w:rFonts w:ascii="Arial" w:cs="Arial" w:eastAsia="Arial" w:hAnsi="Arial"/>
                <w:sz w:val="10"/>
                <w:szCs w:val="10"/>
                <w:color w:val="auto"/>
              </w:rPr>
              <w:t>opportunities, where a broad mix of perspectives across gender, age, and nationality drive innovation to meet the needs of</w:t>
            </w:r>
          </w:p>
        </w:tc>
      </w:tr>
      <w:tr>
        <w:trPr>
          <w:trHeight w:val="137"/>
        </w:trPr>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0"/>
                <w:szCs w:val="10"/>
                <w:color w:val="auto"/>
              </w:rPr>
              <w:t>Impact</w:t>
            </w:r>
          </w:p>
        </w:tc>
        <w:tc>
          <w:tcPr>
            <w:tcW w:w="5820" w:type="dxa"/>
            <w:vAlign w:val="bottom"/>
          </w:tcPr>
          <w:p>
            <w:pPr>
              <w:ind w:left="120"/>
              <w:spacing w:after="0"/>
              <w:rPr>
                <w:sz w:val="20"/>
                <w:szCs w:val="20"/>
                <w:color w:val="auto"/>
              </w:rPr>
            </w:pPr>
            <w:r>
              <w:rPr>
                <w:rFonts w:ascii="Arial" w:cs="Arial" w:eastAsia="Arial" w:hAnsi="Arial"/>
                <w:sz w:val="10"/>
                <w:szCs w:val="10"/>
                <w:color w:val="auto"/>
              </w:rPr>
              <w:t>patients, partners, and employees.</w:t>
            </w:r>
          </w:p>
        </w:tc>
      </w:tr>
    </w:tbl>
    <w:p>
      <w:pPr>
        <w:spacing w:after="0" w:line="44" w:lineRule="exact"/>
        <w:rPr>
          <w:rFonts w:ascii="Arial" w:cs="Arial" w:eastAsia="Arial" w:hAnsi="Arial"/>
          <w:sz w:val="10"/>
          <w:szCs w:val="10"/>
          <w:b w:val="1"/>
          <w:bCs w:val="1"/>
          <w:color w:val="auto"/>
        </w:rPr>
      </w:pPr>
    </w:p>
    <w:p>
      <w:pPr>
        <w:ind w:left="20"/>
        <w:spacing w:after="0"/>
        <w:rPr>
          <w:sz w:val="20"/>
          <w:szCs w:val="20"/>
          <w:color w:val="auto"/>
        </w:rPr>
      </w:pPr>
      <w:r>
        <w:rPr>
          <w:rFonts w:ascii="Arial" w:cs="Arial" w:eastAsia="Arial" w:hAnsi="Arial"/>
          <w:sz w:val="10"/>
          <w:szCs w:val="10"/>
          <w:b w:val="1"/>
          <w:bCs w:val="1"/>
          <w:color w:val="FFFFFF"/>
        </w:rPr>
        <w:t>S4 - Consumers and End-Users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6303645" cy="965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6303645" cy="96520"/>
                    </a:xfrm>
                    <a:prstGeom prst="rect">
                      <a:avLst/>
                    </a:prstGeom>
                    <a:noFill/>
                  </pic:spPr>
                </pic:pic>
              </a:graphicData>
            </a:graphic>
          </wp:anchor>
        </w:drawing>
      </w:r>
    </w:p>
    <w:p>
      <w:pPr>
        <w:spacing w:after="0" w:line="17" w:lineRule="exact"/>
        <w:rPr>
          <w:rFonts w:ascii="Arial" w:cs="Arial" w:eastAsia="Arial" w:hAnsi="Arial"/>
          <w:sz w:val="10"/>
          <w:szCs w:val="10"/>
          <w:b w:val="1"/>
          <w:bCs w:val="1"/>
          <w:color w:val="auto"/>
        </w:rPr>
      </w:pPr>
    </w:p>
    <w:p>
      <w:pPr>
        <w:ind w:left="20"/>
        <w:spacing w:after="0"/>
        <w:rPr>
          <w:sz w:val="20"/>
          <w:szCs w:val="20"/>
          <w:color w:val="auto"/>
        </w:rPr>
      </w:pPr>
      <w:r>
        <w:rPr>
          <w:rFonts w:ascii="Arial" w:cs="Arial" w:eastAsia="Arial" w:hAnsi="Arial"/>
          <w:sz w:val="10"/>
          <w:szCs w:val="10"/>
          <w:b w:val="1"/>
          <w:bCs w:val="1"/>
          <w:color w:val="auto"/>
        </w:rPr>
        <w:t>Social inclusion of consumers and/or end-users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6303645" cy="965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6303645" cy="96520"/>
                    </a:xfrm>
                    <a:prstGeom prst="rect">
                      <a:avLst/>
                    </a:prstGeom>
                    <a:noFill/>
                  </pic:spPr>
                </pic:pic>
              </a:graphicData>
            </a:graphic>
          </wp:anchor>
        </w:drawing>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93" w:lineRule="exact"/>
        <w:rPr>
          <w:rFonts w:ascii="Arial" w:cs="Arial" w:eastAsia="Arial" w:hAnsi="Arial"/>
          <w:sz w:val="10"/>
          <w:szCs w:val="10"/>
          <w:b w:val="1"/>
          <w:bCs w:val="1"/>
          <w:color w:val="auto"/>
        </w:rPr>
      </w:pPr>
    </w:p>
    <w:p>
      <w:pPr>
        <w:spacing w:after="0"/>
        <w:tabs>
          <w:tab w:leader="none" w:pos="480" w:val="left"/>
        </w:tabs>
        <w:rPr>
          <w:sz w:val="20"/>
          <w:szCs w:val="20"/>
          <w:color w:val="auto"/>
        </w:rPr>
      </w:pPr>
      <w:r>
        <w:rPr>
          <w:rFonts w:ascii="Arial" w:cs="Arial" w:eastAsia="Arial" w:hAnsi="Arial"/>
          <w:sz w:val="35"/>
          <w:szCs w:val="35"/>
          <w:color w:val="0057CF"/>
        </w:rPr>
        <w:t>•</w:t>
        <w:tab/>
        <w:t>• • •</w:t>
      </w:r>
    </w:p>
    <w:p>
      <w:pPr>
        <w:spacing w:after="0" w:line="12" w:lineRule="exact"/>
        <w:rPr>
          <w:rFonts w:ascii="Arial" w:cs="Arial" w:eastAsia="Arial" w:hAnsi="Arial"/>
          <w:sz w:val="10"/>
          <w:szCs w:val="10"/>
          <w:b w:val="1"/>
          <w:bCs w:val="1"/>
          <w:color w:val="auto"/>
        </w:rPr>
      </w:pPr>
    </w:p>
    <w:p>
      <w:pPr>
        <w:spacing w:after="0"/>
        <w:tabs>
          <w:tab w:leader="none" w:pos="480" w:val="left"/>
        </w:tabs>
        <w:rPr>
          <w:sz w:val="20"/>
          <w:szCs w:val="20"/>
          <w:color w:val="auto"/>
        </w:rPr>
      </w:pPr>
      <w:r>
        <w:rPr>
          <w:rFonts w:ascii="Arial" w:cs="Arial" w:eastAsia="Arial" w:hAnsi="Arial"/>
          <w:sz w:val="35"/>
          <w:szCs w:val="35"/>
          <w:color w:val="0057CF"/>
        </w:rPr>
        <w:t>•</w:t>
        <w:tab/>
        <w:t>• • •</w:t>
      </w:r>
    </w:p>
    <w:p>
      <w:pPr>
        <w:spacing w:after="0" w:line="267" w:lineRule="exact"/>
        <w:rPr>
          <w:rFonts w:ascii="Arial" w:cs="Arial" w:eastAsia="Arial" w:hAnsi="Arial"/>
          <w:sz w:val="10"/>
          <w:szCs w:val="10"/>
          <w:b w:val="1"/>
          <w:bCs w:val="1"/>
          <w:color w:val="auto"/>
        </w:rPr>
      </w:pPr>
    </w:p>
    <w:p>
      <w:pPr>
        <w:sectPr>
          <w:pgSz w:w="11900" w:h="16840" w:orient="portrait"/>
          <w:cols w:equalWidth="0" w:num="2">
            <w:col w:w="8460" w:space="240"/>
            <w:col w:w="1240"/>
          </w:cols>
          <w:pgMar w:left="640" w:top="571" w:right="1320" w:bottom="1440" w:gutter="0" w:footer="0" w:header="0"/>
          <w:type w:val="continuous"/>
        </w:sectPr>
      </w:pPr>
    </w:p>
    <w:tbl>
      <w:tblPr>
        <w:tblLayout w:type="fixed"/>
        <w:tblInd w:w="20" w:type="dxa"/>
        <w:tblCellMar>
          <w:top w:w="0" w:type="dxa"/>
          <w:left w:w="0" w:type="dxa"/>
          <w:bottom w:w="0" w:type="dxa"/>
          <w:right w:w="0" w:type="dxa"/>
        </w:tblCellMar>
      </w:tblPr>
      <w:tr>
        <w:trPr>
          <w:trHeight w:val="115"/>
        </w:trPr>
        <w:tc>
          <w:tcPr>
            <w:tcW w:w="960" w:type="dxa"/>
            <w:vAlign w:val="bottom"/>
          </w:tcPr>
          <w:p>
            <w:pPr>
              <w:spacing w:after="0"/>
              <w:rPr>
                <w:sz w:val="20"/>
                <w:szCs w:val="20"/>
                <w:color w:val="auto"/>
              </w:rPr>
            </w:pPr>
            <w:r>
              <w:rPr>
                <w:rFonts w:ascii="Arial" w:cs="Arial" w:eastAsia="Arial" w:hAnsi="Arial"/>
                <w:sz w:val="10"/>
                <w:szCs w:val="10"/>
                <w:color w:val="auto"/>
              </w:rPr>
              <w:t>Consumers and</w:t>
            </w:r>
          </w:p>
        </w:tc>
        <w:tc>
          <w:tcPr>
            <w:tcW w:w="1120" w:type="dxa"/>
            <w:vAlign w:val="bottom"/>
          </w:tcPr>
          <w:p>
            <w:pPr>
              <w:ind w:left="40"/>
              <w:spacing w:after="0"/>
              <w:rPr>
                <w:sz w:val="20"/>
                <w:szCs w:val="20"/>
                <w:color w:val="auto"/>
              </w:rPr>
            </w:pPr>
            <w:r>
              <w:rPr>
                <w:rFonts w:ascii="Arial" w:cs="Arial" w:eastAsia="Arial" w:hAnsi="Arial"/>
                <w:sz w:val="10"/>
                <w:szCs w:val="10"/>
                <w:color w:val="auto"/>
              </w:rPr>
              <w:t>Innovation for patients</w:t>
            </w:r>
          </w:p>
        </w:tc>
        <w:tc>
          <w:tcPr>
            <w:tcW w:w="560" w:type="dxa"/>
            <w:vAlign w:val="bottom"/>
          </w:tcPr>
          <w:p>
            <w:pPr>
              <w:ind w:left="40"/>
              <w:spacing w:after="0"/>
              <w:rPr>
                <w:sz w:val="20"/>
                <w:szCs w:val="20"/>
                <w:color w:val="auto"/>
              </w:rPr>
            </w:pPr>
            <w:r>
              <w:rPr>
                <w:rFonts w:ascii="Arial" w:cs="Arial" w:eastAsia="Arial" w:hAnsi="Arial"/>
                <w:sz w:val="10"/>
                <w:szCs w:val="10"/>
                <w:color w:val="auto"/>
              </w:rPr>
              <w:t>Actual</w:t>
            </w:r>
          </w:p>
        </w:tc>
        <w:tc>
          <w:tcPr>
            <w:tcW w:w="5820" w:type="dxa"/>
            <w:vAlign w:val="bottom"/>
          </w:tcPr>
          <w:p>
            <w:pPr>
              <w:ind w:left="100"/>
              <w:spacing w:after="0"/>
              <w:rPr>
                <w:sz w:val="20"/>
                <w:szCs w:val="20"/>
                <w:color w:val="auto"/>
              </w:rPr>
            </w:pPr>
            <w:r>
              <w:rPr>
                <w:rFonts w:ascii="Arial" w:cs="Arial" w:eastAsia="Arial" w:hAnsi="Arial"/>
                <w:sz w:val="10"/>
                <w:szCs w:val="10"/>
                <w:color w:val="auto"/>
              </w:rPr>
              <w:t>From discovery through commercialization, Genmab’s antibody-based medicines have a meaningful positive impact on</w:t>
            </w:r>
          </w:p>
        </w:tc>
        <w:tc>
          <w:tcPr>
            <w:tcW w:w="0" w:type="dxa"/>
            <w:vAlign w:val="bottom"/>
          </w:tcPr>
          <w:p>
            <w:pPr>
              <w:spacing w:after="0"/>
              <w:rPr>
                <w:sz w:val="1"/>
                <w:szCs w:val="1"/>
                <w:color w:val="auto"/>
              </w:rPr>
            </w:pPr>
          </w:p>
        </w:tc>
      </w:tr>
      <w:tr>
        <w:trPr>
          <w:trHeight w:val="95"/>
        </w:trPr>
        <w:tc>
          <w:tcPr>
            <w:tcW w:w="960" w:type="dxa"/>
            <w:vAlign w:val="bottom"/>
          </w:tcPr>
          <w:p>
            <w:pPr>
              <w:spacing w:after="0" w:line="95" w:lineRule="exact"/>
              <w:rPr>
                <w:sz w:val="20"/>
                <w:szCs w:val="20"/>
                <w:color w:val="auto"/>
              </w:rPr>
            </w:pPr>
            <w:r>
              <w:rPr>
                <w:rFonts w:ascii="Arial" w:cs="Arial" w:eastAsia="Arial" w:hAnsi="Arial"/>
                <w:sz w:val="10"/>
                <w:szCs w:val="10"/>
                <w:color w:val="auto"/>
              </w:rPr>
              <w:t>End-Users - Social</w:t>
            </w:r>
          </w:p>
        </w:tc>
        <w:tc>
          <w:tcPr>
            <w:tcW w:w="1120" w:type="dxa"/>
            <w:vAlign w:val="bottom"/>
          </w:tcPr>
          <w:p>
            <w:pPr>
              <w:ind w:left="40"/>
              <w:spacing w:after="0" w:line="95" w:lineRule="exact"/>
              <w:rPr>
                <w:sz w:val="20"/>
                <w:szCs w:val="20"/>
                <w:color w:val="auto"/>
              </w:rPr>
            </w:pPr>
            <w:r>
              <w:rPr>
                <w:rFonts w:ascii="Arial" w:cs="Arial" w:eastAsia="Arial" w:hAnsi="Arial"/>
                <w:sz w:val="10"/>
                <w:szCs w:val="10"/>
                <w:color w:val="auto"/>
              </w:rPr>
              <w:t>with unmet needs</w:t>
            </w:r>
          </w:p>
        </w:tc>
        <w:tc>
          <w:tcPr>
            <w:tcW w:w="560" w:type="dxa"/>
            <w:vAlign w:val="bottom"/>
          </w:tcPr>
          <w:p>
            <w:pPr>
              <w:ind w:left="40"/>
              <w:spacing w:after="0" w:line="95" w:lineRule="exact"/>
              <w:rPr>
                <w:sz w:val="20"/>
                <w:szCs w:val="20"/>
                <w:color w:val="auto"/>
              </w:rPr>
            </w:pPr>
            <w:r>
              <w:rPr>
                <w:rFonts w:ascii="Arial" w:cs="Arial" w:eastAsia="Arial" w:hAnsi="Arial"/>
                <w:sz w:val="10"/>
                <w:szCs w:val="10"/>
                <w:color w:val="auto"/>
              </w:rPr>
              <w:t>Positive</w:t>
            </w: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patients’ lives. As we expand our innovative capabilities to address cancer and other serious diseases, our continued</w:t>
            </w:r>
          </w:p>
        </w:tc>
        <w:tc>
          <w:tcPr>
            <w:tcW w:w="0" w:type="dxa"/>
            <w:vAlign w:val="bottom"/>
          </w:tcPr>
          <w:p>
            <w:pPr>
              <w:spacing w:after="0"/>
              <w:rPr>
                <w:sz w:val="1"/>
                <w:szCs w:val="1"/>
                <w:color w:val="auto"/>
              </w:rPr>
            </w:pPr>
          </w:p>
        </w:tc>
      </w:tr>
      <w:tr>
        <w:trPr>
          <w:trHeight w:val="95"/>
        </w:trPr>
        <w:tc>
          <w:tcPr>
            <w:tcW w:w="960" w:type="dxa"/>
            <w:vAlign w:val="bottom"/>
          </w:tcPr>
          <w:p>
            <w:pPr>
              <w:spacing w:after="0" w:line="95" w:lineRule="exact"/>
              <w:rPr>
                <w:sz w:val="20"/>
                <w:szCs w:val="20"/>
                <w:color w:val="auto"/>
              </w:rPr>
            </w:pPr>
            <w:r>
              <w:rPr>
                <w:rFonts w:ascii="Arial" w:cs="Arial" w:eastAsia="Arial" w:hAnsi="Arial"/>
                <w:sz w:val="10"/>
                <w:szCs w:val="10"/>
                <w:color w:val="auto"/>
              </w:rPr>
              <w:t>inclusion of</w:t>
            </w:r>
          </w:p>
        </w:tc>
        <w:tc>
          <w:tcPr>
            <w:tcW w:w="1120" w:type="dxa"/>
            <w:vAlign w:val="bottom"/>
          </w:tcPr>
          <w:p>
            <w:pPr>
              <w:spacing w:after="0"/>
              <w:rPr>
                <w:sz w:val="8"/>
                <w:szCs w:val="8"/>
                <w:color w:val="auto"/>
              </w:rPr>
            </w:pPr>
          </w:p>
        </w:tc>
        <w:tc>
          <w:tcPr>
            <w:tcW w:w="560" w:type="dxa"/>
            <w:vAlign w:val="bottom"/>
          </w:tcPr>
          <w:p>
            <w:pPr>
              <w:ind w:left="40"/>
              <w:spacing w:after="0" w:line="95" w:lineRule="exact"/>
              <w:rPr>
                <w:sz w:val="20"/>
                <w:szCs w:val="20"/>
                <w:color w:val="auto"/>
              </w:rPr>
            </w:pPr>
            <w:r>
              <w:rPr>
                <w:rFonts w:ascii="Arial" w:cs="Arial" w:eastAsia="Arial" w:hAnsi="Arial"/>
                <w:sz w:val="10"/>
                <w:szCs w:val="10"/>
                <w:color w:val="auto"/>
              </w:rPr>
              <w:t>Impact</w:t>
            </w: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investment in scientific excellence creates new opportunities to deliver breakthrough therapies that improve health outcome</w:t>
            </w:r>
          </w:p>
        </w:tc>
        <w:tc>
          <w:tcPr>
            <w:tcW w:w="0" w:type="dxa"/>
            <w:vAlign w:val="bottom"/>
          </w:tcPr>
          <w:p>
            <w:pPr>
              <w:spacing w:after="0"/>
              <w:rPr>
                <w:sz w:val="1"/>
                <w:szCs w:val="1"/>
                <w:color w:val="auto"/>
              </w:rPr>
            </w:pPr>
          </w:p>
        </w:tc>
      </w:tr>
      <w:tr>
        <w:trPr>
          <w:trHeight w:val="95"/>
        </w:trPr>
        <w:tc>
          <w:tcPr>
            <w:tcW w:w="960" w:type="dxa"/>
            <w:vAlign w:val="bottom"/>
          </w:tcPr>
          <w:p>
            <w:pPr>
              <w:spacing w:after="0" w:line="95" w:lineRule="exact"/>
              <w:rPr>
                <w:sz w:val="20"/>
                <w:szCs w:val="20"/>
                <w:color w:val="auto"/>
              </w:rPr>
            </w:pPr>
            <w:r>
              <w:rPr>
                <w:rFonts w:ascii="Arial" w:cs="Arial" w:eastAsia="Arial" w:hAnsi="Arial"/>
                <w:sz w:val="10"/>
                <w:szCs w:val="10"/>
                <w:color w:val="auto"/>
              </w:rPr>
              <w:t>consumers and/or</w:t>
            </w: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s</w:t>
            </w:r>
          </w:p>
        </w:tc>
        <w:tc>
          <w:tcPr>
            <w:tcW w:w="0" w:type="dxa"/>
            <w:vAlign w:val="bottom"/>
          </w:tcPr>
          <w:p>
            <w:pPr>
              <w:spacing w:after="0"/>
              <w:rPr>
                <w:sz w:val="1"/>
                <w:szCs w:val="1"/>
                <w:color w:val="auto"/>
              </w:rPr>
            </w:pPr>
          </w:p>
        </w:tc>
      </w:tr>
      <w:tr>
        <w:trPr>
          <w:trHeight w:val="105"/>
        </w:trPr>
        <w:tc>
          <w:tcPr>
            <w:tcW w:w="960" w:type="dxa"/>
            <w:vAlign w:val="bottom"/>
          </w:tcPr>
          <w:p>
            <w:pPr>
              <w:spacing w:after="0" w:line="105" w:lineRule="exact"/>
              <w:rPr>
                <w:sz w:val="20"/>
                <w:szCs w:val="20"/>
                <w:color w:val="auto"/>
              </w:rPr>
            </w:pPr>
            <w:r>
              <w:rPr>
                <w:rFonts w:ascii="Arial" w:cs="Arial" w:eastAsia="Arial" w:hAnsi="Arial"/>
                <w:sz w:val="10"/>
                <w:szCs w:val="10"/>
                <w:color w:val="auto"/>
              </w:rPr>
              <w:t>end-users</w:t>
            </w: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20" w:type="dxa"/>
            <w:vAlign w:val="bottom"/>
          </w:tcPr>
          <w:p>
            <w:pPr>
              <w:ind w:left="100"/>
              <w:spacing w:after="0" w:line="105" w:lineRule="exact"/>
              <w:rPr>
                <w:sz w:val="20"/>
                <w:szCs w:val="20"/>
                <w:color w:val="auto"/>
              </w:rPr>
            </w:pPr>
            <w:r>
              <w:rPr>
                <w:rFonts w:ascii="Arial" w:cs="Arial" w:eastAsia="Arial" w:hAnsi="Arial"/>
                <w:sz w:val="10"/>
                <w:szCs w:val="10"/>
                <w:color w:val="auto"/>
              </w:rPr>
              <w:t>and quality of life.</w:t>
            </w: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1120" w:type="dxa"/>
            <w:vAlign w:val="bottom"/>
          </w:tcPr>
          <w:p>
            <w:pPr>
              <w:ind w:left="40"/>
              <w:spacing w:after="0" w:line="105" w:lineRule="exact"/>
              <w:rPr>
                <w:sz w:val="20"/>
                <w:szCs w:val="20"/>
                <w:color w:val="auto"/>
              </w:rPr>
            </w:pPr>
            <w:r>
              <w:rPr>
                <w:rFonts w:ascii="Arial" w:cs="Arial" w:eastAsia="Arial" w:hAnsi="Arial"/>
                <w:sz w:val="10"/>
                <w:szCs w:val="10"/>
                <w:color w:val="auto"/>
              </w:rPr>
              <w:t>Research and</w:t>
            </w:r>
          </w:p>
        </w:tc>
        <w:tc>
          <w:tcPr>
            <w:tcW w:w="560" w:type="dxa"/>
            <w:vAlign w:val="bottom"/>
          </w:tcPr>
          <w:p>
            <w:pPr>
              <w:ind w:left="40"/>
              <w:spacing w:after="0" w:line="105" w:lineRule="exact"/>
              <w:rPr>
                <w:sz w:val="20"/>
                <w:szCs w:val="20"/>
                <w:color w:val="auto"/>
              </w:rPr>
            </w:pPr>
            <w:r>
              <w:rPr>
                <w:rFonts w:ascii="Arial" w:cs="Arial" w:eastAsia="Arial" w:hAnsi="Arial"/>
                <w:sz w:val="10"/>
                <w:szCs w:val="10"/>
                <w:color w:val="auto"/>
              </w:rPr>
              <w:t>Risk</w:t>
            </w:r>
          </w:p>
        </w:tc>
        <w:tc>
          <w:tcPr>
            <w:tcW w:w="5820" w:type="dxa"/>
            <w:vAlign w:val="bottom"/>
          </w:tcPr>
          <w:p>
            <w:pPr>
              <w:ind w:left="100"/>
              <w:spacing w:after="0" w:line="105" w:lineRule="exact"/>
              <w:rPr>
                <w:sz w:val="20"/>
                <w:szCs w:val="20"/>
                <w:color w:val="auto"/>
              </w:rPr>
            </w:pPr>
            <w:r>
              <w:rPr>
                <w:rFonts w:ascii="Arial" w:cs="Arial" w:eastAsia="Arial" w:hAnsi="Arial"/>
                <w:sz w:val="10"/>
                <w:szCs w:val="10"/>
                <w:color w:val="auto"/>
              </w:rPr>
              <w:t>The identification and development of successful products is expensive and includes time-consuming clinical trials with unc</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120" w:type="dxa"/>
            <w:vAlign w:val="bottom"/>
          </w:tcPr>
          <w:p>
            <w:pPr>
              <w:ind w:left="40"/>
              <w:spacing w:after="0" w:line="95" w:lineRule="exact"/>
              <w:rPr>
                <w:sz w:val="20"/>
                <w:szCs w:val="20"/>
                <w:color w:val="auto"/>
              </w:rPr>
            </w:pPr>
            <w:r>
              <w:rPr>
                <w:rFonts w:ascii="Arial" w:cs="Arial" w:eastAsia="Arial" w:hAnsi="Arial"/>
                <w:sz w:val="10"/>
                <w:szCs w:val="10"/>
                <w:color w:val="auto"/>
              </w:rPr>
              <w:t>development risk</w:t>
            </w:r>
          </w:p>
        </w:tc>
        <w:tc>
          <w:tcPr>
            <w:tcW w:w="560" w:type="dxa"/>
            <w:vAlign w:val="bottom"/>
          </w:tcPr>
          <w:p>
            <w:pPr>
              <w:spacing w:after="0"/>
              <w:rPr>
                <w:sz w:val="8"/>
                <w:szCs w:val="8"/>
                <w:color w:val="auto"/>
              </w:rPr>
            </w:pP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ertain</w:t>
            </w: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20" w:type="dxa"/>
            <w:vAlign w:val="bottom"/>
          </w:tcPr>
          <w:p>
            <w:pPr>
              <w:ind w:left="100"/>
              <w:spacing w:after="0" w:line="105" w:lineRule="exact"/>
              <w:rPr>
                <w:sz w:val="20"/>
                <w:szCs w:val="20"/>
                <w:color w:val="auto"/>
              </w:rPr>
            </w:pPr>
            <w:r>
              <w:rPr>
                <w:rFonts w:ascii="Arial" w:cs="Arial" w:eastAsia="Arial" w:hAnsi="Arial"/>
                <w:sz w:val="10"/>
                <w:szCs w:val="10"/>
                <w:color w:val="auto"/>
              </w:rPr>
              <w:t>outcomes and the risk of failure to obtain regulatory approval in one or more jurisdictions.</w:t>
            </w: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168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Access and inclusion in Potential</w:t>
            </w:r>
          </w:p>
        </w:tc>
        <w:tc>
          <w:tcPr>
            <w:tcW w:w="5820" w:type="dxa"/>
            <w:vAlign w:val="bottom"/>
          </w:tcPr>
          <w:p>
            <w:pPr>
              <w:ind w:left="100"/>
              <w:spacing w:after="0" w:line="105" w:lineRule="exact"/>
              <w:rPr>
                <w:sz w:val="20"/>
                <w:szCs w:val="20"/>
                <w:color w:val="auto"/>
              </w:rPr>
            </w:pPr>
            <w:r>
              <w:rPr>
                <w:rFonts w:ascii="Arial" w:cs="Arial" w:eastAsia="Arial" w:hAnsi="Arial"/>
                <w:sz w:val="10"/>
                <w:szCs w:val="10"/>
                <w:color w:val="auto"/>
              </w:rPr>
              <w:t>Persistent inequities in cancer incidence and care continue to drive underrepresentation in clinical research. Expanding acc</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120" w:type="dxa"/>
            <w:vAlign w:val="bottom"/>
            <w:vMerge w:val="restart"/>
          </w:tcPr>
          <w:p>
            <w:pPr>
              <w:ind w:left="40"/>
              <w:spacing w:after="0"/>
              <w:rPr>
                <w:sz w:val="20"/>
                <w:szCs w:val="20"/>
                <w:color w:val="auto"/>
              </w:rPr>
            </w:pPr>
            <w:r>
              <w:rPr>
                <w:rFonts w:ascii="Arial" w:cs="Arial" w:eastAsia="Arial" w:hAnsi="Arial"/>
                <w:sz w:val="10"/>
                <w:szCs w:val="10"/>
                <w:color w:val="auto"/>
              </w:rPr>
              <w:t>clinical trials</w:t>
            </w:r>
          </w:p>
        </w:tc>
        <w:tc>
          <w:tcPr>
            <w:tcW w:w="560" w:type="dxa"/>
            <w:vAlign w:val="bottom"/>
          </w:tcPr>
          <w:p>
            <w:pPr>
              <w:ind w:left="40"/>
              <w:spacing w:after="0" w:line="95" w:lineRule="exact"/>
              <w:rPr>
                <w:sz w:val="20"/>
                <w:szCs w:val="20"/>
                <w:color w:val="auto"/>
              </w:rPr>
            </w:pPr>
            <w:r>
              <w:rPr>
                <w:rFonts w:ascii="Arial" w:cs="Arial" w:eastAsia="Arial" w:hAnsi="Arial"/>
                <w:sz w:val="10"/>
                <w:szCs w:val="10"/>
                <w:color w:val="auto"/>
              </w:rPr>
              <w:t>Negative</w:t>
            </w: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ess</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560" w:type="dxa"/>
            <w:vAlign w:val="bottom"/>
          </w:tcPr>
          <w:p>
            <w:pPr>
              <w:ind w:left="40"/>
              <w:spacing w:after="0" w:line="95" w:lineRule="exact"/>
              <w:rPr>
                <w:sz w:val="20"/>
                <w:szCs w:val="20"/>
                <w:color w:val="auto"/>
              </w:rPr>
            </w:pPr>
            <w:r>
              <w:rPr>
                <w:rFonts w:ascii="Arial" w:cs="Arial" w:eastAsia="Arial" w:hAnsi="Arial"/>
                <w:sz w:val="10"/>
                <w:szCs w:val="10"/>
                <w:color w:val="auto"/>
              </w:rPr>
              <w:t>Impact</w:t>
            </w: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for underrepresented groups ensures Genmab’s trials reflect real-world patients and generate more representative safety a</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nd</w:t>
            </w: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20" w:type="dxa"/>
            <w:vAlign w:val="bottom"/>
          </w:tcPr>
          <w:p>
            <w:pPr>
              <w:ind w:left="100"/>
              <w:spacing w:after="0" w:line="105" w:lineRule="exact"/>
              <w:rPr>
                <w:sz w:val="20"/>
                <w:szCs w:val="20"/>
                <w:color w:val="auto"/>
              </w:rPr>
            </w:pPr>
            <w:r>
              <w:rPr>
                <w:rFonts w:ascii="Arial" w:cs="Arial" w:eastAsia="Arial" w:hAnsi="Arial"/>
                <w:sz w:val="10"/>
                <w:szCs w:val="10"/>
                <w:color w:val="auto"/>
              </w:rPr>
              <w:t>efficacy data.</w:t>
            </w: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168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Regulation, Legislation, Risk</w:t>
            </w:r>
          </w:p>
        </w:tc>
        <w:tc>
          <w:tcPr>
            <w:tcW w:w="5820" w:type="dxa"/>
            <w:vAlign w:val="bottom"/>
          </w:tcPr>
          <w:p>
            <w:pPr>
              <w:ind w:left="100"/>
              <w:spacing w:after="0" w:line="105" w:lineRule="exact"/>
              <w:rPr>
                <w:sz w:val="20"/>
                <w:szCs w:val="20"/>
                <w:color w:val="auto"/>
              </w:rPr>
            </w:pPr>
            <w:r>
              <w:rPr>
                <w:rFonts w:ascii="Arial" w:cs="Arial" w:eastAsia="Arial" w:hAnsi="Arial"/>
                <w:sz w:val="10"/>
                <w:szCs w:val="10"/>
                <w:color w:val="auto"/>
              </w:rPr>
              <w:t>Genmab is subject to extensive legislative, regulatory, and other requirements during preclinical and clinical development,</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120" w:type="dxa"/>
            <w:vAlign w:val="bottom"/>
          </w:tcPr>
          <w:p>
            <w:pPr>
              <w:ind w:left="40"/>
              <w:spacing w:after="0" w:line="95" w:lineRule="exact"/>
              <w:rPr>
                <w:sz w:val="20"/>
                <w:szCs w:val="20"/>
                <w:color w:val="auto"/>
              </w:rPr>
            </w:pPr>
            <w:r>
              <w:rPr>
                <w:rFonts w:ascii="Arial" w:cs="Arial" w:eastAsia="Arial" w:hAnsi="Arial"/>
                <w:sz w:val="10"/>
                <w:szCs w:val="10"/>
                <w:color w:val="auto"/>
              </w:rPr>
              <w:t>and Compliance</w:t>
            </w:r>
          </w:p>
        </w:tc>
        <w:tc>
          <w:tcPr>
            <w:tcW w:w="560" w:type="dxa"/>
            <w:vAlign w:val="bottom"/>
          </w:tcPr>
          <w:p>
            <w:pPr>
              <w:spacing w:after="0"/>
              <w:rPr>
                <w:sz w:val="8"/>
                <w:szCs w:val="8"/>
                <w:color w:val="auto"/>
              </w:rPr>
            </w:pP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commercialization, and post-marketing approval, including healthcare, marketing/labeling/promotion, fraud and abuse,</w:t>
            </w:r>
          </w:p>
        </w:tc>
        <w:tc>
          <w:tcPr>
            <w:tcW w:w="0" w:type="dxa"/>
            <w:vAlign w:val="bottom"/>
          </w:tcPr>
          <w:p>
            <w:pPr>
              <w:spacing w:after="0"/>
              <w:rPr>
                <w:sz w:val="1"/>
                <w:szCs w:val="1"/>
                <w:color w:val="auto"/>
              </w:rPr>
            </w:pPr>
          </w:p>
        </w:tc>
      </w:tr>
      <w:tr>
        <w:trPr>
          <w:trHeight w:val="137"/>
        </w:trPr>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20" w:type="dxa"/>
            <w:vAlign w:val="bottom"/>
          </w:tcPr>
          <w:p>
            <w:pPr>
              <w:ind w:left="100"/>
              <w:spacing w:after="0"/>
              <w:rPr>
                <w:sz w:val="20"/>
                <w:szCs w:val="20"/>
                <w:color w:val="auto"/>
              </w:rPr>
            </w:pPr>
            <w:r>
              <w:rPr>
                <w:rFonts w:ascii="Arial" w:cs="Arial" w:eastAsia="Arial" w:hAnsi="Arial"/>
                <w:sz w:val="10"/>
                <w:szCs w:val="10"/>
                <w:color w:val="auto"/>
              </w:rPr>
              <w:t>competition/antitrust laws, and regulations, as well as transparency, privacy, and data protection and other requirements.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120" w:type="dxa"/>
            <w:vAlign w:val="bottom"/>
          </w:tcPr>
          <w:p>
            <w:pPr>
              <w:ind w:left="40"/>
              <w:spacing w:after="0"/>
              <w:rPr>
                <w:sz w:val="20"/>
                <w:szCs w:val="20"/>
                <w:color w:val="auto"/>
              </w:rPr>
            </w:pPr>
            <w:r>
              <w:rPr>
                <w:rFonts w:ascii="Arial" w:cs="Arial" w:eastAsia="Arial" w:hAnsi="Arial"/>
                <w:sz w:val="10"/>
                <w:szCs w:val="10"/>
                <w:color w:val="auto"/>
              </w:rPr>
              <w:t>Responsible and</w:t>
            </w:r>
          </w:p>
        </w:tc>
        <w:tc>
          <w:tcPr>
            <w:tcW w:w="560" w:type="dxa"/>
            <w:vAlign w:val="bottom"/>
          </w:tcPr>
          <w:p>
            <w:pPr>
              <w:ind w:left="40"/>
              <w:spacing w:after="0"/>
              <w:rPr>
                <w:sz w:val="20"/>
                <w:szCs w:val="20"/>
                <w:color w:val="auto"/>
              </w:rPr>
            </w:pPr>
            <w:r>
              <w:rPr>
                <w:rFonts w:ascii="Arial" w:cs="Arial" w:eastAsia="Arial" w:hAnsi="Arial"/>
                <w:sz w:val="10"/>
                <w:szCs w:val="10"/>
                <w:color w:val="auto"/>
              </w:rPr>
              <w:t>Potential</w:t>
            </w:r>
          </w:p>
        </w:tc>
        <w:tc>
          <w:tcPr>
            <w:tcW w:w="5820" w:type="dxa"/>
            <w:vAlign w:val="bottom"/>
          </w:tcPr>
          <w:p>
            <w:pPr>
              <w:ind w:left="100"/>
              <w:spacing w:after="0"/>
              <w:rPr>
                <w:sz w:val="20"/>
                <w:szCs w:val="20"/>
                <w:color w:val="auto"/>
              </w:rPr>
            </w:pPr>
            <w:r>
              <w:rPr>
                <w:rFonts w:ascii="Arial" w:cs="Arial" w:eastAsia="Arial" w:hAnsi="Arial"/>
                <w:sz w:val="10"/>
                <w:szCs w:val="10"/>
                <w:color w:val="auto"/>
              </w:rPr>
              <w:t>Without responsible, ethical marketing, patients and healthcare professionals could receive incomplete or misleading inform</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120" w:type="dxa"/>
            <w:vAlign w:val="bottom"/>
          </w:tcPr>
          <w:p>
            <w:pPr>
              <w:ind w:left="40"/>
              <w:spacing w:after="0" w:line="95" w:lineRule="exact"/>
              <w:rPr>
                <w:sz w:val="20"/>
                <w:szCs w:val="20"/>
                <w:color w:val="auto"/>
              </w:rPr>
            </w:pPr>
            <w:r>
              <w:rPr>
                <w:rFonts w:ascii="Arial" w:cs="Arial" w:eastAsia="Arial" w:hAnsi="Arial"/>
                <w:sz w:val="10"/>
                <w:szCs w:val="10"/>
                <w:color w:val="auto"/>
              </w:rPr>
              <w:t>ethical marketing</w:t>
            </w:r>
          </w:p>
        </w:tc>
        <w:tc>
          <w:tcPr>
            <w:tcW w:w="560" w:type="dxa"/>
            <w:vAlign w:val="bottom"/>
          </w:tcPr>
          <w:p>
            <w:pPr>
              <w:ind w:left="40"/>
              <w:spacing w:after="0" w:line="95" w:lineRule="exact"/>
              <w:rPr>
                <w:sz w:val="20"/>
                <w:szCs w:val="20"/>
                <w:color w:val="auto"/>
              </w:rPr>
            </w:pPr>
            <w:r>
              <w:rPr>
                <w:rFonts w:ascii="Arial" w:cs="Arial" w:eastAsia="Arial" w:hAnsi="Arial"/>
                <w:sz w:val="10"/>
                <w:szCs w:val="10"/>
                <w:color w:val="auto"/>
              </w:rPr>
              <w:t>Negative</w:t>
            </w: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ation</w:t>
            </w:r>
          </w:p>
        </w:tc>
        <w:tc>
          <w:tcPr>
            <w:tcW w:w="0" w:type="dxa"/>
            <w:vAlign w:val="bottom"/>
          </w:tcPr>
          <w:p>
            <w:pPr>
              <w:spacing w:after="0"/>
              <w:rPr>
                <w:sz w:val="1"/>
                <w:szCs w:val="1"/>
                <w:color w:val="auto"/>
              </w:rPr>
            </w:pPr>
          </w:p>
        </w:tc>
      </w:tr>
      <w:tr>
        <w:trPr>
          <w:trHeight w:val="137"/>
        </w:trPr>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0"/>
                <w:szCs w:val="10"/>
                <w:color w:val="auto"/>
              </w:rPr>
              <w:t>Impact</w:t>
            </w:r>
          </w:p>
        </w:tc>
        <w:tc>
          <w:tcPr>
            <w:tcW w:w="5820" w:type="dxa"/>
            <w:vAlign w:val="bottom"/>
          </w:tcPr>
          <w:p>
            <w:pPr>
              <w:ind w:left="100"/>
              <w:spacing w:after="0"/>
              <w:rPr>
                <w:sz w:val="20"/>
                <w:szCs w:val="20"/>
                <w:color w:val="auto"/>
              </w:rPr>
            </w:pPr>
            <w:r>
              <w:rPr>
                <w:rFonts w:ascii="Arial" w:cs="Arial" w:eastAsia="Arial" w:hAnsi="Arial"/>
                <w:sz w:val="10"/>
                <w:szCs w:val="10"/>
                <w:color w:val="auto"/>
              </w:rPr>
              <w:t>about Genmab’s therapies. This could undermine trust in our science, contributing to improper medicine use, and negatively</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20" w:type="dxa"/>
            <w:vAlign w:val="bottom"/>
          </w:tcPr>
          <w:p>
            <w:pPr>
              <w:ind w:left="100"/>
              <w:spacing w:after="0"/>
              <w:rPr>
                <w:sz w:val="20"/>
                <w:szCs w:val="20"/>
                <w:color w:val="auto"/>
              </w:rPr>
            </w:pPr>
            <w:r>
              <w:rPr>
                <w:rFonts w:ascii="Arial" w:cs="Arial" w:eastAsia="Arial" w:hAnsi="Arial"/>
                <w:sz w:val="10"/>
                <w:szCs w:val="10"/>
                <w:color w:val="auto"/>
              </w:rPr>
              <w:t>affect patient well-being. It can also distort treatment decisions and harm the integrity of the broader healthcare ecosystem.</w:t>
            </w:r>
          </w:p>
        </w:tc>
        <w:tc>
          <w:tcPr>
            <w:tcW w:w="0" w:type="dxa"/>
            <w:vAlign w:val="bottom"/>
          </w:tcPr>
          <w:p>
            <w:pPr>
              <w:spacing w:after="0"/>
              <w:rPr>
                <w:sz w:val="1"/>
                <w:szCs w:val="1"/>
                <w:color w:val="auto"/>
              </w:rPr>
            </w:pPr>
          </w:p>
        </w:tc>
      </w:tr>
      <w:tr>
        <w:trPr>
          <w:trHeight w:val="143"/>
        </w:trPr>
        <w:tc>
          <w:tcPr>
            <w:tcW w:w="8460" w:type="dxa"/>
            <w:vAlign w:val="bottom"/>
            <w:gridSpan w:val="4"/>
          </w:tcPr>
          <w:p>
            <w:pPr>
              <w:spacing w:after="0"/>
              <w:rPr>
                <w:sz w:val="20"/>
                <w:szCs w:val="20"/>
                <w:color w:val="auto"/>
              </w:rPr>
            </w:pPr>
            <w:r>
              <w:rPr>
                <w:rFonts w:ascii="Arial" w:cs="Arial" w:eastAsia="Arial" w:hAnsi="Arial"/>
                <w:sz w:val="10"/>
                <w:szCs w:val="10"/>
                <w:b w:val="1"/>
                <w:bCs w:val="1"/>
                <w:color w:val="auto"/>
              </w:rPr>
              <w:t>Personal safety and information of consumers and/or end user</w:t>
            </w:r>
          </w:p>
        </w:tc>
        <w:tc>
          <w:tcPr>
            <w:tcW w:w="0" w:type="dxa"/>
            <w:vAlign w:val="bottom"/>
          </w:tcPr>
          <w:p>
            <w:pPr>
              <w:spacing w:after="0"/>
              <w:rPr>
                <w:sz w:val="1"/>
                <w:szCs w:val="1"/>
                <w:color w:val="auto"/>
              </w:rPr>
            </w:pPr>
          </w:p>
        </w:tc>
      </w:tr>
      <w:tr>
        <w:trPr>
          <w:trHeight w:val="114"/>
        </w:trPr>
        <w:tc>
          <w:tcPr>
            <w:tcW w:w="960" w:type="dxa"/>
            <w:vAlign w:val="bottom"/>
          </w:tcPr>
          <w:p>
            <w:pPr>
              <w:spacing w:after="0"/>
              <w:rPr>
                <w:sz w:val="20"/>
                <w:szCs w:val="20"/>
                <w:color w:val="auto"/>
              </w:rPr>
            </w:pPr>
            <w:r>
              <w:rPr>
                <w:rFonts w:ascii="Arial" w:cs="Arial" w:eastAsia="Arial" w:hAnsi="Arial"/>
                <w:sz w:val="10"/>
                <w:szCs w:val="10"/>
                <w:color w:val="auto"/>
              </w:rPr>
              <w:t>Consumers and</w:t>
            </w:r>
          </w:p>
        </w:tc>
        <w:tc>
          <w:tcPr>
            <w:tcW w:w="1120" w:type="dxa"/>
            <w:vAlign w:val="bottom"/>
          </w:tcPr>
          <w:p>
            <w:pPr>
              <w:ind w:left="40"/>
              <w:spacing w:after="0"/>
              <w:rPr>
                <w:sz w:val="20"/>
                <w:szCs w:val="20"/>
                <w:color w:val="auto"/>
              </w:rPr>
            </w:pPr>
            <w:r>
              <w:rPr>
                <w:rFonts w:ascii="Arial" w:cs="Arial" w:eastAsia="Arial" w:hAnsi="Arial"/>
                <w:sz w:val="10"/>
                <w:szCs w:val="10"/>
                <w:color w:val="auto"/>
              </w:rPr>
              <w:t>Patient voice</w:t>
            </w:r>
          </w:p>
        </w:tc>
        <w:tc>
          <w:tcPr>
            <w:tcW w:w="560" w:type="dxa"/>
            <w:vAlign w:val="bottom"/>
          </w:tcPr>
          <w:p>
            <w:pPr>
              <w:ind w:left="40"/>
              <w:spacing w:after="0"/>
              <w:rPr>
                <w:sz w:val="20"/>
                <w:szCs w:val="20"/>
                <w:color w:val="auto"/>
              </w:rPr>
            </w:pPr>
            <w:r>
              <w:rPr>
                <w:rFonts w:ascii="Arial" w:cs="Arial" w:eastAsia="Arial" w:hAnsi="Arial"/>
                <w:sz w:val="10"/>
                <w:szCs w:val="10"/>
                <w:color w:val="auto"/>
              </w:rPr>
              <w:t>Actual</w:t>
            </w:r>
          </w:p>
        </w:tc>
        <w:tc>
          <w:tcPr>
            <w:tcW w:w="5820" w:type="dxa"/>
            <w:vAlign w:val="bottom"/>
          </w:tcPr>
          <w:p>
            <w:pPr>
              <w:ind w:left="100"/>
              <w:spacing w:after="0"/>
              <w:rPr>
                <w:sz w:val="20"/>
                <w:szCs w:val="20"/>
                <w:color w:val="auto"/>
              </w:rPr>
            </w:pPr>
            <w:r>
              <w:rPr>
                <w:rFonts w:ascii="Arial" w:cs="Arial" w:eastAsia="Arial" w:hAnsi="Arial"/>
                <w:sz w:val="10"/>
                <w:szCs w:val="10"/>
                <w:color w:val="auto"/>
              </w:rPr>
              <w:t>Genmab incorporates patient and caregiver perspectives across the full product lifecycle, ensuring our innovations address</w:t>
            </w:r>
          </w:p>
        </w:tc>
        <w:tc>
          <w:tcPr>
            <w:tcW w:w="0" w:type="dxa"/>
            <w:vAlign w:val="bottom"/>
          </w:tcPr>
          <w:p>
            <w:pPr>
              <w:spacing w:after="0"/>
              <w:rPr>
                <w:sz w:val="1"/>
                <w:szCs w:val="1"/>
                <w:color w:val="auto"/>
              </w:rPr>
            </w:pPr>
          </w:p>
        </w:tc>
      </w:tr>
      <w:tr>
        <w:trPr>
          <w:trHeight w:val="95"/>
        </w:trPr>
        <w:tc>
          <w:tcPr>
            <w:tcW w:w="960" w:type="dxa"/>
            <w:vAlign w:val="bottom"/>
          </w:tcPr>
          <w:p>
            <w:pPr>
              <w:spacing w:after="0" w:line="95" w:lineRule="exact"/>
              <w:rPr>
                <w:sz w:val="20"/>
                <w:szCs w:val="20"/>
                <w:color w:val="auto"/>
              </w:rPr>
            </w:pPr>
            <w:r>
              <w:rPr>
                <w:rFonts w:ascii="Arial" w:cs="Arial" w:eastAsia="Arial" w:hAnsi="Arial"/>
                <w:sz w:val="10"/>
                <w:szCs w:val="10"/>
                <w:color w:val="auto"/>
              </w:rPr>
              <w:t>End-Users -</w:t>
            </w:r>
          </w:p>
        </w:tc>
        <w:tc>
          <w:tcPr>
            <w:tcW w:w="1120" w:type="dxa"/>
            <w:vAlign w:val="bottom"/>
          </w:tcPr>
          <w:p>
            <w:pPr>
              <w:spacing w:after="0"/>
              <w:rPr>
                <w:sz w:val="8"/>
                <w:szCs w:val="8"/>
                <w:color w:val="auto"/>
              </w:rPr>
            </w:pPr>
          </w:p>
        </w:tc>
        <w:tc>
          <w:tcPr>
            <w:tcW w:w="560" w:type="dxa"/>
            <w:vAlign w:val="bottom"/>
          </w:tcPr>
          <w:p>
            <w:pPr>
              <w:ind w:left="40"/>
              <w:spacing w:after="0" w:line="95" w:lineRule="exact"/>
              <w:rPr>
                <w:sz w:val="20"/>
                <w:szCs w:val="20"/>
                <w:color w:val="auto"/>
              </w:rPr>
            </w:pPr>
            <w:r>
              <w:rPr>
                <w:rFonts w:ascii="Arial" w:cs="Arial" w:eastAsia="Arial" w:hAnsi="Arial"/>
                <w:sz w:val="10"/>
                <w:szCs w:val="10"/>
                <w:color w:val="auto"/>
              </w:rPr>
              <w:t>Positive</w:t>
            </w:r>
          </w:p>
        </w:tc>
        <w:tc>
          <w:tcPr>
            <w:tcW w:w="5820" w:type="dxa"/>
            <w:vAlign w:val="bottom"/>
          </w:tcPr>
          <w:p>
            <w:pPr>
              <w:ind w:left="120"/>
              <w:spacing w:after="0" w:line="95" w:lineRule="exact"/>
              <w:rPr>
                <w:sz w:val="20"/>
                <w:szCs w:val="20"/>
                <w:color w:val="auto"/>
              </w:rPr>
            </w:pPr>
            <w:r>
              <w:rPr>
                <w:rFonts w:ascii="Arial" w:cs="Arial" w:eastAsia="Arial" w:hAnsi="Arial"/>
                <w:sz w:val="10"/>
                <w:szCs w:val="10"/>
                <w:color w:val="auto"/>
              </w:rPr>
              <w:t>the</w:t>
            </w:r>
          </w:p>
        </w:tc>
        <w:tc>
          <w:tcPr>
            <w:tcW w:w="0" w:type="dxa"/>
            <w:vAlign w:val="bottom"/>
          </w:tcPr>
          <w:p>
            <w:pPr>
              <w:spacing w:after="0"/>
              <w:rPr>
                <w:sz w:val="1"/>
                <w:szCs w:val="1"/>
                <w:color w:val="auto"/>
              </w:rPr>
            </w:pPr>
          </w:p>
        </w:tc>
      </w:tr>
      <w:tr>
        <w:trPr>
          <w:trHeight w:val="95"/>
        </w:trPr>
        <w:tc>
          <w:tcPr>
            <w:tcW w:w="960" w:type="dxa"/>
            <w:vAlign w:val="bottom"/>
          </w:tcPr>
          <w:p>
            <w:pPr>
              <w:spacing w:after="0" w:line="95" w:lineRule="exact"/>
              <w:rPr>
                <w:sz w:val="20"/>
                <w:szCs w:val="20"/>
                <w:color w:val="auto"/>
              </w:rPr>
            </w:pPr>
            <w:r>
              <w:rPr>
                <w:rFonts w:ascii="Arial" w:cs="Arial" w:eastAsia="Arial" w:hAnsi="Arial"/>
                <w:sz w:val="10"/>
                <w:szCs w:val="10"/>
                <w:color w:val="auto"/>
              </w:rPr>
              <w:t>Personal safety and</w:t>
            </w:r>
          </w:p>
        </w:tc>
        <w:tc>
          <w:tcPr>
            <w:tcW w:w="1120" w:type="dxa"/>
            <w:vAlign w:val="bottom"/>
          </w:tcPr>
          <w:p>
            <w:pPr>
              <w:spacing w:after="0"/>
              <w:rPr>
                <w:sz w:val="8"/>
                <w:szCs w:val="8"/>
                <w:color w:val="auto"/>
              </w:rPr>
            </w:pPr>
          </w:p>
        </w:tc>
        <w:tc>
          <w:tcPr>
            <w:tcW w:w="560" w:type="dxa"/>
            <w:vAlign w:val="bottom"/>
          </w:tcPr>
          <w:p>
            <w:pPr>
              <w:ind w:left="40"/>
              <w:spacing w:after="0" w:line="95" w:lineRule="exact"/>
              <w:rPr>
                <w:sz w:val="20"/>
                <w:szCs w:val="20"/>
                <w:color w:val="auto"/>
              </w:rPr>
            </w:pPr>
            <w:r>
              <w:rPr>
                <w:rFonts w:ascii="Arial" w:cs="Arial" w:eastAsia="Arial" w:hAnsi="Arial"/>
                <w:sz w:val="10"/>
                <w:szCs w:val="10"/>
                <w:color w:val="auto"/>
              </w:rPr>
              <w:t>Impact</w:t>
            </w:r>
          </w:p>
        </w:tc>
        <w:tc>
          <w:tcPr>
            <w:tcW w:w="5820" w:type="dxa"/>
            <w:vAlign w:val="bottom"/>
          </w:tcPr>
          <w:p>
            <w:pPr>
              <w:ind w:left="100"/>
              <w:spacing w:after="0" w:line="95" w:lineRule="exact"/>
              <w:rPr>
                <w:sz w:val="20"/>
                <w:szCs w:val="20"/>
                <w:color w:val="auto"/>
              </w:rPr>
            </w:pPr>
            <w:r>
              <w:rPr>
                <w:rFonts w:ascii="Arial" w:cs="Arial" w:eastAsia="Arial" w:hAnsi="Arial"/>
                <w:sz w:val="10"/>
                <w:szCs w:val="10"/>
                <w:color w:val="auto"/>
              </w:rPr>
              <w:t>realities of serious illness.</w:t>
            </w:r>
          </w:p>
        </w:tc>
        <w:tc>
          <w:tcPr>
            <w:tcW w:w="0" w:type="dxa"/>
            <w:vAlign w:val="bottom"/>
          </w:tcPr>
          <w:p>
            <w:pPr>
              <w:spacing w:after="0"/>
              <w:rPr>
                <w:sz w:val="1"/>
                <w:szCs w:val="1"/>
                <w:color w:val="auto"/>
              </w:rPr>
            </w:pPr>
          </w:p>
        </w:tc>
      </w:tr>
      <w:tr>
        <w:trPr>
          <w:trHeight w:val="95"/>
        </w:trPr>
        <w:tc>
          <w:tcPr>
            <w:tcW w:w="960" w:type="dxa"/>
            <w:vAlign w:val="bottom"/>
          </w:tcPr>
          <w:p>
            <w:pPr>
              <w:spacing w:after="0" w:line="95" w:lineRule="exact"/>
              <w:rPr>
                <w:sz w:val="20"/>
                <w:szCs w:val="20"/>
                <w:color w:val="auto"/>
              </w:rPr>
            </w:pPr>
            <w:r>
              <w:rPr>
                <w:rFonts w:ascii="Arial" w:cs="Arial" w:eastAsia="Arial" w:hAnsi="Arial"/>
                <w:sz w:val="10"/>
                <w:szCs w:val="10"/>
                <w:color w:val="auto"/>
              </w:rPr>
              <w:t>information of</w:t>
            </w: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line="95" w:lineRule="exact"/>
              <w:rPr>
                <w:sz w:val="20"/>
                <w:szCs w:val="20"/>
                <w:color w:val="auto"/>
              </w:rPr>
            </w:pPr>
            <w:r>
              <w:rPr>
                <w:rFonts w:ascii="Arial" w:cs="Arial" w:eastAsia="Arial" w:hAnsi="Arial"/>
                <w:sz w:val="10"/>
                <w:szCs w:val="10"/>
                <w:color w:val="auto"/>
              </w:rPr>
              <w:t>consumers and/or</w:t>
            </w: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60" w:type="dxa"/>
            <w:vAlign w:val="bottom"/>
          </w:tcPr>
          <w:p>
            <w:pPr>
              <w:spacing w:after="0"/>
              <w:rPr>
                <w:sz w:val="20"/>
                <w:szCs w:val="20"/>
                <w:color w:val="auto"/>
              </w:rPr>
            </w:pPr>
            <w:r>
              <w:rPr>
                <w:rFonts w:ascii="Arial" w:cs="Arial" w:eastAsia="Arial" w:hAnsi="Arial"/>
                <w:sz w:val="10"/>
                <w:szCs w:val="10"/>
                <w:color w:val="auto"/>
              </w:rPr>
              <w:t>end user</w:t>
            </w: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-485140</wp:posOffset>
            </wp:positionV>
            <wp:extent cx="6303645" cy="965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303645" cy="96520"/>
                    </a:xfrm>
                    <a:prstGeom prst="rect">
                      <a:avLst/>
                    </a:prstGeom>
                    <a:noFill/>
                  </pic:spPr>
                </pic:pic>
              </a:graphicData>
            </a:graphic>
          </wp:anchor>
        </w:drawing>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rPr>
          <w:sz w:val="20"/>
          <w:szCs w:val="20"/>
          <w:color w:val="auto"/>
        </w:rPr>
      </w:pPr>
      <w:r>
        <w:rPr>
          <w:rFonts w:ascii="Arial" w:cs="Arial" w:eastAsia="Arial" w:hAnsi="Arial"/>
          <w:sz w:val="35"/>
          <w:szCs w:val="35"/>
          <w:color w:val="0057CF"/>
        </w:rPr>
        <w:t>• • • •</w:t>
      </w:r>
    </w:p>
    <w:p>
      <w:pPr>
        <w:spacing w:after="0" w:line="9"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 •</w:t>
      </w:r>
    </w:p>
    <w:p>
      <w:pPr>
        <w:spacing w:after="0"/>
        <w:rPr>
          <w:sz w:val="20"/>
          <w:szCs w:val="20"/>
          <w:color w:val="auto"/>
        </w:rPr>
      </w:pPr>
      <w:r>
        <w:rPr>
          <w:rFonts w:ascii="Arial" w:cs="Arial" w:eastAsia="Arial" w:hAnsi="Arial"/>
          <w:sz w:val="35"/>
          <w:szCs w:val="35"/>
          <w:color w:val="0057CF"/>
        </w:rPr>
        <w:t>• • • •</w:t>
      </w:r>
    </w:p>
    <w:p>
      <w:pPr>
        <w:spacing w:after="0" w:line="5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 •</w:t>
      </w:r>
    </w:p>
    <w:p>
      <w:pPr>
        <w:spacing w:after="0" w:line="1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 •</w:t>
      </w:r>
    </w:p>
    <w:p>
      <w:pPr>
        <w:spacing w:after="0" w:line="211"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 •</w:t>
      </w:r>
    </w:p>
    <w:p>
      <w:pPr>
        <w:spacing w:after="0" w:line="448" w:lineRule="exact"/>
        <w:rPr>
          <w:rFonts w:ascii="Arial" w:cs="Arial" w:eastAsia="Arial" w:hAnsi="Arial"/>
          <w:sz w:val="10"/>
          <w:szCs w:val="10"/>
          <w:b w:val="1"/>
          <w:bCs w:val="1"/>
          <w:color w:val="auto"/>
        </w:rPr>
      </w:pPr>
    </w:p>
    <w:p>
      <w:pPr>
        <w:sectPr>
          <w:pgSz w:w="11900" w:h="16840" w:orient="portrait"/>
          <w:cols w:equalWidth="0" w:num="2">
            <w:col w:w="8480" w:space="480"/>
            <w:col w:w="980"/>
          </w:cols>
          <w:pgMar w:left="640" w:top="571" w:right="1320" w:bottom="1440" w:gutter="0" w:footer="0" w:header="0"/>
          <w:type w:val="continuous"/>
        </w:sect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64"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70</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7"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5"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128"/>
        </w:trPr>
        <w:tc>
          <w:tcPr>
            <w:tcW w:w="600" w:type="dxa"/>
            <w:vAlign w:val="bottom"/>
          </w:tcPr>
          <w:p>
            <w:pPr>
              <w:ind w:left="20"/>
              <w:spacing w:after="0"/>
              <w:rPr>
                <w:sz w:val="20"/>
                <w:szCs w:val="20"/>
                <w:color w:val="auto"/>
              </w:rPr>
            </w:pPr>
            <w:r>
              <w:rPr>
                <w:rFonts w:ascii="Arial" w:cs="Arial" w:eastAsia="Arial" w:hAnsi="Arial"/>
                <w:sz w:val="10"/>
                <w:szCs w:val="10"/>
                <w:b w:val="1"/>
                <w:bCs w:val="1"/>
                <w:color w:val="auto"/>
              </w:rPr>
              <w:t>Key:    U</w:t>
            </w:r>
          </w:p>
        </w:tc>
        <w:tc>
          <w:tcPr>
            <w:tcW w:w="800" w:type="dxa"/>
            <w:vAlign w:val="bottom"/>
          </w:tcPr>
          <w:p>
            <w:pPr>
              <w:ind w:left="60"/>
              <w:spacing w:after="0"/>
              <w:rPr>
                <w:sz w:val="20"/>
                <w:szCs w:val="20"/>
                <w:color w:val="auto"/>
              </w:rPr>
            </w:pPr>
            <w:r>
              <w:rPr>
                <w:rFonts w:ascii="Arial" w:cs="Arial" w:eastAsia="Arial" w:hAnsi="Arial"/>
                <w:sz w:val="10"/>
                <w:szCs w:val="10"/>
                <w:color w:val="auto"/>
              </w:rPr>
              <w:t>Upstream</w:t>
            </w:r>
          </w:p>
        </w:tc>
        <w:tc>
          <w:tcPr>
            <w:tcW w:w="260" w:type="dxa"/>
            <w:vAlign w:val="bottom"/>
          </w:tcPr>
          <w:p>
            <w:pPr>
              <w:ind w:left="60"/>
              <w:spacing w:after="0"/>
              <w:rPr>
                <w:sz w:val="20"/>
                <w:szCs w:val="20"/>
                <w:color w:val="auto"/>
              </w:rPr>
            </w:pPr>
            <w:r>
              <w:rPr>
                <w:rFonts w:ascii="Arial" w:cs="Arial" w:eastAsia="Arial" w:hAnsi="Arial"/>
                <w:sz w:val="10"/>
                <w:szCs w:val="10"/>
                <w:b w:val="1"/>
                <w:bCs w:val="1"/>
                <w:color w:val="auto"/>
              </w:rPr>
              <w:t>D</w:t>
            </w:r>
          </w:p>
        </w:tc>
        <w:tc>
          <w:tcPr>
            <w:tcW w:w="720" w:type="dxa"/>
            <w:vAlign w:val="bottom"/>
          </w:tcPr>
          <w:p>
            <w:pPr>
              <w:ind w:left="60"/>
              <w:spacing w:after="0"/>
              <w:rPr>
                <w:sz w:val="20"/>
                <w:szCs w:val="20"/>
                <w:color w:val="auto"/>
              </w:rPr>
            </w:pPr>
            <w:r>
              <w:rPr>
                <w:rFonts w:ascii="Arial" w:cs="Arial" w:eastAsia="Arial" w:hAnsi="Arial"/>
                <w:sz w:val="10"/>
                <w:szCs w:val="10"/>
                <w:color w:val="auto"/>
              </w:rPr>
              <w:t>Downstream</w:t>
            </w:r>
          </w:p>
        </w:tc>
        <w:tc>
          <w:tcPr>
            <w:tcW w:w="320" w:type="dxa"/>
            <w:vAlign w:val="bottom"/>
          </w:tcPr>
          <w:p>
            <w:pPr>
              <w:ind w:left="140"/>
              <w:spacing w:after="0"/>
              <w:rPr>
                <w:sz w:val="20"/>
                <w:szCs w:val="20"/>
                <w:color w:val="auto"/>
              </w:rPr>
            </w:pPr>
            <w:r>
              <w:rPr>
                <w:rFonts w:ascii="Arial" w:cs="Arial" w:eastAsia="Arial" w:hAnsi="Arial"/>
                <w:sz w:val="10"/>
                <w:szCs w:val="10"/>
                <w:b w:val="1"/>
                <w:bCs w:val="1"/>
                <w:color w:val="auto"/>
              </w:rPr>
              <w:t>MT</w:t>
            </w:r>
          </w:p>
        </w:tc>
        <w:tc>
          <w:tcPr>
            <w:tcW w:w="3260" w:type="dxa"/>
            <w:vAlign w:val="bottom"/>
          </w:tcPr>
          <w:p>
            <w:pPr>
              <w:ind w:left="80"/>
              <w:spacing w:after="0"/>
              <w:rPr>
                <w:sz w:val="20"/>
                <w:szCs w:val="20"/>
                <w:color w:val="auto"/>
              </w:rPr>
            </w:pPr>
            <w:r>
              <w:rPr>
                <w:rFonts w:ascii="Arial" w:cs="Arial" w:eastAsia="Arial" w:hAnsi="Arial"/>
                <w:sz w:val="10"/>
                <w:szCs w:val="10"/>
                <w:color w:val="auto"/>
              </w:rPr>
              <w:t>Medium-Term</w:t>
            </w:r>
          </w:p>
        </w:tc>
        <w:tc>
          <w:tcPr>
            <w:tcW w:w="2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7"/>
        </w:trPr>
        <w:tc>
          <w:tcPr>
            <w:tcW w:w="600" w:type="dxa"/>
            <w:vAlign w:val="bottom"/>
            <w:tcBorders>
              <w:bottom w:val="single" w:sz="8" w:color="0057CF"/>
            </w:tcBorders>
          </w:tcPr>
          <w:p>
            <w:pPr>
              <w:ind w:left="400"/>
              <w:spacing w:after="0"/>
              <w:rPr>
                <w:sz w:val="20"/>
                <w:szCs w:val="20"/>
                <w:color w:val="auto"/>
              </w:rPr>
            </w:pPr>
            <w:r>
              <w:rPr>
                <w:rFonts w:ascii="Arial" w:cs="Arial" w:eastAsia="Arial" w:hAnsi="Arial"/>
                <w:sz w:val="10"/>
                <w:szCs w:val="10"/>
                <w:b w:val="1"/>
                <w:bCs w:val="1"/>
                <w:color w:val="auto"/>
              </w:rPr>
              <w:t>OO</w:t>
            </w:r>
          </w:p>
        </w:tc>
        <w:tc>
          <w:tcPr>
            <w:tcW w:w="800" w:type="dxa"/>
            <w:vAlign w:val="bottom"/>
            <w:tcBorders>
              <w:bottom w:val="single" w:sz="8" w:color="0057CF"/>
            </w:tcBorders>
          </w:tcPr>
          <w:p>
            <w:pPr>
              <w:ind w:left="60"/>
              <w:spacing w:after="0"/>
              <w:rPr>
                <w:sz w:val="20"/>
                <w:szCs w:val="20"/>
                <w:color w:val="auto"/>
              </w:rPr>
            </w:pPr>
            <w:r>
              <w:rPr>
                <w:rFonts w:ascii="Arial" w:cs="Arial" w:eastAsia="Arial" w:hAnsi="Arial"/>
                <w:sz w:val="10"/>
                <w:szCs w:val="10"/>
                <w:color w:val="auto"/>
              </w:rPr>
              <w:t>Own operations</w:t>
            </w:r>
          </w:p>
        </w:tc>
        <w:tc>
          <w:tcPr>
            <w:tcW w:w="260" w:type="dxa"/>
            <w:vAlign w:val="bottom"/>
            <w:tcBorders>
              <w:bottom w:val="single" w:sz="8" w:color="0057CF"/>
            </w:tcBorders>
          </w:tcPr>
          <w:p>
            <w:pPr>
              <w:ind w:left="60"/>
              <w:spacing w:after="0"/>
              <w:rPr>
                <w:sz w:val="20"/>
                <w:szCs w:val="20"/>
                <w:color w:val="auto"/>
              </w:rPr>
            </w:pPr>
            <w:r>
              <w:rPr>
                <w:rFonts w:ascii="Arial" w:cs="Arial" w:eastAsia="Arial" w:hAnsi="Arial"/>
                <w:sz w:val="10"/>
                <w:szCs w:val="10"/>
                <w:b w:val="1"/>
                <w:bCs w:val="1"/>
                <w:color w:val="auto"/>
              </w:rPr>
              <w:t>ST</w:t>
            </w:r>
          </w:p>
        </w:tc>
        <w:tc>
          <w:tcPr>
            <w:tcW w:w="720" w:type="dxa"/>
            <w:vAlign w:val="bottom"/>
            <w:tcBorders>
              <w:bottom w:val="single" w:sz="8" w:color="0057CF"/>
            </w:tcBorders>
          </w:tcPr>
          <w:p>
            <w:pPr>
              <w:ind w:left="60"/>
              <w:spacing w:after="0"/>
              <w:rPr>
                <w:sz w:val="20"/>
                <w:szCs w:val="20"/>
                <w:color w:val="auto"/>
              </w:rPr>
            </w:pPr>
            <w:r>
              <w:rPr>
                <w:rFonts w:ascii="Arial" w:cs="Arial" w:eastAsia="Arial" w:hAnsi="Arial"/>
                <w:sz w:val="10"/>
                <w:szCs w:val="10"/>
                <w:color w:val="auto"/>
              </w:rPr>
              <w:t>Short-Term</w:t>
            </w:r>
          </w:p>
        </w:tc>
        <w:tc>
          <w:tcPr>
            <w:tcW w:w="320" w:type="dxa"/>
            <w:vAlign w:val="bottom"/>
            <w:tcBorders>
              <w:bottom w:val="single" w:sz="8" w:color="0057CF"/>
            </w:tcBorders>
          </w:tcPr>
          <w:p>
            <w:pPr>
              <w:ind w:left="140"/>
              <w:spacing w:after="0"/>
              <w:rPr>
                <w:sz w:val="20"/>
                <w:szCs w:val="20"/>
                <w:color w:val="auto"/>
              </w:rPr>
            </w:pPr>
            <w:r>
              <w:rPr>
                <w:rFonts w:ascii="Arial" w:cs="Arial" w:eastAsia="Arial" w:hAnsi="Arial"/>
                <w:sz w:val="10"/>
                <w:szCs w:val="10"/>
                <w:b w:val="1"/>
                <w:bCs w:val="1"/>
                <w:color w:val="auto"/>
              </w:rPr>
              <w:t>LT</w:t>
            </w:r>
          </w:p>
        </w:tc>
        <w:tc>
          <w:tcPr>
            <w:tcW w:w="3260" w:type="dxa"/>
            <w:vAlign w:val="bottom"/>
            <w:tcBorders>
              <w:bottom w:val="single" w:sz="8" w:color="0057CF"/>
            </w:tcBorders>
          </w:tcPr>
          <w:p>
            <w:pPr>
              <w:ind w:left="80"/>
              <w:spacing w:after="0"/>
              <w:rPr>
                <w:sz w:val="20"/>
                <w:szCs w:val="20"/>
                <w:color w:val="auto"/>
              </w:rPr>
            </w:pPr>
            <w:r>
              <w:rPr>
                <w:rFonts w:ascii="Arial" w:cs="Arial" w:eastAsia="Arial" w:hAnsi="Arial"/>
                <w:sz w:val="10"/>
                <w:szCs w:val="10"/>
                <w:color w:val="auto"/>
              </w:rPr>
              <w:t>Long-Term</w:t>
            </w:r>
          </w:p>
        </w:tc>
        <w:tc>
          <w:tcPr>
            <w:tcW w:w="2940" w:type="dxa"/>
            <w:vAlign w:val="bottom"/>
            <w:tcBorders>
              <w:bottom w:val="single" w:sz="8" w:color="0057CF"/>
            </w:tcBorders>
          </w:tcPr>
          <w:p>
            <w:pPr>
              <w:spacing w:after="0"/>
              <w:rPr>
                <w:sz w:val="12"/>
                <w:szCs w:val="12"/>
                <w:color w:val="auto"/>
              </w:rPr>
            </w:pPr>
          </w:p>
        </w:tc>
        <w:tc>
          <w:tcPr>
            <w:tcW w:w="220" w:type="dxa"/>
            <w:vAlign w:val="bottom"/>
            <w:tcBorders>
              <w:bottom w:val="single" w:sz="8" w:color="0057CF"/>
            </w:tcBorders>
          </w:tcPr>
          <w:p>
            <w:pPr>
              <w:spacing w:after="0"/>
              <w:rPr>
                <w:sz w:val="12"/>
                <w:szCs w:val="12"/>
                <w:color w:val="auto"/>
              </w:rPr>
            </w:pPr>
          </w:p>
        </w:tc>
        <w:tc>
          <w:tcPr>
            <w:tcW w:w="820" w:type="dxa"/>
            <w:vAlign w:val="bottom"/>
            <w:tcBorders>
              <w:bottom w:val="single" w:sz="8" w:color="0057CF"/>
            </w:tcBorders>
          </w:tcPr>
          <w:p>
            <w:pPr>
              <w:spacing w:after="0"/>
              <w:rPr>
                <w:sz w:val="12"/>
                <w:szCs w:val="12"/>
                <w:color w:val="auto"/>
              </w:rPr>
            </w:pPr>
          </w:p>
        </w:tc>
      </w:tr>
      <w:tr>
        <w:trPr>
          <w:trHeight w:val="96"/>
        </w:trPr>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60" w:type="dxa"/>
            <w:vAlign w:val="bottom"/>
            <w:gridSpan w:val="2"/>
          </w:tcPr>
          <w:p>
            <w:pPr>
              <w:ind w:left="2500"/>
              <w:spacing w:after="0" w:line="96" w:lineRule="exact"/>
              <w:rPr>
                <w:sz w:val="20"/>
                <w:szCs w:val="20"/>
                <w:color w:val="auto"/>
              </w:rPr>
            </w:pPr>
            <w:r>
              <w:rPr>
                <w:rFonts w:ascii="Arial" w:cs="Arial" w:eastAsia="Arial" w:hAnsi="Arial"/>
                <w:sz w:val="10"/>
                <w:szCs w:val="10"/>
                <w:b w:val="1"/>
                <w:bCs w:val="1"/>
                <w:color w:val="auto"/>
              </w:rPr>
              <w:t>Value Chain</w:t>
            </w:r>
          </w:p>
        </w:tc>
        <w:tc>
          <w:tcPr>
            <w:tcW w:w="820" w:type="dxa"/>
            <w:vAlign w:val="bottom"/>
          </w:tcPr>
          <w:p>
            <w:pPr>
              <w:ind w:left="80"/>
              <w:spacing w:after="0" w:line="96" w:lineRule="exact"/>
              <w:rPr>
                <w:sz w:val="20"/>
                <w:szCs w:val="20"/>
                <w:color w:val="auto"/>
              </w:rPr>
            </w:pPr>
            <w:r>
              <w:rPr>
                <w:rFonts w:ascii="Arial" w:cs="Arial" w:eastAsia="Arial" w:hAnsi="Arial"/>
                <w:sz w:val="10"/>
                <w:szCs w:val="10"/>
                <w:b w:val="1"/>
                <w:bCs w:val="1"/>
                <w:color w:val="auto"/>
              </w:rPr>
              <w:t>Time Horizon</w:t>
            </w:r>
          </w:p>
        </w:tc>
      </w:tr>
      <w:tr>
        <w:trPr>
          <w:trHeight w:val="128"/>
        </w:trPr>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940" w:type="dxa"/>
            <w:vAlign w:val="bottom"/>
          </w:tcPr>
          <w:p>
            <w:pPr>
              <w:ind w:left="2500"/>
              <w:spacing w:after="0"/>
              <w:rPr>
                <w:sz w:val="20"/>
                <w:szCs w:val="20"/>
                <w:color w:val="auto"/>
              </w:rPr>
            </w:pPr>
            <w:r>
              <w:rPr>
                <w:rFonts w:ascii="Arial" w:cs="Arial" w:eastAsia="Arial" w:hAnsi="Arial"/>
                <w:sz w:val="10"/>
                <w:szCs w:val="10"/>
                <w:b w:val="1"/>
                <w:bCs w:val="1"/>
                <w:color w:val="auto"/>
              </w:rPr>
              <w:t>Location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52"/>
        </w:trPr>
        <w:tc>
          <w:tcPr>
            <w:tcW w:w="600" w:type="dxa"/>
            <w:vAlign w:val="bottom"/>
          </w:tcPr>
          <w:p>
            <w:pPr>
              <w:spacing w:after="0"/>
              <w:rPr>
                <w:sz w:val="13"/>
                <w:szCs w:val="13"/>
                <w:color w:val="auto"/>
              </w:rPr>
            </w:pPr>
          </w:p>
        </w:tc>
        <w:tc>
          <w:tcPr>
            <w:tcW w:w="1060" w:type="dxa"/>
            <w:vAlign w:val="bottom"/>
            <w:gridSpan w:val="2"/>
          </w:tcPr>
          <w:p>
            <w:pPr>
              <w:ind w:left="420"/>
              <w:spacing w:after="0"/>
              <w:rPr>
                <w:sz w:val="20"/>
                <w:szCs w:val="20"/>
                <w:color w:val="auto"/>
              </w:rPr>
            </w:pPr>
            <w:r>
              <w:rPr>
                <w:rFonts w:ascii="Arial" w:cs="Arial" w:eastAsia="Arial" w:hAnsi="Arial"/>
                <w:sz w:val="10"/>
                <w:szCs w:val="10"/>
                <w:b w:val="1"/>
                <w:bCs w:val="1"/>
                <w:color w:val="auto"/>
              </w:rPr>
              <w:t>IRO Name</w:t>
            </w:r>
          </w:p>
        </w:tc>
        <w:tc>
          <w:tcPr>
            <w:tcW w:w="1040" w:type="dxa"/>
            <w:vAlign w:val="bottom"/>
            <w:gridSpan w:val="2"/>
          </w:tcPr>
          <w:p>
            <w:pPr>
              <w:ind w:left="480"/>
              <w:spacing w:after="0"/>
              <w:rPr>
                <w:sz w:val="20"/>
                <w:szCs w:val="20"/>
                <w:color w:val="auto"/>
              </w:rPr>
            </w:pPr>
            <w:r>
              <w:rPr>
                <w:rFonts w:ascii="Arial" w:cs="Arial" w:eastAsia="Arial" w:hAnsi="Arial"/>
                <w:sz w:val="10"/>
                <w:szCs w:val="10"/>
                <w:b w:val="1"/>
                <w:bCs w:val="1"/>
                <w:color w:val="auto"/>
              </w:rPr>
              <w:t>IRO Type</w:t>
            </w:r>
          </w:p>
        </w:tc>
        <w:tc>
          <w:tcPr>
            <w:tcW w:w="3260" w:type="dxa"/>
            <w:vAlign w:val="bottom"/>
          </w:tcPr>
          <w:p>
            <w:pPr>
              <w:ind w:left="60"/>
              <w:spacing w:after="0"/>
              <w:rPr>
                <w:sz w:val="20"/>
                <w:szCs w:val="20"/>
                <w:color w:val="auto"/>
              </w:rPr>
            </w:pPr>
            <w:r>
              <w:rPr>
                <w:rFonts w:ascii="Arial" w:cs="Arial" w:eastAsia="Arial" w:hAnsi="Arial"/>
                <w:sz w:val="10"/>
                <w:szCs w:val="10"/>
                <w:b w:val="1"/>
                <w:bCs w:val="1"/>
                <w:color w:val="auto"/>
              </w:rPr>
              <w:t>IRO Description</w:t>
            </w:r>
          </w:p>
        </w:tc>
        <w:tc>
          <w:tcPr>
            <w:tcW w:w="2940" w:type="dxa"/>
            <w:vAlign w:val="bottom"/>
          </w:tcPr>
          <w:p>
            <w:pPr>
              <w:ind w:left="2500"/>
              <w:spacing w:after="0"/>
              <w:rPr>
                <w:sz w:val="20"/>
                <w:szCs w:val="20"/>
                <w:color w:val="auto"/>
              </w:rPr>
            </w:pPr>
            <w:r>
              <w:rPr>
                <w:rFonts w:ascii="Arial" w:cs="Arial" w:eastAsia="Arial" w:hAnsi="Arial"/>
                <w:sz w:val="10"/>
                <w:szCs w:val="10"/>
                <w:b w:val="1"/>
                <w:bCs w:val="1"/>
                <w:color w:val="auto"/>
              </w:rPr>
              <w:t>U    OO</w:t>
            </w:r>
          </w:p>
        </w:tc>
        <w:tc>
          <w:tcPr>
            <w:tcW w:w="220" w:type="dxa"/>
            <w:vAlign w:val="bottom"/>
          </w:tcPr>
          <w:p>
            <w:pPr>
              <w:ind w:left="60"/>
              <w:spacing w:after="0"/>
              <w:rPr>
                <w:sz w:val="20"/>
                <w:szCs w:val="20"/>
                <w:color w:val="auto"/>
              </w:rPr>
            </w:pPr>
            <w:r>
              <w:rPr>
                <w:rFonts w:ascii="Arial" w:cs="Arial" w:eastAsia="Arial" w:hAnsi="Arial"/>
                <w:sz w:val="10"/>
                <w:szCs w:val="10"/>
                <w:b w:val="1"/>
                <w:bCs w:val="1"/>
                <w:color w:val="auto"/>
              </w:rPr>
              <w:t>D</w:t>
            </w:r>
          </w:p>
        </w:tc>
        <w:tc>
          <w:tcPr>
            <w:tcW w:w="820" w:type="dxa"/>
            <w:vAlign w:val="bottom"/>
          </w:tcPr>
          <w:p>
            <w:pPr>
              <w:ind w:left="80"/>
              <w:spacing w:after="0"/>
              <w:rPr>
                <w:sz w:val="20"/>
                <w:szCs w:val="20"/>
                <w:color w:val="auto"/>
              </w:rPr>
            </w:pPr>
            <w:r>
              <w:rPr>
                <w:rFonts w:ascii="Arial" w:cs="Arial" w:eastAsia="Arial" w:hAnsi="Arial"/>
                <w:sz w:val="10"/>
                <w:szCs w:val="10"/>
                <w:b w:val="1"/>
                <w:bCs w:val="1"/>
                <w:color w:val="auto"/>
              </w:rPr>
              <w:t>ST   MT  LT</w:t>
            </w:r>
          </w:p>
        </w:tc>
      </w:tr>
    </w:tbl>
    <w:p>
      <w:pPr>
        <w:spacing w:after="0" w:line="1" w:lineRule="exact"/>
        <w:rPr>
          <w:rFonts w:ascii="Arial" w:cs="Arial" w:eastAsia="Arial" w:hAnsi="Arial"/>
          <w:sz w:val="10"/>
          <w:szCs w:val="10"/>
          <w:b w:val="1"/>
          <w:bCs w:val="1"/>
          <w:color w:val="auto"/>
        </w:rPr>
      </w:pPr>
    </w:p>
    <w:p>
      <w:pPr>
        <w:sectPr>
          <w:pgSz w:w="11900" w:h="16840" w:orient="portrait"/>
          <w:cols w:equalWidth="0" w:num="1">
            <w:col w:w="9940"/>
          </w:cols>
          <w:pgMar w:left="640" w:top="571" w:right="1320" w:bottom="1440" w:gutter="0" w:footer="0" w:header="0"/>
          <w:type w:val="continuous"/>
        </w:sectPr>
      </w:pPr>
    </w:p>
    <w:tbl>
      <w:tblPr>
        <w:tblLayout w:type="fixed"/>
        <w:tblInd w:w="1020" w:type="dxa"/>
        <w:tblCellMar>
          <w:top w:w="0" w:type="dxa"/>
          <w:left w:w="0" w:type="dxa"/>
          <w:bottom w:w="0" w:type="dxa"/>
          <w:right w:w="0" w:type="dxa"/>
        </w:tblCellMar>
      </w:tblPr>
      <w:tr>
        <w:trPr>
          <w:trHeight w:val="109"/>
        </w:trPr>
        <w:tc>
          <w:tcPr>
            <w:tcW w:w="1020" w:type="dxa"/>
            <w:vAlign w:val="bottom"/>
          </w:tcPr>
          <w:p>
            <w:pPr>
              <w:spacing w:after="0" w:line="109" w:lineRule="exact"/>
              <w:rPr>
                <w:sz w:val="20"/>
                <w:szCs w:val="20"/>
                <w:color w:val="auto"/>
              </w:rPr>
            </w:pPr>
            <w:r>
              <w:rPr>
                <w:rFonts w:ascii="Arial" w:cs="Arial" w:eastAsia="Arial" w:hAnsi="Arial"/>
                <w:sz w:val="10"/>
                <w:szCs w:val="10"/>
                <w:color w:val="auto"/>
              </w:rPr>
              <w:t>Health and safety of</w:t>
            </w:r>
          </w:p>
        </w:tc>
        <w:tc>
          <w:tcPr>
            <w:tcW w:w="620" w:type="dxa"/>
            <w:vAlign w:val="bottom"/>
          </w:tcPr>
          <w:p>
            <w:pPr>
              <w:ind w:left="100"/>
              <w:spacing w:after="0" w:line="109" w:lineRule="exact"/>
              <w:rPr>
                <w:sz w:val="20"/>
                <w:szCs w:val="20"/>
                <w:color w:val="auto"/>
              </w:rPr>
            </w:pPr>
            <w:r>
              <w:rPr>
                <w:rFonts w:ascii="Arial" w:cs="Arial" w:eastAsia="Arial" w:hAnsi="Arial"/>
                <w:sz w:val="10"/>
                <w:szCs w:val="10"/>
                <w:color w:val="auto"/>
              </w:rPr>
              <w:t>Potential</w:t>
            </w:r>
          </w:p>
        </w:tc>
        <w:tc>
          <w:tcPr>
            <w:tcW w:w="5800" w:type="dxa"/>
            <w:vAlign w:val="bottom"/>
          </w:tcPr>
          <w:p>
            <w:pPr>
              <w:ind w:left="100"/>
              <w:spacing w:after="0" w:line="109" w:lineRule="exact"/>
              <w:rPr>
                <w:sz w:val="20"/>
                <w:szCs w:val="20"/>
                <w:color w:val="auto"/>
              </w:rPr>
            </w:pPr>
            <w:r>
              <w:rPr>
                <w:rFonts w:ascii="Arial" w:cs="Arial" w:eastAsia="Arial" w:hAnsi="Arial"/>
                <w:sz w:val="10"/>
                <w:szCs w:val="10"/>
                <w:color w:val="auto"/>
              </w:rPr>
              <w:t>Any breakdown in Genmab’s safety and clinical oversight processes could expose trial participants to avoidable risks, inclu</w:t>
            </w:r>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patients</w:t>
            </w:r>
          </w:p>
        </w:tc>
        <w:tc>
          <w:tcPr>
            <w:tcW w:w="620" w:type="dxa"/>
            <w:vAlign w:val="bottom"/>
          </w:tcPr>
          <w:p>
            <w:pPr>
              <w:ind w:left="100"/>
              <w:spacing w:after="0" w:line="95" w:lineRule="exact"/>
              <w:rPr>
                <w:sz w:val="20"/>
                <w:szCs w:val="20"/>
                <w:color w:val="auto"/>
              </w:rPr>
            </w:pPr>
            <w:r>
              <w:rPr>
                <w:rFonts w:ascii="Arial" w:cs="Arial" w:eastAsia="Arial" w:hAnsi="Arial"/>
                <w:sz w:val="10"/>
                <w:szCs w:val="10"/>
                <w:color w:val="auto"/>
              </w:rPr>
              <w:t>Negative</w:t>
            </w:r>
          </w:p>
        </w:tc>
        <w:tc>
          <w:tcPr>
            <w:tcW w:w="5800" w:type="dxa"/>
            <w:vAlign w:val="bottom"/>
          </w:tcPr>
          <w:p>
            <w:pPr>
              <w:ind w:left="100"/>
              <w:spacing w:after="0" w:line="95" w:lineRule="exact"/>
              <w:rPr>
                <w:sz w:val="20"/>
                <w:szCs w:val="20"/>
                <w:color w:val="auto"/>
              </w:rPr>
            </w:pPr>
            <w:r>
              <w:rPr>
                <w:rFonts w:ascii="Arial" w:cs="Arial" w:eastAsia="Arial" w:hAnsi="Arial"/>
                <w:sz w:val="10"/>
                <w:szCs w:val="10"/>
                <w:color w:val="auto"/>
              </w:rPr>
              <w:t>ding</w:t>
            </w:r>
          </w:p>
        </w:tc>
      </w:tr>
      <w:tr>
        <w:trPr>
          <w:trHeight w:val="95"/>
        </w:trPr>
        <w:tc>
          <w:tcPr>
            <w:tcW w:w="1020" w:type="dxa"/>
            <w:vAlign w:val="bottom"/>
          </w:tcPr>
          <w:p>
            <w:pPr>
              <w:spacing w:after="0"/>
              <w:rPr>
                <w:sz w:val="8"/>
                <w:szCs w:val="8"/>
                <w:color w:val="auto"/>
              </w:rPr>
            </w:pPr>
          </w:p>
        </w:tc>
        <w:tc>
          <w:tcPr>
            <w:tcW w:w="620" w:type="dxa"/>
            <w:vAlign w:val="bottom"/>
          </w:tcPr>
          <w:p>
            <w:pPr>
              <w:ind w:left="100"/>
              <w:spacing w:after="0" w:line="95" w:lineRule="exact"/>
              <w:rPr>
                <w:sz w:val="20"/>
                <w:szCs w:val="20"/>
                <w:color w:val="auto"/>
              </w:rPr>
            </w:pPr>
            <w:r>
              <w:rPr>
                <w:rFonts w:ascii="Arial" w:cs="Arial" w:eastAsia="Arial" w:hAnsi="Arial"/>
                <w:sz w:val="10"/>
                <w:szCs w:val="10"/>
                <w:color w:val="auto"/>
              </w:rPr>
              <w:t>Impact</w:t>
            </w:r>
          </w:p>
        </w:tc>
        <w:tc>
          <w:tcPr>
            <w:tcW w:w="5800" w:type="dxa"/>
            <w:vAlign w:val="bottom"/>
          </w:tcPr>
          <w:p>
            <w:pPr>
              <w:ind w:left="100"/>
              <w:spacing w:after="0" w:line="95" w:lineRule="exact"/>
              <w:rPr>
                <w:sz w:val="20"/>
                <w:szCs w:val="20"/>
                <w:color w:val="auto"/>
              </w:rPr>
            </w:pPr>
            <w:r>
              <w:rPr>
                <w:rFonts w:ascii="Arial" w:cs="Arial" w:eastAsia="Arial" w:hAnsi="Arial"/>
                <w:sz w:val="10"/>
                <w:szCs w:val="10"/>
                <w:color w:val="auto"/>
              </w:rPr>
              <w:t>adverse events, inappropriate use of investigational medicines, or missed beneficial treatments. Patients depend on rigorou</w:t>
            </w:r>
          </w:p>
        </w:tc>
      </w:tr>
      <w:tr>
        <w:trPr>
          <w:trHeight w:val="95"/>
        </w:trPr>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0" w:type="dxa"/>
            <w:vAlign w:val="bottom"/>
          </w:tcPr>
          <w:p>
            <w:pPr>
              <w:ind w:left="100"/>
              <w:spacing w:after="0" w:line="95" w:lineRule="exact"/>
              <w:rPr>
                <w:sz w:val="20"/>
                <w:szCs w:val="20"/>
                <w:color w:val="auto"/>
              </w:rPr>
            </w:pPr>
            <w:r>
              <w:rPr>
                <w:rFonts w:ascii="Arial" w:cs="Arial" w:eastAsia="Arial" w:hAnsi="Arial"/>
                <w:sz w:val="10"/>
                <w:szCs w:val="10"/>
                <w:color w:val="auto"/>
              </w:rPr>
              <w:t>s</w:t>
            </w:r>
          </w:p>
        </w:tc>
      </w:tr>
      <w:tr>
        <w:trPr>
          <w:trHeight w:val="105"/>
        </w:trPr>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0" w:type="dxa"/>
            <w:vAlign w:val="bottom"/>
          </w:tcPr>
          <w:p>
            <w:pPr>
              <w:ind w:left="100"/>
              <w:spacing w:after="0" w:line="105" w:lineRule="exact"/>
              <w:rPr>
                <w:sz w:val="20"/>
                <w:szCs w:val="20"/>
                <w:color w:val="auto"/>
              </w:rPr>
            </w:pPr>
            <w:r>
              <w:rPr>
                <w:rFonts w:ascii="Arial" w:cs="Arial" w:eastAsia="Arial" w:hAnsi="Arial"/>
                <w:sz w:val="10"/>
                <w:szCs w:val="10"/>
                <w:color w:val="auto"/>
              </w:rPr>
              <w:t>controls and accurate information to protect their health and ensure safe use of our therapies.</w:t>
            </w:r>
          </w:p>
        </w:tc>
      </w:tr>
      <w:tr>
        <w:trPr>
          <w:trHeight w:val="105"/>
        </w:trPr>
        <w:tc>
          <w:tcPr>
            <w:tcW w:w="1020" w:type="dxa"/>
            <w:vAlign w:val="bottom"/>
          </w:tcPr>
          <w:p>
            <w:pPr>
              <w:spacing w:after="0" w:line="105" w:lineRule="exact"/>
              <w:rPr>
                <w:sz w:val="20"/>
                <w:szCs w:val="20"/>
                <w:color w:val="auto"/>
              </w:rPr>
            </w:pPr>
            <w:r>
              <w:rPr>
                <w:rFonts w:ascii="Arial" w:cs="Arial" w:eastAsia="Arial" w:hAnsi="Arial"/>
                <w:sz w:val="10"/>
                <w:szCs w:val="10"/>
                <w:color w:val="auto"/>
              </w:rPr>
              <w:t>Pharmacovigilance</w:t>
            </w:r>
          </w:p>
        </w:tc>
        <w:tc>
          <w:tcPr>
            <w:tcW w:w="620" w:type="dxa"/>
            <w:vAlign w:val="bottom"/>
          </w:tcPr>
          <w:p>
            <w:pPr>
              <w:ind w:left="100"/>
              <w:spacing w:after="0" w:line="105" w:lineRule="exact"/>
              <w:rPr>
                <w:sz w:val="20"/>
                <w:szCs w:val="20"/>
                <w:color w:val="auto"/>
              </w:rPr>
            </w:pPr>
            <w:r>
              <w:rPr>
                <w:rFonts w:ascii="Arial" w:cs="Arial" w:eastAsia="Arial" w:hAnsi="Arial"/>
                <w:sz w:val="10"/>
                <w:szCs w:val="10"/>
                <w:color w:val="auto"/>
              </w:rPr>
              <w:t>Risk</w:t>
            </w:r>
          </w:p>
        </w:tc>
        <w:tc>
          <w:tcPr>
            <w:tcW w:w="5800" w:type="dxa"/>
            <w:vAlign w:val="bottom"/>
          </w:tcPr>
          <w:p>
            <w:pPr>
              <w:ind w:left="100"/>
              <w:spacing w:after="0" w:line="105" w:lineRule="exact"/>
              <w:rPr>
                <w:sz w:val="20"/>
                <w:szCs w:val="20"/>
                <w:color w:val="auto"/>
              </w:rPr>
            </w:pPr>
            <w:r>
              <w:rPr>
                <w:rFonts w:ascii="Arial" w:cs="Arial" w:eastAsia="Arial" w:hAnsi="Arial"/>
                <w:sz w:val="10"/>
                <w:szCs w:val="10"/>
                <w:color w:val="auto"/>
              </w:rPr>
              <w:t>Robust pharmacovigilance is essential for monitoring the safety and effectiveness of our therapies throughout their lifecycle</w:t>
            </w:r>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risks as a biotech</w:t>
            </w:r>
          </w:p>
        </w:tc>
        <w:tc>
          <w:tcPr>
            <w:tcW w:w="620" w:type="dxa"/>
            <w:vAlign w:val="bottom"/>
          </w:tcPr>
          <w:p>
            <w:pPr>
              <w:spacing w:after="0"/>
              <w:rPr>
                <w:sz w:val="8"/>
                <w:szCs w:val="8"/>
                <w:color w:val="auto"/>
              </w:rPr>
            </w:pPr>
          </w:p>
        </w:tc>
        <w:tc>
          <w:tcPr>
            <w:tcW w:w="5800" w:type="dxa"/>
            <w:vAlign w:val="bottom"/>
          </w:tcPr>
          <w:p>
            <w:pPr>
              <w:ind w:left="100"/>
              <w:spacing w:after="0" w:line="95" w:lineRule="exact"/>
              <w:rPr>
                <w:sz w:val="20"/>
                <w:szCs w:val="20"/>
                <w:color w:val="auto"/>
              </w:rPr>
            </w:pPr>
            <w:r>
              <w:rPr>
                <w:rFonts w:ascii="Arial" w:cs="Arial" w:eastAsia="Arial" w:hAnsi="Arial"/>
                <w:sz w:val="10"/>
                <w:szCs w:val="10"/>
                <w:color w:val="auto"/>
              </w:rPr>
              <w:t>. Any</w:t>
            </w:r>
          </w:p>
        </w:tc>
      </w:tr>
      <w:tr>
        <w:trPr>
          <w:trHeight w:val="137"/>
        </w:trPr>
        <w:tc>
          <w:tcPr>
            <w:tcW w:w="1020" w:type="dxa"/>
            <w:vAlign w:val="bottom"/>
          </w:tcPr>
          <w:p>
            <w:pPr>
              <w:spacing w:after="0"/>
              <w:rPr>
                <w:sz w:val="20"/>
                <w:szCs w:val="20"/>
                <w:color w:val="auto"/>
              </w:rPr>
            </w:pPr>
            <w:r>
              <w:rPr>
                <w:rFonts w:ascii="Arial" w:cs="Arial" w:eastAsia="Arial" w:hAnsi="Arial"/>
                <w:sz w:val="10"/>
                <w:szCs w:val="10"/>
                <w:color w:val="auto"/>
              </w:rPr>
              <w:t>company</w:t>
            </w:r>
          </w:p>
        </w:tc>
        <w:tc>
          <w:tcPr>
            <w:tcW w:w="620" w:type="dxa"/>
            <w:vAlign w:val="bottom"/>
          </w:tcPr>
          <w:p>
            <w:pPr>
              <w:spacing w:after="0"/>
              <w:rPr>
                <w:sz w:val="11"/>
                <w:szCs w:val="11"/>
                <w:color w:val="auto"/>
              </w:rPr>
            </w:pPr>
          </w:p>
        </w:tc>
        <w:tc>
          <w:tcPr>
            <w:tcW w:w="5800" w:type="dxa"/>
            <w:vAlign w:val="bottom"/>
          </w:tcPr>
          <w:p>
            <w:pPr>
              <w:ind w:left="100"/>
              <w:spacing w:after="0"/>
              <w:rPr>
                <w:sz w:val="20"/>
                <w:szCs w:val="20"/>
                <w:color w:val="auto"/>
              </w:rPr>
            </w:pPr>
            <w:r>
              <w:rPr>
                <w:rFonts w:ascii="Arial" w:cs="Arial" w:eastAsia="Arial" w:hAnsi="Arial"/>
                <w:sz w:val="10"/>
                <w:szCs w:val="10"/>
                <w:color w:val="auto"/>
              </w:rPr>
              <w:t>gaps or disruptions in these processes could delay the detection of adverse events, lead to regulatory non-compliance, and</w:t>
            </w:r>
          </w:p>
        </w:tc>
      </w:tr>
      <w:tr>
        <w:trPr>
          <w:trHeight w:val="158"/>
        </w:trPr>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0" w:type="dxa"/>
            <w:vAlign w:val="bottom"/>
          </w:tcPr>
          <w:p>
            <w:pPr>
              <w:ind w:left="100"/>
              <w:spacing w:after="0"/>
              <w:rPr>
                <w:sz w:val="20"/>
                <w:szCs w:val="20"/>
                <w:color w:val="auto"/>
              </w:rPr>
            </w:pPr>
            <w:r>
              <w:rPr>
                <w:rFonts w:ascii="Arial" w:cs="Arial" w:eastAsia="Arial" w:hAnsi="Arial"/>
                <w:sz w:val="10"/>
                <w:szCs w:val="10"/>
                <w:color w:val="auto"/>
              </w:rPr>
              <w:t>create reputational or financial consequences.</w:t>
            </w:r>
          </w:p>
        </w:tc>
      </w:tr>
      <w:tr>
        <w:trPr>
          <w:trHeight w:val="105"/>
        </w:trPr>
        <w:tc>
          <w:tcPr>
            <w:tcW w:w="1020" w:type="dxa"/>
            <w:vAlign w:val="bottom"/>
          </w:tcPr>
          <w:p>
            <w:pPr>
              <w:spacing w:after="0" w:line="105" w:lineRule="exact"/>
              <w:rPr>
                <w:sz w:val="20"/>
                <w:szCs w:val="20"/>
                <w:color w:val="auto"/>
              </w:rPr>
            </w:pPr>
            <w:r>
              <w:rPr>
                <w:rFonts w:ascii="Arial" w:cs="Arial" w:eastAsia="Arial" w:hAnsi="Arial"/>
                <w:sz w:val="10"/>
                <w:szCs w:val="10"/>
                <w:color w:val="auto"/>
              </w:rPr>
              <w:t>Access to quality</w:t>
            </w:r>
          </w:p>
        </w:tc>
        <w:tc>
          <w:tcPr>
            <w:tcW w:w="620" w:type="dxa"/>
            <w:vAlign w:val="bottom"/>
          </w:tcPr>
          <w:p>
            <w:pPr>
              <w:ind w:left="100"/>
              <w:spacing w:after="0" w:line="105" w:lineRule="exact"/>
              <w:rPr>
                <w:sz w:val="20"/>
                <w:szCs w:val="20"/>
                <w:color w:val="auto"/>
              </w:rPr>
            </w:pPr>
            <w:r>
              <w:rPr>
                <w:rFonts w:ascii="Arial" w:cs="Arial" w:eastAsia="Arial" w:hAnsi="Arial"/>
                <w:sz w:val="10"/>
                <w:szCs w:val="10"/>
                <w:color w:val="auto"/>
              </w:rPr>
              <w:t>Potential</w:t>
            </w:r>
          </w:p>
        </w:tc>
        <w:tc>
          <w:tcPr>
            <w:tcW w:w="5800" w:type="dxa"/>
            <w:vAlign w:val="bottom"/>
          </w:tcPr>
          <w:p>
            <w:pPr>
              <w:ind w:left="100"/>
              <w:spacing w:after="0" w:line="105" w:lineRule="exact"/>
              <w:rPr>
                <w:sz w:val="20"/>
                <w:szCs w:val="20"/>
                <w:color w:val="auto"/>
              </w:rPr>
            </w:pPr>
            <w:r>
              <w:rPr>
                <w:rFonts w:ascii="Arial" w:cs="Arial" w:eastAsia="Arial" w:hAnsi="Arial"/>
                <w:sz w:val="10"/>
                <w:szCs w:val="10"/>
                <w:color w:val="auto"/>
              </w:rPr>
              <w:t>Limited transparency in clinical trials can restrict access to reliable information, compromising patient outcomes, research</w:t>
            </w:r>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information</w:t>
            </w:r>
          </w:p>
        </w:tc>
        <w:tc>
          <w:tcPr>
            <w:tcW w:w="620" w:type="dxa"/>
            <w:vAlign w:val="bottom"/>
          </w:tcPr>
          <w:p>
            <w:pPr>
              <w:ind w:left="100"/>
              <w:spacing w:after="0" w:line="95" w:lineRule="exact"/>
              <w:rPr>
                <w:sz w:val="20"/>
                <w:szCs w:val="20"/>
                <w:color w:val="auto"/>
              </w:rPr>
            </w:pPr>
            <w:r>
              <w:rPr>
                <w:rFonts w:ascii="Arial" w:cs="Arial" w:eastAsia="Arial" w:hAnsi="Arial"/>
                <w:sz w:val="10"/>
                <w:szCs w:val="10"/>
                <w:color w:val="auto"/>
              </w:rPr>
              <w:t>Negative</w:t>
            </w:r>
          </w:p>
        </w:tc>
        <w:tc>
          <w:tcPr>
            <w:tcW w:w="5800" w:type="dxa"/>
            <w:vAlign w:val="bottom"/>
          </w:tcPr>
          <w:p>
            <w:pPr>
              <w:ind w:left="100"/>
              <w:spacing w:after="0" w:line="95" w:lineRule="exact"/>
              <w:rPr>
                <w:sz w:val="20"/>
                <w:szCs w:val="20"/>
                <w:color w:val="auto"/>
              </w:rPr>
            </w:pPr>
            <w:r>
              <w:rPr>
                <w:rFonts w:ascii="Arial" w:cs="Arial" w:eastAsia="Arial" w:hAnsi="Arial"/>
                <w:sz w:val="10"/>
                <w:szCs w:val="10"/>
                <w:color w:val="auto"/>
              </w:rPr>
              <w:t>integrity, and trust.</w:t>
            </w:r>
          </w:p>
        </w:tc>
      </w:tr>
      <w:tr>
        <w:trPr>
          <w:trHeight w:val="137"/>
        </w:trPr>
        <w:tc>
          <w:tcPr>
            <w:tcW w:w="1020" w:type="dxa"/>
            <w:vAlign w:val="bottom"/>
          </w:tcPr>
          <w:p>
            <w:pPr>
              <w:spacing w:after="0"/>
              <w:rPr>
                <w:sz w:val="11"/>
                <w:szCs w:val="11"/>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Impact</w:t>
            </w:r>
          </w:p>
        </w:tc>
        <w:tc>
          <w:tcPr>
            <w:tcW w:w="5800" w:type="dxa"/>
            <w:vAlign w:val="bottom"/>
          </w:tcPr>
          <w:p>
            <w:pPr>
              <w:spacing w:after="0"/>
              <w:rPr>
                <w:sz w:val="11"/>
                <w:szCs w:val="1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rPr>
          <w:sz w:val="20"/>
          <w:szCs w:val="20"/>
          <w:color w:val="auto"/>
        </w:rPr>
      </w:pPr>
      <w:r>
        <w:rPr>
          <w:rFonts w:ascii="Arial" w:cs="Arial" w:eastAsia="Arial" w:hAnsi="Arial"/>
          <w:sz w:val="35"/>
          <w:szCs w:val="35"/>
          <w:color w:val="0057CF"/>
        </w:rPr>
        <w:t>• • • •</w:t>
      </w:r>
    </w:p>
    <w:p>
      <w:pPr>
        <w:spacing w:after="0" w:line="67"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 •</w:t>
      </w:r>
    </w:p>
    <w:p>
      <w:pPr>
        <w:spacing w:after="0" w:line="9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35"/>
          <w:szCs w:val="35"/>
          <w:color w:val="0057CF"/>
        </w:rPr>
        <w:t>• • • •</w:t>
      </w:r>
    </w:p>
    <w:p>
      <w:pPr>
        <w:spacing w:after="0" w:line="46" w:lineRule="exact"/>
        <w:rPr>
          <w:rFonts w:ascii="Arial" w:cs="Arial" w:eastAsia="Arial" w:hAnsi="Arial"/>
          <w:sz w:val="10"/>
          <w:szCs w:val="10"/>
          <w:b w:val="1"/>
          <w:bCs w:val="1"/>
          <w:color w:val="auto"/>
        </w:rPr>
      </w:pPr>
    </w:p>
    <w:p>
      <w:pPr>
        <w:sectPr>
          <w:pgSz w:w="11900" w:h="16840" w:orient="portrait"/>
          <w:cols w:equalWidth="0" w:num="2">
            <w:col w:w="8460" w:space="500"/>
            <w:col w:w="980"/>
          </w:cols>
          <w:pgMar w:left="640" w:top="571" w:right="1320" w:bottom="1440" w:gutter="0" w:footer="0" w:header="0"/>
          <w:type w:val="continuous"/>
        </w:sectPr>
      </w:pPr>
    </w:p>
    <w:tbl>
      <w:tblPr>
        <w:tblLayout w:type="fixed"/>
        <w:tblInd w:w="0" w:type="dxa"/>
        <w:tblCellMar>
          <w:top w:w="0" w:type="dxa"/>
          <w:left w:w="0" w:type="dxa"/>
          <w:bottom w:w="0" w:type="dxa"/>
          <w:right w:w="0" w:type="dxa"/>
        </w:tblCellMar>
      </w:tblPr>
      <w:tr>
        <w:trPr>
          <w:trHeight w:val="132"/>
        </w:trPr>
        <w:tc>
          <w:tcPr>
            <w:tcW w:w="2080" w:type="dxa"/>
            <w:vAlign w:val="bottom"/>
            <w:gridSpan w:val="2"/>
            <w:shd w:val="clear" w:color="auto" w:fill="0057CF"/>
          </w:tcPr>
          <w:p>
            <w:pPr>
              <w:ind w:left="20"/>
              <w:spacing w:after="0"/>
              <w:rPr>
                <w:sz w:val="20"/>
                <w:szCs w:val="20"/>
                <w:color w:val="auto"/>
              </w:rPr>
            </w:pPr>
            <w:r>
              <w:rPr>
                <w:rFonts w:ascii="Arial" w:cs="Arial" w:eastAsia="Arial" w:hAnsi="Arial"/>
                <w:sz w:val="10"/>
                <w:szCs w:val="10"/>
                <w:b w:val="1"/>
                <w:bCs w:val="1"/>
                <w:color w:val="FFFFFF"/>
              </w:rPr>
              <w:t>G1 - Business Conduct</w:t>
            </w:r>
          </w:p>
        </w:tc>
        <w:tc>
          <w:tcPr>
            <w:tcW w:w="580" w:type="dxa"/>
            <w:vAlign w:val="bottom"/>
            <w:shd w:val="clear" w:color="auto" w:fill="0057CF"/>
          </w:tcPr>
          <w:p>
            <w:pPr>
              <w:spacing w:after="0"/>
              <w:rPr>
                <w:sz w:val="11"/>
                <w:szCs w:val="11"/>
                <w:color w:val="auto"/>
              </w:rPr>
            </w:pPr>
          </w:p>
        </w:tc>
        <w:tc>
          <w:tcPr>
            <w:tcW w:w="5780" w:type="dxa"/>
            <w:vAlign w:val="bottom"/>
            <w:shd w:val="clear" w:color="auto" w:fill="0057CF"/>
          </w:tcPr>
          <w:p>
            <w:pPr>
              <w:spacing w:after="0"/>
              <w:rPr>
                <w:sz w:val="11"/>
                <w:szCs w:val="11"/>
                <w:color w:val="auto"/>
              </w:rPr>
            </w:pPr>
          </w:p>
        </w:tc>
        <w:tc>
          <w:tcPr>
            <w:tcW w:w="200" w:type="dxa"/>
            <w:vAlign w:val="bottom"/>
            <w:shd w:val="clear" w:color="auto" w:fill="0057CF"/>
          </w:tcPr>
          <w:p>
            <w:pPr>
              <w:spacing w:after="0"/>
              <w:rPr>
                <w:sz w:val="11"/>
                <w:szCs w:val="11"/>
                <w:color w:val="auto"/>
              </w:rPr>
            </w:pPr>
          </w:p>
        </w:tc>
        <w:tc>
          <w:tcPr>
            <w:tcW w:w="380" w:type="dxa"/>
            <w:vAlign w:val="bottom"/>
            <w:shd w:val="clear" w:color="auto" w:fill="0057CF"/>
          </w:tcPr>
          <w:p>
            <w:pPr>
              <w:spacing w:after="0"/>
              <w:rPr>
                <w:sz w:val="11"/>
                <w:szCs w:val="11"/>
                <w:color w:val="auto"/>
              </w:rPr>
            </w:pPr>
          </w:p>
        </w:tc>
        <w:tc>
          <w:tcPr>
            <w:tcW w:w="920" w:type="dxa"/>
            <w:vAlign w:val="bottom"/>
            <w:shd w:val="clear" w:color="auto" w:fill="0057C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Business Conduct -</w:t>
            </w:r>
          </w:p>
        </w:tc>
        <w:tc>
          <w:tcPr>
            <w:tcW w:w="1100" w:type="dxa"/>
            <w:vAlign w:val="bottom"/>
          </w:tcPr>
          <w:p>
            <w:pPr>
              <w:ind w:left="40"/>
              <w:spacing w:after="0" w:line="95" w:lineRule="exact"/>
              <w:rPr>
                <w:sz w:val="20"/>
                <w:szCs w:val="20"/>
                <w:color w:val="auto"/>
              </w:rPr>
            </w:pPr>
            <w:r>
              <w:rPr>
                <w:rFonts w:ascii="Arial" w:cs="Arial" w:eastAsia="Arial" w:hAnsi="Arial"/>
                <w:sz w:val="10"/>
                <w:szCs w:val="10"/>
                <w:color w:val="auto"/>
              </w:rPr>
              <w:t>Healthy and ethical</w:t>
            </w: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Actual</w:t>
            </w:r>
          </w:p>
        </w:tc>
        <w:tc>
          <w:tcPr>
            <w:tcW w:w="598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Genmab has clear, core values, allowing a healthy and ethical culture to thrive and anti-corruption practices embedded in th</w:t>
            </w:r>
          </w:p>
        </w:tc>
        <w:tc>
          <w:tcPr>
            <w:tcW w:w="380" w:type="dxa"/>
            <w:vAlign w:val="bottom"/>
            <w:vMerge w:val="restart"/>
          </w:tcPr>
          <w:p>
            <w:pPr>
              <w:ind w:left="60"/>
              <w:spacing w:after="0" w:line="381" w:lineRule="exact"/>
              <w:rPr>
                <w:sz w:val="20"/>
                <w:szCs w:val="20"/>
                <w:color w:val="auto"/>
              </w:rPr>
            </w:pPr>
            <w:r>
              <w:rPr>
                <w:rFonts w:ascii="Arial" w:cs="Arial" w:eastAsia="Arial" w:hAnsi="Arial"/>
                <w:sz w:val="35"/>
                <w:szCs w:val="35"/>
                <w:color w:val="0057CF"/>
              </w:rPr>
              <w:t>•</w:t>
            </w:r>
          </w:p>
        </w:tc>
        <w:tc>
          <w:tcPr>
            <w:tcW w:w="920" w:type="dxa"/>
            <w:vAlign w:val="bottom"/>
            <w:vMerge w:val="restart"/>
          </w:tcPr>
          <w:p>
            <w:pPr>
              <w:jc w:val="right"/>
              <w:spacing w:after="0" w:line="381" w:lineRule="exact"/>
              <w:rPr>
                <w:sz w:val="20"/>
                <w:szCs w:val="20"/>
                <w:color w:val="auto"/>
              </w:rPr>
            </w:pPr>
            <w:r>
              <w:rPr>
                <w:rFonts w:ascii="Arial" w:cs="Arial" w:eastAsia="Arial" w:hAnsi="Arial"/>
                <w:sz w:val="35"/>
                <w:szCs w:val="35"/>
                <w:color w:val="0057CF"/>
              </w:rPr>
              <w:t>• • •</w:t>
            </w: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Corporate Culture</w:t>
            </w:r>
          </w:p>
        </w:tc>
        <w:tc>
          <w:tcPr>
            <w:tcW w:w="1100" w:type="dxa"/>
            <w:vAlign w:val="bottom"/>
          </w:tcPr>
          <w:p>
            <w:pPr>
              <w:ind w:left="40"/>
              <w:spacing w:after="0" w:line="95" w:lineRule="exact"/>
              <w:rPr>
                <w:sz w:val="20"/>
                <w:szCs w:val="20"/>
                <w:color w:val="auto"/>
              </w:rPr>
            </w:pPr>
            <w:r>
              <w:rPr>
                <w:rFonts w:ascii="Arial" w:cs="Arial" w:eastAsia="Arial" w:hAnsi="Arial"/>
                <w:sz w:val="10"/>
                <w:szCs w:val="10"/>
                <w:color w:val="auto"/>
              </w:rPr>
              <w:t>corporate culture</w:t>
            </w: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Positive</w:t>
            </w: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e</w:t>
            </w:r>
          </w:p>
        </w:tc>
        <w:tc>
          <w:tcPr>
            <w:tcW w:w="2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Business Conduct -</w:t>
            </w:r>
          </w:p>
        </w:tc>
        <w:tc>
          <w:tcPr>
            <w:tcW w:w="1100" w:type="dxa"/>
            <w:vAlign w:val="bottom"/>
          </w:tcPr>
          <w:p>
            <w:pPr>
              <w:ind w:left="40"/>
              <w:spacing w:after="0" w:line="95" w:lineRule="exact"/>
              <w:rPr>
                <w:sz w:val="20"/>
                <w:szCs w:val="20"/>
                <w:color w:val="auto"/>
              </w:rPr>
            </w:pPr>
            <w:r>
              <w:rPr>
                <w:rFonts w:ascii="Arial" w:cs="Arial" w:eastAsia="Arial" w:hAnsi="Arial"/>
                <w:sz w:val="10"/>
                <w:szCs w:val="10"/>
                <w:color w:val="auto"/>
              </w:rPr>
              <w:t>aligned with core</w:t>
            </w: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Impact</w:t>
            </w: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ways of working. This is demonstrated by all employees’ attestation to our ethical standards and Code of Conduct.</w:t>
            </w:r>
          </w:p>
        </w:tc>
        <w:tc>
          <w:tcPr>
            <w:tcW w:w="2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Corruption and</w:t>
            </w:r>
          </w:p>
        </w:tc>
        <w:tc>
          <w:tcPr>
            <w:tcW w:w="1100" w:type="dxa"/>
            <w:vAlign w:val="bottom"/>
          </w:tcPr>
          <w:p>
            <w:pPr>
              <w:ind w:left="40"/>
              <w:spacing w:after="0" w:line="95" w:lineRule="exact"/>
              <w:rPr>
                <w:sz w:val="20"/>
                <w:szCs w:val="20"/>
                <w:color w:val="auto"/>
              </w:rPr>
            </w:pPr>
            <w:r>
              <w:rPr>
                <w:rFonts w:ascii="Arial" w:cs="Arial" w:eastAsia="Arial" w:hAnsi="Arial"/>
                <w:sz w:val="10"/>
                <w:szCs w:val="10"/>
                <w:color w:val="auto"/>
              </w:rPr>
              <w:t>values and purpose</w:t>
            </w:r>
          </w:p>
        </w:tc>
        <w:tc>
          <w:tcPr>
            <w:tcW w:w="58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
              <w:spacing w:after="0"/>
              <w:rPr>
                <w:sz w:val="20"/>
                <w:szCs w:val="20"/>
                <w:color w:val="auto"/>
              </w:rPr>
            </w:pPr>
            <w:r>
              <w:rPr>
                <w:rFonts w:ascii="Arial" w:cs="Arial" w:eastAsia="Arial" w:hAnsi="Arial"/>
                <w:sz w:val="10"/>
                <w:szCs w:val="10"/>
                <w:color w:val="auto"/>
              </w:rPr>
              <w:t>bribery</w:t>
            </w:r>
          </w:p>
        </w:tc>
        <w:tc>
          <w:tcPr>
            <w:tcW w:w="1100" w:type="dxa"/>
            <w:vAlign w:val="bottom"/>
            <w:vMerge w:val="restart"/>
          </w:tcPr>
          <w:p>
            <w:pPr>
              <w:ind w:left="40"/>
              <w:spacing w:after="0"/>
              <w:rPr>
                <w:sz w:val="20"/>
                <w:szCs w:val="20"/>
                <w:color w:val="auto"/>
              </w:rPr>
            </w:pPr>
            <w:r>
              <w:rPr>
                <w:rFonts w:ascii="Arial" w:cs="Arial" w:eastAsia="Arial" w:hAnsi="Arial"/>
                <w:sz w:val="10"/>
                <w:szCs w:val="10"/>
                <w:color w:val="auto"/>
              </w:rPr>
              <w:t>Organizational health</w:t>
            </w:r>
          </w:p>
        </w:tc>
        <w:tc>
          <w:tcPr>
            <w:tcW w:w="580" w:type="dxa"/>
            <w:vAlign w:val="bottom"/>
            <w:vMerge w:val="restart"/>
          </w:tcPr>
          <w:p>
            <w:pPr>
              <w:ind w:left="60"/>
              <w:spacing w:after="0"/>
              <w:rPr>
                <w:sz w:val="20"/>
                <w:szCs w:val="20"/>
                <w:color w:val="auto"/>
              </w:rPr>
            </w:pPr>
            <w:r>
              <w:rPr>
                <w:rFonts w:ascii="Arial" w:cs="Arial" w:eastAsia="Arial" w:hAnsi="Arial"/>
                <w:sz w:val="10"/>
                <w:szCs w:val="10"/>
                <w:color w:val="auto"/>
              </w:rPr>
              <w:t>Risk</w:t>
            </w:r>
          </w:p>
        </w:tc>
        <w:tc>
          <w:tcPr>
            <w:tcW w:w="5780" w:type="dxa"/>
            <w:vAlign w:val="bottom"/>
          </w:tcPr>
          <w:p>
            <w:pPr>
              <w:ind w:left="120"/>
              <w:spacing w:after="0"/>
              <w:rPr>
                <w:sz w:val="20"/>
                <w:szCs w:val="20"/>
                <w:color w:val="auto"/>
              </w:rPr>
            </w:pPr>
            <w:r>
              <w:rPr>
                <w:rFonts w:ascii="Arial" w:cs="Arial" w:eastAsia="Arial" w:hAnsi="Arial"/>
                <w:sz w:val="10"/>
                <w:szCs w:val="10"/>
                <w:color w:val="auto"/>
              </w:rPr>
              <w:t>loss</w:t>
            </w:r>
          </w:p>
        </w:tc>
        <w:tc>
          <w:tcPr>
            <w:tcW w:w="200" w:type="dxa"/>
            <w:vAlign w:val="bottom"/>
          </w:tcPr>
          <w:p>
            <w:pPr>
              <w:spacing w:after="0"/>
              <w:rPr>
                <w:sz w:val="9"/>
                <w:szCs w:val="9"/>
                <w:color w:val="auto"/>
              </w:rPr>
            </w:pPr>
          </w:p>
        </w:tc>
        <w:tc>
          <w:tcPr>
            <w:tcW w:w="380" w:type="dxa"/>
            <w:vAlign w:val="bottom"/>
          </w:tcPr>
          <w:p>
            <w:pPr>
              <w:ind w:left="60"/>
              <w:spacing w:after="0" w:line="115" w:lineRule="exact"/>
              <w:rPr>
                <w:sz w:val="20"/>
                <w:szCs w:val="20"/>
                <w:color w:val="auto"/>
              </w:rPr>
            </w:pPr>
            <w:r>
              <w:rPr>
                <w:rFonts w:ascii="Arial" w:cs="Arial" w:eastAsia="Arial" w:hAnsi="Arial"/>
                <w:sz w:val="13"/>
                <w:szCs w:val="13"/>
                <w:color w:val="0057CF"/>
              </w:rPr>
              <w:t>•</w:t>
            </w:r>
          </w:p>
        </w:tc>
        <w:tc>
          <w:tcPr>
            <w:tcW w:w="920" w:type="dxa"/>
            <w:vAlign w:val="bottom"/>
          </w:tcPr>
          <w:p>
            <w:pPr>
              <w:jc w:val="right"/>
              <w:spacing w:after="0" w:line="115" w:lineRule="exact"/>
              <w:rPr>
                <w:sz w:val="20"/>
                <w:szCs w:val="20"/>
                <w:color w:val="auto"/>
              </w:rPr>
            </w:pPr>
            <w:r>
              <w:rPr>
                <w:rFonts w:ascii="Arial" w:cs="Arial" w:eastAsia="Arial" w:hAnsi="Arial"/>
                <w:sz w:val="13"/>
                <w:szCs w:val="13"/>
                <w:color w:val="0057CF"/>
              </w:rPr>
              <w:t>• • •</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98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Misaligned or toxic culture, or failure to prevent corruption and bribery in operations and the supply chain, can result in finan</w:t>
            </w: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00" w:type="dxa"/>
            <w:vAlign w:val="bottom"/>
          </w:tcPr>
          <w:p>
            <w:pPr>
              <w:ind w:left="40"/>
              <w:spacing w:after="0" w:line="95" w:lineRule="exact"/>
              <w:rPr>
                <w:sz w:val="20"/>
                <w:szCs w:val="20"/>
                <w:color w:val="auto"/>
              </w:rPr>
            </w:pPr>
            <w:r>
              <w:rPr>
                <w:rFonts w:ascii="Arial" w:cs="Arial" w:eastAsia="Arial" w:hAnsi="Arial"/>
                <w:sz w:val="10"/>
                <w:szCs w:val="10"/>
                <w:color w:val="auto"/>
              </w:rPr>
              <w:t>risk</w:t>
            </w:r>
          </w:p>
        </w:tc>
        <w:tc>
          <w:tcPr>
            <w:tcW w:w="580" w:type="dxa"/>
            <w:vAlign w:val="bottom"/>
          </w:tcPr>
          <w:p>
            <w:pPr>
              <w:spacing w:after="0"/>
              <w:rPr>
                <w:sz w:val="8"/>
                <w:szCs w:val="8"/>
                <w:color w:val="auto"/>
              </w:rPr>
            </w:pP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cial,</w:t>
            </w: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980" w:type="dxa"/>
            <w:vAlign w:val="bottom"/>
            <w:gridSpan w:val="2"/>
          </w:tcPr>
          <w:p>
            <w:pPr>
              <w:ind w:left="100"/>
              <w:spacing w:after="0"/>
              <w:rPr>
                <w:sz w:val="20"/>
                <w:szCs w:val="20"/>
                <w:color w:val="auto"/>
              </w:rPr>
            </w:pPr>
            <w:r>
              <w:rPr>
                <w:rFonts w:ascii="Arial" w:cs="Arial" w:eastAsia="Arial" w:hAnsi="Arial"/>
                <w:sz w:val="10"/>
                <w:szCs w:val="10"/>
                <w:color w:val="auto"/>
              </w:rPr>
              <w:t>operational, legal, and reputational risks, including high employee turnover, reduced productivity, compliance breaches, and</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780" w:type="dxa"/>
            <w:vAlign w:val="bottom"/>
          </w:tcPr>
          <w:p>
            <w:pPr>
              <w:ind w:left="100"/>
              <w:spacing w:after="0"/>
              <w:rPr>
                <w:sz w:val="20"/>
                <w:szCs w:val="20"/>
                <w:color w:val="auto"/>
              </w:rPr>
            </w:pPr>
            <w:r>
              <w:rPr>
                <w:rFonts w:ascii="Arial" w:cs="Arial" w:eastAsia="Arial" w:hAnsi="Arial"/>
                <w:sz w:val="10"/>
                <w:szCs w:val="10"/>
                <w:color w:val="auto"/>
              </w:rPr>
              <w:t>of trust with stakeholders and patients.</w:t>
            </w:r>
          </w:p>
        </w:tc>
        <w:tc>
          <w:tcPr>
            <w:tcW w:w="1500" w:type="dxa"/>
            <w:vAlign w:val="bottom"/>
            <w:gridSpan w:val="3"/>
            <w:vMerge w:val="restart"/>
          </w:tcPr>
          <w:p>
            <w:pPr>
              <w:jc w:val="right"/>
              <w:spacing w:after="0" w:line="262" w:lineRule="exact"/>
              <w:rPr>
                <w:sz w:val="20"/>
                <w:szCs w:val="20"/>
                <w:color w:val="auto"/>
              </w:rPr>
            </w:pPr>
            <w:r>
              <w:rPr>
                <w:rFonts w:ascii="Arial" w:cs="Arial" w:eastAsia="Arial" w:hAnsi="Arial"/>
                <w:sz w:val="30"/>
                <w:szCs w:val="30"/>
                <w:color w:val="0057CF"/>
              </w:rPr>
              <w:t>• • • • • •</w:t>
            </w:r>
          </w:p>
        </w:tc>
        <w:tc>
          <w:tcPr>
            <w:tcW w:w="0" w:type="dxa"/>
            <w:vAlign w:val="bottom"/>
          </w:tcPr>
          <w:p>
            <w:pPr>
              <w:spacing w:after="0"/>
              <w:rPr>
                <w:sz w:val="1"/>
                <w:szCs w:val="1"/>
                <w:color w:val="auto"/>
              </w:rPr>
            </w:pPr>
          </w:p>
        </w:tc>
      </w:tr>
      <w:tr>
        <w:trPr>
          <w:trHeight w:val="105"/>
        </w:trPr>
        <w:tc>
          <w:tcPr>
            <w:tcW w:w="980" w:type="dxa"/>
            <w:vAlign w:val="bottom"/>
          </w:tcPr>
          <w:p>
            <w:pPr>
              <w:ind w:left="20"/>
              <w:spacing w:after="0" w:line="105" w:lineRule="exact"/>
              <w:rPr>
                <w:sz w:val="20"/>
                <w:szCs w:val="20"/>
                <w:color w:val="auto"/>
              </w:rPr>
            </w:pPr>
            <w:r>
              <w:rPr>
                <w:rFonts w:ascii="Arial" w:cs="Arial" w:eastAsia="Arial" w:hAnsi="Arial"/>
                <w:sz w:val="10"/>
                <w:szCs w:val="10"/>
                <w:color w:val="auto"/>
              </w:rPr>
              <w:t>Business Conduct -</w:t>
            </w:r>
          </w:p>
        </w:tc>
        <w:tc>
          <w:tcPr>
            <w:tcW w:w="1100" w:type="dxa"/>
            <w:vAlign w:val="bottom"/>
          </w:tcPr>
          <w:p>
            <w:pPr>
              <w:ind w:left="40"/>
              <w:spacing w:after="0" w:line="105" w:lineRule="exact"/>
              <w:rPr>
                <w:sz w:val="20"/>
                <w:szCs w:val="20"/>
                <w:color w:val="auto"/>
              </w:rPr>
            </w:pPr>
            <w:r>
              <w:rPr>
                <w:rFonts w:ascii="Arial" w:cs="Arial" w:eastAsia="Arial" w:hAnsi="Arial"/>
                <w:sz w:val="10"/>
                <w:szCs w:val="10"/>
                <w:color w:val="auto"/>
              </w:rPr>
              <w:t>Global data privacy</w:t>
            </w:r>
          </w:p>
        </w:tc>
        <w:tc>
          <w:tcPr>
            <w:tcW w:w="580" w:type="dxa"/>
            <w:vAlign w:val="bottom"/>
          </w:tcPr>
          <w:p>
            <w:pPr>
              <w:ind w:left="60"/>
              <w:spacing w:after="0" w:line="105" w:lineRule="exact"/>
              <w:rPr>
                <w:sz w:val="20"/>
                <w:szCs w:val="20"/>
                <w:color w:val="auto"/>
              </w:rPr>
            </w:pPr>
            <w:r>
              <w:rPr>
                <w:rFonts w:ascii="Arial" w:cs="Arial" w:eastAsia="Arial" w:hAnsi="Arial"/>
                <w:sz w:val="10"/>
                <w:szCs w:val="10"/>
                <w:color w:val="auto"/>
              </w:rPr>
              <w:t>Potential</w:t>
            </w:r>
          </w:p>
        </w:tc>
        <w:tc>
          <w:tcPr>
            <w:tcW w:w="5780" w:type="dxa"/>
            <w:vAlign w:val="bottom"/>
          </w:tcPr>
          <w:p>
            <w:pPr>
              <w:ind w:left="100"/>
              <w:spacing w:after="0" w:line="105" w:lineRule="exact"/>
              <w:rPr>
                <w:sz w:val="20"/>
                <w:szCs w:val="20"/>
                <w:color w:val="auto"/>
              </w:rPr>
            </w:pPr>
            <w:r>
              <w:rPr>
                <w:rFonts w:ascii="Arial" w:cs="Arial" w:eastAsia="Arial" w:hAnsi="Arial"/>
                <w:sz w:val="10"/>
                <w:szCs w:val="10"/>
                <w:color w:val="auto"/>
              </w:rPr>
              <w:t>Genmab handles the data of patients, employees, business partners, healthcare professionals and other stakeholders.</w:t>
            </w:r>
          </w:p>
        </w:tc>
        <w:tc>
          <w:tcPr>
            <w:tcW w:w="15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Privacy</w:t>
            </w:r>
          </w:p>
        </w:tc>
        <w:tc>
          <w:tcPr>
            <w:tcW w:w="1100" w:type="dxa"/>
            <w:vAlign w:val="bottom"/>
          </w:tcPr>
          <w:p>
            <w:pPr>
              <w:spacing w:after="0"/>
              <w:rPr>
                <w:sz w:val="8"/>
                <w:szCs w:val="8"/>
                <w:color w:val="auto"/>
              </w:rPr>
            </w:pP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Negative</w:t>
            </w: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Despite prioritizing the privacy and protection of personal data, there is an inherent potential negative impact.</w:t>
            </w: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0"/>
                <w:szCs w:val="10"/>
                <w:color w:val="auto"/>
              </w:rPr>
              <w:t>Impact</w:t>
            </w:r>
          </w:p>
        </w:tc>
        <w:tc>
          <w:tcPr>
            <w:tcW w:w="5780" w:type="dxa"/>
            <w:vAlign w:val="bottom"/>
          </w:tcPr>
          <w:p>
            <w:pPr>
              <w:spacing w:after="0"/>
              <w:rPr>
                <w:sz w:val="11"/>
                <w:szCs w:val="11"/>
                <w:color w:val="auto"/>
              </w:rPr>
            </w:pPr>
          </w:p>
        </w:tc>
        <w:tc>
          <w:tcPr>
            <w:tcW w:w="1500" w:type="dxa"/>
            <w:vAlign w:val="bottom"/>
            <w:gridSpan w:val="3"/>
            <w:vMerge w:val="restart"/>
          </w:tcPr>
          <w:p>
            <w:pPr>
              <w:jc w:val="right"/>
              <w:spacing w:after="0" w:line="200" w:lineRule="exact"/>
              <w:rPr>
                <w:sz w:val="20"/>
                <w:szCs w:val="20"/>
                <w:color w:val="auto"/>
              </w:rPr>
            </w:pPr>
            <w:r>
              <w:rPr>
                <w:rFonts w:ascii="Arial" w:cs="Arial" w:eastAsia="Arial" w:hAnsi="Arial"/>
                <w:sz w:val="23"/>
                <w:szCs w:val="23"/>
                <w:color w:val="0057CF"/>
              </w:rPr>
              <w:t>• • • • • •</w:t>
            </w:r>
          </w:p>
        </w:tc>
        <w:tc>
          <w:tcPr>
            <w:tcW w:w="0" w:type="dxa"/>
            <w:vAlign w:val="bottom"/>
          </w:tcPr>
          <w:p>
            <w:pPr>
              <w:spacing w:after="0"/>
              <w:rPr>
                <w:sz w:val="1"/>
                <w:szCs w:val="1"/>
                <w:color w:val="auto"/>
              </w:rPr>
            </w:pPr>
          </w:p>
        </w:tc>
      </w:tr>
      <w:tr>
        <w:trPr>
          <w:trHeight w:val="64"/>
        </w:trPr>
        <w:tc>
          <w:tcPr>
            <w:tcW w:w="980" w:type="dxa"/>
            <w:vAlign w:val="bottom"/>
            <w:vMerge w:val="restart"/>
          </w:tcPr>
          <w:p>
            <w:pPr>
              <w:ind w:left="20"/>
              <w:spacing w:after="0"/>
              <w:rPr>
                <w:sz w:val="20"/>
                <w:szCs w:val="20"/>
                <w:color w:val="auto"/>
              </w:rPr>
            </w:pPr>
            <w:r>
              <w:rPr>
                <w:rFonts w:ascii="Arial" w:cs="Arial" w:eastAsia="Arial" w:hAnsi="Arial"/>
                <w:sz w:val="10"/>
                <w:szCs w:val="10"/>
                <w:color w:val="auto"/>
              </w:rPr>
              <w:t>Business Conduct -</w:t>
            </w:r>
          </w:p>
        </w:tc>
        <w:tc>
          <w:tcPr>
            <w:tcW w:w="1100" w:type="dxa"/>
            <w:vAlign w:val="bottom"/>
            <w:vMerge w:val="restart"/>
          </w:tcPr>
          <w:p>
            <w:pPr>
              <w:ind w:left="40"/>
              <w:spacing w:after="0"/>
              <w:rPr>
                <w:sz w:val="20"/>
                <w:szCs w:val="20"/>
                <w:color w:val="auto"/>
              </w:rPr>
            </w:pPr>
            <w:r>
              <w:rPr>
                <w:rFonts w:ascii="Arial" w:cs="Arial" w:eastAsia="Arial" w:hAnsi="Arial"/>
                <w:sz w:val="10"/>
                <w:szCs w:val="10"/>
                <w:color w:val="auto"/>
              </w:rPr>
              <w:t>Protection of</w:t>
            </w:r>
          </w:p>
        </w:tc>
        <w:tc>
          <w:tcPr>
            <w:tcW w:w="580" w:type="dxa"/>
            <w:vAlign w:val="bottom"/>
            <w:vMerge w:val="restart"/>
          </w:tcPr>
          <w:p>
            <w:pPr>
              <w:ind w:left="60"/>
              <w:spacing w:after="0"/>
              <w:rPr>
                <w:sz w:val="20"/>
                <w:szCs w:val="20"/>
                <w:color w:val="auto"/>
              </w:rPr>
            </w:pPr>
            <w:r>
              <w:rPr>
                <w:rFonts w:ascii="Arial" w:cs="Arial" w:eastAsia="Arial" w:hAnsi="Arial"/>
                <w:sz w:val="10"/>
                <w:szCs w:val="10"/>
                <w:color w:val="auto"/>
              </w:rPr>
              <w:t>Potential</w:t>
            </w:r>
          </w:p>
        </w:tc>
        <w:tc>
          <w:tcPr>
            <w:tcW w:w="578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9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98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Failing to protect whistleblowers could discourage the reporting of incidents or unethical and unlawful behavior, potentially le</w:t>
            </w: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80" w:type="dxa"/>
            <w:vAlign w:val="bottom"/>
            <w:gridSpan w:val="2"/>
          </w:tcPr>
          <w:p>
            <w:pPr>
              <w:ind w:left="20"/>
              <w:spacing w:after="0" w:line="95" w:lineRule="exact"/>
              <w:rPr>
                <w:sz w:val="20"/>
                <w:szCs w:val="20"/>
                <w:color w:val="auto"/>
              </w:rPr>
            </w:pPr>
            <w:r>
              <w:rPr>
                <w:rFonts w:ascii="Arial" w:cs="Arial" w:eastAsia="Arial" w:hAnsi="Arial"/>
                <w:sz w:val="10"/>
                <w:szCs w:val="10"/>
                <w:color w:val="auto"/>
              </w:rPr>
              <w:t>Protection of whistle- whistleblowers</w:t>
            </w: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Negative</w:t>
            </w: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ading</w:t>
            </w: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80" w:type="dxa"/>
            <w:vAlign w:val="bottom"/>
          </w:tcPr>
          <w:p>
            <w:pPr>
              <w:ind w:left="20"/>
              <w:spacing w:after="0"/>
              <w:rPr>
                <w:sz w:val="20"/>
                <w:szCs w:val="20"/>
                <w:color w:val="auto"/>
              </w:rPr>
            </w:pPr>
            <w:r>
              <w:rPr>
                <w:rFonts w:ascii="Arial" w:cs="Arial" w:eastAsia="Arial" w:hAnsi="Arial"/>
                <w:sz w:val="10"/>
                <w:szCs w:val="10"/>
                <w:color w:val="auto"/>
              </w:rPr>
              <w:t>blower</w:t>
            </w:r>
          </w:p>
        </w:tc>
        <w:tc>
          <w:tcPr>
            <w:tcW w:w="110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0"/>
                <w:szCs w:val="10"/>
                <w:color w:val="auto"/>
              </w:rPr>
              <w:t>Impact</w:t>
            </w:r>
          </w:p>
        </w:tc>
        <w:tc>
          <w:tcPr>
            <w:tcW w:w="5780" w:type="dxa"/>
            <w:vAlign w:val="bottom"/>
          </w:tcPr>
          <w:p>
            <w:pPr>
              <w:ind w:left="100"/>
              <w:spacing w:after="0"/>
              <w:rPr>
                <w:sz w:val="20"/>
                <w:szCs w:val="20"/>
                <w:color w:val="auto"/>
              </w:rPr>
            </w:pPr>
            <w:r>
              <w:rPr>
                <w:rFonts w:ascii="Arial" w:cs="Arial" w:eastAsia="Arial" w:hAnsi="Arial"/>
                <w:sz w:val="10"/>
                <w:szCs w:val="10"/>
                <w:color w:val="auto"/>
              </w:rPr>
              <w:t>to negative impacts on patients and undermining trust in Genmab’s operations.</w:t>
            </w:r>
          </w:p>
        </w:tc>
        <w:tc>
          <w:tcPr>
            <w:tcW w:w="200" w:type="dxa"/>
            <w:vAlign w:val="bottom"/>
          </w:tcPr>
          <w:p>
            <w:pPr>
              <w:spacing w:after="0"/>
              <w:rPr>
                <w:sz w:val="11"/>
                <w:szCs w:val="11"/>
                <w:color w:val="auto"/>
              </w:rPr>
            </w:pPr>
          </w:p>
        </w:tc>
        <w:tc>
          <w:tcPr>
            <w:tcW w:w="380" w:type="dxa"/>
            <w:vAlign w:val="bottom"/>
            <w:vMerge w:val="restart"/>
          </w:tcPr>
          <w:p>
            <w:pPr>
              <w:ind w:left="60"/>
              <w:spacing w:after="0" w:line="295" w:lineRule="exact"/>
              <w:rPr>
                <w:sz w:val="20"/>
                <w:szCs w:val="20"/>
                <w:color w:val="auto"/>
              </w:rPr>
            </w:pPr>
            <w:r>
              <w:rPr>
                <w:rFonts w:ascii="Arial" w:cs="Arial" w:eastAsia="Arial" w:hAnsi="Arial"/>
                <w:sz w:val="34"/>
                <w:szCs w:val="34"/>
                <w:color w:val="0057CF"/>
              </w:rPr>
              <w:t>•</w:t>
            </w:r>
          </w:p>
        </w:tc>
        <w:tc>
          <w:tcPr>
            <w:tcW w:w="920" w:type="dxa"/>
            <w:vAlign w:val="bottom"/>
            <w:vMerge w:val="restart"/>
          </w:tcPr>
          <w:p>
            <w:pPr>
              <w:jc w:val="right"/>
              <w:spacing w:after="0" w:line="295" w:lineRule="exact"/>
              <w:rPr>
                <w:sz w:val="20"/>
                <w:szCs w:val="20"/>
                <w:color w:val="auto"/>
              </w:rPr>
            </w:pPr>
            <w:r>
              <w:rPr>
                <w:rFonts w:ascii="Arial" w:cs="Arial" w:eastAsia="Arial" w:hAnsi="Arial"/>
                <w:sz w:val="34"/>
                <w:szCs w:val="34"/>
                <w:color w:val="0057CF"/>
              </w:rPr>
              <w:t>• • •</w:t>
            </w:r>
          </w:p>
        </w:tc>
        <w:tc>
          <w:tcPr>
            <w:tcW w:w="0" w:type="dxa"/>
            <w:vAlign w:val="bottom"/>
          </w:tcPr>
          <w:p>
            <w:pPr>
              <w:spacing w:after="0"/>
              <w:rPr>
                <w:sz w:val="1"/>
                <w:szCs w:val="1"/>
                <w:color w:val="auto"/>
              </w:rPr>
            </w:pPr>
          </w:p>
        </w:tc>
      </w:tr>
      <w:tr>
        <w:trPr>
          <w:trHeight w:val="158"/>
        </w:trPr>
        <w:tc>
          <w:tcPr>
            <w:tcW w:w="980" w:type="dxa"/>
            <w:vAlign w:val="bottom"/>
          </w:tcPr>
          <w:p>
            <w:pPr>
              <w:ind w:left="20"/>
              <w:spacing w:after="0"/>
              <w:rPr>
                <w:sz w:val="20"/>
                <w:szCs w:val="20"/>
                <w:color w:val="auto"/>
              </w:rPr>
            </w:pPr>
            <w:r>
              <w:rPr>
                <w:rFonts w:ascii="Arial" w:cs="Arial" w:eastAsia="Arial" w:hAnsi="Arial"/>
                <w:sz w:val="10"/>
                <w:szCs w:val="10"/>
                <w:color w:val="auto"/>
              </w:rPr>
              <w:t>Business Conduct -</w:t>
            </w:r>
          </w:p>
        </w:tc>
        <w:tc>
          <w:tcPr>
            <w:tcW w:w="1100" w:type="dxa"/>
            <w:vAlign w:val="bottom"/>
          </w:tcPr>
          <w:p>
            <w:pPr>
              <w:ind w:left="40"/>
              <w:spacing w:after="0"/>
              <w:rPr>
                <w:sz w:val="20"/>
                <w:szCs w:val="20"/>
                <w:color w:val="auto"/>
              </w:rPr>
            </w:pPr>
            <w:r>
              <w:rPr>
                <w:rFonts w:ascii="Arial" w:cs="Arial" w:eastAsia="Arial" w:hAnsi="Arial"/>
                <w:sz w:val="10"/>
                <w:szCs w:val="10"/>
                <w:color w:val="auto"/>
              </w:rPr>
              <w:t>Animal welfare</w:t>
            </w:r>
          </w:p>
        </w:tc>
        <w:tc>
          <w:tcPr>
            <w:tcW w:w="580" w:type="dxa"/>
            <w:vAlign w:val="bottom"/>
          </w:tcPr>
          <w:p>
            <w:pPr>
              <w:ind w:left="60"/>
              <w:spacing w:after="0"/>
              <w:rPr>
                <w:sz w:val="20"/>
                <w:szCs w:val="20"/>
                <w:color w:val="auto"/>
              </w:rPr>
            </w:pPr>
            <w:r>
              <w:rPr>
                <w:rFonts w:ascii="Arial" w:cs="Arial" w:eastAsia="Arial" w:hAnsi="Arial"/>
                <w:sz w:val="10"/>
                <w:szCs w:val="10"/>
                <w:color w:val="auto"/>
              </w:rPr>
              <w:t>Actual</w:t>
            </w:r>
          </w:p>
        </w:tc>
        <w:tc>
          <w:tcPr>
            <w:tcW w:w="5980" w:type="dxa"/>
            <w:vAlign w:val="bottom"/>
            <w:gridSpan w:val="2"/>
          </w:tcPr>
          <w:p>
            <w:pPr>
              <w:ind w:left="100"/>
              <w:spacing w:after="0"/>
              <w:rPr>
                <w:sz w:val="20"/>
                <w:szCs w:val="20"/>
                <w:color w:val="auto"/>
              </w:rPr>
            </w:pPr>
            <w:r>
              <w:rPr>
                <w:rFonts w:ascii="Arial" w:cs="Arial" w:eastAsia="Arial" w:hAnsi="Arial"/>
                <w:sz w:val="10"/>
                <w:szCs w:val="10"/>
                <w:color w:val="auto"/>
              </w:rPr>
              <w:t>As part of developing new therapies, Genmab conducts preclinical studies involving animals before testing in humans. Failu</w:t>
            </w:r>
          </w:p>
        </w:tc>
        <w:tc>
          <w:tcPr>
            <w:tcW w:w="3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Animal Welfare</w:t>
            </w:r>
          </w:p>
        </w:tc>
        <w:tc>
          <w:tcPr>
            <w:tcW w:w="1100" w:type="dxa"/>
            <w:vAlign w:val="bottom"/>
          </w:tcPr>
          <w:p>
            <w:pPr>
              <w:spacing w:after="0"/>
              <w:rPr>
                <w:sz w:val="8"/>
                <w:szCs w:val="8"/>
                <w:color w:val="auto"/>
              </w:rPr>
            </w:pP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Negative</w:t>
            </w: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re to</w:t>
            </w: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0"/>
                <w:szCs w:val="10"/>
                <w:color w:val="auto"/>
              </w:rPr>
              <w:t>Impact</w:t>
            </w:r>
          </w:p>
        </w:tc>
        <w:tc>
          <w:tcPr>
            <w:tcW w:w="5780" w:type="dxa"/>
            <w:vAlign w:val="bottom"/>
          </w:tcPr>
          <w:p>
            <w:pPr>
              <w:ind w:left="100"/>
              <w:spacing w:after="0"/>
              <w:rPr>
                <w:sz w:val="20"/>
                <w:szCs w:val="20"/>
                <w:color w:val="auto"/>
              </w:rPr>
            </w:pPr>
            <w:r>
              <w:rPr>
                <w:rFonts w:ascii="Arial" w:cs="Arial" w:eastAsia="Arial" w:hAnsi="Arial"/>
                <w:sz w:val="10"/>
                <w:szCs w:val="10"/>
                <w:color w:val="auto"/>
              </w:rPr>
              <w:t>ensure appropriate care and minimize potential adverse impacts during research could compromise animal welfare.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80" w:type="dxa"/>
            <w:vAlign w:val="bottom"/>
          </w:tcPr>
          <w:p>
            <w:pPr>
              <w:ind w:left="20"/>
              <w:spacing w:after="0"/>
              <w:rPr>
                <w:sz w:val="20"/>
                <w:szCs w:val="20"/>
                <w:color w:val="auto"/>
              </w:rPr>
            </w:pPr>
            <w:r>
              <w:rPr>
                <w:rFonts w:ascii="Arial" w:cs="Arial" w:eastAsia="Arial" w:hAnsi="Arial"/>
                <w:sz w:val="10"/>
                <w:szCs w:val="10"/>
                <w:color w:val="auto"/>
              </w:rPr>
              <w:t>Business Conduct -</w:t>
            </w:r>
          </w:p>
        </w:tc>
        <w:tc>
          <w:tcPr>
            <w:tcW w:w="1100" w:type="dxa"/>
            <w:vAlign w:val="bottom"/>
          </w:tcPr>
          <w:p>
            <w:pPr>
              <w:ind w:left="40"/>
              <w:spacing w:after="0"/>
              <w:rPr>
                <w:sz w:val="20"/>
                <w:szCs w:val="20"/>
                <w:color w:val="auto"/>
              </w:rPr>
            </w:pPr>
            <w:r>
              <w:rPr>
                <w:rFonts w:ascii="Arial" w:cs="Arial" w:eastAsia="Arial" w:hAnsi="Arial"/>
                <w:sz w:val="10"/>
                <w:szCs w:val="10"/>
                <w:color w:val="auto"/>
              </w:rPr>
              <w:t>Management of</w:t>
            </w:r>
          </w:p>
        </w:tc>
        <w:tc>
          <w:tcPr>
            <w:tcW w:w="580" w:type="dxa"/>
            <w:vAlign w:val="bottom"/>
          </w:tcPr>
          <w:p>
            <w:pPr>
              <w:ind w:left="60"/>
              <w:spacing w:after="0"/>
              <w:rPr>
                <w:sz w:val="20"/>
                <w:szCs w:val="20"/>
                <w:color w:val="auto"/>
              </w:rPr>
            </w:pPr>
            <w:r>
              <w:rPr>
                <w:rFonts w:ascii="Arial" w:cs="Arial" w:eastAsia="Arial" w:hAnsi="Arial"/>
                <w:sz w:val="10"/>
                <w:szCs w:val="10"/>
                <w:color w:val="auto"/>
              </w:rPr>
              <w:t>Potential</w:t>
            </w:r>
          </w:p>
        </w:tc>
        <w:tc>
          <w:tcPr>
            <w:tcW w:w="5780" w:type="dxa"/>
            <w:vAlign w:val="bottom"/>
          </w:tcPr>
          <w:p>
            <w:pPr>
              <w:ind w:left="100"/>
              <w:spacing w:after="0"/>
              <w:rPr>
                <w:sz w:val="20"/>
                <w:szCs w:val="20"/>
                <w:color w:val="auto"/>
              </w:rPr>
            </w:pPr>
            <w:r>
              <w:rPr>
                <w:rFonts w:ascii="Arial" w:cs="Arial" w:eastAsia="Arial" w:hAnsi="Arial"/>
                <w:sz w:val="10"/>
                <w:szCs w:val="10"/>
                <w:color w:val="auto"/>
              </w:rPr>
              <w:t>Without strong ethical standards for good supplier payment practices and responsible sourcing, Genmab could be prone to</w:t>
            </w:r>
          </w:p>
        </w:tc>
        <w:tc>
          <w:tcPr>
            <w:tcW w:w="200" w:type="dxa"/>
            <w:vAlign w:val="bottom"/>
            <w:vMerge w:val="restart"/>
          </w:tcPr>
          <w:p>
            <w:pPr>
              <w:ind w:left="20"/>
              <w:spacing w:after="0"/>
              <w:rPr>
                <w:sz w:val="20"/>
                <w:szCs w:val="20"/>
                <w:color w:val="auto"/>
              </w:rPr>
            </w:pPr>
            <w:r>
              <w:rPr>
                <w:rFonts w:ascii="Arial" w:cs="Arial" w:eastAsia="Arial" w:hAnsi="Arial"/>
                <w:sz w:val="35"/>
                <w:szCs w:val="35"/>
                <w:color w:val="0057CF"/>
              </w:rPr>
              <w:t>•</w:t>
            </w:r>
          </w:p>
        </w:tc>
        <w:tc>
          <w:tcPr>
            <w:tcW w:w="3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35"/>
                <w:szCs w:val="35"/>
                <w:color w:val="0057CF"/>
              </w:rPr>
              <w:t>• • •</w:t>
            </w: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Management of</w:t>
            </w:r>
          </w:p>
        </w:tc>
        <w:tc>
          <w:tcPr>
            <w:tcW w:w="1100" w:type="dxa"/>
            <w:vAlign w:val="bottom"/>
          </w:tcPr>
          <w:p>
            <w:pPr>
              <w:ind w:left="40"/>
              <w:spacing w:after="0" w:line="95" w:lineRule="exact"/>
              <w:rPr>
                <w:sz w:val="20"/>
                <w:szCs w:val="20"/>
                <w:color w:val="auto"/>
              </w:rPr>
            </w:pPr>
            <w:r>
              <w:rPr>
                <w:rFonts w:ascii="Arial" w:cs="Arial" w:eastAsia="Arial" w:hAnsi="Arial"/>
                <w:sz w:val="10"/>
                <w:szCs w:val="10"/>
                <w:color w:val="auto"/>
              </w:rPr>
              <w:t>suppliers</w:t>
            </w: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Negative</w:t>
            </w: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supply chain risks compromising Genmab’s ethical standards and patient’s access to treatment. Supplier relationship</w:t>
            </w:r>
          </w:p>
        </w:tc>
        <w:tc>
          <w:tcPr>
            <w:tcW w:w="2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Arial" w:cs="Arial" w:eastAsia="Arial" w:hAnsi="Arial"/>
                <w:sz w:val="10"/>
                <w:szCs w:val="10"/>
                <w:color w:val="auto"/>
              </w:rPr>
              <w:t>relationships with</w:t>
            </w:r>
          </w:p>
        </w:tc>
        <w:tc>
          <w:tcPr>
            <w:tcW w:w="1100" w:type="dxa"/>
            <w:vAlign w:val="bottom"/>
          </w:tcPr>
          <w:p>
            <w:pPr>
              <w:spacing w:after="0"/>
              <w:rPr>
                <w:sz w:val="8"/>
                <w:szCs w:val="8"/>
                <w:color w:val="auto"/>
              </w:rPr>
            </w:pPr>
          </w:p>
        </w:tc>
        <w:tc>
          <w:tcPr>
            <w:tcW w:w="580" w:type="dxa"/>
            <w:vAlign w:val="bottom"/>
          </w:tcPr>
          <w:p>
            <w:pPr>
              <w:ind w:left="60"/>
              <w:spacing w:after="0" w:line="95" w:lineRule="exact"/>
              <w:rPr>
                <w:sz w:val="20"/>
                <w:szCs w:val="20"/>
                <w:color w:val="auto"/>
              </w:rPr>
            </w:pPr>
            <w:r>
              <w:rPr>
                <w:rFonts w:ascii="Arial" w:cs="Arial" w:eastAsia="Arial" w:hAnsi="Arial"/>
                <w:sz w:val="10"/>
                <w:szCs w:val="10"/>
                <w:color w:val="auto"/>
              </w:rPr>
              <w:t>Impact</w:t>
            </w:r>
          </w:p>
        </w:tc>
        <w:tc>
          <w:tcPr>
            <w:tcW w:w="5780" w:type="dxa"/>
            <w:vAlign w:val="bottom"/>
          </w:tcPr>
          <w:p>
            <w:pPr>
              <w:ind w:left="100"/>
              <w:spacing w:after="0" w:line="95" w:lineRule="exact"/>
              <w:rPr>
                <w:sz w:val="20"/>
                <w:szCs w:val="20"/>
                <w:color w:val="auto"/>
              </w:rPr>
            </w:pPr>
            <w:r>
              <w:rPr>
                <w:rFonts w:ascii="Arial" w:cs="Arial" w:eastAsia="Arial" w:hAnsi="Arial"/>
                <w:sz w:val="10"/>
                <w:szCs w:val="10"/>
                <w:color w:val="auto"/>
              </w:rPr>
              <w:t>management is a key focus for Genmab, aimed at building strong, mutually beneficial partnerships.</w:t>
            </w:r>
          </w:p>
        </w:tc>
        <w:tc>
          <w:tcPr>
            <w:tcW w:w="2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980" w:type="dxa"/>
            <w:vAlign w:val="bottom"/>
          </w:tcPr>
          <w:p>
            <w:pPr>
              <w:ind w:left="20"/>
              <w:spacing w:after="0" w:line="96" w:lineRule="exact"/>
              <w:rPr>
                <w:sz w:val="20"/>
                <w:szCs w:val="20"/>
                <w:color w:val="auto"/>
              </w:rPr>
            </w:pPr>
            <w:r>
              <w:rPr>
                <w:rFonts w:ascii="Arial" w:cs="Arial" w:eastAsia="Arial" w:hAnsi="Arial"/>
                <w:sz w:val="10"/>
                <w:szCs w:val="10"/>
                <w:color w:val="auto"/>
              </w:rPr>
              <w:t>suppliers (including</w:t>
            </w: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0"/>
          <w:szCs w:val="10"/>
          <w:color w:val="auto"/>
        </w:rPr>
        <w:t>payment practices</w:t>
      </w:r>
    </w:p>
    <w:p>
      <w:pPr>
        <w:spacing w:after="0" w:line="84"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0"/>
          <w:szCs w:val="10"/>
          <w:color w:val="auto"/>
        </w:rPr>
        <w:t>Genmab has the resources in place to manage the effects of IROs across the Environmental, Social, and Governance areas.</w:t>
      </w:r>
    </w:p>
    <w:p>
      <w:pPr>
        <w:spacing w:after="0"/>
        <w:rPr>
          <w:rFonts w:ascii="Arial" w:cs="Arial" w:eastAsia="Arial" w:hAnsi="Arial"/>
          <w:sz w:val="10"/>
          <w:szCs w:val="10"/>
          <w:color w:val="0057CF"/>
        </w:rPr>
      </w:pPr>
      <w:hyperlink w:anchor="page118">
        <w:r>
          <w:rPr>
            <w:rFonts w:ascii="Arial" w:cs="Arial" w:eastAsia="Arial" w:hAnsi="Arial"/>
            <w:sz w:val="10"/>
            <w:szCs w:val="10"/>
            <w:color w:val="0057CF"/>
          </w:rPr>
          <w:t xml:space="preserve">Refer to the </w:t>
        </w:r>
        <w:r>
          <w:rPr>
            <w:rFonts w:ascii="Arial" w:cs="Arial" w:eastAsia="Arial" w:hAnsi="Arial"/>
            <w:sz w:val="10"/>
            <w:szCs w:val="10"/>
            <w:b w:val="1"/>
            <w:bCs w:val="1"/>
            <w:color w:val="0057CF"/>
          </w:rPr>
          <w:t>Environmental section</w:t>
        </w:r>
        <w:r>
          <w:rPr>
            <w:rFonts w:ascii="Arial" w:cs="Arial" w:eastAsia="Arial" w:hAnsi="Arial"/>
            <w:sz w:val="10"/>
            <w:szCs w:val="10"/>
            <w:color w:val="0057CF"/>
          </w:rPr>
          <w:t xml:space="preserve"> of the sustainability statements for information on Genmab’s resilience analysis.</w:t>
        </w:r>
      </w:hyperlink>
    </w:p>
    <w:p>
      <w:pPr>
        <w:sectPr>
          <w:pgSz w:w="11900" w:h="16840" w:orient="portrait"/>
          <w:cols w:equalWidth="0" w:num="1">
            <w:col w:w="9940"/>
          </w:cols>
          <w:pgMar w:left="640" w:top="571" w:right="1320" w:bottom="144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0057CF"/>
        </w:rPr>
        <w:t>Sustainability Statements</w:t>
      </w:r>
    </w:p>
    <w:p>
      <w:pPr>
        <w:ind w:right="360"/>
        <w:spacing w:after="0" w:line="197" w:lineRule="auto"/>
        <w:rPr>
          <w:sz w:val="20"/>
          <w:szCs w:val="20"/>
          <w:color w:val="auto"/>
        </w:rPr>
      </w:pPr>
      <w:r>
        <w:rPr>
          <w:rFonts w:ascii="Arial" w:cs="Arial" w:eastAsia="Arial" w:hAnsi="Arial"/>
          <w:sz w:val="12"/>
          <w:szCs w:val="12"/>
          <w:b w:val="1"/>
          <w:bCs w:val="1"/>
          <w:color w:val="auto"/>
        </w:rPr>
        <w:t>Value Chain Analysis and Stakeholder Selection</w:t>
      </w:r>
    </w:p>
    <w:p>
      <w:pPr>
        <w:ind w:right="240"/>
        <w:spacing w:after="0" w:line="198" w:lineRule="auto"/>
        <w:rPr>
          <w:sz w:val="20"/>
          <w:szCs w:val="20"/>
          <w:color w:val="auto"/>
        </w:rPr>
      </w:pPr>
      <w:r>
        <w:rPr>
          <w:rFonts w:ascii="Arial" w:cs="Arial" w:eastAsia="Arial" w:hAnsi="Arial"/>
          <w:sz w:val="10"/>
          <w:szCs w:val="10"/>
          <w:color w:val="auto"/>
        </w:rPr>
        <w:t>Genmab began the DMA by mapping its value chain and identifying key stakeholders across operations and the broader value chain. Desk research, including peer reviews and industry relevance analysis, informed the initial long list of topics. Internal stakeholders from all major functions and global locations were engaged to ensure full ESRS topic coverage. External stakeholders were selected from key groups, including patient associations, investors, partners, life science industry organizations, and civil society. Their input, combined with internal perspectives, provided critical insights to inform the DMA.</w:t>
      </w:r>
    </w:p>
    <w:p>
      <w:pPr>
        <w:spacing w:after="0" w:line="205" w:lineRule="auto"/>
        <w:rPr>
          <w:sz w:val="20"/>
          <w:szCs w:val="20"/>
          <w:color w:val="auto"/>
        </w:rPr>
      </w:pPr>
      <w:r>
        <w:rPr>
          <w:rFonts w:ascii="Arial" w:cs="Arial" w:eastAsia="Arial" w:hAnsi="Arial"/>
          <w:sz w:val="12"/>
          <w:szCs w:val="12"/>
          <w:b w:val="1"/>
          <w:bCs w:val="1"/>
          <w:color w:val="auto"/>
        </w:rPr>
        <w:t>Long List and Validation</w:t>
      </w:r>
    </w:p>
    <w:p>
      <w:pPr>
        <w:ind w:right="220"/>
        <w:spacing w:after="0" w:line="214" w:lineRule="auto"/>
        <w:rPr>
          <w:sz w:val="20"/>
          <w:szCs w:val="20"/>
          <w:color w:val="auto"/>
        </w:rPr>
      </w:pPr>
      <w:r>
        <w:rPr>
          <w:rFonts w:ascii="Arial" w:cs="Arial" w:eastAsia="Arial" w:hAnsi="Arial"/>
          <w:sz w:val="10"/>
          <w:szCs w:val="10"/>
          <w:color w:val="auto"/>
        </w:rPr>
        <w:t>A long list of potential material topics was developed based on ESRS 1 (Application Requirement 16), supplemented by insights from the value chain and stakeholder analyses, relevant regulatory frameworks, and peer benchmarking. Both impact and financial materiality were assessed using surveys, interviews, and workshops. This multi -method approach ensured broad stakeholder coverage and allowed for refinement of results. Surveys generated initial scoring from a wide audience. Internal and external interviews—conducted before and after the workshops—provided expert input to validate and contextualize findings.</w:t>
      </w:r>
    </w:p>
    <w:p>
      <w:pPr>
        <w:spacing w:after="0" w:line="197" w:lineRule="auto"/>
        <w:rPr>
          <w:sz w:val="20"/>
          <w:szCs w:val="20"/>
          <w:color w:val="auto"/>
        </w:rPr>
      </w:pPr>
      <w:r>
        <w:rPr>
          <w:rFonts w:ascii="Arial" w:cs="Arial" w:eastAsia="Arial" w:hAnsi="Arial"/>
          <w:sz w:val="12"/>
          <w:szCs w:val="12"/>
          <w:b w:val="1"/>
          <w:bCs w:val="1"/>
          <w:color w:val="auto"/>
        </w:rPr>
        <w:t>Double Materiality Methodology</w:t>
      </w:r>
    </w:p>
    <w:p>
      <w:pPr>
        <w:ind w:right="400"/>
        <w:spacing w:after="0" w:line="199" w:lineRule="auto"/>
        <w:rPr>
          <w:sz w:val="20"/>
          <w:szCs w:val="20"/>
          <w:color w:val="auto"/>
        </w:rPr>
      </w:pPr>
      <w:r>
        <w:rPr>
          <w:rFonts w:ascii="Arial" w:cs="Arial" w:eastAsia="Arial" w:hAnsi="Arial"/>
          <w:sz w:val="10"/>
          <w:szCs w:val="10"/>
          <w:color w:val="auto"/>
        </w:rPr>
        <w:t>The ESRS requires companies to assess topics that are material from both an impact and/or financial perspective.</w:t>
      </w:r>
    </w:p>
    <w:p>
      <w:pPr>
        <w:spacing w:after="0" w:line="215" w:lineRule="auto"/>
        <w:rPr>
          <w:sz w:val="20"/>
          <w:szCs w:val="20"/>
          <w:color w:val="auto"/>
        </w:rPr>
      </w:pPr>
      <w:r>
        <w:rPr>
          <w:rFonts w:ascii="Arial" w:cs="Arial" w:eastAsia="Arial" w:hAnsi="Arial"/>
          <w:sz w:val="11"/>
          <w:szCs w:val="11"/>
          <w:b w:val="1"/>
          <w:bCs w:val="1"/>
          <w:color w:val="0057CF"/>
        </w:rPr>
        <w:t>Impact Materiality</w:t>
      </w:r>
    </w:p>
    <w:p>
      <w:pPr>
        <w:ind w:right="220"/>
        <w:spacing w:after="0" w:line="198" w:lineRule="auto"/>
        <w:rPr>
          <w:sz w:val="20"/>
          <w:szCs w:val="20"/>
          <w:color w:val="auto"/>
        </w:rPr>
      </w:pPr>
      <w:r>
        <w:rPr>
          <w:rFonts w:ascii="Arial" w:cs="Arial" w:eastAsia="Arial" w:hAnsi="Arial"/>
          <w:sz w:val="10"/>
          <w:szCs w:val="10"/>
          <w:color w:val="auto"/>
        </w:rPr>
        <w:t>In line with ESRS 1 and international standards including the United Nations Guiding Principles on Business and Human Rights (UNGP) and the Organization for Economic Co-Operation and Development (OECD) Guidelines, Genmab assessed impacts based on severity—defined by scale, scope, and irremediability. Each factor was rated on a scale of 1 to 5, with an average score calculated. Irremediability was not scored for positive impacts. For potential impacts, likelihood was rated from 0 to 1. For actual impacts, likelihood was set at 1. In the case of potential negative human rights impacts, severity was prioritized over likelihood, as prescribed by ESRS.</w:t>
      </w:r>
    </w:p>
    <w:p>
      <w:pPr>
        <w:spacing w:after="0" w:line="4" w:lineRule="exact"/>
        <w:rPr>
          <w:sz w:val="20"/>
          <w:szCs w:val="20"/>
          <w:color w:val="auto"/>
        </w:rPr>
      </w:pPr>
    </w:p>
    <w:p>
      <w:pPr>
        <w:ind w:right="380"/>
        <w:spacing w:after="0" w:line="231" w:lineRule="auto"/>
        <w:rPr>
          <w:sz w:val="20"/>
          <w:szCs w:val="20"/>
          <w:color w:val="auto"/>
        </w:rPr>
      </w:pPr>
      <w:r>
        <w:rPr>
          <w:rFonts w:ascii="Arial" w:cs="Arial" w:eastAsia="Arial" w:hAnsi="Arial"/>
          <w:sz w:val="10"/>
          <w:szCs w:val="10"/>
          <w:color w:val="auto"/>
        </w:rPr>
        <w:t>Additional ESRS-required indicators included: (i)the topic’s location in the value chain (own operations, upstream, or downstream), (ii)whether the impact is actual or potential, (iii)positive or negative nature of the impact, and (iv)relevant time horizon (short, medium, or long term)</w:t>
      </w:r>
    </w:p>
    <w:p>
      <w:pPr>
        <w:spacing w:after="0" w:line="2" w:lineRule="exact"/>
        <w:rPr>
          <w:sz w:val="20"/>
          <w:szCs w:val="20"/>
          <w:color w:val="auto"/>
        </w:rPr>
      </w:pPr>
    </w:p>
    <w:p>
      <w:pPr>
        <w:ind w:right="240"/>
        <w:spacing w:after="0" w:line="199" w:lineRule="auto"/>
        <w:rPr>
          <w:sz w:val="20"/>
          <w:szCs w:val="20"/>
          <w:color w:val="auto"/>
        </w:rPr>
      </w:pPr>
      <w:r>
        <w:rPr>
          <w:rFonts w:ascii="Arial" w:cs="Arial" w:eastAsia="Arial" w:hAnsi="Arial"/>
          <w:sz w:val="10"/>
          <w:szCs w:val="10"/>
          <w:color w:val="auto"/>
        </w:rPr>
        <w:t>All long listed topics were assessed using these indicators. A topic was considered material from an impact perspective if its average score exceeded a defined threshold—set one full point above the overall average on the five- point scale.</w:t>
      </w:r>
    </w:p>
    <w:p>
      <w:pPr>
        <w:spacing w:after="0" w:line="215" w:lineRule="auto"/>
        <w:rPr>
          <w:sz w:val="20"/>
          <w:szCs w:val="20"/>
          <w:color w:val="auto"/>
        </w:rPr>
      </w:pPr>
      <w:r>
        <w:rPr>
          <w:rFonts w:ascii="Arial" w:cs="Arial" w:eastAsia="Arial" w:hAnsi="Arial"/>
          <w:sz w:val="11"/>
          <w:szCs w:val="11"/>
          <w:b w:val="1"/>
          <w:bCs w:val="1"/>
          <w:color w:val="0057CF"/>
        </w:rPr>
        <w:t>Financial Materiality</w:t>
      </w:r>
    </w:p>
    <w:p>
      <w:pPr>
        <w:ind w:right="420"/>
        <w:spacing w:after="0" w:line="198" w:lineRule="auto"/>
        <w:rPr>
          <w:sz w:val="20"/>
          <w:szCs w:val="20"/>
          <w:color w:val="auto"/>
        </w:rPr>
      </w:pPr>
      <w:r>
        <w:rPr>
          <w:rFonts w:ascii="Arial" w:cs="Arial" w:eastAsia="Arial" w:hAnsi="Arial"/>
          <w:sz w:val="10"/>
          <w:szCs w:val="10"/>
          <w:color w:val="auto"/>
        </w:rPr>
        <w:t>In preparing the long list and during workshops, Genmab evaluated how sustainability- related impacts and dependencies could give rise to risks or opportunities for the business. These discussions informed the financial materiality assessment.</w:t>
      </w:r>
    </w:p>
    <w:p>
      <w:pPr>
        <w:spacing w:after="0" w:line="2" w:lineRule="exact"/>
        <w:rPr>
          <w:sz w:val="20"/>
          <w:szCs w:val="20"/>
          <w:color w:val="auto"/>
        </w:rPr>
      </w:pPr>
    </w:p>
    <w:p>
      <w:pPr>
        <w:ind w:right="320"/>
        <w:spacing w:after="0" w:line="231" w:lineRule="auto"/>
        <w:rPr>
          <w:sz w:val="20"/>
          <w:szCs w:val="20"/>
          <w:color w:val="auto"/>
        </w:rPr>
      </w:pPr>
      <w:r>
        <w:rPr>
          <w:rFonts w:ascii="Arial" w:cs="Arial" w:eastAsia="Arial" w:hAnsi="Arial"/>
          <w:sz w:val="10"/>
          <w:szCs w:val="10"/>
          <w:color w:val="auto"/>
        </w:rPr>
        <w:t>The scoring approach mirrors that of impact materiality but focuses on risks and 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-4911725</wp:posOffset>
            </wp:positionV>
            <wp:extent cx="6781165" cy="4792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72</w:t>
      </w:r>
    </w:p>
    <w:p>
      <w:pPr>
        <w:sectPr>
          <w:pgSz w:w="11900" w:h="16840" w:orient="portrait"/>
          <w:cols w:equalWidth="0" w:num="3">
            <w:col w:w="2620" w:space="520"/>
            <w:col w:w="4260" w:space="720"/>
            <w:col w:w="1700"/>
          </w:cols>
          <w:pgMar w:left="640" w:top="1440" w:right="1440" w:bottom="503"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3" w:lineRule="auto"/>
        <w:rPr>
          <w:sz w:val="20"/>
          <w:szCs w:val="20"/>
          <w:color w:val="auto"/>
        </w:rPr>
      </w:pPr>
      <w:r>
        <w:rPr>
          <w:rFonts w:ascii="Arial" w:cs="Arial" w:eastAsia="Arial" w:hAnsi="Arial"/>
          <w:sz w:val="13"/>
          <w:szCs w:val="13"/>
          <w:b w:val="1"/>
          <w:bCs w:val="1"/>
          <w:color w:val="0057CF"/>
        </w:rPr>
        <w:t>Genmab’s Resilience to</w:t>
      </w:r>
    </w:p>
    <w:p>
      <w:pPr>
        <w:spacing w:after="0" w:line="210" w:lineRule="auto"/>
        <w:rPr>
          <w:sz w:val="20"/>
          <w:szCs w:val="20"/>
          <w:color w:val="auto"/>
        </w:rPr>
      </w:pPr>
      <w:r>
        <w:rPr>
          <w:rFonts w:ascii="Arial" w:cs="Arial" w:eastAsia="Arial" w:hAnsi="Arial"/>
          <w:sz w:val="13"/>
          <w:szCs w:val="13"/>
          <w:b w:val="1"/>
          <w:bCs w:val="1"/>
          <w:color w:val="0057CF"/>
        </w:rPr>
        <w:t>Climate Change</w:t>
      </w:r>
    </w:p>
    <w:p>
      <w:pPr>
        <w:ind w:right="320"/>
        <w:spacing w:after="0" w:line="198" w:lineRule="auto"/>
        <w:rPr>
          <w:sz w:val="20"/>
          <w:szCs w:val="20"/>
          <w:color w:val="auto"/>
        </w:rPr>
      </w:pPr>
      <w:r>
        <w:rPr>
          <w:rFonts w:ascii="Arial" w:cs="Arial" w:eastAsia="Arial" w:hAnsi="Arial"/>
          <w:sz w:val="10"/>
          <w:szCs w:val="10"/>
          <w:color w:val="auto"/>
        </w:rPr>
        <w:t>Genmab's resilience analysis was conducted qualitatively in 2025, incorporating climate scenarios based on key reports from authoritative bodies such as the Intergovernmental Panel</w:t>
      </w:r>
    </w:p>
    <w:p>
      <w:pPr>
        <w:spacing w:after="0" w:line="1" w:lineRule="exact"/>
        <w:rPr>
          <w:sz w:val="20"/>
          <w:szCs w:val="20"/>
          <w:color w:val="auto"/>
        </w:rPr>
      </w:pPr>
    </w:p>
    <w:p>
      <w:pPr>
        <w:ind w:right="220"/>
        <w:spacing w:after="0" w:line="198" w:lineRule="auto"/>
        <w:rPr>
          <w:sz w:val="20"/>
          <w:szCs w:val="20"/>
          <w:color w:val="auto"/>
        </w:rPr>
      </w:pPr>
      <w:r>
        <w:rPr>
          <w:rFonts w:ascii="Arial" w:cs="Arial" w:eastAsia="Arial" w:hAnsi="Arial"/>
          <w:sz w:val="10"/>
          <w:szCs w:val="10"/>
          <w:color w:val="auto"/>
        </w:rPr>
        <w:t>on Climate Change (IPCC) and the International Energy Agency (IEA). The analysis was conducted by assessing climate-related risks and opportunities across Genmab’s entire value chain, including supply chains, operations, energy consumption, and logistics.</w:t>
      </w:r>
    </w:p>
    <w:p>
      <w:pPr>
        <w:spacing w:after="0" w:line="2" w:lineRule="exact"/>
        <w:rPr>
          <w:sz w:val="20"/>
          <w:szCs w:val="20"/>
          <w:color w:val="auto"/>
        </w:rPr>
      </w:pPr>
    </w:p>
    <w:p>
      <w:pPr>
        <w:ind w:right="280"/>
        <w:spacing w:after="0" w:line="198" w:lineRule="auto"/>
        <w:rPr>
          <w:sz w:val="20"/>
          <w:szCs w:val="20"/>
          <w:color w:val="auto"/>
        </w:rPr>
      </w:pPr>
      <w:r>
        <w:rPr>
          <w:rFonts w:ascii="Arial" w:cs="Arial" w:eastAsia="Arial" w:hAnsi="Arial"/>
          <w:sz w:val="10"/>
          <w:szCs w:val="10"/>
          <w:color w:val="auto"/>
        </w:rPr>
        <w:t>This resilience analysis helps inform Genmab’s strategic planning, risk management, and financial planning processes, ensuring that climate -related risks and opportunities are integrated into the Company’s ERM framework.</w:t>
      </w:r>
    </w:p>
    <w:p>
      <w:pPr>
        <w:spacing w:after="0" w:line="2" w:lineRule="exact"/>
        <w:rPr>
          <w:sz w:val="20"/>
          <w:szCs w:val="20"/>
          <w:color w:val="auto"/>
        </w:rPr>
      </w:pPr>
    </w:p>
    <w:p>
      <w:pPr>
        <w:ind w:right="220"/>
        <w:spacing w:after="0" w:line="198" w:lineRule="auto"/>
        <w:rPr>
          <w:sz w:val="20"/>
          <w:szCs w:val="20"/>
          <w:color w:val="auto"/>
        </w:rPr>
      </w:pPr>
      <w:r>
        <w:rPr>
          <w:rFonts w:ascii="Arial" w:cs="Arial" w:eastAsia="Arial" w:hAnsi="Arial"/>
          <w:sz w:val="10"/>
          <w:szCs w:val="10"/>
          <w:color w:val="auto"/>
        </w:rPr>
        <w:t>Genmab utilized three scenarios to explore potential transition and physical risks: a Net-Zero Emission by 2050 scenario at a Paris Agreement aligned 1.5°C, Announced Pledges scenario at 1.7-2°C and Stated Policies, a high emissions scenario at 2.4- 3°C warming levels, considering both short-term (within 1 year), medium-term (2030) and long-term (2050) time horizons in alignment with Genmab’s strategic planning horizons and its GHG emissions reduction targets.</w:t>
      </w:r>
    </w:p>
    <w:p>
      <w:pPr>
        <w:spacing w:after="0" w:line="3" w:lineRule="exact"/>
        <w:rPr>
          <w:sz w:val="20"/>
          <w:szCs w:val="20"/>
          <w:color w:val="auto"/>
        </w:rPr>
      </w:pPr>
    </w:p>
    <w:p>
      <w:pPr>
        <w:ind w:right="320"/>
        <w:spacing w:after="0" w:line="198" w:lineRule="auto"/>
        <w:rPr>
          <w:sz w:val="20"/>
          <w:szCs w:val="20"/>
          <w:color w:val="auto"/>
        </w:rPr>
      </w:pPr>
      <w:r>
        <w:rPr>
          <w:rFonts w:ascii="Arial" w:cs="Arial" w:eastAsia="Arial" w:hAnsi="Arial"/>
          <w:sz w:val="10"/>
          <w:szCs w:val="10"/>
          <w:color w:val="auto"/>
        </w:rPr>
        <w:t>•The Net- Zero Emission by 2050 (1.5°C) scenario assumes a transition to a low-carbon economy in line with global climate targets. This scenario evaluates risks and opportunities arising from regulatory actions such as carbon taxation, low-carbon technology adoption, and evolving consumer preferences toward sustainability. •The Announced Pledges (1.7 -2°C) scenario is marked by uneven decarbonization efforts across regions and markets. This divergence increases transition risks, particularly for global companies operating across jurisdictions with differing climate commitments.</w:t>
      </w:r>
    </w:p>
    <w:p>
      <w:pPr>
        <w:spacing w:after="0" w:line="4" w:lineRule="exact"/>
        <w:rPr>
          <w:sz w:val="20"/>
          <w:szCs w:val="20"/>
          <w:color w:val="auto"/>
        </w:rPr>
      </w:pPr>
    </w:p>
    <w:p>
      <w:pPr>
        <w:ind w:right="520"/>
        <w:spacing w:after="0" w:line="198" w:lineRule="auto"/>
        <w:rPr>
          <w:sz w:val="20"/>
          <w:szCs w:val="20"/>
          <w:color w:val="auto"/>
        </w:rPr>
      </w:pPr>
      <w:r>
        <w:rPr>
          <w:rFonts w:ascii="Arial" w:cs="Arial" w:eastAsia="Arial" w:hAnsi="Arial"/>
          <w:sz w:val="10"/>
          <w:szCs w:val="10"/>
          <w:color w:val="auto"/>
        </w:rPr>
        <w:t>•The Stated Policies (2.4-3°C) scenario represents a business-as-usual pathway with high emissions and limited global mitigation efforts, leading to more severe physical risks such as extreme weather events, flooding, and disruptions to supply chains.</w:t>
      </w:r>
    </w:p>
    <w:p>
      <w:pPr>
        <w:spacing w:after="0" w:line="2" w:lineRule="exact"/>
        <w:rPr>
          <w:sz w:val="20"/>
          <w:szCs w:val="20"/>
          <w:color w:val="auto"/>
        </w:rPr>
      </w:pPr>
    </w:p>
    <w:p>
      <w:pPr>
        <w:ind w:right="240"/>
        <w:spacing w:after="0" w:line="198" w:lineRule="auto"/>
        <w:rPr>
          <w:sz w:val="20"/>
          <w:szCs w:val="20"/>
          <w:color w:val="auto"/>
        </w:rPr>
      </w:pPr>
      <w:r>
        <w:rPr>
          <w:rFonts w:ascii="Arial" w:cs="Arial" w:eastAsia="Arial" w:hAnsi="Arial"/>
          <w:sz w:val="10"/>
          <w:szCs w:val="10"/>
          <w:color w:val="auto"/>
        </w:rPr>
        <w:t>The key assumptions for the resilience analysis include the transition to a low-carbon economy, macroeconomic trends, energy consumption and mix, technology deployment and time horizons. Based on the scenario analysis, Genmab identified several potential physical risks, transition risks and opportunities for all three scenarios across short, medium and long-term time frames. The identified physical and transition risks and opportunities were evaluated based on likelihood and magnitude of financial impact to Genmab’s operations and taking into account Genmab’s physical geographical locations at the time of conducting the analysis. No aspects of Genmab’s business were identified as incompatible with a transition to a climate neutral economy.</w:t>
      </w:r>
    </w:p>
    <w:p>
      <w:pPr>
        <w:spacing w:after="0" w:line="5" w:lineRule="exact"/>
        <w:rPr>
          <w:sz w:val="20"/>
          <w:szCs w:val="20"/>
          <w:color w:val="auto"/>
        </w:rPr>
      </w:pPr>
    </w:p>
    <w:p>
      <w:pPr>
        <w:ind w:right="360"/>
        <w:spacing w:after="0" w:line="205" w:lineRule="auto"/>
        <w:rPr>
          <w:sz w:val="20"/>
          <w:szCs w:val="20"/>
          <w:color w:val="auto"/>
        </w:rPr>
      </w:pPr>
      <w:r>
        <w:rPr>
          <w:rFonts w:ascii="Arial" w:cs="Arial" w:eastAsia="Arial" w:hAnsi="Arial"/>
          <w:sz w:val="10"/>
          <w:szCs w:val="10"/>
          <w:color w:val="auto"/>
        </w:rPr>
        <w:t>•Key transition risks to Genmab’s business activities identified in the scenarios: Loss of market access due to net-zero healthcare and high costs from investments in green/resource efficient technology. Other risks considered were global carbon taxation and pricing impacting costs and financial returns, investor focus on climate performance limiting access to capital and investment, and cost of compliance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-4911725</wp:posOffset>
            </wp:positionV>
            <wp:extent cx="6781165" cy="4792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74</w:t>
      </w:r>
    </w:p>
    <w:p>
      <w:pPr>
        <w:sectPr>
          <w:pgSz w:w="11900" w:h="16840" w:orient="portrait"/>
          <w:cols w:equalWidth="0" w:num="3">
            <w:col w:w="2620" w:space="520"/>
            <w:col w:w="4260" w:space="720"/>
            <w:col w:w="1700"/>
          </w:cols>
          <w:pgMar w:left="640" w:top="1440" w:right="1440" w:bottom="449" w:gutter="0" w:footer="0" w:header="0"/>
        </w:sectPr>
      </w:pPr>
    </w:p>
    <w:bookmarkStart w:id="118" w:name="page119"/>
    <w:bookmarkEnd w:id="118"/>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75</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2.1</w:t>
      </w:r>
    </w:p>
    <w:p>
      <w:pPr>
        <w:spacing w:after="0" w:line="210" w:lineRule="auto"/>
        <w:rPr>
          <w:sz w:val="20"/>
          <w:szCs w:val="20"/>
          <w:color w:val="auto"/>
        </w:rPr>
      </w:pPr>
      <w:r>
        <w:rPr>
          <w:rFonts w:ascii="Arial" w:cs="Arial" w:eastAsia="Arial" w:hAnsi="Arial"/>
          <w:sz w:val="15"/>
          <w:szCs w:val="15"/>
          <w:color w:val="0057CF"/>
        </w:rPr>
        <w:t>Climate Change IRO Management</w:t>
      </w:r>
    </w:p>
    <w:p>
      <w:pPr>
        <w:spacing w:after="0" w:line="224" w:lineRule="auto"/>
        <w:rPr>
          <w:sz w:val="20"/>
          <w:szCs w:val="20"/>
          <w:color w:val="auto"/>
        </w:rPr>
      </w:pPr>
      <w:r>
        <w:rPr>
          <w:rFonts w:ascii="Arial" w:cs="Arial" w:eastAsia="Arial" w:hAnsi="Arial"/>
          <w:sz w:val="13"/>
          <w:szCs w:val="13"/>
          <w:b w:val="1"/>
          <w:bCs w:val="1"/>
          <w:color w:val="0057CF"/>
        </w:rPr>
        <w:t>Policies related to climate change mitigation and adaptation (E1-2)</w:t>
      </w:r>
    </w:p>
    <w:tbl>
      <w:tblPr>
        <w:tblLayout w:type="fixed"/>
        <w:tblInd w:w="0" w:type="dxa"/>
        <w:tblCellMar>
          <w:top w:w="0" w:type="dxa"/>
          <w:left w:w="0" w:type="dxa"/>
          <w:bottom w:w="0" w:type="dxa"/>
          <w:right w:w="0" w:type="dxa"/>
        </w:tblCellMar>
      </w:tblPr>
      <w:tr>
        <w:trPr>
          <w:trHeight w:val="95"/>
        </w:trPr>
        <w:tc>
          <w:tcPr>
            <w:tcW w:w="88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Policy</w:t>
            </w:r>
          </w:p>
        </w:tc>
        <w:tc>
          <w:tcPr>
            <w:tcW w:w="116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IRO Mapping</w:t>
            </w:r>
          </w:p>
        </w:tc>
        <w:tc>
          <w:tcPr>
            <w:tcW w:w="1700" w:type="dxa"/>
            <w:vAlign w:val="bottom"/>
            <w:tcBorders>
              <w:top w:val="single" w:sz="8" w:color="0057CF"/>
            </w:tcBorders>
          </w:tcPr>
          <w:p>
            <w:pPr>
              <w:ind w:left="160"/>
              <w:spacing w:after="0" w:line="95" w:lineRule="exact"/>
              <w:rPr>
                <w:sz w:val="20"/>
                <w:szCs w:val="20"/>
                <w:color w:val="auto"/>
              </w:rPr>
            </w:pPr>
            <w:r>
              <w:rPr>
                <w:rFonts w:ascii="Arial" w:cs="Arial" w:eastAsia="Arial" w:hAnsi="Arial"/>
                <w:sz w:val="10"/>
                <w:szCs w:val="10"/>
                <w:b w:val="1"/>
                <w:bCs w:val="1"/>
                <w:color w:val="auto"/>
              </w:rPr>
              <w:t>Policy Content and Objectives</w:t>
            </w:r>
          </w:p>
        </w:tc>
        <w:tc>
          <w:tcPr>
            <w:tcW w:w="120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Scope of the Policy</w:t>
            </w:r>
          </w:p>
        </w:tc>
        <w:tc>
          <w:tcPr>
            <w:tcW w:w="110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Accountability</w:t>
            </w:r>
          </w:p>
        </w:tc>
        <w:tc>
          <w:tcPr>
            <w:tcW w:w="1320" w:type="dxa"/>
            <w:vAlign w:val="bottom"/>
            <w:tcBorders>
              <w:top w:val="single" w:sz="8" w:color="0057CF"/>
            </w:tcBorders>
          </w:tcPr>
          <w:p>
            <w:pPr>
              <w:ind w:left="100"/>
              <w:spacing w:after="0" w:line="95" w:lineRule="exact"/>
              <w:rPr>
                <w:sz w:val="20"/>
                <w:szCs w:val="20"/>
                <w:color w:val="auto"/>
              </w:rPr>
            </w:pPr>
            <w:r>
              <w:rPr>
                <w:rFonts w:ascii="Arial" w:cs="Arial" w:eastAsia="Arial" w:hAnsi="Arial"/>
                <w:sz w:val="10"/>
                <w:szCs w:val="10"/>
                <w:b w:val="1"/>
                <w:bCs w:val="1"/>
                <w:color w:val="auto"/>
              </w:rPr>
              <w:t>External Standards or</w:t>
            </w:r>
          </w:p>
        </w:tc>
        <w:tc>
          <w:tcPr>
            <w:tcW w:w="1320" w:type="dxa"/>
            <w:vAlign w:val="bottom"/>
            <w:tcBorders>
              <w:top w:val="single" w:sz="8" w:color="0057CF"/>
            </w:tcBorders>
          </w:tcPr>
          <w:p>
            <w:pPr>
              <w:ind w:left="80"/>
              <w:spacing w:after="0" w:line="95" w:lineRule="exact"/>
              <w:rPr>
                <w:sz w:val="20"/>
                <w:szCs w:val="20"/>
                <w:color w:val="auto"/>
              </w:rPr>
            </w:pPr>
            <w:r>
              <w:rPr>
                <w:rFonts w:ascii="Arial" w:cs="Arial" w:eastAsia="Arial" w:hAnsi="Arial"/>
                <w:sz w:val="10"/>
                <w:szCs w:val="10"/>
                <w:b w:val="1"/>
                <w:bCs w:val="1"/>
                <w:color w:val="auto"/>
              </w:rPr>
              <w:t>Stakeholder</w:t>
            </w:r>
          </w:p>
        </w:tc>
        <w:tc>
          <w:tcPr>
            <w:tcW w:w="122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Accessibility /</w:t>
            </w:r>
          </w:p>
        </w:tc>
      </w:tr>
      <w:tr>
        <w:trPr>
          <w:trHeight w:val="128"/>
        </w:trPr>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0"/>
                <w:szCs w:val="10"/>
                <w:b w:val="1"/>
                <w:bCs w:val="1"/>
                <w:color w:val="auto"/>
              </w:rPr>
              <w:t>Commitments</w:t>
            </w:r>
          </w:p>
        </w:tc>
        <w:tc>
          <w:tcPr>
            <w:tcW w:w="1320" w:type="dxa"/>
            <w:vAlign w:val="bottom"/>
          </w:tcPr>
          <w:p>
            <w:pPr>
              <w:ind w:left="80"/>
              <w:spacing w:after="0"/>
              <w:rPr>
                <w:sz w:val="20"/>
                <w:szCs w:val="20"/>
                <w:color w:val="auto"/>
              </w:rPr>
            </w:pPr>
            <w:r>
              <w:rPr>
                <w:rFonts w:ascii="Arial" w:cs="Arial" w:eastAsia="Arial" w:hAnsi="Arial"/>
                <w:sz w:val="10"/>
                <w:szCs w:val="10"/>
                <w:b w:val="1"/>
                <w:bCs w:val="1"/>
                <w:color w:val="auto"/>
              </w:rPr>
              <w:t>Consideration</w:t>
            </w:r>
          </w:p>
        </w:tc>
        <w:tc>
          <w:tcPr>
            <w:tcW w:w="1220" w:type="dxa"/>
            <w:vAlign w:val="bottom"/>
          </w:tcPr>
          <w:p>
            <w:pPr>
              <w:ind w:left="40"/>
              <w:spacing w:after="0"/>
              <w:rPr>
                <w:sz w:val="20"/>
                <w:szCs w:val="20"/>
                <w:color w:val="auto"/>
              </w:rPr>
            </w:pPr>
            <w:r>
              <w:rPr>
                <w:rFonts w:ascii="Arial" w:cs="Arial" w:eastAsia="Arial" w:hAnsi="Arial"/>
                <w:sz w:val="10"/>
                <w:szCs w:val="10"/>
                <w:b w:val="1"/>
                <w:bCs w:val="1"/>
                <w:color w:val="auto"/>
              </w:rPr>
              <w:t>Communication</w:t>
            </w:r>
          </w:p>
        </w:tc>
      </w:tr>
      <w:tr>
        <w:trPr>
          <w:trHeight w:val="118"/>
        </w:trPr>
        <w:tc>
          <w:tcPr>
            <w:tcW w:w="880" w:type="dxa"/>
            <w:vAlign w:val="bottom"/>
          </w:tcPr>
          <w:p>
            <w:pPr>
              <w:ind w:left="20"/>
              <w:spacing w:after="0"/>
              <w:rPr>
                <w:sz w:val="20"/>
                <w:szCs w:val="20"/>
                <w:color w:val="auto"/>
              </w:rPr>
            </w:pPr>
            <w:r>
              <w:rPr>
                <w:rFonts w:ascii="Arial" w:cs="Arial" w:eastAsia="Arial" w:hAnsi="Arial"/>
                <w:sz w:val="10"/>
                <w:szCs w:val="10"/>
                <w:b w:val="1"/>
                <w:bCs w:val="1"/>
                <w:color w:val="auto"/>
              </w:rPr>
              <w:t>Commitment to</w:t>
            </w:r>
          </w:p>
        </w:tc>
        <w:tc>
          <w:tcPr>
            <w:tcW w:w="1160" w:type="dxa"/>
            <w:vAlign w:val="bottom"/>
          </w:tcPr>
          <w:p>
            <w:pPr>
              <w:ind w:left="40"/>
              <w:spacing w:after="0"/>
              <w:rPr>
                <w:sz w:val="20"/>
                <w:szCs w:val="20"/>
                <w:color w:val="auto"/>
              </w:rPr>
            </w:pPr>
            <w:r>
              <w:rPr>
                <w:rFonts w:ascii="Arial" w:cs="Arial" w:eastAsia="Arial" w:hAnsi="Arial"/>
                <w:sz w:val="10"/>
                <w:szCs w:val="10"/>
                <w:color w:val="auto"/>
              </w:rPr>
              <w:t>GHG emissions from</w:t>
            </w:r>
          </w:p>
        </w:tc>
        <w:tc>
          <w:tcPr>
            <w:tcW w:w="1700" w:type="dxa"/>
            <w:vAlign w:val="bottom"/>
          </w:tcPr>
          <w:p>
            <w:pPr>
              <w:ind w:left="160"/>
              <w:spacing w:after="0"/>
              <w:rPr>
                <w:sz w:val="20"/>
                <w:szCs w:val="20"/>
                <w:color w:val="auto"/>
              </w:rPr>
            </w:pPr>
            <w:r>
              <w:rPr>
                <w:rFonts w:ascii="Arial" w:cs="Arial" w:eastAsia="Arial" w:hAnsi="Arial"/>
                <w:sz w:val="10"/>
                <w:szCs w:val="10"/>
                <w:color w:val="auto"/>
              </w:rPr>
              <w:t>Establishes our approach to</w:t>
            </w:r>
          </w:p>
        </w:tc>
        <w:tc>
          <w:tcPr>
            <w:tcW w:w="1200" w:type="dxa"/>
            <w:vAlign w:val="bottom"/>
          </w:tcPr>
          <w:p>
            <w:pPr>
              <w:ind w:left="20"/>
              <w:spacing w:after="0"/>
              <w:rPr>
                <w:sz w:val="20"/>
                <w:szCs w:val="20"/>
                <w:color w:val="auto"/>
              </w:rPr>
            </w:pPr>
            <w:r>
              <w:rPr>
                <w:rFonts w:ascii="Arial" w:cs="Arial" w:eastAsia="Arial" w:hAnsi="Arial"/>
                <w:sz w:val="10"/>
                <w:szCs w:val="10"/>
                <w:color w:val="auto"/>
              </w:rPr>
              <w:t>Applies to all employees,</w:t>
            </w:r>
          </w:p>
        </w:tc>
        <w:tc>
          <w:tcPr>
            <w:tcW w:w="1100" w:type="dxa"/>
            <w:vAlign w:val="bottom"/>
          </w:tcPr>
          <w:p>
            <w:pPr>
              <w:ind w:left="40"/>
              <w:spacing w:after="0"/>
              <w:rPr>
                <w:sz w:val="20"/>
                <w:szCs w:val="20"/>
                <w:color w:val="auto"/>
              </w:rPr>
            </w:pPr>
            <w:r>
              <w:rPr>
                <w:rFonts w:ascii="Arial" w:cs="Arial" w:eastAsia="Arial" w:hAnsi="Arial"/>
                <w:sz w:val="10"/>
                <w:szCs w:val="10"/>
                <w:color w:val="auto"/>
              </w:rPr>
              <w:t>CSR &amp; Sustainability</w:t>
            </w:r>
          </w:p>
        </w:tc>
        <w:tc>
          <w:tcPr>
            <w:tcW w:w="1320" w:type="dxa"/>
            <w:vAlign w:val="bottom"/>
          </w:tcPr>
          <w:p>
            <w:pPr>
              <w:ind w:left="100"/>
              <w:spacing w:after="0"/>
              <w:rPr>
                <w:sz w:val="20"/>
                <w:szCs w:val="20"/>
                <w:color w:val="auto"/>
              </w:rPr>
            </w:pPr>
            <w:r>
              <w:rPr>
                <w:rFonts w:ascii="Arial" w:cs="Arial" w:eastAsia="Arial" w:hAnsi="Arial"/>
                <w:sz w:val="10"/>
                <w:szCs w:val="10"/>
                <w:color w:val="auto"/>
              </w:rPr>
              <w:t>Guided by the Paris</w:t>
            </w:r>
          </w:p>
        </w:tc>
        <w:tc>
          <w:tcPr>
            <w:tcW w:w="1320" w:type="dxa"/>
            <w:vAlign w:val="bottom"/>
          </w:tcPr>
          <w:p>
            <w:pPr>
              <w:ind w:left="80"/>
              <w:spacing w:after="0"/>
              <w:rPr>
                <w:sz w:val="20"/>
                <w:szCs w:val="20"/>
                <w:color w:val="auto"/>
              </w:rPr>
            </w:pPr>
            <w:r>
              <w:rPr>
                <w:rFonts w:ascii="Arial" w:cs="Arial" w:eastAsia="Arial" w:hAnsi="Arial"/>
                <w:sz w:val="10"/>
                <w:szCs w:val="10"/>
                <w:color w:val="auto"/>
              </w:rPr>
              <w:t>Developed with input from</w:t>
            </w:r>
          </w:p>
        </w:tc>
        <w:tc>
          <w:tcPr>
            <w:tcW w:w="1220" w:type="dxa"/>
            <w:vAlign w:val="bottom"/>
          </w:tcPr>
          <w:p>
            <w:pPr>
              <w:ind w:left="40"/>
              <w:spacing w:after="0"/>
              <w:rPr>
                <w:sz w:val="20"/>
                <w:szCs w:val="20"/>
                <w:color w:val="auto"/>
              </w:rPr>
            </w:pPr>
            <w:r>
              <w:rPr>
                <w:rFonts w:ascii="Arial" w:cs="Arial" w:eastAsia="Arial" w:hAnsi="Arial"/>
                <w:sz w:val="10"/>
                <w:szCs w:val="10"/>
                <w:color w:val="auto"/>
              </w:rPr>
              <w:t>Available on internet and</w:t>
            </w:r>
          </w:p>
        </w:tc>
      </w:tr>
      <w:tr>
        <w:trPr>
          <w:trHeight w:val="95"/>
        </w:trPr>
        <w:tc>
          <w:tcPr>
            <w:tcW w:w="88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the Environment</w:t>
            </w:r>
          </w:p>
        </w:tc>
        <w:tc>
          <w:tcPr>
            <w:tcW w:w="1160" w:type="dxa"/>
            <w:vAlign w:val="bottom"/>
          </w:tcPr>
          <w:p>
            <w:pPr>
              <w:ind w:left="40"/>
              <w:spacing w:after="0" w:line="95" w:lineRule="exact"/>
              <w:rPr>
                <w:sz w:val="20"/>
                <w:szCs w:val="20"/>
                <w:color w:val="auto"/>
              </w:rPr>
            </w:pPr>
            <w:r>
              <w:rPr>
                <w:rFonts w:ascii="Arial" w:cs="Arial" w:eastAsia="Arial" w:hAnsi="Arial"/>
                <w:sz w:val="10"/>
                <w:szCs w:val="10"/>
                <w:color w:val="auto"/>
              </w:rPr>
              <w:t>own operations and</w:t>
            </w:r>
          </w:p>
        </w:tc>
        <w:tc>
          <w:tcPr>
            <w:tcW w:w="2900" w:type="dxa"/>
            <w:vAlign w:val="bottom"/>
            <w:gridSpan w:val="2"/>
          </w:tcPr>
          <w:p>
            <w:pPr>
              <w:ind w:left="160"/>
              <w:spacing w:after="0" w:line="95" w:lineRule="exact"/>
              <w:rPr>
                <w:sz w:val="20"/>
                <w:szCs w:val="20"/>
                <w:color w:val="auto"/>
              </w:rPr>
            </w:pPr>
            <w:r>
              <w:rPr>
                <w:rFonts w:ascii="Arial" w:cs="Arial" w:eastAsia="Arial" w:hAnsi="Arial"/>
                <w:sz w:val="10"/>
                <w:szCs w:val="10"/>
                <w:color w:val="auto"/>
              </w:rPr>
              <w:t>managing material environmental contractors, and</w:t>
            </w:r>
          </w:p>
        </w:tc>
        <w:tc>
          <w:tcPr>
            <w:tcW w:w="1100" w:type="dxa"/>
            <w:vAlign w:val="bottom"/>
          </w:tcPr>
          <w:p>
            <w:pPr>
              <w:ind w:left="40"/>
              <w:spacing w:after="0" w:line="95" w:lineRule="exact"/>
              <w:rPr>
                <w:sz w:val="20"/>
                <w:szCs w:val="20"/>
                <w:color w:val="auto"/>
              </w:rPr>
            </w:pPr>
            <w:r>
              <w:rPr>
                <w:rFonts w:ascii="Arial" w:cs="Arial" w:eastAsia="Arial" w:hAnsi="Arial"/>
                <w:sz w:val="10"/>
                <w:szCs w:val="10"/>
                <w:color w:val="auto"/>
              </w:rPr>
              <w:t>Committee</w:t>
            </w:r>
          </w:p>
        </w:tc>
        <w:tc>
          <w:tcPr>
            <w:tcW w:w="1320" w:type="dxa"/>
            <w:vAlign w:val="bottom"/>
          </w:tcPr>
          <w:p>
            <w:pPr>
              <w:ind w:left="100"/>
              <w:spacing w:after="0" w:line="95" w:lineRule="exact"/>
              <w:rPr>
                <w:sz w:val="20"/>
                <w:szCs w:val="20"/>
                <w:color w:val="auto"/>
              </w:rPr>
            </w:pPr>
            <w:r>
              <w:rPr>
                <w:rFonts w:ascii="Arial" w:cs="Arial" w:eastAsia="Arial" w:hAnsi="Arial"/>
                <w:sz w:val="10"/>
                <w:szCs w:val="10"/>
                <w:color w:val="auto"/>
              </w:rPr>
              <w:t>Agreement of the United</w:t>
            </w:r>
          </w:p>
        </w:tc>
        <w:tc>
          <w:tcPr>
            <w:tcW w:w="1320" w:type="dxa"/>
            <w:vAlign w:val="bottom"/>
          </w:tcPr>
          <w:p>
            <w:pPr>
              <w:ind w:left="80"/>
              <w:spacing w:after="0" w:line="95" w:lineRule="exact"/>
              <w:rPr>
                <w:sz w:val="20"/>
                <w:szCs w:val="20"/>
                <w:color w:val="auto"/>
              </w:rPr>
            </w:pPr>
            <w:r>
              <w:rPr>
                <w:rFonts w:ascii="Arial" w:cs="Arial" w:eastAsia="Arial" w:hAnsi="Arial"/>
                <w:sz w:val="10"/>
                <w:szCs w:val="10"/>
                <w:color w:val="auto"/>
              </w:rPr>
              <w:t>internal and external</w:t>
            </w:r>
          </w:p>
        </w:tc>
        <w:tc>
          <w:tcPr>
            <w:tcW w:w="1220" w:type="dxa"/>
            <w:vAlign w:val="bottom"/>
          </w:tcPr>
          <w:p>
            <w:pPr>
              <w:ind w:left="40"/>
              <w:spacing w:after="0" w:line="95" w:lineRule="exact"/>
              <w:rPr>
                <w:sz w:val="20"/>
                <w:szCs w:val="20"/>
                <w:color w:val="auto"/>
              </w:rPr>
            </w:pPr>
            <w:r>
              <w:rPr>
                <w:rFonts w:ascii="Arial" w:cs="Arial" w:eastAsia="Arial" w:hAnsi="Arial"/>
                <w:sz w:val="10"/>
                <w:szCs w:val="10"/>
                <w:color w:val="auto"/>
              </w:rPr>
              <w:t>intranet</w:t>
            </w:r>
          </w:p>
        </w:tc>
      </w:tr>
      <w:tr>
        <w:trPr>
          <w:trHeight w:val="95"/>
        </w:trPr>
        <w:tc>
          <w:tcPr>
            <w:tcW w:w="88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and</w:t>
            </w:r>
          </w:p>
        </w:tc>
        <w:tc>
          <w:tcPr>
            <w:tcW w:w="1160" w:type="dxa"/>
            <w:vAlign w:val="bottom"/>
          </w:tcPr>
          <w:p>
            <w:pPr>
              <w:ind w:left="40"/>
              <w:spacing w:after="0" w:line="95" w:lineRule="exact"/>
              <w:rPr>
                <w:sz w:val="20"/>
                <w:szCs w:val="20"/>
                <w:color w:val="auto"/>
              </w:rPr>
            </w:pPr>
            <w:r>
              <w:rPr>
                <w:rFonts w:ascii="Arial" w:cs="Arial" w:eastAsia="Arial" w:hAnsi="Arial"/>
                <w:sz w:val="10"/>
                <w:szCs w:val="10"/>
                <w:color w:val="auto"/>
              </w:rPr>
              <w:t>value chain</w:t>
            </w:r>
          </w:p>
        </w:tc>
        <w:tc>
          <w:tcPr>
            <w:tcW w:w="1700" w:type="dxa"/>
            <w:vAlign w:val="bottom"/>
          </w:tcPr>
          <w:p>
            <w:pPr>
              <w:ind w:left="160"/>
              <w:spacing w:after="0" w:line="95" w:lineRule="exact"/>
              <w:rPr>
                <w:sz w:val="20"/>
                <w:szCs w:val="20"/>
                <w:color w:val="auto"/>
              </w:rPr>
            </w:pPr>
            <w:r>
              <w:rPr>
                <w:rFonts w:ascii="Arial" w:cs="Arial" w:eastAsia="Arial" w:hAnsi="Arial"/>
                <w:sz w:val="10"/>
                <w:szCs w:val="10"/>
                <w:color w:val="auto"/>
              </w:rPr>
              <w:t>topics. Its objective is to</w:t>
            </w:r>
          </w:p>
        </w:tc>
        <w:tc>
          <w:tcPr>
            <w:tcW w:w="1200" w:type="dxa"/>
            <w:vAlign w:val="bottom"/>
          </w:tcPr>
          <w:p>
            <w:pPr>
              <w:ind w:left="20"/>
              <w:spacing w:after="0" w:line="95" w:lineRule="exact"/>
              <w:rPr>
                <w:sz w:val="20"/>
                <w:szCs w:val="20"/>
                <w:color w:val="auto"/>
              </w:rPr>
            </w:pPr>
            <w:r>
              <w:rPr>
                <w:rFonts w:ascii="Arial" w:cs="Arial" w:eastAsia="Arial" w:hAnsi="Arial"/>
                <w:sz w:val="10"/>
                <w:szCs w:val="10"/>
                <w:color w:val="auto"/>
              </w:rPr>
              <w:t>operations globally</w:t>
            </w:r>
          </w:p>
        </w:tc>
        <w:tc>
          <w:tcPr>
            <w:tcW w:w="1100" w:type="dxa"/>
            <w:vAlign w:val="bottom"/>
          </w:tcPr>
          <w:p>
            <w:pPr>
              <w:spacing w:after="0"/>
              <w:rPr>
                <w:sz w:val="8"/>
                <w:szCs w:val="8"/>
                <w:color w:val="auto"/>
              </w:rPr>
            </w:pPr>
          </w:p>
        </w:tc>
        <w:tc>
          <w:tcPr>
            <w:tcW w:w="1320" w:type="dxa"/>
            <w:vAlign w:val="bottom"/>
          </w:tcPr>
          <w:p>
            <w:pPr>
              <w:ind w:left="100"/>
              <w:spacing w:after="0" w:line="95" w:lineRule="exact"/>
              <w:rPr>
                <w:sz w:val="20"/>
                <w:szCs w:val="20"/>
                <w:color w:val="auto"/>
              </w:rPr>
            </w:pPr>
            <w:r>
              <w:rPr>
                <w:rFonts w:ascii="Arial" w:cs="Arial" w:eastAsia="Arial" w:hAnsi="Arial"/>
                <w:sz w:val="10"/>
                <w:szCs w:val="10"/>
                <w:color w:val="auto"/>
              </w:rPr>
              <w:t>Nations Framework</w:t>
            </w:r>
          </w:p>
        </w:tc>
        <w:tc>
          <w:tcPr>
            <w:tcW w:w="1320" w:type="dxa"/>
            <w:vAlign w:val="bottom"/>
          </w:tcPr>
          <w:p>
            <w:pPr>
              <w:ind w:left="80"/>
              <w:spacing w:after="0" w:line="95" w:lineRule="exact"/>
              <w:rPr>
                <w:sz w:val="20"/>
                <w:szCs w:val="20"/>
                <w:color w:val="auto"/>
              </w:rPr>
            </w:pPr>
            <w:r>
              <w:rPr>
                <w:rFonts w:ascii="Arial" w:cs="Arial" w:eastAsia="Arial" w:hAnsi="Arial"/>
                <w:sz w:val="10"/>
                <w:szCs w:val="10"/>
                <w:color w:val="auto"/>
              </w:rPr>
              <w:t>experts and stakeholders</w:t>
            </w:r>
          </w:p>
        </w:tc>
        <w:tc>
          <w:tcPr>
            <w:tcW w:w="1220" w:type="dxa"/>
            <w:vAlign w:val="bottom"/>
          </w:tcPr>
          <w:p>
            <w:pPr>
              <w:spacing w:after="0"/>
              <w:rPr>
                <w:sz w:val="8"/>
                <w:szCs w:val="8"/>
                <w:color w:val="auto"/>
              </w:rPr>
            </w:pPr>
          </w:p>
        </w:tc>
      </w:tr>
      <w:tr>
        <w:trPr>
          <w:trHeight w:val="95"/>
        </w:trPr>
        <w:tc>
          <w:tcPr>
            <w:tcW w:w="88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Sustainability</w:t>
            </w:r>
          </w:p>
        </w:tc>
        <w:tc>
          <w:tcPr>
            <w:tcW w:w="1160" w:type="dxa"/>
            <w:vAlign w:val="bottom"/>
          </w:tcPr>
          <w:p>
            <w:pPr>
              <w:spacing w:after="0"/>
              <w:rPr>
                <w:sz w:val="8"/>
                <w:szCs w:val="8"/>
                <w:color w:val="auto"/>
              </w:rPr>
            </w:pPr>
          </w:p>
        </w:tc>
        <w:tc>
          <w:tcPr>
            <w:tcW w:w="1700" w:type="dxa"/>
            <w:vAlign w:val="bottom"/>
          </w:tcPr>
          <w:p>
            <w:pPr>
              <w:ind w:left="160"/>
              <w:spacing w:after="0" w:line="95" w:lineRule="exact"/>
              <w:rPr>
                <w:sz w:val="20"/>
                <w:szCs w:val="20"/>
                <w:color w:val="auto"/>
              </w:rPr>
            </w:pPr>
            <w:r>
              <w:rPr>
                <w:rFonts w:ascii="Arial" w:cs="Arial" w:eastAsia="Arial" w:hAnsi="Arial"/>
                <w:sz w:val="10"/>
                <w:szCs w:val="10"/>
                <w:color w:val="auto"/>
              </w:rPr>
              <w:t>guide responsible environmental</w:t>
            </w: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tcPr>
          <w:p>
            <w:pPr>
              <w:ind w:left="100"/>
              <w:spacing w:after="0" w:line="95" w:lineRule="exact"/>
              <w:rPr>
                <w:sz w:val="20"/>
                <w:szCs w:val="20"/>
                <w:color w:val="auto"/>
              </w:rPr>
            </w:pPr>
            <w:r>
              <w:rPr>
                <w:rFonts w:ascii="Arial" w:cs="Arial" w:eastAsia="Arial" w:hAnsi="Arial"/>
                <w:sz w:val="10"/>
                <w:szCs w:val="10"/>
                <w:color w:val="auto"/>
              </w:rPr>
              <w:t>Convention on Climate</w:t>
            </w:r>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137"/>
        </w:trPr>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00" w:type="dxa"/>
            <w:vAlign w:val="bottom"/>
          </w:tcPr>
          <w:p>
            <w:pPr>
              <w:ind w:left="160"/>
              <w:spacing w:after="0"/>
              <w:rPr>
                <w:sz w:val="20"/>
                <w:szCs w:val="20"/>
                <w:color w:val="auto"/>
              </w:rPr>
            </w:pPr>
            <w:r>
              <w:rPr>
                <w:rFonts w:ascii="Arial" w:cs="Arial" w:eastAsia="Arial" w:hAnsi="Arial"/>
                <w:sz w:val="10"/>
                <w:szCs w:val="10"/>
                <w:color w:val="auto"/>
              </w:rPr>
              <w:t>practices across all operations.</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0"/>
                <w:szCs w:val="10"/>
                <w:color w:val="auto"/>
              </w:rPr>
              <w:t>Change</w:t>
            </w:r>
          </w:p>
        </w:tc>
        <w:tc>
          <w:tcPr>
            <w:tcW w:w="132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67"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5"/>
          <w:szCs w:val="15"/>
          <w:b w:val="1"/>
          <w:bCs w:val="1"/>
          <w:color w:val="0057CF"/>
        </w:rPr>
        <w:t>2.2</w:t>
      </w:r>
    </w:p>
    <w:p>
      <w:pPr>
        <w:spacing w:after="0" w:line="209" w:lineRule="auto"/>
        <w:rPr>
          <w:sz w:val="20"/>
          <w:szCs w:val="20"/>
          <w:color w:val="auto"/>
        </w:rPr>
      </w:pPr>
      <w:r>
        <w:rPr>
          <w:rFonts w:ascii="Arial" w:cs="Arial" w:eastAsia="Arial" w:hAnsi="Arial"/>
          <w:sz w:val="15"/>
          <w:szCs w:val="15"/>
          <w:color w:val="0057CF"/>
        </w:rPr>
        <w:t>Climate Change Actions, Metrics and Targets</w:t>
      </w:r>
    </w:p>
    <w:p>
      <w:pPr>
        <w:spacing w:after="0" w:line="224" w:lineRule="auto"/>
        <w:rPr>
          <w:sz w:val="20"/>
          <w:szCs w:val="20"/>
          <w:color w:val="auto"/>
        </w:rPr>
      </w:pPr>
      <w:r>
        <w:rPr>
          <w:rFonts w:ascii="Arial" w:cs="Arial" w:eastAsia="Arial" w:hAnsi="Arial"/>
          <w:sz w:val="13"/>
          <w:szCs w:val="13"/>
          <w:b w:val="1"/>
          <w:bCs w:val="1"/>
          <w:color w:val="0057CF"/>
        </w:rPr>
        <w:t>Actions and resources in relation to climate change policies (E1-3) / Targets related to climate change mitigation and adaptation (E1-4)</w:t>
      </w:r>
    </w:p>
    <w:tbl>
      <w:tblPr>
        <w:tblLayout w:type="fixed"/>
        <w:tblInd w:w="0" w:type="dxa"/>
        <w:tblCellMar>
          <w:top w:w="0" w:type="dxa"/>
          <w:left w:w="0" w:type="dxa"/>
          <w:bottom w:w="0" w:type="dxa"/>
          <w:right w:w="0" w:type="dxa"/>
        </w:tblCellMar>
      </w:tblPr>
      <w:tr>
        <w:trPr>
          <w:trHeight w:val="123"/>
        </w:trPr>
        <w:tc>
          <w:tcPr>
            <w:tcW w:w="54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rPr>
              <w:t>IRO</w:t>
            </w:r>
          </w:p>
        </w:tc>
        <w:tc>
          <w:tcPr>
            <w:tcW w:w="2740" w:type="dxa"/>
            <w:vAlign w:val="bottom"/>
            <w:tcBorders>
              <w:top w:val="single" w:sz="8" w:color="0057CF"/>
            </w:tcBorders>
          </w:tcPr>
          <w:p>
            <w:pPr>
              <w:ind w:left="60"/>
              <w:spacing w:after="0"/>
              <w:rPr>
                <w:sz w:val="20"/>
                <w:szCs w:val="20"/>
                <w:color w:val="auto"/>
              </w:rPr>
            </w:pPr>
            <w:r>
              <w:rPr>
                <w:rFonts w:ascii="Arial" w:cs="Arial" w:eastAsia="Arial" w:hAnsi="Arial"/>
                <w:sz w:val="10"/>
                <w:szCs w:val="10"/>
                <w:b w:val="1"/>
                <w:bCs w:val="1"/>
                <w:color w:val="auto"/>
              </w:rPr>
              <w:t>Key Actions in 2025</w:t>
            </w:r>
          </w:p>
        </w:tc>
        <w:tc>
          <w:tcPr>
            <w:tcW w:w="2360" w:type="dxa"/>
            <w:vAlign w:val="bottom"/>
            <w:tcBorders>
              <w:top w:val="single" w:sz="8" w:color="0057CF"/>
            </w:tcBorders>
          </w:tcPr>
          <w:p>
            <w:pPr>
              <w:spacing w:after="0"/>
              <w:rPr>
                <w:sz w:val="20"/>
                <w:szCs w:val="20"/>
                <w:color w:val="auto"/>
              </w:rPr>
            </w:pPr>
            <w:r>
              <w:rPr>
                <w:rFonts w:ascii="Arial" w:cs="Arial" w:eastAsia="Arial" w:hAnsi="Arial"/>
                <w:sz w:val="10"/>
                <w:szCs w:val="10"/>
                <w:b w:val="1"/>
                <w:bCs w:val="1"/>
                <w:color w:val="auto"/>
              </w:rPr>
              <w:t>Targets</w:t>
            </w:r>
          </w:p>
        </w:tc>
        <w:tc>
          <w:tcPr>
            <w:tcW w:w="286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rPr>
              <w:t>Outcomes / Tracking Effectiveness</w:t>
            </w:r>
          </w:p>
        </w:tc>
        <w:tc>
          <w:tcPr>
            <w:tcW w:w="1340" w:type="dxa"/>
            <w:vAlign w:val="bottom"/>
            <w:tcBorders>
              <w:top w:val="single" w:sz="8" w:color="0057CF"/>
            </w:tcBorders>
          </w:tcPr>
          <w:p>
            <w:pPr>
              <w:ind w:left="60"/>
              <w:spacing w:after="0"/>
              <w:rPr>
                <w:sz w:val="20"/>
                <w:szCs w:val="20"/>
                <w:color w:val="auto"/>
              </w:rPr>
            </w:pPr>
            <w:r>
              <w:rPr>
                <w:rFonts w:ascii="Arial" w:cs="Arial" w:eastAsia="Arial" w:hAnsi="Arial"/>
                <w:sz w:val="10"/>
                <w:szCs w:val="10"/>
                <w:b w:val="1"/>
                <w:bCs w:val="1"/>
                <w:color w:val="auto"/>
              </w:rPr>
              <w:t>Stakeholder Involvement</w:t>
            </w:r>
          </w:p>
        </w:tc>
        <w:tc>
          <w:tcPr>
            <w:tcW w:w="0" w:type="dxa"/>
            <w:vAlign w:val="bottom"/>
          </w:tcPr>
          <w:p>
            <w:pPr>
              <w:spacing w:after="0"/>
              <w:rPr>
                <w:sz w:val="1"/>
                <w:szCs w:val="1"/>
                <w:color w:val="auto"/>
              </w:rPr>
            </w:pPr>
          </w:p>
        </w:tc>
      </w:tr>
      <w:tr>
        <w:trPr>
          <w:trHeight w:val="105"/>
        </w:trPr>
        <w:tc>
          <w:tcPr>
            <w:tcW w:w="540" w:type="dxa"/>
            <w:vAlign w:val="bottom"/>
          </w:tcPr>
          <w:p>
            <w:pPr>
              <w:ind w:left="20"/>
              <w:spacing w:after="0" w:line="105" w:lineRule="exact"/>
              <w:rPr>
                <w:sz w:val="20"/>
                <w:szCs w:val="20"/>
                <w:color w:val="auto"/>
              </w:rPr>
            </w:pPr>
            <w:r>
              <w:rPr>
                <w:rFonts w:ascii="Arial" w:cs="Arial" w:eastAsia="Arial" w:hAnsi="Arial"/>
                <w:sz w:val="10"/>
                <w:szCs w:val="10"/>
                <w:color w:val="auto"/>
              </w:rPr>
              <w:t>GHG</w:t>
            </w:r>
          </w:p>
        </w:tc>
        <w:tc>
          <w:tcPr>
            <w:tcW w:w="2740" w:type="dxa"/>
            <w:vAlign w:val="bottom"/>
          </w:tcPr>
          <w:p>
            <w:pPr>
              <w:ind w:left="60"/>
              <w:spacing w:after="0" w:line="105" w:lineRule="exact"/>
              <w:rPr>
                <w:sz w:val="20"/>
                <w:szCs w:val="20"/>
                <w:color w:val="auto"/>
              </w:rPr>
            </w:pPr>
            <w:r>
              <w:rPr>
                <w:rFonts w:ascii="Arial" w:cs="Arial" w:eastAsia="Arial" w:hAnsi="Arial"/>
                <w:sz w:val="10"/>
                <w:szCs w:val="10"/>
                <w:color w:val="auto"/>
              </w:rPr>
              <w:t>We developed a sustainability roadmap as an integral</w:t>
            </w:r>
          </w:p>
        </w:tc>
        <w:tc>
          <w:tcPr>
            <w:tcW w:w="2360" w:type="dxa"/>
            <w:vAlign w:val="bottom"/>
          </w:tcPr>
          <w:p>
            <w:pPr>
              <w:spacing w:after="0" w:line="105" w:lineRule="exact"/>
              <w:rPr>
                <w:sz w:val="20"/>
                <w:szCs w:val="20"/>
                <w:color w:val="auto"/>
              </w:rPr>
            </w:pPr>
            <w:r>
              <w:rPr>
                <w:rFonts w:ascii="Arial" w:cs="Arial" w:eastAsia="Arial" w:hAnsi="Arial"/>
                <w:sz w:val="10"/>
                <w:szCs w:val="10"/>
                <w:color w:val="auto"/>
              </w:rPr>
              <w:t>Develop and execute on sustainable climate-relate</w:t>
            </w:r>
          </w:p>
        </w:tc>
        <w:tc>
          <w:tcPr>
            <w:tcW w:w="2860" w:type="dxa"/>
            <w:vAlign w:val="bottom"/>
          </w:tcPr>
          <w:p>
            <w:pPr>
              <w:ind w:left="20"/>
              <w:spacing w:after="0" w:line="105" w:lineRule="exact"/>
              <w:rPr>
                <w:sz w:val="20"/>
                <w:szCs w:val="20"/>
                <w:color w:val="auto"/>
              </w:rPr>
            </w:pPr>
            <w:r>
              <w:rPr>
                <w:rFonts w:ascii="Arial" w:cs="Arial" w:eastAsia="Arial" w:hAnsi="Arial"/>
                <w:sz w:val="10"/>
                <w:szCs w:val="10"/>
                <w:color w:val="auto"/>
              </w:rPr>
              <w:t>Achieved in 2025. The development of our sustainability</w:t>
            </w:r>
          </w:p>
        </w:tc>
        <w:tc>
          <w:tcPr>
            <w:tcW w:w="1340" w:type="dxa"/>
            <w:vAlign w:val="bottom"/>
          </w:tcPr>
          <w:p>
            <w:pPr>
              <w:ind w:left="60"/>
              <w:spacing w:after="0" w:line="105" w:lineRule="exact"/>
              <w:rPr>
                <w:sz w:val="20"/>
                <w:szCs w:val="20"/>
                <w:color w:val="auto"/>
              </w:rPr>
            </w:pPr>
            <w:r>
              <w:rPr>
                <w:rFonts w:ascii="Arial" w:cs="Arial" w:eastAsia="Arial" w:hAnsi="Arial"/>
                <w:sz w:val="10"/>
                <w:szCs w:val="10"/>
                <w:color w:val="auto"/>
              </w:rPr>
              <w:t>Facility Management,</w:t>
            </w:r>
          </w:p>
        </w:tc>
        <w:tc>
          <w:tcPr>
            <w:tcW w:w="0" w:type="dxa"/>
            <w:vAlign w:val="bottom"/>
          </w:tcPr>
          <w:p>
            <w:pPr>
              <w:spacing w:after="0"/>
              <w:rPr>
                <w:sz w:val="1"/>
                <w:szCs w:val="1"/>
                <w:color w:val="auto"/>
              </w:rPr>
            </w:pPr>
          </w:p>
        </w:tc>
      </w:tr>
      <w:tr>
        <w:trPr>
          <w:trHeight w:val="95"/>
        </w:trPr>
        <w:tc>
          <w:tcPr>
            <w:tcW w:w="540" w:type="dxa"/>
            <w:vAlign w:val="bottom"/>
          </w:tcPr>
          <w:p>
            <w:pPr>
              <w:ind w:left="20"/>
              <w:spacing w:after="0" w:line="95" w:lineRule="exact"/>
              <w:rPr>
                <w:sz w:val="20"/>
                <w:szCs w:val="20"/>
                <w:color w:val="auto"/>
              </w:rPr>
            </w:pPr>
            <w:r>
              <w:rPr>
                <w:rFonts w:ascii="Arial" w:cs="Arial" w:eastAsia="Arial" w:hAnsi="Arial"/>
                <w:sz w:val="10"/>
                <w:szCs w:val="10"/>
                <w:color w:val="auto"/>
              </w:rPr>
              <w:t>emissions</w:t>
            </w:r>
          </w:p>
        </w:tc>
        <w:tc>
          <w:tcPr>
            <w:tcW w:w="2740" w:type="dxa"/>
            <w:vAlign w:val="bottom"/>
          </w:tcPr>
          <w:p>
            <w:pPr>
              <w:ind w:left="60"/>
              <w:spacing w:after="0" w:line="95" w:lineRule="exact"/>
              <w:rPr>
                <w:sz w:val="20"/>
                <w:szCs w:val="20"/>
                <w:color w:val="auto"/>
              </w:rPr>
            </w:pPr>
            <w:r>
              <w:rPr>
                <w:rFonts w:ascii="Arial" w:cs="Arial" w:eastAsia="Arial" w:hAnsi="Arial"/>
                <w:sz w:val="10"/>
                <w:szCs w:val="10"/>
                <w:color w:val="auto"/>
              </w:rPr>
              <w:t>part of Genmab’s sustainable climate-related strategy, in</w:t>
            </w:r>
          </w:p>
        </w:tc>
        <w:tc>
          <w:tcPr>
            <w:tcW w:w="2360" w:type="dxa"/>
            <w:vAlign w:val="bottom"/>
          </w:tcPr>
          <w:p>
            <w:pPr>
              <w:spacing w:after="0" w:line="95" w:lineRule="exact"/>
              <w:rPr>
                <w:sz w:val="20"/>
                <w:szCs w:val="20"/>
                <w:color w:val="auto"/>
              </w:rPr>
            </w:pPr>
            <w:r>
              <w:rPr>
                <w:rFonts w:ascii="Arial" w:cs="Arial" w:eastAsia="Arial" w:hAnsi="Arial"/>
                <w:sz w:val="10"/>
                <w:szCs w:val="10"/>
                <w:color w:val="auto"/>
              </w:rPr>
              <w:t>d</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roadmap has enhanced our ability to govern and sequence</w:t>
            </w:r>
          </w:p>
        </w:tc>
        <w:tc>
          <w:tcPr>
            <w:tcW w:w="1340" w:type="dxa"/>
            <w:vAlign w:val="bottom"/>
          </w:tcPr>
          <w:p>
            <w:pPr>
              <w:ind w:left="60"/>
              <w:spacing w:after="0" w:line="95" w:lineRule="exact"/>
              <w:rPr>
                <w:sz w:val="20"/>
                <w:szCs w:val="20"/>
                <w:color w:val="auto"/>
              </w:rPr>
            </w:pPr>
            <w:r>
              <w:rPr>
                <w:rFonts w:ascii="Arial" w:cs="Arial" w:eastAsia="Arial" w:hAnsi="Arial"/>
                <w:sz w:val="10"/>
                <w:szCs w:val="10"/>
                <w:color w:val="auto"/>
              </w:rPr>
              <w:t>R&amp;D Operations, and</w:t>
            </w:r>
          </w:p>
        </w:tc>
        <w:tc>
          <w:tcPr>
            <w:tcW w:w="0" w:type="dxa"/>
            <w:vAlign w:val="bottom"/>
          </w:tcPr>
          <w:p>
            <w:pPr>
              <w:spacing w:after="0"/>
              <w:rPr>
                <w:sz w:val="1"/>
                <w:szCs w:val="1"/>
                <w:color w:val="auto"/>
              </w:rPr>
            </w:pPr>
          </w:p>
        </w:tc>
      </w:tr>
      <w:tr>
        <w:trPr>
          <w:trHeight w:val="95"/>
        </w:trPr>
        <w:tc>
          <w:tcPr>
            <w:tcW w:w="540" w:type="dxa"/>
            <w:vAlign w:val="bottom"/>
          </w:tcPr>
          <w:p>
            <w:pPr>
              <w:ind w:left="20"/>
              <w:spacing w:after="0" w:line="95" w:lineRule="exact"/>
              <w:rPr>
                <w:sz w:val="20"/>
                <w:szCs w:val="20"/>
                <w:color w:val="auto"/>
              </w:rPr>
            </w:pPr>
            <w:r>
              <w:rPr>
                <w:rFonts w:ascii="Arial" w:cs="Arial" w:eastAsia="Arial" w:hAnsi="Arial"/>
                <w:sz w:val="10"/>
                <w:szCs w:val="10"/>
                <w:color w:val="auto"/>
              </w:rPr>
              <w:t>from own</w:t>
            </w:r>
          </w:p>
        </w:tc>
        <w:tc>
          <w:tcPr>
            <w:tcW w:w="2740" w:type="dxa"/>
            <w:vAlign w:val="bottom"/>
          </w:tcPr>
          <w:p>
            <w:pPr>
              <w:ind w:left="60"/>
              <w:spacing w:after="0" w:line="95" w:lineRule="exact"/>
              <w:rPr>
                <w:sz w:val="20"/>
                <w:szCs w:val="20"/>
                <w:color w:val="auto"/>
              </w:rPr>
            </w:pPr>
            <w:r>
              <w:rPr>
                <w:rFonts w:ascii="Arial" w:cs="Arial" w:eastAsia="Arial" w:hAnsi="Arial"/>
                <w:sz w:val="10"/>
                <w:szCs w:val="10"/>
                <w:color w:val="auto"/>
              </w:rPr>
              <w:t>collaboration with an external expert consultant, focusing</w:t>
            </w:r>
          </w:p>
        </w:tc>
        <w:tc>
          <w:tcPr>
            <w:tcW w:w="2360" w:type="dxa"/>
            <w:vAlign w:val="bottom"/>
          </w:tcPr>
          <w:p>
            <w:pPr>
              <w:spacing w:after="0" w:line="95" w:lineRule="exact"/>
              <w:rPr>
                <w:sz w:val="20"/>
                <w:szCs w:val="20"/>
                <w:color w:val="auto"/>
              </w:rPr>
            </w:pPr>
            <w:r>
              <w:rPr>
                <w:rFonts w:ascii="Arial" w:cs="Arial" w:eastAsia="Arial" w:hAnsi="Arial"/>
                <w:sz w:val="10"/>
                <w:szCs w:val="10"/>
                <w:color w:val="auto"/>
              </w:rPr>
              <w:t>strategy by 2025.</w:t>
            </w:r>
            <w:r>
              <w:rPr>
                <w:rFonts w:ascii="Arial" w:cs="Arial" w:eastAsia="Arial" w:hAnsi="Arial"/>
                <w:sz w:val="6"/>
                <w:szCs w:val="6"/>
                <w:color w:val="auto"/>
              </w:rPr>
              <w:t>1</w:t>
            </w:r>
          </w:p>
        </w:tc>
        <w:tc>
          <w:tcPr>
            <w:tcW w:w="42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sustainability initiatives. Genmab has executed on this strategyExternal Environmental</w:t>
            </w:r>
          </w:p>
        </w:tc>
        <w:tc>
          <w:tcPr>
            <w:tcW w:w="0" w:type="dxa"/>
            <w:vAlign w:val="bottom"/>
          </w:tcPr>
          <w:p>
            <w:pPr>
              <w:spacing w:after="0"/>
              <w:rPr>
                <w:sz w:val="1"/>
                <w:szCs w:val="1"/>
                <w:color w:val="auto"/>
              </w:rPr>
            </w:pPr>
          </w:p>
        </w:tc>
      </w:tr>
      <w:tr>
        <w:trPr>
          <w:trHeight w:val="95"/>
        </w:trPr>
        <w:tc>
          <w:tcPr>
            <w:tcW w:w="540" w:type="dxa"/>
            <w:vAlign w:val="bottom"/>
          </w:tcPr>
          <w:p>
            <w:pPr>
              <w:ind w:left="20"/>
              <w:spacing w:after="0" w:line="95" w:lineRule="exact"/>
              <w:rPr>
                <w:sz w:val="20"/>
                <w:szCs w:val="20"/>
                <w:color w:val="auto"/>
              </w:rPr>
            </w:pPr>
            <w:r>
              <w:rPr>
                <w:rFonts w:ascii="Arial" w:cs="Arial" w:eastAsia="Arial" w:hAnsi="Arial"/>
                <w:sz w:val="10"/>
                <w:szCs w:val="10"/>
                <w:color w:val="auto"/>
              </w:rPr>
              <w:t>operations</w:t>
            </w:r>
          </w:p>
        </w:tc>
        <w:tc>
          <w:tcPr>
            <w:tcW w:w="2740" w:type="dxa"/>
            <w:vAlign w:val="bottom"/>
          </w:tcPr>
          <w:p>
            <w:pPr>
              <w:ind w:left="60"/>
              <w:spacing w:after="0" w:line="95" w:lineRule="exact"/>
              <w:rPr>
                <w:sz w:val="20"/>
                <w:szCs w:val="20"/>
                <w:color w:val="auto"/>
              </w:rPr>
            </w:pPr>
            <w:r>
              <w:rPr>
                <w:rFonts w:ascii="Arial" w:cs="Arial" w:eastAsia="Arial" w:hAnsi="Arial"/>
                <w:sz w:val="10"/>
                <w:szCs w:val="10"/>
                <w:color w:val="auto"/>
              </w:rPr>
              <w:t>on</w:t>
            </w:r>
          </w:p>
        </w:tc>
        <w:tc>
          <w:tcPr>
            <w:tcW w:w="2360" w:type="dxa"/>
            <w:vAlign w:val="bottom"/>
          </w:tcPr>
          <w:p>
            <w:pPr>
              <w:spacing w:after="0"/>
              <w:rPr>
                <w:sz w:val="8"/>
                <w:szCs w:val="8"/>
                <w:color w:val="auto"/>
              </w:rPr>
            </w:pPr>
          </w:p>
        </w:tc>
        <w:tc>
          <w:tcPr>
            <w:tcW w:w="2860" w:type="dxa"/>
            <w:vAlign w:val="bottom"/>
            <w:vMerge w:val="restart"/>
          </w:tcPr>
          <w:p>
            <w:pPr>
              <w:ind w:left="20"/>
              <w:spacing w:after="0"/>
              <w:rPr>
                <w:sz w:val="20"/>
                <w:szCs w:val="20"/>
                <w:color w:val="auto"/>
              </w:rPr>
            </w:pPr>
            <w:r>
              <w:rPr>
                <w:rFonts w:ascii="Arial" w:cs="Arial" w:eastAsia="Arial" w:hAnsi="Arial"/>
                <w:sz w:val="10"/>
                <w:szCs w:val="10"/>
                <w:color w:val="auto"/>
              </w:rPr>
              <w:t>with significant progress on market-based Scope 2 GHG</w:t>
            </w:r>
          </w:p>
        </w:tc>
        <w:tc>
          <w:tcPr>
            <w:tcW w:w="1340" w:type="dxa"/>
            <w:vAlign w:val="bottom"/>
          </w:tcPr>
          <w:p>
            <w:pPr>
              <w:ind w:left="60"/>
              <w:spacing w:after="0" w:line="95" w:lineRule="exact"/>
              <w:rPr>
                <w:sz w:val="20"/>
                <w:szCs w:val="20"/>
                <w:color w:val="auto"/>
              </w:rPr>
            </w:pPr>
            <w:r>
              <w:rPr>
                <w:rFonts w:ascii="Arial" w:cs="Arial" w:eastAsia="Arial" w:hAnsi="Arial"/>
                <w:sz w:val="10"/>
                <w:szCs w:val="10"/>
                <w:color w:val="auto"/>
              </w:rPr>
              <w:t>Sustainability Expert</w:t>
            </w:r>
          </w:p>
        </w:tc>
        <w:tc>
          <w:tcPr>
            <w:tcW w:w="0" w:type="dxa"/>
            <w:vAlign w:val="bottom"/>
          </w:tcPr>
          <w:p>
            <w:pPr>
              <w:spacing w:after="0"/>
              <w:rPr>
                <w:sz w:val="1"/>
                <w:szCs w:val="1"/>
                <w:color w:val="auto"/>
              </w:rPr>
            </w:pPr>
          </w:p>
        </w:tc>
      </w:tr>
      <w:tr>
        <w:trPr>
          <w:trHeight w:val="95"/>
        </w:trPr>
        <w:tc>
          <w:tcPr>
            <w:tcW w:w="540" w:type="dxa"/>
            <w:vAlign w:val="bottom"/>
          </w:tcPr>
          <w:p>
            <w:pPr>
              <w:ind w:left="20"/>
              <w:spacing w:after="0" w:line="95" w:lineRule="exact"/>
              <w:rPr>
                <w:sz w:val="20"/>
                <w:szCs w:val="20"/>
                <w:color w:val="auto"/>
              </w:rPr>
            </w:pPr>
            <w:r>
              <w:rPr>
                <w:rFonts w:ascii="Arial" w:cs="Arial" w:eastAsia="Arial" w:hAnsi="Arial"/>
                <w:sz w:val="10"/>
                <w:szCs w:val="10"/>
                <w:color w:val="auto"/>
              </w:rPr>
              <w:t>and value</w:t>
            </w:r>
          </w:p>
        </w:tc>
        <w:tc>
          <w:tcPr>
            <w:tcW w:w="2740" w:type="dxa"/>
            <w:vAlign w:val="bottom"/>
          </w:tcPr>
          <w:p>
            <w:pPr>
              <w:ind w:left="60"/>
              <w:spacing w:after="0" w:line="95" w:lineRule="exact"/>
              <w:rPr>
                <w:sz w:val="20"/>
                <w:szCs w:val="20"/>
                <w:color w:val="auto"/>
              </w:rPr>
            </w:pPr>
            <w:r>
              <w:rPr>
                <w:rFonts w:ascii="Arial" w:cs="Arial" w:eastAsia="Arial" w:hAnsi="Arial"/>
                <w:sz w:val="10"/>
                <w:szCs w:val="10"/>
                <w:color w:val="auto"/>
              </w:rPr>
              <w:t>quantifying investments, impacts, and feasibility to ensure</w:t>
            </w:r>
          </w:p>
        </w:tc>
        <w:tc>
          <w:tcPr>
            <w:tcW w:w="2360" w:type="dxa"/>
            <w:vAlign w:val="bottom"/>
          </w:tcPr>
          <w:p>
            <w:pPr>
              <w:spacing w:after="0"/>
              <w:rPr>
                <w:sz w:val="8"/>
                <w:szCs w:val="8"/>
                <w:color w:val="auto"/>
              </w:rPr>
            </w:pPr>
          </w:p>
        </w:tc>
        <w:tc>
          <w:tcPr>
            <w:tcW w:w="2860" w:type="dxa"/>
            <w:vAlign w:val="bottom"/>
            <w:vMerge w:val="continue"/>
          </w:tcPr>
          <w:p>
            <w:pPr>
              <w:spacing w:after="0"/>
              <w:rPr>
                <w:sz w:val="8"/>
                <w:szCs w:val="8"/>
                <w:color w:val="auto"/>
              </w:rPr>
            </w:pPr>
          </w:p>
        </w:tc>
        <w:tc>
          <w:tcPr>
            <w:tcW w:w="1340" w:type="dxa"/>
            <w:vAlign w:val="bottom"/>
          </w:tcPr>
          <w:p>
            <w:pPr>
              <w:ind w:left="60"/>
              <w:spacing w:after="0" w:line="95" w:lineRule="exact"/>
              <w:rPr>
                <w:sz w:val="20"/>
                <w:szCs w:val="20"/>
                <w:color w:val="auto"/>
              </w:rPr>
            </w:pPr>
            <w:r>
              <w:rPr>
                <w:rFonts w:ascii="Arial" w:cs="Arial" w:eastAsia="Arial" w:hAnsi="Arial"/>
                <w:sz w:val="10"/>
                <w:szCs w:val="10"/>
                <w:color w:val="auto"/>
              </w:rPr>
              <w:t>Consultant</w:t>
            </w:r>
          </w:p>
        </w:tc>
        <w:tc>
          <w:tcPr>
            <w:tcW w:w="0" w:type="dxa"/>
            <w:vAlign w:val="bottom"/>
          </w:tcPr>
          <w:p>
            <w:pPr>
              <w:spacing w:after="0"/>
              <w:rPr>
                <w:sz w:val="1"/>
                <w:szCs w:val="1"/>
                <w:color w:val="auto"/>
              </w:rPr>
            </w:pPr>
          </w:p>
        </w:tc>
      </w:tr>
      <w:tr>
        <w:trPr>
          <w:trHeight w:val="137"/>
        </w:trPr>
        <w:tc>
          <w:tcPr>
            <w:tcW w:w="540" w:type="dxa"/>
            <w:vAlign w:val="bottom"/>
          </w:tcPr>
          <w:p>
            <w:pPr>
              <w:ind w:left="20"/>
              <w:spacing w:after="0"/>
              <w:rPr>
                <w:sz w:val="20"/>
                <w:szCs w:val="20"/>
                <w:color w:val="auto"/>
              </w:rPr>
            </w:pPr>
            <w:r>
              <w:rPr>
                <w:rFonts w:ascii="Arial" w:cs="Arial" w:eastAsia="Arial" w:hAnsi="Arial"/>
                <w:sz w:val="10"/>
                <w:szCs w:val="10"/>
                <w:color w:val="auto"/>
              </w:rPr>
              <w:t>chain</w:t>
            </w:r>
          </w:p>
        </w:tc>
        <w:tc>
          <w:tcPr>
            <w:tcW w:w="2740" w:type="dxa"/>
            <w:vAlign w:val="bottom"/>
            <w:vMerge w:val="restart"/>
          </w:tcPr>
          <w:p>
            <w:pPr>
              <w:ind w:left="60"/>
              <w:spacing w:after="0"/>
              <w:rPr>
                <w:sz w:val="20"/>
                <w:szCs w:val="20"/>
                <w:color w:val="auto"/>
              </w:rPr>
            </w:pPr>
            <w:r>
              <w:rPr>
                <w:rFonts w:ascii="Arial" w:cs="Arial" w:eastAsia="Arial" w:hAnsi="Arial"/>
                <w:sz w:val="10"/>
                <w:szCs w:val="10"/>
                <w:color w:val="auto"/>
              </w:rPr>
              <w:t>structured and prioritized implementation of initiatives</w:t>
            </w:r>
          </w:p>
        </w:tc>
        <w:tc>
          <w:tcPr>
            <w:tcW w:w="2360" w:type="dxa"/>
            <w:vAlign w:val="bottom"/>
          </w:tcPr>
          <w:p>
            <w:pPr>
              <w:spacing w:after="0"/>
              <w:rPr>
                <w:sz w:val="11"/>
                <w:szCs w:val="11"/>
                <w:color w:val="auto"/>
              </w:rPr>
            </w:pPr>
          </w:p>
        </w:tc>
        <w:tc>
          <w:tcPr>
            <w:tcW w:w="2860" w:type="dxa"/>
            <w:vAlign w:val="bottom"/>
          </w:tcPr>
          <w:p>
            <w:pPr>
              <w:ind w:left="20"/>
              <w:spacing w:after="0"/>
              <w:rPr>
                <w:sz w:val="20"/>
                <w:szCs w:val="20"/>
                <w:color w:val="auto"/>
              </w:rPr>
            </w:pPr>
            <w:r>
              <w:rPr>
                <w:rFonts w:ascii="Arial" w:cs="Arial" w:eastAsia="Arial" w:hAnsi="Arial"/>
                <w:sz w:val="10"/>
                <w:szCs w:val="10"/>
                <w:color w:val="auto"/>
              </w:rPr>
              <w:t>emission reductions in 2025.</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23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540" w:type="dxa"/>
            <w:vAlign w:val="bottom"/>
          </w:tcPr>
          <w:p>
            <w:pPr>
              <w:spacing w:after="0"/>
              <w:rPr>
                <w:sz w:val="9"/>
                <w:szCs w:val="9"/>
                <w:color w:val="auto"/>
              </w:rPr>
            </w:pPr>
          </w:p>
        </w:tc>
        <w:tc>
          <w:tcPr>
            <w:tcW w:w="2740" w:type="dxa"/>
            <w:vAlign w:val="bottom"/>
          </w:tcPr>
          <w:p>
            <w:pPr>
              <w:ind w:left="60"/>
              <w:spacing w:after="0" w:line="105" w:lineRule="exact"/>
              <w:rPr>
                <w:sz w:val="20"/>
                <w:szCs w:val="20"/>
                <w:color w:val="auto"/>
              </w:rPr>
            </w:pPr>
            <w:r>
              <w:rPr>
                <w:rFonts w:ascii="Arial" w:cs="Arial" w:eastAsia="Arial" w:hAnsi="Arial"/>
                <w:sz w:val="10"/>
                <w:szCs w:val="10"/>
                <w:color w:val="auto"/>
              </w:rPr>
              <w:t>aligned with our sustainability targets.</w:t>
            </w:r>
          </w:p>
        </w:tc>
        <w:tc>
          <w:tcPr>
            <w:tcW w:w="23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40" w:type="dxa"/>
            <w:vAlign w:val="bottom"/>
          </w:tcPr>
          <w:p>
            <w:pPr>
              <w:spacing w:after="0"/>
              <w:rPr>
                <w:sz w:val="9"/>
                <w:szCs w:val="9"/>
                <w:color w:val="auto"/>
              </w:rPr>
            </w:pPr>
          </w:p>
        </w:tc>
        <w:tc>
          <w:tcPr>
            <w:tcW w:w="5100" w:type="dxa"/>
            <w:vAlign w:val="bottom"/>
            <w:gridSpan w:val="2"/>
          </w:tcPr>
          <w:p>
            <w:pPr>
              <w:ind w:left="60"/>
              <w:spacing w:after="0" w:line="105" w:lineRule="exact"/>
              <w:rPr>
                <w:sz w:val="20"/>
                <w:szCs w:val="20"/>
                <w:color w:val="auto"/>
              </w:rPr>
            </w:pPr>
            <w:r>
              <w:rPr>
                <w:rFonts w:ascii="Arial" w:cs="Arial" w:eastAsia="Arial" w:hAnsi="Arial"/>
                <w:sz w:val="10"/>
                <w:szCs w:val="10"/>
                <w:color w:val="auto"/>
              </w:rPr>
              <w:t>We expanded the use of renewable electricity to additionalReduce Scope 1 and Scope 2 (market-based)</w:t>
            </w:r>
          </w:p>
        </w:tc>
        <w:tc>
          <w:tcPr>
            <w:tcW w:w="4200" w:type="dxa"/>
            <w:vAlign w:val="bottom"/>
            <w:gridSpan w:val="2"/>
          </w:tcPr>
          <w:p>
            <w:pPr>
              <w:ind w:left="20"/>
              <w:spacing w:after="0" w:line="105" w:lineRule="exact"/>
              <w:rPr>
                <w:sz w:val="20"/>
                <w:szCs w:val="20"/>
                <w:color w:val="auto"/>
              </w:rPr>
            </w:pPr>
            <w:r>
              <w:rPr>
                <w:rFonts w:ascii="Arial" w:cs="Arial" w:eastAsia="Arial" w:hAnsi="Arial"/>
                <w:sz w:val="10"/>
                <w:szCs w:val="10"/>
                <w:color w:val="auto"/>
              </w:rPr>
              <w:t>In progress for both targets. We plan to continue using energy Facility Management,</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2740" w:type="dxa"/>
            <w:vAlign w:val="bottom"/>
            <w:vMerge w:val="restart"/>
          </w:tcPr>
          <w:p>
            <w:pPr>
              <w:ind w:left="60"/>
              <w:spacing w:after="0"/>
              <w:rPr>
                <w:sz w:val="20"/>
                <w:szCs w:val="20"/>
                <w:color w:val="auto"/>
              </w:rPr>
            </w:pPr>
            <w:r>
              <w:rPr>
                <w:rFonts w:ascii="Arial" w:cs="Arial" w:eastAsia="Arial" w:hAnsi="Arial"/>
                <w:sz w:val="10"/>
                <w:szCs w:val="10"/>
                <w:color w:val="auto"/>
              </w:rPr>
              <w:t>Genmab sites globally to advance our target of reducing</w:t>
            </w:r>
          </w:p>
        </w:tc>
        <w:tc>
          <w:tcPr>
            <w:tcW w:w="2360" w:type="dxa"/>
            <w:vAlign w:val="bottom"/>
          </w:tcPr>
          <w:p>
            <w:pPr>
              <w:spacing w:after="0" w:line="95" w:lineRule="exact"/>
              <w:rPr>
                <w:sz w:val="20"/>
                <w:szCs w:val="20"/>
                <w:color w:val="auto"/>
              </w:rPr>
            </w:pPr>
            <w:r>
              <w:rPr>
                <w:rFonts w:ascii="Arial" w:cs="Arial" w:eastAsia="Arial" w:hAnsi="Arial"/>
                <w:sz w:val="10"/>
                <w:szCs w:val="10"/>
                <w:color w:val="auto"/>
              </w:rPr>
              <w:t>emissions by 42% through a reduction in Scope 2</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attribute certificates (EACs) as the primary decarbonization</w:t>
            </w:r>
          </w:p>
        </w:tc>
        <w:tc>
          <w:tcPr>
            <w:tcW w:w="1340" w:type="dxa"/>
            <w:vAlign w:val="bottom"/>
          </w:tcPr>
          <w:p>
            <w:pPr>
              <w:ind w:left="60"/>
              <w:spacing w:after="0" w:line="95" w:lineRule="exact"/>
              <w:rPr>
                <w:sz w:val="20"/>
                <w:szCs w:val="20"/>
                <w:color w:val="auto"/>
              </w:rPr>
            </w:pPr>
            <w:r>
              <w:rPr>
                <w:rFonts w:ascii="Arial" w:cs="Arial" w:eastAsia="Arial" w:hAnsi="Arial"/>
                <w:sz w:val="10"/>
                <w:szCs w:val="10"/>
                <w:color w:val="auto"/>
              </w:rPr>
              <w:t>Landlords and Utility</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2360" w:type="dxa"/>
            <w:vAlign w:val="bottom"/>
          </w:tcPr>
          <w:p>
            <w:pPr>
              <w:spacing w:after="0" w:line="95" w:lineRule="exact"/>
              <w:rPr>
                <w:sz w:val="20"/>
                <w:szCs w:val="20"/>
                <w:color w:val="auto"/>
              </w:rPr>
            </w:pPr>
            <w:r>
              <w:rPr>
                <w:rFonts w:ascii="Arial" w:cs="Arial" w:eastAsia="Arial" w:hAnsi="Arial"/>
                <w:sz w:val="10"/>
                <w:szCs w:val="10"/>
                <w:color w:val="auto"/>
              </w:rPr>
              <w:t>emissions by 2030 from a 2024 base year.</w:t>
            </w:r>
            <w:r>
              <w:rPr>
                <w:rFonts w:ascii="Arial" w:cs="Arial" w:eastAsia="Arial" w:hAnsi="Arial"/>
                <w:sz w:val="6"/>
                <w:szCs w:val="6"/>
                <w:color w:val="auto"/>
              </w:rPr>
              <w:t>2</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lever to reduce Scope 2 emissions to achieve our 2030</w:t>
            </w:r>
          </w:p>
        </w:tc>
        <w:tc>
          <w:tcPr>
            <w:tcW w:w="1340" w:type="dxa"/>
            <w:vAlign w:val="bottom"/>
          </w:tcPr>
          <w:p>
            <w:pPr>
              <w:ind w:left="60"/>
              <w:spacing w:after="0" w:line="95" w:lineRule="exact"/>
              <w:rPr>
                <w:sz w:val="20"/>
                <w:szCs w:val="20"/>
                <w:color w:val="auto"/>
              </w:rPr>
            </w:pPr>
            <w:r>
              <w:rPr>
                <w:rFonts w:ascii="Arial" w:cs="Arial" w:eastAsia="Arial" w:hAnsi="Arial"/>
                <w:sz w:val="10"/>
                <w:szCs w:val="10"/>
                <w:color w:val="auto"/>
              </w:rPr>
              <w:t>Providers</w:t>
            </w:r>
          </w:p>
        </w:tc>
        <w:tc>
          <w:tcPr>
            <w:tcW w:w="0" w:type="dxa"/>
            <w:vAlign w:val="bottom"/>
          </w:tcPr>
          <w:p>
            <w:pPr>
              <w:spacing w:after="0"/>
              <w:rPr>
                <w:sz w:val="1"/>
                <w:szCs w:val="1"/>
                <w:color w:val="auto"/>
              </w:rPr>
            </w:pPr>
          </w:p>
        </w:tc>
      </w:tr>
      <w:tr>
        <w:trPr>
          <w:trHeight w:val="105"/>
        </w:trPr>
        <w:tc>
          <w:tcPr>
            <w:tcW w:w="540" w:type="dxa"/>
            <w:vAlign w:val="bottom"/>
          </w:tcPr>
          <w:p>
            <w:pPr>
              <w:spacing w:after="0"/>
              <w:rPr>
                <w:sz w:val="9"/>
                <w:szCs w:val="9"/>
                <w:color w:val="auto"/>
              </w:rPr>
            </w:pPr>
          </w:p>
        </w:tc>
        <w:tc>
          <w:tcPr>
            <w:tcW w:w="2740" w:type="dxa"/>
            <w:vAlign w:val="bottom"/>
          </w:tcPr>
          <w:p>
            <w:pPr>
              <w:ind w:left="60"/>
              <w:spacing w:after="0" w:line="105" w:lineRule="exact"/>
              <w:rPr>
                <w:sz w:val="20"/>
                <w:szCs w:val="20"/>
                <w:color w:val="auto"/>
              </w:rPr>
            </w:pPr>
            <w:r>
              <w:rPr>
                <w:rFonts w:ascii="Arial" w:cs="Arial" w:eastAsia="Arial" w:hAnsi="Arial"/>
                <w:sz w:val="10"/>
                <w:szCs w:val="10"/>
                <w:color w:val="auto"/>
              </w:rPr>
              <w:t>Scope 2 emissions. Specifically, we began sourcing</w:t>
            </w:r>
          </w:p>
        </w:tc>
        <w:tc>
          <w:tcPr>
            <w:tcW w:w="2360" w:type="dxa"/>
            <w:vAlign w:val="bottom"/>
          </w:tcPr>
          <w:p>
            <w:pPr>
              <w:spacing w:after="0" w:line="105" w:lineRule="exact"/>
              <w:rPr>
                <w:sz w:val="20"/>
                <w:szCs w:val="20"/>
                <w:color w:val="auto"/>
              </w:rPr>
            </w:pPr>
            <w:r>
              <w:rPr>
                <w:rFonts w:ascii="Arial" w:cs="Arial" w:eastAsia="Arial" w:hAnsi="Arial"/>
                <w:sz w:val="10"/>
                <w:szCs w:val="10"/>
                <w:color w:val="auto"/>
              </w:rPr>
              <w:t>Reduce Scope 1 and 2 (market-based) emissions</w:t>
            </w:r>
          </w:p>
        </w:tc>
        <w:tc>
          <w:tcPr>
            <w:tcW w:w="2860" w:type="dxa"/>
            <w:vAlign w:val="bottom"/>
          </w:tcPr>
          <w:p>
            <w:pPr>
              <w:ind w:left="20"/>
              <w:spacing w:after="0" w:line="105" w:lineRule="exact"/>
              <w:rPr>
                <w:sz w:val="20"/>
                <w:szCs w:val="20"/>
                <w:color w:val="auto"/>
              </w:rPr>
            </w:pPr>
            <w:r>
              <w:rPr>
                <w:rFonts w:ascii="Arial" w:cs="Arial" w:eastAsia="Arial" w:hAnsi="Arial"/>
                <w:sz w:val="10"/>
                <w:szCs w:val="10"/>
                <w:color w:val="auto"/>
              </w:rPr>
              <w:t>GHG emissions reduction target. Additional levers are under</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40" w:type="dxa"/>
            <w:vAlign w:val="bottom"/>
          </w:tcPr>
          <w:p>
            <w:pPr>
              <w:spacing w:after="0"/>
              <w:rPr>
                <w:sz w:val="7"/>
                <w:szCs w:val="7"/>
                <w:color w:val="auto"/>
              </w:rPr>
            </w:pPr>
          </w:p>
        </w:tc>
        <w:tc>
          <w:tcPr>
            <w:tcW w:w="2740" w:type="dxa"/>
            <w:vAlign w:val="bottom"/>
          </w:tcPr>
          <w:p>
            <w:pPr>
              <w:ind w:left="60"/>
              <w:spacing w:after="0" w:line="86" w:lineRule="exact"/>
              <w:rPr>
                <w:sz w:val="20"/>
                <w:szCs w:val="20"/>
                <w:color w:val="auto"/>
              </w:rPr>
            </w:pPr>
            <w:r>
              <w:rPr>
                <w:rFonts w:ascii="Arial" w:cs="Arial" w:eastAsia="Arial" w:hAnsi="Arial"/>
                <w:sz w:val="9"/>
                <w:szCs w:val="9"/>
                <w:color w:val="auto"/>
              </w:rPr>
              <w:t>renewable electricity by use of unbundled renewable</w:t>
            </w:r>
          </w:p>
        </w:tc>
        <w:tc>
          <w:tcPr>
            <w:tcW w:w="2360" w:type="dxa"/>
            <w:vAlign w:val="bottom"/>
          </w:tcPr>
          <w:p>
            <w:pPr>
              <w:spacing w:after="0" w:line="86" w:lineRule="exact"/>
              <w:rPr>
                <w:sz w:val="20"/>
                <w:szCs w:val="20"/>
                <w:color w:val="auto"/>
              </w:rPr>
            </w:pPr>
            <w:r>
              <w:rPr>
                <w:rFonts w:ascii="Arial" w:cs="Arial" w:eastAsia="Arial" w:hAnsi="Arial"/>
                <w:sz w:val="9"/>
                <w:szCs w:val="9"/>
                <w:color w:val="auto"/>
              </w:rPr>
              <w:t>by 90% by 2050 from a 2024 base year</w:t>
            </w:r>
          </w:p>
        </w:tc>
        <w:tc>
          <w:tcPr>
            <w:tcW w:w="2860" w:type="dxa"/>
            <w:vAlign w:val="bottom"/>
          </w:tcPr>
          <w:p>
            <w:pPr>
              <w:ind w:left="20"/>
              <w:spacing w:after="0" w:line="86" w:lineRule="exact"/>
              <w:rPr>
                <w:sz w:val="20"/>
                <w:szCs w:val="20"/>
                <w:color w:val="auto"/>
              </w:rPr>
            </w:pPr>
            <w:r>
              <w:rPr>
                <w:rFonts w:ascii="Arial" w:cs="Arial" w:eastAsia="Arial" w:hAnsi="Arial"/>
                <w:sz w:val="9"/>
                <w:szCs w:val="9"/>
                <w:color w:val="auto"/>
              </w:rPr>
              <w:t>investigation, and their quantitative impacts will be disclosed</w:t>
            </w: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540" w:type="dxa"/>
            <w:vAlign w:val="bottom"/>
          </w:tcPr>
          <w:p>
            <w:pPr>
              <w:spacing w:after="0"/>
              <w:rPr>
                <w:sz w:val="11"/>
                <w:szCs w:val="11"/>
                <w:color w:val="auto"/>
              </w:rPr>
            </w:pPr>
          </w:p>
        </w:tc>
        <w:tc>
          <w:tcPr>
            <w:tcW w:w="2740" w:type="dxa"/>
            <w:vAlign w:val="bottom"/>
          </w:tcPr>
          <w:p>
            <w:pPr>
              <w:ind w:left="60"/>
              <w:spacing w:after="0"/>
              <w:rPr>
                <w:sz w:val="20"/>
                <w:szCs w:val="20"/>
                <w:color w:val="auto"/>
              </w:rPr>
            </w:pPr>
            <w:r>
              <w:rPr>
                <w:rFonts w:ascii="Arial" w:cs="Arial" w:eastAsia="Arial" w:hAnsi="Arial"/>
                <w:sz w:val="10"/>
                <w:szCs w:val="10"/>
                <w:color w:val="auto"/>
              </w:rPr>
              <w:t>energy certificates at our sites in China during 2025.</w:t>
            </w:r>
          </w:p>
        </w:tc>
        <w:tc>
          <w:tcPr>
            <w:tcW w:w="2360" w:type="dxa"/>
            <w:vAlign w:val="bottom"/>
          </w:tcPr>
          <w:p>
            <w:pPr>
              <w:spacing w:after="0"/>
              <w:rPr>
                <w:sz w:val="11"/>
                <w:szCs w:val="11"/>
                <w:color w:val="auto"/>
              </w:rPr>
            </w:pPr>
          </w:p>
        </w:tc>
        <w:tc>
          <w:tcPr>
            <w:tcW w:w="2860" w:type="dxa"/>
            <w:vAlign w:val="bottom"/>
          </w:tcPr>
          <w:p>
            <w:pPr>
              <w:ind w:left="20"/>
              <w:spacing w:after="0"/>
              <w:rPr>
                <w:sz w:val="20"/>
                <w:szCs w:val="20"/>
                <w:color w:val="auto"/>
              </w:rPr>
            </w:pPr>
            <w:r>
              <w:rPr>
                <w:rFonts w:ascii="Arial" w:cs="Arial" w:eastAsia="Arial" w:hAnsi="Arial"/>
                <w:sz w:val="10"/>
                <w:szCs w:val="10"/>
                <w:color w:val="auto"/>
              </w:rPr>
              <w:t>when available.</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2740" w:type="dxa"/>
            <w:vAlign w:val="bottom"/>
          </w:tcPr>
          <w:p>
            <w:pPr>
              <w:ind w:left="60"/>
              <w:spacing w:after="0"/>
              <w:rPr>
                <w:sz w:val="20"/>
                <w:szCs w:val="20"/>
                <w:color w:val="auto"/>
              </w:rPr>
            </w:pPr>
            <w:r>
              <w:rPr>
                <w:rFonts w:ascii="Arial" w:cs="Arial" w:eastAsia="Arial" w:hAnsi="Arial"/>
                <w:sz w:val="10"/>
                <w:szCs w:val="10"/>
                <w:color w:val="auto"/>
              </w:rPr>
              <w:t>Genmab monitored the climate ambitions of our top</w:t>
            </w:r>
          </w:p>
        </w:tc>
        <w:tc>
          <w:tcPr>
            <w:tcW w:w="2360" w:type="dxa"/>
            <w:vAlign w:val="bottom"/>
          </w:tcPr>
          <w:p>
            <w:pPr>
              <w:spacing w:after="0"/>
              <w:rPr>
                <w:sz w:val="20"/>
                <w:szCs w:val="20"/>
                <w:color w:val="auto"/>
              </w:rPr>
            </w:pPr>
            <w:r>
              <w:rPr>
                <w:rFonts w:ascii="Arial" w:cs="Arial" w:eastAsia="Arial" w:hAnsi="Arial"/>
                <w:sz w:val="10"/>
                <w:szCs w:val="10"/>
                <w:color w:val="auto"/>
              </w:rPr>
              <w:t>Ensure 70% of suppliers by spend covering</w:t>
            </w:r>
          </w:p>
        </w:tc>
        <w:tc>
          <w:tcPr>
            <w:tcW w:w="2860" w:type="dxa"/>
            <w:vAlign w:val="bottom"/>
          </w:tcPr>
          <w:p>
            <w:pPr>
              <w:ind w:left="20"/>
              <w:spacing w:after="0"/>
              <w:rPr>
                <w:sz w:val="20"/>
                <w:szCs w:val="20"/>
                <w:color w:val="auto"/>
              </w:rPr>
            </w:pPr>
            <w:r>
              <w:rPr>
                <w:rFonts w:ascii="Arial" w:cs="Arial" w:eastAsia="Arial" w:hAnsi="Arial"/>
                <w:sz w:val="10"/>
                <w:szCs w:val="10"/>
                <w:color w:val="auto"/>
              </w:rPr>
              <w:t>In progress. The benchmarking confirmed that we remain on</w:t>
            </w:r>
          </w:p>
        </w:tc>
        <w:tc>
          <w:tcPr>
            <w:tcW w:w="1340" w:type="dxa"/>
            <w:vAlign w:val="bottom"/>
          </w:tcPr>
          <w:p>
            <w:pPr>
              <w:ind w:left="60"/>
              <w:spacing w:after="0"/>
              <w:rPr>
                <w:sz w:val="20"/>
                <w:szCs w:val="20"/>
                <w:color w:val="auto"/>
              </w:rPr>
            </w:pPr>
            <w:r>
              <w:rPr>
                <w:rFonts w:ascii="Arial" w:cs="Arial" w:eastAsia="Arial" w:hAnsi="Arial"/>
                <w:sz w:val="10"/>
                <w:szCs w:val="10"/>
                <w:color w:val="auto"/>
              </w:rPr>
              <w:t>Suppliers and</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2740" w:type="dxa"/>
            <w:vAlign w:val="bottom"/>
          </w:tcPr>
          <w:p>
            <w:pPr>
              <w:ind w:left="60"/>
              <w:spacing w:after="0" w:line="95" w:lineRule="exact"/>
              <w:rPr>
                <w:sz w:val="20"/>
                <w:szCs w:val="20"/>
                <w:color w:val="auto"/>
              </w:rPr>
            </w:pPr>
            <w:r>
              <w:rPr>
                <w:rFonts w:ascii="Arial" w:cs="Arial" w:eastAsia="Arial" w:hAnsi="Arial"/>
                <w:sz w:val="10"/>
                <w:szCs w:val="10"/>
                <w:color w:val="auto"/>
              </w:rPr>
              <w:t>suppliers to ensure traction towards our 2030 target of at</w:t>
            </w:r>
          </w:p>
        </w:tc>
        <w:tc>
          <w:tcPr>
            <w:tcW w:w="2360" w:type="dxa"/>
            <w:vAlign w:val="bottom"/>
          </w:tcPr>
          <w:p>
            <w:pPr>
              <w:spacing w:after="0" w:line="95" w:lineRule="exact"/>
              <w:rPr>
                <w:sz w:val="20"/>
                <w:szCs w:val="20"/>
                <w:color w:val="auto"/>
              </w:rPr>
            </w:pPr>
            <w:r>
              <w:rPr>
                <w:rFonts w:ascii="Arial" w:cs="Arial" w:eastAsia="Arial" w:hAnsi="Arial"/>
                <w:sz w:val="10"/>
                <w:szCs w:val="10"/>
                <w:color w:val="auto"/>
              </w:rPr>
              <w:t>upstream purchases goods and services, capital</w:t>
            </w:r>
          </w:p>
        </w:tc>
        <w:tc>
          <w:tcPr>
            <w:tcW w:w="42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track to meet our 2030 target and enabled us to identify priorityProcurement.</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2740" w:type="dxa"/>
            <w:vAlign w:val="bottom"/>
          </w:tcPr>
          <w:p>
            <w:pPr>
              <w:ind w:left="60"/>
              <w:spacing w:after="0" w:line="95" w:lineRule="exact"/>
              <w:rPr>
                <w:sz w:val="20"/>
                <w:szCs w:val="20"/>
                <w:color w:val="auto"/>
              </w:rPr>
            </w:pPr>
            <w:r>
              <w:rPr>
                <w:rFonts w:ascii="Arial" w:cs="Arial" w:eastAsia="Arial" w:hAnsi="Arial"/>
                <w:sz w:val="10"/>
                <w:szCs w:val="10"/>
                <w:color w:val="auto"/>
              </w:rPr>
              <w:t>least 70% (by spend) of our suppliers having a science-</w:t>
            </w:r>
          </w:p>
        </w:tc>
        <w:tc>
          <w:tcPr>
            <w:tcW w:w="2360" w:type="dxa"/>
            <w:vAlign w:val="bottom"/>
          </w:tcPr>
          <w:p>
            <w:pPr>
              <w:spacing w:after="0" w:line="95" w:lineRule="exact"/>
              <w:rPr>
                <w:sz w:val="20"/>
                <w:szCs w:val="20"/>
                <w:color w:val="auto"/>
              </w:rPr>
            </w:pPr>
            <w:r>
              <w:rPr>
                <w:rFonts w:ascii="Arial" w:cs="Arial" w:eastAsia="Arial" w:hAnsi="Arial"/>
                <w:sz w:val="10"/>
                <w:szCs w:val="10"/>
                <w:color w:val="auto"/>
              </w:rPr>
              <w:t>goods and upstream transportation commit to have</w:t>
            </w:r>
          </w:p>
        </w:tc>
        <w:tc>
          <w:tcPr>
            <w:tcW w:w="2860" w:type="dxa"/>
            <w:vAlign w:val="bottom"/>
            <w:vMerge w:val="restart"/>
          </w:tcPr>
          <w:p>
            <w:pPr>
              <w:ind w:left="20"/>
              <w:spacing w:after="0"/>
              <w:rPr>
                <w:sz w:val="20"/>
                <w:szCs w:val="20"/>
                <w:color w:val="auto"/>
              </w:rPr>
            </w:pPr>
            <w:r>
              <w:rPr>
                <w:rFonts w:ascii="Arial" w:cs="Arial" w:eastAsia="Arial" w:hAnsi="Arial"/>
                <w:sz w:val="10"/>
                <w:szCs w:val="10"/>
                <w:color w:val="auto"/>
              </w:rPr>
              <w:t>areas for supplier engagement, highlighting action hotspots</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2740" w:type="dxa"/>
            <w:vAlign w:val="bottom"/>
          </w:tcPr>
          <w:p>
            <w:pPr>
              <w:ind w:left="60"/>
              <w:spacing w:after="0" w:line="95" w:lineRule="exact"/>
              <w:rPr>
                <w:sz w:val="20"/>
                <w:szCs w:val="20"/>
                <w:color w:val="auto"/>
              </w:rPr>
            </w:pPr>
            <w:r>
              <w:rPr>
                <w:rFonts w:ascii="Arial" w:cs="Arial" w:eastAsia="Arial" w:hAnsi="Arial"/>
                <w:sz w:val="10"/>
                <w:szCs w:val="10"/>
                <w:color w:val="auto"/>
              </w:rPr>
              <w:t>aligned target.</w:t>
            </w:r>
          </w:p>
        </w:tc>
        <w:tc>
          <w:tcPr>
            <w:tcW w:w="2360" w:type="dxa"/>
            <w:vAlign w:val="bottom"/>
            <w:vMerge w:val="restart"/>
          </w:tcPr>
          <w:p>
            <w:pPr>
              <w:spacing w:after="0"/>
              <w:rPr>
                <w:sz w:val="20"/>
                <w:szCs w:val="20"/>
                <w:color w:val="auto"/>
              </w:rPr>
            </w:pPr>
            <w:r>
              <w:rPr>
                <w:rFonts w:ascii="Arial" w:cs="Arial" w:eastAsia="Arial" w:hAnsi="Arial"/>
                <w:sz w:val="10"/>
                <w:szCs w:val="10"/>
                <w:color w:val="auto"/>
              </w:rPr>
              <w:t>science-aligned targets by 2030.</w:t>
            </w:r>
            <w:r>
              <w:rPr>
                <w:rFonts w:ascii="Arial" w:cs="Arial" w:eastAsia="Arial" w:hAnsi="Arial"/>
                <w:sz w:val="6"/>
                <w:szCs w:val="6"/>
                <w:color w:val="auto"/>
              </w:rPr>
              <w:t>3</w:t>
            </w:r>
          </w:p>
        </w:tc>
        <w:tc>
          <w:tcPr>
            <w:tcW w:w="286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860" w:type="dxa"/>
            <w:vAlign w:val="bottom"/>
          </w:tcPr>
          <w:p>
            <w:pPr>
              <w:ind w:left="20"/>
              <w:spacing w:after="0"/>
              <w:rPr>
                <w:sz w:val="20"/>
                <w:szCs w:val="20"/>
                <w:color w:val="auto"/>
              </w:rPr>
            </w:pPr>
            <w:r>
              <w:rPr>
                <w:rFonts w:ascii="Arial" w:cs="Arial" w:eastAsia="Arial" w:hAnsi="Arial"/>
                <w:sz w:val="10"/>
                <w:szCs w:val="10"/>
                <w:color w:val="auto"/>
              </w:rPr>
              <w:t>where targeted collaboration will have the greatest impact.</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auto"/>
        <w:rPr>
          <w:sz w:val="20"/>
          <w:szCs w:val="20"/>
          <w:color w:val="auto"/>
        </w:rPr>
      </w:pPr>
      <w:r>
        <w:rPr>
          <w:rFonts w:ascii="Arial" w:cs="Arial" w:eastAsia="Arial" w:hAnsi="Arial"/>
          <w:sz w:val="10"/>
          <w:szCs w:val="10"/>
          <w:color w:val="0057CF"/>
        </w:rPr>
        <w:t>Refer to E1-5 and E1-6 for further details on energy usage and mix, and GHG emissions. Refer to section GOV-3 for climate related targets related to Executive Management incentive compensation.</w:t>
      </w:r>
    </w:p>
    <w:p>
      <w:pPr>
        <w:ind w:left="80" w:hanging="74"/>
        <w:spacing w:after="0"/>
        <w:tabs>
          <w:tab w:leader="none" w:pos="80" w:val="left"/>
        </w:tabs>
        <w:numPr>
          <w:ilvl w:val="0"/>
          <w:numId w:val="29"/>
        </w:numPr>
        <w:rPr>
          <w:rFonts w:ascii="Arial" w:cs="Arial" w:eastAsia="Arial" w:hAnsi="Arial"/>
          <w:sz w:val="7"/>
          <w:szCs w:val="7"/>
          <w:color w:val="auto"/>
        </w:rPr>
      </w:pPr>
      <w:r>
        <w:rPr>
          <w:rFonts w:ascii="Arial" w:cs="Arial" w:eastAsia="Arial" w:hAnsi="Arial"/>
          <w:sz w:val="7"/>
          <w:szCs w:val="7"/>
          <w:color w:val="auto"/>
        </w:rPr>
        <w:t>Executive Management received RSU grants in 2023 with performance linked to developing and executing on a sustainable climate-related strategy.</w:t>
      </w:r>
    </w:p>
    <w:p>
      <w:pPr>
        <w:spacing w:after="0" w:line="5" w:lineRule="exact"/>
        <w:rPr>
          <w:rFonts w:ascii="Arial" w:cs="Arial" w:eastAsia="Arial" w:hAnsi="Arial"/>
          <w:sz w:val="7"/>
          <w:szCs w:val="7"/>
          <w:color w:val="auto"/>
        </w:rPr>
      </w:pPr>
    </w:p>
    <w:p>
      <w:pPr>
        <w:ind w:right="660" w:firstLine="6"/>
        <w:spacing w:after="0" w:line="270" w:lineRule="auto"/>
        <w:tabs>
          <w:tab w:leader="none" w:pos="76" w:val="left"/>
        </w:tabs>
        <w:numPr>
          <w:ilvl w:val="0"/>
          <w:numId w:val="29"/>
        </w:numPr>
        <w:rPr>
          <w:rFonts w:ascii="Arial" w:cs="Arial" w:eastAsia="Arial" w:hAnsi="Arial"/>
          <w:sz w:val="7"/>
          <w:szCs w:val="7"/>
          <w:color w:val="auto"/>
        </w:rPr>
      </w:pPr>
      <w:r>
        <w:rPr>
          <w:rFonts w:ascii="Arial" w:cs="Arial" w:eastAsia="Arial" w:hAnsi="Arial"/>
          <w:sz w:val="7"/>
          <w:szCs w:val="7"/>
          <w:color w:val="auto"/>
        </w:rPr>
        <w:t>Executive Management received RSU grants in 2024 with performance linked to Scope 1 and Scope 2 emission reductions by 42% by 2030 from a 2021 base year. The grant occurred prior to our base year update to 2024 due to significant changes in our structure and corresponding emissions (ProfoundBio acquisition in May 2024) and achievement will be assessed prior to base year update. Executive Management received RSU grants in 2025 with performance linked to Scope 1 and Scope 2 emission reductions by 42% by 2030 from a 2024 base year.</w:t>
      </w:r>
    </w:p>
    <w:p>
      <w:pPr>
        <w:spacing w:after="0" w:line="75" w:lineRule="exact"/>
        <w:rPr>
          <w:rFonts w:ascii="Arial" w:cs="Arial" w:eastAsia="Arial" w:hAnsi="Arial"/>
          <w:sz w:val="7"/>
          <w:szCs w:val="7"/>
          <w:color w:val="auto"/>
        </w:rPr>
      </w:pPr>
    </w:p>
    <w:p>
      <w:pPr>
        <w:ind w:left="80" w:hanging="74"/>
        <w:spacing w:after="0"/>
        <w:tabs>
          <w:tab w:leader="none" w:pos="80" w:val="left"/>
        </w:tabs>
        <w:numPr>
          <w:ilvl w:val="0"/>
          <w:numId w:val="29"/>
        </w:numPr>
        <w:rPr>
          <w:rFonts w:ascii="Arial" w:cs="Arial" w:eastAsia="Arial" w:hAnsi="Arial"/>
          <w:sz w:val="7"/>
          <w:szCs w:val="7"/>
          <w:color w:val="auto"/>
        </w:rPr>
      </w:pPr>
      <w:r>
        <w:rPr>
          <w:rFonts w:ascii="Arial" w:cs="Arial" w:eastAsia="Arial" w:hAnsi="Arial"/>
          <w:sz w:val="7"/>
          <w:szCs w:val="7"/>
          <w:color w:val="auto"/>
        </w:rPr>
        <w:t>Executive Management received RSU grants in 2024 and 2025 with performance linked to supplier engagement ensuring two thirds of suppliers by spend committed to a Paris Agreement aligned climate target by 2030.</w:t>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54"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76</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24" w:lineRule="auto"/>
        <w:rPr>
          <w:sz w:val="20"/>
          <w:szCs w:val="20"/>
          <w:color w:val="auto"/>
        </w:rPr>
      </w:pPr>
      <w:r>
        <w:rPr>
          <w:rFonts w:ascii="Arial" w:cs="Arial" w:eastAsia="Arial" w:hAnsi="Arial"/>
          <w:sz w:val="13"/>
          <w:szCs w:val="13"/>
          <w:b w:val="1"/>
          <w:bCs w:val="1"/>
          <w:color w:val="0057CF"/>
        </w:rPr>
        <w:t>Energy consumption and mix (E1-5)</w:t>
      </w:r>
    </w:p>
    <w:tbl>
      <w:tblPr>
        <w:tblLayout w:type="fixed"/>
        <w:tblInd w:w="0" w:type="dxa"/>
        <w:tblCellMar>
          <w:top w:w="0" w:type="dxa"/>
          <w:left w:w="0" w:type="dxa"/>
          <w:bottom w:w="0" w:type="dxa"/>
          <w:right w:w="0" w:type="dxa"/>
        </w:tblCellMar>
      </w:tblPr>
      <w:tr>
        <w:trPr>
          <w:trHeight w:val="123"/>
        </w:trPr>
        <w:tc>
          <w:tcPr>
            <w:tcW w:w="120" w:type="dxa"/>
            <w:vAlign w:val="bottom"/>
            <w:tcBorders>
              <w:top w:val="single" w:sz="8" w:color="0057CF"/>
            </w:tcBorders>
          </w:tcPr>
          <w:p>
            <w:pPr>
              <w:spacing w:after="0"/>
              <w:rPr>
                <w:sz w:val="10"/>
                <w:szCs w:val="10"/>
                <w:color w:val="auto"/>
              </w:rPr>
            </w:pPr>
          </w:p>
        </w:tc>
        <w:tc>
          <w:tcPr>
            <w:tcW w:w="1560" w:type="dxa"/>
            <w:vAlign w:val="bottom"/>
            <w:tcBorders>
              <w:top w:val="single" w:sz="8" w:color="0057CF"/>
            </w:tcBorders>
          </w:tcPr>
          <w:p>
            <w:pPr>
              <w:spacing w:after="0"/>
              <w:rPr>
                <w:sz w:val="10"/>
                <w:szCs w:val="10"/>
                <w:color w:val="auto"/>
              </w:rPr>
            </w:pPr>
          </w:p>
        </w:tc>
        <w:tc>
          <w:tcPr>
            <w:tcW w:w="400" w:type="dxa"/>
            <w:vAlign w:val="bottom"/>
            <w:tcBorders>
              <w:top w:val="single" w:sz="8" w:color="0057CF"/>
            </w:tcBorders>
          </w:tcPr>
          <w:p>
            <w:pPr>
              <w:spacing w:after="0"/>
              <w:rPr>
                <w:sz w:val="10"/>
                <w:szCs w:val="10"/>
                <w:color w:val="auto"/>
              </w:rPr>
            </w:pPr>
          </w:p>
        </w:tc>
        <w:tc>
          <w:tcPr>
            <w:tcW w:w="560" w:type="dxa"/>
            <w:vAlign w:val="bottom"/>
            <w:tcBorders>
              <w:top w:val="single" w:sz="8" w:color="0057CF"/>
            </w:tcBorders>
          </w:tcPr>
          <w:p>
            <w:pPr>
              <w:ind w:left="140"/>
              <w:spacing w:after="0"/>
              <w:rPr>
                <w:sz w:val="20"/>
                <w:szCs w:val="20"/>
                <w:color w:val="auto"/>
              </w:rPr>
            </w:pPr>
            <w:r>
              <w:rPr>
                <w:rFonts w:ascii="Arial" w:cs="Arial" w:eastAsia="Arial" w:hAnsi="Arial"/>
                <w:sz w:val="10"/>
                <w:szCs w:val="10"/>
                <w:b w:val="1"/>
                <w:bCs w:val="1"/>
                <w:color w:val="0057CF"/>
              </w:rPr>
              <w:t>2025</w:t>
            </w:r>
          </w:p>
        </w:tc>
        <w:tc>
          <w:tcPr>
            <w:tcW w:w="620" w:type="dxa"/>
            <w:vAlign w:val="bottom"/>
            <w:tcBorders>
              <w:top w:val="single" w:sz="8" w:color="0057CF"/>
            </w:tcBorders>
          </w:tcPr>
          <w:p>
            <w:pPr>
              <w:ind w:left="100"/>
              <w:spacing w:after="0"/>
              <w:rPr>
                <w:sz w:val="20"/>
                <w:szCs w:val="20"/>
                <w:color w:val="auto"/>
              </w:rPr>
            </w:pPr>
            <w:r>
              <w:rPr>
                <w:rFonts w:ascii="Arial" w:cs="Arial" w:eastAsia="Arial" w:hAnsi="Arial"/>
                <w:sz w:val="10"/>
                <w:szCs w:val="10"/>
                <w:b w:val="1"/>
                <w:bCs w:val="1"/>
                <w:color w:val="auto"/>
              </w:rPr>
              <w:t>2024</w:t>
            </w:r>
            <w:r>
              <w:rPr>
                <w:rFonts w:ascii="Arial" w:cs="Arial" w:eastAsia="Arial" w:hAnsi="Arial"/>
                <w:sz w:val="6"/>
                <w:szCs w:val="6"/>
                <w:b w:val="1"/>
                <w:bCs w:val="1"/>
                <w:color w:val="auto"/>
              </w:rPr>
              <w:t>3</w:t>
            </w:r>
          </w:p>
        </w:tc>
      </w:tr>
      <w:tr>
        <w:trPr>
          <w:trHeight w:val="137"/>
        </w:trPr>
        <w:tc>
          <w:tcPr>
            <w:tcW w:w="120" w:type="dxa"/>
            <w:vAlign w:val="bottom"/>
          </w:tcPr>
          <w:p>
            <w:pPr>
              <w:jc w:val="right"/>
              <w:spacing w:after="0"/>
              <w:rPr>
                <w:sz w:val="20"/>
                <w:szCs w:val="20"/>
                <w:color w:val="auto"/>
              </w:rPr>
            </w:pPr>
            <w:r>
              <w:rPr>
                <w:rFonts w:ascii="Arial" w:cs="Arial" w:eastAsia="Arial" w:hAnsi="Arial"/>
                <w:sz w:val="10"/>
                <w:szCs w:val="10"/>
                <w:color w:val="auto"/>
              </w:rPr>
              <w:t>1</w:t>
            </w:r>
          </w:p>
        </w:tc>
        <w:tc>
          <w:tcPr>
            <w:tcW w:w="1560" w:type="dxa"/>
            <w:vAlign w:val="bottom"/>
          </w:tcPr>
          <w:p>
            <w:pPr>
              <w:ind w:left="20"/>
              <w:spacing w:after="0"/>
              <w:rPr>
                <w:sz w:val="20"/>
                <w:szCs w:val="20"/>
                <w:color w:val="auto"/>
              </w:rPr>
            </w:pPr>
            <w:r>
              <w:rPr>
                <w:rFonts w:ascii="Arial" w:cs="Arial" w:eastAsia="Arial" w:hAnsi="Arial"/>
                <w:sz w:val="10"/>
                <w:szCs w:val="10"/>
                <w:color w:val="auto"/>
              </w:rPr>
              <w:t>Total fossil energy consumption</w:t>
            </w:r>
          </w:p>
        </w:tc>
        <w:tc>
          <w:tcPr>
            <w:tcW w:w="400" w:type="dxa"/>
            <w:vAlign w:val="bottom"/>
          </w:tcPr>
          <w:p>
            <w:pPr>
              <w:ind w:left="20"/>
              <w:spacing w:after="0"/>
              <w:rPr>
                <w:sz w:val="20"/>
                <w:szCs w:val="20"/>
                <w:color w:val="auto"/>
              </w:rPr>
            </w:pPr>
            <w:r>
              <w:rPr>
                <w:rFonts w:ascii="Arial" w:cs="Arial" w:eastAsia="Arial" w:hAnsi="Arial"/>
                <w:sz w:val="10"/>
                <w:szCs w:val="10"/>
                <w:color w:val="auto"/>
              </w:rPr>
              <w:t>MWh</w:t>
            </w:r>
          </w:p>
        </w:tc>
        <w:tc>
          <w:tcPr>
            <w:tcW w:w="560" w:type="dxa"/>
            <w:vAlign w:val="bottom"/>
          </w:tcPr>
          <w:p>
            <w:pPr>
              <w:ind w:left="140"/>
              <w:spacing w:after="0"/>
              <w:rPr>
                <w:sz w:val="20"/>
                <w:szCs w:val="20"/>
                <w:color w:val="auto"/>
              </w:rPr>
            </w:pPr>
            <w:r>
              <w:rPr>
                <w:rFonts w:ascii="Arial" w:cs="Arial" w:eastAsia="Arial" w:hAnsi="Arial"/>
                <w:sz w:val="10"/>
                <w:szCs w:val="10"/>
                <w:color w:val="0057CF"/>
              </w:rPr>
              <w:t>4,469</w:t>
            </w:r>
          </w:p>
        </w:tc>
        <w:tc>
          <w:tcPr>
            <w:tcW w:w="620" w:type="dxa"/>
            <w:vAlign w:val="bottom"/>
          </w:tcPr>
          <w:p>
            <w:pPr>
              <w:ind w:left="100"/>
              <w:spacing w:after="0"/>
              <w:rPr>
                <w:sz w:val="20"/>
                <w:szCs w:val="20"/>
                <w:color w:val="auto"/>
              </w:rPr>
            </w:pPr>
            <w:r>
              <w:rPr>
                <w:rFonts w:ascii="Arial" w:cs="Arial" w:eastAsia="Arial" w:hAnsi="Arial"/>
                <w:sz w:val="10"/>
                <w:szCs w:val="10"/>
                <w:color w:val="auto"/>
              </w:rPr>
              <w:t>5,120</w:t>
            </w:r>
          </w:p>
        </w:tc>
      </w:tr>
      <w:tr>
        <w:trPr>
          <w:trHeight w:val="120"/>
        </w:trPr>
        <w:tc>
          <w:tcPr>
            <w:tcW w:w="120" w:type="dxa"/>
            <w:vAlign w:val="bottom"/>
          </w:tcPr>
          <w:p>
            <w:pPr>
              <w:spacing w:after="0"/>
              <w:rPr>
                <w:sz w:val="10"/>
                <w:szCs w:val="10"/>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Share of fossil sources in total</w:t>
            </w:r>
          </w:p>
        </w:tc>
        <w:tc>
          <w:tcPr>
            <w:tcW w:w="400" w:type="dxa"/>
            <w:vAlign w:val="bottom"/>
          </w:tcPr>
          <w:p>
            <w:pPr>
              <w:ind w:left="20"/>
              <w:spacing w:after="0"/>
              <w:rPr>
                <w:sz w:val="20"/>
                <w:szCs w:val="20"/>
                <w:color w:val="auto"/>
              </w:rPr>
            </w:pPr>
            <w:r>
              <w:rPr>
                <w:rFonts w:ascii="Arial" w:cs="Arial" w:eastAsia="Arial" w:hAnsi="Arial"/>
                <w:sz w:val="10"/>
                <w:szCs w:val="10"/>
                <w:color w:val="auto"/>
              </w:rPr>
              <w:t>%</w:t>
            </w:r>
          </w:p>
        </w:tc>
        <w:tc>
          <w:tcPr>
            <w:tcW w:w="560" w:type="dxa"/>
            <w:vAlign w:val="bottom"/>
          </w:tcPr>
          <w:p>
            <w:pPr>
              <w:ind w:left="140"/>
              <w:spacing w:after="0"/>
              <w:rPr>
                <w:sz w:val="20"/>
                <w:szCs w:val="20"/>
                <w:color w:val="auto"/>
              </w:rPr>
            </w:pPr>
            <w:r>
              <w:rPr>
                <w:rFonts w:ascii="Arial" w:cs="Arial" w:eastAsia="Arial" w:hAnsi="Arial"/>
                <w:sz w:val="10"/>
                <w:szCs w:val="10"/>
                <w:color w:val="0057CF"/>
              </w:rPr>
              <w:t>35 %</w:t>
            </w:r>
          </w:p>
        </w:tc>
        <w:tc>
          <w:tcPr>
            <w:tcW w:w="620" w:type="dxa"/>
            <w:vAlign w:val="bottom"/>
          </w:tcPr>
          <w:p>
            <w:pPr>
              <w:ind w:left="100"/>
              <w:spacing w:after="0"/>
              <w:rPr>
                <w:sz w:val="20"/>
                <w:szCs w:val="20"/>
                <w:color w:val="auto"/>
              </w:rPr>
            </w:pPr>
            <w:r>
              <w:rPr>
                <w:rFonts w:ascii="Arial" w:cs="Arial" w:eastAsia="Arial" w:hAnsi="Arial"/>
                <w:sz w:val="10"/>
                <w:szCs w:val="10"/>
                <w:color w:val="auto"/>
              </w:rPr>
              <w:t>40 %</w:t>
            </w: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energy consumption</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0"/>
        </w:trPr>
        <w:tc>
          <w:tcPr>
            <w:tcW w:w="120" w:type="dxa"/>
            <w:vAlign w:val="bottom"/>
          </w:tcPr>
          <w:p>
            <w:pPr>
              <w:jc w:val="right"/>
              <w:spacing w:after="0"/>
              <w:rPr>
                <w:sz w:val="20"/>
                <w:szCs w:val="20"/>
                <w:color w:val="auto"/>
              </w:rPr>
            </w:pPr>
            <w:r>
              <w:rPr>
                <w:rFonts w:ascii="Arial" w:cs="Arial" w:eastAsia="Arial" w:hAnsi="Arial"/>
                <w:sz w:val="10"/>
                <w:szCs w:val="10"/>
                <w:color w:val="auto"/>
              </w:rPr>
              <w:t>2</w:t>
            </w:r>
          </w:p>
        </w:tc>
        <w:tc>
          <w:tcPr>
            <w:tcW w:w="1560" w:type="dxa"/>
            <w:vAlign w:val="bottom"/>
          </w:tcPr>
          <w:p>
            <w:pPr>
              <w:ind w:left="20"/>
              <w:spacing w:after="0"/>
              <w:rPr>
                <w:sz w:val="20"/>
                <w:szCs w:val="20"/>
                <w:color w:val="auto"/>
              </w:rPr>
            </w:pPr>
            <w:r>
              <w:rPr>
                <w:rFonts w:ascii="Arial" w:cs="Arial" w:eastAsia="Arial" w:hAnsi="Arial"/>
                <w:sz w:val="10"/>
                <w:szCs w:val="10"/>
                <w:color w:val="auto"/>
              </w:rPr>
              <w:t>Consumption from nuclear</w:t>
            </w:r>
          </w:p>
        </w:tc>
        <w:tc>
          <w:tcPr>
            <w:tcW w:w="400" w:type="dxa"/>
            <w:vAlign w:val="bottom"/>
          </w:tcPr>
          <w:p>
            <w:pPr>
              <w:ind w:left="20"/>
              <w:spacing w:after="0"/>
              <w:rPr>
                <w:sz w:val="20"/>
                <w:szCs w:val="20"/>
                <w:color w:val="auto"/>
              </w:rPr>
            </w:pPr>
            <w:r>
              <w:rPr>
                <w:rFonts w:ascii="Arial" w:cs="Arial" w:eastAsia="Arial" w:hAnsi="Arial"/>
                <w:sz w:val="10"/>
                <w:szCs w:val="10"/>
                <w:color w:val="auto"/>
              </w:rPr>
              <w:t>MWh</w:t>
            </w:r>
          </w:p>
        </w:tc>
        <w:tc>
          <w:tcPr>
            <w:tcW w:w="560" w:type="dxa"/>
            <w:vAlign w:val="bottom"/>
          </w:tcPr>
          <w:p>
            <w:pPr>
              <w:ind w:left="140"/>
              <w:spacing w:after="0"/>
              <w:rPr>
                <w:sz w:val="20"/>
                <w:szCs w:val="20"/>
                <w:color w:val="auto"/>
              </w:rPr>
            </w:pPr>
            <w:r>
              <w:rPr>
                <w:rFonts w:ascii="Arial" w:cs="Arial" w:eastAsia="Arial" w:hAnsi="Arial"/>
                <w:sz w:val="10"/>
                <w:szCs w:val="10"/>
                <w:color w:val="0057CF"/>
              </w:rPr>
              <w:t>—</w:t>
            </w:r>
          </w:p>
        </w:tc>
        <w:tc>
          <w:tcPr>
            <w:tcW w:w="620" w:type="dxa"/>
            <w:vAlign w:val="bottom"/>
          </w:tcPr>
          <w:p>
            <w:pPr>
              <w:ind w:left="100"/>
              <w:spacing w:after="0"/>
              <w:rPr>
                <w:sz w:val="20"/>
                <w:szCs w:val="20"/>
                <w:color w:val="auto"/>
              </w:rPr>
            </w:pPr>
            <w:r>
              <w:rPr>
                <w:rFonts w:ascii="Arial" w:cs="Arial" w:eastAsia="Arial" w:hAnsi="Arial"/>
                <w:sz w:val="10"/>
                <w:szCs w:val="10"/>
                <w:color w:val="auto"/>
              </w:rPr>
              <w:t>92</w:t>
            </w: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sources</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0"/>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Share of consumption from</w:t>
            </w:r>
          </w:p>
        </w:tc>
        <w:tc>
          <w:tcPr>
            <w:tcW w:w="400" w:type="dxa"/>
            <w:vAlign w:val="bottom"/>
          </w:tcPr>
          <w:p>
            <w:pPr>
              <w:ind w:left="20"/>
              <w:spacing w:after="0"/>
              <w:rPr>
                <w:sz w:val="20"/>
                <w:szCs w:val="20"/>
                <w:color w:val="auto"/>
              </w:rPr>
            </w:pPr>
            <w:r>
              <w:rPr>
                <w:rFonts w:ascii="Arial" w:cs="Arial" w:eastAsia="Arial" w:hAnsi="Arial"/>
                <w:sz w:val="10"/>
                <w:szCs w:val="10"/>
                <w:color w:val="auto"/>
              </w:rPr>
              <w:t>%</w:t>
            </w:r>
          </w:p>
        </w:tc>
        <w:tc>
          <w:tcPr>
            <w:tcW w:w="560" w:type="dxa"/>
            <w:vAlign w:val="bottom"/>
          </w:tcPr>
          <w:p>
            <w:pPr>
              <w:ind w:left="140"/>
              <w:spacing w:after="0"/>
              <w:rPr>
                <w:sz w:val="20"/>
                <w:szCs w:val="20"/>
                <w:color w:val="auto"/>
              </w:rPr>
            </w:pPr>
            <w:r>
              <w:rPr>
                <w:rFonts w:ascii="Arial" w:cs="Arial" w:eastAsia="Arial" w:hAnsi="Arial"/>
                <w:sz w:val="10"/>
                <w:szCs w:val="10"/>
                <w:color w:val="0057CF"/>
              </w:rPr>
              <w:t>— %</w:t>
            </w:r>
          </w:p>
        </w:tc>
        <w:tc>
          <w:tcPr>
            <w:tcW w:w="620" w:type="dxa"/>
            <w:vAlign w:val="bottom"/>
          </w:tcPr>
          <w:p>
            <w:pPr>
              <w:ind w:left="100"/>
              <w:spacing w:after="0"/>
              <w:rPr>
                <w:sz w:val="20"/>
                <w:szCs w:val="20"/>
                <w:color w:val="auto"/>
              </w:rPr>
            </w:pPr>
            <w:r>
              <w:rPr>
                <w:rFonts w:ascii="Arial" w:cs="Arial" w:eastAsia="Arial" w:hAnsi="Arial"/>
                <w:sz w:val="10"/>
                <w:szCs w:val="10"/>
                <w:color w:val="auto"/>
              </w:rPr>
              <w:t>1 %</w:t>
            </w:r>
          </w:p>
        </w:tc>
      </w:tr>
      <w:tr>
        <w:trPr>
          <w:trHeight w:val="95"/>
        </w:trPr>
        <w:tc>
          <w:tcPr>
            <w:tcW w:w="120" w:type="dxa"/>
            <w:vAlign w:val="bottom"/>
          </w:tcPr>
          <w:p>
            <w:pPr>
              <w:spacing w:after="0"/>
              <w:rPr>
                <w:sz w:val="8"/>
                <w:szCs w:val="8"/>
                <w:color w:val="auto"/>
              </w:rPr>
            </w:pPr>
          </w:p>
        </w:tc>
        <w:tc>
          <w:tcPr>
            <w:tcW w:w="1560" w:type="dxa"/>
            <w:vAlign w:val="bottom"/>
          </w:tcPr>
          <w:p>
            <w:pPr>
              <w:ind w:left="20"/>
              <w:spacing w:after="0" w:line="95" w:lineRule="exact"/>
              <w:rPr>
                <w:sz w:val="20"/>
                <w:szCs w:val="20"/>
                <w:color w:val="auto"/>
              </w:rPr>
            </w:pPr>
            <w:r>
              <w:rPr>
                <w:rFonts w:ascii="Arial" w:cs="Arial" w:eastAsia="Arial" w:hAnsi="Arial"/>
                <w:sz w:val="10"/>
                <w:szCs w:val="10"/>
                <w:color w:val="auto"/>
              </w:rPr>
              <w:t>nuclear sources in total energy</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consumption</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9"/>
        </w:trPr>
        <w:tc>
          <w:tcPr>
            <w:tcW w:w="120" w:type="dxa"/>
            <w:vAlign w:val="bottom"/>
          </w:tcPr>
          <w:p>
            <w:pPr>
              <w:jc w:val="right"/>
              <w:spacing w:after="0"/>
              <w:rPr>
                <w:sz w:val="20"/>
                <w:szCs w:val="20"/>
                <w:color w:val="auto"/>
              </w:rPr>
            </w:pPr>
            <w:r>
              <w:rPr>
                <w:rFonts w:ascii="Arial" w:cs="Arial" w:eastAsia="Arial" w:hAnsi="Arial"/>
                <w:sz w:val="10"/>
                <w:szCs w:val="10"/>
                <w:color w:val="auto"/>
              </w:rPr>
              <w:t>3</w:t>
            </w:r>
          </w:p>
        </w:tc>
        <w:tc>
          <w:tcPr>
            <w:tcW w:w="1960" w:type="dxa"/>
            <w:vAlign w:val="bottom"/>
            <w:gridSpan w:val="2"/>
          </w:tcPr>
          <w:p>
            <w:pPr>
              <w:ind w:left="20"/>
              <w:spacing w:after="0"/>
              <w:rPr>
                <w:sz w:val="20"/>
                <w:szCs w:val="20"/>
                <w:color w:val="auto"/>
              </w:rPr>
            </w:pPr>
            <w:r>
              <w:rPr>
                <w:rFonts w:ascii="Arial" w:cs="Arial" w:eastAsia="Arial" w:hAnsi="Arial"/>
                <w:sz w:val="10"/>
                <w:szCs w:val="10"/>
                <w:color w:val="auto"/>
              </w:rPr>
              <w:t>Fuel consumption for renewable MWh</w:t>
            </w:r>
          </w:p>
        </w:tc>
        <w:tc>
          <w:tcPr>
            <w:tcW w:w="560" w:type="dxa"/>
            <w:vAlign w:val="bottom"/>
          </w:tcPr>
          <w:p>
            <w:pPr>
              <w:ind w:left="140"/>
              <w:spacing w:after="0"/>
              <w:rPr>
                <w:sz w:val="20"/>
                <w:szCs w:val="20"/>
                <w:color w:val="auto"/>
              </w:rPr>
            </w:pPr>
            <w:r>
              <w:rPr>
                <w:rFonts w:ascii="Arial" w:cs="Arial" w:eastAsia="Arial" w:hAnsi="Arial"/>
                <w:sz w:val="10"/>
                <w:szCs w:val="10"/>
                <w:color w:val="0057CF"/>
              </w:rPr>
              <w:t>—</w:t>
            </w:r>
          </w:p>
        </w:tc>
        <w:tc>
          <w:tcPr>
            <w:tcW w:w="620" w:type="dxa"/>
            <w:vAlign w:val="bottom"/>
          </w:tcPr>
          <w:p>
            <w:pPr>
              <w:ind w:left="100"/>
              <w:spacing w:after="0"/>
              <w:rPr>
                <w:sz w:val="20"/>
                <w:szCs w:val="20"/>
                <w:color w:val="auto"/>
              </w:rPr>
            </w:pPr>
            <w:r>
              <w:rPr>
                <w:rFonts w:ascii="Arial" w:cs="Arial" w:eastAsia="Arial" w:hAnsi="Arial"/>
                <w:sz w:val="10"/>
                <w:szCs w:val="10"/>
                <w:color w:val="auto"/>
              </w:rPr>
              <w:t>—</w:t>
            </w: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sources, including biomass (also</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9"/>
        </w:trPr>
        <w:tc>
          <w:tcPr>
            <w:tcW w:w="120" w:type="dxa"/>
            <w:vAlign w:val="bottom"/>
          </w:tcPr>
          <w:p>
            <w:pPr>
              <w:spacing w:after="0"/>
              <w:rPr>
                <w:sz w:val="12"/>
                <w:szCs w:val="12"/>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comprising industrial and</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95"/>
        </w:trPr>
        <w:tc>
          <w:tcPr>
            <w:tcW w:w="120" w:type="dxa"/>
            <w:vAlign w:val="bottom"/>
          </w:tcPr>
          <w:p>
            <w:pPr>
              <w:spacing w:after="0"/>
              <w:rPr>
                <w:sz w:val="8"/>
                <w:szCs w:val="8"/>
                <w:color w:val="auto"/>
              </w:rPr>
            </w:pPr>
          </w:p>
        </w:tc>
        <w:tc>
          <w:tcPr>
            <w:tcW w:w="1560" w:type="dxa"/>
            <w:vAlign w:val="bottom"/>
          </w:tcPr>
          <w:p>
            <w:pPr>
              <w:ind w:left="20"/>
              <w:spacing w:after="0" w:line="95" w:lineRule="exact"/>
              <w:rPr>
                <w:sz w:val="20"/>
                <w:szCs w:val="20"/>
                <w:color w:val="auto"/>
              </w:rPr>
            </w:pPr>
            <w:r>
              <w:rPr>
                <w:rFonts w:ascii="Arial" w:cs="Arial" w:eastAsia="Arial" w:hAnsi="Arial"/>
                <w:sz w:val="10"/>
                <w:szCs w:val="10"/>
                <w:color w:val="auto"/>
              </w:rPr>
              <w:t>municipal waste of biologic</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95"/>
        </w:trPr>
        <w:tc>
          <w:tcPr>
            <w:tcW w:w="120" w:type="dxa"/>
            <w:vAlign w:val="bottom"/>
          </w:tcPr>
          <w:p>
            <w:pPr>
              <w:spacing w:after="0"/>
              <w:rPr>
                <w:sz w:val="8"/>
                <w:szCs w:val="8"/>
                <w:color w:val="auto"/>
              </w:rPr>
            </w:pPr>
          </w:p>
        </w:tc>
        <w:tc>
          <w:tcPr>
            <w:tcW w:w="1560" w:type="dxa"/>
            <w:vAlign w:val="bottom"/>
          </w:tcPr>
          <w:p>
            <w:pPr>
              <w:ind w:left="20"/>
              <w:spacing w:after="0" w:line="95" w:lineRule="exact"/>
              <w:rPr>
                <w:sz w:val="20"/>
                <w:szCs w:val="20"/>
                <w:color w:val="auto"/>
              </w:rPr>
            </w:pPr>
            <w:r>
              <w:rPr>
                <w:rFonts w:ascii="Arial" w:cs="Arial" w:eastAsia="Arial" w:hAnsi="Arial"/>
                <w:sz w:val="10"/>
                <w:szCs w:val="10"/>
                <w:color w:val="auto"/>
              </w:rPr>
              <w:t>origin, biogas, renewable</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hydrogen, etc.)</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11"/>
        </w:trPr>
        <w:tc>
          <w:tcPr>
            <w:tcW w:w="120" w:type="dxa"/>
            <w:vAlign w:val="bottom"/>
          </w:tcPr>
          <w:p>
            <w:pPr>
              <w:jc w:val="right"/>
              <w:spacing w:after="0" w:line="111" w:lineRule="exact"/>
              <w:rPr>
                <w:sz w:val="20"/>
                <w:szCs w:val="20"/>
                <w:color w:val="auto"/>
              </w:rPr>
            </w:pPr>
            <w:r>
              <w:rPr>
                <w:rFonts w:ascii="Arial" w:cs="Arial" w:eastAsia="Arial" w:hAnsi="Arial"/>
                <w:sz w:val="10"/>
                <w:szCs w:val="10"/>
                <w:color w:val="auto"/>
              </w:rPr>
              <w:t>4</w:t>
            </w:r>
          </w:p>
        </w:tc>
        <w:tc>
          <w:tcPr>
            <w:tcW w:w="1560" w:type="dxa"/>
            <w:vAlign w:val="bottom"/>
          </w:tcPr>
          <w:p>
            <w:pPr>
              <w:ind w:left="20"/>
              <w:spacing w:after="0" w:line="111" w:lineRule="exact"/>
              <w:rPr>
                <w:sz w:val="20"/>
                <w:szCs w:val="20"/>
                <w:color w:val="auto"/>
              </w:rPr>
            </w:pPr>
            <w:r>
              <w:rPr>
                <w:rFonts w:ascii="Arial" w:cs="Arial" w:eastAsia="Arial" w:hAnsi="Arial"/>
                <w:sz w:val="10"/>
                <w:szCs w:val="10"/>
                <w:color w:val="auto"/>
              </w:rPr>
              <w:t>Consumption of purchased or</w:t>
            </w:r>
          </w:p>
        </w:tc>
        <w:tc>
          <w:tcPr>
            <w:tcW w:w="400" w:type="dxa"/>
            <w:vAlign w:val="bottom"/>
          </w:tcPr>
          <w:p>
            <w:pPr>
              <w:ind w:left="20"/>
              <w:spacing w:after="0" w:line="111" w:lineRule="exact"/>
              <w:rPr>
                <w:sz w:val="20"/>
                <w:szCs w:val="20"/>
                <w:color w:val="auto"/>
              </w:rPr>
            </w:pPr>
            <w:r>
              <w:rPr>
                <w:rFonts w:ascii="Arial" w:cs="Arial" w:eastAsia="Arial" w:hAnsi="Arial"/>
                <w:sz w:val="10"/>
                <w:szCs w:val="10"/>
                <w:color w:val="auto"/>
              </w:rPr>
              <w:t>MWh</w:t>
            </w:r>
          </w:p>
        </w:tc>
        <w:tc>
          <w:tcPr>
            <w:tcW w:w="560" w:type="dxa"/>
            <w:vAlign w:val="bottom"/>
          </w:tcPr>
          <w:p>
            <w:pPr>
              <w:ind w:left="140"/>
              <w:spacing w:after="0" w:line="111" w:lineRule="exact"/>
              <w:rPr>
                <w:sz w:val="20"/>
                <w:szCs w:val="20"/>
                <w:color w:val="auto"/>
              </w:rPr>
            </w:pPr>
            <w:r>
              <w:rPr>
                <w:rFonts w:ascii="Arial" w:cs="Arial" w:eastAsia="Arial" w:hAnsi="Arial"/>
                <w:sz w:val="10"/>
                <w:szCs w:val="10"/>
                <w:color w:val="0057CF"/>
              </w:rPr>
              <w:t>8,143</w:t>
            </w:r>
          </w:p>
        </w:tc>
        <w:tc>
          <w:tcPr>
            <w:tcW w:w="620" w:type="dxa"/>
            <w:vAlign w:val="bottom"/>
          </w:tcPr>
          <w:p>
            <w:pPr>
              <w:ind w:left="100"/>
              <w:spacing w:after="0" w:line="111" w:lineRule="exact"/>
              <w:rPr>
                <w:sz w:val="20"/>
                <w:szCs w:val="20"/>
                <w:color w:val="auto"/>
              </w:rPr>
            </w:pPr>
            <w:r>
              <w:rPr>
                <w:rFonts w:ascii="Arial" w:cs="Arial" w:eastAsia="Arial" w:hAnsi="Arial"/>
                <w:sz w:val="10"/>
                <w:szCs w:val="10"/>
                <w:color w:val="auto"/>
              </w:rPr>
              <w:t>7,414</w:t>
            </w:r>
          </w:p>
        </w:tc>
      </w:tr>
      <w:tr>
        <w:trPr>
          <w:trHeight w:val="95"/>
        </w:trPr>
        <w:tc>
          <w:tcPr>
            <w:tcW w:w="120" w:type="dxa"/>
            <w:vAlign w:val="bottom"/>
          </w:tcPr>
          <w:p>
            <w:pPr>
              <w:spacing w:after="0"/>
              <w:rPr>
                <w:sz w:val="8"/>
                <w:szCs w:val="8"/>
                <w:color w:val="auto"/>
              </w:rPr>
            </w:pPr>
          </w:p>
        </w:tc>
        <w:tc>
          <w:tcPr>
            <w:tcW w:w="1560" w:type="dxa"/>
            <w:vAlign w:val="bottom"/>
          </w:tcPr>
          <w:p>
            <w:pPr>
              <w:ind w:left="20"/>
              <w:spacing w:after="0" w:line="95" w:lineRule="exact"/>
              <w:rPr>
                <w:sz w:val="20"/>
                <w:szCs w:val="20"/>
                <w:color w:val="auto"/>
              </w:rPr>
            </w:pPr>
            <w:r>
              <w:rPr>
                <w:rFonts w:ascii="Arial" w:cs="Arial" w:eastAsia="Arial" w:hAnsi="Arial"/>
                <w:sz w:val="10"/>
                <w:szCs w:val="10"/>
                <w:color w:val="auto"/>
              </w:rPr>
              <w:t>acquired electricity, heat, steam,</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95"/>
        </w:trPr>
        <w:tc>
          <w:tcPr>
            <w:tcW w:w="120" w:type="dxa"/>
            <w:vAlign w:val="bottom"/>
          </w:tcPr>
          <w:p>
            <w:pPr>
              <w:spacing w:after="0"/>
              <w:rPr>
                <w:sz w:val="8"/>
                <w:szCs w:val="8"/>
                <w:color w:val="auto"/>
              </w:rPr>
            </w:pPr>
          </w:p>
        </w:tc>
        <w:tc>
          <w:tcPr>
            <w:tcW w:w="1560" w:type="dxa"/>
            <w:vAlign w:val="bottom"/>
          </w:tcPr>
          <w:p>
            <w:pPr>
              <w:ind w:left="20"/>
              <w:spacing w:after="0" w:line="95" w:lineRule="exact"/>
              <w:rPr>
                <w:sz w:val="20"/>
                <w:szCs w:val="20"/>
                <w:color w:val="auto"/>
              </w:rPr>
            </w:pPr>
            <w:r>
              <w:rPr>
                <w:rFonts w:ascii="Arial" w:cs="Arial" w:eastAsia="Arial" w:hAnsi="Arial"/>
                <w:sz w:val="10"/>
                <w:szCs w:val="10"/>
                <w:color w:val="auto"/>
              </w:rPr>
              <w:t>and cooling from renewable</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sources</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120" w:type="dxa"/>
            <w:vAlign w:val="bottom"/>
          </w:tcPr>
          <w:p>
            <w:pPr>
              <w:jc w:val="right"/>
              <w:spacing w:after="0"/>
              <w:rPr>
                <w:sz w:val="20"/>
                <w:szCs w:val="20"/>
                <w:color w:val="auto"/>
              </w:rPr>
            </w:pPr>
            <w:r>
              <w:rPr>
                <w:rFonts w:ascii="Arial" w:cs="Arial" w:eastAsia="Arial" w:hAnsi="Arial"/>
                <w:sz w:val="10"/>
                <w:szCs w:val="10"/>
                <w:color w:val="auto"/>
              </w:rPr>
              <w:t>5</w:t>
            </w:r>
          </w:p>
        </w:tc>
        <w:tc>
          <w:tcPr>
            <w:tcW w:w="1560" w:type="dxa"/>
            <w:vAlign w:val="bottom"/>
          </w:tcPr>
          <w:p>
            <w:pPr>
              <w:ind w:left="20"/>
              <w:spacing w:after="0"/>
              <w:rPr>
                <w:sz w:val="20"/>
                <w:szCs w:val="20"/>
                <w:color w:val="auto"/>
              </w:rPr>
            </w:pPr>
            <w:r>
              <w:rPr>
                <w:rFonts w:ascii="Arial" w:cs="Arial" w:eastAsia="Arial" w:hAnsi="Arial"/>
                <w:sz w:val="10"/>
                <w:szCs w:val="10"/>
                <w:color w:val="auto"/>
              </w:rPr>
              <w:t>The consumption of self-</w:t>
            </w:r>
          </w:p>
        </w:tc>
        <w:tc>
          <w:tcPr>
            <w:tcW w:w="400" w:type="dxa"/>
            <w:vAlign w:val="bottom"/>
          </w:tcPr>
          <w:p>
            <w:pPr>
              <w:ind w:left="20"/>
              <w:spacing w:after="0"/>
              <w:rPr>
                <w:sz w:val="20"/>
                <w:szCs w:val="20"/>
                <w:color w:val="auto"/>
              </w:rPr>
            </w:pPr>
            <w:r>
              <w:rPr>
                <w:rFonts w:ascii="Arial" w:cs="Arial" w:eastAsia="Arial" w:hAnsi="Arial"/>
                <w:sz w:val="10"/>
                <w:szCs w:val="10"/>
                <w:color w:val="auto"/>
              </w:rPr>
              <w:t>MWh</w:t>
            </w:r>
          </w:p>
        </w:tc>
        <w:tc>
          <w:tcPr>
            <w:tcW w:w="560" w:type="dxa"/>
            <w:vAlign w:val="bottom"/>
          </w:tcPr>
          <w:p>
            <w:pPr>
              <w:ind w:left="140"/>
              <w:spacing w:after="0"/>
              <w:rPr>
                <w:sz w:val="20"/>
                <w:szCs w:val="20"/>
                <w:color w:val="auto"/>
              </w:rPr>
            </w:pPr>
            <w:r>
              <w:rPr>
                <w:rFonts w:ascii="Arial" w:cs="Arial" w:eastAsia="Arial" w:hAnsi="Arial"/>
                <w:sz w:val="10"/>
                <w:szCs w:val="10"/>
                <w:color w:val="0057CF"/>
              </w:rPr>
              <w:t>117</w:t>
            </w:r>
          </w:p>
        </w:tc>
        <w:tc>
          <w:tcPr>
            <w:tcW w:w="620" w:type="dxa"/>
            <w:vAlign w:val="bottom"/>
          </w:tcPr>
          <w:p>
            <w:pPr>
              <w:ind w:left="100"/>
              <w:spacing w:after="0"/>
              <w:rPr>
                <w:sz w:val="20"/>
                <w:szCs w:val="20"/>
                <w:color w:val="auto"/>
              </w:rPr>
            </w:pPr>
            <w:r>
              <w:rPr>
                <w:rFonts w:ascii="Arial" w:cs="Arial" w:eastAsia="Arial" w:hAnsi="Arial"/>
                <w:sz w:val="10"/>
                <w:szCs w:val="10"/>
                <w:color w:val="auto"/>
              </w:rPr>
              <w:t>77</w:t>
            </w:r>
          </w:p>
        </w:tc>
      </w:tr>
      <w:tr>
        <w:trPr>
          <w:trHeight w:val="95"/>
        </w:trPr>
        <w:tc>
          <w:tcPr>
            <w:tcW w:w="120" w:type="dxa"/>
            <w:vAlign w:val="bottom"/>
          </w:tcPr>
          <w:p>
            <w:pPr>
              <w:spacing w:after="0"/>
              <w:rPr>
                <w:sz w:val="8"/>
                <w:szCs w:val="8"/>
                <w:color w:val="auto"/>
              </w:rPr>
            </w:pPr>
          </w:p>
        </w:tc>
        <w:tc>
          <w:tcPr>
            <w:tcW w:w="1560" w:type="dxa"/>
            <w:vAlign w:val="bottom"/>
          </w:tcPr>
          <w:p>
            <w:pPr>
              <w:ind w:left="20"/>
              <w:spacing w:after="0" w:line="95" w:lineRule="exact"/>
              <w:rPr>
                <w:sz w:val="20"/>
                <w:szCs w:val="20"/>
                <w:color w:val="auto"/>
              </w:rPr>
            </w:pPr>
            <w:r>
              <w:rPr>
                <w:rFonts w:ascii="Arial" w:cs="Arial" w:eastAsia="Arial" w:hAnsi="Arial"/>
                <w:sz w:val="10"/>
                <w:szCs w:val="10"/>
                <w:color w:val="auto"/>
              </w:rPr>
              <w:t>generated non-fuel renewable</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energy</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9"/>
        </w:trPr>
        <w:tc>
          <w:tcPr>
            <w:tcW w:w="120" w:type="dxa"/>
            <w:vAlign w:val="bottom"/>
          </w:tcPr>
          <w:p>
            <w:pPr>
              <w:jc w:val="right"/>
              <w:spacing w:after="0"/>
              <w:rPr>
                <w:sz w:val="20"/>
                <w:szCs w:val="20"/>
                <w:color w:val="auto"/>
              </w:rPr>
            </w:pPr>
            <w:r>
              <w:rPr>
                <w:rFonts w:ascii="Arial" w:cs="Arial" w:eastAsia="Arial" w:hAnsi="Arial"/>
                <w:sz w:val="10"/>
                <w:szCs w:val="10"/>
                <w:color w:val="auto"/>
              </w:rPr>
              <w:t>6</w:t>
            </w:r>
          </w:p>
        </w:tc>
        <w:tc>
          <w:tcPr>
            <w:tcW w:w="1560" w:type="dxa"/>
            <w:vAlign w:val="bottom"/>
          </w:tcPr>
          <w:p>
            <w:pPr>
              <w:ind w:left="20"/>
              <w:spacing w:after="0"/>
              <w:rPr>
                <w:sz w:val="20"/>
                <w:szCs w:val="20"/>
                <w:color w:val="auto"/>
              </w:rPr>
            </w:pPr>
            <w:r>
              <w:rPr>
                <w:rFonts w:ascii="Arial" w:cs="Arial" w:eastAsia="Arial" w:hAnsi="Arial"/>
                <w:sz w:val="10"/>
                <w:szCs w:val="10"/>
                <w:color w:val="auto"/>
              </w:rPr>
              <w:t>Total renewable energy</w:t>
            </w:r>
          </w:p>
        </w:tc>
        <w:tc>
          <w:tcPr>
            <w:tcW w:w="400" w:type="dxa"/>
            <w:vAlign w:val="bottom"/>
          </w:tcPr>
          <w:p>
            <w:pPr>
              <w:ind w:left="20"/>
              <w:spacing w:after="0"/>
              <w:rPr>
                <w:sz w:val="20"/>
                <w:szCs w:val="20"/>
                <w:color w:val="auto"/>
              </w:rPr>
            </w:pPr>
            <w:r>
              <w:rPr>
                <w:rFonts w:ascii="Arial" w:cs="Arial" w:eastAsia="Arial" w:hAnsi="Arial"/>
                <w:sz w:val="10"/>
                <w:szCs w:val="10"/>
                <w:color w:val="auto"/>
              </w:rPr>
              <w:t>MWh</w:t>
            </w:r>
          </w:p>
        </w:tc>
        <w:tc>
          <w:tcPr>
            <w:tcW w:w="560" w:type="dxa"/>
            <w:vAlign w:val="bottom"/>
          </w:tcPr>
          <w:p>
            <w:pPr>
              <w:ind w:left="140"/>
              <w:spacing w:after="0"/>
              <w:rPr>
                <w:sz w:val="20"/>
                <w:szCs w:val="20"/>
                <w:color w:val="auto"/>
              </w:rPr>
            </w:pPr>
            <w:r>
              <w:rPr>
                <w:rFonts w:ascii="Arial" w:cs="Arial" w:eastAsia="Arial" w:hAnsi="Arial"/>
                <w:sz w:val="10"/>
                <w:szCs w:val="10"/>
                <w:color w:val="0057CF"/>
              </w:rPr>
              <w:t>8,260</w:t>
            </w:r>
          </w:p>
        </w:tc>
        <w:tc>
          <w:tcPr>
            <w:tcW w:w="620" w:type="dxa"/>
            <w:vAlign w:val="bottom"/>
          </w:tcPr>
          <w:p>
            <w:pPr>
              <w:ind w:left="100"/>
              <w:spacing w:after="0"/>
              <w:rPr>
                <w:sz w:val="20"/>
                <w:szCs w:val="20"/>
                <w:color w:val="auto"/>
              </w:rPr>
            </w:pPr>
            <w:r>
              <w:rPr>
                <w:rFonts w:ascii="Arial" w:cs="Arial" w:eastAsia="Arial" w:hAnsi="Arial"/>
                <w:sz w:val="10"/>
                <w:szCs w:val="10"/>
                <w:color w:val="auto"/>
              </w:rPr>
              <w:t>7,491</w:t>
            </w: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consumption</w:t>
            </w:r>
            <w:r>
              <w:rPr>
                <w:rFonts w:ascii="Arial" w:cs="Arial" w:eastAsia="Arial" w:hAnsi="Arial"/>
                <w:sz w:val="6"/>
                <w:szCs w:val="6"/>
                <w:color w:val="auto"/>
              </w:rPr>
              <w:t>1</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0"/>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Share of renewable sources in</w:t>
            </w:r>
          </w:p>
        </w:tc>
        <w:tc>
          <w:tcPr>
            <w:tcW w:w="400" w:type="dxa"/>
            <w:vAlign w:val="bottom"/>
          </w:tcPr>
          <w:p>
            <w:pPr>
              <w:ind w:left="20"/>
              <w:spacing w:after="0"/>
              <w:rPr>
                <w:sz w:val="20"/>
                <w:szCs w:val="20"/>
                <w:color w:val="auto"/>
              </w:rPr>
            </w:pPr>
            <w:r>
              <w:rPr>
                <w:rFonts w:ascii="Arial" w:cs="Arial" w:eastAsia="Arial" w:hAnsi="Arial"/>
                <w:sz w:val="10"/>
                <w:szCs w:val="10"/>
                <w:color w:val="auto"/>
              </w:rPr>
              <w:t>%</w:t>
            </w:r>
          </w:p>
        </w:tc>
        <w:tc>
          <w:tcPr>
            <w:tcW w:w="560" w:type="dxa"/>
            <w:vAlign w:val="bottom"/>
          </w:tcPr>
          <w:p>
            <w:pPr>
              <w:ind w:left="140"/>
              <w:spacing w:after="0"/>
              <w:rPr>
                <w:sz w:val="20"/>
                <w:szCs w:val="20"/>
                <w:color w:val="auto"/>
              </w:rPr>
            </w:pPr>
            <w:r>
              <w:rPr>
                <w:rFonts w:ascii="Arial" w:cs="Arial" w:eastAsia="Arial" w:hAnsi="Arial"/>
                <w:sz w:val="10"/>
                <w:szCs w:val="10"/>
                <w:color w:val="0057CF"/>
              </w:rPr>
              <w:t>65 %</w:t>
            </w:r>
          </w:p>
        </w:tc>
        <w:tc>
          <w:tcPr>
            <w:tcW w:w="620" w:type="dxa"/>
            <w:vAlign w:val="bottom"/>
          </w:tcPr>
          <w:p>
            <w:pPr>
              <w:ind w:left="100"/>
              <w:spacing w:after="0"/>
              <w:rPr>
                <w:sz w:val="20"/>
                <w:szCs w:val="20"/>
                <w:color w:val="auto"/>
              </w:rPr>
            </w:pPr>
            <w:r>
              <w:rPr>
                <w:rFonts w:ascii="Arial" w:cs="Arial" w:eastAsia="Arial" w:hAnsi="Arial"/>
                <w:sz w:val="10"/>
                <w:szCs w:val="10"/>
                <w:color w:val="auto"/>
              </w:rPr>
              <w:t>59 %</w:t>
            </w:r>
          </w:p>
        </w:tc>
      </w:tr>
      <w:tr>
        <w:trPr>
          <w:trHeight w:val="137"/>
        </w:trPr>
        <w:tc>
          <w:tcPr>
            <w:tcW w:w="120" w:type="dxa"/>
            <w:vAlign w:val="bottom"/>
          </w:tcPr>
          <w:p>
            <w:pPr>
              <w:spacing w:after="0"/>
              <w:rPr>
                <w:sz w:val="11"/>
                <w:szCs w:val="11"/>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total energy consumption</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2"/>
        </w:trPr>
        <w:tc>
          <w:tcPr>
            <w:tcW w:w="120" w:type="dxa"/>
            <w:vAlign w:val="bottom"/>
          </w:tcPr>
          <w:p>
            <w:pPr>
              <w:spacing w:after="0"/>
              <w:rPr>
                <w:sz w:val="14"/>
                <w:szCs w:val="14"/>
                <w:color w:val="auto"/>
              </w:rPr>
            </w:pPr>
          </w:p>
        </w:tc>
        <w:tc>
          <w:tcPr>
            <w:tcW w:w="1560" w:type="dxa"/>
            <w:vAlign w:val="bottom"/>
          </w:tcPr>
          <w:p>
            <w:pPr>
              <w:ind w:left="20"/>
              <w:spacing w:after="0"/>
              <w:rPr>
                <w:sz w:val="20"/>
                <w:szCs w:val="20"/>
                <w:color w:val="auto"/>
              </w:rPr>
            </w:pPr>
            <w:r>
              <w:rPr>
                <w:rFonts w:ascii="Arial" w:cs="Arial" w:eastAsia="Arial" w:hAnsi="Arial"/>
                <w:sz w:val="10"/>
                <w:szCs w:val="10"/>
                <w:color w:val="auto"/>
              </w:rPr>
              <w:t>Total energy consumption</w:t>
            </w:r>
            <w:r>
              <w:rPr>
                <w:rFonts w:ascii="Arial" w:cs="Arial" w:eastAsia="Arial" w:hAnsi="Arial"/>
                <w:sz w:val="6"/>
                <w:szCs w:val="6"/>
                <w:color w:val="auto"/>
              </w:rPr>
              <w:t>2</w:t>
            </w:r>
          </w:p>
        </w:tc>
        <w:tc>
          <w:tcPr>
            <w:tcW w:w="400" w:type="dxa"/>
            <w:vAlign w:val="bottom"/>
          </w:tcPr>
          <w:p>
            <w:pPr>
              <w:ind w:left="20"/>
              <w:spacing w:after="0"/>
              <w:rPr>
                <w:sz w:val="20"/>
                <w:szCs w:val="20"/>
                <w:color w:val="auto"/>
              </w:rPr>
            </w:pPr>
            <w:r>
              <w:rPr>
                <w:rFonts w:ascii="Arial" w:cs="Arial" w:eastAsia="Arial" w:hAnsi="Arial"/>
                <w:sz w:val="10"/>
                <w:szCs w:val="10"/>
                <w:color w:val="auto"/>
              </w:rPr>
              <w:t>MWh</w:t>
            </w:r>
          </w:p>
        </w:tc>
        <w:tc>
          <w:tcPr>
            <w:tcW w:w="560" w:type="dxa"/>
            <w:vAlign w:val="bottom"/>
          </w:tcPr>
          <w:p>
            <w:pPr>
              <w:ind w:left="140"/>
              <w:spacing w:after="0"/>
              <w:rPr>
                <w:sz w:val="20"/>
                <w:szCs w:val="20"/>
                <w:color w:val="auto"/>
              </w:rPr>
            </w:pPr>
            <w:r>
              <w:rPr>
                <w:rFonts w:ascii="Arial" w:cs="Arial" w:eastAsia="Arial" w:hAnsi="Arial"/>
                <w:sz w:val="10"/>
                <w:szCs w:val="10"/>
                <w:color w:val="0057CF"/>
              </w:rPr>
              <w:t>12,729</w:t>
            </w:r>
          </w:p>
        </w:tc>
        <w:tc>
          <w:tcPr>
            <w:tcW w:w="620" w:type="dxa"/>
            <w:vAlign w:val="bottom"/>
          </w:tcPr>
          <w:p>
            <w:pPr>
              <w:ind w:left="100"/>
              <w:spacing w:after="0"/>
              <w:rPr>
                <w:sz w:val="20"/>
                <w:szCs w:val="20"/>
                <w:color w:val="auto"/>
              </w:rPr>
            </w:pPr>
            <w:r>
              <w:rPr>
                <w:rFonts w:ascii="Arial" w:cs="Arial" w:eastAsia="Arial" w:hAnsi="Arial"/>
                <w:sz w:val="10"/>
                <w:szCs w:val="10"/>
                <w:color w:val="auto"/>
              </w:rPr>
              <w:t>12,703</w:t>
            </w:r>
          </w:p>
        </w:tc>
      </w:tr>
    </w:tbl>
    <w:p>
      <w:pPr>
        <w:spacing w:after="0" w:line="16" w:lineRule="exact"/>
        <w:rPr>
          <w:rFonts w:ascii="Arial" w:cs="Arial" w:eastAsia="Arial" w:hAnsi="Arial"/>
          <w:sz w:val="10"/>
          <w:szCs w:val="10"/>
          <w:b w:val="1"/>
          <w:bCs w:val="1"/>
          <w:color w:val="auto"/>
        </w:rPr>
      </w:pPr>
    </w:p>
    <w:p>
      <w:pPr>
        <w:ind w:right="7440" w:firstLine="6"/>
        <w:spacing w:after="0" w:line="267" w:lineRule="auto"/>
        <w:tabs>
          <w:tab w:leader="none" w:pos="76" w:val="left"/>
        </w:tabs>
        <w:numPr>
          <w:ilvl w:val="0"/>
          <w:numId w:val="30"/>
        </w:numPr>
        <w:rPr>
          <w:rFonts w:ascii="Arial" w:cs="Arial" w:eastAsia="Arial" w:hAnsi="Arial"/>
          <w:sz w:val="7"/>
          <w:szCs w:val="7"/>
          <w:color w:val="auto"/>
        </w:rPr>
      </w:pPr>
      <w:r>
        <w:rPr>
          <w:rFonts w:ascii="Arial" w:cs="Arial" w:eastAsia="Arial" w:hAnsi="Arial"/>
          <w:sz w:val="7"/>
          <w:szCs w:val="7"/>
          <w:color w:val="auto"/>
        </w:rPr>
        <w:t>Total renewable energy consumption (MWh) (calculated as the sum of lines 3 to 5)</w:t>
      </w:r>
    </w:p>
    <w:p>
      <w:pPr>
        <w:ind w:left="80" w:hanging="74"/>
        <w:spacing w:after="0"/>
        <w:tabs>
          <w:tab w:leader="none" w:pos="80" w:val="left"/>
        </w:tabs>
        <w:numPr>
          <w:ilvl w:val="0"/>
          <w:numId w:val="30"/>
        </w:numPr>
        <w:rPr>
          <w:rFonts w:ascii="Arial" w:cs="Arial" w:eastAsia="Arial" w:hAnsi="Arial"/>
          <w:sz w:val="7"/>
          <w:szCs w:val="7"/>
          <w:color w:val="auto"/>
        </w:rPr>
      </w:pPr>
      <w:r>
        <w:rPr>
          <w:rFonts w:ascii="Arial" w:cs="Arial" w:eastAsia="Arial" w:hAnsi="Arial"/>
          <w:sz w:val="7"/>
          <w:szCs w:val="7"/>
          <w:color w:val="auto"/>
        </w:rPr>
        <w:t>Total energy consumption (MWh) (calculated as the sum of lines 1, 2 and 6)</w:t>
      </w:r>
    </w:p>
    <w:p>
      <w:pPr>
        <w:spacing w:after="0" w:line="5" w:lineRule="exact"/>
        <w:rPr>
          <w:rFonts w:ascii="Arial" w:cs="Arial" w:eastAsia="Arial" w:hAnsi="Arial"/>
          <w:sz w:val="7"/>
          <w:szCs w:val="7"/>
          <w:color w:val="auto"/>
        </w:rPr>
      </w:pPr>
    </w:p>
    <w:p>
      <w:pPr>
        <w:ind w:right="6920" w:firstLine="6"/>
        <w:spacing w:after="0" w:line="247" w:lineRule="auto"/>
        <w:tabs>
          <w:tab w:leader="none" w:pos="76" w:val="left"/>
        </w:tabs>
        <w:numPr>
          <w:ilvl w:val="0"/>
          <w:numId w:val="30"/>
        </w:numPr>
        <w:rPr>
          <w:rFonts w:ascii="Arial" w:cs="Arial" w:eastAsia="Arial" w:hAnsi="Arial"/>
          <w:sz w:val="7"/>
          <w:szCs w:val="7"/>
          <w:color w:val="auto"/>
        </w:rPr>
      </w:pPr>
      <w:r>
        <w:rPr>
          <w:rFonts w:ascii="Arial" w:cs="Arial" w:eastAsia="Arial" w:hAnsi="Arial"/>
          <w:sz w:val="7"/>
          <w:szCs w:val="7"/>
          <w:color w:val="auto"/>
        </w:rPr>
        <w:t>2024 restated to include fossil energy consumption for leased vehicles. Total fossil energy consumption increased from 4,616 to 5,120, or 11%.</w:t>
      </w:r>
    </w:p>
    <w:p>
      <w:pPr>
        <w:spacing w:after="0" w:line="210" w:lineRule="auto"/>
        <w:rPr>
          <w:sz w:val="20"/>
          <w:szCs w:val="20"/>
          <w:color w:val="auto"/>
        </w:rPr>
      </w:pPr>
      <w:r>
        <w:rPr>
          <w:rFonts w:ascii="Arial" w:cs="Arial" w:eastAsia="Arial" w:hAnsi="Arial"/>
          <w:sz w:val="13"/>
          <w:szCs w:val="13"/>
          <w:b w:val="1"/>
          <w:bCs w:val="1"/>
          <w:color w:val="0057CF"/>
        </w:rPr>
        <w:t>Accounting Policies</w:t>
      </w:r>
    </w:p>
    <w:p>
      <w:pPr>
        <w:spacing w:after="0" w:line="199" w:lineRule="auto"/>
        <w:rPr>
          <w:sz w:val="20"/>
          <w:szCs w:val="20"/>
          <w:color w:val="auto"/>
        </w:rPr>
      </w:pPr>
      <w:r>
        <w:rPr>
          <w:rFonts w:ascii="Arial" w:cs="Arial" w:eastAsia="Arial" w:hAnsi="Arial"/>
          <w:sz w:val="10"/>
          <w:szCs w:val="10"/>
          <w:color w:val="auto"/>
        </w:rPr>
        <w:t>Total energy consumption includes both renewable and non-</w:t>
      </w:r>
    </w:p>
    <w:p>
      <w:pPr>
        <w:spacing w:after="0" w:line="199" w:lineRule="auto"/>
        <w:rPr>
          <w:sz w:val="20"/>
          <w:szCs w:val="20"/>
          <w:color w:val="auto"/>
        </w:rPr>
      </w:pPr>
      <w:r>
        <w:rPr>
          <w:rFonts w:ascii="Arial" w:cs="Arial" w:eastAsia="Arial" w:hAnsi="Arial"/>
          <w:sz w:val="10"/>
          <w:szCs w:val="10"/>
          <w:color w:val="auto"/>
        </w:rPr>
        <w:t>renewable energy sources across our operations, measured in</w:t>
      </w:r>
    </w:p>
    <w:p>
      <w:pPr>
        <w:spacing w:after="0" w:line="198" w:lineRule="auto"/>
        <w:rPr>
          <w:sz w:val="20"/>
          <w:szCs w:val="20"/>
          <w:color w:val="auto"/>
        </w:rPr>
      </w:pPr>
      <w:r>
        <w:rPr>
          <w:rFonts w:ascii="Arial" w:cs="Arial" w:eastAsia="Arial" w:hAnsi="Arial"/>
          <w:sz w:val="10"/>
          <w:szCs w:val="10"/>
          <w:color w:val="auto"/>
        </w:rPr>
        <w:t>megawatt-hours (MWh) using data from energy systems, utility</w:t>
      </w:r>
    </w:p>
    <w:p>
      <w:pPr>
        <w:spacing w:after="0" w:line="199" w:lineRule="auto"/>
        <w:rPr>
          <w:sz w:val="20"/>
          <w:szCs w:val="20"/>
          <w:color w:val="auto"/>
        </w:rPr>
      </w:pPr>
      <w:r>
        <w:rPr>
          <w:rFonts w:ascii="Arial" w:cs="Arial" w:eastAsia="Arial" w:hAnsi="Arial"/>
          <w:sz w:val="10"/>
          <w:szCs w:val="10"/>
          <w:color w:val="auto"/>
        </w:rPr>
        <w:t>invoices and leased vehicle mileage reports. Renewable energy</w:t>
      </w:r>
    </w:p>
    <w:p>
      <w:pPr>
        <w:spacing w:after="0" w:line="198" w:lineRule="auto"/>
        <w:rPr>
          <w:sz w:val="20"/>
          <w:szCs w:val="20"/>
          <w:color w:val="auto"/>
        </w:rPr>
      </w:pPr>
      <w:r>
        <w:rPr>
          <w:rFonts w:ascii="Arial" w:cs="Arial" w:eastAsia="Arial" w:hAnsi="Arial"/>
          <w:sz w:val="10"/>
          <w:szCs w:val="10"/>
          <w:color w:val="auto"/>
        </w:rPr>
        <w:t>covers wind, solar, hydro and other sustainable sources which are</w:t>
      </w:r>
    </w:p>
    <w:p>
      <w:pPr>
        <w:spacing w:after="0" w:line="199" w:lineRule="auto"/>
        <w:rPr>
          <w:sz w:val="20"/>
          <w:szCs w:val="20"/>
          <w:color w:val="auto"/>
        </w:rPr>
      </w:pPr>
      <w:r>
        <w:rPr>
          <w:rFonts w:ascii="Arial" w:cs="Arial" w:eastAsia="Arial" w:hAnsi="Arial"/>
          <w:sz w:val="10"/>
          <w:szCs w:val="10"/>
          <w:color w:val="auto"/>
        </w:rPr>
        <w:t>supported by contractual agreements such as EACs, while non-</w:t>
      </w:r>
    </w:p>
    <w:p>
      <w:pPr>
        <w:spacing w:after="0" w:line="199" w:lineRule="auto"/>
        <w:rPr>
          <w:sz w:val="20"/>
          <w:szCs w:val="20"/>
          <w:color w:val="auto"/>
        </w:rPr>
      </w:pPr>
      <w:r>
        <w:rPr>
          <w:rFonts w:ascii="Arial" w:cs="Arial" w:eastAsia="Arial" w:hAnsi="Arial"/>
          <w:sz w:val="10"/>
          <w:szCs w:val="10"/>
          <w:color w:val="auto"/>
        </w:rPr>
        <w:t>renewable energy covers fossil fuels and grid electricity. Annual</w:t>
      </w:r>
    </w:p>
    <w:p>
      <w:pPr>
        <w:spacing w:after="0" w:line="198" w:lineRule="auto"/>
        <w:rPr>
          <w:sz w:val="20"/>
          <w:szCs w:val="20"/>
          <w:color w:val="auto"/>
        </w:rPr>
      </w:pPr>
      <w:r>
        <w:rPr>
          <w:rFonts w:ascii="Arial" w:cs="Arial" w:eastAsia="Arial" w:hAnsi="Arial"/>
          <w:sz w:val="10"/>
          <w:szCs w:val="10"/>
          <w:color w:val="auto"/>
        </w:rPr>
        <w:t>reviews ensure data accuracy, compliance with reporting standards,</w:t>
      </w:r>
    </w:p>
    <w:p>
      <w:pPr>
        <w:spacing w:after="0" w:line="205" w:lineRule="auto"/>
        <w:rPr>
          <w:sz w:val="20"/>
          <w:szCs w:val="20"/>
          <w:color w:val="auto"/>
        </w:rPr>
      </w:pPr>
      <w:r>
        <w:rPr>
          <w:rFonts w:ascii="Arial" w:cs="Arial" w:eastAsia="Arial" w:hAnsi="Arial"/>
          <w:sz w:val="10"/>
          <w:szCs w:val="10"/>
          <w:color w:val="auto"/>
        </w:rPr>
        <w:t>and alignment with our sustainability commitments.</w:t>
      </w:r>
    </w:p>
    <w:p>
      <w:pPr>
        <w:spacing w:after="0" w:line="209" w:lineRule="auto"/>
        <w:rPr>
          <w:sz w:val="20"/>
          <w:szCs w:val="20"/>
          <w:color w:val="auto"/>
        </w:rPr>
      </w:pPr>
      <w:r>
        <w:rPr>
          <w:rFonts w:ascii="Arial" w:cs="Arial" w:eastAsia="Arial" w:hAnsi="Arial"/>
          <w:sz w:val="13"/>
          <w:szCs w:val="13"/>
          <w:b w:val="1"/>
          <w:bCs w:val="1"/>
          <w:color w:val="0057CF"/>
        </w:rPr>
        <w:t>Gross Scopes 1, 2, 3 and total GHG emissions (E1-6)</w:t>
      </w:r>
    </w:p>
    <w:p>
      <w:pPr>
        <w:sectPr>
          <w:pgSz w:w="11900" w:h="16840" w:orient="portrait"/>
          <w:cols w:equalWidth="0" w:num="1">
            <w:col w:w="9900"/>
          </w:cols>
          <w:pgMar w:left="640" w:top="571" w:right="1360" w:bottom="1440" w:gutter="0" w:footer="0" w:header="0"/>
        </w:sectPr>
      </w:pPr>
    </w:p>
    <w:p>
      <w:pPr>
        <w:ind w:right="3440"/>
        <w:spacing w:after="0" w:line="231" w:lineRule="auto"/>
        <w:rPr>
          <w:sz w:val="20"/>
          <w:szCs w:val="20"/>
          <w:color w:val="auto"/>
        </w:rPr>
      </w:pPr>
      <w:r>
        <w:rPr>
          <w:rFonts w:ascii="Arial" w:cs="Arial" w:eastAsia="Arial" w:hAnsi="Arial"/>
          <w:sz w:val="10"/>
          <w:szCs w:val="10"/>
          <w:color w:val="auto"/>
        </w:rPr>
        <w:t>Genmab calculates its Scope 1, 2 and 3 GHG emissions in accordance with the requirements of ESRS E1 Climate Change, considering the principles, requirements and guidance provided by the GHG Protocol.</w:t>
      </w:r>
    </w:p>
    <w:p>
      <w:pPr>
        <w:sectPr>
          <w:pgSz w:w="11900" w:h="16840" w:orient="portrait"/>
          <w:cols w:equalWidth="0" w:num="1">
            <w:col w:w="9900"/>
          </w:cols>
          <w:pgMar w:left="640" w:top="571" w:right="1360" w:bottom="1440" w:gutter="0" w:footer="0" w:header="0"/>
          <w:type w:val="continuous"/>
        </w:sectPr>
      </w:pPr>
    </w:p>
    <w:bookmarkStart w:id="119" w:name="page120"/>
    <w:bookmarkEnd w:id="119"/>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2" w:lineRule="auto"/>
        <w:rPr>
          <w:sz w:val="20"/>
          <w:szCs w:val="20"/>
          <w:color w:val="auto"/>
        </w:rPr>
      </w:pPr>
      <w:r>
        <w:rPr>
          <w:rFonts w:ascii="Arial" w:cs="Arial" w:eastAsia="Arial" w:hAnsi="Arial"/>
          <w:sz w:val="13"/>
          <w:szCs w:val="13"/>
          <w:b w:val="1"/>
          <w:bCs w:val="1"/>
          <w:color w:val="0057CF"/>
        </w:rPr>
        <w:t>Accounting Policies</w:t>
      </w:r>
    </w:p>
    <w:p>
      <w:pPr>
        <w:spacing w:after="0" w:line="196" w:lineRule="auto"/>
        <w:rPr>
          <w:sz w:val="20"/>
          <w:szCs w:val="20"/>
          <w:color w:val="auto"/>
        </w:rPr>
      </w:pPr>
      <w:r>
        <w:rPr>
          <w:rFonts w:ascii="Arial" w:cs="Arial" w:eastAsia="Arial" w:hAnsi="Arial"/>
          <w:sz w:val="12"/>
          <w:szCs w:val="12"/>
          <w:b w:val="1"/>
          <w:bCs w:val="1"/>
          <w:color w:val="auto"/>
        </w:rPr>
        <w:t>Scope 1 GHG Emissions</w:t>
      </w:r>
    </w:p>
    <w:p>
      <w:pPr>
        <w:ind w:right="2780"/>
        <w:spacing w:after="0" w:line="114" w:lineRule="exact"/>
        <w:rPr>
          <w:sz w:val="20"/>
          <w:szCs w:val="20"/>
          <w:color w:val="auto"/>
        </w:rPr>
      </w:pPr>
      <w:r>
        <w:rPr>
          <w:rFonts w:ascii="Arial" w:cs="Arial" w:eastAsia="Arial" w:hAnsi="Arial"/>
          <w:sz w:val="10"/>
          <w:szCs w:val="10"/>
          <w:color w:val="auto"/>
        </w:rPr>
        <w:t>Scope 1 GHG emissions are direct emissions from sources under Genmab’s financial or operational control at its offices, laboratories and leased vehicles. These emissions result primarily from fuel combustion and refrigerant leakage and are reported in CO</w:t>
      </w:r>
      <w:r>
        <w:rPr>
          <w:rFonts w:ascii="MS PGothic" w:cs="MS PGothic" w:eastAsia="MS PGothic" w:hAnsi="MS PGothic"/>
          <w:sz w:val="10"/>
          <w:szCs w:val="10"/>
          <w:color w:val="auto"/>
        </w:rPr>
        <w:t>₂</w:t>
      </w:r>
      <w:r>
        <w:rPr>
          <w:rFonts w:ascii="Arial" w:cs="Arial" w:eastAsia="Arial" w:hAnsi="Arial"/>
          <w:sz w:val="10"/>
          <w:szCs w:val="10"/>
          <w:color w:val="auto"/>
        </w:rPr>
        <w:t xml:space="preserve"> equivalents (CO</w:t>
      </w:r>
      <w:r>
        <w:rPr>
          <w:rFonts w:ascii="Arial" w:cs="Arial" w:eastAsia="Arial" w:hAnsi="Arial"/>
          <w:sz w:val="13"/>
          <w:szCs w:val="13"/>
          <w:color w:val="auto"/>
          <w:vertAlign w:val="subscript"/>
        </w:rPr>
        <w:t>2</w:t>
      </w:r>
      <w:r>
        <w:rPr>
          <w:rFonts w:ascii="Arial" w:cs="Arial" w:eastAsia="Arial" w:hAnsi="Arial"/>
          <w:sz w:val="10"/>
          <w:szCs w:val="10"/>
          <w:color w:val="auto"/>
        </w:rPr>
        <w:t xml:space="preserve"> eq) using the 2025</w:t>
      </w:r>
    </w:p>
    <w:p>
      <w:pPr>
        <w:spacing w:after="0" w:line="204" w:lineRule="auto"/>
        <w:rPr>
          <w:sz w:val="20"/>
          <w:szCs w:val="20"/>
          <w:color w:val="auto"/>
        </w:rPr>
      </w:pPr>
      <w:r>
        <w:rPr>
          <w:rFonts w:ascii="Arial" w:cs="Arial" w:eastAsia="Arial" w:hAnsi="Arial"/>
          <w:sz w:val="10"/>
          <w:szCs w:val="10"/>
          <w:color w:val="auto"/>
        </w:rPr>
        <w:t>DEFRA conversion factors.</w:t>
      </w:r>
    </w:p>
    <w:p>
      <w:pPr>
        <w:spacing w:after="0" w:line="196" w:lineRule="auto"/>
        <w:rPr>
          <w:sz w:val="20"/>
          <w:szCs w:val="20"/>
          <w:color w:val="auto"/>
        </w:rPr>
      </w:pPr>
      <w:r>
        <w:rPr>
          <w:rFonts w:ascii="Arial" w:cs="Arial" w:eastAsia="Arial" w:hAnsi="Arial"/>
          <w:sz w:val="12"/>
          <w:szCs w:val="12"/>
          <w:b w:val="1"/>
          <w:bCs w:val="1"/>
          <w:color w:val="auto"/>
        </w:rPr>
        <w:t>Scope 2 GHG Emissions</w:t>
      </w:r>
    </w:p>
    <w:p>
      <w:pPr>
        <w:ind w:right="2440"/>
        <w:spacing w:after="0" w:line="199" w:lineRule="auto"/>
        <w:rPr>
          <w:sz w:val="20"/>
          <w:szCs w:val="20"/>
          <w:color w:val="auto"/>
        </w:rPr>
      </w:pPr>
      <w:r>
        <w:rPr>
          <w:rFonts w:ascii="Arial" w:cs="Arial" w:eastAsia="Arial" w:hAnsi="Arial"/>
          <w:sz w:val="10"/>
          <w:szCs w:val="10"/>
          <w:color w:val="auto"/>
        </w:rPr>
        <w:t>Scope 2 GHG emissions are indirect emissions from purchased electricity and district heating used across Genmab’s offices and laboratories. Location-based and market- based GHG emissions are calculated using consumed energy multiplied with either supplier-specific emission factors or national factors from the International Energy Agency (IEA, 2023) and Association of Issuing Bodies (AIB, 2024). Renewable energy purchases and certificates are considered when accounting for GHG emissions, using the market-based approach.</w:t>
      </w:r>
    </w:p>
    <w:p>
      <w:pPr>
        <w:spacing w:after="0" w:line="196" w:lineRule="auto"/>
        <w:rPr>
          <w:sz w:val="20"/>
          <w:szCs w:val="20"/>
          <w:color w:val="auto"/>
        </w:rPr>
      </w:pPr>
      <w:r>
        <w:rPr>
          <w:rFonts w:ascii="Arial" w:cs="Arial" w:eastAsia="Arial" w:hAnsi="Arial"/>
          <w:sz w:val="12"/>
          <w:szCs w:val="12"/>
          <w:b w:val="1"/>
          <w:bCs w:val="1"/>
          <w:color w:val="auto"/>
        </w:rPr>
        <w:t>Scope 3 GHG Emissions</w:t>
      </w:r>
    </w:p>
    <w:p>
      <w:pPr>
        <w:ind w:right="2660"/>
        <w:spacing w:after="0" w:line="199" w:lineRule="auto"/>
        <w:rPr>
          <w:sz w:val="20"/>
          <w:szCs w:val="20"/>
          <w:color w:val="auto"/>
        </w:rPr>
      </w:pPr>
      <w:r>
        <w:rPr>
          <w:rFonts w:ascii="Arial" w:cs="Arial" w:eastAsia="Arial" w:hAnsi="Arial"/>
          <w:sz w:val="10"/>
          <w:szCs w:val="10"/>
          <w:color w:val="auto"/>
        </w:rPr>
        <w:t>Genmab reports on six of the 15 Scope 3 GHG categories defined by the GHG Protocol; the remaining nine are either not applicable or not material. All Scope 3 emissions are currently estimated using secondary data.</w:t>
      </w:r>
    </w:p>
    <w:p>
      <w:pPr>
        <w:spacing w:after="0" w:line="215" w:lineRule="auto"/>
        <w:rPr>
          <w:sz w:val="20"/>
          <w:szCs w:val="20"/>
          <w:color w:val="auto"/>
        </w:rPr>
      </w:pPr>
      <w:r>
        <w:rPr>
          <w:rFonts w:ascii="Arial" w:cs="Arial" w:eastAsia="Arial" w:hAnsi="Arial"/>
          <w:sz w:val="11"/>
          <w:szCs w:val="11"/>
          <w:b w:val="1"/>
          <w:bCs w:val="1"/>
          <w:color w:val="0057CF"/>
        </w:rPr>
        <w:t>Category 1 – Purchased goods and services</w:t>
      </w:r>
    </w:p>
    <w:p>
      <w:pPr>
        <w:ind w:right="2480"/>
        <w:spacing w:after="0" w:line="216" w:lineRule="auto"/>
        <w:rPr>
          <w:sz w:val="20"/>
          <w:szCs w:val="20"/>
          <w:color w:val="auto"/>
        </w:rPr>
      </w:pPr>
      <w:r>
        <w:rPr>
          <w:rFonts w:ascii="Arial" w:cs="Arial" w:eastAsia="Arial" w:hAnsi="Arial"/>
          <w:sz w:val="10"/>
          <w:szCs w:val="10"/>
          <w:color w:val="auto"/>
        </w:rPr>
        <w:t>Purchased goods and services include GHG emissions related to all spend from external suppliers, except for investment (CapEx), travel, and transportation and distribution spend, which are included in other Scope 3 categories. Spend is converted into CO</w:t>
      </w:r>
      <w:r>
        <w:rPr>
          <w:rFonts w:ascii="Arial" w:cs="Arial" w:eastAsia="Arial" w:hAnsi="Arial"/>
          <w:sz w:val="13"/>
          <w:szCs w:val="13"/>
          <w:color w:val="auto"/>
          <w:vertAlign w:val="subscript"/>
        </w:rPr>
        <w:t>2</w:t>
      </w:r>
      <w:r>
        <w:rPr>
          <w:rFonts w:ascii="Arial" w:cs="Arial" w:eastAsia="Arial" w:hAnsi="Arial"/>
          <w:sz w:val="10"/>
          <w:szCs w:val="10"/>
          <w:color w:val="auto"/>
        </w:rPr>
        <w:t>eq emissions using the spend- based method by applying</w:t>
      </w:r>
    </w:p>
    <w:p>
      <w:pPr>
        <w:spacing w:after="0" w:line="1" w:lineRule="exact"/>
        <w:rPr>
          <w:rFonts w:ascii="Arial" w:cs="Arial" w:eastAsia="Arial" w:hAnsi="Arial"/>
          <w:sz w:val="10"/>
          <w:szCs w:val="10"/>
          <w:b w:val="1"/>
          <w:bCs w:val="1"/>
          <w:color w:val="auto"/>
        </w:rPr>
      </w:pPr>
    </w:p>
    <w:p>
      <w:pPr>
        <w:ind w:right="2820"/>
        <w:spacing w:after="0" w:line="225" w:lineRule="auto"/>
        <w:rPr>
          <w:sz w:val="20"/>
          <w:szCs w:val="20"/>
          <w:color w:val="auto"/>
        </w:rPr>
      </w:pPr>
      <w:r>
        <w:rPr>
          <w:rFonts w:ascii="Arial" w:cs="Arial" w:eastAsia="Arial" w:hAnsi="Arial"/>
          <w:sz w:val="10"/>
          <w:szCs w:val="10"/>
          <w:color w:val="auto"/>
        </w:rPr>
        <w:t>the Environmentally Extended Input-Output (EEIO) model with U.S. EPA emission factors (2024) to estimate GHG emissions (CO</w:t>
      </w:r>
      <w:r>
        <w:rPr>
          <w:rFonts w:ascii="Arial" w:cs="Arial" w:eastAsia="Arial" w:hAnsi="Arial"/>
          <w:sz w:val="13"/>
          <w:szCs w:val="13"/>
          <w:color w:val="auto"/>
          <w:vertAlign w:val="subscript"/>
        </w:rPr>
        <w:t>2</w:t>
      </w:r>
      <w:r>
        <w:rPr>
          <w:rFonts w:ascii="Arial" w:cs="Arial" w:eastAsia="Arial" w:hAnsi="Arial"/>
          <w:sz w:val="10"/>
          <w:szCs w:val="10"/>
          <w:color w:val="auto"/>
        </w:rPr>
        <w:t xml:space="preserve"> eq).</w:t>
      </w:r>
    </w:p>
    <w:p>
      <w:pPr>
        <w:spacing w:after="0" w:line="215" w:lineRule="auto"/>
        <w:rPr>
          <w:sz w:val="20"/>
          <w:szCs w:val="20"/>
          <w:color w:val="auto"/>
        </w:rPr>
      </w:pPr>
      <w:r>
        <w:rPr>
          <w:rFonts w:ascii="Arial" w:cs="Arial" w:eastAsia="Arial" w:hAnsi="Arial"/>
          <w:sz w:val="11"/>
          <w:szCs w:val="11"/>
          <w:b w:val="1"/>
          <w:bCs w:val="1"/>
          <w:color w:val="0057CF"/>
        </w:rPr>
        <w:t>Category 2 – Capital goods</w:t>
      </w:r>
    </w:p>
    <w:p>
      <w:pPr>
        <w:jc w:val="both"/>
        <w:ind w:right="2460"/>
        <w:spacing w:after="0" w:line="224" w:lineRule="auto"/>
        <w:rPr>
          <w:sz w:val="20"/>
          <w:szCs w:val="20"/>
          <w:color w:val="auto"/>
        </w:rPr>
      </w:pPr>
      <w:r>
        <w:rPr>
          <w:rFonts w:ascii="Arial" w:cs="Arial" w:eastAsia="Arial" w:hAnsi="Arial"/>
          <w:sz w:val="10"/>
          <w:szCs w:val="10"/>
          <w:color w:val="auto"/>
        </w:rPr>
        <w:t>Capital goods include GHG emissions related to investments in tangible assets (CapEx). Spend is converted into CO</w:t>
      </w:r>
      <w:r>
        <w:rPr>
          <w:rFonts w:ascii="Arial" w:cs="Arial" w:eastAsia="Arial" w:hAnsi="Arial"/>
          <w:sz w:val="13"/>
          <w:szCs w:val="13"/>
          <w:color w:val="auto"/>
          <w:vertAlign w:val="subscript"/>
        </w:rPr>
        <w:t>2</w:t>
      </w:r>
      <w:r>
        <w:rPr>
          <w:rFonts w:ascii="Arial" w:cs="Arial" w:eastAsia="Arial" w:hAnsi="Arial"/>
          <w:sz w:val="10"/>
          <w:szCs w:val="10"/>
          <w:color w:val="auto"/>
        </w:rPr>
        <w:t>eq emissions using the spend-based method by applying the Environmentally Extended</w:t>
      </w:r>
    </w:p>
    <w:p>
      <w:pPr>
        <w:spacing w:after="0" w:line="1"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0"/>
          <w:szCs w:val="10"/>
          <w:color w:val="auto"/>
        </w:rPr>
        <w:t>Input-Output (EEIO) model with U.S. EPA emission factors (2024) to estimate GHG emissions (CO</w:t>
      </w:r>
      <w:r>
        <w:rPr>
          <w:rFonts w:ascii="Arial" w:cs="Arial" w:eastAsia="Arial" w:hAnsi="Arial"/>
          <w:sz w:val="13"/>
          <w:szCs w:val="13"/>
          <w:color w:val="auto"/>
          <w:vertAlign w:val="subscript"/>
        </w:rPr>
        <w:t>2</w:t>
      </w:r>
      <w:r>
        <w:rPr>
          <w:rFonts w:ascii="Arial" w:cs="Arial" w:eastAsia="Arial" w:hAnsi="Arial"/>
          <w:sz w:val="10"/>
          <w:szCs w:val="10"/>
          <w:color w:val="auto"/>
        </w:rPr>
        <w:t>eq).</w:t>
      </w:r>
    </w:p>
    <w:p>
      <w:pPr>
        <w:spacing w:after="0" w:line="222" w:lineRule="auto"/>
        <w:rPr>
          <w:sz w:val="20"/>
          <w:szCs w:val="20"/>
          <w:color w:val="auto"/>
        </w:rPr>
      </w:pPr>
      <w:r>
        <w:rPr>
          <w:rFonts w:ascii="Arial" w:cs="Arial" w:eastAsia="Arial" w:hAnsi="Arial"/>
          <w:sz w:val="11"/>
          <w:szCs w:val="11"/>
          <w:b w:val="1"/>
          <w:bCs w:val="1"/>
          <w:color w:val="0057CF"/>
        </w:rPr>
        <w:t>Category 3 – Fuel and energy-related activities</w:t>
      </w:r>
    </w:p>
    <w:p>
      <w:pPr>
        <w:spacing w:after="0"/>
        <w:rPr>
          <w:sz w:val="20"/>
          <w:szCs w:val="20"/>
          <w:color w:val="auto"/>
        </w:rPr>
      </w:pPr>
      <w:r>
        <w:rPr>
          <w:rFonts w:ascii="Arial" w:cs="Arial" w:eastAsia="Arial" w:hAnsi="Arial"/>
          <w:sz w:val="10"/>
          <w:szCs w:val="10"/>
          <w:color w:val="auto"/>
        </w:rPr>
        <w:t>Fuel and energy-related activities include all upstream Well-to-Tank (WTT) CO</w:t>
      </w:r>
      <w:r>
        <w:rPr>
          <w:rFonts w:ascii="Arial" w:cs="Arial" w:eastAsia="Arial" w:hAnsi="Arial"/>
          <w:sz w:val="13"/>
          <w:szCs w:val="13"/>
          <w:color w:val="auto"/>
          <w:vertAlign w:val="subscript"/>
        </w:rPr>
        <w:t>2</w:t>
      </w:r>
      <w:r>
        <w:rPr>
          <w:rFonts w:ascii="Arial" w:cs="Arial" w:eastAsia="Arial" w:hAnsi="Arial"/>
          <w:sz w:val="10"/>
          <w:szCs w:val="10"/>
          <w:color w:val="auto"/>
        </w:rPr>
        <w:t>eq emissions of purchased</w:t>
      </w:r>
    </w:p>
    <w:p>
      <w:pPr>
        <w:spacing w:after="0" w:line="3" w:lineRule="exact"/>
        <w:rPr>
          <w:rFonts w:ascii="Arial" w:cs="Arial" w:eastAsia="Arial" w:hAnsi="Arial"/>
          <w:sz w:val="10"/>
          <w:szCs w:val="10"/>
          <w:b w:val="1"/>
          <w:bCs w:val="1"/>
          <w:color w:val="auto"/>
        </w:rPr>
      </w:pPr>
    </w:p>
    <w:p>
      <w:pPr>
        <w:jc w:val="both"/>
        <w:ind w:right="2480"/>
        <w:spacing w:after="0" w:line="216" w:lineRule="auto"/>
        <w:rPr>
          <w:sz w:val="20"/>
          <w:szCs w:val="20"/>
          <w:color w:val="auto"/>
        </w:rPr>
      </w:pPr>
      <w:r>
        <w:rPr>
          <w:rFonts w:ascii="Arial" w:cs="Arial" w:eastAsia="Arial" w:hAnsi="Arial"/>
          <w:sz w:val="10"/>
          <w:szCs w:val="10"/>
          <w:color w:val="auto"/>
        </w:rPr>
        <w:t>fuel and electricity and Transmission and Distribution (T&amp;D) Loss of purchased electricity (beyond Scope 1 and 2 GHG emissions) . Electricity and fuel consumption are multiplied by DEFRA's emission factors (2025 for fuel and 2021 for electricity) to estimate GHG emissions (CO</w:t>
      </w:r>
      <w:r>
        <w:rPr>
          <w:rFonts w:ascii="Arial" w:cs="Arial" w:eastAsia="Arial" w:hAnsi="Arial"/>
          <w:sz w:val="13"/>
          <w:szCs w:val="13"/>
          <w:color w:val="auto"/>
          <w:vertAlign w:val="subscript"/>
        </w:rPr>
        <w:t>2</w:t>
      </w:r>
      <w:r>
        <w:rPr>
          <w:rFonts w:ascii="Arial" w:cs="Arial" w:eastAsia="Arial" w:hAnsi="Arial"/>
          <w:sz w:val="10"/>
          <w:szCs w:val="10"/>
          <w:color w:val="auto"/>
        </w:rPr>
        <w:t>eq). The category primarily comprises</w:t>
      </w:r>
    </w:p>
    <w:p>
      <w:pPr>
        <w:spacing w:after="0" w:line="202" w:lineRule="auto"/>
        <w:rPr>
          <w:sz w:val="20"/>
          <w:szCs w:val="20"/>
          <w:color w:val="auto"/>
        </w:rPr>
      </w:pPr>
      <w:r>
        <w:rPr>
          <w:rFonts w:ascii="Arial" w:cs="Arial" w:eastAsia="Arial" w:hAnsi="Arial"/>
          <w:sz w:val="10"/>
          <w:szCs w:val="10"/>
          <w:color w:val="auto"/>
        </w:rPr>
        <w:t>upstream WTT and T&amp;D emissions from electricity and WTT emissions from natural gas.</w:t>
      </w:r>
    </w:p>
    <w:p>
      <w:pPr>
        <w:spacing w:after="0" w:line="215" w:lineRule="auto"/>
        <w:rPr>
          <w:sz w:val="20"/>
          <w:szCs w:val="20"/>
          <w:color w:val="auto"/>
        </w:rPr>
      </w:pPr>
      <w:r>
        <w:rPr>
          <w:rFonts w:ascii="Arial" w:cs="Arial" w:eastAsia="Arial" w:hAnsi="Arial"/>
          <w:sz w:val="11"/>
          <w:szCs w:val="11"/>
          <w:b w:val="1"/>
          <w:bCs w:val="1"/>
          <w:color w:val="0057CF"/>
        </w:rPr>
        <w:t>Category 4 – Upstream transportation and distribution</w:t>
      </w:r>
    </w:p>
    <w:p>
      <w:pPr>
        <w:ind w:right="2540"/>
        <w:spacing w:after="0" w:line="224" w:lineRule="auto"/>
        <w:rPr>
          <w:sz w:val="20"/>
          <w:szCs w:val="20"/>
          <w:color w:val="auto"/>
        </w:rPr>
      </w:pPr>
      <w:r>
        <w:rPr>
          <w:rFonts w:ascii="Arial" w:cs="Arial" w:eastAsia="Arial" w:hAnsi="Arial"/>
          <w:sz w:val="10"/>
          <w:szCs w:val="10"/>
          <w:color w:val="auto"/>
        </w:rPr>
        <w:t>Upstream transportation and distribution include GHG emissions related to spend from external suppliers related to transportation and distribution of goods. Spend is converted into CO</w:t>
      </w:r>
      <w:r>
        <w:rPr>
          <w:rFonts w:ascii="Arial" w:cs="Arial" w:eastAsia="Arial" w:hAnsi="Arial"/>
          <w:sz w:val="13"/>
          <w:szCs w:val="13"/>
          <w:color w:val="auto"/>
          <w:vertAlign w:val="subscript"/>
        </w:rPr>
        <w:t>2</w:t>
      </w:r>
      <w:r>
        <w:rPr>
          <w:rFonts w:ascii="Arial" w:cs="Arial" w:eastAsia="Arial" w:hAnsi="Arial"/>
          <w:sz w:val="10"/>
          <w:szCs w:val="10"/>
          <w:color w:val="auto"/>
        </w:rPr>
        <w:t>eq emissions using the</w:t>
      </w:r>
    </w:p>
    <w:p>
      <w:pPr>
        <w:spacing w:after="0" w:line="1" w:lineRule="exact"/>
        <w:rPr>
          <w:rFonts w:ascii="Arial" w:cs="Arial" w:eastAsia="Arial" w:hAnsi="Arial"/>
          <w:sz w:val="10"/>
          <w:szCs w:val="10"/>
          <w:b w:val="1"/>
          <w:bCs w:val="1"/>
          <w:color w:val="auto"/>
        </w:rPr>
      </w:pPr>
    </w:p>
    <w:p>
      <w:pPr>
        <w:ind w:right="2480"/>
        <w:spacing w:after="0" w:line="225" w:lineRule="auto"/>
        <w:rPr>
          <w:sz w:val="20"/>
          <w:szCs w:val="20"/>
          <w:color w:val="auto"/>
        </w:rPr>
      </w:pPr>
      <w:r>
        <w:rPr>
          <w:rFonts w:ascii="Arial" w:cs="Arial" w:eastAsia="Arial" w:hAnsi="Arial"/>
          <w:sz w:val="10"/>
          <w:szCs w:val="10"/>
          <w:color w:val="auto"/>
        </w:rPr>
        <w:t>spend-based method by applying the Environmentally Extended Input-Output (EEIO) model with U.S. EPA emission factors (2024) to estimate GHG emissions (CO</w:t>
      </w:r>
      <w:r>
        <w:rPr>
          <w:rFonts w:ascii="Arial" w:cs="Arial" w:eastAsia="Arial" w:hAnsi="Arial"/>
          <w:sz w:val="13"/>
          <w:szCs w:val="13"/>
          <w:color w:val="auto"/>
          <w:vertAlign w:val="subscript"/>
        </w:rPr>
        <w:t>2</w:t>
      </w:r>
      <w:r>
        <w:rPr>
          <w:rFonts w:ascii="Arial" w:cs="Arial" w:eastAsia="Arial" w:hAnsi="Arial"/>
          <w:sz w:val="10"/>
          <w:szCs w:val="10"/>
          <w:color w:val="auto"/>
        </w:rPr>
        <w:t>eq).</w:t>
      </w:r>
    </w:p>
    <w:p>
      <w:pPr>
        <w:spacing w:after="0" w:line="215" w:lineRule="auto"/>
        <w:rPr>
          <w:sz w:val="20"/>
          <w:szCs w:val="20"/>
          <w:color w:val="auto"/>
        </w:rPr>
      </w:pPr>
      <w:r>
        <w:rPr>
          <w:rFonts w:ascii="Arial" w:cs="Arial" w:eastAsia="Arial" w:hAnsi="Arial"/>
          <w:sz w:val="11"/>
          <w:szCs w:val="11"/>
          <w:b w:val="1"/>
          <w:bCs w:val="1"/>
          <w:color w:val="0057CF"/>
        </w:rPr>
        <w:t>Category 6 – Business travel</w:t>
      </w:r>
    </w:p>
    <w:p>
      <w:pPr>
        <w:ind w:right="2500"/>
        <w:spacing w:after="0" w:line="224" w:lineRule="auto"/>
        <w:rPr>
          <w:sz w:val="20"/>
          <w:szCs w:val="20"/>
          <w:color w:val="auto"/>
        </w:rPr>
      </w:pPr>
      <w:r>
        <w:rPr>
          <w:rFonts w:ascii="Arial" w:cs="Arial" w:eastAsia="Arial" w:hAnsi="Arial"/>
          <w:sz w:val="10"/>
          <w:szCs w:val="10"/>
          <w:color w:val="auto"/>
        </w:rPr>
        <w:t>Business travel includes GHG emissions related to spend from external suppliers related to flights, ground transportation, hotel stays and meals in connection with business travel. Spend is converted into CO</w:t>
      </w:r>
      <w:r>
        <w:rPr>
          <w:rFonts w:ascii="Arial" w:cs="Arial" w:eastAsia="Arial" w:hAnsi="Arial"/>
          <w:sz w:val="13"/>
          <w:szCs w:val="13"/>
          <w:color w:val="auto"/>
          <w:vertAlign w:val="subscript"/>
        </w:rPr>
        <w:t>2</w:t>
      </w:r>
      <w:r>
        <w:rPr>
          <w:rFonts w:ascii="Arial" w:cs="Arial" w:eastAsia="Arial" w:hAnsi="Arial"/>
          <w:sz w:val="10"/>
          <w:szCs w:val="10"/>
          <w:color w:val="auto"/>
        </w:rPr>
        <w:t>eq</w:t>
      </w:r>
    </w:p>
    <w:p>
      <w:pPr>
        <w:spacing w:after="0" w:line="199" w:lineRule="auto"/>
        <w:rPr>
          <w:sz w:val="20"/>
          <w:szCs w:val="20"/>
          <w:color w:val="auto"/>
        </w:rPr>
      </w:pPr>
      <w:r>
        <w:rPr>
          <w:rFonts w:ascii="Arial" w:cs="Arial" w:eastAsia="Arial" w:hAnsi="Arial"/>
          <w:sz w:val="10"/>
          <w:szCs w:val="10"/>
          <w:color w:val="auto"/>
        </w:rPr>
        <w:t>emissions using the spend-based method by applying the Environmentally Extended Input-Output (EEIO)</w:t>
      </w:r>
    </w:p>
    <w:p>
      <w:pPr>
        <w:spacing w:after="0"/>
        <w:rPr>
          <w:sz w:val="20"/>
          <w:szCs w:val="20"/>
          <w:color w:val="auto"/>
        </w:rPr>
      </w:pPr>
      <w:r>
        <w:rPr>
          <w:rFonts w:ascii="Arial" w:cs="Arial" w:eastAsia="Arial" w:hAnsi="Arial"/>
          <w:sz w:val="10"/>
          <w:szCs w:val="10"/>
          <w:color w:val="auto"/>
        </w:rPr>
        <w:t>model with U.S. EPA emission factors (2024) to estimate GHG emissions (CO</w:t>
      </w:r>
      <w:r>
        <w:rPr>
          <w:rFonts w:ascii="Arial" w:cs="Arial" w:eastAsia="Arial" w:hAnsi="Arial"/>
          <w:sz w:val="13"/>
          <w:szCs w:val="13"/>
          <w:color w:val="auto"/>
          <w:vertAlign w:val="subscript"/>
        </w:rPr>
        <w:t>2</w:t>
      </w:r>
      <w:r>
        <w:rPr>
          <w:rFonts w:ascii="Arial" w:cs="Arial" w:eastAsia="Arial" w:hAnsi="Arial"/>
          <w:sz w:val="10"/>
          <w:szCs w:val="10"/>
          <w:color w:val="auto"/>
        </w:rPr>
        <w:t>eq).</w:t>
      </w:r>
    </w:p>
    <w:p>
      <w:pPr>
        <w:spacing w:after="0" w:line="222" w:lineRule="auto"/>
        <w:rPr>
          <w:sz w:val="20"/>
          <w:szCs w:val="20"/>
          <w:color w:val="auto"/>
        </w:rPr>
      </w:pPr>
      <w:r>
        <w:rPr>
          <w:rFonts w:ascii="Arial" w:cs="Arial" w:eastAsia="Arial" w:hAnsi="Arial"/>
          <w:sz w:val="11"/>
          <w:szCs w:val="11"/>
          <w:b w:val="1"/>
          <w:bCs w:val="1"/>
          <w:color w:val="0057CF"/>
        </w:rPr>
        <w:t>Category 7 – Employee Commuting</w:t>
      </w:r>
    </w:p>
    <w:p>
      <w:pPr>
        <w:ind w:right="2440"/>
        <w:spacing w:after="0" w:line="204" w:lineRule="auto"/>
        <w:rPr>
          <w:sz w:val="20"/>
          <w:szCs w:val="20"/>
          <w:color w:val="auto"/>
        </w:rPr>
      </w:pPr>
      <w:r>
        <w:rPr>
          <w:rFonts w:ascii="Arial" w:cs="Arial" w:eastAsia="Arial" w:hAnsi="Arial"/>
          <w:sz w:val="10"/>
          <w:szCs w:val="10"/>
          <w:color w:val="auto"/>
        </w:rPr>
        <w:t>Employee commuting includes GHG emissions related to employees’ commuting between their homes and the Genmab sites. GHG emissions are estimated using the average data method and based on assumptions across our locations.</w:t>
      </w:r>
    </w:p>
    <w:p>
      <w:pPr>
        <w:spacing w:after="0" w:line="1"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123"/>
        </w:trPr>
        <w:tc>
          <w:tcPr>
            <w:tcW w:w="2980" w:type="dxa"/>
            <w:vAlign w:val="bottom"/>
            <w:tcBorders>
              <w:top w:val="single" w:sz="8" w:color="0057CF"/>
            </w:tcBorders>
          </w:tcPr>
          <w:p>
            <w:pPr>
              <w:ind w:left="20"/>
              <w:spacing w:after="0"/>
              <w:rPr>
                <w:sz w:val="20"/>
                <w:szCs w:val="20"/>
                <w:color w:val="auto"/>
              </w:rPr>
            </w:pPr>
            <w:r>
              <w:rPr>
                <w:rFonts w:ascii="Arial" w:cs="Arial" w:eastAsia="Arial" w:hAnsi="Arial"/>
                <w:sz w:val="10"/>
                <w:szCs w:val="10"/>
                <w:color w:val="auto"/>
              </w:rPr>
              <w:t>GHG intensity per net revenue</w:t>
            </w:r>
          </w:p>
        </w:tc>
        <w:tc>
          <w:tcPr>
            <w:tcW w:w="60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0057CF"/>
              </w:rPr>
              <w:t>2025</w:t>
            </w:r>
          </w:p>
        </w:tc>
        <w:tc>
          <w:tcPr>
            <w:tcW w:w="1280" w:type="dxa"/>
            <w:vAlign w:val="bottom"/>
            <w:tcBorders>
              <w:top w:val="single" w:sz="8" w:color="0057CF"/>
            </w:tcBorders>
          </w:tcPr>
          <w:p>
            <w:pPr>
              <w:ind w:left="360"/>
              <w:spacing w:after="0"/>
              <w:rPr>
                <w:sz w:val="20"/>
                <w:szCs w:val="20"/>
                <w:color w:val="auto"/>
              </w:rPr>
            </w:pPr>
            <w:r>
              <w:rPr>
                <w:rFonts w:ascii="Arial" w:cs="Arial" w:eastAsia="Arial" w:hAnsi="Arial"/>
                <w:sz w:val="10"/>
                <w:szCs w:val="10"/>
                <w:b w:val="1"/>
                <w:bCs w:val="1"/>
                <w:color w:val="auto"/>
              </w:rPr>
              <w:t>2024</w:t>
            </w:r>
          </w:p>
        </w:tc>
      </w:tr>
      <w:tr>
        <w:trPr>
          <w:trHeight w:val="124"/>
        </w:trPr>
        <w:tc>
          <w:tcPr>
            <w:tcW w:w="3580" w:type="dxa"/>
            <w:vAlign w:val="bottom"/>
            <w:gridSpan w:val="2"/>
          </w:tcPr>
          <w:p>
            <w:pPr>
              <w:ind w:left="20"/>
              <w:spacing w:after="0"/>
              <w:rPr>
                <w:sz w:val="20"/>
                <w:szCs w:val="20"/>
                <w:color w:val="auto"/>
              </w:rPr>
            </w:pPr>
            <w:r>
              <w:rPr>
                <w:rFonts w:ascii="Arial" w:cs="Arial" w:eastAsia="Arial" w:hAnsi="Arial"/>
                <w:sz w:val="10"/>
                <w:szCs w:val="10"/>
                <w:color w:val="auto"/>
              </w:rPr>
              <w:t>Total GHG emissions (location-based) per net revenue (tCO</w:t>
            </w:r>
            <w:r>
              <w:rPr>
                <w:rFonts w:ascii="Arial" w:cs="Arial" w:eastAsia="Arial" w:hAnsi="Arial"/>
                <w:sz w:val="6"/>
                <w:szCs w:val="6"/>
                <w:color w:val="auto"/>
              </w:rPr>
              <w:t>2</w:t>
            </w:r>
            <w:r>
              <w:rPr>
                <w:rFonts w:ascii="Arial" w:cs="Arial" w:eastAsia="Arial" w:hAnsi="Arial"/>
                <w:sz w:val="10"/>
                <w:szCs w:val="10"/>
                <w:color w:val="auto"/>
              </w:rPr>
              <w:t xml:space="preserve">eq/ </w:t>
            </w:r>
            <w:r>
              <w:rPr>
                <w:rFonts w:ascii="Arial" w:cs="Arial" w:eastAsia="Arial" w:hAnsi="Arial"/>
                <w:sz w:val="10"/>
                <w:szCs w:val="10"/>
                <w:color w:val="0057CF"/>
              </w:rPr>
              <w:t>59.9</w:t>
            </w:r>
          </w:p>
        </w:tc>
        <w:tc>
          <w:tcPr>
            <w:tcW w:w="1280" w:type="dxa"/>
            <w:vAlign w:val="bottom"/>
          </w:tcPr>
          <w:p>
            <w:pPr>
              <w:ind w:left="360"/>
              <w:spacing w:after="0"/>
              <w:rPr>
                <w:sz w:val="20"/>
                <w:szCs w:val="20"/>
                <w:color w:val="auto"/>
              </w:rPr>
            </w:pPr>
            <w:r>
              <w:rPr>
                <w:rFonts w:ascii="Arial" w:cs="Arial" w:eastAsia="Arial" w:hAnsi="Arial"/>
                <w:sz w:val="10"/>
                <w:szCs w:val="10"/>
                <w:color w:val="auto"/>
              </w:rPr>
              <w:t>61.3</w:t>
            </w:r>
          </w:p>
        </w:tc>
      </w:tr>
      <w:tr>
        <w:trPr>
          <w:trHeight w:val="137"/>
        </w:trPr>
        <w:tc>
          <w:tcPr>
            <w:tcW w:w="2980" w:type="dxa"/>
            <w:vAlign w:val="bottom"/>
          </w:tcPr>
          <w:p>
            <w:pPr>
              <w:ind w:left="20"/>
              <w:spacing w:after="0"/>
              <w:rPr>
                <w:sz w:val="20"/>
                <w:szCs w:val="20"/>
                <w:color w:val="auto"/>
              </w:rPr>
            </w:pPr>
            <w:r>
              <w:rPr>
                <w:rFonts w:ascii="Arial" w:cs="Arial" w:eastAsia="Arial" w:hAnsi="Arial"/>
                <w:sz w:val="10"/>
                <w:szCs w:val="10"/>
                <w:color w:val="auto"/>
              </w:rPr>
              <w:t>USD million)</w:t>
            </w:r>
          </w:p>
        </w:tc>
        <w:tc>
          <w:tcPr>
            <w:tcW w:w="6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0"/>
        </w:trPr>
        <w:tc>
          <w:tcPr>
            <w:tcW w:w="2980" w:type="dxa"/>
            <w:vAlign w:val="bottom"/>
          </w:tcPr>
          <w:p>
            <w:pPr>
              <w:ind w:left="20"/>
              <w:spacing w:after="0"/>
              <w:rPr>
                <w:sz w:val="20"/>
                <w:szCs w:val="20"/>
                <w:color w:val="auto"/>
              </w:rPr>
            </w:pPr>
            <w:r>
              <w:rPr>
                <w:rFonts w:ascii="Arial" w:cs="Arial" w:eastAsia="Arial" w:hAnsi="Arial"/>
                <w:sz w:val="10"/>
                <w:szCs w:val="10"/>
                <w:color w:val="auto"/>
              </w:rPr>
              <w:t>Total GHG emissions (market-based) per net revenue (tCO</w:t>
            </w:r>
            <w:r>
              <w:rPr>
                <w:rFonts w:ascii="Arial" w:cs="Arial" w:eastAsia="Arial" w:hAnsi="Arial"/>
                <w:sz w:val="6"/>
                <w:szCs w:val="6"/>
                <w:color w:val="auto"/>
              </w:rPr>
              <w:t>2</w:t>
            </w:r>
            <w:r>
              <w:rPr>
                <w:rFonts w:ascii="Arial" w:cs="Arial" w:eastAsia="Arial" w:hAnsi="Arial"/>
                <w:sz w:val="10"/>
                <w:szCs w:val="10"/>
                <w:color w:val="auto"/>
              </w:rPr>
              <w:t>eq/</w:t>
            </w:r>
          </w:p>
        </w:tc>
        <w:tc>
          <w:tcPr>
            <w:tcW w:w="600" w:type="dxa"/>
            <w:vAlign w:val="bottom"/>
          </w:tcPr>
          <w:p>
            <w:pPr>
              <w:ind w:left="20"/>
              <w:spacing w:after="0"/>
              <w:rPr>
                <w:sz w:val="20"/>
                <w:szCs w:val="20"/>
                <w:color w:val="auto"/>
              </w:rPr>
            </w:pPr>
            <w:r>
              <w:rPr>
                <w:rFonts w:ascii="Arial" w:cs="Arial" w:eastAsia="Arial" w:hAnsi="Arial"/>
                <w:sz w:val="10"/>
                <w:szCs w:val="10"/>
                <w:color w:val="0057CF"/>
              </w:rPr>
              <w:t>59.2</w:t>
            </w:r>
          </w:p>
        </w:tc>
        <w:tc>
          <w:tcPr>
            <w:tcW w:w="1280" w:type="dxa"/>
            <w:vAlign w:val="bottom"/>
          </w:tcPr>
          <w:p>
            <w:pPr>
              <w:ind w:left="360"/>
              <w:spacing w:after="0"/>
              <w:rPr>
                <w:sz w:val="20"/>
                <w:szCs w:val="20"/>
                <w:color w:val="auto"/>
              </w:rPr>
            </w:pPr>
            <w:r>
              <w:rPr>
                <w:rFonts w:ascii="Arial" w:cs="Arial" w:eastAsia="Arial" w:hAnsi="Arial"/>
                <w:sz w:val="10"/>
                <w:szCs w:val="10"/>
                <w:color w:val="auto"/>
              </w:rPr>
              <w:t>60.8</w:t>
            </w:r>
          </w:p>
        </w:tc>
      </w:tr>
      <w:tr>
        <w:trPr>
          <w:trHeight w:val="137"/>
        </w:trPr>
        <w:tc>
          <w:tcPr>
            <w:tcW w:w="2980" w:type="dxa"/>
            <w:vAlign w:val="bottom"/>
          </w:tcPr>
          <w:p>
            <w:pPr>
              <w:ind w:left="20"/>
              <w:spacing w:after="0"/>
              <w:rPr>
                <w:sz w:val="20"/>
                <w:szCs w:val="20"/>
                <w:color w:val="auto"/>
              </w:rPr>
            </w:pPr>
            <w:r>
              <w:rPr>
                <w:rFonts w:ascii="Arial" w:cs="Arial" w:eastAsia="Arial" w:hAnsi="Arial"/>
                <w:sz w:val="10"/>
                <w:szCs w:val="10"/>
                <w:color w:val="auto"/>
              </w:rPr>
              <w:t>USD million)</w:t>
            </w:r>
          </w:p>
        </w:tc>
        <w:tc>
          <w:tcPr>
            <w:tcW w:w="60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rPr>
          <w:rFonts w:ascii="Arial" w:cs="Arial" w:eastAsia="Arial" w:hAnsi="Arial"/>
          <w:sz w:val="10"/>
          <w:szCs w:val="10"/>
          <w:color w:val="0057CF"/>
        </w:rPr>
      </w:pPr>
      <w:hyperlink w:anchor="page140">
        <w:r>
          <w:rPr>
            <w:rFonts w:ascii="Arial" w:cs="Arial" w:eastAsia="Arial" w:hAnsi="Arial"/>
            <w:sz w:val="10"/>
            <w:szCs w:val="10"/>
            <w:color w:val="0057CF"/>
          </w:rPr>
          <w:t xml:space="preserve">Refer to </w:t>
        </w:r>
        <w:r>
          <w:rPr>
            <w:rFonts w:ascii="Arial" w:cs="Arial" w:eastAsia="Arial" w:hAnsi="Arial"/>
            <w:sz w:val="10"/>
            <w:szCs w:val="10"/>
            <w:b w:val="1"/>
            <w:bCs w:val="1"/>
            <w:color w:val="0057CF"/>
          </w:rPr>
          <w:t>Note 2.1</w:t>
        </w:r>
        <w:r>
          <w:rPr>
            <w:rFonts w:ascii="Arial" w:cs="Arial" w:eastAsia="Arial" w:hAnsi="Arial"/>
            <w:sz w:val="10"/>
            <w:szCs w:val="10"/>
            <w:color w:val="0057CF"/>
          </w:rPr>
          <w:t xml:space="preserve"> in the consolidated financial statements for disclosures related to Genmab’s revenue.</w:t>
        </w:r>
      </w:hyperlink>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87" w:lineRule="exact"/>
        <w:rPr>
          <w:rFonts w:ascii="Arial" w:cs="Arial" w:eastAsia="Arial" w:hAnsi="Arial"/>
          <w:sz w:val="10"/>
          <w:szCs w:val="10"/>
          <w:b w:val="1"/>
          <w:bCs w:val="1"/>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2.3</w:t>
      </w:r>
    </w:p>
    <w:p>
      <w:pPr>
        <w:spacing w:after="0" w:line="210" w:lineRule="auto"/>
        <w:rPr>
          <w:sz w:val="20"/>
          <w:szCs w:val="20"/>
          <w:color w:val="auto"/>
        </w:rPr>
      </w:pPr>
      <w:r>
        <w:rPr>
          <w:rFonts w:ascii="Arial" w:cs="Arial" w:eastAsia="Arial" w:hAnsi="Arial"/>
          <w:sz w:val="15"/>
          <w:szCs w:val="15"/>
          <w:color w:val="0057CF"/>
        </w:rPr>
        <w:t>EU Taxonomy</w:t>
      </w:r>
    </w:p>
    <w:p>
      <w:pPr>
        <w:spacing w:after="0" w:line="214" w:lineRule="auto"/>
        <w:rPr>
          <w:sz w:val="20"/>
          <w:szCs w:val="20"/>
          <w:color w:val="auto"/>
        </w:rPr>
      </w:pPr>
      <w:r>
        <w:rPr>
          <w:rFonts w:ascii="Arial" w:cs="Arial" w:eastAsia="Arial" w:hAnsi="Arial"/>
          <w:sz w:val="13"/>
          <w:szCs w:val="13"/>
          <w:b w:val="1"/>
          <w:bCs w:val="1"/>
          <w:color w:val="0057CF"/>
        </w:rPr>
        <w:t>Reporting according to the EU</w:t>
      </w:r>
    </w:p>
    <w:p>
      <w:pPr>
        <w:spacing w:after="0" w:line="209" w:lineRule="auto"/>
        <w:rPr>
          <w:sz w:val="20"/>
          <w:szCs w:val="20"/>
          <w:color w:val="auto"/>
        </w:rPr>
      </w:pPr>
      <w:r>
        <w:rPr>
          <w:rFonts w:ascii="Arial" w:cs="Arial" w:eastAsia="Arial" w:hAnsi="Arial"/>
          <w:sz w:val="13"/>
          <w:szCs w:val="13"/>
          <w:b w:val="1"/>
          <w:bCs w:val="1"/>
          <w:color w:val="0057CF"/>
        </w:rPr>
        <w:t>Taxonomy</w:t>
      </w:r>
    </w:p>
    <w:p>
      <w:pPr>
        <w:spacing w:after="0" w:line="199" w:lineRule="auto"/>
        <w:rPr>
          <w:sz w:val="20"/>
          <w:szCs w:val="20"/>
          <w:color w:val="auto"/>
        </w:rPr>
      </w:pPr>
      <w:r>
        <w:rPr>
          <w:rFonts w:ascii="Arial" w:cs="Arial" w:eastAsia="Arial" w:hAnsi="Arial"/>
          <w:sz w:val="10"/>
          <w:szCs w:val="10"/>
          <w:color w:val="auto"/>
        </w:rPr>
        <w:t>The EU Taxonomy is a classification system</w:t>
      </w:r>
    </w:p>
    <w:p>
      <w:pPr>
        <w:spacing w:after="0" w:line="199" w:lineRule="auto"/>
        <w:rPr>
          <w:sz w:val="20"/>
          <w:szCs w:val="20"/>
          <w:color w:val="auto"/>
        </w:rPr>
      </w:pPr>
      <w:r>
        <w:rPr>
          <w:rFonts w:ascii="Arial" w:cs="Arial" w:eastAsia="Arial" w:hAnsi="Arial"/>
          <w:sz w:val="10"/>
          <w:szCs w:val="10"/>
          <w:color w:val="auto"/>
        </w:rPr>
        <w:t>designed to provide a framework for identifying</w:t>
      </w:r>
    </w:p>
    <w:p>
      <w:pPr>
        <w:spacing w:after="0" w:line="198" w:lineRule="auto"/>
        <w:rPr>
          <w:sz w:val="20"/>
          <w:szCs w:val="20"/>
          <w:color w:val="auto"/>
        </w:rPr>
      </w:pPr>
      <w:r>
        <w:rPr>
          <w:rFonts w:ascii="Arial" w:cs="Arial" w:eastAsia="Arial" w:hAnsi="Arial"/>
          <w:sz w:val="10"/>
          <w:szCs w:val="10"/>
          <w:color w:val="auto"/>
        </w:rPr>
        <w:t>sustainable economic activities. It helps companies</w:t>
      </w:r>
    </w:p>
    <w:p>
      <w:pPr>
        <w:spacing w:after="0" w:line="199" w:lineRule="auto"/>
        <w:rPr>
          <w:sz w:val="20"/>
          <w:szCs w:val="20"/>
          <w:color w:val="auto"/>
        </w:rPr>
      </w:pPr>
      <w:r>
        <w:rPr>
          <w:rFonts w:ascii="Arial" w:cs="Arial" w:eastAsia="Arial" w:hAnsi="Arial"/>
          <w:sz w:val="10"/>
          <w:szCs w:val="10"/>
          <w:color w:val="auto"/>
        </w:rPr>
        <w:t>and investors distinguish between activities that</w:t>
      </w:r>
    </w:p>
    <w:p>
      <w:pPr>
        <w:spacing w:after="0" w:line="199" w:lineRule="auto"/>
        <w:rPr>
          <w:sz w:val="20"/>
          <w:szCs w:val="20"/>
          <w:color w:val="auto"/>
        </w:rPr>
      </w:pPr>
      <w:r>
        <w:rPr>
          <w:rFonts w:ascii="Arial" w:cs="Arial" w:eastAsia="Arial" w:hAnsi="Arial"/>
          <w:sz w:val="10"/>
          <w:szCs w:val="10"/>
          <w:color w:val="auto"/>
        </w:rPr>
        <w:t>contribute to environmental sustainability by</w:t>
      </w:r>
    </w:p>
    <w:p>
      <w:pPr>
        <w:spacing w:after="0" w:line="198" w:lineRule="auto"/>
        <w:rPr>
          <w:sz w:val="20"/>
          <w:szCs w:val="20"/>
          <w:color w:val="auto"/>
        </w:rPr>
      </w:pPr>
      <w:r>
        <w:rPr>
          <w:rFonts w:ascii="Arial" w:cs="Arial" w:eastAsia="Arial" w:hAnsi="Arial"/>
          <w:sz w:val="10"/>
          <w:szCs w:val="10"/>
          <w:color w:val="auto"/>
        </w:rPr>
        <w:t>establishing a common language for defining</w:t>
      </w:r>
    </w:p>
    <w:p>
      <w:pPr>
        <w:spacing w:after="0" w:line="199" w:lineRule="auto"/>
        <w:rPr>
          <w:sz w:val="20"/>
          <w:szCs w:val="20"/>
          <w:color w:val="auto"/>
        </w:rPr>
      </w:pPr>
      <w:r>
        <w:rPr>
          <w:rFonts w:ascii="Arial" w:cs="Arial" w:eastAsia="Arial" w:hAnsi="Arial"/>
          <w:sz w:val="10"/>
          <w:szCs w:val="10"/>
          <w:color w:val="auto"/>
        </w:rPr>
        <w:t>what constitutes "green" or sustainable business</w:t>
      </w:r>
    </w:p>
    <w:p>
      <w:pPr>
        <w:spacing w:after="0" w:line="199" w:lineRule="auto"/>
        <w:rPr>
          <w:sz w:val="20"/>
          <w:szCs w:val="20"/>
          <w:color w:val="auto"/>
        </w:rPr>
      </w:pPr>
      <w:r>
        <w:rPr>
          <w:rFonts w:ascii="Arial" w:cs="Arial" w:eastAsia="Arial" w:hAnsi="Arial"/>
          <w:sz w:val="10"/>
          <w:szCs w:val="10"/>
          <w:color w:val="auto"/>
        </w:rPr>
        <w:t>practices. The EU Taxonomy plays a role in</w:t>
      </w:r>
    </w:p>
    <w:p>
      <w:pPr>
        <w:spacing w:after="0" w:line="198" w:lineRule="auto"/>
        <w:rPr>
          <w:sz w:val="20"/>
          <w:szCs w:val="20"/>
          <w:color w:val="auto"/>
        </w:rPr>
      </w:pPr>
      <w:r>
        <w:rPr>
          <w:rFonts w:ascii="Arial" w:cs="Arial" w:eastAsia="Arial" w:hAnsi="Arial"/>
          <w:sz w:val="10"/>
          <w:szCs w:val="10"/>
          <w:color w:val="auto"/>
        </w:rPr>
        <w:t>supporting the transition towards a more</w:t>
      </w:r>
    </w:p>
    <w:p>
      <w:pPr>
        <w:spacing w:after="0" w:line="199" w:lineRule="auto"/>
        <w:rPr>
          <w:sz w:val="20"/>
          <w:szCs w:val="20"/>
          <w:color w:val="auto"/>
        </w:rPr>
      </w:pPr>
      <w:r>
        <w:rPr>
          <w:rFonts w:ascii="Arial" w:cs="Arial" w:eastAsia="Arial" w:hAnsi="Arial"/>
          <w:sz w:val="10"/>
          <w:szCs w:val="10"/>
          <w:color w:val="auto"/>
        </w:rPr>
        <w:t>sustainable economy.</w:t>
      </w:r>
    </w:p>
    <w:p>
      <w:pPr>
        <w:spacing w:after="0" w:line="199" w:lineRule="auto"/>
        <w:rPr>
          <w:sz w:val="20"/>
          <w:szCs w:val="20"/>
          <w:color w:val="auto"/>
        </w:rPr>
      </w:pPr>
      <w:r>
        <w:rPr>
          <w:rFonts w:ascii="Arial" w:cs="Arial" w:eastAsia="Arial" w:hAnsi="Arial"/>
          <w:sz w:val="10"/>
          <w:szCs w:val="10"/>
          <w:color w:val="auto"/>
        </w:rPr>
        <w:t>In line with the amended EU Taxonomy legislation,</w:t>
      </w:r>
    </w:p>
    <w:p>
      <w:pPr>
        <w:spacing w:after="0" w:line="198" w:lineRule="auto"/>
        <w:rPr>
          <w:sz w:val="20"/>
          <w:szCs w:val="20"/>
          <w:color w:val="auto"/>
        </w:rPr>
      </w:pPr>
      <w:r>
        <w:rPr>
          <w:rFonts w:ascii="Arial" w:cs="Arial" w:eastAsia="Arial" w:hAnsi="Arial"/>
          <w:sz w:val="10"/>
          <w:szCs w:val="10"/>
          <w:color w:val="auto"/>
        </w:rPr>
        <w:t>Commission Delegated Regulation (EU) 2026/73</w:t>
      </w:r>
    </w:p>
    <w:p>
      <w:pPr>
        <w:spacing w:after="0" w:line="199" w:lineRule="auto"/>
        <w:rPr>
          <w:sz w:val="20"/>
          <w:szCs w:val="20"/>
          <w:color w:val="auto"/>
        </w:rPr>
      </w:pPr>
      <w:r>
        <w:rPr>
          <w:rFonts w:ascii="Arial" w:cs="Arial" w:eastAsia="Arial" w:hAnsi="Arial"/>
          <w:sz w:val="10"/>
          <w:szCs w:val="10"/>
          <w:color w:val="auto"/>
        </w:rPr>
        <w:t>amending the Delegated Regulations (EU)</w:t>
      </w:r>
    </w:p>
    <w:p>
      <w:pPr>
        <w:spacing w:after="0" w:line="198" w:lineRule="auto"/>
        <w:rPr>
          <w:sz w:val="20"/>
          <w:szCs w:val="20"/>
          <w:color w:val="auto"/>
        </w:rPr>
      </w:pPr>
      <w:r>
        <w:rPr>
          <w:rFonts w:ascii="Arial" w:cs="Arial" w:eastAsia="Arial" w:hAnsi="Arial"/>
          <w:sz w:val="10"/>
          <w:szCs w:val="10"/>
          <w:color w:val="auto"/>
        </w:rPr>
        <w:t>2021/2178, (EU) 2021/2139 and (EU) 2023/2486,</w:t>
      </w:r>
    </w:p>
    <w:p>
      <w:pPr>
        <w:spacing w:after="0" w:line="199" w:lineRule="auto"/>
        <w:rPr>
          <w:sz w:val="20"/>
          <w:szCs w:val="20"/>
          <w:color w:val="auto"/>
        </w:rPr>
      </w:pPr>
      <w:r>
        <w:rPr>
          <w:rFonts w:ascii="Arial" w:cs="Arial" w:eastAsia="Arial" w:hAnsi="Arial"/>
          <w:sz w:val="10"/>
          <w:szCs w:val="10"/>
          <w:color w:val="auto"/>
        </w:rPr>
        <w:t>Genmab is required to report on the sustainability</w:t>
      </w:r>
    </w:p>
    <w:p>
      <w:pPr>
        <w:spacing w:after="0" w:line="199" w:lineRule="auto"/>
        <w:rPr>
          <w:sz w:val="20"/>
          <w:szCs w:val="20"/>
          <w:color w:val="auto"/>
        </w:rPr>
      </w:pPr>
      <w:r>
        <w:rPr>
          <w:rFonts w:ascii="Arial" w:cs="Arial" w:eastAsia="Arial" w:hAnsi="Arial"/>
          <w:sz w:val="10"/>
          <w:szCs w:val="10"/>
          <w:color w:val="auto"/>
        </w:rPr>
        <w:t>profile of its activities, specifically focusing on the</w:t>
      </w:r>
    </w:p>
    <w:p>
      <w:pPr>
        <w:spacing w:after="0" w:line="198" w:lineRule="auto"/>
        <w:rPr>
          <w:sz w:val="20"/>
          <w:szCs w:val="20"/>
          <w:color w:val="auto"/>
        </w:rPr>
      </w:pPr>
      <w:r>
        <w:rPr>
          <w:rFonts w:ascii="Arial" w:cs="Arial" w:eastAsia="Arial" w:hAnsi="Arial"/>
          <w:sz w:val="10"/>
          <w:szCs w:val="10"/>
          <w:color w:val="auto"/>
        </w:rPr>
        <w:t>eligibility and alignment of its Turnover, Capital</w:t>
      </w:r>
    </w:p>
    <w:p>
      <w:pPr>
        <w:spacing w:after="0" w:line="199" w:lineRule="auto"/>
        <w:rPr>
          <w:sz w:val="20"/>
          <w:szCs w:val="20"/>
          <w:color w:val="auto"/>
        </w:rPr>
      </w:pPr>
      <w:r>
        <w:rPr>
          <w:rFonts w:ascii="Arial" w:cs="Arial" w:eastAsia="Arial" w:hAnsi="Arial"/>
          <w:sz w:val="10"/>
          <w:szCs w:val="10"/>
          <w:color w:val="auto"/>
        </w:rPr>
        <w:t>Expenditures (CapEx) and Operating Expenditures</w:t>
      </w:r>
    </w:p>
    <w:p>
      <w:pPr>
        <w:spacing w:after="0" w:line="204" w:lineRule="auto"/>
        <w:rPr>
          <w:sz w:val="20"/>
          <w:szCs w:val="20"/>
          <w:color w:val="auto"/>
        </w:rPr>
      </w:pPr>
      <w:r>
        <w:rPr>
          <w:rFonts w:ascii="Arial" w:cs="Arial" w:eastAsia="Arial" w:hAnsi="Arial"/>
          <w:sz w:val="10"/>
          <w:szCs w:val="10"/>
          <w:color w:val="auto"/>
        </w:rPr>
        <w:t>(OpEx).</w:t>
      </w:r>
    </w:p>
    <w:p>
      <w:pPr>
        <w:spacing w:after="0" w:line="210" w:lineRule="auto"/>
        <w:rPr>
          <w:sz w:val="20"/>
          <w:szCs w:val="20"/>
          <w:color w:val="auto"/>
        </w:rPr>
      </w:pPr>
      <w:r>
        <w:rPr>
          <w:rFonts w:ascii="Arial" w:cs="Arial" w:eastAsia="Arial" w:hAnsi="Arial"/>
          <w:sz w:val="13"/>
          <w:szCs w:val="13"/>
          <w:b w:val="1"/>
          <w:bCs w:val="1"/>
          <w:color w:val="0057CF"/>
        </w:rPr>
        <w:t>Eligibility</w:t>
      </w:r>
    </w:p>
    <w:p>
      <w:pPr>
        <w:spacing w:after="0" w:line="198" w:lineRule="auto"/>
        <w:rPr>
          <w:sz w:val="20"/>
          <w:szCs w:val="20"/>
          <w:color w:val="auto"/>
        </w:rPr>
      </w:pPr>
      <w:r>
        <w:rPr>
          <w:rFonts w:ascii="Arial" w:cs="Arial" w:eastAsia="Arial" w:hAnsi="Arial"/>
          <w:sz w:val="10"/>
          <w:szCs w:val="10"/>
          <w:color w:val="auto"/>
        </w:rPr>
        <w:t>We screened our economic activities against those</w:t>
      </w:r>
    </w:p>
    <w:p>
      <w:pPr>
        <w:spacing w:after="0" w:line="199" w:lineRule="auto"/>
        <w:rPr>
          <w:sz w:val="20"/>
          <w:szCs w:val="20"/>
          <w:color w:val="auto"/>
        </w:rPr>
      </w:pPr>
      <w:r>
        <w:rPr>
          <w:rFonts w:ascii="Arial" w:cs="Arial" w:eastAsia="Arial" w:hAnsi="Arial"/>
          <w:sz w:val="10"/>
          <w:szCs w:val="10"/>
          <w:color w:val="auto"/>
        </w:rPr>
        <w:t>outlined in the Taxonomy, identifying eligible</w:t>
      </w:r>
    </w:p>
    <w:p>
      <w:pPr>
        <w:spacing w:after="0" w:line="199" w:lineRule="auto"/>
        <w:rPr>
          <w:sz w:val="20"/>
          <w:szCs w:val="20"/>
          <w:color w:val="auto"/>
        </w:rPr>
      </w:pPr>
      <w:r>
        <w:rPr>
          <w:rFonts w:ascii="Arial" w:cs="Arial" w:eastAsia="Arial" w:hAnsi="Arial"/>
          <w:sz w:val="10"/>
          <w:szCs w:val="10"/>
          <w:color w:val="auto"/>
        </w:rPr>
        <w:t>Turnover, CapEx and OpEx.</w:t>
      </w:r>
    </w:p>
    <w:p>
      <w:pPr>
        <w:spacing w:after="0" w:line="198" w:lineRule="auto"/>
        <w:rPr>
          <w:sz w:val="20"/>
          <w:szCs w:val="20"/>
          <w:color w:val="auto"/>
        </w:rPr>
      </w:pPr>
      <w:r>
        <w:rPr>
          <w:rFonts w:ascii="Arial" w:cs="Arial" w:eastAsia="Arial" w:hAnsi="Arial"/>
          <w:sz w:val="10"/>
          <w:szCs w:val="10"/>
          <w:b w:val="1"/>
          <w:bCs w:val="1"/>
          <w:color w:val="auto"/>
        </w:rPr>
        <w:t xml:space="preserve">•Turnover </w:t>
      </w:r>
      <w:r>
        <w:rPr>
          <w:rFonts w:ascii="Arial" w:cs="Arial" w:eastAsia="Arial" w:hAnsi="Arial"/>
          <w:sz w:val="10"/>
          <w:szCs w:val="10"/>
          <w:color w:val="auto"/>
        </w:rPr>
        <w:t>- We assessed turnover based on the</w:t>
      </w:r>
    </w:p>
    <w:p>
      <w:pPr>
        <w:spacing w:after="0" w:line="199" w:lineRule="auto"/>
        <w:rPr>
          <w:sz w:val="20"/>
          <w:szCs w:val="20"/>
          <w:color w:val="auto"/>
        </w:rPr>
      </w:pPr>
      <w:r>
        <w:rPr>
          <w:rFonts w:ascii="Arial" w:cs="Arial" w:eastAsia="Arial" w:hAnsi="Arial"/>
          <w:sz w:val="10"/>
          <w:szCs w:val="10"/>
          <w:color w:val="auto"/>
        </w:rPr>
        <w:t>net product sales of pharmaceutical products.</w:t>
      </w:r>
    </w:p>
    <w:p>
      <w:pPr>
        <w:spacing w:after="0" w:line="199" w:lineRule="auto"/>
        <w:rPr>
          <w:sz w:val="20"/>
          <w:szCs w:val="20"/>
          <w:color w:val="auto"/>
        </w:rPr>
      </w:pPr>
      <w:r>
        <w:rPr>
          <w:rFonts w:ascii="Arial" w:cs="Arial" w:eastAsia="Arial" w:hAnsi="Arial"/>
          <w:sz w:val="10"/>
          <w:szCs w:val="10"/>
          <w:color w:val="auto"/>
        </w:rPr>
        <w:t>We concluded that turnover from the sale of</w:t>
      </w:r>
    </w:p>
    <w:p>
      <w:pPr>
        <w:spacing w:after="0" w:line="198" w:lineRule="auto"/>
        <w:rPr>
          <w:sz w:val="20"/>
          <w:szCs w:val="20"/>
          <w:color w:val="auto"/>
        </w:rPr>
      </w:pPr>
      <w:r>
        <w:rPr>
          <w:rFonts w:ascii="Arial" w:cs="Arial" w:eastAsia="Arial" w:hAnsi="Arial"/>
          <w:sz w:val="10"/>
          <w:szCs w:val="10"/>
          <w:color w:val="auto"/>
        </w:rPr>
        <w:t>EPKINLY and Tivdak qualifies under the</w:t>
      </w:r>
    </w:p>
    <w:p>
      <w:pPr>
        <w:spacing w:after="0" w:line="199" w:lineRule="auto"/>
        <w:rPr>
          <w:sz w:val="20"/>
          <w:szCs w:val="20"/>
          <w:color w:val="auto"/>
        </w:rPr>
      </w:pPr>
      <w:r>
        <w:rPr>
          <w:rFonts w:ascii="Arial" w:cs="Arial" w:eastAsia="Arial" w:hAnsi="Arial"/>
          <w:sz w:val="10"/>
          <w:szCs w:val="10"/>
          <w:color w:val="auto"/>
        </w:rPr>
        <w:t>Manufacture of Medicinal Products (#1.2)</w:t>
      </w:r>
    </w:p>
    <w:p>
      <w:pPr>
        <w:spacing w:after="0" w:line="199" w:lineRule="auto"/>
        <w:rPr>
          <w:sz w:val="20"/>
          <w:szCs w:val="20"/>
          <w:color w:val="auto"/>
        </w:rPr>
      </w:pPr>
      <w:r>
        <w:rPr>
          <w:rFonts w:ascii="Arial" w:cs="Arial" w:eastAsia="Arial" w:hAnsi="Arial"/>
          <w:sz w:val="10"/>
          <w:szCs w:val="10"/>
          <w:color w:val="auto"/>
        </w:rPr>
        <w:t>activity, in line with the Taxonomy criteria</w:t>
      </w:r>
    </w:p>
    <w:p>
      <w:pPr>
        <w:spacing w:after="0" w:line="198" w:lineRule="auto"/>
        <w:rPr>
          <w:sz w:val="20"/>
          <w:szCs w:val="20"/>
          <w:color w:val="auto"/>
        </w:rPr>
      </w:pPr>
      <w:r>
        <w:rPr>
          <w:rFonts w:ascii="Arial" w:cs="Arial" w:eastAsia="Arial" w:hAnsi="Arial"/>
          <w:sz w:val="10"/>
          <w:szCs w:val="10"/>
          <w:color w:val="auto"/>
        </w:rPr>
        <w:t>for Pollution Prevention and Control (PPC).</w:t>
      </w:r>
    </w:p>
    <w:p>
      <w:pPr>
        <w:spacing w:after="0" w:line="199" w:lineRule="auto"/>
        <w:rPr>
          <w:sz w:val="20"/>
          <w:szCs w:val="20"/>
          <w:color w:val="auto"/>
        </w:rPr>
      </w:pPr>
      <w:r>
        <w:rPr>
          <w:rFonts w:ascii="Arial" w:cs="Arial" w:eastAsia="Arial" w:hAnsi="Arial"/>
          <w:sz w:val="10"/>
          <w:szCs w:val="10"/>
          <w:b w:val="1"/>
          <w:bCs w:val="1"/>
          <w:color w:val="auto"/>
        </w:rPr>
        <w:t xml:space="preserve">•CapEx - </w:t>
      </w:r>
      <w:r>
        <w:rPr>
          <w:rFonts w:ascii="Arial" w:cs="Arial" w:eastAsia="Arial" w:hAnsi="Arial"/>
          <w:sz w:val="10"/>
          <w:szCs w:val="10"/>
          <w:color w:val="auto"/>
        </w:rPr>
        <w:t>Our assessment focused on</w:t>
      </w:r>
    </w:p>
    <w:p>
      <w:pPr>
        <w:spacing w:after="0" w:line="198" w:lineRule="auto"/>
        <w:rPr>
          <w:sz w:val="20"/>
          <w:szCs w:val="20"/>
          <w:color w:val="auto"/>
        </w:rPr>
      </w:pPr>
      <w:r>
        <w:rPr>
          <w:rFonts w:ascii="Arial" w:cs="Arial" w:eastAsia="Arial" w:hAnsi="Arial"/>
          <w:sz w:val="10"/>
          <w:szCs w:val="10"/>
          <w:color w:val="auto"/>
        </w:rPr>
        <w:t>investments that align with Taxonomy-eligible</w:t>
      </w:r>
    </w:p>
    <w:p>
      <w:pPr>
        <w:spacing w:after="0" w:line="199" w:lineRule="auto"/>
        <w:rPr>
          <w:sz w:val="20"/>
          <w:szCs w:val="20"/>
          <w:color w:val="auto"/>
        </w:rPr>
      </w:pPr>
      <w:r>
        <w:rPr>
          <w:rFonts w:ascii="Arial" w:cs="Arial" w:eastAsia="Arial" w:hAnsi="Arial"/>
          <w:sz w:val="10"/>
          <w:szCs w:val="10"/>
          <w:color w:val="auto"/>
        </w:rPr>
        <w:t>activities. We identified eligible activity under</w:t>
      </w:r>
    </w:p>
    <w:p>
      <w:pPr>
        <w:spacing w:after="0" w:line="199" w:lineRule="auto"/>
        <w:rPr>
          <w:sz w:val="20"/>
          <w:szCs w:val="20"/>
          <w:color w:val="auto"/>
        </w:rPr>
      </w:pPr>
      <w:r>
        <w:rPr>
          <w:rFonts w:ascii="Arial" w:cs="Arial" w:eastAsia="Arial" w:hAnsi="Arial"/>
          <w:sz w:val="10"/>
          <w:szCs w:val="10"/>
          <w:color w:val="auto"/>
        </w:rPr>
        <w:t>Renovation of Buildings (#7.2) in line with the</w:t>
      </w:r>
    </w:p>
    <w:p>
      <w:pPr>
        <w:spacing w:after="0" w:line="198" w:lineRule="auto"/>
        <w:rPr>
          <w:sz w:val="20"/>
          <w:szCs w:val="20"/>
          <w:color w:val="auto"/>
        </w:rPr>
      </w:pPr>
      <w:r>
        <w:rPr>
          <w:rFonts w:ascii="Arial" w:cs="Arial" w:eastAsia="Arial" w:hAnsi="Arial"/>
          <w:sz w:val="10"/>
          <w:szCs w:val="10"/>
          <w:color w:val="auto"/>
        </w:rPr>
        <w:t>Taxonomy criteria for Climate Change Mitigation</w:t>
      </w:r>
    </w:p>
    <w:p>
      <w:pPr>
        <w:spacing w:after="0" w:line="199" w:lineRule="auto"/>
        <w:rPr>
          <w:sz w:val="20"/>
          <w:szCs w:val="20"/>
          <w:color w:val="auto"/>
        </w:rPr>
      </w:pPr>
      <w:r>
        <w:rPr>
          <w:rFonts w:ascii="Arial" w:cs="Arial" w:eastAsia="Arial" w:hAnsi="Arial"/>
          <w:sz w:val="10"/>
          <w:szCs w:val="10"/>
          <w:color w:val="auto"/>
        </w:rPr>
        <w:t>(CCM).</w:t>
      </w:r>
    </w:p>
    <w:p>
      <w:pPr>
        <w:spacing w:after="0" w:line="199" w:lineRule="auto"/>
        <w:rPr>
          <w:sz w:val="20"/>
          <w:szCs w:val="20"/>
          <w:color w:val="auto"/>
        </w:rPr>
      </w:pPr>
      <w:r>
        <w:rPr>
          <w:rFonts w:ascii="Arial" w:cs="Arial" w:eastAsia="Arial" w:hAnsi="Arial"/>
          <w:sz w:val="10"/>
          <w:szCs w:val="10"/>
          <w:b w:val="1"/>
          <w:bCs w:val="1"/>
          <w:color w:val="auto"/>
        </w:rPr>
        <w:t xml:space="preserve">•OpEx - </w:t>
      </w:r>
      <w:r>
        <w:rPr>
          <w:rFonts w:ascii="Arial" w:cs="Arial" w:eastAsia="Arial" w:hAnsi="Arial"/>
          <w:sz w:val="10"/>
          <w:szCs w:val="10"/>
          <w:color w:val="auto"/>
        </w:rPr>
        <w:t>We evaluated the eligibility of our OpEx</w:t>
      </w:r>
    </w:p>
    <w:p>
      <w:pPr>
        <w:spacing w:after="0" w:line="198" w:lineRule="auto"/>
        <w:rPr>
          <w:sz w:val="20"/>
          <w:szCs w:val="20"/>
          <w:color w:val="auto"/>
        </w:rPr>
      </w:pPr>
      <w:r>
        <w:rPr>
          <w:rFonts w:ascii="Arial" w:cs="Arial" w:eastAsia="Arial" w:hAnsi="Arial"/>
          <w:sz w:val="10"/>
          <w:szCs w:val="10"/>
          <w:color w:val="auto"/>
        </w:rPr>
        <w:t>by reviewing the eligible economic activities</w:t>
      </w:r>
    </w:p>
    <w:p>
      <w:pPr>
        <w:spacing w:after="0" w:line="199" w:lineRule="auto"/>
        <w:rPr>
          <w:sz w:val="20"/>
          <w:szCs w:val="20"/>
          <w:color w:val="auto"/>
        </w:rPr>
      </w:pPr>
      <w:r>
        <w:rPr>
          <w:rFonts w:ascii="Arial" w:cs="Arial" w:eastAsia="Arial" w:hAnsi="Arial"/>
          <w:sz w:val="10"/>
          <w:szCs w:val="10"/>
          <w:color w:val="auto"/>
        </w:rPr>
        <w:t>outlined in our Income Statement and examining</w:t>
      </w:r>
    </w:p>
    <w:p>
      <w:pPr>
        <w:spacing w:after="0" w:line="199" w:lineRule="auto"/>
        <w:rPr>
          <w:sz w:val="20"/>
          <w:szCs w:val="20"/>
          <w:color w:val="auto"/>
        </w:rPr>
      </w:pPr>
      <w:r>
        <w:rPr>
          <w:rFonts w:ascii="Arial" w:cs="Arial" w:eastAsia="Arial" w:hAnsi="Arial"/>
          <w:sz w:val="10"/>
          <w:szCs w:val="10"/>
          <w:color w:val="auto"/>
        </w:rPr>
        <w:t>the data available to us from our ERP system.</w:t>
      </w:r>
    </w:p>
    <w:p>
      <w:pPr>
        <w:spacing w:after="0" w:line="198" w:lineRule="auto"/>
        <w:rPr>
          <w:sz w:val="20"/>
          <w:szCs w:val="20"/>
          <w:color w:val="auto"/>
        </w:rPr>
      </w:pPr>
      <w:r>
        <w:rPr>
          <w:rFonts w:ascii="Arial" w:cs="Arial" w:eastAsia="Arial" w:hAnsi="Arial"/>
          <w:sz w:val="10"/>
          <w:szCs w:val="10"/>
          <w:color w:val="auto"/>
        </w:rPr>
        <w:t>Based on this evaluation, we did not identify</w:t>
      </w:r>
    </w:p>
    <w:p>
      <w:pPr>
        <w:spacing w:after="0"/>
        <w:rPr>
          <w:sz w:val="20"/>
          <w:szCs w:val="20"/>
          <w:color w:val="auto"/>
        </w:rPr>
      </w:pPr>
      <w:r>
        <w:rPr>
          <w:rFonts w:ascii="Arial" w:cs="Arial" w:eastAsia="Arial" w:hAnsi="Arial"/>
          <w:sz w:val="10"/>
          <w:szCs w:val="10"/>
          <w:color w:val="auto"/>
        </w:rPr>
        <w:t>eligible OpEx.</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094355" cy="1384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3094355" cy="1384300"/>
                    </a:xfrm>
                    <a:prstGeom prst="rect">
                      <a:avLst/>
                    </a:prstGeom>
                    <a:noFill/>
                  </pic:spPr>
                </pic:pic>
              </a:graphicData>
            </a:graphic>
          </wp:anchor>
        </w:drawing>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77</w:t>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28" w:lineRule="exact"/>
        <w:rPr>
          <w:rFonts w:ascii="Arial" w:cs="Arial" w:eastAsia="Arial" w:hAnsi="Arial"/>
          <w:sz w:val="10"/>
          <w:szCs w:val="10"/>
          <w:b w:val="1"/>
          <w:bCs w:val="1"/>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tab/>
        <w:t>78</w:t>
      </w:r>
    </w:p>
    <w:p>
      <w:pPr>
        <w:sectPr>
          <w:pgSz w:w="11900" w:h="16840" w:orient="portrait"/>
          <w:cols w:equalWidth="0" w:num="2">
            <w:col w:w="7400" w:space="720"/>
            <w:col w:w="1700"/>
          </w:cols>
          <w:pgMar w:left="640" w:top="571" w:right="1440" w:bottom="1440" w:gutter="0" w:footer="0" w:header="0"/>
        </w:sectPr>
      </w:pPr>
    </w:p>
    <w:bookmarkStart w:id="120" w:name="page121"/>
    <w:bookmarkEnd w:id="120"/>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82</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3.0</w:t>
      </w:r>
    </w:p>
    <w:p>
      <w:pPr>
        <w:spacing w:after="0" w:line="210" w:lineRule="auto"/>
        <w:rPr>
          <w:sz w:val="20"/>
          <w:szCs w:val="20"/>
          <w:color w:val="auto"/>
        </w:rPr>
      </w:pPr>
      <w:r>
        <w:rPr>
          <w:rFonts w:ascii="Arial" w:cs="Arial" w:eastAsia="Arial" w:hAnsi="Arial"/>
          <w:sz w:val="15"/>
          <w:szCs w:val="15"/>
          <w:color w:val="0057CF"/>
        </w:rPr>
        <w:t>Own Workforce IRO Management</w:t>
      </w:r>
    </w:p>
    <w:p>
      <w:pPr>
        <w:spacing w:after="0" w:line="209" w:lineRule="auto"/>
        <w:rPr>
          <w:sz w:val="20"/>
          <w:szCs w:val="20"/>
          <w:color w:val="auto"/>
        </w:rPr>
      </w:pPr>
      <w:r>
        <w:rPr>
          <w:rFonts w:ascii="Arial" w:cs="Arial" w:eastAsia="Arial" w:hAnsi="Arial"/>
          <w:sz w:val="13"/>
          <w:szCs w:val="13"/>
          <w:b w:val="1"/>
          <w:bCs w:val="1"/>
          <w:color w:val="0057CF"/>
        </w:rPr>
        <w:t>Policies related to own workforce (S1-1)</w:t>
      </w:r>
    </w:p>
    <w:p>
      <w:pPr>
        <w:spacing w:after="0" w:line="218" w:lineRule="auto"/>
        <w:rPr>
          <w:sz w:val="20"/>
          <w:szCs w:val="20"/>
          <w:color w:val="auto"/>
        </w:rPr>
      </w:pPr>
      <w:r>
        <w:rPr>
          <w:rFonts w:ascii="Arial" w:cs="Arial" w:eastAsia="Arial" w:hAnsi="Arial"/>
          <w:sz w:val="10"/>
          <w:szCs w:val="10"/>
          <w:color w:val="auto"/>
        </w:rPr>
        <w:t>Genmab has a number of policies that address our material IROs for the topic of Working Conditions as described in the table:</w:t>
      </w:r>
    </w:p>
    <w:tbl>
      <w:tblPr>
        <w:tblLayout w:type="fixed"/>
        <w:tblInd w:w="0" w:type="dxa"/>
        <w:tblCellMar>
          <w:top w:w="0" w:type="dxa"/>
          <w:left w:w="0" w:type="dxa"/>
          <w:bottom w:w="0" w:type="dxa"/>
          <w:right w:w="0" w:type="dxa"/>
        </w:tblCellMar>
      </w:tblPr>
      <w:tr>
        <w:trPr>
          <w:trHeight w:val="95"/>
        </w:trPr>
        <w:tc>
          <w:tcPr>
            <w:tcW w:w="80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Policy/</w:t>
            </w:r>
          </w:p>
        </w:tc>
        <w:tc>
          <w:tcPr>
            <w:tcW w:w="800" w:type="dxa"/>
            <w:vAlign w:val="bottom"/>
            <w:tcBorders>
              <w:top w:val="single" w:sz="8" w:color="0057CF"/>
            </w:tcBorders>
          </w:tcPr>
          <w:p>
            <w:pPr>
              <w:ind w:left="60"/>
              <w:spacing w:after="0" w:line="95" w:lineRule="exact"/>
              <w:rPr>
                <w:sz w:val="20"/>
                <w:szCs w:val="20"/>
                <w:color w:val="auto"/>
              </w:rPr>
            </w:pPr>
            <w:r>
              <w:rPr>
                <w:rFonts w:ascii="Arial" w:cs="Arial" w:eastAsia="Arial" w:hAnsi="Arial"/>
                <w:sz w:val="10"/>
                <w:szCs w:val="10"/>
                <w:b w:val="1"/>
                <w:bCs w:val="1"/>
                <w:color w:val="auto"/>
              </w:rPr>
              <w:t>IRO Mapping</w:t>
            </w:r>
          </w:p>
        </w:tc>
        <w:tc>
          <w:tcPr>
            <w:tcW w:w="258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Policy/Commitment Content and Objectives</w:t>
            </w:r>
          </w:p>
        </w:tc>
        <w:tc>
          <w:tcPr>
            <w:tcW w:w="720" w:type="dxa"/>
            <w:vAlign w:val="bottom"/>
            <w:tcBorders>
              <w:top w:val="single" w:sz="8" w:color="0057CF"/>
            </w:tcBorders>
          </w:tcPr>
          <w:p>
            <w:pPr>
              <w:spacing w:after="0" w:line="95" w:lineRule="exact"/>
              <w:rPr>
                <w:sz w:val="20"/>
                <w:szCs w:val="20"/>
                <w:color w:val="auto"/>
              </w:rPr>
            </w:pPr>
            <w:r>
              <w:rPr>
                <w:rFonts w:ascii="Arial" w:cs="Arial" w:eastAsia="Arial" w:hAnsi="Arial"/>
                <w:sz w:val="10"/>
                <w:szCs w:val="10"/>
                <w:b w:val="1"/>
                <w:bCs w:val="1"/>
                <w:color w:val="auto"/>
              </w:rPr>
              <w:t>Scope</w:t>
            </w:r>
          </w:p>
        </w:tc>
        <w:tc>
          <w:tcPr>
            <w:tcW w:w="94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Accountability</w:t>
            </w:r>
          </w:p>
        </w:tc>
        <w:tc>
          <w:tcPr>
            <w:tcW w:w="200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External Standards or Commitments</w:t>
            </w:r>
          </w:p>
        </w:tc>
        <w:tc>
          <w:tcPr>
            <w:tcW w:w="106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Stakeholder</w:t>
            </w:r>
          </w:p>
        </w:tc>
        <w:tc>
          <w:tcPr>
            <w:tcW w:w="100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Accessibility /</w:t>
            </w:r>
          </w:p>
        </w:tc>
        <w:tc>
          <w:tcPr>
            <w:tcW w:w="0" w:type="dxa"/>
            <w:vAlign w:val="bottom"/>
          </w:tcPr>
          <w:p>
            <w:pPr>
              <w:spacing w:after="0"/>
              <w:rPr>
                <w:sz w:val="1"/>
                <w:szCs w:val="1"/>
                <w:color w:val="auto"/>
              </w:rPr>
            </w:pPr>
          </w:p>
        </w:tc>
      </w:tr>
      <w:tr>
        <w:trPr>
          <w:trHeight w:val="128"/>
        </w:trPr>
        <w:tc>
          <w:tcPr>
            <w:tcW w:w="800" w:type="dxa"/>
            <w:vAlign w:val="bottom"/>
          </w:tcPr>
          <w:p>
            <w:pPr>
              <w:ind w:left="20"/>
              <w:spacing w:after="0"/>
              <w:rPr>
                <w:sz w:val="20"/>
                <w:szCs w:val="20"/>
                <w:color w:val="auto"/>
              </w:rPr>
            </w:pPr>
            <w:r>
              <w:rPr>
                <w:rFonts w:ascii="Arial" w:cs="Arial" w:eastAsia="Arial" w:hAnsi="Arial"/>
                <w:sz w:val="10"/>
                <w:szCs w:val="10"/>
                <w:b w:val="1"/>
                <w:bCs w:val="1"/>
                <w:color w:val="auto"/>
              </w:rPr>
              <w:t>Commitment</w:t>
            </w:r>
          </w:p>
        </w:tc>
        <w:tc>
          <w:tcPr>
            <w:tcW w:w="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Consideration</w:t>
            </w:r>
          </w:p>
        </w:tc>
        <w:tc>
          <w:tcPr>
            <w:tcW w:w="1000" w:type="dxa"/>
            <w:vAlign w:val="bottom"/>
          </w:tcPr>
          <w:p>
            <w:pPr>
              <w:ind w:left="40"/>
              <w:spacing w:after="0"/>
              <w:rPr>
                <w:sz w:val="20"/>
                <w:szCs w:val="20"/>
                <w:color w:val="auto"/>
              </w:rPr>
            </w:pPr>
            <w:r>
              <w:rPr>
                <w:rFonts w:ascii="Arial" w:cs="Arial" w:eastAsia="Arial" w:hAnsi="Arial"/>
                <w:sz w:val="10"/>
                <w:szCs w:val="10"/>
                <w:b w:val="1"/>
                <w:bCs w:val="1"/>
                <w:color w:val="auto"/>
              </w:rPr>
              <w:t>Communication</w:t>
            </w:r>
          </w:p>
        </w:tc>
        <w:tc>
          <w:tcPr>
            <w:tcW w:w="0" w:type="dxa"/>
            <w:vAlign w:val="bottom"/>
          </w:tcPr>
          <w:p>
            <w:pPr>
              <w:spacing w:after="0"/>
              <w:rPr>
                <w:sz w:val="1"/>
                <w:szCs w:val="1"/>
                <w:color w:val="auto"/>
              </w:rPr>
            </w:pPr>
          </w:p>
        </w:tc>
      </w:tr>
      <w:tr>
        <w:trPr>
          <w:trHeight w:val="23"/>
        </w:trPr>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8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Code of</w:t>
            </w:r>
          </w:p>
        </w:tc>
        <w:tc>
          <w:tcPr>
            <w:tcW w:w="80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Covers all</w:t>
            </w:r>
          </w:p>
        </w:tc>
        <w:tc>
          <w:tcPr>
            <w:tcW w:w="330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Defines our commitment to conducting business ethicalApplies to all</w:t>
            </w:r>
          </w:p>
        </w:tc>
        <w:tc>
          <w:tcPr>
            <w:tcW w:w="9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SVP, Global</w:t>
            </w: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Supports alignment with:</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Reflects the</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Available on</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Conduct</w:t>
            </w:r>
          </w:p>
        </w:tc>
        <w:tc>
          <w:tcPr>
            <w:tcW w:w="80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Social S1 IROs</w:t>
            </w: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ly</w:t>
            </w:r>
          </w:p>
        </w:tc>
        <w:tc>
          <w:tcPr>
            <w:tcW w:w="72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employees,</w:t>
            </w:r>
          </w:p>
        </w:tc>
        <w:tc>
          <w:tcPr>
            <w:tcW w:w="9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Compliance, Risk,</w:t>
            </w: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•Applicable global and local laws</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expectations of</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internet, intranet,</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330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and in compliance with applicable legal, regulatory, andBoard</w:t>
            </w:r>
          </w:p>
        </w:tc>
        <w:tc>
          <w:tcPr>
            <w:tcW w:w="9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and Data Privacy.</w:t>
            </w: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including but not limited to Foreign</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employees, patients,</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and integrated into</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330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industry code requirements. The objective is to translat members, and</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Corrupt Practices Act, False Claims Act,</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business partners,</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onboarding and</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w:t>
            </w:r>
          </w:p>
        </w:tc>
        <w:tc>
          <w:tcPr>
            <w:tcW w:w="72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third parties.</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Anti-Kickback Statute, UK Bribery Act,</w:t>
            </w:r>
          </w:p>
        </w:tc>
        <w:tc>
          <w:tcPr>
            <w:tcW w:w="206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regulators, and society annual Code of</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the principles of the Code into clear global compliance</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Sarbanes-Oxley Act.</w:t>
            </w:r>
          </w:p>
        </w:tc>
        <w:tc>
          <w:tcPr>
            <w:tcW w:w="1060" w:type="dxa"/>
            <w:vAlign w:val="bottom"/>
            <w:vMerge w:val="restart"/>
            <w:shd w:val="clear" w:color="auto" w:fill="EDEEEE"/>
          </w:tcPr>
          <w:p>
            <w:pPr>
              <w:ind w:left="20"/>
              <w:spacing w:after="0"/>
              <w:rPr>
                <w:sz w:val="20"/>
                <w:szCs w:val="20"/>
                <w:color w:val="auto"/>
              </w:rPr>
            </w:pPr>
            <w:r>
              <w:rPr>
                <w:rFonts w:ascii="Arial" w:cs="Arial" w:eastAsia="Arial" w:hAnsi="Arial"/>
                <w:sz w:val="10"/>
                <w:szCs w:val="10"/>
                <w:color w:val="auto"/>
              </w:rPr>
              <w:t>by setting clear</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Conduct training.</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expectations, guiding interactions with healthcare</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•Regulations set forth by government</w:t>
            </w:r>
          </w:p>
        </w:tc>
        <w:tc>
          <w:tcPr>
            <w:tcW w:w="1060" w:type="dxa"/>
            <w:vAlign w:val="bottom"/>
            <w:vMerge w:val="continue"/>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professionals, healthcare organizations, patients, patie</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agencies such the FDA and EMA.</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standards for ethical</w:t>
            </w: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nt</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•GDPR and other applicable privacy and</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behavior, legal</w:t>
            </w: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advocacy groups, public officials, and other</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data protection guidelines.</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compliance, and</w:t>
            </w: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stakeholders, and supporting consistent, lawful, and</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•Internationally recognized industry</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responsible business</w:t>
            </w: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ethical conduct across all business activities.</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codes/ethical standards including</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conduct.</w:t>
            </w: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spacing w:after="0"/>
              <w:rPr>
                <w:sz w:val="8"/>
                <w:szCs w:val="8"/>
                <w:color w:val="auto"/>
              </w:rPr>
            </w:pP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EFPIA, PhRMA Codes of Practice, and</w:t>
            </w: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800" w:type="dxa"/>
            <w:vAlign w:val="bottom"/>
            <w:shd w:val="clear" w:color="auto" w:fill="EDEEEE"/>
          </w:tcPr>
          <w:p>
            <w:pPr>
              <w:spacing w:after="0"/>
              <w:rPr>
                <w:sz w:val="11"/>
                <w:szCs w:val="11"/>
                <w:color w:val="auto"/>
              </w:rPr>
            </w:pPr>
          </w:p>
        </w:tc>
        <w:tc>
          <w:tcPr>
            <w:tcW w:w="800" w:type="dxa"/>
            <w:vAlign w:val="bottom"/>
            <w:shd w:val="clear" w:color="auto" w:fill="EDEEEE"/>
          </w:tcPr>
          <w:p>
            <w:pPr>
              <w:spacing w:after="0"/>
              <w:rPr>
                <w:sz w:val="11"/>
                <w:szCs w:val="11"/>
                <w:color w:val="auto"/>
              </w:rPr>
            </w:pPr>
          </w:p>
        </w:tc>
        <w:tc>
          <w:tcPr>
            <w:tcW w:w="2580" w:type="dxa"/>
            <w:vAlign w:val="bottom"/>
            <w:shd w:val="clear" w:color="auto" w:fill="EDEEEE"/>
          </w:tcPr>
          <w:p>
            <w:pPr>
              <w:spacing w:after="0"/>
              <w:rPr>
                <w:sz w:val="11"/>
                <w:szCs w:val="11"/>
                <w:color w:val="auto"/>
              </w:rPr>
            </w:pPr>
          </w:p>
        </w:tc>
        <w:tc>
          <w:tcPr>
            <w:tcW w:w="720" w:type="dxa"/>
            <w:vAlign w:val="bottom"/>
            <w:shd w:val="clear" w:color="auto" w:fill="EDEEEE"/>
          </w:tcPr>
          <w:p>
            <w:pPr>
              <w:spacing w:after="0"/>
              <w:rPr>
                <w:sz w:val="11"/>
                <w:szCs w:val="11"/>
                <w:color w:val="auto"/>
              </w:rPr>
            </w:pPr>
          </w:p>
        </w:tc>
        <w:tc>
          <w:tcPr>
            <w:tcW w:w="940" w:type="dxa"/>
            <w:vAlign w:val="bottom"/>
            <w:shd w:val="clear" w:color="auto" w:fill="EDEEEE"/>
          </w:tcPr>
          <w:p>
            <w:pPr>
              <w:spacing w:after="0"/>
              <w:rPr>
                <w:sz w:val="11"/>
                <w:szCs w:val="11"/>
                <w:color w:val="auto"/>
              </w:rPr>
            </w:pPr>
          </w:p>
        </w:tc>
        <w:tc>
          <w:tcPr>
            <w:tcW w:w="2000" w:type="dxa"/>
            <w:vAlign w:val="bottom"/>
            <w:shd w:val="clear" w:color="auto" w:fill="EDEEEE"/>
          </w:tcPr>
          <w:p>
            <w:pPr>
              <w:ind w:left="40"/>
              <w:spacing w:after="0"/>
              <w:rPr>
                <w:sz w:val="20"/>
                <w:szCs w:val="20"/>
                <w:color w:val="auto"/>
              </w:rPr>
            </w:pPr>
            <w:r>
              <w:rPr>
                <w:rFonts w:ascii="Arial" w:cs="Arial" w:eastAsia="Arial" w:hAnsi="Arial"/>
                <w:sz w:val="10"/>
                <w:szCs w:val="10"/>
                <w:color w:val="auto"/>
              </w:rPr>
              <w:t>the UN Convention against Corruption.</w:t>
            </w:r>
          </w:p>
        </w:tc>
        <w:tc>
          <w:tcPr>
            <w:tcW w:w="1060" w:type="dxa"/>
            <w:vAlign w:val="bottom"/>
            <w:shd w:val="clear" w:color="auto" w:fill="EDEEEE"/>
          </w:tcPr>
          <w:p>
            <w:pPr>
              <w:spacing w:after="0"/>
              <w:rPr>
                <w:sz w:val="11"/>
                <w:szCs w:val="11"/>
                <w:color w:val="auto"/>
              </w:rPr>
            </w:pPr>
          </w:p>
        </w:tc>
        <w:tc>
          <w:tcPr>
            <w:tcW w:w="1000" w:type="dxa"/>
            <w:vAlign w:val="bottom"/>
            <w:shd w:val="clear" w:color="auto" w:fill="EDEEEE"/>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800" w:type="dxa"/>
            <w:vAlign w:val="bottom"/>
            <w:shd w:val="clear" w:color="auto" w:fill="EDEEEE"/>
          </w:tcPr>
          <w:p>
            <w:pPr>
              <w:spacing w:after="0"/>
              <w:rPr>
                <w:sz w:val="24"/>
                <w:szCs w:val="24"/>
                <w:color w:val="auto"/>
              </w:rPr>
            </w:pPr>
          </w:p>
        </w:tc>
        <w:tc>
          <w:tcPr>
            <w:tcW w:w="3380" w:type="dxa"/>
            <w:vAlign w:val="bottom"/>
            <w:gridSpan w:val="2"/>
            <w:shd w:val="clear" w:color="auto" w:fill="EDEEEE"/>
          </w:tcPr>
          <w:p>
            <w:pPr>
              <w:spacing w:after="0"/>
              <w:rPr>
                <w:sz w:val="24"/>
                <w:szCs w:val="24"/>
                <w:color w:val="auto"/>
              </w:rPr>
            </w:pPr>
          </w:p>
        </w:tc>
        <w:tc>
          <w:tcPr>
            <w:tcW w:w="720" w:type="dxa"/>
            <w:vAlign w:val="bottom"/>
            <w:shd w:val="clear" w:color="auto" w:fill="EDEEEE"/>
          </w:tcPr>
          <w:p>
            <w:pPr>
              <w:spacing w:after="0"/>
              <w:rPr>
                <w:sz w:val="24"/>
                <w:szCs w:val="24"/>
                <w:color w:val="auto"/>
              </w:rPr>
            </w:pPr>
          </w:p>
        </w:tc>
        <w:tc>
          <w:tcPr>
            <w:tcW w:w="940" w:type="dxa"/>
            <w:vAlign w:val="bottom"/>
            <w:shd w:val="clear" w:color="auto" w:fill="EDEEEE"/>
          </w:tcPr>
          <w:p>
            <w:pPr>
              <w:spacing w:after="0"/>
              <w:rPr>
                <w:sz w:val="24"/>
                <w:szCs w:val="24"/>
                <w:color w:val="auto"/>
              </w:rPr>
            </w:pPr>
          </w:p>
        </w:tc>
        <w:tc>
          <w:tcPr>
            <w:tcW w:w="2000" w:type="dxa"/>
            <w:vAlign w:val="bottom"/>
            <w:shd w:val="clear" w:color="auto" w:fill="EDEEEE"/>
          </w:tcPr>
          <w:p>
            <w:pPr>
              <w:spacing w:after="0"/>
              <w:rPr>
                <w:sz w:val="24"/>
                <w:szCs w:val="24"/>
                <w:color w:val="auto"/>
              </w:rPr>
            </w:pPr>
          </w:p>
        </w:tc>
        <w:tc>
          <w:tcPr>
            <w:tcW w:w="1060" w:type="dxa"/>
            <w:vAlign w:val="bottom"/>
            <w:shd w:val="clear" w:color="auto" w:fill="EDEEEE"/>
          </w:tcPr>
          <w:p>
            <w:pPr>
              <w:spacing w:after="0"/>
              <w:rPr>
                <w:sz w:val="24"/>
                <w:szCs w:val="24"/>
                <w:color w:val="auto"/>
              </w:rPr>
            </w:pPr>
          </w:p>
        </w:tc>
        <w:tc>
          <w:tcPr>
            <w:tcW w:w="1000" w:type="dxa"/>
            <w:vAlign w:val="bottom"/>
            <w:shd w:val="clear" w:color="auto" w:fill="EDEEEE"/>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Global Speak</w:t>
            </w:r>
          </w:p>
        </w:tc>
        <w:tc>
          <w:tcPr>
            <w:tcW w:w="3380" w:type="dxa"/>
            <w:vAlign w:val="bottom"/>
            <w:gridSpan w:val="2"/>
          </w:tcPr>
          <w:p>
            <w:pPr>
              <w:ind w:left="60"/>
              <w:spacing w:after="0" w:line="95" w:lineRule="exact"/>
              <w:rPr>
                <w:sz w:val="20"/>
                <w:szCs w:val="20"/>
                <w:color w:val="auto"/>
              </w:rPr>
            </w:pPr>
            <w:r>
              <w:rPr>
                <w:rFonts w:ascii="Arial" w:cs="Arial" w:eastAsia="Arial" w:hAnsi="Arial"/>
                <w:sz w:val="10"/>
                <w:szCs w:val="10"/>
                <w:color w:val="auto"/>
              </w:rPr>
              <w:t>Employee well- Shares our commitment to fostering a culture of</w:t>
            </w:r>
          </w:p>
        </w:tc>
        <w:tc>
          <w:tcPr>
            <w:tcW w:w="720" w:type="dxa"/>
            <w:vAlign w:val="bottom"/>
          </w:tcPr>
          <w:p>
            <w:pPr>
              <w:spacing w:after="0" w:line="95" w:lineRule="exact"/>
              <w:rPr>
                <w:sz w:val="20"/>
                <w:szCs w:val="20"/>
                <w:color w:val="auto"/>
              </w:rPr>
            </w:pPr>
            <w:r>
              <w:rPr>
                <w:rFonts w:ascii="Arial" w:cs="Arial" w:eastAsia="Arial" w:hAnsi="Arial"/>
                <w:sz w:val="10"/>
                <w:szCs w:val="10"/>
                <w:color w:val="auto"/>
              </w:rPr>
              <w:t>Applies to all</w:t>
            </w:r>
          </w:p>
        </w:tc>
        <w:tc>
          <w:tcPr>
            <w:tcW w:w="940" w:type="dxa"/>
            <w:vAlign w:val="bottom"/>
          </w:tcPr>
          <w:p>
            <w:pPr>
              <w:ind w:left="20"/>
              <w:spacing w:after="0" w:line="95" w:lineRule="exact"/>
              <w:rPr>
                <w:sz w:val="20"/>
                <w:szCs w:val="20"/>
                <w:color w:val="auto"/>
              </w:rPr>
            </w:pPr>
            <w:r>
              <w:rPr>
                <w:rFonts w:ascii="Arial" w:cs="Arial" w:eastAsia="Arial" w:hAnsi="Arial"/>
                <w:sz w:val="10"/>
                <w:szCs w:val="10"/>
                <w:color w:val="auto"/>
              </w:rPr>
              <w:t>SVP, Global</w:t>
            </w:r>
          </w:p>
        </w:tc>
        <w:tc>
          <w:tcPr>
            <w:tcW w:w="2000" w:type="dxa"/>
            <w:vAlign w:val="bottom"/>
          </w:tcPr>
          <w:p>
            <w:pPr>
              <w:ind w:left="40"/>
              <w:spacing w:after="0" w:line="95" w:lineRule="exact"/>
              <w:rPr>
                <w:sz w:val="20"/>
                <w:szCs w:val="20"/>
                <w:color w:val="auto"/>
              </w:rPr>
            </w:pPr>
            <w:r>
              <w:rPr>
                <w:rFonts w:ascii="Arial" w:cs="Arial" w:eastAsia="Arial" w:hAnsi="Arial"/>
                <w:sz w:val="10"/>
                <w:szCs w:val="10"/>
                <w:color w:val="auto"/>
              </w:rPr>
              <w:t>Supports alignment with expectation of</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Supports employees</w:t>
            </w:r>
          </w:p>
        </w:tc>
        <w:tc>
          <w:tcPr>
            <w:tcW w:w="1000" w:type="dxa"/>
            <w:vAlign w:val="bottom"/>
          </w:tcPr>
          <w:p>
            <w:pPr>
              <w:ind w:left="40"/>
              <w:spacing w:after="0" w:line="95" w:lineRule="exact"/>
              <w:rPr>
                <w:sz w:val="20"/>
                <w:szCs w:val="20"/>
                <w:color w:val="auto"/>
              </w:rPr>
            </w:pPr>
            <w:r>
              <w:rPr>
                <w:rFonts w:ascii="Arial" w:cs="Arial" w:eastAsia="Arial" w:hAnsi="Arial"/>
                <w:sz w:val="10"/>
                <w:szCs w:val="10"/>
                <w:color w:val="auto"/>
              </w:rPr>
              <w:t>Available on</w:t>
            </w:r>
          </w:p>
        </w:tc>
        <w:tc>
          <w:tcPr>
            <w:tcW w:w="0" w:type="dxa"/>
            <w:vAlign w:val="bottom"/>
          </w:tcPr>
          <w:p>
            <w:pPr>
              <w:spacing w:after="0"/>
              <w:rPr>
                <w:sz w:val="1"/>
                <w:szCs w:val="1"/>
                <w:color w:val="auto"/>
              </w:rPr>
            </w:pPr>
          </w:p>
        </w:tc>
      </w:tr>
      <w:tr>
        <w:trPr>
          <w:trHeight w:val="95"/>
        </w:trPr>
        <w:tc>
          <w:tcPr>
            <w:tcW w:w="8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Up Policy</w:t>
            </w:r>
          </w:p>
        </w:tc>
        <w:tc>
          <w:tcPr>
            <w:tcW w:w="800" w:type="dxa"/>
            <w:vAlign w:val="bottom"/>
          </w:tcPr>
          <w:p>
            <w:pPr>
              <w:ind w:left="60"/>
              <w:spacing w:after="0" w:line="95" w:lineRule="exact"/>
              <w:rPr>
                <w:sz w:val="20"/>
                <w:szCs w:val="20"/>
                <w:color w:val="auto"/>
              </w:rPr>
            </w:pPr>
            <w:r>
              <w:rPr>
                <w:rFonts w:ascii="Arial" w:cs="Arial" w:eastAsia="Arial" w:hAnsi="Arial"/>
                <w:sz w:val="10"/>
                <w:szCs w:val="10"/>
                <w:color w:val="auto"/>
              </w:rPr>
              <w:t>being and</w:t>
            </w:r>
          </w:p>
        </w:tc>
        <w:tc>
          <w:tcPr>
            <w:tcW w:w="33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openness, integrity, and accountability where concerns employees</w:t>
            </w:r>
          </w:p>
        </w:tc>
        <w:tc>
          <w:tcPr>
            <w:tcW w:w="940" w:type="dxa"/>
            <w:vAlign w:val="bottom"/>
          </w:tcPr>
          <w:p>
            <w:pPr>
              <w:ind w:left="20"/>
              <w:spacing w:after="0" w:line="95" w:lineRule="exact"/>
              <w:rPr>
                <w:sz w:val="20"/>
                <w:szCs w:val="20"/>
                <w:color w:val="auto"/>
              </w:rPr>
            </w:pPr>
            <w:r>
              <w:rPr>
                <w:rFonts w:ascii="Arial" w:cs="Arial" w:eastAsia="Arial" w:hAnsi="Arial"/>
                <w:sz w:val="10"/>
                <w:szCs w:val="10"/>
                <w:color w:val="auto"/>
              </w:rPr>
              <w:t>Compliance, Risk,</w:t>
            </w:r>
          </w:p>
        </w:tc>
        <w:tc>
          <w:tcPr>
            <w:tcW w:w="2000" w:type="dxa"/>
            <w:vAlign w:val="bottom"/>
          </w:tcPr>
          <w:p>
            <w:pPr>
              <w:ind w:left="40"/>
              <w:spacing w:after="0" w:line="95" w:lineRule="exact"/>
              <w:rPr>
                <w:sz w:val="20"/>
                <w:szCs w:val="20"/>
                <w:color w:val="auto"/>
              </w:rPr>
            </w:pPr>
            <w:r>
              <w:rPr>
                <w:rFonts w:ascii="Arial" w:cs="Arial" w:eastAsia="Arial" w:hAnsi="Arial"/>
                <w:sz w:val="10"/>
                <w:szCs w:val="10"/>
                <w:color w:val="auto"/>
              </w:rPr>
              <w:t>effective compliance programs and</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and third parties by</w:t>
            </w:r>
          </w:p>
        </w:tc>
        <w:tc>
          <w:tcPr>
            <w:tcW w:w="1000" w:type="dxa"/>
            <w:vAlign w:val="bottom"/>
          </w:tcPr>
          <w:p>
            <w:pPr>
              <w:ind w:left="40"/>
              <w:spacing w:after="0" w:line="95" w:lineRule="exact"/>
              <w:rPr>
                <w:sz w:val="20"/>
                <w:szCs w:val="20"/>
                <w:color w:val="auto"/>
              </w:rPr>
            </w:pPr>
            <w:r>
              <w:rPr>
                <w:rFonts w:ascii="Arial" w:cs="Arial" w:eastAsia="Arial" w:hAnsi="Arial"/>
                <w:sz w:val="10"/>
                <w:szCs w:val="10"/>
                <w:color w:val="auto"/>
              </w:rPr>
              <w:t>internet, intranet,</w:t>
            </w: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ind w:left="60"/>
              <w:spacing w:after="0" w:line="95" w:lineRule="exact"/>
              <w:rPr>
                <w:sz w:val="20"/>
                <w:szCs w:val="20"/>
                <w:color w:val="auto"/>
              </w:rPr>
            </w:pPr>
            <w:r>
              <w:rPr>
                <w:rFonts w:ascii="Arial" w:cs="Arial" w:eastAsia="Arial" w:hAnsi="Arial"/>
                <w:sz w:val="10"/>
                <w:szCs w:val="10"/>
                <w:color w:val="auto"/>
              </w:rPr>
              <w:t>vitality</w:t>
            </w:r>
          </w:p>
        </w:tc>
        <w:tc>
          <w:tcPr>
            <w:tcW w:w="2580" w:type="dxa"/>
            <w:vAlign w:val="bottom"/>
          </w:tcPr>
          <w:p>
            <w:pPr>
              <w:spacing w:after="0"/>
              <w:rPr>
                <w:sz w:val="8"/>
                <w:szCs w:val="8"/>
                <w:color w:val="auto"/>
              </w:rPr>
            </w:pPr>
          </w:p>
        </w:tc>
        <w:tc>
          <w:tcPr>
            <w:tcW w:w="720" w:type="dxa"/>
            <w:vAlign w:val="bottom"/>
          </w:tcPr>
          <w:p>
            <w:pPr>
              <w:spacing w:after="0" w:line="95" w:lineRule="exact"/>
              <w:rPr>
                <w:sz w:val="20"/>
                <w:szCs w:val="20"/>
                <w:color w:val="auto"/>
              </w:rPr>
            </w:pPr>
            <w:r>
              <w:rPr>
                <w:rFonts w:ascii="Arial" w:cs="Arial" w:eastAsia="Arial" w:hAnsi="Arial"/>
                <w:sz w:val="10"/>
                <w:szCs w:val="10"/>
                <w:color w:val="auto"/>
              </w:rPr>
              <w:t>and external</w:t>
            </w:r>
          </w:p>
        </w:tc>
        <w:tc>
          <w:tcPr>
            <w:tcW w:w="940" w:type="dxa"/>
            <w:vAlign w:val="bottom"/>
          </w:tcPr>
          <w:p>
            <w:pPr>
              <w:ind w:left="20"/>
              <w:spacing w:after="0" w:line="95" w:lineRule="exact"/>
              <w:rPr>
                <w:sz w:val="20"/>
                <w:szCs w:val="20"/>
                <w:color w:val="auto"/>
              </w:rPr>
            </w:pPr>
            <w:r>
              <w:rPr>
                <w:rFonts w:ascii="Arial" w:cs="Arial" w:eastAsia="Arial" w:hAnsi="Arial"/>
                <w:sz w:val="10"/>
                <w:szCs w:val="10"/>
                <w:color w:val="auto"/>
              </w:rPr>
              <w:t>and Data Privacy.</w:t>
            </w:r>
          </w:p>
        </w:tc>
        <w:tc>
          <w:tcPr>
            <w:tcW w:w="2000" w:type="dxa"/>
            <w:vAlign w:val="bottom"/>
          </w:tcPr>
          <w:p>
            <w:pPr>
              <w:ind w:left="40"/>
              <w:spacing w:after="0" w:line="95" w:lineRule="exact"/>
              <w:rPr>
                <w:sz w:val="20"/>
                <w:szCs w:val="20"/>
                <w:color w:val="auto"/>
              </w:rPr>
            </w:pPr>
            <w:r>
              <w:rPr>
                <w:rFonts w:ascii="Arial" w:cs="Arial" w:eastAsia="Arial" w:hAnsi="Arial"/>
                <w:sz w:val="10"/>
                <w:szCs w:val="10"/>
                <w:color w:val="auto"/>
              </w:rPr>
              <w:t>applicable laws/regulations (e.g. EU</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providing safe and</w:t>
            </w:r>
          </w:p>
        </w:tc>
        <w:tc>
          <w:tcPr>
            <w:tcW w:w="1000" w:type="dxa"/>
            <w:vAlign w:val="bottom"/>
          </w:tcPr>
          <w:p>
            <w:pPr>
              <w:ind w:left="40"/>
              <w:spacing w:after="0" w:line="95" w:lineRule="exact"/>
              <w:rPr>
                <w:sz w:val="20"/>
                <w:szCs w:val="20"/>
                <w:color w:val="auto"/>
              </w:rPr>
            </w:pPr>
            <w:r>
              <w:rPr>
                <w:rFonts w:ascii="Arial" w:cs="Arial" w:eastAsia="Arial" w:hAnsi="Arial"/>
                <w:sz w:val="10"/>
                <w:szCs w:val="10"/>
                <w:color w:val="auto"/>
              </w:rPr>
              <w:t>and integrated into</w:t>
            </w: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3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can be raised without fear of retaliation. The objective i parties, such</w:t>
            </w:r>
          </w:p>
        </w:tc>
        <w:tc>
          <w:tcPr>
            <w:tcW w:w="940" w:type="dxa"/>
            <w:vAlign w:val="bottom"/>
          </w:tcPr>
          <w:p>
            <w:pPr>
              <w:spacing w:after="0"/>
              <w:rPr>
                <w:sz w:val="8"/>
                <w:szCs w:val="8"/>
                <w:color w:val="auto"/>
              </w:rPr>
            </w:pPr>
          </w:p>
        </w:tc>
        <w:tc>
          <w:tcPr>
            <w:tcW w:w="2000" w:type="dxa"/>
            <w:vAlign w:val="bottom"/>
          </w:tcPr>
          <w:p>
            <w:pPr>
              <w:ind w:left="40"/>
              <w:spacing w:after="0" w:line="95" w:lineRule="exact"/>
              <w:rPr>
                <w:sz w:val="20"/>
                <w:szCs w:val="20"/>
                <w:color w:val="auto"/>
              </w:rPr>
            </w:pPr>
            <w:r>
              <w:rPr>
                <w:rFonts w:ascii="Arial" w:cs="Arial" w:eastAsia="Arial" w:hAnsi="Arial"/>
                <w:sz w:val="10"/>
                <w:szCs w:val="10"/>
                <w:color w:val="auto"/>
              </w:rPr>
              <w:t>Whistleblower Protection Directive; Dutch</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confidential channels</w:t>
            </w:r>
          </w:p>
        </w:tc>
        <w:tc>
          <w:tcPr>
            <w:tcW w:w="1000" w:type="dxa"/>
            <w:vAlign w:val="bottom"/>
          </w:tcPr>
          <w:p>
            <w:pPr>
              <w:ind w:left="40"/>
              <w:spacing w:after="0" w:line="95" w:lineRule="exact"/>
              <w:rPr>
                <w:sz w:val="20"/>
                <w:szCs w:val="20"/>
                <w:color w:val="auto"/>
              </w:rPr>
            </w:pPr>
            <w:r>
              <w:rPr>
                <w:rFonts w:ascii="Arial" w:cs="Arial" w:eastAsia="Arial" w:hAnsi="Arial"/>
                <w:sz w:val="10"/>
                <w:szCs w:val="10"/>
                <w:color w:val="auto"/>
              </w:rPr>
              <w:t>onboarding and</w:t>
            </w: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80" w:type="dxa"/>
            <w:vAlign w:val="bottom"/>
          </w:tcPr>
          <w:p>
            <w:pPr>
              <w:ind w:left="20"/>
              <w:spacing w:after="0" w:line="95" w:lineRule="exact"/>
              <w:rPr>
                <w:sz w:val="20"/>
                <w:szCs w:val="20"/>
                <w:color w:val="auto"/>
              </w:rPr>
            </w:pPr>
            <w:r>
              <w:rPr>
                <w:rFonts w:ascii="Arial" w:cs="Arial" w:eastAsia="Arial" w:hAnsi="Arial"/>
                <w:sz w:val="10"/>
                <w:szCs w:val="10"/>
                <w:color w:val="auto"/>
              </w:rPr>
              <w:t>s</w:t>
            </w:r>
          </w:p>
        </w:tc>
        <w:tc>
          <w:tcPr>
            <w:tcW w:w="720" w:type="dxa"/>
            <w:vAlign w:val="bottom"/>
          </w:tcPr>
          <w:p>
            <w:pPr>
              <w:spacing w:after="0" w:line="95" w:lineRule="exact"/>
              <w:rPr>
                <w:sz w:val="20"/>
                <w:szCs w:val="20"/>
                <w:color w:val="auto"/>
              </w:rPr>
            </w:pPr>
            <w:r>
              <w:rPr>
                <w:rFonts w:ascii="Arial" w:cs="Arial" w:eastAsia="Arial" w:hAnsi="Arial"/>
                <w:sz w:val="10"/>
                <w:szCs w:val="10"/>
                <w:color w:val="auto"/>
              </w:rPr>
              <w:t>as contractors,</w:t>
            </w:r>
          </w:p>
        </w:tc>
        <w:tc>
          <w:tcPr>
            <w:tcW w:w="940" w:type="dxa"/>
            <w:vAlign w:val="bottom"/>
          </w:tcPr>
          <w:p>
            <w:pPr>
              <w:spacing w:after="0"/>
              <w:rPr>
                <w:sz w:val="8"/>
                <w:szCs w:val="8"/>
                <w:color w:val="auto"/>
              </w:rPr>
            </w:pPr>
          </w:p>
        </w:tc>
        <w:tc>
          <w:tcPr>
            <w:tcW w:w="3060" w:type="dxa"/>
            <w:vAlign w:val="bottom"/>
            <w:gridSpan w:val="2"/>
          </w:tcPr>
          <w:p>
            <w:pPr>
              <w:ind w:left="40"/>
              <w:spacing w:after="0" w:line="95" w:lineRule="exact"/>
              <w:rPr>
                <w:sz w:val="20"/>
                <w:szCs w:val="20"/>
                <w:color w:val="auto"/>
              </w:rPr>
            </w:pPr>
            <w:r>
              <w:rPr>
                <w:rFonts w:ascii="Arial" w:cs="Arial" w:eastAsia="Arial" w:hAnsi="Arial"/>
                <w:sz w:val="10"/>
                <w:szCs w:val="10"/>
                <w:color w:val="auto"/>
              </w:rPr>
              <w:t>Whistleblower Protection Act, GDPR, etc.) to raise concerns,</w:t>
            </w:r>
          </w:p>
        </w:tc>
        <w:tc>
          <w:tcPr>
            <w:tcW w:w="1000" w:type="dxa"/>
            <w:vAlign w:val="bottom"/>
          </w:tcPr>
          <w:p>
            <w:pPr>
              <w:ind w:left="40"/>
              <w:spacing w:after="0" w:line="95" w:lineRule="exact"/>
              <w:rPr>
                <w:sz w:val="20"/>
                <w:szCs w:val="20"/>
                <w:color w:val="auto"/>
              </w:rPr>
            </w:pPr>
            <w:r>
              <w:rPr>
                <w:rFonts w:ascii="Arial" w:cs="Arial" w:eastAsia="Arial" w:hAnsi="Arial"/>
                <w:sz w:val="10"/>
                <w:szCs w:val="10"/>
                <w:color w:val="auto"/>
              </w:rPr>
              <w:t>annual Code of</w:t>
            </w: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80" w:type="dxa"/>
            <w:vAlign w:val="bottom"/>
          </w:tcPr>
          <w:p>
            <w:pPr>
              <w:ind w:left="20"/>
              <w:spacing w:after="0" w:line="95" w:lineRule="exact"/>
              <w:rPr>
                <w:sz w:val="20"/>
                <w:szCs w:val="20"/>
                <w:color w:val="auto"/>
              </w:rPr>
            </w:pPr>
            <w:r>
              <w:rPr>
                <w:rFonts w:ascii="Arial" w:cs="Arial" w:eastAsia="Arial" w:hAnsi="Arial"/>
                <w:sz w:val="10"/>
                <w:szCs w:val="10"/>
                <w:color w:val="auto"/>
              </w:rPr>
              <w:t>to encourage employees and other relevant</w:t>
            </w:r>
          </w:p>
        </w:tc>
        <w:tc>
          <w:tcPr>
            <w:tcW w:w="720" w:type="dxa"/>
            <w:vAlign w:val="bottom"/>
          </w:tcPr>
          <w:p>
            <w:pPr>
              <w:spacing w:after="0" w:line="95" w:lineRule="exact"/>
              <w:rPr>
                <w:sz w:val="20"/>
                <w:szCs w:val="20"/>
                <w:color w:val="auto"/>
              </w:rPr>
            </w:pPr>
            <w:r>
              <w:rPr>
                <w:rFonts w:ascii="Arial" w:cs="Arial" w:eastAsia="Arial" w:hAnsi="Arial"/>
                <w:sz w:val="10"/>
                <w:szCs w:val="10"/>
                <w:color w:val="auto"/>
              </w:rPr>
              <w:t>consultants,</w:t>
            </w:r>
          </w:p>
        </w:tc>
        <w:tc>
          <w:tcPr>
            <w:tcW w:w="940" w:type="dxa"/>
            <w:vAlign w:val="bottom"/>
          </w:tcPr>
          <w:p>
            <w:pPr>
              <w:spacing w:after="0"/>
              <w:rPr>
                <w:sz w:val="8"/>
                <w:szCs w:val="8"/>
                <w:color w:val="auto"/>
              </w:rPr>
            </w:pPr>
          </w:p>
        </w:tc>
        <w:tc>
          <w:tcPr>
            <w:tcW w:w="20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reinforcing trust,</w:t>
            </w:r>
          </w:p>
        </w:tc>
        <w:tc>
          <w:tcPr>
            <w:tcW w:w="1000" w:type="dxa"/>
            <w:vAlign w:val="bottom"/>
          </w:tcPr>
          <w:p>
            <w:pPr>
              <w:ind w:left="40"/>
              <w:spacing w:after="0" w:line="95" w:lineRule="exact"/>
              <w:rPr>
                <w:sz w:val="20"/>
                <w:szCs w:val="20"/>
                <w:color w:val="auto"/>
              </w:rPr>
            </w:pPr>
            <w:r>
              <w:rPr>
                <w:rFonts w:ascii="Arial" w:cs="Arial" w:eastAsia="Arial" w:hAnsi="Arial"/>
                <w:sz w:val="10"/>
                <w:szCs w:val="10"/>
                <w:color w:val="auto"/>
              </w:rPr>
              <w:t>Conduct training.</w:t>
            </w: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3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stakeholders to report suspected misconduct, unethica and other third</w:t>
            </w:r>
          </w:p>
        </w:tc>
        <w:tc>
          <w:tcPr>
            <w:tcW w:w="9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accountability, and</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80" w:type="dxa"/>
            <w:vAlign w:val="bottom"/>
          </w:tcPr>
          <w:p>
            <w:pPr>
              <w:ind w:left="20"/>
              <w:spacing w:after="0" w:line="95" w:lineRule="exact"/>
              <w:rPr>
                <w:sz w:val="20"/>
                <w:szCs w:val="20"/>
                <w:color w:val="auto"/>
              </w:rPr>
            </w:pPr>
            <w:r>
              <w:rPr>
                <w:rFonts w:ascii="Arial" w:cs="Arial" w:eastAsia="Arial" w:hAnsi="Arial"/>
                <w:sz w:val="10"/>
                <w:szCs w:val="10"/>
                <w:color w:val="auto"/>
              </w:rPr>
              <w:t>l</w:t>
            </w:r>
          </w:p>
        </w:tc>
        <w:tc>
          <w:tcPr>
            <w:tcW w:w="720" w:type="dxa"/>
            <w:vAlign w:val="bottom"/>
          </w:tcPr>
          <w:p>
            <w:pPr>
              <w:spacing w:after="0" w:line="95" w:lineRule="exact"/>
              <w:rPr>
                <w:sz w:val="20"/>
                <w:szCs w:val="20"/>
                <w:color w:val="auto"/>
              </w:rPr>
            </w:pPr>
            <w:r>
              <w:rPr>
                <w:rFonts w:ascii="Arial" w:cs="Arial" w:eastAsia="Arial" w:hAnsi="Arial"/>
                <w:sz w:val="10"/>
                <w:szCs w:val="10"/>
                <w:color w:val="auto"/>
              </w:rPr>
              <w:t>parties.</w:t>
            </w:r>
          </w:p>
        </w:tc>
        <w:tc>
          <w:tcPr>
            <w:tcW w:w="9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ethical conduct.</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80" w:type="dxa"/>
            <w:vAlign w:val="bottom"/>
          </w:tcPr>
          <w:p>
            <w:pPr>
              <w:ind w:left="20"/>
              <w:spacing w:after="0" w:line="95" w:lineRule="exact"/>
              <w:rPr>
                <w:sz w:val="20"/>
                <w:szCs w:val="20"/>
                <w:color w:val="auto"/>
              </w:rPr>
            </w:pPr>
            <w:r>
              <w:rPr>
                <w:rFonts w:ascii="Arial" w:cs="Arial" w:eastAsia="Arial" w:hAnsi="Arial"/>
                <w:sz w:val="10"/>
                <w:szCs w:val="10"/>
                <w:color w:val="auto"/>
              </w:rPr>
              <w:t>behavior, or violations of laws, policies, or the Code of</w:t>
            </w: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80" w:type="dxa"/>
            <w:vAlign w:val="bottom"/>
          </w:tcPr>
          <w:p>
            <w:pPr>
              <w:ind w:left="20"/>
              <w:spacing w:after="0" w:line="95" w:lineRule="exact"/>
              <w:rPr>
                <w:sz w:val="20"/>
                <w:szCs w:val="20"/>
                <w:color w:val="auto"/>
              </w:rPr>
            </w:pPr>
            <w:r>
              <w:rPr>
                <w:rFonts w:ascii="Arial" w:cs="Arial" w:eastAsia="Arial" w:hAnsi="Arial"/>
                <w:sz w:val="10"/>
                <w:szCs w:val="10"/>
                <w:color w:val="auto"/>
              </w:rPr>
              <w:t>Conduct, and to ensure that such concerns are</w:t>
            </w: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580" w:type="dxa"/>
            <w:vAlign w:val="bottom"/>
          </w:tcPr>
          <w:p>
            <w:pPr>
              <w:ind w:left="20"/>
              <w:spacing w:after="0"/>
              <w:rPr>
                <w:sz w:val="20"/>
                <w:szCs w:val="20"/>
                <w:color w:val="auto"/>
              </w:rPr>
            </w:pPr>
            <w:r>
              <w:rPr>
                <w:rFonts w:ascii="Arial" w:cs="Arial" w:eastAsia="Arial" w:hAnsi="Arial"/>
                <w:sz w:val="10"/>
                <w:szCs w:val="10"/>
                <w:color w:val="auto"/>
              </w:rPr>
              <w:t>addressed promptly, fairly, and confidentially.</w:t>
            </w: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Human Rights</w:t>
            </w:r>
          </w:p>
        </w:tc>
        <w:tc>
          <w:tcPr>
            <w:tcW w:w="3380" w:type="dxa"/>
            <w:vAlign w:val="bottom"/>
            <w:gridSpan w:val="2"/>
            <w:shd w:val="clear" w:color="auto" w:fill="EDEEEE"/>
          </w:tcPr>
          <w:p>
            <w:pPr>
              <w:ind w:left="60"/>
              <w:spacing w:after="0" w:line="95" w:lineRule="exact"/>
              <w:rPr>
                <w:sz w:val="20"/>
                <w:szCs w:val="20"/>
                <w:color w:val="auto"/>
              </w:rPr>
            </w:pPr>
            <w:r>
              <w:rPr>
                <w:rFonts w:ascii="Arial" w:cs="Arial" w:eastAsia="Arial" w:hAnsi="Arial"/>
                <w:sz w:val="10"/>
                <w:szCs w:val="10"/>
                <w:color w:val="auto"/>
              </w:rPr>
              <w:t>Employee well- Defines our responsibility to respect human dignity</w:t>
            </w:r>
          </w:p>
        </w:tc>
        <w:tc>
          <w:tcPr>
            <w:tcW w:w="72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Applies to all</w:t>
            </w:r>
          </w:p>
        </w:tc>
        <w:tc>
          <w:tcPr>
            <w:tcW w:w="9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EVP, Chief People</w:t>
            </w: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Guided by human rights laws and the UN</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Developed with</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Available on</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Commitment</w:t>
            </w:r>
          </w:p>
        </w:tc>
        <w:tc>
          <w:tcPr>
            <w:tcW w:w="80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being and</w:t>
            </w: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across our operations, guided by international human</w:t>
            </w:r>
          </w:p>
        </w:tc>
        <w:tc>
          <w:tcPr>
            <w:tcW w:w="72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employees</w:t>
            </w:r>
          </w:p>
        </w:tc>
        <w:tc>
          <w:tcPr>
            <w:tcW w:w="9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Officer.</w:t>
            </w:r>
          </w:p>
        </w:tc>
        <w:tc>
          <w:tcPr>
            <w:tcW w:w="306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color w:val="auto"/>
              </w:rPr>
              <w:t>Guiding Principles, Genmab aligns with th consideration of</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internet, intranet,</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vitality</w:t>
            </w:r>
          </w:p>
        </w:tc>
        <w:tc>
          <w:tcPr>
            <w:tcW w:w="330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rights and labor standards. Its objectives are to prevent and third</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w:t>
            </w:r>
          </w:p>
        </w:tc>
        <w:tc>
          <w:tcPr>
            <w:tcW w:w="106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employees, suppliers,</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and integrated into</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spacing w:after="0"/>
              <w:rPr>
                <w:sz w:val="8"/>
                <w:szCs w:val="8"/>
                <w:color w:val="auto"/>
              </w:rPr>
            </w:pPr>
          </w:p>
        </w:tc>
        <w:tc>
          <w:tcPr>
            <w:tcW w:w="72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parties acting</w:t>
            </w:r>
          </w:p>
        </w:tc>
        <w:tc>
          <w:tcPr>
            <w:tcW w:w="940" w:type="dxa"/>
            <w:vAlign w:val="bottom"/>
            <w:shd w:val="clear" w:color="auto" w:fill="EDEEEE"/>
          </w:tcPr>
          <w:p>
            <w:pPr>
              <w:spacing w:after="0"/>
              <w:rPr>
                <w:sz w:val="8"/>
                <w:szCs w:val="8"/>
                <w:color w:val="auto"/>
              </w:rPr>
            </w:pPr>
          </w:p>
        </w:tc>
        <w:tc>
          <w:tcPr>
            <w:tcW w:w="306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color w:val="auto"/>
              </w:rPr>
              <w:t>International Bill of Human Rights and the patients, and other</w:t>
            </w:r>
          </w:p>
        </w:tc>
        <w:tc>
          <w:tcPr>
            <w:tcW w:w="1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supplier</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330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human rights impacts, ensure fair employment practice on behalf of</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ILO’s core labor standards.</w:t>
            </w:r>
          </w:p>
        </w:tc>
        <w:tc>
          <w:tcPr>
            <w:tcW w:w="206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affected stakeholders. expectations.</w:t>
            </w: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s,</w:t>
            </w:r>
          </w:p>
        </w:tc>
        <w:tc>
          <w:tcPr>
            <w:tcW w:w="72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Genmab and</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330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prohibit forced or child labor, protect privacy, and uphol extends to all</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d</w:t>
            </w:r>
          </w:p>
        </w:tc>
        <w:tc>
          <w:tcPr>
            <w:tcW w:w="72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workers in the</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3300" w:type="dxa"/>
            <w:vAlign w:val="bottom"/>
            <w:gridSpan w:val="2"/>
            <w:shd w:val="clear" w:color="auto" w:fill="EDEEEE"/>
          </w:tcPr>
          <w:p>
            <w:pPr>
              <w:ind w:left="20"/>
              <w:spacing w:after="0" w:line="95" w:lineRule="exact"/>
              <w:rPr>
                <w:sz w:val="20"/>
                <w:szCs w:val="20"/>
                <w:color w:val="auto"/>
              </w:rPr>
            </w:pPr>
            <w:r>
              <w:rPr>
                <w:rFonts w:ascii="Arial" w:cs="Arial" w:eastAsia="Arial" w:hAnsi="Arial"/>
                <w:sz w:val="10"/>
                <w:szCs w:val="10"/>
                <w:color w:val="auto"/>
              </w:rPr>
              <w:t>these standards across our operations and suppliers.  value chain.</w:t>
            </w: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Genmab does not discriminate based on race, ethnicity</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color, religion, sex, gender identity and expression,</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national origin, age, disability, genetic information, sexu</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DEEEE"/>
          </w:tcPr>
          <w:p>
            <w:pPr>
              <w:spacing w:after="0"/>
              <w:rPr>
                <w:sz w:val="8"/>
                <w:szCs w:val="8"/>
                <w:color w:val="auto"/>
              </w:rPr>
            </w:pPr>
          </w:p>
        </w:tc>
        <w:tc>
          <w:tcPr>
            <w:tcW w:w="800" w:type="dxa"/>
            <w:vAlign w:val="bottom"/>
            <w:shd w:val="clear" w:color="auto" w:fill="EDEEEE"/>
          </w:tcPr>
          <w:p>
            <w:pPr>
              <w:spacing w:after="0"/>
              <w:rPr>
                <w:sz w:val="8"/>
                <w:szCs w:val="8"/>
                <w:color w:val="auto"/>
              </w:rPr>
            </w:pPr>
          </w:p>
        </w:tc>
        <w:tc>
          <w:tcPr>
            <w:tcW w:w="258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al</w:t>
            </w:r>
          </w:p>
        </w:tc>
        <w:tc>
          <w:tcPr>
            <w:tcW w:w="720" w:type="dxa"/>
            <w:vAlign w:val="bottom"/>
            <w:shd w:val="clear" w:color="auto" w:fill="EDEEEE"/>
          </w:tcPr>
          <w:p>
            <w:pPr>
              <w:spacing w:after="0"/>
              <w:rPr>
                <w:sz w:val="8"/>
                <w:szCs w:val="8"/>
                <w:color w:val="auto"/>
              </w:rPr>
            </w:pPr>
          </w:p>
        </w:tc>
        <w:tc>
          <w:tcPr>
            <w:tcW w:w="940" w:type="dxa"/>
            <w:vAlign w:val="bottom"/>
            <w:shd w:val="clear" w:color="auto" w:fill="EDEEEE"/>
          </w:tcPr>
          <w:p>
            <w:pPr>
              <w:spacing w:after="0"/>
              <w:rPr>
                <w:sz w:val="8"/>
                <w:szCs w:val="8"/>
                <w:color w:val="auto"/>
              </w:rPr>
            </w:pPr>
          </w:p>
        </w:tc>
        <w:tc>
          <w:tcPr>
            <w:tcW w:w="2000" w:type="dxa"/>
            <w:vAlign w:val="bottom"/>
            <w:shd w:val="clear" w:color="auto" w:fill="EDEEEE"/>
          </w:tcPr>
          <w:p>
            <w:pPr>
              <w:spacing w:after="0"/>
              <w:rPr>
                <w:sz w:val="8"/>
                <w:szCs w:val="8"/>
                <w:color w:val="auto"/>
              </w:rPr>
            </w:pPr>
          </w:p>
        </w:tc>
        <w:tc>
          <w:tcPr>
            <w:tcW w:w="1060" w:type="dxa"/>
            <w:vAlign w:val="bottom"/>
            <w:shd w:val="clear" w:color="auto" w:fill="EDEEEE"/>
          </w:tcPr>
          <w:p>
            <w:pPr>
              <w:spacing w:after="0"/>
              <w:rPr>
                <w:sz w:val="8"/>
                <w:szCs w:val="8"/>
                <w:color w:val="auto"/>
              </w:rPr>
            </w:pPr>
          </w:p>
        </w:tc>
        <w:tc>
          <w:tcPr>
            <w:tcW w:w="100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800" w:type="dxa"/>
            <w:vAlign w:val="bottom"/>
            <w:shd w:val="clear" w:color="auto" w:fill="EDEEEE"/>
          </w:tcPr>
          <w:p>
            <w:pPr>
              <w:spacing w:after="0"/>
              <w:rPr>
                <w:sz w:val="9"/>
                <w:szCs w:val="9"/>
                <w:color w:val="auto"/>
              </w:rPr>
            </w:pPr>
          </w:p>
        </w:tc>
        <w:tc>
          <w:tcPr>
            <w:tcW w:w="800" w:type="dxa"/>
            <w:vAlign w:val="bottom"/>
            <w:shd w:val="clear" w:color="auto" w:fill="EDEEEE"/>
          </w:tcPr>
          <w:p>
            <w:pPr>
              <w:spacing w:after="0"/>
              <w:rPr>
                <w:sz w:val="9"/>
                <w:szCs w:val="9"/>
                <w:color w:val="auto"/>
              </w:rPr>
            </w:pPr>
          </w:p>
        </w:tc>
        <w:tc>
          <w:tcPr>
            <w:tcW w:w="2580" w:type="dxa"/>
            <w:vAlign w:val="bottom"/>
            <w:shd w:val="clear" w:color="auto" w:fill="EDEEEE"/>
          </w:tcPr>
          <w:p>
            <w:pPr>
              <w:ind w:left="20"/>
              <w:spacing w:after="0"/>
              <w:rPr>
                <w:sz w:val="20"/>
                <w:szCs w:val="20"/>
                <w:color w:val="auto"/>
              </w:rPr>
            </w:pPr>
            <w:r>
              <w:rPr>
                <w:rFonts w:ascii="Arial" w:cs="Arial" w:eastAsia="Arial" w:hAnsi="Arial"/>
                <w:sz w:val="10"/>
                <w:szCs w:val="10"/>
                <w:color w:val="auto"/>
              </w:rPr>
              <w:t>orientation, military, veteran or other protected status.</w:t>
            </w:r>
          </w:p>
        </w:tc>
        <w:tc>
          <w:tcPr>
            <w:tcW w:w="720" w:type="dxa"/>
            <w:vAlign w:val="bottom"/>
            <w:shd w:val="clear" w:color="auto" w:fill="EDEEEE"/>
          </w:tcPr>
          <w:p>
            <w:pPr>
              <w:spacing w:after="0"/>
              <w:rPr>
                <w:sz w:val="9"/>
                <w:szCs w:val="9"/>
                <w:color w:val="auto"/>
              </w:rPr>
            </w:pPr>
          </w:p>
        </w:tc>
        <w:tc>
          <w:tcPr>
            <w:tcW w:w="940" w:type="dxa"/>
            <w:vAlign w:val="bottom"/>
            <w:shd w:val="clear" w:color="auto" w:fill="EDEEEE"/>
          </w:tcPr>
          <w:p>
            <w:pPr>
              <w:spacing w:after="0"/>
              <w:rPr>
                <w:sz w:val="9"/>
                <w:szCs w:val="9"/>
                <w:color w:val="auto"/>
              </w:rPr>
            </w:pPr>
          </w:p>
        </w:tc>
        <w:tc>
          <w:tcPr>
            <w:tcW w:w="2000" w:type="dxa"/>
            <w:vAlign w:val="bottom"/>
            <w:shd w:val="clear" w:color="auto" w:fill="EDEEEE"/>
          </w:tcPr>
          <w:p>
            <w:pPr>
              <w:spacing w:after="0"/>
              <w:rPr>
                <w:sz w:val="9"/>
                <w:szCs w:val="9"/>
                <w:color w:val="auto"/>
              </w:rPr>
            </w:pPr>
          </w:p>
        </w:tc>
        <w:tc>
          <w:tcPr>
            <w:tcW w:w="1060" w:type="dxa"/>
            <w:vAlign w:val="bottom"/>
            <w:shd w:val="clear" w:color="auto" w:fill="EDEEEE"/>
          </w:tcPr>
          <w:p>
            <w:pPr>
              <w:spacing w:after="0"/>
              <w:rPr>
                <w:sz w:val="9"/>
                <w:szCs w:val="9"/>
                <w:color w:val="auto"/>
              </w:rPr>
            </w:pPr>
          </w:p>
        </w:tc>
        <w:tc>
          <w:tcPr>
            <w:tcW w:w="1000" w:type="dxa"/>
            <w:vAlign w:val="bottom"/>
            <w:shd w:val="clear" w:color="auto" w:fill="EDEEEE"/>
          </w:tcPr>
          <w:p>
            <w:pPr>
              <w:spacing w:after="0"/>
              <w:rPr>
                <w:sz w:val="9"/>
                <w:szCs w:val="9"/>
                <w:color w:val="auto"/>
              </w:rPr>
            </w:pPr>
          </w:p>
        </w:tc>
        <w:tc>
          <w:tcPr>
            <w:tcW w:w="0" w:type="dxa"/>
            <w:vAlign w:val="bottom"/>
          </w:tcPr>
          <w:p>
            <w:pPr>
              <w:spacing w:after="0"/>
              <w:rPr>
                <w:sz w:val="1"/>
                <w:szCs w:val="1"/>
                <w:color w:val="auto"/>
              </w:rPr>
            </w:pPr>
          </w:p>
        </w:tc>
      </w:tr>
    </w:tbl>
    <w:p>
      <w:pPr>
        <w:sectPr>
          <w:pgSz w:w="11900" w:h="16840" w:orient="portrait"/>
          <w:cols w:equalWidth="0" w:num="1">
            <w:col w:w="9900"/>
          </w:cols>
          <w:pgMar w:left="640" w:top="1440" w:right="1360" w:bottom="1440" w:gutter="0" w:footer="0" w:header="0"/>
        </w:sectPr>
      </w:pPr>
    </w:p>
    <w:bookmarkStart w:id="122" w:name="page123"/>
    <w:bookmarkEnd w:id="122"/>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83</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7"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279515" cy="12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6279515" cy="12065"/>
                    </a:xfrm>
                    <a:prstGeom prst="rect">
                      <a:avLst/>
                    </a:prstGeom>
                    <a:noFill/>
                  </pic:spPr>
                </pic:pic>
              </a:graphicData>
            </a:graphic>
          </wp:anchor>
        </w:drawing>
      </w:r>
    </w:p>
    <w:p>
      <w:pPr>
        <w:sectPr>
          <w:pgSz w:w="11900" w:h="16840" w:orient="portrait"/>
          <w:cols w:equalWidth="0" w:num="1">
            <w:col w:w="9880"/>
          </w:cols>
          <w:pgMar w:left="640" w:top="571" w:right="1380" w:bottom="1440" w:gutter="0" w:footer="0" w:header="0"/>
        </w:sectPr>
      </w:pPr>
    </w:p>
    <w:tbl>
      <w:tblPr>
        <w:tblLayout w:type="fixed"/>
        <w:tblInd w:w="20" w:type="dxa"/>
        <w:tblCellMar>
          <w:top w:w="0" w:type="dxa"/>
          <w:left w:w="0" w:type="dxa"/>
          <w:bottom w:w="0" w:type="dxa"/>
          <w:right w:w="0" w:type="dxa"/>
        </w:tblCellMar>
      </w:tblPr>
      <w:tr>
        <w:trPr>
          <w:trHeight w:val="111"/>
        </w:trPr>
        <w:tc>
          <w:tcPr>
            <w:tcW w:w="780" w:type="dxa"/>
            <w:vAlign w:val="bottom"/>
          </w:tcPr>
          <w:p>
            <w:pPr>
              <w:spacing w:after="0" w:line="111" w:lineRule="exact"/>
              <w:rPr>
                <w:sz w:val="20"/>
                <w:szCs w:val="20"/>
                <w:color w:val="auto"/>
              </w:rPr>
            </w:pPr>
            <w:r>
              <w:rPr>
                <w:rFonts w:ascii="Arial" w:cs="Arial" w:eastAsia="Arial" w:hAnsi="Arial"/>
                <w:sz w:val="10"/>
                <w:szCs w:val="10"/>
                <w:b w:val="1"/>
                <w:bCs w:val="1"/>
                <w:color w:val="auto"/>
              </w:rPr>
              <w:t>Policy/</w:t>
            </w:r>
          </w:p>
        </w:tc>
        <w:tc>
          <w:tcPr>
            <w:tcW w:w="740" w:type="dxa"/>
            <w:vAlign w:val="bottom"/>
          </w:tcPr>
          <w:p>
            <w:pPr>
              <w:ind w:left="60"/>
              <w:spacing w:after="0" w:line="111" w:lineRule="exact"/>
              <w:rPr>
                <w:sz w:val="20"/>
                <w:szCs w:val="20"/>
                <w:color w:val="auto"/>
              </w:rPr>
            </w:pPr>
            <w:r>
              <w:rPr>
                <w:rFonts w:ascii="Arial" w:cs="Arial" w:eastAsia="Arial" w:hAnsi="Arial"/>
                <w:sz w:val="10"/>
                <w:szCs w:val="10"/>
                <w:b w:val="1"/>
                <w:bCs w:val="1"/>
                <w:color w:val="auto"/>
              </w:rPr>
              <w:t>IRO Mapping</w:t>
            </w:r>
          </w:p>
        </w:tc>
        <w:tc>
          <w:tcPr>
            <w:tcW w:w="2620" w:type="dxa"/>
            <w:vAlign w:val="bottom"/>
          </w:tcPr>
          <w:p>
            <w:pPr>
              <w:ind w:left="80"/>
              <w:spacing w:after="0" w:line="111" w:lineRule="exact"/>
              <w:rPr>
                <w:sz w:val="20"/>
                <w:szCs w:val="20"/>
                <w:color w:val="auto"/>
              </w:rPr>
            </w:pPr>
            <w:r>
              <w:rPr>
                <w:rFonts w:ascii="Arial" w:cs="Arial" w:eastAsia="Arial" w:hAnsi="Arial"/>
                <w:sz w:val="10"/>
                <w:szCs w:val="10"/>
                <w:b w:val="1"/>
                <w:bCs w:val="1"/>
                <w:color w:val="auto"/>
              </w:rPr>
              <w:t>Policy/Commitment Content and Objectives</w:t>
            </w:r>
          </w:p>
        </w:tc>
        <w:tc>
          <w:tcPr>
            <w:tcW w:w="70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Scope</w:t>
            </w:r>
          </w:p>
        </w:tc>
      </w:tr>
      <w:tr>
        <w:trPr>
          <w:trHeight w:val="128"/>
        </w:trPr>
        <w:tc>
          <w:tcPr>
            <w:tcW w:w="780" w:type="dxa"/>
            <w:vAlign w:val="bottom"/>
          </w:tcPr>
          <w:p>
            <w:pPr>
              <w:spacing w:after="0"/>
              <w:rPr>
                <w:sz w:val="20"/>
                <w:szCs w:val="20"/>
                <w:color w:val="auto"/>
              </w:rPr>
            </w:pPr>
            <w:r>
              <w:rPr>
                <w:rFonts w:ascii="Arial" w:cs="Arial" w:eastAsia="Arial" w:hAnsi="Arial"/>
                <w:sz w:val="10"/>
                <w:szCs w:val="10"/>
                <w:b w:val="1"/>
                <w:bCs w:val="1"/>
                <w:color w:val="auto"/>
              </w:rPr>
              <w:t>Commitment</w:t>
            </w:r>
          </w:p>
        </w:tc>
        <w:tc>
          <w:tcPr>
            <w:tcW w:w="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8"/>
        </w:trPr>
        <w:tc>
          <w:tcPr>
            <w:tcW w:w="780" w:type="dxa"/>
            <w:vAlign w:val="bottom"/>
          </w:tcPr>
          <w:p>
            <w:pPr>
              <w:spacing w:after="0"/>
              <w:rPr>
                <w:sz w:val="20"/>
                <w:szCs w:val="20"/>
                <w:color w:val="auto"/>
              </w:rPr>
            </w:pPr>
            <w:r>
              <w:rPr>
                <w:rFonts w:ascii="Arial" w:cs="Arial" w:eastAsia="Arial" w:hAnsi="Arial"/>
                <w:sz w:val="10"/>
                <w:szCs w:val="10"/>
                <w:b w:val="1"/>
                <w:bCs w:val="1"/>
                <w:color w:val="auto"/>
              </w:rPr>
              <w:t>Global</w:t>
            </w:r>
          </w:p>
        </w:tc>
        <w:tc>
          <w:tcPr>
            <w:tcW w:w="740" w:type="dxa"/>
            <w:vAlign w:val="bottom"/>
          </w:tcPr>
          <w:p>
            <w:pPr>
              <w:ind w:left="60"/>
              <w:spacing w:after="0"/>
              <w:rPr>
                <w:sz w:val="20"/>
                <w:szCs w:val="20"/>
                <w:color w:val="auto"/>
              </w:rPr>
            </w:pPr>
            <w:r>
              <w:rPr>
                <w:rFonts w:ascii="Arial" w:cs="Arial" w:eastAsia="Arial" w:hAnsi="Arial"/>
                <w:sz w:val="10"/>
                <w:szCs w:val="10"/>
                <w:color w:val="auto"/>
              </w:rPr>
              <w:t>Equal</w:t>
            </w:r>
          </w:p>
        </w:tc>
        <w:tc>
          <w:tcPr>
            <w:tcW w:w="3320" w:type="dxa"/>
            <w:vAlign w:val="bottom"/>
            <w:gridSpan w:val="2"/>
          </w:tcPr>
          <w:p>
            <w:pPr>
              <w:ind w:left="80"/>
              <w:spacing w:after="0"/>
              <w:rPr>
                <w:sz w:val="20"/>
                <w:szCs w:val="20"/>
                <w:color w:val="auto"/>
              </w:rPr>
            </w:pPr>
            <w:r>
              <w:rPr>
                <w:rFonts w:ascii="Arial" w:cs="Arial" w:eastAsia="Arial" w:hAnsi="Arial"/>
                <w:sz w:val="10"/>
                <w:szCs w:val="10"/>
                <w:color w:val="auto"/>
              </w:rPr>
              <w:t>Describes our commitment to fostering an equitable an Applies to all</w:t>
            </w:r>
          </w:p>
        </w:tc>
      </w:tr>
      <w:tr>
        <w:trPr>
          <w:trHeight w:val="95"/>
        </w:trPr>
        <w:tc>
          <w:tcPr>
            <w:tcW w:w="780" w:type="dxa"/>
            <w:vAlign w:val="bottom"/>
          </w:tcPr>
          <w:p>
            <w:pPr>
              <w:spacing w:after="0" w:line="95" w:lineRule="exact"/>
              <w:rPr>
                <w:sz w:val="20"/>
                <w:szCs w:val="20"/>
                <w:color w:val="auto"/>
              </w:rPr>
            </w:pPr>
            <w:r>
              <w:rPr>
                <w:rFonts w:ascii="Arial" w:cs="Arial" w:eastAsia="Arial" w:hAnsi="Arial"/>
                <w:sz w:val="10"/>
                <w:szCs w:val="10"/>
                <w:b w:val="1"/>
                <w:bCs w:val="1"/>
                <w:color w:val="auto"/>
              </w:rPr>
              <w:t>Workforce</w:t>
            </w:r>
          </w:p>
        </w:tc>
        <w:tc>
          <w:tcPr>
            <w:tcW w:w="740" w:type="dxa"/>
            <w:vAlign w:val="bottom"/>
          </w:tcPr>
          <w:p>
            <w:pPr>
              <w:ind w:left="60"/>
              <w:spacing w:after="0" w:line="95" w:lineRule="exact"/>
              <w:rPr>
                <w:sz w:val="20"/>
                <w:szCs w:val="20"/>
                <w:color w:val="auto"/>
              </w:rPr>
            </w:pPr>
            <w:r>
              <w:rPr>
                <w:rFonts w:ascii="Arial" w:cs="Arial" w:eastAsia="Arial" w:hAnsi="Arial"/>
                <w:sz w:val="10"/>
                <w:szCs w:val="10"/>
                <w:color w:val="auto"/>
              </w:rPr>
              <w:t>opportunity</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d</w:t>
            </w:r>
          </w:p>
        </w:tc>
        <w:tc>
          <w:tcPr>
            <w:tcW w:w="700" w:type="dxa"/>
            <w:vAlign w:val="bottom"/>
          </w:tcPr>
          <w:p>
            <w:pPr>
              <w:ind w:left="20"/>
              <w:spacing w:after="0" w:line="95" w:lineRule="exact"/>
              <w:rPr>
                <w:sz w:val="20"/>
                <w:szCs w:val="20"/>
                <w:color w:val="auto"/>
              </w:rPr>
            </w:pPr>
            <w:r>
              <w:rPr>
                <w:rFonts w:ascii="Arial" w:cs="Arial" w:eastAsia="Arial" w:hAnsi="Arial"/>
                <w:sz w:val="10"/>
                <w:szCs w:val="10"/>
                <w:color w:val="auto"/>
              </w:rPr>
              <w:t>employees</w:t>
            </w:r>
          </w:p>
        </w:tc>
      </w:tr>
      <w:tr>
        <w:trPr>
          <w:trHeight w:val="95"/>
        </w:trPr>
        <w:tc>
          <w:tcPr>
            <w:tcW w:w="780" w:type="dxa"/>
            <w:vAlign w:val="bottom"/>
          </w:tcPr>
          <w:p>
            <w:pPr>
              <w:spacing w:after="0" w:line="95" w:lineRule="exact"/>
              <w:rPr>
                <w:sz w:val="20"/>
                <w:szCs w:val="20"/>
                <w:color w:val="auto"/>
              </w:rPr>
            </w:pPr>
            <w:r>
              <w:rPr>
                <w:rFonts w:ascii="Arial" w:cs="Arial" w:eastAsia="Arial" w:hAnsi="Arial"/>
                <w:sz w:val="10"/>
                <w:szCs w:val="10"/>
                <w:b w:val="1"/>
                <w:bCs w:val="1"/>
                <w:color w:val="auto"/>
              </w:rPr>
              <w:t>Culture Policy</w:t>
            </w:r>
          </w:p>
        </w:tc>
        <w:tc>
          <w:tcPr>
            <w:tcW w:w="740" w:type="dxa"/>
            <w:vAlign w:val="bottom"/>
          </w:tcPr>
          <w:p>
            <w:pPr>
              <w:ind w:left="60"/>
              <w:spacing w:after="0" w:line="95" w:lineRule="exact"/>
              <w:rPr>
                <w:sz w:val="20"/>
                <w:szCs w:val="20"/>
                <w:color w:val="auto"/>
              </w:rPr>
            </w:pPr>
            <w:r>
              <w:rPr>
                <w:rFonts w:ascii="Arial" w:cs="Arial" w:eastAsia="Arial" w:hAnsi="Arial"/>
                <w:sz w:val="10"/>
                <w:szCs w:val="10"/>
                <w:color w:val="auto"/>
              </w:rPr>
              <w:t>promoting</w:t>
            </w:r>
          </w:p>
        </w:tc>
        <w:tc>
          <w:tcPr>
            <w:tcW w:w="3320" w:type="dxa"/>
            <w:vAlign w:val="bottom"/>
            <w:gridSpan w:val="2"/>
          </w:tcPr>
          <w:p>
            <w:pPr>
              <w:ind w:left="80"/>
              <w:spacing w:after="0" w:line="95" w:lineRule="exact"/>
              <w:rPr>
                <w:sz w:val="20"/>
                <w:szCs w:val="20"/>
                <w:color w:val="auto"/>
              </w:rPr>
            </w:pPr>
            <w:r>
              <w:rPr>
                <w:rFonts w:ascii="Arial" w:cs="Arial" w:eastAsia="Arial" w:hAnsi="Arial"/>
                <w:sz w:val="10"/>
                <w:szCs w:val="10"/>
                <w:color w:val="auto"/>
              </w:rPr>
              <w:t>inclusive workplace where all employees are valued an and suppliers;</w:t>
            </w:r>
          </w:p>
        </w:tc>
      </w:tr>
      <w:tr>
        <w:trPr>
          <w:trHeight w:val="95"/>
        </w:trPr>
        <w:tc>
          <w:tcPr>
            <w:tcW w:w="780" w:type="dxa"/>
            <w:vAlign w:val="bottom"/>
          </w:tcPr>
          <w:p>
            <w:pPr>
              <w:spacing w:after="0"/>
              <w:rPr>
                <w:sz w:val="8"/>
                <w:szCs w:val="8"/>
                <w:color w:val="auto"/>
              </w:rPr>
            </w:pPr>
          </w:p>
        </w:tc>
        <w:tc>
          <w:tcPr>
            <w:tcW w:w="740" w:type="dxa"/>
            <w:vAlign w:val="bottom"/>
          </w:tcPr>
          <w:p>
            <w:pPr>
              <w:ind w:left="60"/>
              <w:spacing w:after="0" w:line="95" w:lineRule="exact"/>
              <w:rPr>
                <w:sz w:val="20"/>
                <w:szCs w:val="20"/>
                <w:color w:val="auto"/>
              </w:rPr>
            </w:pPr>
            <w:r>
              <w:rPr>
                <w:rFonts w:ascii="Arial" w:cs="Arial" w:eastAsia="Arial" w:hAnsi="Arial"/>
                <w:sz w:val="10"/>
                <w:szCs w:val="10"/>
                <w:color w:val="auto"/>
              </w:rPr>
              <w:t>innovation</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d</w:t>
            </w:r>
          </w:p>
        </w:tc>
        <w:tc>
          <w:tcPr>
            <w:tcW w:w="700" w:type="dxa"/>
            <w:vAlign w:val="bottom"/>
          </w:tcPr>
          <w:p>
            <w:pPr>
              <w:ind w:left="20"/>
              <w:spacing w:after="0" w:line="95" w:lineRule="exact"/>
              <w:rPr>
                <w:sz w:val="20"/>
                <w:szCs w:val="20"/>
                <w:color w:val="auto"/>
              </w:rPr>
            </w:pPr>
            <w:r>
              <w:rPr>
                <w:rFonts w:ascii="Arial" w:cs="Arial" w:eastAsia="Arial" w:hAnsi="Arial"/>
                <w:sz w:val="10"/>
                <w:szCs w:val="10"/>
                <w:color w:val="auto"/>
              </w:rPr>
              <w:t>extends to all</w:t>
            </w: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treated fairly. Its objectives are to ensure equal</w:t>
            </w:r>
          </w:p>
        </w:tc>
        <w:tc>
          <w:tcPr>
            <w:tcW w:w="700" w:type="dxa"/>
            <w:vAlign w:val="bottom"/>
          </w:tcPr>
          <w:p>
            <w:pPr>
              <w:ind w:left="20"/>
              <w:spacing w:after="0" w:line="95" w:lineRule="exact"/>
              <w:rPr>
                <w:sz w:val="20"/>
                <w:szCs w:val="20"/>
                <w:color w:val="auto"/>
              </w:rPr>
            </w:pPr>
            <w:r>
              <w:rPr>
                <w:rFonts w:ascii="Arial" w:cs="Arial" w:eastAsia="Arial" w:hAnsi="Arial"/>
                <w:sz w:val="10"/>
                <w:szCs w:val="10"/>
                <w:color w:val="auto"/>
              </w:rPr>
              <w:t>workers in the</w:t>
            </w: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opportunities, prevent discrimination and harassment,</w:t>
            </w:r>
          </w:p>
        </w:tc>
        <w:tc>
          <w:tcPr>
            <w:tcW w:w="700" w:type="dxa"/>
            <w:vAlign w:val="bottom"/>
          </w:tcPr>
          <w:p>
            <w:pPr>
              <w:ind w:left="20"/>
              <w:spacing w:after="0" w:line="95" w:lineRule="exact"/>
              <w:rPr>
                <w:sz w:val="20"/>
                <w:szCs w:val="20"/>
                <w:color w:val="auto"/>
              </w:rPr>
            </w:pPr>
            <w:r>
              <w:rPr>
                <w:rFonts w:ascii="Arial" w:cs="Arial" w:eastAsia="Arial" w:hAnsi="Arial"/>
                <w:sz w:val="10"/>
                <w:szCs w:val="10"/>
                <w:color w:val="auto"/>
              </w:rPr>
              <w:t>value chain.</w:t>
            </w: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and enable a safe environment that drives innovation,</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strong performance, and positive impact across our</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workforce and value chain. It covers inclusion for grou</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ps</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that may be at particular risk of vulnerability regardless</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120"/>
              <w:spacing w:after="0" w:line="95" w:lineRule="exact"/>
              <w:rPr>
                <w:sz w:val="20"/>
                <w:szCs w:val="20"/>
                <w:color w:val="auto"/>
              </w:rPr>
            </w:pPr>
            <w:r>
              <w:rPr>
                <w:rFonts w:ascii="Arial" w:cs="Arial" w:eastAsia="Arial" w:hAnsi="Arial"/>
                <w:sz w:val="10"/>
                <w:szCs w:val="10"/>
                <w:color w:val="auto"/>
              </w:rPr>
              <w:t>of</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320" w:type="dxa"/>
            <w:vAlign w:val="bottom"/>
            <w:gridSpan w:val="2"/>
          </w:tcPr>
          <w:p>
            <w:pPr>
              <w:ind w:left="80"/>
              <w:spacing w:after="0" w:line="95" w:lineRule="exact"/>
              <w:rPr>
                <w:sz w:val="20"/>
                <w:szCs w:val="20"/>
                <w:color w:val="auto"/>
              </w:rPr>
            </w:pPr>
            <w:r>
              <w:rPr>
                <w:rFonts w:ascii="Arial" w:cs="Arial" w:eastAsia="Arial" w:hAnsi="Arial"/>
                <w:sz w:val="10"/>
                <w:szCs w:val="10"/>
                <w:color w:val="auto"/>
              </w:rPr>
              <w:t>gender, race, ethnicity, religion, age, disability, and othe</w:t>
            </w: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r</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protected characteristics, and as noted in our Code of</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Conduct, all forms of harassment and retaliation are</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unacceptable and counter to everything we stand for a</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s</w:t>
            </w:r>
          </w:p>
        </w:tc>
        <w:tc>
          <w:tcPr>
            <w:tcW w:w="700" w:type="dxa"/>
            <w:vAlign w:val="bottom"/>
          </w:tcPr>
          <w:p>
            <w:pPr>
              <w:spacing w:after="0"/>
              <w:rPr>
                <w:sz w:val="8"/>
                <w:szCs w:val="8"/>
                <w:color w:val="auto"/>
              </w:rPr>
            </w:pPr>
          </w:p>
        </w:tc>
      </w:tr>
      <w:tr>
        <w:trPr>
          <w:trHeight w:val="105"/>
        </w:trPr>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Pr>
          <w:p>
            <w:pPr>
              <w:ind w:left="80"/>
              <w:spacing w:after="0" w:line="105" w:lineRule="exact"/>
              <w:rPr>
                <w:sz w:val="20"/>
                <w:szCs w:val="20"/>
                <w:color w:val="auto"/>
              </w:rPr>
            </w:pPr>
            <w:r>
              <w:rPr>
                <w:rFonts w:ascii="Arial" w:cs="Arial" w:eastAsia="Arial" w:hAnsi="Arial"/>
                <w:sz w:val="10"/>
                <w:szCs w:val="10"/>
                <w:color w:val="auto"/>
              </w:rPr>
              <w:t>a company.</w:t>
            </w:r>
          </w:p>
        </w:tc>
        <w:tc>
          <w:tcPr>
            <w:tcW w:w="700" w:type="dxa"/>
            <w:vAlign w:val="bottom"/>
          </w:tcPr>
          <w:p>
            <w:pPr>
              <w:spacing w:after="0"/>
              <w:rPr>
                <w:sz w:val="9"/>
                <w:szCs w:val="9"/>
                <w:color w:val="auto"/>
              </w:rPr>
            </w:pPr>
          </w:p>
        </w:tc>
      </w:tr>
      <w:tr>
        <w:trPr>
          <w:trHeight w:val="105"/>
        </w:trPr>
        <w:tc>
          <w:tcPr>
            <w:tcW w:w="780" w:type="dxa"/>
            <w:vAlign w:val="bottom"/>
          </w:tcPr>
          <w:p>
            <w:pPr>
              <w:spacing w:after="0" w:line="105" w:lineRule="exact"/>
              <w:rPr>
                <w:sz w:val="20"/>
                <w:szCs w:val="20"/>
                <w:color w:val="auto"/>
              </w:rPr>
            </w:pPr>
            <w:r>
              <w:rPr>
                <w:rFonts w:ascii="Arial" w:cs="Arial" w:eastAsia="Arial" w:hAnsi="Arial"/>
                <w:sz w:val="10"/>
                <w:szCs w:val="10"/>
                <w:b w:val="1"/>
                <w:bCs w:val="1"/>
                <w:color w:val="auto"/>
              </w:rPr>
              <w:t>Corporate</w:t>
            </w:r>
          </w:p>
        </w:tc>
        <w:tc>
          <w:tcPr>
            <w:tcW w:w="740" w:type="dxa"/>
            <w:vAlign w:val="bottom"/>
          </w:tcPr>
          <w:p>
            <w:pPr>
              <w:ind w:left="60"/>
              <w:spacing w:after="0" w:line="105" w:lineRule="exact"/>
              <w:rPr>
                <w:sz w:val="20"/>
                <w:szCs w:val="20"/>
                <w:color w:val="auto"/>
              </w:rPr>
            </w:pPr>
            <w:r>
              <w:rPr>
                <w:rFonts w:ascii="Arial" w:cs="Arial" w:eastAsia="Arial" w:hAnsi="Arial"/>
                <w:sz w:val="10"/>
                <w:szCs w:val="10"/>
                <w:color w:val="auto"/>
              </w:rPr>
              <w:t>Career</w:t>
            </w:r>
          </w:p>
        </w:tc>
        <w:tc>
          <w:tcPr>
            <w:tcW w:w="2620" w:type="dxa"/>
            <w:vAlign w:val="bottom"/>
          </w:tcPr>
          <w:p>
            <w:pPr>
              <w:ind w:left="80"/>
              <w:spacing w:after="0" w:line="105" w:lineRule="exact"/>
              <w:rPr>
                <w:sz w:val="20"/>
                <w:szCs w:val="20"/>
                <w:color w:val="auto"/>
              </w:rPr>
            </w:pPr>
            <w:r>
              <w:rPr>
                <w:rFonts w:ascii="Arial" w:cs="Arial" w:eastAsia="Arial" w:hAnsi="Arial"/>
                <w:sz w:val="10"/>
                <w:szCs w:val="10"/>
                <w:color w:val="auto"/>
              </w:rPr>
              <w:t>Outlines how the Company integrates its purpose,</w:t>
            </w:r>
          </w:p>
        </w:tc>
        <w:tc>
          <w:tcPr>
            <w:tcW w:w="700" w:type="dxa"/>
            <w:vAlign w:val="bottom"/>
          </w:tcPr>
          <w:p>
            <w:pPr>
              <w:ind w:left="20"/>
              <w:spacing w:after="0" w:line="105" w:lineRule="exact"/>
              <w:rPr>
                <w:sz w:val="20"/>
                <w:szCs w:val="20"/>
                <w:color w:val="auto"/>
              </w:rPr>
            </w:pPr>
            <w:r>
              <w:rPr>
                <w:rFonts w:ascii="Arial" w:cs="Arial" w:eastAsia="Arial" w:hAnsi="Arial"/>
                <w:sz w:val="10"/>
                <w:szCs w:val="10"/>
                <w:color w:val="auto"/>
              </w:rPr>
              <w:t>Applies across</w:t>
            </w:r>
          </w:p>
        </w:tc>
      </w:tr>
      <w:tr>
        <w:trPr>
          <w:trHeight w:val="95"/>
        </w:trPr>
        <w:tc>
          <w:tcPr>
            <w:tcW w:w="780" w:type="dxa"/>
            <w:vAlign w:val="bottom"/>
          </w:tcPr>
          <w:p>
            <w:pPr>
              <w:spacing w:after="0" w:line="95" w:lineRule="exact"/>
              <w:rPr>
                <w:sz w:val="20"/>
                <w:szCs w:val="20"/>
                <w:color w:val="auto"/>
              </w:rPr>
            </w:pPr>
            <w:r>
              <w:rPr>
                <w:rFonts w:ascii="Arial" w:cs="Arial" w:eastAsia="Arial" w:hAnsi="Arial"/>
                <w:sz w:val="10"/>
                <w:szCs w:val="10"/>
                <w:b w:val="1"/>
                <w:bCs w:val="1"/>
                <w:color w:val="auto"/>
              </w:rPr>
              <w:t>Social</w:t>
            </w:r>
          </w:p>
        </w:tc>
        <w:tc>
          <w:tcPr>
            <w:tcW w:w="740" w:type="dxa"/>
            <w:vAlign w:val="bottom"/>
          </w:tcPr>
          <w:p>
            <w:pPr>
              <w:ind w:left="60"/>
              <w:spacing w:after="0" w:line="95" w:lineRule="exact"/>
              <w:rPr>
                <w:sz w:val="20"/>
                <w:szCs w:val="20"/>
                <w:color w:val="auto"/>
              </w:rPr>
            </w:pPr>
            <w:r>
              <w:rPr>
                <w:rFonts w:ascii="Arial" w:cs="Arial" w:eastAsia="Arial" w:hAnsi="Arial"/>
                <w:sz w:val="10"/>
                <w:szCs w:val="10"/>
                <w:color w:val="auto"/>
              </w:rPr>
              <w:t>development</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values, and vision into responsible business practices</w:t>
            </w:r>
          </w:p>
        </w:tc>
        <w:tc>
          <w:tcPr>
            <w:tcW w:w="700" w:type="dxa"/>
            <w:vAlign w:val="bottom"/>
          </w:tcPr>
          <w:p>
            <w:pPr>
              <w:ind w:left="20"/>
              <w:spacing w:after="0" w:line="95" w:lineRule="exact"/>
              <w:rPr>
                <w:sz w:val="20"/>
                <w:szCs w:val="20"/>
                <w:color w:val="auto"/>
              </w:rPr>
            </w:pPr>
            <w:r>
              <w:rPr>
                <w:rFonts w:ascii="Arial" w:cs="Arial" w:eastAsia="Arial" w:hAnsi="Arial"/>
                <w:sz w:val="10"/>
                <w:szCs w:val="10"/>
                <w:color w:val="auto"/>
              </w:rPr>
              <w:t>all operations</w:t>
            </w:r>
          </w:p>
        </w:tc>
      </w:tr>
      <w:tr>
        <w:trPr>
          <w:trHeight w:val="95"/>
        </w:trPr>
        <w:tc>
          <w:tcPr>
            <w:tcW w:w="780" w:type="dxa"/>
            <w:vAlign w:val="bottom"/>
          </w:tcPr>
          <w:p>
            <w:pPr>
              <w:spacing w:after="0" w:line="95" w:lineRule="exact"/>
              <w:rPr>
                <w:sz w:val="20"/>
                <w:szCs w:val="20"/>
                <w:color w:val="auto"/>
              </w:rPr>
            </w:pPr>
            <w:r>
              <w:rPr>
                <w:rFonts w:ascii="Arial" w:cs="Arial" w:eastAsia="Arial" w:hAnsi="Arial"/>
                <w:sz w:val="10"/>
                <w:szCs w:val="10"/>
                <w:b w:val="1"/>
                <w:bCs w:val="1"/>
                <w:color w:val="auto"/>
              </w:rPr>
              <w:t>Responsibility</w:t>
            </w:r>
          </w:p>
        </w:tc>
        <w:tc>
          <w:tcPr>
            <w:tcW w:w="740" w:type="dxa"/>
            <w:vAlign w:val="bottom"/>
          </w:tcPr>
          <w:p>
            <w:pPr>
              <w:ind w:left="60"/>
              <w:spacing w:after="0" w:line="95" w:lineRule="exact"/>
              <w:rPr>
                <w:sz w:val="20"/>
                <w:szCs w:val="20"/>
                <w:color w:val="auto"/>
              </w:rPr>
            </w:pPr>
            <w:r>
              <w:rPr>
                <w:rFonts w:ascii="Arial" w:cs="Arial" w:eastAsia="Arial" w:hAnsi="Arial"/>
                <w:sz w:val="10"/>
                <w:szCs w:val="10"/>
                <w:color w:val="auto"/>
              </w:rPr>
              <w:t>through</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focused on patient-centered innovation, caring for</w:t>
            </w:r>
          </w:p>
        </w:tc>
        <w:tc>
          <w:tcPr>
            <w:tcW w:w="700" w:type="dxa"/>
            <w:vAlign w:val="bottom"/>
          </w:tcPr>
          <w:p>
            <w:pPr>
              <w:ind w:left="20"/>
              <w:spacing w:after="0" w:line="95" w:lineRule="exact"/>
              <w:rPr>
                <w:sz w:val="20"/>
                <w:szCs w:val="20"/>
                <w:color w:val="auto"/>
              </w:rPr>
            </w:pPr>
            <w:r>
              <w:rPr>
                <w:rFonts w:ascii="Arial" w:cs="Arial" w:eastAsia="Arial" w:hAnsi="Arial"/>
                <w:sz w:val="10"/>
                <w:szCs w:val="10"/>
                <w:color w:val="auto"/>
              </w:rPr>
              <w:t>and employee</w:t>
            </w:r>
          </w:p>
        </w:tc>
      </w:tr>
      <w:tr>
        <w:trPr>
          <w:trHeight w:val="95"/>
        </w:trPr>
        <w:tc>
          <w:tcPr>
            <w:tcW w:w="780" w:type="dxa"/>
            <w:vAlign w:val="bottom"/>
          </w:tcPr>
          <w:p>
            <w:pPr>
              <w:spacing w:after="0" w:line="95" w:lineRule="exact"/>
              <w:rPr>
                <w:sz w:val="20"/>
                <w:szCs w:val="20"/>
                <w:color w:val="auto"/>
              </w:rPr>
            </w:pPr>
            <w:r>
              <w:rPr>
                <w:rFonts w:ascii="Arial" w:cs="Arial" w:eastAsia="Arial" w:hAnsi="Arial"/>
                <w:sz w:val="10"/>
                <w:szCs w:val="10"/>
                <w:b w:val="1"/>
                <w:bCs w:val="1"/>
                <w:color w:val="auto"/>
              </w:rPr>
              <w:t>(CSR) Policy</w:t>
            </w:r>
          </w:p>
        </w:tc>
        <w:tc>
          <w:tcPr>
            <w:tcW w:w="740" w:type="dxa"/>
            <w:vAlign w:val="bottom"/>
          </w:tcPr>
          <w:p>
            <w:pPr>
              <w:ind w:left="60"/>
              <w:spacing w:after="0" w:line="95" w:lineRule="exact"/>
              <w:rPr>
                <w:sz w:val="20"/>
                <w:szCs w:val="20"/>
                <w:color w:val="auto"/>
              </w:rPr>
            </w:pPr>
            <w:r>
              <w:rPr>
                <w:rFonts w:ascii="Arial" w:cs="Arial" w:eastAsia="Arial" w:hAnsi="Arial"/>
                <w:sz w:val="10"/>
                <w:szCs w:val="10"/>
                <w:color w:val="auto"/>
              </w:rPr>
              <w:t>training and</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employees and communities, business integrity, and</w:t>
            </w:r>
          </w:p>
        </w:tc>
        <w:tc>
          <w:tcPr>
            <w:tcW w:w="700" w:type="dxa"/>
            <w:vAlign w:val="bottom"/>
          </w:tcPr>
          <w:p>
            <w:pPr>
              <w:ind w:left="20"/>
              <w:spacing w:after="0" w:line="95" w:lineRule="exact"/>
              <w:rPr>
                <w:sz w:val="20"/>
                <w:szCs w:val="20"/>
                <w:color w:val="auto"/>
              </w:rPr>
            </w:pPr>
            <w:r>
              <w:rPr>
                <w:rFonts w:ascii="Arial" w:cs="Arial" w:eastAsia="Arial" w:hAnsi="Arial"/>
                <w:sz w:val="10"/>
                <w:szCs w:val="10"/>
                <w:color w:val="auto"/>
              </w:rPr>
              <w:t>groups.</w:t>
            </w:r>
          </w:p>
        </w:tc>
      </w:tr>
      <w:tr>
        <w:trPr>
          <w:trHeight w:val="95"/>
        </w:trPr>
        <w:tc>
          <w:tcPr>
            <w:tcW w:w="780" w:type="dxa"/>
            <w:vAlign w:val="bottom"/>
          </w:tcPr>
          <w:p>
            <w:pPr>
              <w:spacing w:after="0"/>
              <w:rPr>
                <w:sz w:val="8"/>
                <w:szCs w:val="8"/>
                <w:color w:val="auto"/>
              </w:rPr>
            </w:pPr>
          </w:p>
        </w:tc>
        <w:tc>
          <w:tcPr>
            <w:tcW w:w="740" w:type="dxa"/>
            <w:vAlign w:val="bottom"/>
          </w:tcPr>
          <w:p>
            <w:pPr>
              <w:ind w:left="60"/>
              <w:spacing w:after="0" w:line="95" w:lineRule="exact"/>
              <w:rPr>
                <w:sz w:val="20"/>
                <w:szCs w:val="20"/>
                <w:color w:val="auto"/>
              </w:rPr>
            </w:pPr>
            <w:r>
              <w:rPr>
                <w:rFonts w:ascii="Arial" w:cs="Arial" w:eastAsia="Arial" w:hAnsi="Arial"/>
                <w:sz w:val="10"/>
                <w:szCs w:val="10"/>
                <w:color w:val="auto"/>
              </w:rPr>
              <w:t>skill building</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environmental sustainability. Its objective is to guide</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ethical, transparent, and sustainable operations,</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supported by clear governance and oversight, and</w:t>
            </w:r>
          </w:p>
        </w:tc>
        <w:tc>
          <w:tcPr>
            <w:tcW w:w="700" w:type="dxa"/>
            <w:vAlign w:val="bottom"/>
          </w:tcPr>
          <w:p>
            <w:pPr>
              <w:spacing w:after="0"/>
              <w:rPr>
                <w:sz w:val="8"/>
                <w:szCs w:val="8"/>
                <w:color w:val="auto"/>
              </w:rPr>
            </w:pPr>
          </w:p>
        </w:tc>
      </w:tr>
      <w:tr>
        <w:trPr>
          <w:trHeight w:val="95"/>
        </w:trPr>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ensure all employees incorporate CSR principles into</w:t>
            </w:r>
          </w:p>
        </w:tc>
        <w:tc>
          <w:tcPr>
            <w:tcW w:w="700" w:type="dxa"/>
            <w:vAlign w:val="bottom"/>
          </w:tcPr>
          <w:p>
            <w:pPr>
              <w:spacing w:after="0"/>
              <w:rPr>
                <w:sz w:val="8"/>
                <w:szCs w:val="8"/>
                <w:color w:val="auto"/>
              </w:rPr>
            </w:pPr>
          </w:p>
        </w:tc>
      </w:tr>
      <w:tr>
        <w:trPr>
          <w:trHeight w:val="137"/>
        </w:trPr>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20" w:type="dxa"/>
            <w:vAlign w:val="bottom"/>
          </w:tcPr>
          <w:p>
            <w:pPr>
              <w:ind w:left="80"/>
              <w:spacing w:after="0"/>
              <w:rPr>
                <w:sz w:val="20"/>
                <w:szCs w:val="20"/>
                <w:color w:val="auto"/>
              </w:rPr>
            </w:pPr>
            <w:r>
              <w:rPr>
                <w:rFonts w:ascii="Arial" w:cs="Arial" w:eastAsia="Arial" w:hAnsi="Arial"/>
                <w:sz w:val="10"/>
                <w:szCs w:val="10"/>
                <w:color w:val="auto"/>
              </w:rPr>
              <w:t>daily decisions.</w:t>
            </w:r>
          </w:p>
        </w:tc>
        <w:tc>
          <w:tcPr>
            <w:tcW w:w="700" w:type="dxa"/>
            <w:vAlign w:val="bottom"/>
          </w:tcPr>
          <w:p>
            <w:pPr>
              <w:spacing w:after="0"/>
              <w:rPr>
                <w:sz w:val="11"/>
                <w:szCs w:val="1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1" w:lineRule="exact"/>
        <w:rPr>
          <w:rFonts w:ascii="Arial" w:cs="Arial" w:eastAsia="Arial" w:hAnsi="Arial"/>
          <w:sz w:val="1"/>
          <w:szCs w:val="1"/>
          <w:b w:val="1"/>
          <w:bCs w:val="1"/>
          <w:color w:val="auto"/>
        </w:rPr>
      </w:pPr>
    </w:p>
    <w:tbl>
      <w:tblPr>
        <w:tblLayout w:type="fixed"/>
        <w:tblInd w:w="0" w:type="dxa"/>
        <w:tblCellMar>
          <w:top w:w="0" w:type="dxa"/>
          <w:left w:w="0" w:type="dxa"/>
          <w:bottom w:w="0" w:type="dxa"/>
          <w:right w:w="0" w:type="dxa"/>
        </w:tblCellMar>
      </w:tblPr>
      <w:tr>
        <w:trPr>
          <w:trHeight w:val="111"/>
        </w:trPr>
        <w:tc>
          <w:tcPr>
            <w:tcW w:w="920" w:type="dxa"/>
            <w:vAlign w:val="bottom"/>
          </w:tcPr>
          <w:p>
            <w:pPr>
              <w:spacing w:after="0" w:line="111" w:lineRule="exact"/>
              <w:rPr>
                <w:sz w:val="20"/>
                <w:szCs w:val="20"/>
                <w:color w:val="auto"/>
              </w:rPr>
            </w:pPr>
            <w:r>
              <w:rPr>
                <w:rFonts w:ascii="Arial" w:cs="Arial" w:eastAsia="Arial" w:hAnsi="Arial"/>
                <w:sz w:val="10"/>
                <w:szCs w:val="10"/>
                <w:b w:val="1"/>
                <w:bCs w:val="1"/>
                <w:color w:val="auto"/>
              </w:rPr>
              <w:t>Accountability</w:t>
            </w:r>
          </w:p>
        </w:tc>
        <w:tc>
          <w:tcPr>
            <w:tcW w:w="2020" w:type="dxa"/>
            <w:vAlign w:val="bottom"/>
          </w:tcPr>
          <w:p>
            <w:pPr>
              <w:ind w:left="40"/>
              <w:spacing w:after="0" w:line="111" w:lineRule="exact"/>
              <w:rPr>
                <w:sz w:val="20"/>
                <w:szCs w:val="20"/>
                <w:color w:val="auto"/>
              </w:rPr>
            </w:pPr>
            <w:r>
              <w:rPr>
                <w:rFonts w:ascii="Arial" w:cs="Arial" w:eastAsia="Arial" w:hAnsi="Arial"/>
                <w:sz w:val="10"/>
                <w:szCs w:val="10"/>
                <w:b w:val="1"/>
                <w:bCs w:val="1"/>
                <w:color w:val="auto"/>
              </w:rPr>
              <w:t>External Standards or Commitments</w:t>
            </w:r>
          </w:p>
        </w:tc>
        <w:tc>
          <w:tcPr>
            <w:tcW w:w="1020" w:type="dxa"/>
            <w:vAlign w:val="bottom"/>
          </w:tcPr>
          <w:p>
            <w:pPr>
              <w:spacing w:after="0" w:line="111" w:lineRule="exact"/>
              <w:rPr>
                <w:sz w:val="20"/>
                <w:szCs w:val="20"/>
                <w:color w:val="auto"/>
              </w:rPr>
            </w:pPr>
            <w:r>
              <w:rPr>
                <w:rFonts w:ascii="Arial" w:cs="Arial" w:eastAsia="Arial" w:hAnsi="Arial"/>
                <w:sz w:val="10"/>
                <w:szCs w:val="10"/>
                <w:b w:val="1"/>
                <w:bCs w:val="1"/>
                <w:color w:val="auto"/>
              </w:rPr>
              <w:t>Stakeholder</w:t>
            </w:r>
          </w:p>
        </w:tc>
        <w:tc>
          <w:tcPr>
            <w:tcW w:w="1000" w:type="dxa"/>
            <w:vAlign w:val="bottom"/>
          </w:tcPr>
          <w:p>
            <w:pPr>
              <w:ind w:left="60"/>
              <w:spacing w:after="0" w:line="111" w:lineRule="exact"/>
              <w:rPr>
                <w:sz w:val="20"/>
                <w:szCs w:val="20"/>
                <w:color w:val="auto"/>
              </w:rPr>
            </w:pPr>
            <w:r>
              <w:rPr>
                <w:rFonts w:ascii="Arial" w:cs="Arial" w:eastAsia="Arial" w:hAnsi="Arial"/>
                <w:sz w:val="10"/>
                <w:szCs w:val="10"/>
                <w:b w:val="1"/>
                <w:bCs w:val="1"/>
                <w:color w:val="auto"/>
              </w:rPr>
              <w:t>Accessibility /</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20" w:type="dxa"/>
            <w:vAlign w:val="bottom"/>
          </w:tcPr>
          <w:p>
            <w:pPr>
              <w:spacing w:after="0"/>
              <w:rPr>
                <w:sz w:val="20"/>
                <w:szCs w:val="20"/>
                <w:color w:val="auto"/>
              </w:rPr>
            </w:pPr>
            <w:r>
              <w:rPr>
                <w:rFonts w:ascii="Arial" w:cs="Arial" w:eastAsia="Arial" w:hAnsi="Arial"/>
                <w:sz w:val="10"/>
                <w:szCs w:val="10"/>
                <w:b w:val="1"/>
                <w:bCs w:val="1"/>
                <w:color w:val="auto"/>
              </w:rPr>
              <w:t>Consideration</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auto"/>
              </w:rPr>
              <w:t>Communication</w:t>
            </w:r>
          </w:p>
        </w:tc>
        <w:tc>
          <w:tcPr>
            <w:tcW w:w="0" w:type="dxa"/>
            <w:vAlign w:val="bottom"/>
          </w:tcPr>
          <w:p>
            <w:pPr>
              <w:spacing w:after="0"/>
              <w:rPr>
                <w:sz w:val="1"/>
                <w:szCs w:val="1"/>
                <w:color w:val="auto"/>
              </w:rPr>
            </w:pPr>
          </w:p>
        </w:tc>
      </w:tr>
      <w:tr>
        <w:trPr>
          <w:trHeight w:val="118"/>
        </w:trPr>
        <w:tc>
          <w:tcPr>
            <w:tcW w:w="920" w:type="dxa"/>
            <w:vAlign w:val="bottom"/>
          </w:tcPr>
          <w:p>
            <w:pPr>
              <w:spacing w:after="0"/>
              <w:rPr>
                <w:sz w:val="20"/>
                <w:szCs w:val="20"/>
                <w:color w:val="auto"/>
              </w:rPr>
            </w:pPr>
            <w:r>
              <w:rPr>
                <w:rFonts w:ascii="Arial" w:cs="Arial" w:eastAsia="Arial" w:hAnsi="Arial"/>
                <w:sz w:val="10"/>
                <w:szCs w:val="10"/>
                <w:color w:val="auto"/>
              </w:rPr>
              <w:t>EVP, Chief People</w:t>
            </w:r>
          </w:p>
        </w:tc>
        <w:tc>
          <w:tcPr>
            <w:tcW w:w="2020" w:type="dxa"/>
            <w:vAlign w:val="bottom"/>
          </w:tcPr>
          <w:p>
            <w:pPr>
              <w:ind w:left="40"/>
              <w:spacing w:after="0"/>
              <w:rPr>
                <w:sz w:val="20"/>
                <w:szCs w:val="20"/>
                <w:color w:val="auto"/>
              </w:rPr>
            </w:pPr>
            <w:r>
              <w:rPr>
                <w:rFonts w:ascii="Arial" w:cs="Arial" w:eastAsia="Arial" w:hAnsi="Arial"/>
                <w:sz w:val="10"/>
                <w:szCs w:val="10"/>
                <w:color w:val="auto"/>
              </w:rPr>
              <w:t>Aligns with widely recognized external</w:t>
            </w:r>
          </w:p>
        </w:tc>
        <w:tc>
          <w:tcPr>
            <w:tcW w:w="1020" w:type="dxa"/>
            <w:vAlign w:val="bottom"/>
          </w:tcPr>
          <w:p>
            <w:pPr>
              <w:spacing w:after="0"/>
              <w:rPr>
                <w:sz w:val="20"/>
                <w:szCs w:val="20"/>
                <w:color w:val="auto"/>
              </w:rPr>
            </w:pPr>
            <w:r>
              <w:rPr>
                <w:rFonts w:ascii="Arial" w:cs="Arial" w:eastAsia="Arial" w:hAnsi="Arial"/>
                <w:sz w:val="10"/>
                <w:szCs w:val="10"/>
                <w:color w:val="auto"/>
              </w:rPr>
              <w:t>Developed with</w:t>
            </w:r>
          </w:p>
        </w:tc>
        <w:tc>
          <w:tcPr>
            <w:tcW w:w="1000" w:type="dxa"/>
            <w:vAlign w:val="bottom"/>
          </w:tcPr>
          <w:p>
            <w:pPr>
              <w:ind w:left="60"/>
              <w:spacing w:after="0"/>
              <w:rPr>
                <w:sz w:val="20"/>
                <w:szCs w:val="20"/>
                <w:color w:val="auto"/>
              </w:rPr>
            </w:pPr>
            <w:r>
              <w:rPr>
                <w:rFonts w:ascii="Arial" w:cs="Arial" w:eastAsia="Arial" w:hAnsi="Arial"/>
                <w:sz w:val="10"/>
                <w:szCs w:val="10"/>
                <w:color w:val="auto"/>
              </w:rPr>
              <w:t>Available on internet</w:t>
            </w:r>
          </w:p>
        </w:tc>
        <w:tc>
          <w:tcPr>
            <w:tcW w:w="0" w:type="dxa"/>
            <w:vAlign w:val="bottom"/>
          </w:tcPr>
          <w:p>
            <w:pPr>
              <w:spacing w:after="0"/>
              <w:rPr>
                <w:sz w:val="1"/>
                <w:szCs w:val="1"/>
                <w:color w:val="auto"/>
              </w:rPr>
            </w:pPr>
          </w:p>
        </w:tc>
      </w:tr>
      <w:tr>
        <w:trPr>
          <w:trHeight w:val="95"/>
        </w:trPr>
        <w:tc>
          <w:tcPr>
            <w:tcW w:w="920" w:type="dxa"/>
            <w:vAlign w:val="bottom"/>
          </w:tcPr>
          <w:p>
            <w:pPr>
              <w:spacing w:after="0" w:line="95" w:lineRule="exact"/>
              <w:rPr>
                <w:sz w:val="20"/>
                <w:szCs w:val="20"/>
                <w:color w:val="auto"/>
              </w:rPr>
            </w:pPr>
            <w:r>
              <w:rPr>
                <w:rFonts w:ascii="Arial" w:cs="Arial" w:eastAsia="Arial" w:hAnsi="Arial"/>
                <w:sz w:val="10"/>
                <w:szCs w:val="10"/>
                <w:color w:val="auto"/>
              </w:rPr>
              <w:t>Officer</w:t>
            </w: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standards, local statutory frameworks, an</w:t>
            </w:r>
          </w:p>
        </w:tc>
        <w:tc>
          <w:tcPr>
            <w:tcW w:w="2020" w:type="dxa"/>
            <w:vAlign w:val="bottom"/>
            <w:gridSpan w:val="2"/>
          </w:tcPr>
          <w:p>
            <w:pPr>
              <w:spacing w:after="0" w:line="95" w:lineRule="exact"/>
              <w:rPr>
                <w:sz w:val="20"/>
                <w:szCs w:val="20"/>
                <w:color w:val="auto"/>
              </w:rPr>
            </w:pPr>
            <w:r>
              <w:rPr>
                <w:rFonts w:ascii="Arial" w:cs="Arial" w:eastAsia="Arial" w:hAnsi="Arial"/>
                <w:sz w:val="10"/>
                <w:szCs w:val="10"/>
                <w:color w:val="auto"/>
              </w:rPr>
              <w:t>employee feedback to and intranet.</w:t>
            </w: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d</w:t>
            </w:r>
          </w:p>
        </w:tc>
        <w:tc>
          <w:tcPr>
            <w:tcW w:w="1020" w:type="dxa"/>
            <w:vAlign w:val="bottom"/>
          </w:tcPr>
          <w:p>
            <w:pPr>
              <w:spacing w:after="0" w:line="95" w:lineRule="exact"/>
              <w:rPr>
                <w:sz w:val="20"/>
                <w:szCs w:val="20"/>
                <w:color w:val="auto"/>
              </w:rPr>
            </w:pPr>
            <w:r>
              <w:rPr>
                <w:rFonts w:ascii="Arial" w:cs="Arial" w:eastAsia="Arial" w:hAnsi="Arial"/>
                <w:sz w:val="10"/>
                <w:szCs w:val="10"/>
                <w:color w:val="auto"/>
              </w:rPr>
              <w:t>foster an inclusive,</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3040" w:type="dxa"/>
            <w:vAlign w:val="bottom"/>
            <w:gridSpan w:val="2"/>
          </w:tcPr>
          <w:p>
            <w:pPr>
              <w:ind w:left="40"/>
              <w:spacing w:after="0" w:line="95" w:lineRule="exact"/>
              <w:rPr>
                <w:sz w:val="20"/>
                <w:szCs w:val="20"/>
                <w:color w:val="auto"/>
              </w:rPr>
            </w:pPr>
            <w:r>
              <w:rPr>
                <w:rFonts w:ascii="Arial" w:cs="Arial" w:eastAsia="Arial" w:hAnsi="Arial"/>
                <w:sz w:val="10"/>
                <w:szCs w:val="10"/>
                <w:color w:val="auto"/>
              </w:rPr>
              <w:t>commitments, including Title VII of the U.Sfair, and responsible</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1020" w:type="dxa"/>
            <w:vAlign w:val="bottom"/>
          </w:tcPr>
          <w:p>
            <w:pPr>
              <w:spacing w:after="0" w:line="95" w:lineRule="exact"/>
              <w:rPr>
                <w:sz w:val="20"/>
                <w:szCs w:val="20"/>
                <w:color w:val="auto"/>
              </w:rPr>
            </w:pPr>
            <w:r>
              <w:rPr>
                <w:rFonts w:ascii="Arial" w:cs="Arial" w:eastAsia="Arial" w:hAnsi="Arial"/>
                <w:sz w:val="10"/>
                <w:szCs w:val="10"/>
                <w:color w:val="auto"/>
              </w:rPr>
              <w:t>workplace culture.</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Civil Rights Act (and corresponding U.S.</w:t>
            </w: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2020" w:type="dxa"/>
            <w:vAlign w:val="bottom"/>
          </w:tcPr>
          <w:p>
            <w:pPr>
              <w:ind w:left="40"/>
              <w:spacing w:after="0"/>
              <w:rPr>
                <w:sz w:val="20"/>
                <w:szCs w:val="20"/>
                <w:color w:val="auto"/>
              </w:rPr>
            </w:pPr>
            <w:r>
              <w:rPr>
                <w:rFonts w:ascii="Arial" w:cs="Arial" w:eastAsia="Arial" w:hAnsi="Arial"/>
                <w:sz w:val="10"/>
                <w:szCs w:val="10"/>
                <w:color w:val="auto"/>
              </w:rPr>
              <w:t>and state laws), the UN Guiding Principles</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2020" w:type="dxa"/>
            <w:vAlign w:val="bottom"/>
          </w:tcPr>
          <w:p>
            <w:pPr>
              <w:ind w:left="40"/>
              <w:spacing w:after="0"/>
              <w:rPr>
                <w:sz w:val="20"/>
                <w:szCs w:val="20"/>
                <w:color w:val="auto"/>
              </w:rPr>
            </w:pPr>
            <w:r>
              <w:rPr>
                <w:rFonts w:ascii="Arial" w:cs="Arial" w:eastAsia="Arial" w:hAnsi="Arial"/>
                <w:sz w:val="10"/>
                <w:szCs w:val="10"/>
                <w:color w:val="auto"/>
              </w:rPr>
              <w:t>on Business and Human Rights, Universal</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2020" w:type="dxa"/>
            <w:vAlign w:val="bottom"/>
          </w:tcPr>
          <w:p>
            <w:pPr>
              <w:ind w:left="40"/>
              <w:spacing w:after="0"/>
              <w:rPr>
                <w:sz w:val="20"/>
                <w:szCs w:val="20"/>
                <w:color w:val="auto"/>
              </w:rPr>
            </w:pPr>
            <w:r>
              <w:rPr>
                <w:rFonts w:ascii="Arial" w:cs="Arial" w:eastAsia="Arial" w:hAnsi="Arial"/>
                <w:sz w:val="10"/>
                <w:szCs w:val="10"/>
                <w:color w:val="auto"/>
              </w:rPr>
              <w:t>Declaration of Human Rights, International</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2020" w:type="dxa"/>
            <w:vAlign w:val="bottom"/>
          </w:tcPr>
          <w:p>
            <w:pPr>
              <w:ind w:left="40"/>
              <w:spacing w:after="0"/>
              <w:rPr>
                <w:sz w:val="20"/>
                <w:szCs w:val="20"/>
                <w:color w:val="auto"/>
              </w:rPr>
            </w:pPr>
            <w:r>
              <w:rPr>
                <w:rFonts w:ascii="Arial" w:cs="Arial" w:eastAsia="Arial" w:hAnsi="Arial"/>
                <w:sz w:val="10"/>
                <w:szCs w:val="10"/>
                <w:color w:val="auto"/>
              </w:rPr>
              <w:t>Labour Organization (ILO) Declaration on</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Fundamental Principles and Rights at</w:t>
            </w: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Work, ISO 26000 - Social Responsibility,</w:t>
            </w: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UN Sustainable Development Goals</w:t>
            </w: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(SDGs), UN Global Compact Principles,</w:t>
            </w: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and OECD Guidelines for Multinational</w:t>
            </w: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2020" w:type="dxa"/>
            <w:vAlign w:val="bottom"/>
          </w:tcPr>
          <w:p>
            <w:pPr>
              <w:ind w:left="40"/>
              <w:spacing w:after="0" w:line="105" w:lineRule="exact"/>
              <w:rPr>
                <w:sz w:val="20"/>
                <w:szCs w:val="20"/>
                <w:color w:val="auto"/>
              </w:rPr>
            </w:pPr>
            <w:r>
              <w:rPr>
                <w:rFonts w:ascii="Arial" w:cs="Arial" w:eastAsia="Arial" w:hAnsi="Arial"/>
                <w:sz w:val="10"/>
                <w:szCs w:val="10"/>
                <w:color w:val="auto"/>
              </w:rPr>
              <w:t>Enterprises.</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line="105" w:lineRule="exact"/>
              <w:rPr>
                <w:sz w:val="20"/>
                <w:szCs w:val="20"/>
                <w:color w:val="auto"/>
              </w:rPr>
            </w:pPr>
            <w:r>
              <w:rPr>
                <w:rFonts w:ascii="Arial" w:cs="Arial" w:eastAsia="Arial" w:hAnsi="Arial"/>
                <w:sz w:val="10"/>
                <w:szCs w:val="10"/>
                <w:color w:val="auto"/>
              </w:rPr>
              <w:t>SVP,</w:t>
            </w:r>
          </w:p>
        </w:tc>
        <w:tc>
          <w:tcPr>
            <w:tcW w:w="2020" w:type="dxa"/>
            <w:vAlign w:val="bottom"/>
          </w:tcPr>
          <w:p>
            <w:pPr>
              <w:ind w:left="40"/>
              <w:spacing w:after="0" w:line="105" w:lineRule="exact"/>
              <w:rPr>
                <w:sz w:val="20"/>
                <w:szCs w:val="20"/>
                <w:color w:val="auto"/>
              </w:rPr>
            </w:pPr>
            <w:r>
              <w:rPr>
                <w:rFonts w:ascii="Arial" w:cs="Arial" w:eastAsia="Arial" w:hAnsi="Arial"/>
                <w:sz w:val="10"/>
                <w:szCs w:val="10"/>
                <w:color w:val="auto"/>
              </w:rPr>
              <w:t>Aligns with UN Universal Declaration of</w:t>
            </w:r>
          </w:p>
        </w:tc>
        <w:tc>
          <w:tcPr>
            <w:tcW w:w="1020" w:type="dxa"/>
            <w:vAlign w:val="bottom"/>
          </w:tcPr>
          <w:p>
            <w:pPr>
              <w:spacing w:after="0" w:line="105" w:lineRule="exact"/>
              <w:rPr>
                <w:sz w:val="20"/>
                <w:szCs w:val="20"/>
                <w:color w:val="auto"/>
              </w:rPr>
            </w:pPr>
            <w:r>
              <w:rPr>
                <w:rFonts w:ascii="Arial" w:cs="Arial" w:eastAsia="Arial" w:hAnsi="Arial"/>
                <w:sz w:val="10"/>
                <w:szCs w:val="10"/>
                <w:color w:val="auto"/>
              </w:rPr>
              <w:t>Developed</w:t>
            </w:r>
          </w:p>
        </w:tc>
        <w:tc>
          <w:tcPr>
            <w:tcW w:w="1000" w:type="dxa"/>
            <w:vAlign w:val="bottom"/>
          </w:tcPr>
          <w:p>
            <w:pPr>
              <w:ind w:left="60"/>
              <w:spacing w:after="0" w:line="105" w:lineRule="exact"/>
              <w:rPr>
                <w:sz w:val="20"/>
                <w:szCs w:val="20"/>
                <w:color w:val="auto"/>
              </w:rPr>
            </w:pPr>
            <w:r>
              <w:rPr>
                <w:rFonts w:ascii="Arial" w:cs="Arial" w:eastAsia="Arial" w:hAnsi="Arial"/>
                <w:sz w:val="10"/>
                <w:szCs w:val="10"/>
                <w:color w:val="auto"/>
              </w:rPr>
              <w:t>Available on internet</w:t>
            </w:r>
          </w:p>
        </w:tc>
        <w:tc>
          <w:tcPr>
            <w:tcW w:w="0" w:type="dxa"/>
            <w:vAlign w:val="bottom"/>
          </w:tcPr>
          <w:p>
            <w:pPr>
              <w:spacing w:after="0"/>
              <w:rPr>
                <w:sz w:val="1"/>
                <w:szCs w:val="1"/>
                <w:color w:val="auto"/>
              </w:rPr>
            </w:pPr>
          </w:p>
        </w:tc>
      </w:tr>
      <w:tr>
        <w:trPr>
          <w:trHeight w:val="95"/>
        </w:trPr>
        <w:tc>
          <w:tcPr>
            <w:tcW w:w="920" w:type="dxa"/>
            <w:vAlign w:val="bottom"/>
          </w:tcPr>
          <w:p>
            <w:pPr>
              <w:spacing w:after="0" w:line="95" w:lineRule="exact"/>
              <w:rPr>
                <w:sz w:val="20"/>
                <w:szCs w:val="20"/>
                <w:color w:val="auto"/>
              </w:rPr>
            </w:pPr>
            <w:r>
              <w:rPr>
                <w:rFonts w:ascii="Arial" w:cs="Arial" w:eastAsia="Arial" w:hAnsi="Arial"/>
                <w:sz w:val="10"/>
                <w:szCs w:val="10"/>
                <w:color w:val="auto"/>
              </w:rPr>
              <w:t>Communications &amp;</w:t>
            </w:r>
          </w:p>
        </w:tc>
        <w:tc>
          <w:tcPr>
            <w:tcW w:w="2020" w:type="dxa"/>
            <w:vAlign w:val="bottom"/>
          </w:tcPr>
          <w:p>
            <w:pPr>
              <w:ind w:left="40"/>
              <w:spacing w:after="0" w:line="95" w:lineRule="exact"/>
              <w:rPr>
                <w:sz w:val="20"/>
                <w:szCs w:val="20"/>
                <w:color w:val="auto"/>
              </w:rPr>
            </w:pPr>
            <w:r>
              <w:rPr>
                <w:rFonts w:ascii="Arial" w:cs="Arial" w:eastAsia="Arial" w:hAnsi="Arial"/>
                <w:sz w:val="10"/>
                <w:szCs w:val="10"/>
                <w:color w:val="auto"/>
              </w:rPr>
              <w:t>Human Rights (UDHR) and UN Guiding</w:t>
            </w:r>
          </w:p>
        </w:tc>
        <w:tc>
          <w:tcPr>
            <w:tcW w:w="2020" w:type="dxa"/>
            <w:vAlign w:val="bottom"/>
            <w:gridSpan w:val="2"/>
          </w:tcPr>
          <w:p>
            <w:pPr>
              <w:spacing w:after="0" w:line="95" w:lineRule="exact"/>
              <w:rPr>
                <w:sz w:val="20"/>
                <w:szCs w:val="20"/>
                <w:color w:val="auto"/>
              </w:rPr>
            </w:pPr>
            <w:r>
              <w:rPr>
                <w:rFonts w:ascii="Arial" w:cs="Arial" w:eastAsia="Arial" w:hAnsi="Arial"/>
                <w:sz w:val="10"/>
                <w:szCs w:val="10"/>
                <w:color w:val="auto"/>
              </w:rPr>
              <w:t>considering employee and intranet.</w:t>
            </w:r>
          </w:p>
        </w:tc>
        <w:tc>
          <w:tcPr>
            <w:tcW w:w="0" w:type="dxa"/>
            <w:vAlign w:val="bottom"/>
          </w:tcPr>
          <w:p>
            <w:pPr>
              <w:spacing w:after="0"/>
              <w:rPr>
                <w:sz w:val="1"/>
                <w:szCs w:val="1"/>
                <w:color w:val="auto"/>
              </w:rPr>
            </w:pPr>
          </w:p>
        </w:tc>
      </w:tr>
      <w:tr>
        <w:trPr>
          <w:trHeight w:val="95"/>
        </w:trPr>
        <w:tc>
          <w:tcPr>
            <w:tcW w:w="920" w:type="dxa"/>
            <w:vAlign w:val="bottom"/>
          </w:tcPr>
          <w:p>
            <w:pPr>
              <w:spacing w:after="0" w:line="95" w:lineRule="exact"/>
              <w:rPr>
                <w:sz w:val="20"/>
                <w:szCs w:val="20"/>
                <w:color w:val="auto"/>
              </w:rPr>
            </w:pPr>
            <w:r>
              <w:rPr>
                <w:rFonts w:ascii="Arial" w:cs="Arial" w:eastAsia="Arial" w:hAnsi="Arial"/>
                <w:sz w:val="10"/>
                <w:szCs w:val="10"/>
                <w:color w:val="auto"/>
              </w:rPr>
              <w:t>Corporate Affairs</w:t>
            </w:r>
          </w:p>
        </w:tc>
        <w:tc>
          <w:tcPr>
            <w:tcW w:w="3040" w:type="dxa"/>
            <w:vAlign w:val="bottom"/>
            <w:gridSpan w:val="2"/>
          </w:tcPr>
          <w:p>
            <w:pPr>
              <w:ind w:left="40"/>
              <w:spacing w:after="0" w:line="95" w:lineRule="exact"/>
              <w:rPr>
                <w:sz w:val="20"/>
                <w:szCs w:val="20"/>
                <w:color w:val="auto"/>
              </w:rPr>
            </w:pPr>
            <w:r>
              <w:rPr>
                <w:rFonts w:ascii="Arial" w:cs="Arial" w:eastAsia="Arial" w:hAnsi="Arial"/>
                <w:sz w:val="10"/>
                <w:szCs w:val="10"/>
                <w:color w:val="auto"/>
              </w:rPr>
              <w:t>Principles on Business and Human Rights welfare, governance,</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0"/>
                <w:szCs w:val="10"/>
                <w:color w:val="auto"/>
              </w:rPr>
              <w:t>(UNGPs), and International Labour</w:t>
            </w:r>
          </w:p>
        </w:tc>
        <w:tc>
          <w:tcPr>
            <w:tcW w:w="1020" w:type="dxa"/>
            <w:vAlign w:val="bottom"/>
          </w:tcPr>
          <w:p>
            <w:pPr>
              <w:spacing w:after="0" w:line="95" w:lineRule="exact"/>
              <w:rPr>
                <w:sz w:val="20"/>
                <w:szCs w:val="20"/>
                <w:color w:val="auto"/>
              </w:rPr>
            </w:pPr>
            <w:r>
              <w:rPr>
                <w:rFonts w:ascii="Arial" w:cs="Arial" w:eastAsia="Arial" w:hAnsi="Arial"/>
                <w:sz w:val="10"/>
                <w:szCs w:val="10"/>
                <w:color w:val="auto"/>
              </w:rPr>
              <w:t>and long-term</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020" w:type="dxa"/>
            <w:vAlign w:val="bottom"/>
          </w:tcPr>
          <w:p>
            <w:pPr>
              <w:spacing w:after="0" w:line="95" w:lineRule="exact"/>
              <w:rPr>
                <w:sz w:val="20"/>
                <w:szCs w:val="20"/>
                <w:color w:val="auto"/>
              </w:rPr>
            </w:pPr>
            <w:r>
              <w:rPr>
                <w:rFonts w:ascii="Arial" w:cs="Arial" w:eastAsia="Arial" w:hAnsi="Arial"/>
                <w:sz w:val="10"/>
                <w:szCs w:val="10"/>
                <w:color w:val="auto"/>
              </w:rPr>
              <w:t>sustainability goals.</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2020" w:type="dxa"/>
            <w:vAlign w:val="bottom"/>
          </w:tcPr>
          <w:p>
            <w:pPr>
              <w:ind w:left="40"/>
              <w:spacing w:after="0"/>
              <w:rPr>
                <w:sz w:val="20"/>
                <w:szCs w:val="20"/>
                <w:color w:val="auto"/>
              </w:rPr>
            </w:pPr>
            <w:r>
              <w:rPr>
                <w:rFonts w:ascii="Arial" w:cs="Arial" w:eastAsia="Arial" w:hAnsi="Arial"/>
                <w:sz w:val="10"/>
                <w:szCs w:val="10"/>
                <w:color w:val="auto"/>
              </w:rPr>
              <w:t>Organization (ILO).</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-3119755</wp:posOffset>
            </wp:positionH>
            <wp:positionV relativeFrom="paragraph">
              <wp:posOffset>-388620</wp:posOffset>
            </wp:positionV>
            <wp:extent cx="6279515" cy="676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6279515" cy="676910"/>
                    </a:xfrm>
                    <a:prstGeom prst="rect">
                      <a:avLst/>
                    </a:prstGeom>
                    <a:noFill/>
                  </pic:spPr>
                </pic:pic>
              </a:graphicData>
            </a:graphic>
          </wp:anchor>
        </w:drawing>
      </w:r>
    </w:p>
    <w:p>
      <w:pPr>
        <w:spacing w:after="0" w:line="433" w:lineRule="exact"/>
        <w:rPr>
          <w:rFonts w:ascii="Arial" w:cs="Arial" w:eastAsia="Arial" w:hAnsi="Arial"/>
          <w:sz w:val="10"/>
          <w:szCs w:val="10"/>
          <w:b w:val="1"/>
          <w:bCs w:val="1"/>
          <w:color w:val="auto"/>
        </w:rPr>
      </w:pPr>
    </w:p>
    <w:p>
      <w:pPr>
        <w:sectPr>
          <w:pgSz w:w="11900" w:h="16840" w:orient="portrait"/>
          <w:cols w:equalWidth="0" w:num="2">
            <w:col w:w="4860" w:space="60"/>
            <w:col w:w="4960"/>
          </w:cols>
          <w:pgMar w:left="640" w:top="571" w:right="1380" w:bottom="1440" w:gutter="0" w:footer="0" w:header="0"/>
          <w:type w:val="continuous"/>
        </w:sectPr>
      </w:pPr>
    </w:p>
    <w:tbl>
      <w:tblPr>
        <w:tblLayout w:type="fixed"/>
        <w:tblInd w:w="20" w:type="dxa"/>
        <w:tblCellMar>
          <w:top w:w="0" w:type="dxa"/>
          <w:left w:w="0" w:type="dxa"/>
          <w:bottom w:w="0" w:type="dxa"/>
          <w:right w:w="0" w:type="dxa"/>
        </w:tblCellMar>
      </w:tblPr>
      <w:tr>
        <w:trPr>
          <w:trHeight w:val="115"/>
        </w:trPr>
        <w:tc>
          <w:tcPr>
            <w:tcW w:w="760" w:type="dxa"/>
            <w:vAlign w:val="bottom"/>
          </w:tcPr>
          <w:p>
            <w:pPr>
              <w:spacing w:after="0"/>
              <w:rPr>
                <w:sz w:val="20"/>
                <w:szCs w:val="20"/>
                <w:color w:val="auto"/>
              </w:rPr>
            </w:pPr>
            <w:r>
              <w:rPr>
                <w:rFonts w:ascii="Arial" w:cs="Arial" w:eastAsia="Arial" w:hAnsi="Arial"/>
                <w:sz w:val="10"/>
                <w:szCs w:val="10"/>
                <w:b w:val="1"/>
                <w:bCs w:val="1"/>
                <w:color w:val="auto"/>
              </w:rPr>
              <w:t>Health and</w:t>
            </w:r>
          </w:p>
        </w:tc>
        <w:tc>
          <w:tcPr>
            <w:tcW w:w="760" w:type="dxa"/>
            <w:vAlign w:val="bottom"/>
          </w:tcPr>
          <w:p>
            <w:pPr>
              <w:ind w:left="80"/>
              <w:spacing w:after="0"/>
              <w:rPr>
                <w:sz w:val="20"/>
                <w:szCs w:val="20"/>
                <w:color w:val="auto"/>
              </w:rPr>
            </w:pPr>
            <w:r>
              <w:rPr>
                <w:rFonts w:ascii="Arial" w:cs="Arial" w:eastAsia="Arial" w:hAnsi="Arial"/>
                <w:sz w:val="10"/>
                <w:szCs w:val="10"/>
                <w:color w:val="auto"/>
              </w:rPr>
              <w:t>Safety in our</w:t>
            </w:r>
          </w:p>
        </w:tc>
        <w:tc>
          <w:tcPr>
            <w:tcW w:w="3360" w:type="dxa"/>
            <w:vAlign w:val="bottom"/>
            <w:gridSpan w:val="2"/>
          </w:tcPr>
          <w:p>
            <w:pPr>
              <w:ind w:left="80"/>
              <w:spacing w:after="0"/>
              <w:rPr>
                <w:sz w:val="20"/>
                <w:szCs w:val="20"/>
                <w:color w:val="auto"/>
              </w:rPr>
            </w:pPr>
            <w:r>
              <w:rPr>
                <w:rFonts w:ascii="Arial" w:cs="Arial" w:eastAsia="Arial" w:hAnsi="Arial"/>
                <w:sz w:val="10"/>
                <w:szCs w:val="10"/>
                <w:color w:val="auto"/>
              </w:rPr>
              <w:t>Details our dedication to maintaining safe, healthy, and Applies across</w:t>
            </w:r>
          </w:p>
        </w:tc>
        <w:tc>
          <w:tcPr>
            <w:tcW w:w="960" w:type="dxa"/>
            <w:vAlign w:val="bottom"/>
          </w:tcPr>
          <w:p>
            <w:pPr>
              <w:ind w:left="20"/>
              <w:spacing w:after="0"/>
              <w:rPr>
                <w:sz w:val="20"/>
                <w:szCs w:val="20"/>
                <w:color w:val="auto"/>
              </w:rPr>
            </w:pPr>
            <w:r>
              <w:rPr>
                <w:rFonts w:ascii="Arial" w:cs="Arial" w:eastAsia="Arial" w:hAnsi="Arial"/>
                <w:sz w:val="10"/>
                <w:szCs w:val="10"/>
                <w:color w:val="auto"/>
              </w:rPr>
              <w:t>EVP, Chief People</w:t>
            </w:r>
          </w:p>
        </w:tc>
        <w:tc>
          <w:tcPr>
            <w:tcW w:w="1980" w:type="dxa"/>
            <w:vAlign w:val="bottom"/>
          </w:tcPr>
          <w:p>
            <w:pPr>
              <w:ind w:left="20"/>
              <w:spacing w:after="0"/>
              <w:rPr>
                <w:sz w:val="20"/>
                <w:szCs w:val="20"/>
                <w:color w:val="auto"/>
              </w:rPr>
            </w:pPr>
            <w:r>
              <w:rPr>
                <w:rFonts w:ascii="Arial" w:cs="Arial" w:eastAsia="Arial" w:hAnsi="Arial"/>
                <w:sz w:val="10"/>
                <w:szCs w:val="10"/>
                <w:color w:val="auto"/>
              </w:rPr>
              <w:t>Aligns with ILO Occupational Safety and</w:t>
            </w:r>
          </w:p>
        </w:tc>
        <w:tc>
          <w:tcPr>
            <w:tcW w:w="1060" w:type="dxa"/>
            <w:vAlign w:val="bottom"/>
          </w:tcPr>
          <w:p>
            <w:pPr>
              <w:ind w:left="20"/>
              <w:spacing w:after="0"/>
              <w:rPr>
                <w:sz w:val="20"/>
                <w:szCs w:val="20"/>
                <w:color w:val="auto"/>
              </w:rPr>
            </w:pPr>
            <w:r>
              <w:rPr>
                <w:rFonts w:ascii="Arial" w:cs="Arial" w:eastAsia="Arial" w:hAnsi="Arial"/>
                <w:sz w:val="10"/>
                <w:szCs w:val="10"/>
                <w:color w:val="auto"/>
              </w:rPr>
              <w:t>Developed with</w:t>
            </w:r>
          </w:p>
        </w:tc>
        <w:tc>
          <w:tcPr>
            <w:tcW w:w="980" w:type="dxa"/>
            <w:vAlign w:val="bottom"/>
          </w:tcPr>
          <w:p>
            <w:pPr>
              <w:ind w:left="40"/>
              <w:spacing w:after="0"/>
              <w:rPr>
                <w:sz w:val="20"/>
                <w:szCs w:val="20"/>
                <w:color w:val="auto"/>
              </w:rPr>
            </w:pPr>
            <w:r>
              <w:rPr>
                <w:rFonts w:ascii="Arial" w:cs="Arial" w:eastAsia="Arial" w:hAnsi="Arial"/>
                <w:sz w:val="10"/>
                <w:szCs w:val="10"/>
                <w:color w:val="auto"/>
              </w:rPr>
              <w:t>Available on internet</w:t>
            </w:r>
          </w:p>
        </w:tc>
        <w:tc>
          <w:tcPr>
            <w:tcW w:w="0" w:type="dxa"/>
            <w:vAlign w:val="bottom"/>
          </w:tcPr>
          <w:p>
            <w:pPr>
              <w:spacing w:after="0"/>
              <w:rPr>
                <w:sz w:val="1"/>
                <w:szCs w:val="1"/>
                <w:color w:val="auto"/>
              </w:rPr>
            </w:pPr>
          </w:p>
        </w:tc>
      </w:tr>
      <w:tr>
        <w:trPr>
          <w:trHeight w:val="95"/>
        </w:trPr>
        <w:tc>
          <w:tcPr>
            <w:tcW w:w="760" w:type="dxa"/>
            <w:vAlign w:val="bottom"/>
          </w:tcPr>
          <w:p>
            <w:pPr>
              <w:spacing w:after="0" w:line="95" w:lineRule="exact"/>
              <w:rPr>
                <w:sz w:val="20"/>
                <w:szCs w:val="20"/>
                <w:color w:val="auto"/>
              </w:rPr>
            </w:pPr>
            <w:r>
              <w:rPr>
                <w:rFonts w:ascii="Arial" w:cs="Arial" w:eastAsia="Arial" w:hAnsi="Arial"/>
                <w:sz w:val="10"/>
                <w:szCs w:val="10"/>
                <w:b w:val="1"/>
                <w:bCs w:val="1"/>
                <w:color w:val="auto"/>
              </w:rPr>
              <w:t>Safety</w:t>
            </w:r>
          </w:p>
        </w:tc>
        <w:tc>
          <w:tcPr>
            <w:tcW w:w="760" w:type="dxa"/>
            <w:vAlign w:val="bottom"/>
          </w:tcPr>
          <w:p>
            <w:pPr>
              <w:ind w:left="80"/>
              <w:spacing w:after="0" w:line="95" w:lineRule="exact"/>
              <w:rPr>
                <w:sz w:val="20"/>
                <w:szCs w:val="20"/>
                <w:color w:val="auto"/>
              </w:rPr>
            </w:pPr>
            <w:r>
              <w:rPr>
                <w:rFonts w:ascii="Arial" w:cs="Arial" w:eastAsia="Arial" w:hAnsi="Arial"/>
                <w:sz w:val="10"/>
                <w:szCs w:val="10"/>
                <w:color w:val="auto"/>
              </w:rPr>
              <w:t>facilities</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supportive environments across all sites through</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all sites;</w:t>
            </w:r>
          </w:p>
        </w:tc>
        <w:tc>
          <w:tcPr>
            <w:tcW w:w="960" w:type="dxa"/>
            <w:vAlign w:val="bottom"/>
          </w:tcPr>
          <w:p>
            <w:pPr>
              <w:ind w:left="20"/>
              <w:spacing w:after="0" w:line="95" w:lineRule="exact"/>
              <w:rPr>
                <w:sz w:val="20"/>
                <w:szCs w:val="20"/>
                <w:color w:val="auto"/>
              </w:rPr>
            </w:pPr>
            <w:r>
              <w:rPr>
                <w:rFonts w:ascii="Arial" w:cs="Arial" w:eastAsia="Arial" w:hAnsi="Arial"/>
                <w:sz w:val="10"/>
                <w:szCs w:val="10"/>
                <w:color w:val="auto"/>
              </w:rPr>
              <w:t>Officer</w:t>
            </w:r>
          </w:p>
        </w:tc>
        <w:tc>
          <w:tcPr>
            <w:tcW w:w="1980" w:type="dxa"/>
            <w:vAlign w:val="bottom"/>
          </w:tcPr>
          <w:p>
            <w:pPr>
              <w:ind w:left="20"/>
              <w:spacing w:after="0" w:line="95" w:lineRule="exact"/>
              <w:rPr>
                <w:sz w:val="20"/>
                <w:szCs w:val="20"/>
                <w:color w:val="auto"/>
              </w:rPr>
            </w:pPr>
            <w:r>
              <w:rPr>
                <w:rFonts w:ascii="Arial" w:cs="Arial" w:eastAsia="Arial" w:hAnsi="Arial"/>
                <w:sz w:val="10"/>
                <w:szCs w:val="10"/>
                <w:color w:val="auto"/>
              </w:rPr>
              <w:t>health and safety standards; ISO 45001</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employee safety input</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and intranet.</w:t>
            </w:r>
          </w:p>
        </w:tc>
        <w:tc>
          <w:tcPr>
            <w:tcW w:w="0" w:type="dxa"/>
            <w:vAlign w:val="bottom"/>
          </w:tcPr>
          <w:p>
            <w:pPr>
              <w:spacing w:after="0"/>
              <w:rPr>
                <w:sz w:val="1"/>
                <w:szCs w:val="1"/>
                <w:color w:val="auto"/>
              </w:rPr>
            </w:pPr>
          </w:p>
        </w:tc>
      </w:tr>
      <w:tr>
        <w:trPr>
          <w:trHeight w:val="95"/>
        </w:trPr>
        <w:tc>
          <w:tcPr>
            <w:tcW w:w="760" w:type="dxa"/>
            <w:vAlign w:val="bottom"/>
          </w:tcPr>
          <w:p>
            <w:pPr>
              <w:spacing w:after="0" w:line="95" w:lineRule="exact"/>
              <w:rPr>
                <w:sz w:val="20"/>
                <w:szCs w:val="20"/>
                <w:color w:val="auto"/>
              </w:rPr>
            </w:pPr>
            <w:r>
              <w:rPr>
                <w:rFonts w:ascii="Arial" w:cs="Arial" w:eastAsia="Arial" w:hAnsi="Arial"/>
                <w:sz w:val="10"/>
                <w:szCs w:val="10"/>
                <w:b w:val="1"/>
                <w:bCs w:val="1"/>
                <w:color w:val="auto"/>
              </w:rPr>
              <w:t>Commitment</w:t>
            </w: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proactive risk management, strong governance, and</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covers</w:t>
            </w:r>
          </w:p>
        </w:tc>
        <w:tc>
          <w:tcPr>
            <w:tcW w:w="960" w:type="dxa"/>
            <w:vAlign w:val="bottom"/>
          </w:tcPr>
          <w:p>
            <w:pPr>
              <w:spacing w:after="0"/>
              <w:rPr>
                <w:sz w:val="8"/>
                <w:szCs w:val="8"/>
                <w:color w:val="auto"/>
              </w:rPr>
            </w:pPr>
          </w:p>
        </w:tc>
        <w:tc>
          <w:tcPr>
            <w:tcW w:w="1980" w:type="dxa"/>
            <w:vAlign w:val="bottom"/>
          </w:tcPr>
          <w:p>
            <w:pPr>
              <w:ind w:left="20"/>
              <w:spacing w:after="0" w:line="95" w:lineRule="exact"/>
              <w:rPr>
                <w:sz w:val="20"/>
                <w:szCs w:val="20"/>
                <w:color w:val="auto"/>
              </w:rPr>
            </w:pPr>
            <w:r>
              <w:rPr>
                <w:rFonts w:ascii="Arial" w:cs="Arial" w:eastAsia="Arial" w:hAnsi="Arial"/>
                <w:sz w:val="10"/>
                <w:szCs w:val="10"/>
                <w:color w:val="auto"/>
              </w:rPr>
              <w:t>and national and local OHS laws; UN</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and local operational</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continuous improvement. Its objective is to prevent</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employees,</w:t>
            </w:r>
          </w:p>
        </w:tc>
        <w:tc>
          <w:tcPr>
            <w:tcW w:w="960" w:type="dxa"/>
            <w:vAlign w:val="bottom"/>
          </w:tcPr>
          <w:p>
            <w:pPr>
              <w:spacing w:after="0"/>
              <w:rPr>
                <w:sz w:val="8"/>
                <w:szCs w:val="8"/>
                <w:color w:val="auto"/>
              </w:rPr>
            </w:pPr>
          </w:p>
        </w:tc>
        <w:tc>
          <w:tcPr>
            <w:tcW w:w="1980" w:type="dxa"/>
            <w:vAlign w:val="bottom"/>
          </w:tcPr>
          <w:p>
            <w:pPr>
              <w:ind w:left="20"/>
              <w:spacing w:after="0" w:line="95" w:lineRule="exact"/>
              <w:rPr>
                <w:sz w:val="20"/>
                <w:szCs w:val="20"/>
                <w:color w:val="auto"/>
              </w:rPr>
            </w:pPr>
            <w:r>
              <w:rPr>
                <w:rFonts w:ascii="Arial" w:cs="Arial" w:eastAsia="Arial" w:hAnsi="Arial"/>
                <w:sz w:val="10"/>
                <w:szCs w:val="10"/>
                <w:color w:val="auto"/>
              </w:rPr>
              <w:t>Universal Declaration of Human Rights.</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oversight.</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workplace injuries and illnesses, foster a shared cultur</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contractors,</w:t>
            </w:r>
          </w:p>
        </w:tc>
        <w:tc>
          <w:tcPr>
            <w:tcW w:w="9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e</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and visitors.</w:t>
            </w:r>
          </w:p>
        </w:tc>
        <w:tc>
          <w:tcPr>
            <w:tcW w:w="9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of safety, and ensure resilient, high-performing</w:t>
            </w: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operations that support our broader sustainability and</w:t>
            </w: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20" w:type="dxa"/>
            <w:vAlign w:val="bottom"/>
          </w:tcPr>
          <w:p>
            <w:pPr>
              <w:ind w:left="80"/>
              <w:spacing w:after="0"/>
              <w:rPr>
                <w:sz w:val="20"/>
                <w:szCs w:val="20"/>
                <w:color w:val="auto"/>
              </w:rPr>
            </w:pPr>
            <w:r>
              <w:rPr>
                <w:rFonts w:ascii="Arial" w:cs="Arial" w:eastAsia="Arial" w:hAnsi="Arial"/>
                <w:sz w:val="10"/>
                <w:szCs w:val="10"/>
                <w:color w:val="auto"/>
              </w:rPr>
              <w:t>business goals.</w:t>
            </w: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20"/>
                <w:szCs w:val="20"/>
                <w:color w:val="auto"/>
              </w:rPr>
            </w:pPr>
            <w:r>
              <w:rPr>
                <w:rFonts w:ascii="Arial" w:cs="Arial" w:eastAsia="Arial" w:hAnsi="Arial"/>
                <w:sz w:val="10"/>
                <w:szCs w:val="10"/>
                <w:b w:val="1"/>
                <w:bCs w:val="1"/>
                <w:color w:val="auto"/>
              </w:rPr>
              <w:t>Global Lab</w:t>
            </w:r>
          </w:p>
        </w:tc>
        <w:tc>
          <w:tcPr>
            <w:tcW w:w="760" w:type="dxa"/>
            <w:vAlign w:val="bottom"/>
          </w:tcPr>
          <w:p>
            <w:pPr>
              <w:ind w:left="80"/>
              <w:spacing w:after="0"/>
              <w:rPr>
                <w:sz w:val="20"/>
                <w:szCs w:val="20"/>
                <w:color w:val="auto"/>
              </w:rPr>
            </w:pPr>
            <w:r>
              <w:rPr>
                <w:rFonts w:ascii="Arial" w:cs="Arial" w:eastAsia="Arial" w:hAnsi="Arial"/>
                <w:sz w:val="10"/>
                <w:szCs w:val="10"/>
                <w:color w:val="auto"/>
              </w:rPr>
              <w:t>Safety in our</w:t>
            </w:r>
          </w:p>
        </w:tc>
        <w:tc>
          <w:tcPr>
            <w:tcW w:w="2620" w:type="dxa"/>
            <w:vAlign w:val="bottom"/>
          </w:tcPr>
          <w:p>
            <w:pPr>
              <w:ind w:left="80"/>
              <w:spacing w:after="0"/>
              <w:rPr>
                <w:sz w:val="20"/>
                <w:szCs w:val="20"/>
                <w:color w:val="auto"/>
              </w:rPr>
            </w:pPr>
            <w:r>
              <w:rPr>
                <w:rFonts w:ascii="Arial" w:cs="Arial" w:eastAsia="Arial" w:hAnsi="Arial"/>
                <w:sz w:val="10"/>
                <w:szCs w:val="10"/>
                <w:color w:val="auto"/>
              </w:rPr>
              <w:t>Defines our approach to maintaining safe R&amp;D lab</w:t>
            </w:r>
          </w:p>
        </w:tc>
        <w:tc>
          <w:tcPr>
            <w:tcW w:w="740" w:type="dxa"/>
            <w:vAlign w:val="bottom"/>
          </w:tcPr>
          <w:p>
            <w:pPr>
              <w:ind w:left="20"/>
              <w:spacing w:after="0"/>
              <w:rPr>
                <w:sz w:val="20"/>
                <w:szCs w:val="20"/>
                <w:color w:val="auto"/>
              </w:rPr>
            </w:pPr>
            <w:r>
              <w:rPr>
                <w:rFonts w:ascii="Arial" w:cs="Arial" w:eastAsia="Arial" w:hAnsi="Arial"/>
                <w:sz w:val="10"/>
                <w:szCs w:val="10"/>
                <w:color w:val="auto"/>
              </w:rPr>
              <w:t>Applies to all</w:t>
            </w:r>
          </w:p>
        </w:tc>
        <w:tc>
          <w:tcPr>
            <w:tcW w:w="960" w:type="dxa"/>
            <w:vAlign w:val="bottom"/>
          </w:tcPr>
          <w:p>
            <w:pPr>
              <w:ind w:left="20"/>
              <w:spacing w:after="0"/>
              <w:rPr>
                <w:sz w:val="20"/>
                <w:szCs w:val="20"/>
                <w:color w:val="auto"/>
              </w:rPr>
            </w:pPr>
            <w:r>
              <w:rPr>
                <w:rFonts w:ascii="Arial" w:cs="Arial" w:eastAsia="Arial" w:hAnsi="Arial"/>
                <w:sz w:val="10"/>
                <w:szCs w:val="10"/>
                <w:color w:val="auto"/>
              </w:rPr>
              <w:t>EVP, Chief Medical</w:t>
            </w:r>
          </w:p>
        </w:tc>
        <w:tc>
          <w:tcPr>
            <w:tcW w:w="3040" w:type="dxa"/>
            <w:vAlign w:val="bottom"/>
            <w:gridSpan w:val="2"/>
          </w:tcPr>
          <w:p>
            <w:pPr>
              <w:ind w:left="20"/>
              <w:spacing w:after="0"/>
              <w:rPr>
                <w:sz w:val="20"/>
                <w:szCs w:val="20"/>
                <w:color w:val="auto"/>
              </w:rPr>
            </w:pPr>
            <w:r>
              <w:rPr>
                <w:rFonts w:ascii="Arial" w:cs="Arial" w:eastAsia="Arial" w:hAnsi="Arial"/>
                <w:sz w:val="10"/>
                <w:szCs w:val="10"/>
                <w:color w:val="auto"/>
              </w:rPr>
              <w:t>Aligns with applicable occupational health, Developed</w:t>
            </w:r>
          </w:p>
        </w:tc>
        <w:tc>
          <w:tcPr>
            <w:tcW w:w="980" w:type="dxa"/>
            <w:vAlign w:val="bottom"/>
          </w:tcPr>
          <w:p>
            <w:pPr>
              <w:ind w:left="40"/>
              <w:spacing w:after="0"/>
              <w:rPr>
                <w:sz w:val="20"/>
                <w:szCs w:val="20"/>
                <w:color w:val="auto"/>
              </w:rPr>
            </w:pPr>
            <w:r>
              <w:rPr>
                <w:rFonts w:ascii="Arial" w:cs="Arial" w:eastAsia="Arial" w:hAnsi="Arial"/>
                <w:sz w:val="10"/>
                <w:szCs w:val="10"/>
                <w:color w:val="auto"/>
              </w:rPr>
              <w:t>Available on intranet</w:t>
            </w:r>
          </w:p>
        </w:tc>
        <w:tc>
          <w:tcPr>
            <w:tcW w:w="0" w:type="dxa"/>
            <w:vAlign w:val="bottom"/>
          </w:tcPr>
          <w:p>
            <w:pPr>
              <w:spacing w:after="0"/>
              <w:rPr>
                <w:sz w:val="1"/>
                <w:szCs w:val="1"/>
                <w:color w:val="auto"/>
              </w:rPr>
            </w:pPr>
          </w:p>
        </w:tc>
      </w:tr>
      <w:tr>
        <w:trPr>
          <w:trHeight w:val="95"/>
        </w:trPr>
        <w:tc>
          <w:tcPr>
            <w:tcW w:w="760" w:type="dxa"/>
            <w:vAlign w:val="bottom"/>
          </w:tcPr>
          <w:p>
            <w:pPr>
              <w:spacing w:after="0" w:line="95" w:lineRule="exact"/>
              <w:rPr>
                <w:sz w:val="20"/>
                <w:szCs w:val="20"/>
                <w:color w:val="auto"/>
              </w:rPr>
            </w:pPr>
            <w:r>
              <w:rPr>
                <w:rFonts w:ascii="Arial" w:cs="Arial" w:eastAsia="Arial" w:hAnsi="Arial"/>
                <w:sz w:val="10"/>
                <w:szCs w:val="10"/>
                <w:b w:val="1"/>
                <w:bCs w:val="1"/>
                <w:color w:val="auto"/>
              </w:rPr>
              <w:t>Occupational</w:t>
            </w:r>
          </w:p>
        </w:tc>
        <w:tc>
          <w:tcPr>
            <w:tcW w:w="760" w:type="dxa"/>
            <w:vAlign w:val="bottom"/>
          </w:tcPr>
          <w:p>
            <w:pPr>
              <w:ind w:left="80"/>
              <w:spacing w:after="0" w:line="95" w:lineRule="exact"/>
              <w:rPr>
                <w:sz w:val="20"/>
                <w:szCs w:val="20"/>
                <w:color w:val="auto"/>
              </w:rPr>
            </w:pPr>
            <w:r>
              <w:rPr>
                <w:rFonts w:ascii="Arial" w:cs="Arial" w:eastAsia="Arial" w:hAnsi="Arial"/>
                <w:sz w:val="10"/>
                <w:szCs w:val="10"/>
                <w:color w:val="auto"/>
              </w:rPr>
              <w:t>facilities</w:t>
            </w: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environments through site-level health and safety</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R&amp;D</w:t>
            </w:r>
          </w:p>
        </w:tc>
        <w:tc>
          <w:tcPr>
            <w:tcW w:w="960" w:type="dxa"/>
            <w:vAlign w:val="bottom"/>
          </w:tcPr>
          <w:p>
            <w:pPr>
              <w:ind w:left="20"/>
              <w:spacing w:after="0" w:line="95" w:lineRule="exact"/>
              <w:rPr>
                <w:sz w:val="20"/>
                <w:szCs w:val="20"/>
                <w:color w:val="auto"/>
              </w:rPr>
            </w:pPr>
            <w:r>
              <w:rPr>
                <w:rFonts w:ascii="Arial" w:cs="Arial" w:eastAsia="Arial" w:hAnsi="Arial"/>
                <w:sz w:val="10"/>
                <w:szCs w:val="10"/>
                <w:color w:val="auto"/>
              </w:rPr>
              <w:t>Officer</w:t>
            </w:r>
          </w:p>
        </w:tc>
        <w:tc>
          <w:tcPr>
            <w:tcW w:w="1980" w:type="dxa"/>
            <w:vAlign w:val="bottom"/>
          </w:tcPr>
          <w:p>
            <w:pPr>
              <w:ind w:left="20"/>
              <w:spacing w:after="0" w:line="95" w:lineRule="exact"/>
              <w:rPr>
                <w:sz w:val="20"/>
                <w:szCs w:val="20"/>
                <w:color w:val="auto"/>
              </w:rPr>
            </w:pPr>
            <w:r>
              <w:rPr>
                <w:rFonts w:ascii="Arial" w:cs="Arial" w:eastAsia="Arial" w:hAnsi="Arial"/>
                <w:sz w:val="10"/>
                <w:szCs w:val="10"/>
                <w:color w:val="auto"/>
              </w:rPr>
              <w:t>safety and environmental legislation in</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considering employee</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and communicated</w:t>
            </w:r>
          </w:p>
        </w:tc>
        <w:tc>
          <w:tcPr>
            <w:tcW w:w="0" w:type="dxa"/>
            <w:vAlign w:val="bottom"/>
          </w:tcPr>
          <w:p>
            <w:pPr>
              <w:spacing w:after="0"/>
              <w:rPr>
                <w:sz w:val="1"/>
                <w:szCs w:val="1"/>
                <w:color w:val="auto"/>
              </w:rPr>
            </w:pPr>
          </w:p>
        </w:tc>
      </w:tr>
      <w:tr>
        <w:trPr>
          <w:trHeight w:val="95"/>
        </w:trPr>
        <w:tc>
          <w:tcPr>
            <w:tcW w:w="760" w:type="dxa"/>
            <w:vAlign w:val="bottom"/>
          </w:tcPr>
          <w:p>
            <w:pPr>
              <w:spacing w:after="0" w:line="95" w:lineRule="exact"/>
              <w:rPr>
                <w:sz w:val="20"/>
                <w:szCs w:val="20"/>
                <w:color w:val="auto"/>
              </w:rPr>
            </w:pPr>
            <w:r>
              <w:rPr>
                <w:rFonts w:ascii="Arial" w:cs="Arial" w:eastAsia="Arial" w:hAnsi="Arial"/>
                <w:sz w:val="10"/>
                <w:szCs w:val="10"/>
                <w:b w:val="1"/>
                <w:bCs w:val="1"/>
                <w:color w:val="auto"/>
              </w:rPr>
              <w:t>Health and</w:t>
            </w: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committees and prevention measures. Its objective is t</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laboratories</w:t>
            </w:r>
          </w:p>
        </w:tc>
        <w:tc>
          <w:tcPr>
            <w:tcW w:w="960" w:type="dxa"/>
            <w:vAlign w:val="bottom"/>
          </w:tcPr>
          <w:p>
            <w:pPr>
              <w:spacing w:after="0"/>
              <w:rPr>
                <w:sz w:val="8"/>
                <w:szCs w:val="8"/>
                <w:color w:val="auto"/>
              </w:rPr>
            </w:pPr>
          </w:p>
        </w:tc>
        <w:tc>
          <w:tcPr>
            <w:tcW w:w="3040" w:type="dxa"/>
            <w:vAlign w:val="bottom"/>
            <w:gridSpan w:val="2"/>
          </w:tcPr>
          <w:p>
            <w:pPr>
              <w:ind w:left="20"/>
              <w:spacing w:after="0" w:line="95" w:lineRule="exact"/>
              <w:rPr>
                <w:sz w:val="20"/>
                <w:szCs w:val="20"/>
                <w:color w:val="auto"/>
              </w:rPr>
            </w:pPr>
            <w:r>
              <w:rPr>
                <w:rFonts w:ascii="Arial" w:cs="Arial" w:eastAsia="Arial" w:hAnsi="Arial"/>
                <w:sz w:val="10"/>
                <w:szCs w:val="10"/>
                <w:color w:val="auto"/>
              </w:rPr>
              <w:t>China, the Netherlands, Denmark, and the safety needs in lab</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internally to all lab</w:t>
            </w:r>
          </w:p>
        </w:tc>
        <w:tc>
          <w:tcPr>
            <w:tcW w:w="0" w:type="dxa"/>
            <w:vAlign w:val="bottom"/>
          </w:tcPr>
          <w:p>
            <w:pPr>
              <w:spacing w:after="0"/>
              <w:rPr>
                <w:sz w:val="1"/>
                <w:szCs w:val="1"/>
                <w:color w:val="auto"/>
              </w:rPr>
            </w:pPr>
          </w:p>
        </w:tc>
      </w:tr>
      <w:tr>
        <w:trPr>
          <w:trHeight w:val="95"/>
        </w:trPr>
        <w:tc>
          <w:tcPr>
            <w:tcW w:w="760" w:type="dxa"/>
            <w:vAlign w:val="bottom"/>
          </w:tcPr>
          <w:p>
            <w:pPr>
              <w:spacing w:after="0" w:line="95" w:lineRule="exact"/>
              <w:rPr>
                <w:sz w:val="20"/>
                <w:szCs w:val="20"/>
                <w:color w:val="auto"/>
              </w:rPr>
            </w:pPr>
            <w:r>
              <w:rPr>
                <w:rFonts w:ascii="Arial" w:cs="Arial" w:eastAsia="Arial" w:hAnsi="Arial"/>
                <w:sz w:val="10"/>
                <w:szCs w:val="10"/>
                <w:b w:val="1"/>
                <w:bCs w:val="1"/>
                <w:color w:val="auto"/>
              </w:rPr>
              <w:t>Safety Policy</w:t>
            </w: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o</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and related</w:t>
            </w:r>
          </w:p>
        </w:tc>
        <w:tc>
          <w:tcPr>
            <w:tcW w:w="960" w:type="dxa"/>
            <w:vAlign w:val="bottom"/>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Arial" w:cs="Arial" w:eastAsia="Arial" w:hAnsi="Arial"/>
                <w:sz w:val="10"/>
                <w:szCs w:val="10"/>
                <w:color w:val="auto"/>
              </w:rPr>
              <w:t>United States, including the Dutch Workin</w:t>
            </w:r>
          </w:p>
        </w:tc>
        <w:tc>
          <w:tcPr>
            <w:tcW w:w="1060" w:type="dxa"/>
            <w:vAlign w:val="bottom"/>
          </w:tcPr>
          <w:p>
            <w:pPr>
              <w:ind w:left="20"/>
              <w:spacing w:after="0" w:line="95" w:lineRule="exact"/>
              <w:rPr>
                <w:sz w:val="20"/>
                <w:szCs w:val="20"/>
                <w:color w:val="auto"/>
              </w:rPr>
            </w:pPr>
            <w:r>
              <w:rPr>
                <w:rFonts w:ascii="Arial" w:cs="Arial" w:eastAsia="Arial" w:hAnsi="Arial"/>
                <w:sz w:val="10"/>
                <w:szCs w:val="10"/>
                <w:color w:val="auto"/>
              </w:rPr>
              <w:t>environments.</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staff through site</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360" w:type="dxa"/>
            <w:vAlign w:val="bottom"/>
            <w:gridSpan w:val="2"/>
          </w:tcPr>
          <w:p>
            <w:pPr>
              <w:ind w:left="80"/>
              <w:spacing w:after="0" w:line="95" w:lineRule="exact"/>
              <w:rPr>
                <w:sz w:val="20"/>
                <w:szCs w:val="20"/>
                <w:color w:val="auto"/>
              </w:rPr>
            </w:pPr>
            <w:r>
              <w:rPr>
                <w:rFonts w:ascii="Arial" w:cs="Arial" w:eastAsia="Arial" w:hAnsi="Arial"/>
                <w:sz w:val="10"/>
                <w:szCs w:val="10"/>
                <w:color w:val="auto"/>
              </w:rPr>
              <w:t>protect employees by ensuring strong safety oversight, operations</w:t>
            </w:r>
          </w:p>
        </w:tc>
        <w:tc>
          <w:tcPr>
            <w:tcW w:w="96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operations and</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vMerge w:val="restart"/>
          </w:tcPr>
          <w:p>
            <w:pPr>
              <w:ind w:left="80"/>
              <w:spacing w:after="0"/>
              <w:rPr>
                <w:sz w:val="20"/>
                <w:szCs w:val="20"/>
                <w:color w:val="auto"/>
              </w:rPr>
            </w:pPr>
            <w:r>
              <w:rPr>
                <w:rFonts w:ascii="Arial" w:cs="Arial" w:eastAsia="Arial" w:hAnsi="Arial"/>
                <w:sz w:val="10"/>
                <w:szCs w:val="10"/>
                <w:color w:val="auto"/>
              </w:rPr>
              <w:t>issue escalation, and continuous improvement across</w:t>
            </w:r>
          </w:p>
        </w:tc>
        <w:tc>
          <w:tcPr>
            <w:tcW w:w="740" w:type="dxa"/>
            <w:vAlign w:val="bottom"/>
          </w:tcPr>
          <w:p>
            <w:pPr>
              <w:ind w:left="20"/>
              <w:spacing w:after="0" w:line="95" w:lineRule="exact"/>
              <w:rPr>
                <w:sz w:val="20"/>
                <w:szCs w:val="20"/>
                <w:color w:val="auto"/>
              </w:rPr>
            </w:pPr>
            <w:r>
              <w:rPr>
                <w:rFonts w:ascii="Arial" w:cs="Arial" w:eastAsia="Arial" w:hAnsi="Arial"/>
                <w:sz w:val="10"/>
                <w:szCs w:val="10"/>
                <w:color w:val="auto"/>
              </w:rPr>
              <w:t>globally.</w:t>
            </w:r>
          </w:p>
        </w:tc>
        <w:tc>
          <w:tcPr>
            <w:tcW w:w="960" w:type="dxa"/>
            <w:vAlign w:val="bottom"/>
          </w:tcPr>
          <w:p>
            <w:pPr>
              <w:spacing w:after="0"/>
              <w:rPr>
                <w:sz w:val="8"/>
                <w:szCs w:val="8"/>
                <w:color w:val="auto"/>
              </w:rPr>
            </w:pPr>
          </w:p>
        </w:tc>
        <w:tc>
          <w:tcPr>
            <w:tcW w:w="1980" w:type="dxa"/>
            <w:vAlign w:val="bottom"/>
          </w:tcPr>
          <w:p>
            <w:pPr>
              <w:ind w:left="20"/>
              <w:spacing w:after="0" w:line="95" w:lineRule="exact"/>
              <w:rPr>
                <w:sz w:val="20"/>
                <w:szCs w:val="20"/>
                <w:color w:val="auto"/>
              </w:rPr>
            </w:pPr>
            <w:r>
              <w:rPr>
                <w:rFonts w:ascii="Arial" w:cs="Arial" w:eastAsia="Arial" w:hAnsi="Arial"/>
                <w:sz w:val="10"/>
                <w:szCs w:val="10"/>
                <w:color w:val="auto"/>
              </w:rPr>
              <w:t>g</w:t>
            </w:r>
          </w:p>
        </w:tc>
        <w:tc>
          <w:tcPr>
            <w:tcW w:w="1060" w:type="dxa"/>
            <w:vAlign w:val="bottom"/>
          </w:tcPr>
          <w:p>
            <w:pPr>
              <w:spacing w:after="0"/>
              <w:rPr>
                <w:sz w:val="8"/>
                <w:szCs w:val="8"/>
                <w:color w:val="auto"/>
              </w:rPr>
            </w:pP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training.</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980" w:type="dxa"/>
            <w:vAlign w:val="bottom"/>
          </w:tcPr>
          <w:p>
            <w:pPr>
              <w:ind w:left="20"/>
              <w:spacing w:after="0" w:line="95" w:lineRule="exact"/>
              <w:rPr>
                <w:sz w:val="20"/>
                <w:szCs w:val="20"/>
                <w:color w:val="auto"/>
              </w:rPr>
            </w:pPr>
            <w:r>
              <w:rPr>
                <w:rFonts w:ascii="Arial" w:cs="Arial" w:eastAsia="Arial" w:hAnsi="Arial"/>
                <w:sz w:val="10"/>
                <w:szCs w:val="10"/>
                <w:color w:val="auto"/>
              </w:rPr>
              <w:t>Conditions and environmental permitting</w:t>
            </w: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tcPr>
          <w:p>
            <w:pPr>
              <w:ind w:left="80"/>
              <w:spacing w:after="0" w:line="95" w:lineRule="exact"/>
              <w:rPr>
                <w:sz w:val="20"/>
                <w:szCs w:val="20"/>
                <w:color w:val="auto"/>
              </w:rPr>
            </w:pPr>
            <w:r>
              <w:rPr>
                <w:rFonts w:ascii="Arial" w:cs="Arial" w:eastAsia="Arial" w:hAnsi="Arial"/>
                <w:sz w:val="10"/>
                <w:szCs w:val="10"/>
                <w:color w:val="auto"/>
              </w:rPr>
              <w:t>all</w:t>
            </w: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980" w:type="dxa"/>
            <w:vAlign w:val="bottom"/>
          </w:tcPr>
          <w:p>
            <w:pPr>
              <w:ind w:left="20"/>
              <w:spacing w:after="0" w:line="95" w:lineRule="exact"/>
              <w:rPr>
                <w:sz w:val="20"/>
                <w:szCs w:val="20"/>
                <w:color w:val="auto"/>
              </w:rPr>
            </w:pPr>
            <w:r>
              <w:rPr>
                <w:rFonts w:ascii="Arial" w:cs="Arial" w:eastAsia="Arial" w:hAnsi="Arial"/>
                <w:sz w:val="10"/>
                <w:szCs w:val="10"/>
                <w:color w:val="auto"/>
              </w:rPr>
              <w:t>framework, EU REACH/CLP, and relevant</w:t>
            </w: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20" w:type="dxa"/>
            <w:vAlign w:val="bottom"/>
          </w:tcPr>
          <w:p>
            <w:pPr>
              <w:ind w:left="80"/>
              <w:spacing w:after="0"/>
              <w:rPr>
                <w:sz w:val="20"/>
                <w:szCs w:val="20"/>
                <w:color w:val="auto"/>
              </w:rPr>
            </w:pPr>
            <w:r>
              <w:rPr>
                <w:rFonts w:ascii="Arial" w:cs="Arial" w:eastAsia="Arial" w:hAnsi="Arial"/>
                <w:sz w:val="10"/>
                <w:szCs w:val="10"/>
                <w:color w:val="auto"/>
              </w:rPr>
              <w:t>lab facilities.</w:t>
            </w: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80" w:type="dxa"/>
            <w:vAlign w:val="bottom"/>
            <w:vMerge w:val="restart"/>
          </w:tcPr>
          <w:p>
            <w:pPr>
              <w:ind w:left="20"/>
              <w:spacing w:after="0"/>
              <w:rPr>
                <w:sz w:val="20"/>
                <w:szCs w:val="20"/>
                <w:color w:val="auto"/>
              </w:rPr>
            </w:pPr>
            <w:r>
              <w:rPr>
                <w:rFonts w:ascii="Arial" w:cs="Arial" w:eastAsia="Arial" w:hAnsi="Arial"/>
                <w:sz w:val="10"/>
                <w:szCs w:val="10"/>
                <w:color w:val="auto"/>
              </w:rPr>
              <w:t>U.S. federal and state regulations such as</w:t>
            </w: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-624205</wp:posOffset>
            </wp:positionV>
            <wp:extent cx="6279515" cy="8585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6279515" cy="858520"/>
                    </a:xfrm>
                    <a:prstGeom prst="rect">
                      <a:avLst/>
                    </a:prstGeom>
                    <a:noFill/>
                  </pic:spPr>
                </pic:pic>
              </a:graphicData>
            </a:graphic>
          </wp:anchor>
        </w:drawing>
      </w:r>
    </w:p>
    <w:p>
      <w:pPr>
        <w:spacing w:after="0" w:line="24" w:lineRule="exact"/>
        <w:rPr>
          <w:rFonts w:ascii="Arial" w:cs="Arial" w:eastAsia="Arial" w:hAnsi="Arial"/>
          <w:sz w:val="10"/>
          <w:szCs w:val="10"/>
          <w:b w:val="1"/>
          <w:bCs w:val="1"/>
          <w:color w:val="auto"/>
        </w:rPr>
      </w:pPr>
    </w:p>
    <w:p>
      <w:pPr>
        <w:ind w:left="5880"/>
        <w:spacing w:after="0"/>
        <w:rPr>
          <w:sz w:val="20"/>
          <w:szCs w:val="20"/>
          <w:color w:val="auto"/>
        </w:rPr>
      </w:pPr>
      <w:r>
        <w:rPr>
          <w:rFonts w:ascii="Arial" w:cs="Arial" w:eastAsia="Arial" w:hAnsi="Arial"/>
          <w:sz w:val="10"/>
          <w:szCs w:val="10"/>
          <w:color w:val="auto"/>
        </w:rPr>
        <w:t>OSHA, EPA, DOT, and applicable fire,</w:t>
      </w:r>
    </w:p>
    <w:p>
      <w:pPr>
        <w:ind w:left="5880"/>
        <w:spacing w:after="0" w:line="198" w:lineRule="auto"/>
        <w:rPr>
          <w:sz w:val="20"/>
          <w:szCs w:val="20"/>
          <w:color w:val="auto"/>
        </w:rPr>
      </w:pPr>
      <w:r>
        <w:rPr>
          <w:rFonts w:ascii="Arial" w:cs="Arial" w:eastAsia="Arial" w:hAnsi="Arial"/>
          <w:sz w:val="10"/>
          <w:szCs w:val="10"/>
          <w:color w:val="auto"/>
        </w:rPr>
        <w:t>biosafety and transport of dangerous</w:t>
      </w:r>
    </w:p>
    <w:p>
      <w:pPr>
        <w:ind w:left="5880"/>
        <w:spacing w:after="0"/>
        <w:rPr>
          <w:sz w:val="20"/>
          <w:szCs w:val="20"/>
          <w:color w:val="auto"/>
        </w:rPr>
      </w:pPr>
      <w:r>
        <w:rPr>
          <w:rFonts w:ascii="Arial" w:cs="Arial" w:eastAsia="Arial" w:hAnsi="Arial"/>
          <w:sz w:val="10"/>
          <w:szCs w:val="10"/>
          <w:color w:val="auto"/>
        </w:rPr>
        <w:t>goods requirements.</w:t>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18"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84</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3" w:lineRule="auto"/>
        <w:rPr>
          <w:sz w:val="20"/>
          <w:szCs w:val="20"/>
          <w:color w:val="auto"/>
        </w:rPr>
      </w:pPr>
      <w:r>
        <w:rPr>
          <w:rFonts w:ascii="Arial" w:cs="Arial" w:eastAsia="Arial" w:hAnsi="Arial"/>
          <w:sz w:val="13"/>
          <w:szCs w:val="13"/>
          <w:b w:val="1"/>
          <w:bCs w:val="1"/>
          <w:color w:val="0057CF"/>
        </w:rPr>
        <w:t>Processes for engaging with own workers and workers’ representatives</w:t>
      </w:r>
    </w:p>
    <w:p>
      <w:pPr>
        <w:spacing w:after="0" w:line="210" w:lineRule="auto"/>
        <w:rPr>
          <w:sz w:val="20"/>
          <w:szCs w:val="20"/>
          <w:color w:val="auto"/>
        </w:rPr>
      </w:pPr>
      <w:r>
        <w:rPr>
          <w:rFonts w:ascii="Arial" w:cs="Arial" w:eastAsia="Arial" w:hAnsi="Arial"/>
          <w:sz w:val="13"/>
          <w:szCs w:val="13"/>
          <w:b w:val="1"/>
          <w:bCs w:val="1"/>
          <w:color w:val="0057CF"/>
        </w:rPr>
        <w:t>about impacts (S1-2)</w:t>
      </w:r>
    </w:p>
    <w:p>
      <w:pPr>
        <w:spacing w:after="0" w:line="199" w:lineRule="auto"/>
        <w:rPr>
          <w:sz w:val="20"/>
          <w:szCs w:val="20"/>
          <w:color w:val="auto"/>
        </w:rPr>
      </w:pPr>
      <w:r>
        <w:rPr>
          <w:rFonts w:ascii="Arial" w:cs="Arial" w:eastAsia="Arial" w:hAnsi="Arial"/>
          <w:sz w:val="10"/>
          <w:szCs w:val="10"/>
          <w:color w:val="auto"/>
        </w:rPr>
        <w:t>Genmab fosters ongoing dialogue between employees and Management through Human Resources</w:t>
      </w:r>
    </w:p>
    <w:p>
      <w:pPr>
        <w:spacing w:after="0" w:line="198" w:lineRule="auto"/>
        <w:rPr>
          <w:sz w:val="20"/>
          <w:szCs w:val="20"/>
          <w:color w:val="auto"/>
        </w:rPr>
      </w:pPr>
      <w:r>
        <w:rPr>
          <w:rFonts w:ascii="Arial" w:cs="Arial" w:eastAsia="Arial" w:hAnsi="Arial"/>
          <w:sz w:val="10"/>
          <w:szCs w:val="10"/>
          <w:color w:val="auto"/>
        </w:rPr>
        <w:t>business partners, the Danish Employee Representative Council, and the Dutch Works Council. In</w:t>
      </w:r>
    </w:p>
    <w:p>
      <w:pPr>
        <w:spacing w:after="0" w:line="199" w:lineRule="auto"/>
        <w:rPr>
          <w:sz w:val="20"/>
          <w:szCs w:val="20"/>
          <w:color w:val="auto"/>
        </w:rPr>
      </w:pPr>
      <w:r>
        <w:rPr>
          <w:rFonts w:ascii="Arial" w:cs="Arial" w:eastAsia="Arial" w:hAnsi="Arial"/>
          <w:sz w:val="10"/>
          <w:szCs w:val="10"/>
          <w:color w:val="auto"/>
        </w:rPr>
        <w:t>Denmark, employees elect three Board representatives and meet annually to raise concerns. In the</w:t>
      </w:r>
    </w:p>
    <w:p>
      <w:pPr>
        <w:spacing w:after="0" w:line="199" w:lineRule="auto"/>
        <w:rPr>
          <w:sz w:val="20"/>
          <w:szCs w:val="20"/>
          <w:color w:val="auto"/>
        </w:rPr>
      </w:pPr>
      <w:r>
        <w:rPr>
          <w:rFonts w:ascii="Arial" w:cs="Arial" w:eastAsia="Arial" w:hAnsi="Arial"/>
          <w:sz w:val="10"/>
          <w:szCs w:val="10"/>
          <w:color w:val="auto"/>
        </w:rPr>
        <w:t>Netherlands, the Works Council meets annually, provides consent on daily work matters, and is consulted</w:t>
      </w:r>
    </w:p>
    <w:p>
      <w:pPr>
        <w:spacing w:after="0" w:line="198" w:lineRule="auto"/>
        <w:rPr>
          <w:sz w:val="20"/>
          <w:szCs w:val="20"/>
          <w:color w:val="auto"/>
        </w:rPr>
      </w:pPr>
      <w:r>
        <w:rPr>
          <w:rFonts w:ascii="Arial" w:cs="Arial" w:eastAsia="Arial" w:hAnsi="Arial"/>
          <w:sz w:val="10"/>
          <w:szCs w:val="10"/>
          <w:color w:val="auto"/>
        </w:rPr>
        <w:t>on major organizational changes. In addition to the Councils, in other regions, employee engagement is</w:t>
      </w:r>
    </w:p>
    <w:p>
      <w:pPr>
        <w:spacing w:after="0" w:line="199" w:lineRule="auto"/>
        <w:rPr>
          <w:sz w:val="20"/>
          <w:szCs w:val="20"/>
          <w:color w:val="auto"/>
        </w:rPr>
      </w:pPr>
      <w:r>
        <w:rPr>
          <w:rFonts w:ascii="Arial" w:cs="Arial" w:eastAsia="Arial" w:hAnsi="Arial"/>
          <w:sz w:val="10"/>
          <w:szCs w:val="10"/>
          <w:color w:val="auto"/>
        </w:rPr>
        <w:t>supported via surveys, inclusion networks, development dialogues, employee-elected board positions, and</w:t>
      </w:r>
    </w:p>
    <w:p>
      <w:pPr>
        <w:spacing w:after="0" w:line="199" w:lineRule="auto"/>
        <w:rPr>
          <w:sz w:val="20"/>
          <w:szCs w:val="20"/>
          <w:color w:val="auto"/>
        </w:rPr>
      </w:pPr>
      <w:r>
        <w:rPr>
          <w:rFonts w:ascii="Arial" w:cs="Arial" w:eastAsia="Arial" w:hAnsi="Arial"/>
          <w:sz w:val="10"/>
          <w:szCs w:val="10"/>
          <w:color w:val="auto"/>
        </w:rPr>
        <w:t>town hall updates. The Chief People Officer and Human Resources oversee engagement with employees</w:t>
      </w:r>
    </w:p>
    <w:p>
      <w:pPr>
        <w:spacing w:after="0" w:line="204" w:lineRule="auto"/>
        <w:rPr>
          <w:sz w:val="20"/>
          <w:szCs w:val="20"/>
          <w:color w:val="auto"/>
        </w:rPr>
      </w:pPr>
      <w:r>
        <w:rPr>
          <w:rFonts w:ascii="Arial" w:cs="Arial" w:eastAsia="Arial" w:hAnsi="Arial"/>
          <w:sz w:val="10"/>
          <w:szCs w:val="10"/>
          <w:color w:val="auto"/>
        </w:rPr>
        <w:t>and their representatives.</w:t>
      </w:r>
    </w:p>
    <w:p>
      <w:pPr>
        <w:spacing w:after="0" w:line="214" w:lineRule="auto"/>
        <w:rPr>
          <w:sz w:val="20"/>
          <w:szCs w:val="20"/>
          <w:color w:val="auto"/>
        </w:rPr>
      </w:pPr>
      <w:r>
        <w:rPr>
          <w:rFonts w:ascii="Arial" w:cs="Arial" w:eastAsia="Arial" w:hAnsi="Arial"/>
          <w:sz w:val="13"/>
          <w:szCs w:val="13"/>
          <w:b w:val="1"/>
          <w:bCs w:val="1"/>
          <w:color w:val="0057CF"/>
        </w:rPr>
        <w:t>Processes to remediate negative impacts and channels for own workers to</w:t>
      </w:r>
    </w:p>
    <w:p>
      <w:pPr>
        <w:spacing w:after="0" w:line="209" w:lineRule="auto"/>
        <w:rPr>
          <w:sz w:val="20"/>
          <w:szCs w:val="20"/>
          <w:color w:val="auto"/>
        </w:rPr>
      </w:pPr>
      <w:r>
        <w:rPr>
          <w:rFonts w:ascii="Arial" w:cs="Arial" w:eastAsia="Arial" w:hAnsi="Arial"/>
          <w:sz w:val="13"/>
          <w:szCs w:val="13"/>
          <w:b w:val="1"/>
          <w:bCs w:val="1"/>
          <w:color w:val="0057CF"/>
        </w:rPr>
        <w:t>raise concerns (S1-3)</w:t>
      </w:r>
    </w:p>
    <w:p>
      <w:pPr>
        <w:spacing w:after="0" w:line="199" w:lineRule="auto"/>
        <w:rPr>
          <w:sz w:val="20"/>
          <w:szCs w:val="20"/>
          <w:color w:val="auto"/>
        </w:rPr>
      </w:pPr>
      <w:r>
        <w:rPr>
          <w:rFonts w:ascii="Arial" w:cs="Arial" w:eastAsia="Arial" w:hAnsi="Arial"/>
          <w:sz w:val="10"/>
          <w:szCs w:val="10"/>
          <w:color w:val="auto"/>
        </w:rPr>
        <w:t>While we have not identified any material negative impacts involving our workforce, we encourage</w:t>
      </w:r>
    </w:p>
    <w:p>
      <w:pPr>
        <w:spacing w:after="0" w:line="199" w:lineRule="auto"/>
        <w:rPr>
          <w:sz w:val="20"/>
          <w:szCs w:val="20"/>
          <w:color w:val="auto"/>
        </w:rPr>
      </w:pPr>
      <w:r>
        <w:rPr>
          <w:rFonts w:ascii="Arial" w:cs="Arial" w:eastAsia="Arial" w:hAnsi="Arial"/>
          <w:sz w:val="10"/>
          <w:szCs w:val="10"/>
          <w:color w:val="auto"/>
        </w:rPr>
        <w:t>employees to raise concerns, share feedback, report compliance issues, and discuss ethical dilemmas.</w:t>
      </w:r>
    </w:p>
    <w:p>
      <w:pPr>
        <w:spacing w:after="0" w:line="198" w:lineRule="auto"/>
        <w:rPr>
          <w:sz w:val="20"/>
          <w:szCs w:val="20"/>
          <w:color w:val="auto"/>
        </w:rPr>
      </w:pPr>
      <w:r>
        <w:rPr>
          <w:rFonts w:ascii="Arial" w:cs="Arial" w:eastAsia="Arial" w:hAnsi="Arial"/>
          <w:sz w:val="10"/>
          <w:szCs w:val="10"/>
          <w:color w:val="auto"/>
        </w:rPr>
        <w:t>This supports a culture of openness, transparency, and accountability. Concerns may be reported to</w:t>
      </w:r>
    </w:p>
    <w:p>
      <w:pPr>
        <w:spacing w:after="0" w:line="199" w:lineRule="auto"/>
        <w:rPr>
          <w:sz w:val="20"/>
          <w:szCs w:val="20"/>
          <w:color w:val="auto"/>
        </w:rPr>
      </w:pPr>
      <w:r>
        <w:rPr>
          <w:rFonts w:ascii="Arial" w:cs="Arial" w:eastAsia="Arial" w:hAnsi="Arial"/>
          <w:sz w:val="10"/>
          <w:szCs w:val="10"/>
          <w:color w:val="auto"/>
        </w:rPr>
        <w:t>immediate managers or Human Resources, who monitor and escalate matters as appropriate. In addition,</w:t>
      </w:r>
    </w:p>
    <w:p>
      <w:pPr>
        <w:spacing w:after="0" w:line="199" w:lineRule="auto"/>
        <w:rPr>
          <w:sz w:val="20"/>
          <w:szCs w:val="20"/>
          <w:color w:val="auto"/>
        </w:rPr>
      </w:pPr>
      <w:r>
        <w:rPr>
          <w:rFonts w:ascii="Arial" w:cs="Arial" w:eastAsia="Arial" w:hAnsi="Arial"/>
          <w:sz w:val="10"/>
          <w:szCs w:val="10"/>
          <w:color w:val="auto"/>
        </w:rPr>
        <w:t>employees have access to our 24/7 Speak Up (whistleblower) hotline.</w:t>
      </w:r>
    </w:p>
    <w:p>
      <w:pPr>
        <w:spacing w:after="0" w:line="198" w:lineRule="auto"/>
        <w:rPr>
          <w:sz w:val="20"/>
          <w:szCs w:val="20"/>
          <w:color w:val="auto"/>
        </w:rPr>
      </w:pPr>
      <w:r>
        <w:rPr>
          <w:rFonts w:ascii="Arial" w:cs="Arial" w:eastAsia="Arial" w:hAnsi="Arial"/>
          <w:sz w:val="10"/>
          <w:szCs w:val="10"/>
          <w:color w:val="0057CF"/>
        </w:rPr>
        <w:t xml:space="preserve">Refer to the </w:t>
      </w:r>
      <w:r>
        <w:rPr>
          <w:rFonts w:ascii="Arial" w:cs="Arial" w:eastAsia="Arial" w:hAnsi="Arial"/>
          <w:sz w:val="10"/>
          <w:szCs w:val="10"/>
          <w:b w:val="1"/>
          <w:bCs w:val="1"/>
          <w:color w:val="0057CF"/>
        </w:rPr>
        <w:t>Global Speak Up Policy</w:t>
      </w:r>
      <w:r>
        <w:rPr>
          <w:rFonts w:ascii="Arial" w:cs="Arial" w:eastAsia="Arial" w:hAnsi="Arial"/>
          <w:sz w:val="10"/>
          <w:szCs w:val="10"/>
          <w:color w:val="0057CF"/>
        </w:rPr>
        <w:t xml:space="preserve"> in S1-1 and on our </w:t>
      </w:r>
      <w:r>
        <w:rPr>
          <w:rFonts w:ascii="Arial" w:cs="Arial" w:eastAsia="Arial" w:hAnsi="Arial"/>
          <w:sz w:val="10"/>
          <w:szCs w:val="10"/>
          <w:b w:val="1"/>
          <w:bCs w:val="1"/>
          <w:color w:val="0057CF"/>
        </w:rPr>
        <w:t>website</w:t>
      </w:r>
      <w:r>
        <w:rPr>
          <w:rFonts w:ascii="Arial" w:cs="Arial" w:eastAsia="Arial" w:hAnsi="Arial"/>
          <w:sz w:val="10"/>
          <w:szCs w:val="10"/>
          <w:color w:val="0057CF"/>
        </w:rPr>
        <w:t xml:space="preserve">. Refer to </w:t>
      </w:r>
      <w:r>
        <w:rPr>
          <w:rFonts w:ascii="Arial" w:cs="Arial" w:eastAsia="Arial" w:hAnsi="Arial"/>
          <w:sz w:val="10"/>
          <w:szCs w:val="10"/>
          <w:b w:val="1"/>
          <w:bCs w:val="1"/>
          <w:color w:val="0057CF"/>
        </w:rPr>
        <w:t>G1-1</w:t>
      </w:r>
      <w:r>
        <w:rPr>
          <w:rFonts w:ascii="Arial" w:cs="Arial" w:eastAsia="Arial" w:hAnsi="Arial"/>
          <w:sz w:val="10"/>
          <w:szCs w:val="10"/>
          <w:color w:val="0057CF"/>
        </w:rPr>
        <w:t xml:space="preserve"> for details of Genmab’s</w:t>
      </w:r>
    </w:p>
    <w:p>
      <w:pPr>
        <w:spacing w:after="0"/>
        <w:rPr>
          <w:sz w:val="20"/>
          <w:szCs w:val="20"/>
          <w:color w:val="auto"/>
        </w:rPr>
      </w:pPr>
      <w:r>
        <w:rPr>
          <w:rFonts w:ascii="Arial" w:cs="Arial" w:eastAsia="Arial" w:hAnsi="Arial"/>
          <w:sz w:val="10"/>
          <w:szCs w:val="10"/>
          <w:color w:val="0057CF"/>
        </w:rPr>
        <w:t>anti-retaliation policies and procedures and how Genmab tracks and monitors issues raised.</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046095" cy="2000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3046095" cy="2000250"/>
                    </a:xfrm>
                    <a:prstGeom prst="rect">
                      <a:avLst/>
                    </a:prstGeom>
                    <a:noFill/>
                  </pic:spPr>
                </pic:pic>
              </a:graphicData>
            </a:graphic>
          </wp:anchor>
        </w:drawing>
      </w:r>
    </w:p>
    <w:p>
      <w:pPr>
        <w:sectPr>
          <w:pgSz w:w="11900" w:h="16840" w:orient="portrait"/>
          <w:cols w:equalWidth="0" w:num="1">
            <w:col w:w="9880"/>
          </w:cols>
          <w:pgMar w:left="640" w:top="571" w:right="1380" w:bottom="1440" w:gutter="0" w:footer="0" w:header="0"/>
          <w:type w:val="continuous"/>
        </w:sectPr>
      </w:pPr>
    </w:p>
    <w:bookmarkStart w:id="123" w:name="page124"/>
    <w:bookmarkEnd w:id="123"/>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85</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3.1</w:t>
      </w:r>
    </w:p>
    <w:p>
      <w:pPr>
        <w:spacing w:after="0" w:line="210" w:lineRule="auto"/>
        <w:rPr>
          <w:sz w:val="20"/>
          <w:szCs w:val="20"/>
          <w:color w:val="auto"/>
        </w:rPr>
      </w:pPr>
      <w:r>
        <w:rPr>
          <w:rFonts w:ascii="Arial" w:cs="Arial" w:eastAsia="Arial" w:hAnsi="Arial"/>
          <w:sz w:val="15"/>
          <w:szCs w:val="15"/>
          <w:color w:val="0057CF"/>
        </w:rPr>
        <w:t>Own Workforce Actions, Metrics and Targets</w:t>
      </w:r>
    </w:p>
    <w:p>
      <w:pPr>
        <w:ind w:right="200"/>
        <w:spacing w:after="0" w:line="217" w:lineRule="auto"/>
        <w:rPr>
          <w:sz w:val="20"/>
          <w:szCs w:val="20"/>
          <w:color w:val="auto"/>
        </w:rPr>
      </w:pPr>
      <w:r>
        <w:rPr>
          <w:rFonts w:ascii="Arial" w:cs="Arial" w:eastAsia="Arial" w:hAnsi="Arial"/>
          <w:sz w:val="13"/>
          <w:szCs w:val="13"/>
          <w:b w:val="1"/>
          <w:bCs w:val="1"/>
          <w:color w:val="0057CF"/>
        </w:rPr>
        <w:t>Taking action on material impacts on own workforce, and approaches to mitigating material risks and pursuing material opportunities related to own workforce, and effectiveness of those actions (S1-4) / Targets related to managing material negative impacts, advancing positive impacts, and managing material risks and opportunities (S1-5)</w:t>
      </w:r>
    </w:p>
    <w:p>
      <w:pPr>
        <w:spacing w:after="0" w:line="1"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rPr>
              <w:t>IRO</w:t>
            </w:r>
          </w:p>
        </w:tc>
        <w:tc>
          <w:tcPr>
            <w:tcW w:w="3580" w:type="dxa"/>
            <w:vAlign w:val="bottom"/>
            <w:tcBorders>
              <w:top w:val="single" w:sz="8" w:color="0057CF"/>
            </w:tcBorders>
          </w:tcPr>
          <w:p>
            <w:pPr>
              <w:ind w:left="40"/>
              <w:spacing w:after="0"/>
              <w:rPr>
                <w:sz w:val="20"/>
                <w:szCs w:val="20"/>
                <w:color w:val="auto"/>
              </w:rPr>
            </w:pPr>
            <w:r>
              <w:rPr>
                <w:rFonts w:ascii="Arial" w:cs="Arial" w:eastAsia="Arial" w:hAnsi="Arial"/>
                <w:sz w:val="10"/>
                <w:szCs w:val="10"/>
                <w:b w:val="1"/>
                <w:bCs w:val="1"/>
                <w:color w:val="auto"/>
              </w:rPr>
              <w:t>Key Actions in 2025</w:t>
            </w:r>
          </w:p>
        </w:tc>
        <w:tc>
          <w:tcPr>
            <w:tcW w:w="1260" w:type="dxa"/>
            <w:vAlign w:val="bottom"/>
            <w:tcBorders>
              <w:top w:val="single" w:sz="8" w:color="0057CF"/>
            </w:tcBorders>
          </w:tcPr>
          <w:p>
            <w:pPr>
              <w:spacing w:after="0"/>
              <w:rPr>
                <w:sz w:val="20"/>
                <w:szCs w:val="20"/>
                <w:color w:val="auto"/>
              </w:rPr>
            </w:pPr>
            <w:r>
              <w:rPr>
                <w:rFonts w:ascii="Arial" w:cs="Arial" w:eastAsia="Arial" w:hAnsi="Arial"/>
                <w:sz w:val="10"/>
                <w:szCs w:val="10"/>
                <w:b w:val="1"/>
                <w:bCs w:val="1"/>
                <w:color w:val="auto"/>
              </w:rPr>
              <w:t>Targets</w:t>
            </w:r>
          </w:p>
        </w:tc>
        <w:tc>
          <w:tcPr>
            <w:tcW w:w="2860" w:type="dxa"/>
            <w:vAlign w:val="bottom"/>
            <w:tcBorders>
              <w:top w:val="single" w:sz="8" w:color="0057CF"/>
            </w:tcBorders>
          </w:tcPr>
          <w:p>
            <w:pPr>
              <w:ind w:left="40"/>
              <w:spacing w:after="0"/>
              <w:rPr>
                <w:sz w:val="20"/>
                <w:szCs w:val="20"/>
                <w:color w:val="auto"/>
              </w:rPr>
            </w:pPr>
            <w:r>
              <w:rPr>
                <w:rFonts w:ascii="Arial" w:cs="Arial" w:eastAsia="Arial" w:hAnsi="Arial"/>
                <w:sz w:val="10"/>
                <w:szCs w:val="10"/>
                <w:b w:val="1"/>
                <w:bCs w:val="1"/>
                <w:color w:val="auto"/>
              </w:rPr>
              <w:t>Outcomes/Tracking Effectiveness</w:t>
            </w:r>
          </w:p>
        </w:tc>
        <w:tc>
          <w:tcPr>
            <w:tcW w:w="124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rPr>
              <w:t>Stakeholder Involvement</w:t>
            </w:r>
          </w:p>
        </w:tc>
        <w:tc>
          <w:tcPr>
            <w:tcW w:w="0" w:type="dxa"/>
            <w:vAlign w:val="bottom"/>
          </w:tcPr>
          <w:p>
            <w:pPr>
              <w:spacing w:after="0"/>
              <w:rPr>
                <w:sz w:val="1"/>
                <w:szCs w:val="1"/>
                <w:color w:val="auto"/>
              </w:rPr>
            </w:pPr>
          </w:p>
        </w:tc>
      </w:tr>
      <w:tr>
        <w:trPr>
          <w:trHeight w:val="97"/>
        </w:trPr>
        <w:tc>
          <w:tcPr>
            <w:tcW w:w="900" w:type="dxa"/>
            <w:vAlign w:val="bottom"/>
            <w:shd w:val="clear" w:color="auto" w:fill="EDEEEE"/>
          </w:tcPr>
          <w:p>
            <w:pPr>
              <w:ind w:left="20"/>
              <w:spacing w:after="0" w:line="97" w:lineRule="exact"/>
              <w:rPr>
                <w:sz w:val="20"/>
                <w:szCs w:val="20"/>
                <w:color w:val="auto"/>
              </w:rPr>
            </w:pPr>
            <w:r>
              <w:rPr>
                <w:rFonts w:ascii="Arial" w:cs="Arial" w:eastAsia="Arial" w:hAnsi="Arial"/>
                <w:sz w:val="10"/>
                <w:szCs w:val="10"/>
                <w:b w:val="1"/>
                <w:bCs w:val="1"/>
                <w:color w:val="auto"/>
              </w:rPr>
              <w:t>Employee well-</w:t>
            </w:r>
          </w:p>
        </w:tc>
        <w:tc>
          <w:tcPr>
            <w:tcW w:w="3580" w:type="dxa"/>
            <w:vAlign w:val="bottom"/>
            <w:shd w:val="clear" w:color="auto" w:fill="EDEEEE"/>
          </w:tcPr>
          <w:p>
            <w:pPr>
              <w:ind w:left="40"/>
              <w:spacing w:after="0" w:line="97" w:lineRule="exact"/>
              <w:rPr>
                <w:sz w:val="20"/>
                <w:szCs w:val="20"/>
                <w:color w:val="auto"/>
              </w:rPr>
            </w:pPr>
            <w:r>
              <w:rPr>
                <w:rFonts w:ascii="Arial" w:cs="Arial" w:eastAsia="Arial" w:hAnsi="Arial"/>
                <w:sz w:val="10"/>
                <w:szCs w:val="10"/>
                <w:b w:val="1"/>
                <w:bCs w:val="1"/>
                <w:color w:val="auto"/>
              </w:rPr>
              <w:t xml:space="preserve">Annual Employee Engagement Survey: </w:t>
            </w:r>
            <w:r>
              <w:rPr>
                <w:rFonts w:ascii="Arial" w:cs="Arial" w:eastAsia="Arial" w:hAnsi="Arial"/>
                <w:sz w:val="10"/>
                <w:szCs w:val="10"/>
                <w:color w:val="auto"/>
              </w:rPr>
              <w:t>Provided employees with a</w:t>
            </w:r>
          </w:p>
        </w:tc>
        <w:tc>
          <w:tcPr>
            <w:tcW w:w="1260" w:type="dxa"/>
            <w:vAlign w:val="bottom"/>
            <w:shd w:val="clear" w:color="auto" w:fill="EDEEEE"/>
          </w:tcPr>
          <w:p>
            <w:pPr>
              <w:spacing w:after="0" w:line="97" w:lineRule="exact"/>
              <w:rPr>
                <w:sz w:val="20"/>
                <w:szCs w:val="20"/>
                <w:color w:val="auto"/>
              </w:rPr>
            </w:pPr>
            <w:r>
              <w:rPr>
                <w:rFonts w:ascii="Arial" w:cs="Arial" w:eastAsia="Arial" w:hAnsi="Arial"/>
                <w:sz w:val="10"/>
                <w:szCs w:val="10"/>
                <w:color w:val="auto"/>
              </w:rPr>
              <w:t>Meet or exceed the global</w:t>
            </w:r>
          </w:p>
        </w:tc>
        <w:tc>
          <w:tcPr>
            <w:tcW w:w="4100" w:type="dxa"/>
            <w:vAlign w:val="bottom"/>
            <w:gridSpan w:val="2"/>
            <w:shd w:val="clear" w:color="auto" w:fill="EDEEEE"/>
          </w:tcPr>
          <w:p>
            <w:pPr>
              <w:ind w:left="40"/>
              <w:spacing w:after="0" w:line="97" w:lineRule="exact"/>
              <w:rPr>
                <w:sz w:val="20"/>
                <w:szCs w:val="20"/>
                <w:color w:val="auto"/>
              </w:rPr>
            </w:pPr>
            <w:r>
              <w:rPr>
                <w:rFonts w:ascii="Arial" w:cs="Arial" w:eastAsia="Arial" w:hAnsi="Arial"/>
                <w:sz w:val="10"/>
                <w:szCs w:val="10"/>
                <w:color w:val="auto"/>
              </w:rPr>
              <w:t>Target achieved for 2025. In 2025, Genmab achieved a 77% Results are reviewed by</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being and vitality</w:t>
            </w:r>
          </w:p>
        </w:tc>
        <w:tc>
          <w:tcPr>
            <w:tcW w:w="484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color w:val="auto"/>
              </w:rPr>
              <w:t>meaningful voice through our annual survey, offering insights into key areas benchmark for (1)</w:t>
            </w: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engagement score compared to 77% industry average, and</w:t>
            </w:r>
          </w:p>
        </w:tc>
        <w:tc>
          <w:tcPr>
            <w:tcW w:w="12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Executive Management</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Provide a voice</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such as career development, innovation, leadership, and the work</w:t>
            </w:r>
          </w:p>
        </w:tc>
        <w:tc>
          <w:tcPr>
            <w:tcW w:w="126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employee engagement</w:t>
            </w: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an</w:t>
            </w:r>
          </w:p>
        </w:tc>
        <w:tc>
          <w:tcPr>
            <w:tcW w:w="12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and people leaders,</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to employees</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environment.</w:t>
            </w:r>
          </w:p>
        </w:tc>
        <w:tc>
          <w:tcPr>
            <w:tcW w:w="126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score and (2) participation</w:t>
            </w: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89% global participation rate compared to an 80% industry</w:t>
            </w:r>
          </w:p>
        </w:tc>
        <w:tc>
          <w:tcPr>
            <w:tcW w:w="12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shared transparently</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through our</w:t>
            </w:r>
          </w:p>
        </w:tc>
        <w:tc>
          <w:tcPr>
            <w:tcW w:w="484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Global Well-Being: </w:t>
            </w:r>
            <w:r>
              <w:rPr>
                <w:rFonts w:ascii="Arial" w:cs="Arial" w:eastAsia="Arial" w:hAnsi="Arial"/>
                <w:sz w:val="10"/>
                <w:szCs w:val="10"/>
                <w:color w:val="auto"/>
              </w:rPr>
              <w:t>Strengthened our well-being pillars—emotional, financialrate for the Global</w:t>
            </w: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average. The engagement score reflects overall favorability</w:t>
            </w:r>
          </w:p>
        </w:tc>
        <w:tc>
          <w:tcPr>
            <w:tcW w:w="12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across our internal</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global</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w:t>
            </w:r>
          </w:p>
        </w:tc>
        <w:tc>
          <w:tcPr>
            <w:tcW w:w="126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Employee Engagement</w:t>
            </w: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based on key questions designed to measure employee</w:t>
            </w:r>
          </w:p>
        </w:tc>
        <w:tc>
          <w:tcPr>
            <w:tcW w:w="12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network, and used</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engagement</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physical, and social—by supporting mental health and resilience; promoting</w:t>
            </w:r>
          </w:p>
        </w:tc>
        <w:tc>
          <w:tcPr>
            <w:tcW w:w="126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Survey (Annual)</w:t>
            </w:r>
            <w:r>
              <w:rPr>
                <w:rFonts w:ascii="Arial" w:cs="Arial" w:eastAsia="Arial" w:hAnsi="Arial"/>
                <w:sz w:val="6"/>
                <w:szCs w:val="6"/>
                <w:color w:val="auto"/>
              </w:rPr>
              <w:t>1</w:t>
            </w:r>
          </w:p>
        </w:tc>
        <w:tc>
          <w:tcPr>
            <w:tcW w:w="410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color w:val="auto"/>
              </w:rPr>
              <w:t>engagement, while the participation rate indicates how broadlcollaboratively to guide</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survey</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financial security through initiatives such as Global Money Week; offering on</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y</w:t>
            </w:r>
          </w:p>
        </w:tc>
        <w:tc>
          <w:tcPr>
            <w:tcW w:w="12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action planning across</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employees are contributing feedback relative to industry nor</w:t>
            </w:r>
          </w:p>
        </w:tc>
        <w:tc>
          <w:tcPr>
            <w:tcW w:w="1240" w:type="dxa"/>
            <w:vAlign w:val="bottom"/>
            <w:shd w:val="clear" w:color="auto" w:fill="EDEEEE"/>
          </w:tcPr>
          <w:p>
            <w:pPr>
              <w:ind w:left="20"/>
              <w:spacing w:after="0" w:line="95" w:lineRule="exact"/>
              <w:rPr>
                <w:sz w:val="20"/>
                <w:szCs w:val="20"/>
                <w:color w:val="auto"/>
              </w:rPr>
            </w:pPr>
            <w:r>
              <w:rPr>
                <w:rFonts w:ascii="Arial" w:cs="Arial" w:eastAsia="Arial" w:hAnsi="Arial"/>
                <w:sz w:val="10"/>
                <w:szCs w:val="10"/>
                <w:color w:val="auto"/>
              </w:rPr>
              <w:t>teams.</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site and virtual fitness options; and fostering community connection. We also</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ms.</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vMerge w:val="restart"/>
            <w:shd w:val="clear" w:color="auto" w:fill="EDEEEE"/>
          </w:tcPr>
          <w:p>
            <w:pPr>
              <w:ind w:left="40"/>
              <w:spacing w:after="0"/>
              <w:rPr>
                <w:sz w:val="20"/>
                <w:szCs w:val="20"/>
                <w:color w:val="auto"/>
              </w:rPr>
            </w:pPr>
            <w:r>
              <w:rPr>
                <w:rFonts w:ascii="Arial" w:cs="Arial" w:eastAsia="Arial" w:hAnsi="Arial"/>
                <w:sz w:val="10"/>
                <w:szCs w:val="10"/>
                <w:color w:val="auto"/>
              </w:rPr>
              <w:t>expanded our Global Well-Being Programs, providing additional workshops</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The favorability score is calculated by the percent of agreem</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vMerge w:val="continue"/>
            <w:shd w:val="clear" w:color="auto" w:fill="EDEEEE"/>
          </w:tcPr>
          <w:p>
            <w:pPr>
              <w:spacing w:after="0"/>
              <w:rPr>
                <w:sz w:val="8"/>
                <w:szCs w:val="8"/>
                <w:color w:val="auto"/>
              </w:rPr>
            </w:pP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ent</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and resources focused on financial planning, work–life balance, and holistic</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responses when combining scale points 4-5. Genmab</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self-care.</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compares to the Life and Sciences Sector for the industry</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Emotional and Mental Health: </w:t>
            </w:r>
            <w:r>
              <w:rPr>
                <w:rFonts w:ascii="Arial" w:cs="Arial" w:eastAsia="Arial" w:hAnsi="Arial"/>
                <w:sz w:val="10"/>
                <w:szCs w:val="10"/>
                <w:color w:val="auto"/>
              </w:rPr>
              <w:t>Continued offering programs and local</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benchmark provided by Mercer. This provides a comparison</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resources to support emotional and mental well-being. We announced</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of</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the launch of a new global resource through Spring Health—providing care</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employees answering surveys conducted over a number of</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navigation, coaching, in-person and virtual therapy, self-guided digital</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years for organizations within hospital, health systems,</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exercises, and educational content—which will be available to all employees</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insurance, pharmaceuticals, and medical research and</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beginning January 2026.</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development industry.</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Volunteering: </w:t>
            </w:r>
            <w:r>
              <w:rPr>
                <w:rFonts w:ascii="Arial" w:cs="Arial" w:eastAsia="Arial" w:hAnsi="Arial"/>
                <w:sz w:val="10"/>
                <w:szCs w:val="10"/>
                <w:color w:val="auto"/>
              </w:rPr>
              <w:t>Organized events throughout the year to connect with</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These results allow us to track progress year over year, ident</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each other and our communities. In 2025, 770 team members volunteered</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ify</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3,135 hours on Global Volunteer Day compared to 688 team members and</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patterns, and assess the effectiveness of our actions. Insight</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2,952 hours in 2024.</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Work-life Balance: </w:t>
            </w:r>
            <w:r>
              <w:rPr>
                <w:rFonts w:ascii="Arial" w:cs="Arial" w:eastAsia="Arial" w:hAnsi="Arial"/>
                <w:sz w:val="10"/>
                <w:szCs w:val="10"/>
                <w:color w:val="auto"/>
              </w:rPr>
              <w:t>Continued offering four additional days off and four</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from the survey help us monitor Genmab’s areas of strength</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meeting-free days annually, alongside paid time off, leave-of-absence policie</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and opportunity. To deepen understanding of critical</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engagement issues, we also conduct focus groups and shar</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484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color w:val="auto"/>
              </w:rPr>
              <w:t>and family-related leave for all full-time employees in line with local regulation</w:t>
            </w: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survey results across the organization. People leaders are</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Maintained the tradition of a late-December holiday office closure to support</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encouraged to review team-level feedback and develop</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rest and connection outside of work.</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targeted actions to improve the employee experience.</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Total Rewards &amp; Opportunities: </w:t>
            </w:r>
            <w:r>
              <w:rPr>
                <w:rFonts w:ascii="Arial" w:cs="Arial" w:eastAsia="Arial" w:hAnsi="Arial"/>
                <w:sz w:val="10"/>
                <w:szCs w:val="10"/>
                <w:color w:val="auto"/>
              </w:rPr>
              <w:t>Advanced our ongoing efforts to support</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Executive Management reviews the findings collectively to</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employee understanding of Total Rewards &amp; Opportunities, including salary</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analyze trends, reflect on strengths and opportunities, and</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growth potential, equity grants, and market-competitive benefits across well-</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guide organizational priorities. In addition, Genmab regularly</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being dimensions. We also launched a new global reward and recognition</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hosts functional and regional town halls to update teams on</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program and tool to facilitate timely feedback, offer opportunities for cash</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business progress and reinforce transparency.</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rewards, and strengthen a culture of appreciation across the organization.</w:t>
            </w: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By consistently leveraging our global engagement survey an</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spacing w:after="0"/>
              <w:rPr>
                <w:sz w:val="8"/>
                <w:szCs w:val="8"/>
                <w:color w:val="auto"/>
              </w:rPr>
            </w:pP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d</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spacing w:after="0"/>
              <w:rPr>
                <w:sz w:val="8"/>
                <w:szCs w:val="8"/>
                <w:color w:val="auto"/>
              </w:rPr>
            </w:pP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follow-up actions, Genmab creates a workplace where</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spacing w:after="0"/>
              <w:rPr>
                <w:sz w:val="8"/>
                <w:szCs w:val="8"/>
                <w:color w:val="auto"/>
              </w:rPr>
            </w:pP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employees feel valued, motivated, and committed to achievin</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spacing w:after="0"/>
              <w:rPr>
                <w:sz w:val="8"/>
                <w:szCs w:val="8"/>
                <w:color w:val="auto"/>
              </w:rPr>
            </w:pPr>
          </w:p>
        </w:tc>
        <w:tc>
          <w:tcPr>
            <w:tcW w:w="1260" w:type="dxa"/>
            <w:vAlign w:val="bottom"/>
            <w:shd w:val="clear" w:color="auto" w:fill="EDEEEE"/>
          </w:tcPr>
          <w:p>
            <w:pPr>
              <w:spacing w:after="0"/>
              <w:rPr>
                <w:sz w:val="8"/>
                <w:szCs w:val="8"/>
                <w:color w:val="auto"/>
              </w:rPr>
            </w:pPr>
          </w:p>
        </w:tc>
        <w:tc>
          <w:tcPr>
            <w:tcW w:w="286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g</w:t>
            </w:r>
          </w:p>
        </w:tc>
        <w:tc>
          <w:tcPr>
            <w:tcW w:w="1240" w:type="dxa"/>
            <w:vAlign w:val="bottom"/>
            <w:shd w:val="clear" w:color="auto" w:fill="EDEEE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EDEEEE"/>
          </w:tcPr>
          <w:p>
            <w:pPr>
              <w:spacing w:after="0"/>
              <w:rPr>
                <w:sz w:val="11"/>
                <w:szCs w:val="11"/>
                <w:color w:val="auto"/>
              </w:rPr>
            </w:pPr>
          </w:p>
        </w:tc>
        <w:tc>
          <w:tcPr>
            <w:tcW w:w="3580" w:type="dxa"/>
            <w:vAlign w:val="bottom"/>
            <w:shd w:val="clear" w:color="auto" w:fill="EDEEEE"/>
          </w:tcPr>
          <w:p>
            <w:pPr>
              <w:spacing w:after="0"/>
              <w:rPr>
                <w:sz w:val="11"/>
                <w:szCs w:val="11"/>
                <w:color w:val="auto"/>
              </w:rPr>
            </w:pPr>
          </w:p>
        </w:tc>
        <w:tc>
          <w:tcPr>
            <w:tcW w:w="1260" w:type="dxa"/>
            <w:vAlign w:val="bottom"/>
            <w:shd w:val="clear" w:color="auto" w:fill="EDEEEE"/>
          </w:tcPr>
          <w:p>
            <w:pPr>
              <w:spacing w:after="0"/>
              <w:rPr>
                <w:sz w:val="11"/>
                <w:szCs w:val="11"/>
                <w:color w:val="auto"/>
              </w:rPr>
            </w:pPr>
          </w:p>
        </w:tc>
        <w:tc>
          <w:tcPr>
            <w:tcW w:w="2860" w:type="dxa"/>
            <w:vAlign w:val="bottom"/>
            <w:shd w:val="clear" w:color="auto" w:fill="EDEEEE"/>
          </w:tcPr>
          <w:p>
            <w:pPr>
              <w:ind w:left="40"/>
              <w:spacing w:after="0"/>
              <w:rPr>
                <w:sz w:val="20"/>
                <w:szCs w:val="20"/>
                <w:color w:val="auto"/>
              </w:rPr>
            </w:pPr>
            <w:r>
              <w:rPr>
                <w:rFonts w:ascii="Arial" w:cs="Arial" w:eastAsia="Arial" w:hAnsi="Arial"/>
                <w:sz w:val="10"/>
                <w:szCs w:val="10"/>
                <w:color w:val="auto"/>
              </w:rPr>
              <w:t>our shared goals.</w:t>
            </w:r>
          </w:p>
        </w:tc>
        <w:tc>
          <w:tcPr>
            <w:tcW w:w="1240" w:type="dxa"/>
            <w:vAlign w:val="bottom"/>
            <w:shd w:val="clear" w:color="auto" w:fill="EDEEE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00" w:type="dxa"/>
            <w:vAlign w:val="bottom"/>
            <w:shd w:val="clear" w:color="auto" w:fill="EDEEEE"/>
          </w:tcPr>
          <w:p>
            <w:pPr>
              <w:spacing w:after="0"/>
              <w:rPr>
                <w:sz w:val="6"/>
                <w:szCs w:val="6"/>
                <w:color w:val="auto"/>
              </w:rPr>
            </w:pPr>
          </w:p>
        </w:tc>
        <w:tc>
          <w:tcPr>
            <w:tcW w:w="3580" w:type="dxa"/>
            <w:vAlign w:val="bottom"/>
            <w:shd w:val="clear" w:color="auto" w:fill="EDEEEE"/>
          </w:tcPr>
          <w:p>
            <w:pPr>
              <w:spacing w:after="0"/>
              <w:rPr>
                <w:sz w:val="6"/>
                <w:szCs w:val="6"/>
                <w:color w:val="auto"/>
              </w:rPr>
            </w:pPr>
          </w:p>
        </w:tc>
        <w:tc>
          <w:tcPr>
            <w:tcW w:w="1260" w:type="dxa"/>
            <w:vAlign w:val="bottom"/>
            <w:shd w:val="clear" w:color="auto" w:fill="EDEEEE"/>
          </w:tcPr>
          <w:p>
            <w:pPr>
              <w:spacing w:after="0"/>
              <w:rPr>
                <w:sz w:val="6"/>
                <w:szCs w:val="6"/>
                <w:color w:val="auto"/>
              </w:rPr>
            </w:pPr>
          </w:p>
        </w:tc>
        <w:tc>
          <w:tcPr>
            <w:tcW w:w="2860" w:type="dxa"/>
            <w:vAlign w:val="bottom"/>
            <w:shd w:val="clear" w:color="auto" w:fill="EDEEEE"/>
          </w:tcPr>
          <w:p>
            <w:pPr>
              <w:spacing w:after="0"/>
              <w:rPr>
                <w:sz w:val="6"/>
                <w:szCs w:val="6"/>
                <w:color w:val="auto"/>
              </w:rPr>
            </w:pPr>
          </w:p>
        </w:tc>
        <w:tc>
          <w:tcPr>
            <w:tcW w:w="1240" w:type="dxa"/>
            <w:vAlign w:val="bottom"/>
            <w:shd w:val="clear" w:color="auto" w:fill="EDEEEE"/>
          </w:tcPr>
          <w:p>
            <w:pPr>
              <w:spacing w:after="0"/>
              <w:rPr>
                <w:sz w:val="6"/>
                <w:szCs w:val="6"/>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9"/>
          <w:szCs w:val="9"/>
          <w:color w:val="auto"/>
        </w:rPr>
        <w:t>1.Executive Management received RSU grants in 2023, 2024 and 2025 with performance linked to sustaining at or better than the global benchmark for employee engagement.</w:t>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10"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86</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tbl>
      <w:tblPr>
        <w:tblLayout w:type="fixed"/>
        <w:tblInd w:w="0" w:type="dxa"/>
        <w:tblCellMar>
          <w:top w:w="0" w:type="dxa"/>
          <w:left w:w="0" w:type="dxa"/>
          <w:bottom w:w="0" w:type="dxa"/>
          <w:right w:w="0" w:type="dxa"/>
        </w:tblCellMar>
      </w:tblPr>
      <w:tr>
        <w:trPr>
          <w:trHeight w:val="123"/>
        </w:trPr>
        <w:tc>
          <w:tcPr>
            <w:tcW w:w="90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rPr>
              <w:t>IRO</w:t>
            </w:r>
          </w:p>
        </w:tc>
        <w:tc>
          <w:tcPr>
            <w:tcW w:w="3580" w:type="dxa"/>
            <w:vAlign w:val="bottom"/>
            <w:tcBorders>
              <w:top w:val="single" w:sz="8" w:color="0057CF"/>
            </w:tcBorders>
          </w:tcPr>
          <w:p>
            <w:pPr>
              <w:ind w:left="40"/>
              <w:spacing w:after="0"/>
              <w:rPr>
                <w:sz w:val="20"/>
                <w:szCs w:val="20"/>
                <w:color w:val="auto"/>
              </w:rPr>
            </w:pPr>
            <w:r>
              <w:rPr>
                <w:rFonts w:ascii="Arial" w:cs="Arial" w:eastAsia="Arial" w:hAnsi="Arial"/>
                <w:sz w:val="10"/>
                <w:szCs w:val="10"/>
                <w:b w:val="1"/>
                <w:bCs w:val="1"/>
                <w:color w:val="auto"/>
              </w:rPr>
              <w:t>Key Actions in 2025</w:t>
            </w:r>
          </w:p>
        </w:tc>
        <w:tc>
          <w:tcPr>
            <w:tcW w:w="1240" w:type="dxa"/>
            <w:vAlign w:val="bottom"/>
            <w:tcBorders>
              <w:top w:val="single" w:sz="8" w:color="0057CF"/>
            </w:tcBorders>
          </w:tcPr>
          <w:p>
            <w:pPr>
              <w:spacing w:after="0"/>
              <w:rPr>
                <w:sz w:val="20"/>
                <w:szCs w:val="20"/>
                <w:color w:val="auto"/>
              </w:rPr>
            </w:pPr>
            <w:r>
              <w:rPr>
                <w:rFonts w:ascii="Arial" w:cs="Arial" w:eastAsia="Arial" w:hAnsi="Arial"/>
                <w:sz w:val="10"/>
                <w:szCs w:val="10"/>
                <w:b w:val="1"/>
                <w:bCs w:val="1"/>
                <w:color w:val="auto"/>
              </w:rPr>
              <w:t>Targets</w:t>
            </w:r>
          </w:p>
        </w:tc>
        <w:tc>
          <w:tcPr>
            <w:tcW w:w="2840" w:type="dxa"/>
            <w:vAlign w:val="bottom"/>
            <w:tcBorders>
              <w:top w:val="single" w:sz="8" w:color="0057CF"/>
            </w:tcBorders>
          </w:tcPr>
          <w:p>
            <w:pPr>
              <w:ind w:left="60"/>
              <w:spacing w:after="0"/>
              <w:rPr>
                <w:sz w:val="20"/>
                <w:szCs w:val="20"/>
                <w:color w:val="auto"/>
              </w:rPr>
            </w:pPr>
            <w:r>
              <w:rPr>
                <w:rFonts w:ascii="Arial" w:cs="Arial" w:eastAsia="Arial" w:hAnsi="Arial"/>
                <w:sz w:val="10"/>
                <w:szCs w:val="10"/>
                <w:b w:val="1"/>
                <w:bCs w:val="1"/>
                <w:color w:val="auto"/>
              </w:rPr>
              <w:t>Outcomes/Tracking Effectiveness</w:t>
            </w:r>
          </w:p>
        </w:tc>
        <w:tc>
          <w:tcPr>
            <w:tcW w:w="1280" w:type="dxa"/>
            <w:vAlign w:val="bottom"/>
            <w:tcBorders>
              <w:top w:val="single" w:sz="8" w:color="0057CF"/>
            </w:tcBorders>
          </w:tcPr>
          <w:p>
            <w:pPr>
              <w:ind w:left="60"/>
              <w:spacing w:after="0"/>
              <w:rPr>
                <w:sz w:val="20"/>
                <w:szCs w:val="20"/>
                <w:color w:val="auto"/>
              </w:rPr>
            </w:pPr>
            <w:r>
              <w:rPr>
                <w:rFonts w:ascii="Arial" w:cs="Arial" w:eastAsia="Arial" w:hAnsi="Arial"/>
                <w:sz w:val="10"/>
                <w:szCs w:val="10"/>
                <w:b w:val="1"/>
                <w:bCs w:val="1"/>
                <w:color w:val="auto"/>
              </w:rPr>
              <w:t>Stakeholder Involvement</w:t>
            </w:r>
          </w:p>
        </w:tc>
        <w:tc>
          <w:tcPr>
            <w:tcW w:w="0" w:type="dxa"/>
            <w:vAlign w:val="bottom"/>
          </w:tcPr>
          <w:p>
            <w:pPr>
              <w:spacing w:after="0"/>
              <w:rPr>
                <w:sz w:val="1"/>
                <w:szCs w:val="1"/>
                <w:color w:val="auto"/>
              </w:rPr>
            </w:pPr>
          </w:p>
        </w:tc>
      </w:tr>
      <w:tr>
        <w:trPr>
          <w:trHeight w:val="105"/>
        </w:trPr>
        <w:tc>
          <w:tcPr>
            <w:tcW w:w="90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Safety in our</w:t>
            </w:r>
          </w:p>
        </w:tc>
        <w:tc>
          <w:tcPr>
            <w:tcW w:w="3580" w:type="dxa"/>
            <w:vAlign w:val="bottom"/>
          </w:tcPr>
          <w:p>
            <w:pPr>
              <w:ind w:left="40"/>
              <w:spacing w:after="0" w:line="105" w:lineRule="exact"/>
              <w:rPr>
                <w:sz w:val="20"/>
                <w:szCs w:val="20"/>
                <w:color w:val="auto"/>
              </w:rPr>
            </w:pPr>
            <w:r>
              <w:rPr>
                <w:rFonts w:ascii="Arial" w:cs="Arial" w:eastAsia="Arial" w:hAnsi="Arial"/>
                <w:sz w:val="10"/>
                <w:szCs w:val="10"/>
                <w:b w:val="1"/>
                <w:bCs w:val="1"/>
                <w:color w:val="auto"/>
              </w:rPr>
              <w:t xml:space="preserve">Training: </w:t>
            </w:r>
            <w:r>
              <w:rPr>
                <w:rFonts w:ascii="Arial" w:cs="Arial" w:eastAsia="Arial" w:hAnsi="Arial"/>
                <w:sz w:val="10"/>
                <w:szCs w:val="10"/>
                <w:color w:val="auto"/>
              </w:rPr>
              <w:t>Provided mandatory safety training and continuous education,</w:t>
            </w:r>
          </w:p>
        </w:tc>
        <w:tc>
          <w:tcPr>
            <w:tcW w:w="1240" w:type="dxa"/>
            <w:vAlign w:val="bottom"/>
          </w:tcPr>
          <w:p>
            <w:pPr>
              <w:spacing w:after="0" w:line="105" w:lineRule="exact"/>
              <w:rPr>
                <w:sz w:val="20"/>
                <w:szCs w:val="20"/>
                <w:color w:val="auto"/>
              </w:rPr>
            </w:pPr>
            <w:r>
              <w:rPr>
                <w:rFonts w:ascii="Arial" w:cs="Arial" w:eastAsia="Arial" w:hAnsi="Arial"/>
                <w:sz w:val="10"/>
                <w:szCs w:val="10"/>
                <w:color w:val="auto"/>
              </w:rPr>
              <w:t>None</w:t>
            </w:r>
          </w:p>
        </w:tc>
        <w:tc>
          <w:tcPr>
            <w:tcW w:w="2840" w:type="dxa"/>
            <w:vAlign w:val="bottom"/>
          </w:tcPr>
          <w:p>
            <w:pPr>
              <w:ind w:left="60"/>
              <w:spacing w:after="0" w:line="105" w:lineRule="exact"/>
              <w:rPr>
                <w:sz w:val="20"/>
                <w:szCs w:val="20"/>
                <w:color w:val="auto"/>
              </w:rPr>
            </w:pPr>
            <w:r>
              <w:rPr>
                <w:rFonts w:ascii="Arial" w:cs="Arial" w:eastAsia="Arial" w:hAnsi="Arial"/>
                <w:sz w:val="10"/>
                <w:szCs w:val="10"/>
                <w:color w:val="auto"/>
              </w:rPr>
              <w:t>We have formal committees responsible for monitoring and</w:t>
            </w:r>
          </w:p>
        </w:tc>
        <w:tc>
          <w:tcPr>
            <w:tcW w:w="1280" w:type="dxa"/>
            <w:vAlign w:val="bottom"/>
          </w:tcPr>
          <w:p>
            <w:pPr>
              <w:ind w:left="60"/>
              <w:spacing w:after="0" w:line="105" w:lineRule="exact"/>
              <w:rPr>
                <w:sz w:val="20"/>
                <w:szCs w:val="20"/>
                <w:color w:val="auto"/>
              </w:rPr>
            </w:pPr>
            <w:r>
              <w:rPr>
                <w:rFonts w:ascii="Arial" w:cs="Arial" w:eastAsia="Arial" w:hAnsi="Arial"/>
                <w:sz w:val="10"/>
                <w:szCs w:val="10"/>
                <w:color w:val="auto"/>
              </w:rPr>
              <w:t>Under the leadership of</w:t>
            </w:r>
          </w:p>
        </w:tc>
        <w:tc>
          <w:tcPr>
            <w:tcW w:w="0" w:type="dxa"/>
            <w:vAlign w:val="bottom"/>
          </w:tcPr>
          <w:p>
            <w:pPr>
              <w:spacing w:after="0"/>
              <w:rPr>
                <w:sz w:val="1"/>
                <w:szCs w:val="1"/>
                <w:color w:val="auto"/>
              </w:rPr>
            </w:pPr>
          </w:p>
        </w:tc>
      </w:tr>
      <w:tr>
        <w:trPr>
          <w:trHeight w:val="95"/>
        </w:trPr>
        <w:tc>
          <w:tcPr>
            <w:tcW w:w="9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facilities</w:t>
            </w: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focusing on hazardous materials in our labs. Our chemical management me</w:t>
            </w:r>
          </w:p>
        </w:tc>
        <w:tc>
          <w:tcPr>
            <w:tcW w:w="1240" w:type="dxa"/>
            <w:vAlign w:val="bottom"/>
          </w:tcPr>
          <w:p>
            <w:pPr>
              <w:spacing w:after="0"/>
              <w:rPr>
                <w:sz w:val="8"/>
                <w:szCs w:val="8"/>
                <w:color w:val="auto"/>
              </w:rPr>
            </w:pPr>
          </w:p>
        </w:tc>
        <w:tc>
          <w:tcPr>
            <w:tcW w:w="2840" w:type="dxa"/>
            <w:vAlign w:val="bottom"/>
          </w:tcPr>
          <w:p>
            <w:pPr>
              <w:ind w:left="60"/>
              <w:spacing w:after="0" w:line="95" w:lineRule="exact"/>
              <w:rPr>
                <w:sz w:val="20"/>
                <w:szCs w:val="20"/>
                <w:color w:val="auto"/>
              </w:rPr>
            </w:pPr>
            <w:r>
              <w:rPr>
                <w:rFonts w:ascii="Arial" w:cs="Arial" w:eastAsia="Arial" w:hAnsi="Arial"/>
                <w:sz w:val="10"/>
                <w:szCs w:val="10"/>
                <w:color w:val="auto"/>
              </w:rPr>
              <w:t>improving health and safety at all locations. Our chemical</w:t>
            </w:r>
          </w:p>
        </w:tc>
        <w:tc>
          <w:tcPr>
            <w:tcW w:w="1280" w:type="dxa"/>
            <w:vAlign w:val="bottom"/>
          </w:tcPr>
          <w:p>
            <w:pPr>
              <w:ind w:left="60"/>
              <w:spacing w:after="0" w:line="95" w:lineRule="exact"/>
              <w:rPr>
                <w:sz w:val="20"/>
                <w:szCs w:val="20"/>
                <w:color w:val="auto"/>
              </w:rPr>
            </w:pPr>
            <w:r>
              <w:rPr>
                <w:rFonts w:ascii="Arial" w:cs="Arial" w:eastAsia="Arial" w:hAnsi="Arial"/>
                <w:sz w:val="10"/>
                <w:szCs w:val="10"/>
                <w:color w:val="auto"/>
              </w:rPr>
              <w:t>our Chief Medical Officer,</w:t>
            </w: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ets</w:t>
            </w:r>
          </w:p>
        </w:tc>
        <w:tc>
          <w:tcPr>
            <w:tcW w:w="1240" w:type="dxa"/>
            <w:vAlign w:val="bottom"/>
          </w:tcPr>
          <w:p>
            <w:pPr>
              <w:spacing w:after="0"/>
              <w:rPr>
                <w:sz w:val="8"/>
                <w:szCs w:val="8"/>
                <w:color w:val="auto"/>
              </w:rPr>
            </w:pPr>
          </w:p>
        </w:tc>
        <w:tc>
          <w:tcPr>
            <w:tcW w:w="2840" w:type="dxa"/>
            <w:vAlign w:val="bottom"/>
          </w:tcPr>
          <w:p>
            <w:pPr>
              <w:ind w:left="60"/>
              <w:spacing w:after="0" w:line="95" w:lineRule="exact"/>
              <w:rPr>
                <w:sz w:val="20"/>
                <w:szCs w:val="20"/>
                <w:color w:val="auto"/>
              </w:rPr>
            </w:pPr>
            <w:r>
              <w:rPr>
                <w:rFonts w:ascii="Arial" w:cs="Arial" w:eastAsia="Arial" w:hAnsi="Arial"/>
                <w:sz w:val="10"/>
                <w:szCs w:val="10"/>
                <w:color w:val="auto"/>
              </w:rPr>
              <w:t>management team met all regulations, prioritized employee</w:t>
            </w:r>
          </w:p>
        </w:tc>
        <w:tc>
          <w:tcPr>
            <w:tcW w:w="1280" w:type="dxa"/>
            <w:vAlign w:val="bottom"/>
          </w:tcPr>
          <w:p>
            <w:pPr>
              <w:ind w:left="60"/>
              <w:spacing w:after="0" w:line="95" w:lineRule="exact"/>
              <w:rPr>
                <w:sz w:val="20"/>
                <w:szCs w:val="20"/>
                <w:color w:val="auto"/>
              </w:rPr>
            </w:pPr>
            <w:r>
              <w:rPr>
                <w:rFonts w:ascii="Arial" w:cs="Arial" w:eastAsia="Arial" w:hAnsi="Arial"/>
                <w:sz w:val="10"/>
                <w:szCs w:val="10"/>
                <w:color w:val="auto"/>
              </w:rPr>
              <w:t>our committees are</w:t>
            </w: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all regulations, prioritizes employee and environmental safety, and monitors</w:t>
            </w:r>
          </w:p>
        </w:tc>
        <w:tc>
          <w:tcPr>
            <w:tcW w:w="1240" w:type="dxa"/>
            <w:vAlign w:val="bottom"/>
          </w:tcPr>
          <w:p>
            <w:pPr>
              <w:spacing w:after="0"/>
              <w:rPr>
                <w:sz w:val="8"/>
                <w:szCs w:val="8"/>
                <w:color w:val="auto"/>
              </w:rPr>
            </w:pPr>
          </w:p>
        </w:tc>
        <w:tc>
          <w:tcPr>
            <w:tcW w:w="4120" w:type="dxa"/>
            <w:vAlign w:val="bottom"/>
            <w:gridSpan w:val="2"/>
          </w:tcPr>
          <w:p>
            <w:pPr>
              <w:ind w:left="60"/>
              <w:spacing w:after="0" w:line="95" w:lineRule="exact"/>
              <w:rPr>
                <w:sz w:val="20"/>
                <w:szCs w:val="20"/>
                <w:color w:val="auto"/>
              </w:rPr>
            </w:pPr>
            <w:r>
              <w:rPr>
                <w:rFonts w:ascii="Arial" w:cs="Arial" w:eastAsia="Arial" w:hAnsi="Arial"/>
                <w:sz w:val="10"/>
                <w:szCs w:val="10"/>
                <w:color w:val="auto"/>
              </w:rPr>
              <w:t>and environmental safety, and monitored high-risk substance responsible for ensuring</w:t>
            </w: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high-risk substances. In 2025, no chemical-related incidents required more</w:t>
            </w:r>
          </w:p>
        </w:tc>
        <w:tc>
          <w:tcPr>
            <w:tcW w:w="1240" w:type="dxa"/>
            <w:vAlign w:val="bottom"/>
          </w:tcPr>
          <w:p>
            <w:pPr>
              <w:spacing w:after="0"/>
              <w:rPr>
                <w:sz w:val="8"/>
                <w:szCs w:val="8"/>
                <w:color w:val="auto"/>
              </w:rPr>
            </w:pPr>
          </w:p>
        </w:tc>
        <w:tc>
          <w:tcPr>
            <w:tcW w:w="2840" w:type="dxa"/>
            <w:vAlign w:val="bottom"/>
          </w:tcPr>
          <w:p>
            <w:pPr>
              <w:ind w:left="60"/>
              <w:spacing w:after="0" w:line="95" w:lineRule="exact"/>
              <w:rPr>
                <w:sz w:val="20"/>
                <w:szCs w:val="20"/>
                <w:color w:val="auto"/>
              </w:rPr>
            </w:pPr>
            <w:r>
              <w:rPr>
                <w:rFonts w:ascii="Arial" w:cs="Arial" w:eastAsia="Arial" w:hAnsi="Arial"/>
                <w:sz w:val="10"/>
                <w:szCs w:val="10"/>
                <w:color w:val="auto"/>
              </w:rPr>
              <w:t>s.</w:t>
            </w:r>
          </w:p>
        </w:tc>
        <w:tc>
          <w:tcPr>
            <w:tcW w:w="1280" w:type="dxa"/>
            <w:vAlign w:val="bottom"/>
          </w:tcPr>
          <w:p>
            <w:pPr>
              <w:ind w:left="60"/>
              <w:spacing w:after="0" w:line="95" w:lineRule="exact"/>
              <w:rPr>
                <w:sz w:val="20"/>
                <w:szCs w:val="20"/>
                <w:color w:val="auto"/>
              </w:rPr>
            </w:pPr>
            <w:r>
              <w:rPr>
                <w:rFonts w:ascii="Arial" w:cs="Arial" w:eastAsia="Arial" w:hAnsi="Arial"/>
                <w:sz w:val="10"/>
                <w:szCs w:val="10"/>
                <w:color w:val="auto"/>
              </w:rPr>
              <w:t>compliance.</w:t>
            </w: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than first aid.</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 xml:space="preserve">Annual Safe &amp; Sound Day: </w:t>
            </w:r>
            <w:r>
              <w:rPr>
                <w:rFonts w:ascii="Arial" w:cs="Arial" w:eastAsia="Arial" w:hAnsi="Arial"/>
                <w:sz w:val="10"/>
                <w:szCs w:val="10"/>
                <w:color w:val="auto"/>
              </w:rPr>
              <w:t>Demonstrates Genmab’s continued focus on</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workplace health, safety, and employee well-being. Colleagues across our</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sites in the Netherlands, Denmark, and the US took part in coordinated</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activities designed to enhance safety awareness and practical response skill</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s.</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The program included the launch of Genmab’s global Safety Culture Ladder,</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first aid and firefighter training, interactive safety games, CPR workshops,</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vendor fairs, and live safety demonstrations. These events fostered</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3580" w:type="dxa"/>
            <w:vAlign w:val="bottom"/>
          </w:tcPr>
          <w:p>
            <w:pPr>
              <w:ind w:left="40"/>
              <w:spacing w:after="0" w:line="95" w:lineRule="exact"/>
              <w:rPr>
                <w:sz w:val="20"/>
                <w:szCs w:val="20"/>
                <w:color w:val="auto"/>
              </w:rPr>
            </w:pPr>
            <w:r>
              <w:rPr>
                <w:rFonts w:ascii="Arial" w:cs="Arial" w:eastAsia="Arial" w:hAnsi="Arial"/>
                <w:sz w:val="10"/>
                <w:szCs w:val="10"/>
                <w:color w:val="auto"/>
              </w:rPr>
              <w:t>engagement and strengthened our shared commitment to a safe and</w:t>
            </w:r>
          </w:p>
        </w:tc>
        <w:tc>
          <w:tcPr>
            <w:tcW w:w="12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900" w:type="dxa"/>
            <w:vAlign w:val="bottom"/>
          </w:tcPr>
          <w:p>
            <w:pPr>
              <w:spacing w:after="0"/>
              <w:rPr>
                <w:sz w:val="11"/>
                <w:szCs w:val="11"/>
                <w:color w:val="auto"/>
              </w:rPr>
            </w:pPr>
          </w:p>
        </w:tc>
        <w:tc>
          <w:tcPr>
            <w:tcW w:w="3580" w:type="dxa"/>
            <w:vAlign w:val="bottom"/>
          </w:tcPr>
          <w:p>
            <w:pPr>
              <w:ind w:left="40"/>
              <w:spacing w:after="0"/>
              <w:rPr>
                <w:sz w:val="20"/>
                <w:szCs w:val="20"/>
                <w:color w:val="auto"/>
              </w:rPr>
            </w:pPr>
            <w:r>
              <w:rPr>
                <w:rFonts w:ascii="Arial" w:cs="Arial" w:eastAsia="Arial" w:hAnsi="Arial"/>
                <w:sz w:val="10"/>
                <w:szCs w:val="10"/>
                <w:color w:val="auto"/>
              </w:rPr>
              <w:t>supportive work environment.</w:t>
            </w:r>
          </w:p>
        </w:tc>
        <w:tc>
          <w:tcPr>
            <w:tcW w:w="1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Career</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Learning &amp; Development: </w:t>
            </w:r>
            <w:r>
              <w:rPr>
                <w:rFonts w:ascii="Arial" w:cs="Arial" w:eastAsia="Arial" w:hAnsi="Arial"/>
                <w:sz w:val="10"/>
                <w:szCs w:val="10"/>
                <w:color w:val="auto"/>
              </w:rPr>
              <w:t>Leveraged multiple skills-based in-person</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1.100% of employees are</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1.Target achieved for 2025. The Global Talent and Culture</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1.Under the leadership of</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Development</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workshops and digital learning paths for employees focused on specific skill</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provided access to</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team ensured that required trainings were offered to all</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the Global Talent and</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through Training</w:t>
            </w:r>
          </w:p>
        </w:tc>
        <w:tc>
          <w:tcPr>
            <w:tcW w:w="482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color w:val="auto"/>
              </w:rPr>
              <w:t>development with focus areas including leadership, digital and AI, feedback, training programs that</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employees.</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Culture team, all</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and Skill</w:t>
            </w:r>
          </w:p>
        </w:tc>
        <w:tc>
          <w:tcPr>
            <w:tcW w:w="482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color w:val="auto"/>
              </w:rPr>
              <w:t>strategic planning, advance Excel skills, leading different generations, inform meet the development</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2.Target achieved for 2025. The Global Talent and Culture</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employees are provided</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ind w:left="20"/>
              <w:spacing w:after="0" w:line="95" w:lineRule="exact"/>
              <w:rPr>
                <w:sz w:val="20"/>
                <w:szCs w:val="20"/>
                <w:color w:val="auto"/>
              </w:rPr>
            </w:pPr>
            <w:r>
              <w:rPr>
                <w:rFonts w:ascii="Arial" w:cs="Arial" w:eastAsia="Arial" w:hAnsi="Arial"/>
                <w:sz w:val="10"/>
                <w:szCs w:val="10"/>
                <w:b w:val="1"/>
                <w:bCs w:val="1"/>
                <w:color w:val="auto"/>
              </w:rPr>
              <w:t>Building</w:t>
            </w: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al</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needs across various</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team ensured all eligible employees were provided full</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access.</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leadership, and business communications.</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career stages and</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access to Genmab’s year-end performance process,</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2.Under the leadership of</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4820" w:type="dxa"/>
            <w:vAlign w:val="bottom"/>
            <w:gridSpan w:val="2"/>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Global Mentorship Program: </w:t>
            </w:r>
            <w:r>
              <w:rPr>
                <w:rFonts w:ascii="Arial" w:cs="Arial" w:eastAsia="Arial" w:hAnsi="Arial"/>
                <w:sz w:val="10"/>
                <w:szCs w:val="10"/>
                <w:color w:val="auto"/>
              </w:rPr>
              <w:t>Extended the Program to ensure an inclusive learning styles (Annual)</w:t>
            </w:r>
          </w:p>
        </w:tc>
        <w:tc>
          <w:tcPr>
            <w:tcW w:w="4120" w:type="dxa"/>
            <w:vAlign w:val="bottom"/>
            <w:gridSpan w:val="2"/>
            <w:shd w:val="clear" w:color="auto" w:fill="EDEEEE"/>
          </w:tcPr>
          <w:p>
            <w:pPr>
              <w:ind w:left="60"/>
              <w:spacing w:after="0" w:line="95" w:lineRule="exact"/>
              <w:rPr>
                <w:sz w:val="20"/>
                <w:szCs w:val="20"/>
                <w:color w:val="auto"/>
              </w:rPr>
            </w:pPr>
            <w:r>
              <w:rPr>
                <w:rFonts w:ascii="Arial" w:cs="Arial" w:eastAsia="Arial" w:hAnsi="Arial"/>
                <w:sz w:val="10"/>
                <w:szCs w:val="10"/>
                <w:color w:val="auto"/>
              </w:rPr>
              <w:t>including providing internal resources and early engagement. the Global Talent and</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vMerge w:val="restart"/>
            <w:shd w:val="clear" w:color="auto" w:fill="EDEEEE"/>
          </w:tcPr>
          <w:p>
            <w:pPr>
              <w:ind w:left="40"/>
              <w:spacing w:after="0"/>
              <w:rPr>
                <w:sz w:val="20"/>
                <w:szCs w:val="20"/>
                <w:color w:val="auto"/>
              </w:rPr>
            </w:pPr>
            <w:r>
              <w:rPr>
                <w:rFonts w:ascii="Arial" w:cs="Arial" w:eastAsia="Arial" w:hAnsi="Arial"/>
                <w:sz w:val="10"/>
                <w:szCs w:val="10"/>
                <w:color w:val="auto"/>
              </w:rPr>
              <w:t>and supportive environment, designed to impact the sense of belonging, as</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2.100% of eligible</w:t>
            </w:r>
          </w:p>
        </w:tc>
        <w:tc>
          <w:tcPr>
            <w:tcW w:w="4120" w:type="dxa"/>
            <w:vAlign w:val="bottom"/>
            <w:gridSpan w:val="2"/>
            <w:shd w:val="clear" w:color="auto" w:fill="EDEEEE"/>
          </w:tcPr>
          <w:p>
            <w:pPr>
              <w:ind w:left="60"/>
              <w:spacing w:after="0" w:line="95" w:lineRule="exact"/>
              <w:rPr>
                <w:sz w:val="20"/>
                <w:szCs w:val="20"/>
                <w:color w:val="auto"/>
              </w:rPr>
            </w:pPr>
            <w:r>
              <w:rPr>
                <w:rFonts w:ascii="Arial" w:cs="Arial" w:eastAsia="Arial" w:hAnsi="Arial"/>
                <w:sz w:val="10"/>
                <w:szCs w:val="10"/>
                <w:color w:val="auto"/>
              </w:rPr>
              <w:t>3.Target achieved for 2025. The Corporate Sustainability Tea Culture team, all eligible</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vMerge w:val="continue"/>
            <w:shd w:val="clear" w:color="auto" w:fill="EDEEEE"/>
          </w:tcPr>
          <w:p>
            <w:pPr>
              <w:spacing w:after="0"/>
              <w:rPr>
                <w:sz w:val="8"/>
                <w:szCs w:val="8"/>
                <w:color w:val="auto"/>
              </w:rPr>
            </w:pP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employees are provided</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m</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employees are provided</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employees connect with other colleagues outside their area of expertise as</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access to Genmab’s end</w:t>
            </w:r>
          </w:p>
        </w:tc>
        <w:tc>
          <w:tcPr>
            <w:tcW w:w="4120" w:type="dxa"/>
            <w:vAlign w:val="bottom"/>
            <w:gridSpan w:val="2"/>
            <w:shd w:val="clear" w:color="auto" w:fill="EDEEEE"/>
          </w:tcPr>
          <w:p>
            <w:pPr>
              <w:ind w:left="60"/>
              <w:spacing w:after="0" w:line="95" w:lineRule="exact"/>
              <w:rPr>
                <w:sz w:val="20"/>
                <w:szCs w:val="20"/>
                <w:color w:val="auto"/>
              </w:rPr>
            </w:pPr>
            <w:r>
              <w:rPr>
                <w:rFonts w:ascii="Arial" w:cs="Arial" w:eastAsia="Arial" w:hAnsi="Arial"/>
                <w:sz w:val="10"/>
                <w:szCs w:val="10"/>
                <w:color w:val="auto"/>
              </w:rPr>
              <w:t>launched the sustainability awareness training for employees access.</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well as connecting with leaders who can provide insights and feedback not</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of year performance</w:t>
            </w:r>
          </w:p>
        </w:tc>
        <w:tc>
          <w:tcPr>
            <w:tcW w:w="284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in 2025.</w:t>
            </w: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3.Under the leadership of</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color w:val="auto"/>
              </w:rPr>
              <w:t>linked to any performance plan. The feedback can be used to develop skills</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process (Annual)</w:t>
            </w:r>
            <w:r>
              <w:rPr>
                <w:rFonts w:ascii="Arial" w:cs="Arial" w:eastAsia="Arial" w:hAnsi="Arial"/>
                <w:sz w:val="6"/>
                <w:szCs w:val="6"/>
                <w:color w:val="auto"/>
              </w:rPr>
              <w:t>2</w:t>
            </w:r>
          </w:p>
        </w:tc>
        <w:tc>
          <w:tcPr>
            <w:tcW w:w="2840" w:type="dxa"/>
            <w:vAlign w:val="bottom"/>
            <w:shd w:val="clear" w:color="auto" w:fill="EDEEEE"/>
          </w:tcPr>
          <w:p>
            <w:pPr>
              <w:spacing w:after="0"/>
              <w:rPr>
                <w:sz w:val="8"/>
                <w:szCs w:val="8"/>
                <w:color w:val="auto"/>
              </w:rPr>
            </w:pP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the Corporate</w:t>
            </w:r>
          </w:p>
        </w:tc>
        <w:tc>
          <w:tcPr>
            <w:tcW w:w="0" w:type="dxa"/>
            <w:vAlign w:val="bottom"/>
          </w:tcPr>
          <w:p>
            <w:pPr>
              <w:spacing w:after="0"/>
              <w:rPr>
                <w:sz w:val="1"/>
                <w:szCs w:val="1"/>
                <w:color w:val="auto"/>
              </w:rPr>
            </w:pPr>
          </w:p>
        </w:tc>
      </w:tr>
      <w:tr>
        <w:trPr>
          <w:trHeight w:val="105"/>
        </w:trPr>
        <w:tc>
          <w:tcPr>
            <w:tcW w:w="900" w:type="dxa"/>
            <w:vAlign w:val="bottom"/>
            <w:shd w:val="clear" w:color="auto" w:fill="EDEEEE"/>
          </w:tcPr>
          <w:p>
            <w:pPr>
              <w:spacing w:after="0"/>
              <w:rPr>
                <w:sz w:val="9"/>
                <w:szCs w:val="9"/>
                <w:color w:val="auto"/>
              </w:rPr>
            </w:pPr>
          </w:p>
        </w:tc>
        <w:tc>
          <w:tcPr>
            <w:tcW w:w="3580" w:type="dxa"/>
            <w:vAlign w:val="bottom"/>
            <w:shd w:val="clear" w:color="auto" w:fill="EDEEEE"/>
          </w:tcPr>
          <w:p>
            <w:pPr>
              <w:ind w:left="40"/>
              <w:spacing w:after="0" w:line="105" w:lineRule="exact"/>
              <w:rPr>
                <w:sz w:val="20"/>
                <w:szCs w:val="20"/>
                <w:color w:val="auto"/>
              </w:rPr>
            </w:pPr>
            <w:r>
              <w:rPr>
                <w:rFonts w:ascii="Arial" w:cs="Arial" w:eastAsia="Arial" w:hAnsi="Arial"/>
                <w:sz w:val="10"/>
                <w:szCs w:val="10"/>
                <w:color w:val="auto"/>
              </w:rPr>
              <w:t>and traits important to that specific individual.</w:t>
            </w:r>
          </w:p>
        </w:tc>
        <w:tc>
          <w:tcPr>
            <w:tcW w:w="1240" w:type="dxa"/>
            <w:vAlign w:val="bottom"/>
            <w:shd w:val="clear" w:color="auto" w:fill="EDEEEE"/>
          </w:tcPr>
          <w:p>
            <w:pPr>
              <w:spacing w:after="0" w:line="105" w:lineRule="exact"/>
              <w:rPr>
                <w:sz w:val="20"/>
                <w:szCs w:val="20"/>
                <w:color w:val="auto"/>
              </w:rPr>
            </w:pPr>
            <w:r>
              <w:rPr>
                <w:rFonts w:ascii="Arial" w:cs="Arial" w:eastAsia="Arial" w:hAnsi="Arial"/>
                <w:sz w:val="10"/>
                <w:szCs w:val="10"/>
                <w:color w:val="auto"/>
              </w:rPr>
              <w:t>3.Launch sustainability</w:t>
            </w:r>
          </w:p>
        </w:tc>
        <w:tc>
          <w:tcPr>
            <w:tcW w:w="2840" w:type="dxa"/>
            <w:vAlign w:val="bottom"/>
            <w:shd w:val="clear" w:color="auto" w:fill="EDEEEE"/>
          </w:tcPr>
          <w:p>
            <w:pPr>
              <w:spacing w:after="0"/>
              <w:rPr>
                <w:sz w:val="9"/>
                <w:szCs w:val="9"/>
                <w:color w:val="auto"/>
              </w:rPr>
            </w:pPr>
          </w:p>
        </w:tc>
        <w:tc>
          <w:tcPr>
            <w:tcW w:w="1280" w:type="dxa"/>
            <w:vAlign w:val="bottom"/>
            <w:shd w:val="clear" w:color="auto" w:fill="EDEEEE"/>
          </w:tcPr>
          <w:p>
            <w:pPr>
              <w:ind w:left="60"/>
              <w:spacing w:after="0" w:line="105" w:lineRule="exact"/>
              <w:rPr>
                <w:sz w:val="20"/>
                <w:szCs w:val="20"/>
                <w:color w:val="auto"/>
              </w:rPr>
            </w:pPr>
            <w:r>
              <w:rPr>
                <w:rFonts w:ascii="Arial" w:cs="Arial" w:eastAsia="Arial" w:hAnsi="Arial"/>
                <w:sz w:val="10"/>
                <w:szCs w:val="10"/>
                <w:color w:val="auto"/>
              </w:rPr>
              <w:t>Sustainability Team, all</w:t>
            </w:r>
          </w:p>
        </w:tc>
        <w:tc>
          <w:tcPr>
            <w:tcW w:w="0" w:type="dxa"/>
            <w:vAlign w:val="bottom"/>
          </w:tcPr>
          <w:p>
            <w:pPr>
              <w:spacing w:after="0"/>
              <w:rPr>
                <w:sz w:val="1"/>
                <w:szCs w:val="1"/>
                <w:color w:val="auto"/>
              </w:rPr>
            </w:pPr>
          </w:p>
        </w:tc>
      </w:tr>
      <w:tr>
        <w:trPr>
          <w:trHeight w:val="95"/>
        </w:trPr>
        <w:tc>
          <w:tcPr>
            <w:tcW w:w="900" w:type="dxa"/>
            <w:vAlign w:val="bottom"/>
            <w:shd w:val="clear" w:color="auto" w:fill="EDEEEE"/>
          </w:tcPr>
          <w:p>
            <w:pPr>
              <w:spacing w:after="0"/>
              <w:rPr>
                <w:sz w:val="8"/>
                <w:szCs w:val="8"/>
                <w:color w:val="auto"/>
              </w:rPr>
            </w:pPr>
          </w:p>
        </w:tc>
        <w:tc>
          <w:tcPr>
            <w:tcW w:w="3580" w:type="dxa"/>
            <w:vAlign w:val="bottom"/>
            <w:shd w:val="clear" w:color="auto" w:fill="EDEEEE"/>
          </w:tcPr>
          <w:p>
            <w:pPr>
              <w:ind w:left="40"/>
              <w:spacing w:after="0" w:line="95" w:lineRule="exact"/>
              <w:rPr>
                <w:sz w:val="20"/>
                <w:szCs w:val="20"/>
                <w:color w:val="auto"/>
              </w:rPr>
            </w:pPr>
            <w:r>
              <w:rPr>
                <w:rFonts w:ascii="Arial" w:cs="Arial" w:eastAsia="Arial" w:hAnsi="Arial"/>
                <w:sz w:val="10"/>
                <w:szCs w:val="10"/>
                <w:b w:val="1"/>
                <w:bCs w:val="1"/>
                <w:color w:val="auto"/>
              </w:rPr>
              <w:t xml:space="preserve">Sustainability Awareness Training: </w:t>
            </w:r>
            <w:r>
              <w:rPr>
                <w:rFonts w:ascii="Arial" w:cs="Arial" w:eastAsia="Arial" w:hAnsi="Arial"/>
                <w:sz w:val="10"/>
                <w:szCs w:val="10"/>
                <w:color w:val="auto"/>
              </w:rPr>
              <w:t>Launched training to all Genmab</w:t>
            </w:r>
          </w:p>
        </w:tc>
        <w:tc>
          <w:tcPr>
            <w:tcW w:w="1240" w:type="dxa"/>
            <w:vAlign w:val="bottom"/>
            <w:shd w:val="clear" w:color="auto" w:fill="EDEEEE"/>
          </w:tcPr>
          <w:p>
            <w:pPr>
              <w:spacing w:after="0" w:line="95" w:lineRule="exact"/>
              <w:rPr>
                <w:sz w:val="20"/>
                <w:szCs w:val="20"/>
                <w:color w:val="auto"/>
              </w:rPr>
            </w:pPr>
            <w:r>
              <w:rPr>
                <w:rFonts w:ascii="Arial" w:cs="Arial" w:eastAsia="Arial" w:hAnsi="Arial"/>
                <w:sz w:val="10"/>
                <w:szCs w:val="10"/>
                <w:color w:val="auto"/>
              </w:rPr>
              <w:t>awareness training by</w:t>
            </w:r>
          </w:p>
        </w:tc>
        <w:tc>
          <w:tcPr>
            <w:tcW w:w="2840" w:type="dxa"/>
            <w:vAlign w:val="bottom"/>
            <w:shd w:val="clear" w:color="auto" w:fill="EDEEEE"/>
          </w:tcPr>
          <w:p>
            <w:pPr>
              <w:spacing w:after="0"/>
              <w:rPr>
                <w:sz w:val="8"/>
                <w:szCs w:val="8"/>
                <w:color w:val="auto"/>
              </w:rPr>
            </w:pPr>
          </w:p>
        </w:tc>
        <w:tc>
          <w:tcPr>
            <w:tcW w:w="1280" w:type="dxa"/>
            <w:vAlign w:val="bottom"/>
            <w:shd w:val="clear" w:color="auto" w:fill="EDEEEE"/>
          </w:tcPr>
          <w:p>
            <w:pPr>
              <w:ind w:left="60"/>
              <w:spacing w:after="0" w:line="95" w:lineRule="exact"/>
              <w:rPr>
                <w:sz w:val="20"/>
                <w:szCs w:val="20"/>
                <w:color w:val="auto"/>
              </w:rPr>
            </w:pPr>
            <w:r>
              <w:rPr>
                <w:rFonts w:ascii="Arial" w:cs="Arial" w:eastAsia="Arial" w:hAnsi="Arial"/>
                <w:sz w:val="10"/>
                <w:szCs w:val="10"/>
                <w:color w:val="auto"/>
              </w:rPr>
              <w:t>employees are provided</w:t>
            </w:r>
          </w:p>
        </w:tc>
        <w:tc>
          <w:tcPr>
            <w:tcW w:w="0" w:type="dxa"/>
            <w:vAlign w:val="bottom"/>
          </w:tcPr>
          <w:p>
            <w:pPr>
              <w:spacing w:after="0"/>
              <w:rPr>
                <w:sz w:val="1"/>
                <w:szCs w:val="1"/>
                <w:color w:val="auto"/>
              </w:rPr>
            </w:pPr>
          </w:p>
        </w:tc>
      </w:tr>
      <w:tr>
        <w:trPr>
          <w:trHeight w:val="86"/>
        </w:trPr>
        <w:tc>
          <w:tcPr>
            <w:tcW w:w="900" w:type="dxa"/>
            <w:vAlign w:val="bottom"/>
            <w:shd w:val="clear" w:color="auto" w:fill="EDEEEE"/>
          </w:tcPr>
          <w:p>
            <w:pPr>
              <w:spacing w:after="0"/>
              <w:rPr>
                <w:sz w:val="7"/>
                <w:szCs w:val="7"/>
                <w:color w:val="auto"/>
              </w:rPr>
            </w:pPr>
          </w:p>
        </w:tc>
        <w:tc>
          <w:tcPr>
            <w:tcW w:w="3580" w:type="dxa"/>
            <w:vAlign w:val="bottom"/>
            <w:shd w:val="clear" w:color="auto" w:fill="EDEEEE"/>
          </w:tcPr>
          <w:p>
            <w:pPr>
              <w:ind w:left="40"/>
              <w:spacing w:after="0" w:line="86" w:lineRule="exact"/>
              <w:rPr>
                <w:sz w:val="20"/>
                <w:szCs w:val="20"/>
                <w:color w:val="auto"/>
              </w:rPr>
            </w:pPr>
            <w:r>
              <w:rPr>
                <w:rFonts w:ascii="Arial" w:cs="Arial" w:eastAsia="Arial" w:hAnsi="Arial"/>
                <w:sz w:val="9"/>
                <w:szCs w:val="9"/>
                <w:color w:val="auto"/>
              </w:rPr>
              <w:t>employees.</w:t>
            </w:r>
          </w:p>
        </w:tc>
        <w:tc>
          <w:tcPr>
            <w:tcW w:w="1240" w:type="dxa"/>
            <w:vAlign w:val="bottom"/>
            <w:shd w:val="clear" w:color="auto" w:fill="EDEEEE"/>
          </w:tcPr>
          <w:p>
            <w:pPr>
              <w:spacing w:after="0" w:line="86" w:lineRule="exact"/>
              <w:rPr>
                <w:sz w:val="20"/>
                <w:szCs w:val="20"/>
                <w:color w:val="auto"/>
              </w:rPr>
            </w:pPr>
            <w:r>
              <w:rPr>
                <w:rFonts w:ascii="Arial" w:cs="Arial" w:eastAsia="Arial" w:hAnsi="Arial"/>
                <w:sz w:val="9"/>
                <w:szCs w:val="9"/>
                <w:color w:val="auto"/>
              </w:rPr>
              <w:t>2025</w:t>
            </w:r>
          </w:p>
        </w:tc>
        <w:tc>
          <w:tcPr>
            <w:tcW w:w="2840" w:type="dxa"/>
            <w:vAlign w:val="bottom"/>
            <w:shd w:val="clear" w:color="auto" w:fill="EDEEEE"/>
          </w:tcPr>
          <w:p>
            <w:pPr>
              <w:spacing w:after="0"/>
              <w:rPr>
                <w:sz w:val="7"/>
                <w:szCs w:val="7"/>
                <w:color w:val="auto"/>
              </w:rPr>
            </w:pPr>
          </w:p>
        </w:tc>
        <w:tc>
          <w:tcPr>
            <w:tcW w:w="1280" w:type="dxa"/>
            <w:vAlign w:val="bottom"/>
            <w:shd w:val="clear" w:color="auto" w:fill="EDEEEE"/>
          </w:tcPr>
          <w:p>
            <w:pPr>
              <w:ind w:left="60"/>
              <w:spacing w:after="0" w:line="86" w:lineRule="exact"/>
              <w:rPr>
                <w:sz w:val="20"/>
                <w:szCs w:val="20"/>
                <w:color w:val="auto"/>
              </w:rPr>
            </w:pPr>
            <w:r>
              <w:rPr>
                <w:rFonts w:ascii="Arial" w:cs="Arial" w:eastAsia="Arial" w:hAnsi="Arial"/>
                <w:sz w:val="9"/>
                <w:szCs w:val="9"/>
                <w:color w:val="auto"/>
              </w:rPr>
              <w:t>access to Sustainability</w:t>
            </w:r>
          </w:p>
        </w:tc>
        <w:tc>
          <w:tcPr>
            <w:tcW w:w="0" w:type="dxa"/>
            <w:vAlign w:val="bottom"/>
          </w:tcPr>
          <w:p>
            <w:pPr>
              <w:spacing w:after="0"/>
              <w:rPr>
                <w:sz w:val="1"/>
                <w:szCs w:val="1"/>
                <w:color w:val="auto"/>
              </w:rPr>
            </w:pPr>
          </w:p>
        </w:tc>
      </w:tr>
      <w:tr>
        <w:trPr>
          <w:trHeight w:val="137"/>
        </w:trPr>
        <w:tc>
          <w:tcPr>
            <w:tcW w:w="900" w:type="dxa"/>
            <w:vAlign w:val="bottom"/>
            <w:shd w:val="clear" w:color="auto" w:fill="EDEEEE"/>
          </w:tcPr>
          <w:p>
            <w:pPr>
              <w:spacing w:after="0"/>
              <w:rPr>
                <w:sz w:val="11"/>
                <w:szCs w:val="11"/>
                <w:color w:val="auto"/>
              </w:rPr>
            </w:pPr>
          </w:p>
        </w:tc>
        <w:tc>
          <w:tcPr>
            <w:tcW w:w="3580" w:type="dxa"/>
            <w:vAlign w:val="bottom"/>
            <w:shd w:val="clear" w:color="auto" w:fill="EDEEEE"/>
          </w:tcPr>
          <w:p>
            <w:pPr>
              <w:spacing w:after="0"/>
              <w:rPr>
                <w:sz w:val="11"/>
                <w:szCs w:val="11"/>
                <w:color w:val="auto"/>
              </w:rPr>
            </w:pPr>
          </w:p>
        </w:tc>
        <w:tc>
          <w:tcPr>
            <w:tcW w:w="1240" w:type="dxa"/>
            <w:vAlign w:val="bottom"/>
            <w:shd w:val="clear" w:color="auto" w:fill="EDEEEE"/>
          </w:tcPr>
          <w:p>
            <w:pPr>
              <w:spacing w:after="0"/>
              <w:rPr>
                <w:sz w:val="11"/>
                <w:szCs w:val="11"/>
                <w:color w:val="auto"/>
              </w:rPr>
            </w:pPr>
          </w:p>
        </w:tc>
        <w:tc>
          <w:tcPr>
            <w:tcW w:w="2840" w:type="dxa"/>
            <w:vAlign w:val="bottom"/>
            <w:shd w:val="clear" w:color="auto" w:fill="EDEEEE"/>
          </w:tcPr>
          <w:p>
            <w:pPr>
              <w:spacing w:after="0"/>
              <w:rPr>
                <w:sz w:val="11"/>
                <w:szCs w:val="11"/>
                <w:color w:val="auto"/>
              </w:rPr>
            </w:pPr>
          </w:p>
        </w:tc>
        <w:tc>
          <w:tcPr>
            <w:tcW w:w="1280" w:type="dxa"/>
            <w:vAlign w:val="bottom"/>
            <w:shd w:val="clear" w:color="auto" w:fill="EDEEEE"/>
          </w:tcPr>
          <w:p>
            <w:pPr>
              <w:ind w:left="60"/>
              <w:spacing w:after="0"/>
              <w:rPr>
                <w:sz w:val="20"/>
                <w:szCs w:val="20"/>
                <w:color w:val="auto"/>
              </w:rPr>
            </w:pPr>
            <w:r>
              <w:rPr>
                <w:rFonts w:ascii="Arial" w:cs="Arial" w:eastAsia="Arial" w:hAnsi="Arial"/>
                <w:sz w:val="10"/>
                <w:szCs w:val="10"/>
                <w:color w:val="auto"/>
              </w:rPr>
              <w:t>Awareness training.</w:t>
            </w:r>
          </w:p>
        </w:tc>
        <w:tc>
          <w:tcPr>
            <w:tcW w:w="0" w:type="dxa"/>
            <w:vAlign w:val="bottom"/>
          </w:tcPr>
          <w:p>
            <w:pPr>
              <w:spacing w:after="0"/>
              <w:rPr>
                <w:sz w:val="1"/>
                <w:szCs w:val="1"/>
                <w:color w:val="auto"/>
              </w:rPr>
            </w:pPr>
          </w:p>
        </w:tc>
      </w:tr>
      <w:tr>
        <w:trPr>
          <w:trHeight w:val="405"/>
        </w:trPr>
        <w:tc>
          <w:tcPr>
            <w:tcW w:w="900" w:type="dxa"/>
            <w:vAlign w:val="bottom"/>
            <w:shd w:val="clear" w:color="auto" w:fill="EDEEEE"/>
          </w:tcPr>
          <w:p>
            <w:pPr>
              <w:spacing w:after="0"/>
              <w:rPr>
                <w:sz w:val="24"/>
                <w:szCs w:val="24"/>
                <w:color w:val="auto"/>
              </w:rPr>
            </w:pPr>
          </w:p>
        </w:tc>
        <w:tc>
          <w:tcPr>
            <w:tcW w:w="3580" w:type="dxa"/>
            <w:vAlign w:val="bottom"/>
            <w:shd w:val="clear" w:color="auto" w:fill="EDEEEE"/>
          </w:tcPr>
          <w:p>
            <w:pPr>
              <w:spacing w:after="0"/>
              <w:rPr>
                <w:sz w:val="24"/>
                <w:szCs w:val="24"/>
                <w:color w:val="auto"/>
              </w:rPr>
            </w:pPr>
          </w:p>
        </w:tc>
        <w:tc>
          <w:tcPr>
            <w:tcW w:w="1240" w:type="dxa"/>
            <w:vAlign w:val="bottom"/>
            <w:shd w:val="clear" w:color="auto" w:fill="EDEEEE"/>
          </w:tcPr>
          <w:p>
            <w:pPr>
              <w:spacing w:after="0"/>
              <w:rPr>
                <w:sz w:val="24"/>
                <w:szCs w:val="24"/>
                <w:color w:val="auto"/>
              </w:rPr>
            </w:pPr>
          </w:p>
        </w:tc>
        <w:tc>
          <w:tcPr>
            <w:tcW w:w="2840" w:type="dxa"/>
            <w:vAlign w:val="bottom"/>
            <w:shd w:val="clear" w:color="auto" w:fill="EDEEEE"/>
          </w:tcPr>
          <w:p>
            <w:pPr>
              <w:spacing w:after="0"/>
              <w:rPr>
                <w:sz w:val="24"/>
                <w:szCs w:val="24"/>
                <w:color w:val="auto"/>
              </w:rPr>
            </w:pPr>
          </w:p>
        </w:tc>
        <w:tc>
          <w:tcPr>
            <w:tcW w:w="1280" w:type="dxa"/>
            <w:vAlign w:val="bottom"/>
            <w:shd w:val="clear" w:color="auto" w:fill="EDEEE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rFonts w:ascii="Arial" w:cs="Arial" w:eastAsia="Arial" w:hAnsi="Arial"/>
          <w:sz w:val="10"/>
          <w:szCs w:val="10"/>
          <w:b w:val="1"/>
          <w:bCs w:val="1"/>
          <w:color w:val="auto"/>
        </w:rPr>
      </w:pPr>
    </w:p>
    <w:p>
      <w:pPr>
        <w:sectPr>
          <w:pgSz w:w="11900" w:h="16840" w:orient="portrait"/>
          <w:cols w:equalWidth="0" w:num="1">
            <w:col w:w="9840"/>
          </w:cols>
          <w:pgMar w:left="640" w:top="571" w:right="1420" w:bottom="1440" w:gutter="0" w:footer="0" w:header="0"/>
        </w:sectPr>
      </w:pPr>
    </w:p>
    <w:p>
      <w:pPr>
        <w:ind w:left="20"/>
        <w:spacing w:after="0" w:line="199" w:lineRule="auto"/>
        <w:tabs>
          <w:tab w:leader="none" w:pos="920" w:val="left"/>
        </w:tabs>
        <w:rPr>
          <w:sz w:val="20"/>
          <w:szCs w:val="20"/>
          <w:color w:val="auto"/>
        </w:rPr>
      </w:pPr>
      <w:r>
        <w:rPr>
          <w:rFonts w:ascii="Arial" w:cs="Arial" w:eastAsia="Arial" w:hAnsi="Arial"/>
          <w:sz w:val="10"/>
          <w:szCs w:val="10"/>
          <w:b w:val="1"/>
          <w:bCs w:val="1"/>
          <w:color w:val="auto"/>
        </w:rPr>
        <w:t>Equal</w:t>
      </w:r>
      <w:r>
        <w:rPr>
          <w:sz w:val="20"/>
          <w:szCs w:val="20"/>
          <w:color w:val="auto"/>
        </w:rPr>
        <w:tab/>
      </w:r>
      <w:r>
        <w:rPr>
          <w:rFonts w:ascii="Arial" w:cs="Arial" w:eastAsia="Arial" w:hAnsi="Arial"/>
          <w:sz w:val="10"/>
          <w:szCs w:val="10"/>
          <w:b w:val="1"/>
          <w:bCs w:val="1"/>
          <w:color w:val="auto"/>
        </w:rPr>
        <w:t xml:space="preserve">Culture Trainings: </w:t>
      </w:r>
      <w:r>
        <w:rPr>
          <w:rFonts w:ascii="Arial" w:cs="Arial" w:eastAsia="Arial" w:hAnsi="Arial"/>
          <w:sz w:val="10"/>
          <w:szCs w:val="10"/>
          <w:color w:val="auto"/>
        </w:rPr>
        <w:t>Offered a combination of culture workshops and</w:t>
      </w:r>
    </w:p>
    <w:p>
      <w:pPr>
        <w:ind w:left="20"/>
        <w:spacing w:after="0" w:line="199" w:lineRule="auto"/>
        <w:tabs>
          <w:tab w:leader="none" w:pos="920" w:val="left"/>
        </w:tabs>
        <w:rPr>
          <w:sz w:val="20"/>
          <w:szCs w:val="20"/>
          <w:color w:val="auto"/>
        </w:rPr>
      </w:pPr>
      <w:r>
        <w:rPr>
          <w:rFonts w:ascii="Arial" w:cs="Arial" w:eastAsia="Arial" w:hAnsi="Arial"/>
          <w:sz w:val="10"/>
          <w:szCs w:val="10"/>
          <w:b w:val="1"/>
          <w:bCs w:val="1"/>
          <w:color w:val="auto"/>
        </w:rPr>
        <w:t>Opportunity</w:t>
      </w:r>
      <w:r>
        <w:rPr>
          <w:sz w:val="20"/>
          <w:szCs w:val="20"/>
          <w:color w:val="auto"/>
        </w:rPr>
        <w:tab/>
      </w:r>
      <w:r>
        <w:rPr>
          <w:rFonts w:ascii="Arial" w:cs="Arial" w:eastAsia="Arial" w:hAnsi="Arial"/>
          <w:sz w:val="10"/>
          <w:szCs w:val="10"/>
          <w:color w:val="auto"/>
        </w:rPr>
        <w:t>masterclasses to our workforce.</w:t>
      </w:r>
    </w:p>
    <w:p>
      <w:pPr>
        <w:ind w:left="20"/>
        <w:spacing w:after="0" w:line="198" w:lineRule="auto"/>
        <w:tabs>
          <w:tab w:leader="none" w:pos="920" w:val="left"/>
        </w:tabs>
        <w:rPr>
          <w:sz w:val="20"/>
          <w:szCs w:val="20"/>
          <w:color w:val="auto"/>
        </w:rPr>
      </w:pPr>
      <w:r>
        <w:rPr>
          <w:rFonts w:ascii="Arial" w:cs="Arial" w:eastAsia="Arial" w:hAnsi="Arial"/>
          <w:sz w:val="10"/>
          <w:szCs w:val="10"/>
          <w:b w:val="1"/>
          <w:bCs w:val="1"/>
          <w:color w:val="auto"/>
        </w:rPr>
        <w:t>Promoting</w:t>
      </w:r>
      <w:r>
        <w:rPr>
          <w:sz w:val="20"/>
          <w:szCs w:val="20"/>
          <w:color w:val="auto"/>
        </w:rPr>
        <w:tab/>
      </w:r>
      <w:r>
        <w:rPr>
          <w:rFonts w:ascii="Arial" w:cs="Arial" w:eastAsia="Arial" w:hAnsi="Arial"/>
          <w:sz w:val="10"/>
          <w:szCs w:val="10"/>
          <w:b w:val="1"/>
          <w:bCs w:val="1"/>
          <w:color w:val="auto"/>
        </w:rPr>
        <w:t xml:space="preserve">Employee Resource Groups (ERGs): </w:t>
      </w:r>
      <w:r>
        <w:rPr>
          <w:rFonts w:ascii="Arial" w:cs="Arial" w:eastAsia="Arial" w:hAnsi="Arial"/>
          <w:sz w:val="10"/>
          <w:szCs w:val="10"/>
          <w:color w:val="auto"/>
        </w:rPr>
        <w:t>Made ERGs available to all employe</w:t>
      </w:r>
    </w:p>
    <w:p>
      <w:pPr>
        <w:ind w:left="20"/>
        <w:spacing w:after="0" w:line="199" w:lineRule="auto"/>
        <w:tabs>
          <w:tab w:leader="none" w:pos="920" w:val="left"/>
        </w:tabs>
        <w:rPr>
          <w:sz w:val="20"/>
          <w:szCs w:val="20"/>
          <w:color w:val="auto"/>
        </w:rPr>
      </w:pPr>
      <w:r>
        <w:rPr>
          <w:rFonts w:ascii="Arial" w:cs="Arial" w:eastAsia="Arial" w:hAnsi="Arial"/>
          <w:sz w:val="10"/>
          <w:szCs w:val="10"/>
          <w:b w:val="1"/>
          <w:bCs w:val="1"/>
          <w:color w:val="auto"/>
        </w:rPr>
        <w:t>Innovation</w:t>
      </w:r>
      <w:r>
        <w:rPr>
          <w:sz w:val="20"/>
          <w:szCs w:val="20"/>
          <w:color w:val="auto"/>
        </w:rPr>
        <w:tab/>
      </w:r>
      <w:r>
        <w:rPr>
          <w:rFonts w:ascii="Arial" w:cs="Arial" w:eastAsia="Arial" w:hAnsi="Arial"/>
          <w:sz w:val="10"/>
          <w:szCs w:val="10"/>
          <w:color w:val="auto"/>
        </w:rPr>
        <w:t>es</w:t>
      </w:r>
    </w:p>
    <w:p>
      <w:pPr>
        <w:ind w:left="940" w:right="60"/>
        <w:spacing w:after="0" w:line="215" w:lineRule="auto"/>
        <w:rPr>
          <w:sz w:val="20"/>
          <w:szCs w:val="20"/>
          <w:color w:val="auto"/>
        </w:rPr>
      </w:pPr>
      <w:r>
        <w:rPr>
          <w:rFonts w:ascii="Arial" w:cs="Arial" w:eastAsia="Arial" w:hAnsi="Arial"/>
          <w:sz w:val="10"/>
          <w:szCs w:val="10"/>
          <w:color w:val="auto"/>
        </w:rPr>
        <w:t>to foster a collaborative culture where unique perspectives drive innovation, engagement, and organizational strength—empowering employees to contribute meaningfully to our mission of developing the next generation of antibody medicines for patients in need.</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1" w:lineRule="exact"/>
        <w:rPr>
          <w:rFonts w:ascii="Arial" w:cs="Arial" w:eastAsia="Arial" w:hAnsi="Arial"/>
          <w:sz w:val="1"/>
          <w:szCs w:val="1"/>
          <w:b w:val="1"/>
          <w:bCs w:val="1"/>
          <w:color w:val="auto"/>
        </w:rPr>
      </w:pPr>
    </w:p>
    <w:tbl>
      <w:tblPr>
        <w:tblLayout w:type="fixed"/>
        <w:tblInd w:w="0" w:type="dxa"/>
        <w:tblCellMar>
          <w:top w:w="0" w:type="dxa"/>
          <w:left w:w="0" w:type="dxa"/>
          <w:bottom w:w="0" w:type="dxa"/>
          <w:right w:w="0" w:type="dxa"/>
        </w:tblCellMar>
      </w:tblP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Target between 40% to</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Target not achieved for 2025. As of December 31, 2025,</w:t>
            </w:r>
          </w:p>
        </w:tc>
        <w:tc>
          <w:tcPr>
            <w:tcW w:w="1100" w:type="dxa"/>
            <w:vAlign w:val="bottom"/>
          </w:tcPr>
          <w:p>
            <w:pPr>
              <w:spacing w:after="0" w:line="95" w:lineRule="exact"/>
              <w:rPr>
                <w:sz w:val="20"/>
                <w:szCs w:val="20"/>
                <w:color w:val="auto"/>
              </w:rPr>
            </w:pPr>
            <w:r>
              <w:rPr>
                <w:rFonts w:ascii="Arial" w:cs="Arial" w:eastAsia="Arial" w:hAnsi="Arial"/>
                <w:sz w:val="10"/>
                <w:szCs w:val="10"/>
                <w:color w:val="auto"/>
              </w:rPr>
              <w:t>The Global Talent and</w:t>
            </w:r>
          </w:p>
        </w:tc>
        <w:tc>
          <w:tcPr>
            <w:tcW w:w="0" w:type="dxa"/>
            <w:vAlign w:val="bottom"/>
          </w:tcPr>
          <w:p>
            <w:pPr>
              <w:spacing w:after="0"/>
              <w:rPr>
                <w:sz w:val="1"/>
                <w:szCs w:val="1"/>
                <w:color w:val="auto"/>
              </w:rPr>
            </w:pPr>
          </w:p>
        </w:tc>
      </w:tr>
      <w:tr>
        <w:trPr>
          <w:trHeight w:val="95"/>
        </w:trPr>
        <w:tc>
          <w:tcPr>
            <w:tcW w:w="4140" w:type="dxa"/>
            <w:vAlign w:val="bottom"/>
            <w:gridSpan w:val="2"/>
          </w:tcPr>
          <w:p>
            <w:pPr>
              <w:spacing w:after="0" w:line="95" w:lineRule="exact"/>
              <w:rPr>
                <w:sz w:val="20"/>
                <w:szCs w:val="20"/>
                <w:color w:val="auto"/>
              </w:rPr>
            </w:pPr>
            <w:r>
              <w:rPr>
                <w:rFonts w:ascii="Arial" w:cs="Arial" w:eastAsia="Arial" w:hAnsi="Arial"/>
                <w:sz w:val="10"/>
                <w:szCs w:val="10"/>
                <w:color w:val="auto"/>
              </w:rPr>
              <w:t>60% gender representation women represented 30% (seven) and men 70% (16) of</w:t>
            </w:r>
          </w:p>
        </w:tc>
        <w:tc>
          <w:tcPr>
            <w:tcW w:w="1100" w:type="dxa"/>
            <w:vAlign w:val="bottom"/>
          </w:tcPr>
          <w:p>
            <w:pPr>
              <w:spacing w:after="0" w:line="95" w:lineRule="exact"/>
              <w:rPr>
                <w:sz w:val="20"/>
                <w:szCs w:val="20"/>
                <w:color w:val="auto"/>
              </w:rPr>
            </w:pPr>
            <w:r>
              <w:rPr>
                <w:rFonts w:ascii="Arial" w:cs="Arial" w:eastAsia="Arial" w:hAnsi="Arial"/>
                <w:sz w:val="10"/>
                <w:szCs w:val="10"/>
                <w:color w:val="auto"/>
              </w:rPr>
              <w:t>Culture team, within the</w:t>
            </w:r>
          </w:p>
        </w:tc>
        <w:tc>
          <w:tcPr>
            <w:tcW w:w="0" w:type="dxa"/>
            <w:vAlign w:val="bottom"/>
          </w:tcPr>
          <w:p>
            <w:pPr>
              <w:spacing w:after="0"/>
              <w:rPr>
                <w:sz w:val="1"/>
                <w:szCs w:val="1"/>
                <w:color w:val="auto"/>
              </w:rPr>
            </w:pPr>
          </w:p>
        </w:tc>
      </w:tr>
      <w:tr>
        <w:trPr>
          <w:trHeight w:val="95"/>
        </w:trPr>
        <w:tc>
          <w:tcPr>
            <w:tcW w:w="1280" w:type="dxa"/>
            <w:vAlign w:val="bottom"/>
            <w:vMerge w:val="restart"/>
          </w:tcPr>
          <w:p>
            <w:pPr>
              <w:spacing w:after="0"/>
              <w:rPr>
                <w:sz w:val="20"/>
                <w:szCs w:val="20"/>
                <w:color w:val="auto"/>
              </w:rPr>
            </w:pPr>
            <w:r>
              <w:rPr>
                <w:rFonts w:ascii="Arial" w:cs="Arial" w:eastAsia="Arial" w:hAnsi="Arial"/>
                <w:sz w:val="10"/>
                <w:szCs w:val="10"/>
                <w:color w:val="auto"/>
              </w:rPr>
              <w:t>by 2025 in the Other</w:t>
            </w:r>
          </w:p>
        </w:tc>
        <w:tc>
          <w:tcPr>
            <w:tcW w:w="39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managers in the “Other Management Levels” of Genmab A/S Human Resource team.</w:t>
            </w:r>
          </w:p>
        </w:tc>
        <w:tc>
          <w:tcPr>
            <w:tcW w:w="0" w:type="dxa"/>
            <w:vAlign w:val="bottom"/>
          </w:tcPr>
          <w:p>
            <w:pPr>
              <w:spacing w:after="0"/>
              <w:rPr>
                <w:sz w:val="1"/>
                <w:szCs w:val="1"/>
                <w:color w:val="auto"/>
              </w:rPr>
            </w:pPr>
          </w:p>
        </w:tc>
      </w:tr>
      <w:tr>
        <w:trPr>
          <w:trHeight w:val="95"/>
        </w:trPr>
        <w:tc>
          <w:tcPr>
            <w:tcW w:w="1280" w:type="dxa"/>
            <w:vAlign w:val="bottom"/>
            <w:vMerge w:val="continue"/>
          </w:tcPr>
          <w:p>
            <w:pPr>
              <w:spacing w:after="0"/>
              <w:rPr>
                <w:sz w:val="8"/>
                <w:szCs w:val="8"/>
                <w:color w:val="auto"/>
              </w:rPr>
            </w:pP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Management Levels at</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as defined by the Danish Gender Balance Act. Other</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Genmab A/S only in</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Management Levels are comprised of Executive Managemen</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accordance with the</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t</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guidelines from the Danish</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and employees with personnel responsibilities who report to</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40" w:type="dxa"/>
            <w:vAlign w:val="bottom"/>
            <w:gridSpan w:val="2"/>
          </w:tcPr>
          <w:p>
            <w:pPr>
              <w:spacing w:after="0" w:line="95" w:lineRule="exact"/>
              <w:rPr>
                <w:sz w:val="20"/>
                <w:szCs w:val="20"/>
                <w:color w:val="auto"/>
              </w:rPr>
            </w:pPr>
            <w:r>
              <w:rPr>
                <w:rFonts w:ascii="Arial" w:cs="Arial" w:eastAsia="Arial" w:hAnsi="Arial"/>
                <w:sz w:val="10"/>
                <w:szCs w:val="10"/>
                <w:color w:val="auto"/>
              </w:rPr>
              <w:t>Business Authority (DBA).  Executive Management.</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40" w:type="dxa"/>
            <w:vAlign w:val="bottom"/>
            <w:gridSpan w:val="2"/>
          </w:tcPr>
          <w:p>
            <w:pPr>
              <w:spacing w:after="0" w:line="95" w:lineRule="exact"/>
              <w:rPr>
                <w:sz w:val="20"/>
                <w:szCs w:val="20"/>
                <w:color w:val="auto"/>
              </w:rPr>
            </w:pPr>
            <w:r>
              <w:rPr>
                <w:rFonts w:ascii="Arial" w:cs="Arial" w:eastAsia="Arial" w:hAnsi="Arial"/>
                <w:sz w:val="10"/>
                <w:szCs w:val="10"/>
                <w:color w:val="auto"/>
              </w:rPr>
              <w:t>In 2025, Genmab removed As Genmab does not currently have an equal gender</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gender diversity targets at</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representation in the Other Management Levels, with women</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the Group level including</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being the underrepresented gender, the Board of Directors h</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those linked to Executive</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as</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Management</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decided to maintain a target for the proportion of women in th</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line="95" w:lineRule="exact"/>
              <w:rPr>
                <w:sz w:val="20"/>
                <w:szCs w:val="20"/>
                <w:color w:val="auto"/>
              </w:rPr>
            </w:pPr>
            <w:r>
              <w:rPr>
                <w:rFonts w:ascii="Arial" w:cs="Arial" w:eastAsia="Arial" w:hAnsi="Arial"/>
                <w:sz w:val="10"/>
                <w:szCs w:val="10"/>
                <w:color w:val="auto"/>
              </w:rPr>
              <w:t>compensation.</w:t>
            </w: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e</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Other Management Levels of 40%, or, depending on the</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specific number of individuals to be included in the Other</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2860" w:type="dxa"/>
            <w:vAlign w:val="bottom"/>
          </w:tcPr>
          <w:p>
            <w:pPr>
              <w:ind w:left="20"/>
              <w:spacing w:after="0" w:line="95" w:lineRule="exact"/>
              <w:rPr>
                <w:sz w:val="20"/>
                <w:szCs w:val="20"/>
                <w:color w:val="auto"/>
              </w:rPr>
            </w:pPr>
            <w:r>
              <w:rPr>
                <w:rFonts w:ascii="Arial" w:cs="Arial" w:eastAsia="Arial" w:hAnsi="Arial"/>
                <w:sz w:val="10"/>
                <w:szCs w:val="10"/>
                <w:color w:val="auto"/>
              </w:rPr>
              <w:t>Management Levels at the given time, the percentage that</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280" w:type="dxa"/>
            <w:vAlign w:val="bottom"/>
          </w:tcPr>
          <w:p>
            <w:pPr>
              <w:spacing w:after="0"/>
              <w:rPr>
                <w:sz w:val="9"/>
                <w:szCs w:val="9"/>
                <w:color w:val="auto"/>
              </w:rPr>
            </w:pPr>
          </w:p>
        </w:tc>
        <w:tc>
          <w:tcPr>
            <w:tcW w:w="2860" w:type="dxa"/>
            <w:vAlign w:val="bottom"/>
          </w:tcPr>
          <w:p>
            <w:pPr>
              <w:ind w:left="20"/>
              <w:spacing w:after="0" w:line="113" w:lineRule="exact"/>
              <w:rPr>
                <w:sz w:val="20"/>
                <w:szCs w:val="20"/>
                <w:color w:val="auto"/>
              </w:rPr>
            </w:pPr>
            <w:r>
              <w:rPr>
                <w:rFonts w:ascii="Arial" w:cs="Arial" w:eastAsia="Arial" w:hAnsi="Arial"/>
                <w:sz w:val="10"/>
                <w:szCs w:val="10"/>
                <w:color w:val="auto"/>
              </w:rPr>
              <w:t>comes closest to 40%, but not exceeding 49%, by 2028.</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rFonts w:ascii="Arial" w:cs="Arial" w:eastAsia="Arial" w:hAnsi="Arial"/>
          <w:sz w:val="10"/>
          <w:szCs w:val="10"/>
          <w:b w:val="1"/>
          <w:bCs w:val="1"/>
          <w:color w:val="auto"/>
        </w:rPr>
      </w:pPr>
    </w:p>
    <w:p>
      <w:pPr>
        <w:sectPr>
          <w:pgSz w:w="11900" w:h="16840" w:orient="portrait"/>
          <w:cols w:equalWidth="0" w:num="2">
            <w:col w:w="4480" w:space="0"/>
            <w:col w:w="5360"/>
          </w:cols>
          <w:pgMar w:left="640" w:top="571" w:right="1420" w:bottom="1440" w:gutter="0" w:footer="0" w:header="0"/>
          <w:type w:val="continuous"/>
        </w:sectPr>
      </w:pPr>
    </w:p>
    <w:p>
      <w:pPr>
        <w:spacing w:after="0"/>
        <w:rPr>
          <w:sz w:val="20"/>
          <w:szCs w:val="20"/>
          <w:color w:val="auto"/>
        </w:rPr>
      </w:pPr>
      <w:r>
        <w:rPr>
          <w:rFonts w:ascii="Arial" w:cs="Arial" w:eastAsia="Arial" w:hAnsi="Arial"/>
          <w:sz w:val="7"/>
          <w:szCs w:val="7"/>
          <w:color w:val="auto"/>
        </w:rPr>
        <w:t>2.Eligibility refers to all employees hired before October 1 of the reporting year. Also, excludes interns and student workers and in the case of long-term absence, local rules apply</w:t>
      </w:r>
    </w:p>
    <w:p>
      <w:pPr>
        <w:sectPr>
          <w:pgSz w:w="11900" w:h="16840" w:orient="portrait"/>
          <w:cols w:equalWidth="0" w:num="1">
            <w:col w:w="9840"/>
          </w:cols>
          <w:pgMar w:left="640" w:top="571" w:right="1420" w:bottom="1440" w:gutter="0" w:footer="0" w:header="0"/>
          <w:type w:val="continuous"/>
        </w:sectPr>
      </w:pPr>
    </w:p>
    <w:bookmarkStart w:id="124" w:name="page125"/>
    <w:bookmarkEnd w:id="124"/>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87</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24" w:lineRule="auto"/>
        <w:rPr>
          <w:sz w:val="20"/>
          <w:szCs w:val="20"/>
          <w:color w:val="auto"/>
        </w:rPr>
      </w:pPr>
      <w:r>
        <w:rPr>
          <w:rFonts w:ascii="Arial" w:cs="Arial" w:eastAsia="Arial" w:hAnsi="Arial"/>
          <w:sz w:val="13"/>
          <w:szCs w:val="13"/>
          <w:b w:val="1"/>
          <w:bCs w:val="1"/>
          <w:color w:val="0057CF"/>
        </w:rPr>
        <w:t>Characteristics of the undertaking’s employees (S1-6)</w:t>
      </w:r>
    </w:p>
    <w:tbl>
      <w:tblPr>
        <w:tblLayout w:type="fixed"/>
        <w:tblInd w:w="0" w:type="dxa"/>
        <w:tblCellMar>
          <w:top w:w="0" w:type="dxa"/>
          <w:left w:w="0" w:type="dxa"/>
          <w:bottom w:w="0" w:type="dxa"/>
          <w:right w:w="0" w:type="dxa"/>
        </w:tblCellMar>
      </w:tblPr>
      <w:tr>
        <w:trPr>
          <w:trHeight w:val="128"/>
        </w:trPr>
        <w:tc>
          <w:tcPr>
            <w:tcW w:w="1200" w:type="dxa"/>
            <w:vAlign w:val="bottom"/>
            <w:tcBorders>
              <w:top w:val="single" w:sz="8" w:color="0057CF"/>
            </w:tcBorders>
          </w:tcPr>
          <w:p>
            <w:pPr>
              <w:spacing w:after="0"/>
              <w:rPr>
                <w:sz w:val="11"/>
                <w:szCs w:val="11"/>
                <w:color w:val="auto"/>
              </w:rPr>
            </w:pPr>
          </w:p>
        </w:tc>
        <w:tc>
          <w:tcPr>
            <w:tcW w:w="580" w:type="dxa"/>
            <w:vAlign w:val="bottom"/>
            <w:tcBorders>
              <w:top w:val="single" w:sz="8" w:color="0057CF"/>
            </w:tcBorders>
          </w:tcPr>
          <w:p>
            <w:pPr>
              <w:spacing w:after="0"/>
              <w:rPr>
                <w:sz w:val="11"/>
                <w:szCs w:val="11"/>
                <w:color w:val="auto"/>
              </w:rPr>
            </w:pPr>
          </w:p>
        </w:tc>
        <w:tc>
          <w:tcPr>
            <w:tcW w:w="520" w:type="dxa"/>
            <w:vAlign w:val="bottom"/>
            <w:tcBorders>
              <w:top w:val="single" w:sz="8" w:color="0057CF"/>
            </w:tcBorders>
          </w:tcPr>
          <w:p>
            <w:pPr>
              <w:spacing w:after="0"/>
              <w:rPr>
                <w:sz w:val="11"/>
                <w:szCs w:val="11"/>
                <w:color w:val="auto"/>
              </w:rPr>
            </w:pPr>
          </w:p>
        </w:tc>
        <w:tc>
          <w:tcPr>
            <w:tcW w:w="520" w:type="dxa"/>
            <w:vAlign w:val="bottom"/>
            <w:tcBorders>
              <w:top w:val="single" w:sz="8" w:color="0057CF"/>
            </w:tcBorders>
          </w:tcPr>
          <w:p>
            <w:pPr>
              <w:spacing w:after="0"/>
              <w:rPr>
                <w:sz w:val="11"/>
                <w:szCs w:val="11"/>
                <w:color w:val="auto"/>
              </w:rPr>
            </w:pPr>
          </w:p>
        </w:tc>
        <w:tc>
          <w:tcPr>
            <w:tcW w:w="1060" w:type="dxa"/>
            <w:vAlign w:val="bottom"/>
            <w:tcBorders>
              <w:top w:val="single" w:sz="8" w:color="0057CF"/>
            </w:tcBorders>
            <w:gridSpan w:val="2"/>
          </w:tcPr>
          <w:p>
            <w:pPr>
              <w:ind w:left="60"/>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top w:val="single" w:sz="8" w:color="0057CF"/>
            </w:tcBorders>
          </w:tcPr>
          <w:p>
            <w:pPr>
              <w:spacing w:after="0"/>
              <w:rPr>
                <w:sz w:val="11"/>
                <w:szCs w:val="11"/>
                <w:color w:val="auto"/>
              </w:rPr>
            </w:pPr>
          </w:p>
        </w:tc>
        <w:tc>
          <w:tcPr>
            <w:tcW w:w="560" w:type="dxa"/>
            <w:vAlign w:val="bottom"/>
            <w:tcBorders>
              <w:top w:val="single" w:sz="8" w:color="0057CF"/>
            </w:tcBorders>
          </w:tcPr>
          <w:p>
            <w:pPr>
              <w:spacing w:after="0"/>
              <w:rPr>
                <w:sz w:val="11"/>
                <w:szCs w:val="11"/>
                <w:color w:val="auto"/>
              </w:rPr>
            </w:pPr>
          </w:p>
        </w:tc>
      </w:tr>
      <w:tr>
        <w:trPr>
          <w:trHeight w:val="133"/>
        </w:trPr>
        <w:tc>
          <w:tcPr>
            <w:tcW w:w="1200" w:type="dxa"/>
            <w:vAlign w:val="bottom"/>
          </w:tcPr>
          <w:p>
            <w:pPr>
              <w:spacing w:after="0"/>
              <w:rPr>
                <w:sz w:val="11"/>
                <w:szCs w:val="11"/>
                <w:color w:val="auto"/>
              </w:rPr>
            </w:pPr>
          </w:p>
        </w:tc>
        <w:tc>
          <w:tcPr>
            <w:tcW w:w="580" w:type="dxa"/>
            <w:vAlign w:val="bottom"/>
          </w:tcPr>
          <w:p>
            <w:pPr>
              <w:ind w:left="100"/>
              <w:spacing w:after="0"/>
              <w:rPr>
                <w:sz w:val="20"/>
                <w:szCs w:val="20"/>
                <w:color w:val="auto"/>
              </w:rPr>
            </w:pPr>
            <w:r>
              <w:rPr>
                <w:rFonts w:ascii="Arial" w:cs="Arial" w:eastAsia="Arial" w:hAnsi="Arial"/>
                <w:sz w:val="10"/>
                <w:szCs w:val="10"/>
                <w:b w:val="1"/>
                <w:bCs w:val="1"/>
                <w:color w:val="0057CF"/>
              </w:rPr>
              <w:t>2025</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2024</w:t>
            </w:r>
            <w:r>
              <w:rPr>
                <w:rFonts w:ascii="Arial" w:cs="Arial" w:eastAsia="Arial" w:hAnsi="Arial"/>
                <w:sz w:val="6"/>
                <w:szCs w:val="6"/>
                <w:b w:val="1"/>
                <w:bCs w:val="1"/>
                <w:color w:val="auto"/>
              </w:rPr>
              <w:t>2</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2023</w:t>
            </w:r>
          </w:p>
        </w:tc>
      </w:tr>
      <w:tr>
        <w:trPr>
          <w:trHeight w:val="143"/>
        </w:trPr>
        <w:tc>
          <w:tcPr>
            <w:tcW w:w="1200" w:type="dxa"/>
            <w:vAlign w:val="bottom"/>
          </w:tcPr>
          <w:p>
            <w:pPr>
              <w:ind w:left="20"/>
              <w:spacing w:after="0"/>
              <w:rPr>
                <w:sz w:val="20"/>
                <w:szCs w:val="20"/>
                <w:color w:val="auto"/>
              </w:rPr>
            </w:pPr>
            <w:r>
              <w:rPr>
                <w:rFonts w:ascii="Arial" w:cs="Arial" w:eastAsia="Arial" w:hAnsi="Arial"/>
                <w:sz w:val="10"/>
                <w:szCs w:val="10"/>
                <w:b w:val="1"/>
                <w:bCs w:val="1"/>
                <w:color w:val="auto"/>
              </w:rPr>
              <w:t>Employees (Headcount)</w:t>
            </w:r>
          </w:p>
        </w:tc>
        <w:tc>
          <w:tcPr>
            <w:tcW w:w="580" w:type="dxa"/>
            <w:vAlign w:val="bottom"/>
          </w:tcPr>
          <w:p>
            <w:pPr>
              <w:jc w:val="right"/>
              <w:ind w:right="109"/>
              <w:spacing w:after="0"/>
              <w:rPr>
                <w:sz w:val="20"/>
                <w:szCs w:val="20"/>
                <w:color w:val="auto"/>
              </w:rPr>
            </w:pPr>
            <w:r>
              <w:rPr>
                <w:rFonts w:ascii="Arial" w:cs="Arial" w:eastAsia="Arial" w:hAnsi="Arial"/>
                <w:sz w:val="10"/>
                <w:szCs w:val="10"/>
                <w:b w:val="1"/>
                <w:bCs w:val="1"/>
                <w:color w:val="0057CF"/>
              </w:rPr>
              <w:t>Female</w:t>
            </w:r>
          </w:p>
        </w:tc>
        <w:tc>
          <w:tcPr>
            <w:tcW w:w="520" w:type="dxa"/>
            <w:vAlign w:val="bottom"/>
          </w:tcPr>
          <w:p>
            <w:pPr>
              <w:jc w:val="right"/>
              <w:ind w:right="208"/>
              <w:spacing w:after="0"/>
              <w:rPr>
                <w:sz w:val="20"/>
                <w:szCs w:val="20"/>
                <w:color w:val="auto"/>
              </w:rPr>
            </w:pPr>
            <w:r>
              <w:rPr>
                <w:rFonts w:ascii="Arial" w:cs="Arial" w:eastAsia="Arial" w:hAnsi="Arial"/>
                <w:sz w:val="10"/>
                <w:szCs w:val="10"/>
                <w:b w:val="1"/>
                <w:bCs w:val="1"/>
                <w:color w:val="0057CF"/>
              </w:rPr>
              <w:t>Male</w:t>
            </w:r>
          </w:p>
        </w:tc>
        <w:tc>
          <w:tcPr>
            <w:tcW w:w="520" w:type="dxa"/>
            <w:vAlign w:val="bottom"/>
          </w:tcPr>
          <w:p>
            <w:pPr>
              <w:jc w:val="right"/>
              <w:ind w:right="188"/>
              <w:spacing w:after="0"/>
              <w:rPr>
                <w:sz w:val="20"/>
                <w:szCs w:val="20"/>
                <w:color w:val="auto"/>
              </w:rPr>
            </w:pPr>
            <w:r>
              <w:rPr>
                <w:rFonts w:ascii="Arial" w:cs="Arial" w:eastAsia="Arial" w:hAnsi="Arial"/>
                <w:sz w:val="10"/>
                <w:szCs w:val="10"/>
                <w:b w:val="1"/>
                <w:bCs w:val="1"/>
                <w:color w:val="0057CF"/>
              </w:rPr>
              <w:t>Total</w:t>
            </w: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Female</w:t>
            </w: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Male</w:t>
            </w:r>
          </w:p>
        </w:tc>
        <w:tc>
          <w:tcPr>
            <w:tcW w:w="52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r>
      <w:tr>
        <w:trPr>
          <w:trHeight w:val="141"/>
        </w:trPr>
        <w:tc>
          <w:tcPr>
            <w:tcW w:w="1200" w:type="dxa"/>
            <w:vAlign w:val="bottom"/>
          </w:tcPr>
          <w:p>
            <w:pPr>
              <w:ind w:left="20"/>
              <w:spacing w:after="0"/>
              <w:rPr>
                <w:sz w:val="20"/>
                <w:szCs w:val="20"/>
                <w:color w:val="auto"/>
              </w:rPr>
            </w:pPr>
            <w:r>
              <w:rPr>
                <w:rFonts w:ascii="Arial" w:cs="Arial" w:eastAsia="Arial" w:hAnsi="Arial"/>
                <w:sz w:val="10"/>
                <w:szCs w:val="10"/>
                <w:color w:val="auto"/>
              </w:rPr>
              <w:t>Denmark</w:t>
            </w:r>
          </w:p>
        </w:tc>
        <w:tc>
          <w:tcPr>
            <w:tcW w:w="580" w:type="dxa"/>
            <w:vAlign w:val="bottom"/>
          </w:tcPr>
          <w:p>
            <w:pPr>
              <w:jc w:val="right"/>
              <w:spacing w:after="0"/>
              <w:rPr>
                <w:sz w:val="20"/>
                <w:szCs w:val="20"/>
                <w:color w:val="auto"/>
              </w:rPr>
            </w:pPr>
            <w:r>
              <w:rPr>
                <w:rFonts w:ascii="Arial" w:cs="Arial" w:eastAsia="Arial" w:hAnsi="Arial"/>
                <w:sz w:val="10"/>
                <w:szCs w:val="10"/>
                <w:color w:val="0057CF"/>
              </w:rPr>
              <w:t>345</w:t>
            </w:r>
          </w:p>
        </w:tc>
        <w:tc>
          <w:tcPr>
            <w:tcW w:w="520" w:type="dxa"/>
            <w:vAlign w:val="bottom"/>
          </w:tcPr>
          <w:p>
            <w:pPr>
              <w:jc w:val="right"/>
              <w:spacing w:after="0"/>
              <w:rPr>
                <w:sz w:val="20"/>
                <w:szCs w:val="20"/>
                <w:color w:val="auto"/>
              </w:rPr>
            </w:pPr>
            <w:r>
              <w:rPr>
                <w:rFonts w:ascii="Arial" w:cs="Arial" w:eastAsia="Arial" w:hAnsi="Arial"/>
                <w:sz w:val="10"/>
                <w:szCs w:val="10"/>
                <w:color w:val="0057CF"/>
              </w:rPr>
              <w:t>254</w:t>
            </w:r>
          </w:p>
        </w:tc>
        <w:tc>
          <w:tcPr>
            <w:tcW w:w="520" w:type="dxa"/>
            <w:vAlign w:val="bottom"/>
          </w:tcPr>
          <w:p>
            <w:pPr>
              <w:jc w:val="right"/>
              <w:spacing w:after="0"/>
              <w:rPr>
                <w:sz w:val="20"/>
                <w:szCs w:val="20"/>
                <w:color w:val="auto"/>
              </w:rPr>
            </w:pPr>
            <w:r>
              <w:rPr>
                <w:rFonts w:ascii="Arial" w:cs="Arial" w:eastAsia="Arial" w:hAnsi="Arial"/>
                <w:sz w:val="10"/>
                <w:szCs w:val="10"/>
                <w:color w:val="0057CF"/>
              </w:rPr>
              <w:t>599</w:t>
            </w:r>
          </w:p>
        </w:tc>
        <w:tc>
          <w:tcPr>
            <w:tcW w:w="520" w:type="dxa"/>
            <w:vAlign w:val="bottom"/>
          </w:tcPr>
          <w:p>
            <w:pPr>
              <w:ind w:left="60"/>
              <w:spacing w:after="0"/>
              <w:rPr>
                <w:sz w:val="20"/>
                <w:szCs w:val="20"/>
                <w:color w:val="auto"/>
              </w:rPr>
            </w:pPr>
            <w:r>
              <w:rPr>
                <w:rFonts w:ascii="Arial" w:cs="Arial" w:eastAsia="Arial" w:hAnsi="Arial"/>
                <w:sz w:val="10"/>
                <w:szCs w:val="10"/>
                <w:color w:val="auto"/>
              </w:rPr>
              <w:t>326</w:t>
            </w:r>
          </w:p>
        </w:tc>
        <w:tc>
          <w:tcPr>
            <w:tcW w:w="540" w:type="dxa"/>
            <w:vAlign w:val="bottom"/>
          </w:tcPr>
          <w:p>
            <w:pPr>
              <w:ind w:left="60"/>
              <w:spacing w:after="0"/>
              <w:rPr>
                <w:sz w:val="20"/>
                <w:szCs w:val="20"/>
                <w:color w:val="auto"/>
              </w:rPr>
            </w:pPr>
            <w:r>
              <w:rPr>
                <w:rFonts w:ascii="Arial" w:cs="Arial" w:eastAsia="Arial" w:hAnsi="Arial"/>
                <w:sz w:val="10"/>
                <w:szCs w:val="10"/>
                <w:color w:val="auto"/>
              </w:rPr>
              <w:t>228</w:t>
            </w:r>
          </w:p>
        </w:tc>
        <w:tc>
          <w:tcPr>
            <w:tcW w:w="520" w:type="dxa"/>
            <w:vAlign w:val="bottom"/>
          </w:tcPr>
          <w:p>
            <w:pPr>
              <w:ind w:left="40"/>
              <w:spacing w:after="0"/>
              <w:rPr>
                <w:sz w:val="20"/>
                <w:szCs w:val="20"/>
                <w:color w:val="auto"/>
              </w:rPr>
            </w:pPr>
            <w:r>
              <w:rPr>
                <w:rFonts w:ascii="Arial" w:cs="Arial" w:eastAsia="Arial" w:hAnsi="Arial"/>
                <w:sz w:val="10"/>
                <w:szCs w:val="10"/>
                <w:color w:val="auto"/>
              </w:rPr>
              <w:t>554</w:t>
            </w:r>
          </w:p>
        </w:tc>
        <w:tc>
          <w:tcPr>
            <w:tcW w:w="560" w:type="dxa"/>
            <w:vAlign w:val="bottom"/>
          </w:tcPr>
          <w:p>
            <w:pPr>
              <w:ind w:left="40"/>
              <w:spacing w:after="0"/>
              <w:rPr>
                <w:sz w:val="20"/>
                <w:szCs w:val="20"/>
                <w:color w:val="auto"/>
              </w:rPr>
            </w:pPr>
            <w:r>
              <w:rPr>
                <w:rFonts w:ascii="Arial" w:cs="Arial" w:eastAsia="Arial" w:hAnsi="Arial"/>
                <w:sz w:val="10"/>
                <w:szCs w:val="10"/>
                <w:color w:val="auto"/>
              </w:rPr>
              <w:t>495</w:t>
            </w:r>
          </w:p>
        </w:tc>
      </w:tr>
      <w:tr>
        <w:trPr>
          <w:trHeight w:val="152"/>
        </w:trPr>
        <w:tc>
          <w:tcPr>
            <w:tcW w:w="1200" w:type="dxa"/>
            <w:vAlign w:val="bottom"/>
          </w:tcPr>
          <w:p>
            <w:pPr>
              <w:ind w:left="20"/>
              <w:spacing w:after="0"/>
              <w:rPr>
                <w:sz w:val="20"/>
                <w:szCs w:val="20"/>
                <w:color w:val="auto"/>
              </w:rPr>
            </w:pPr>
            <w:r>
              <w:rPr>
                <w:rFonts w:ascii="Arial" w:cs="Arial" w:eastAsia="Arial" w:hAnsi="Arial"/>
                <w:sz w:val="10"/>
                <w:szCs w:val="10"/>
                <w:color w:val="auto"/>
              </w:rPr>
              <w:t>Netherlands</w:t>
            </w:r>
          </w:p>
        </w:tc>
        <w:tc>
          <w:tcPr>
            <w:tcW w:w="580" w:type="dxa"/>
            <w:vAlign w:val="bottom"/>
          </w:tcPr>
          <w:p>
            <w:pPr>
              <w:jc w:val="right"/>
              <w:spacing w:after="0"/>
              <w:rPr>
                <w:sz w:val="20"/>
                <w:szCs w:val="20"/>
                <w:color w:val="auto"/>
              </w:rPr>
            </w:pPr>
            <w:r>
              <w:rPr>
                <w:rFonts w:ascii="Arial" w:cs="Arial" w:eastAsia="Arial" w:hAnsi="Arial"/>
                <w:sz w:val="10"/>
                <w:szCs w:val="10"/>
                <w:color w:val="0057CF"/>
              </w:rPr>
              <w:t>461</w:t>
            </w:r>
          </w:p>
        </w:tc>
        <w:tc>
          <w:tcPr>
            <w:tcW w:w="520" w:type="dxa"/>
            <w:vAlign w:val="bottom"/>
          </w:tcPr>
          <w:p>
            <w:pPr>
              <w:jc w:val="right"/>
              <w:spacing w:after="0"/>
              <w:rPr>
                <w:sz w:val="20"/>
                <w:szCs w:val="20"/>
                <w:color w:val="auto"/>
              </w:rPr>
            </w:pPr>
            <w:r>
              <w:rPr>
                <w:rFonts w:ascii="Arial" w:cs="Arial" w:eastAsia="Arial" w:hAnsi="Arial"/>
                <w:sz w:val="10"/>
                <w:szCs w:val="10"/>
                <w:color w:val="0057CF"/>
              </w:rPr>
              <w:t>321</w:t>
            </w:r>
          </w:p>
        </w:tc>
        <w:tc>
          <w:tcPr>
            <w:tcW w:w="520" w:type="dxa"/>
            <w:vAlign w:val="bottom"/>
          </w:tcPr>
          <w:p>
            <w:pPr>
              <w:jc w:val="right"/>
              <w:spacing w:after="0"/>
              <w:rPr>
                <w:sz w:val="20"/>
                <w:szCs w:val="20"/>
                <w:color w:val="auto"/>
              </w:rPr>
            </w:pPr>
            <w:r>
              <w:rPr>
                <w:rFonts w:ascii="Arial" w:cs="Arial" w:eastAsia="Arial" w:hAnsi="Arial"/>
                <w:sz w:val="10"/>
                <w:szCs w:val="10"/>
                <w:color w:val="0057CF"/>
              </w:rPr>
              <w:t>782</w:t>
            </w:r>
          </w:p>
        </w:tc>
        <w:tc>
          <w:tcPr>
            <w:tcW w:w="520" w:type="dxa"/>
            <w:vAlign w:val="bottom"/>
          </w:tcPr>
          <w:p>
            <w:pPr>
              <w:ind w:left="60"/>
              <w:spacing w:after="0"/>
              <w:rPr>
                <w:sz w:val="20"/>
                <w:szCs w:val="20"/>
                <w:color w:val="auto"/>
              </w:rPr>
            </w:pPr>
            <w:r>
              <w:rPr>
                <w:rFonts w:ascii="Arial" w:cs="Arial" w:eastAsia="Arial" w:hAnsi="Arial"/>
                <w:sz w:val="10"/>
                <w:szCs w:val="10"/>
                <w:color w:val="auto"/>
              </w:rPr>
              <w:t>490</w:t>
            </w:r>
          </w:p>
        </w:tc>
        <w:tc>
          <w:tcPr>
            <w:tcW w:w="540" w:type="dxa"/>
            <w:vAlign w:val="bottom"/>
          </w:tcPr>
          <w:p>
            <w:pPr>
              <w:ind w:left="60"/>
              <w:spacing w:after="0"/>
              <w:rPr>
                <w:sz w:val="20"/>
                <w:szCs w:val="20"/>
                <w:color w:val="auto"/>
              </w:rPr>
            </w:pPr>
            <w:r>
              <w:rPr>
                <w:rFonts w:ascii="Arial" w:cs="Arial" w:eastAsia="Arial" w:hAnsi="Arial"/>
                <w:sz w:val="10"/>
                <w:szCs w:val="10"/>
                <w:color w:val="auto"/>
              </w:rPr>
              <w:t>335</w:t>
            </w:r>
          </w:p>
        </w:tc>
        <w:tc>
          <w:tcPr>
            <w:tcW w:w="520" w:type="dxa"/>
            <w:vAlign w:val="bottom"/>
          </w:tcPr>
          <w:p>
            <w:pPr>
              <w:ind w:left="40"/>
              <w:spacing w:after="0"/>
              <w:rPr>
                <w:sz w:val="20"/>
                <w:szCs w:val="20"/>
                <w:color w:val="auto"/>
              </w:rPr>
            </w:pPr>
            <w:r>
              <w:rPr>
                <w:rFonts w:ascii="Arial" w:cs="Arial" w:eastAsia="Arial" w:hAnsi="Arial"/>
                <w:sz w:val="10"/>
                <w:szCs w:val="10"/>
                <w:color w:val="auto"/>
              </w:rPr>
              <w:t>825</w:t>
            </w:r>
          </w:p>
        </w:tc>
        <w:tc>
          <w:tcPr>
            <w:tcW w:w="560" w:type="dxa"/>
            <w:vAlign w:val="bottom"/>
          </w:tcPr>
          <w:p>
            <w:pPr>
              <w:ind w:left="40"/>
              <w:spacing w:after="0"/>
              <w:rPr>
                <w:sz w:val="20"/>
                <w:szCs w:val="20"/>
                <w:color w:val="auto"/>
              </w:rPr>
            </w:pPr>
            <w:r>
              <w:rPr>
                <w:rFonts w:ascii="Arial" w:cs="Arial" w:eastAsia="Arial" w:hAnsi="Arial"/>
                <w:sz w:val="10"/>
                <w:szCs w:val="10"/>
                <w:color w:val="auto"/>
              </w:rPr>
              <w:t>740</w:t>
            </w:r>
          </w:p>
        </w:tc>
      </w:tr>
      <w:tr>
        <w:trPr>
          <w:trHeight w:val="152"/>
        </w:trPr>
        <w:tc>
          <w:tcPr>
            <w:tcW w:w="1200" w:type="dxa"/>
            <w:vAlign w:val="bottom"/>
          </w:tcPr>
          <w:p>
            <w:pPr>
              <w:ind w:left="20"/>
              <w:spacing w:after="0"/>
              <w:rPr>
                <w:sz w:val="20"/>
                <w:szCs w:val="20"/>
                <w:color w:val="auto"/>
              </w:rPr>
            </w:pPr>
            <w:r>
              <w:rPr>
                <w:rFonts w:ascii="Arial" w:cs="Arial" w:eastAsia="Arial" w:hAnsi="Arial"/>
                <w:sz w:val="10"/>
                <w:szCs w:val="10"/>
                <w:color w:val="auto"/>
              </w:rPr>
              <w:t>U.S.</w:t>
            </w:r>
          </w:p>
        </w:tc>
        <w:tc>
          <w:tcPr>
            <w:tcW w:w="580" w:type="dxa"/>
            <w:vAlign w:val="bottom"/>
          </w:tcPr>
          <w:p>
            <w:pPr>
              <w:jc w:val="right"/>
              <w:spacing w:after="0"/>
              <w:rPr>
                <w:sz w:val="20"/>
                <w:szCs w:val="20"/>
                <w:color w:val="auto"/>
              </w:rPr>
            </w:pPr>
            <w:r>
              <w:rPr>
                <w:rFonts w:ascii="Arial" w:cs="Arial" w:eastAsia="Arial" w:hAnsi="Arial"/>
                <w:sz w:val="10"/>
                <w:szCs w:val="10"/>
                <w:color w:val="0057CF"/>
              </w:rPr>
              <w:t>647</w:t>
            </w:r>
          </w:p>
        </w:tc>
        <w:tc>
          <w:tcPr>
            <w:tcW w:w="520" w:type="dxa"/>
            <w:vAlign w:val="bottom"/>
          </w:tcPr>
          <w:p>
            <w:pPr>
              <w:jc w:val="right"/>
              <w:spacing w:after="0"/>
              <w:rPr>
                <w:sz w:val="20"/>
                <w:szCs w:val="20"/>
                <w:color w:val="auto"/>
              </w:rPr>
            </w:pPr>
            <w:r>
              <w:rPr>
                <w:rFonts w:ascii="Arial" w:cs="Arial" w:eastAsia="Arial" w:hAnsi="Arial"/>
                <w:sz w:val="10"/>
                <w:szCs w:val="10"/>
                <w:color w:val="0057CF"/>
              </w:rPr>
              <w:t>421</w:t>
            </w:r>
          </w:p>
        </w:tc>
        <w:tc>
          <w:tcPr>
            <w:tcW w:w="520" w:type="dxa"/>
            <w:vAlign w:val="bottom"/>
          </w:tcPr>
          <w:p>
            <w:pPr>
              <w:jc w:val="right"/>
              <w:spacing w:after="0"/>
              <w:rPr>
                <w:sz w:val="20"/>
                <w:szCs w:val="20"/>
                <w:color w:val="auto"/>
              </w:rPr>
            </w:pPr>
            <w:r>
              <w:rPr>
                <w:rFonts w:ascii="Arial" w:cs="Arial" w:eastAsia="Arial" w:hAnsi="Arial"/>
                <w:sz w:val="10"/>
                <w:szCs w:val="10"/>
                <w:color w:val="0057CF"/>
              </w:rPr>
              <w:t>1,068</w:t>
            </w:r>
          </w:p>
        </w:tc>
        <w:tc>
          <w:tcPr>
            <w:tcW w:w="520" w:type="dxa"/>
            <w:vAlign w:val="bottom"/>
          </w:tcPr>
          <w:p>
            <w:pPr>
              <w:ind w:left="60"/>
              <w:spacing w:after="0"/>
              <w:rPr>
                <w:sz w:val="20"/>
                <w:szCs w:val="20"/>
                <w:color w:val="auto"/>
              </w:rPr>
            </w:pPr>
            <w:r>
              <w:rPr>
                <w:rFonts w:ascii="Arial" w:cs="Arial" w:eastAsia="Arial" w:hAnsi="Arial"/>
                <w:sz w:val="10"/>
                <w:szCs w:val="10"/>
                <w:color w:val="auto"/>
              </w:rPr>
              <w:t>642</w:t>
            </w:r>
          </w:p>
        </w:tc>
        <w:tc>
          <w:tcPr>
            <w:tcW w:w="540" w:type="dxa"/>
            <w:vAlign w:val="bottom"/>
          </w:tcPr>
          <w:p>
            <w:pPr>
              <w:ind w:left="60"/>
              <w:spacing w:after="0"/>
              <w:rPr>
                <w:sz w:val="20"/>
                <w:szCs w:val="20"/>
                <w:color w:val="auto"/>
              </w:rPr>
            </w:pPr>
            <w:r>
              <w:rPr>
                <w:rFonts w:ascii="Arial" w:cs="Arial" w:eastAsia="Arial" w:hAnsi="Arial"/>
                <w:sz w:val="10"/>
                <w:szCs w:val="10"/>
                <w:color w:val="auto"/>
              </w:rPr>
              <w:t>432</w:t>
            </w:r>
          </w:p>
        </w:tc>
        <w:tc>
          <w:tcPr>
            <w:tcW w:w="520" w:type="dxa"/>
            <w:vAlign w:val="bottom"/>
          </w:tcPr>
          <w:p>
            <w:pPr>
              <w:ind w:left="40"/>
              <w:spacing w:after="0"/>
              <w:rPr>
                <w:sz w:val="20"/>
                <w:szCs w:val="20"/>
                <w:color w:val="auto"/>
              </w:rPr>
            </w:pPr>
            <w:r>
              <w:rPr>
                <w:rFonts w:ascii="Arial" w:cs="Arial" w:eastAsia="Arial" w:hAnsi="Arial"/>
                <w:sz w:val="10"/>
                <w:szCs w:val="10"/>
                <w:color w:val="auto"/>
              </w:rPr>
              <w:t>1,074</w:t>
            </w:r>
          </w:p>
        </w:tc>
        <w:tc>
          <w:tcPr>
            <w:tcW w:w="560" w:type="dxa"/>
            <w:vAlign w:val="bottom"/>
          </w:tcPr>
          <w:p>
            <w:pPr>
              <w:ind w:left="40"/>
              <w:spacing w:after="0"/>
              <w:rPr>
                <w:sz w:val="20"/>
                <w:szCs w:val="20"/>
                <w:color w:val="auto"/>
              </w:rPr>
            </w:pPr>
            <w:r>
              <w:rPr>
                <w:rFonts w:ascii="Arial" w:cs="Arial" w:eastAsia="Arial" w:hAnsi="Arial"/>
                <w:sz w:val="10"/>
                <w:szCs w:val="10"/>
                <w:color w:val="auto"/>
              </w:rPr>
              <w:t>887</w:t>
            </w:r>
          </w:p>
        </w:tc>
      </w:tr>
      <w:tr>
        <w:trPr>
          <w:trHeight w:val="152"/>
        </w:trPr>
        <w:tc>
          <w:tcPr>
            <w:tcW w:w="1200" w:type="dxa"/>
            <w:vAlign w:val="bottom"/>
          </w:tcPr>
          <w:p>
            <w:pPr>
              <w:ind w:left="20"/>
              <w:spacing w:after="0"/>
              <w:rPr>
                <w:sz w:val="20"/>
                <w:szCs w:val="20"/>
                <w:color w:val="auto"/>
              </w:rPr>
            </w:pPr>
            <w:r>
              <w:rPr>
                <w:rFonts w:ascii="Arial" w:cs="Arial" w:eastAsia="Arial" w:hAnsi="Arial"/>
                <w:sz w:val="10"/>
                <w:szCs w:val="10"/>
                <w:color w:val="auto"/>
              </w:rPr>
              <w:t>Japan</w:t>
            </w:r>
          </w:p>
        </w:tc>
        <w:tc>
          <w:tcPr>
            <w:tcW w:w="580" w:type="dxa"/>
            <w:vAlign w:val="bottom"/>
          </w:tcPr>
          <w:p>
            <w:pPr>
              <w:jc w:val="right"/>
              <w:spacing w:after="0"/>
              <w:rPr>
                <w:sz w:val="20"/>
                <w:szCs w:val="20"/>
                <w:color w:val="auto"/>
              </w:rPr>
            </w:pPr>
            <w:r>
              <w:rPr>
                <w:rFonts w:ascii="Arial" w:cs="Arial" w:eastAsia="Arial" w:hAnsi="Arial"/>
                <w:sz w:val="10"/>
                <w:szCs w:val="10"/>
                <w:color w:val="0057CF"/>
              </w:rPr>
              <w:t>62</w:t>
            </w:r>
          </w:p>
        </w:tc>
        <w:tc>
          <w:tcPr>
            <w:tcW w:w="520" w:type="dxa"/>
            <w:vAlign w:val="bottom"/>
          </w:tcPr>
          <w:p>
            <w:pPr>
              <w:jc w:val="right"/>
              <w:spacing w:after="0"/>
              <w:rPr>
                <w:sz w:val="20"/>
                <w:szCs w:val="20"/>
                <w:color w:val="auto"/>
              </w:rPr>
            </w:pPr>
            <w:r>
              <w:rPr>
                <w:rFonts w:ascii="Arial" w:cs="Arial" w:eastAsia="Arial" w:hAnsi="Arial"/>
                <w:sz w:val="10"/>
                <w:szCs w:val="10"/>
                <w:color w:val="0057CF"/>
              </w:rPr>
              <w:t>158</w:t>
            </w:r>
          </w:p>
        </w:tc>
        <w:tc>
          <w:tcPr>
            <w:tcW w:w="520" w:type="dxa"/>
            <w:vAlign w:val="bottom"/>
          </w:tcPr>
          <w:p>
            <w:pPr>
              <w:jc w:val="right"/>
              <w:spacing w:after="0"/>
              <w:rPr>
                <w:sz w:val="20"/>
                <w:szCs w:val="20"/>
                <w:color w:val="auto"/>
              </w:rPr>
            </w:pPr>
            <w:r>
              <w:rPr>
                <w:rFonts w:ascii="Arial" w:cs="Arial" w:eastAsia="Arial" w:hAnsi="Arial"/>
                <w:sz w:val="10"/>
                <w:szCs w:val="10"/>
                <w:color w:val="0057CF"/>
              </w:rPr>
              <w:t>220</w:t>
            </w:r>
          </w:p>
        </w:tc>
        <w:tc>
          <w:tcPr>
            <w:tcW w:w="520" w:type="dxa"/>
            <w:vAlign w:val="bottom"/>
          </w:tcPr>
          <w:p>
            <w:pPr>
              <w:ind w:left="60"/>
              <w:spacing w:after="0"/>
              <w:rPr>
                <w:sz w:val="20"/>
                <w:szCs w:val="20"/>
                <w:color w:val="auto"/>
              </w:rPr>
            </w:pPr>
            <w:r>
              <w:rPr>
                <w:rFonts w:ascii="Arial" w:cs="Arial" w:eastAsia="Arial" w:hAnsi="Arial"/>
                <w:sz w:val="10"/>
                <w:szCs w:val="10"/>
                <w:color w:val="auto"/>
              </w:rPr>
              <w:t>55</w:t>
            </w:r>
          </w:p>
        </w:tc>
        <w:tc>
          <w:tcPr>
            <w:tcW w:w="540" w:type="dxa"/>
            <w:vAlign w:val="bottom"/>
          </w:tcPr>
          <w:p>
            <w:pPr>
              <w:ind w:left="60"/>
              <w:spacing w:after="0"/>
              <w:rPr>
                <w:sz w:val="20"/>
                <w:szCs w:val="20"/>
                <w:color w:val="auto"/>
              </w:rPr>
            </w:pPr>
            <w:r>
              <w:rPr>
                <w:rFonts w:ascii="Arial" w:cs="Arial" w:eastAsia="Arial" w:hAnsi="Arial"/>
                <w:sz w:val="10"/>
                <w:szCs w:val="10"/>
                <w:color w:val="auto"/>
              </w:rPr>
              <w:t>131</w:t>
            </w:r>
          </w:p>
        </w:tc>
        <w:tc>
          <w:tcPr>
            <w:tcW w:w="520" w:type="dxa"/>
            <w:vAlign w:val="bottom"/>
          </w:tcPr>
          <w:p>
            <w:pPr>
              <w:ind w:left="40"/>
              <w:spacing w:after="0"/>
              <w:rPr>
                <w:sz w:val="20"/>
                <w:szCs w:val="20"/>
                <w:color w:val="auto"/>
              </w:rPr>
            </w:pPr>
            <w:r>
              <w:rPr>
                <w:rFonts w:ascii="Arial" w:cs="Arial" w:eastAsia="Arial" w:hAnsi="Arial"/>
                <w:sz w:val="10"/>
                <w:szCs w:val="10"/>
                <w:color w:val="auto"/>
              </w:rPr>
              <w:t>186</w:t>
            </w:r>
          </w:p>
        </w:tc>
        <w:tc>
          <w:tcPr>
            <w:tcW w:w="560" w:type="dxa"/>
            <w:vAlign w:val="bottom"/>
          </w:tcPr>
          <w:p>
            <w:pPr>
              <w:ind w:left="40"/>
              <w:spacing w:after="0"/>
              <w:rPr>
                <w:sz w:val="20"/>
                <w:szCs w:val="20"/>
                <w:color w:val="auto"/>
              </w:rPr>
            </w:pPr>
            <w:r>
              <w:rPr>
                <w:rFonts w:ascii="Arial" w:cs="Arial" w:eastAsia="Arial" w:hAnsi="Arial"/>
                <w:sz w:val="10"/>
                <w:szCs w:val="10"/>
                <w:color w:val="auto"/>
              </w:rPr>
              <w:t>140</w:t>
            </w:r>
          </w:p>
        </w:tc>
      </w:tr>
      <w:tr>
        <w:trPr>
          <w:trHeight w:val="152"/>
        </w:trPr>
        <w:tc>
          <w:tcPr>
            <w:tcW w:w="1200" w:type="dxa"/>
            <w:vAlign w:val="bottom"/>
          </w:tcPr>
          <w:p>
            <w:pPr>
              <w:ind w:left="20"/>
              <w:spacing w:after="0"/>
              <w:rPr>
                <w:sz w:val="20"/>
                <w:szCs w:val="20"/>
                <w:color w:val="auto"/>
              </w:rPr>
            </w:pPr>
            <w:r>
              <w:rPr>
                <w:rFonts w:ascii="Arial" w:cs="Arial" w:eastAsia="Arial" w:hAnsi="Arial"/>
                <w:sz w:val="10"/>
                <w:szCs w:val="10"/>
                <w:color w:val="auto"/>
              </w:rPr>
              <w:t>China</w:t>
            </w:r>
          </w:p>
        </w:tc>
        <w:tc>
          <w:tcPr>
            <w:tcW w:w="580" w:type="dxa"/>
            <w:vAlign w:val="bottom"/>
          </w:tcPr>
          <w:p>
            <w:pPr>
              <w:jc w:val="right"/>
              <w:spacing w:after="0"/>
              <w:rPr>
                <w:sz w:val="20"/>
                <w:szCs w:val="20"/>
                <w:color w:val="auto"/>
              </w:rPr>
            </w:pPr>
            <w:r>
              <w:rPr>
                <w:rFonts w:ascii="Arial" w:cs="Arial" w:eastAsia="Arial" w:hAnsi="Arial"/>
                <w:sz w:val="10"/>
                <w:szCs w:val="10"/>
                <w:color w:val="0057CF"/>
              </w:rPr>
              <w:t>69</w:t>
            </w:r>
          </w:p>
        </w:tc>
        <w:tc>
          <w:tcPr>
            <w:tcW w:w="520" w:type="dxa"/>
            <w:vAlign w:val="bottom"/>
          </w:tcPr>
          <w:p>
            <w:pPr>
              <w:jc w:val="right"/>
              <w:spacing w:after="0"/>
              <w:rPr>
                <w:sz w:val="20"/>
                <w:szCs w:val="20"/>
                <w:color w:val="auto"/>
              </w:rPr>
            </w:pPr>
            <w:r>
              <w:rPr>
                <w:rFonts w:ascii="Arial" w:cs="Arial" w:eastAsia="Arial" w:hAnsi="Arial"/>
                <w:sz w:val="10"/>
                <w:szCs w:val="10"/>
                <w:color w:val="0057CF"/>
              </w:rPr>
              <w:t>63</w:t>
            </w:r>
          </w:p>
        </w:tc>
        <w:tc>
          <w:tcPr>
            <w:tcW w:w="520" w:type="dxa"/>
            <w:vAlign w:val="bottom"/>
          </w:tcPr>
          <w:p>
            <w:pPr>
              <w:jc w:val="right"/>
              <w:spacing w:after="0"/>
              <w:rPr>
                <w:sz w:val="20"/>
                <w:szCs w:val="20"/>
                <w:color w:val="auto"/>
              </w:rPr>
            </w:pPr>
            <w:r>
              <w:rPr>
                <w:rFonts w:ascii="Arial" w:cs="Arial" w:eastAsia="Arial" w:hAnsi="Arial"/>
                <w:sz w:val="10"/>
                <w:szCs w:val="10"/>
                <w:color w:val="0057CF"/>
              </w:rPr>
              <w:t>132</w:t>
            </w:r>
          </w:p>
        </w:tc>
        <w:tc>
          <w:tcPr>
            <w:tcW w:w="520" w:type="dxa"/>
            <w:vAlign w:val="bottom"/>
          </w:tcPr>
          <w:p>
            <w:pPr>
              <w:ind w:left="60"/>
              <w:spacing w:after="0"/>
              <w:rPr>
                <w:sz w:val="20"/>
                <w:szCs w:val="20"/>
                <w:color w:val="auto"/>
              </w:rPr>
            </w:pPr>
            <w:r>
              <w:rPr>
                <w:rFonts w:ascii="Arial" w:cs="Arial" w:eastAsia="Arial" w:hAnsi="Arial"/>
                <w:sz w:val="10"/>
                <w:szCs w:val="10"/>
                <w:color w:val="auto"/>
              </w:rPr>
              <w:t>55</w:t>
            </w:r>
          </w:p>
        </w:tc>
        <w:tc>
          <w:tcPr>
            <w:tcW w:w="540" w:type="dxa"/>
            <w:vAlign w:val="bottom"/>
          </w:tcPr>
          <w:p>
            <w:pPr>
              <w:ind w:left="60"/>
              <w:spacing w:after="0"/>
              <w:rPr>
                <w:sz w:val="20"/>
                <w:szCs w:val="20"/>
                <w:color w:val="auto"/>
              </w:rPr>
            </w:pPr>
            <w:r>
              <w:rPr>
                <w:rFonts w:ascii="Arial" w:cs="Arial" w:eastAsia="Arial" w:hAnsi="Arial"/>
                <w:sz w:val="10"/>
                <w:szCs w:val="10"/>
                <w:color w:val="auto"/>
              </w:rPr>
              <w:t>56</w:t>
            </w:r>
          </w:p>
        </w:tc>
        <w:tc>
          <w:tcPr>
            <w:tcW w:w="520" w:type="dxa"/>
            <w:vAlign w:val="bottom"/>
          </w:tcPr>
          <w:p>
            <w:pPr>
              <w:ind w:left="40"/>
              <w:spacing w:after="0"/>
              <w:rPr>
                <w:sz w:val="20"/>
                <w:szCs w:val="20"/>
                <w:color w:val="auto"/>
              </w:rPr>
            </w:pPr>
            <w:r>
              <w:rPr>
                <w:rFonts w:ascii="Arial" w:cs="Arial" w:eastAsia="Arial" w:hAnsi="Arial"/>
                <w:sz w:val="10"/>
                <w:szCs w:val="10"/>
                <w:color w:val="auto"/>
              </w:rPr>
              <w:t>111</w:t>
            </w:r>
          </w:p>
        </w:tc>
        <w:tc>
          <w:tcPr>
            <w:tcW w:w="560" w:type="dxa"/>
            <w:vAlign w:val="bottom"/>
          </w:tcPr>
          <w:p>
            <w:pPr>
              <w:jc w:val="right"/>
              <w:ind w:right="49"/>
              <w:spacing w:after="0"/>
              <w:rPr>
                <w:sz w:val="20"/>
                <w:szCs w:val="20"/>
                <w:color w:val="auto"/>
              </w:rPr>
            </w:pPr>
            <w:r>
              <w:rPr>
                <w:rFonts w:ascii="Arial" w:cs="Arial" w:eastAsia="Arial" w:hAnsi="Arial"/>
                <w:sz w:val="10"/>
                <w:szCs w:val="10"/>
                <w:color w:val="auto"/>
              </w:rPr>
              <w:t>—</w:t>
            </w:r>
          </w:p>
        </w:tc>
      </w:tr>
      <w:tr>
        <w:trPr>
          <w:trHeight w:val="152"/>
        </w:trPr>
        <w:tc>
          <w:tcPr>
            <w:tcW w:w="1200" w:type="dxa"/>
            <w:vAlign w:val="bottom"/>
          </w:tcPr>
          <w:p>
            <w:pPr>
              <w:ind w:left="20"/>
              <w:spacing w:after="0"/>
              <w:rPr>
                <w:sz w:val="20"/>
                <w:szCs w:val="20"/>
                <w:color w:val="auto"/>
              </w:rPr>
            </w:pPr>
            <w:r>
              <w:rPr>
                <w:rFonts w:ascii="Arial" w:cs="Arial" w:eastAsia="Arial" w:hAnsi="Arial"/>
                <w:sz w:val="10"/>
                <w:szCs w:val="10"/>
                <w:color w:val="auto"/>
              </w:rPr>
              <w:t>Other Countries</w:t>
            </w:r>
          </w:p>
        </w:tc>
        <w:tc>
          <w:tcPr>
            <w:tcW w:w="580" w:type="dxa"/>
            <w:vAlign w:val="bottom"/>
          </w:tcPr>
          <w:p>
            <w:pPr>
              <w:jc w:val="right"/>
              <w:spacing w:after="0"/>
              <w:rPr>
                <w:sz w:val="20"/>
                <w:szCs w:val="20"/>
                <w:color w:val="auto"/>
              </w:rPr>
            </w:pPr>
            <w:r>
              <w:rPr>
                <w:rFonts w:ascii="Arial" w:cs="Arial" w:eastAsia="Arial" w:hAnsi="Arial"/>
                <w:sz w:val="10"/>
                <w:szCs w:val="10"/>
                <w:color w:val="0057CF"/>
              </w:rPr>
              <w:t>14</w:t>
            </w:r>
          </w:p>
        </w:tc>
        <w:tc>
          <w:tcPr>
            <w:tcW w:w="520" w:type="dxa"/>
            <w:vAlign w:val="bottom"/>
          </w:tcPr>
          <w:p>
            <w:pPr>
              <w:jc w:val="right"/>
              <w:spacing w:after="0"/>
              <w:rPr>
                <w:sz w:val="20"/>
                <w:szCs w:val="20"/>
                <w:color w:val="auto"/>
              </w:rPr>
            </w:pPr>
            <w:r>
              <w:rPr>
                <w:rFonts w:ascii="Arial" w:cs="Arial" w:eastAsia="Arial" w:hAnsi="Arial"/>
                <w:sz w:val="10"/>
                <w:szCs w:val="10"/>
                <w:color w:val="0057CF"/>
              </w:rPr>
              <w:t>4</w:t>
            </w:r>
          </w:p>
        </w:tc>
        <w:tc>
          <w:tcPr>
            <w:tcW w:w="520" w:type="dxa"/>
            <w:vAlign w:val="bottom"/>
          </w:tcPr>
          <w:p>
            <w:pPr>
              <w:jc w:val="right"/>
              <w:spacing w:after="0"/>
              <w:rPr>
                <w:sz w:val="20"/>
                <w:szCs w:val="20"/>
                <w:color w:val="auto"/>
              </w:rPr>
            </w:pPr>
            <w:r>
              <w:rPr>
                <w:rFonts w:ascii="Arial" w:cs="Arial" w:eastAsia="Arial" w:hAnsi="Arial"/>
                <w:sz w:val="10"/>
                <w:szCs w:val="10"/>
                <w:color w:val="0057CF"/>
              </w:rPr>
              <w:t>18</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49"/>
              <w:spacing w:after="0"/>
              <w:rPr>
                <w:sz w:val="20"/>
                <w:szCs w:val="20"/>
                <w:color w:val="auto"/>
              </w:rPr>
            </w:pPr>
            <w:r>
              <w:rPr>
                <w:rFonts w:ascii="Arial" w:cs="Arial" w:eastAsia="Arial" w:hAnsi="Arial"/>
                <w:sz w:val="10"/>
                <w:szCs w:val="10"/>
                <w:color w:val="auto"/>
              </w:rPr>
              <w:t>—</w:t>
            </w:r>
          </w:p>
        </w:tc>
      </w:tr>
      <w:tr>
        <w:trPr>
          <w:trHeight w:val="176"/>
        </w:trPr>
        <w:tc>
          <w:tcPr>
            <w:tcW w:w="1200" w:type="dxa"/>
            <w:vAlign w:val="bottom"/>
            <w:tcBorders>
              <w:bottom w:val="single" w:sz="8" w:color="0057CF"/>
            </w:tcBorders>
          </w:tcPr>
          <w:p>
            <w:pPr>
              <w:ind w:left="20"/>
              <w:spacing w:after="0"/>
              <w:rPr>
                <w:sz w:val="20"/>
                <w:szCs w:val="20"/>
                <w:color w:val="auto"/>
              </w:rPr>
            </w:pPr>
            <w:r>
              <w:rPr>
                <w:rFonts w:ascii="Arial" w:cs="Arial" w:eastAsia="Arial" w:hAnsi="Arial"/>
                <w:sz w:val="10"/>
                <w:szCs w:val="10"/>
                <w:b w:val="1"/>
                <w:bCs w:val="1"/>
                <w:color w:val="auto"/>
              </w:rPr>
              <w:t>Total Headcount</w:t>
            </w:r>
          </w:p>
        </w:tc>
        <w:tc>
          <w:tcPr>
            <w:tcW w:w="580" w:type="dxa"/>
            <w:vAlign w:val="bottom"/>
            <w:tcBorders>
              <w:bottom w:val="single" w:sz="8" w:color="0057CF"/>
            </w:tcBorders>
          </w:tcPr>
          <w:p>
            <w:pPr>
              <w:jc w:val="right"/>
              <w:spacing w:after="0"/>
              <w:rPr>
                <w:sz w:val="20"/>
                <w:szCs w:val="20"/>
                <w:color w:val="auto"/>
              </w:rPr>
            </w:pPr>
            <w:r>
              <w:rPr>
                <w:rFonts w:ascii="Arial" w:cs="Arial" w:eastAsia="Arial" w:hAnsi="Arial"/>
                <w:sz w:val="10"/>
                <w:szCs w:val="10"/>
                <w:b w:val="1"/>
                <w:bCs w:val="1"/>
                <w:color w:val="0057CF"/>
              </w:rPr>
              <w:t>1,598</w:t>
            </w:r>
          </w:p>
        </w:tc>
        <w:tc>
          <w:tcPr>
            <w:tcW w:w="520" w:type="dxa"/>
            <w:vAlign w:val="bottom"/>
            <w:tcBorders>
              <w:bottom w:val="single" w:sz="8" w:color="0057CF"/>
            </w:tcBorders>
          </w:tcPr>
          <w:p>
            <w:pPr>
              <w:jc w:val="right"/>
              <w:spacing w:after="0"/>
              <w:rPr>
                <w:sz w:val="20"/>
                <w:szCs w:val="20"/>
                <w:color w:val="auto"/>
              </w:rPr>
            </w:pPr>
            <w:r>
              <w:rPr>
                <w:rFonts w:ascii="Arial" w:cs="Arial" w:eastAsia="Arial" w:hAnsi="Arial"/>
                <w:sz w:val="10"/>
                <w:szCs w:val="10"/>
                <w:b w:val="1"/>
                <w:bCs w:val="1"/>
                <w:color w:val="0057CF"/>
              </w:rPr>
              <w:t>1,221</w:t>
            </w:r>
          </w:p>
        </w:tc>
        <w:tc>
          <w:tcPr>
            <w:tcW w:w="520" w:type="dxa"/>
            <w:vAlign w:val="bottom"/>
            <w:tcBorders>
              <w:bottom w:val="single" w:sz="8" w:color="0057CF"/>
            </w:tcBorders>
          </w:tcPr>
          <w:p>
            <w:pPr>
              <w:jc w:val="right"/>
              <w:spacing w:after="0"/>
              <w:rPr>
                <w:sz w:val="20"/>
                <w:szCs w:val="20"/>
                <w:color w:val="auto"/>
              </w:rPr>
            </w:pPr>
            <w:r>
              <w:rPr>
                <w:rFonts w:ascii="Arial" w:cs="Arial" w:eastAsia="Arial" w:hAnsi="Arial"/>
                <w:sz w:val="10"/>
                <w:szCs w:val="10"/>
                <w:b w:val="1"/>
                <w:bCs w:val="1"/>
                <w:color w:val="0057CF"/>
              </w:rPr>
              <w:t>2,819</w:t>
            </w:r>
          </w:p>
        </w:tc>
        <w:tc>
          <w:tcPr>
            <w:tcW w:w="520" w:type="dxa"/>
            <w:vAlign w:val="bottom"/>
            <w:tcBorders>
              <w:bottom w:val="single" w:sz="8" w:color="0057CF"/>
            </w:tcBorders>
          </w:tcPr>
          <w:p>
            <w:pPr>
              <w:ind w:left="60"/>
              <w:spacing w:after="0"/>
              <w:rPr>
                <w:sz w:val="20"/>
                <w:szCs w:val="20"/>
                <w:color w:val="auto"/>
              </w:rPr>
            </w:pPr>
            <w:r>
              <w:rPr>
                <w:rFonts w:ascii="Arial" w:cs="Arial" w:eastAsia="Arial" w:hAnsi="Arial"/>
                <w:sz w:val="10"/>
                <w:szCs w:val="10"/>
                <w:b w:val="1"/>
                <w:bCs w:val="1"/>
                <w:color w:val="auto"/>
              </w:rPr>
              <w:t>1,568</w:t>
            </w:r>
          </w:p>
        </w:tc>
        <w:tc>
          <w:tcPr>
            <w:tcW w:w="540" w:type="dxa"/>
            <w:vAlign w:val="bottom"/>
            <w:tcBorders>
              <w:bottom w:val="single" w:sz="8" w:color="0057CF"/>
            </w:tcBorders>
          </w:tcPr>
          <w:p>
            <w:pPr>
              <w:ind w:left="60"/>
              <w:spacing w:after="0"/>
              <w:rPr>
                <w:sz w:val="20"/>
                <w:szCs w:val="20"/>
                <w:color w:val="auto"/>
              </w:rPr>
            </w:pPr>
            <w:r>
              <w:rPr>
                <w:rFonts w:ascii="Arial" w:cs="Arial" w:eastAsia="Arial" w:hAnsi="Arial"/>
                <w:sz w:val="10"/>
                <w:szCs w:val="10"/>
                <w:b w:val="1"/>
                <w:bCs w:val="1"/>
                <w:color w:val="auto"/>
              </w:rPr>
              <w:t>1,182</w:t>
            </w:r>
          </w:p>
        </w:tc>
        <w:tc>
          <w:tcPr>
            <w:tcW w:w="520" w:type="dxa"/>
            <w:vAlign w:val="bottom"/>
            <w:tcBorders>
              <w:bottom w:val="single" w:sz="8" w:color="0057CF"/>
            </w:tcBorders>
          </w:tcPr>
          <w:p>
            <w:pPr>
              <w:ind w:left="40"/>
              <w:spacing w:after="0"/>
              <w:rPr>
                <w:sz w:val="20"/>
                <w:szCs w:val="20"/>
                <w:color w:val="auto"/>
              </w:rPr>
            </w:pPr>
            <w:r>
              <w:rPr>
                <w:rFonts w:ascii="Arial" w:cs="Arial" w:eastAsia="Arial" w:hAnsi="Arial"/>
                <w:sz w:val="10"/>
                <w:szCs w:val="10"/>
                <w:b w:val="1"/>
                <w:bCs w:val="1"/>
                <w:color w:val="auto"/>
              </w:rPr>
              <w:t>2,750</w:t>
            </w:r>
          </w:p>
        </w:tc>
        <w:tc>
          <w:tcPr>
            <w:tcW w:w="560" w:type="dxa"/>
            <w:vAlign w:val="bottom"/>
            <w:tcBorders>
              <w:bottom w:val="single" w:sz="8" w:color="0057CF"/>
            </w:tcBorders>
          </w:tcPr>
          <w:p>
            <w:pPr>
              <w:ind w:left="40"/>
              <w:spacing w:after="0"/>
              <w:rPr>
                <w:sz w:val="20"/>
                <w:szCs w:val="20"/>
                <w:color w:val="auto"/>
              </w:rPr>
            </w:pPr>
            <w:r>
              <w:rPr>
                <w:rFonts w:ascii="Arial" w:cs="Arial" w:eastAsia="Arial" w:hAnsi="Arial"/>
                <w:sz w:val="10"/>
                <w:szCs w:val="10"/>
                <w:b w:val="1"/>
                <w:bCs w:val="1"/>
                <w:color w:val="auto"/>
              </w:rPr>
              <w:t>2,262</w:t>
            </w:r>
          </w:p>
        </w:tc>
      </w:tr>
      <w:tr>
        <w:trPr>
          <w:trHeight w:val="129"/>
        </w:trPr>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1200" w:type="dxa"/>
            <w:vAlign w:val="bottom"/>
          </w:tcPr>
          <w:p>
            <w:pPr>
              <w:spacing w:after="0"/>
              <w:rPr>
                <w:sz w:val="11"/>
                <w:szCs w:val="11"/>
                <w:color w:val="auto"/>
              </w:rPr>
            </w:pPr>
          </w:p>
        </w:tc>
        <w:tc>
          <w:tcPr>
            <w:tcW w:w="580" w:type="dxa"/>
            <w:vAlign w:val="bottom"/>
          </w:tcPr>
          <w:p>
            <w:pPr>
              <w:ind w:left="100"/>
              <w:spacing w:after="0"/>
              <w:rPr>
                <w:sz w:val="20"/>
                <w:szCs w:val="20"/>
                <w:color w:val="auto"/>
              </w:rPr>
            </w:pPr>
            <w:r>
              <w:rPr>
                <w:rFonts w:ascii="Arial" w:cs="Arial" w:eastAsia="Arial" w:hAnsi="Arial"/>
                <w:sz w:val="10"/>
                <w:szCs w:val="10"/>
                <w:b w:val="1"/>
                <w:bCs w:val="1"/>
                <w:color w:val="0057CF"/>
              </w:rPr>
              <w:t>2025</w:t>
            </w:r>
            <w:r>
              <w:rPr>
                <w:rFonts w:ascii="Arial" w:cs="Arial" w:eastAsia="Arial" w:hAnsi="Arial"/>
                <w:sz w:val="6"/>
                <w:szCs w:val="6"/>
                <w:b w:val="1"/>
                <w:bCs w:val="1"/>
                <w:color w:val="0057CF"/>
              </w:rPr>
              <w:t>1</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2024</w:t>
            </w:r>
            <w:r>
              <w:rPr>
                <w:rFonts w:ascii="Arial" w:cs="Arial" w:eastAsia="Arial" w:hAnsi="Arial"/>
                <w:sz w:val="6"/>
                <w:szCs w:val="6"/>
                <w:b w:val="1"/>
                <w:bCs w:val="1"/>
                <w:color w:val="auto"/>
              </w:rPr>
              <w:t>2</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2023</w:t>
            </w:r>
          </w:p>
        </w:tc>
      </w:tr>
      <w:tr>
        <w:trPr>
          <w:trHeight w:val="143"/>
        </w:trPr>
        <w:tc>
          <w:tcPr>
            <w:tcW w:w="1200" w:type="dxa"/>
            <w:vAlign w:val="bottom"/>
          </w:tcPr>
          <w:p>
            <w:pPr>
              <w:ind w:left="20"/>
              <w:spacing w:after="0"/>
              <w:rPr>
                <w:sz w:val="20"/>
                <w:szCs w:val="20"/>
                <w:color w:val="auto"/>
              </w:rPr>
            </w:pPr>
            <w:r>
              <w:rPr>
                <w:rFonts w:ascii="Arial" w:cs="Arial" w:eastAsia="Arial" w:hAnsi="Arial"/>
                <w:sz w:val="10"/>
                <w:szCs w:val="10"/>
                <w:b w:val="1"/>
                <w:bCs w:val="1"/>
                <w:color w:val="auto"/>
              </w:rPr>
              <w:t>Employees (FTEs)</w:t>
            </w:r>
            <w:r>
              <w:rPr>
                <w:rFonts w:ascii="Arial" w:cs="Arial" w:eastAsia="Arial" w:hAnsi="Arial"/>
                <w:sz w:val="6"/>
                <w:szCs w:val="6"/>
                <w:b w:val="1"/>
                <w:bCs w:val="1"/>
                <w:color w:val="auto"/>
              </w:rPr>
              <w:t>1</w:t>
            </w:r>
          </w:p>
        </w:tc>
        <w:tc>
          <w:tcPr>
            <w:tcW w:w="580" w:type="dxa"/>
            <w:vAlign w:val="bottom"/>
          </w:tcPr>
          <w:p>
            <w:pPr>
              <w:jc w:val="right"/>
              <w:ind w:right="109"/>
              <w:spacing w:after="0"/>
              <w:rPr>
                <w:sz w:val="20"/>
                <w:szCs w:val="20"/>
                <w:color w:val="auto"/>
              </w:rPr>
            </w:pPr>
            <w:r>
              <w:rPr>
                <w:rFonts w:ascii="Arial" w:cs="Arial" w:eastAsia="Arial" w:hAnsi="Arial"/>
                <w:sz w:val="10"/>
                <w:szCs w:val="10"/>
                <w:b w:val="1"/>
                <w:bCs w:val="1"/>
                <w:color w:val="0057CF"/>
              </w:rPr>
              <w:t>Female</w:t>
            </w:r>
          </w:p>
        </w:tc>
        <w:tc>
          <w:tcPr>
            <w:tcW w:w="520" w:type="dxa"/>
            <w:vAlign w:val="bottom"/>
          </w:tcPr>
          <w:p>
            <w:pPr>
              <w:jc w:val="right"/>
              <w:ind w:right="208"/>
              <w:spacing w:after="0"/>
              <w:rPr>
                <w:sz w:val="20"/>
                <w:szCs w:val="20"/>
                <w:color w:val="auto"/>
              </w:rPr>
            </w:pPr>
            <w:r>
              <w:rPr>
                <w:rFonts w:ascii="Arial" w:cs="Arial" w:eastAsia="Arial" w:hAnsi="Arial"/>
                <w:sz w:val="10"/>
                <w:szCs w:val="10"/>
                <w:b w:val="1"/>
                <w:bCs w:val="1"/>
                <w:color w:val="0057CF"/>
              </w:rPr>
              <w:t>Male</w:t>
            </w:r>
          </w:p>
        </w:tc>
        <w:tc>
          <w:tcPr>
            <w:tcW w:w="520" w:type="dxa"/>
            <w:vAlign w:val="bottom"/>
          </w:tcPr>
          <w:p>
            <w:pPr>
              <w:jc w:val="right"/>
              <w:ind w:right="188"/>
              <w:spacing w:after="0"/>
              <w:rPr>
                <w:sz w:val="20"/>
                <w:szCs w:val="20"/>
                <w:color w:val="auto"/>
              </w:rPr>
            </w:pPr>
            <w:r>
              <w:rPr>
                <w:rFonts w:ascii="Arial" w:cs="Arial" w:eastAsia="Arial" w:hAnsi="Arial"/>
                <w:sz w:val="10"/>
                <w:szCs w:val="10"/>
                <w:b w:val="1"/>
                <w:bCs w:val="1"/>
                <w:color w:val="0057CF"/>
              </w:rPr>
              <w:t>Total</w:t>
            </w: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Female</w:t>
            </w: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Male</w:t>
            </w:r>
          </w:p>
        </w:tc>
        <w:tc>
          <w:tcPr>
            <w:tcW w:w="52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r>
      <w:tr>
        <w:trPr>
          <w:trHeight w:val="141"/>
        </w:trPr>
        <w:tc>
          <w:tcPr>
            <w:tcW w:w="1200" w:type="dxa"/>
            <w:vAlign w:val="bottom"/>
          </w:tcPr>
          <w:p>
            <w:pPr>
              <w:ind w:left="20"/>
              <w:spacing w:after="0"/>
              <w:rPr>
                <w:sz w:val="20"/>
                <w:szCs w:val="20"/>
                <w:color w:val="auto"/>
              </w:rPr>
            </w:pPr>
            <w:r>
              <w:rPr>
                <w:rFonts w:ascii="Arial" w:cs="Arial" w:eastAsia="Arial" w:hAnsi="Arial"/>
                <w:sz w:val="10"/>
                <w:szCs w:val="10"/>
                <w:color w:val="auto"/>
              </w:rPr>
              <w:t>Permanent</w:t>
            </w:r>
          </w:p>
        </w:tc>
        <w:tc>
          <w:tcPr>
            <w:tcW w:w="580" w:type="dxa"/>
            <w:vAlign w:val="bottom"/>
          </w:tcPr>
          <w:p>
            <w:pPr>
              <w:jc w:val="right"/>
              <w:spacing w:after="0"/>
              <w:rPr>
                <w:sz w:val="20"/>
                <w:szCs w:val="20"/>
                <w:color w:val="auto"/>
              </w:rPr>
            </w:pPr>
            <w:r>
              <w:rPr>
                <w:rFonts w:ascii="Arial" w:cs="Arial" w:eastAsia="Arial" w:hAnsi="Arial"/>
                <w:sz w:val="10"/>
                <w:szCs w:val="10"/>
                <w:color w:val="0057CF"/>
              </w:rPr>
              <w:t>1,517</w:t>
            </w:r>
          </w:p>
        </w:tc>
        <w:tc>
          <w:tcPr>
            <w:tcW w:w="520" w:type="dxa"/>
            <w:vAlign w:val="bottom"/>
          </w:tcPr>
          <w:p>
            <w:pPr>
              <w:jc w:val="right"/>
              <w:spacing w:after="0"/>
              <w:rPr>
                <w:sz w:val="20"/>
                <w:szCs w:val="20"/>
                <w:color w:val="auto"/>
              </w:rPr>
            </w:pPr>
            <w:r>
              <w:rPr>
                <w:rFonts w:ascii="Arial" w:cs="Arial" w:eastAsia="Arial" w:hAnsi="Arial"/>
                <w:sz w:val="10"/>
                <w:szCs w:val="10"/>
                <w:color w:val="0057CF"/>
              </w:rPr>
              <w:t>1,168</w:t>
            </w:r>
          </w:p>
        </w:tc>
        <w:tc>
          <w:tcPr>
            <w:tcW w:w="520" w:type="dxa"/>
            <w:vAlign w:val="bottom"/>
          </w:tcPr>
          <w:p>
            <w:pPr>
              <w:jc w:val="right"/>
              <w:spacing w:after="0"/>
              <w:rPr>
                <w:sz w:val="20"/>
                <w:szCs w:val="20"/>
                <w:color w:val="auto"/>
              </w:rPr>
            </w:pPr>
            <w:r>
              <w:rPr>
                <w:rFonts w:ascii="Arial" w:cs="Arial" w:eastAsia="Arial" w:hAnsi="Arial"/>
                <w:sz w:val="10"/>
                <w:szCs w:val="10"/>
                <w:color w:val="auto"/>
              </w:rPr>
              <w:t>2,685</w:t>
            </w:r>
          </w:p>
        </w:tc>
        <w:tc>
          <w:tcPr>
            <w:tcW w:w="520" w:type="dxa"/>
            <w:vAlign w:val="bottom"/>
          </w:tcPr>
          <w:p>
            <w:pPr>
              <w:jc w:val="right"/>
              <w:spacing w:after="0"/>
              <w:rPr>
                <w:sz w:val="20"/>
                <w:szCs w:val="20"/>
                <w:color w:val="auto"/>
              </w:rPr>
            </w:pPr>
            <w:r>
              <w:rPr>
                <w:rFonts w:ascii="Arial" w:cs="Arial" w:eastAsia="Arial" w:hAnsi="Arial"/>
                <w:sz w:val="10"/>
                <w:szCs w:val="10"/>
                <w:color w:val="auto"/>
              </w:rPr>
              <w:t>1,498</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1,136</w:t>
            </w:r>
          </w:p>
        </w:tc>
        <w:tc>
          <w:tcPr>
            <w:tcW w:w="520" w:type="dxa"/>
            <w:vAlign w:val="bottom"/>
          </w:tcPr>
          <w:p>
            <w:pPr>
              <w:jc w:val="right"/>
              <w:spacing w:after="0"/>
              <w:rPr>
                <w:sz w:val="20"/>
                <w:szCs w:val="20"/>
                <w:color w:val="auto"/>
              </w:rPr>
            </w:pPr>
            <w:r>
              <w:rPr>
                <w:rFonts w:ascii="Arial" w:cs="Arial" w:eastAsia="Arial" w:hAnsi="Arial"/>
                <w:sz w:val="10"/>
                <w:szCs w:val="10"/>
                <w:color w:val="auto"/>
              </w:rPr>
              <w:t>2,634</w:t>
            </w:r>
          </w:p>
        </w:tc>
        <w:tc>
          <w:tcPr>
            <w:tcW w:w="560" w:type="dxa"/>
            <w:vAlign w:val="bottom"/>
          </w:tcPr>
          <w:p>
            <w:pPr>
              <w:jc w:val="right"/>
              <w:ind w:right="29"/>
              <w:spacing w:after="0"/>
              <w:rPr>
                <w:sz w:val="20"/>
                <w:szCs w:val="20"/>
                <w:color w:val="auto"/>
              </w:rPr>
            </w:pPr>
            <w:r>
              <w:rPr>
                <w:rFonts w:ascii="Arial" w:cs="Arial" w:eastAsia="Arial" w:hAnsi="Arial"/>
                <w:sz w:val="10"/>
                <w:szCs w:val="10"/>
                <w:color w:val="auto"/>
              </w:rPr>
              <w:t>2,159</w:t>
            </w:r>
          </w:p>
        </w:tc>
      </w:tr>
      <w:tr>
        <w:trPr>
          <w:trHeight w:val="152"/>
        </w:trPr>
        <w:tc>
          <w:tcPr>
            <w:tcW w:w="1200" w:type="dxa"/>
            <w:vAlign w:val="bottom"/>
          </w:tcPr>
          <w:p>
            <w:pPr>
              <w:ind w:left="20"/>
              <w:spacing w:after="0"/>
              <w:rPr>
                <w:sz w:val="20"/>
                <w:szCs w:val="20"/>
                <w:color w:val="auto"/>
              </w:rPr>
            </w:pPr>
            <w:r>
              <w:rPr>
                <w:rFonts w:ascii="Arial" w:cs="Arial" w:eastAsia="Arial" w:hAnsi="Arial"/>
                <w:sz w:val="10"/>
                <w:szCs w:val="10"/>
                <w:color w:val="auto"/>
              </w:rPr>
              <w:t>Temporary</w:t>
            </w:r>
          </w:p>
        </w:tc>
        <w:tc>
          <w:tcPr>
            <w:tcW w:w="580" w:type="dxa"/>
            <w:vAlign w:val="bottom"/>
          </w:tcPr>
          <w:p>
            <w:pPr>
              <w:jc w:val="right"/>
              <w:spacing w:after="0"/>
              <w:rPr>
                <w:sz w:val="20"/>
                <w:szCs w:val="20"/>
                <w:color w:val="auto"/>
              </w:rPr>
            </w:pPr>
            <w:r>
              <w:rPr>
                <w:rFonts w:ascii="Arial" w:cs="Arial" w:eastAsia="Arial" w:hAnsi="Arial"/>
                <w:sz w:val="10"/>
                <w:szCs w:val="10"/>
                <w:color w:val="0057CF"/>
              </w:rPr>
              <w:t>32</w:t>
            </w:r>
          </w:p>
        </w:tc>
        <w:tc>
          <w:tcPr>
            <w:tcW w:w="520" w:type="dxa"/>
            <w:vAlign w:val="bottom"/>
          </w:tcPr>
          <w:p>
            <w:pPr>
              <w:jc w:val="right"/>
              <w:spacing w:after="0"/>
              <w:rPr>
                <w:sz w:val="20"/>
                <w:szCs w:val="20"/>
                <w:color w:val="auto"/>
              </w:rPr>
            </w:pPr>
            <w:r>
              <w:rPr>
                <w:rFonts w:ascii="Arial" w:cs="Arial" w:eastAsia="Arial" w:hAnsi="Arial"/>
                <w:sz w:val="10"/>
                <w:szCs w:val="10"/>
                <w:color w:val="0057CF"/>
              </w:rPr>
              <w:t>24</w:t>
            </w:r>
          </w:p>
        </w:tc>
        <w:tc>
          <w:tcPr>
            <w:tcW w:w="520" w:type="dxa"/>
            <w:vAlign w:val="bottom"/>
          </w:tcPr>
          <w:p>
            <w:pPr>
              <w:jc w:val="right"/>
              <w:spacing w:after="0"/>
              <w:rPr>
                <w:sz w:val="20"/>
                <w:szCs w:val="20"/>
                <w:color w:val="auto"/>
              </w:rPr>
            </w:pPr>
            <w:r>
              <w:rPr>
                <w:rFonts w:ascii="Arial" w:cs="Arial" w:eastAsia="Arial" w:hAnsi="Arial"/>
                <w:sz w:val="10"/>
                <w:szCs w:val="10"/>
                <w:color w:val="auto"/>
              </w:rPr>
              <w:t>56</w:t>
            </w:r>
          </w:p>
        </w:tc>
        <w:tc>
          <w:tcPr>
            <w:tcW w:w="520" w:type="dxa"/>
            <w:vAlign w:val="bottom"/>
          </w:tcPr>
          <w:p>
            <w:pPr>
              <w:jc w:val="right"/>
              <w:spacing w:after="0"/>
              <w:rPr>
                <w:sz w:val="20"/>
                <w:szCs w:val="20"/>
                <w:color w:val="auto"/>
              </w:rPr>
            </w:pPr>
            <w:r>
              <w:rPr>
                <w:rFonts w:ascii="Arial" w:cs="Arial" w:eastAsia="Arial" w:hAnsi="Arial"/>
                <w:sz w:val="10"/>
                <w:szCs w:val="10"/>
                <w:color w:val="auto"/>
              </w:rPr>
              <w:t>28</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20</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48</w:t>
            </w:r>
          </w:p>
        </w:tc>
        <w:tc>
          <w:tcPr>
            <w:tcW w:w="560" w:type="dxa"/>
            <w:vAlign w:val="bottom"/>
          </w:tcPr>
          <w:p>
            <w:pPr>
              <w:jc w:val="right"/>
              <w:ind w:right="29"/>
              <w:spacing w:after="0"/>
              <w:rPr>
                <w:sz w:val="20"/>
                <w:szCs w:val="20"/>
                <w:color w:val="auto"/>
              </w:rPr>
            </w:pPr>
            <w:r>
              <w:rPr>
                <w:rFonts w:ascii="Arial" w:cs="Arial" w:eastAsia="Arial" w:hAnsi="Arial"/>
                <w:sz w:val="10"/>
                <w:szCs w:val="10"/>
                <w:color w:val="auto"/>
              </w:rPr>
              <w:t>45</w:t>
            </w:r>
          </w:p>
        </w:tc>
      </w:tr>
      <w:tr>
        <w:trPr>
          <w:trHeight w:val="158"/>
        </w:trPr>
        <w:tc>
          <w:tcPr>
            <w:tcW w:w="1200" w:type="dxa"/>
            <w:vAlign w:val="bottom"/>
          </w:tcPr>
          <w:p>
            <w:pPr>
              <w:ind w:left="20"/>
              <w:spacing w:after="0"/>
              <w:rPr>
                <w:sz w:val="20"/>
                <w:szCs w:val="20"/>
                <w:color w:val="auto"/>
              </w:rPr>
            </w:pPr>
            <w:r>
              <w:rPr>
                <w:rFonts w:ascii="Arial" w:cs="Arial" w:eastAsia="Arial" w:hAnsi="Arial"/>
                <w:sz w:val="10"/>
                <w:szCs w:val="10"/>
                <w:b w:val="1"/>
                <w:bCs w:val="1"/>
                <w:color w:val="auto"/>
              </w:rPr>
              <w:t>Total FTEs</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0057CF"/>
              </w:rPr>
              <w:t>1,549</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0057CF"/>
              </w:rPr>
              <w:t>1,192</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0057CF"/>
              </w:rPr>
              <w:t>2,741</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1,526</w:t>
            </w:r>
          </w:p>
        </w:tc>
        <w:tc>
          <w:tcPr>
            <w:tcW w:w="540" w:type="dxa"/>
            <w:vAlign w:val="bottom"/>
          </w:tcPr>
          <w:p>
            <w:pPr>
              <w:jc w:val="right"/>
              <w:ind w:right="8"/>
              <w:spacing w:after="0"/>
              <w:rPr>
                <w:sz w:val="20"/>
                <w:szCs w:val="20"/>
                <w:color w:val="auto"/>
              </w:rPr>
            </w:pPr>
            <w:r>
              <w:rPr>
                <w:rFonts w:ascii="Arial" w:cs="Arial" w:eastAsia="Arial" w:hAnsi="Arial"/>
                <w:sz w:val="10"/>
                <w:szCs w:val="10"/>
                <w:b w:val="1"/>
                <w:bCs w:val="1"/>
                <w:color w:val="auto"/>
              </w:rPr>
              <w:t>1,156</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2,682</w:t>
            </w:r>
          </w:p>
        </w:tc>
        <w:tc>
          <w:tcPr>
            <w:tcW w:w="560" w:type="dxa"/>
            <w:vAlign w:val="bottom"/>
          </w:tcPr>
          <w:p>
            <w:pPr>
              <w:jc w:val="right"/>
              <w:ind w:right="29"/>
              <w:spacing w:after="0"/>
              <w:rPr>
                <w:sz w:val="20"/>
                <w:szCs w:val="20"/>
                <w:color w:val="auto"/>
              </w:rPr>
            </w:pPr>
            <w:r>
              <w:rPr>
                <w:rFonts w:ascii="Arial" w:cs="Arial" w:eastAsia="Arial" w:hAnsi="Arial"/>
                <w:sz w:val="10"/>
                <w:szCs w:val="10"/>
                <w:b w:val="1"/>
                <w:bCs w:val="1"/>
                <w:color w:val="auto"/>
              </w:rPr>
              <w:t>2,204</w:t>
            </w:r>
          </w:p>
        </w:tc>
      </w:tr>
    </w:tbl>
    <w:p>
      <w:pPr>
        <w:spacing w:after="0" w:line="1"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147"/>
        </w:trPr>
        <w:tc>
          <w:tcPr>
            <w:tcW w:w="2540" w:type="dxa"/>
            <w:vAlign w:val="bottom"/>
            <w:tcBorders>
              <w:top w:val="single" w:sz="8" w:color="0057CF"/>
            </w:tcBorders>
          </w:tcPr>
          <w:p>
            <w:pPr>
              <w:spacing w:after="0"/>
              <w:rPr>
                <w:sz w:val="12"/>
                <w:szCs w:val="12"/>
                <w:color w:val="auto"/>
              </w:rPr>
            </w:pPr>
          </w:p>
        </w:tc>
        <w:tc>
          <w:tcPr>
            <w:tcW w:w="1700" w:type="dxa"/>
            <w:vAlign w:val="bottom"/>
            <w:tcBorders>
              <w:top w:val="single" w:sz="8" w:color="0057CF"/>
            </w:tcBorders>
            <w:gridSpan w:val="2"/>
          </w:tcPr>
          <w:p>
            <w:pPr>
              <w:ind w:left="700"/>
              <w:spacing w:after="0"/>
              <w:rPr>
                <w:sz w:val="20"/>
                <w:szCs w:val="20"/>
                <w:color w:val="auto"/>
              </w:rPr>
            </w:pPr>
            <w:r>
              <w:rPr>
                <w:rFonts w:ascii="Arial" w:cs="Arial" w:eastAsia="Arial" w:hAnsi="Arial"/>
                <w:sz w:val="10"/>
                <w:szCs w:val="10"/>
                <w:b w:val="1"/>
                <w:bCs w:val="1"/>
                <w:color w:val="auto"/>
              </w:rPr>
              <w:t>December 31,</w:t>
            </w:r>
          </w:p>
        </w:tc>
        <w:tc>
          <w:tcPr>
            <w:tcW w:w="560" w:type="dxa"/>
            <w:vAlign w:val="bottom"/>
            <w:tcBorders>
              <w:top w:val="single" w:sz="8" w:color="0057CF"/>
            </w:tcBorders>
          </w:tcPr>
          <w:p>
            <w:pPr>
              <w:spacing w:after="0"/>
              <w:rPr>
                <w:sz w:val="12"/>
                <w:szCs w:val="12"/>
                <w:color w:val="auto"/>
              </w:rPr>
            </w:pPr>
          </w:p>
        </w:tc>
      </w:tr>
      <w:tr>
        <w:trPr>
          <w:trHeight w:val="133"/>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FTEs (R&amp;D vs. SG&amp;A)</w:t>
            </w:r>
            <w:r>
              <w:rPr>
                <w:rFonts w:ascii="Arial" w:cs="Arial" w:eastAsia="Arial" w:hAnsi="Arial"/>
                <w:sz w:val="6"/>
                <w:szCs w:val="6"/>
                <w:b w:val="1"/>
                <w:bCs w:val="1"/>
                <w:color w:val="auto"/>
              </w:rPr>
              <w:t>1</w:t>
            </w:r>
          </w:p>
        </w:tc>
        <w:tc>
          <w:tcPr>
            <w:tcW w:w="1180" w:type="dxa"/>
            <w:vAlign w:val="bottom"/>
          </w:tcPr>
          <w:p>
            <w:pPr>
              <w:ind w:left="700"/>
              <w:spacing w:after="0"/>
              <w:rPr>
                <w:sz w:val="20"/>
                <w:szCs w:val="20"/>
                <w:color w:val="auto"/>
              </w:rPr>
            </w:pPr>
            <w:r>
              <w:rPr>
                <w:rFonts w:ascii="Arial" w:cs="Arial" w:eastAsia="Arial" w:hAnsi="Arial"/>
                <w:sz w:val="10"/>
                <w:szCs w:val="10"/>
                <w:b w:val="1"/>
                <w:bCs w:val="1"/>
                <w:color w:val="0057CF"/>
              </w:rPr>
              <w:t>2025</w:t>
            </w:r>
            <w:r>
              <w:rPr>
                <w:rFonts w:ascii="Arial" w:cs="Arial" w:eastAsia="Arial" w:hAnsi="Arial"/>
                <w:sz w:val="6"/>
                <w:szCs w:val="6"/>
                <w:b w:val="1"/>
                <w:bCs w:val="1"/>
                <w:color w:val="0057CF"/>
              </w:rPr>
              <w:t>1</w:t>
            </w:r>
          </w:p>
        </w:tc>
        <w:tc>
          <w:tcPr>
            <w:tcW w:w="520" w:type="dxa"/>
            <w:vAlign w:val="bottom"/>
          </w:tcPr>
          <w:p>
            <w:pPr>
              <w:ind w:left="40"/>
              <w:spacing w:after="0"/>
              <w:rPr>
                <w:sz w:val="20"/>
                <w:szCs w:val="20"/>
                <w:color w:val="auto"/>
              </w:rPr>
            </w:pPr>
            <w:r>
              <w:rPr>
                <w:rFonts w:ascii="Arial" w:cs="Arial" w:eastAsia="Arial" w:hAnsi="Arial"/>
                <w:sz w:val="10"/>
                <w:szCs w:val="10"/>
                <w:b w:val="1"/>
                <w:bCs w:val="1"/>
                <w:color w:val="auto"/>
              </w:rPr>
              <w:t>2024</w:t>
            </w: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2023</w:t>
            </w:r>
          </w:p>
        </w:tc>
      </w:tr>
      <w:tr>
        <w:trPr>
          <w:trHeight w:val="141"/>
        </w:trPr>
        <w:tc>
          <w:tcPr>
            <w:tcW w:w="2540" w:type="dxa"/>
            <w:vAlign w:val="bottom"/>
          </w:tcPr>
          <w:p>
            <w:pPr>
              <w:ind w:left="20"/>
              <w:spacing w:after="0"/>
              <w:rPr>
                <w:sz w:val="20"/>
                <w:szCs w:val="20"/>
                <w:color w:val="auto"/>
              </w:rPr>
            </w:pPr>
            <w:r>
              <w:rPr>
                <w:rFonts w:ascii="Arial" w:cs="Arial" w:eastAsia="Arial" w:hAnsi="Arial"/>
                <w:sz w:val="10"/>
                <w:szCs w:val="10"/>
                <w:color w:val="auto"/>
              </w:rPr>
              <w:t>Research and development FTE</w:t>
            </w:r>
          </w:p>
        </w:tc>
        <w:tc>
          <w:tcPr>
            <w:tcW w:w="1180" w:type="dxa"/>
            <w:vAlign w:val="bottom"/>
          </w:tcPr>
          <w:p>
            <w:pPr>
              <w:jc w:val="right"/>
              <w:spacing w:after="0"/>
              <w:rPr>
                <w:sz w:val="20"/>
                <w:szCs w:val="20"/>
                <w:color w:val="auto"/>
              </w:rPr>
            </w:pPr>
            <w:r>
              <w:rPr>
                <w:rFonts w:ascii="Arial" w:cs="Arial" w:eastAsia="Arial" w:hAnsi="Arial"/>
                <w:sz w:val="10"/>
                <w:szCs w:val="10"/>
                <w:color w:val="0057CF"/>
              </w:rPr>
              <w:t>1,880</w:t>
            </w:r>
          </w:p>
        </w:tc>
        <w:tc>
          <w:tcPr>
            <w:tcW w:w="520" w:type="dxa"/>
            <w:vAlign w:val="bottom"/>
          </w:tcPr>
          <w:p>
            <w:pPr>
              <w:jc w:val="right"/>
              <w:spacing w:after="0"/>
              <w:rPr>
                <w:sz w:val="20"/>
                <w:szCs w:val="20"/>
                <w:color w:val="auto"/>
              </w:rPr>
            </w:pPr>
            <w:r>
              <w:rPr>
                <w:rFonts w:ascii="Arial" w:cs="Arial" w:eastAsia="Arial" w:hAnsi="Arial"/>
                <w:sz w:val="10"/>
                <w:szCs w:val="10"/>
                <w:color w:val="auto"/>
              </w:rPr>
              <w:t>1,886</w:t>
            </w:r>
          </w:p>
        </w:tc>
        <w:tc>
          <w:tcPr>
            <w:tcW w:w="560" w:type="dxa"/>
            <w:vAlign w:val="bottom"/>
          </w:tcPr>
          <w:p>
            <w:pPr>
              <w:jc w:val="right"/>
              <w:ind w:right="29"/>
              <w:spacing w:after="0"/>
              <w:rPr>
                <w:sz w:val="20"/>
                <w:szCs w:val="20"/>
                <w:color w:val="auto"/>
              </w:rPr>
            </w:pPr>
            <w:r>
              <w:rPr>
                <w:rFonts w:ascii="Arial" w:cs="Arial" w:eastAsia="Arial" w:hAnsi="Arial"/>
                <w:sz w:val="10"/>
                <w:szCs w:val="10"/>
                <w:color w:val="auto"/>
              </w:rPr>
              <w:t>1,541</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Selling, general and administrative FTE</w:t>
            </w:r>
          </w:p>
        </w:tc>
        <w:tc>
          <w:tcPr>
            <w:tcW w:w="1180" w:type="dxa"/>
            <w:vAlign w:val="bottom"/>
          </w:tcPr>
          <w:p>
            <w:pPr>
              <w:jc w:val="right"/>
              <w:spacing w:after="0"/>
              <w:rPr>
                <w:sz w:val="20"/>
                <w:szCs w:val="20"/>
                <w:color w:val="auto"/>
              </w:rPr>
            </w:pPr>
            <w:r>
              <w:rPr>
                <w:rFonts w:ascii="Arial" w:cs="Arial" w:eastAsia="Arial" w:hAnsi="Arial"/>
                <w:sz w:val="10"/>
                <w:szCs w:val="10"/>
                <w:color w:val="0057CF"/>
              </w:rPr>
              <w:t>861</w:t>
            </w:r>
          </w:p>
        </w:tc>
        <w:tc>
          <w:tcPr>
            <w:tcW w:w="520" w:type="dxa"/>
            <w:vAlign w:val="bottom"/>
          </w:tcPr>
          <w:p>
            <w:pPr>
              <w:jc w:val="right"/>
              <w:spacing w:after="0"/>
              <w:rPr>
                <w:sz w:val="20"/>
                <w:szCs w:val="20"/>
                <w:color w:val="auto"/>
              </w:rPr>
            </w:pPr>
            <w:r>
              <w:rPr>
                <w:rFonts w:ascii="Arial" w:cs="Arial" w:eastAsia="Arial" w:hAnsi="Arial"/>
                <w:sz w:val="10"/>
                <w:szCs w:val="10"/>
                <w:color w:val="auto"/>
              </w:rPr>
              <w:t>796</w:t>
            </w:r>
          </w:p>
        </w:tc>
        <w:tc>
          <w:tcPr>
            <w:tcW w:w="560" w:type="dxa"/>
            <w:vAlign w:val="bottom"/>
          </w:tcPr>
          <w:p>
            <w:pPr>
              <w:jc w:val="right"/>
              <w:ind w:right="29"/>
              <w:spacing w:after="0"/>
              <w:rPr>
                <w:sz w:val="20"/>
                <w:szCs w:val="20"/>
                <w:color w:val="auto"/>
              </w:rPr>
            </w:pPr>
            <w:r>
              <w:rPr>
                <w:rFonts w:ascii="Arial" w:cs="Arial" w:eastAsia="Arial" w:hAnsi="Arial"/>
                <w:sz w:val="10"/>
                <w:szCs w:val="10"/>
                <w:color w:val="auto"/>
              </w:rPr>
              <w:t>663</w:t>
            </w:r>
          </w:p>
        </w:tc>
      </w:tr>
      <w:tr>
        <w:trPr>
          <w:trHeight w:val="25"/>
        </w:trPr>
        <w:tc>
          <w:tcPr>
            <w:tcW w:w="2540" w:type="dxa"/>
            <w:vAlign w:val="bottom"/>
            <w:tcBorders>
              <w:bottom w:val="single" w:sz="8" w:color="0057CF"/>
            </w:tcBorders>
          </w:tcPr>
          <w:p>
            <w:pPr>
              <w:spacing w:after="0"/>
              <w:rPr>
                <w:sz w:val="2"/>
                <w:szCs w:val="2"/>
                <w:color w:val="auto"/>
              </w:rPr>
            </w:pPr>
          </w:p>
        </w:tc>
        <w:tc>
          <w:tcPr>
            <w:tcW w:w="1700" w:type="dxa"/>
            <w:vAlign w:val="bottom"/>
            <w:tcBorders>
              <w:bottom w:val="single" w:sz="8" w:color="0057CF"/>
            </w:tcBorders>
            <w:gridSpan w:val="2"/>
          </w:tcPr>
          <w:p>
            <w:pPr>
              <w:spacing w:after="0"/>
              <w:rPr>
                <w:sz w:val="2"/>
                <w:szCs w:val="2"/>
                <w:color w:val="auto"/>
              </w:rPr>
            </w:pPr>
          </w:p>
        </w:tc>
        <w:tc>
          <w:tcPr>
            <w:tcW w:w="560" w:type="dxa"/>
            <w:vAlign w:val="bottom"/>
            <w:tcBorders>
              <w:bottom w:val="single" w:sz="8" w:color="0057CF"/>
            </w:tcBorders>
          </w:tcPr>
          <w:p>
            <w:pPr>
              <w:spacing w:after="0"/>
              <w:rPr>
                <w:sz w:val="2"/>
                <w:szCs w:val="2"/>
                <w:color w:val="auto"/>
              </w:rPr>
            </w:pPr>
          </w:p>
        </w:tc>
      </w:tr>
      <w:tr>
        <w:trPr>
          <w:trHeight w:val="128"/>
        </w:trPr>
        <w:tc>
          <w:tcPr>
            <w:tcW w:w="2540" w:type="dxa"/>
            <w:vAlign w:val="bottom"/>
          </w:tcPr>
          <w:p>
            <w:pPr>
              <w:spacing w:after="0"/>
              <w:rPr>
                <w:sz w:val="11"/>
                <w:szCs w:val="11"/>
                <w:color w:val="auto"/>
              </w:rPr>
            </w:pPr>
          </w:p>
        </w:tc>
        <w:tc>
          <w:tcPr>
            <w:tcW w:w="1700" w:type="dxa"/>
            <w:vAlign w:val="bottom"/>
            <w:gridSpan w:val="2"/>
          </w:tcPr>
          <w:p>
            <w:pPr>
              <w:ind w:left="700"/>
              <w:spacing w:after="0"/>
              <w:rPr>
                <w:sz w:val="20"/>
                <w:szCs w:val="20"/>
                <w:color w:val="auto"/>
              </w:rPr>
            </w:pPr>
            <w:r>
              <w:rPr>
                <w:rFonts w:ascii="Arial" w:cs="Arial" w:eastAsia="Arial" w:hAnsi="Arial"/>
                <w:sz w:val="10"/>
                <w:szCs w:val="10"/>
                <w:b w:val="1"/>
                <w:bCs w:val="1"/>
                <w:color w:val="auto"/>
              </w:rPr>
              <w:t>December 31,</w:t>
            </w:r>
          </w:p>
        </w:tc>
        <w:tc>
          <w:tcPr>
            <w:tcW w:w="560" w:type="dxa"/>
            <w:vAlign w:val="bottom"/>
          </w:tcPr>
          <w:p>
            <w:pPr>
              <w:spacing w:after="0"/>
              <w:rPr>
                <w:sz w:val="11"/>
                <w:szCs w:val="11"/>
                <w:color w:val="auto"/>
              </w:rPr>
            </w:pPr>
          </w:p>
        </w:tc>
      </w:tr>
      <w:tr>
        <w:trPr>
          <w:trHeight w:val="133"/>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Turnover</w:t>
            </w:r>
          </w:p>
        </w:tc>
        <w:tc>
          <w:tcPr>
            <w:tcW w:w="1180" w:type="dxa"/>
            <w:vAlign w:val="bottom"/>
          </w:tcPr>
          <w:p>
            <w:pPr>
              <w:ind w:left="700"/>
              <w:spacing w:after="0"/>
              <w:rPr>
                <w:sz w:val="20"/>
                <w:szCs w:val="20"/>
                <w:color w:val="auto"/>
              </w:rPr>
            </w:pPr>
            <w:r>
              <w:rPr>
                <w:rFonts w:ascii="Arial" w:cs="Arial" w:eastAsia="Arial" w:hAnsi="Arial"/>
                <w:sz w:val="10"/>
                <w:szCs w:val="10"/>
                <w:b w:val="1"/>
                <w:bCs w:val="1"/>
                <w:color w:val="0057CF"/>
              </w:rPr>
              <w:t>2025</w:t>
            </w:r>
          </w:p>
        </w:tc>
        <w:tc>
          <w:tcPr>
            <w:tcW w:w="520" w:type="dxa"/>
            <w:vAlign w:val="bottom"/>
          </w:tcPr>
          <w:p>
            <w:pPr>
              <w:ind w:left="40"/>
              <w:spacing w:after="0"/>
              <w:rPr>
                <w:sz w:val="20"/>
                <w:szCs w:val="20"/>
                <w:color w:val="auto"/>
              </w:rPr>
            </w:pPr>
            <w:r>
              <w:rPr>
                <w:rFonts w:ascii="Arial" w:cs="Arial" w:eastAsia="Arial" w:hAnsi="Arial"/>
                <w:sz w:val="10"/>
                <w:szCs w:val="10"/>
                <w:b w:val="1"/>
                <w:bCs w:val="1"/>
                <w:color w:val="auto"/>
              </w:rPr>
              <w:t>2024</w:t>
            </w: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2023</w:t>
            </w:r>
          </w:p>
        </w:tc>
      </w:tr>
      <w:tr>
        <w:trPr>
          <w:trHeight w:val="141"/>
        </w:trPr>
        <w:tc>
          <w:tcPr>
            <w:tcW w:w="2540" w:type="dxa"/>
            <w:vAlign w:val="bottom"/>
          </w:tcPr>
          <w:p>
            <w:pPr>
              <w:ind w:left="20"/>
              <w:spacing w:after="0"/>
              <w:rPr>
                <w:sz w:val="20"/>
                <w:szCs w:val="20"/>
                <w:color w:val="auto"/>
              </w:rPr>
            </w:pPr>
            <w:r>
              <w:rPr>
                <w:rFonts w:ascii="Arial" w:cs="Arial" w:eastAsia="Arial" w:hAnsi="Arial"/>
                <w:sz w:val="10"/>
                <w:szCs w:val="10"/>
                <w:color w:val="auto"/>
              </w:rPr>
              <w:t># of FTEs leaving Genmab</w:t>
            </w:r>
          </w:p>
        </w:tc>
        <w:tc>
          <w:tcPr>
            <w:tcW w:w="1180" w:type="dxa"/>
            <w:vAlign w:val="bottom"/>
          </w:tcPr>
          <w:p>
            <w:pPr>
              <w:ind w:left="700"/>
              <w:spacing w:after="0"/>
              <w:rPr>
                <w:sz w:val="20"/>
                <w:szCs w:val="20"/>
                <w:color w:val="auto"/>
              </w:rPr>
            </w:pPr>
            <w:r>
              <w:rPr>
                <w:rFonts w:ascii="Arial" w:cs="Arial" w:eastAsia="Arial" w:hAnsi="Arial"/>
                <w:sz w:val="10"/>
                <w:szCs w:val="10"/>
                <w:color w:val="0057CF"/>
              </w:rPr>
              <w:t>321</w:t>
            </w:r>
          </w:p>
        </w:tc>
        <w:tc>
          <w:tcPr>
            <w:tcW w:w="520" w:type="dxa"/>
            <w:vAlign w:val="bottom"/>
          </w:tcPr>
          <w:p>
            <w:pPr>
              <w:ind w:left="40"/>
              <w:spacing w:after="0"/>
              <w:rPr>
                <w:sz w:val="20"/>
                <w:szCs w:val="20"/>
                <w:color w:val="auto"/>
              </w:rPr>
            </w:pPr>
            <w:r>
              <w:rPr>
                <w:rFonts w:ascii="Arial" w:cs="Arial" w:eastAsia="Arial" w:hAnsi="Arial"/>
                <w:sz w:val="10"/>
                <w:szCs w:val="10"/>
                <w:color w:val="auto"/>
              </w:rPr>
              <w:t>190</w:t>
            </w:r>
          </w:p>
        </w:tc>
        <w:tc>
          <w:tcPr>
            <w:tcW w:w="560" w:type="dxa"/>
            <w:vAlign w:val="bottom"/>
          </w:tcPr>
          <w:p>
            <w:pPr>
              <w:ind w:left="40"/>
              <w:spacing w:after="0"/>
              <w:rPr>
                <w:sz w:val="20"/>
                <w:szCs w:val="20"/>
                <w:color w:val="auto"/>
              </w:rPr>
            </w:pPr>
            <w:r>
              <w:rPr>
                <w:rFonts w:ascii="Arial" w:cs="Arial" w:eastAsia="Arial" w:hAnsi="Arial"/>
                <w:sz w:val="10"/>
                <w:szCs w:val="10"/>
                <w:color w:val="auto"/>
              </w:rPr>
              <w:t>157</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Turnover Rate - Overall</w:t>
            </w:r>
          </w:p>
        </w:tc>
        <w:tc>
          <w:tcPr>
            <w:tcW w:w="1180" w:type="dxa"/>
            <w:vAlign w:val="bottom"/>
          </w:tcPr>
          <w:p>
            <w:pPr>
              <w:ind w:left="700"/>
              <w:spacing w:after="0"/>
              <w:rPr>
                <w:sz w:val="20"/>
                <w:szCs w:val="20"/>
                <w:color w:val="auto"/>
              </w:rPr>
            </w:pPr>
            <w:r>
              <w:rPr>
                <w:rFonts w:ascii="Arial" w:cs="Arial" w:eastAsia="Arial" w:hAnsi="Arial"/>
                <w:sz w:val="10"/>
                <w:szCs w:val="10"/>
                <w:color w:val="0057CF"/>
              </w:rPr>
              <w:t>12 %</w:t>
            </w:r>
          </w:p>
        </w:tc>
        <w:tc>
          <w:tcPr>
            <w:tcW w:w="520" w:type="dxa"/>
            <w:vAlign w:val="bottom"/>
          </w:tcPr>
          <w:p>
            <w:pPr>
              <w:ind w:left="40"/>
              <w:spacing w:after="0"/>
              <w:rPr>
                <w:sz w:val="20"/>
                <w:szCs w:val="20"/>
                <w:color w:val="auto"/>
              </w:rPr>
            </w:pPr>
            <w:r>
              <w:rPr>
                <w:rFonts w:ascii="Arial" w:cs="Arial" w:eastAsia="Arial" w:hAnsi="Arial"/>
                <w:sz w:val="10"/>
                <w:szCs w:val="10"/>
                <w:color w:val="auto"/>
              </w:rPr>
              <w:t>7 %</w:t>
            </w:r>
          </w:p>
        </w:tc>
        <w:tc>
          <w:tcPr>
            <w:tcW w:w="560" w:type="dxa"/>
            <w:vAlign w:val="bottom"/>
          </w:tcPr>
          <w:p>
            <w:pPr>
              <w:ind w:left="40"/>
              <w:spacing w:after="0"/>
              <w:rPr>
                <w:sz w:val="20"/>
                <w:szCs w:val="20"/>
                <w:color w:val="auto"/>
              </w:rPr>
            </w:pPr>
            <w:r>
              <w:rPr>
                <w:rFonts w:ascii="Arial" w:cs="Arial" w:eastAsia="Arial" w:hAnsi="Arial"/>
                <w:sz w:val="10"/>
                <w:szCs w:val="10"/>
                <w:color w:val="auto"/>
              </w:rPr>
              <w:t>8 %</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Turnover Rate - Voluntary</w:t>
            </w:r>
          </w:p>
        </w:tc>
        <w:tc>
          <w:tcPr>
            <w:tcW w:w="1180" w:type="dxa"/>
            <w:vAlign w:val="bottom"/>
          </w:tcPr>
          <w:p>
            <w:pPr>
              <w:ind w:left="700"/>
              <w:spacing w:after="0"/>
              <w:rPr>
                <w:sz w:val="20"/>
                <w:szCs w:val="20"/>
                <w:color w:val="auto"/>
              </w:rPr>
            </w:pPr>
            <w:r>
              <w:rPr>
                <w:rFonts w:ascii="Arial" w:cs="Arial" w:eastAsia="Arial" w:hAnsi="Arial"/>
                <w:sz w:val="10"/>
                <w:szCs w:val="10"/>
                <w:color w:val="0057CF"/>
              </w:rPr>
              <w:t>7 %</w:t>
            </w:r>
          </w:p>
        </w:tc>
        <w:tc>
          <w:tcPr>
            <w:tcW w:w="520" w:type="dxa"/>
            <w:vAlign w:val="bottom"/>
          </w:tcPr>
          <w:p>
            <w:pPr>
              <w:ind w:left="40"/>
              <w:spacing w:after="0"/>
              <w:rPr>
                <w:sz w:val="20"/>
                <w:szCs w:val="20"/>
                <w:color w:val="auto"/>
              </w:rPr>
            </w:pPr>
            <w:r>
              <w:rPr>
                <w:rFonts w:ascii="Arial" w:cs="Arial" w:eastAsia="Arial" w:hAnsi="Arial"/>
                <w:sz w:val="10"/>
                <w:szCs w:val="10"/>
                <w:color w:val="auto"/>
              </w:rPr>
              <w:t>6 %</w:t>
            </w:r>
          </w:p>
        </w:tc>
        <w:tc>
          <w:tcPr>
            <w:tcW w:w="560" w:type="dxa"/>
            <w:vAlign w:val="bottom"/>
          </w:tcPr>
          <w:p>
            <w:pPr>
              <w:ind w:left="40"/>
              <w:spacing w:after="0"/>
              <w:rPr>
                <w:sz w:val="20"/>
                <w:szCs w:val="20"/>
                <w:color w:val="auto"/>
              </w:rPr>
            </w:pPr>
            <w:r>
              <w:rPr>
                <w:rFonts w:ascii="Arial" w:cs="Arial" w:eastAsia="Arial" w:hAnsi="Arial"/>
                <w:sz w:val="10"/>
                <w:szCs w:val="10"/>
                <w:color w:val="auto"/>
              </w:rPr>
              <w:t>5 %</w:t>
            </w:r>
          </w:p>
        </w:tc>
      </w:tr>
    </w:tbl>
    <w:p>
      <w:pPr>
        <w:spacing w:after="0" w:line="16" w:lineRule="exact"/>
        <w:rPr>
          <w:rFonts w:ascii="Arial" w:cs="Arial" w:eastAsia="Arial" w:hAnsi="Arial"/>
          <w:sz w:val="10"/>
          <w:szCs w:val="10"/>
          <w:b w:val="1"/>
          <w:bCs w:val="1"/>
          <w:color w:val="auto"/>
        </w:rPr>
      </w:pPr>
    </w:p>
    <w:p>
      <w:pPr>
        <w:ind w:right="5580" w:firstLine="6"/>
        <w:spacing w:after="0" w:line="267" w:lineRule="auto"/>
        <w:tabs>
          <w:tab w:leader="none" w:pos="76" w:val="left"/>
        </w:tabs>
        <w:numPr>
          <w:ilvl w:val="0"/>
          <w:numId w:val="31"/>
        </w:numPr>
        <w:rPr>
          <w:rFonts w:ascii="Arial" w:cs="Arial" w:eastAsia="Arial" w:hAnsi="Arial"/>
          <w:sz w:val="7"/>
          <w:szCs w:val="7"/>
          <w:color w:val="auto"/>
        </w:rPr>
      </w:pPr>
      <w:r>
        <w:rPr>
          <w:rFonts w:ascii="Arial" w:cs="Arial" w:eastAsia="Arial" w:hAnsi="Arial"/>
          <w:sz w:val="7"/>
          <w:szCs w:val="7"/>
          <w:color w:val="auto"/>
        </w:rPr>
        <w:t>Total FTEs of 3,029 as per note 2.3 'Staff Costs' in the Consolidated financial statements. The variance of 288 employees is due to Merus employees not being included.</w:t>
      </w:r>
    </w:p>
    <w:p>
      <w:pPr>
        <w:ind w:right="5240" w:firstLine="6"/>
        <w:spacing w:after="0" w:line="247" w:lineRule="auto"/>
        <w:tabs>
          <w:tab w:leader="none" w:pos="76" w:val="left"/>
        </w:tabs>
        <w:numPr>
          <w:ilvl w:val="0"/>
          <w:numId w:val="31"/>
        </w:numPr>
        <w:rPr>
          <w:rFonts w:ascii="Arial" w:cs="Arial" w:eastAsia="Arial" w:hAnsi="Arial"/>
          <w:sz w:val="7"/>
          <w:szCs w:val="7"/>
          <w:color w:val="auto"/>
        </w:rPr>
      </w:pPr>
      <w:r>
        <w:rPr>
          <w:rFonts w:ascii="Arial" w:cs="Arial" w:eastAsia="Arial" w:hAnsi="Arial"/>
          <w:sz w:val="7"/>
          <w:szCs w:val="7"/>
          <w:color w:val="auto"/>
        </w:rPr>
        <w:t>2024 is a baseline year for female/male headcount and FTE reporting. Splits were not previously disclosed in prior year Annual Reports.</w:t>
      </w:r>
    </w:p>
    <w:p>
      <w:pPr>
        <w:spacing w:after="0" w:line="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3"/>
          <w:szCs w:val="13"/>
          <w:b w:val="1"/>
          <w:bCs w:val="1"/>
          <w:color w:val="0057CF"/>
        </w:rPr>
        <w:t>Accounting Policies</w:t>
      </w:r>
    </w:p>
    <w:p>
      <w:pPr>
        <w:spacing w:after="0" w:line="195" w:lineRule="auto"/>
        <w:rPr>
          <w:sz w:val="20"/>
          <w:szCs w:val="20"/>
          <w:color w:val="auto"/>
        </w:rPr>
      </w:pPr>
      <w:r>
        <w:rPr>
          <w:rFonts w:ascii="Arial" w:cs="Arial" w:eastAsia="Arial" w:hAnsi="Arial"/>
          <w:sz w:val="12"/>
          <w:szCs w:val="12"/>
          <w:b w:val="1"/>
          <w:bCs w:val="1"/>
          <w:color w:val="auto"/>
        </w:rPr>
        <w:t>Number of Employees</w:t>
      </w:r>
    </w:p>
    <w:p>
      <w:pPr>
        <w:spacing w:after="0" w:line="199" w:lineRule="auto"/>
        <w:rPr>
          <w:sz w:val="20"/>
          <w:szCs w:val="20"/>
          <w:color w:val="auto"/>
        </w:rPr>
      </w:pPr>
      <w:r>
        <w:rPr>
          <w:rFonts w:ascii="Arial" w:cs="Arial" w:eastAsia="Arial" w:hAnsi="Arial"/>
          <w:sz w:val="10"/>
          <w:szCs w:val="10"/>
          <w:color w:val="auto"/>
        </w:rPr>
        <w:t>FTEs include all full-time and part-time employees on payroll, both active and on leave, calculated</w:t>
      </w:r>
    </w:p>
    <w:p>
      <w:pPr>
        <w:spacing w:after="0" w:line="198" w:lineRule="auto"/>
        <w:rPr>
          <w:sz w:val="20"/>
          <w:szCs w:val="20"/>
          <w:color w:val="auto"/>
        </w:rPr>
      </w:pPr>
      <w:r>
        <w:rPr>
          <w:rFonts w:ascii="Arial" w:cs="Arial" w:eastAsia="Arial" w:hAnsi="Arial"/>
          <w:sz w:val="10"/>
          <w:szCs w:val="10"/>
          <w:color w:val="auto"/>
        </w:rPr>
        <w:t>proportionally based on contractual hours. Headcount includes the same population, with each individual</w:t>
      </w:r>
    </w:p>
    <w:p>
      <w:pPr>
        <w:spacing w:after="0" w:line="203" w:lineRule="auto"/>
        <w:rPr>
          <w:sz w:val="20"/>
          <w:szCs w:val="20"/>
          <w:color w:val="auto"/>
        </w:rPr>
      </w:pPr>
      <w:r>
        <w:rPr>
          <w:rFonts w:ascii="Arial" w:cs="Arial" w:eastAsia="Arial" w:hAnsi="Arial"/>
          <w:sz w:val="10"/>
          <w:szCs w:val="10"/>
          <w:color w:val="auto"/>
        </w:rPr>
        <w:t>counted as one, regardless of working hours.</w:t>
      </w:r>
    </w:p>
    <w:p>
      <w:pPr>
        <w:spacing w:after="0" w:line="195" w:lineRule="auto"/>
        <w:rPr>
          <w:sz w:val="20"/>
          <w:szCs w:val="20"/>
          <w:color w:val="auto"/>
        </w:rPr>
      </w:pPr>
      <w:r>
        <w:rPr>
          <w:rFonts w:ascii="Arial" w:cs="Arial" w:eastAsia="Arial" w:hAnsi="Arial"/>
          <w:sz w:val="12"/>
          <w:szCs w:val="12"/>
          <w:b w:val="1"/>
          <w:bCs w:val="1"/>
          <w:color w:val="auto"/>
        </w:rPr>
        <w:t>Turnover Rate</w:t>
      </w:r>
    </w:p>
    <w:p>
      <w:pPr>
        <w:spacing w:after="0" w:line="199" w:lineRule="auto"/>
        <w:rPr>
          <w:sz w:val="20"/>
          <w:szCs w:val="20"/>
          <w:color w:val="auto"/>
        </w:rPr>
      </w:pPr>
      <w:r>
        <w:rPr>
          <w:rFonts w:ascii="Arial" w:cs="Arial" w:eastAsia="Arial" w:hAnsi="Arial"/>
          <w:sz w:val="10"/>
          <w:szCs w:val="10"/>
          <w:color w:val="auto"/>
        </w:rPr>
        <w:t>Calculated as the number of FTEs who left during the year divided by the average number of FTEs for</w:t>
      </w:r>
    </w:p>
    <w:p>
      <w:pPr>
        <w:spacing w:after="0" w:line="202" w:lineRule="auto"/>
        <w:rPr>
          <w:sz w:val="20"/>
          <w:szCs w:val="20"/>
          <w:color w:val="auto"/>
        </w:rPr>
      </w:pPr>
      <w:r>
        <w:rPr>
          <w:rFonts w:ascii="Arial" w:cs="Arial" w:eastAsia="Arial" w:hAnsi="Arial"/>
          <w:sz w:val="10"/>
          <w:szCs w:val="10"/>
          <w:color w:val="auto"/>
        </w:rPr>
        <w:t>the year.</w:t>
      </w:r>
    </w:p>
    <w:p>
      <w:pPr>
        <w:spacing w:after="0" w:line="196" w:lineRule="auto"/>
        <w:rPr>
          <w:sz w:val="20"/>
          <w:szCs w:val="20"/>
          <w:color w:val="auto"/>
        </w:rPr>
      </w:pPr>
      <w:r>
        <w:rPr>
          <w:rFonts w:ascii="Arial" w:cs="Arial" w:eastAsia="Arial" w:hAnsi="Arial"/>
          <w:sz w:val="12"/>
          <w:szCs w:val="12"/>
          <w:b w:val="1"/>
          <w:bCs w:val="1"/>
          <w:color w:val="auto"/>
        </w:rPr>
        <w:t>Temporary</w:t>
      </w:r>
    </w:p>
    <w:p>
      <w:pPr>
        <w:spacing w:after="0" w:line="198" w:lineRule="auto"/>
        <w:rPr>
          <w:sz w:val="20"/>
          <w:szCs w:val="20"/>
          <w:color w:val="auto"/>
        </w:rPr>
      </w:pPr>
      <w:r>
        <w:rPr>
          <w:rFonts w:ascii="Arial" w:cs="Arial" w:eastAsia="Arial" w:hAnsi="Arial"/>
          <w:sz w:val="10"/>
          <w:szCs w:val="10"/>
          <w:color w:val="auto"/>
        </w:rPr>
        <w:t>Includes interns, student workers, postdoctoral researchers, and fixed-term employees.</w:t>
      </w:r>
    </w:p>
    <w:p>
      <w:pPr>
        <w:spacing w:after="0" w:line="205" w:lineRule="auto"/>
        <w:rPr>
          <w:rFonts w:ascii="Arial" w:cs="Arial" w:eastAsia="Arial" w:hAnsi="Arial"/>
          <w:sz w:val="10"/>
          <w:szCs w:val="10"/>
          <w:color w:val="0057CF"/>
        </w:rPr>
      </w:pPr>
      <w:hyperlink w:anchor="page141">
        <w:r>
          <w:rPr>
            <w:rFonts w:ascii="Arial" w:cs="Arial" w:eastAsia="Arial" w:hAnsi="Arial"/>
            <w:sz w:val="10"/>
            <w:szCs w:val="10"/>
            <w:color w:val="0057CF"/>
          </w:rPr>
          <w:t xml:space="preserve">Refer to the </w:t>
        </w:r>
        <w:r>
          <w:rPr>
            <w:rFonts w:ascii="Arial" w:cs="Arial" w:eastAsia="Arial" w:hAnsi="Arial"/>
            <w:sz w:val="10"/>
            <w:szCs w:val="10"/>
            <w:b w:val="1"/>
            <w:bCs w:val="1"/>
            <w:color w:val="0057CF"/>
          </w:rPr>
          <w:t>Note 2.3</w:t>
        </w:r>
        <w:r>
          <w:rPr>
            <w:rFonts w:ascii="Arial" w:cs="Arial" w:eastAsia="Arial" w:hAnsi="Arial"/>
            <w:sz w:val="10"/>
            <w:szCs w:val="10"/>
            <w:color w:val="0057CF"/>
          </w:rPr>
          <w:t xml:space="preserve"> Staff Costs for cross reference to FTEs reported in Genmab’s financial statements.</w:t>
        </w:r>
      </w:hyperlink>
    </w:p>
    <w:p>
      <w:pPr>
        <w:spacing w:after="0" w:line="209" w:lineRule="auto"/>
        <w:rPr>
          <w:sz w:val="20"/>
          <w:szCs w:val="20"/>
          <w:color w:val="auto"/>
        </w:rPr>
      </w:pPr>
      <w:r>
        <w:rPr>
          <w:rFonts w:ascii="Arial" w:cs="Arial" w:eastAsia="Arial" w:hAnsi="Arial"/>
          <w:sz w:val="13"/>
          <w:szCs w:val="13"/>
          <w:b w:val="1"/>
          <w:bCs w:val="1"/>
          <w:color w:val="0057CF"/>
        </w:rPr>
        <w:t>Collective bargaining coverage and social dialogue (S1-8)</w:t>
      </w:r>
    </w:p>
    <w:p>
      <w:pPr>
        <w:spacing w:after="0" w:line="199" w:lineRule="auto"/>
        <w:rPr>
          <w:sz w:val="20"/>
          <w:szCs w:val="20"/>
          <w:color w:val="auto"/>
        </w:rPr>
      </w:pPr>
      <w:r>
        <w:rPr>
          <w:rFonts w:ascii="Arial" w:cs="Arial" w:eastAsia="Arial" w:hAnsi="Arial"/>
          <w:sz w:val="10"/>
          <w:szCs w:val="10"/>
          <w:color w:val="auto"/>
        </w:rPr>
        <w:t>There are no employees covered by collective bargaining agreements at Genmab. There are workers</w:t>
      </w:r>
    </w:p>
    <w:p>
      <w:pPr>
        <w:spacing w:after="0" w:line="199" w:lineRule="auto"/>
        <w:rPr>
          <w:sz w:val="20"/>
          <w:szCs w:val="20"/>
          <w:color w:val="auto"/>
        </w:rPr>
      </w:pPr>
      <w:r>
        <w:rPr>
          <w:rFonts w:ascii="Arial" w:cs="Arial" w:eastAsia="Arial" w:hAnsi="Arial"/>
          <w:sz w:val="10"/>
          <w:szCs w:val="10"/>
          <w:color w:val="auto"/>
        </w:rPr>
        <w:t>councils in Denmark and the Netherlands.</w:t>
      </w:r>
    </w:p>
    <w:p>
      <w:pPr>
        <w:spacing w:after="0" w:line="217" w:lineRule="auto"/>
        <w:rPr>
          <w:rFonts w:ascii="Arial" w:cs="Arial" w:eastAsia="Arial" w:hAnsi="Arial"/>
          <w:sz w:val="10"/>
          <w:szCs w:val="10"/>
          <w:color w:val="0057CF"/>
        </w:rPr>
      </w:pPr>
      <w:hyperlink w:anchor="page123">
        <w:r>
          <w:rPr>
            <w:rFonts w:ascii="Arial" w:cs="Arial" w:eastAsia="Arial" w:hAnsi="Arial"/>
            <w:sz w:val="10"/>
            <w:szCs w:val="10"/>
            <w:color w:val="0057CF"/>
          </w:rPr>
          <w:t xml:space="preserve">Refer to </w:t>
        </w:r>
        <w:r>
          <w:rPr>
            <w:rFonts w:ascii="Arial" w:cs="Arial" w:eastAsia="Arial" w:hAnsi="Arial"/>
            <w:sz w:val="10"/>
            <w:szCs w:val="10"/>
            <w:b w:val="1"/>
            <w:bCs w:val="1"/>
            <w:color w:val="0057CF"/>
          </w:rPr>
          <w:t>S1-2</w:t>
        </w:r>
        <w:r>
          <w:rPr>
            <w:rFonts w:ascii="Arial" w:cs="Arial" w:eastAsia="Arial" w:hAnsi="Arial"/>
            <w:sz w:val="10"/>
            <w:szCs w:val="10"/>
            <w:color w:val="0057CF"/>
          </w:rPr>
          <w:t xml:space="preserve"> for details of the work councils.</w:t>
        </w:r>
      </w:hyperlink>
    </w:p>
    <w:tbl>
      <w:tblPr>
        <w:tblLayout w:type="fixed"/>
        <w:tblInd w:w="0" w:type="dxa"/>
        <w:tblCellMar>
          <w:top w:w="0" w:type="dxa"/>
          <w:left w:w="0" w:type="dxa"/>
          <w:bottom w:w="0" w:type="dxa"/>
          <w:right w:w="0" w:type="dxa"/>
        </w:tblCellMar>
      </w:tblPr>
      <w:tr>
        <w:trPr>
          <w:trHeight w:val="128"/>
        </w:trPr>
        <w:tc>
          <w:tcPr>
            <w:tcW w:w="400" w:type="dxa"/>
            <w:vAlign w:val="bottom"/>
            <w:tcBorders>
              <w:top w:val="single" w:sz="8" w:color="0057CF"/>
            </w:tcBorders>
          </w:tcPr>
          <w:p>
            <w:pPr>
              <w:spacing w:after="0"/>
              <w:rPr>
                <w:sz w:val="11"/>
                <w:szCs w:val="11"/>
                <w:color w:val="auto"/>
              </w:rPr>
            </w:pPr>
          </w:p>
        </w:tc>
        <w:tc>
          <w:tcPr>
            <w:tcW w:w="480" w:type="dxa"/>
            <w:vAlign w:val="bottom"/>
            <w:tcBorders>
              <w:top w:val="single" w:sz="8" w:color="0057CF"/>
            </w:tcBorders>
          </w:tcPr>
          <w:p>
            <w:pPr>
              <w:spacing w:after="0"/>
              <w:rPr>
                <w:sz w:val="11"/>
                <w:szCs w:val="11"/>
                <w:color w:val="auto"/>
              </w:rPr>
            </w:pPr>
          </w:p>
        </w:tc>
        <w:tc>
          <w:tcPr>
            <w:tcW w:w="1920" w:type="dxa"/>
            <w:vAlign w:val="bottom"/>
            <w:tcBorders>
              <w:top w:val="single" w:sz="8" w:color="0057CF"/>
            </w:tcBorders>
            <w:gridSpan w:val="2"/>
          </w:tcPr>
          <w:p>
            <w:pPr>
              <w:ind w:left="200"/>
              <w:spacing w:after="0"/>
              <w:rPr>
                <w:sz w:val="20"/>
                <w:szCs w:val="20"/>
                <w:color w:val="auto"/>
              </w:rPr>
            </w:pPr>
            <w:r>
              <w:rPr>
                <w:rFonts w:ascii="Arial" w:cs="Arial" w:eastAsia="Arial" w:hAnsi="Arial"/>
                <w:sz w:val="10"/>
                <w:szCs w:val="10"/>
                <w:b w:val="1"/>
                <w:bCs w:val="1"/>
                <w:color w:val="auto"/>
              </w:rPr>
              <w:t>Collective Bargaining Coverage</w:t>
            </w:r>
          </w:p>
        </w:tc>
        <w:tc>
          <w:tcPr>
            <w:tcW w:w="2060" w:type="dxa"/>
            <w:vAlign w:val="bottom"/>
            <w:tcBorders>
              <w:top w:val="single" w:sz="8" w:color="0057CF"/>
            </w:tcBorders>
          </w:tcPr>
          <w:p>
            <w:pPr>
              <w:ind w:left="160"/>
              <w:spacing w:after="0"/>
              <w:rPr>
                <w:sz w:val="20"/>
                <w:szCs w:val="20"/>
                <w:color w:val="auto"/>
              </w:rPr>
            </w:pPr>
            <w:r>
              <w:rPr>
                <w:rFonts w:ascii="Arial" w:cs="Arial" w:eastAsia="Arial" w:hAnsi="Arial"/>
                <w:sz w:val="10"/>
                <w:szCs w:val="10"/>
                <w:b w:val="1"/>
                <w:bCs w:val="1"/>
                <w:color w:val="auto"/>
              </w:rPr>
              <w:t>Social Dialogue</w:t>
            </w:r>
          </w:p>
        </w:tc>
        <w:tc>
          <w:tcPr>
            <w:tcW w:w="4740" w:type="dxa"/>
            <w:vAlign w:val="bottom"/>
          </w:tcPr>
          <w:p>
            <w:pPr>
              <w:spacing w:after="0"/>
              <w:rPr>
                <w:sz w:val="11"/>
                <w:szCs w:val="11"/>
                <w:color w:val="auto"/>
              </w:rPr>
            </w:pPr>
          </w:p>
        </w:tc>
      </w:tr>
      <w:tr>
        <w:trPr>
          <w:trHeight w:val="133"/>
        </w:trPr>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Coverage Rate</w:t>
            </w:r>
          </w:p>
        </w:tc>
        <w:tc>
          <w:tcPr>
            <w:tcW w:w="1920" w:type="dxa"/>
            <w:vAlign w:val="bottom"/>
            <w:gridSpan w:val="2"/>
          </w:tcPr>
          <w:p>
            <w:pPr>
              <w:ind w:left="200"/>
              <w:spacing w:after="0"/>
              <w:rPr>
                <w:sz w:val="20"/>
                <w:szCs w:val="20"/>
                <w:color w:val="auto"/>
              </w:rPr>
            </w:pPr>
            <w:r>
              <w:rPr>
                <w:rFonts w:ascii="Arial" w:cs="Arial" w:eastAsia="Arial" w:hAnsi="Arial"/>
                <w:sz w:val="10"/>
                <w:szCs w:val="10"/>
                <w:b w:val="1"/>
                <w:bCs w:val="1"/>
                <w:color w:val="auto"/>
              </w:rPr>
              <w:t>Employees - EEA</w:t>
            </w:r>
          </w:p>
        </w:tc>
        <w:tc>
          <w:tcPr>
            <w:tcW w:w="2060" w:type="dxa"/>
            <w:vAlign w:val="bottom"/>
          </w:tcPr>
          <w:p>
            <w:pPr>
              <w:ind w:left="160"/>
              <w:spacing w:after="0"/>
              <w:rPr>
                <w:sz w:val="20"/>
                <w:szCs w:val="20"/>
                <w:color w:val="auto"/>
              </w:rPr>
            </w:pPr>
            <w:r>
              <w:rPr>
                <w:rFonts w:ascii="Arial" w:cs="Arial" w:eastAsia="Arial" w:hAnsi="Arial"/>
                <w:sz w:val="10"/>
                <w:szCs w:val="10"/>
                <w:b w:val="1"/>
                <w:bCs w:val="1"/>
                <w:color w:val="auto"/>
              </w:rPr>
              <w:t>Workplace representation (EEA only)</w:t>
            </w:r>
          </w:p>
        </w:tc>
        <w:tc>
          <w:tcPr>
            <w:tcW w:w="4740" w:type="dxa"/>
            <w:vAlign w:val="bottom"/>
          </w:tcPr>
          <w:p>
            <w:pPr>
              <w:spacing w:after="0"/>
              <w:rPr>
                <w:sz w:val="11"/>
                <w:szCs w:val="11"/>
                <w:color w:val="auto"/>
              </w:rPr>
            </w:pPr>
          </w:p>
        </w:tc>
      </w:tr>
      <w:tr>
        <w:trPr>
          <w:trHeight w:val="141"/>
        </w:trPr>
        <w:tc>
          <w:tcPr>
            <w:tcW w:w="400" w:type="dxa"/>
            <w:vAlign w:val="bottom"/>
          </w:tcPr>
          <w:p>
            <w:pPr>
              <w:ind w:left="20"/>
              <w:spacing w:after="0"/>
              <w:rPr>
                <w:sz w:val="20"/>
                <w:szCs w:val="20"/>
                <w:color w:val="auto"/>
              </w:rPr>
            </w:pPr>
            <w:r>
              <w:rPr>
                <w:rFonts w:ascii="Arial" w:cs="Arial" w:eastAsia="Arial" w:hAnsi="Arial"/>
                <w:sz w:val="10"/>
                <w:szCs w:val="10"/>
                <w:color w:val="auto"/>
              </w:rPr>
              <w:t>0-19%</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740" w:type="dxa"/>
            <w:vAlign w:val="bottom"/>
          </w:tcPr>
          <w:p>
            <w:pPr>
              <w:spacing w:after="0"/>
              <w:rPr>
                <w:sz w:val="12"/>
                <w:szCs w:val="12"/>
                <w:color w:val="auto"/>
              </w:rPr>
            </w:pPr>
          </w:p>
        </w:tc>
      </w:tr>
      <w:tr>
        <w:trPr>
          <w:trHeight w:val="152"/>
        </w:trPr>
        <w:tc>
          <w:tcPr>
            <w:tcW w:w="400" w:type="dxa"/>
            <w:vAlign w:val="bottom"/>
          </w:tcPr>
          <w:p>
            <w:pPr>
              <w:ind w:left="20"/>
              <w:spacing w:after="0"/>
              <w:rPr>
                <w:sz w:val="20"/>
                <w:szCs w:val="20"/>
                <w:color w:val="auto"/>
              </w:rPr>
            </w:pPr>
            <w:r>
              <w:rPr>
                <w:rFonts w:ascii="Arial" w:cs="Arial" w:eastAsia="Arial" w:hAnsi="Arial"/>
                <w:sz w:val="10"/>
                <w:szCs w:val="10"/>
                <w:color w:val="auto"/>
              </w:rPr>
              <w:t>20-39%</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52"/>
        </w:trPr>
        <w:tc>
          <w:tcPr>
            <w:tcW w:w="400" w:type="dxa"/>
            <w:vAlign w:val="bottom"/>
          </w:tcPr>
          <w:p>
            <w:pPr>
              <w:ind w:left="20"/>
              <w:spacing w:after="0"/>
              <w:rPr>
                <w:sz w:val="20"/>
                <w:szCs w:val="20"/>
                <w:color w:val="auto"/>
              </w:rPr>
            </w:pPr>
            <w:r>
              <w:rPr>
                <w:rFonts w:ascii="Arial" w:cs="Arial" w:eastAsia="Arial" w:hAnsi="Arial"/>
                <w:sz w:val="10"/>
                <w:szCs w:val="10"/>
                <w:color w:val="auto"/>
              </w:rPr>
              <w:t>40-59%</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52"/>
        </w:trPr>
        <w:tc>
          <w:tcPr>
            <w:tcW w:w="400" w:type="dxa"/>
            <w:vAlign w:val="bottom"/>
          </w:tcPr>
          <w:p>
            <w:pPr>
              <w:ind w:left="20"/>
              <w:spacing w:after="0"/>
              <w:rPr>
                <w:sz w:val="20"/>
                <w:szCs w:val="20"/>
                <w:color w:val="auto"/>
              </w:rPr>
            </w:pPr>
            <w:r>
              <w:rPr>
                <w:rFonts w:ascii="Arial" w:cs="Arial" w:eastAsia="Arial" w:hAnsi="Arial"/>
                <w:sz w:val="10"/>
                <w:szCs w:val="10"/>
                <w:color w:val="auto"/>
              </w:rPr>
              <w:t>60-79%</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52"/>
        </w:trPr>
        <w:tc>
          <w:tcPr>
            <w:tcW w:w="880" w:type="dxa"/>
            <w:vAlign w:val="bottom"/>
            <w:gridSpan w:val="2"/>
          </w:tcPr>
          <w:p>
            <w:pPr>
              <w:ind w:left="20"/>
              <w:spacing w:after="0"/>
              <w:rPr>
                <w:sz w:val="20"/>
                <w:szCs w:val="20"/>
                <w:color w:val="auto"/>
              </w:rPr>
            </w:pPr>
            <w:r>
              <w:rPr>
                <w:rFonts w:ascii="Arial" w:cs="Arial" w:eastAsia="Arial" w:hAnsi="Arial"/>
                <w:sz w:val="10"/>
                <w:szCs w:val="10"/>
                <w:color w:val="auto"/>
              </w:rPr>
              <w:t>80-100%</w:t>
            </w: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60" w:type="dxa"/>
            <w:vAlign w:val="bottom"/>
          </w:tcPr>
          <w:p>
            <w:pPr>
              <w:ind w:left="160"/>
              <w:spacing w:after="0"/>
              <w:rPr>
                <w:sz w:val="20"/>
                <w:szCs w:val="20"/>
                <w:color w:val="auto"/>
              </w:rPr>
            </w:pPr>
            <w:r>
              <w:rPr>
                <w:rFonts w:ascii="Arial" w:cs="Arial" w:eastAsia="Arial" w:hAnsi="Arial"/>
                <w:sz w:val="10"/>
                <w:szCs w:val="10"/>
                <w:color w:val="auto"/>
              </w:rPr>
              <w:t>Denmark, Netherlands</w:t>
            </w:r>
          </w:p>
        </w:tc>
        <w:tc>
          <w:tcPr>
            <w:tcW w:w="4740" w:type="dxa"/>
            <w:vAlign w:val="bottom"/>
          </w:tcPr>
          <w:p>
            <w:pPr>
              <w:spacing w:after="0"/>
              <w:rPr>
                <w:sz w:val="13"/>
                <w:szCs w:val="13"/>
                <w:color w:val="auto"/>
              </w:rPr>
            </w:pPr>
          </w:p>
        </w:tc>
      </w:tr>
      <w:tr>
        <w:trPr>
          <w:trHeight w:val="192"/>
        </w:trPr>
        <w:tc>
          <w:tcPr>
            <w:tcW w:w="400" w:type="dxa"/>
            <w:vAlign w:val="bottom"/>
          </w:tcPr>
          <w:p>
            <w:pPr>
              <w:spacing w:after="0"/>
              <w:rPr>
                <w:sz w:val="16"/>
                <w:szCs w:val="16"/>
                <w:color w:val="auto"/>
              </w:rPr>
            </w:pPr>
          </w:p>
        </w:tc>
        <w:tc>
          <w:tcPr>
            <w:tcW w:w="1360" w:type="dxa"/>
            <w:vAlign w:val="bottom"/>
            <w:gridSpan w:val="2"/>
          </w:tcPr>
          <w:p>
            <w:pPr>
              <w:ind w:left="20"/>
              <w:spacing w:after="0"/>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p>
        </w:tc>
        <w:tc>
          <w:tcPr>
            <w:tcW w:w="1040" w:type="dxa"/>
            <w:vAlign w:val="bottom"/>
          </w:tcPr>
          <w:p>
            <w:pPr>
              <w:ind w:left="20"/>
              <w:spacing w:after="0"/>
              <w:rPr>
                <w:rFonts w:ascii="Arial" w:cs="Arial" w:eastAsia="Arial" w:hAnsi="Arial"/>
                <w:sz w:val="10"/>
                <w:szCs w:val="10"/>
                <w:color w:val="auto"/>
              </w:rPr>
            </w:pPr>
            <w:hyperlink w:anchor="page134">
              <w:r>
                <w:rPr>
                  <w:rFonts w:ascii="Arial" w:cs="Arial" w:eastAsia="Arial" w:hAnsi="Arial"/>
                  <w:sz w:val="10"/>
                  <w:szCs w:val="10"/>
                  <w:color w:val="auto"/>
                </w:rPr>
                <w:t>Financial Statement</w:t>
              </w:r>
            </w:hyperlink>
          </w:p>
        </w:tc>
        <w:tc>
          <w:tcPr>
            <w:tcW w:w="2060" w:type="dxa"/>
            <w:vAlign w:val="bottom"/>
          </w:tcPr>
          <w:p>
            <w:pPr>
              <w:ind w:left="340"/>
              <w:spacing w:after="0"/>
              <w:rPr>
                <w:rFonts w:ascii="Arial" w:cs="Arial" w:eastAsia="Arial" w:hAnsi="Arial"/>
                <w:sz w:val="10"/>
                <w:szCs w:val="10"/>
                <w:color w:val="auto"/>
              </w:rPr>
            </w:pPr>
            <w:hyperlink w:anchor="page171">
              <w:r>
                <w:rPr>
                  <w:rFonts w:ascii="Arial" w:cs="Arial" w:eastAsia="Arial" w:hAnsi="Arial"/>
                  <w:sz w:val="10"/>
                  <w:szCs w:val="10"/>
                  <w:color w:val="auto"/>
                </w:rPr>
                <w:t>Other Information</w:t>
              </w:r>
            </w:hyperlink>
          </w:p>
        </w:tc>
        <w:tc>
          <w:tcPr>
            <w:tcW w:w="4740" w:type="dxa"/>
            <w:vAlign w:val="bottom"/>
          </w:tcPr>
          <w:p>
            <w:pPr>
              <w:ind w:left="3260"/>
              <w:spacing w:after="0"/>
              <w:rPr>
                <w:sz w:val="20"/>
                <w:szCs w:val="20"/>
                <w:color w:val="auto"/>
              </w:rPr>
            </w:pPr>
            <w:r>
              <w:rPr>
                <w:rFonts w:ascii="Arial" w:cs="Arial" w:eastAsia="Arial" w:hAnsi="Arial"/>
                <w:sz w:val="10"/>
                <w:szCs w:val="10"/>
                <w:color w:val="auto"/>
                <w:w w:val="97"/>
              </w:rPr>
              <w:t>Genmab 2025 Annual Report   88</w:t>
            </w:r>
          </w:p>
        </w:tc>
      </w:tr>
      <w:tr>
        <w:trPr>
          <w:trHeight w:val="156"/>
        </w:trPr>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67"/>
        </w:trPr>
        <w:tc>
          <w:tcPr>
            <w:tcW w:w="400" w:type="dxa"/>
            <w:vAlign w:val="bottom"/>
          </w:tcPr>
          <w:p>
            <w:pPr>
              <w:spacing w:after="0"/>
              <w:rPr>
                <w:sz w:val="5"/>
                <w:szCs w:val="5"/>
                <w:color w:val="auto"/>
              </w:rPr>
            </w:pPr>
          </w:p>
        </w:tc>
        <w:tc>
          <w:tcPr>
            <w:tcW w:w="480" w:type="dxa"/>
            <w:vAlign w:val="bottom"/>
            <w:shd w:val="clear" w:color="auto" w:fill="0057CF"/>
          </w:tcPr>
          <w:p>
            <w:pPr>
              <w:spacing w:after="0"/>
              <w:rPr>
                <w:sz w:val="5"/>
                <w:szCs w:val="5"/>
                <w:color w:val="auto"/>
              </w:rPr>
            </w:pPr>
          </w:p>
        </w:tc>
        <w:tc>
          <w:tcPr>
            <w:tcW w:w="880" w:type="dxa"/>
            <w:vAlign w:val="bottom"/>
            <w:shd w:val="clear" w:color="auto" w:fill="0057CF"/>
          </w:tcPr>
          <w:p>
            <w:pPr>
              <w:spacing w:after="0"/>
              <w:rPr>
                <w:sz w:val="5"/>
                <w:szCs w:val="5"/>
                <w:color w:val="auto"/>
              </w:rPr>
            </w:pPr>
          </w:p>
        </w:tc>
        <w:tc>
          <w:tcPr>
            <w:tcW w:w="1040" w:type="dxa"/>
            <w:vAlign w:val="bottom"/>
          </w:tcPr>
          <w:p>
            <w:pPr>
              <w:spacing w:after="0"/>
              <w:rPr>
                <w:sz w:val="5"/>
                <w:szCs w:val="5"/>
                <w:color w:val="auto"/>
              </w:rPr>
            </w:pPr>
          </w:p>
        </w:tc>
        <w:tc>
          <w:tcPr>
            <w:tcW w:w="2060" w:type="dxa"/>
            <w:vAlign w:val="bottom"/>
          </w:tcPr>
          <w:p>
            <w:pPr>
              <w:spacing w:after="0"/>
              <w:rPr>
                <w:sz w:val="5"/>
                <w:szCs w:val="5"/>
                <w:color w:val="auto"/>
              </w:rPr>
            </w:pPr>
          </w:p>
        </w:tc>
        <w:tc>
          <w:tcPr>
            <w:tcW w:w="47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90805" cy="965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9" w:lineRule="auto"/>
        <w:rPr>
          <w:sz w:val="20"/>
          <w:szCs w:val="20"/>
          <w:color w:val="auto"/>
        </w:rPr>
      </w:pPr>
      <w:r>
        <w:rPr>
          <w:rFonts w:ascii="Arial" w:cs="Arial" w:eastAsia="Arial" w:hAnsi="Arial"/>
          <w:sz w:val="13"/>
          <w:szCs w:val="13"/>
          <w:b w:val="1"/>
          <w:bCs w:val="1"/>
          <w:color w:val="0057CF"/>
        </w:rPr>
        <w:t>Diversity metrics (S1-9)</w:t>
      </w:r>
    </w:p>
    <w:p>
      <w:pPr>
        <w:spacing w:after="0" w:line="218" w:lineRule="auto"/>
        <w:rPr>
          <w:sz w:val="20"/>
          <w:szCs w:val="20"/>
          <w:color w:val="auto"/>
        </w:rPr>
      </w:pPr>
      <w:r>
        <w:rPr>
          <w:rFonts w:ascii="Arial" w:cs="Arial" w:eastAsia="Arial" w:hAnsi="Arial"/>
          <w:sz w:val="10"/>
          <w:szCs w:val="10"/>
          <w:color w:val="auto"/>
        </w:rPr>
        <w:t>Diversity metrics as of December 31:</w:t>
      </w:r>
    </w:p>
    <w:tbl>
      <w:tblPr>
        <w:tblLayout w:type="fixed"/>
        <w:tblInd w:w="0" w:type="dxa"/>
        <w:tblCellMar>
          <w:top w:w="0" w:type="dxa"/>
          <w:left w:w="0" w:type="dxa"/>
          <w:bottom w:w="0" w:type="dxa"/>
          <w:right w:w="0" w:type="dxa"/>
        </w:tblCellMar>
      </w:tblPr>
      <w:tr>
        <w:trPr>
          <w:trHeight w:val="128"/>
        </w:trPr>
        <w:tc>
          <w:tcPr>
            <w:tcW w:w="1420" w:type="dxa"/>
            <w:vAlign w:val="bottom"/>
            <w:tcBorders>
              <w:top w:val="single" w:sz="8" w:color="0057CF"/>
            </w:tcBorders>
          </w:tcPr>
          <w:p>
            <w:pPr>
              <w:spacing w:after="0"/>
              <w:rPr>
                <w:sz w:val="11"/>
                <w:szCs w:val="11"/>
                <w:color w:val="auto"/>
              </w:rPr>
            </w:pPr>
          </w:p>
        </w:tc>
        <w:tc>
          <w:tcPr>
            <w:tcW w:w="640" w:type="dxa"/>
            <w:vAlign w:val="bottom"/>
            <w:tcBorders>
              <w:top w:val="single" w:sz="8" w:color="0057CF"/>
            </w:tcBorders>
          </w:tcPr>
          <w:p>
            <w:pPr>
              <w:ind w:left="140"/>
              <w:spacing w:after="0"/>
              <w:rPr>
                <w:sz w:val="20"/>
                <w:szCs w:val="20"/>
                <w:color w:val="auto"/>
              </w:rPr>
            </w:pPr>
            <w:r>
              <w:rPr>
                <w:rFonts w:ascii="Arial" w:cs="Arial" w:eastAsia="Arial" w:hAnsi="Arial"/>
                <w:sz w:val="10"/>
                <w:szCs w:val="10"/>
                <w:b w:val="1"/>
                <w:bCs w:val="1"/>
                <w:color w:val="0057CF"/>
              </w:rPr>
              <w:t>2025</w:t>
            </w:r>
          </w:p>
        </w:tc>
        <w:tc>
          <w:tcPr>
            <w:tcW w:w="640" w:type="dxa"/>
            <w:vAlign w:val="bottom"/>
            <w:tcBorders>
              <w:top w:val="single" w:sz="8" w:color="0057CF"/>
            </w:tcBorders>
          </w:tcPr>
          <w:p>
            <w:pPr>
              <w:spacing w:after="0"/>
              <w:rPr>
                <w:sz w:val="11"/>
                <w:szCs w:val="11"/>
                <w:color w:val="auto"/>
              </w:rPr>
            </w:pPr>
          </w:p>
        </w:tc>
        <w:tc>
          <w:tcPr>
            <w:tcW w:w="660" w:type="dxa"/>
            <w:vAlign w:val="bottom"/>
            <w:tcBorders>
              <w:top w:val="single" w:sz="8" w:color="0057CF"/>
            </w:tcBorders>
          </w:tcPr>
          <w:p>
            <w:pPr>
              <w:spacing w:after="0"/>
              <w:rPr>
                <w:sz w:val="11"/>
                <w:szCs w:val="11"/>
                <w:color w:val="auto"/>
              </w:rPr>
            </w:pPr>
          </w:p>
        </w:tc>
        <w:tc>
          <w:tcPr>
            <w:tcW w:w="660" w:type="dxa"/>
            <w:vAlign w:val="bottom"/>
            <w:tcBorders>
              <w:top w:val="single" w:sz="8" w:color="0057CF"/>
            </w:tcBorders>
          </w:tcPr>
          <w:p>
            <w:pPr>
              <w:ind w:left="180"/>
              <w:spacing w:after="0"/>
              <w:rPr>
                <w:sz w:val="20"/>
                <w:szCs w:val="20"/>
                <w:color w:val="auto"/>
              </w:rPr>
            </w:pPr>
            <w:r>
              <w:rPr>
                <w:rFonts w:ascii="Arial" w:cs="Arial" w:eastAsia="Arial" w:hAnsi="Arial"/>
                <w:sz w:val="10"/>
                <w:szCs w:val="10"/>
                <w:b w:val="1"/>
                <w:bCs w:val="1"/>
                <w:color w:val="auto"/>
              </w:rPr>
              <w:t>2024</w:t>
            </w:r>
          </w:p>
        </w:tc>
        <w:tc>
          <w:tcPr>
            <w:tcW w:w="640" w:type="dxa"/>
            <w:vAlign w:val="bottom"/>
            <w:tcBorders>
              <w:top w:val="single" w:sz="8" w:color="0057CF"/>
            </w:tcBorders>
          </w:tcPr>
          <w:p>
            <w:pPr>
              <w:spacing w:after="0"/>
              <w:rPr>
                <w:sz w:val="11"/>
                <w:szCs w:val="11"/>
                <w:color w:val="auto"/>
              </w:rPr>
            </w:pPr>
          </w:p>
        </w:tc>
        <w:tc>
          <w:tcPr>
            <w:tcW w:w="660" w:type="dxa"/>
            <w:vAlign w:val="bottom"/>
            <w:tcBorders>
              <w:top w:val="single" w:sz="8" w:color="0057CF"/>
            </w:tcBorders>
          </w:tcPr>
          <w:p>
            <w:pPr>
              <w:spacing w:after="0"/>
              <w:rPr>
                <w:sz w:val="11"/>
                <w:szCs w:val="11"/>
                <w:color w:val="auto"/>
              </w:rPr>
            </w:pPr>
          </w:p>
        </w:tc>
        <w:tc>
          <w:tcPr>
            <w:tcW w:w="680" w:type="dxa"/>
            <w:vAlign w:val="bottom"/>
            <w:tcBorders>
              <w:top w:val="single" w:sz="8" w:color="0057CF"/>
            </w:tcBorders>
          </w:tcPr>
          <w:p>
            <w:pPr>
              <w:ind w:left="180"/>
              <w:spacing w:after="0"/>
              <w:rPr>
                <w:sz w:val="20"/>
                <w:szCs w:val="20"/>
                <w:color w:val="auto"/>
              </w:rPr>
            </w:pPr>
            <w:r>
              <w:rPr>
                <w:rFonts w:ascii="Arial" w:cs="Arial" w:eastAsia="Arial" w:hAnsi="Arial"/>
                <w:sz w:val="10"/>
                <w:szCs w:val="10"/>
                <w:b w:val="1"/>
                <w:bCs w:val="1"/>
                <w:color w:val="auto"/>
              </w:rPr>
              <w:t>2023</w:t>
            </w:r>
          </w:p>
        </w:tc>
        <w:tc>
          <w:tcPr>
            <w:tcW w:w="640" w:type="dxa"/>
            <w:vAlign w:val="bottom"/>
            <w:tcBorders>
              <w:top w:val="single" w:sz="8" w:color="0057CF"/>
            </w:tcBorders>
          </w:tcPr>
          <w:p>
            <w:pPr>
              <w:spacing w:after="0"/>
              <w:rPr>
                <w:sz w:val="11"/>
                <w:szCs w:val="11"/>
                <w:color w:val="auto"/>
              </w:rPr>
            </w:pPr>
          </w:p>
        </w:tc>
        <w:tc>
          <w:tcPr>
            <w:tcW w:w="820" w:type="dxa"/>
            <w:vAlign w:val="bottom"/>
            <w:tcBorders>
              <w:top w:val="single" w:sz="8" w:color="0057CF"/>
            </w:tcBorders>
          </w:tcPr>
          <w:p>
            <w:pPr>
              <w:spacing w:after="0"/>
              <w:rPr>
                <w:sz w:val="11"/>
                <w:szCs w:val="11"/>
                <w:color w:val="auto"/>
              </w:rPr>
            </w:pPr>
          </w:p>
        </w:tc>
      </w:tr>
      <w:tr>
        <w:trPr>
          <w:trHeight w:val="133"/>
        </w:trPr>
        <w:tc>
          <w:tcPr>
            <w:tcW w:w="1420" w:type="dxa"/>
            <w:vAlign w:val="bottom"/>
          </w:tcPr>
          <w:p>
            <w:pPr>
              <w:spacing w:after="0"/>
              <w:rPr>
                <w:sz w:val="11"/>
                <w:szCs w:val="11"/>
                <w:color w:val="auto"/>
              </w:rPr>
            </w:pPr>
          </w:p>
        </w:tc>
        <w:tc>
          <w:tcPr>
            <w:tcW w:w="640" w:type="dxa"/>
            <w:vAlign w:val="bottom"/>
          </w:tcPr>
          <w:p>
            <w:pPr>
              <w:ind w:left="140"/>
              <w:spacing w:after="0"/>
              <w:rPr>
                <w:sz w:val="20"/>
                <w:szCs w:val="20"/>
                <w:color w:val="auto"/>
              </w:rPr>
            </w:pPr>
            <w:r>
              <w:rPr>
                <w:rFonts w:ascii="Arial" w:cs="Arial" w:eastAsia="Arial" w:hAnsi="Arial"/>
                <w:sz w:val="10"/>
                <w:szCs w:val="10"/>
                <w:b w:val="1"/>
                <w:bCs w:val="1"/>
                <w:color w:val="0057CF"/>
              </w:rPr>
              <w:t>Female</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0057CF"/>
              </w:rPr>
              <w:t>Male</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0057CF"/>
              </w:rPr>
              <w:t>Total</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auto"/>
              </w:rPr>
              <w:t>Female</w:t>
            </w:r>
          </w:p>
        </w:tc>
        <w:tc>
          <w:tcPr>
            <w:tcW w:w="640" w:type="dxa"/>
            <w:vAlign w:val="bottom"/>
          </w:tcPr>
          <w:p>
            <w:pPr>
              <w:ind w:left="180"/>
              <w:spacing w:after="0"/>
              <w:rPr>
                <w:sz w:val="20"/>
                <w:szCs w:val="20"/>
                <w:color w:val="auto"/>
              </w:rPr>
            </w:pPr>
            <w:r>
              <w:rPr>
                <w:rFonts w:ascii="Arial" w:cs="Arial" w:eastAsia="Arial" w:hAnsi="Arial"/>
                <w:sz w:val="10"/>
                <w:szCs w:val="10"/>
                <w:b w:val="1"/>
                <w:bCs w:val="1"/>
                <w:color w:val="auto"/>
              </w:rPr>
              <w:t>Male</w:t>
            </w:r>
          </w:p>
        </w:tc>
        <w:tc>
          <w:tcPr>
            <w:tcW w:w="660" w:type="dxa"/>
            <w:vAlign w:val="bottom"/>
          </w:tcPr>
          <w:p>
            <w:pPr>
              <w:ind w:left="200"/>
              <w:spacing w:after="0"/>
              <w:rPr>
                <w:sz w:val="20"/>
                <w:szCs w:val="20"/>
                <w:color w:val="auto"/>
              </w:rPr>
            </w:pPr>
            <w:r>
              <w:rPr>
                <w:rFonts w:ascii="Arial" w:cs="Arial" w:eastAsia="Arial" w:hAnsi="Arial"/>
                <w:sz w:val="10"/>
                <w:szCs w:val="10"/>
                <w:b w:val="1"/>
                <w:bCs w:val="1"/>
                <w:color w:val="auto"/>
              </w:rPr>
              <w:t>Total</w:t>
            </w:r>
          </w:p>
        </w:tc>
        <w:tc>
          <w:tcPr>
            <w:tcW w:w="680" w:type="dxa"/>
            <w:vAlign w:val="bottom"/>
          </w:tcPr>
          <w:p>
            <w:pPr>
              <w:ind w:left="180"/>
              <w:spacing w:after="0"/>
              <w:rPr>
                <w:sz w:val="20"/>
                <w:szCs w:val="20"/>
                <w:color w:val="auto"/>
              </w:rPr>
            </w:pPr>
            <w:r>
              <w:rPr>
                <w:rFonts w:ascii="Arial" w:cs="Arial" w:eastAsia="Arial" w:hAnsi="Arial"/>
                <w:sz w:val="10"/>
                <w:szCs w:val="10"/>
                <w:b w:val="1"/>
                <w:bCs w:val="1"/>
                <w:color w:val="auto"/>
              </w:rPr>
              <w:t>Female</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auto"/>
              </w:rPr>
              <w:t>Male</w:t>
            </w:r>
          </w:p>
        </w:tc>
        <w:tc>
          <w:tcPr>
            <w:tcW w:w="820" w:type="dxa"/>
            <w:vAlign w:val="bottom"/>
          </w:tcPr>
          <w:p>
            <w:pPr>
              <w:ind w:left="180"/>
              <w:spacing w:after="0"/>
              <w:rPr>
                <w:sz w:val="20"/>
                <w:szCs w:val="20"/>
                <w:color w:val="auto"/>
              </w:rPr>
            </w:pPr>
            <w:r>
              <w:rPr>
                <w:rFonts w:ascii="Arial" w:cs="Arial" w:eastAsia="Arial" w:hAnsi="Arial"/>
                <w:sz w:val="10"/>
                <w:szCs w:val="10"/>
                <w:b w:val="1"/>
                <w:bCs w:val="1"/>
                <w:color w:val="auto"/>
              </w:rPr>
              <w:t>Total</w:t>
            </w:r>
          </w:p>
        </w:tc>
      </w:tr>
      <w:tr>
        <w:trPr>
          <w:trHeight w:val="109"/>
        </w:trPr>
        <w:tc>
          <w:tcPr>
            <w:tcW w:w="1420" w:type="dxa"/>
            <w:vAlign w:val="bottom"/>
          </w:tcPr>
          <w:p>
            <w:pPr>
              <w:ind w:left="20"/>
              <w:spacing w:after="0" w:line="109" w:lineRule="exact"/>
              <w:rPr>
                <w:sz w:val="20"/>
                <w:szCs w:val="20"/>
                <w:color w:val="auto"/>
              </w:rPr>
            </w:pPr>
            <w:r>
              <w:rPr>
                <w:rFonts w:ascii="Arial" w:cs="Arial" w:eastAsia="Arial" w:hAnsi="Arial"/>
                <w:sz w:val="10"/>
                <w:szCs w:val="10"/>
                <w:b w:val="1"/>
                <w:bCs w:val="1"/>
                <w:color w:val="auto"/>
              </w:rPr>
              <w:t>Board of Directors,</w:t>
            </w:r>
          </w:p>
        </w:tc>
        <w:tc>
          <w:tcPr>
            <w:tcW w:w="640" w:type="dxa"/>
            <w:vAlign w:val="bottom"/>
          </w:tcPr>
          <w:p>
            <w:pPr>
              <w:ind w:left="140"/>
              <w:spacing w:after="0" w:line="109" w:lineRule="exact"/>
              <w:rPr>
                <w:sz w:val="20"/>
                <w:szCs w:val="20"/>
                <w:color w:val="auto"/>
              </w:rPr>
            </w:pPr>
            <w:r>
              <w:rPr>
                <w:rFonts w:ascii="Arial" w:cs="Arial" w:eastAsia="Arial" w:hAnsi="Arial"/>
                <w:sz w:val="10"/>
                <w:szCs w:val="10"/>
                <w:b w:val="1"/>
                <w:bCs w:val="1"/>
                <w:color w:val="0057CF"/>
              </w:rPr>
              <w:t>3</w:t>
            </w:r>
          </w:p>
        </w:tc>
        <w:tc>
          <w:tcPr>
            <w:tcW w:w="640" w:type="dxa"/>
            <w:vAlign w:val="bottom"/>
          </w:tcPr>
          <w:p>
            <w:pPr>
              <w:ind w:left="160"/>
              <w:spacing w:after="0" w:line="109" w:lineRule="exact"/>
              <w:rPr>
                <w:sz w:val="20"/>
                <w:szCs w:val="20"/>
                <w:color w:val="auto"/>
              </w:rPr>
            </w:pPr>
            <w:r>
              <w:rPr>
                <w:rFonts w:ascii="Arial" w:cs="Arial" w:eastAsia="Arial" w:hAnsi="Arial"/>
                <w:sz w:val="10"/>
                <w:szCs w:val="10"/>
                <w:b w:val="1"/>
                <w:bCs w:val="1"/>
                <w:color w:val="0057CF"/>
              </w:rPr>
              <w:t>3</w:t>
            </w:r>
          </w:p>
        </w:tc>
        <w:tc>
          <w:tcPr>
            <w:tcW w:w="660" w:type="dxa"/>
            <w:vAlign w:val="bottom"/>
          </w:tcPr>
          <w:p>
            <w:pPr>
              <w:ind w:left="180"/>
              <w:spacing w:after="0" w:line="109" w:lineRule="exact"/>
              <w:rPr>
                <w:sz w:val="20"/>
                <w:szCs w:val="20"/>
                <w:color w:val="auto"/>
              </w:rPr>
            </w:pPr>
            <w:r>
              <w:rPr>
                <w:rFonts w:ascii="Arial" w:cs="Arial" w:eastAsia="Arial" w:hAnsi="Arial"/>
                <w:sz w:val="10"/>
                <w:szCs w:val="10"/>
                <w:b w:val="1"/>
                <w:bCs w:val="1"/>
                <w:color w:val="0057CF"/>
              </w:rPr>
              <w:t>6</w:t>
            </w:r>
          </w:p>
        </w:tc>
        <w:tc>
          <w:tcPr>
            <w:tcW w:w="660" w:type="dxa"/>
            <w:vAlign w:val="bottom"/>
          </w:tcPr>
          <w:p>
            <w:pPr>
              <w:ind w:left="180"/>
              <w:spacing w:after="0" w:line="109" w:lineRule="exact"/>
              <w:rPr>
                <w:sz w:val="20"/>
                <w:szCs w:val="20"/>
                <w:color w:val="auto"/>
              </w:rPr>
            </w:pPr>
            <w:r>
              <w:rPr>
                <w:rFonts w:ascii="Arial" w:cs="Arial" w:eastAsia="Arial" w:hAnsi="Arial"/>
                <w:sz w:val="10"/>
                <w:szCs w:val="10"/>
                <w:b w:val="1"/>
                <w:bCs w:val="1"/>
                <w:color w:val="auto"/>
              </w:rPr>
              <w:t>3</w:t>
            </w:r>
          </w:p>
        </w:tc>
        <w:tc>
          <w:tcPr>
            <w:tcW w:w="640" w:type="dxa"/>
            <w:vAlign w:val="bottom"/>
          </w:tcPr>
          <w:p>
            <w:pPr>
              <w:ind w:left="180"/>
              <w:spacing w:after="0" w:line="109" w:lineRule="exact"/>
              <w:rPr>
                <w:sz w:val="20"/>
                <w:szCs w:val="20"/>
                <w:color w:val="auto"/>
              </w:rPr>
            </w:pPr>
            <w:r>
              <w:rPr>
                <w:rFonts w:ascii="Arial" w:cs="Arial" w:eastAsia="Arial" w:hAnsi="Arial"/>
                <w:sz w:val="10"/>
                <w:szCs w:val="10"/>
                <w:b w:val="1"/>
                <w:bCs w:val="1"/>
                <w:color w:val="auto"/>
              </w:rPr>
              <w:t>3</w:t>
            </w:r>
          </w:p>
        </w:tc>
        <w:tc>
          <w:tcPr>
            <w:tcW w:w="660" w:type="dxa"/>
            <w:vAlign w:val="bottom"/>
          </w:tcPr>
          <w:p>
            <w:pPr>
              <w:ind w:left="200"/>
              <w:spacing w:after="0" w:line="109" w:lineRule="exact"/>
              <w:rPr>
                <w:sz w:val="20"/>
                <w:szCs w:val="20"/>
                <w:color w:val="auto"/>
              </w:rPr>
            </w:pPr>
            <w:r>
              <w:rPr>
                <w:rFonts w:ascii="Arial" w:cs="Arial" w:eastAsia="Arial" w:hAnsi="Arial"/>
                <w:sz w:val="10"/>
                <w:szCs w:val="10"/>
                <w:b w:val="1"/>
                <w:bCs w:val="1"/>
                <w:color w:val="auto"/>
              </w:rPr>
              <w:t>6</w:t>
            </w:r>
          </w:p>
        </w:tc>
        <w:tc>
          <w:tcPr>
            <w:tcW w:w="680" w:type="dxa"/>
            <w:vAlign w:val="bottom"/>
          </w:tcPr>
          <w:p>
            <w:pPr>
              <w:ind w:left="180"/>
              <w:spacing w:after="0" w:line="109" w:lineRule="exact"/>
              <w:rPr>
                <w:sz w:val="20"/>
                <w:szCs w:val="20"/>
                <w:color w:val="auto"/>
              </w:rPr>
            </w:pPr>
            <w:r>
              <w:rPr>
                <w:rFonts w:ascii="Arial" w:cs="Arial" w:eastAsia="Arial" w:hAnsi="Arial"/>
                <w:sz w:val="10"/>
                <w:szCs w:val="10"/>
                <w:b w:val="1"/>
                <w:bCs w:val="1"/>
                <w:color w:val="auto"/>
              </w:rPr>
              <w:t>3</w:t>
            </w:r>
          </w:p>
        </w:tc>
        <w:tc>
          <w:tcPr>
            <w:tcW w:w="640" w:type="dxa"/>
            <w:vAlign w:val="bottom"/>
          </w:tcPr>
          <w:p>
            <w:pPr>
              <w:ind w:left="160"/>
              <w:spacing w:after="0" w:line="109" w:lineRule="exact"/>
              <w:rPr>
                <w:sz w:val="20"/>
                <w:szCs w:val="20"/>
                <w:color w:val="auto"/>
              </w:rPr>
            </w:pPr>
            <w:r>
              <w:rPr>
                <w:rFonts w:ascii="Arial" w:cs="Arial" w:eastAsia="Arial" w:hAnsi="Arial"/>
                <w:sz w:val="10"/>
                <w:szCs w:val="10"/>
                <w:b w:val="1"/>
                <w:bCs w:val="1"/>
                <w:color w:val="auto"/>
              </w:rPr>
              <w:t>3</w:t>
            </w:r>
          </w:p>
        </w:tc>
        <w:tc>
          <w:tcPr>
            <w:tcW w:w="820" w:type="dxa"/>
            <w:vAlign w:val="bottom"/>
          </w:tcPr>
          <w:p>
            <w:pPr>
              <w:ind w:left="180"/>
              <w:spacing w:after="0" w:line="109" w:lineRule="exact"/>
              <w:rPr>
                <w:sz w:val="20"/>
                <w:szCs w:val="20"/>
                <w:color w:val="auto"/>
              </w:rPr>
            </w:pPr>
            <w:r>
              <w:rPr>
                <w:rFonts w:ascii="Arial" w:cs="Arial" w:eastAsia="Arial" w:hAnsi="Arial"/>
                <w:sz w:val="10"/>
                <w:szCs w:val="10"/>
                <w:b w:val="1"/>
                <w:bCs w:val="1"/>
                <w:color w:val="auto"/>
              </w:rPr>
              <w:t>6</w:t>
            </w:r>
          </w:p>
        </w:tc>
      </w:tr>
      <w:tr>
        <w:trPr>
          <w:trHeight w:val="143"/>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Shareholder-Elected</w:t>
            </w:r>
            <w:r>
              <w:rPr>
                <w:rFonts w:ascii="Arial" w:cs="Arial" w:eastAsia="Arial" w:hAnsi="Arial"/>
                <w:sz w:val="6"/>
                <w:szCs w:val="6"/>
                <w:b w:val="1"/>
                <w:bCs w:val="1"/>
                <w:color w:val="auto"/>
              </w:rPr>
              <w:t>1</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6"/>
        </w:trPr>
        <w:tc>
          <w:tcPr>
            <w:tcW w:w="1420" w:type="dxa"/>
            <w:vAlign w:val="bottom"/>
          </w:tcPr>
          <w:p>
            <w:pPr>
              <w:ind w:left="20"/>
              <w:spacing w:after="0"/>
              <w:rPr>
                <w:sz w:val="20"/>
                <w:szCs w:val="20"/>
                <w:color w:val="auto"/>
              </w:rPr>
            </w:pPr>
            <w:r>
              <w:rPr>
                <w:rFonts w:ascii="Arial" w:cs="Arial" w:eastAsia="Arial" w:hAnsi="Arial"/>
                <w:sz w:val="10"/>
                <w:szCs w:val="10"/>
                <w:color w:val="auto"/>
              </w:rPr>
              <w:t>% of total</w:t>
            </w:r>
          </w:p>
        </w:tc>
        <w:tc>
          <w:tcPr>
            <w:tcW w:w="640" w:type="dxa"/>
            <w:vAlign w:val="bottom"/>
          </w:tcPr>
          <w:p>
            <w:pPr>
              <w:ind w:left="140"/>
              <w:spacing w:after="0"/>
              <w:rPr>
                <w:sz w:val="20"/>
                <w:szCs w:val="20"/>
                <w:color w:val="auto"/>
              </w:rPr>
            </w:pPr>
            <w:r>
              <w:rPr>
                <w:rFonts w:ascii="Arial" w:cs="Arial" w:eastAsia="Arial" w:hAnsi="Arial"/>
                <w:sz w:val="10"/>
                <w:szCs w:val="10"/>
                <w:color w:val="0057CF"/>
              </w:rPr>
              <w:t>50 %</w:t>
            </w:r>
          </w:p>
        </w:tc>
        <w:tc>
          <w:tcPr>
            <w:tcW w:w="640" w:type="dxa"/>
            <w:vAlign w:val="bottom"/>
          </w:tcPr>
          <w:p>
            <w:pPr>
              <w:ind w:left="160"/>
              <w:spacing w:after="0"/>
              <w:rPr>
                <w:sz w:val="20"/>
                <w:szCs w:val="20"/>
                <w:color w:val="auto"/>
              </w:rPr>
            </w:pPr>
            <w:r>
              <w:rPr>
                <w:rFonts w:ascii="Arial" w:cs="Arial" w:eastAsia="Arial" w:hAnsi="Arial"/>
                <w:sz w:val="10"/>
                <w:szCs w:val="10"/>
                <w:color w:val="0057CF"/>
              </w:rPr>
              <w:t>50 %</w:t>
            </w:r>
          </w:p>
        </w:tc>
        <w:tc>
          <w:tcPr>
            <w:tcW w:w="660" w:type="dxa"/>
            <w:vAlign w:val="bottom"/>
          </w:tcPr>
          <w:p>
            <w:pPr>
              <w:ind w:left="180"/>
              <w:spacing w:after="0"/>
              <w:rPr>
                <w:sz w:val="20"/>
                <w:szCs w:val="20"/>
                <w:color w:val="auto"/>
              </w:rPr>
            </w:pPr>
            <w:r>
              <w:rPr>
                <w:rFonts w:ascii="Arial" w:cs="Arial" w:eastAsia="Arial" w:hAnsi="Arial"/>
                <w:sz w:val="10"/>
                <w:szCs w:val="10"/>
                <w:color w:val="0057CF"/>
              </w:rPr>
              <w:t>100 %</w:t>
            </w:r>
          </w:p>
        </w:tc>
        <w:tc>
          <w:tcPr>
            <w:tcW w:w="660" w:type="dxa"/>
            <w:vAlign w:val="bottom"/>
          </w:tcPr>
          <w:p>
            <w:pPr>
              <w:ind w:left="180"/>
              <w:spacing w:after="0"/>
              <w:rPr>
                <w:sz w:val="20"/>
                <w:szCs w:val="20"/>
                <w:color w:val="auto"/>
              </w:rPr>
            </w:pPr>
            <w:r>
              <w:rPr>
                <w:rFonts w:ascii="Arial" w:cs="Arial" w:eastAsia="Arial" w:hAnsi="Arial"/>
                <w:sz w:val="10"/>
                <w:szCs w:val="10"/>
                <w:color w:val="auto"/>
              </w:rPr>
              <w:t>50 %</w:t>
            </w:r>
          </w:p>
        </w:tc>
        <w:tc>
          <w:tcPr>
            <w:tcW w:w="640" w:type="dxa"/>
            <w:vAlign w:val="bottom"/>
          </w:tcPr>
          <w:p>
            <w:pPr>
              <w:ind w:left="180"/>
              <w:spacing w:after="0"/>
              <w:rPr>
                <w:sz w:val="20"/>
                <w:szCs w:val="20"/>
                <w:color w:val="auto"/>
              </w:rPr>
            </w:pPr>
            <w:r>
              <w:rPr>
                <w:rFonts w:ascii="Arial" w:cs="Arial" w:eastAsia="Arial" w:hAnsi="Arial"/>
                <w:sz w:val="10"/>
                <w:szCs w:val="10"/>
                <w:color w:val="auto"/>
              </w:rPr>
              <w:t>50 %</w:t>
            </w:r>
          </w:p>
        </w:tc>
        <w:tc>
          <w:tcPr>
            <w:tcW w:w="660" w:type="dxa"/>
            <w:vAlign w:val="bottom"/>
          </w:tcPr>
          <w:p>
            <w:pPr>
              <w:ind w:left="200"/>
              <w:spacing w:after="0"/>
              <w:rPr>
                <w:sz w:val="20"/>
                <w:szCs w:val="20"/>
                <w:color w:val="auto"/>
              </w:rPr>
            </w:pPr>
            <w:r>
              <w:rPr>
                <w:rFonts w:ascii="Arial" w:cs="Arial" w:eastAsia="Arial" w:hAnsi="Arial"/>
                <w:sz w:val="10"/>
                <w:szCs w:val="10"/>
                <w:color w:val="auto"/>
              </w:rPr>
              <w:t>100 %</w:t>
            </w:r>
          </w:p>
        </w:tc>
        <w:tc>
          <w:tcPr>
            <w:tcW w:w="680" w:type="dxa"/>
            <w:vAlign w:val="bottom"/>
          </w:tcPr>
          <w:p>
            <w:pPr>
              <w:ind w:left="180"/>
              <w:spacing w:after="0"/>
              <w:rPr>
                <w:sz w:val="20"/>
                <w:szCs w:val="20"/>
                <w:color w:val="auto"/>
              </w:rPr>
            </w:pPr>
            <w:r>
              <w:rPr>
                <w:rFonts w:ascii="Arial" w:cs="Arial" w:eastAsia="Arial" w:hAnsi="Arial"/>
                <w:sz w:val="10"/>
                <w:szCs w:val="10"/>
                <w:color w:val="auto"/>
              </w:rPr>
              <w:t>50 %</w:t>
            </w:r>
          </w:p>
        </w:tc>
        <w:tc>
          <w:tcPr>
            <w:tcW w:w="640" w:type="dxa"/>
            <w:vAlign w:val="bottom"/>
          </w:tcPr>
          <w:p>
            <w:pPr>
              <w:ind w:left="160"/>
              <w:spacing w:after="0"/>
              <w:rPr>
                <w:sz w:val="20"/>
                <w:szCs w:val="20"/>
                <w:color w:val="auto"/>
              </w:rPr>
            </w:pPr>
            <w:r>
              <w:rPr>
                <w:rFonts w:ascii="Arial" w:cs="Arial" w:eastAsia="Arial" w:hAnsi="Arial"/>
                <w:sz w:val="10"/>
                <w:szCs w:val="10"/>
                <w:color w:val="auto"/>
              </w:rPr>
              <w:t>50 %</w:t>
            </w:r>
          </w:p>
        </w:tc>
        <w:tc>
          <w:tcPr>
            <w:tcW w:w="820" w:type="dxa"/>
            <w:vAlign w:val="bottom"/>
          </w:tcPr>
          <w:p>
            <w:pPr>
              <w:ind w:left="180"/>
              <w:spacing w:after="0"/>
              <w:rPr>
                <w:sz w:val="20"/>
                <w:szCs w:val="20"/>
                <w:color w:val="auto"/>
              </w:rPr>
            </w:pPr>
            <w:r>
              <w:rPr>
                <w:rFonts w:ascii="Arial" w:cs="Arial" w:eastAsia="Arial" w:hAnsi="Arial"/>
                <w:sz w:val="10"/>
                <w:szCs w:val="10"/>
                <w:color w:val="auto"/>
              </w:rPr>
              <w:t>100 %</w:t>
            </w:r>
          </w:p>
        </w:tc>
      </w:tr>
      <w:tr>
        <w:trPr>
          <w:trHeight w:val="120"/>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Board of Directors,</w:t>
            </w:r>
          </w:p>
        </w:tc>
        <w:tc>
          <w:tcPr>
            <w:tcW w:w="640" w:type="dxa"/>
            <w:vAlign w:val="bottom"/>
          </w:tcPr>
          <w:p>
            <w:pPr>
              <w:ind w:left="140"/>
              <w:spacing w:after="0"/>
              <w:rPr>
                <w:sz w:val="20"/>
                <w:szCs w:val="20"/>
                <w:color w:val="auto"/>
              </w:rPr>
            </w:pPr>
            <w:r>
              <w:rPr>
                <w:rFonts w:ascii="Arial" w:cs="Arial" w:eastAsia="Arial" w:hAnsi="Arial"/>
                <w:sz w:val="10"/>
                <w:szCs w:val="10"/>
                <w:b w:val="1"/>
                <w:bCs w:val="1"/>
                <w:color w:val="0057CF"/>
              </w:rPr>
              <w:t>1</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0057CF"/>
              </w:rPr>
              <w:t>2</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0057CF"/>
              </w:rPr>
              <w:t>3</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auto"/>
              </w:rPr>
              <w:t>1</w:t>
            </w:r>
          </w:p>
        </w:tc>
        <w:tc>
          <w:tcPr>
            <w:tcW w:w="640" w:type="dxa"/>
            <w:vAlign w:val="bottom"/>
          </w:tcPr>
          <w:p>
            <w:pPr>
              <w:ind w:left="180"/>
              <w:spacing w:after="0"/>
              <w:rPr>
                <w:sz w:val="20"/>
                <w:szCs w:val="20"/>
                <w:color w:val="auto"/>
              </w:rPr>
            </w:pPr>
            <w:r>
              <w:rPr>
                <w:rFonts w:ascii="Arial" w:cs="Arial" w:eastAsia="Arial" w:hAnsi="Arial"/>
                <w:sz w:val="10"/>
                <w:szCs w:val="10"/>
                <w:b w:val="1"/>
                <w:bCs w:val="1"/>
                <w:color w:val="auto"/>
              </w:rPr>
              <w:t>2</w:t>
            </w:r>
          </w:p>
        </w:tc>
        <w:tc>
          <w:tcPr>
            <w:tcW w:w="660" w:type="dxa"/>
            <w:vAlign w:val="bottom"/>
          </w:tcPr>
          <w:p>
            <w:pPr>
              <w:ind w:left="200"/>
              <w:spacing w:after="0"/>
              <w:rPr>
                <w:sz w:val="20"/>
                <w:szCs w:val="20"/>
                <w:color w:val="auto"/>
              </w:rPr>
            </w:pPr>
            <w:r>
              <w:rPr>
                <w:rFonts w:ascii="Arial" w:cs="Arial" w:eastAsia="Arial" w:hAnsi="Arial"/>
                <w:sz w:val="10"/>
                <w:szCs w:val="10"/>
                <w:b w:val="1"/>
                <w:bCs w:val="1"/>
                <w:color w:val="auto"/>
              </w:rPr>
              <w:t>3</w:t>
            </w:r>
          </w:p>
        </w:tc>
        <w:tc>
          <w:tcPr>
            <w:tcW w:w="680" w:type="dxa"/>
            <w:vAlign w:val="bottom"/>
          </w:tcPr>
          <w:p>
            <w:pPr>
              <w:ind w:left="180"/>
              <w:spacing w:after="0"/>
              <w:rPr>
                <w:sz w:val="20"/>
                <w:szCs w:val="20"/>
                <w:color w:val="auto"/>
              </w:rPr>
            </w:pPr>
            <w:r>
              <w:rPr>
                <w:rFonts w:ascii="Arial" w:cs="Arial" w:eastAsia="Arial" w:hAnsi="Arial"/>
                <w:sz w:val="10"/>
                <w:szCs w:val="10"/>
                <w:b w:val="1"/>
                <w:bCs w:val="1"/>
                <w:color w:val="auto"/>
              </w:rPr>
              <w:t>1</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auto"/>
              </w:rPr>
              <w:t>2</w:t>
            </w:r>
          </w:p>
        </w:tc>
        <w:tc>
          <w:tcPr>
            <w:tcW w:w="820" w:type="dxa"/>
            <w:vAlign w:val="bottom"/>
          </w:tcPr>
          <w:p>
            <w:pPr>
              <w:ind w:left="180"/>
              <w:spacing w:after="0"/>
              <w:rPr>
                <w:sz w:val="20"/>
                <w:szCs w:val="20"/>
                <w:color w:val="auto"/>
              </w:rPr>
            </w:pPr>
            <w:r>
              <w:rPr>
                <w:rFonts w:ascii="Arial" w:cs="Arial" w:eastAsia="Arial" w:hAnsi="Arial"/>
                <w:sz w:val="10"/>
                <w:szCs w:val="10"/>
                <w:b w:val="1"/>
                <w:bCs w:val="1"/>
                <w:color w:val="auto"/>
              </w:rPr>
              <w:t>3</w:t>
            </w:r>
          </w:p>
        </w:tc>
      </w:tr>
      <w:tr>
        <w:trPr>
          <w:trHeight w:val="143"/>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Employee-Elected</w:t>
            </w:r>
            <w:r>
              <w:rPr>
                <w:rFonts w:ascii="Arial" w:cs="Arial" w:eastAsia="Arial" w:hAnsi="Arial"/>
                <w:sz w:val="6"/>
                <w:szCs w:val="6"/>
                <w:b w:val="1"/>
                <w:bCs w:val="1"/>
                <w:color w:val="auto"/>
              </w:rPr>
              <w:t>1</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6"/>
        </w:trPr>
        <w:tc>
          <w:tcPr>
            <w:tcW w:w="1420" w:type="dxa"/>
            <w:vAlign w:val="bottom"/>
          </w:tcPr>
          <w:p>
            <w:pPr>
              <w:ind w:left="20"/>
              <w:spacing w:after="0"/>
              <w:rPr>
                <w:sz w:val="20"/>
                <w:szCs w:val="20"/>
                <w:color w:val="auto"/>
              </w:rPr>
            </w:pPr>
            <w:r>
              <w:rPr>
                <w:rFonts w:ascii="Arial" w:cs="Arial" w:eastAsia="Arial" w:hAnsi="Arial"/>
                <w:sz w:val="10"/>
                <w:szCs w:val="10"/>
                <w:color w:val="auto"/>
              </w:rPr>
              <w:t>% of total</w:t>
            </w:r>
          </w:p>
        </w:tc>
        <w:tc>
          <w:tcPr>
            <w:tcW w:w="640" w:type="dxa"/>
            <w:vAlign w:val="bottom"/>
          </w:tcPr>
          <w:p>
            <w:pPr>
              <w:ind w:left="140"/>
              <w:spacing w:after="0"/>
              <w:rPr>
                <w:sz w:val="20"/>
                <w:szCs w:val="20"/>
                <w:color w:val="auto"/>
              </w:rPr>
            </w:pPr>
            <w:r>
              <w:rPr>
                <w:rFonts w:ascii="Arial" w:cs="Arial" w:eastAsia="Arial" w:hAnsi="Arial"/>
                <w:sz w:val="10"/>
                <w:szCs w:val="10"/>
                <w:color w:val="0057CF"/>
              </w:rPr>
              <w:t>33 %</w:t>
            </w:r>
          </w:p>
        </w:tc>
        <w:tc>
          <w:tcPr>
            <w:tcW w:w="640" w:type="dxa"/>
            <w:vAlign w:val="bottom"/>
          </w:tcPr>
          <w:p>
            <w:pPr>
              <w:ind w:left="160"/>
              <w:spacing w:after="0"/>
              <w:rPr>
                <w:sz w:val="20"/>
                <w:szCs w:val="20"/>
                <w:color w:val="auto"/>
              </w:rPr>
            </w:pPr>
            <w:r>
              <w:rPr>
                <w:rFonts w:ascii="Arial" w:cs="Arial" w:eastAsia="Arial" w:hAnsi="Arial"/>
                <w:sz w:val="10"/>
                <w:szCs w:val="10"/>
                <w:color w:val="0057CF"/>
              </w:rPr>
              <w:t>67 %</w:t>
            </w:r>
          </w:p>
        </w:tc>
        <w:tc>
          <w:tcPr>
            <w:tcW w:w="660" w:type="dxa"/>
            <w:vAlign w:val="bottom"/>
          </w:tcPr>
          <w:p>
            <w:pPr>
              <w:ind w:left="180"/>
              <w:spacing w:after="0"/>
              <w:rPr>
                <w:sz w:val="20"/>
                <w:szCs w:val="20"/>
                <w:color w:val="auto"/>
              </w:rPr>
            </w:pPr>
            <w:r>
              <w:rPr>
                <w:rFonts w:ascii="Arial" w:cs="Arial" w:eastAsia="Arial" w:hAnsi="Arial"/>
                <w:sz w:val="10"/>
                <w:szCs w:val="10"/>
                <w:color w:val="0057CF"/>
              </w:rPr>
              <w:t>100 %</w:t>
            </w:r>
          </w:p>
        </w:tc>
        <w:tc>
          <w:tcPr>
            <w:tcW w:w="660" w:type="dxa"/>
            <w:vAlign w:val="bottom"/>
          </w:tcPr>
          <w:p>
            <w:pPr>
              <w:ind w:left="180"/>
              <w:spacing w:after="0"/>
              <w:rPr>
                <w:sz w:val="20"/>
                <w:szCs w:val="20"/>
                <w:color w:val="auto"/>
              </w:rPr>
            </w:pPr>
            <w:r>
              <w:rPr>
                <w:rFonts w:ascii="Arial" w:cs="Arial" w:eastAsia="Arial" w:hAnsi="Arial"/>
                <w:sz w:val="10"/>
                <w:szCs w:val="10"/>
                <w:color w:val="auto"/>
              </w:rPr>
              <w:t>33 %</w:t>
            </w:r>
          </w:p>
        </w:tc>
        <w:tc>
          <w:tcPr>
            <w:tcW w:w="640" w:type="dxa"/>
            <w:vAlign w:val="bottom"/>
          </w:tcPr>
          <w:p>
            <w:pPr>
              <w:ind w:left="180"/>
              <w:spacing w:after="0"/>
              <w:rPr>
                <w:sz w:val="20"/>
                <w:szCs w:val="20"/>
                <w:color w:val="auto"/>
              </w:rPr>
            </w:pPr>
            <w:r>
              <w:rPr>
                <w:rFonts w:ascii="Arial" w:cs="Arial" w:eastAsia="Arial" w:hAnsi="Arial"/>
                <w:sz w:val="10"/>
                <w:szCs w:val="10"/>
                <w:color w:val="auto"/>
              </w:rPr>
              <w:t>67 %</w:t>
            </w:r>
          </w:p>
        </w:tc>
        <w:tc>
          <w:tcPr>
            <w:tcW w:w="660" w:type="dxa"/>
            <w:vAlign w:val="bottom"/>
          </w:tcPr>
          <w:p>
            <w:pPr>
              <w:ind w:left="200"/>
              <w:spacing w:after="0"/>
              <w:rPr>
                <w:sz w:val="20"/>
                <w:szCs w:val="20"/>
                <w:color w:val="auto"/>
              </w:rPr>
            </w:pPr>
            <w:r>
              <w:rPr>
                <w:rFonts w:ascii="Arial" w:cs="Arial" w:eastAsia="Arial" w:hAnsi="Arial"/>
                <w:sz w:val="10"/>
                <w:szCs w:val="10"/>
                <w:color w:val="auto"/>
              </w:rPr>
              <w:t>100 %</w:t>
            </w:r>
          </w:p>
        </w:tc>
        <w:tc>
          <w:tcPr>
            <w:tcW w:w="680" w:type="dxa"/>
            <w:vAlign w:val="bottom"/>
          </w:tcPr>
          <w:p>
            <w:pPr>
              <w:ind w:left="180"/>
              <w:spacing w:after="0"/>
              <w:rPr>
                <w:sz w:val="20"/>
                <w:szCs w:val="20"/>
                <w:color w:val="auto"/>
              </w:rPr>
            </w:pPr>
            <w:r>
              <w:rPr>
                <w:rFonts w:ascii="Arial" w:cs="Arial" w:eastAsia="Arial" w:hAnsi="Arial"/>
                <w:sz w:val="10"/>
                <w:szCs w:val="10"/>
                <w:color w:val="auto"/>
              </w:rPr>
              <w:t>33 %</w:t>
            </w:r>
          </w:p>
        </w:tc>
        <w:tc>
          <w:tcPr>
            <w:tcW w:w="640" w:type="dxa"/>
            <w:vAlign w:val="bottom"/>
          </w:tcPr>
          <w:p>
            <w:pPr>
              <w:ind w:left="160"/>
              <w:spacing w:after="0"/>
              <w:rPr>
                <w:sz w:val="20"/>
                <w:szCs w:val="20"/>
                <w:color w:val="auto"/>
              </w:rPr>
            </w:pPr>
            <w:r>
              <w:rPr>
                <w:rFonts w:ascii="Arial" w:cs="Arial" w:eastAsia="Arial" w:hAnsi="Arial"/>
                <w:sz w:val="10"/>
                <w:szCs w:val="10"/>
                <w:color w:val="auto"/>
              </w:rPr>
              <w:t>67 %</w:t>
            </w:r>
          </w:p>
        </w:tc>
        <w:tc>
          <w:tcPr>
            <w:tcW w:w="820" w:type="dxa"/>
            <w:vAlign w:val="bottom"/>
          </w:tcPr>
          <w:p>
            <w:pPr>
              <w:ind w:left="180"/>
              <w:spacing w:after="0"/>
              <w:rPr>
                <w:sz w:val="20"/>
                <w:szCs w:val="20"/>
                <w:color w:val="auto"/>
              </w:rPr>
            </w:pPr>
            <w:r>
              <w:rPr>
                <w:rFonts w:ascii="Arial" w:cs="Arial" w:eastAsia="Arial" w:hAnsi="Arial"/>
                <w:sz w:val="10"/>
                <w:szCs w:val="10"/>
                <w:color w:val="auto"/>
              </w:rPr>
              <w:t>100 %</w:t>
            </w:r>
          </w:p>
        </w:tc>
      </w:tr>
      <w:tr>
        <w:trPr>
          <w:trHeight w:val="158"/>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Board of Directors, Total</w:t>
            </w:r>
          </w:p>
        </w:tc>
        <w:tc>
          <w:tcPr>
            <w:tcW w:w="640" w:type="dxa"/>
            <w:vAlign w:val="bottom"/>
          </w:tcPr>
          <w:p>
            <w:pPr>
              <w:ind w:left="140"/>
              <w:spacing w:after="0"/>
              <w:rPr>
                <w:sz w:val="20"/>
                <w:szCs w:val="20"/>
                <w:color w:val="auto"/>
              </w:rPr>
            </w:pPr>
            <w:r>
              <w:rPr>
                <w:rFonts w:ascii="Arial" w:cs="Arial" w:eastAsia="Arial" w:hAnsi="Arial"/>
                <w:sz w:val="10"/>
                <w:szCs w:val="10"/>
                <w:b w:val="1"/>
                <w:bCs w:val="1"/>
                <w:color w:val="0057CF"/>
              </w:rPr>
              <w:t>4</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0057CF"/>
              </w:rPr>
              <w:t>5</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0057CF"/>
              </w:rPr>
              <w:t>9</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auto"/>
              </w:rPr>
              <w:t>4</w:t>
            </w:r>
          </w:p>
        </w:tc>
        <w:tc>
          <w:tcPr>
            <w:tcW w:w="640" w:type="dxa"/>
            <w:vAlign w:val="bottom"/>
          </w:tcPr>
          <w:p>
            <w:pPr>
              <w:ind w:left="180"/>
              <w:spacing w:after="0"/>
              <w:rPr>
                <w:sz w:val="20"/>
                <w:szCs w:val="20"/>
                <w:color w:val="auto"/>
              </w:rPr>
            </w:pPr>
            <w:r>
              <w:rPr>
                <w:rFonts w:ascii="Arial" w:cs="Arial" w:eastAsia="Arial" w:hAnsi="Arial"/>
                <w:sz w:val="10"/>
                <w:szCs w:val="10"/>
                <w:b w:val="1"/>
                <w:bCs w:val="1"/>
                <w:color w:val="auto"/>
              </w:rPr>
              <w:t>5</w:t>
            </w:r>
          </w:p>
        </w:tc>
        <w:tc>
          <w:tcPr>
            <w:tcW w:w="660" w:type="dxa"/>
            <w:vAlign w:val="bottom"/>
          </w:tcPr>
          <w:p>
            <w:pPr>
              <w:ind w:left="200"/>
              <w:spacing w:after="0"/>
              <w:rPr>
                <w:sz w:val="20"/>
                <w:szCs w:val="20"/>
                <w:color w:val="auto"/>
              </w:rPr>
            </w:pPr>
            <w:r>
              <w:rPr>
                <w:rFonts w:ascii="Arial" w:cs="Arial" w:eastAsia="Arial" w:hAnsi="Arial"/>
                <w:sz w:val="10"/>
                <w:szCs w:val="10"/>
                <w:b w:val="1"/>
                <w:bCs w:val="1"/>
                <w:color w:val="auto"/>
              </w:rPr>
              <w:t>9</w:t>
            </w:r>
          </w:p>
        </w:tc>
        <w:tc>
          <w:tcPr>
            <w:tcW w:w="680" w:type="dxa"/>
            <w:vAlign w:val="bottom"/>
          </w:tcPr>
          <w:p>
            <w:pPr>
              <w:ind w:left="180"/>
              <w:spacing w:after="0"/>
              <w:rPr>
                <w:sz w:val="20"/>
                <w:szCs w:val="20"/>
                <w:color w:val="auto"/>
              </w:rPr>
            </w:pPr>
            <w:r>
              <w:rPr>
                <w:rFonts w:ascii="Arial" w:cs="Arial" w:eastAsia="Arial" w:hAnsi="Arial"/>
                <w:sz w:val="10"/>
                <w:szCs w:val="10"/>
                <w:b w:val="1"/>
                <w:bCs w:val="1"/>
                <w:color w:val="auto"/>
              </w:rPr>
              <w:t>4</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auto"/>
              </w:rPr>
              <w:t>5</w:t>
            </w:r>
          </w:p>
        </w:tc>
        <w:tc>
          <w:tcPr>
            <w:tcW w:w="820" w:type="dxa"/>
            <w:vAlign w:val="bottom"/>
          </w:tcPr>
          <w:p>
            <w:pPr>
              <w:ind w:left="180"/>
              <w:spacing w:after="0"/>
              <w:rPr>
                <w:sz w:val="20"/>
                <w:szCs w:val="20"/>
                <w:color w:val="auto"/>
              </w:rPr>
            </w:pPr>
            <w:r>
              <w:rPr>
                <w:rFonts w:ascii="Arial" w:cs="Arial" w:eastAsia="Arial" w:hAnsi="Arial"/>
                <w:sz w:val="10"/>
                <w:szCs w:val="10"/>
                <w:b w:val="1"/>
                <w:bCs w:val="1"/>
                <w:color w:val="auto"/>
              </w:rPr>
              <w:t>9</w:t>
            </w:r>
          </w:p>
        </w:tc>
      </w:tr>
      <w:tr>
        <w:trPr>
          <w:trHeight w:val="146"/>
        </w:trPr>
        <w:tc>
          <w:tcPr>
            <w:tcW w:w="1420" w:type="dxa"/>
            <w:vAlign w:val="bottom"/>
          </w:tcPr>
          <w:p>
            <w:pPr>
              <w:ind w:left="20"/>
              <w:spacing w:after="0"/>
              <w:rPr>
                <w:sz w:val="20"/>
                <w:szCs w:val="20"/>
                <w:color w:val="auto"/>
              </w:rPr>
            </w:pPr>
            <w:r>
              <w:rPr>
                <w:rFonts w:ascii="Arial" w:cs="Arial" w:eastAsia="Arial" w:hAnsi="Arial"/>
                <w:sz w:val="10"/>
                <w:szCs w:val="10"/>
                <w:color w:val="auto"/>
              </w:rPr>
              <w:t>% of total</w:t>
            </w:r>
          </w:p>
        </w:tc>
        <w:tc>
          <w:tcPr>
            <w:tcW w:w="640" w:type="dxa"/>
            <w:vAlign w:val="bottom"/>
          </w:tcPr>
          <w:p>
            <w:pPr>
              <w:ind w:left="140"/>
              <w:spacing w:after="0"/>
              <w:rPr>
                <w:sz w:val="20"/>
                <w:szCs w:val="20"/>
                <w:color w:val="auto"/>
              </w:rPr>
            </w:pPr>
            <w:r>
              <w:rPr>
                <w:rFonts w:ascii="Arial" w:cs="Arial" w:eastAsia="Arial" w:hAnsi="Arial"/>
                <w:sz w:val="10"/>
                <w:szCs w:val="10"/>
                <w:color w:val="0057CF"/>
              </w:rPr>
              <w:t>44 %</w:t>
            </w:r>
          </w:p>
        </w:tc>
        <w:tc>
          <w:tcPr>
            <w:tcW w:w="640" w:type="dxa"/>
            <w:vAlign w:val="bottom"/>
          </w:tcPr>
          <w:p>
            <w:pPr>
              <w:ind w:left="160"/>
              <w:spacing w:after="0"/>
              <w:rPr>
                <w:sz w:val="20"/>
                <w:szCs w:val="20"/>
                <w:color w:val="auto"/>
              </w:rPr>
            </w:pPr>
            <w:r>
              <w:rPr>
                <w:rFonts w:ascii="Arial" w:cs="Arial" w:eastAsia="Arial" w:hAnsi="Arial"/>
                <w:sz w:val="10"/>
                <w:szCs w:val="10"/>
                <w:color w:val="0057CF"/>
              </w:rPr>
              <w:t>56 %</w:t>
            </w:r>
          </w:p>
        </w:tc>
        <w:tc>
          <w:tcPr>
            <w:tcW w:w="660" w:type="dxa"/>
            <w:vAlign w:val="bottom"/>
          </w:tcPr>
          <w:p>
            <w:pPr>
              <w:ind w:left="180"/>
              <w:spacing w:after="0"/>
              <w:rPr>
                <w:sz w:val="20"/>
                <w:szCs w:val="20"/>
                <w:color w:val="auto"/>
              </w:rPr>
            </w:pPr>
            <w:r>
              <w:rPr>
                <w:rFonts w:ascii="Arial" w:cs="Arial" w:eastAsia="Arial" w:hAnsi="Arial"/>
                <w:sz w:val="10"/>
                <w:szCs w:val="10"/>
                <w:color w:val="0057CF"/>
              </w:rPr>
              <w:t>100 %</w:t>
            </w:r>
          </w:p>
        </w:tc>
        <w:tc>
          <w:tcPr>
            <w:tcW w:w="660" w:type="dxa"/>
            <w:vAlign w:val="bottom"/>
          </w:tcPr>
          <w:p>
            <w:pPr>
              <w:ind w:left="180"/>
              <w:spacing w:after="0"/>
              <w:rPr>
                <w:sz w:val="20"/>
                <w:szCs w:val="20"/>
                <w:color w:val="auto"/>
              </w:rPr>
            </w:pPr>
            <w:r>
              <w:rPr>
                <w:rFonts w:ascii="Arial" w:cs="Arial" w:eastAsia="Arial" w:hAnsi="Arial"/>
                <w:sz w:val="10"/>
                <w:szCs w:val="10"/>
                <w:color w:val="auto"/>
              </w:rPr>
              <w:t>44 %</w:t>
            </w:r>
          </w:p>
        </w:tc>
        <w:tc>
          <w:tcPr>
            <w:tcW w:w="640" w:type="dxa"/>
            <w:vAlign w:val="bottom"/>
          </w:tcPr>
          <w:p>
            <w:pPr>
              <w:ind w:left="180"/>
              <w:spacing w:after="0"/>
              <w:rPr>
                <w:sz w:val="20"/>
                <w:szCs w:val="20"/>
                <w:color w:val="auto"/>
              </w:rPr>
            </w:pPr>
            <w:r>
              <w:rPr>
                <w:rFonts w:ascii="Arial" w:cs="Arial" w:eastAsia="Arial" w:hAnsi="Arial"/>
                <w:sz w:val="10"/>
                <w:szCs w:val="10"/>
                <w:color w:val="auto"/>
              </w:rPr>
              <w:t>56 %</w:t>
            </w:r>
          </w:p>
        </w:tc>
        <w:tc>
          <w:tcPr>
            <w:tcW w:w="660" w:type="dxa"/>
            <w:vAlign w:val="bottom"/>
          </w:tcPr>
          <w:p>
            <w:pPr>
              <w:ind w:left="200"/>
              <w:spacing w:after="0"/>
              <w:rPr>
                <w:sz w:val="20"/>
                <w:szCs w:val="20"/>
                <w:color w:val="auto"/>
              </w:rPr>
            </w:pPr>
            <w:r>
              <w:rPr>
                <w:rFonts w:ascii="Arial" w:cs="Arial" w:eastAsia="Arial" w:hAnsi="Arial"/>
                <w:sz w:val="10"/>
                <w:szCs w:val="10"/>
                <w:color w:val="auto"/>
              </w:rPr>
              <w:t>100 %</w:t>
            </w:r>
          </w:p>
        </w:tc>
        <w:tc>
          <w:tcPr>
            <w:tcW w:w="680" w:type="dxa"/>
            <w:vAlign w:val="bottom"/>
          </w:tcPr>
          <w:p>
            <w:pPr>
              <w:ind w:left="180"/>
              <w:spacing w:after="0"/>
              <w:rPr>
                <w:sz w:val="20"/>
                <w:szCs w:val="20"/>
                <w:color w:val="auto"/>
              </w:rPr>
            </w:pPr>
            <w:r>
              <w:rPr>
                <w:rFonts w:ascii="Arial" w:cs="Arial" w:eastAsia="Arial" w:hAnsi="Arial"/>
                <w:sz w:val="10"/>
                <w:szCs w:val="10"/>
                <w:color w:val="auto"/>
              </w:rPr>
              <w:t>44 %</w:t>
            </w:r>
          </w:p>
        </w:tc>
        <w:tc>
          <w:tcPr>
            <w:tcW w:w="640" w:type="dxa"/>
            <w:vAlign w:val="bottom"/>
          </w:tcPr>
          <w:p>
            <w:pPr>
              <w:ind w:left="160"/>
              <w:spacing w:after="0"/>
              <w:rPr>
                <w:sz w:val="20"/>
                <w:szCs w:val="20"/>
                <w:color w:val="auto"/>
              </w:rPr>
            </w:pPr>
            <w:r>
              <w:rPr>
                <w:rFonts w:ascii="Arial" w:cs="Arial" w:eastAsia="Arial" w:hAnsi="Arial"/>
                <w:sz w:val="10"/>
                <w:szCs w:val="10"/>
                <w:color w:val="auto"/>
              </w:rPr>
              <w:t>56 %</w:t>
            </w:r>
          </w:p>
        </w:tc>
        <w:tc>
          <w:tcPr>
            <w:tcW w:w="820" w:type="dxa"/>
            <w:vAlign w:val="bottom"/>
          </w:tcPr>
          <w:p>
            <w:pPr>
              <w:ind w:left="180"/>
              <w:spacing w:after="0"/>
              <w:rPr>
                <w:sz w:val="20"/>
                <w:szCs w:val="20"/>
                <w:color w:val="auto"/>
              </w:rPr>
            </w:pPr>
            <w:r>
              <w:rPr>
                <w:rFonts w:ascii="Arial" w:cs="Arial" w:eastAsia="Arial" w:hAnsi="Arial"/>
                <w:sz w:val="10"/>
                <w:szCs w:val="10"/>
                <w:color w:val="auto"/>
              </w:rPr>
              <w:t>100 %</w:t>
            </w:r>
          </w:p>
        </w:tc>
      </w:tr>
      <w:tr>
        <w:trPr>
          <w:trHeight w:val="120"/>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Registered Executive</w:t>
            </w:r>
          </w:p>
        </w:tc>
        <w:tc>
          <w:tcPr>
            <w:tcW w:w="640" w:type="dxa"/>
            <w:vAlign w:val="bottom"/>
          </w:tcPr>
          <w:p>
            <w:pPr>
              <w:ind w:left="140"/>
              <w:spacing w:after="0"/>
              <w:rPr>
                <w:sz w:val="20"/>
                <w:szCs w:val="20"/>
                <w:color w:val="auto"/>
              </w:rPr>
            </w:pPr>
            <w:r>
              <w:rPr>
                <w:rFonts w:ascii="Arial" w:cs="Arial" w:eastAsia="Arial" w:hAnsi="Arial"/>
                <w:sz w:val="10"/>
                <w:szCs w:val="10"/>
                <w:b w:val="1"/>
                <w:bCs w:val="1"/>
                <w:color w:val="0057CF"/>
              </w:rPr>
              <w:t>0</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0057CF"/>
              </w:rPr>
              <w:t>2</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0057CF"/>
              </w:rPr>
              <w:t>2</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auto"/>
              </w:rPr>
              <w:t>0</w:t>
            </w:r>
          </w:p>
        </w:tc>
        <w:tc>
          <w:tcPr>
            <w:tcW w:w="640" w:type="dxa"/>
            <w:vAlign w:val="bottom"/>
          </w:tcPr>
          <w:p>
            <w:pPr>
              <w:ind w:left="180"/>
              <w:spacing w:after="0"/>
              <w:rPr>
                <w:sz w:val="20"/>
                <w:szCs w:val="20"/>
                <w:color w:val="auto"/>
              </w:rPr>
            </w:pPr>
            <w:r>
              <w:rPr>
                <w:rFonts w:ascii="Arial" w:cs="Arial" w:eastAsia="Arial" w:hAnsi="Arial"/>
                <w:sz w:val="10"/>
                <w:szCs w:val="10"/>
                <w:b w:val="1"/>
                <w:bCs w:val="1"/>
                <w:color w:val="auto"/>
              </w:rPr>
              <w:t>2</w:t>
            </w:r>
          </w:p>
        </w:tc>
        <w:tc>
          <w:tcPr>
            <w:tcW w:w="660" w:type="dxa"/>
            <w:vAlign w:val="bottom"/>
          </w:tcPr>
          <w:p>
            <w:pPr>
              <w:ind w:left="200"/>
              <w:spacing w:after="0"/>
              <w:rPr>
                <w:sz w:val="20"/>
                <w:szCs w:val="20"/>
                <w:color w:val="auto"/>
              </w:rPr>
            </w:pPr>
            <w:r>
              <w:rPr>
                <w:rFonts w:ascii="Arial" w:cs="Arial" w:eastAsia="Arial" w:hAnsi="Arial"/>
                <w:sz w:val="10"/>
                <w:szCs w:val="10"/>
                <w:b w:val="1"/>
                <w:bCs w:val="1"/>
                <w:color w:val="auto"/>
              </w:rPr>
              <w:t>2</w:t>
            </w:r>
          </w:p>
        </w:tc>
        <w:tc>
          <w:tcPr>
            <w:tcW w:w="680" w:type="dxa"/>
            <w:vAlign w:val="bottom"/>
          </w:tcPr>
          <w:p>
            <w:pPr>
              <w:ind w:left="180"/>
              <w:spacing w:after="0"/>
              <w:rPr>
                <w:sz w:val="20"/>
                <w:szCs w:val="20"/>
                <w:color w:val="auto"/>
              </w:rPr>
            </w:pPr>
            <w:r>
              <w:rPr>
                <w:rFonts w:ascii="Arial" w:cs="Arial" w:eastAsia="Arial" w:hAnsi="Arial"/>
                <w:sz w:val="10"/>
                <w:szCs w:val="10"/>
                <w:b w:val="1"/>
                <w:bCs w:val="1"/>
                <w:color w:val="auto"/>
              </w:rPr>
              <w:t>0</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auto"/>
              </w:rPr>
              <w:t>2</w:t>
            </w:r>
          </w:p>
        </w:tc>
        <w:tc>
          <w:tcPr>
            <w:tcW w:w="820" w:type="dxa"/>
            <w:vAlign w:val="bottom"/>
          </w:tcPr>
          <w:p>
            <w:pPr>
              <w:ind w:left="180"/>
              <w:spacing w:after="0"/>
              <w:rPr>
                <w:sz w:val="20"/>
                <w:szCs w:val="20"/>
                <w:color w:val="auto"/>
              </w:rPr>
            </w:pPr>
            <w:r>
              <w:rPr>
                <w:rFonts w:ascii="Arial" w:cs="Arial" w:eastAsia="Arial" w:hAnsi="Arial"/>
                <w:sz w:val="10"/>
                <w:szCs w:val="10"/>
                <w:b w:val="1"/>
                <w:bCs w:val="1"/>
                <w:color w:val="auto"/>
              </w:rPr>
              <w:t>2</w:t>
            </w:r>
          </w:p>
        </w:tc>
      </w:tr>
      <w:tr>
        <w:trPr>
          <w:trHeight w:val="143"/>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Management</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6"/>
        </w:trPr>
        <w:tc>
          <w:tcPr>
            <w:tcW w:w="1420" w:type="dxa"/>
            <w:vAlign w:val="bottom"/>
          </w:tcPr>
          <w:p>
            <w:pPr>
              <w:ind w:left="20"/>
              <w:spacing w:after="0"/>
              <w:rPr>
                <w:sz w:val="20"/>
                <w:szCs w:val="20"/>
                <w:color w:val="auto"/>
              </w:rPr>
            </w:pPr>
            <w:r>
              <w:rPr>
                <w:rFonts w:ascii="Arial" w:cs="Arial" w:eastAsia="Arial" w:hAnsi="Arial"/>
                <w:sz w:val="10"/>
                <w:szCs w:val="10"/>
                <w:color w:val="auto"/>
              </w:rPr>
              <w:t>% of total</w:t>
            </w:r>
          </w:p>
        </w:tc>
        <w:tc>
          <w:tcPr>
            <w:tcW w:w="640" w:type="dxa"/>
            <w:vAlign w:val="bottom"/>
          </w:tcPr>
          <w:p>
            <w:pPr>
              <w:ind w:left="140"/>
              <w:spacing w:after="0"/>
              <w:rPr>
                <w:sz w:val="20"/>
                <w:szCs w:val="20"/>
                <w:color w:val="auto"/>
              </w:rPr>
            </w:pPr>
            <w:r>
              <w:rPr>
                <w:rFonts w:ascii="Arial" w:cs="Arial" w:eastAsia="Arial" w:hAnsi="Arial"/>
                <w:sz w:val="10"/>
                <w:szCs w:val="10"/>
                <w:color w:val="0057CF"/>
              </w:rPr>
              <w:t>— %</w:t>
            </w:r>
          </w:p>
        </w:tc>
        <w:tc>
          <w:tcPr>
            <w:tcW w:w="640" w:type="dxa"/>
            <w:vAlign w:val="bottom"/>
          </w:tcPr>
          <w:p>
            <w:pPr>
              <w:ind w:left="160"/>
              <w:spacing w:after="0"/>
              <w:rPr>
                <w:sz w:val="20"/>
                <w:szCs w:val="20"/>
                <w:color w:val="auto"/>
              </w:rPr>
            </w:pPr>
            <w:r>
              <w:rPr>
                <w:rFonts w:ascii="Arial" w:cs="Arial" w:eastAsia="Arial" w:hAnsi="Arial"/>
                <w:sz w:val="10"/>
                <w:szCs w:val="10"/>
                <w:color w:val="0057CF"/>
              </w:rPr>
              <w:t>100 %</w:t>
            </w:r>
          </w:p>
        </w:tc>
        <w:tc>
          <w:tcPr>
            <w:tcW w:w="660" w:type="dxa"/>
            <w:vAlign w:val="bottom"/>
          </w:tcPr>
          <w:p>
            <w:pPr>
              <w:ind w:left="180"/>
              <w:spacing w:after="0"/>
              <w:rPr>
                <w:sz w:val="20"/>
                <w:szCs w:val="20"/>
                <w:color w:val="auto"/>
              </w:rPr>
            </w:pPr>
            <w:r>
              <w:rPr>
                <w:rFonts w:ascii="Arial" w:cs="Arial" w:eastAsia="Arial" w:hAnsi="Arial"/>
                <w:sz w:val="10"/>
                <w:szCs w:val="10"/>
                <w:color w:val="0057CF"/>
              </w:rPr>
              <w:t>100 %</w:t>
            </w:r>
          </w:p>
        </w:tc>
        <w:tc>
          <w:tcPr>
            <w:tcW w:w="660" w:type="dxa"/>
            <w:vAlign w:val="bottom"/>
          </w:tcPr>
          <w:p>
            <w:pPr>
              <w:ind w:left="180"/>
              <w:spacing w:after="0"/>
              <w:rPr>
                <w:sz w:val="20"/>
                <w:szCs w:val="20"/>
                <w:color w:val="auto"/>
              </w:rPr>
            </w:pPr>
            <w:r>
              <w:rPr>
                <w:rFonts w:ascii="Arial" w:cs="Arial" w:eastAsia="Arial" w:hAnsi="Arial"/>
                <w:sz w:val="10"/>
                <w:szCs w:val="10"/>
                <w:color w:val="auto"/>
              </w:rPr>
              <w:t>— %</w:t>
            </w:r>
          </w:p>
        </w:tc>
        <w:tc>
          <w:tcPr>
            <w:tcW w:w="640" w:type="dxa"/>
            <w:vAlign w:val="bottom"/>
          </w:tcPr>
          <w:p>
            <w:pPr>
              <w:ind w:left="180"/>
              <w:spacing w:after="0"/>
              <w:rPr>
                <w:sz w:val="20"/>
                <w:szCs w:val="20"/>
                <w:color w:val="auto"/>
              </w:rPr>
            </w:pPr>
            <w:r>
              <w:rPr>
                <w:rFonts w:ascii="Arial" w:cs="Arial" w:eastAsia="Arial" w:hAnsi="Arial"/>
                <w:sz w:val="10"/>
                <w:szCs w:val="10"/>
                <w:color w:val="auto"/>
              </w:rPr>
              <w:t>100 %</w:t>
            </w:r>
          </w:p>
        </w:tc>
        <w:tc>
          <w:tcPr>
            <w:tcW w:w="660" w:type="dxa"/>
            <w:vAlign w:val="bottom"/>
          </w:tcPr>
          <w:p>
            <w:pPr>
              <w:ind w:left="200"/>
              <w:spacing w:after="0"/>
              <w:rPr>
                <w:sz w:val="20"/>
                <w:szCs w:val="20"/>
                <w:color w:val="auto"/>
              </w:rPr>
            </w:pPr>
            <w:r>
              <w:rPr>
                <w:rFonts w:ascii="Arial" w:cs="Arial" w:eastAsia="Arial" w:hAnsi="Arial"/>
                <w:sz w:val="10"/>
                <w:szCs w:val="10"/>
                <w:color w:val="auto"/>
              </w:rPr>
              <w:t>100 %</w:t>
            </w:r>
          </w:p>
        </w:tc>
        <w:tc>
          <w:tcPr>
            <w:tcW w:w="680" w:type="dxa"/>
            <w:vAlign w:val="bottom"/>
          </w:tcPr>
          <w:p>
            <w:pPr>
              <w:ind w:left="180"/>
              <w:spacing w:after="0"/>
              <w:rPr>
                <w:sz w:val="20"/>
                <w:szCs w:val="20"/>
                <w:color w:val="auto"/>
              </w:rPr>
            </w:pPr>
            <w:r>
              <w:rPr>
                <w:rFonts w:ascii="Arial" w:cs="Arial" w:eastAsia="Arial" w:hAnsi="Arial"/>
                <w:sz w:val="10"/>
                <w:szCs w:val="10"/>
                <w:color w:val="auto"/>
              </w:rPr>
              <w:t>— %</w:t>
            </w:r>
          </w:p>
        </w:tc>
        <w:tc>
          <w:tcPr>
            <w:tcW w:w="640" w:type="dxa"/>
            <w:vAlign w:val="bottom"/>
          </w:tcPr>
          <w:p>
            <w:pPr>
              <w:ind w:left="160"/>
              <w:spacing w:after="0"/>
              <w:rPr>
                <w:sz w:val="20"/>
                <w:szCs w:val="20"/>
                <w:color w:val="auto"/>
              </w:rPr>
            </w:pPr>
            <w:r>
              <w:rPr>
                <w:rFonts w:ascii="Arial" w:cs="Arial" w:eastAsia="Arial" w:hAnsi="Arial"/>
                <w:sz w:val="10"/>
                <w:szCs w:val="10"/>
                <w:color w:val="auto"/>
              </w:rPr>
              <w:t>100 %</w:t>
            </w:r>
          </w:p>
        </w:tc>
        <w:tc>
          <w:tcPr>
            <w:tcW w:w="820" w:type="dxa"/>
            <w:vAlign w:val="bottom"/>
          </w:tcPr>
          <w:p>
            <w:pPr>
              <w:ind w:left="180"/>
              <w:spacing w:after="0"/>
              <w:rPr>
                <w:sz w:val="20"/>
                <w:szCs w:val="20"/>
                <w:color w:val="auto"/>
              </w:rPr>
            </w:pPr>
            <w:r>
              <w:rPr>
                <w:rFonts w:ascii="Arial" w:cs="Arial" w:eastAsia="Arial" w:hAnsi="Arial"/>
                <w:sz w:val="10"/>
                <w:szCs w:val="10"/>
                <w:color w:val="auto"/>
              </w:rPr>
              <w:t>100 %</w:t>
            </w:r>
          </w:p>
        </w:tc>
      </w:tr>
      <w:tr>
        <w:trPr>
          <w:trHeight w:val="120"/>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Executive Management</w:t>
            </w:r>
          </w:p>
        </w:tc>
        <w:tc>
          <w:tcPr>
            <w:tcW w:w="640" w:type="dxa"/>
            <w:vAlign w:val="bottom"/>
          </w:tcPr>
          <w:p>
            <w:pPr>
              <w:ind w:left="140"/>
              <w:spacing w:after="0"/>
              <w:rPr>
                <w:sz w:val="20"/>
                <w:szCs w:val="20"/>
                <w:color w:val="auto"/>
              </w:rPr>
            </w:pPr>
            <w:r>
              <w:rPr>
                <w:rFonts w:ascii="Arial" w:cs="Arial" w:eastAsia="Arial" w:hAnsi="Arial"/>
                <w:sz w:val="10"/>
                <w:szCs w:val="10"/>
                <w:b w:val="1"/>
                <w:bCs w:val="1"/>
                <w:color w:val="0057CF"/>
              </w:rPr>
              <w:t>2</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0057CF"/>
              </w:rPr>
              <w:t>7</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0057CF"/>
              </w:rPr>
              <w:t>9</w:t>
            </w:r>
          </w:p>
        </w:tc>
        <w:tc>
          <w:tcPr>
            <w:tcW w:w="660" w:type="dxa"/>
            <w:vAlign w:val="bottom"/>
          </w:tcPr>
          <w:p>
            <w:pPr>
              <w:ind w:left="180"/>
              <w:spacing w:after="0"/>
              <w:rPr>
                <w:sz w:val="20"/>
                <w:szCs w:val="20"/>
                <w:color w:val="auto"/>
              </w:rPr>
            </w:pPr>
            <w:r>
              <w:rPr>
                <w:rFonts w:ascii="Arial" w:cs="Arial" w:eastAsia="Arial" w:hAnsi="Arial"/>
                <w:sz w:val="10"/>
                <w:szCs w:val="10"/>
                <w:b w:val="1"/>
                <w:bCs w:val="1"/>
                <w:color w:val="auto"/>
              </w:rPr>
              <w:t>3</w:t>
            </w:r>
          </w:p>
        </w:tc>
        <w:tc>
          <w:tcPr>
            <w:tcW w:w="640" w:type="dxa"/>
            <w:vAlign w:val="bottom"/>
          </w:tcPr>
          <w:p>
            <w:pPr>
              <w:ind w:left="180"/>
              <w:spacing w:after="0"/>
              <w:rPr>
                <w:sz w:val="20"/>
                <w:szCs w:val="20"/>
                <w:color w:val="auto"/>
              </w:rPr>
            </w:pPr>
            <w:r>
              <w:rPr>
                <w:rFonts w:ascii="Arial" w:cs="Arial" w:eastAsia="Arial" w:hAnsi="Arial"/>
                <w:sz w:val="10"/>
                <w:szCs w:val="10"/>
                <w:b w:val="1"/>
                <w:bCs w:val="1"/>
                <w:color w:val="auto"/>
              </w:rPr>
              <w:t>6</w:t>
            </w:r>
          </w:p>
        </w:tc>
        <w:tc>
          <w:tcPr>
            <w:tcW w:w="660" w:type="dxa"/>
            <w:vAlign w:val="bottom"/>
          </w:tcPr>
          <w:p>
            <w:pPr>
              <w:ind w:left="200"/>
              <w:spacing w:after="0"/>
              <w:rPr>
                <w:sz w:val="20"/>
                <w:szCs w:val="20"/>
                <w:color w:val="auto"/>
              </w:rPr>
            </w:pPr>
            <w:r>
              <w:rPr>
                <w:rFonts w:ascii="Arial" w:cs="Arial" w:eastAsia="Arial" w:hAnsi="Arial"/>
                <w:sz w:val="10"/>
                <w:szCs w:val="10"/>
                <w:b w:val="1"/>
                <w:bCs w:val="1"/>
                <w:color w:val="auto"/>
              </w:rPr>
              <w:t>9</w:t>
            </w:r>
          </w:p>
        </w:tc>
        <w:tc>
          <w:tcPr>
            <w:tcW w:w="680" w:type="dxa"/>
            <w:vAlign w:val="bottom"/>
          </w:tcPr>
          <w:p>
            <w:pPr>
              <w:ind w:left="180"/>
              <w:spacing w:after="0"/>
              <w:rPr>
                <w:sz w:val="20"/>
                <w:szCs w:val="20"/>
                <w:color w:val="auto"/>
              </w:rPr>
            </w:pPr>
            <w:r>
              <w:rPr>
                <w:rFonts w:ascii="Arial" w:cs="Arial" w:eastAsia="Arial" w:hAnsi="Arial"/>
                <w:sz w:val="10"/>
                <w:szCs w:val="10"/>
                <w:b w:val="1"/>
                <w:bCs w:val="1"/>
                <w:color w:val="auto"/>
              </w:rPr>
              <w:t>3</w:t>
            </w:r>
          </w:p>
        </w:tc>
        <w:tc>
          <w:tcPr>
            <w:tcW w:w="640" w:type="dxa"/>
            <w:vAlign w:val="bottom"/>
          </w:tcPr>
          <w:p>
            <w:pPr>
              <w:ind w:left="160"/>
              <w:spacing w:after="0"/>
              <w:rPr>
                <w:sz w:val="20"/>
                <w:szCs w:val="20"/>
                <w:color w:val="auto"/>
              </w:rPr>
            </w:pPr>
            <w:r>
              <w:rPr>
                <w:rFonts w:ascii="Arial" w:cs="Arial" w:eastAsia="Arial" w:hAnsi="Arial"/>
                <w:sz w:val="10"/>
                <w:szCs w:val="10"/>
                <w:b w:val="1"/>
                <w:bCs w:val="1"/>
                <w:color w:val="auto"/>
              </w:rPr>
              <w:t>5</w:t>
            </w:r>
          </w:p>
        </w:tc>
        <w:tc>
          <w:tcPr>
            <w:tcW w:w="820" w:type="dxa"/>
            <w:vAlign w:val="bottom"/>
          </w:tcPr>
          <w:p>
            <w:pPr>
              <w:ind w:left="180"/>
              <w:spacing w:after="0"/>
              <w:rPr>
                <w:sz w:val="20"/>
                <w:szCs w:val="20"/>
                <w:color w:val="auto"/>
              </w:rPr>
            </w:pPr>
            <w:r>
              <w:rPr>
                <w:rFonts w:ascii="Arial" w:cs="Arial" w:eastAsia="Arial" w:hAnsi="Arial"/>
                <w:sz w:val="10"/>
                <w:szCs w:val="10"/>
                <w:b w:val="1"/>
                <w:bCs w:val="1"/>
                <w:color w:val="auto"/>
              </w:rPr>
              <w:t>8</w:t>
            </w:r>
          </w:p>
        </w:tc>
      </w:tr>
      <w:tr>
        <w:trPr>
          <w:trHeight w:val="143"/>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(Top Management), Total</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6"/>
        </w:trPr>
        <w:tc>
          <w:tcPr>
            <w:tcW w:w="1420" w:type="dxa"/>
            <w:vAlign w:val="bottom"/>
          </w:tcPr>
          <w:p>
            <w:pPr>
              <w:ind w:left="20"/>
              <w:spacing w:after="0"/>
              <w:rPr>
                <w:sz w:val="20"/>
                <w:szCs w:val="20"/>
                <w:color w:val="auto"/>
              </w:rPr>
            </w:pPr>
            <w:r>
              <w:rPr>
                <w:rFonts w:ascii="Arial" w:cs="Arial" w:eastAsia="Arial" w:hAnsi="Arial"/>
                <w:sz w:val="10"/>
                <w:szCs w:val="10"/>
                <w:color w:val="auto"/>
              </w:rPr>
              <w:t>% of total</w:t>
            </w:r>
          </w:p>
        </w:tc>
        <w:tc>
          <w:tcPr>
            <w:tcW w:w="640" w:type="dxa"/>
            <w:vAlign w:val="bottom"/>
          </w:tcPr>
          <w:p>
            <w:pPr>
              <w:ind w:left="140"/>
              <w:spacing w:after="0"/>
              <w:rPr>
                <w:sz w:val="20"/>
                <w:szCs w:val="20"/>
                <w:color w:val="auto"/>
              </w:rPr>
            </w:pPr>
            <w:r>
              <w:rPr>
                <w:rFonts w:ascii="Arial" w:cs="Arial" w:eastAsia="Arial" w:hAnsi="Arial"/>
                <w:sz w:val="10"/>
                <w:szCs w:val="10"/>
                <w:color w:val="0057CF"/>
              </w:rPr>
              <w:t>22 %</w:t>
            </w:r>
          </w:p>
        </w:tc>
        <w:tc>
          <w:tcPr>
            <w:tcW w:w="640" w:type="dxa"/>
            <w:vAlign w:val="bottom"/>
          </w:tcPr>
          <w:p>
            <w:pPr>
              <w:ind w:left="160"/>
              <w:spacing w:after="0"/>
              <w:rPr>
                <w:sz w:val="20"/>
                <w:szCs w:val="20"/>
                <w:color w:val="auto"/>
              </w:rPr>
            </w:pPr>
            <w:r>
              <w:rPr>
                <w:rFonts w:ascii="Arial" w:cs="Arial" w:eastAsia="Arial" w:hAnsi="Arial"/>
                <w:sz w:val="10"/>
                <w:szCs w:val="10"/>
                <w:color w:val="0057CF"/>
              </w:rPr>
              <w:t>78 %</w:t>
            </w:r>
          </w:p>
        </w:tc>
        <w:tc>
          <w:tcPr>
            <w:tcW w:w="660" w:type="dxa"/>
            <w:vAlign w:val="bottom"/>
          </w:tcPr>
          <w:p>
            <w:pPr>
              <w:ind w:left="180"/>
              <w:spacing w:after="0"/>
              <w:rPr>
                <w:sz w:val="20"/>
                <w:szCs w:val="20"/>
                <w:color w:val="auto"/>
              </w:rPr>
            </w:pPr>
            <w:r>
              <w:rPr>
                <w:rFonts w:ascii="Arial" w:cs="Arial" w:eastAsia="Arial" w:hAnsi="Arial"/>
                <w:sz w:val="10"/>
                <w:szCs w:val="10"/>
                <w:color w:val="0057CF"/>
              </w:rPr>
              <w:t>100 %</w:t>
            </w:r>
          </w:p>
        </w:tc>
        <w:tc>
          <w:tcPr>
            <w:tcW w:w="660" w:type="dxa"/>
            <w:vAlign w:val="bottom"/>
          </w:tcPr>
          <w:p>
            <w:pPr>
              <w:ind w:left="180"/>
              <w:spacing w:after="0"/>
              <w:rPr>
                <w:sz w:val="20"/>
                <w:szCs w:val="20"/>
                <w:color w:val="auto"/>
              </w:rPr>
            </w:pPr>
            <w:r>
              <w:rPr>
                <w:rFonts w:ascii="Arial" w:cs="Arial" w:eastAsia="Arial" w:hAnsi="Arial"/>
                <w:sz w:val="10"/>
                <w:szCs w:val="10"/>
                <w:color w:val="auto"/>
              </w:rPr>
              <w:t>33 %</w:t>
            </w:r>
          </w:p>
        </w:tc>
        <w:tc>
          <w:tcPr>
            <w:tcW w:w="640" w:type="dxa"/>
            <w:vAlign w:val="bottom"/>
          </w:tcPr>
          <w:p>
            <w:pPr>
              <w:ind w:left="180"/>
              <w:spacing w:after="0"/>
              <w:rPr>
                <w:sz w:val="20"/>
                <w:szCs w:val="20"/>
                <w:color w:val="auto"/>
              </w:rPr>
            </w:pPr>
            <w:r>
              <w:rPr>
                <w:rFonts w:ascii="Arial" w:cs="Arial" w:eastAsia="Arial" w:hAnsi="Arial"/>
                <w:sz w:val="10"/>
                <w:szCs w:val="10"/>
                <w:color w:val="auto"/>
              </w:rPr>
              <w:t>67 %</w:t>
            </w:r>
          </w:p>
        </w:tc>
        <w:tc>
          <w:tcPr>
            <w:tcW w:w="660" w:type="dxa"/>
            <w:vAlign w:val="bottom"/>
          </w:tcPr>
          <w:p>
            <w:pPr>
              <w:ind w:left="200"/>
              <w:spacing w:after="0"/>
              <w:rPr>
                <w:sz w:val="20"/>
                <w:szCs w:val="20"/>
                <w:color w:val="auto"/>
              </w:rPr>
            </w:pPr>
            <w:r>
              <w:rPr>
                <w:rFonts w:ascii="Arial" w:cs="Arial" w:eastAsia="Arial" w:hAnsi="Arial"/>
                <w:sz w:val="10"/>
                <w:szCs w:val="10"/>
                <w:color w:val="auto"/>
              </w:rPr>
              <w:t>100 %</w:t>
            </w:r>
          </w:p>
        </w:tc>
        <w:tc>
          <w:tcPr>
            <w:tcW w:w="680" w:type="dxa"/>
            <w:vAlign w:val="bottom"/>
          </w:tcPr>
          <w:p>
            <w:pPr>
              <w:ind w:left="180"/>
              <w:spacing w:after="0"/>
              <w:rPr>
                <w:sz w:val="20"/>
                <w:szCs w:val="20"/>
                <w:color w:val="auto"/>
              </w:rPr>
            </w:pPr>
            <w:r>
              <w:rPr>
                <w:rFonts w:ascii="Arial" w:cs="Arial" w:eastAsia="Arial" w:hAnsi="Arial"/>
                <w:sz w:val="10"/>
                <w:szCs w:val="10"/>
                <w:color w:val="auto"/>
              </w:rPr>
              <w:t>38 %</w:t>
            </w:r>
          </w:p>
        </w:tc>
        <w:tc>
          <w:tcPr>
            <w:tcW w:w="640" w:type="dxa"/>
            <w:vAlign w:val="bottom"/>
          </w:tcPr>
          <w:p>
            <w:pPr>
              <w:ind w:left="160"/>
              <w:spacing w:after="0"/>
              <w:rPr>
                <w:sz w:val="20"/>
                <w:szCs w:val="20"/>
                <w:color w:val="auto"/>
              </w:rPr>
            </w:pPr>
            <w:r>
              <w:rPr>
                <w:rFonts w:ascii="Arial" w:cs="Arial" w:eastAsia="Arial" w:hAnsi="Arial"/>
                <w:sz w:val="10"/>
                <w:szCs w:val="10"/>
                <w:color w:val="auto"/>
              </w:rPr>
              <w:t>62 %</w:t>
            </w:r>
          </w:p>
        </w:tc>
        <w:tc>
          <w:tcPr>
            <w:tcW w:w="820" w:type="dxa"/>
            <w:vAlign w:val="bottom"/>
          </w:tcPr>
          <w:p>
            <w:pPr>
              <w:ind w:left="180"/>
              <w:spacing w:after="0"/>
              <w:rPr>
                <w:sz w:val="20"/>
                <w:szCs w:val="20"/>
                <w:color w:val="auto"/>
              </w:rPr>
            </w:pPr>
            <w:r>
              <w:rPr>
                <w:rFonts w:ascii="Arial" w:cs="Arial" w:eastAsia="Arial" w:hAnsi="Arial"/>
                <w:sz w:val="10"/>
                <w:szCs w:val="10"/>
                <w:color w:val="auto"/>
              </w:rPr>
              <w:t>100 %</w:t>
            </w:r>
          </w:p>
        </w:tc>
      </w:tr>
    </w:tbl>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auto"/>
        </w:rPr>
        <w:t>1.Disaggregation to comply with section 107(f) of the Danish Financial Statements Act.</w:t>
      </w:r>
    </w:p>
    <w:tbl>
      <w:tblPr>
        <w:tblLayout w:type="fixed"/>
        <w:tblInd w:w="0" w:type="dxa"/>
        <w:tblCellMar>
          <w:top w:w="0" w:type="dxa"/>
          <w:left w:w="0" w:type="dxa"/>
          <w:bottom w:w="0" w:type="dxa"/>
          <w:right w:w="0" w:type="dxa"/>
        </w:tblCellMar>
      </w:tblPr>
      <w:tr>
        <w:trPr>
          <w:trHeight w:val="128"/>
        </w:trPr>
        <w:tc>
          <w:tcPr>
            <w:tcW w:w="96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rPr>
              <w:t>Age</w:t>
            </w:r>
          </w:p>
        </w:tc>
        <w:tc>
          <w:tcPr>
            <w:tcW w:w="1080" w:type="dxa"/>
            <w:vAlign w:val="bottom"/>
            <w:tcBorders>
              <w:top w:val="single" w:sz="8" w:color="0057CF"/>
            </w:tcBorders>
          </w:tcPr>
          <w:p>
            <w:pPr>
              <w:ind w:left="600"/>
              <w:spacing w:after="0"/>
              <w:rPr>
                <w:sz w:val="20"/>
                <w:szCs w:val="20"/>
                <w:color w:val="auto"/>
              </w:rPr>
            </w:pPr>
            <w:r>
              <w:rPr>
                <w:rFonts w:ascii="Arial" w:cs="Arial" w:eastAsia="Arial" w:hAnsi="Arial"/>
                <w:sz w:val="10"/>
                <w:szCs w:val="10"/>
                <w:b w:val="1"/>
                <w:bCs w:val="1"/>
                <w:color w:val="0057CF"/>
              </w:rPr>
              <w:t>2025</w:t>
            </w:r>
          </w:p>
        </w:tc>
        <w:tc>
          <w:tcPr>
            <w:tcW w:w="660" w:type="dxa"/>
            <w:vAlign w:val="bottom"/>
            <w:tcBorders>
              <w:top w:val="single" w:sz="8" w:color="0057CF"/>
            </w:tcBorders>
          </w:tcPr>
          <w:p>
            <w:pPr>
              <w:ind w:left="180"/>
              <w:spacing w:after="0"/>
              <w:rPr>
                <w:sz w:val="20"/>
                <w:szCs w:val="20"/>
                <w:color w:val="auto"/>
              </w:rPr>
            </w:pPr>
            <w:r>
              <w:rPr>
                <w:rFonts w:ascii="Arial" w:cs="Arial" w:eastAsia="Arial" w:hAnsi="Arial"/>
                <w:sz w:val="10"/>
                <w:szCs w:val="10"/>
                <w:b w:val="1"/>
                <w:bCs w:val="1"/>
                <w:color w:val="auto"/>
              </w:rPr>
              <w:t>2024</w:t>
            </w:r>
          </w:p>
        </w:tc>
        <w:tc>
          <w:tcPr>
            <w:tcW w:w="820" w:type="dxa"/>
            <w:vAlign w:val="bottom"/>
            <w:tcBorders>
              <w:top w:val="single" w:sz="8" w:color="0057CF"/>
            </w:tcBorders>
          </w:tcPr>
          <w:p>
            <w:pPr>
              <w:ind w:left="180"/>
              <w:spacing w:after="0"/>
              <w:rPr>
                <w:sz w:val="20"/>
                <w:szCs w:val="20"/>
                <w:color w:val="auto"/>
              </w:rPr>
            </w:pPr>
            <w:r>
              <w:rPr>
                <w:rFonts w:ascii="Arial" w:cs="Arial" w:eastAsia="Arial" w:hAnsi="Arial"/>
                <w:sz w:val="10"/>
                <w:szCs w:val="10"/>
                <w:b w:val="1"/>
                <w:bCs w:val="1"/>
                <w:color w:val="auto"/>
              </w:rPr>
              <w:t>2023</w:t>
            </w:r>
          </w:p>
        </w:tc>
      </w:tr>
      <w:tr>
        <w:trPr>
          <w:trHeight w:val="179"/>
        </w:trPr>
        <w:tc>
          <w:tcPr>
            <w:tcW w:w="960" w:type="dxa"/>
            <w:vAlign w:val="bottom"/>
          </w:tcPr>
          <w:p>
            <w:pPr>
              <w:ind w:left="20"/>
              <w:spacing w:after="0"/>
              <w:rPr>
                <w:sz w:val="20"/>
                <w:szCs w:val="20"/>
                <w:color w:val="auto"/>
              </w:rPr>
            </w:pPr>
            <w:r>
              <w:rPr>
                <w:rFonts w:ascii="Arial" w:cs="Arial" w:eastAsia="Arial" w:hAnsi="Arial"/>
                <w:sz w:val="10"/>
                <w:szCs w:val="10"/>
                <w:color w:val="auto"/>
              </w:rPr>
              <w:t>&lt; 30</w:t>
            </w:r>
          </w:p>
        </w:tc>
        <w:tc>
          <w:tcPr>
            <w:tcW w:w="1080" w:type="dxa"/>
            <w:vAlign w:val="bottom"/>
          </w:tcPr>
          <w:p>
            <w:pPr>
              <w:ind w:left="600"/>
              <w:spacing w:after="0"/>
              <w:rPr>
                <w:sz w:val="20"/>
                <w:szCs w:val="20"/>
                <w:color w:val="auto"/>
              </w:rPr>
            </w:pPr>
            <w:r>
              <w:rPr>
                <w:rFonts w:ascii="Arial" w:cs="Arial" w:eastAsia="Arial" w:hAnsi="Arial"/>
                <w:sz w:val="10"/>
                <w:szCs w:val="10"/>
                <w:color w:val="0057CF"/>
              </w:rPr>
              <w:t>9 %</w:t>
            </w:r>
          </w:p>
        </w:tc>
        <w:tc>
          <w:tcPr>
            <w:tcW w:w="660" w:type="dxa"/>
            <w:vAlign w:val="bottom"/>
          </w:tcPr>
          <w:p>
            <w:pPr>
              <w:ind w:left="180"/>
              <w:spacing w:after="0"/>
              <w:rPr>
                <w:sz w:val="20"/>
                <w:szCs w:val="20"/>
                <w:color w:val="auto"/>
              </w:rPr>
            </w:pPr>
            <w:r>
              <w:rPr>
                <w:rFonts w:ascii="Arial" w:cs="Arial" w:eastAsia="Arial" w:hAnsi="Arial"/>
                <w:sz w:val="10"/>
                <w:szCs w:val="10"/>
                <w:color w:val="auto"/>
              </w:rPr>
              <w:t>11 %</w:t>
            </w:r>
          </w:p>
        </w:tc>
        <w:tc>
          <w:tcPr>
            <w:tcW w:w="820" w:type="dxa"/>
            <w:vAlign w:val="bottom"/>
          </w:tcPr>
          <w:p>
            <w:pPr>
              <w:ind w:left="180"/>
              <w:spacing w:after="0"/>
              <w:rPr>
                <w:sz w:val="20"/>
                <w:szCs w:val="20"/>
                <w:color w:val="auto"/>
              </w:rPr>
            </w:pPr>
            <w:r>
              <w:rPr>
                <w:rFonts w:ascii="Arial" w:cs="Arial" w:eastAsia="Arial" w:hAnsi="Arial"/>
                <w:sz w:val="10"/>
                <w:szCs w:val="10"/>
                <w:color w:val="auto"/>
              </w:rPr>
              <w:t>13 %</w:t>
            </w:r>
          </w:p>
        </w:tc>
      </w:tr>
      <w:tr>
        <w:trPr>
          <w:trHeight w:val="190"/>
        </w:trPr>
        <w:tc>
          <w:tcPr>
            <w:tcW w:w="960" w:type="dxa"/>
            <w:vAlign w:val="bottom"/>
          </w:tcPr>
          <w:p>
            <w:pPr>
              <w:ind w:left="20"/>
              <w:spacing w:after="0"/>
              <w:rPr>
                <w:sz w:val="20"/>
                <w:szCs w:val="20"/>
                <w:color w:val="auto"/>
              </w:rPr>
            </w:pPr>
            <w:r>
              <w:rPr>
                <w:rFonts w:ascii="Arial" w:cs="Arial" w:eastAsia="Arial" w:hAnsi="Arial"/>
                <w:sz w:val="10"/>
                <w:szCs w:val="10"/>
                <w:color w:val="auto"/>
              </w:rPr>
              <w:t>30 - 50</w:t>
            </w:r>
          </w:p>
        </w:tc>
        <w:tc>
          <w:tcPr>
            <w:tcW w:w="1080" w:type="dxa"/>
            <w:vAlign w:val="bottom"/>
          </w:tcPr>
          <w:p>
            <w:pPr>
              <w:ind w:left="600"/>
              <w:spacing w:after="0"/>
              <w:rPr>
                <w:sz w:val="20"/>
                <w:szCs w:val="20"/>
                <w:color w:val="auto"/>
              </w:rPr>
            </w:pPr>
            <w:r>
              <w:rPr>
                <w:rFonts w:ascii="Arial" w:cs="Arial" w:eastAsia="Arial" w:hAnsi="Arial"/>
                <w:sz w:val="10"/>
                <w:szCs w:val="10"/>
                <w:color w:val="0057CF"/>
              </w:rPr>
              <w:t>64 %</w:t>
            </w:r>
          </w:p>
        </w:tc>
        <w:tc>
          <w:tcPr>
            <w:tcW w:w="660" w:type="dxa"/>
            <w:vAlign w:val="bottom"/>
          </w:tcPr>
          <w:p>
            <w:pPr>
              <w:ind w:left="180"/>
              <w:spacing w:after="0"/>
              <w:rPr>
                <w:sz w:val="20"/>
                <w:szCs w:val="20"/>
                <w:color w:val="auto"/>
              </w:rPr>
            </w:pPr>
            <w:r>
              <w:rPr>
                <w:rFonts w:ascii="Arial" w:cs="Arial" w:eastAsia="Arial" w:hAnsi="Arial"/>
                <w:sz w:val="10"/>
                <w:szCs w:val="10"/>
                <w:color w:val="auto"/>
              </w:rPr>
              <w:t>63 %</w:t>
            </w:r>
          </w:p>
        </w:tc>
        <w:tc>
          <w:tcPr>
            <w:tcW w:w="820" w:type="dxa"/>
            <w:vAlign w:val="bottom"/>
          </w:tcPr>
          <w:p>
            <w:pPr>
              <w:ind w:left="180"/>
              <w:spacing w:after="0"/>
              <w:rPr>
                <w:sz w:val="20"/>
                <w:szCs w:val="20"/>
                <w:color w:val="auto"/>
              </w:rPr>
            </w:pPr>
            <w:r>
              <w:rPr>
                <w:rFonts w:ascii="Arial" w:cs="Arial" w:eastAsia="Arial" w:hAnsi="Arial"/>
                <w:sz w:val="10"/>
                <w:szCs w:val="10"/>
                <w:color w:val="auto"/>
              </w:rPr>
              <w:t>63 %</w:t>
            </w:r>
          </w:p>
        </w:tc>
      </w:tr>
      <w:tr>
        <w:trPr>
          <w:trHeight w:val="190"/>
        </w:trPr>
        <w:tc>
          <w:tcPr>
            <w:tcW w:w="960" w:type="dxa"/>
            <w:vAlign w:val="bottom"/>
          </w:tcPr>
          <w:p>
            <w:pPr>
              <w:ind w:left="20"/>
              <w:spacing w:after="0"/>
              <w:rPr>
                <w:sz w:val="20"/>
                <w:szCs w:val="20"/>
                <w:color w:val="auto"/>
              </w:rPr>
            </w:pPr>
            <w:r>
              <w:rPr>
                <w:rFonts w:ascii="Arial" w:cs="Arial" w:eastAsia="Arial" w:hAnsi="Arial"/>
                <w:sz w:val="10"/>
                <w:szCs w:val="10"/>
                <w:color w:val="auto"/>
              </w:rPr>
              <w:t>&gt; 50</w:t>
            </w:r>
          </w:p>
        </w:tc>
        <w:tc>
          <w:tcPr>
            <w:tcW w:w="1080" w:type="dxa"/>
            <w:vAlign w:val="bottom"/>
          </w:tcPr>
          <w:p>
            <w:pPr>
              <w:ind w:left="600"/>
              <w:spacing w:after="0"/>
              <w:rPr>
                <w:sz w:val="20"/>
                <w:szCs w:val="20"/>
                <w:color w:val="auto"/>
              </w:rPr>
            </w:pPr>
            <w:r>
              <w:rPr>
                <w:rFonts w:ascii="Arial" w:cs="Arial" w:eastAsia="Arial" w:hAnsi="Arial"/>
                <w:sz w:val="10"/>
                <w:szCs w:val="10"/>
                <w:color w:val="0057CF"/>
              </w:rPr>
              <w:t>27 %</w:t>
            </w:r>
          </w:p>
        </w:tc>
        <w:tc>
          <w:tcPr>
            <w:tcW w:w="660" w:type="dxa"/>
            <w:vAlign w:val="bottom"/>
          </w:tcPr>
          <w:p>
            <w:pPr>
              <w:ind w:left="180"/>
              <w:spacing w:after="0"/>
              <w:rPr>
                <w:sz w:val="20"/>
                <w:szCs w:val="20"/>
                <w:color w:val="auto"/>
              </w:rPr>
            </w:pPr>
            <w:r>
              <w:rPr>
                <w:rFonts w:ascii="Arial" w:cs="Arial" w:eastAsia="Arial" w:hAnsi="Arial"/>
                <w:sz w:val="10"/>
                <w:szCs w:val="10"/>
                <w:color w:val="auto"/>
              </w:rPr>
              <w:t>26 %</w:t>
            </w:r>
          </w:p>
        </w:tc>
        <w:tc>
          <w:tcPr>
            <w:tcW w:w="820" w:type="dxa"/>
            <w:vAlign w:val="bottom"/>
          </w:tcPr>
          <w:p>
            <w:pPr>
              <w:ind w:left="180"/>
              <w:spacing w:after="0"/>
              <w:rPr>
                <w:sz w:val="20"/>
                <w:szCs w:val="20"/>
                <w:color w:val="auto"/>
              </w:rPr>
            </w:pPr>
            <w:r>
              <w:rPr>
                <w:rFonts w:ascii="Arial" w:cs="Arial" w:eastAsia="Arial" w:hAnsi="Arial"/>
                <w:sz w:val="10"/>
                <w:szCs w:val="10"/>
                <w:color w:val="auto"/>
              </w:rPr>
              <w:t>24 %</w:t>
            </w:r>
          </w:p>
        </w:tc>
      </w:tr>
      <w:tr>
        <w:trPr>
          <w:trHeight w:val="196"/>
        </w:trPr>
        <w:tc>
          <w:tcPr>
            <w:tcW w:w="960" w:type="dxa"/>
            <w:vAlign w:val="bottom"/>
          </w:tcPr>
          <w:p>
            <w:pPr>
              <w:spacing w:after="0"/>
              <w:rPr>
                <w:sz w:val="17"/>
                <w:szCs w:val="17"/>
                <w:color w:val="auto"/>
              </w:rPr>
            </w:pPr>
          </w:p>
        </w:tc>
        <w:tc>
          <w:tcPr>
            <w:tcW w:w="1080" w:type="dxa"/>
            <w:vAlign w:val="bottom"/>
          </w:tcPr>
          <w:p>
            <w:pPr>
              <w:ind w:left="600"/>
              <w:spacing w:after="0"/>
              <w:rPr>
                <w:sz w:val="20"/>
                <w:szCs w:val="20"/>
                <w:color w:val="auto"/>
              </w:rPr>
            </w:pPr>
            <w:r>
              <w:rPr>
                <w:rFonts w:ascii="Arial" w:cs="Arial" w:eastAsia="Arial" w:hAnsi="Arial"/>
                <w:sz w:val="10"/>
                <w:szCs w:val="10"/>
                <w:b w:val="1"/>
                <w:bCs w:val="1"/>
                <w:color w:val="0057CF"/>
              </w:rPr>
              <w:t>100 %</w:t>
            </w:r>
          </w:p>
        </w:tc>
        <w:tc>
          <w:tcPr>
            <w:tcW w:w="660" w:type="dxa"/>
            <w:vAlign w:val="bottom"/>
          </w:tcPr>
          <w:p>
            <w:pPr>
              <w:ind w:left="180"/>
              <w:spacing w:after="0"/>
              <w:rPr>
                <w:sz w:val="20"/>
                <w:szCs w:val="20"/>
                <w:color w:val="auto"/>
              </w:rPr>
            </w:pPr>
            <w:r>
              <w:rPr>
                <w:rFonts w:ascii="Arial" w:cs="Arial" w:eastAsia="Arial" w:hAnsi="Arial"/>
                <w:sz w:val="10"/>
                <w:szCs w:val="10"/>
                <w:color w:val="auto"/>
              </w:rPr>
              <w:t>100 %</w:t>
            </w:r>
          </w:p>
        </w:tc>
        <w:tc>
          <w:tcPr>
            <w:tcW w:w="820" w:type="dxa"/>
            <w:vAlign w:val="bottom"/>
          </w:tcPr>
          <w:p>
            <w:pPr>
              <w:ind w:left="180"/>
              <w:spacing w:after="0"/>
              <w:rPr>
                <w:sz w:val="20"/>
                <w:szCs w:val="20"/>
                <w:color w:val="auto"/>
              </w:rPr>
            </w:pPr>
            <w:r>
              <w:rPr>
                <w:rFonts w:ascii="Arial" w:cs="Arial" w:eastAsia="Arial" w:hAnsi="Arial"/>
                <w:sz w:val="10"/>
                <w:szCs w:val="10"/>
                <w:color w:val="auto"/>
              </w:rPr>
              <w:t>100 %</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0057CF"/>
        </w:rPr>
        <w:t>Adequate wages (S1-10)</w:t>
      </w:r>
    </w:p>
    <w:p>
      <w:pPr>
        <w:spacing w:after="0" w:line="198" w:lineRule="auto"/>
        <w:rPr>
          <w:sz w:val="20"/>
          <w:szCs w:val="20"/>
          <w:color w:val="auto"/>
        </w:rPr>
      </w:pPr>
      <w:r>
        <w:rPr>
          <w:rFonts w:ascii="Arial" w:cs="Arial" w:eastAsia="Arial" w:hAnsi="Arial"/>
          <w:sz w:val="10"/>
          <w:szCs w:val="10"/>
          <w:color w:val="auto"/>
        </w:rPr>
        <w:t>All of Genmab's employees receive adequate</w:t>
      </w:r>
    </w:p>
    <w:p>
      <w:pPr>
        <w:spacing w:after="0" w:line="199" w:lineRule="auto"/>
        <w:rPr>
          <w:sz w:val="20"/>
          <w:szCs w:val="20"/>
          <w:color w:val="auto"/>
        </w:rPr>
      </w:pPr>
      <w:r>
        <w:rPr>
          <w:rFonts w:ascii="Arial" w:cs="Arial" w:eastAsia="Arial" w:hAnsi="Arial"/>
          <w:sz w:val="10"/>
          <w:szCs w:val="10"/>
          <w:color w:val="auto"/>
        </w:rPr>
        <w:t>wages. We have a dedicated compensation &amp;</w:t>
      </w:r>
    </w:p>
    <w:p>
      <w:pPr>
        <w:spacing w:after="0" w:line="198" w:lineRule="auto"/>
        <w:rPr>
          <w:sz w:val="20"/>
          <w:szCs w:val="20"/>
          <w:color w:val="auto"/>
        </w:rPr>
      </w:pPr>
      <w:r>
        <w:rPr>
          <w:rFonts w:ascii="Arial" w:cs="Arial" w:eastAsia="Arial" w:hAnsi="Arial"/>
          <w:sz w:val="10"/>
          <w:szCs w:val="10"/>
          <w:color w:val="auto"/>
        </w:rPr>
        <w:t>benefits team at Genmab that ensures that our total</w:t>
      </w:r>
    </w:p>
    <w:p>
      <w:pPr>
        <w:spacing w:after="0" w:line="199" w:lineRule="auto"/>
        <w:rPr>
          <w:sz w:val="20"/>
          <w:szCs w:val="20"/>
          <w:color w:val="auto"/>
        </w:rPr>
      </w:pPr>
      <w:r>
        <w:rPr>
          <w:rFonts w:ascii="Arial" w:cs="Arial" w:eastAsia="Arial" w:hAnsi="Arial"/>
          <w:sz w:val="10"/>
          <w:szCs w:val="10"/>
          <w:color w:val="auto"/>
        </w:rPr>
        <w:t>rewards programs and practices are in line with</w:t>
      </w:r>
    </w:p>
    <w:p>
      <w:pPr>
        <w:spacing w:after="0" w:line="199" w:lineRule="auto"/>
        <w:rPr>
          <w:sz w:val="20"/>
          <w:szCs w:val="20"/>
          <w:color w:val="auto"/>
        </w:rPr>
      </w:pPr>
      <w:r>
        <w:rPr>
          <w:rFonts w:ascii="Arial" w:cs="Arial" w:eastAsia="Arial" w:hAnsi="Arial"/>
          <w:sz w:val="10"/>
          <w:szCs w:val="10"/>
          <w:color w:val="auto"/>
        </w:rPr>
        <w:t>local legal requirements as well as peer and similar</w:t>
      </w:r>
    </w:p>
    <w:p>
      <w:pPr>
        <w:spacing w:after="0" w:line="204" w:lineRule="auto"/>
        <w:rPr>
          <w:sz w:val="20"/>
          <w:szCs w:val="20"/>
          <w:color w:val="auto"/>
        </w:rPr>
      </w:pPr>
      <w:r>
        <w:rPr>
          <w:rFonts w:ascii="Arial" w:cs="Arial" w:eastAsia="Arial" w:hAnsi="Arial"/>
          <w:sz w:val="10"/>
          <w:szCs w:val="10"/>
          <w:color w:val="auto"/>
        </w:rPr>
        <w:t>companies through benchmark analysis.</w:t>
      </w:r>
    </w:p>
    <w:p>
      <w:pPr>
        <w:spacing w:after="0" w:line="209" w:lineRule="auto"/>
        <w:rPr>
          <w:sz w:val="20"/>
          <w:szCs w:val="20"/>
          <w:color w:val="auto"/>
        </w:rPr>
      </w:pPr>
      <w:r>
        <w:rPr>
          <w:rFonts w:ascii="Arial" w:cs="Arial" w:eastAsia="Arial" w:hAnsi="Arial"/>
          <w:sz w:val="13"/>
          <w:szCs w:val="13"/>
          <w:b w:val="1"/>
          <w:bCs w:val="1"/>
          <w:color w:val="0057CF"/>
        </w:rPr>
        <w:t>Social protection (S1-11)</w:t>
      </w:r>
    </w:p>
    <w:p>
      <w:pPr>
        <w:spacing w:after="0" w:line="199" w:lineRule="auto"/>
        <w:rPr>
          <w:sz w:val="20"/>
          <w:szCs w:val="20"/>
          <w:color w:val="auto"/>
        </w:rPr>
      </w:pPr>
      <w:r>
        <w:rPr>
          <w:rFonts w:ascii="Arial" w:cs="Arial" w:eastAsia="Arial" w:hAnsi="Arial"/>
          <w:sz w:val="10"/>
          <w:szCs w:val="10"/>
          <w:color w:val="auto"/>
        </w:rPr>
        <w:t>All of Genmab's employees are covered by social</w:t>
      </w:r>
    </w:p>
    <w:p>
      <w:pPr>
        <w:spacing w:after="0" w:line="199" w:lineRule="auto"/>
        <w:rPr>
          <w:sz w:val="20"/>
          <w:szCs w:val="20"/>
          <w:color w:val="auto"/>
        </w:rPr>
      </w:pPr>
      <w:r>
        <w:rPr>
          <w:rFonts w:ascii="Arial" w:cs="Arial" w:eastAsia="Arial" w:hAnsi="Arial"/>
          <w:sz w:val="10"/>
          <w:szCs w:val="10"/>
          <w:color w:val="auto"/>
        </w:rPr>
        <w:t>protection, through public programs or through</w:t>
      </w:r>
    </w:p>
    <w:p>
      <w:pPr>
        <w:spacing w:after="0" w:line="199" w:lineRule="auto"/>
        <w:rPr>
          <w:sz w:val="20"/>
          <w:szCs w:val="20"/>
          <w:color w:val="auto"/>
        </w:rPr>
      </w:pPr>
      <w:r>
        <w:rPr>
          <w:rFonts w:ascii="Arial" w:cs="Arial" w:eastAsia="Arial" w:hAnsi="Arial"/>
          <w:sz w:val="10"/>
          <w:szCs w:val="10"/>
          <w:color w:val="auto"/>
        </w:rPr>
        <w:t>benefits offered by Genmab, against loss of income</w:t>
      </w:r>
    </w:p>
    <w:p>
      <w:pPr>
        <w:spacing w:after="0" w:line="198" w:lineRule="auto"/>
        <w:rPr>
          <w:sz w:val="20"/>
          <w:szCs w:val="20"/>
          <w:color w:val="auto"/>
        </w:rPr>
      </w:pPr>
      <w:r>
        <w:rPr>
          <w:rFonts w:ascii="Arial" w:cs="Arial" w:eastAsia="Arial" w:hAnsi="Arial"/>
          <w:sz w:val="10"/>
          <w:szCs w:val="10"/>
          <w:color w:val="auto"/>
        </w:rPr>
        <w:t>due to any of the following major life events</w:t>
      </w:r>
    </w:p>
    <w:p>
      <w:pPr>
        <w:spacing w:after="0" w:line="199" w:lineRule="auto"/>
        <w:rPr>
          <w:sz w:val="20"/>
          <w:szCs w:val="20"/>
          <w:color w:val="auto"/>
        </w:rPr>
      </w:pPr>
      <w:r>
        <w:rPr>
          <w:rFonts w:ascii="Arial" w:cs="Arial" w:eastAsia="Arial" w:hAnsi="Arial"/>
          <w:sz w:val="10"/>
          <w:szCs w:val="10"/>
          <w:color w:val="auto"/>
        </w:rPr>
        <w:t>including sickness, unemployment, employment</w:t>
      </w:r>
    </w:p>
    <w:p>
      <w:pPr>
        <w:spacing w:after="0" w:line="199" w:lineRule="auto"/>
        <w:rPr>
          <w:sz w:val="20"/>
          <w:szCs w:val="20"/>
          <w:color w:val="auto"/>
        </w:rPr>
      </w:pPr>
      <w:r>
        <w:rPr>
          <w:rFonts w:ascii="Arial" w:cs="Arial" w:eastAsia="Arial" w:hAnsi="Arial"/>
          <w:sz w:val="10"/>
          <w:szCs w:val="10"/>
          <w:color w:val="auto"/>
        </w:rPr>
        <w:t>injury and acquired disability, parental leave and</w:t>
      </w:r>
    </w:p>
    <w:p>
      <w:pPr>
        <w:spacing w:after="0"/>
        <w:rPr>
          <w:sz w:val="20"/>
          <w:szCs w:val="20"/>
          <w:color w:val="auto"/>
        </w:rPr>
      </w:pPr>
      <w:r>
        <w:rPr>
          <w:rFonts w:ascii="Arial" w:cs="Arial" w:eastAsia="Arial" w:hAnsi="Arial"/>
          <w:sz w:val="10"/>
          <w:szCs w:val="10"/>
          <w:color w:val="auto"/>
        </w:rPr>
        <w:t>retirement.</w:t>
      </w:r>
    </w:p>
    <w:p>
      <w:pPr>
        <w:sectPr>
          <w:pgSz w:w="11900" w:h="16840" w:orient="portrait"/>
          <w:cols w:equalWidth="0" w:num="1">
            <w:col w:w="9820"/>
          </w:cols>
          <w:pgMar w:left="640" w:top="571" w:right="1440" w:bottom="1440" w:gutter="0" w:footer="0" w:header="0"/>
        </w:sectPr>
      </w:pPr>
    </w:p>
    <w:bookmarkStart w:id="125" w:name="page126"/>
    <w:bookmarkEnd w:id="125"/>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89</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9" w:lineRule="auto"/>
        <w:rPr>
          <w:sz w:val="20"/>
          <w:szCs w:val="20"/>
          <w:color w:val="auto"/>
        </w:rPr>
      </w:pPr>
      <w:r>
        <w:rPr>
          <w:rFonts w:ascii="Arial" w:cs="Arial" w:eastAsia="Arial" w:hAnsi="Arial"/>
          <w:sz w:val="13"/>
          <w:szCs w:val="13"/>
          <w:b w:val="1"/>
          <w:bCs w:val="1"/>
          <w:color w:val="0057CF"/>
        </w:rPr>
        <w:t>Training and skills development metrics (S1-13)</w:t>
      </w:r>
    </w:p>
    <w:p>
      <w:pPr>
        <w:spacing w:after="0" w:line="199" w:lineRule="auto"/>
        <w:rPr>
          <w:sz w:val="20"/>
          <w:szCs w:val="20"/>
          <w:color w:val="auto"/>
        </w:rPr>
      </w:pPr>
      <w:r>
        <w:rPr>
          <w:rFonts w:ascii="Arial" w:cs="Arial" w:eastAsia="Arial" w:hAnsi="Arial"/>
          <w:sz w:val="10"/>
          <w:szCs w:val="10"/>
          <w:color w:val="auto"/>
        </w:rPr>
        <w:t>Genmab provides all employees training and skills development related activities within the context</w:t>
      </w:r>
    </w:p>
    <w:p>
      <w:pPr>
        <w:spacing w:after="0" w:line="199" w:lineRule="auto"/>
        <w:rPr>
          <w:sz w:val="20"/>
          <w:szCs w:val="20"/>
          <w:color w:val="auto"/>
        </w:rPr>
      </w:pPr>
      <w:r>
        <w:rPr>
          <w:rFonts w:ascii="Arial" w:cs="Arial" w:eastAsia="Arial" w:hAnsi="Arial"/>
          <w:sz w:val="10"/>
          <w:szCs w:val="10"/>
          <w:color w:val="auto"/>
        </w:rPr>
        <w:t>of continuous professional growth, to upgrade employees’ skills and facilitate continued employability.</w:t>
      </w:r>
    </w:p>
    <w:p>
      <w:pPr>
        <w:spacing w:after="0" w:line="217" w:lineRule="auto"/>
        <w:rPr>
          <w:sz w:val="20"/>
          <w:szCs w:val="20"/>
          <w:color w:val="auto"/>
        </w:rPr>
      </w:pPr>
      <w:r>
        <w:rPr>
          <w:rFonts w:ascii="Arial" w:cs="Arial" w:eastAsia="Arial" w:hAnsi="Arial"/>
          <w:sz w:val="10"/>
          <w:szCs w:val="10"/>
          <w:color w:val="auto"/>
        </w:rPr>
        <w:t>Average number of training hours excludes role-qualifying training related to external requirements.</w:t>
      </w:r>
    </w:p>
    <w:tbl>
      <w:tblPr>
        <w:tblLayout w:type="fixed"/>
        <w:tblInd w:w="0" w:type="dxa"/>
        <w:tblCellMar>
          <w:top w:w="0" w:type="dxa"/>
          <w:left w:w="0" w:type="dxa"/>
          <w:bottom w:w="0" w:type="dxa"/>
          <w:right w:w="0" w:type="dxa"/>
        </w:tblCellMar>
      </w:tblPr>
      <w:tr>
        <w:trPr>
          <w:trHeight w:val="123"/>
        </w:trPr>
        <w:tc>
          <w:tcPr>
            <w:tcW w:w="2420" w:type="dxa"/>
            <w:vAlign w:val="bottom"/>
            <w:tcBorders>
              <w:top w:val="single" w:sz="8" w:color="0057CF"/>
            </w:tcBorders>
          </w:tcPr>
          <w:p>
            <w:pPr>
              <w:spacing w:after="0"/>
              <w:rPr>
                <w:sz w:val="10"/>
                <w:szCs w:val="10"/>
                <w:color w:val="auto"/>
              </w:rPr>
            </w:pPr>
          </w:p>
        </w:tc>
        <w:tc>
          <w:tcPr>
            <w:tcW w:w="1000" w:type="dxa"/>
            <w:vAlign w:val="bottom"/>
            <w:tcBorders>
              <w:top w:val="single" w:sz="8" w:color="0057CF"/>
            </w:tcBorders>
          </w:tcPr>
          <w:p>
            <w:pPr>
              <w:ind w:left="580"/>
              <w:spacing w:after="0"/>
              <w:rPr>
                <w:sz w:val="20"/>
                <w:szCs w:val="20"/>
                <w:color w:val="auto"/>
              </w:rPr>
            </w:pPr>
            <w:r>
              <w:rPr>
                <w:rFonts w:ascii="Arial" w:cs="Arial" w:eastAsia="Arial" w:hAnsi="Arial"/>
                <w:sz w:val="10"/>
                <w:szCs w:val="10"/>
                <w:b w:val="1"/>
                <w:bCs w:val="1"/>
                <w:color w:val="0057CF"/>
              </w:rPr>
              <w:t>2025</w:t>
            </w:r>
          </w:p>
        </w:tc>
        <w:tc>
          <w:tcPr>
            <w:tcW w:w="440" w:type="dxa"/>
            <w:vAlign w:val="bottom"/>
            <w:tcBorders>
              <w:top w:val="single" w:sz="8" w:color="0057CF"/>
            </w:tcBorders>
          </w:tcPr>
          <w:p>
            <w:pPr>
              <w:spacing w:after="0"/>
              <w:rPr>
                <w:sz w:val="10"/>
                <w:szCs w:val="10"/>
                <w:color w:val="auto"/>
              </w:rPr>
            </w:pPr>
          </w:p>
        </w:tc>
        <w:tc>
          <w:tcPr>
            <w:tcW w:w="500" w:type="dxa"/>
            <w:vAlign w:val="bottom"/>
            <w:tcBorders>
              <w:top w:val="single" w:sz="8" w:color="0057CF"/>
            </w:tcBorders>
          </w:tcPr>
          <w:p>
            <w:pPr>
              <w:ind w:left="100"/>
              <w:spacing w:after="0"/>
              <w:rPr>
                <w:sz w:val="20"/>
                <w:szCs w:val="20"/>
                <w:color w:val="auto"/>
              </w:rPr>
            </w:pPr>
            <w:r>
              <w:rPr>
                <w:rFonts w:ascii="Arial" w:cs="Arial" w:eastAsia="Arial" w:hAnsi="Arial"/>
                <w:sz w:val="10"/>
                <w:szCs w:val="10"/>
                <w:b w:val="1"/>
                <w:bCs w:val="1"/>
                <w:color w:val="auto"/>
              </w:rPr>
              <w:t>2024</w:t>
            </w:r>
          </w:p>
        </w:tc>
        <w:tc>
          <w:tcPr>
            <w:tcW w:w="540" w:type="dxa"/>
            <w:vAlign w:val="bottom"/>
            <w:tcBorders>
              <w:top w:val="single" w:sz="8" w:color="0057CF"/>
            </w:tcBorders>
          </w:tcPr>
          <w:p>
            <w:pPr>
              <w:spacing w:after="0"/>
              <w:rPr>
                <w:sz w:val="10"/>
                <w:szCs w:val="10"/>
                <w:color w:val="auto"/>
              </w:rPr>
            </w:pPr>
          </w:p>
        </w:tc>
      </w:tr>
      <w:tr>
        <w:trPr>
          <w:trHeight w:val="143"/>
        </w:trPr>
        <w:tc>
          <w:tcPr>
            <w:tcW w:w="2420" w:type="dxa"/>
            <w:vAlign w:val="bottom"/>
          </w:tcPr>
          <w:p>
            <w:pPr>
              <w:ind w:left="20"/>
              <w:spacing w:after="0"/>
              <w:rPr>
                <w:sz w:val="20"/>
                <w:szCs w:val="20"/>
                <w:color w:val="auto"/>
              </w:rPr>
            </w:pPr>
            <w:r>
              <w:rPr>
                <w:rFonts w:ascii="Arial" w:cs="Arial" w:eastAsia="Arial" w:hAnsi="Arial"/>
                <w:sz w:val="10"/>
                <w:szCs w:val="10"/>
                <w:b w:val="1"/>
                <w:bCs w:val="1"/>
                <w:color w:val="auto"/>
              </w:rPr>
              <w:t>Training and skills development metrics</w:t>
            </w:r>
          </w:p>
        </w:tc>
        <w:tc>
          <w:tcPr>
            <w:tcW w:w="1000" w:type="dxa"/>
            <w:vAlign w:val="bottom"/>
          </w:tcPr>
          <w:p>
            <w:pPr>
              <w:ind w:left="580"/>
              <w:spacing w:after="0"/>
              <w:rPr>
                <w:sz w:val="20"/>
                <w:szCs w:val="20"/>
                <w:color w:val="auto"/>
              </w:rPr>
            </w:pPr>
            <w:r>
              <w:rPr>
                <w:rFonts w:ascii="Arial" w:cs="Arial" w:eastAsia="Arial" w:hAnsi="Arial"/>
                <w:sz w:val="10"/>
                <w:szCs w:val="10"/>
                <w:b w:val="1"/>
                <w:bCs w:val="1"/>
                <w:color w:val="0057CF"/>
              </w:rPr>
              <w:t>Female</w:t>
            </w:r>
          </w:p>
        </w:tc>
        <w:tc>
          <w:tcPr>
            <w:tcW w:w="440" w:type="dxa"/>
            <w:vAlign w:val="bottom"/>
          </w:tcPr>
          <w:p>
            <w:pPr>
              <w:ind w:left="60"/>
              <w:spacing w:after="0"/>
              <w:rPr>
                <w:sz w:val="20"/>
                <w:szCs w:val="20"/>
                <w:color w:val="auto"/>
              </w:rPr>
            </w:pPr>
            <w:r>
              <w:rPr>
                <w:rFonts w:ascii="Arial" w:cs="Arial" w:eastAsia="Arial" w:hAnsi="Arial"/>
                <w:sz w:val="10"/>
                <w:szCs w:val="10"/>
                <w:b w:val="1"/>
                <w:bCs w:val="1"/>
                <w:color w:val="0057CF"/>
              </w:rPr>
              <w:t>Male</w:t>
            </w:r>
          </w:p>
        </w:tc>
        <w:tc>
          <w:tcPr>
            <w:tcW w:w="500" w:type="dxa"/>
            <w:vAlign w:val="bottom"/>
          </w:tcPr>
          <w:p>
            <w:pPr>
              <w:ind w:left="100"/>
              <w:spacing w:after="0"/>
              <w:rPr>
                <w:sz w:val="20"/>
                <w:szCs w:val="20"/>
                <w:color w:val="auto"/>
              </w:rPr>
            </w:pPr>
            <w:r>
              <w:rPr>
                <w:rFonts w:ascii="Arial" w:cs="Arial" w:eastAsia="Arial" w:hAnsi="Arial"/>
                <w:sz w:val="10"/>
                <w:szCs w:val="10"/>
                <w:b w:val="1"/>
                <w:bCs w:val="1"/>
                <w:color w:val="auto"/>
              </w:rPr>
              <w:t>Female</w:t>
            </w:r>
          </w:p>
        </w:tc>
        <w:tc>
          <w:tcPr>
            <w:tcW w:w="540" w:type="dxa"/>
            <w:vAlign w:val="bottom"/>
          </w:tcPr>
          <w:p>
            <w:pPr>
              <w:ind w:left="80"/>
              <w:spacing w:after="0"/>
              <w:rPr>
                <w:sz w:val="20"/>
                <w:szCs w:val="20"/>
                <w:color w:val="auto"/>
              </w:rPr>
            </w:pPr>
            <w:r>
              <w:rPr>
                <w:rFonts w:ascii="Arial" w:cs="Arial" w:eastAsia="Arial" w:hAnsi="Arial"/>
                <w:sz w:val="10"/>
                <w:szCs w:val="10"/>
                <w:b w:val="1"/>
                <w:bCs w:val="1"/>
                <w:color w:val="auto"/>
              </w:rPr>
              <w:t>Male</w:t>
            </w:r>
          </w:p>
        </w:tc>
      </w:tr>
      <w:tr>
        <w:trPr>
          <w:trHeight w:val="114"/>
        </w:trPr>
        <w:tc>
          <w:tcPr>
            <w:tcW w:w="3420" w:type="dxa"/>
            <w:vAlign w:val="bottom"/>
            <w:gridSpan w:val="2"/>
          </w:tcPr>
          <w:p>
            <w:pPr>
              <w:ind w:left="20"/>
              <w:spacing w:after="0"/>
              <w:rPr>
                <w:sz w:val="20"/>
                <w:szCs w:val="20"/>
                <w:color w:val="auto"/>
              </w:rPr>
            </w:pPr>
            <w:r>
              <w:rPr>
                <w:rFonts w:ascii="Arial" w:cs="Arial" w:eastAsia="Arial" w:hAnsi="Arial"/>
                <w:sz w:val="10"/>
                <w:szCs w:val="10"/>
                <w:color w:val="auto"/>
              </w:rPr>
              <w:t xml:space="preserve">% of Employees Who Have Participated in Performance Review </w:t>
            </w:r>
            <w:r>
              <w:rPr>
                <w:rFonts w:ascii="Arial" w:cs="Arial" w:eastAsia="Arial" w:hAnsi="Arial"/>
                <w:sz w:val="10"/>
                <w:szCs w:val="10"/>
                <w:color w:val="0057CF"/>
              </w:rPr>
              <w:t>100 %</w:t>
            </w:r>
          </w:p>
        </w:tc>
        <w:tc>
          <w:tcPr>
            <w:tcW w:w="440" w:type="dxa"/>
            <w:vAlign w:val="bottom"/>
          </w:tcPr>
          <w:p>
            <w:pPr>
              <w:ind w:left="60"/>
              <w:spacing w:after="0"/>
              <w:rPr>
                <w:sz w:val="20"/>
                <w:szCs w:val="20"/>
                <w:color w:val="auto"/>
              </w:rPr>
            </w:pPr>
            <w:r>
              <w:rPr>
                <w:rFonts w:ascii="Arial" w:cs="Arial" w:eastAsia="Arial" w:hAnsi="Arial"/>
                <w:sz w:val="10"/>
                <w:szCs w:val="10"/>
                <w:color w:val="0057CF"/>
              </w:rPr>
              <w:t>100 %</w:t>
            </w:r>
          </w:p>
        </w:tc>
        <w:tc>
          <w:tcPr>
            <w:tcW w:w="500" w:type="dxa"/>
            <w:vAlign w:val="bottom"/>
          </w:tcPr>
          <w:p>
            <w:pPr>
              <w:ind w:left="100"/>
              <w:spacing w:after="0"/>
              <w:rPr>
                <w:sz w:val="20"/>
                <w:szCs w:val="20"/>
                <w:color w:val="auto"/>
              </w:rPr>
            </w:pPr>
            <w:r>
              <w:rPr>
                <w:rFonts w:ascii="Arial" w:cs="Arial" w:eastAsia="Arial" w:hAnsi="Arial"/>
                <w:sz w:val="10"/>
                <w:szCs w:val="10"/>
                <w:color w:val="auto"/>
              </w:rPr>
              <w:t>100 %</w:t>
            </w:r>
          </w:p>
        </w:tc>
        <w:tc>
          <w:tcPr>
            <w:tcW w:w="54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95"/>
        </w:trPr>
        <w:tc>
          <w:tcPr>
            <w:tcW w:w="2420" w:type="dxa"/>
            <w:vAlign w:val="bottom"/>
          </w:tcPr>
          <w:p>
            <w:pPr>
              <w:ind w:left="20"/>
              <w:spacing w:after="0" w:line="95" w:lineRule="exact"/>
              <w:rPr>
                <w:sz w:val="20"/>
                <w:szCs w:val="20"/>
                <w:color w:val="auto"/>
              </w:rPr>
            </w:pPr>
            <w:r>
              <w:rPr>
                <w:rFonts w:ascii="Arial" w:cs="Arial" w:eastAsia="Arial" w:hAnsi="Arial"/>
                <w:sz w:val="10"/>
                <w:szCs w:val="10"/>
                <w:color w:val="auto"/>
              </w:rPr>
              <w:t>s/</w:t>
            </w: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05"/>
        </w:trPr>
        <w:tc>
          <w:tcPr>
            <w:tcW w:w="2420" w:type="dxa"/>
            <w:vAlign w:val="bottom"/>
          </w:tcPr>
          <w:p>
            <w:pPr>
              <w:ind w:left="20"/>
              <w:spacing w:after="0" w:line="105" w:lineRule="exact"/>
              <w:rPr>
                <w:sz w:val="20"/>
                <w:szCs w:val="20"/>
                <w:color w:val="auto"/>
              </w:rPr>
            </w:pPr>
            <w:r>
              <w:rPr>
                <w:rFonts w:ascii="Arial" w:cs="Arial" w:eastAsia="Arial" w:hAnsi="Arial"/>
                <w:sz w:val="10"/>
                <w:szCs w:val="10"/>
                <w:color w:val="auto"/>
              </w:rPr>
              <w:t>Career Conversations</w:t>
            </w: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7"/>
        </w:trPr>
        <w:tc>
          <w:tcPr>
            <w:tcW w:w="2420" w:type="dxa"/>
            <w:vAlign w:val="bottom"/>
          </w:tcPr>
          <w:p>
            <w:pPr>
              <w:ind w:left="20"/>
              <w:spacing w:after="0"/>
              <w:rPr>
                <w:sz w:val="20"/>
                <w:szCs w:val="20"/>
                <w:color w:val="auto"/>
              </w:rPr>
            </w:pPr>
            <w:r>
              <w:rPr>
                <w:rFonts w:ascii="Arial" w:cs="Arial" w:eastAsia="Arial" w:hAnsi="Arial"/>
                <w:sz w:val="10"/>
                <w:szCs w:val="10"/>
                <w:color w:val="auto"/>
              </w:rPr>
              <w:t>Average Number of Training Hours</w:t>
            </w:r>
          </w:p>
        </w:tc>
        <w:tc>
          <w:tcPr>
            <w:tcW w:w="1000" w:type="dxa"/>
            <w:vAlign w:val="bottom"/>
          </w:tcPr>
          <w:p>
            <w:pPr>
              <w:ind w:left="580"/>
              <w:spacing w:after="0"/>
              <w:rPr>
                <w:sz w:val="20"/>
                <w:szCs w:val="20"/>
                <w:color w:val="auto"/>
              </w:rPr>
            </w:pPr>
            <w:r>
              <w:rPr>
                <w:rFonts w:ascii="Arial" w:cs="Arial" w:eastAsia="Arial" w:hAnsi="Arial"/>
                <w:sz w:val="10"/>
                <w:szCs w:val="10"/>
                <w:color w:val="0057CF"/>
              </w:rPr>
              <w:t>5</w:t>
            </w:r>
          </w:p>
        </w:tc>
        <w:tc>
          <w:tcPr>
            <w:tcW w:w="440" w:type="dxa"/>
            <w:vAlign w:val="bottom"/>
          </w:tcPr>
          <w:p>
            <w:pPr>
              <w:ind w:left="60"/>
              <w:spacing w:after="0"/>
              <w:rPr>
                <w:sz w:val="20"/>
                <w:szCs w:val="20"/>
                <w:color w:val="auto"/>
              </w:rPr>
            </w:pPr>
            <w:r>
              <w:rPr>
                <w:rFonts w:ascii="Arial" w:cs="Arial" w:eastAsia="Arial" w:hAnsi="Arial"/>
                <w:sz w:val="10"/>
                <w:szCs w:val="10"/>
                <w:color w:val="0057CF"/>
              </w:rPr>
              <w:t>5</w:t>
            </w:r>
          </w:p>
        </w:tc>
        <w:tc>
          <w:tcPr>
            <w:tcW w:w="500" w:type="dxa"/>
            <w:vAlign w:val="bottom"/>
          </w:tcPr>
          <w:p>
            <w:pPr>
              <w:ind w:left="100"/>
              <w:spacing w:after="0"/>
              <w:rPr>
                <w:sz w:val="20"/>
                <w:szCs w:val="20"/>
                <w:color w:val="auto"/>
              </w:rPr>
            </w:pPr>
            <w:r>
              <w:rPr>
                <w:rFonts w:ascii="Arial" w:cs="Arial" w:eastAsia="Arial" w:hAnsi="Arial"/>
                <w:sz w:val="10"/>
                <w:szCs w:val="10"/>
                <w:color w:val="auto"/>
              </w:rPr>
              <w:t>10</w:t>
            </w:r>
          </w:p>
        </w:tc>
        <w:tc>
          <w:tcPr>
            <w:tcW w:w="540" w:type="dxa"/>
            <w:vAlign w:val="bottom"/>
          </w:tcPr>
          <w:p>
            <w:pPr>
              <w:ind w:left="80"/>
              <w:spacing w:after="0"/>
              <w:rPr>
                <w:sz w:val="20"/>
                <w:szCs w:val="20"/>
                <w:color w:val="auto"/>
              </w:rPr>
            </w:pPr>
            <w:r>
              <w:rPr>
                <w:rFonts w:ascii="Arial" w:cs="Arial" w:eastAsia="Arial" w:hAnsi="Arial"/>
                <w:sz w:val="10"/>
                <w:szCs w:val="10"/>
                <w:color w:val="auto"/>
              </w:rPr>
              <w:t>8</w:t>
            </w:r>
          </w:p>
        </w:tc>
      </w:tr>
    </w:tbl>
    <w:p>
      <w:pPr>
        <w:spacing w:after="0"/>
        <w:rPr>
          <w:sz w:val="20"/>
          <w:szCs w:val="20"/>
          <w:color w:val="auto"/>
        </w:rPr>
      </w:pPr>
      <w:r>
        <w:rPr>
          <w:rFonts w:ascii="Arial" w:cs="Arial" w:eastAsia="Arial" w:hAnsi="Arial"/>
          <w:sz w:val="13"/>
          <w:szCs w:val="13"/>
          <w:b w:val="1"/>
          <w:bCs w:val="1"/>
          <w:color w:val="0057CF"/>
        </w:rPr>
        <w:t>Health and safety metrics (S1-14)</w:t>
      </w:r>
    </w:p>
    <w:p>
      <w:pPr>
        <w:spacing w:after="0" w:line="198" w:lineRule="auto"/>
        <w:rPr>
          <w:sz w:val="20"/>
          <w:szCs w:val="20"/>
          <w:color w:val="auto"/>
        </w:rPr>
      </w:pPr>
      <w:r>
        <w:rPr>
          <w:rFonts w:ascii="Arial" w:cs="Arial" w:eastAsia="Arial" w:hAnsi="Arial"/>
          <w:sz w:val="10"/>
          <w:szCs w:val="10"/>
          <w:color w:val="auto"/>
        </w:rPr>
        <w:t>Genmab’s health and safety practices cover 100% of employees and non-employees in accordance with</w:t>
      </w:r>
    </w:p>
    <w:p>
      <w:pPr>
        <w:spacing w:after="0" w:line="199" w:lineRule="auto"/>
        <w:rPr>
          <w:sz w:val="20"/>
          <w:szCs w:val="20"/>
          <w:color w:val="auto"/>
        </w:rPr>
      </w:pPr>
      <w:r>
        <w:rPr>
          <w:rFonts w:ascii="Arial" w:cs="Arial" w:eastAsia="Arial" w:hAnsi="Arial"/>
          <w:sz w:val="10"/>
          <w:szCs w:val="10"/>
          <w:color w:val="auto"/>
        </w:rPr>
        <w:t>legal requirements and recognized standards. We continue our ongoing preventative health and safety</w:t>
      </w:r>
    </w:p>
    <w:p>
      <w:pPr>
        <w:spacing w:after="0" w:line="217" w:lineRule="auto"/>
        <w:rPr>
          <w:sz w:val="20"/>
          <w:szCs w:val="20"/>
          <w:color w:val="auto"/>
        </w:rPr>
      </w:pPr>
      <w:r>
        <w:rPr>
          <w:rFonts w:ascii="Arial" w:cs="Arial" w:eastAsia="Arial" w:hAnsi="Arial"/>
          <w:sz w:val="10"/>
          <w:szCs w:val="10"/>
          <w:color w:val="auto"/>
        </w:rPr>
        <w:t>activities to reinforce global policies and procedures to protect our workforce.</w:t>
      </w:r>
    </w:p>
    <w:tbl>
      <w:tblPr>
        <w:tblLayout w:type="fixed"/>
        <w:tblInd w:w="0" w:type="dxa"/>
        <w:tblCellMar>
          <w:top w:w="0" w:type="dxa"/>
          <w:left w:w="0" w:type="dxa"/>
          <w:bottom w:w="0" w:type="dxa"/>
          <w:right w:w="0" w:type="dxa"/>
        </w:tblCellMar>
      </w:tblPr>
      <w:tr>
        <w:trPr>
          <w:trHeight w:val="132"/>
        </w:trPr>
        <w:tc>
          <w:tcPr>
            <w:tcW w:w="298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rPr>
              <w:t>Health and safety metrics</w:t>
            </w:r>
          </w:p>
        </w:tc>
        <w:tc>
          <w:tcPr>
            <w:tcW w:w="64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0057CF"/>
              </w:rPr>
              <w:t>2025</w:t>
            </w:r>
          </w:p>
        </w:tc>
        <w:tc>
          <w:tcPr>
            <w:tcW w:w="1240" w:type="dxa"/>
            <w:vAlign w:val="bottom"/>
            <w:tcBorders>
              <w:top w:val="single" w:sz="8" w:color="0057CF"/>
            </w:tcBorders>
          </w:tcPr>
          <w:p>
            <w:pPr>
              <w:ind w:left="320"/>
              <w:spacing w:after="0"/>
              <w:rPr>
                <w:sz w:val="20"/>
                <w:szCs w:val="20"/>
                <w:color w:val="auto"/>
              </w:rPr>
            </w:pPr>
            <w:r>
              <w:rPr>
                <w:rFonts w:ascii="Arial" w:cs="Arial" w:eastAsia="Arial" w:hAnsi="Arial"/>
                <w:sz w:val="10"/>
                <w:szCs w:val="10"/>
                <w:b w:val="1"/>
                <w:bCs w:val="1"/>
                <w:color w:val="auto"/>
              </w:rPr>
              <w:t>2024</w:t>
            </w: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0"/>
                <w:szCs w:val="10"/>
                <w:color w:val="auto"/>
              </w:rPr>
              <w:t>Percentage of own workforce covered by the Health and Safety</w:t>
            </w:r>
          </w:p>
        </w:tc>
        <w:tc>
          <w:tcPr>
            <w:tcW w:w="640" w:type="dxa"/>
            <w:vAlign w:val="bottom"/>
          </w:tcPr>
          <w:p>
            <w:pPr>
              <w:ind w:left="20"/>
              <w:spacing w:after="0" w:line="105" w:lineRule="exact"/>
              <w:rPr>
                <w:sz w:val="20"/>
                <w:szCs w:val="20"/>
                <w:color w:val="auto"/>
              </w:rPr>
            </w:pPr>
            <w:r>
              <w:rPr>
                <w:rFonts w:ascii="Arial" w:cs="Arial" w:eastAsia="Arial" w:hAnsi="Arial"/>
                <w:sz w:val="10"/>
                <w:szCs w:val="10"/>
                <w:color w:val="0057CF"/>
              </w:rPr>
              <w:t>100 %</w:t>
            </w:r>
          </w:p>
        </w:tc>
        <w:tc>
          <w:tcPr>
            <w:tcW w:w="1240" w:type="dxa"/>
            <w:vAlign w:val="bottom"/>
          </w:tcPr>
          <w:p>
            <w:pPr>
              <w:ind w:left="320"/>
              <w:spacing w:after="0" w:line="105" w:lineRule="exact"/>
              <w:rPr>
                <w:sz w:val="20"/>
                <w:szCs w:val="20"/>
                <w:color w:val="auto"/>
              </w:rPr>
            </w:pPr>
            <w:r>
              <w:rPr>
                <w:rFonts w:ascii="Arial" w:cs="Arial" w:eastAsia="Arial" w:hAnsi="Arial"/>
                <w:sz w:val="10"/>
                <w:szCs w:val="10"/>
                <w:color w:val="auto"/>
              </w:rPr>
              <w:t>100 %</w:t>
            </w:r>
          </w:p>
        </w:tc>
      </w:tr>
      <w:tr>
        <w:trPr>
          <w:trHeight w:val="137"/>
        </w:trPr>
        <w:tc>
          <w:tcPr>
            <w:tcW w:w="2980" w:type="dxa"/>
            <w:vAlign w:val="bottom"/>
          </w:tcPr>
          <w:p>
            <w:pPr>
              <w:ind w:left="20"/>
              <w:spacing w:after="0"/>
              <w:rPr>
                <w:sz w:val="20"/>
                <w:szCs w:val="20"/>
                <w:color w:val="auto"/>
              </w:rPr>
            </w:pPr>
            <w:r>
              <w:rPr>
                <w:rFonts w:ascii="Arial" w:cs="Arial" w:eastAsia="Arial" w:hAnsi="Arial"/>
                <w:sz w:val="10"/>
                <w:szCs w:val="10"/>
                <w:color w:val="auto"/>
              </w:rPr>
              <w:t>management system</w:t>
            </w: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62"/>
        </w:trPr>
        <w:tc>
          <w:tcPr>
            <w:tcW w:w="2980" w:type="dxa"/>
            <w:vAlign w:val="bottom"/>
          </w:tcPr>
          <w:p>
            <w:pPr>
              <w:ind w:left="20"/>
              <w:spacing w:after="0"/>
              <w:rPr>
                <w:sz w:val="20"/>
                <w:szCs w:val="20"/>
                <w:color w:val="auto"/>
              </w:rPr>
            </w:pPr>
            <w:r>
              <w:rPr>
                <w:rFonts w:ascii="Arial" w:cs="Arial" w:eastAsia="Arial" w:hAnsi="Arial"/>
                <w:sz w:val="10"/>
                <w:szCs w:val="10"/>
                <w:color w:val="auto"/>
              </w:rPr>
              <w:t>Number of fatalities</w:t>
            </w:r>
          </w:p>
        </w:tc>
        <w:tc>
          <w:tcPr>
            <w:tcW w:w="640" w:type="dxa"/>
            <w:vAlign w:val="bottom"/>
          </w:tcPr>
          <w:p>
            <w:pPr>
              <w:ind w:left="20"/>
              <w:spacing w:after="0"/>
              <w:rPr>
                <w:sz w:val="20"/>
                <w:szCs w:val="20"/>
                <w:color w:val="auto"/>
              </w:rPr>
            </w:pPr>
            <w:r>
              <w:rPr>
                <w:rFonts w:ascii="Arial" w:cs="Arial" w:eastAsia="Arial" w:hAnsi="Arial"/>
                <w:sz w:val="10"/>
                <w:szCs w:val="10"/>
                <w:color w:val="0057CF"/>
              </w:rPr>
              <w:t>0</w:t>
            </w:r>
          </w:p>
        </w:tc>
        <w:tc>
          <w:tcPr>
            <w:tcW w:w="1240" w:type="dxa"/>
            <w:vAlign w:val="bottom"/>
          </w:tcPr>
          <w:p>
            <w:pPr>
              <w:ind w:left="320"/>
              <w:spacing w:after="0"/>
              <w:rPr>
                <w:sz w:val="20"/>
                <w:szCs w:val="20"/>
                <w:color w:val="auto"/>
              </w:rPr>
            </w:pPr>
            <w:r>
              <w:rPr>
                <w:rFonts w:ascii="Arial" w:cs="Arial" w:eastAsia="Arial" w:hAnsi="Arial"/>
                <w:sz w:val="10"/>
                <w:szCs w:val="10"/>
                <w:color w:val="auto"/>
              </w:rPr>
              <w:t>0</w:t>
            </w:r>
          </w:p>
        </w:tc>
      </w:tr>
      <w:tr>
        <w:trPr>
          <w:trHeight w:val="152"/>
        </w:trPr>
        <w:tc>
          <w:tcPr>
            <w:tcW w:w="2980" w:type="dxa"/>
            <w:vAlign w:val="bottom"/>
          </w:tcPr>
          <w:p>
            <w:pPr>
              <w:ind w:left="20"/>
              <w:spacing w:after="0"/>
              <w:rPr>
                <w:sz w:val="20"/>
                <w:szCs w:val="20"/>
                <w:color w:val="auto"/>
              </w:rPr>
            </w:pPr>
            <w:r>
              <w:rPr>
                <w:rFonts w:ascii="Arial" w:cs="Arial" w:eastAsia="Arial" w:hAnsi="Arial"/>
                <w:sz w:val="10"/>
                <w:szCs w:val="10"/>
                <w:color w:val="auto"/>
              </w:rPr>
              <w:t>Number of recordable work-related accidents</w:t>
            </w:r>
          </w:p>
        </w:tc>
        <w:tc>
          <w:tcPr>
            <w:tcW w:w="640" w:type="dxa"/>
            <w:vAlign w:val="bottom"/>
          </w:tcPr>
          <w:p>
            <w:pPr>
              <w:ind w:left="20"/>
              <w:spacing w:after="0"/>
              <w:rPr>
                <w:sz w:val="20"/>
                <w:szCs w:val="20"/>
                <w:color w:val="auto"/>
              </w:rPr>
            </w:pPr>
            <w:r>
              <w:rPr>
                <w:rFonts w:ascii="Arial" w:cs="Arial" w:eastAsia="Arial" w:hAnsi="Arial"/>
                <w:sz w:val="10"/>
                <w:szCs w:val="10"/>
                <w:color w:val="0057CF"/>
              </w:rPr>
              <w:t>2</w:t>
            </w:r>
          </w:p>
        </w:tc>
        <w:tc>
          <w:tcPr>
            <w:tcW w:w="1240" w:type="dxa"/>
            <w:vAlign w:val="bottom"/>
          </w:tcPr>
          <w:p>
            <w:pPr>
              <w:ind w:left="320"/>
              <w:spacing w:after="0"/>
              <w:rPr>
                <w:sz w:val="20"/>
                <w:szCs w:val="20"/>
                <w:color w:val="auto"/>
              </w:rPr>
            </w:pPr>
            <w:r>
              <w:rPr>
                <w:rFonts w:ascii="Arial" w:cs="Arial" w:eastAsia="Arial" w:hAnsi="Arial"/>
                <w:sz w:val="10"/>
                <w:szCs w:val="10"/>
                <w:color w:val="auto"/>
              </w:rPr>
              <w:t>0</w:t>
            </w:r>
          </w:p>
        </w:tc>
      </w:tr>
      <w:tr>
        <w:trPr>
          <w:trHeight w:val="120"/>
        </w:trPr>
        <w:tc>
          <w:tcPr>
            <w:tcW w:w="3620" w:type="dxa"/>
            <w:vAlign w:val="bottom"/>
            <w:gridSpan w:val="2"/>
          </w:tcPr>
          <w:p>
            <w:pPr>
              <w:ind w:left="20"/>
              <w:spacing w:after="0"/>
              <w:rPr>
                <w:sz w:val="20"/>
                <w:szCs w:val="20"/>
                <w:color w:val="auto"/>
              </w:rPr>
            </w:pPr>
            <w:r>
              <w:rPr>
                <w:rFonts w:ascii="Arial" w:cs="Arial" w:eastAsia="Arial" w:hAnsi="Arial"/>
                <w:sz w:val="10"/>
                <w:szCs w:val="10"/>
                <w:color w:val="auto"/>
              </w:rPr>
              <w:t xml:space="preserve">Rate of recordable work-related accidents (accidents per million </w:t>
            </w:r>
            <w:r>
              <w:rPr>
                <w:rFonts w:ascii="Arial" w:cs="Arial" w:eastAsia="Arial" w:hAnsi="Arial"/>
                <w:sz w:val="10"/>
                <w:szCs w:val="10"/>
                <w:color w:val="0057CF"/>
              </w:rPr>
              <w:t>0.4</w:t>
            </w:r>
          </w:p>
        </w:tc>
        <w:tc>
          <w:tcPr>
            <w:tcW w:w="1240" w:type="dxa"/>
            <w:vAlign w:val="bottom"/>
          </w:tcPr>
          <w:p>
            <w:pPr>
              <w:ind w:left="320"/>
              <w:spacing w:after="0"/>
              <w:rPr>
                <w:sz w:val="20"/>
                <w:szCs w:val="20"/>
                <w:color w:val="auto"/>
              </w:rPr>
            </w:pPr>
            <w:r>
              <w:rPr>
                <w:rFonts w:ascii="Arial" w:cs="Arial" w:eastAsia="Arial" w:hAnsi="Arial"/>
                <w:sz w:val="10"/>
                <w:szCs w:val="10"/>
                <w:color w:val="auto"/>
              </w:rPr>
              <w:t>0</w:t>
            </w:r>
          </w:p>
        </w:tc>
      </w:tr>
      <w:tr>
        <w:trPr>
          <w:trHeight w:val="137"/>
        </w:trPr>
        <w:tc>
          <w:tcPr>
            <w:tcW w:w="2980" w:type="dxa"/>
            <w:vAlign w:val="bottom"/>
          </w:tcPr>
          <w:p>
            <w:pPr>
              <w:ind w:left="20"/>
              <w:spacing w:after="0"/>
              <w:rPr>
                <w:sz w:val="20"/>
                <w:szCs w:val="20"/>
                <w:color w:val="auto"/>
              </w:rPr>
            </w:pPr>
            <w:r>
              <w:rPr>
                <w:rFonts w:ascii="Arial" w:cs="Arial" w:eastAsia="Arial" w:hAnsi="Arial"/>
                <w:sz w:val="10"/>
                <w:szCs w:val="10"/>
                <w:color w:val="auto"/>
              </w:rPr>
              <w:t>hours worked)</w:t>
            </w: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2"/>
          <w:szCs w:val="12"/>
          <w:b w:val="1"/>
          <w:bCs w:val="1"/>
          <w:color w:val="auto"/>
        </w:rPr>
        <w:t>Accounting Policies</w:t>
      </w:r>
    </w:p>
    <w:p>
      <w:pPr>
        <w:spacing w:after="0" w:line="216" w:lineRule="auto"/>
        <w:rPr>
          <w:sz w:val="20"/>
          <w:szCs w:val="20"/>
          <w:color w:val="auto"/>
        </w:rPr>
      </w:pPr>
      <w:r>
        <w:rPr>
          <w:rFonts w:ascii="Arial" w:cs="Arial" w:eastAsia="Arial" w:hAnsi="Arial"/>
          <w:sz w:val="11"/>
          <w:szCs w:val="11"/>
          <w:b w:val="1"/>
          <w:bCs w:val="1"/>
          <w:color w:val="0057CF"/>
        </w:rPr>
        <w:t>Own workforce covered by health and</w:t>
      </w:r>
    </w:p>
    <w:p>
      <w:pPr>
        <w:spacing w:after="0" w:line="215" w:lineRule="auto"/>
        <w:rPr>
          <w:sz w:val="20"/>
          <w:szCs w:val="20"/>
          <w:color w:val="auto"/>
        </w:rPr>
      </w:pPr>
      <w:r>
        <w:rPr>
          <w:rFonts w:ascii="Arial" w:cs="Arial" w:eastAsia="Arial" w:hAnsi="Arial"/>
          <w:sz w:val="11"/>
          <w:szCs w:val="11"/>
          <w:b w:val="1"/>
          <w:bCs w:val="1"/>
          <w:color w:val="0057CF"/>
        </w:rPr>
        <w:t>safety management system</w:t>
      </w:r>
    </w:p>
    <w:p>
      <w:pPr>
        <w:spacing w:after="0" w:line="199" w:lineRule="auto"/>
        <w:rPr>
          <w:sz w:val="20"/>
          <w:szCs w:val="20"/>
          <w:color w:val="auto"/>
        </w:rPr>
      </w:pPr>
      <w:r>
        <w:rPr>
          <w:rFonts w:ascii="Arial" w:cs="Arial" w:eastAsia="Arial" w:hAnsi="Arial"/>
          <w:sz w:val="10"/>
          <w:szCs w:val="10"/>
          <w:color w:val="auto"/>
        </w:rPr>
        <w:t>The percentage of employees in Genmab’s own</w:t>
      </w:r>
    </w:p>
    <w:p>
      <w:pPr>
        <w:spacing w:after="0" w:line="199" w:lineRule="auto"/>
        <w:rPr>
          <w:sz w:val="20"/>
          <w:szCs w:val="20"/>
          <w:color w:val="auto"/>
        </w:rPr>
      </w:pPr>
      <w:r>
        <w:rPr>
          <w:rFonts w:ascii="Arial" w:cs="Arial" w:eastAsia="Arial" w:hAnsi="Arial"/>
          <w:sz w:val="10"/>
          <w:szCs w:val="10"/>
          <w:color w:val="auto"/>
        </w:rPr>
        <w:t>workforce who are covered by our health and safety</w:t>
      </w:r>
    </w:p>
    <w:p>
      <w:pPr>
        <w:spacing w:after="0" w:line="198" w:lineRule="auto"/>
        <w:rPr>
          <w:sz w:val="20"/>
          <w:szCs w:val="20"/>
          <w:color w:val="auto"/>
        </w:rPr>
      </w:pPr>
      <w:r>
        <w:rPr>
          <w:rFonts w:ascii="Arial" w:cs="Arial" w:eastAsia="Arial" w:hAnsi="Arial"/>
          <w:sz w:val="10"/>
          <w:szCs w:val="10"/>
          <w:color w:val="auto"/>
        </w:rPr>
        <w:t>management system based on legal requirements</w:t>
      </w:r>
    </w:p>
    <w:p>
      <w:pPr>
        <w:spacing w:after="0" w:line="199" w:lineRule="auto"/>
        <w:rPr>
          <w:sz w:val="20"/>
          <w:szCs w:val="20"/>
          <w:color w:val="auto"/>
        </w:rPr>
      </w:pPr>
      <w:r>
        <w:rPr>
          <w:rFonts w:ascii="Arial" w:cs="Arial" w:eastAsia="Arial" w:hAnsi="Arial"/>
          <w:sz w:val="10"/>
          <w:szCs w:val="10"/>
          <w:color w:val="auto"/>
        </w:rPr>
        <w:t>and/or recognized standards or guidelines is</w:t>
      </w:r>
    </w:p>
    <w:p>
      <w:pPr>
        <w:spacing w:after="0" w:line="198" w:lineRule="auto"/>
        <w:rPr>
          <w:sz w:val="20"/>
          <w:szCs w:val="20"/>
          <w:color w:val="auto"/>
        </w:rPr>
      </w:pPr>
      <w:r>
        <w:rPr>
          <w:rFonts w:ascii="Arial" w:cs="Arial" w:eastAsia="Arial" w:hAnsi="Arial"/>
          <w:sz w:val="10"/>
          <w:szCs w:val="10"/>
          <w:color w:val="auto"/>
        </w:rPr>
        <w:t>defined as the number of employees covered by</w:t>
      </w:r>
    </w:p>
    <w:p>
      <w:pPr>
        <w:spacing w:after="0" w:line="199" w:lineRule="auto"/>
        <w:rPr>
          <w:sz w:val="20"/>
          <w:szCs w:val="20"/>
          <w:color w:val="auto"/>
        </w:rPr>
      </w:pPr>
      <w:r>
        <w:rPr>
          <w:rFonts w:ascii="Arial" w:cs="Arial" w:eastAsia="Arial" w:hAnsi="Arial"/>
          <w:sz w:val="10"/>
          <w:szCs w:val="10"/>
          <w:color w:val="auto"/>
        </w:rPr>
        <w:t>health and safety management systems</w:t>
      </w:r>
    </w:p>
    <w:p>
      <w:pPr>
        <w:spacing w:after="0" w:line="201" w:lineRule="auto"/>
        <w:rPr>
          <w:sz w:val="20"/>
          <w:szCs w:val="20"/>
          <w:color w:val="auto"/>
        </w:rPr>
      </w:pPr>
      <w:r>
        <w:rPr>
          <w:rFonts w:ascii="Arial" w:cs="Arial" w:eastAsia="Arial" w:hAnsi="Arial"/>
          <w:sz w:val="10"/>
          <w:szCs w:val="10"/>
          <w:color w:val="auto"/>
        </w:rPr>
        <w:t>(headcount) divided by all employees (headcount).</w:t>
      </w:r>
    </w:p>
    <w:p>
      <w:pPr>
        <w:spacing w:after="0" w:line="216" w:lineRule="auto"/>
        <w:rPr>
          <w:sz w:val="20"/>
          <w:szCs w:val="20"/>
          <w:color w:val="auto"/>
        </w:rPr>
      </w:pPr>
      <w:r>
        <w:rPr>
          <w:rFonts w:ascii="Arial" w:cs="Arial" w:eastAsia="Arial" w:hAnsi="Arial"/>
          <w:sz w:val="11"/>
          <w:szCs w:val="11"/>
          <w:b w:val="1"/>
          <w:bCs w:val="1"/>
          <w:color w:val="0057CF"/>
        </w:rPr>
        <w:t>Fatalities as a result of work-related</w:t>
      </w:r>
    </w:p>
    <w:p>
      <w:pPr>
        <w:spacing w:after="0" w:line="215" w:lineRule="auto"/>
        <w:rPr>
          <w:sz w:val="20"/>
          <w:szCs w:val="20"/>
          <w:color w:val="auto"/>
        </w:rPr>
      </w:pPr>
      <w:r>
        <w:rPr>
          <w:rFonts w:ascii="Arial" w:cs="Arial" w:eastAsia="Arial" w:hAnsi="Arial"/>
          <w:sz w:val="11"/>
          <w:szCs w:val="11"/>
          <w:b w:val="1"/>
          <w:bCs w:val="1"/>
          <w:color w:val="0057CF"/>
        </w:rPr>
        <w:t>injuries and work-related ill health</w:t>
      </w:r>
    </w:p>
    <w:p>
      <w:pPr>
        <w:spacing w:after="0" w:line="199" w:lineRule="auto"/>
        <w:rPr>
          <w:sz w:val="20"/>
          <w:szCs w:val="20"/>
          <w:color w:val="auto"/>
        </w:rPr>
      </w:pPr>
      <w:r>
        <w:rPr>
          <w:rFonts w:ascii="Arial" w:cs="Arial" w:eastAsia="Arial" w:hAnsi="Arial"/>
          <w:sz w:val="10"/>
          <w:szCs w:val="10"/>
          <w:color w:val="auto"/>
        </w:rPr>
        <w:t>Work-related accidents and work-related ill health</w:t>
      </w:r>
    </w:p>
    <w:p>
      <w:pPr>
        <w:spacing w:after="0" w:line="201" w:lineRule="auto"/>
        <w:rPr>
          <w:sz w:val="20"/>
          <w:szCs w:val="20"/>
          <w:color w:val="auto"/>
        </w:rPr>
      </w:pPr>
      <w:r>
        <w:rPr>
          <w:rFonts w:ascii="Arial" w:cs="Arial" w:eastAsia="Arial" w:hAnsi="Arial"/>
          <w:sz w:val="10"/>
          <w:szCs w:val="10"/>
          <w:color w:val="auto"/>
        </w:rPr>
        <w:t>resulting in the death of an employee (headcount).</w:t>
      </w:r>
    </w:p>
    <w:p>
      <w:pPr>
        <w:spacing w:after="0" w:line="216" w:lineRule="auto"/>
        <w:rPr>
          <w:sz w:val="20"/>
          <w:szCs w:val="20"/>
          <w:color w:val="auto"/>
        </w:rPr>
      </w:pPr>
      <w:r>
        <w:rPr>
          <w:rFonts w:ascii="Arial" w:cs="Arial" w:eastAsia="Arial" w:hAnsi="Arial"/>
          <w:sz w:val="11"/>
          <w:szCs w:val="11"/>
          <w:b w:val="1"/>
          <w:bCs w:val="1"/>
          <w:color w:val="0057CF"/>
        </w:rPr>
        <w:t>Recordable work-related accidents</w:t>
      </w:r>
    </w:p>
    <w:p>
      <w:pPr>
        <w:spacing w:after="0" w:line="215" w:lineRule="auto"/>
        <w:rPr>
          <w:sz w:val="20"/>
          <w:szCs w:val="20"/>
          <w:color w:val="auto"/>
        </w:rPr>
      </w:pPr>
      <w:r>
        <w:rPr>
          <w:rFonts w:ascii="Arial" w:cs="Arial" w:eastAsia="Arial" w:hAnsi="Arial"/>
          <w:sz w:val="11"/>
          <w:szCs w:val="11"/>
          <w:b w:val="1"/>
          <w:bCs w:val="1"/>
          <w:color w:val="0057CF"/>
        </w:rPr>
        <w:t xml:space="preserve">(number and rate) </w:t>
      </w:r>
      <w:r>
        <w:rPr>
          <w:rFonts w:ascii="Arial" w:cs="Arial" w:eastAsia="Arial" w:hAnsi="Arial"/>
          <w:sz w:val="10"/>
          <w:szCs w:val="10"/>
          <w:b w:val="1"/>
          <w:bCs w:val="1"/>
          <w:color w:val="0057CF"/>
        </w:rPr>
        <w:t>Work-related injury or ill</w:t>
      </w:r>
    </w:p>
    <w:p>
      <w:pPr>
        <w:spacing w:after="0" w:line="199" w:lineRule="auto"/>
        <w:rPr>
          <w:sz w:val="20"/>
          <w:szCs w:val="20"/>
          <w:color w:val="auto"/>
        </w:rPr>
      </w:pPr>
      <w:r>
        <w:rPr>
          <w:rFonts w:ascii="Arial" w:cs="Arial" w:eastAsia="Arial" w:hAnsi="Arial"/>
          <w:sz w:val="10"/>
          <w:szCs w:val="10"/>
          <w:b w:val="1"/>
          <w:bCs w:val="1"/>
          <w:color w:val="0057CF"/>
        </w:rPr>
        <w:t>health that results in any of the following:</w:t>
      </w:r>
    </w:p>
    <w:p>
      <w:pPr>
        <w:spacing w:after="0" w:line="199" w:lineRule="auto"/>
        <w:rPr>
          <w:sz w:val="20"/>
          <w:szCs w:val="20"/>
          <w:color w:val="auto"/>
        </w:rPr>
      </w:pPr>
      <w:r>
        <w:rPr>
          <w:rFonts w:ascii="Arial" w:cs="Arial" w:eastAsia="Arial" w:hAnsi="Arial"/>
          <w:sz w:val="10"/>
          <w:szCs w:val="10"/>
          <w:color w:val="auto"/>
        </w:rPr>
        <w:t>•death, days away from work, restricted work</w:t>
      </w:r>
    </w:p>
    <w:p>
      <w:pPr>
        <w:spacing w:after="0" w:line="198" w:lineRule="auto"/>
        <w:rPr>
          <w:sz w:val="20"/>
          <w:szCs w:val="20"/>
          <w:color w:val="auto"/>
        </w:rPr>
      </w:pPr>
      <w:r>
        <w:rPr>
          <w:rFonts w:ascii="Arial" w:cs="Arial" w:eastAsia="Arial" w:hAnsi="Arial"/>
          <w:sz w:val="10"/>
          <w:szCs w:val="10"/>
          <w:color w:val="auto"/>
        </w:rPr>
        <w:t>or transfer to another job, medical treatment</w:t>
      </w:r>
    </w:p>
    <w:p>
      <w:pPr>
        <w:spacing w:after="0" w:line="199" w:lineRule="auto"/>
        <w:rPr>
          <w:sz w:val="20"/>
          <w:szCs w:val="20"/>
          <w:color w:val="auto"/>
        </w:rPr>
      </w:pPr>
      <w:r>
        <w:rPr>
          <w:rFonts w:ascii="Arial" w:cs="Arial" w:eastAsia="Arial" w:hAnsi="Arial"/>
          <w:sz w:val="10"/>
          <w:szCs w:val="10"/>
          <w:color w:val="auto"/>
        </w:rPr>
        <w:t>beyond first aid, or loss of consciousness; or</w:t>
      </w:r>
    </w:p>
    <w:p>
      <w:pPr>
        <w:spacing w:after="0" w:line="199" w:lineRule="auto"/>
        <w:rPr>
          <w:sz w:val="20"/>
          <w:szCs w:val="20"/>
          <w:color w:val="auto"/>
        </w:rPr>
      </w:pPr>
      <w:r>
        <w:rPr>
          <w:rFonts w:ascii="Arial" w:cs="Arial" w:eastAsia="Arial" w:hAnsi="Arial"/>
          <w:sz w:val="10"/>
          <w:szCs w:val="10"/>
          <w:color w:val="auto"/>
        </w:rPr>
        <w:t>•significant injury or ill health diagnosed</w:t>
      </w:r>
    </w:p>
    <w:p>
      <w:pPr>
        <w:spacing w:after="0" w:line="198" w:lineRule="auto"/>
        <w:rPr>
          <w:sz w:val="20"/>
          <w:szCs w:val="20"/>
          <w:color w:val="auto"/>
        </w:rPr>
      </w:pPr>
      <w:r>
        <w:rPr>
          <w:rFonts w:ascii="Arial" w:cs="Arial" w:eastAsia="Arial" w:hAnsi="Arial"/>
          <w:sz w:val="10"/>
          <w:szCs w:val="10"/>
          <w:color w:val="auto"/>
        </w:rPr>
        <w:t>by a physician or other licensed healthcare</w:t>
      </w:r>
    </w:p>
    <w:p>
      <w:pPr>
        <w:spacing w:after="0" w:line="199" w:lineRule="auto"/>
        <w:rPr>
          <w:sz w:val="20"/>
          <w:szCs w:val="20"/>
          <w:color w:val="auto"/>
        </w:rPr>
      </w:pPr>
      <w:r>
        <w:rPr>
          <w:rFonts w:ascii="Arial" w:cs="Arial" w:eastAsia="Arial" w:hAnsi="Arial"/>
          <w:sz w:val="10"/>
          <w:szCs w:val="10"/>
          <w:color w:val="auto"/>
        </w:rPr>
        <w:t>professional, even if it does not result in death,</w:t>
      </w:r>
    </w:p>
    <w:p>
      <w:pPr>
        <w:spacing w:after="0"/>
        <w:rPr>
          <w:sz w:val="20"/>
          <w:szCs w:val="20"/>
          <w:color w:val="auto"/>
        </w:rPr>
      </w:pPr>
      <w:r>
        <w:rPr>
          <w:rFonts w:ascii="Arial" w:cs="Arial" w:eastAsia="Arial" w:hAnsi="Arial"/>
          <w:sz w:val="10"/>
          <w:szCs w:val="10"/>
          <w:color w:val="auto"/>
        </w:rPr>
        <w:t>days away from work, restricted work or job</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6781165" cy="5977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6781165" cy="5977255"/>
                    </a:xfrm>
                    <a:prstGeom prst="rect">
                      <a:avLst/>
                    </a:prstGeom>
                    <a:noFill/>
                  </pic:spPr>
                </pic:pic>
              </a:graphicData>
            </a:graphic>
          </wp:anchor>
        </w:drawing>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36"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90</w:t>
      </w:r>
    </w:p>
    <w:p>
      <w:pPr>
        <w:spacing w:after="0" w:line="38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24" w:lineRule="auto"/>
        <w:rPr>
          <w:sz w:val="20"/>
          <w:szCs w:val="20"/>
          <w:color w:val="auto"/>
        </w:rPr>
      </w:pPr>
      <w:r>
        <w:rPr>
          <w:rFonts w:ascii="Arial" w:cs="Arial" w:eastAsia="Arial" w:hAnsi="Arial"/>
          <w:sz w:val="13"/>
          <w:szCs w:val="13"/>
          <w:b w:val="1"/>
          <w:bCs w:val="1"/>
          <w:color w:val="0057CF"/>
        </w:rPr>
        <w:t>Incidents, complaints and severe human rights impacts (S1-17)</w:t>
      </w:r>
    </w:p>
    <w:tbl>
      <w:tblPr>
        <w:tblLayout w:type="fixed"/>
        <w:tblInd w:w="0" w:type="dxa"/>
        <w:tblCellMar>
          <w:top w:w="0" w:type="dxa"/>
          <w:left w:w="0" w:type="dxa"/>
          <w:bottom w:w="0" w:type="dxa"/>
          <w:right w:w="0" w:type="dxa"/>
        </w:tblCellMar>
      </w:tblPr>
      <w:tr>
        <w:trPr>
          <w:trHeight w:val="123"/>
        </w:trPr>
        <w:tc>
          <w:tcPr>
            <w:tcW w:w="3000" w:type="dxa"/>
            <w:vAlign w:val="bottom"/>
            <w:tcBorders>
              <w:top w:val="single" w:sz="8" w:color="0057CF"/>
            </w:tcBorders>
          </w:tcPr>
          <w:p>
            <w:pPr>
              <w:ind w:left="20"/>
              <w:spacing w:after="0"/>
              <w:rPr>
                <w:sz w:val="20"/>
                <w:szCs w:val="20"/>
                <w:color w:val="auto"/>
              </w:rPr>
            </w:pPr>
            <w:r>
              <w:rPr>
                <w:rFonts w:ascii="Arial" w:cs="Arial" w:eastAsia="Arial" w:hAnsi="Arial"/>
                <w:sz w:val="10"/>
                <w:szCs w:val="10"/>
                <w:b w:val="1"/>
                <w:bCs w:val="1"/>
                <w:color w:val="auto"/>
                <w:w w:val="99"/>
              </w:rPr>
              <w:t>Incidents, complaints and severe human rights impact metrics</w:t>
            </w:r>
          </w:p>
        </w:tc>
        <w:tc>
          <w:tcPr>
            <w:tcW w:w="580" w:type="dxa"/>
            <w:vAlign w:val="bottom"/>
            <w:tcBorders>
              <w:top w:val="single" w:sz="8" w:color="0057CF"/>
            </w:tcBorders>
          </w:tcPr>
          <w:p>
            <w:pPr>
              <w:spacing w:after="0"/>
              <w:rPr>
                <w:sz w:val="20"/>
                <w:szCs w:val="20"/>
                <w:color w:val="auto"/>
              </w:rPr>
            </w:pPr>
            <w:r>
              <w:rPr>
                <w:rFonts w:ascii="Arial" w:cs="Arial" w:eastAsia="Arial" w:hAnsi="Arial"/>
                <w:sz w:val="10"/>
                <w:szCs w:val="10"/>
                <w:b w:val="1"/>
                <w:bCs w:val="1"/>
                <w:color w:val="0057CF"/>
              </w:rPr>
              <w:t>2025</w:t>
            </w:r>
          </w:p>
        </w:tc>
        <w:tc>
          <w:tcPr>
            <w:tcW w:w="1280" w:type="dxa"/>
            <w:vAlign w:val="bottom"/>
            <w:tcBorders>
              <w:top w:val="single" w:sz="8" w:color="0057CF"/>
            </w:tcBorders>
          </w:tcPr>
          <w:p>
            <w:pPr>
              <w:ind w:left="360"/>
              <w:spacing w:after="0"/>
              <w:rPr>
                <w:sz w:val="20"/>
                <w:szCs w:val="20"/>
                <w:color w:val="auto"/>
              </w:rPr>
            </w:pPr>
            <w:r>
              <w:rPr>
                <w:rFonts w:ascii="Arial" w:cs="Arial" w:eastAsia="Arial" w:hAnsi="Arial"/>
                <w:sz w:val="10"/>
                <w:szCs w:val="10"/>
                <w:b w:val="1"/>
                <w:bCs w:val="1"/>
                <w:color w:val="auto"/>
              </w:rPr>
              <w:t>2024</w:t>
            </w: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0"/>
                <w:szCs w:val="10"/>
                <w:color w:val="auto"/>
              </w:rPr>
              <w:t>Total number of incidents of discrimination reported, including</w:t>
            </w:r>
          </w:p>
        </w:tc>
        <w:tc>
          <w:tcPr>
            <w:tcW w:w="580" w:type="dxa"/>
            <w:vAlign w:val="bottom"/>
          </w:tcPr>
          <w:p>
            <w:pPr>
              <w:spacing w:after="0" w:line="105" w:lineRule="exact"/>
              <w:rPr>
                <w:sz w:val="20"/>
                <w:szCs w:val="20"/>
                <w:color w:val="auto"/>
              </w:rPr>
            </w:pPr>
            <w:r>
              <w:rPr>
                <w:rFonts w:ascii="Arial" w:cs="Arial" w:eastAsia="Arial" w:hAnsi="Arial"/>
                <w:sz w:val="10"/>
                <w:szCs w:val="10"/>
                <w:color w:val="0057CF"/>
              </w:rPr>
              <w:t>10</w:t>
            </w:r>
          </w:p>
        </w:tc>
        <w:tc>
          <w:tcPr>
            <w:tcW w:w="1280" w:type="dxa"/>
            <w:vAlign w:val="bottom"/>
          </w:tcPr>
          <w:p>
            <w:pPr>
              <w:ind w:left="360"/>
              <w:spacing w:after="0" w:line="105" w:lineRule="exact"/>
              <w:rPr>
                <w:sz w:val="20"/>
                <w:szCs w:val="20"/>
                <w:color w:val="auto"/>
              </w:rPr>
            </w:pPr>
            <w:r>
              <w:rPr>
                <w:rFonts w:ascii="Arial" w:cs="Arial" w:eastAsia="Arial" w:hAnsi="Arial"/>
                <w:sz w:val="10"/>
                <w:szCs w:val="10"/>
                <w:color w:val="auto"/>
              </w:rPr>
              <w:t>0</w:t>
            </w:r>
          </w:p>
        </w:tc>
      </w:tr>
      <w:tr>
        <w:trPr>
          <w:trHeight w:val="137"/>
        </w:trPr>
        <w:tc>
          <w:tcPr>
            <w:tcW w:w="3000" w:type="dxa"/>
            <w:vAlign w:val="bottom"/>
          </w:tcPr>
          <w:p>
            <w:pPr>
              <w:ind w:left="20"/>
              <w:spacing w:after="0"/>
              <w:rPr>
                <w:sz w:val="20"/>
                <w:szCs w:val="20"/>
                <w:color w:val="auto"/>
              </w:rPr>
            </w:pPr>
            <w:r>
              <w:rPr>
                <w:rFonts w:ascii="Arial" w:cs="Arial" w:eastAsia="Arial" w:hAnsi="Arial"/>
                <w:sz w:val="10"/>
                <w:szCs w:val="10"/>
                <w:color w:val="auto"/>
              </w:rPr>
              <w:t>harassment</w:t>
            </w: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0"/>
        </w:trPr>
        <w:tc>
          <w:tcPr>
            <w:tcW w:w="3000" w:type="dxa"/>
            <w:vAlign w:val="bottom"/>
          </w:tcPr>
          <w:p>
            <w:pPr>
              <w:ind w:left="20"/>
              <w:spacing w:after="0"/>
              <w:rPr>
                <w:sz w:val="20"/>
                <w:szCs w:val="20"/>
                <w:color w:val="auto"/>
              </w:rPr>
            </w:pPr>
            <w:r>
              <w:rPr>
                <w:rFonts w:ascii="Arial" w:cs="Arial" w:eastAsia="Arial" w:hAnsi="Arial"/>
                <w:sz w:val="10"/>
                <w:szCs w:val="10"/>
                <w:color w:val="auto"/>
              </w:rPr>
              <w:t>Substantiated number of incidents of discrimination, including</w:t>
            </w:r>
          </w:p>
        </w:tc>
        <w:tc>
          <w:tcPr>
            <w:tcW w:w="580" w:type="dxa"/>
            <w:vAlign w:val="bottom"/>
          </w:tcPr>
          <w:p>
            <w:pPr>
              <w:spacing w:after="0"/>
              <w:rPr>
                <w:sz w:val="20"/>
                <w:szCs w:val="20"/>
                <w:color w:val="auto"/>
              </w:rPr>
            </w:pPr>
            <w:r>
              <w:rPr>
                <w:rFonts w:ascii="Arial" w:cs="Arial" w:eastAsia="Arial" w:hAnsi="Arial"/>
                <w:sz w:val="10"/>
                <w:szCs w:val="10"/>
                <w:color w:val="0057CF"/>
              </w:rPr>
              <w:t>4</w:t>
            </w:r>
          </w:p>
        </w:tc>
        <w:tc>
          <w:tcPr>
            <w:tcW w:w="1280" w:type="dxa"/>
            <w:vAlign w:val="bottom"/>
          </w:tcPr>
          <w:p>
            <w:pPr>
              <w:ind w:left="360"/>
              <w:spacing w:after="0"/>
              <w:rPr>
                <w:sz w:val="20"/>
                <w:szCs w:val="20"/>
                <w:color w:val="auto"/>
              </w:rPr>
            </w:pPr>
            <w:r>
              <w:rPr>
                <w:rFonts w:ascii="Arial" w:cs="Arial" w:eastAsia="Arial" w:hAnsi="Arial"/>
                <w:sz w:val="10"/>
                <w:szCs w:val="10"/>
                <w:color w:val="auto"/>
              </w:rPr>
              <w:t>0</w:t>
            </w:r>
          </w:p>
        </w:tc>
      </w:tr>
      <w:tr>
        <w:trPr>
          <w:trHeight w:val="137"/>
        </w:trPr>
        <w:tc>
          <w:tcPr>
            <w:tcW w:w="3000" w:type="dxa"/>
            <w:vAlign w:val="bottom"/>
          </w:tcPr>
          <w:p>
            <w:pPr>
              <w:ind w:left="20"/>
              <w:spacing w:after="0"/>
              <w:rPr>
                <w:sz w:val="20"/>
                <w:szCs w:val="20"/>
                <w:color w:val="auto"/>
              </w:rPr>
            </w:pPr>
            <w:r>
              <w:rPr>
                <w:rFonts w:ascii="Arial" w:cs="Arial" w:eastAsia="Arial" w:hAnsi="Arial"/>
                <w:sz w:val="10"/>
                <w:szCs w:val="10"/>
                <w:color w:val="auto"/>
              </w:rPr>
              <w:t>harassment</w:t>
            </w: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0"/>
        </w:trPr>
        <w:tc>
          <w:tcPr>
            <w:tcW w:w="3000" w:type="dxa"/>
            <w:vAlign w:val="bottom"/>
          </w:tcPr>
          <w:p>
            <w:pPr>
              <w:ind w:left="20"/>
              <w:spacing w:after="0"/>
              <w:rPr>
                <w:sz w:val="20"/>
                <w:szCs w:val="20"/>
                <w:color w:val="auto"/>
              </w:rPr>
            </w:pPr>
            <w:r>
              <w:rPr>
                <w:rFonts w:ascii="Arial" w:cs="Arial" w:eastAsia="Arial" w:hAnsi="Arial"/>
                <w:sz w:val="10"/>
                <w:szCs w:val="10"/>
                <w:color w:val="auto"/>
              </w:rPr>
              <w:t>Number of complaints filed through channels for own workforce,</w:t>
            </w:r>
          </w:p>
        </w:tc>
        <w:tc>
          <w:tcPr>
            <w:tcW w:w="580" w:type="dxa"/>
            <w:vAlign w:val="bottom"/>
          </w:tcPr>
          <w:p>
            <w:pPr>
              <w:spacing w:after="0"/>
              <w:rPr>
                <w:sz w:val="20"/>
                <w:szCs w:val="20"/>
                <w:color w:val="auto"/>
              </w:rPr>
            </w:pPr>
            <w:r>
              <w:rPr>
                <w:rFonts w:ascii="Arial" w:cs="Arial" w:eastAsia="Arial" w:hAnsi="Arial"/>
                <w:sz w:val="10"/>
                <w:szCs w:val="10"/>
                <w:color w:val="0057CF"/>
              </w:rPr>
              <w:t>0</w:t>
            </w:r>
          </w:p>
        </w:tc>
        <w:tc>
          <w:tcPr>
            <w:tcW w:w="1280" w:type="dxa"/>
            <w:vAlign w:val="bottom"/>
          </w:tcPr>
          <w:p>
            <w:pPr>
              <w:ind w:left="360"/>
              <w:spacing w:after="0"/>
              <w:rPr>
                <w:sz w:val="20"/>
                <w:szCs w:val="20"/>
                <w:color w:val="auto"/>
              </w:rPr>
            </w:pPr>
            <w:r>
              <w:rPr>
                <w:rFonts w:ascii="Arial" w:cs="Arial" w:eastAsia="Arial" w:hAnsi="Arial"/>
                <w:sz w:val="10"/>
                <w:szCs w:val="10"/>
                <w:color w:val="auto"/>
              </w:rPr>
              <w:t>0</w:t>
            </w:r>
          </w:p>
        </w:tc>
      </w:tr>
      <w:tr>
        <w:trPr>
          <w:trHeight w:val="137"/>
        </w:trPr>
        <w:tc>
          <w:tcPr>
            <w:tcW w:w="3000" w:type="dxa"/>
            <w:vAlign w:val="bottom"/>
          </w:tcPr>
          <w:p>
            <w:pPr>
              <w:ind w:left="20"/>
              <w:spacing w:after="0"/>
              <w:rPr>
                <w:sz w:val="20"/>
                <w:szCs w:val="20"/>
                <w:color w:val="auto"/>
              </w:rPr>
            </w:pPr>
            <w:r>
              <w:rPr>
                <w:rFonts w:ascii="Arial" w:cs="Arial" w:eastAsia="Arial" w:hAnsi="Arial"/>
                <w:sz w:val="10"/>
                <w:szCs w:val="10"/>
                <w:color w:val="auto"/>
              </w:rPr>
              <w:t>excluding incidents of discrimination and harassment</w:t>
            </w: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0"/>
        </w:trPr>
        <w:tc>
          <w:tcPr>
            <w:tcW w:w="3000" w:type="dxa"/>
            <w:vAlign w:val="bottom"/>
          </w:tcPr>
          <w:p>
            <w:pPr>
              <w:ind w:left="20"/>
              <w:spacing w:after="0"/>
              <w:rPr>
                <w:sz w:val="20"/>
                <w:szCs w:val="20"/>
                <w:color w:val="auto"/>
              </w:rPr>
            </w:pPr>
            <w:r>
              <w:rPr>
                <w:rFonts w:ascii="Arial" w:cs="Arial" w:eastAsia="Arial" w:hAnsi="Arial"/>
                <w:sz w:val="10"/>
                <w:szCs w:val="10"/>
                <w:color w:val="auto"/>
              </w:rPr>
              <w:t>Number of complaints filed through National Contact Points for</w:t>
            </w:r>
          </w:p>
        </w:tc>
        <w:tc>
          <w:tcPr>
            <w:tcW w:w="580" w:type="dxa"/>
            <w:vAlign w:val="bottom"/>
          </w:tcPr>
          <w:p>
            <w:pPr>
              <w:spacing w:after="0"/>
              <w:rPr>
                <w:sz w:val="20"/>
                <w:szCs w:val="20"/>
                <w:color w:val="auto"/>
              </w:rPr>
            </w:pPr>
            <w:r>
              <w:rPr>
                <w:rFonts w:ascii="Arial" w:cs="Arial" w:eastAsia="Arial" w:hAnsi="Arial"/>
                <w:sz w:val="10"/>
                <w:szCs w:val="10"/>
                <w:color w:val="0057CF"/>
              </w:rPr>
              <w:t>0</w:t>
            </w:r>
          </w:p>
        </w:tc>
        <w:tc>
          <w:tcPr>
            <w:tcW w:w="1280" w:type="dxa"/>
            <w:vAlign w:val="bottom"/>
          </w:tcPr>
          <w:p>
            <w:pPr>
              <w:ind w:left="360"/>
              <w:spacing w:after="0"/>
              <w:rPr>
                <w:sz w:val="20"/>
                <w:szCs w:val="20"/>
                <w:color w:val="auto"/>
              </w:rPr>
            </w:pPr>
            <w:r>
              <w:rPr>
                <w:rFonts w:ascii="Arial" w:cs="Arial" w:eastAsia="Arial" w:hAnsi="Arial"/>
                <w:sz w:val="10"/>
                <w:szCs w:val="10"/>
                <w:color w:val="auto"/>
              </w:rPr>
              <w:t>0</w:t>
            </w:r>
          </w:p>
        </w:tc>
      </w:tr>
      <w:tr>
        <w:trPr>
          <w:trHeight w:val="137"/>
        </w:trPr>
        <w:tc>
          <w:tcPr>
            <w:tcW w:w="3000" w:type="dxa"/>
            <w:vAlign w:val="bottom"/>
          </w:tcPr>
          <w:p>
            <w:pPr>
              <w:ind w:left="20"/>
              <w:spacing w:after="0"/>
              <w:rPr>
                <w:sz w:val="20"/>
                <w:szCs w:val="20"/>
                <w:color w:val="auto"/>
              </w:rPr>
            </w:pPr>
            <w:r>
              <w:rPr>
                <w:rFonts w:ascii="Arial" w:cs="Arial" w:eastAsia="Arial" w:hAnsi="Arial"/>
                <w:sz w:val="10"/>
                <w:szCs w:val="10"/>
                <w:color w:val="auto"/>
              </w:rPr>
              <w:t>OECD Multinational Enterprises</w:t>
            </w: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0"/>
        </w:trPr>
        <w:tc>
          <w:tcPr>
            <w:tcW w:w="3000" w:type="dxa"/>
            <w:vAlign w:val="bottom"/>
          </w:tcPr>
          <w:p>
            <w:pPr>
              <w:ind w:left="20"/>
              <w:spacing w:after="0"/>
              <w:rPr>
                <w:sz w:val="20"/>
                <w:szCs w:val="20"/>
                <w:color w:val="auto"/>
              </w:rPr>
            </w:pPr>
            <w:r>
              <w:rPr>
                <w:rFonts w:ascii="Arial" w:cs="Arial" w:eastAsia="Arial" w:hAnsi="Arial"/>
                <w:sz w:val="10"/>
                <w:szCs w:val="10"/>
                <w:color w:val="auto"/>
              </w:rPr>
              <w:t>Fines, penalties, and compensation for damages as a result of t</w:t>
            </w:r>
          </w:p>
        </w:tc>
        <w:tc>
          <w:tcPr>
            <w:tcW w:w="580" w:type="dxa"/>
            <w:vAlign w:val="bottom"/>
          </w:tcPr>
          <w:p>
            <w:pPr>
              <w:spacing w:after="0"/>
              <w:rPr>
                <w:sz w:val="20"/>
                <w:szCs w:val="20"/>
                <w:color w:val="auto"/>
              </w:rPr>
            </w:pPr>
            <w:r>
              <w:rPr>
                <w:rFonts w:ascii="Arial" w:cs="Arial" w:eastAsia="Arial" w:hAnsi="Arial"/>
                <w:sz w:val="10"/>
                <w:szCs w:val="10"/>
                <w:color w:val="0057CF"/>
              </w:rPr>
              <w:t>0</w:t>
            </w:r>
          </w:p>
        </w:tc>
        <w:tc>
          <w:tcPr>
            <w:tcW w:w="1280" w:type="dxa"/>
            <w:vAlign w:val="bottom"/>
          </w:tcPr>
          <w:p>
            <w:pPr>
              <w:ind w:left="360"/>
              <w:spacing w:after="0"/>
              <w:rPr>
                <w:sz w:val="20"/>
                <w:szCs w:val="20"/>
                <w:color w:val="auto"/>
              </w:rPr>
            </w:pPr>
            <w:r>
              <w:rPr>
                <w:rFonts w:ascii="Arial" w:cs="Arial" w:eastAsia="Arial" w:hAnsi="Arial"/>
                <w:sz w:val="10"/>
                <w:szCs w:val="10"/>
                <w:color w:val="auto"/>
              </w:rPr>
              <w:t>0</w:t>
            </w:r>
          </w:p>
        </w:tc>
      </w:tr>
      <w:tr>
        <w:trPr>
          <w:trHeight w:val="95"/>
        </w:trPr>
        <w:tc>
          <w:tcPr>
            <w:tcW w:w="3000" w:type="dxa"/>
            <w:vAlign w:val="bottom"/>
          </w:tcPr>
          <w:p>
            <w:pPr>
              <w:ind w:left="20"/>
              <w:spacing w:after="0" w:line="95" w:lineRule="exact"/>
              <w:rPr>
                <w:sz w:val="20"/>
                <w:szCs w:val="20"/>
                <w:color w:val="auto"/>
              </w:rPr>
            </w:pPr>
            <w:r>
              <w:rPr>
                <w:rFonts w:ascii="Arial" w:cs="Arial" w:eastAsia="Arial" w:hAnsi="Arial"/>
                <w:sz w:val="10"/>
                <w:szCs w:val="10"/>
                <w:color w:val="auto"/>
              </w:rPr>
              <w:t>he</w:t>
            </w: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95"/>
        </w:trPr>
        <w:tc>
          <w:tcPr>
            <w:tcW w:w="3000" w:type="dxa"/>
            <w:vAlign w:val="bottom"/>
          </w:tcPr>
          <w:p>
            <w:pPr>
              <w:ind w:left="20"/>
              <w:spacing w:after="0" w:line="95" w:lineRule="exact"/>
              <w:rPr>
                <w:sz w:val="20"/>
                <w:szCs w:val="20"/>
                <w:color w:val="auto"/>
              </w:rPr>
            </w:pPr>
            <w:r>
              <w:rPr>
                <w:rFonts w:ascii="Arial" w:cs="Arial" w:eastAsia="Arial" w:hAnsi="Arial"/>
                <w:sz w:val="10"/>
                <w:szCs w:val="10"/>
                <w:color w:val="auto"/>
              </w:rPr>
              <w:t>incidents and complaints of discrimination, including harassment</w:t>
            </w: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0"/>
                <w:szCs w:val="10"/>
                <w:color w:val="auto"/>
              </w:rPr>
              <w:t>(in USD)</w:t>
            </w:r>
          </w:p>
        </w:tc>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37"/>
        </w:trPr>
        <w:tc>
          <w:tcPr>
            <w:tcW w:w="3000" w:type="dxa"/>
            <w:vAlign w:val="bottom"/>
          </w:tcPr>
          <w:p>
            <w:pPr>
              <w:ind w:left="20"/>
              <w:spacing w:after="0"/>
              <w:rPr>
                <w:sz w:val="20"/>
                <w:szCs w:val="20"/>
                <w:color w:val="auto"/>
              </w:rPr>
            </w:pPr>
            <w:r>
              <w:rPr>
                <w:rFonts w:ascii="Arial" w:cs="Arial" w:eastAsia="Arial" w:hAnsi="Arial"/>
                <w:sz w:val="10"/>
                <w:szCs w:val="10"/>
                <w:color w:val="auto"/>
              </w:rPr>
              <w:t>Number of severe human rights incidents for own workforce</w:t>
            </w:r>
          </w:p>
        </w:tc>
        <w:tc>
          <w:tcPr>
            <w:tcW w:w="580" w:type="dxa"/>
            <w:vAlign w:val="bottom"/>
          </w:tcPr>
          <w:p>
            <w:pPr>
              <w:spacing w:after="0"/>
              <w:rPr>
                <w:sz w:val="20"/>
                <w:szCs w:val="20"/>
                <w:color w:val="auto"/>
              </w:rPr>
            </w:pPr>
            <w:r>
              <w:rPr>
                <w:rFonts w:ascii="Arial" w:cs="Arial" w:eastAsia="Arial" w:hAnsi="Arial"/>
                <w:sz w:val="10"/>
                <w:szCs w:val="10"/>
                <w:color w:val="0057CF"/>
              </w:rPr>
              <w:t>0</w:t>
            </w:r>
          </w:p>
        </w:tc>
        <w:tc>
          <w:tcPr>
            <w:tcW w:w="1280" w:type="dxa"/>
            <w:vAlign w:val="bottom"/>
          </w:tcPr>
          <w:p>
            <w:pPr>
              <w:ind w:left="360"/>
              <w:spacing w:after="0"/>
              <w:rPr>
                <w:sz w:val="20"/>
                <w:szCs w:val="20"/>
                <w:color w:val="auto"/>
              </w:rPr>
            </w:pPr>
            <w:r>
              <w:rPr>
                <w:rFonts w:ascii="Arial" w:cs="Arial" w:eastAsia="Arial" w:hAnsi="Arial"/>
                <w:sz w:val="10"/>
                <w:szCs w:val="10"/>
                <w:color w:val="auto"/>
              </w:rPr>
              <w:t>0</w:t>
            </w:r>
          </w:p>
        </w:tc>
      </w:tr>
      <w:tr>
        <w:trPr>
          <w:trHeight w:val="120"/>
        </w:trPr>
        <w:tc>
          <w:tcPr>
            <w:tcW w:w="3000" w:type="dxa"/>
            <w:vAlign w:val="bottom"/>
          </w:tcPr>
          <w:p>
            <w:pPr>
              <w:ind w:left="20"/>
              <w:spacing w:after="0"/>
              <w:rPr>
                <w:sz w:val="20"/>
                <w:szCs w:val="20"/>
                <w:color w:val="auto"/>
              </w:rPr>
            </w:pPr>
            <w:r>
              <w:rPr>
                <w:rFonts w:ascii="Arial" w:cs="Arial" w:eastAsia="Arial" w:hAnsi="Arial"/>
                <w:sz w:val="10"/>
                <w:szCs w:val="10"/>
                <w:color w:val="auto"/>
              </w:rPr>
              <w:t>Fines, penalties, and compensation for damages as a result of</w:t>
            </w:r>
          </w:p>
        </w:tc>
        <w:tc>
          <w:tcPr>
            <w:tcW w:w="580" w:type="dxa"/>
            <w:vAlign w:val="bottom"/>
          </w:tcPr>
          <w:p>
            <w:pPr>
              <w:spacing w:after="0"/>
              <w:rPr>
                <w:sz w:val="20"/>
                <w:szCs w:val="20"/>
                <w:color w:val="auto"/>
              </w:rPr>
            </w:pPr>
            <w:r>
              <w:rPr>
                <w:rFonts w:ascii="Arial" w:cs="Arial" w:eastAsia="Arial" w:hAnsi="Arial"/>
                <w:sz w:val="10"/>
                <w:szCs w:val="10"/>
                <w:color w:val="0057CF"/>
              </w:rPr>
              <w:t>0</w:t>
            </w:r>
          </w:p>
        </w:tc>
        <w:tc>
          <w:tcPr>
            <w:tcW w:w="1280" w:type="dxa"/>
            <w:vAlign w:val="bottom"/>
          </w:tcPr>
          <w:p>
            <w:pPr>
              <w:ind w:left="360"/>
              <w:spacing w:after="0"/>
              <w:rPr>
                <w:sz w:val="20"/>
                <w:szCs w:val="20"/>
                <w:color w:val="auto"/>
              </w:rPr>
            </w:pPr>
            <w:r>
              <w:rPr>
                <w:rFonts w:ascii="Arial" w:cs="Arial" w:eastAsia="Arial" w:hAnsi="Arial"/>
                <w:sz w:val="10"/>
                <w:szCs w:val="10"/>
                <w:color w:val="auto"/>
              </w:rPr>
              <w:t>0</w:t>
            </w:r>
          </w:p>
        </w:tc>
      </w:tr>
      <w:tr>
        <w:trPr>
          <w:trHeight w:val="137"/>
        </w:trPr>
        <w:tc>
          <w:tcPr>
            <w:tcW w:w="3000" w:type="dxa"/>
            <w:vAlign w:val="bottom"/>
          </w:tcPr>
          <w:p>
            <w:pPr>
              <w:ind w:left="20"/>
              <w:spacing w:after="0"/>
              <w:rPr>
                <w:sz w:val="20"/>
                <w:szCs w:val="20"/>
                <w:color w:val="auto"/>
              </w:rPr>
            </w:pPr>
            <w:r>
              <w:rPr>
                <w:rFonts w:ascii="Arial" w:cs="Arial" w:eastAsia="Arial" w:hAnsi="Arial"/>
                <w:sz w:val="10"/>
                <w:szCs w:val="10"/>
                <w:color w:val="auto"/>
              </w:rPr>
              <w:t>severe human rights incidents (in USD)</w:t>
            </w: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3"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2"/>
          <w:szCs w:val="12"/>
          <w:b w:val="1"/>
          <w:bCs w:val="1"/>
          <w:color w:val="auto"/>
        </w:rPr>
        <w:t>Accounting Policies</w:t>
      </w:r>
    </w:p>
    <w:p>
      <w:pPr>
        <w:spacing w:after="0" w:line="214" w:lineRule="auto"/>
        <w:rPr>
          <w:sz w:val="20"/>
          <w:szCs w:val="20"/>
          <w:color w:val="auto"/>
        </w:rPr>
      </w:pPr>
      <w:r>
        <w:rPr>
          <w:rFonts w:ascii="Arial" w:cs="Arial" w:eastAsia="Arial" w:hAnsi="Arial"/>
          <w:sz w:val="11"/>
          <w:szCs w:val="11"/>
          <w:b w:val="1"/>
          <w:bCs w:val="1"/>
          <w:color w:val="0057CF"/>
        </w:rPr>
        <w:t>Incidents, complaints and severe human rights impacts</w:t>
      </w:r>
    </w:p>
    <w:p>
      <w:pPr>
        <w:spacing w:after="0" w:line="199" w:lineRule="auto"/>
        <w:rPr>
          <w:sz w:val="20"/>
          <w:szCs w:val="20"/>
          <w:color w:val="auto"/>
        </w:rPr>
      </w:pPr>
      <w:r>
        <w:rPr>
          <w:rFonts w:ascii="Arial" w:cs="Arial" w:eastAsia="Arial" w:hAnsi="Arial"/>
          <w:sz w:val="10"/>
          <w:szCs w:val="10"/>
          <w:color w:val="auto"/>
        </w:rPr>
        <w:t>Genmab calculates the number of discrimination incidents, complaints and severe human rights</w:t>
      </w:r>
    </w:p>
    <w:p>
      <w:pPr>
        <w:spacing w:after="0" w:line="199" w:lineRule="auto"/>
        <w:rPr>
          <w:sz w:val="20"/>
          <w:szCs w:val="20"/>
          <w:color w:val="auto"/>
        </w:rPr>
      </w:pPr>
      <w:r>
        <w:rPr>
          <w:rFonts w:ascii="Arial" w:cs="Arial" w:eastAsia="Arial" w:hAnsi="Arial"/>
          <w:sz w:val="10"/>
          <w:szCs w:val="10"/>
          <w:color w:val="auto"/>
        </w:rPr>
        <w:t>cases reported to the Speak Up Hotline or to our Human Resources or Compliance teams in the</w:t>
      </w:r>
    </w:p>
    <w:p>
      <w:pPr>
        <w:spacing w:after="0"/>
        <w:rPr>
          <w:sz w:val="20"/>
          <w:szCs w:val="20"/>
          <w:color w:val="auto"/>
        </w:rPr>
      </w:pPr>
      <w:r>
        <w:rPr>
          <w:rFonts w:ascii="Arial" w:cs="Arial" w:eastAsia="Arial" w:hAnsi="Arial"/>
          <w:sz w:val="10"/>
          <w:szCs w:val="10"/>
          <w:color w:val="auto"/>
        </w:rPr>
        <w:t>reporting period.</w:t>
      </w:r>
    </w:p>
    <w:p>
      <w:pPr>
        <w:sectPr>
          <w:pgSz w:w="11900" w:h="16840" w:orient="portrait"/>
          <w:cols w:equalWidth="0" w:num="1">
            <w:col w:w="9820"/>
          </w:cols>
          <w:pgMar w:left="640" w:top="571" w:right="1440"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92</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4.0</w:t>
      </w:r>
    </w:p>
    <w:p>
      <w:pPr>
        <w:spacing w:after="0" w:line="210" w:lineRule="auto"/>
        <w:rPr>
          <w:sz w:val="20"/>
          <w:szCs w:val="20"/>
          <w:color w:val="auto"/>
        </w:rPr>
      </w:pPr>
      <w:r>
        <w:rPr>
          <w:rFonts w:ascii="Arial" w:cs="Arial" w:eastAsia="Arial" w:hAnsi="Arial"/>
          <w:sz w:val="15"/>
          <w:szCs w:val="15"/>
          <w:color w:val="0057CF"/>
        </w:rPr>
        <w:t>Consumers &amp; End-Users IRO Management</w:t>
      </w:r>
    </w:p>
    <w:p>
      <w:pPr>
        <w:spacing w:after="0" w:line="224" w:lineRule="auto"/>
        <w:rPr>
          <w:sz w:val="20"/>
          <w:szCs w:val="20"/>
          <w:color w:val="auto"/>
        </w:rPr>
      </w:pPr>
      <w:r>
        <w:rPr>
          <w:rFonts w:ascii="Arial" w:cs="Arial" w:eastAsia="Arial" w:hAnsi="Arial"/>
          <w:sz w:val="13"/>
          <w:szCs w:val="13"/>
          <w:b w:val="1"/>
          <w:bCs w:val="1"/>
          <w:color w:val="0057CF"/>
        </w:rPr>
        <w:t>Policies related to Consumers and End-Users (S4-1)</w:t>
      </w:r>
    </w:p>
    <w:tbl>
      <w:tblPr>
        <w:tblLayout w:type="fixed"/>
        <w:tblInd w:w="0" w:type="dxa"/>
        <w:tblCellMar>
          <w:top w:w="0" w:type="dxa"/>
          <w:left w:w="0" w:type="dxa"/>
          <w:bottom w:w="0" w:type="dxa"/>
          <w:right w:w="0" w:type="dxa"/>
        </w:tblCellMar>
      </w:tblPr>
      <w:tr>
        <w:trPr>
          <w:trHeight w:val="95"/>
        </w:trPr>
        <w:tc>
          <w:tcPr>
            <w:tcW w:w="72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Policy/</w:t>
            </w:r>
          </w:p>
        </w:tc>
        <w:tc>
          <w:tcPr>
            <w:tcW w:w="72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IRO Mapping</w:t>
            </w:r>
          </w:p>
        </w:tc>
        <w:tc>
          <w:tcPr>
            <w:tcW w:w="2740" w:type="dxa"/>
            <w:vAlign w:val="bottom"/>
            <w:tcBorders>
              <w:top w:val="single" w:sz="8" w:color="0057CF"/>
            </w:tcBorders>
          </w:tcPr>
          <w:p>
            <w:pPr>
              <w:ind w:left="100"/>
              <w:spacing w:after="0" w:line="95" w:lineRule="exact"/>
              <w:rPr>
                <w:sz w:val="20"/>
                <w:szCs w:val="20"/>
                <w:color w:val="auto"/>
              </w:rPr>
            </w:pPr>
            <w:r>
              <w:rPr>
                <w:rFonts w:ascii="Arial" w:cs="Arial" w:eastAsia="Arial" w:hAnsi="Arial"/>
                <w:sz w:val="10"/>
                <w:szCs w:val="10"/>
                <w:b w:val="1"/>
                <w:bCs w:val="1"/>
                <w:color w:val="auto"/>
              </w:rPr>
              <w:t>Policy/Commitment Content and Objectives</w:t>
            </w:r>
          </w:p>
        </w:tc>
        <w:tc>
          <w:tcPr>
            <w:tcW w:w="920" w:type="dxa"/>
            <w:vAlign w:val="bottom"/>
            <w:tcBorders>
              <w:top w:val="single" w:sz="8" w:color="0057CF"/>
            </w:tcBorders>
          </w:tcPr>
          <w:p>
            <w:pPr>
              <w:spacing w:after="0" w:line="95" w:lineRule="exact"/>
              <w:rPr>
                <w:sz w:val="20"/>
                <w:szCs w:val="20"/>
                <w:color w:val="auto"/>
              </w:rPr>
            </w:pPr>
            <w:r>
              <w:rPr>
                <w:rFonts w:ascii="Arial" w:cs="Arial" w:eastAsia="Arial" w:hAnsi="Arial"/>
                <w:sz w:val="10"/>
                <w:szCs w:val="10"/>
                <w:b w:val="1"/>
                <w:bCs w:val="1"/>
                <w:color w:val="auto"/>
              </w:rPr>
              <w:t>Scope</w:t>
            </w:r>
          </w:p>
        </w:tc>
        <w:tc>
          <w:tcPr>
            <w:tcW w:w="90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Accountability</w:t>
            </w:r>
          </w:p>
        </w:tc>
        <w:tc>
          <w:tcPr>
            <w:tcW w:w="180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External Standards or Commitments</w:t>
            </w:r>
          </w:p>
        </w:tc>
        <w:tc>
          <w:tcPr>
            <w:tcW w:w="124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Stakeholder</w:t>
            </w:r>
          </w:p>
        </w:tc>
        <w:tc>
          <w:tcPr>
            <w:tcW w:w="86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Accessibility /</w:t>
            </w:r>
          </w:p>
        </w:tc>
        <w:tc>
          <w:tcPr>
            <w:tcW w:w="0" w:type="dxa"/>
            <w:vAlign w:val="bottom"/>
          </w:tcPr>
          <w:p>
            <w:pPr>
              <w:spacing w:after="0"/>
              <w:rPr>
                <w:sz w:val="1"/>
                <w:szCs w:val="1"/>
                <w:color w:val="auto"/>
              </w:rPr>
            </w:pPr>
          </w:p>
        </w:tc>
      </w:tr>
      <w:tr>
        <w:trPr>
          <w:trHeight w:val="128"/>
        </w:trPr>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Commitment</w:t>
            </w:r>
          </w:p>
        </w:tc>
        <w:tc>
          <w:tcPr>
            <w:tcW w:w="7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40" w:type="dxa"/>
            <w:vAlign w:val="bottom"/>
          </w:tcPr>
          <w:p>
            <w:pPr>
              <w:ind w:left="40"/>
              <w:spacing w:after="0"/>
              <w:rPr>
                <w:sz w:val="20"/>
                <w:szCs w:val="20"/>
                <w:color w:val="auto"/>
              </w:rPr>
            </w:pPr>
            <w:r>
              <w:rPr>
                <w:rFonts w:ascii="Arial" w:cs="Arial" w:eastAsia="Arial" w:hAnsi="Arial"/>
                <w:sz w:val="10"/>
                <w:szCs w:val="10"/>
                <w:b w:val="1"/>
                <w:bCs w:val="1"/>
                <w:color w:val="auto"/>
              </w:rPr>
              <w:t>Consideration</w:t>
            </w:r>
          </w:p>
        </w:tc>
        <w:tc>
          <w:tcPr>
            <w:tcW w:w="860" w:type="dxa"/>
            <w:vAlign w:val="bottom"/>
          </w:tcPr>
          <w:p>
            <w:pPr>
              <w:ind w:left="20"/>
              <w:spacing w:after="0"/>
              <w:rPr>
                <w:sz w:val="20"/>
                <w:szCs w:val="20"/>
                <w:color w:val="auto"/>
              </w:rPr>
            </w:pPr>
            <w:r>
              <w:rPr>
                <w:rFonts w:ascii="Arial" w:cs="Arial" w:eastAsia="Arial" w:hAnsi="Arial"/>
                <w:sz w:val="10"/>
                <w:szCs w:val="10"/>
                <w:b w:val="1"/>
                <w:bCs w:val="1"/>
                <w:color w:val="auto"/>
              </w:rPr>
              <w:t>Communication</w:t>
            </w:r>
          </w:p>
        </w:tc>
        <w:tc>
          <w:tcPr>
            <w:tcW w:w="0" w:type="dxa"/>
            <w:vAlign w:val="bottom"/>
          </w:tcPr>
          <w:p>
            <w:pPr>
              <w:spacing w:after="0"/>
              <w:rPr>
                <w:sz w:val="1"/>
                <w:szCs w:val="1"/>
                <w:color w:val="auto"/>
              </w:rPr>
            </w:pPr>
          </w:p>
        </w:tc>
      </w:tr>
      <w:tr>
        <w:trPr>
          <w:trHeight w:val="118"/>
        </w:trPr>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Code of</w:t>
            </w:r>
          </w:p>
        </w:tc>
        <w:tc>
          <w:tcPr>
            <w:tcW w:w="720" w:type="dxa"/>
            <w:vAlign w:val="bottom"/>
          </w:tcPr>
          <w:p>
            <w:pPr>
              <w:ind w:left="40"/>
              <w:spacing w:after="0"/>
              <w:rPr>
                <w:sz w:val="20"/>
                <w:szCs w:val="20"/>
                <w:color w:val="auto"/>
              </w:rPr>
            </w:pPr>
            <w:r>
              <w:rPr>
                <w:rFonts w:ascii="Arial" w:cs="Arial" w:eastAsia="Arial" w:hAnsi="Arial"/>
                <w:sz w:val="10"/>
                <w:szCs w:val="10"/>
                <w:color w:val="auto"/>
              </w:rPr>
              <w:t>Access and</w:t>
            </w:r>
          </w:p>
        </w:tc>
        <w:tc>
          <w:tcPr>
            <w:tcW w:w="3660" w:type="dxa"/>
            <w:vAlign w:val="bottom"/>
            <w:gridSpan w:val="2"/>
          </w:tcPr>
          <w:p>
            <w:pPr>
              <w:ind w:left="100"/>
              <w:spacing w:after="0"/>
              <w:rPr>
                <w:sz w:val="20"/>
                <w:szCs w:val="20"/>
                <w:color w:val="auto"/>
              </w:rPr>
            </w:pPr>
            <w:r>
              <w:rPr>
                <w:rFonts w:ascii="Arial" w:cs="Arial" w:eastAsia="Arial" w:hAnsi="Arial"/>
                <w:sz w:val="10"/>
                <w:szCs w:val="10"/>
                <w:color w:val="auto"/>
              </w:rPr>
              <w:t>Defines our commitment to conducting business ethicallyApplies to all</w:t>
            </w:r>
          </w:p>
        </w:tc>
        <w:tc>
          <w:tcPr>
            <w:tcW w:w="900" w:type="dxa"/>
            <w:vAlign w:val="bottom"/>
          </w:tcPr>
          <w:p>
            <w:pPr>
              <w:ind w:left="20"/>
              <w:spacing w:after="0"/>
              <w:rPr>
                <w:sz w:val="20"/>
                <w:szCs w:val="20"/>
                <w:color w:val="auto"/>
              </w:rPr>
            </w:pPr>
            <w:r>
              <w:rPr>
                <w:rFonts w:ascii="Arial" w:cs="Arial" w:eastAsia="Arial" w:hAnsi="Arial"/>
                <w:sz w:val="10"/>
                <w:szCs w:val="10"/>
                <w:color w:val="auto"/>
              </w:rPr>
              <w:t>SVP, Global</w:t>
            </w:r>
          </w:p>
        </w:tc>
        <w:tc>
          <w:tcPr>
            <w:tcW w:w="1800" w:type="dxa"/>
            <w:vAlign w:val="bottom"/>
          </w:tcPr>
          <w:p>
            <w:pPr>
              <w:ind w:left="40"/>
              <w:spacing w:after="0"/>
              <w:rPr>
                <w:sz w:val="20"/>
                <w:szCs w:val="20"/>
                <w:color w:val="auto"/>
              </w:rPr>
            </w:pPr>
            <w:r>
              <w:rPr>
                <w:rFonts w:ascii="Arial" w:cs="Arial" w:eastAsia="Arial" w:hAnsi="Arial"/>
                <w:sz w:val="10"/>
                <w:szCs w:val="10"/>
                <w:color w:val="auto"/>
              </w:rPr>
              <w:t>Supports alignment with:</w:t>
            </w:r>
          </w:p>
        </w:tc>
        <w:tc>
          <w:tcPr>
            <w:tcW w:w="2100" w:type="dxa"/>
            <w:vAlign w:val="bottom"/>
            <w:gridSpan w:val="2"/>
          </w:tcPr>
          <w:p>
            <w:pPr>
              <w:ind w:left="40"/>
              <w:spacing w:after="0"/>
              <w:rPr>
                <w:sz w:val="20"/>
                <w:szCs w:val="20"/>
                <w:color w:val="auto"/>
              </w:rPr>
            </w:pPr>
            <w:r>
              <w:rPr>
                <w:rFonts w:ascii="Arial" w:cs="Arial" w:eastAsia="Arial" w:hAnsi="Arial"/>
                <w:sz w:val="10"/>
                <w:szCs w:val="10"/>
                <w:color w:val="auto"/>
              </w:rPr>
              <w:t>Reflects the expectations Available on</w:t>
            </w:r>
          </w:p>
        </w:tc>
        <w:tc>
          <w:tcPr>
            <w:tcW w:w="0" w:type="dxa"/>
            <w:vAlign w:val="bottom"/>
          </w:tcPr>
          <w:p>
            <w:pPr>
              <w:spacing w:after="0"/>
              <w:rPr>
                <w:sz w:val="1"/>
                <w:szCs w:val="1"/>
                <w:color w:val="auto"/>
              </w:rPr>
            </w:pPr>
          </w:p>
        </w:tc>
      </w:tr>
      <w:tr>
        <w:trPr>
          <w:trHeight w:val="95"/>
        </w:trPr>
        <w:tc>
          <w:tcPr>
            <w:tcW w:w="7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Conduct</w:t>
            </w: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inclusion in</w:t>
            </w:r>
          </w:p>
        </w:tc>
        <w:tc>
          <w:tcPr>
            <w:tcW w:w="2740" w:type="dxa"/>
            <w:vAlign w:val="bottom"/>
            <w:vMerge w:val="restart"/>
          </w:tcPr>
          <w:p>
            <w:pPr>
              <w:ind w:left="100"/>
              <w:spacing w:after="0"/>
              <w:rPr>
                <w:sz w:val="20"/>
                <w:szCs w:val="20"/>
                <w:color w:val="auto"/>
              </w:rPr>
            </w:pPr>
            <w:r>
              <w:rPr>
                <w:rFonts w:ascii="Arial" w:cs="Arial" w:eastAsia="Arial" w:hAnsi="Arial"/>
                <w:sz w:val="10"/>
                <w:szCs w:val="10"/>
                <w:color w:val="auto"/>
              </w:rPr>
              <w:t>and in compliance with applicable legal, regulatory, and</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employees, Board</w:t>
            </w:r>
          </w:p>
        </w:tc>
        <w:tc>
          <w:tcPr>
            <w:tcW w:w="900" w:type="dxa"/>
            <w:vAlign w:val="bottom"/>
          </w:tcPr>
          <w:p>
            <w:pPr>
              <w:ind w:left="20"/>
              <w:spacing w:after="0" w:line="95" w:lineRule="exact"/>
              <w:rPr>
                <w:sz w:val="20"/>
                <w:szCs w:val="20"/>
                <w:color w:val="auto"/>
              </w:rPr>
            </w:pPr>
            <w:r>
              <w:rPr>
                <w:rFonts w:ascii="Arial" w:cs="Arial" w:eastAsia="Arial" w:hAnsi="Arial"/>
                <w:sz w:val="10"/>
                <w:szCs w:val="10"/>
                <w:color w:val="auto"/>
              </w:rPr>
              <w:t>Compliance, Risk,</w:t>
            </w: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•Applicable global and local laws</w:t>
            </w:r>
          </w:p>
        </w:tc>
        <w:tc>
          <w:tcPr>
            <w:tcW w:w="1240" w:type="dxa"/>
            <w:vAlign w:val="bottom"/>
            <w:vMerge w:val="restart"/>
          </w:tcPr>
          <w:p>
            <w:pPr>
              <w:ind w:left="40"/>
              <w:spacing w:after="0"/>
              <w:rPr>
                <w:sz w:val="20"/>
                <w:szCs w:val="20"/>
                <w:color w:val="auto"/>
              </w:rPr>
            </w:pPr>
            <w:r>
              <w:rPr>
                <w:rFonts w:ascii="Arial" w:cs="Arial" w:eastAsia="Arial" w:hAnsi="Arial"/>
                <w:sz w:val="10"/>
                <w:szCs w:val="10"/>
                <w:color w:val="auto"/>
              </w:rPr>
              <w:t>of employees, patients,</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internet, intranet,</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clinical trials;</w:t>
            </w:r>
          </w:p>
        </w:tc>
        <w:tc>
          <w:tcPr>
            <w:tcW w:w="2740" w:type="dxa"/>
            <w:vAlign w:val="bottom"/>
            <w:vMerge w:val="continue"/>
          </w:tcPr>
          <w:p>
            <w:pPr>
              <w:spacing w:after="0"/>
              <w:rPr>
                <w:sz w:val="8"/>
                <w:szCs w:val="8"/>
                <w:color w:val="auto"/>
              </w:rPr>
            </w:pPr>
          </w:p>
        </w:tc>
        <w:tc>
          <w:tcPr>
            <w:tcW w:w="1820" w:type="dxa"/>
            <w:vAlign w:val="bottom"/>
            <w:gridSpan w:val="2"/>
          </w:tcPr>
          <w:p>
            <w:pPr>
              <w:spacing w:after="0" w:line="95" w:lineRule="exact"/>
              <w:rPr>
                <w:sz w:val="20"/>
                <w:szCs w:val="20"/>
                <w:color w:val="auto"/>
              </w:rPr>
            </w:pPr>
            <w:r>
              <w:rPr>
                <w:rFonts w:ascii="Arial" w:cs="Arial" w:eastAsia="Arial" w:hAnsi="Arial"/>
                <w:sz w:val="10"/>
                <w:szCs w:val="10"/>
                <w:color w:val="auto"/>
              </w:rPr>
              <w:t>members, and third and Data Privacy</w:t>
            </w: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including but not limited to Foreign</w:t>
            </w:r>
          </w:p>
        </w:tc>
        <w:tc>
          <w:tcPr>
            <w:tcW w:w="1240" w:type="dxa"/>
            <w:vAlign w:val="bottom"/>
            <w:vMerge w:val="continue"/>
          </w:tcPr>
          <w:p>
            <w:pPr>
              <w:spacing w:after="0"/>
              <w:rPr>
                <w:sz w:val="8"/>
                <w:szCs w:val="8"/>
                <w:color w:val="auto"/>
              </w:rPr>
            </w:pP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and integrated</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Responsible</w:t>
            </w:r>
          </w:p>
        </w:tc>
        <w:tc>
          <w:tcPr>
            <w:tcW w:w="366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industry code requirements. The objective is to translate parties.</w:t>
            </w: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Corrupt Practices Act, False Claims</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business partners,</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into onboarding</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and ethical</w:t>
            </w: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the principles of the Code into clear global compliance</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Act, Anti-Kickback Statute, UK</w:t>
            </w:r>
          </w:p>
        </w:tc>
        <w:tc>
          <w:tcPr>
            <w:tcW w:w="2100" w:type="dxa"/>
            <w:vAlign w:val="bottom"/>
            <w:gridSpan w:val="2"/>
          </w:tcPr>
          <w:p>
            <w:pPr>
              <w:ind w:left="40"/>
              <w:spacing w:after="0" w:line="95" w:lineRule="exact"/>
              <w:rPr>
                <w:sz w:val="20"/>
                <w:szCs w:val="20"/>
                <w:color w:val="auto"/>
              </w:rPr>
            </w:pPr>
            <w:r>
              <w:rPr>
                <w:rFonts w:ascii="Arial" w:cs="Arial" w:eastAsia="Arial" w:hAnsi="Arial"/>
                <w:sz w:val="10"/>
                <w:szCs w:val="10"/>
                <w:color w:val="auto"/>
              </w:rPr>
              <w:t>regulators, and society by and annual Code</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marketing</w:t>
            </w: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expectations, guiding interactions with healthcare</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Bribery Act, Sarbanes-Oxley Act.</w:t>
            </w:r>
          </w:p>
        </w:tc>
        <w:tc>
          <w:tcPr>
            <w:tcW w:w="1240" w:type="dxa"/>
            <w:vAlign w:val="bottom"/>
            <w:vMerge w:val="restart"/>
          </w:tcPr>
          <w:p>
            <w:pPr>
              <w:ind w:left="40"/>
              <w:spacing w:after="0"/>
              <w:rPr>
                <w:sz w:val="20"/>
                <w:szCs w:val="20"/>
                <w:color w:val="auto"/>
              </w:rPr>
            </w:pPr>
            <w:r>
              <w:rPr>
                <w:rFonts w:ascii="Arial" w:cs="Arial" w:eastAsia="Arial" w:hAnsi="Arial"/>
                <w:sz w:val="10"/>
                <w:szCs w:val="10"/>
                <w:color w:val="auto"/>
              </w:rPr>
              <w:t>setting clear standards</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of Conduct</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professionals, healthcare organizations, patients, patient</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•Regulations set forth by government</w:t>
            </w:r>
          </w:p>
        </w:tc>
        <w:tc>
          <w:tcPr>
            <w:tcW w:w="1240" w:type="dxa"/>
            <w:vAlign w:val="bottom"/>
            <w:vMerge w:val="continue"/>
          </w:tcPr>
          <w:p>
            <w:pPr>
              <w:spacing w:after="0"/>
              <w:rPr>
                <w:sz w:val="8"/>
                <w:szCs w:val="8"/>
                <w:color w:val="auto"/>
              </w:rPr>
            </w:pP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training.</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advocacy groups, public officials, and other stakeholders</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agencies such as the FDA and EMA.</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for ethical behavior, legal</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•GDPR and other applicable privacy</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compliance, and</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and supporting consistent, lawful, and ethical conduct</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and data protection guidelines.</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responsible business</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across all business activities.</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•Internationally recognized industry</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conduct.</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codes/ethical standards including</w:t>
            </w: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EFPIA, PhRMA Codes of Practice,</w:t>
            </w: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and the UN Convention against</w:t>
            </w: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tcPr>
          <w:p>
            <w:pPr>
              <w:ind w:left="40"/>
              <w:spacing w:after="0"/>
              <w:rPr>
                <w:sz w:val="20"/>
                <w:szCs w:val="20"/>
                <w:color w:val="auto"/>
              </w:rPr>
            </w:pPr>
            <w:r>
              <w:rPr>
                <w:rFonts w:ascii="Arial" w:cs="Arial" w:eastAsia="Arial" w:hAnsi="Arial"/>
                <w:sz w:val="10"/>
                <w:szCs w:val="10"/>
                <w:color w:val="auto"/>
              </w:rPr>
              <w:t>Corruption.</w:t>
            </w: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8"/>
        </w:trPr>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Human</w:t>
            </w:r>
          </w:p>
        </w:tc>
        <w:tc>
          <w:tcPr>
            <w:tcW w:w="720" w:type="dxa"/>
            <w:vAlign w:val="bottom"/>
          </w:tcPr>
          <w:p>
            <w:pPr>
              <w:ind w:left="40"/>
              <w:spacing w:after="0"/>
              <w:rPr>
                <w:sz w:val="20"/>
                <w:szCs w:val="20"/>
                <w:color w:val="auto"/>
              </w:rPr>
            </w:pPr>
            <w:r>
              <w:rPr>
                <w:rFonts w:ascii="Arial" w:cs="Arial" w:eastAsia="Arial" w:hAnsi="Arial"/>
                <w:sz w:val="10"/>
                <w:szCs w:val="10"/>
                <w:color w:val="auto"/>
              </w:rPr>
              <w:t>Health and</w:t>
            </w:r>
          </w:p>
        </w:tc>
        <w:tc>
          <w:tcPr>
            <w:tcW w:w="3660" w:type="dxa"/>
            <w:vAlign w:val="bottom"/>
            <w:gridSpan w:val="2"/>
          </w:tcPr>
          <w:p>
            <w:pPr>
              <w:ind w:left="100"/>
              <w:spacing w:after="0"/>
              <w:rPr>
                <w:sz w:val="20"/>
                <w:szCs w:val="20"/>
                <w:color w:val="auto"/>
              </w:rPr>
            </w:pPr>
            <w:r>
              <w:rPr>
                <w:rFonts w:ascii="Arial" w:cs="Arial" w:eastAsia="Arial" w:hAnsi="Arial"/>
                <w:sz w:val="10"/>
                <w:szCs w:val="10"/>
                <w:color w:val="auto"/>
              </w:rPr>
              <w:t>Defines our responsibility to respect human dignity acros Applies to all</w:t>
            </w:r>
          </w:p>
        </w:tc>
        <w:tc>
          <w:tcPr>
            <w:tcW w:w="2700" w:type="dxa"/>
            <w:vAlign w:val="bottom"/>
            <w:gridSpan w:val="2"/>
          </w:tcPr>
          <w:p>
            <w:pPr>
              <w:ind w:left="20"/>
              <w:spacing w:after="0"/>
              <w:rPr>
                <w:sz w:val="20"/>
                <w:szCs w:val="20"/>
                <w:color w:val="auto"/>
              </w:rPr>
            </w:pPr>
            <w:r>
              <w:rPr>
                <w:rFonts w:ascii="Arial" w:cs="Arial" w:eastAsia="Arial" w:hAnsi="Arial"/>
                <w:sz w:val="10"/>
                <w:szCs w:val="10"/>
                <w:color w:val="auto"/>
              </w:rPr>
              <w:t>EVP, Chief People Guided by human-rights laws and the</w:t>
            </w:r>
          </w:p>
        </w:tc>
        <w:tc>
          <w:tcPr>
            <w:tcW w:w="1240" w:type="dxa"/>
            <w:vAlign w:val="bottom"/>
          </w:tcPr>
          <w:p>
            <w:pPr>
              <w:ind w:left="40"/>
              <w:spacing w:after="0"/>
              <w:rPr>
                <w:sz w:val="20"/>
                <w:szCs w:val="20"/>
                <w:color w:val="auto"/>
              </w:rPr>
            </w:pPr>
            <w:r>
              <w:rPr>
                <w:rFonts w:ascii="Arial" w:cs="Arial" w:eastAsia="Arial" w:hAnsi="Arial"/>
                <w:sz w:val="10"/>
                <w:szCs w:val="10"/>
                <w:color w:val="auto"/>
              </w:rPr>
              <w:t>Developed considering</w:t>
            </w:r>
          </w:p>
        </w:tc>
        <w:tc>
          <w:tcPr>
            <w:tcW w:w="860" w:type="dxa"/>
            <w:vAlign w:val="bottom"/>
          </w:tcPr>
          <w:p>
            <w:pPr>
              <w:ind w:left="20"/>
              <w:spacing w:after="0"/>
              <w:rPr>
                <w:sz w:val="20"/>
                <w:szCs w:val="20"/>
                <w:color w:val="auto"/>
              </w:rPr>
            </w:pPr>
            <w:r>
              <w:rPr>
                <w:rFonts w:ascii="Arial" w:cs="Arial" w:eastAsia="Arial" w:hAnsi="Arial"/>
                <w:sz w:val="10"/>
                <w:szCs w:val="10"/>
                <w:color w:val="auto"/>
              </w:rPr>
              <w:t>Available on</w:t>
            </w:r>
          </w:p>
        </w:tc>
        <w:tc>
          <w:tcPr>
            <w:tcW w:w="0" w:type="dxa"/>
            <w:vAlign w:val="bottom"/>
          </w:tcPr>
          <w:p>
            <w:pPr>
              <w:spacing w:after="0"/>
              <w:rPr>
                <w:sz w:val="1"/>
                <w:szCs w:val="1"/>
                <w:color w:val="auto"/>
              </w:rPr>
            </w:pPr>
          </w:p>
        </w:tc>
      </w:tr>
      <w:tr>
        <w:trPr>
          <w:trHeight w:val="95"/>
        </w:trPr>
        <w:tc>
          <w:tcPr>
            <w:tcW w:w="7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Rights</w:t>
            </w: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safety of</w:t>
            </w: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s</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employees and</w:t>
            </w:r>
          </w:p>
        </w:tc>
        <w:tc>
          <w:tcPr>
            <w:tcW w:w="900" w:type="dxa"/>
            <w:vAlign w:val="bottom"/>
          </w:tcPr>
          <w:p>
            <w:pPr>
              <w:ind w:left="20"/>
              <w:spacing w:after="0" w:line="95" w:lineRule="exact"/>
              <w:rPr>
                <w:sz w:val="20"/>
                <w:szCs w:val="20"/>
                <w:color w:val="auto"/>
              </w:rPr>
            </w:pPr>
            <w:r>
              <w:rPr>
                <w:rFonts w:ascii="Arial" w:cs="Arial" w:eastAsia="Arial" w:hAnsi="Arial"/>
                <w:sz w:val="10"/>
                <w:szCs w:val="10"/>
                <w:color w:val="auto"/>
              </w:rPr>
              <w:t>Officer</w:t>
            </w:r>
          </w:p>
        </w:tc>
        <w:tc>
          <w:tcPr>
            <w:tcW w:w="3040" w:type="dxa"/>
            <w:vAlign w:val="bottom"/>
            <w:gridSpan w:val="2"/>
          </w:tcPr>
          <w:p>
            <w:pPr>
              <w:ind w:left="40"/>
              <w:spacing w:after="0" w:line="95" w:lineRule="exact"/>
              <w:rPr>
                <w:sz w:val="20"/>
                <w:szCs w:val="20"/>
                <w:color w:val="auto"/>
              </w:rPr>
            </w:pPr>
            <w:r>
              <w:rPr>
                <w:rFonts w:ascii="Arial" w:cs="Arial" w:eastAsia="Arial" w:hAnsi="Arial"/>
                <w:sz w:val="10"/>
                <w:szCs w:val="10"/>
                <w:color w:val="auto"/>
              </w:rPr>
              <w:t>UN Guiding Principles, Genmab aligns employees, suppliers,</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internet, intranet,</w:t>
            </w:r>
          </w:p>
        </w:tc>
        <w:tc>
          <w:tcPr>
            <w:tcW w:w="0" w:type="dxa"/>
            <w:vAlign w:val="bottom"/>
          </w:tcPr>
          <w:p>
            <w:pPr>
              <w:spacing w:after="0"/>
              <w:rPr>
                <w:sz w:val="1"/>
                <w:szCs w:val="1"/>
                <w:color w:val="auto"/>
              </w:rPr>
            </w:pPr>
          </w:p>
        </w:tc>
      </w:tr>
      <w:tr>
        <w:trPr>
          <w:trHeight w:val="95"/>
        </w:trPr>
        <w:tc>
          <w:tcPr>
            <w:tcW w:w="7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Commitment</w:t>
            </w: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patients</w:t>
            </w:r>
          </w:p>
        </w:tc>
        <w:tc>
          <w:tcPr>
            <w:tcW w:w="366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our operations, guided by international human rights and third parties acting</w:t>
            </w: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with the International Bill of Human</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patients, and other</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and integrated</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6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labor standards. Its objectives are to prevent human righ on behalf of</w:t>
            </w:r>
          </w:p>
        </w:tc>
        <w:tc>
          <w:tcPr>
            <w:tcW w:w="900" w:type="dxa"/>
            <w:vAlign w:val="bottom"/>
          </w:tcPr>
          <w:p>
            <w:pPr>
              <w:spacing w:after="0"/>
              <w:rPr>
                <w:sz w:val="8"/>
                <w:szCs w:val="8"/>
                <w:color w:val="auto"/>
              </w:rPr>
            </w:pPr>
          </w:p>
        </w:tc>
        <w:tc>
          <w:tcPr>
            <w:tcW w:w="3040" w:type="dxa"/>
            <w:vAlign w:val="bottom"/>
            <w:gridSpan w:val="2"/>
          </w:tcPr>
          <w:p>
            <w:pPr>
              <w:ind w:left="40"/>
              <w:spacing w:after="0" w:line="95" w:lineRule="exact"/>
              <w:rPr>
                <w:sz w:val="20"/>
                <w:szCs w:val="20"/>
                <w:color w:val="auto"/>
              </w:rPr>
            </w:pPr>
            <w:r>
              <w:rPr>
                <w:rFonts w:ascii="Arial" w:cs="Arial" w:eastAsia="Arial" w:hAnsi="Arial"/>
                <w:sz w:val="10"/>
                <w:szCs w:val="10"/>
                <w:color w:val="auto"/>
              </w:rPr>
              <w:t>Rights and ILO’s core labor standards. affected stakeholders.</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into supplier</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ts</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Genmab and</w:t>
            </w: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expectations.</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6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impacts, ensure fair employment practices, prohibit force extends to all</w:t>
            </w: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d</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workers in the</w:t>
            </w: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or child labor, protect privacy, and uphold these standar</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value chain.</w:t>
            </w: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ds</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across our operations and suppliers. Genmab does not</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40" w:type="dxa"/>
            <w:vAlign w:val="bottom"/>
          </w:tcPr>
          <w:p>
            <w:pPr>
              <w:ind w:left="100"/>
              <w:spacing w:after="0"/>
              <w:rPr>
                <w:sz w:val="20"/>
                <w:szCs w:val="20"/>
                <w:color w:val="auto"/>
              </w:rPr>
            </w:pPr>
            <w:r>
              <w:rPr>
                <w:rFonts w:ascii="Arial" w:cs="Arial" w:eastAsia="Arial" w:hAnsi="Arial"/>
                <w:sz w:val="10"/>
                <w:szCs w:val="10"/>
                <w:color w:val="auto"/>
              </w:rPr>
              <w:t>discriminate based on race, ethnicity, color, religion, sex,</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ind w:left="100"/>
              <w:spacing w:after="0"/>
              <w:rPr>
                <w:sz w:val="20"/>
                <w:szCs w:val="20"/>
                <w:color w:val="auto"/>
              </w:rPr>
            </w:pPr>
            <w:r>
              <w:rPr>
                <w:rFonts w:ascii="Arial" w:cs="Arial" w:eastAsia="Arial" w:hAnsi="Arial"/>
                <w:sz w:val="10"/>
                <w:szCs w:val="10"/>
                <w:color w:val="auto"/>
              </w:rPr>
              <w:t>gender identity and expression, national origin, age,</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disability, genetic information, sexual orientation, military,</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740" w:type="dxa"/>
            <w:vAlign w:val="bottom"/>
          </w:tcPr>
          <w:p>
            <w:pPr>
              <w:ind w:left="100"/>
              <w:spacing w:after="0" w:line="105" w:lineRule="exact"/>
              <w:rPr>
                <w:sz w:val="20"/>
                <w:szCs w:val="20"/>
                <w:color w:val="auto"/>
              </w:rPr>
            </w:pPr>
            <w:r>
              <w:rPr>
                <w:rFonts w:ascii="Arial" w:cs="Arial" w:eastAsia="Arial" w:hAnsi="Arial"/>
                <w:sz w:val="10"/>
                <w:szCs w:val="10"/>
                <w:color w:val="auto"/>
              </w:rPr>
              <w:t>veteran or other protected status.</w:t>
            </w: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2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Commitment</w:t>
            </w:r>
          </w:p>
        </w:tc>
        <w:tc>
          <w:tcPr>
            <w:tcW w:w="720" w:type="dxa"/>
            <w:vAlign w:val="bottom"/>
          </w:tcPr>
          <w:p>
            <w:pPr>
              <w:ind w:left="40"/>
              <w:spacing w:after="0" w:line="105" w:lineRule="exact"/>
              <w:rPr>
                <w:sz w:val="20"/>
                <w:szCs w:val="20"/>
                <w:color w:val="auto"/>
              </w:rPr>
            </w:pPr>
            <w:r>
              <w:rPr>
                <w:rFonts w:ascii="Arial" w:cs="Arial" w:eastAsia="Arial" w:hAnsi="Arial"/>
                <w:sz w:val="10"/>
                <w:szCs w:val="10"/>
                <w:color w:val="auto"/>
              </w:rPr>
              <w:t>Health and</w:t>
            </w:r>
          </w:p>
        </w:tc>
        <w:tc>
          <w:tcPr>
            <w:tcW w:w="2740" w:type="dxa"/>
            <w:vAlign w:val="bottom"/>
          </w:tcPr>
          <w:p>
            <w:pPr>
              <w:ind w:left="100"/>
              <w:spacing w:after="0" w:line="105" w:lineRule="exact"/>
              <w:rPr>
                <w:sz w:val="20"/>
                <w:szCs w:val="20"/>
                <w:color w:val="auto"/>
              </w:rPr>
            </w:pPr>
            <w:r>
              <w:rPr>
                <w:rFonts w:ascii="Arial" w:cs="Arial" w:eastAsia="Arial" w:hAnsi="Arial"/>
                <w:sz w:val="10"/>
                <w:szCs w:val="10"/>
                <w:color w:val="auto"/>
              </w:rPr>
              <w:t>Reflects our commitment to developing, manufacturing,</w:t>
            </w:r>
          </w:p>
        </w:tc>
        <w:tc>
          <w:tcPr>
            <w:tcW w:w="920" w:type="dxa"/>
            <w:vAlign w:val="bottom"/>
          </w:tcPr>
          <w:p>
            <w:pPr>
              <w:spacing w:after="0" w:line="105" w:lineRule="exact"/>
              <w:rPr>
                <w:sz w:val="20"/>
                <w:szCs w:val="20"/>
                <w:color w:val="auto"/>
              </w:rPr>
            </w:pPr>
            <w:r>
              <w:rPr>
                <w:rFonts w:ascii="Arial" w:cs="Arial" w:eastAsia="Arial" w:hAnsi="Arial"/>
                <w:sz w:val="10"/>
                <w:szCs w:val="10"/>
                <w:color w:val="auto"/>
              </w:rPr>
              <w:t>Applies to all</w:t>
            </w:r>
          </w:p>
        </w:tc>
        <w:tc>
          <w:tcPr>
            <w:tcW w:w="900" w:type="dxa"/>
            <w:vAlign w:val="bottom"/>
          </w:tcPr>
          <w:p>
            <w:pPr>
              <w:ind w:left="20"/>
              <w:spacing w:after="0" w:line="105" w:lineRule="exact"/>
              <w:rPr>
                <w:sz w:val="20"/>
                <w:szCs w:val="20"/>
                <w:color w:val="auto"/>
              </w:rPr>
            </w:pPr>
            <w:r>
              <w:rPr>
                <w:rFonts w:ascii="Arial" w:cs="Arial" w:eastAsia="Arial" w:hAnsi="Arial"/>
                <w:sz w:val="10"/>
                <w:szCs w:val="10"/>
                <w:color w:val="auto"/>
              </w:rPr>
              <w:t>EVP, Chief</w:t>
            </w:r>
          </w:p>
        </w:tc>
        <w:tc>
          <w:tcPr>
            <w:tcW w:w="304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Aligns with applicable US FDA and EU Developed with</w:t>
            </w:r>
          </w:p>
        </w:tc>
        <w:tc>
          <w:tcPr>
            <w:tcW w:w="860" w:type="dxa"/>
            <w:vAlign w:val="bottom"/>
          </w:tcPr>
          <w:p>
            <w:pPr>
              <w:ind w:left="20"/>
              <w:spacing w:after="0" w:line="105" w:lineRule="exact"/>
              <w:rPr>
                <w:sz w:val="20"/>
                <w:szCs w:val="20"/>
                <w:color w:val="auto"/>
              </w:rPr>
            </w:pPr>
            <w:r>
              <w:rPr>
                <w:rFonts w:ascii="Arial" w:cs="Arial" w:eastAsia="Arial" w:hAnsi="Arial"/>
                <w:sz w:val="10"/>
                <w:szCs w:val="10"/>
                <w:color w:val="auto"/>
              </w:rPr>
              <w:t>Available on</w:t>
            </w:r>
          </w:p>
        </w:tc>
        <w:tc>
          <w:tcPr>
            <w:tcW w:w="0" w:type="dxa"/>
            <w:vAlign w:val="bottom"/>
          </w:tcPr>
          <w:p>
            <w:pPr>
              <w:spacing w:after="0"/>
              <w:rPr>
                <w:sz w:val="1"/>
                <w:szCs w:val="1"/>
                <w:color w:val="auto"/>
              </w:rPr>
            </w:pPr>
          </w:p>
        </w:tc>
      </w:tr>
      <w:tr>
        <w:trPr>
          <w:trHeight w:val="95"/>
        </w:trPr>
        <w:tc>
          <w:tcPr>
            <w:tcW w:w="7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to Quality</w:t>
            </w: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safety of</w:t>
            </w: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and delivering antibody therapies that meet applicable</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operations and</w:t>
            </w:r>
          </w:p>
        </w:tc>
        <w:tc>
          <w:tcPr>
            <w:tcW w:w="900" w:type="dxa"/>
            <w:vAlign w:val="bottom"/>
          </w:tcPr>
          <w:p>
            <w:pPr>
              <w:ind w:left="20"/>
              <w:spacing w:after="0" w:line="95" w:lineRule="exact"/>
              <w:rPr>
                <w:sz w:val="20"/>
                <w:szCs w:val="20"/>
                <w:color w:val="auto"/>
              </w:rPr>
            </w:pPr>
            <w:r>
              <w:rPr>
                <w:rFonts w:ascii="Arial" w:cs="Arial" w:eastAsia="Arial" w:hAnsi="Arial"/>
                <w:sz w:val="10"/>
                <w:szCs w:val="10"/>
                <w:color w:val="auto"/>
              </w:rPr>
              <w:t>Development</w:t>
            </w: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regulatory requirements, including</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employee feedback and</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internet and</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patients;</w:t>
            </w:r>
          </w:p>
        </w:tc>
        <w:tc>
          <w:tcPr>
            <w:tcW w:w="366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regulatory requirements and patient needs. The objectiv suppliers; extends</w:t>
            </w:r>
          </w:p>
        </w:tc>
        <w:tc>
          <w:tcPr>
            <w:tcW w:w="900" w:type="dxa"/>
            <w:vAlign w:val="bottom"/>
          </w:tcPr>
          <w:p>
            <w:pPr>
              <w:ind w:left="20"/>
              <w:spacing w:after="0" w:line="95" w:lineRule="exact"/>
              <w:rPr>
                <w:sz w:val="20"/>
                <w:szCs w:val="20"/>
                <w:color w:val="auto"/>
              </w:rPr>
            </w:pPr>
            <w:r>
              <w:rPr>
                <w:rFonts w:ascii="Arial" w:cs="Arial" w:eastAsia="Arial" w:hAnsi="Arial"/>
                <w:sz w:val="10"/>
                <w:szCs w:val="10"/>
                <w:color w:val="auto"/>
              </w:rPr>
              <w:t>Officer</w:t>
            </w: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Good Manufacturing Practice, and</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engagement,</w:t>
            </w:r>
          </w:p>
        </w:tc>
        <w:tc>
          <w:tcPr>
            <w:tcW w:w="860" w:type="dxa"/>
            <w:vAlign w:val="bottom"/>
          </w:tcPr>
          <w:p>
            <w:pPr>
              <w:ind w:left="20"/>
              <w:spacing w:after="0" w:line="95" w:lineRule="exact"/>
              <w:rPr>
                <w:sz w:val="20"/>
                <w:szCs w:val="20"/>
                <w:color w:val="auto"/>
              </w:rPr>
            </w:pPr>
            <w:r>
              <w:rPr>
                <w:rFonts w:ascii="Arial" w:cs="Arial" w:eastAsia="Arial" w:hAnsi="Arial"/>
                <w:sz w:val="10"/>
                <w:szCs w:val="10"/>
                <w:color w:val="auto"/>
              </w:rPr>
              <w:t>intranet.</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Access to</w:t>
            </w: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e</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to all workers in the</w:t>
            </w: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internationally recognized standards</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emphasizing the</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quality</w:t>
            </w: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is to ensure the consistent delivery of safe, effective, an</w:t>
            </w:r>
          </w:p>
        </w:tc>
        <w:tc>
          <w:tcPr>
            <w:tcW w:w="920" w:type="dxa"/>
            <w:vAlign w:val="bottom"/>
          </w:tcPr>
          <w:p>
            <w:pPr>
              <w:spacing w:after="0" w:line="95" w:lineRule="exact"/>
              <w:rPr>
                <w:sz w:val="20"/>
                <w:szCs w:val="20"/>
                <w:color w:val="auto"/>
              </w:rPr>
            </w:pPr>
            <w:r>
              <w:rPr>
                <w:rFonts w:ascii="Arial" w:cs="Arial" w:eastAsia="Arial" w:hAnsi="Arial"/>
                <w:sz w:val="10"/>
                <w:szCs w:val="10"/>
                <w:color w:val="auto"/>
              </w:rPr>
              <w:t>value chain.</w:t>
            </w: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such as the ICH guidelines governing</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importance of quality in</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40"/>
              <w:spacing w:after="0" w:line="95" w:lineRule="exact"/>
              <w:rPr>
                <w:sz w:val="20"/>
                <w:szCs w:val="20"/>
                <w:color w:val="auto"/>
              </w:rPr>
            </w:pPr>
            <w:r>
              <w:rPr>
                <w:rFonts w:ascii="Arial" w:cs="Arial" w:eastAsia="Arial" w:hAnsi="Arial"/>
                <w:sz w:val="10"/>
                <w:szCs w:val="10"/>
                <w:color w:val="auto"/>
              </w:rPr>
              <w:t>information</w:t>
            </w:r>
          </w:p>
        </w:tc>
        <w:tc>
          <w:tcPr>
            <w:tcW w:w="2740" w:type="dxa"/>
            <w:vAlign w:val="bottom"/>
          </w:tcPr>
          <w:p>
            <w:pPr>
              <w:ind w:left="100"/>
              <w:spacing w:after="0" w:line="95" w:lineRule="exact"/>
              <w:rPr>
                <w:sz w:val="20"/>
                <w:szCs w:val="20"/>
                <w:color w:val="auto"/>
              </w:rPr>
            </w:pPr>
            <w:r>
              <w:rPr>
                <w:rFonts w:ascii="Arial" w:cs="Arial" w:eastAsia="Arial" w:hAnsi="Arial"/>
                <w:sz w:val="10"/>
                <w:szCs w:val="10"/>
                <w:color w:val="auto"/>
              </w:rPr>
              <w:t>d</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ind w:left="40"/>
              <w:spacing w:after="0" w:line="95" w:lineRule="exact"/>
              <w:rPr>
                <w:sz w:val="20"/>
                <w:szCs w:val="20"/>
                <w:color w:val="auto"/>
              </w:rPr>
            </w:pPr>
            <w:r>
              <w:rPr>
                <w:rFonts w:ascii="Arial" w:cs="Arial" w:eastAsia="Arial" w:hAnsi="Arial"/>
                <w:sz w:val="10"/>
                <w:szCs w:val="10"/>
                <w:color w:val="auto"/>
              </w:rPr>
              <w:t>quality, clinical development, and</w:t>
            </w:r>
          </w:p>
        </w:tc>
        <w:tc>
          <w:tcPr>
            <w:tcW w:w="1240" w:type="dxa"/>
            <w:vAlign w:val="bottom"/>
          </w:tcPr>
          <w:p>
            <w:pPr>
              <w:ind w:left="40"/>
              <w:spacing w:after="0" w:line="95" w:lineRule="exact"/>
              <w:rPr>
                <w:sz w:val="20"/>
                <w:szCs w:val="20"/>
                <w:color w:val="auto"/>
              </w:rPr>
            </w:pPr>
            <w:r>
              <w:rPr>
                <w:rFonts w:ascii="Arial" w:cs="Arial" w:eastAsia="Arial" w:hAnsi="Arial"/>
                <w:sz w:val="10"/>
                <w:szCs w:val="10"/>
                <w:color w:val="auto"/>
              </w:rPr>
              <w:t>our business.</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40" w:type="dxa"/>
            <w:vAlign w:val="bottom"/>
          </w:tcPr>
          <w:p>
            <w:pPr>
              <w:ind w:left="100"/>
              <w:spacing w:after="0"/>
              <w:rPr>
                <w:sz w:val="20"/>
                <w:szCs w:val="20"/>
                <w:color w:val="auto"/>
              </w:rPr>
            </w:pPr>
            <w:r>
              <w:rPr>
                <w:rFonts w:ascii="Arial" w:cs="Arial" w:eastAsia="Arial" w:hAnsi="Arial"/>
                <w:sz w:val="10"/>
                <w:szCs w:val="10"/>
                <w:color w:val="auto"/>
              </w:rPr>
              <w:t>compliant products through a robust quality management</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tcPr>
          <w:p>
            <w:pPr>
              <w:ind w:left="40"/>
              <w:spacing w:after="0"/>
              <w:rPr>
                <w:sz w:val="20"/>
                <w:szCs w:val="20"/>
                <w:color w:val="auto"/>
              </w:rPr>
            </w:pPr>
            <w:r>
              <w:rPr>
                <w:rFonts w:ascii="Arial" w:cs="Arial" w:eastAsia="Arial" w:hAnsi="Arial"/>
                <w:sz w:val="10"/>
                <w:szCs w:val="10"/>
                <w:color w:val="auto"/>
              </w:rPr>
              <w:t>product safety, and Japan PMDA.</w:t>
            </w: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4" w:lineRule="exact"/>
        <w:rPr>
          <w:rFonts w:ascii="Arial" w:cs="Arial" w:eastAsia="Arial" w:hAnsi="Arial"/>
          <w:sz w:val="10"/>
          <w:szCs w:val="10"/>
          <w:b w:val="1"/>
          <w:bCs w:val="1"/>
          <w:color w:val="auto"/>
        </w:rPr>
      </w:pPr>
    </w:p>
    <w:p>
      <w:pPr>
        <w:ind w:left="1540"/>
        <w:spacing w:after="0"/>
        <w:rPr>
          <w:sz w:val="20"/>
          <w:szCs w:val="20"/>
          <w:color w:val="auto"/>
        </w:rPr>
      </w:pPr>
      <w:r>
        <w:rPr>
          <w:rFonts w:ascii="Arial" w:cs="Arial" w:eastAsia="Arial" w:hAnsi="Arial"/>
          <w:sz w:val="10"/>
          <w:szCs w:val="10"/>
          <w:color w:val="auto"/>
        </w:rPr>
        <w:t>system, adherence to global regulatory standards,</w:t>
      </w:r>
    </w:p>
    <w:p>
      <w:pPr>
        <w:ind w:left="1540"/>
        <w:spacing w:after="0"/>
        <w:rPr>
          <w:sz w:val="20"/>
          <w:szCs w:val="20"/>
          <w:color w:val="auto"/>
        </w:rPr>
      </w:pPr>
      <w:r>
        <w:rPr>
          <w:rFonts w:ascii="Arial" w:cs="Arial" w:eastAsia="Arial" w:hAnsi="Arial"/>
          <w:sz w:val="10"/>
          <w:szCs w:val="10"/>
          <w:color w:val="auto"/>
        </w:rPr>
        <w:t>protection of patient safety, and continuous improvement</w:t>
      </w:r>
    </w:p>
    <w:p>
      <w:pPr>
        <w:spacing w:after="0" w:line="56" w:lineRule="exact"/>
        <w:rPr>
          <w:rFonts w:ascii="Arial" w:cs="Arial" w:eastAsia="Arial" w:hAnsi="Arial"/>
          <w:sz w:val="10"/>
          <w:szCs w:val="10"/>
          <w:b w:val="1"/>
          <w:bCs w:val="1"/>
          <w:color w:val="auto"/>
        </w:rPr>
      </w:pPr>
    </w:p>
    <w:p>
      <w:pPr>
        <w:ind w:left="1540"/>
        <w:spacing w:after="0"/>
        <w:rPr>
          <w:sz w:val="20"/>
          <w:szCs w:val="20"/>
          <w:color w:val="auto"/>
        </w:rPr>
      </w:pPr>
      <w:r>
        <w:rPr>
          <w:rFonts w:ascii="Arial" w:cs="Arial" w:eastAsia="Arial" w:hAnsi="Arial"/>
          <w:sz w:val="10"/>
          <w:szCs w:val="10"/>
          <w:color w:val="auto"/>
        </w:rPr>
        <w:t>across the product lifecycle. Genmab maintains</w:t>
      </w:r>
    </w:p>
    <w:p>
      <w:pPr>
        <w:ind w:left="1540"/>
        <w:spacing w:after="0" w:line="198" w:lineRule="auto"/>
        <w:rPr>
          <w:sz w:val="20"/>
          <w:szCs w:val="20"/>
          <w:color w:val="auto"/>
        </w:rPr>
      </w:pPr>
      <w:r>
        <w:rPr>
          <w:rFonts w:ascii="Arial" w:cs="Arial" w:eastAsia="Arial" w:hAnsi="Arial"/>
          <w:sz w:val="10"/>
          <w:szCs w:val="10"/>
          <w:color w:val="auto"/>
        </w:rPr>
        <w:t>comprehensive quality and safety processes to identify</w:t>
      </w:r>
    </w:p>
    <w:p>
      <w:pPr>
        <w:ind w:left="1540"/>
        <w:spacing w:after="0" w:line="199" w:lineRule="auto"/>
        <w:rPr>
          <w:sz w:val="20"/>
          <w:szCs w:val="20"/>
          <w:color w:val="auto"/>
        </w:rPr>
      </w:pPr>
      <w:r>
        <w:rPr>
          <w:rFonts w:ascii="Arial" w:cs="Arial" w:eastAsia="Arial" w:hAnsi="Arial"/>
          <w:sz w:val="10"/>
          <w:szCs w:val="10"/>
          <w:color w:val="auto"/>
        </w:rPr>
        <w:t>and mitigate product-related risks and works with releva</w:t>
      </w:r>
    </w:p>
    <w:p>
      <w:pPr>
        <w:ind w:left="1540"/>
        <w:spacing w:after="0" w:line="198" w:lineRule="auto"/>
        <w:rPr>
          <w:sz w:val="20"/>
          <w:szCs w:val="20"/>
          <w:color w:val="auto"/>
        </w:rPr>
      </w:pPr>
      <w:r>
        <w:rPr>
          <w:rFonts w:ascii="Arial" w:cs="Arial" w:eastAsia="Arial" w:hAnsi="Arial"/>
          <w:sz w:val="10"/>
          <w:szCs w:val="10"/>
          <w:color w:val="auto"/>
        </w:rPr>
        <w:t>nt</w:t>
      </w:r>
    </w:p>
    <w:p>
      <w:pPr>
        <w:ind w:left="1540"/>
        <w:spacing w:after="0" w:line="199" w:lineRule="auto"/>
        <w:rPr>
          <w:sz w:val="20"/>
          <w:szCs w:val="20"/>
          <w:color w:val="auto"/>
        </w:rPr>
      </w:pPr>
      <w:r>
        <w:rPr>
          <w:rFonts w:ascii="Arial" w:cs="Arial" w:eastAsia="Arial" w:hAnsi="Arial"/>
          <w:sz w:val="10"/>
          <w:szCs w:val="10"/>
          <w:color w:val="auto"/>
        </w:rPr>
        <w:t>authorities and stakeholders to support product safety a</w:t>
      </w:r>
    </w:p>
    <w:p>
      <w:pPr>
        <w:ind w:left="1540"/>
        <w:spacing w:after="0" w:line="199" w:lineRule="auto"/>
        <w:rPr>
          <w:sz w:val="20"/>
          <w:szCs w:val="20"/>
          <w:color w:val="auto"/>
        </w:rPr>
      </w:pPr>
      <w:r>
        <w:rPr>
          <w:rFonts w:ascii="Arial" w:cs="Arial" w:eastAsia="Arial" w:hAnsi="Arial"/>
          <w:sz w:val="10"/>
          <w:szCs w:val="10"/>
          <w:color w:val="auto"/>
        </w:rPr>
        <w:t>nd</w:t>
      </w:r>
    </w:p>
    <w:p>
      <w:pPr>
        <w:ind w:left="1540"/>
        <w:spacing w:after="0"/>
        <w:rPr>
          <w:sz w:val="20"/>
          <w:szCs w:val="20"/>
          <w:color w:val="auto"/>
        </w:rPr>
      </w:pPr>
      <w:r>
        <w:rPr>
          <w:rFonts w:ascii="Arial" w:cs="Arial" w:eastAsia="Arial" w:hAnsi="Arial"/>
          <w:sz w:val="10"/>
          <w:szCs w:val="10"/>
          <w:color w:val="auto"/>
        </w:rPr>
        <w:t>efficacy.</w:t>
      </w:r>
    </w:p>
    <w:p>
      <w:pPr>
        <w:sectPr>
          <w:pgSz w:w="11900" w:h="16840" w:orient="portrait"/>
          <w:cols w:equalWidth="0" w:num="1">
            <w:col w:w="9900"/>
          </w:cols>
          <w:pgMar w:left="640" w:top="1440" w:right="1360" w:bottom="1440" w:gutter="0" w:footer="0" w:header="0"/>
        </w:sectPr>
      </w:pPr>
    </w:p>
    <w:bookmarkStart w:id="127" w:name="page128"/>
    <w:bookmarkEnd w:id="127"/>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93</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7"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279515" cy="12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6279515" cy="12065"/>
                    </a:xfrm>
                    <a:prstGeom prst="rect">
                      <a:avLst/>
                    </a:prstGeom>
                    <a:noFill/>
                  </pic:spPr>
                </pic:pic>
              </a:graphicData>
            </a:graphic>
          </wp:anchor>
        </w:drawing>
      </w:r>
    </w:p>
    <w:p>
      <w:pPr>
        <w:sectPr>
          <w:pgSz w:w="11900" w:h="16840" w:orient="portrait"/>
          <w:cols w:equalWidth="0" w:num="1">
            <w:col w:w="9840"/>
          </w:cols>
          <w:pgMar w:left="640" w:top="571" w:right="1420" w:bottom="499" w:gutter="0" w:footer="0" w:header="0"/>
        </w:sectPr>
      </w:pPr>
    </w:p>
    <w:tbl>
      <w:tblPr>
        <w:tblLayout w:type="fixed"/>
        <w:tblInd w:w="20" w:type="dxa"/>
        <w:tblCellMar>
          <w:top w:w="0" w:type="dxa"/>
          <w:left w:w="0" w:type="dxa"/>
          <w:bottom w:w="0" w:type="dxa"/>
          <w:right w:w="0" w:type="dxa"/>
        </w:tblCellMar>
      </w:tblPr>
      <w:tr>
        <w:trPr>
          <w:trHeight w:val="111"/>
        </w:trPr>
        <w:tc>
          <w:tcPr>
            <w:tcW w:w="720" w:type="dxa"/>
            <w:vAlign w:val="bottom"/>
          </w:tcPr>
          <w:p>
            <w:pPr>
              <w:spacing w:after="0" w:line="111" w:lineRule="exact"/>
              <w:rPr>
                <w:sz w:val="20"/>
                <w:szCs w:val="20"/>
                <w:color w:val="auto"/>
              </w:rPr>
            </w:pPr>
            <w:r>
              <w:rPr>
                <w:rFonts w:ascii="Arial" w:cs="Arial" w:eastAsia="Arial" w:hAnsi="Arial"/>
                <w:sz w:val="10"/>
                <w:szCs w:val="10"/>
                <w:b w:val="1"/>
                <w:bCs w:val="1"/>
                <w:color w:val="auto"/>
              </w:rPr>
              <w:t>Policy/</w:t>
            </w:r>
          </w:p>
        </w:tc>
        <w:tc>
          <w:tcPr>
            <w:tcW w:w="72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IRO Mapping</w:t>
            </w:r>
          </w:p>
        </w:tc>
        <w:tc>
          <w:tcPr>
            <w:tcW w:w="2680" w:type="dxa"/>
            <w:vAlign w:val="bottom"/>
          </w:tcPr>
          <w:p>
            <w:pPr>
              <w:ind w:left="80"/>
              <w:spacing w:after="0" w:line="111" w:lineRule="exact"/>
              <w:rPr>
                <w:sz w:val="20"/>
                <w:szCs w:val="20"/>
                <w:color w:val="auto"/>
              </w:rPr>
            </w:pPr>
            <w:r>
              <w:rPr>
                <w:rFonts w:ascii="Arial" w:cs="Arial" w:eastAsia="Arial" w:hAnsi="Arial"/>
                <w:sz w:val="10"/>
                <w:szCs w:val="10"/>
                <w:b w:val="1"/>
                <w:bCs w:val="1"/>
                <w:color w:val="auto"/>
              </w:rPr>
              <w:t>Policy/Commitment Content and Objectives</w:t>
            </w:r>
          </w:p>
        </w:tc>
        <w:tc>
          <w:tcPr>
            <w:tcW w:w="980" w:type="dxa"/>
            <w:vAlign w:val="bottom"/>
          </w:tcPr>
          <w:p>
            <w:pPr>
              <w:ind w:left="40"/>
              <w:spacing w:after="0" w:line="111" w:lineRule="exact"/>
              <w:rPr>
                <w:sz w:val="20"/>
                <w:szCs w:val="20"/>
                <w:color w:val="auto"/>
              </w:rPr>
            </w:pPr>
            <w:r>
              <w:rPr>
                <w:rFonts w:ascii="Arial" w:cs="Arial" w:eastAsia="Arial" w:hAnsi="Arial"/>
                <w:sz w:val="10"/>
                <w:szCs w:val="10"/>
                <w:b w:val="1"/>
                <w:bCs w:val="1"/>
                <w:color w:val="auto"/>
              </w:rPr>
              <w:t>Scope</w:t>
            </w:r>
          </w:p>
        </w:tc>
        <w:tc>
          <w:tcPr>
            <w:tcW w:w="840" w:type="dxa"/>
            <w:vAlign w:val="bottom"/>
          </w:tcPr>
          <w:p>
            <w:pPr>
              <w:spacing w:after="0" w:line="111" w:lineRule="exact"/>
              <w:rPr>
                <w:sz w:val="20"/>
                <w:szCs w:val="20"/>
                <w:color w:val="auto"/>
              </w:rPr>
            </w:pPr>
            <w:r>
              <w:rPr>
                <w:rFonts w:ascii="Arial" w:cs="Arial" w:eastAsia="Arial" w:hAnsi="Arial"/>
                <w:sz w:val="10"/>
                <w:szCs w:val="10"/>
                <w:b w:val="1"/>
                <w:bCs w:val="1"/>
                <w:color w:val="auto"/>
              </w:rPr>
              <w:t>Accountability</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20"/>
                <w:szCs w:val="20"/>
                <w:color w:val="auto"/>
              </w:rPr>
            </w:pPr>
            <w:r>
              <w:rPr>
                <w:rFonts w:ascii="Arial" w:cs="Arial" w:eastAsia="Arial" w:hAnsi="Arial"/>
                <w:sz w:val="10"/>
                <w:szCs w:val="10"/>
                <w:b w:val="1"/>
                <w:bCs w:val="1"/>
                <w:color w:val="auto"/>
              </w:rPr>
              <w:t>Commitment</w:t>
            </w:r>
          </w:p>
        </w:tc>
        <w:tc>
          <w:tcPr>
            <w:tcW w:w="7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10"/>
                <w:szCs w:val="10"/>
                <w:b w:val="1"/>
                <w:bCs w:val="1"/>
                <w:color w:val="auto"/>
              </w:rPr>
              <w:t>Clinical Trial</w:t>
            </w:r>
          </w:p>
        </w:tc>
        <w:tc>
          <w:tcPr>
            <w:tcW w:w="720" w:type="dxa"/>
            <w:vAlign w:val="bottom"/>
          </w:tcPr>
          <w:p>
            <w:pPr>
              <w:ind w:left="20"/>
              <w:spacing w:after="0"/>
              <w:rPr>
                <w:sz w:val="20"/>
                <w:szCs w:val="20"/>
                <w:color w:val="auto"/>
              </w:rPr>
            </w:pPr>
            <w:r>
              <w:rPr>
                <w:rFonts w:ascii="Arial" w:cs="Arial" w:eastAsia="Arial" w:hAnsi="Arial"/>
                <w:sz w:val="10"/>
                <w:szCs w:val="10"/>
                <w:color w:val="auto"/>
              </w:rPr>
              <w:t>Access to</w:t>
            </w:r>
          </w:p>
        </w:tc>
        <w:tc>
          <w:tcPr>
            <w:tcW w:w="3660" w:type="dxa"/>
            <w:vAlign w:val="bottom"/>
            <w:gridSpan w:val="2"/>
          </w:tcPr>
          <w:p>
            <w:pPr>
              <w:ind w:left="80"/>
              <w:spacing w:after="0"/>
              <w:rPr>
                <w:sz w:val="20"/>
                <w:szCs w:val="20"/>
                <w:color w:val="auto"/>
              </w:rPr>
            </w:pPr>
            <w:r>
              <w:rPr>
                <w:rFonts w:ascii="Arial" w:cs="Arial" w:eastAsia="Arial" w:hAnsi="Arial"/>
                <w:sz w:val="10"/>
                <w:szCs w:val="10"/>
                <w:color w:val="auto"/>
              </w:rPr>
              <w:t>Shares our commitment to the responsible, unbiased, an Applies to all</w:t>
            </w:r>
          </w:p>
        </w:tc>
        <w:tc>
          <w:tcPr>
            <w:tcW w:w="840" w:type="dxa"/>
            <w:vAlign w:val="bottom"/>
          </w:tcPr>
          <w:p>
            <w:pPr>
              <w:spacing w:after="0"/>
              <w:rPr>
                <w:sz w:val="20"/>
                <w:szCs w:val="20"/>
                <w:color w:val="auto"/>
              </w:rPr>
            </w:pPr>
            <w:r>
              <w:rPr>
                <w:rFonts w:ascii="Arial" w:cs="Arial" w:eastAsia="Arial" w:hAnsi="Arial"/>
                <w:sz w:val="10"/>
                <w:szCs w:val="10"/>
                <w:color w:val="auto"/>
              </w:rPr>
              <w:t>EVP, Chief</w:t>
            </w:r>
          </w:p>
        </w:tc>
        <w:tc>
          <w:tcPr>
            <w:tcW w:w="0" w:type="dxa"/>
            <w:vAlign w:val="bottom"/>
          </w:tcPr>
          <w:p>
            <w:pPr>
              <w:spacing w:after="0"/>
              <w:rPr>
                <w:sz w:val="1"/>
                <w:szCs w:val="1"/>
                <w:color w:val="auto"/>
              </w:rPr>
            </w:pPr>
          </w:p>
        </w:tc>
      </w:tr>
      <w:tr>
        <w:trPr>
          <w:trHeight w:val="95"/>
        </w:trPr>
        <w:tc>
          <w:tcPr>
            <w:tcW w:w="720" w:type="dxa"/>
            <w:vAlign w:val="bottom"/>
          </w:tcPr>
          <w:p>
            <w:pPr>
              <w:spacing w:after="0" w:line="95" w:lineRule="exact"/>
              <w:rPr>
                <w:sz w:val="20"/>
                <w:szCs w:val="20"/>
                <w:color w:val="auto"/>
              </w:rPr>
            </w:pPr>
            <w:r>
              <w:rPr>
                <w:rFonts w:ascii="Arial" w:cs="Arial" w:eastAsia="Arial" w:hAnsi="Arial"/>
                <w:sz w:val="10"/>
                <w:szCs w:val="10"/>
                <w:b w:val="1"/>
                <w:bCs w:val="1"/>
                <w:color w:val="auto"/>
              </w:rPr>
              <w:t>Transparency</w:t>
            </w:r>
          </w:p>
        </w:tc>
        <w:tc>
          <w:tcPr>
            <w:tcW w:w="720" w:type="dxa"/>
            <w:vAlign w:val="bottom"/>
          </w:tcPr>
          <w:p>
            <w:pPr>
              <w:ind w:left="20"/>
              <w:spacing w:after="0" w:line="95" w:lineRule="exact"/>
              <w:rPr>
                <w:sz w:val="20"/>
                <w:szCs w:val="20"/>
                <w:color w:val="auto"/>
              </w:rPr>
            </w:pPr>
            <w:r>
              <w:rPr>
                <w:rFonts w:ascii="Arial" w:cs="Arial" w:eastAsia="Arial" w:hAnsi="Arial"/>
                <w:sz w:val="10"/>
                <w:szCs w:val="10"/>
                <w:color w:val="auto"/>
              </w:rPr>
              <w:t>quality</w:t>
            </w: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d</w:t>
            </w:r>
          </w:p>
        </w:tc>
        <w:tc>
          <w:tcPr>
            <w:tcW w:w="1820" w:type="dxa"/>
            <w:vAlign w:val="bottom"/>
            <w:gridSpan w:val="2"/>
          </w:tcPr>
          <w:p>
            <w:pPr>
              <w:ind w:left="40"/>
              <w:spacing w:after="0" w:line="95" w:lineRule="exact"/>
              <w:rPr>
                <w:sz w:val="20"/>
                <w:szCs w:val="20"/>
                <w:color w:val="auto"/>
              </w:rPr>
            </w:pPr>
            <w:r>
              <w:rPr>
                <w:rFonts w:ascii="Arial" w:cs="Arial" w:eastAsia="Arial" w:hAnsi="Arial"/>
                <w:sz w:val="10"/>
                <w:szCs w:val="10"/>
                <w:color w:val="auto"/>
              </w:rPr>
              <w:t>Genmab-sponsored Development</w:t>
            </w:r>
          </w:p>
        </w:tc>
        <w:tc>
          <w:tcPr>
            <w:tcW w:w="0" w:type="dxa"/>
            <w:vAlign w:val="bottom"/>
          </w:tcPr>
          <w:p>
            <w:pPr>
              <w:spacing w:after="0"/>
              <w:rPr>
                <w:sz w:val="1"/>
                <w:szCs w:val="1"/>
                <w:color w:val="auto"/>
              </w:rPr>
            </w:pPr>
          </w:p>
        </w:tc>
      </w:tr>
      <w:tr>
        <w:trPr>
          <w:trHeight w:val="95"/>
        </w:trPr>
        <w:tc>
          <w:tcPr>
            <w:tcW w:w="720" w:type="dxa"/>
            <w:vAlign w:val="bottom"/>
          </w:tcPr>
          <w:p>
            <w:pPr>
              <w:spacing w:after="0" w:line="95" w:lineRule="exact"/>
              <w:rPr>
                <w:sz w:val="20"/>
                <w:szCs w:val="20"/>
                <w:color w:val="auto"/>
              </w:rPr>
            </w:pPr>
            <w:r>
              <w:rPr>
                <w:rFonts w:ascii="Arial" w:cs="Arial" w:eastAsia="Arial" w:hAnsi="Arial"/>
                <w:sz w:val="10"/>
                <w:szCs w:val="10"/>
                <w:b w:val="1"/>
                <w:bCs w:val="1"/>
                <w:color w:val="auto"/>
              </w:rPr>
              <w:t>Declaration</w:t>
            </w:r>
          </w:p>
        </w:tc>
        <w:tc>
          <w:tcPr>
            <w:tcW w:w="720" w:type="dxa"/>
            <w:vAlign w:val="bottom"/>
          </w:tcPr>
          <w:p>
            <w:pPr>
              <w:ind w:left="20"/>
              <w:spacing w:after="0" w:line="95" w:lineRule="exact"/>
              <w:rPr>
                <w:sz w:val="20"/>
                <w:szCs w:val="20"/>
                <w:color w:val="auto"/>
              </w:rPr>
            </w:pPr>
            <w:r>
              <w:rPr>
                <w:rFonts w:ascii="Arial" w:cs="Arial" w:eastAsia="Arial" w:hAnsi="Arial"/>
                <w:sz w:val="10"/>
                <w:szCs w:val="10"/>
                <w:color w:val="auto"/>
              </w:rPr>
              <w:t>information</w:t>
            </w:r>
          </w:p>
        </w:tc>
        <w:tc>
          <w:tcPr>
            <w:tcW w:w="3660" w:type="dxa"/>
            <w:vAlign w:val="bottom"/>
            <w:gridSpan w:val="2"/>
          </w:tcPr>
          <w:p>
            <w:pPr>
              <w:ind w:left="80"/>
              <w:spacing w:after="0" w:line="95" w:lineRule="exact"/>
              <w:rPr>
                <w:sz w:val="20"/>
                <w:szCs w:val="20"/>
                <w:color w:val="auto"/>
              </w:rPr>
            </w:pPr>
            <w:r>
              <w:rPr>
                <w:rFonts w:ascii="Arial" w:cs="Arial" w:eastAsia="Arial" w:hAnsi="Arial"/>
                <w:sz w:val="10"/>
                <w:szCs w:val="10"/>
                <w:color w:val="auto"/>
              </w:rPr>
              <w:t>timely disclosure of clinical trial information. The objective</w:t>
            </w:r>
          </w:p>
        </w:tc>
        <w:tc>
          <w:tcPr>
            <w:tcW w:w="840" w:type="dxa"/>
            <w:vAlign w:val="bottom"/>
          </w:tcPr>
          <w:p>
            <w:pPr>
              <w:spacing w:after="0" w:line="95" w:lineRule="exact"/>
              <w:rPr>
                <w:sz w:val="20"/>
                <w:szCs w:val="20"/>
                <w:color w:val="auto"/>
              </w:rPr>
            </w:pPr>
            <w:r>
              <w:rPr>
                <w:rFonts w:ascii="Arial" w:cs="Arial" w:eastAsia="Arial" w:hAnsi="Arial"/>
                <w:sz w:val="10"/>
                <w:szCs w:val="10"/>
                <w:color w:val="auto"/>
              </w:rPr>
              <w:t>Officer</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vMerge w:val="restart"/>
          </w:tcPr>
          <w:p>
            <w:pPr>
              <w:ind w:left="80"/>
              <w:spacing w:after="0"/>
              <w:rPr>
                <w:sz w:val="20"/>
                <w:szCs w:val="20"/>
                <w:color w:val="auto"/>
              </w:rPr>
            </w:pPr>
            <w:r>
              <w:rPr>
                <w:rFonts w:ascii="Arial" w:cs="Arial" w:eastAsia="Arial" w:hAnsi="Arial"/>
                <w:sz w:val="10"/>
                <w:szCs w:val="10"/>
                <w:color w:val="auto"/>
              </w:rPr>
              <w:t>of this declaration is to promote transparency in clinical</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interventional</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clinical trials from</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research, advance scientific knowledge, and support</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Phase 1 onwards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informed decision-making by patients and healthcare</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conducted</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professionals, while safeguarding patient privacy and</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worldwide and,</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intellectual property. The commitments apply to all</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where applicable, to</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Genmab-sponsored interventional clinical trials from</w:t>
            </w:r>
          </w:p>
        </w:tc>
        <w:tc>
          <w:tcPr>
            <w:tcW w:w="980" w:type="dxa"/>
            <w:vAlign w:val="bottom"/>
            <w:vMerge w:val="restart"/>
          </w:tcPr>
          <w:p>
            <w:pPr>
              <w:ind w:left="40"/>
              <w:spacing w:after="0"/>
              <w:rPr>
                <w:sz w:val="20"/>
                <w:szCs w:val="20"/>
                <w:color w:val="auto"/>
              </w:rPr>
            </w:pPr>
            <w:r>
              <w:rPr>
                <w:rFonts w:ascii="Arial" w:cs="Arial" w:eastAsia="Arial" w:hAnsi="Arial"/>
                <w:sz w:val="10"/>
                <w:szCs w:val="10"/>
                <w:color w:val="auto"/>
              </w:rPr>
              <w:t>Genmab-sponsored</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Phase 1 onwards and, where applicable, to non-</w:t>
            </w:r>
          </w:p>
        </w:tc>
        <w:tc>
          <w:tcPr>
            <w:tcW w:w="9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interventional studies and expanded access programs,</w:t>
            </w:r>
          </w:p>
        </w:tc>
        <w:tc>
          <w:tcPr>
            <w:tcW w:w="980" w:type="dxa"/>
            <w:vAlign w:val="bottom"/>
            <w:vMerge w:val="restart"/>
          </w:tcPr>
          <w:p>
            <w:pPr>
              <w:ind w:left="40"/>
              <w:spacing w:after="0"/>
              <w:rPr>
                <w:sz w:val="20"/>
                <w:szCs w:val="20"/>
                <w:color w:val="auto"/>
              </w:rPr>
            </w:pPr>
            <w:r>
              <w:rPr>
                <w:rFonts w:ascii="Arial" w:cs="Arial" w:eastAsia="Arial" w:hAnsi="Arial"/>
                <w:sz w:val="10"/>
                <w:szCs w:val="10"/>
                <w:color w:val="auto"/>
              </w:rPr>
              <w:t>non-interventional</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in compliance with applicable legal and regulatory</w:t>
            </w:r>
          </w:p>
        </w:tc>
        <w:tc>
          <w:tcPr>
            <w:tcW w:w="9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requirements.</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clinical studies and</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expanded access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80" w:type="dxa"/>
            <w:vAlign w:val="bottom"/>
          </w:tcPr>
          <w:p>
            <w:pPr>
              <w:ind w:left="40"/>
              <w:spacing w:after="0" w:line="105" w:lineRule="exact"/>
              <w:rPr>
                <w:sz w:val="20"/>
                <w:szCs w:val="20"/>
                <w:color w:val="auto"/>
              </w:rPr>
            </w:pPr>
            <w:r>
              <w:rPr>
                <w:rFonts w:ascii="Arial" w:cs="Arial" w:eastAsia="Arial" w:hAnsi="Arial"/>
                <w:sz w:val="10"/>
                <w:szCs w:val="10"/>
                <w:color w:val="auto"/>
              </w:rPr>
              <w:t>programs.</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line="105" w:lineRule="exact"/>
              <w:rPr>
                <w:sz w:val="20"/>
                <w:szCs w:val="20"/>
                <w:color w:val="auto"/>
              </w:rPr>
            </w:pPr>
            <w:r>
              <w:rPr>
                <w:rFonts w:ascii="Arial" w:cs="Arial" w:eastAsia="Arial" w:hAnsi="Arial"/>
                <w:sz w:val="10"/>
                <w:szCs w:val="10"/>
                <w:b w:val="1"/>
                <w:bCs w:val="1"/>
                <w:color w:val="auto"/>
              </w:rPr>
              <w:t>Commitment</w:t>
            </w:r>
          </w:p>
        </w:tc>
        <w:tc>
          <w:tcPr>
            <w:tcW w:w="720" w:type="dxa"/>
            <w:vAlign w:val="bottom"/>
          </w:tcPr>
          <w:p>
            <w:pPr>
              <w:ind w:left="20"/>
              <w:spacing w:after="0" w:line="105" w:lineRule="exact"/>
              <w:rPr>
                <w:sz w:val="20"/>
                <w:szCs w:val="20"/>
                <w:color w:val="auto"/>
              </w:rPr>
            </w:pPr>
            <w:r>
              <w:rPr>
                <w:rFonts w:ascii="Arial" w:cs="Arial" w:eastAsia="Arial" w:hAnsi="Arial"/>
                <w:sz w:val="10"/>
                <w:szCs w:val="10"/>
                <w:color w:val="auto"/>
              </w:rPr>
              <w:t>Patient voice;</w:t>
            </w:r>
          </w:p>
        </w:tc>
        <w:tc>
          <w:tcPr>
            <w:tcW w:w="2680" w:type="dxa"/>
            <w:vAlign w:val="bottom"/>
          </w:tcPr>
          <w:p>
            <w:pPr>
              <w:ind w:left="80"/>
              <w:spacing w:after="0" w:line="105" w:lineRule="exact"/>
              <w:rPr>
                <w:sz w:val="20"/>
                <w:szCs w:val="20"/>
                <w:color w:val="auto"/>
              </w:rPr>
            </w:pPr>
            <w:r>
              <w:rPr>
                <w:rFonts w:ascii="Arial" w:cs="Arial" w:eastAsia="Arial" w:hAnsi="Arial"/>
                <w:sz w:val="10"/>
                <w:szCs w:val="10"/>
                <w:color w:val="auto"/>
              </w:rPr>
              <w:t>Communicates Genmab’s commitment to placing</w:t>
            </w:r>
          </w:p>
        </w:tc>
        <w:tc>
          <w:tcPr>
            <w:tcW w:w="980" w:type="dxa"/>
            <w:vAlign w:val="bottom"/>
          </w:tcPr>
          <w:p>
            <w:pPr>
              <w:ind w:left="40"/>
              <w:spacing w:after="0" w:line="105" w:lineRule="exact"/>
              <w:rPr>
                <w:sz w:val="20"/>
                <w:szCs w:val="20"/>
                <w:color w:val="auto"/>
              </w:rPr>
            </w:pPr>
            <w:r>
              <w:rPr>
                <w:rFonts w:ascii="Arial" w:cs="Arial" w:eastAsia="Arial" w:hAnsi="Arial"/>
                <w:sz w:val="10"/>
                <w:szCs w:val="10"/>
                <w:color w:val="auto"/>
              </w:rPr>
              <w:t>Applies across</w:t>
            </w:r>
          </w:p>
        </w:tc>
        <w:tc>
          <w:tcPr>
            <w:tcW w:w="840" w:type="dxa"/>
            <w:vAlign w:val="bottom"/>
          </w:tcPr>
          <w:p>
            <w:pPr>
              <w:spacing w:after="0" w:line="105" w:lineRule="exact"/>
              <w:rPr>
                <w:sz w:val="20"/>
                <w:szCs w:val="20"/>
                <w:color w:val="auto"/>
              </w:rPr>
            </w:pPr>
            <w:r>
              <w:rPr>
                <w:rFonts w:ascii="Arial" w:cs="Arial" w:eastAsia="Arial" w:hAnsi="Arial"/>
                <w:sz w:val="10"/>
                <w:szCs w:val="10"/>
                <w:color w:val="auto"/>
              </w:rPr>
              <w:t>SVP,</w:t>
            </w:r>
          </w:p>
        </w:tc>
        <w:tc>
          <w:tcPr>
            <w:tcW w:w="0" w:type="dxa"/>
            <w:vAlign w:val="bottom"/>
          </w:tcPr>
          <w:p>
            <w:pPr>
              <w:spacing w:after="0"/>
              <w:rPr>
                <w:sz w:val="1"/>
                <w:szCs w:val="1"/>
                <w:color w:val="auto"/>
              </w:rPr>
            </w:pPr>
          </w:p>
        </w:tc>
      </w:tr>
      <w:tr>
        <w:trPr>
          <w:trHeight w:val="95"/>
        </w:trPr>
        <w:tc>
          <w:tcPr>
            <w:tcW w:w="720" w:type="dxa"/>
            <w:vAlign w:val="bottom"/>
          </w:tcPr>
          <w:p>
            <w:pPr>
              <w:spacing w:after="0" w:line="95" w:lineRule="exact"/>
              <w:rPr>
                <w:sz w:val="20"/>
                <w:szCs w:val="20"/>
                <w:color w:val="auto"/>
              </w:rPr>
            </w:pPr>
            <w:r>
              <w:rPr>
                <w:rFonts w:ascii="Arial" w:cs="Arial" w:eastAsia="Arial" w:hAnsi="Arial"/>
                <w:sz w:val="10"/>
                <w:szCs w:val="10"/>
                <w:b w:val="1"/>
                <w:bCs w:val="1"/>
                <w:color w:val="auto"/>
              </w:rPr>
              <w:t>to Patients</w:t>
            </w:r>
          </w:p>
        </w:tc>
        <w:tc>
          <w:tcPr>
            <w:tcW w:w="720" w:type="dxa"/>
            <w:vAlign w:val="bottom"/>
          </w:tcPr>
          <w:p>
            <w:pPr>
              <w:ind w:left="20"/>
              <w:spacing w:after="0" w:line="95" w:lineRule="exact"/>
              <w:rPr>
                <w:sz w:val="20"/>
                <w:szCs w:val="20"/>
                <w:color w:val="auto"/>
              </w:rPr>
            </w:pPr>
            <w:r>
              <w:rPr>
                <w:rFonts w:ascii="Arial" w:cs="Arial" w:eastAsia="Arial" w:hAnsi="Arial"/>
                <w:sz w:val="10"/>
                <w:szCs w:val="10"/>
                <w:color w:val="auto"/>
              </w:rPr>
              <w:t>Innovation for</w:t>
            </w: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patients at the center of its activities across research,</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global operations,</w:t>
            </w:r>
          </w:p>
        </w:tc>
        <w:tc>
          <w:tcPr>
            <w:tcW w:w="840" w:type="dxa"/>
            <w:vAlign w:val="bottom"/>
          </w:tcPr>
          <w:p>
            <w:pPr>
              <w:spacing w:after="0" w:line="95" w:lineRule="exact"/>
              <w:rPr>
                <w:sz w:val="20"/>
                <w:szCs w:val="20"/>
                <w:color w:val="auto"/>
              </w:rPr>
            </w:pPr>
            <w:r>
              <w:rPr>
                <w:rFonts w:ascii="Arial" w:cs="Arial" w:eastAsia="Arial" w:hAnsi="Arial"/>
                <w:sz w:val="10"/>
                <w:szCs w:val="10"/>
                <w:color w:val="auto"/>
              </w:rPr>
              <w:t>Communications</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20"/>
              <w:spacing w:after="0" w:line="95" w:lineRule="exact"/>
              <w:rPr>
                <w:sz w:val="20"/>
                <w:szCs w:val="20"/>
                <w:color w:val="auto"/>
              </w:rPr>
            </w:pPr>
            <w:r>
              <w:rPr>
                <w:rFonts w:ascii="Arial" w:cs="Arial" w:eastAsia="Arial" w:hAnsi="Arial"/>
                <w:sz w:val="10"/>
                <w:szCs w:val="10"/>
                <w:color w:val="auto"/>
              </w:rPr>
              <w:t>patients with</w:t>
            </w: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development, and access to medicines. The objective is</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including clinical</w:t>
            </w:r>
          </w:p>
        </w:tc>
        <w:tc>
          <w:tcPr>
            <w:tcW w:w="840" w:type="dxa"/>
            <w:vAlign w:val="bottom"/>
          </w:tcPr>
          <w:p>
            <w:pPr>
              <w:spacing w:after="0" w:line="95" w:lineRule="exact"/>
              <w:rPr>
                <w:sz w:val="20"/>
                <w:szCs w:val="20"/>
                <w:color w:val="auto"/>
              </w:rPr>
            </w:pPr>
            <w:r>
              <w:rPr>
                <w:rFonts w:ascii="Arial" w:cs="Arial" w:eastAsia="Arial" w:hAnsi="Arial"/>
                <w:sz w:val="10"/>
                <w:szCs w:val="10"/>
                <w:color w:val="auto"/>
              </w:rPr>
              <w:t>&amp; Corporate</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ind w:left="20"/>
              <w:spacing w:after="0" w:line="95" w:lineRule="exact"/>
              <w:rPr>
                <w:sz w:val="20"/>
                <w:szCs w:val="20"/>
                <w:color w:val="auto"/>
              </w:rPr>
            </w:pPr>
            <w:r>
              <w:rPr>
                <w:rFonts w:ascii="Arial" w:cs="Arial" w:eastAsia="Arial" w:hAnsi="Arial"/>
                <w:sz w:val="10"/>
                <w:szCs w:val="10"/>
                <w:color w:val="auto"/>
              </w:rPr>
              <w:t>unmet needs</w:t>
            </w: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to</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development,</w:t>
            </w:r>
          </w:p>
        </w:tc>
        <w:tc>
          <w:tcPr>
            <w:tcW w:w="840" w:type="dxa"/>
            <w:vAlign w:val="bottom"/>
          </w:tcPr>
          <w:p>
            <w:pPr>
              <w:spacing w:after="0" w:line="95" w:lineRule="exact"/>
              <w:rPr>
                <w:sz w:val="20"/>
                <w:szCs w:val="20"/>
                <w:color w:val="auto"/>
              </w:rPr>
            </w:pPr>
            <w:r>
              <w:rPr>
                <w:rFonts w:ascii="Arial" w:cs="Arial" w:eastAsia="Arial" w:hAnsi="Arial"/>
                <w:sz w:val="10"/>
                <w:szCs w:val="10"/>
                <w:color w:val="auto"/>
              </w:rPr>
              <w:t>Affairs</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improve patient outcomes by integrating patient</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medical writing,</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perspectives, promoting inclusive and patient-centric</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patient advocacy,</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clinical research, supporting access to prescribed</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and patient access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medicines, and acting with integrity and transparency in</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and support</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all</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programs.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80" w:type="dxa"/>
            <w:vAlign w:val="bottom"/>
          </w:tcPr>
          <w:p>
            <w:pPr>
              <w:ind w:left="80"/>
              <w:spacing w:after="0"/>
              <w:rPr>
                <w:sz w:val="20"/>
                <w:szCs w:val="20"/>
                <w:color w:val="auto"/>
              </w:rPr>
            </w:pPr>
            <w:r>
              <w:rPr>
                <w:rFonts w:ascii="Arial" w:cs="Arial" w:eastAsia="Arial" w:hAnsi="Arial"/>
                <w:sz w:val="10"/>
                <w:szCs w:val="10"/>
                <w:color w:val="auto"/>
              </w:rPr>
              <w:t>patient-related interactions.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3"/>
        </w:trPr>
        <w:tc>
          <w:tcPr>
            <w:tcW w:w="720" w:type="dxa"/>
            <w:vAlign w:val="bottom"/>
          </w:tcPr>
          <w:p>
            <w:pPr>
              <w:spacing w:after="0"/>
              <w:rPr>
                <w:sz w:val="20"/>
                <w:szCs w:val="20"/>
                <w:color w:val="auto"/>
              </w:rPr>
            </w:pPr>
            <w:r>
              <w:rPr>
                <w:rFonts w:ascii="Arial" w:cs="Arial" w:eastAsia="Arial" w:hAnsi="Arial"/>
                <w:sz w:val="10"/>
                <w:szCs w:val="10"/>
                <w:b w:val="1"/>
                <w:bCs w:val="1"/>
                <w:color w:val="auto"/>
              </w:rPr>
              <w:t>Global</w:t>
            </w:r>
          </w:p>
        </w:tc>
        <w:tc>
          <w:tcPr>
            <w:tcW w:w="720" w:type="dxa"/>
            <w:vAlign w:val="bottom"/>
          </w:tcPr>
          <w:p>
            <w:pPr>
              <w:ind w:left="20"/>
              <w:spacing w:after="0"/>
              <w:rPr>
                <w:sz w:val="20"/>
                <w:szCs w:val="20"/>
                <w:color w:val="auto"/>
              </w:rPr>
            </w:pPr>
            <w:r>
              <w:rPr>
                <w:rFonts w:ascii="Arial" w:cs="Arial" w:eastAsia="Arial" w:hAnsi="Arial"/>
                <w:sz w:val="10"/>
                <w:szCs w:val="10"/>
                <w:color w:val="auto"/>
              </w:rPr>
              <w:t>Responsible</w:t>
            </w:r>
          </w:p>
        </w:tc>
        <w:tc>
          <w:tcPr>
            <w:tcW w:w="3660" w:type="dxa"/>
            <w:vAlign w:val="bottom"/>
            <w:gridSpan w:val="2"/>
          </w:tcPr>
          <w:p>
            <w:pPr>
              <w:ind w:left="80"/>
              <w:spacing w:after="0"/>
              <w:rPr>
                <w:sz w:val="20"/>
                <w:szCs w:val="20"/>
                <w:color w:val="auto"/>
              </w:rPr>
            </w:pPr>
            <w:r>
              <w:rPr>
                <w:rFonts w:ascii="Arial" w:cs="Arial" w:eastAsia="Arial" w:hAnsi="Arial"/>
                <w:sz w:val="10"/>
                <w:szCs w:val="10"/>
                <w:color w:val="auto"/>
              </w:rPr>
              <w:t>Reflects our commitment to conducting business ethicall Applies to all</w:t>
            </w:r>
          </w:p>
        </w:tc>
        <w:tc>
          <w:tcPr>
            <w:tcW w:w="840" w:type="dxa"/>
            <w:vAlign w:val="bottom"/>
          </w:tcPr>
          <w:p>
            <w:pPr>
              <w:spacing w:after="0"/>
              <w:rPr>
                <w:sz w:val="20"/>
                <w:szCs w:val="20"/>
                <w:color w:val="auto"/>
              </w:rPr>
            </w:pPr>
            <w:r>
              <w:rPr>
                <w:rFonts w:ascii="Arial" w:cs="Arial" w:eastAsia="Arial" w:hAnsi="Arial"/>
                <w:sz w:val="10"/>
                <w:szCs w:val="10"/>
                <w:color w:val="auto"/>
              </w:rPr>
              <w:t>SVP, Global</w:t>
            </w:r>
          </w:p>
        </w:tc>
        <w:tc>
          <w:tcPr>
            <w:tcW w:w="0" w:type="dxa"/>
            <w:vAlign w:val="bottom"/>
          </w:tcPr>
          <w:p>
            <w:pPr>
              <w:spacing w:after="0"/>
              <w:rPr>
                <w:sz w:val="1"/>
                <w:szCs w:val="1"/>
                <w:color w:val="auto"/>
              </w:rPr>
            </w:pPr>
          </w:p>
        </w:tc>
      </w:tr>
      <w:tr>
        <w:trPr>
          <w:trHeight w:val="95"/>
        </w:trPr>
        <w:tc>
          <w:tcPr>
            <w:tcW w:w="720" w:type="dxa"/>
            <w:vAlign w:val="bottom"/>
          </w:tcPr>
          <w:p>
            <w:pPr>
              <w:spacing w:after="0" w:line="95" w:lineRule="exact"/>
              <w:rPr>
                <w:sz w:val="20"/>
                <w:szCs w:val="20"/>
                <w:color w:val="auto"/>
              </w:rPr>
            </w:pPr>
            <w:r>
              <w:rPr>
                <w:rFonts w:ascii="Arial" w:cs="Arial" w:eastAsia="Arial" w:hAnsi="Arial"/>
                <w:sz w:val="10"/>
                <w:szCs w:val="10"/>
                <w:b w:val="1"/>
                <w:bCs w:val="1"/>
                <w:color w:val="auto"/>
              </w:rPr>
              <w:t>Compliance</w:t>
            </w:r>
          </w:p>
        </w:tc>
        <w:tc>
          <w:tcPr>
            <w:tcW w:w="720" w:type="dxa"/>
            <w:vAlign w:val="bottom"/>
          </w:tcPr>
          <w:p>
            <w:pPr>
              <w:ind w:left="20"/>
              <w:spacing w:after="0" w:line="95" w:lineRule="exact"/>
              <w:rPr>
                <w:sz w:val="20"/>
                <w:szCs w:val="20"/>
                <w:color w:val="auto"/>
              </w:rPr>
            </w:pPr>
            <w:r>
              <w:rPr>
                <w:rFonts w:ascii="Arial" w:cs="Arial" w:eastAsia="Arial" w:hAnsi="Arial"/>
                <w:sz w:val="10"/>
                <w:szCs w:val="10"/>
                <w:color w:val="auto"/>
              </w:rPr>
              <w:t>and ethical</w:t>
            </w: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y</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employees,</w:t>
            </w:r>
          </w:p>
        </w:tc>
        <w:tc>
          <w:tcPr>
            <w:tcW w:w="840" w:type="dxa"/>
            <w:vAlign w:val="bottom"/>
          </w:tcPr>
          <w:p>
            <w:pPr>
              <w:spacing w:after="0" w:line="95" w:lineRule="exact"/>
              <w:rPr>
                <w:sz w:val="20"/>
                <w:szCs w:val="20"/>
                <w:color w:val="auto"/>
              </w:rPr>
            </w:pPr>
            <w:r>
              <w:rPr>
                <w:rFonts w:ascii="Arial" w:cs="Arial" w:eastAsia="Arial" w:hAnsi="Arial"/>
                <w:sz w:val="10"/>
                <w:szCs w:val="10"/>
                <w:color w:val="auto"/>
              </w:rPr>
              <w:t>Compliance, Risk,</w:t>
            </w:r>
          </w:p>
        </w:tc>
        <w:tc>
          <w:tcPr>
            <w:tcW w:w="0" w:type="dxa"/>
            <w:vAlign w:val="bottom"/>
          </w:tcPr>
          <w:p>
            <w:pPr>
              <w:spacing w:after="0"/>
              <w:rPr>
                <w:sz w:val="1"/>
                <w:szCs w:val="1"/>
                <w:color w:val="auto"/>
              </w:rPr>
            </w:pPr>
          </w:p>
        </w:tc>
      </w:tr>
      <w:tr>
        <w:trPr>
          <w:trHeight w:val="95"/>
        </w:trPr>
        <w:tc>
          <w:tcPr>
            <w:tcW w:w="720" w:type="dxa"/>
            <w:vAlign w:val="bottom"/>
          </w:tcPr>
          <w:p>
            <w:pPr>
              <w:spacing w:after="0" w:line="95" w:lineRule="exact"/>
              <w:rPr>
                <w:sz w:val="20"/>
                <w:szCs w:val="20"/>
                <w:color w:val="auto"/>
              </w:rPr>
            </w:pPr>
            <w:r>
              <w:rPr>
                <w:rFonts w:ascii="Arial" w:cs="Arial" w:eastAsia="Arial" w:hAnsi="Arial"/>
                <w:sz w:val="10"/>
                <w:szCs w:val="10"/>
                <w:b w:val="1"/>
                <w:bCs w:val="1"/>
                <w:color w:val="auto"/>
              </w:rPr>
              <w:t>Policy</w:t>
            </w:r>
          </w:p>
        </w:tc>
        <w:tc>
          <w:tcPr>
            <w:tcW w:w="720" w:type="dxa"/>
            <w:vAlign w:val="bottom"/>
          </w:tcPr>
          <w:p>
            <w:pPr>
              <w:ind w:left="20"/>
              <w:spacing w:after="0" w:line="95" w:lineRule="exact"/>
              <w:rPr>
                <w:sz w:val="20"/>
                <w:szCs w:val="20"/>
                <w:color w:val="auto"/>
              </w:rPr>
            </w:pPr>
            <w:r>
              <w:rPr>
                <w:rFonts w:ascii="Arial" w:cs="Arial" w:eastAsia="Arial" w:hAnsi="Arial"/>
                <w:sz w:val="10"/>
                <w:szCs w:val="10"/>
                <w:color w:val="auto"/>
              </w:rPr>
              <w:t>marketing</w:t>
            </w: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and in compliance with applicable legal, regulatory, and</w:t>
            </w:r>
          </w:p>
        </w:tc>
        <w:tc>
          <w:tcPr>
            <w:tcW w:w="980" w:type="dxa"/>
            <w:vAlign w:val="bottom"/>
          </w:tcPr>
          <w:p>
            <w:pPr>
              <w:ind w:left="40"/>
              <w:spacing w:after="0" w:line="95" w:lineRule="exact"/>
              <w:rPr>
                <w:sz w:val="20"/>
                <w:szCs w:val="20"/>
                <w:color w:val="auto"/>
              </w:rPr>
            </w:pPr>
            <w:r>
              <w:rPr>
                <w:rFonts w:ascii="Arial" w:cs="Arial" w:eastAsia="Arial" w:hAnsi="Arial"/>
                <w:sz w:val="10"/>
                <w:szCs w:val="10"/>
                <w:color w:val="auto"/>
              </w:rPr>
              <w:t>managers, board</w:t>
            </w:r>
          </w:p>
        </w:tc>
        <w:tc>
          <w:tcPr>
            <w:tcW w:w="840" w:type="dxa"/>
            <w:vAlign w:val="bottom"/>
          </w:tcPr>
          <w:p>
            <w:pPr>
              <w:spacing w:after="0" w:line="95" w:lineRule="exact"/>
              <w:rPr>
                <w:sz w:val="20"/>
                <w:szCs w:val="20"/>
                <w:color w:val="auto"/>
              </w:rPr>
            </w:pPr>
            <w:r>
              <w:rPr>
                <w:rFonts w:ascii="Arial" w:cs="Arial" w:eastAsia="Arial" w:hAnsi="Arial"/>
                <w:sz w:val="10"/>
                <w:szCs w:val="10"/>
                <w:color w:val="auto"/>
              </w:rPr>
              <w:t>and Data Privacy</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60" w:type="dxa"/>
            <w:vAlign w:val="bottom"/>
            <w:gridSpan w:val="2"/>
          </w:tcPr>
          <w:p>
            <w:pPr>
              <w:ind w:left="80"/>
              <w:spacing w:after="0" w:line="95" w:lineRule="exact"/>
              <w:rPr>
                <w:sz w:val="20"/>
                <w:szCs w:val="20"/>
                <w:color w:val="auto"/>
              </w:rPr>
            </w:pPr>
            <w:r>
              <w:rPr>
                <w:rFonts w:ascii="Arial" w:cs="Arial" w:eastAsia="Arial" w:hAnsi="Arial"/>
                <w:sz w:val="10"/>
                <w:szCs w:val="10"/>
                <w:color w:val="auto"/>
              </w:rPr>
              <w:t>industry code requirements. The objective is to provide a members, and third</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80" w:type="dxa"/>
            <w:vAlign w:val="bottom"/>
            <w:vMerge w:val="restart"/>
          </w:tcPr>
          <w:p>
            <w:pPr>
              <w:ind w:left="80"/>
              <w:spacing w:after="0"/>
              <w:rPr>
                <w:sz w:val="20"/>
                <w:szCs w:val="20"/>
                <w:color w:val="auto"/>
              </w:rPr>
            </w:pPr>
            <w:r>
              <w:rPr>
                <w:rFonts w:ascii="Arial" w:cs="Arial" w:eastAsia="Arial" w:hAnsi="Arial"/>
                <w:sz w:val="10"/>
                <w:szCs w:val="10"/>
                <w:color w:val="auto"/>
              </w:rPr>
              <w:t>common set of ethical principles and compliance</w:t>
            </w:r>
          </w:p>
        </w:tc>
        <w:tc>
          <w:tcPr>
            <w:tcW w:w="980" w:type="dxa"/>
            <w:vAlign w:val="bottom"/>
          </w:tcPr>
          <w:p>
            <w:pPr>
              <w:ind w:left="40"/>
              <w:spacing w:after="0"/>
              <w:rPr>
                <w:sz w:val="20"/>
                <w:szCs w:val="20"/>
                <w:color w:val="auto"/>
              </w:rPr>
            </w:pPr>
            <w:r>
              <w:rPr>
                <w:rFonts w:ascii="Arial" w:cs="Arial" w:eastAsia="Arial" w:hAnsi="Arial"/>
                <w:sz w:val="10"/>
                <w:szCs w:val="10"/>
                <w:color w:val="auto"/>
              </w:rPr>
              <w:t>parties.</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5" w:lineRule="exact"/>
              <w:rPr>
                <w:sz w:val="20"/>
                <w:szCs w:val="20"/>
                <w:color w:val="auto"/>
              </w:rPr>
            </w:pPr>
            <w:r>
              <w:rPr>
                <w:rFonts w:ascii="Arial" w:cs="Arial" w:eastAsia="Arial" w:hAnsi="Arial"/>
                <w:sz w:val="10"/>
                <w:szCs w:val="10"/>
                <w:color w:val="auto"/>
              </w:rPr>
              <w:t>expectations governing Genmab’s interactions with</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80" w:type="dxa"/>
            <w:vAlign w:val="bottom"/>
          </w:tcPr>
          <w:p>
            <w:pPr>
              <w:ind w:left="80"/>
              <w:spacing w:after="0" w:line="96" w:lineRule="exact"/>
              <w:rPr>
                <w:sz w:val="20"/>
                <w:szCs w:val="20"/>
                <w:color w:val="auto"/>
              </w:rPr>
            </w:pPr>
            <w:r>
              <w:rPr>
                <w:rFonts w:ascii="Arial" w:cs="Arial" w:eastAsia="Arial" w:hAnsi="Arial"/>
                <w:sz w:val="10"/>
                <w:szCs w:val="10"/>
                <w:color w:val="auto"/>
              </w:rPr>
              <w:t>healthcare professionals, healthcare organizations,</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540"/>
        <w:spacing w:after="0" w:line="198" w:lineRule="auto"/>
        <w:rPr>
          <w:sz w:val="20"/>
          <w:szCs w:val="20"/>
          <w:color w:val="auto"/>
        </w:rPr>
      </w:pPr>
      <w:r>
        <w:rPr>
          <w:rFonts w:ascii="Arial" w:cs="Arial" w:eastAsia="Arial" w:hAnsi="Arial"/>
          <w:sz w:val="10"/>
          <w:szCs w:val="10"/>
          <w:color w:val="auto"/>
        </w:rPr>
        <w:t>patients, patient advocacy groups, public officials, and</w:t>
      </w:r>
    </w:p>
    <w:p>
      <w:pPr>
        <w:ind w:left="1540"/>
        <w:spacing w:after="0" w:line="199" w:lineRule="auto"/>
        <w:rPr>
          <w:sz w:val="20"/>
          <w:szCs w:val="20"/>
          <w:color w:val="auto"/>
        </w:rPr>
      </w:pPr>
      <w:r>
        <w:rPr>
          <w:rFonts w:ascii="Arial" w:cs="Arial" w:eastAsia="Arial" w:hAnsi="Arial"/>
          <w:sz w:val="10"/>
          <w:szCs w:val="10"/>
          <w:color w:val="auto"/>
        </w:rPr>
        <w:t>other stakeholders, and to support consistent, lawful, an</w:t>
      </w:r>
    </w:p>
    <w:p>
      <w:pPr>
        <w:ind w:left="1540"/>
        <w:spacing w:after="0" w:line="198" w:lineRule="auto"/>
        <w:rPr>
          <w:sz w:val="20"/>
          <w:szCs w:val="20"/>
          <w:color w:val="auto"/>
        </w:rPr>
      </w:pPr>
      <w:r>
        <w:rPr>
          <w:rFonts w:ascii="Arial" w:cs="Arial" w:eastAsia="Arial" w:hAnsi="Arial"/>
          <w:sz w:val="10"/>
          <w:szCs w:val="10"/>
          <w:color w:val="auto"/>
        </w:rPr>
        <w:t>d</w:t>
      </w:r>
    </w:p>
    <w:p>
      <w:pPr>
        <w:ind w:left="1540"/>
        <w:spacing w:after="0"/>
        <w:rPr>
          <w:sz w:val="20"/>
          <w:szCs w:val="20"/>
          <w:color w:val="auto"/>
        </w:rPr>
      </w:pPr>
      <w:r>
        <w:rPr>
          <w:rFonts w:ascii="Arial" w:cs="Arial" w:eastAsia="Arial" w:hAnsi="Arial"/>
          <w:sz w:val="10"/>
          <w:szCs w:val="10"/>
          <w:color w:val="auto"/>
        </w:rPr>
        <w:t>ethical conduct across the business.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1" w:lineRule="exact"/>
        <w:rPr>
          <w:rFonts w:ascii="Arial" w:cs="Arial" w:eastAsia="Arial" w:hAnsi="Arial"/>
          <w:sz w:val="1"/>
          <w:szCs w:val="1"/>
          <w:b w:val="1"/>
          <w:bCs w:val="1"/>
          <w:color w:val="auto"/>
        </w:rPr>
      </w:pPr>
    </w:p>
    <w:tbl>
      <w:tblPr>
        <w:tblLayout w:type="fixed"/>
        <w:tblInd w:w="0" w:type="dxa"/>
        <w:tblCellMar>
          <w:top w:w="0" w:type="dxa"/>
          <w:left w:w="0" w:type="dxa"/>
          <w:bottom w:w="0" w:type="dxa"/>
          <w:right w:w="0" w:type="dxa"/>
        </w:tblCellMar>
      </w:tblPr>
      <w:tr>
        <w:trPr>
          <w:trHeight w:val="111"/>
        </w:trPr>
        <w:tc>
          <w:tcPr>
            <w:tcW w:w="1780" w:type="dxa"/>
            <w:vAlign w:val="bottom"/>
          </w:tcPr>
          <w:p>
            <w:pPr>
              <w:spacing w:after="0" w:line="111" w:lineRule="exact"/>
              <w:rPr>
                <w:sz w:val="20"/>
                <w:szCs w:val="20"/>
                <w:color w:val="auto"/>
              </w:rPr>
            </w:pPr>
            <w:r>
              <w:rPr>
                <w:rFonts w:ascii="Arial" w:cs="Arial" w:eastAsia="Arial" w:hAnsi="Arial"/>
                <w:sz w:val="10"/>
                <w:szCs w:val="10"/>
                <w:b w:val="1"/>
                <w:bCs w:val="1"/>
                <w:color w:val="auto"/>
              </w:rPr>
              <w:t>External Standards or Commitments</w:t>
            </w:r>
          </w:p>
        </w:tc>
        <w:tc>
          <w:tcPr>
            <w:tcW w:w="122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Stakeholder</w:t>
            </w:r>
          </w:p>
        </w:tc>
        <w:tc>
          <w:tcPr>
            <w:tcW w:w="80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Accessibility /</w:t>
            </w: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220" w:type="dxa"/>
            <w:vAlign w:val="bottom"/>
          </w:tcPr>
          <w:p>
            <w:pPr>
              <w:ind w:left="20"/>
              <w:spacing w:after="0"/>
              <w:rPr>
                <w:sz w:val="20"/>
                <w:szCs w:val="20"/>
                <w:color w:val="auto"/>
              </w:rPr>
            </w:pPr>
            <w:r>
              <w:rPr>
                <w:rFonts w:ascii="Arial" w:cs="Arial" w:eastAsia="Arial" w:hAnsi="Arial"/>
                <w:sz w:val="10"/>
                <w:szCs w:val="10"/>
                <w:b w:val="1"/>
                <w:bCs w:val="1"/>
                <w:color w:val="auto"/>
              </w:rPr>
              <w:t>Consideration</w:t>
            </w:r>
          </w:p>
        </w:tc>
        <w:tc>
          <w:tcPr>
            <w:tcW w:w="800" w:type="dxa"/>
            <w:vAlign w:val="bottom"/>
          </w:tcPr>
          <w:p>
            <w:pPr>
              <w:ind w:left="20"/>
              <w:spacing w:after="0"/>
              <w:rPr>
                <w:sz w:val="20"/>
                <w:szCs w:val="20"/>
                <w:color w:val="auto"/>
              </w:rPr>
            </w:pPr>
            <w:r>
              <w:rPr>
                <w:rFonts w:ascii="Arial" w:cs="Arial" w:eastAsia="Arial" w:hAnsi="Arial"/>
                <w:sz w:val="10"/>
                <w:szCs w:val="10"/>
                <w:b w:val="1"/>
                <w:bCs w:val="1"/>
                <w:color w:val="auto"/>
              </w:rPr>
              <w:t>Communication</w:t>
            </w:r>
          </w:p>
        </w:tc>
        <w:tc>
          <w:tcPr>
            <w:tcW w:w="0" w:type="dxa"/>
            <w:vAlign w:val="bottom"/>
          </w:tcPr>
          <w:p>
            <w:pPr>
              <w:spacing w:after="0"/>
              <w:rPr>
                <w:sz w:val="1"/>
                <w:szCs w:val="1"/>
                <w:color w:val="auto"/>
              </w:rPr>
            </w:pPr>
          </w:p>
        </w:tc>
      </w:tr>
      <w:tr>
        <w:trPr>
          <w:trHeight w:val="118"/>
        </w:trPr>
        <w:tc>
          <w:tcPr>
            <w:tcW w:w="1780" w:type="dxa"/>
            <w:vAlign w:val="bottom"/>
          </w:tcPr>
          <w:p>
            <w:pPr>
              <w:spacing w:after="0"/>
              <w:rPr>
                <w:sz w:val="20"/>
                <w:szCs w:val="20"/>
                <w:color w:val="auto"/>
              </w:rPr>
            </w:pPr>
            <w:r>
              <w:rPr>
                <w:rFonts w:ascii="Arial" w:cs="Arial" w:eastAsia="Arial" w:hAnsi="Arial"/>
                <w:sz w:val="10"/>
                <w:szCs w:val="10"/>
                <w:color w:val="auto"/>
              </w:rPr>
              <w:t>Aligned with applicable global and</w:t>
            </w:r>
          </w:p>
        </w:tc>
        <w:tc>
          <w:tcPr>
            <w:tcW w:w="1220" w:type="dxa"/>
            <w:vAlign w:val="bottom"/>
          </w:tcPr>
          <w:p>
            <w:pPr>
              <w:ind w:left="20"/>
              <w:spacing w:after="0"/>
              <w:rPr>
                <w:sz w:val="20"/>
                <w:szCs w:val="20"/>
                <w:color w:val="auto"/>
              </w:rPr>
            </w:pPr>
            <w:r>
              <w:rPr>
                <w:rFonts w:ascii="Arial" w:cs="Arial" w:eastAsia="Arial" w:hAnsi="Arial"/>
                <w:sz w:val="10"/>
                <w:szCs w:val="10"/>
                <w:color w:val="auto"/>
              </w:rPr>
              <w:t>Addresses the needs of</w:t>
            </w:r>
          </w:p>
        </w:tc>
        <w:tc>
          <w:tcPr>
            <w:tcW w:w="800" w:type="dxa"/>
            <w:vAlign w:val="bottom"/>
          </w:tcPr>
          <w:p>
            <w:pPr>
              <w:ind w:left="20"/>
              <w:spacing w:after="0"/>
              <w:rPr>
                <w:sz w:val="20"/>
                <w:szCs w:val="20"/>
                <w:color w:val="auto"/>
              </w:rPr>
            </w:pPr>
            <w:r>
              <w:rPr>
                <w:rFonts w:ascii="Arial" w:cs="Arial" w:eastAsia="Arial" w:hAnsi="Arial"/>
                <w:sz w:val="10"/>
                <w:szCs w:val="10"/>
                <w:color w:val="auto"/>
              </w:rPr>
              <w:t>Available on</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national clinical trial disclosure</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patients, healthcare</w:t>
            </w:r>
          </w:p>
        </w:tc>
        <w:tc>
          <w:tcPr>
            <w:tcW w:w="800" w:type="dxa"/>
            <w:vAlign w:val="bottom"/>
          </w:tcPr>
          <w:p>
            <w:pPr>
              <w:ind w:left="20"/>
              <w:spacing w:after="0" w:line="95" w:lineRule="exact"/>
              <w:rPr>
                <w:sz w:val="20"/>
                <w:szCs w:val="20"/>
                <w:color w:val="auto"/>
              </w:rPr>
            </w:pPr>
            <w:r>
              <w:rPr>
                <w:rFonts w:ascii="Arial" w:cs="Arial" w:eastAsia="Arial" w:hAnsi="Arial"/>
                <w:sz w:val="10"/>
                <w:szCs w:val="10"/>
                <w:color w:val="auto"/>
              </w:rPr>
              <w:t>internet and</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requirements and internationally</w:t>
            </w:r>
          </w:p>
        </w:tc>
        <w:tc>
          <w:tcPr>
            <w:tcW w:w="2020" w:type="dxa"/>
            <w:vAlign w:val="bottom"/>
            <w:gridSpan w:val="2"/>
          </w:tcPr>
          <w:p>
            <w:pPr>
              <w:ind w:left="20"/>
              <w:spacing w:after="0" w:line="95" w:lineRule="exact"/>
              <w:rPr>
                <w:sz w:val="20"/>
                <w:szCs w:val="20"/>
                <w:color w:val="auto"/>
              </w:rPr>
            </w:pPr>
            <w:r>
              <w:rPr>
                <w:rFonts w:ascii="Arial" w:cs="Arial" w:eastAsia="Arial" w:hAnsi="Arial"/>
                <w:sz w:val="10"/>
                <w:szCs w:val="10"/>
                <w:color w:val="auto"/>
              </w:rPr>
              <w:t>professionals, regulators, intranet.</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recognized standards, including WHO</w:t>
            </w:r>
          </w:p>
        </w:tc>
        <w:tc>
          <w:tcPr>
            <w:tcW w:w="1220" w:type="dxa"/>
            <w:vAlign w:val="bottom"/>
            <w:vMerge w:val="restart"/>
          </w:tcPr>
          <w:p>
            <w:pPr>
              <w:ind w:left="20"/>
              <w:spacing w:after="0"/>
              <w:rPr>
                <w:sz w:val="20"/>
                <w:szCs w:val="20"/>
                <w:color w:val="auto"/>
              </w:rPr>
            </w:pPr>
            <w:r>
              <w:rPr>
                <w:rFonts w:ascii="Arial" w:cs="Arial" w:eastAsia="Arial" w:hAnsi="Arial"/>
                <w:sz w:val="10"/>
                <w:szCs w:val="10"/>
                <w:color w:val="auto"/>
              </w:rPr>
              <w:t>and the scientific</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guidance on clinical trial registration,</w:t>
            </w:r>
          </w:p>
        </w:tc>
        <w:tc>
          <w:tcPr>
            <w:tcW w:w="12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and PhRMA/EFPIA principles on</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community by supporting</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20"/>
                <w:szCs w:val="20"/>
                <w:color w:val="auto"/>
              </w:rPr>
            </w:pPr>
            <w:r>
              <w:rPr>
                <w:rFonts w:ascii="Arial" w:cs="Arial" w:eastAsia="Arial" w:hAnsi="Arial"/>
                <w:sz w:val="10"/>
                <w:szCs w:val="10"/>
                <w:color w:val="auto"/>
              </w:rPr>
              <w:t>responsible data sharing.</w:t>
            </w:r>
          </w:p>
        </w:tc>
        <w:tc>
          <w:tcPr>
            <w:tcW w:w="1220" w:type="dxa"/>
            <w:vAlign w:val="bottom"/>
          </w:tcPr>
          <w:p>
            <w:pPr>
              <w:ind w:left="20"/>
              <w:spacing w:after="0"/>
              <w:rPr>
                <w:sz w:val="20"/>
                <w:szCs w:val="20"/>
                <w:color w:val="auto"/>
              </w:rPr>
            </w:pPr>
            <w:r>
              <w:rPr>
                <w:rFonts w:ascii="Arial" w:cs="Arial" w:eastAsia="Arial" w:hAnsi="Arial"/>
                <w:sz w:val="10"/>
                <w:szCs w:val="10"/>
                <w:color w:val="auto"/>
              </w:rPr>
              <w:t>informed decision-making</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220" w:type="dxa"/>
            <w:vAlign w:val="bottom"/>
          </w:tcPr>
          <w:p>
            <w:pPr>
              <w:ind w:left="20"/>
              <w:spacing w:after="0"/>
              <w:rPr>
                <w:sz w:val="20"/>
                <w:szCs w:val="20"/>
                <w:color w:val="auto"/>
              </w:rPr>
            </w:pPr>
            <w:r>
              <w:rPr>
                <w:rFonts w:ascii="Arial" w:cs="Arial" w:eastAsia="Arial" w:hAnsi="Arial"/>
                <w:sz w:val="10"/>
                <w:szCs w:val="10"/>
                <w:color w:val="auto"/>
              </w:rPr>
              <w:t>through transparent and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rPr>
                <w:sz w:val="8"/>
                <w:szCs w:val="8"/>
                <w:color w:val="auto"/>
              </w:rPr>
            </w:pP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responsible disclosure of</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11"/>
                <w:szCs w:val="11"/>
                <w:color w:val="auto"/>
              </w:rPr>
            </w:pPr>
          </w:p>
        </w:tc>
        <w:tc>
          <w:tcPr>
            <w:tcW w:w="1220" w:type="dxa"/>
            <w:vAlign w:val="bottom"/>
          </w:tcPr>
          <w:p>
            <w:pPr>
              <w:ind w:left="20"/>
              <w:spacing w:after="0"/>
              <w:rPr>
                <w:sz w:val="20"/>
                <w:szCs w:val="20"/>
                <w:color w:val="auto"/>
              </w:rPr>
            </w:pPr>
            <w:r>
              <w:rPr>
                <w:rFonts w:ascii="Arial" w:cs="Arial" w:eastAsia="Arial" w:hAnsi="Arial"/>
                <w:sz w:val="10"/>
                <w:szCs w:val="10"/>
                <w:color w:val="auto"/>
              </w:rPr>
              <w:t>clinical trial information.</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9"/>
        </w:trPr>
        <w:tc>
          <w:tcPr>
            <w:tcW w:w="1780" w:type="dxa"/>
            <w:vAlign w:val="bottom"/>
          </w:tcPr>
          <w:p>
            <w:pPr>
              <w:spacing w:after="0"/>
              <w:rPr>
                <w:sz w:val="20"/>
                <w:szCs w:val="20"/>
                <w:color w:val="auto"/>
              </w:rPr>
            </w:pPr>
            <w:r>
              <w:rPr>
                <w:rFonts w:ascii="Arial" w:cs="Arial" w:eastAsia="Arial" w:hAnsi="Arial"/>
                <w:sz w:val="10"/>
                <w:szCs w:val="10"/>
                <w:color w:val="auto"/>
              </w:rPr>
              <w:t>Aligned with patient-focused drug</w:t>
            </w:r>
          </w:p>
        </w:tc>
        <w:tc>
          <w:tcPr>
            <w:tcW w:w="2020" w:type="dxa"/>
            <w:vAlign w:val="bottom"/>
            <w:gridSpan w:val="2"/>
          </w:tcPr>
          <w:p>
            <w:pPr>
              <w:ind w:left="20"/>
              <w:spacing w:after="0"/>
              <w:rPr>
                <w:sz w:val="20"/>
                <w:szCs w:val="20"/>
                <w:color w:val="auto"/>
              </w:rPr>
            </w:pPr>
            <w:r>
              <w:rPr>
                <w:rFonts w:ascii="Arial" w:cs="Arial" w:eastAsia="Arial" w:hAnsi="Arial"/>
                <w:sz w:val="10"/>
                <w:szCs w:val="10"/>
                <w:color w:val="auto"/>
              </w:rPr>
              <w:t>Addresses the needs and Available on</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development guidance (e.g., ICH and</w:t>
            </w:r>
          </w:p>
        </w:tc>
        <w:tc>
          <w:tcPr>
            <w:tcW w:w="1220" w:type="dxa"/>
            <w:vAlign w:val="bottom"/>
          </w:tcPr>
          <w:p>
            <w:pPr>
              <w:spacing w:after="0"/>
              <w:rPr>
                <w:sz w:val="8"/>
                <w:szCs w:val="8"/>
                <w:color w:val="auto"/>
              </w:rPr>
            </w:pPr>
          </w:p>
        </w:tc>
        <w:tc>
          <w:tcPr>
            <w:tcW w:w="800" w:type="dxa"/>
            <w:vAlign w:val="bottom"/>
          </w:tcPr>
          <w:p>
            <w:pPr>
              <w:ind w:left="20"/>
              <w:spacing w:after="0" w:line="95" w:lineRule="exact"/>
              <w:rPr>
                <w:sz w:val="20"/>
                <w:szCs w:val="20"/>
                <w:color w:val="auto"/>
              </w:rPr>
            </w:pPr>
            <w:r>
              <w:rPr>
                <w:rFonts w:ascii="Arial" w:cs="Arial" w:eastAsia="Arial" w:hAnsi="Arial"/>
                <w:sz w:val="10"/>
                <w:szCs w:val="10"/>
                <w:color w:val="auto"/>
              </w:rPr>
              <w:t>internet and</w:t>
            </w:r>
          </w:p>
        </w:tc>
        <w:tc>
          <w:tcPr>
            <w:tcW w:w="0" w:type="dxa"/>
            <w:vAlign w:val="bottom"/>
          </w:tcPr>
          <w:p>
            <w:pPr>
              <w:spacing w:after="0"/>
              <w:rPr>
                <w:sz w:val="1"/>
                <w:szCs w:val="1"/>
                <w:color w:val="auto"/>
              </w:rPr>
            </w:pPr>
          </w:p>
        </w:tc>
      </w:tr>
      <w:tr>
        <w:trPr>
          <w:trHeight w:val="95"/>
        </w:trPr>
        <w:tc>
          <w:tcPr>
            <w:tcW w:w="3000" w:type="dxa"/>
            <w:vAlign w:val="bottom"/>
            <w:gridSpan w:val="2"/>
          </w:tcPr>
          <w:p>
            <w:pPr>
              <w:spacing w:after="0" w:line="95" w:lineRule="exact"/>
              <w:rPr>
                <w:sz w:val="20"/>
                <w:szCs w:val="20"/>
                <w:color w:val="auto"/>
              </w:rPr>
            </w:pPr>
            <w:r>
              <w:rPr>
                <w:rFonts w:ascii="Arial" w:cs="Arial" w:eastAsia="Arial" w:hAnsi="Arial"/>
                <w:sz w:val="10"/>
                <w:szCs w:val="10"/>
                <w:color w:val="auto"/>
              </w:rPr>
              <w:t>FDA PFDD); established industry code perspectives of patients,</w:t>
            </w:r>
          </w:p>
        </w:tc>
        <w:tc>
          <w:tcPr>
            <w:tcW w:w="800" w:type="dxa"/>
            <w:vAlign w:val="bottom"/>
          </w:tcPr>
          <w:p>
            <w:pPr>
              <w:ind w:left="20"/>
              <w:spacing w:after="0" w:line="95" w:lineRule="exact"/>
              <w:rPr>
                <w:sz w:val="20"/>
                <w:szCs w:val="20"/>
                <w:color w:val="auto"/>
              </w:rPr>
            </w:pPr>
            <w:r>
              <w:rPr>
                <w:rFonts w:ascii="Arial" w:cs="Arial" w:eastAsia="Arial" w:hAnsi="Arial"/>
                <w:sz w:val="10"/>
                <w:szCs w:val="10"/>
                <w:color w:val="auto"/>
              </w:rPr>
              <w:t>intranet.</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s</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care partners, healthcare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for ethical, transparent engagement</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professionals, regulators,</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(e.g., EFPIA/PhRMA, and GDPR);</w:t>
            </w:r>
          </w:p>
        </w:tc>
        <w:tc>
          <w:tcPr>
            <w:tcW w:w="1220" w:type="dxa"/>
            <w:vAlign w:val="bottom"/>
            <w:vMerge w:val="restart"/>
          </w:tcPr>
          <w:p>
            <w:pPr>
              <w:ind w:left="20"/>
              <w:spacing w:after="0"/>
              <w:rPr>
                <w:sz w:val="20"/>
                <w:szCs w:val="20"/>
                <w:color w:val="auto"/>
              </w:rPr>
            </w:pPr>
            <w:r>
              <w:rPr>
                <w:rFonts w:ascii="Arial" w:cs="Arial" w:eastAsia="Arial" w:hAnsi="Arial"/>
                <w:sz w:val="10"/>
                <w:szCs w:val="10"/>
                <w:color w:val="auto"/>
              </w:rPr>
              <w:t>and patient organizations</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responsible interactions with patients,</w:t>
            </w:r>
          </w:p>
        </w:tc>
        <w:tc>
          <w:tcPr>
            <w:tcW w:w="12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consumers, and healthcare</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by incorporating patient</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stakeholders (e.g., UN Guiding</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insights, supporting</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Principles on Business and Human</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equitable access to</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Rights and OECD Guidelines for</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medicines, while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Multinational Enterprises); and best</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maintaining ethical and</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practices for integrating the patient</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transparent engagement.</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voice into research and healthcare</w:t>
            </w: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decision-making (e.g., National Health</w:t>
            </w: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20"/>
                <w:szCs w:val="20"/>
                <w:color w:val="auto"/>
              </w:rPr>
            </w:pPr>
            <w:r>
              <w:rPr>
                <w:rFonts w:ascii="Arial" w:cs="Arial" w:eastAsia="Arial" w:hAnsi="Arial"/>
                <w:sz w:val="10"/>
                <w:szCs w:val="10"/>
                <w:color w:val="auto"/>
              </w:rPr>
              <w:t>Council Patient Activities Framework).</w:t>
            </w: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10"/>
                <w:szCs w:val="10"/>
                <w:color w:val="auto"/>
              </w:rPr>
              <w:t>Supports alignment with:</w:t>
            </w:r>
          </w:p>
        </w:tc>
        <w:tc>
          <w:tcPr>
            <w:tcW w:w="1220" w:type="dxa"/>
            <w:vAlign w:val="bottom"/>
          </w:tcPr>
          <w:p>
            <w:pPr>
              <w:ind w:left="20"/>
              <w:spacing w:after="0"/>
              <w:rPr>
                <w:sz w:val="20"/>
                <w:szCs w:val="20"/>
                <w:color w:val="auto"/>
              </w:rPr>
            </w:pPr>
            <w:r>
              <w:rPr>
                <w:rFonts w:ascii="Arial" w:cs="Arial" w:eastAsia="Arial" w:hAnsi="Arial"/>
                <w:sz w:val="10"/>
                <w:szCs w:val="10"/>
                <w:color w:val="auto"/>
              </w:rPr>
              <w:t>Addresses the</w:t>
            </w:r>
          </w:p>
        </w:tc>
        <w:tc>
          <w:tcPr>
            <w:tcW w:w="800" w:type="dxa"/>
            <w:vAlign w:val="bottom"/>
          </w:tcPr>
          <w:p>
            <w:pPr>
              <w:ind w:left="20"/>
              <w:spacing w:after="0"/>
              <w:rPr>
                <w:sz w:val="20"/>
                <w:szCs w:val="20"/>
                <w:color w:val="auto"/>
              </w:rPr>
            </w:pPr>
            <w:r>
              <w:rPr>
                <w:rFonts w:ascii="Arial" w:cs="Arial" w:eastAsia="Arial" w:hAnsi="Arial"/>
                <w:sz w:val="10"/>
                <w:szCs w:val="10"/>
                <w:color w:val="auto"/>
              </w:rPr>
              <w:t>Available on</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•Applicable global and local laws</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expectations of patients,</w:t>
            </w:r>
          </w:p>
        </w:tc>
        <w:tc>
          <w:tcPr>
            <w:tcW w:w="800" w:type="dxa"/>
            <w:vAlign w:val="bottom"/>
          </w:tcPr>
          <w:p>
            <w:pPr>
              <w:ind w:left="20"/>
              <w:spacing w:after="0" w:line="95" w:lineRule="exact"/>
              <w:rPr>
                <w:sz w:val="20"/>
                <w:szCs w:val="20"/>
                <w:color w:val="auto"/>
              </w:rPr>
            </w:pPr>
            <w:r>
              <w:rPr>
                <w:rFonts w:ascii="Arial" w:cs="Arial" w:eastAsia="Arial" w:hAnsi="Arial"/>
                <w:sz w:val="10"/>
                <w:szCs w:val="10"/>
                <w:color w:val="auto"/>
              </w:rPr>
              <w:t>intranet and</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including but not limited to Foreign</w:t>
            </w:r>
          </w:p>
        </w:tc>
        <w:tc>
          <w:tcPr>
            <w:tcW w:w="2020" w:type="dxa"/>
            <w:vAlign w:val="bottom"/>
            <w:gridSpan w:val="2"/>
          </w:tcPr>
          <w:p>
            <w:pPr>
              <w:ind w:left="20"/>
              <w:spacing w:after="0" w:line="95" w:lineRule="exact"/>
              <w:rPr>
                <w:sz w:val="20"/>
                <w:szCs w:val="20"/>
                <w:color w:val="auto"/>
              </w:rPr>
            </w:pPr>
            <w:r>
              <w:rPr>
                <w:rFonts w:ascii="Arial" w:cs="Arial" w:eastAsia="Arial" w:hAnsi="Arial"/>
                <w:sz w:val="10"/>
                <w:szCs w:val="10"/>
                <w:color w:val="auto"/>
              </w:rPr>
              <w:t>healthcare professionals, integrated into</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Corrupt Practices Act, False Claims</w:t>
            </w:r>
          </w:p>
        </w:tc>
        <w:tc>
          <w:tcPr>
            <w:tcW w:w="2020" w:type="dxa"/>
            <w:vAlign w:val="bottom"/>
            <w:gridSpan w:val="2"/>
          </w:tcPr>
          <w:p>
            <w:pPr>
              <w:ind w:left="20"/>
              <w:spacing w:after="0" w:line="95" w:lineRule="exact"/>
              <w:rPr>
                <w:sz w:val="20"/>
                <w:szCs w:val="20"/>
                <w:color w:val="auto"/>
              </w:rPr>
            </w:pPr>
            <w:r>
              <w:rPr>
                <w:rFonts w:ascii="Arial" w:cs="Arial" w:eastAsia="Arial" w:hAnsi="Arial"/>
                <w:sz w:val="10"/>
                <w:szCs w:val="10"/>
                <w:color w:val="auto"/>
              </w:rPr>
              <w:t>healthcare organizations, onboarding and</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Act, Anti-Kickback Statute, UK</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regulators, public</w:t>
            </w:r>
          </w:p>
        </w:tc>
        <w:tc>
          <w:tcPr>
            <w:tcW w:w="800" w:type="dxa"/>
            <w:vAlign w:val="bottom"/>
          </w:tcPr>
          <w:p>
            <w:pPr>
              <w:ind w:left="20"/>
              <w:spacing w:after="0" w:line="95" w:lineRule="exact"/>
              <w:rPr>
                <w:sz w:val="20"/>
                <w:szCs w:val="20"/>
                <w:color w:val="auto"/>
              </w:rPr>
            </w:pPr>
            <w:r>
              <w:rPr>
                <w:rFonts w:ascii="Arial" w:cs="Arial" w:eastAsia="Arial" w:hAnsi="Arial"/>
                <w:sz w:val="10"/>
                <w:szCs w:val="10"/>
                <w:color w:val="auto"/>
              </w:rPr>
              <w:t>annual Code of</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Bribery Act, Sarbanes-Oxley Act.</w:t>
            </w:r>
          </w:p>
        </w:tc>
        <w:tc>
          <w:tcPr>
            <w:tcW w:w="2020" w:type="dxa"/>
            <w:vAlign w:val="bottom"/>
            <w:gridSpan w:val="2"/>
          </w:tcPr>
          <w:p>
            <w:pPr>
              <w:ind w:left="20"/>
              <w:spacing w:after="0" w:line="95" w:lineRule="exact"/>
              <w:rPr>
                <w:sz w:val="20"/>
                <w:szCs w:val="20"/>
                <w:color w:val="auto"/>
              </w:rPr>
            </w:pPr>
            <w:r>
              <w:rPr>
                <w:rFonts w:ascii="Arial" w:cs="Arial" w:eastAsia="Arial" w:hAnsi="Arial"/>
                <w:sz w:val="10"/>
                <w:szCs w:val="10"/>
                <w:color w:val="auto"/>
              </w:rPr>
              <w:t>authorities, and business Conduct training.</w:t>
            </w: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•Regulations set forth by government</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partners by promoting</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agencies such as the FDA and EMA.</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ethical, transparent, and</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•GDPR and other applicable privacy</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compliant interactions</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and data protection guidelines.</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and safeguarding trust in</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•Internationally recognized industry</w:t>
            </w:r>
          </w:p>
        </w:tc>
        <w:tc>
          <w:tcPr>
            <w:tcW w:w="1220" w:type="dxa"/>
            <w:vAlign w:val="bottom"/>
          </w:tcPr>
          <w:p>
            <w:pPr>
              <w:ind w:left="20"/>
              <w:spacing w:after="0" w:line="95" w:lineRule="exact"/>
              <w:rPr>
                <w:sz w:val="20"/>
                <w:szCs w:val="20"/>
                <w:color w:val="auto"/>
              </w:rPr>
            </w:pPr>
            <w:r>
              <w:rPr>
                <w:rFonts w:ascii="Arial" w:cs="Arial" w:eastAsia="Arial" w:hAnsi="Arial"/>
                <w:sz w:val="10"/>
                <w:szCs w:val="10"/>
                <w:color w:val="auto"/>
              </w:rPr>
              <w:t>Genmab’s activities.</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codes/ethical standards including</w:t>
            </w: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EFPIA, PhRMA Codes of Practice,</w:t>
            </w: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line="95" w:lineRule="exact"/>
              <w:rPr>
                <w:sz w:val="20"/>
                <w:szCs w:val="20"/>
                <w:color w:val="auto"/>
              </w:rPr>
            </w:pPr>
            <w:r>
              <w:rPr>
                <w:rFonts w:ascii="Arial" w:cs="Arial" w:eastAsia="Arial" w:hAnsi="Arial"/>
                <w:sz w:val="10"/>
                <w:szCs w:val="10"/>
                <w:color w:val="auto"/>
              </w:rPr>
              <w:t>and the UN Convention against</w:t>
            </w: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20"/>
                <w:szCs w:val="20"/>
                <w:color w:val="auto"/>
              </w:rPr>
            </w:pPr>
            <w:r>
              <w:rPr>
                <w:rFonts w:ascii="Arial" w:cs="Arial" w:eastAsia="Arial" w:hAnsi="Arial"/>
                <w:sz w:val="10"/>
                <w:szCs w:val="10"/>
                <w:color w:val="auto"/>
              </w:rPr>
              <w:t>Corruption.</w:t>
            </w: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0"/>
          <w:szCs w:val="10"/>
          <w:b w:val="1"/>
          <w:bCs w:val="1"/>
          <w:color w:val="auto"/>
        </w:rPr>
      </w:pPr>
    </w:p>
    <w:p>
      <w:pPr>
        <w:sectPr>
          <w:pgSz w:w="11900" w:h="16840" w:orient="portrait"/>
          <w:cols w:equalWidth="0" w:num="2">
            <w:col w:w="5960" w:space="80"/>
            <w:col w:w="3800"/>
          </w:cols>
          <w:pgMar w:left="640" w:top="571" w:right="1420" w:bottom="499" w:gutter="0" w:footer="0" w:header="0"/>
          <w:type w:val="continuous"/>
        </w:sect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53"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94</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9" w:lineRule="auto"/>
        <w:rPr>
          <w:sz w:val="20"/>
          <w:szCs w:val="20"/>
          <w:color w:val="auto"/>
        </w:rPr>
      </w:pPr>
      <w:r>
        <w:rPr>
          <w:rFonts w:ascii="Arial" w:cs="Arial" w:eastAsia="Arial" w:hAnsi="Arial"/>
          <w:sz w:val="13"/>
          <w:szCs w:val="13"/>
          <w:b w:val="1"/>
          <w:bCs w:val="1"/>
          <w:color w:val="0057CF"/>
        </w:rPr>
        <w:t>Processes for engaging with consumers and end-users about impacts (S4-2)</w:t>
      </w:r>
    </w:p>
    <w:p>
      <w:pPr>
        <w:spacing w:after="0"/>
        <w:rPr>
          <w:sz w:val="20"/>
          <w:szCs w:val="20"/>
          <w:color w:val="auto"/>
        </w:rPr>
      </w:pPr>
      <w:r>
        <w:rPr>
          <w:rFonts w:ascii="Arial" w:cs="Arial" w:eastAsia="Arial" w:hAnsi="Arial"/>
          <w:sz w:val="10"/>
          <w:szCs w:val="10"/>
          <w:color w:val="auto"/>
        </w:rPr>
        <w:t>Genmab’s engagement with consumers and end-users is a multi-faceted strategy that prioritizes patient safety, ethical marketing, and transparent communication.</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6200775" cy="12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6200775" cy="12065"/>
                    </a:xfrm>
                    <a:prstGeom prst="rect">
                      <a:avLst/>
                    </a:prstGeom>
                    <a:noFill/>
                  </pic:spPr>
                </pic:pic>
              </a:graphicData>
            </a:graphic>
          </wp:anchor>
        </w:drawing>
      </w:r>
    </w:p>
    <w:p>
      <w:pPr>
        <w:ind w:left="20"/>
        <w:spacing w:after="0" w:line="213" w:lineRule="auto"/>
        <w:tabs>
          <w:tab w:leader="none" w:pos="4880" w:val="left"/>
        </w:tabs>
        <w:rPr>
          <w:sz w:val="20"/>
          <w:szCs w:val="20"/>
          <w:color w:val="auto"/>
        </w:rPr>
      </w:pPr>
      <w:r>
        <w:rPr>
          <w:rFonts w:ascii="Arial" w:cs="Arial" w:eastAsia="Arial" w:hAnsi="Arial"/>
          <w:sz w:val="12"/>
          <w:szCs w:val="12"/>
          <w:b w:val="1"/>
          <w:bCs w:val="1"/>
          <w:color w:val="auto"/>
        </w:rPr>
        <w:t>Patient Engagement and Safety</w:t>
      </w:r>
      <w:r>
        <w:rPr>
          <w:sz w:val="20"/>
          <w:szCs w:val="20"/>
          <w:color w:val="auto"/>
        </w:rPr>
        <w:tab/>
      </w:r>
      <w:r>
        <w:rPr>
          <w:rFonts w:ascii="Arial" w:cs="Arial" w:eastAsia="Arial" w:hAnsi="Arial"/>
          <w:sz w:val="12"/>
          <w:szCs w:val="12"/>
          <w:b w:val="1"/>
          <w:bCs w:val="1"/>
          <w:color w:val="auto"/>
        </w:rPr>
        <w:t>Clinical Trial Transparency</w:t>
      </w:r>
    </w:p>
    <w:p>
      <w:pPr>
        <w:ind w:left="20"/>
        <w:spacing w:after="0" w:line="199" w:lineRule="auto"/>
        <w:rPr>
          <w:sz w:val="20"/>
          <w:szCs w:val="20"/>
          <w:color w:val="auto"/>
        </w:rPr>
      </w:pPr>
      <w:r>
        <w:rPr>
          <w:rFonts w:ascii="Arial" w:cs="Arial" w:eastAsia="Arial" w:hAnsi="Arial"/>
          <w:sz w:val="10"/>
          <w:szCs w:val="10"/>
          <w:color w:val="auto"/>
        </w:rPr>
        <w:t>Genmab’s mission is reflected in its patient engagement activities across clinical development, advocacy, Genmab collaborates with patient advocacy groups and healthcare professionals to integrate stakeholder</w:t>
      </w:r>
    </w:p>
    <w:tbl>
      <w:tblPr>
        <w:tblLayout w:type="fixed"/>
        <w:tblInd w:w="20" w:type="dxa"/>
        <w:tblCellMar>
          <w:top w:w="0" w:type="dxa"/>
          <w:left w:w="0" w:type="dxa"/>
          <w:bottom w:w="0" w:type="dxa"/>
          <w:right w:w="0" w:type="dxa"/>
        </w:tblCellMar>
      </w:tblPr>
      <w:tr>
        <w:trPr>
          <w:trHeight w:val="95"/>
        </w:trPr>
        <w:tc>
          <w:tcPr>
            <w:tcW w:w="4880" w:type="dxa"/>
            <w:vAlign w:val="bottom"/>
          </w:tcPr>
          <w:p>
            <w:pPr>
              <w:spacing w:after="0" w:line="95" w:lineRule="exact"/>
              <w:rPr>
                <w:sz w:val="20"/>
                <w:szCs w:val="20"/>
                <w:color w:val="auto"/>
              </w:rPr>
            </w:pPr>
            <w:r>
              <w:rPr>
                <w:rFonts w:ascii="Arial" w:cs="Arial" w:eastAsia="Arial" w:hAnsi="Arial"/>
                <w:sz w:val="10"/>
                <w:szCs w:val="10"/>
                <w:color w:val="auto"/>
              </w:rPr>
              <w:t>and support programs. MyNavCare Patient Support™ offers personalized guidance, insurance navigation</w:t>
            </w:r>
          </w:p>
        </w:tc>
        <w:tc>
          <w:tcPr>
            <w:tcW w:w="4900" w:type="dxa"/>
            <w:vAlign w:val="bottom"/>
            <w:vMerge w:val="restart"/>
          </w:tcPr>
          <w:p>
            <w:pPr>
              <w:spacing w:after="0"/>
              <w:rPr>
                <w:sz w:val="20"/>
                <w:szCs w:val="20"/>
                <w:color w:val="auto"/>
              </w:rPr>
            </w:pPr>
            <w:r>
              <w:rPr>
                <w:rFonts w:ascii="Arial" w:cs="Arial" w:eastAsia="Arial" w:hAnsi="Arial"/>
                <w:sz w:val="10"/>
                <w:szCs w:val="10"/>
                <w:color w:val="auto"/>
              </w:rPr>
              <w:t>perspectives in clinical trial design and execution. Genmab’s Clinical Trial Transparency Declaration</w:t>
            </w:r>
          </w:p>
        </w:tc>
        <w:tc>
          <w:tcPr>
            <w:tcW w:w="0" w:type="dxa"/>
            <w:vAlign w:val="bottom"/>
          </w:tcPr>
          <w:p>
            <w:pPr>
              <w:spacing w:after="0"/>
              <w:rPr>
                <w:sz w:val="1"/>
                <w:szCs w:val="1"/>
                <w:color w:val="auto"/>
              </w:rPr>
            </w:pPr>
          </w:p>
        </w:tc>
      </w:tr>
      <w:tr>
        <w:trPr>
          <w:trHeight w:val="95"/>
        </w:trPr>
        <w:tc>
          <w:tcPr>
            <w:tcW w:w="488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880" w:type="dxa"/>
            <w:vAlign w:val="bottom"/>
          </w:tcPr>
          <w:p>
            <w:pPr>
              <w:spacing w:after="0" w:line="95" w:lineRule="exact"/>
              <w:rPr>
                <w:sz w:val="20"/>
                <w:szCs w:val="20"/>
                <w:color w:val="auto"/>
              </w:rPr>
            </w:pPr>
            <w:r>
              <w:rPr>
                <w:rFonts w:ascii="Arial" w:cs="Arial" w:eastAsia="Arial" w:hAnsi="Arial"/>
                <w:sz w:val="10"/>
                <w:szCs w:val="10"/>
                <w:color w:val="auto"/>
              </w:rPr>
              <w:t>and financial assistance to help eligible patients access therapies. Patient perspectives are incorporated</w:t>
            </w:r>
          </w:p>
        </w:tc>
        <w:tc>
          <w:tcPr>
            <w:tcW w:w="4900" w:type="dxa"/>
            <w:vAlign w:val="bottom"/>
          </w:tcPr>
          <w:p>
            <w:pPr>
              <w:spacing w:after="0" w:line="95" w:lineRule="exact"/>
              <w:rPr>
                <w:sz w:val="20"/>
                <w:szCs w:val="20"/>
                <w:color w:val="auto"/>
              </w:rPr>
            </w:pPr>
            <w:r>
              <w:rPr>
                <w:rFonts w:ascii="Arial" w:cs="Arial" w:eastAsia="Arial" w:hAnsi="Arial"/>
                <w:sz w:val="10"/>
                <w:szCs w:val="10"/>
                <w:color w:val="auto"/>
              </w:rPr>
              <w:t>outlines its commitment to openness, with oversight by the Development Operations team under the Chief</w:t>
            </w:r>
          </w:p>
        </w:tc>
        <w:tc>
          <w:tcPr>
            <w:tcW w:w="0" w:type="dxa"/>
            <w:vAlign w:val="bottom"/>
          </w:tcPr>
          <w:p>
            <w:pPr>
              <w:spacing w:after="0"/>
              <w:rPr>
                <w:sz w:val="1"/>
                <w:szCs w:val="1"/>
                <w:color w:val="auto"/>
              </w:rPr>
            </w:pPr>
          </w:p>
        </w:tc>
      </w:tr>
      <w:tr>
        <w:trPr>
          <w:trHeight w:val="95"/>
        </w:trPr>
        <w:tc>
          <w:tcPr>
            <w:tcW w:w="4880" w:type="dxa"/>
            <w:vAlign w:val="bottom"/>
          </w:tcPr>
          <w:p>
            <w:pPr>
              <w:spacing w:after="0" w:line="95" w:lineRule="exact"/>
              <w:rPr>
                <w:sz w:val="20"/>
                <w:szCs w:val="20"/>
                <w:color w:val="auto"/>
              </w:rPr>
            </w:pPr>
            <w:r>
              <w:rPr>
                <w:rFonts w:ascii="Arial" w:cs="Arial" w:eastAsia="Arial" w:hAnsi="Arial"/>
                <w:sz w:val="10"/>
                <w:szCs w:val="10"/>
                <w:color w:val="auto"/>
              </w:rPr>
              <w:t>through the Patient Advisory Council, informing clinical trial design and treatment delivery. Engagement is</w:t>
            </w:r>
          </w:p>
        </w:tc>
        <w:tc>
          <w:tcPr>
            <w:tcW w:w="4900" w:type="dxa"/>
            <w:vAlign w:val="bottom"/>
            <w:vMerge w:val="restart"/>
          </w:tcPr>
          <w:p>
            <w:pPr>
              <w:spacing w:after="0"/>
              <w:rPr>
                <w:sz w:val="20"/>
                <w:szCs w:val="20"/>
                <w:color w:val="auto"/>
              </w:rPr>
            </w:pPr>
            <w:r>
              <w:rPr>
                <w:rFonts w:ascii="Arial" w:cs="Arial" w:eastAsia="Arial" w:hAnsi="Arial"/>
                <w:sz w:val="10"/>
                <w:szCs w:val="10"/>
                <w:color w:val="auto"/>
              </w:rPr>
              <w:t>Development Officer.</w:t>
            </w:r>
          </w:p>
        </w:tc>
        <w:tc>
          <w:tcPr>
            <w:tcW w:w="0" w:type="dxa"/>
            <w:vAlign w:val="bottom"/>
          </w:tcPr>
          <w:p>
            <w:pPr>
              <w:spacing w:after="0"/>
              <w:rPr>
                <w:sz w:val="1"/>
                <w:szCs w:val="1"/>
                <w:color w:val="auto"/>
              </w:rPr>
            </w:pPr>
          </w:p>
        </w:tc>
      </w:tr>
      <w:tr>
        <w:trPr>
          <w:trHeight w:val="137"/>
        </w:trPr>
        <w:tc>
          <w:tcPr>
            <w:tcW w:w="4880" w:type="dxa"/>
            <w:vAlign w:val="bottom"/>
          </w:tcPr>
          <w:p>
            <w:pPr>
              <w:spacing w:after="0"/>
              <w:rPr>
                <w:sz w:val="20"/>
                <w:szCs w:val="20"/>
                <w:color w:val="auto"/>
              </w:rPr>
            </w:pPr>
            <w:r>
              <w:rPr>
                <w:rFonts w:ascii="Arial" w:cs="Arial" w:eastAsia="Arial" w:hAnsi="Arial"/>
                <w:sz w:val="10"/>
                <w:szCs w:val="10"/>
                <w:color w:val="auto"/>
              </w:rPr>
              <w:t>overseen by the SVP of Communications and Corporate Affairs, reporting to the CEO.</w:t>
            </w:r>
          </w:p>
        </w:tc>
        <w:tc>
          <w:tcPr>
            <w:tcW w:w="4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6" w:lineRule="exact"/>
        <w:rPr>
          <w:rFonts w:ascii="Arial" w:cs="Arial" w:eastAsia="Arial" w:hAnsi="Arial"/>
          <w:sz w:val="10"/>
          <w:szCs w:val="10"/>
          <w:b w:val="1"/>
          <w:bCs w:val="1"/>
          <w:color w:val="auto"/>
        </w:rPr>
      </w:pPr>
    </w:p>
    <w:p>
      <w:pPr>
        <w:sectPr>
          <w:pgSz w:w="11900" w:h="16840" w:orient="portrait"/>
          <w:cols w:equalWidth="0" w:num="1">
            <w:col w:w="9840"/>
          </w:cols>
          <w:pgMar w:left="640" w:top="571" w:right="1420" w:bottom="499"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Safety and Compliance</w:t>
      </w:r>
    </w:p>
    <w:p>
      <w:pPr>
        <w:ind w:left="20"/>
        <w:spacing w:after="0"/>
        <w:rPr>
          <w:sz w:val="20"/>
          <w:szCs w:val="20"/>
          <w:color w:val="auto"/>
        </w:rPr>
      </w:pPr>
      <w:r>
        <w:rPr>
          <w:rFonts w:ascii="Arial" w:cs="Arial" w:eastAsia="Arial" w:hAnsi="Arial"/>
          <w:sz w:val="10"/>
          <w:szCs w:val="10"/>
          <w:color w:val="auto"/>
        </w:rPr>
        <w:t>Genmab’s Global Drug Safety team ensures therapies meet rigorous safety and efficacy standards throu gh</w:t>
      </w:r>
    </w:p>
    <w:p>
      <w:pPr>
        <w:spacing w:after="0" w:line="75" w:lineRule="exact"/>
        <w:rPr>
          <w:rFonts w:ascii="Arial" w:cs="Arial" w:eastAsia="Arial" w:hAnsi="Arial"/>
          <w:sz w:val="10"/>
          <w:szCs w:val="10"/>
          <w:b w:val="1"/>
          <w:bCs w:val="1"/>
          <w:color w:val="auto"/>
        </w:rPr>
      </w:pPr>
    </w:p>
    <w:p>
      <w:pPr>
        <w:ind w:left="20" w:right="120"/>
        <w:spacing w:after="0" w:line="231" w:lineRule="auto"/>
        <w:rPr>
          <w:sz w:val="20"/>
          <w:szCs w:val="20"/>
          <w:color w:val="auto"/>
        </w:rPr>
      </w:pPr>
      <w:r>
        <w:rPr>
          <w:rFonts w:ascii="Arial" w:cs="Arial" w:eastAsia="Arial" w:hAnsi="Arial"/>
          <w:sz w:val="10"/>
          <w:szCs w:val="10"/>
          <w:color w:val="auto"/>
        </w:rPr>
        <w:t>close collaboration with regulatory authorities and continuous monitoring. Oversight is led by the Chief Development Officer, supported by cross-functional teams.</w:t>
      </w:r>
    </w:p>
    <w:p>
      <w:pPr>
        <w:spacing w:after="0" w:line="3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3"/>
          <w:szCs w:val="13"/>
          <w:b w:val="1"/>
          <w:bCs w:val="1"/>
          <w:color w:val="0057CF"/>
        </w:rPr>
        <w:t>Processes to remediate negative</w:t>
      </w:r>
    </w:p>
    <w:p>
      <w:pPr>
        <w:spacing w:after="0" w:line="213" w:lineRule="auto"/>
        <w:rPr>
          <w:sz w:val="20"/>
          <w:szCs w:val="20"/>
          <w:color w:val="auto"/>
        </w:rPr>
      </w:pPr>
      <w:r>
        <w:rPr>
          <w:rFonts w:ascii="Arial" w:cs="Arial" w:eastAsia="Arial" w:hAnsi="Arial"/>
          <w:sz w:val="13"/>
          <w:szCs w:val="13"/>
          <w:b w:val="1"/>
          <w:bCs w:val="1"/>
          <w:color w:val="0057CF"/>
        </w:rPr>
        <w:t>impacts and channels for</w:t>
      </w:r>
    </w:p>
    <w:p>
      <w:pPr>
        <w:spacing w:after="0" w:line="214" w:lineRule="auto"/>
        <w:rPr>
          <w:sz w:val="20"/>
          <w:szCs w:val="20"/>
          <w:color w:val="auto"/>
        </w:rPr>
      </w:pPr>
      <w:r>
        <w:rPr>
          <w:rFonts w:ascii="Arial" w:cs="Arial" w:eastAsia="Arial" w:hAnsi="Arial"/>
          <w:sz w:val="13"/>
          <w:szCs w:val="13"/>
          <w:b w:val="1"/>
          <w:bCs w:val="1"/>
          <w:color w:val="0057CF"/>
        </w:rPr>
        <w:t>consumers and end-users to raise</w:t>
      </w:r>
    </w:p>
    <w:p>
      <w:pPr>
        <w:spacing w:after="0" w:line="210" w:lineRule="auto"/>
        <w:rPr>
          <w:sz w:val="20"/>
          <w:szCs w:val="20"/>
          <w:color w:val="auto"/>
        </w:rPr>
      </w:pPr>
      <w:r>
        <w:rPr>
          <w:rFonts w:ascii="Arial" w:cs="Arial" w:eastAsia="Arial" w:hAnsi="Arial"/>
          <w:sz w:val="13"/>
          <w:szCs w:val="13"/>
          <w:b w:val="1"/>
          <w:bCs w:val="1"/>
          <w:color w:val="0057CF"/>
        </w:rPr>
        <w:t>concerns (S4-3)</w:t>
      </w:r>
    </w:p>
    <w:p>
      <w:pPr>
        <w:spacing w:after="0" w:line="199" w:lineRule="auto"/>
        <w:rPr>
          <w:sz w:val="20"/>
          <w:szCs w:val="20"/>
          <w:color w:val="auto"/>
        </w:rPr>
      </w:pPr>
      <w:r>
        <w:rPr>
          <w:rFonts w:ascii="Arial" w:cs="Arial" w:eastAsia="Arial" w:hAnsi="Arial"/>
          <w:sz w:val="10"/>
          <w:szCs w:val="10"/>
          <w:color w:val="auto"/>
        </w:rPr>
        <w:t>Genmab encourages consumers and end-users to</w:t>
      </w:r>
    </w:p>
    <w:p>
      <w:pPr>
        <w:spacing w:after="0" w:line="198" w:lineRule="auto"/>
        <w:rPr>
          <w:sz w:val="20"/>
          <w:szCs w:val="20"/>
          <w:color w:val="auto"/>
        </w:rPr>
      </w:pPr>
      <w:r>
        <w:rPr>
          <w:rFonts w:ascii="Arial" w:cs="Arial" w:eastAsia="Arial" w:hAnsi="Arial"/>
          <w:sz w:val="10"/>
          <w:szCs w:val="10"/>
          <w:color w:val="auto"/>
        </w:rPr>
        <w:t>raise concerns, share feedback, report compliance</w:t>
      </w:r>
    </w:p>
    <w:p>
      <w:pPr>
        <w:spacing w:after="0" w:line="199" w:lineRule="auto"/>
        <w:rPr>
          <w:sz w:val="20"/>
          <w:szCs w:val="20"/>
          <w:color w:val="auto"/>
        </w:rPr>
      </w:pPr>
      <w:r>
        <w:rPr>
          <w:rFonts w:ascii="Arial" w:cs="Arial" w:eastAsia="Arial" w:hAnsi="Arial"/>
          <w:sz w:val="10"/>
          <w:szCs w:val="10"/>
          <w:color w:val="auto"/>
        </w:rPr>
        <w:t>issues, and seek remedy for potential human rights</w:t>
      </w:r>
    </w:p>
    <w:p>
      <w:pPr>
        <w:spacing w:after="0" w:line="199" w:lineRule="auto"/>
        <w:rPr>
          <w:sz w:val="20"/>
          <w:szCs w:val="20"/>
          <w:color w:val="auto"/>
        </w:rPr>
      </w:pPr>
      <w:r>
        <w:rPr>
          <w:rFonts w:ascii="Arial" w:cs="Arial" w:eastAsia="Arial" w:hAnsi="Arial"/>
          <w:sz w:val="10"/>
          <w:szCs w:val="10"/>
          <w:color w:val="auto"/>
        </w:rPr>
        <w:t>impacts. We maintain accessible and trusted</w:t>
      </w:r>
    </w:p>
    <w:p>
      <w:pPr>
        <w:spacing w:after="0" w:line="198" w:lineRule="auto"/>
        <w:rPr>
          <w:sz w:val="20"/>
          <w:szCs w:val="20"/>
          <w:color w:val="auto"/>
        </w:rPr>
      </w:pPr>
      <w:r>
        <w:rPr>
          <w:rFonts w:ascii="Arial" w:cs="Arial" w:eastAsia="Arial" w:hAnsi="Arial"/>
          <w:sz w:val="10"/>
          <w:szCs w:val="10"/>
          <w:color w:val="auto"/>
        </w:rPr>
        <w:t>communication channels, which are actively used</w:t>
      </w:r>
    </w:p>
    <w:p>
      <w:pPr>
        <w:spacing w:after="0" w:line="203" w:lineRule="auto"/>
        <w:rPr>
          <w:sz w:val="20"/>
          <w:szCs w:val="20"/>
          <w:color w:val="auto"/>
        </w:rPr>
      </w:pPr>
      <w:r>
        <w:rPr>
          <w:rFonts w:ascii="Arial" w:cs="Arial" w:eastAsia="Arial" w:hAnsi="Arial"/>
          <w:sz w:val="10"/>
          <w:szCs w:val="10"/>
          <w:color w:val="auto"/>
        </w:rPr>
        <w:t>by stakeholders to submit inquiries and requests.</w:t>
      </w:r>
    </w:p>
    <w:p>
      <w:pPr>
        <w:spacing w:after="0" w:line="195" w:lineRule="auto"/>
        <w:rPr>
          <w:sz w:val="20"/>
          <w:szCs w:val="20"/>
          <w:color w:val="auto"/>
        </w:rPr>
      </w:pPr>
      <w:r>
        <w:rPr>
          <w:rFonts w:ascii="Arial" w:cs="Arial" w:eastAsia="Arial" w:hAnsi="Arial"/>
          <w:sz w:val="12"/>
          <w:szCs w:val="12"/>
          <w:b w:val="1"/>
          <w:bCs w:val="1"/>
          <w:color w:val="auto"/>
        </w:rPr>
        <w:t>Clinical Trials</w:t>
      </w:r>
    </w:p>
    <w:p>
      <w:pPr>
        <w:spacing w:after="0" w:line="199" w:lineRule="auto"/>
        <w:rPr>
          <w:sz w:val="20"/>
          <w:szCs w:val="20"/>
          <w:color w:val="auto"/>
        </w:rPr>
      </w:pPr>
      <w:r>
        <w:rPr>
          <w:rFonts w:ascii="Arial" w:cs="Arial" w:eastAsia="Arial" w:hAnsi="Arial"/>
          <w:sz w:val="10"/>
          <w:szCs w:val="10"/>
          <w:color w:val="auto"/>
        </w:rPr>
        <w:t>Consumers and end-users can raise questions</w:t>
      </w:r>
    </w:p>
    <w:p>
      <w:pPr>
        <w:spacing w:after="0" w:line="199" w:lineRule="auto"/>
        <w:rPr>
          <w:sz w:val="20"/>
          <w:szCs w:val="20"/>
          <w:color w:val="auto"/>
        </w:rPr>
      </w:pPr>
      <w:r>
        <w:rPr>
          <w:rFonts w:ascii="Arial" w:cs="Arial" w:eastAsia="Arial" w:hAnsi="Arial"/>
          <w:sz w:val="10"/>
          <w:szCs w:val="10"/>
          <w:color w:val="auto"/>
        </w:rPr>
        <w:t>or concerns via Genmab’s public mailbox,</w:t>
      </w:r>
    </w:p>
    <w:p>
      <w:pPr>
        <w:spacing w:after="0" w:line="198" w:lineRule="auto"/>
        <w:rPr>
          <w:sz w:val="20"/>
          <w:szCs w:val="20"/>
          <w:color w:val="auto"/>
        </w:rPr>
      </w:pPr>
      <w:r>
        <w:rPr>
          <w:rFonts w:ascii="Arial" w:cs="Arial" w:eastAsia="Arial" w:hAnsi="Arial"/>
          <w:sz w:val="10"/>
          <w:szCs w:val="10"/>
          <w:b w:val="1"/>
          <w:bCs w:val="1"/>
          <w:color w:val="0057CF"/>
        </w:rPr>
        <w:t>ClinicalTrials@genmab.com</w:t>
      </w:r>
      <w:r>
        <w:rPr>
          <w:rFonts w:ascii="Arial" w:cs="Arial" w:eastAsia="Arial" w:hAnsi="Arial"/>
          <w:sz w:val="10"/>
          <w:szCs w:val="10"/>
          <w:color w:val="000000"/>
        </w:rPr>
        <w:t>, listed with</w:t>
      </w:r>
    </w:p>
    <w:p>
      <w:pPr>
        <w:spacing w:after="0" w:line="199" w:lineRule="auto"/>
        <w:rPr>
          <w:sz w:val="20"/>
          <w:szCs w:val="20"/>
          <w:color w:val="auto"/>
        </w:rPr>
      </w:pPr>
      <w:r>
        <w:rPr>
          <w:rFonts w:ascii="Arial" w:cs="Arial" w:eastAsia="Arial" w:hAnsi="Arial"/>
          <w:sz w:val="10"/>
          <w:szCs w:val="10"/>
          <w:color w:val="auto"/>
        </w:rPr>
        <w:t>all registered trials on platforms such as</w:t>
      </w:r>
    </w:p>
    <w:p>
      <w:pPr>
        <w:spacing w:after="0" w:line="198" w:lineRule="auto"/>
        <w:rPr>
          <w:sz w:val="20"/>
          <w:szCs w:val="20"/>
          <w:color w:val="auto"/>
        </w:rPr>
      </w:pPr>
      <w:r>
        <w:rPr>
          <w:rFonts w:ascii="Arial" w:cs="Arial" w:eastAsia="Arial" w:hAnsi="Arial"/>
          <w:sz w:val="10"/>
          <w:szCs w:val="10"/>
          <w:color w:val="auto"/>
        </w:rPr>
        <w:t>ClinicalTrials.gov and the EU CTIS portal. Trial</w:t>
      </w:r>
    </w:p>
    <w:p>
      <w:pPr>
        <w:spacing w:after="0" w:line="199" w:lineRule="auto"/>
        <w:rPr>
          <w:sz w:val="20"/>
          <w:szCs w:val="20"/>
          <w:color w:val="auto"/>
        </w:rPr>
      </w:pPr>
      <w:r>
        <w:rPr>
          <w:rFonts w:ascii="Arial" w:cs="Arial" w:eastAsia="Arial" w:hAnsi="Arial"/>
          <w:sz w:val="10"/>
          <w:szCs w:val="10"/>
          <w:color w:val="auto"/>
        </w:rPr>
        <w:t>participants also receive an Informed Consent Form</w:t>
      </w:r>
    </w:p>
    <w:p>
      <w:pPr>
        <w:spacing w:after="0" w:line="199" w:lineRule="auto"/>
        <w:rPr>
          <w:sz w:val="20"/>
          <w:szCs w:val="20"/>
          <w:color w:val="auto"/>
        </w:rPr>
      </w:pPr>
      <w:r>
        <w:rPr>
          <w:rFonts w:ascii="Arial" w:cs="Arial" w:eastAsia="Arial" w:hAnsi="Arial"/>
          <w:sz w:val="10"/>
          <w:szCs w:val="10"/>
          <w:color w:val="auto"/>
        </w:rPr>
        <w:t>outlining contact channels. All requests are</w:t>
      </w:r>
    </w:p>
    <w:p>
      <w:pPr>
        <w:spacing w:after="0" w:line="198" w:lineRule="auto"/>
        <w:rPr>
          <w:sz w:val="20"/>
          <w:szCs w:val="20"/>
          <w:color w:val="auto"/>
        </w:rPr>
      </w:pPr>
      <w:r>
        <w:rPr>
          <w:rFonts w:ascii="Arial" w:cs="Arial" w:eastAsia="Arial" w:hAnsi="Arial"/>
          <w:sz w:val="10"/>
          <w:szCs w:val="10"/>
          <w:color w:val="auto"/>
        </w:rPr>
        <w:t>reviewed and directed to the appropriate Genmab</w:t>
      </w:r>
    </w:p>
    <w:p>
      <w:pPr>
        <w:spacing w:after="0" w:line="199" w:lineRule="auto"/>
        <w:rPr>
          <w:sz w:val="20"/>
          <w:szCs w:val="20"/>
          <w:color w:val="auto"/>
        </w:rPr>
      </w:pPr>
      <w:r>
        <w:rPr>
          <w:rFonts w:ascii="Arial" w:cs="Arial" w:eastAsia="Arial" w:hAnsi="Arial"/>
          <w:sz w:val="10"/>
          <w:szCs w:val="10"/>
          <w:color w:val="auto"/>
        </w:rPr>
        <w:t>function, with personal data handled securely and</w:t>
      </w:r>
    </w:p>
    <w:p>
      <w:pPr>
        <w:spacing w:after="0" w:line="202" w:lineRule="auto"/>
        <w:rPr>
          <w:sz w:val="20"/>
          <w:szCs w:val="20"/>
          <w:color w:val="auto"/>
        </w:rPr>
      </w:pPr>
      <w:r>
        <w:rPr>
          <w:rFonts w:ascii="Arial" w:cs="Arial" w:eastAsia="Arial" w:hAnsi="Arial"/>
          <w:sz w:val="10"/>
          <w:szCs w:val="10"/>
          <w:color w:val="auto"/>
        </w:rPr>
        <w:t>in compliance with privacy regulations.</w:t>
      </w:r>
    </w:p>
    <w:p>
      <w:pPr>
        <w:spacing w:after="0" w:line="196" w:lineRule="auto"/>
        <w:rPr>
          <w:sz w:val="20"/>
          <w:szCs w:val="20"/>
          <w:color w:val="auto"/>
        </w:rPr>
      </w:pPr>
      <w:r>
        <w:rPr>
          <w:rFonts w:ascii="Arial" w:cs="Arial" w:eastAsia="Arial" w:hAnsi="Arial"/>
          <w:sz w:val="12"/>
          <w:szCs w:val="12"/>
          <w:b w:val="1"/>
          <w:bCs w:val="1"/>
          <w:color w:val="auto"/>
        </w:rPr>
        <w:t>MyNavCare</w:t>
      </w:r>
    </w:p>
    <w:p>
      <w:pPr>
        <w:spacing w:after="0" w:line="198" w:lineRule="auto"/>
        <w:rPr>
          <w:sz w:val="20"/>
          <w:szCs w:val="20"/>
          <w:color w:val="auto"/>
        </w:rPr>
      </w:pPr>
      <w:r>
        <w:rPr>
          <w:rFonts w:ascii="Arial" w:cs="Arial" w:eastAsia="Arial" w:hAnsi="Arial"/>
          <w:sz w:val="10"/>
          <w:szCs w:val="10"/>
          <w:color w:val="auto"/>
        </w:rPr>
        <w:t>Patients enrolled in Genmab’s optional MyNavCare</w:t>
      </w:r>
    </w:p>
    <w:p>
      <w:pPr>
        <w:spacing w:after="0" w:line="199" w:lineRule="auto"/>
        <w:rPr>
          <w:sz w:val="20"/>
          <w:szCs w:val="20"/>
          <w:color w:val="auto"/>
        </w:rPr>
      </w:pPr>
      <w:r>
        <w:rPr>
          <w:rFonts w:ascii="Arial" w:cs="Arial" w:eastAsia="Arial" w:hAnsi="Arial"/>
          <w:sz w:val="10"/>
          <w:szCs w:val="10"/>
          <w:color w:val="auto"/>
        </w:rPr>
        <w:t>program receive personalized, non-clinical support</w:t>
      </w:r>
    </w:p>
    <w:p>
      <w:pPr>
        <w:spacing w:after="0" w:line="199" w:lineRule="auto"/>
        <w:rPr>
          <w:sz w:val="20"/>
          <w:szCs w:val="20"/>
          <w:color w:val="auto"/>
        </w:rPr>
      </w:pPr>
      <w:r>
        <w:rPr>
          <w:rFonts w:ascii="Arial" w:cs="Arial" w:eastAsia="Arial" w:hAnsi="Arial"/>
          <w:sz w:val="10"/>
          <w:szCs w:val="10"/>
          <w:color w:val="auto"/>
        </w:rPr>
        <w:t>from Patient Engagement Liaisons (PELs), who</w:t>
      </w:r>
    </w:p>
    <w:p>
      <w:pPr>
        <w:spacing w:after="0" w:line="198" w:lineRule="auto"/>
        <w:rPr>
          <w:sz w:val="20"/>
          <w:szCs w:val="20"/>
          <w:color w:val="auto"/>
        </w:rPr>
      </w:pPr>
      <w:r>
        <w:rPr>
          <w:rFonts w:ascii="Arial" w:cs="Arial" w:eastAsia="Arial" w:hAnsi="Arial"/>
          <w:sz w:val="10"/>
          <w:szCs w:val="10"/>
          <w:color w:val="auto"/>
        </w:rPr>
        <w:t>serve as trusted contacts to provide treatment</w:t>
      </w:r>
    </w:p>
    <w:p>
      <w:pPr>
        <w:spacing w:after="0" w:line="199" w:lineRule="auto"/>
        <w:rPr>
          <w:sz w:val="20"/>
          <w:szCs w:val="20"/>
          <w:color w:val="auto"/>
        </w:rPr>
      </w:pPr>
      <w:r>
        <w:rPr>
          <w:rFonts w:ascii="Arial" w:cs="Arial" w:eastAsia="Arial" w:hAnsi="Arial"/>
          <w:sz w:val="10"/>
          <w:szCs w:val="10"/>
          <w:color w:val="auto"/>
        </w:rPr>
        <w:t>information, connect patients with external support</w:t>
      </w:r>
    </w:p>
    <w:p>
      <w:pPr>
        <w:spacing w:after="0" w:line="199" w:lineRule="auto"/>
        <w:rPr>
          <w:sz w:val="20"/>
          <w:szCs w:val="20"/>
          <w:color w:val="auto"/>
        </w:rPr>
      </w:pPr>
      <w:r>
        <w:rPr>
          <w:rFonts w:ascii="Arial" w:cs="Arial" w:eastAsia="Arial" w:hAnsi="Arial"/>
          <w:sz w:val="10"/>
          <w:szCs w:val="10"/>
          <w:color w:val="auto"/>
        </w:rPr>
        <w:t>organizations, and offer tailored resources. The</w:t>
      </w:r>
    </w:p>
    <w:p>
      <w:pPr>
        <w:spacing w:after="0" w:line="198" w:lineRule="auto"/>
        <w:rPr>
          <w:sz w:val="20"/>
          <w:szCs w:val="20"/>
          <w:color w:val="auto"/>
        </w:rPr>
      </w:pPr>
      <w:r>
        <w:rPr>
          <w:rFonts w:ascii="Arial" w:cs="Arial" w:eastAsia="Arial" w:hAnsi="Arial"/>
          <w:sz w:val="10"/>
          <w:szCs w:val="10"/>
          <w:color w:val="auto"/>
        </w:rPr>
        <w:t>program promotes patient empowerment and</w:t>
      </w:r>
    </w:p>
    <w:p>
      <w:pPr>
        <w:spacing w:after="0" w:line="199" w:lineRule="auto"/>
        <w:rPr>
          <w:sz w:val="20"/>
          <w:szCs w:val="20"/>
          <w:color w:val="auto"/>
        </w:rPr>
      </w:pPr>
      <w:r>
        <w:rPr>
          <w:rFonts w:ascii="Arial" w:cs="Arial" w:eastAsia="Arial" w:hAnsi="Arial"/>
          <w:sz w:val="10"/>
          <w:szCs w:val="10"/>
          <w:color w:val="auto"/>
        </w:rPr>
        <w:t>support while respecting the clinical role of</w:t>
      </w:r>
    </w:p>
    <w:p>
      <w:pPr>
        <w:spacing w:after="0" w:line="199" w:lineRule="auto"/>
        <w:rPr>
          <w:sz w:val="20"/>
          <w:szCs w:val="20"/>
          <w:color w:val="auto"/>
        </w:rPr>
      </w:pPr>
      <w:r>
        <w:rPr>
          <w:rFonts w:ascii="Arial" w:cs="Arial" w:eastAsia="Arial" w:hAnsi="Arial"/>
          <w:sz w:val="10"/>
          <w:szCs w:val="10"/>
          <w:color w:val="auto"/>
        </w:rPr>
        <w:t>healthcare providers. Effectiveness is tracked</w:t>
      </w:r>
    </w:p>
    <w:p>
      <w:pPr>
        <w:spacing w:after="0" w:line="198" w:lineRule="auto"/>
        <w:rPr>
          <w:sz w:val="20"/>
          <w:szCs w:val="20"/>
          <w:color w:val="auto"/>
        </w:rPr>
      </w:pPr>
      <w:r>
        <w:rPr>
          <w:rFonts w:ascii="Arial" w:cs="Arial" w:eastAsia="Arial" w:hAnsi="Arial"/>
          <w:sz w:val="10"/>
          <w:szCs w:val="10"/>
          <w:color w:val="auto"/>
        </w:rPr>
        <w:t>through regular MyNavCare team meetings, cross-</w:t>
      </w:r>
    </w:p>
    <w:p>
      <w:pPr>
        <w:spacing w:after="0" w:line="199" w:lineRule="auto"/>
        <w:rPr>
          <w:sz w:val="20"/>
          <w:szCs w:val="20"/>
          <w:color w:val="auto"/>
        </w:rPr>
      </w:pPr>
      <w:r>
        <w:rPr>
          <w:rFonts w:ascii="Arial" w:cs="Arial" w:eastAsia="Arial" w:hAnsi="Arial"/>
          <w:sz w:val="10"/>
          <w:szCs w:val="10"/>
          <w:color w:val="auto"/>
        </w:rPr>
        <w:t>functional leadership updates, and quarterly</w:t>
      </w:r>
    </w:p>
    <w:p>
      <w:pPr>
        <w:spacing w:after="0" w:line="198" w:lineRule="auto"/>
        <w:rPr>
          <w:sz w:val="20"/>
          <w:szCs w:val="20"/>
          <w:color w:val="auto"/>
        </w:rPr>
      </w:pPr>
      <w:r>
        <w:rPr>
          <w:rFonts w:ascii="Arial" w:cs="Arial" w:eastAsia="Arial" w:hAnsi="Arial"/>
          <w:sz w:val="10"/>
          <w:szCs w:val="10"/>
          <w:color w:val="auto"/>
        </w:rPr>
        <w:t>reviews by the Patient Services Steering</w:t>
      </w:r>
    </w:p>
    <w:p>
      <w:pPr>
        <w:spacing w:after="0" w:line="199" w:lineRule="auto"/>
        <w:rPr>
          <w:sz w:val="20"/>
          <w:szCs w:val="20"/>
          <w:color w:val="auto"/>
        </w:rPr>
      </w:pPr>
      <w:r>
        <w:rPr>
          <w:rFonts w:ascii="Arial" w:cs="Arial" w:eastAsia="Arial" w:hAnsi="Arial"/>
          <w:sz w:val="10"/>
          <w:szCs w:val="10"/>
          <w:color w:val="auto"/>
        </w:rPr>
        <w:t>Committee, composed of senior U.S. Market</w:t>
      </w:r>
    </w:p>
    <w:p>
      <w:pPr>
        <w:spacing w:after="0" w:line="199" w:lineRule="auto"/>
        <w:rPr>
          <w:sz w:val="20"/>
          <w:szCs w:val="20"/>
          <w:color w:val="auto"/>
        </w:rPr>
      </w:pPr>
      <w:r>
        <w:rPr>
          <w:rFonts w:ascii="Arial" w:cs="Arial" w:eastAsia="Arial" w:hAnsi="Arial"/>
          <w:sz w:val="10"/>
          <w:szCs w:val="10"/>
          <w:color w:val="auto"/>
        </w:rPr>
        <w:t>leaders, to assess program metrics</w:t>
      </w:r>
    </w:p>
    <w:p>
      <w:pPr>
        <w:spacing w:after="0" w:line="202" w:lineRule="auto"/>
        <w:rPr>
          <w:sz w:val="20"/>
          <w:szCs w:val="20"/>
          <w:color w:val="auto"/>
        </w:rPr>
      </w:pPr>
      <w:r>
        <w:rPr>
          <w:rFonts w:ascii="Arial" w:cs="Arial" w:eastAsia="Arial" w:hAnsi="Arial"/>
          <w:sz w:val="10"/>
          <w:szCs w:val="10"/>
          <w:color w:val="auto"/>
        </w:rPr>
        <w:t>and performance.</w:t>
      </w:r>
    </w:p>
    <w:p>
      <w:pPr>
        <w:spacing w:after="0" w:line="199" w:lineRule="auto"/>
        <w:rPr>
          <w:sz w:val="20"/>
          <w:szCs w:val="20"/>
          <w:color w:val="auto"/>
        </w:rPr>
      </w:pPr>
      <w:r>
        <w:rPr>
          <w:rFonts w:ascii="Arial" w:cs="Arial" w:eastAsia="Arial" w:hAnsi="Arial"/>
          <w:sz w:val="12"/>
          <w:szCs w:val="12"/>
          <w:b w:val="1"/>
          <w:bCs w:val="1"/>
          <w:color w:val="auto"/>
        </w:rPr>
        <w:t>Reporting a Side Effect or a Quality</w:t>
      </w:r>
    </w:p>
    <w:p>
      <w:pPr>
        <w:spacing w:after="0" w:line="195" w:lineRule="auto"/>
        <w:rPr>
          <w:sz w:val="20"/>
          <w:szCs w:val="20"/>
          <w:color w:val="auto"/>
        </w:rPr>
      </w:pPr>
      <w:r>
        <w:rPr>
          <w:rFonts w:ascii="Arial" w:cs="Arial" w:eastAsia="Arial" w:hAnsi="Arial"/>
          <w:sz w:val="12"/>
          <w:szCs w:val="12"/>
          <w:b w:val="1"/>
          <w:bCs w:val="1"/>
          <w:color w:val="auto"/>
        </w:rPr>
        <w:t>Concern</w:t>
      </w:r>
    </w:p>
    <w:p>
      <w:pPr>
        <w:spacing w:after="0" w:line="199" w:lineRule="auto"/>
        <w:rPr>
          <w:sz w:val="20"/>
          <w:szCs w:val="20"/>
          <w:color w:val="auto"/>
        </w:rPr>
      </w:pPr>
      <w:r>
        <w:rPr>
          <w:rFonts w:ascii="Arial" w:cs="Arial" w:eastAsia="Arial" w:hAnsi="Arial"/>
          <w:sz w:val="10"/>
          <w:szCs w:val="10"/>
          <w:color w:val="auto"/>
        </w:rPr>
        <w:t>Genmab is committed to patient safety and</w:t>
      </w:r>
    </w:p>
    <w:p>
      <w:pPr>
        <w:spacing w:after="0" w:line="199" w:lineRule="auto"/>
        <w:rPr>
          <w:sz w:val="20"/>
          <w:szCs w:val="20"/>
          <w:color w:val="auto"/>
        </w:rPr>
      </w:pPr>
      <w:r>
        <w:rPr>
          <w:rFonts w:ascii="Arial" w:cs="Arial" w:eastAsia="Arial" w:hAnsi="Arial"/>
          <w:sz w:val="10"/>
          <w:szCs w:val="10"/>
          <w:color w:val="auto"/>
        </w:rPr>
        <w:t>encourages the reporting of side effects and quality</w:t>
      </w:r>
    </w:p>
    <w:p>
      <w:pPr>
        <w:spacing w:after="0" w:line="198" w:lineRule="auto"/>
        <w:rPr>
          <w:sz w:val="20"/>
          <w:szCs w:val="20"/>
          <w:color w:val="auto"/>
        </w:rPr>
      </w:pPr>
      <w:r>
        <w:rPr>
          <w:rFonts w:ascii="Arial" w:cs="Arial" w:eastAsia="Arial" w:hAnsi="Arial"/>
          <w:sz w:val="10"/>
          <w:szCs w:val="10"/>
          <w:color w:val="auto"/>
        </w:rPr>
        <w:t>concerns to support the ongoing monitoring of our</w:t>
      </w:r>
    </w:p>
    <w:p>
      <w:pPr>
        <w:spacing w:after="0" w:line="199" w:lineRule="auto"/>
        <w:rPr>
          <w:sz w:val="20"/>
          <w:szCs w:val="20"/>
          <w:color w:val="auto"/>
        </w:rPr>
      </w:pPr>
      <w:r>
        <w:rPr>
          <w:rFonts w:ascii="Arial" w:cs="Arial" w:eastAsia="Arial" w:hAnsi="Arial"/>
          <w:sz w:val="10"/>
          <w:szCs w:val="10"/>
          <w:color w:val="auto"/>
        </w:rPr>
        <w:t>therapies. Reports can be made to:</w:t>
      </w:r>
    </w:p>
    <w:p>
      <w:pPr>
        <w:spacing w:after="0" w:line="199" w:lineRule="auto"/>
        <w:rPr>
          <w:sz w:val="20"/>
          <w:szCs w:val="20"/>
          <w:color w:val="auto"/>
        </w:rPr>
      </w:pPr>
      <w:r>
        <w:rPr>
          <w:rFonts w:ascii="Arial" w:cs="Arial" w:eastAsia="Arial" w:hAnsi="Arial"/>
          <w:sz w:val="10"/>
          <w:szCs w:val="10"/>
          <w:color w:val="auto"/>
        </w:rPr>
        <w:t>•FDA: 1-800-FDA-1088 or</w:t>
      </w:r>
    </w:p>
    <w:p>
      <w:pPr>
        <w:spacing w:after="0" w:line="198" w:lineRule="auto"/>
        <w:rPr>
          <w:sz w:val="20"/>
          <w:szCs w:val="20"/>
          <w:color w:val="auto"/>
        </w:rPr>
      </w:pPr>
      <w:r>
        <w:rPr>
          <w:rFonts w:ascii="Arial" w:cs="Arial" w:eastAsia="Arial" w:hAnsi="Arial"/>
          <w:sz w:val="10"/>
          <w:szCs w:val="10"/>
          <w:b w:val="1"/>
          <w:bCs w:val="1"/>
          <w:color w:val="0057CF"/>
        </w:rPr>
        <w:t>www.fda.gov/medwatch</w:t>
      </w:r>
    </w:p>
    <w:p>
      <w:pPr>
        <w:spacing w:after="0" w:line="199" w:lineRule="auto"/>
        <w:rPr>
          <w:sz w:val="20"/>
          <w:szCs w:val="20"/>
          <w:color w:val="auto"/>
        </w:rPr>
      </w:pPr>
      <w:r>
        <w:rPr>
          <w:rFonts w:ascii="Arial" w:cs="Arial" w:eastAsia="Arial" w:hAnsi="Arial"/>
          <w:sz w:val="10"/>
          <w:szCs w:val="10"/>
          <w:color w:val="auto"/>
        </w:rPr>
        <w:t>•Genmab US, Inc.: 1-855-4GENMAB</w:t>
      </w:r>
    </w:p>
    <w:p>
      <w:pPr>
        <w:spacing w:after="0" w:line="198" w:lineRule="auto"/>
        <w:rPr>
          <w:sz w:val="20"/>
          <w:szCs w:val="20"/>
          <w:color w:val="auto"/>
        </w:rPr>
      </w:pPr>
      <w:r>
        <w:rPr>
          <w:rFonts w:ascii="Arial" w:cs="Arial" w:eastAsia="Arial" w:hAnsi="Arial"/>
          <w:sz w:val="10"/>
          <w:szCs w:val="10"/>
          <w:color w:val="auto"/>
        </w:rPr>
        <w:t>(1-855-443-6622)</w:t>
      </w:r>
    </w:p>
    <w:p>
      <w:pPr>
        <w:spacing w:after="0" w:line="199" w:lineRule="auto"/>
        <w:rPr>
          <w:sz w:val="20"/>
          <w:szCs w:val="20"/>
          <w:color w:val="auto"/>
        </w:rPr>
      </w:pPr>
      <w:r>
        <w:rPr>
          <w:rFonts w:ascii="Arial" w:cs="Arial" w:eastAsia="Arial" w:hAnsi="Arial"/>
          <w:sz w:val="10"/>
          <w:szCs w:val="10"/>
          <w:color w:val="auto"/>
        </w:rPr>
        <w:t>We systematically monitor and evaluate post-</w:t>
      </w:r>
    </w:p>
    <w:p>
      <w:pPr>
        <w:spacing w:after="0" w:line="199" w:lineRule="auto"/>
        <w:rPr>
          <w:sz w:val="20"/>
          <w:szCs w:val="20"/>
          <w:color w:val="auto"/>
        </w:rPr>
      </w:pPr>
      <w:r>
        <w:rPr>
          <w:rFonts w:ascii="Arial" w:cs="Arial" w:eastAsia="Arial" w:hAnsi="Arial"/>
          <w:sz w:val="10"/>
          <w:szCs w:val="10"/>
          <w:color w:val="auto"/>
        </w:rPr>
        <w:t>approval safety data to promptly identify and</w:t>
      </w:r>
    </w:p>
    <w:p>
      <w:pPr>
        <w:spacing w:after="0" w:line="202" w:lineRule="auto"/>
        <w:rPr>
          <w:sz w:val="20"/>
          <w:szCs w:val="20"/>
          <w:color w:val="auto"/>
        </w:rPr>
      </w:pPr>
      <w:r>
        <w:rPr>
          <w:rFonts w:ascii="Arial" w:cs="Arial" w:eastAsia="Arial" w:hAnsi="Arial"/>
          <w:sz w:val="10"/>
          <w:szCs w:val="10"/>
          <w:color w:val="auto"/>
        </w:rPr>
        <w:t>address potential concerns.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rPr>
          <w:sz w:val="20"/>
          <w:szCs w:val="20"/>
          <w:color w:val="auto"/>
        </w:rPr>
      </w:pPr>
      <w:r>
        <w:rPr>
          <w:rFonts w:ascii="Arial" w:cs="Arial" w:eastAsia="Arial" w:hAnsi="Arial"/>
          <w:sz w:val="12"/>
          <w:szCs w:val="12"/>
          <w:b w:val="1"/>
          <w:bCs w:val="1"/>
          <w:color w:val="auto"/>
        </w:rPr>
        <w:t>Ethical Marketing Practices</w:t>
      </w:r>
    </w:p>
    <w:p>
      <w:pPr>
        <w:jc w:val="both"/>
        <w:ind w:right="180"/>
        <w:spacing w:after="0" w:line="220" w:lineRule="auto"/>
        <w:rPr>
          <w:sz w:val="20"/>
          <w:szCs w:val="20"/>
          <w:color w:val="auto"/>
        </w:rPr>
      </w:pPr>
      <w:r>
        <w:rPr>
          <w:rFonts w:ascii="Arial" w:cs="Arial" w:eastAsia="Arial" w:hAnsi="Arial"/>
          <w:sz w:val="10"/>
          <w:szCs w:val="10"/>
          <w:color w:val="auto"/>
        </w:rPr>
        <w:t>Genmab promotes responsible marketing and compliance with applicable laws and industry standards. Employees receive regular training under the Code of Conduct, with oversight by the Chief Commercial Officer.</w:t>
      </w:r>
    </w:p>
    <w:p>
      <w:pPr>
        <w:spacing w:after="0" w:line="5130" w:lineRule="exact"/>
        <w:rPr>
          <w:rFonts w:ascii="Arial" w:cs="Arial" w:eastAsia="Arial" w:hAnsi="Arial"/>
          <w:sz w:val="10"/>
          <w:szCs w:val="10"/>
          <w:b w:val="1"/>
          <w:bCs w:val="1"/>
          <w:color w:val="auto"/>
        </w:rPr>
      </w:pPr>
    </w:p>
    <w:p>
      <w:pPr>
        <w:sectPr>
          <w:pgSz w:w="11900" w:h="16840" w:orient="portrait"/>
          <w:cols w:equalWidth="0" w:num="2">
            <w:col w:w="4840" w:space="60"/>
            <w:col w:w="4940"/>
          </w:cols>
          <w:pgMar w:left="640" w:top="571" w:right="1420" w:bottom="499" w:gutter="0" w:footer="0" w:header="0"/>
          <w:type w:val="continuous"/>
        </w:sectPr>
      </w:pPr>
    </w:p>
    <w:p>
      <w:pPr>
        <w:spacing w:after="0"/>
        <w:rPr>
          <w:sz w:val="20"/>
          <w:szCs w:val="20"/>
          <w:color w:val="auto"/>
        </w:rPr>
      </w:pPr>
      <w:r>
        <w:rPr>
          <w:rFonts w:ascii="Arial" w:cs="Arial" w:eastAsia="Arial" w:hAnsi="Arial"/>
          <w:sz w:val="12"/>
          <w:szCs w:val="12"/>
          <w:b w:val="1"/>
          <w:bCs w:val="1"/>
          <w:color w:val="auto"/>
        </w:rPr>
        <w:t>Speak Up Hotline</w:t>
      </w:r>
    </w:p>
    <w:p>
      <w:pPr>
        <w:sectPr>
          <w:pgSz w:w="11900" w:h="16840" w:orient="portrait"/>
          <w:cols w:equalWidth="0" w:num="1">
            <w:col w:w="9840"/>
          </w:cols>
          <w:pgMar w:left="640" w:top="571" w:right="1420" w:bottom="499" w:gutter="0" w:footer="0" w:header="0"/>
          <w:type w:val="continuous"/>
        </w:sectPr>
      </w:pPr>
    </w:p>
    <w:bookmarkStart w:id="128" w:name="page129"/>
    <w:bookmarkEnd w:id="128"/>
    <w:p>
      <w:pPr>
        <w:spacing w:after="0" w:line="198" w:lineRule="auto"/>
        <w:framePr w:w="1000" w:h="761" w:wrap="auto" w:vAnchor="page" w:hAnchor="page" w:x="9440" w:y="3273"/>
        <w:rPr>
          <w:rFonts w:ascii="Arial" w:cs="Arial" w:eastAsia="Arial" w:hAnsi="Arial"/>
          <w:sz w:val="10"/>
          <w:szCs w:val="10"/>
          <w:color w:val="auto"/>
        </w:rPr>
      </w:pPr>
      <w:r>
        <w:rPr>
          <w:rFonts w:ascii="Arial" w:cs="Arial" w:eastAsia="Arial" w:hAnsi="Arial"/>
          <w:sz w:val="10"/>
          <w:szCs w:val="10"/>
          <w:color w:val="auto"/>
        </w:rPr>
        <w:t>with the Patient and Study Coordinator Advisory Councils Overseen by the SVP, Communications and Corporate Affairs.</w:t>
      </w:r>
    </w:p>
    <w:p>
      <w:pPr>
        <w:spacing w:after="0" w:line="198" w:lineRule="auto"/>
        <w:framePr w:w="1020" w:h="380" w:wrap="auto" w:vAnchor="page" w:hAnchor="page" w:x="9440" w:y="2493"/>
        <w:rPr>
          <w:rFonts w:ascii="Arial" w:cs="Arial" w:eastAsia="Arial" w:hAnsi="Arial"/>
          <w:sz w:val="10"/>
          <w:szCs w:val="10"/>
          <w:color w:val="auto"/>
        </w:rPr>
      </w:pPr>
      <w:r>
        <w:rPr>
          <w:rFonts w:ascii="Arial" w:cs="Arial" w:eastAsia="Arial" w:hAnsi="Arial"/>
          <w:sz w:val="10"/>
          <w:szCs w:val="10"/>
          <w:color w:val="auto"/>
        </w:rPr>
        <w:t>and the MyNavCare team, overseen by Vice President, U.S. Market Access.</w:t>
      </w: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95</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4.1</w:t>
      </w:r>
    </w:p>
    <w:p>
      <w:pPr>
        <w:spacing w:after="0" w:line="210" w:lineRule="auto"/>
        <w:rPr>
          <w:sz w:val="20"/>
          <w:szCs w:val="20"/>
          <w:color w:val="auto"/>
        </w:rPr>
      </w:pPr>
      <w:r>
        <w:rPr>
          <w:rFonts w:ascii="Arial" w:cs="Arial" w:eastAsia="Arial" w:hAnsi="Arial"/>
          <w:sz w:val="15"/>
          <w:szCs w:val="15"/>
          <w:color w:val="0057CF"/>
        </w:rPr>
        <w:t>Consumers &amp; End-Users Actions, Metrics and Targets</w:t>
      </w:r>
    </w:p>
    <w:p>
      <w:pPr>
        <w:ind w:right="200"/>
        <w:spacing w:after="0" w:line="217" w:lineRule="auto"/>
        <w:rPr>
          <w:sz w:val="20"/>
          <w:szCs w:val="20"/>
          <w:color w:val="auto"/>
        </w:rPr>
      </w:pPr>
      <w:r>
        <w:rPr>
          <w:rFonts w:ascii="Arial" w:cs="Arial" w:eastAsia="Arial" w:hAnsi="Arial"/>
          <w:sz w:val="13"/>
          <w:szCs w:val="13"/>
          <w:b w:val="1"/>
          <w:bCs w:val="1"/>
          <w:color w:val="0057CF"/>
        </w:rPr>
        <w:t>Taking action on material impacts on consumers and end-users, and approaches to managing material risks and pursuing material opportunities related to consumers and end-users, and effectiveness of those actions (S4-4) / Targets related to managing material negative impacts, advancing positive impacts, and managing material risks and opportunities (S4-5)</w:t>
      </w:r>
    </w:p>
    <w:p>
      <w:pPr>
        <w:spacing w:after="0" w:line="1" w:lineRule="exact"/>
        <w:rPr>
          <w:rFonts w:ascii="Arial" w:cs="Arial" w:eastAsia="Arial" w:hAnsi="Arial"/>
          <w:sz w:val="10"/>
          <w:szCs w:val="10"/>
          <w:b w:val="1"/>
          <w:bCs w:val="1"/>
          <w:color w:val="auto"/>
        </w:rPr>
      </w:pPr>
    </w:p>
    <w:tbl>
      <w:tblPr>
        <w:tblLayout w:type="fixed"/>
        <w:tblInd w:w="0" w:type="dxa"/>
        <w:tblCellMar>
          <w:top w:w="0" w:type="dxa"/>
          <w:left w:w="0" w:type="dxa"/>
          <w:bottom w:w="0" w:type="dxa"/>
          <w:right w:w="0" w:type="dxa"/>
        </w:tblCellMar>
      </w:tblPr>
      <w:tr>
        <w:trPr>
          <w:trHeight w:val="95"/>
        </w:trPr>
        <w:tc>
          <w:tcPr>
            <w:tcW w:w="42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IRO</w:t>
            </w:r>
          </w:p>
        </w:tc>
        <w:tc>
          <w:tcPr>
            <w:tcW w:w="2920" w:type="dxa"/>
            <w:vAlign w:val="bottom"/>
            <w:tcBorders>
              <w:top w:val="single" w:sz="8" w:color="0057CF"/>
            </w:tcBorders>
          </w:tcPr>
          <w:p>
            <w:pPr>
              <w:ind w:left="240"/>
              <w:spacing w:after="0" w:line="95" w:lineRule="exact"/>
              <w:rPr>
                <w:sz w:val="20"/>
                <w:szCs w:val="20"/>
                <w:color w:val="auto"/>
              </w:rPr>
            </w:pPr>
            <w:r>
              <w:rPr>
                <w:rFonts w:ascii="Arial" w:cs="Arial" w:eastAsia="Arial" w:hAnsi="Arial"/>
                <w:sz w:val="10"/>
                <w:szCs w:val="10"/>
                <w:b w:val="1"/>
                <w:bCs w:val="1"/>
                <w:color w:val="auto"/>
              </w:rPr>
              <w:t>Key Actions in 2025</w:t>
            </w:r>
          </w:p>
        </w:tc>
        <w:tc>
          <w:tcPr>
            <w:tcW w:w="4660" w:type="dxa"/>
            <w:vAlign w:val="bottom"/>
            <w:tcBorders>
              <w:top w:val="single" w:sz="8" w:color="0057CF"/>
            </w:tcBorders>
          </w:tcPr>
          <w:p>
            <w:pPr>
              <w:ind w:left="1780"/>
              <w:spacing w:after="0" w:line="95" w:lineRule="exact"/>
              <w:rPr>
                <w:sz w:val="20"/>
                <w:szCs w:val="20"/>
                <w:color w:val="auto"/>
              </w:rPr>
            </w:pPr>
            <w:r>
              <w:rPr>
                <w:rFonts w:ascii="Arial" w:cs="Arial" w:eastAsia="Arial" w:hAnsi="Arial"/>
                <w:sz w:val="10"/>
                <w:szCs w:val="10"/>
                <w:b w:val="1"/>
                <w:bCs w:val="1"/>
                <w:color w:val="auto"/>
              </w:rPr>
              <w:t>Targets  Outcomes / Tracking Effectiveness</w:t>
            </w:r>
          </w:p>
        </w:tc>
        <w:tc>
          <w:tcPr>
            <w:tcW w:w="1840" w:type="dxa"/>
            <w:vAlign w:val="bottom"/>
            <w:tcBorders>
              <w:top w:val="single" w:sz="8" w:color="0057CF"/>
            </w:tcBorders>
          </w:tcPr>
          <w:p>
            <w:pPr>
              <w:ind w:left="840"/>
              <w:spacing w:after="0" w:line="95" w:lineRule="exact"/>
              <w:rPr>
                <w:sz w:val="20"/>
                <w:szCs w:val="20"/>
                <w:color w:val="auto"/>
              </w:rPr>
            </w:pPr>
            <w:r>
              <w:rPr>
                <w:rFonts w:ascii="Arial" w:cs="Arial" w:eastAsia="Arial" w:hAnsi="Arial"/>
                <w:sz w:val="10"/>
                <w:szCs w:val="10"/>
                <w:b w:val="1"/>
                <w:bCs w:val="1"/>
                <w:color w:val="auto"/>
              </w:rPr>
              <w:t>Stakeholder</w:t>
            </w:r>
          </w:p>
        </w:tc>
      </w:tr>
      <w:tr>
        <w:trPr>
          <w:trHeight w:val="128"/>
        </w:trPr>
        <w:tc>
          <w:tcPr>
            <w:tcW w:w="4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0"/>
                <w:szCs w:val="10"/>
                <w:b w:val="1"/>
                <w:bCs w:val="1"/>
                <w:color w:val="auto"/>
              </w:rPr>
              <w:t>Involvement</w:t>
            </w:r>
          </w:p>
        </w:tc>
      </w:tr>
    </w:tbl>
    <w:p>
      <w:pPr>
        <w:spacing w:after="0" w:line="4" w:lineRule="exact"/>
        <w:rPr>
          <w:rFonts w:ascii="Arial" w:cs="Arial" w:eastAsia="Arial" w:hAnsi="Arial"/>
          <w:sz w:val="10"/>
          <w:szCs w:val="10"/>
          <w:b w:val="1"/>
          <w:bCs w:val="1"/>
          <w:color w:val="auto"/>
        </w:rPr>
      </w:pPr>
    </w:p>
    <w:p>
      <w:pPr>
        <w:sectPr>
          <w:pgSz w:w="11900" w:h="16840" w:orient="portrait"/>
          <w:cols w:equalWidth="0" w:num="1">
            <w:col w:w="9840"/>
          </w:cols>
          <w:pgMar w:left="640" w:top="571" w:right="1420" w:bottom="1440" w:gutter="0" w:footer="0" w:header="0"/>
        </w:sectPr>
      </w:pPr>
    </w:p>
    <w:p>
      <w:pPr>
        <w:ind w:left="20"/>
        <w:spacing w:after="0"/>
        <w:tabs>
          <w:tab w:leader="none" w:pos="640" w:val="left"/>
        </w:tabs>
        <w:rPr>
          <w:sz w:val="20"/>
          <w:szCs w:val="20"/>
          <w:color w:val="auto"/>
        </w:rPr>
      </w:pPr>
      <w:r>
        <w:rPr>
          <w:rFonts w:ascii="Arial" w:cs="Arial" w:eastAsia="Arial" w:hAnsi="Arial"/>
          <w:sz w:val="10"/>
          <w:szCs w:val="10"/>
          <w:color w:val="auto"/>
        </w:rPr>
        <w:t>Innovation</w:t>
      </w:r>
      <w:r>
        <w:rPr>
          <w:sz w:val="20"/>
          <w:szCs w:val="20"/>
          <w:color w:val="auto"/>
        </w:rPr>
        <w:tab/>
      </w:r>
      <w:r>
        <w:rPr>
          <w:rFonts w:ascii="Arial" w:cs="Arial" w:eastAsia="Arial" w:hAnsi="Arial"/>
          <w:sz w:val="10"/>
          <w:szCs w:val="10"/>
          <w:b w:val="1"/>
          <w:bCs w:val="1"/>
          <w:color w:val="auto"/>
        </w:rPr>
        <w:t xml:space="preserve">Training: </w:t>
      </w:r>
      <w:r>
        <w:rPr>
          <w:rFonts w:ascii="Arial" w:cs="Arial" w:eastAsia="Arial" w:hAnsi="Arial"/>
          <w:sz w:val="10"/>
          <w:szCs w:val="10"/>
          <w:color w:val="auto"/>
        </w:rPr>
        <w:t>All Market Access colleagues complete annual compliance training to ensure regulatorNone</w:t>
      </w:r>
    </w:p>
    <w:p>
      <w:pPr>
        <w:ind w:left="20"/>
        <w:spacing w:after="0"/>
        <w:tabs>
          <w:tab w:leader="none" w:pos="640" w:val="left"/>
        </w:tabs>
        <w:rPr>
          <w:sz w:val="20"/>
          <w:szCs w:val="20"/>
          <w:color w:val="auto"/>
        </w:rPr>
      </w:pPr>
      <w:r>
        <w:rPr>
          <w:rFonts w:ascii="Arial" w:cs="Arial" w:eastAsia="Arial" w:hAnsi="Arial"/>
          <w:sz w:val="10"/>
          <w:szCs w:val="10"/>
          <w:color w:val="auto"/>
        </w:rPr>
        <w:t>for patients</w:t>
      </w:r>
      <w:r>
        <w:rPr>
          <w:sz w:val="20"/>
          <w:szCs w:val="20"/>
          <w:color w:val="auto"/>
        </w:rPr>
        <w:tab/>
      </w:r>
      <w:r>
        <w:rPr>
          <w:rFonts w:ascii="Arial" w:cs="Arial" w:eastAsia="Arial" w:hAnsi="Arial"/>
          <w:sz w:val="8"/>
          <w:szCs w:val="8"/>
          <w:color w:val="auto"/>
        </w:rPr>
        <w:t>y</w:t>
      </w:r>
    </w:p>
    <w:p>
      <w:pPr>
        <w:ind w:left="20"/>
        <w:spacing w:after="0" w:line="199" w:lineRule="auto"/>
        <w:tabs>
          <w:tab w:leader="none" w:pos="640" w:val="left"/>
        </w:tabs>
        <w:rPr>
          <w:sz w:val="20"/>
          <w:szCs w:val="20"/>
          <w:color w:val="auto"/>
        </w:rPr>
      </w:pPr>
      <w:r>
        <w:rPr>
          <w:rFonts w:ascii="Arial" w:cs="Arial" w:eastAsia="Arial" w:hAnsi="Arial"/>
          <w:sz w:val="10"/>
          <w:szCs w:val="10"/>
          <w:color w:val="auto"/>
        </w:rPr>
        <w:t>with unmet</w:t>
        <w:tab/>
        <w:t>and ethical adherence. Training covers Data Privacy, FDA guidelines, PhRMA Code, Ad Promoti</w:t>
      </w:r>
    </w:p>
    <w:p>
      <w:pPr>
        <w:ind w:left="20"/>
        <w:spacing w:after="0" w:line="198" w:lineRule="auto"/>
        <w:tabs>
          <w:tab w:leader="none" w:pos="640" w:val="left"/>
        </w:tabs>
        <w:rPr>
          <w:sz w:val="20"/>
          <w:szCs w:val="20"/>
          <w:color w:val="auto"/>
        </w:rPr>
      </w:pPr>
      <w:r>
        <w:rPr>
          <w:rFonts w:ascii="Arial" w:cs="Arial" w:eastAsia="Arial" w:hAnsi="Arial"/>
          <w:sz w:val="10"/>
          <w:szCs w:val="10"/>
          <w:color w:val="auto"/>
        </w:rPr>
        <w:t>needs</w:t>
      </w:r>
      <w:r>
        <w:rPr>
          <w:sz w:val="20"/>
          <w:szCs w:val="20"/>
          <w:color w:val="auto"/>
        </w:rPr>
        <w:tab/>
      </w:r>
      <w:r>
        <w:rPr>
          <w:rFonts w:ascii="Arial" w:cs="Arial" w:eastAsia="Arial" w:hAnsi="Arial"/>
          <w:sz w:val="10"/>
          <w:szCs w:val="10"/>
          <w:color w:val="auto"/>
        </w:rPr>
        <w:t>on</w:t>
      </w:r>
    </w:p>
    <w:p>
      <w:pPr>
        <w:ind w:left="660"/>
        <w:spacing w:after="0" w:line="199" w:lineRule="auto"/>
        <w:rPr>
          <w:sz w:val="20"/>
          <w:szCs w:val="20"/>
          <w:color w:val="auto"/>
        </w:rPr>
      </w:pPr>
      <w:r>
        <w:rPr>
          <w:rFonts w:ascii="Arial" w:cs="Arial" w:eastAsia="Arial" w:hAnsi="Arial"/>
          <w:sz w:val="10"/>
          <w:szCs w:val="10"/>
          <w:color w:val="auto"/>
        </w:rPr>
        <w:t>rules, Anti-bribery, Speak Up/whistleblower, Pharmacovigilance, Sunshine Act, and Conflict of</w:t>
      </w:r>
    </w:p>
    <w:p>
      <w:pPr>
        <w:ind w:left="660"/>
        <w:spacing w:after="0" w:line="199" w:lineRule="auto"/>
        <w:rPr>
          <w:sz w:val="20"/>
          <w:szCs w:val="20"/>
          <w:color w:val="auto"/>
        </w:rPr>
      </w:pPr>
      <w:r>
        <w:rPr>
          <w:rFonts w:ascii="Arial" w:cs="Arial" w:eastAsia="Arial" w:hAnsi="Arial"/>
          <w:sz w:val="10"/>
          <w:szCs w:val="10"/>
          <w:color w:val="auto"/>
        </w:rPr>
        <w:t>Interest. The MyNavCare team receives additional annual training on Patient Support Services</w:t>
      </w:r>
    </w:p>
    <w:p>
      <w:pPr>
        <w:ind w:left="660"/>
        <w:spacing w:after="0"/>
        <w:rPr>
          <w:sz w:val="20"/>
          <w:szCs w:val="20"/>
          <w:color w:val="auto"/>
        </w:rPr>
      </w:pPr>
      <w:r>
        <w:rPr>
          <w:rFonts w:ascii="Arial" w:cs="Arial" w:eastAsia="Arial" w:hAnsi="Arial"/>
          <w:sz w:val="10"/>
          <w:szCs w:val="10"/>
          <w:color w:val="auto"/>
        </w:rPr>
        <w:t>(PSS) policies and business rules.</w:t>
      </w:r>
    </w:p>
    <w:p>
      <w:pPr>
        <w:ind w:left="20"/>
        <w:spacing w:after="0" w:line="198" w:lineRule="auto"/>
        <w:tabs>
          <w:tab w:leader="none" w:pos="640" w:val="left"/>
        </w:tabs>
        <w:rPr>
          <w:sz w:val="20"/>
          <w:szCs w:val="20"/>
          <w:color w:val="auto"/>
        </w:rPr>
      </w:pPr>
      <w:r>
        <w:rPr>
          <w:rFonts w:ascii="Arial" w:cs="Arial" w:eastAsia="Arial" w:hAnsi="Arial"/>
          <w:sz w:val="10"/>
          <w:szCs w:val="10"/>
          <w:color w:val="auto"/>
        </w:rPr>
        <w:t>Access and</w:t>
      </w:r>
      <w:r>
        <w:rPr>
          <w:sz w:val="20"/>
          <w:szCs w:val="20"/>
          <w:color w:val="auto"/>
        </w:rPr>
        <w:tab/>
      </w:r>
      <w:r>
        <w:rPr>
          <w:rFonts w:ascii="Arial" w:cs="Arial" w:eastAsia="Arial" w:hAnsi="Arial"/>
          <w:sz w:val="10"/>
          <w:szCs w:val="10"/>
          <w:b w:val="1"/>
          <w:bCs w:val="1"/>
          <w:color w:val="auto"/>
        </w:rPr>
        <w:t xml:space="preserve">Patient and Study Coordinator Advisory Councils: </w:t>
      </w:r>
      <w:r>
        <w:rPr>
          <w:rFonts w:ascii="Arial" w:cs="Arial" w:eastAsia="Arial" w:hAnsi="Arial"/>
          <w:sz w:val="10"/>
          <w:szCs w:val="10"/>
          <w:color w:val="auto"/>
        </w:rPr>
        <w:t>Continued involvement to inform trial desi None</w:t>
      </w:r>
    </w:p>
    <w:p>
      <w:pPr>
        <w:ind w:left="20"/>
        <w:spacing w:after="0"/>
        <w:tabs>
          <w:tab w:leader="none" w:pos="640" w:val="left"/>
        </w:tabs>
        <w:rPr>
          <w:sz w:val="20"/>
          <w:szCs w:val="20"/>
          <w:color w:val="auto"/>
        </w:rPr>
      </w:pPr>
      <w:r>
        <w:rPr>
          <w:rFonts w:ascii="Arial" w:cs="Arial" w:eastAsia="Arial" w:hAnsi="Arial"/>
          <w:sz w:val="10"/>
          <w:szCs w:val="10"/>
          <w:color w:val="auto"/>
        </w:rPr>
        <w:t>inclusion in</w:t>
      </w:r>
      <w:r>
        <w:rPr>
          <w:sz w:val="20"/>
          <w:szCs w:val="20"/>
          <w:color w:val="auto"/>
        </w:rPr>
        <w:tab/>
      </w:r>
      <w:r>
        <w:rPr>
          <w:rFonts w:ascii="Arial" w:cs="Arial" w:eastAsia="Arial" w:hAnsi="Arial"/>
          <w:sz w:val="8"/>
          <w:szCs w:val="8"/>
          <w:color w:val="auto"/>
        </w:rPr>
        <w:t>gn</w:t>
      </w:r>
    </w:p>
    <w:p>
      <w:pPr>
        <w:ind w:left="20"/>
        <w:spacing w:after="0" w:line="198" w:lineRule="auto"/>
        <w:rPr>
          <w:sz w:val="20"/>
          <w:szCs w:val="20"/>
          <w:color w:val="auto"/>
        </w:rPr>
      </w:pPr>
      <w:r>
        <w:rPr>
          <w:rFonts w:ascii="Arial" w:cs="Arial" w:eastAsia="Arial" w:hAnsi="Arial"/>
          <w:sz w:val="10"/>
          <w:szCs w:val="10"/>
          <w:color w:val="auto"/>
        </w:rPr>
        <w:t>clinical trials  and execution.</w:t>
      </w:r>
    </w:p>
    <w:p>
      <w:pPr>
        <w:ind w:left="660"/>
        <w:spacing w:after="0" w:line="199" w:lineRule="auto"/>
        <w:rPr>
          <w:sz w:val="20"/>
          <w:szCs w:val="20"/>
          <w:color w:val="auto"/>
        </w:rPr>
      </w:pPr>
      <w:r>
        <w:rPr>
          <w:rFonts w:ascii="Arial" w:cs="Arial" w:eastAsia="Arial" w:hAnsi="Arial"/>
          <w:sz w:val="10"/>
          <w:szCs w:val="10"/>
          <w:b w:val="1"/>
          <w:bCs w:val="1"/>
          <w:color w:val="auto"/>
        </w:rPr>
        <w:t xml:space="preserve">Registration: </w:t>
      </w:r>
      <w:r>
        <w:rPr>
          <w:rFonts w:ascii="Arial" w:cs="Arial" w:eastAsia="Arial" w:hAnsi="Arial"/>
          <w:sz w:val="10"/>
          <w:szCs w:val="10"/>
          <w:color w:val="auto"/>
        </w:rPr>
        <w:t>Registered all Genmab-sponsored trials on ClinicalTrials.gov to ensure transpare</w:t>
      </w:r>
    </w:p>
    <w:p>
      <w:pPr>
        <w:ind w:left="660"/>
        <w:spacing w:after="0" w:line="199" w:lineRule="auto"/>
        <w:rPr>
          <w:sz w:val="20"/>
          <w:szCs w:val="20"/>
          <w:color w:val="auto"/>
        </w:rPr>
      </w:pPr>
      <w:r>
        <w:rPr>
          <w:rFonts w:ascii="Arial" w:cs="Arial" w:eastAsia="Arial" w:hAnsi="Arial"/>
          <w:sz w:val="10"/>
          <w:szCs w:val="10"/>
          <w:color w:val="auto"/>
        </w:rPr>
        <w:t>ncy.</w:t>
      </w:r>
    </w:p>
    <w:p>
      <w:pPr>
        <w:ind w:left="660"/>
        <w:spacing w:after="0"/>
        <w:rPr>
          <w:sz w:val="20"/>
          <w:szCs w:val="20"/>
          <w:color w:val="auto"/>
        </w:rPr>
      </w:pPr>
      <w:r>
        <w:rPr>
          <w:rFonts w:ascii="Arial" w:cs="Arial" w:eastAsia="Arial" w:hAnsi="Arial"/>
          <w:sz w:val="10"/>
          <w:szCs w:val="10"/>
          <w:b w:val="1"/>
          <w:bCs w:val="1"/>
          <w:color w:val="auto"/>
        </w:rPr>
        <w:t xml:space="preserve">Trial Access: </w:t>
      </w:r>
      <w:r>
        <w:rPr>
          <w:rFonts w:ascii="Arial" w:cs="Arial" w:eastAsia="Arial" w:hAnsi="Arial"/>
          <w:sz w:val="10"/>
          <w:szCs w:val="10"/>
          <w:color w:val="auto"/>
        </w:rPr>
        <w:t>Conducted 13 trials in 27 countries, enrolling 818 patients in 2025; compared to 25</w:t>
      </w:r>
    </w:p>
    <w:p>
      <w:pPr>
        <w:spacing w:after="0" w:line="56" w:lineRule="exact"/>
        <w:rPr>
          <w:rFonts w:ascii="Arial" w:cs="Arial" w:eastAsia="Arial" w:hAnsi="Arial"/>
          <w:sz w:val="10"/>
          <w:szCs w:val="10"/>
          <w:b w:val="1"/>
          <w:bCs w:val="1"/>
          <w:color w:val="auto"/>
        </w:rPr>
      </w:pPr>
    </w:p>
    <w:p>
      <w:pPr>
        <w:ind w:left="660"/>
        <w:spacing w:after="0"/>
        <w:rPr>
          <w:sz w:val="20"/>
          <w:szCs w:val="20"/>
          <w:color w:val="auto"/>
        </w:rPr>
      </w:pPr>
      <w:r>
        <w:rPr>
          <w:rFonts w:ascii="Arial" w:cs="Arial" w:eastAsia="Arial" w:hAnsi="Arial"/>
          <w:sz w:val="10"/>
          <w:szCs w:val="10"/>
          <w:color w:val="auto"/>
        </w:rPr>
        <w:t>trials in 37 countries, enrolling 620 patients in 2024.</w:t>
      </w:r>
    </w:p>
    <w:p>
      <w:pPr>
        <w:ind w:left="660"/>
        <w:spacing w:after="0" w:line="198" w:lineRule="auto"/>
        <w:rPr>
          <w:sz w:val="20"/>
          <w:szCs w:val="20"/>
          <w:color w:val="auto"/>
        </w:rPr>
      </w:pPr>
      <w:r>
        <w:rPr>
          <w:rFonts w:ascii="Arial" w:cs="Arial" w:eastAsia="Arial" w:hAnsi="Arial"/>
          <w:sz w:val="10"/>
          <w:szCs w:val="10"/>
          <w:b w:val="1"/>
          <w:bCs w:val="1"/>
          <w:color w:val="auto"/>
        </w:rPr>
        <w:t xml:space="preserve">Oversight: </w:t>
      </w:r>
      <w:r>
        <w:rPr>
          <w:rFonts w:ascii="Arial" w:cs="Arial" w:eastAsia="Arial" w:hAnsi="Arial"/>
          <w:sz w:val="10"/>
          <w:szCs w:val="10"/>
          <w:color w:val="auto"/>
        </w:rPr>
        <w:t>Ensured oversight by ethics committees, regulatory authorities, and data and safety</w:t>
      </w:r>
    </w:p>
    <w:p>
      <w:pPr>
        <w:ind w:left="660"/>
        <w:spacing w:after="0" w:line="199" w:lineRule="auto"/>
        <w:rPr>
          <w:sz w:val="20"/>
          <w:szCs w:val="20"/>
          <w:color w:val="auto"/>
        </w:rPr>
      </w:pPr>
      <w:r>
        <w:rPr>
          <w:rFonts w:ascii="Arial" w:cs="Arial" w:eastAsia="Arial" w:hAnsi="Arial"/>
          <w:sz w:val="10"/>
          <w:szCs w:val="10"/>
          <w:color w:val="auto"/>
        </w:rPr>
        <w:t>monitoring boards.</w:t>
      </w:r>
    </w:p>
    <w:p>
      <w:pPr>
        <w:ind w:left="660"/>
        <w:spacing w:after="0" w:line="198" w:lineRule="auto"/>
        <w:rPr>
          <w:sz w:val="20"/>
          <w:szCs w:val="20"/>
          <w:color w:val="auto"/>
        </w:rPr>
      </w:pPr>
      <w:r>
        <w:rPr>
          <w:rFonts w:ascii="Arial" w:cs="Arial" w:eastAsia="Arial" w:hAnsi="Arial"/>
          <w:sz w:val="10"/>
          <w:szCs w:val="10"/>
          <w:b w:val="1"/>
          <w:bCs w:val="1"/>
          <w:color w:val="auto"/>
        </w:rPr>
        <w:t xml:space="preserve">Compliance: </w:t>
      </w:r>
      <w:r>
        <w:rPr>
          <w:rFonts w:ascii="Arial" w:cs="Arial" w:eastAsia="Arial" w:hAnsi="Arial"/>
          <w:sz w:val="10"/>
          <w:szCs w:val="10"/>
          <w:color w:val="auto"/>
        </w:rPr>
        <w:t>Complied with global standards (cGLP, cGCP, cGMP, FELASA) and regulatory</w:t>
      </w:r>
    </w:p>
    <w:p>
      <w:pPr>
        <w:ind w:left="660"/>
        <w:spacing w:after="0" w:line="199" w:lineRule="auto"/>
        <w:rPr>
          <w:sz w:val="20"/>
          <w:szCs w:val="20"/>
          <w:color w:val="auto"/>
        </w:rPr>
      </w:pPr>
      <w:r>
        <w:rPr>
          <w:rFonts w:ascii="Arial" w:cs="Arial" w:eastAsia="Arial" w:hAnsi="Arial"/>
          <w:sz w:val="10"/>
          <w:szCs w:val="10"/>
          <w:color w:val="auto"/>
        </w:rPr>
        <w:t>guidance (EMA, FDA, PMDA).</w:t>
      </w:r>
    </w:p>
    <w:p>
      <w:pPr>
        <w:ind w:left="660"/>
        <w:spacing w:after="0" w:line="199" w:lineRule="auto"/>
        <w:rPr>
          <w:sz w:val="20"/>
          <w:szCs w:val="20"/>
          <w:color w:val="auto"/>
        </w:rPr>
      </w:pPr>
      <w:r>
        <w:rPr>
          <w:rFonts w:ascii="Arial" w:cs="Arial" w:eastAsia="Arial" w:hAnsi="Arial"/>
          <w:sz w:val="10"/>
          <w:szCs w:val="10"/>
          <w:b w:val="1"/>
          <w:bCs w:val="1"/>
          <w:color w:val="auto"/>
        </w:rPr>
        <w:t xml:space="preserve">Monitoring: </w:t>
      </w:r>
      <w:r>
        <w:rPr>
          <w:rFonts w:ascii="Arial" w:cs="Arial" w:eastAsia="Arial" w:hAnsi="Arial"/>
          <w:sz w:val="10"/>
          <w:szCs w:val="10"/>
          <w:color w:val="auto"/>
        </w:rPr>
        <w:t>Continued post-approval safety monitoring and regular review by internal and exter</w:t>
      </w:r>
    </w:p>
    <w:p>
      <w:pPr>
        <w:ind w:left="660"/>
        <w:spacing w:after="0" w:line="198" w:lineRule="auto"/>
        <w:rPr>
          <w:sz w:val="20"/>
          <w:szCs w:val="20"/>
          <w:color w:val="auto"/>
        </w:rPr>
      </w:pPr>
      <w:r>
        <w:rPr>
          <w:rFonts w:ascii="Arial" w:cs="Arial" w:eastAsia="Arial" w:hAnsi="Arial"/>
          <w:sz w:val="10"/>
          <w:szCs w:val="10"/>
          <w:color w:val="auto"/>
        </w:rPr>
        <w:t>nal</w:t>
      </w:r>
    </w:p>
    <w:p>
      <w:pPr>
        <w:ind w:left="660"/>
        <w:spacing w:after="0"/>
        <w:rPr>
          <w:sz w:val="20"/>
          <w:szCs w:val="20"/>
          <w:color w:val="auto"/>
        </w:rPr>
      </w:pPr>
      <w:r>
        <w:rPr>
          <w:rFonts w:ascii="Arial" w:cs="Arial" w:eastAsia="Arial" w:hAnsi="Arial"/>
          <w:sz w:val="10"/>
          <w:szCs w:val="10"/>
          <w:color w:val="auto"/>
        </w:rPr>
        <w:t>committees.</w:t>
      </w:r>
    </w:p>
    <w:p>
      <w:pPr>
        <w:spacing w:after="0" w:line="179" w:lineRule="exact"/>
        <w:rPr>
          <w:rFonts w:ascii="Arial" w:cs="Arial" w:eastAsia="Arial" w:hAnsi="Arial"/>
          <w:sz w:val="10"/>
          <w:szCs w:val="10"/>
          <w:b w:val="1"/>
          <w:bCs w:val="1"/>
          <w:color w:val="auto"/>
        </w:rPr>
      </w:pPr>
    </w:p>
    <w:p>
      <w:pPr>
        <w:ind w:left="20"/>
        <w:spacing w:after="0"/>
        <w:rPr>
          <w:sz w:val="20"/>
          <w:szCs w:val="20"/>
          <w:color w:val="auto"/>
        </w:rPr>
      </w:pPr>
      <w:r>
        <w:rPr>
          <w:rFonts w:ascii="Arial" w:cs="Arial" w:eastAsia="Arial" w:hAnsi="Arial"/>
          <w:sz w:val="10"/>
          <w:szCs w:val="10"/>
          <w:color w:val="auto"/>
        </w:rPr>
        <w:t xml:space="preserve">Responsible </w:t>
      </w:r>
      <w:r>
        <w:rPr>
          <w:rFonts w:ascii="Arial" w:cs="Arial" w:eastAsia="Arial" w:hAnsi="Arial"/>
          <w:sz w:val="10"/>
          <w:szCs w:val="10"/>
          <w:b w:val="1"/>
          <w:bCs w:val="1"/>
          <w:color w:val="auto"/>
        </w:rPr>
        <w:t>Training:</w:t>
      </w:r>
      <w:r>
        <w:rPr>
          <w:rFonts w:ascii="Arial" w:cs="Arial" w:eastAsia="Arial" w:hAnsi="Arial"/>
          <w:sz w:val="10"/>
          <w:szCs w:val="10"/>
          <w:color w:val="auto"/>
        </w:rPr>
        <w:t xml:space="preserve"> All Marketing colleagues completed annual compliance training to ensure regulatory anNone</w:t>
      </w:r>
    </w:p>
    <w:p>
      <w:pPr>
        <w:ind w:left="20"/>
        <w:spacing w:after="0" w:line="198" w:lineRule="auto"/>
        <w:tabs>
          <w:tab w:leader="none" w:pos="640" w:val="left"/>
        </w:tabs>
        <w:rPr>
          <w:sz w:val="20"/>
          <w:szCs w:val="20"/>
          <w:color w:val="auto"/>
        </w:rPr>
      </w:pPr>
      <w:r>
        <w:rPr>
          <w:rFonts w:ascii="Arial" w:cs="Arial" w:eastAsia="Arial" w:hAnsi="Arial"/>
          <w:sz w:val="10"/>
          <w:szCs w:val="10"/>
          <w:color w:val="auto"/>
        </w:rPr>
        <w:t>and ethical</w:t>
        <w:tab/>
        <w:t>d</w:t>
      </w:r>
    </w:p>
    <w:p>
      <w:pPr>
        <w:ind w:left="20"/>
        <w:spacing w:after="0"/>
        <w:tabs>
          <w:tab w:leader="none" w:pos="640" w:val="left"/>
        </w:tabs>
        <w:rPr>
          <w:sz w:val="20"/>
          <w:szCs w:val="20"/>
          <w:color w:val="auto"/>
        </w:rPr>
      </w:pPr>
      <w:r>
        <w:rPr>
          <w:rFonts w:ascii="Arial" w:cs="Arial" w:eastAsia="Arial" w:hAnsi="Arial"/>
          <w:sz w:val="10"/>
          <w:szCs w:val="10"/>
          <w:color w:val="auto"/>
        </w:rPr>
        <w:t>marketing</w:t>
      </w:r>
      <w:r>
        <w:rPr>
          <w:sz w:val="20"/>
          <w:szCs w:val="20"/>
          <w:color w:val="auto"/>
        </w:rPr>
        <w:tab/>
      </w:r>
      <w:r>
        <w:rPr>
          <w:rFonts w:ascii="Arial" w:cs="Arial" w:eastAsia="Arial" w:hAnsi="Arial"/>
          <w:sz w:val="10"/>
          <w:szCs w:val="10"/>
          <w:color w:val="auto"/>
        </w:rPr>
        <w:t>ethical adherence. All promotional materials went through medical, regulatory, and legal review to</w:t>
      </w:r>
    </w:p>
    <w:p>
      <w:pPr>
        <w:spacing w:after="0" w:line="65" w:lineRule="exact"/>
        <w:rPr>
          <w:rFonts w:ascii="Arial" w:cs="Arial" w:eastAsia="Arial" w:hAnsi="Arial"/>
          <w:sz w:val="10"/>
          <w:szCs w:val="10"/>
          <w:b w:val="1"/>
          <w:bCs w:val="1"/>
          <w:color w:val="auto"/>
        </w:rPr>
      </w:pPr>
    </w:p>
    <w:p>
      <w:pPr>
        <w:ind w:left="660"/>
        <w:spacing w:after="0"/>
        <w:rPr>
          <w:sz w:val="20"/>
          <w:szCs w:val="20"/>
          <w:color w:val="auto"/>
        </w:rPr>
      </w:pPr>
      <w:r>
        <w:rPr>
          <w:rFonts w:ascii="Arial" w:cs="Arial" w:eastAsia="Arial" w:hAnsi="Arial"/>
          <w:sz w:val="10"/>
          <w:szCs w:val="10"/>
          <w:color w:val="auto"/>
        </w:rPr>
        <w:t>ensure medically accurate, on label, and responsible promotion.</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rPr>
          <w:sz w:val="20"/>
          <w:szCs w:val="20"/>
          <w:color w:val="auto"/>
        </w:rPr>
      </w:pPr>
      <w:r>
        <w:rPr>
          <w:rFonts w:ascii="Arial" w:cs="Arial" w:eastAsia="Arial" w:hAnsi="Arial"/>
          <w:sz w:val="10"/>
          <w:szCs w:val="10"/>
          <w:color w:val="auto"/>
        </w:rPr>
        <w:t>Global Compliance monitors training completion to ensure accountabilitMarket access team,</w:t>
      </w:r>
    </w:p>
    <w:p>
      <w:pPr>
        <w:spacing w:after="0" w:line="198" w:lineRule="auto"/>
        <w:rPr>
          <w:sz w:val="20"/>
          <w:szCs w:val="20"/>
          <w:color w:val="auto"/>
        </w:rPr>
      </w:pPr>
      <w:r>
        <w:rPr>
          <w:rFonts w:ascii="Arial" w:cs="Arial" w:eastAsia="Arial" w:hAnsi="Arial"/>
          <w:sz w:val="10"/>
          <w:szCs w:val="10"/>
          <w:color w:val="auto"/>
        </w:rPr>
        <w:t>y</w:t>
      </w:r>
    </w:p>
    <w:p>
      <w:pPr>
        <w:spacing w:after="0"/>
        <w:rPr>
          <w:sz w:val="20"/>
          <w:szCs w:val="20"/>
          <w:color w:val="auto"/>
        </w:rPr>
      </w:pPr>
      <w:r>
        <w:rPr>
          <w:rFonts w:ascii="Arial" w:cs="Arial" w:eastAsia="Arial" w:hAnsi="Arial"/>
          <w:sz w:val="10"/>
          <w:szCs w:val="10"/>
          <w:color w:val="auto"/>
        </w:rPr>
        <w:t>and uphold patient access to Genmab products.</w:t>
      </w:r>
    </w:p>
    <w:p>
      <w:pPr>
        <w:spacing w:after="0" w:line="370" w:lineRule="exact"/>
        <w:rPr>
          <w:rFonts w:ascii="Arial" w:cs="Arial" w:eastAsia="Arial" w:hAnsi="Arial"/>
          <w:sz w:val="10"/>
          <w:szCs w:val="10"/>
          <w:b w:val="1"/>
          <w:bCs w:val="1"/>
          <w:color w:val="auto"/>
        </w:rPr>
      </w:pPr>
    </w:p>
    <w:p>
      <w:pPr>
        <w:ind w:right="20"/>
        <w:spacing w:after="0" w:line="209" w:lineRule="auto"/>
        <w:rPr>
          <w:sz w:val="20"/>
          <w:szCs w:val="20"/>
          <w:color w:val="auto"/>
        </w:rPr>
      </w:pPr>
      <w:r>
        <w:rPr>
          <w:rFonts w:ascii="Arial" w:cs="Arial" w:eastAsia="Arial" w:hAnsi="Arial"/>
          <w:sz w:val="10"/>
          <w:szCs w:val="10"/>
          <w:color w:val="auto"/>
        </w:rPr>
        <w:t>We have a Patient Advisory Council and a Study Coordinator Advisory Patient Advocacy Council who provide input to our clinical trials. In addition, our clinical team working closely</w:t>
      </w:r>
    </w:p>
    <w:p>
      <w:pPr>
        <w:ind w:right="1140"/>
        <w:spacing w:after="0" w:line="231" w:lineRule="auto"/>
        <w:rPr>
          <w:sz w:val="20"/>
          <w:szCs w:val="20"/>
          <w:color w:val="auto"/>
        </w:rPr>
      </w:pPr>
      <w:r>
        <w:rPr>
          <w:rFonts w:ascii="Arial" w:cs="Arial" w:eastAsia="Arial" w:hAnsi="Arial"/>
          <w:sz w:val="10"/>
          <w:szCs w:val="10"/>
          <w:color w:val="auto"/>
        </w:rPr>
        <w:t>trials are reviewed by institutional review boards, ethics committees, regulatory authorities, and data and safety monitoring boards.</w:t>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15" w:lineRule="exact"/>
        <w:rPr>
          <w:rFonts w:ascii="Arial" w:cs="Arial" w:eastAsia="Arial" w:hAnsi="Arial"/>
          <w:sz w:val="10"/>
          <w:szCs w:val="10"/>
          <w:b w:val="1"/>
          <w:bCs w:val="1"/>
          <w:color w:val="auto"/>
        </w:rPr>
      </w:pPr>
    </w:p>
    <w:p>
      <w:pPr>
        <w:spacing w:after="0"/>
        <w:tabs>
          <w:tab w:leader="none" w:pos="3260" w:val="left"/>
        </w:tabs>
        <w:rPr>
          <w:sz w:val="20"/>
          <w:szCs w:val="20"/>
          <w:color w:val="auto"/>
        </w:rPr>
      </w:pPr>
      <w:r>
        <w:rPr>
          <w:rFonts w:ascii="Arial" w:cs="Arial" w:eastAsia="Arial" w:hAnsi="Arial"/>
          <w:sz w:val="10"/>
          <w:szCs w:val="10"/>
          <w:color w:val="auto"/>
        </w:rPr>
        <w:t>Genmab has established a Code of Conduct that sets high ethical</w:t>
      </w:r>
      <w:r>
        <w:rPr>
          <w:sz w:val="20"/>
          <w:szCs w:val="20"/>
          <w:color w:val="auto"/>
        </w:rPr>
        <w:tab/>
      </w:r>
      <w:r>
        <w:rPr>
          <w:rFonts w:ascii="Arial" w:cs="Arial" w:eastAsia="Arial" w:hAnsi="Arial"/>
          <w:sz w:val="10"/>
          <w:szCs w:val="10"/>
          <w:color w:val="auto"/>
        </w:rPr>
        <w:t>Global Marketing</w:t>
      </w:r>
    </w:p>
    <w:p>
      <w:pPr>
        <w:spacing w:after="0" w:line="198" w:lineRule="auto"/>
        <w:tabs>
          <w:tab w:leader="none" w:pos="3260" w:val="left"/>
        </w:tabs>
        <w:rPr>
          <w:sz w:val="20"/>
          <w:szCs w:val="20"/>
          <w:color w:val="auto"/>
        </w:rPr>
      </w:pPr>
      <w:r>
        <w:rPr>
          <w:rFonts w:ascii="Arial" w:cs="Arial" w:eastAsia="Arial" w:hAnsi="Arial"/>
          <w:sz w:val="10"/>
          <w:szCs w:val="10"/>
          <w:color w:val="auto"/>
        </w:rPr>
        <w:t>standards for employees, reinforced through regular training. This</w:t>
      </w:r>
      <w:r>
        <w:rPr>
          <w:sz w:val="20"/>
          <w:szCs w:val="20"/>
          <w:color w:val="auto"/>
        </w:rPr>
        <w:tab/>
      </w:r>
      <w:r>
        <w:rPr>
          <w:rFonts w:ascii="Arial" w:cs="Arial" w:eastAsia="Arial" w:hAnsi="Arial"/>
          <w:sz w:val="10"/>
          <w:szCs w:val="10"/>
          <w:color w:val="auto"/>
        </w:rPr>
        <w:t>team, with oversight</w:t>
      </w:r>
    </w:p>
    <w:p>
      <w:pPr>
        <w:ind w:left="3280" w:right="60" w:hanging="3283"/>
        <w:spacing w:after="0" w:line="198" w:lineRule="auto"/>
        <w:rPr>
          <w:sz w:val="20"/>
          <w:szCs w:val="20"/>
          <w:color w:val="auto"/>
        </w:rPr>
      </w:pPr>
      <w:r>
        <w:rPr>
          <w:rFonts w:ascii="Arial" w:cs="Arial" w:eastAsia="Arial" w:hAnsi="Arial"/>
          <w:sz w:val="10"/>
          <w:szCs w:val="10"/>
          <w:color w:val="auto"/>
        </w:rPr>
        <w:t>ensures that all marketing and sales efforts align with local and nationalby the EVP, Chief Commercial Officer.</w:t>
      </w:r>
    </w:p>
    <w:p>
      <w:pPr>
        <w:spacing w:after="0" w:line="1" w:lineRule="exact"/>
        <w:rPr>
          <w:rFonts w:ascii="Arial" w:cs="Arial" w:eastAsia="Arial" w:hAnsi="Arial"/>
          <w:sz w:val="10"/>
          <w:szCs w:val="10"/>
          <w:b w:val="1"/>
          <w:bCs w:val="1"/>
          <w:color w:val="auto"/>
        </w:rPr>
      </w:pPr>
    </w:p>
    <w:p>
      <w:pPr>
        <w:ind w:right="1000"/>
        <w:spacing w:after="0"/>
        <w:rPr>
          <w:sz w:val="20"/>
          <w:szCs w:val="20"/>
          <w:color w:val="auto"/>
        </w:rPr>
      </w:pPr>
      <w:r>
        <w:rPr>
          <w:rFonts w:ascii="Arial" w:cs="Arial" w:eastAsia="Arial" w:hAnsi="Arial"/>
          <w:sz w:val="10"/>
          <w:szCs w:val="10"/>
          <w:color w:val="auto"/>
        </w:rPr>
        <w:t>regulations, which may limit direct engagement with consumers and en d-</w:t>
      </w:r>
    </w:p>
    <w:p>
      <w:pPr>
        <w:spacing w:after="0" w:line="75" w:lineRule="exact"/>
        <w:rPr>
          <w:rFonts w:ascii="Arial" w:cs="Arial" w:eastAsia="Arial" w:hAnsi="Arial"/>
          <w:sz w:val="10"/>
          <w:szCs w:val="10"/>
          <w:b w:val="1"/>
          <w:bCs w:val="1"/>
          <w:color w:val="auto"/>
        </w:rPr>
      </w:pPr>
    </w:p>
    <w:p>
      <w:pPr>
        <w:ind w:right="1160"/>
        <w:spacing w:after="0" w:line="231" w:lineRule="auto"/>
        <w:rPr>
          <w:sz w:val="20"/>
          <w:szCs w:val="20"/>
          <w:color w:val="auto"/>
        </w:rPr>
      </w:pPr>
      <w:r>
        <w:rPr>
          <w:rFonts w:ascii="Arial" w:cs="Arial" w:eastAsia="Arial" w:hAnsi="Arial"/>
          <w:sz w:val="10"/>
          <w:szCs w:val="10"/>
          <w:color w:val="auto"/>
        </w:rPr>
        <w:t>users. Ethical marketing practices are the responsibility of our Chief Commercial Officer.</w:t>
      </w:r>
    </w:p>
    <w:p>
      <w:pPr>
        <w:spacing w:after="0" w:line="200" w:lineRule="exact"/>
        <w:rPr>
          <w:rFonts w:ascii="Arial" w:cs="Arial" w:eastAsia="Arial" w:hAnsi="Arial"/>
          <w:sz w:val="10"/>
          <w:szCs w:val="10"/>
          <w:b w:val="1"/>
          <w:bCs w:val="1"/>
          <w:color w:val="auto"/>
        </w:rPr>
      </w:pPr>
    </w:p>
    <w:p>
      <w:pPr>
        <w:sectPr>
          <w:pgSz w:w="11900" w:h="16840" w:orient="portrait"/>
          <w:cols w:equalWidth="0" w:num="2">
            <w:col w:w="5360" w:space="200"/>
            <w:col w:w="4280"/>
          </w:cols>
          <w:pgMar w:left="640" w:top="571" w:right="1420" w:bottom="1440" w:gutter="0" w:footer="0" w:header="0"/>
          <w:type w:val="continuous"/>
        </w:sect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87"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96</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tbl>
      <w:tblPr>
        <w:tblLayout w:type="fixed"/>
        <w:tblInd w:w="0" w:type="dxa"/>
        <w:tblCellMar>
          <w:top w:w="0" w:type="dxa"/>
          <w:left w:w="0" w:type="dxa"/>
          <w:bottom w:w="0" w:type="dxa"/>
          <w:right w:w="0" w:type="dxa"/>
        </w:tblCellMar>
      </w:tblPr>
      <w:tr>
        <w:trPr>
          <w:trHeight w:val="95"/>
        </w:trPr>
        <w:tc>
          <w:tcPr>
            <w:tcW w:w="42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IRO</w:t>
            </w:r>
          </w:p>
        </w:tc>
        <w:tc>
          <w:tcPr>
            <w:tcW w:w="2920" w:type="dxa"/>
            <w:vAlign w:val="bottom"/>
            <w:tcBorders>
              <w:top w:val="single" w:sz="8" w:color="0057CF"/>
            </w:tcBorders>
          </w:tcPr>
          <w:p>
            <w:pPr>
              <w:ind w:left="240"/>
              <w:spacing w:after="0" w:line="95" w:lineRule="exact"/>
              <w:rPr>
                <w:sz w:val="20"/>
                <w:szCs w:val="20"/>
                <w:color w:val="auto"/>
              </w:rPr>
            </w:pPr>
            <w:r>
              <w:rPr>
                <w:rFonts w:ascii="Arial" w:cs="Arial" w:eastAsia="Arial" w:hAnsi="Arial"/>
                <w:sz w:val="10"/>
                <w:szCs w:val="10"/>
                <w:b w:val="1"/>
                <w:bCs w:val="1"/>
                <w:color w:val="auto"/>
              </w:rPr>
              <w:t>Key Actions in 2025</w:t>
            </w:r>
          </w:p>
        </w:tc>
        <w:tc>
          <w:tcPr>
            <w:tcW w:w="4660" w:type="dxa"/>
            <w:vAlign w:val="bottom"/>
            <w:tcBorders>
              <w:top w:val="single" w:sz="8" w:color="0057CF"/>
            </w:tcBorders>
          </w:tcPr>
          <w:p>
            <w:pPr>
              <w:ind w:left="1780"/>
              <w:spacing w:after="0" w:line="95" w:lineRule="exact"/>
              <w:rPr>
                <w:sz w:val="20"/>
                <w:szCs w:val="20"/>
                <w:color w:val="auto"/>
              </w:rPr>
            </w:pPr>
            <w:r>
              <w:rPr>
                <w:rFonts w:ascii="Arial" w:cs="Arial" w:eastAsia="Arial" w:hAnsi="Arial"/>
                <w:sz w:val="10"/>
                <w:szCs w:val="10"/>
                <w:b w:val="1"/>
                <w:bCs w:val="1"/>
                <w:color w:val="auto"/>
              </w:rPr>
              <w:t>Targets  Outcomes / Tracking Effectiveness</w:t>
            </w:r>
          </w:p>
        </w:tc>
        <w:tc>
          <w:tcPr>
            <w:tcW w:w="1840" w:type="dxa"/>
            <w:vAlign w:val="bottom"/>
            <w:tcBorders>
              <w:top w:val="single" w:sz="8" w:color="0057CF"/>
            </w:tcBorders>
          </w:tcPr>
          <w:p>
            <w:pPr>
              <w:ind w:left="840"/>
              <w:spacing w:after="0" w:line="95" w:lineRule="exact"/>
              <w:rPr>
                <w:sz w:val="20"/>
                <w:szCs w:val="20"/>
                <w:color w:val="auto"/>
              </w:rPr>
            </w:pPr>
            <w:r>
              <w:rPr>
                <w:rFonts w:ascii="Arial" w:cs="Arial" w:eastAsia="Arial" w:hAnsi="Arial"/>
                <w:sz w:val="10"/>
                <w:szCs w:val="10"/>
                <w:b w:val="1"/>
                <w:bCs w:val="1"/>
                <w:color w:val="auto"/>
              </w:rPr>
              <w:t>Stakeholder</w:t>
            </w:r>
          </w:p>
        </w:tc>
      </w:tr>
      <w:tr>
        <w:trPr>
          <w:trHeight w:val="128"/>
        </w:trPr>
        <w:tc>
          <w:tcPr>
            <w:tcW w:w="4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0"/>
                <w:szCs w:val="10"/>
                <w:b w:val="1"/>
                <w:bCs w:val="1"/>
                <w:color w:val="auto"/>
              </w:rPr>
              <w:t>Involvement</w:t>
            </w:r>
          </w:p>
        </w:tc>
      </w:tr>
    </w:tbl>
    <w:p>
      <w:pPr>
        <w:spacing w:after="0" w:line="3" w:lineRule="exact"/>
        <w:rPr>
          <w:rFonts w:ascii="Arial" w:cs="Arial" w:eastAsia="Arial" w:hAnsi="Arial"/>
          <w:sz w:val="10"/>
          <w:szCs w:val="10"/>
          <w:b w:val="1"/>
          <w:bCs w:val="1"/>
          <w:color w:val="auto"/>
        </w:rPr>
      </w:pPr>
    </w:p>
    <w:p>
      <w:pPr>
        <w:sectPr>
          <w:pgSz w:w="11900" w:h="16840" w:orient="portrait"/>
          <w:cols w:equalWidth="0" w:num="1">
            <w:col w:w="9840"/>
          </w:cols>
          <w:pgMar w:left="640" w:top="571" w:right="1420" w:bottom="1440" w:gutter="0" w:footer="0" w:header="0"/>
          <w:type w:val="continuous"/>
        </w:sectPr>
      </w:pPr>
    </w:p>
    <w:tbl>
      <w:tblPr>
        <w:tblLayout w:type="fixed"/>
        <w:tblInd w:w="20" w:type="dxa"/>
        <w:tblCellMar>
          <w:top w:w="0" w:type="dxa"/>
          <w:left w:w="0" w:type="dxa"/>
          <w:bottom w:w="0" w:type="dxa"/>
          <w:right w:w="0" w:type="dxa"/>
        </w:tblCellMar>
      </w:tblPr>
      <w:tr>
        <w:trPr>
          <w:trHeight w:val="115"/>
        </w:trPr>
        <w:tc>
          <w:tcPr>
            <w:tcW w:w="560" w:type="dxa"/>
            <w:vAlign w:val="bottom"/>
          </w:tcPr>
          <w:p>
            <w:pPr>
              <w:spacing w:after="0"/>
              <w:rPr>
                <w:sz w:val="20"/>
                <w:szCs w:val="20"/>
                <w:color w:val="auto"/>
              </w:rPr>
            </w:pPr>
            <w:r>
              <w:rPr>
                <w:rFonts w:ascii="Arial" w:cs="Arial" w:eastAsia="Arial" w:hAnsi="Arial"/>
                <w:sz w:val="10"/>
                <w:szCs w:val="10"/>
                <w:color w:val="auto"/>
              </w:rPr>
              <w:t>Patient</w:t>
            </w:r>
          </w:p>
        </w:tc>
        <w:tc>
          <w:tcPr>
            <w:tcW w:w="4540" w:type="dxa"/>
            <w:vAlign w:val="bottom"/>
          </w:tcPr>
          <w:p>
            <w:pPr>
              <w:ind w:left="80"/>
              <w:spacing w:after="0"/>
              <w:rPr>
                <w:sz w:val="20"/>
                <w:szCs w:val="20"/>
                <w:color w:val="auto"/>
              </w:rPr>
            </w:pPr>
            <w:r>
              <w:rPr>
                <w:rFonts w:ascii="Arial" w:cs="Arial" w:eastAsia="Arial" w:hAnsi="Arial"/>
                <w:sz w:val="10"/>
                <w:szCs w:val="10"/>
                <w:b w:val="1"/>
                <w:bCs w:val="1"/>
                <w:color w:val="auto"/>
              </w:rPr>
              <w:t xml:space="preserve">US Patient Advisory Council: </w:t>
            </w:r>
            <w:r>
              <w:rPr>
                <w:rFonts w:ascii="Arial" w:cs="Arial" w:eastAsia="Arial" w:hAnsi="Arial"/>
                <w:sz w:val="10"/>
                <w:szCs w:val="10"/>
                <w:color w:val="auto"/>
              </w:rPr>
              <w:t>Met multiple times during the year with discussions focused on</w:t>
            </w:r>
          </w:p>
        </w:tc>
        <w:tc>
          <w:tcPr>
            <w:tcW w:w="240" w:type="dxa"/>
            <w:vAlign w:val="bottom"/>
          </w:tcPr>
          <w:p>
            <w:pPr>
              <w:spacing w:after="0"/>
              <w:rPr>
                <w:sz w:val="20"/>
                <w:szCs w:val="20"/>
                <w:color w:val="auto"/>
              </w:rPr>
            </w:pPr>
            <w:r>
              <w:rPr>
                <w:rFonts w:ascii="Arial" w:cs="Arial" w:eastAsia="Arial" w:hAnsi="Arial"/>
                <w:sz w:val="10"/>
                <w:szCs w:val="10"/>
                <w:color w:val="auto"/>
                <w:w w:val="91"/>
              </w:rPr>
              <w:t>None</w:t>
            </w:r>
          </w:p>
        </w:tc>
      </w:tr>
      <w:tr>
        <w:trPr>
          <w:trHeight w:val="137"/>
        </w:trPr>
        <w:tc>
          <w:tcPr>
            <w:tcW w:w="560" w:type="dxa"/>
            <w:vAlign w:val="bottom"/>
          </w:tcPr>
          <w:p>
            <w:pPr>
              <w:spacing w:after="0"/>
              <w:rPr>
                <w:sz w:val="20"/>
                <w:szCs w:val="20"/>
                <w:color w:val="auto"/>
              </w:rPr>
            </w:pPr>
            <w:r>
              <w:rPr>
                <w:rFonts w:ascii="Arial" w:cs="Arial" w:eastAsia="Arial" w:hAnsi="Arial"/>
                <w:sz w:val="10"/>
                <w:szCs w:val="10"/>
                <w:color w:val="auto"/>
              </w:rPr>
              <w:t>voice</w:t>
            </w:r>
          </w:p>
        </w:tc>
        <w:tc>
          <w:tcPr>
            <w:tcW w:w="4540" w:type="dxa"/>
            <w:vAlign w:val="bottom"/>
          </w:tcPr>
          <w:p>
            <w:pPr>
              <w:ind w:left="80"/>
              <w:spacing w:after="0"/>
              <w:rPr>
                <w:sz w:val="20"/>
                <w:szCs w:val="20"/>
                <w:color w:val="auto"/>
              </w:rPr>
            </w:pPr>
            <w:r>
              <w:rPr>
                <w:rFonts w:ascii="Arial" w:cs="Arial" w:eastAsia="Arial" w:hAnsi="Arial"/>
                <w:sz w:val="10"/>
                <w:szCs w:val="10"/>
                <w:color w:val="auto"/>
              </w:rPr>
              <w:t>feedback for patient-facing content (brand messaging, Medical Information resources, and digital</w:t>
            </w:r>
          </w:p>
        </w:tc>
        <w:tc>
          <w:tcPr>
            <w:tcW w:w="240" w:type="dxa"/>
            <w:vAlign w:val="bottom"/>
          </w:tcPr>
          <w:p>
            <w:pPr>
              <w:spacing w:after="0"/>
              <w:rPr>
                <w:sz w:val="11"/>
                <w:szCs w:val="11"/>
                <w:color w:val="auto"/>
              </w:rPr>
            </w:pPr>
          </w:p>
        </w:tc>
      </w:tr>
      <w:tr>
        <w:trPr>
          <w:trHeight w:val="149"/>
        </w:trPr>
        <w:tc>
          <w:tcPr>
            <w:tcW w:w="560" w:type="dxa"/>
            <w:vAlign w:val="bottom"/>
          </w:tcPr>
          <w:p>
            <w:pPr>
              <w:spacing w:after="0"/>
              <w:rPr>
                <w:sz w:val="12"/>
                <w:szCs w:val="12"/>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communications), reviewing three clinical-trial lay summaries, and two unbranded resource</w:t>
            </w:r>
          </w:p>
        </w:tc>
        <w:tc>
          <w:tcPr>
            <w:tcW w:w="240" w:type="dxa"/>
            <w:vAlign w:val="bottom"/>
          </w:tcPr>
          <w:p>
            <w:pPr>
              <w:spacing w:after="0"/>
              <w:rPr>
                <w:sz w:val="12"/>
                <w:szCs w:val="12"/>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flashcards (hematology and gynecologic cancers). Members represented diverse tumor types,</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age groups, geographies, and socioeconomic backgrounds.</w:t>
            </w:r>
          </w:p>
        </w:tc>
        <w:tc>
          <w:tcPr>
            <w:tcW w:w="240" w:type="dxa"/>
            <w:vAlign w:val="bottom"/>
          </w:tcPr>
          <w:p>
            <w:pPr>
              <w:spacing w:after="0"/>
              <w:rPr>
                <w:sz w:val="8"/>
                <w:szCs w:val="8"/>
                <w:color w:val="auto"/>
              </w:rPr>
            </w:pPr>
          </w:p>
        </w:tc>
      </w:tr>
      <w:tr>
        <w:trPr>
          <w:trHeight w:val="143"/>
        </w:trPr>
        <w:tc>
          <w:tcPr>
            <w:tcW w:w="560" w:type="dxa"/>
            <w:vAlign w:val="bottom"/>
          </w:tcPr>
          <w:p>
            <w:pPr>
              <w:spacing w:after="0"/>
              <w:rPr>
                <w:sz w:val="12"/>
                <w:szCs w:val="12"/>
                <w:color w:val="auto"/>
              </w:rPr>
            </w:pPr>
          </w:p>
        </w:tc>
        <w:tc>
          <w:tcPr>
            <w:tcW w:w="4540" w:type="dxa"/>
            <w:vAlign w:val="bottom"/>
          </w:tcPr>
          <w:p>
            <w:pPr>
              <w:ind w:left="80"/>
              <w:spacing w:after="0"/>
              <w:rPr>
                <w:sz w:val="20"/>
                <w:szCs w:val="20"/>
                <w:color w:val="auto"/>
              </w:rPr>
            </w:pPr>
            <w:r>
              <w:rPr>
                <w:rFonts w:ascii="Arial" w:cs="Arial" w:eastAsia="Arial" w:hAnsi="Arial"/>
                <w:sz w:val="10"/>
                <w:szCs w:val="10"/>
                <w:b w:val="1"/>
                <w:bCs w:val="1"/>
                <w:color w:val="auto"/>
              </w:rPr>
              <w:t xml:space="preserve">European Patient Advocate Advisory Council: </w:t>
            </w:r>
            <w:r>
              <w:rPr>
                <w:rFonts w:ascii="Arial" w:cs="Arial" w:eastAsia="Arial" w:hAnsi="Arial"/>
                <w:sz w:val="10"/>
                <w:szCs w:val="10"/>
                <w:color w:val="auto"/>
              </w:rPr>
              <w:t>Launched in late 2025 as a complement to the</w:t>
            </w:r>
          </w:p>
        </w:tc>
        <w:tc>
          <w:tcPr>
            <w:tcW w:w="240" w:type="dxa"/>
            <w:vAlign w:val="bottom"/>
          </w:tcPr>
          <w:p>
            <w:pPr>
              <w:spacing w:after="0"/>
              <w:rPr>
                <w:sz w:val="12"/>
                <w:szCs w:val="12"/>
                <w:color w:val="auto"/>
              </w:rPr>
            </w:pPr>
          </w:p>
        </w:tc>
      </w:tr>
      <w:tr>
        <w:trPr>
          <w:trHeight w:val="143"/>
        </w:trPr>
        <w:tc>
          <w:tcPr>
            <w:tcW w:w="560" w:type="dxa"/>
            <w:vAlign w:val="bottom"/>
          </w:tcPr>
          <w:p>
            <w:pPr>
              <w:spacing w:after="0"/>
              <w:rPr>
                <w:sz w:val="12"/>
                <w:szCs w:val="12"/>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U.S. patient council, met twice and reviewed a clinical trial lay summary, offering culturally releva</w:t>
            </w:r>
          </w:p>
        </w:tc>
        <w:tc>
          <w:tcPr>
            <w:tcW w:w="240" w:type="dxa"/>
            <w:vAlign w:val="bottom"/>
          </w:tcPr>
          <w:p>
            <w:pPr>
              <w:spacing w:after="0"/>
              <w:rPr>
                <w:sz w:val="12"/>
                <w:szCs w:val="12"/>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nt</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insights that shaped the document.</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 xml:space="preserve">Fourth annual Science Day: </w:t>
            </w:r>
            <w:r>
              <w:rPr>
                <w:rFonts w:ascii="Arial" w:cs="Arial" w:eastAsia="Arial" w:hAnsi="Arial"/>
                <w:sz w:val="10"/>
                <w:szCs w:val="10"/>
                <w:color w:val="auto"/>
              </w:rPr>
              <w:t>Convened leaders and patient advisors for collaborative scientific</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discussions on health literacy, regulatory policy, care partner support, and education needs for</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hematologic and gynecologic cancers. The event produced actionable insights that are shaping</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patient engagement, education, and plain language communications.</w:t>
            </w:r>
          </w:p>
        </w:tc>
        <w:tc>
          <w:tcPr>
            <w:tcW w:w="240" w:type="dxa"/>
            <w:vAlign w:val="bottom"/>
          </w:tcPr>
          <w:p>
            <w:pPr>
              <w:spacing w:after="0"/>
              <w:rPr>
                <w:sz w:val="8"/>
                <w:szCs w:val="8"/>
                <w:color w:val="auto"/>
              </w:rPr>
            </w:pPr>
          </w:p>
        </w:tc>
      </w:tr>
      <w:tr>
        <w:trPr>
          <w:trHeight w:val="143"/>
        </w:trPr>
        <w:tc>
          <w:tcPr>
            <w:tcW w:w="560" w:type="dxa"/>
            <w:vAlign w:val="bottom"/>
          </w:tcPr>
          <w:p>
            <w:pPr>
              <w:spacing w:after="0"/>
              <w:rPr>
                <w:sz w:val="12"/>
                <w:szCs w:val="12"/>
                <w:color w:val="auto"/>
              </w:rPr>
            </w:pPr>
          </w:p>
        </w:tc>
        <w:tc>
          <w:tcPr>
            <w:tcW w:w="4540" w:type="dxa"/>
            <w:vAlign w:val="bottom"/>
          </w:tcPr>
          <w:p>
            <w:pPr>
              <w:ind w:left="80"/>
              <w:spacing w:after="0"/>
              <w:rPr>
                <w:sz w:val="20"/>
                <w:szCs w:val="20"/>
                <w:color w:val="auto"/>
              </w:rPr>
            </w:pPr>
            <w:r>
              <w:rPr>
                <w:rFonts w:ascii="Arial" w:cs="Arial" w:eastAsia="Arial" w:hAnsi="Arial"/>
                <w:sz w:val="10"/>
                <w:szCs w:val="10"/>
                <w:b w:val="1"/>
                <w:bCs w:val="1"/>
                <w:color w:val="auto"/>
              </w:rPr>
              <w:t xml:space="preserve">MyNavCare Patient Support: </w:t>
            </w:r>
            <w:r>
              <w:rPr>
                <w:rFonts w:ascii="Arial" w:cs="Arial" w:eastAsia="Arial" w:hAnsi="Arial"/>
                <w:sz w:val="10"/>
                <w:szCs w:val="10"/>
                <w:color w:val="auto"/>
              </w:rPr>
              <w:t>Provided direct assistance to patients following the U.S. launch of</w:t>
            </w:r>
          </w:p>
        </w:tc>
        <w:tc>
          <w:tcPr>
            <w:tcW w:w="240" w:type="dxa"/>
            <w:vAlign w:val="bottom"/>
          </w:tcPr>
          <w:p>
            <w:pPr>
              <w:spacing w:after="0"/>
              <w:rPr>
                <w:sz w:val="12"/>
                <w:szCs w:val="12"/>
                <w:color w:val="auto"/>
              </w:rPr>
            </w:pPr>
          </w:p>
        </w:tc>
      </w:tr>
      <w:tr>
        <w:trPr>
          <w:trHeight w:val="143"/>
        </w:trPr>
        <w:tc>
          <w:tcPr>
            <w:tcW w:w="560" w:type="dxa"/>
            <w:vAlign w:val="bottom"/>
          </w:tcPr>
          <w:p>
            <w:pPr>
              <w:spacing w:after="0"/>
              <w:rPr>
                <w:sz w:val="12"/>
                <w:szCs w:val="12"/>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EPKINLY, ensuring rapid and sustainable access to therapy. Patients and care partners receive</w:t>
            </w:r>
          </w:p>
        </w:tc>
        <w:tc>
          <w:tcPr>
            <w:tcW w:w="240" w:type="dxa"/>
            <w:vAlign w:val="bottom"/>
          </w:tcPr>
          <w:p>
            <w:pPr>
              <w:spacing w:after="0"/>
              <w:rPr>
                <w:sz w:val="12"/>
                <w:szCs w:val="12"/>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d</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780" w:type="dxa"/>
            <w:vAlign w:val="bottom"/>
            <w:gridSpan w:val="2"/>
          </w:tcPr>
          <w:p>
            <w:pPr>
              <w:ind w:left="80"/>
              <w:spacing w:after="0" w:line="95" w:lineRule="exact"/>
              <w:rPr>
                <w:sz w:val="20"/>
                <w:szCs w:val="20"/>
                <w:color w:val="auto"/>
              </w:rPr>
            </w:pPr>
            <w:r>
              <w:rPr>
                <w:rFonts w:ascii="Arial" w:cs="Arial" w:eastAsia="Arial" w:hAnsi="Arial"/>
                <w:sz w:val="10"/>
                <w:szCs w:val="10"/>
                <w:color w:val="auto"/>
              </w:rPr>
              <w:t>support through case management, insurance navigation, and financial assistance, while healthc</w:t>
            </w: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are</w:t>
            </w:r>
          </w:p>
        </w:tc>
        <w:tc>
          <w:tcPr>
            <w:tcW w:w="240" w:type="dxa"/>
            <w:vAlign w:val="bottom"/>
          </w:tcPr>
          <w:p>
            <w:pPr>
              <w:spacing w:after="0"/>
              <w:rPr>
                <w:sz w:val="8"/>
                <w:szCs w:val="8"/>
                <w:color w:val="auto"/>
              </w:rPr>
            </w:pPr>
          </w:p>
        </w:tc>
      </w:tr>
      <w:tr>
        <w:trPr>
          <w:trHeight w:val="137"/>
        </w:trPr>
        <w:tc>
          <w:tcPr>
            <w:tcW w:w="560" w:type="dxa"/>
            <w:vAlign w:val="bottom"/>
          </w:tcPr>
          <w:p>
            <w:pPr>
              <w:spacing w:after="0"/>
              <w:rPr>
                <w:sz w:val="11"/>
                <w:szCs w:val="11"/>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providers (HCPs) were supported with reimbursement education, billing guidance, and coverage</w:t>
            </w:r>
          </w:p>
        </w:tc>
        <w:tc>
          <w:tcPr>
            <w:tcW w:w="240" w:type="dxa"/>
            <w:vAlign w:val="bottom"/>
          </w:tcPr>
          <w:p>
            <w:pPr>
              <w:spacing w:after="0"/>
              <w:rPr>
                <w:sz w:val="11"/>
                <w:szCs w:val="11"/>
                <w:color w:val="auto"/>
              </w:rPr>
            </w:pPr>
          </w:p>
        </w:tc>
      </w:tr>
      <w:tr>
        <w:trPr>
          <w:trHeight w:val="149"/>
        </w:trPr>
        <w:tc>
          <w:tcPr>
            <w:tcW w:w="560" w:type="dxa"/>
            <w:vAlign w:val="bottom"/>
          </w:tcPr>
          <w:p>
            <w:pPr>
              <w:spacing w:after="0"/>
              <w:rPr>
                <w:sz w:val="12"/>
                <w:szCs w:val="12"/>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information.</w:t>
            </w:r>
          </w:p>
        </w:tc>
        <w:tc>
          <w:tcPr>
            <w:tcW w:w="240" w:type="dxa"/>
            <w:vAlign w:val="bottom"/>
          </w:tcPr>
          <w:p>
            <w:pPr>
              <w:spacing w:after="0"/>
              <w:rPr>
                <w:sz w:val="12"/>
                <w:szCs w:val="12"/>
                <w:color w:val="auto"/>
              </w:rPr>
            </w:pPr>
          </w:p>
        </w:tc>
      </w:tr>
      <w:tr>
        <w:trPr>
          <w:trHeight w:val="143"/>
        </w:trPr>
        <w:tc>
          <w:tcPr>
            <w:tcW w:w="560" w:type="dxa"/>
            <w:vAlign w:val="bottom"/>
          </w:tcPr>
          <w:p>
            <w:pPr>
              <w:spacing w:after="0"/>
              <w:rPr>
                <w:sz w:val="12"/>
                <w:szCs w:val="12"/>
                <w:color w:val="auto"/>
              </w:rPr>
            </w:pPr>
          </w:p>
        </w:tc>
        <w:tc>
          <w:tcPr>
            <w:tcW w:w="4540" w:type="dxa"/>
            <w:vAlign w:val="bottom"/>
          </w:tcPr>
          <w:p>
            <w:pPr>
              <w:ind w:left="80"/>
              <w:spacing w:after="0"/>
              <w:rPr>
                <w:sz w:val="20"/>
                <w:szCs w:val="20"/>
                <w:color w:val="auto"/>
              </w:rPr>
            </w:pPr>
            <w:r>
              <w:rPr>
                <w:rFonts w:ascii="Arial" w:cs="Arial" w:eastAsia="Arial" w:hAnsi="Arial"/>
                <w:sz w:val="10"/>
                <w:szCs w:val="10"/>
                <w:b w:val="1"/>
                <w:bCs w:val="1"/>
                <w:color w:val="auto"/>
              </w:rPr>
              <w:t xml:space="preserve">Patient Assistance Program: </w:t>
            </w:r>
            <w:r>
              <w:rPr>
                <w:rFonts w:ascii="Arial" w:cs="Arial" w:eastAsia="Arial" w:hAnsi="Arial"/>
                <w:sz w:val="10"/>
                <w:szCs w:val="10"/>
                <w:color w:val="auto"/>
              </w:rPr>
              <w:t>Facilitated access for eligible uninsured or underinsured patients,</w:t>
            </w:r>
          </w:p>
        </w:tc>
        <w:tc>
          <w:tcPr>
            <w:tcW w:w="240" w:type="dxa"/>
            <w:vAlign w:val="bottom"/>
          </w:tcPr>
          <w:p>
            <w:pPr>
              <w:spacing w:after="0"/>
              <w:rPr>
                <w:sz w:val="12"/>
                <w:szCs w:val="12"/>
                <w:color w:val="auto"/>
              </w:rPr>
            </w:pPr>
          </w:p>
        </w:tc>
      </w:tr>
      <w:tr>
        <w:trPr>
          <w:trHeight w:val="152"/>
        </w:trPr>
        <w:tc>
          <w:tcPr>
            <w:tcW w:w="560" w:type="dxa"/>
            <w:vAlign w:val="bottom"/>
          </w:tcPr>
          <w:p>
            <w:pPr>
              <w:spacing w:after="0"/>
              <w:rPr>
                <w:sz w:val="13"/>
                <w:szCs w:val="13"/>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reducing administrative burdens and ensuring timely support.</w:t>
            </w:r>
          </w:p>
        </w:tc>
        <w:tc>
          <w:tcPr>
            <w:tcW w:w="240" w:type="dxa"/>
            <w:vAlign w:val="bottom"/>
          </w:tcPr>
          <w:p>
            <w:pPr>
              <w:spacing w:after="0"/>
              <w:rPr>
                <w:sz w:val="13"/>
                <w:szCs w:val="13"/>
                <w:color w:val="auto"/>
              </w:rPr>
            </w:pPr>
          </w:p>
        </w:tc>
      </w:tr>
      <w:tr>
        <w:trPr>
          <w:trHeight w:val="105"/>
        </w:trPr>
        <w:tc>
          <w:tcPr>
            <w:tcW w:w="560" w:type="dxa"/>
            <w:vAlign w:val="bottom"/>
          </w:tcPr>
          <w:p>
            <w:pPr>
              <w:spacing w:after="0" w:line="105" w:lineRule="exact"/>
              <w:rPr>
                <w:sz w:val="20"/>
                <w:szCs w:val="20"/>
                <w:color w:val="auto"/>
              </w:rPr>
            </w:pPr>
            <w:r>
              <w:rPr>
                <w:rFonts w:ascii="Arial" w:cs="Arial" w:eastAsia="Arial" w:hAnsi="Arial"/>
                <w:sz w:val="10"/>
                <w:szCs w:val="10"/>
                <w:color w:val="auto"/>
              </w:rPr>
              <w:t>Health and</w:t>
            </w:r>
          </w:p>
        </w:tc>
        <w:tc>
          <w:tcPr>
            <w:tcW w:w="4540" w:type="dxa"/>
            <w:vAlign w:val="bottom"/>
          </w:tcPr>
          <w:p>
            <w:pPr>
              <w:ind w:left="80"/>
              <w:spacing w:after="0" w:line="105" w:lineRule="exact"/>
              <w:rPr>
                <w:sz w:val="20"/>
                <w:szCs w:val="20"/>
                <w:color w:val="auto"/>
              </w:rPr>
            </w:pPr>
            <w:r>
              <w:rPr>
                <w:rFonts w:ascii="Arial" w:cs="Arial" w:eastAsia="Arial" w:hAnsi="Arial"/>
                <w:sz w:val="10"/>
                <w:szCs w:val="10"/>
                <w:b w:val="1"/>
                <w:bCs w:val="1"/>
                <w:color w:val="auto"/>
              </w:rPr>
              <w:t xml:space="preserve">Training: </w:t>
            </w:r>
            <w:r>
              <w:rPr>
                <w:rFonts w:ascii="Arial" w:cs="Arial" w:eastAsia="Arial" w:hAnsi="Arial"/>
                <w:sz w:val="10"/>
                <w:szCs w:val="10"/>
                <w:color w:val="auto"/>
              </w:rPr>
              <w:t>Provided annual training programs on pharmacovigilance for global drug safety and</w:t>
            </w:r>
          </w:p>
        </w:tc>
        <w:tc>
          <w:tcPr>
            <w:tcW w:w="240" w:type="dxa"/>
            <w:vAlign w:val="bottom"/>
          </w:tcPr>
          <w:p>
            <w:pPr>
              <w:spacing w:after="0" w:line="105" w:lineRule="exact"/>
              <w:rPr>
                <w:sz w:val="20"/>
                <w:szCs w:val="20"/>
                <w:color w:val="auto"/>
              </w:rPr>
            </w:pPr>
            <w:r>
              <w:rPr>
                <w:rFonts w:ascii="Arial" w:cs="Arial" w:eastAsia="Arial" w:hAnsi="Arial"/>
                <w:sz w:val="10"/>
                <w:szCs w:val="10"/>
                <w:color w:val="auto"/>
                <w:w w:val="91"/>
              </w:rPr>
              <w:t>None</w:t>
            </w:r>
          </w:p>
        </w:tc>
      </w:tr>
      <w:tr>
        <w:trPr>
          <w:trHeight w:val="95"/>
        </w:trPr>
        <w:tc>
          <w:tcPr>
            <w:tcW w:w="560" w:type="dxa"/>
            <w:vAlign w:val="bottom"/>
          </w:tcPr>
          <w:p>
            <w:pPr>
              <w:spacing w:after="0" w:line="95" w:lineRule="exact"/>
              <w:rPr>
                <w:sz w:val="20"/>
                <w:szCs w:val="20"/>
                <w:color w:val="auto"/>
              </w:rPr>
            </w:pPr>
            <w:r>
              <w:rPr>
                <w:rFonts w:ascii="Arial" w:cs="Arial" w:eastAsia="Arial" w:hAnsi="Arial"/>
                <w:sz w:val="10"/>
                <w:szCs w:val="10"/>
                <w:color w:val="auto"/>
              </w:rPr>
              <w:t>safety of</w:t>
            </w: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pharmacovigilance (GDS&amp;PV) staff, including regular updates and assessments to ensure</w:t>
            </w:r>
          </w:p>
        </w:tc>
        <w:tc>
          <w:tcPr>
            <w:tcW w:w="240" w:type="dxa"/>
            <w:vAlign w:val="bottom"/>
          </w:tcPr>
          <w:p>
            <w:pPr>
              <w:spacing w:after="0"/>
              <w:rPr>
                <w:sz w:val="8"/>
                <w:szCs w:val="8"/>
                <w:color w:val="auto"/>
              </w:rPr>
            </w:pPr>
          </w:p>
        </w:tc>
      </w:tr>
      <w:tr>
        <w:trPr>
          <w:trHeight w:val="95"/>
        </w:trPr>
        <w:tc>
          <w:tcPr>
            <w:tcW w:w="560" w:type="dxa"/>
            <w:vAlign w:val="bottom"/>
          </w:tcPr>
          <w:p>
            <w:pPr>
              <w:spacing w:after="0" w:line="95" w:lineRule="exact"/>
              <w:rPr>
                <w:sz w:val="20"/>
                <w:szCs w:val="20"/>
                <w:color w:val="auto"/>
              </w:rPr>
            </w:pPr>
            <w:r>
              <w:rPr>
                <w:rFonts w:ascii="Arial" w:cs="Arial" w:eastAsia="Arial" w:hAnsi="Arial"/>
                <w:sz w:val="10"/>
                <w:szCs w:val="10"/>
                <w:color w:val="auto"/>
              </w:rPr>
              <w:t>patients</w:t>
            </w: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continuous learning and compliance with the latest regulations. Also, Genmab developed and</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distributed educational materials on safety requirements to stakeholders and organized worksho</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ps to</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enhance their understanding and implementation of safety protocols. These actions are linked to</w:t>
            </w:r>
          </w:p>
        </w:tc>
        <w:tc>
          <w:tcPr>
            <w:tcW w:w="240" w:type="dxa"/>
            <w:vAlign w:val="bottom"/>
          </w:tcPr>
          <w:p>
            <w:pPr>
              <w:spacing w:after="0"/>
              <w:rPr>
                <w:sz w:val="8"/>
                <w:szCs w:val="8"/>
                <w:color w:val="auto"/>
              </w:rPr>
            </w:pPr>
          </w:p>
        </w:tc>
      </w:tr>
      <w:tr>
        <w:trPr>
          <w:trHeight w:val="95"/>
        </w:trPr>
        <w:tc>
          <w:tcPr>
            <w:tcW w:w="560" w:type="dxa"/>
            <w:vAlign w:val="bottom"/>
          </w:tcPr>
          <w:p>
            <w:pPr>
              <w:spacing w:after="0"/>
              <w:rPr>
                <w:sz w:val="8"/>
                <w:szCs w:val="8"/>
                <w:color w:val="auto"/>
              </w:rPr>
            </w:pPr>
          </w:p>
        </w:tc>
        <w:tc>
          <w:tcPr>
            <w:tcW w:w="4540" w:type="dxa"/>
            <w:vAlign w:val="bottom"/>
          </w:tcPr>
          <w:p>
            <w:pPr>
              <w:ind w:left="80"/>
              <w:spacing w:after="0" w:line="95" w:lineRule="exact"/>
              <w:rPr>
                <w:sz w:val="20"/>
                <w:szCs w:val="20"/>
                <w:color w:val="auto"/>
              </w:rPr>
            </w:pPr>
            <w:r>
              <w:rPr>
                <w:rFonts w:ascii="Arial" w:cs="Arial" w:eastAsia="Arial" w:hAnsi="Arial"/>
                <w:sz w:val="10"/>
                <w:szCs w:val="10"/>
                <w:color w:val="auto"/>
              </w:rPr>
              <w:t>the</w:t>
            </w:r>
          </w:p>
        </w:tc>
        <w:tc>
          <w:tcPr>
            <w:tcW w:w="240" w:type="dxa"/>
            <w:vAlign w:val="bottom"/>
          </w:tcPr>
          <w:p>
            <w:pPr>
              <w:spacing w:after="0"/>
              <w:rPr>
                <w:sz w:val="8"/>
                <w:szCs w:val="8"/>
                <w:color w:val="auto"/>
              </w:rPr>
            </w:pPr>
          </w:p>
        </w:tc>
      </w:tr>
      <w:tr>
        <w:trPr>
          <w:trHeight w:val="137"/>
        </w:trPr>
        <w:tc>
          <w:tcPr>
            <w:tcW w:w="560" w:type="dxa"/>
            <w:vAlign w:val="bottom"/>
          </w:tcPr>
          <w:p>
            <w:pPr>
              <w:spacing w:after="0"/>
              <w:rPr>
                <w:sz w:val="11"/>
                <w:szCs w:val="11"/>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personal safety and information of consumers and end-users.</w:t>
            </w:r>
          </w:p>
        </w:tc>
        <w:tc>
          <w:tcPr>
            <w:tcW w:w="240" w:type="dxa"/>
            <w:vAlign w:val="bottom"/>
          </w:tcPr>
          <w:p>
            <w:pPr>
              <w:spacing w:after="0"/>
              <w:rPr>
                <w:sz w:val="11"/>
                <w:szCs w:val="1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line="1" w:lineRule="exact"/>
        <w:rPr>
          <w:rFonts w:ascii="Arial" w:cs="Arial" w:eastAsia="Arial" w:hAnsi="Arial"/>
          <w:sz w:val="1"/>
          <w:szCs w:val="1"/>
          <w:b w:val="1"/>
          <w:bCs w:val="1"/>
          <w:color w:val="auto"/>
        </w:rPr>
      </w:pPr>
    </w:p>
    <w:tbl>
      <w:tblPr>
        <w:tblLayout w:type="fixed"/>
        <w:tblInd w:w="0" w:type="dxa"/>
        <w:tblCellMar>
          <w:top w:w="0" w:type="dxa"/>
          <w:left w:w="0" w:type="dxa"/>
          <w:bottom w:w="0" w:type="dxa"/>
          <w:right w:w="0" w:type="dxa"/>
        </w:tblCellMar>
      </w:tblPr>
      <w:tr>
        <w:trPr>
          <w:trHeight w:val="115"/>
        </w:trPr>
        <w:tc>
          <w:tcPr>
            <w:tcW w:w="3280" w:type="dxa"/>
            <w:vAlign w:val="bottom"/>
          </w:tcPr>
          <w:p>
            <w:pPr>
              <w:spacing w:after="0"/>
              <w:rPr>
                <w:sz w:val="20"/>
                <w:szCs w:val="20"/>
                <w:color w:val="auto"/>
              </w:rPr>
            </w:pPr>
            <w:r>
              <w:rPr>
                <w:rFonts w:ascii="Arial" w:cs="Arial" w:eastAsia="Arial" w:hAnsi="Arial"/>
                <w:sz w:val="10"/>
                <w:szCs w:val="10"/>
                <w:color w:val="auto"/>
              </w:rPr>
              <w:t>The effectiveness of these patient engagement programs is tracked vi</w:t>
            </w:r>
          </w:p>
        </w:tc>
        <w:tc>
          <w:tcPr>
            <w:tcW w:w="980" w:type="dxa"/>
            <w:vAlign w:val="bottom"/>
          </w:tcPr>
          <w:p>
            <w:pPr>
              <w:spacing w:after="0"/>
              <w:rPr>
                <w:sz w:val="20"/>
                <w:szCs w:val="20"/>
                <w:color w:val="auto"/>
              </w:rPr>
            </w:pPr>
            <w:r>
              <w:rPr>
                <w:rFonts w:ascii="Arial" w:cs="Arial" w:eastAsia="Arial" w:hAnsi="Arial"/>
                <w:sz w:val="10"/>
                <w:szCs w:val="10"/>
                <w:color w:val="auto"/>
              </w:rPr>
              <w:t>Patient Advocacy</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a</w:t>
            </w:r>
          </w:p>
        </w:tc>
        <w:tc>
          <w:tcPr>
            <w:tcW w:w="980" w:type="dxa"/>
            <w:vAlign w:val="bottom"/>
          </w:tcPr>
          <w:p>
            <w:pPr>
              <w:spacing w:after="0" w:line="95" w:lineRule="exact"/>
              <w:rPr>
                <w:sz w:val="20"/>
                <w:szCs w:val="20"/>
                <w:color w:val="auto"/>
              </w:rPr>
            </w:pPr>
            <w:r>
              <w:rPr>
                <w:rFonts w:ascii="Arial" w:cs="Arial" w:eastAsia="Arial" w:hAnsi="Arial"/>
                <w:sz w:val="10"/>
                <w:szCs w:val="10"/>
                <w:color w:val="auto"/>
              </w:rPr>
              <w:t>team working closely</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regular meetings with our patient advisory council and through schedul</w:t>
            </w:r>
          </w:p>
        </w:tc>
        <w:tc>
          <w:tcPr>
            <w:tcW w:w="980" w:type="dxa"/>
            <w:vAlign w:val="bottom"/>
            <w:vMerge w:val="restart"/>
          </w:tcPr>
          <w:p>
            <w:pPr>
              <w:spacing w:after="0"/>
              <w:rPr>
                <w:sz w:val="20"/>
                <w:szCs w:val="20"/>
                <w:color w:val="auto"/>
              </w:rPr>
            </w:pPr>
            <w:r>
              <w:rPr>
                <w:rFonts w:ascii="Arial" w:cs="Arial" w:eastAsia="Arial" w:hAnsi="Arial"/>
                <w:sz w:val="10"/>
                <w:szCs w:val="10"/>
                <w:color w:val="auto"/>
              </w:rPr>
              <w:t>with the Patient and</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ed</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updates with other internal teams.</w:t>
            </w:r>
          </w:p>
        </w:tc>
        <w:tc>
          <w:tcPr>
            <w:tcW w:w="980" w:type="dxa"/>
            <w:vAlign w:val="bottom"/>
          </w:tcPr>
          <w:p>
            <w:pPr>
              <w:spacing w:after="0" w:line="95" w:lineRule="exact"/>
              <w:rPr>
                <w:sz w:val="20"/>
                <w:szCs w:val="20"/>
                <w:color w:val="auto"/>
              </w:rPr>
            </w:pPr>
            <w:r>
              <w:rPr>
                <w:rFonts w:ascii="Arial" w:cs="Arial" w:eastAsia="Arial" w:hAnsi="Arial"/>
                <w:sz w:val="10"/>
                <w:szCs w:val="10"/>
                <w:color w:val="auto"/>
              </w:rPr>
              <w:t>Study Coordinator</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Under the leadership of the Vice President, U.S. Market Access,</w:t>
            </w:r>
          </w:p>
        </w:tc>
        <w:tc>
          <w:tcPr>
            <w:tcW w:w="980" w:type="dxa"/>
            <w:vAlign w:val="bottom"/>
          </w:tcPr>
          <w:p>
            <w:pPr>
              <w:spacing w:after="0" w:line="95" w:lineRule="exact"/>
              <w:rPr>
                <w:sz w:val="20"/>
                <w:szCs w:val="20"/>
                <w:color w:val="auto"/>
              </w:rPr>
            </w:pPr>
            <w:r>
              <w:rPr>
                <w:rFonts w:ascii="Arial" w:cs="Arial" w:eastAsia="Arial" w:hAnsi="Arial"/>
                <w:sz w:val="10"/>
                <w:szCs w:val="10"/>
                <w:color w:val="auto"/>
              </w:rPr>
              <w:t>Advisory Councils.</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Genmab’s Market Access function oversaw MyNavCare operations,</w:t>
            </w:r>
          </w:p>
        </w:tc>
        <w:tc>
          <w:tcPr>
            <w:tcW w:w="980" w:type="dxa"/>
            <w:vAlign w:val="bottom"/>
          </w:tcPr>
          <w:p>
            <w:pPr>
              <w:spacing w:after="0" w:line="95" w:lineRule="exact"/>
              <w:rPr>
                <w:sz w:val="20"/>
                <w:szCs w:val="20"/>
                <w:color w:val="auto"/>
              </w:rPr>
            </w:pPr>
            <w:r>
              <w:rPr>
                <w:rFonts w:ascii="Arial" w:cs="Arial" w:eastAsia="Arial" w:hAnsi="Arial"/>
                <w:sz w:val="10"/>
                <w:szCs w:val="10"/>
                <w:color w:val="auto"/>
              </w:rPr>
              <w:t>Overseen by the</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with effectiveness tracked through regular cross-functional and leader</w:t>
            </w:r>
          </w:p>
        </w:tc>
        <w:tc>
          <w:tcPr>
            <w:tcW w:w="980" w:type="dxa"/>
            <w:vAlign w:val="bottom"/>
          </w:tcPr>
          <w:p>
            <w:pPr>
              <w:spacing w:after="0" w:line="95" w:lineRule="exact"/>
              <w:rPr>
                <w:sz w:val="20"/>
                <w:szCs w:val="20"/>
                <w:color w:val="auto"/>
              </w:rPr>
            </w:pPr>
            <w:r>
              <w:rPr>
                <w:rFonts w:ascii="Arial" w:cs="Arial" w:eastAsia="Arial" w:hAnsi="Arial"/>
                <w:sz w:val="10"/>
                <w:szCs w:val="10"/>
                <w:color w:val="auto"/>
              </w:rPr>
              <w:t>SVP,</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ship</w:t>
            </w:r>
          </w:p>
        </w:tc>
        <w:tc>
          <w:tcPr>
            <w:tcW w:w="980" w:type="dxa"/>
            <w:vAlign w:val="bottom"/>
          </w:tcPr>
          <w:p>
            <w:pPr>
              <w:spacing w:after="0" w:line="95" w:lineRule="exact"/>
              <w:rPr>
                <w:sz w:val="20"/>
                <w:szCs w:val="20"/>
                <w:color w:val="auto"/>
              </w:rPr>
            </w:pPr>
            <w:r>
              <w:rPr>
                <w:rFonts w:ascii="Arial" w:cs="Arial" w:eastAsia="Arial" w:hAnsi="Arial"/>
                <w:sz w:val="10"/>
                <w:szCs w:val="10"/>
                <w:color w:val="auto"/>
              </w:rPr>
              <w:t>Communications</w:t>
            </w:r>
          </w:p>
        </w:tc>
        <w:tc>
          <w:tcPr>
            <w:tcW w:w="0" w:type="dxa"/>
            <w:vAlign w:val="bottom"/>
          </w:tcPr>
          <w:p>
            <w:pPr>
              <w:spacing w:after="0"/>
              <w:rPr>
                <w:sz w:val="1"/>
                <w:szCs w:val="1"/>
                <w:color w:val="auto"/>
              </w:rPr>
            </w:pPr>
          </w:p>
        </w:tc>
      </w:tr>
      <w:tr>
        <w:trPr>
          <w:trHeight w:val="95"/>
        </w:trPr>
        <w:tc>
          <w:tcPr>
            <w:tcW w:w="3280" w:type="dxa"/>
            <w:vAlign w:val="bottom"/>
          </w:tcPr>
          <w:p>
            <w:pPr>
              <w:spacing w:after="0" w:line="95" w:lineRule="exact"/>
              <w:rPr>
                <w:sz w:val="20"/>
                <w:szCs w:val="20"/>
                <w:color w:val="auto"/>
              </w:rPr>
            </w:pPr>
            <w:r>
              <w:rPr>
                <w:rFonts w:ascii="Arial" w:cs="Arial" w:eastAsia="Arial" w:hAnsi="Arial"/>
                <w:sz w:val="10"/>
                <w:szCs w:val="10"/>
                <w:color w:val="auto"/>
              </w:rPr>
              <w:t>reviews.</w:t>
            </w:r>
          </w:p>
        </w:tc>
        <w:tc>
          <w:tcPr>
            <w:tcW w:w="980" w:type="dxa"/>
            <w:vAlign w:val="bottom"/>
          </w:tcPr>
          <w:p>
            <w:pPr>
              <w:spacing w:after="0" w:line="95" w:lineRule="exact"/>
              <w:rPr>
                <w:sz w:val="20"/>
                <w:szCs w:val="20"/>
                <w:color w:val="auto"/>
              </w:rPr>
            </w:pPr>
            <w:r>
              <w:rPr>
                <w:rFonts w:ascii="Arial" w:cs="Arial" w:eastAsia="Arial" w:hAnsi="Arial"/>
                <w:sz w:val="10"/>
                <w:szCs w:val="10"/>
                <w:color w:val="auto"/>
              </w:rPr>
              <w:t>and Corporate</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980" w:type="dxa"/>
            <w:vAlign w:val="bottom"/>
          </w:tcPr>
          <w:p>
            <w:pPr>
              <w:spacing w:after="0"/>
              <w:rPr>
                <w:sz w:val="20"/>
                <w:szCs w:val="20"/>
                <w:color w:val="auto"/>
              </w:rPr>
            </w:pPr>
            <w:r>
              <w:rPr>
                <w:rFonts w:ascii="Arial" w:cs="Arial" w:eastAsia="Arial" w:hAnsi="Arial"/>
                <w:sz w:val="10"/>
                <w:szCs w:val="10"/>
                <w:color w:val="auto"/>
              </w:rPr>
              <w:t>Affairs.</w:t>
            </w:r>
          </w:p>
        </w:tc>
        <w:tc>
          <w:tcPr>
            <w:tcW w:w="0" w:type="dxa"/>
            <w:vAlign w:val="bottom"/>
          </w:tcPr>
          <w:p>
            <w:pPr>
              <w:spacing w:after="0"/>
              <w:rPr>
                <w:sz w:val="1"/>
                <w:szCs w:val="1"/>
                <w:color w:val="auto"/>
              </w:rPr>
            </w:pPr>
          </w:p>
        </w:tc>
      </w:tr>
    </w:tbl>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81" w:lineRule="exact"/>
        <w:rPr>
          <w:rFonts w:ascii="Arial" w:cs="Arial" w:eastAsia="Arial" w:hAnsi="Arial"/>
          <w:sz w:val="10"/>
          <w:szCs w:val="10"/>
          <w:b w:val="1"/>
          <w:bCs w:val="1"/>
          <w:color w:val="auto"/>
        </w:rPr>
      </w:pPr>
    </w:p>
    <w:p>
      <w:pPr>
        <w:spacing w:after="0"/>
        <w:tabs>
          <w:tab w:leader="none" w:pos="3260" w:val="left"/>
        </w:tabs>
        <w:rPr>
          <w:sz w:val="20"/>
          <w:szCs w:val="20"/>
          <w:color w:val="auto"/>
        </w:rPr>
      </w:pPr>
      <w:r>
        <w:rPr>
          <w:rFonts w:ascii="Arial" w:cs="Arial" w:eastAsia="Arial" w:hAnsi="Arial"/>
          <w:sz w:val="10"/>
          <w:szCs w:val="10"/>
          <w:color w:val="auto"/>
        </w:rPr>
        <w:t>Genmab has safety measures in place for products, patients, and</w:t>
      </w:r>
      <w:r>
        <w:rPr>
          <w:sz w:val="20"/>
          <w:szCs w:val="20"/>
          <w:color w:val="auto"/>
        </w:rPr>
        <w:tab/>
      </w:r>
      <w:r>
        <w:rPr>
          <w:rFonts w:ascii="Arial" w:cs="Arial" w:eastAsia="Arial" w:hAnsi="Arial"/>
          <w:sz w:val="10"/>
          <w:szCs w:val="10"/>
          <w:color w:val="auto"/>
        </w:rPr>
        <w:t>Global Drug Safety</w:t>
      </w:r>
    </w:p>
    <w:p>
      <w:pPr>
        <w:spacing w:after="0" w:line="198" w:lineRule="auto"/>
        <w:rPr>
          <w:sz w:val="20"/>
          <w:szCs w:val="20"/>
          <w:color w:val="auto"/>
        </w:rPr>
      </w:pPr>
      <w:r>
        <w:rPr>
          <w:rFonts w:ascii="Arial" w:cs="Arial" w:eastAsia="Arial" w:hAnsi="Arial"/>
          <w:sz w:val="10"/>
          <w:szCs w:val="10"/>
          <w:color w:val="auto"/>
        </w:rPr>
        <w:t>healthcare providers. Genmab believes that patient safety plays a criti &amp;</w:t>
      </w:r>
    </w:p>
    <w:p>
      <w:pPr>
        <w:spacing w:after="0" w:line="199" w:lineRule="auto"/>
        <w:tabs>
          <w:tab w:leader="none" w:pos="3260" w:val="left"/>
        </w:tabs>
        <w:rPr>
          <w:sz w:val="20"/>
          <w:szCs w:val="20"/>
          <w:color w:val="auto"/>
        </w:rPr>
      </w:pPr>
      <w:r>
        <w:rPr>
          <w:rFonts w:ascii="Arial" w:cs="Arial" w:eastAsia="Arial" w:hAnsi="Arial"/>
          <w:sz w:val="10"/>
          <w:szCs w:val="10"/>
          <w:color w:val="auto"/>
        </w:rPr>
        <w:t>cal</w:t>
      </w:r>
      <w:r>
        <w:rPr>
          <w:sz w:val="20"/>
          <w:szCs w:val="20"/>
          <w:color w:val="auto"/>
        </w:rPr>
        <w:tab/>
      </w:r>
      <w:r>
        <w:rPr>
          <w:rFonts w:ascii="Arial" w:cs="Arial" w:eastAsia="Arial" w:hAnsi="Arial"/>
          <w:sz w:val="10"/>
          <w:szCs w:val="10"/>
          <w:color w:val="auto"/>
        </w:rPr>
        <w:t>Pharmacovigilance</w:t>
      </w:r>
    </w:p>
    <w:p>
      <w:pPr>
        <w:ind w:left="3280" w:right="100" w:hanging="3283"/>
        <w:spacing w:after="0" w:line="198" w:lineRule="auto"/>
        <w:rPr>
          <w:sz w:val="20"/>
          <w:szCs w:val="20"/>
          <w:color w:val="auto"/>
        </w:rPr>
      </w:pPr>
      <w:r>
        <w:rPr>
          <w:rFonts w:ascii="Arial" w:cs="Arial" w:eastAsia="Arial" w:hAnsi="Arial"/>
          <w:sz w:val="10"/>
          <w:szCs w:val="10"/>
          <w:color w:val="auto"/>
        </w:rPr>
        <w:t>role in our business operations. Genmab has a Comprehensive Safety team. Overseen by the EVP, Chief</w:t>
      </w:r>
    </w:p>
    <w:p>
      <w:pPr>
        <w:spacing w:after="0" w:line="1" w:lineRule="exact"/>
        <w:rPr>
          <w:rFonts w:ascii="Arial" w:cs="Arial" w:eastAsia="Arial" w:hAnsi="Arial"/>
          <w:sz w:val="10"/>
          <w:szCs w:val="10"/>
          <w:b w:val="1"/>
          <w:bCs w:val="1"/>
          <w:color w:val="auto"/>
        </w:rPr>
      </w:pPr>
    </w:p>
    <w:p>
      <w:pPr>
        <w:ind w:right="380"/>
        <w:spacing w:after="0" w:line="231" w:lineRule="auto"/>
        <w:rPr>
          <w:sz w:val="20"/>
          <w:szCs w:val="20"/>
          <w:color w:val="auto"/>
        </w:rPr>
      </w:pPr>
      <w:r>
        <w:rPr>
          <w:rFonts w:ascii="Arial" w:cs="Arial" w:eastAsia="Arial" w:hAnsi="Arial"/>
          <w:sz w:val="10"/>
          <w:szCs w:val="10"/>
          <w:color w:val="auto"/>
        </w:rPr>
        <w:t>Program that is designed to identify and mitigate potential risks Development associated with our products, and to ensure that our products are safe Officer.</w:t>
      </w:r>
    </w:p>
    <w:p>
      <w:pPr>
        <w:spacing w:after="0" w:line="54" w:lineRule="exact"/>
        <w:rPr>
          <w:rFonts w:ascii="Arial" w:cs="Arial" w:eastAsia="Arial" w:hAnsi="Arial"/>
          <w:sz w:val="10"/>
          <w:szCs w:val="10"/>
          <w:b w:val="1"/>
          <w:bCs w:val="1"/>
          <w:color w:val="auto"/>
        </w:rPr>
      </w:pPr>
    </w:p>
    <w:p>
      <w:pPr>
        <w:ind w:right="1140"/>
        <w:spacing w:after="0" w:line="227" w:lineRule="auto"/>
        <w:rPr>
          <w:sz w:val="20"/>
          <w:szCs w:val="20"/>
          <w:color w:val="auto"/>
        </w:rPr>
      </w:pPr>
      <w:r>
        <w:rPr>
          <w:rFonts w:ascii="Arial" w:cs="Arial" w:eastAsia="Arial" w:hAnsi="Arial"/>
          <w:sz w:val="10"/>
          <w:szCs w:val="10"/>
          <w:color w:val="auto"/>
        </w:rPr>
        <w:t>and effective for their intended use. We work closely with regulatory agencies to ensure that our products meet all safety and efficacy standards.</w:t>
      </w:r>
    </w:p>
    <w:p>
      <w:pPr>
        <w:sectPr>
          <w:pgSz w:w="11900" w:h="16840" w:orient="portrait"/>
          <w:cols w:equalWidth="0" w:num="2">
            <w:col w:w="5360" w:space="200"/>
            <w:col w:w="4280"/>
          </w:cols>
          <w:pgMar w:left="640" w:top="571" w:right="1420" w:bottom="1440" w:gutter="0" w:footer="0" w:header="0"/>
          <w:type w:val="continuous"/>
        </w:sectPr>
      </w:pPr>
    </w:p>
    <w:bookmarkStart w:id="129" w:name="page130"/>
    <w:bookmarkEnd w:id="129"/>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t>97</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tbl>
      <w:tblPr>
        <w:tblLayout w:type="fixed"/>
        <w:tblInd w:w="0" w:type="dxa"/>
        <w:tblCellMar>
          <w:top w:w="0" w:type="dxa"/>
          <w:left w:w="0" w:type="dxa"/>
          <w:bottom w:w="0" w:type="dxa"/>
          <w:right w:w="0" w:type="dxa"/>
        </w:tblCellMar>
      </w:tblPr>
      <w:tr>
        <w:trPr>
          <w:trHeight w:val="95"/>
        </w:trPr>
        <w:tc>
          <w:tcPr>
            <w:tcW w:w="60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IRO</w:t>
            </w:r>
          </w:p>
        </w:tc>
        <w:tc>
          <w:tcPr>
            <w:tcW w:w="4500" w:type="dxa"/>
            <w:vAlign w:val="bottom"/>
            <w:tcBorders>
              <w:top w:val="single" w:sz="8" w:color="0057CF"/>
            </w:tcBorders>
          </w:tcPr>
          <w:p>
            <w:pPr>
              <w:ind w:left="60"/>
              <w:spacing w:after="0" w:line="95" w:lineRule="exact"/>
              <w:rPr>
                <w:sz w:val="20"/>
                <w:szCs w:val="20"/>
                <w:color w:val="auto"/>
              </w:rPr>
            </w:pPr>
            <w:r>
              <w:rPr>
                <w:rFonts w:ascii="Arial" w:cs="Arial" w:eastAsia="Arial" w:hAnsi="Arial"/>
                <w:sz w:val="10"/>
                <w:szCs w:val="10"/>
                <w:b w:val="1"/>
                <w:bCs w:val="1"/>
                <w:color w:val="auto"/>
              </w:rPr>
              <w:t>Key Actions in 2025</w:t>
            </w:r>
          </w:p>
        </w:tc>
        <w:tc>
          <w:tcPr>
            <w:tcW w:w="420" w:type="dxa"/>
            <w:vAlign w:val="bottom"/>
            <w:tcBorders>
              <w:top w:val="single" w:sz="8" w:color="0057CF"/>
            </w:tcBorders>
          </w:tcPr>
          <w:p>
            <w:pPr>
              <w:ind w:left="20"/>
              <w:spacing w:after="0" w:line="95" w:lineRule="exact"/>
              <w:rPr>
                <w:sz w:val="20"/>
                <w:szCs w:val="20"/>
                <w:color w:val="auto"/>
              </w:rPr>
            </w:pPr>
            <w:r>
              <w:rPr>
                <w:rFonts w:ascii="Arial" w:cs="Arial" w:eastAsia="Arial" w:hAnsi="Arial"/>
                <w:sz w:val="10"/>
                <w:szCs w:val="10"/>
                <w:b w:val="1"/>
                <w:bCs w:val="1"/>
                <w:color w:val="auto"/>
              </w:rPr>
              <w:t>Targets</w:t>
            </w:r>
          </w:p>
        </w:tc>
        <w:tc>
          <w:tcPr>
            <w:tcW w:w="3320" w:type="dxa"/>
            <w:vAlign w:val="bottom"/>
            <w:tcBorders>
              <w:top w:val="single" w:sz="8" w:color="0057CF"/>
            </w:tcBorders>
          </w:tcPr>
          <w:p>
            <w:pPr>
              <w:ind w:left="40"/>
              <w:spacing w:after="0" w:line="95" w:lineRule="exact"/>
              <w:rPr>
                <w:sz w:val="20"/>
                <w:szCs w:val="20"/>
                <w:color w:val="auto"/>
              </w:rPr>
            </w:pPr>
            <w:r>
              <w:rPr>
                <w:rFonts w:ascii="Arial" w:cs="Arial" w:eastAsia="Arial" w:hAnsi="Arial"/>
                <w:sz w:val="10"/>
                <w:szCs w:val="10"/>
                <w:b w:val="1"/>
                <w:bCs w:val="1"/>
                <w:color w:val="auto"/>
              </w:rPr>
              <w:t>Outcomes / Tracking Effectiveness</w:t>
            </w:r>
          </w:p>
        </w:tc>
        <w:tc>
          <w:tcPr>
            <w:tcW w:w="1000" w:type="dxa"/>
            <w:vAlign w:val="bottom"/>
            <w:tcBorders>
              <w:top w:val="single" w:sz="8" w:color="0057CF"/>
            </w:tcBorders>
          </w:tcPr>
          <w:p>
            <w:pPr>
              <w:spacing w:after="0" w:line="95" w:lineRule="exact"/>
              <w:rPr>
                <w:sz w:val="20"/>
                <w:szCs w:val="20"/>
                <w:color w:val="auto"/>
              </w:rPr>
            </w:pPr>
            <w:r>
              <w:rPr>
                <w:rFonts w:ascii="Arial" w:cs="Arial" w:eastAsia="Arial" w:hAnsi="Arial"/>
                <w:sz w:val="10"/>
                <w:szCs w:val="10"/>
                <w:b w:val="1"/>
                <w:bCs w:val="1"/>
                <w:color w:val="auto"/>
              </w:rPr>
              <w:t>Stakeholder</w:t>
            </w:r>
          </w:p>
        </w:tc>
        <w:tc>
          <w:tcPr>
            <w:tcW w:w="0" w:type="dxa"/>
            <w:vAlign w:val="bottom"/>
          </w:tcPr>
          <w:p>
            <w:pPr>
              <w:spacing w:after="0"/>
              <w:rPr>
                <w:sz w:val="1"/>
                <w:szCs w:val="1"/>
                <w:color w:val="auto"/>
              </w:rPr>
            </w:pPr>
          </w:p>
        </w:tc>
      </w:tr>
      <w:tr>
        <w:trPr>
          <w:trHeight w:val="128"/>
        </w:trPr>
        <w:tc>
          <w:tcPr>
            <w:tcW w:w="6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0" w:type="dxa"/>
            <w:vAlign w:val="bottom"/>
          </w:tcPr>
          <w:p>
            <w:pPr>
              <w:spacing w:after="0"/>
              <w:rPr>
                <w:sz w:val="20"/>
                <w:szCs w:val="20"/>
                <w:color w:val="auto"/>
              </w:rPr>
            </w:pPr>
            <w:r>
              <w:rPr>
                <w:rFonts w:ascii="Arial" w:cs="Arial" w:eastAsia="Arial" w:hAnsi="Arial"/>
                <w:sz w:val="10"/>
                <w:szCs w:val="10"/>
                <w:b w:val="1"/>
                <w:bCs w:val="1"/>
                <w:color w:val="auto"/>
              </w:rPr>
              <w:t>Involvement</w:t>
            </w:r>
          </w:p>
        </w:tc>
        <w:tc>
          <w:tcPr>
            <w:tcW w:w="0" w:type="dxa"/>
            <w:vAlign w:val="bottom"/>
          </w:tcPr>
          <w:p>
            <w:pPr>
              <w:spacing w:after="0"/>
              <w:rPr>
                <w:sz w:val="1"/>
                <w:szCs w:val="1"/>
                <w:color w:val="auto"/>
              </w:rPr>
            </w:pPr>
          </w:p>
        </w:tc>
      </w:tr>
      <w:tr>
        <w:trPr>
          <w:trHeight w:val="118"/>
        </w:trPr>
        <w:tc>
          <w:tcPr>
            <w:tcW w:w="600" w:type="dxa"/>
            <w:vAlign w:val="bottom"/>
          </w:tcPr>
          <w:p>
            <w:pPr>
              <w:ind w:left="20"/>
              <w:spacing w:after="0"/>
              <w:rPr>
                <w:sz w:val="20"/>
                <w:szCs w:val="20"/>
                <w:color w:val="auto"/>
              </w:rPr>
            </w:pPr>
            <w:r>
              <w:rPr>
                <w:rFonts w:ascii="Arial" w:cs="Arial" w:eastAsia="Arial" w:hAnsi="Arial"/>
                <w:sz w:val="10"/>
                <w:szCs w:val="10"/>
                <w:color w:val="auto"/>
              </w:rPr>
              <w:t>Access to</w:t>
            </w:r>
          </w:p>
        </w:tc>
        <w:tc>
          <w:tcPr>
            <w:tcW w:w="4500" w:type="dxa"/>
            <w:vAlign w:val="bottom"/>
          </w:tcPr>
          <w:p>
            <w:pPr>
              <w:ind w:left="60"/>
              <w:spacing w:after="0"/>
              <w:rPr>
                <w:sz w:val="20"/>
                <w:szCs w:val="20"/>
                <w:color w:val="auto"/>
              </w:rPr>
            </w:pPr>
            <w:r>
              <w:rPr>
                <w:rFonts w:ascii="Arial" w:cs="Arial" w:eastAsia="Arial" w:hAnsi="Arial"/>
                <w:sz w:val="10"/>
                <w:szCs w:val="10"/>
                <w:color w:val="auto"/>
              </w:rPr>
              <w:t>Provided clinical trial information and results on publicly accessible registries, including</w:t>
            </w:r>
          </w:p>
        </w:tc>
        <w:tc>
          <w:tcPr>
            <w:tcW w:w="420" w:type="dxa"/>
            <w:vAlign w:val="bottom"/>
          </w:tcPr>
          <w:p>
            <w:pPr>
              <w:ind w:left="20"/>
              <w:spacing w:after="0"/>
              <w:rPr>
                <w:sz w:val="20"/>
                <w:szCs w:val="20"/>
                <w:color w:val="auto"/>
              </w:rPr>
            </w:pPr>
            <w:r>
              <w:rPr>
                <w:rFonts w:ascii="Arial" w:cs="Arial" w:eastAsia="Arial" w:hAnsi="Arial"/>
                <w:sz w:val="10"/>
                <w:szCs w:val="10"/>
                <w:color w:val="auto"/>
              </w:rPr>
              <w:t>None</w:t>
            </w:r>
          </w:p>
        </w:tc>
        <w:tc>
          <w:tcPr>
            <w:tcW w:w="3320" w:type="dxa"/>
            <w:vAlign w:val="bottom"/>
          </w:tcPr>
          <w:p>
            <w:pPr>
              <w:ind w:left="40"/>
              <w:spacing w:after="0"/>
              <w:rPr>
                <w:sz w:val="20"/>
                <w:szCs w:val="20"/>
                <w:color w:val="auto"/>
              </w:rPr>
            </w:pPr>
            <w:r>
              <w:rPr>
                <w:rFonts w:ascii="Arial" w:cs="Arial" w:eastAsia="Arial" w:hAnsi="Arial"/>
                <w:sz w:val="10"/>
                <w:szCs w:val="10"/>
                <w:color w:val="auto"/>
              </w:rPr>
              <w:t>Genmab tracks the effectiveness of its transparency and patient</w:t>
            </w:r>
          </w:p>
        </w:tc>
        <w:tc>
          <w:tcPr>
            <w:tcW w:w="1000" w:type="dxa"/>
            <w:vAlign w:val="bottom"/>
          </w:tcPr>
          <w:p>
            <w:pPr>
              <w:spacing w:after="0"/>
              <w:rPr>
                <w:sz w:val="20"/>
                <w:szCs w:val="20"/>
                <w:color w:val="auto"/>
              </w:rPr>
            </w:pPr>
            <w:r>
              <w:rPr>
                <w:rFonts w:ascii="Arial" w:cs="Arial" w:eastAsia="Arial" w:hAnsi="Arial"/>
                <w:sz w:val="10"/>
                <w:szCs w:val="10"/>
                <w:color w:val="auto"/>
              </w:rPr>
              <w:t>Clinical Trial</w:t>
            </w:r>
          </w:p>
        </w:tc>
        <w:tc>
          <w:tcPr>
            <w:tcW w:w="0" w:type="dxa"/>
            <w:vAlign w:val="bottom"/>
          </w:tcPr>
          <w:p>
            <w:pPr>
              <w:spacing w:after="0"/>
              <w:rPr>
                <w:sz w:val="1"/>
                <w:szCs w:val="1"/>
                <w:color w:val="auto"/>
              </w:rPr>
            </w:pPr>
          </w:p>
        </w:tc>
      </w:tr>
      <w:tr>
        <w:trPr>
          <w:trHeight w:val="95"/>
        </w:trPr>
        <w:tc>
          <w:tcPr>
            <w:tcW w:w="600" w:type="dxa"/>
            <w:vAlign w:val="bottom"/>
          </w:tcPr>
          <w:p>
            <w:pPr>
              <w:ind w:left="20"/>
              <w:spacing w:after="0" w:line="95" w:lineRule="exact"/>
              <w:rPr>
                <w:sz w:val="20"/>
                <w:szCs w:val="20"/>
                <w:color w:val="auto"/>
              </w:rPr>
            </w:pPr>
            <w:r>
              <w:rPr>
                <w:rFonts w:ascii="Arial" w:cs="Arial" w:eastAsia="Arial" w:hAnsi="Arial"/>
                <w:sz w:val="10"/>
                <w:szCs w:val="10"/>
                <w:color w:val="auto"/>
              </w:rPr>
              <w:t>quality</w:t>
            </w:r>
          </w:p>
        </w:tc>
        <w:tc>
          <w:tcPr>
            <w:tcW w:w="4920" w:type="dxa"/>
            <w:vAlign w:val="bottom"/>
            <w:gridSpan w:val="2"/>
          </w:tcPr>
          <w:p>
            <w:pPr>
              <w:ind w:left="60"/>
              <w:spacing w:after="0" w:line="95" w:lineRule="exact"/>
              <w:rPr>
                <w:sz w:val="20"/>
                <w:szCs w:val="20"/>
                <w:color w:val="auto"/>
              </w:rPr>
            </w:pPr>
            <w:r>
              <w:rPr>
                <w:rFonts w:ascii="Arial" w:cs="Arial" w:eastAsia="Arial" w:hAnsi="Arial"/>
                <w:sz w:val="10"/>
                <w:szCs w:val="10"/>
                <w:color w:val="auto"/>
              </w:rPr>
              <w:t>ClinicalTrials.gov and the EU Clinical Trials Information System (CTIS), in compliance with evolvi</w:t>
            </w:r>
          </w:p>
        </w:tc>
        <w:tc>
          <w:tcPr>
            <w:tcW w:w="3320" w:type="dxa"/>
            <w:vAlign w:val="bottom"/>
          </w:tcPr>
          <w:p>
            <w:pPr>
              <w:ind w:left="40"/>
              <w:spacing w:after="0" w:line="95" w:lineRule="exact"/>
              <w:rPr>
                <w:sz w:val="20"/>
                <w:szCs w:val="20"/>
                <w:color w:val="auto"/>
              </w:rPr>
            </w:pPr>
            <w:r>
              <w:rPr>
                <w:rFonts w:ascii="Arial" w:cs="Arial" w:eastAsia="Arial" w:hAnsi="Arial"/>
                <w:sz w:val="10"/>
                <w:szCs w:val="10"/>
                <w:color w:val="auto"/>
              </w:rPr>
              <w:t>engagement initiatives by evaluating feedback, monitoring</w:t>
            </w:r>
          </w:p>
        </w:tc>
        <w:tc>
          <w:tcPr>
            <w:tcW w:w="1000" w:type="dxa"/>
            <w:vAlign w:val="bottom"/>
          </w:tcPr>
          <w:p>
            <w:pPr>
              <w:spacing w:after="0" w:line="95" w:lineRule="exact"/>
              <w:rPr>
                <w:sz w:val="20"/>
                <w:szCs w:val="20"/>
                <w:color w:val="auto"/>
              </w:rPr>
            </w:pPr>
            <w:r>
              <w:rPr>
                <w:rFonts w:ascii="Arial" w:cs="Arial" w:eastAsia="Arial" w:hAnsi="Arial"/>
                <w:sz w:val="10"/>
                <w:szCs w:val="10"/>
                <w:color w:val="auto"/>
              </w:rPr>
              <w:t>Disclosure &amp;</w:t>
            </w:r>
          </w:p>
        </w:tc>
        <w:tc>
          <w:tcPr>
            <w:tcW w:w="0" w:type="dxa"/>
            <w:vAlign w:val="bottom"/>
          </w:tcPr>
          <w:p>
            <w:pPr>
              <w:spacing w:after="0"/>
              <w:rPr>
                <w:sz w:val="1"/>
                <w:szCs w:val="1"/>
                <w:color w:val="auto"/>
              </w:rPr>
            </w:pPr>
          </w:p>
        </w:tc>
      </w:tr>
      <w:tr>
        <w:trPr>
          <w:trHeight w:val="95"/>
        </w:trPr>
        <w:tc>
          <w:tcPr>
            <w:tcW w:w="600" w:type="dxa"/>
            <w:vAlign w:val="bottom"/>
          </w:tcPr>
          <w:p>
            <w:pPr>
              <w:ind w:left="20"/>
              <w:spacing w:after="0" w:line="95" w:lineRule="exact"/>
              <w:rPr>
                <w:sz w:val="20"/>
                <w:szCs w:val="20"/>
                <w:color w:val="auto"/>
              </w:rPr>
            </w:pPr>
            <w:r>
              <w:rPr>
                <w:rFonts w:ascii="Arial" w:cs="Arial" w:eastAsia="Arial" w:hAnsi="Arial"/>
                <w:sz w:val="10"/>
                <w:szCs w:val="10"/>
                <w:color w:val="auto"/>
              </w:rPr>
              <w:t>information</w:t>
            </w: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ng</w:t>
            </w:r>
          </w:p>
        </w:tc>
        <w:tc>
          <w:tcPr>
            <w:tcW w:w="420" w:type="dxa"/>
            <w:vAlign w:val="bottom"/>
          </w:tcPr>
          <w:p>
            <w:pPr>
              <w:spacing w:after="0"/>
              <w:rPr>
                <w:sz w:val="8"/>
                <w:szCs w:val="8"/>
                <w:color w:val="auto"/>
              </w:rPr>
            </w:pPr>
          </w:p>
        </w:tc>
        <w:tc>
          <w:tcPr>
            <w:tcW w:w="3320" w:type="dxa"/>
            <w:vAlign w:val="bottom"/>
          </w:tcPr>
          <w:p>
            <w:pPr>
              <w:ind w:left="40"/>
              <w:spacing w:after="0" w:line="95" w:lineRule="exact"/>
              <w:rPr>
                <w:sz w:val="20"/>
                <w:szCs w:val="20"/>
                <w:color w:val="auto"/>
              </w:rPr>
            </w:pPr>
            <w:r>
              <w:rPr>
                <w:rFonts w:ascii="Arial" w:cs="Arial" w:eastAsia="Arial" w:hAnsi="Arial"/>
                <w:sz w:val="10"/>
                <w:szCs w:val="10"/>
                <w:color w:val="auto"/>
              </w:rPr>
              <w:t>communication channels, and incorporating learnings into future</w:t>
            </w:r>
          </w:p>
        </w:tc>
        <w:tc>
          <w:tcPr>
            <w:tcW w:w="1000" w:type="dxa"/>
            <w:vAlign w:val="bottom"/>
          </w:tcPr>
          <w:p>
            <w:pPr>
              <w:spacing w:after="0" w:line="95" w:lineRule="exact"/>
              <w:rPr>
                <w:sz w:val="20"/>
                <w:szCs w:val="20"/>
                <w:color w:val="auto"/>
              </w:rPr>
            </w:pPr>
            <w:r>
              <w:rPr>
                <w:rFonts w:ascii="Arial" w:cs="Arial" w:eastAsia="Arial" w:hAnsi="Arial"/>
                <w:sz w:val="10"/>
                <w:szCs w:val="10"/>
                <w:color w:val="auto"/>
              </w:rPr>
              <w:t>Transparency team,</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global transparency regulations and good practice.</w:t>
            </w:r>
          </w:p>
        </w:tc>
        <w:tc>
          <w:tcPr>
            <w:tcW w:w="420" w:type="dxa"/>
            <w:vAlign w:val="bottom"/>
          </w:tcPr>
          <w:p>
            <w:pPr>
              <w:spacing w:after="0"/>
              <w:rPr>
                <w:sz w:val="8"/>
                <w:szCs w:val="8"/>
                <w:color w:val="auto"/>
              </w:rPr>
            </w:pPr>
          </w:p>
        </w:tc>
        <w:tc>
          <w:tcPr>
            <w:tcW w:w="3320" w:type="dxa"/>
            <w:vAlign w:val="bottom"/>
          </w:tcPr>
          <w:p>
            <w:pPr>
              <w:ind w:left="40"/>
              <w:spacing w:after="0" w:line="95" w:lineRule="exact"/>
              <w:rPr>
                <w:sz w:val="20"/>
                <w:szCs w:val="20"/>
                <w:color w:val="auto"/>
              </w:rPr>
            </w:pPr>
            <w:r>
              <w:rPr>
                <w:rFonts w:ascii="Arial" w:cs="Arial" w:eastAsia="Arial" w:hAnsi="Arial"/>
                <w:sz w:val="10"/>
                <w:szCs w:val="10"/>
                <w:color w:val="auto"/>
              </w:rPr>
              <w:t>practices.</w:t>
            </w:r>
          </w:p>
        </w:tc>
        <w:tc>
          <w:tcPr>
            <w:tcW w:w="1000" w:type="dxa"/>
            <w:vAlign w:val="bottom"/>
          </w:tcPr>
          <w:p>
            <w:pPr>
              <w:spacing w:after="0" w:line="95" w:lineRule="exact"/>
              <w:rPr>
                <w:sz w:val="20"/>
                <w:szCs w:val="20"/>
                <w:color w:val="auto"/>
              </w:rPr>
            </w:pPr>
            <w:r>
              <w:rPr>
                <w:rFonts w:ascii="Arial" w:cs="Arial" w:eastAsia="Arial" w:hAnsi="Arial"/>
                <w:sz w:val="10"/>
                <w:szCs w:val="10"/>
                <w:color w:val="auto"/>
              </w:rPr>
              <w:t>part of Development</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To support potential trial participants, we included clear and understandable trial descriptions in</w:t>
            </w:r>
          </w:p>
        </w:tc>
        <w:tc>
          <w:tcPr>
            <w:tcW w:w="420" w:type="dxa"/>
            <w:vAlign w:val="bottom"/>
          </w:tcPr>
          <w:p>
            <w:pPr>
              <w:spacing w:after="0"/>
              <w:rPr>
                <w:sz w:val="8"/>
                <w:szCs w:val="8"/>
                <w:color w:val="auto"/>
              </w:rPr>
            </w:pPr>
          </w:p>
        </w:tc>
        <w:tc>
          <w:tcPr>
            <w:tcW w:w="4320" w:type="dxa"/>
            <w:vAlign w:val="bottom"/>
            <w:gridSpan w:val="2"/>
          </w:tcPr>
          <w:p>
            <w:pPr>
              <w:ind w:left="40"/>
              <w:spacing w:after="0" w:line="95" w:lineRule="exact"/>
              <w:rPr>
                <w:sz w:val="20"/>
                <w:szCs w:val="20"/>
                <w:color w:val="auto"/>
              </w:rPr>
            </w:pPr>
            <w:r>
              <w:rPr>
                <w:rFonts w:ascii="Arial" w:cs="Arial" w:eastAsia="Arial" w:hAnsi="Arial"/>
                <w:sz w:val="10"/>
                <w:szCs w:val="10"/>
                <w:color w:val="auto"/>
              </w:rPr>
              <w:t>Building on the Patient Advisory Council’s earlier contribution to the lay Operations that is</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ClinicalTrials.gov registrations, written specifically for non-scientists. Similarly, for all protocols</w:t>
            </w:r>
          </w:p>
        </w:tc>
        <w:tc>
          <w:tcPr>
            <w:tcW w:w="420" w:type="dxa"/>
            <w:vAlign w:val="bottom"/>
          </w:tcPr>
          <w:p>
            <w:pPr>
              <w:spacing w:after="0"/>
              <w:rPr>
                <w:sz w:val="8"/>
                <w:szCs w:val="8"/>
                <w:color w:val="auto"/>
              </w:rPr>
            </w:pPr>
          </w:p>
        </w:tc>
        <w:tc>
          <w:tcPr>
            <w:tcW w:w="4320" w:type="dxa"/>
            <w:vAlign w:val="bottom"/>
            <w:gridSpan w:val="2"/>
          </w:tcPr>
          <w:p>
            <w:pPr>
              <w:ind w:left="40"/>
              <w:spacing w:after="0" w:line="95" w:lineRule="exact"/>
              <w:rPr>
                <w:sz w:val="20"/>
                <w:szCs w:val="20"/>
                <w:color w:val="auto"/>
              </w:rPr>
            </w:pPr>
            <w:r>
              <w:rPr>
                <w:rFonts w:ascii="Arial" w:cs="Arial" w:eastAsia="Arial" w:hAnsi="Arial"/>
                <w:sz w:val="10"/>
                <w:szCs w:val="10"/>
                <w:color w:val="auto"/>
              </w:rPr>
              <w:t>results summary template, the Council in 2025 reviewed three lay resuloverseen by the</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uploaded to the EU CTIS, we provided a lay protocol synopsis to help non-specialist audiences</w:t>
            </w:r>
          </w:p>
        </w:tc>
        <w:tc>
          <w:tcPr>
            <w:tcW w:w="420" w:type="dxa"/>
            <w:vAlign w:val="bottom"/>
          </w:tcPr>
          <w:p>
            <w:pPr>
              <w:spacing w:after="0"/>
              <w:rPr>
                <w:sz w:val="8"/>
                <w:szCs w:val="8"/>
                <w:color w:val="auto"/>
              </w:rPr>
            </w:pPr>
          </w:p>
        </w:tc>
        <w:tc>
          <w:tcPr>
            <w:tcW w:w="3320" w:type="dxa"/>
            <w:vAlign w:val="bottom"/>
          </w:tcPr>
          <w:p>
            <w:pPr>
              <w:ind w:left="40"/>
              <w:spacing w:after="0" w:line="95" w:lineRule="exact"/>
              <w:rPr>
                <w:sz w:val="20"/>
                <w:szCs w:val="20"/>
                <w:color w:val="auto"/>
              </w:rPr>
            </w:pPr>
            <w:r>
              <w:rPr>
                <w:rFonts w:ascii="Arial" w:cs="Arial" w:eastAsia="Arial" w:hAnsi="Arial"/>
                <w:sz w:val="10"/>
                <w:szCs w:val="10"/>
                <w:color w:val="auto"/>
              </w:rPr>
              <w:t>ts</w:t>
            </w:r>
          </w:p>
        </w:tc>
        <w:tc>
          <w:tcPr>
            <w:tcW w:w="1000" w:type="dxa"/>
            <w:vAlign w:val="bottom"/>
          </w:tcPr>
          <w:p>
            <w:pPr>
              <w:spacing w:after="0" w:line="95" w:lineRule="exact"/>
              <w:rPr>
                <w:sz w:val="20"/>
                <w:szCs w:val="20"/>
                <w:color w:val="auto"/>
              </w:rPr>
            </w:pPr>
            <w:r>
              <w:rPr>
                <w:rFonts w:ascii="Arial" w:cs="Arial" w:eastAsia="Arial" w:hAnsi="Arial"/>
                <w:sz w:val="10"/>
                <w:szCs w:val="10"/>
                <w:color w:val="auto"/>
              </w:rPr>
              <w:t>EVP, Chief</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understand trial objectives and design.</w:t>
            </w:r>
          </w:p>
        </w:tc>
        <w:tc>
          <w:tcPr>
            <w:tcW w:w="420" w:type="dxa"/>
            <w:vAlign w:val="bottom"/>
          </w:tcPr>
          <w:p>
            <w:pPr>
              <w:spacing w:after="0"/>
              <w:rPr>
                <w:sz w:val="8"/>
                <w:szCs w:val="8"/>
                <w:color w:val="auto"/>
              </w:rPr>
            </w:pPr>
          </w:p>
        </w:tc>
        <w:tc>
          <w:tcPr>
            <w:tcW w:w="4320" w:type="dxa"/>
            <w:vAlign w:val="bottom"/>
            <w:gridSpan w:val="2"/>
          </w:tcPr>
          <w:p>
            <w:pPr>
              <w:ind w:left="40"/>
              <w:spacing w:after="0" w:line="95" w:lineRule="exact"/>
              <w:rPr>
                <w:sz w:val="20"/>
                <w:szCs w:val="20"/>
                <w:color w:val="auto"/>
              </w:rPr>
            </w:pPr>
            <w:r>
              <w:rPr>
                <w:rFonts w:ascii="Arial" w:cs="Arial" w:eastAsia="Arial" w:hAnsi="Arial"/>
                <w:sz w:val="10"/>
                <w:szCs w:val="10"/>
                <w:color w:val="auto"/>
              </w:rPr>
              <w:t>summaries, providing valuable feedback that improved both content anDevelopment</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To ensure trial results were meaningfully returned to patients, all scientific result summaries</w:t>
            </w:r>
          </w:p>
        </w:tc>
        <w:tc>
          <w:tcPr>
            <w:tcW w:w="420" w:type="dxa"/>
            <w:vAlign w:val="bottom"/>
          </w:tcPr>
          <w:p>
            <w:pPr>
              <w:spacing w:after="0"/>
              <w:rPr>
                <w:sz w:val="8"/>
                <w:szCs w:val="8"/>
                <w:color w:val="auto"/>
              </w:rPr>
            </w:pPr>
          </w:p>
        </w:tc>
        <w:tc>
          <w:tcPr>
            <w:tcW w:w="3320" w:type="dxa"/>
            <w:vAlign w:val="bottom"/>
          </w:tcPr>
          <w:p>
            <w:pPr>
              <w:ind w:left="40"/>
              <w:spacing w:after="0" w:line="95" w:lineRule="exact"/>
              <w:rPr>
                <w:sz w:val="20"/>
                <w:szCs w:val="20"/>
                <w:color w:val="auto"/>
              </w:rPr>
            </w:pPr>
            <w:r>
              <w:rPr>
                <w:rFonts w:ascii="Arial" w:cs="Arial" w:eastAsia="Arial" w:hAnsi="Arial"/>
                <w:sz w:val="10"/>
                <w:szCs w:val="10"/>
                <w:color w:val="auto"/>
              </w:rPr>
              <w:t>d</w:t>
            </w:r>
          </w:p>
        </w:tc>
        <w:tc>
          <w:tcPr>
            <w:tcW w:w="1000" w:type="dxa"/>
            <w:vAlign w:val="bottom"/>
          </w:tcPr>
          <w:p>
            <w:pPr>
              <w:spacing w:after="0" w:line="95" w:lineRule="exact"/>
              <w:rPr>
                <w:sz w:val="20"/>
                <w:szCs w:val="20"/>
                <w:color w:val="auto"/>
              </w:rPr>
            </w:pPr>
            <w:r>
              <w:rPr>
                <w:rFonts w:ascii="Arial" w:cs="Arial" w:eastAsia="Arial" w:hAnsi="Arial"/>
                <w:sz w:val="10"/>
                <w:szCs w:val="10"/>
                <w:color w:val="auto"/>
              </w:rPr>
              <w:t>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submitted to the EU CTIS were accompanied by lay results summaries written in non-technical</w:t>
            </w:r>
          </w:p>
        </w:tc>
        <w:tc>
          <w:tcPr>
            <w:tcW w:w="420" w:type="dxa"/>
            <w:vAlign w:val="bottom"/>
          </w:tcPr>
          <w:p>
            <w:pPr>
              <w:spacing w:after="0"/>
              <w:rPr>
                <w:sz w:val="8"/>
                <w:szCs w:val="8"/>
                <w:color w:val="auto"/>
              </w:rPr>
            </w:pPr>
          </w:p>
        </w:tc>
        <w:tc>
          <w:tcPr>
            <w:tcW w:w="3320" w:type="dxa"/>
            <w:vAlign w:val="bottom"/>
          </w:tcPr>
          <w:p>
            <w:pPr>
              <w:ind w:left="40"/>
              <w:spacing w:after="0" w:line="95" w:lineRule="exact"/>
              <w:rPr>
                <w:sz w:val="20"/>
                <w:szCs w:val="20"/>
                <w:color w:val="auto"/>
              </w:rPr>
            </w:pPr>
            <w:r>
              <w:rPr>
                <w:rFonts w:ascii="Arial" w:cs="Arial" w:eastAsia="Arial" w:hAnsi="Arial"/>
                <w:sz w:val="10"/>
                <w:szCs w:val="10"/>
                <w:color w:val="auto"/>
              </w:rPr>
              <w:t>tone. This collaboration deepened our understanding of critical aspects</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4500" w:type="dxa"/>
            <w:vAlign w:val="bottom"/>
          </w:tcPr>
          <w:p>
            <w:pPr>
              <w:ind w:left="60"/>
              <w:spacing w:after="0" w:line="95" w:lineRule="exact"/>
              <w:rPr>
                <w:sz w:val="20"/>
                <w:szCs w:val="20"/>
                <w:color w:val="auto"/>
              </w:rPr>
            </w:pPr>
            <w:r>
              <w:rPr>
                <w:rFonts w:ascii="Arial" w:cs="Arial" w:eastAsia="Arial" w:hAnsi="Arial"/>
                <w:sz w:val="10"/>
                <w:szCs w:val="10"/>
                <w:color w:val="auto"/>
              </w:rPr>
              <w:t>language. Visitors on ClinicalTrials.gov were also made aware of these lay results summaries vi</w:t>
            </w:r>
          </w:p>
        </w:tc>
        <w:tc>
          <w:tcPr>
            <w:tcW w:w="420" w:type="dxa"/>
            <w:vAlign w:val="bottom"/>
          </w:tcPr>
          <w:p>
            <w:pPr>
              <w:spacing w:after="0"/>
              <w:rPr>
                <w:sz w:val="8"/>
                <w:szCs w:val="8"/>
                <w:color w:val="auto"/>
              </w:rPr>
            </w:pPr>
          </w:p>
        </w:tc>
        <w:tc>
          <w:tcPr>
            <w:tcW w:w="3320" w:type="dxa"/>
            <w:vAlign w:val="bottom"/>
            <w:vMerge w:val="restart"/>
          </w:tcPr>
          <w:p>
            <w:pPr>
              <w:ind w:left="40"/>
              <w:spacing w:after="0"/>
              <w:rPr>
                <w:sz w:val="20"/>
                <w:szCs w:val="20"/>
                <w:color w:val="auto"/>
              </w:rPr>
            </w:pPr>
            <w:r>
              <w:rPr>
                <w:rFonts w:ascii="Arial" w:cs="Arial" w:eastAsia="Arial" w:hAnsi="Arial"/>
                <w:sz w:val="10"/>
                <w:szCs w:val="10"/>
                <w:color w:val="auto"/>
              </w:rPr>
              <w:t>such as wording sensitivity and the right level of detail for non-scientific</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600" w:type="dxa"/>
            <w:vAlign w:val="bottom"/>
          </w:tcPr>
          <w:p>
            <w:pPr>
              <w:spacing w:after="0"/>
              <w:rPr>
                <w:sz w:val="8"/>
                <w:szCs w:val="8"/>
                <w:color w:val="auto"/>
              </w:rPr>
            </w:pPr>
          </w:p>
        </w:tc>
        <w:tc>
          <w:tcPr>
            <w:tcW w:w="4500" w:type="dxa"/>
            <w:vAlign w:val="bottom"/>
          </w:tcPr>
          <w:p>
            <w:pPr>
              <w:ind w:left="60"/>
              <w:spacing w:after="0" w:line="96" w:lineRule="exact"/>
              <w:rPr>
                <w:sz w:val="20"/>
                <w:szCs w:val="20"/>
                <w:color w:val="auto"/>
              </w:rPr>
            </w:pPr>
            <w:r>
              <w:rPr>
                <w:rFonts w:ascii="Arial" w:cs="Arial" w:eastAsia="Arial" w:hAnsi="Arial"/>
                <w:sz w:val="10"/>
                <w:szCs w:val="10"/>
                <w:color w:val="auto"/>
              </w:rPr>
              <w:t>a</w:t>
            </w:r>
          </w:p>
        </w:tc>
        <w:tc>
          <w:tcPr>
            <w:tcW w:w="42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spacing w:after="0" w:line="198" w:lineRule="auto"/>
        <w:rPr>
          <w:sz w:val="20"/>
          <w:szCs w:val="20"/>
          <w:color w:val="auto"/>
        </w:rPr>
      </w:pPr>
      <w:r>
        <w:rPr>
          <w:rFonts w:ascii="Arial" w:cs="Arial" w:eastAsia="Arial" w:hAnsi="Arial"/>
          <w:sz w:val="10"/>
          <w:szCs w:val="10"/>
          <w:color w:val="auto"/>
        </w:rPr>
        <w:t>a link provided on the specific trial registration.</w:t>
      </w:r>
    </w:p>
    <w:p>
      <w:pPr>
        <w:ind w:left="5560"/>
        <w:spacing w:after="0" w:line="199" w:lineRule="auto"/>
        <w:rPr>
          <w:sz w:val="20"/>
          <w:szCs w:val="20"/>
          <w:color w:val="auto"/>
        </w:rPr>
      </w:pPr>
      <w:r>
        <w:rPr>
          <w:rFonts w:ascii="Arial" w:cs="Arial" w:eastAsia="Arial" w:hAnsi="Arial"/>
          <w:sz w:val="10"/>
          <w:szCs w:val="10"/>
          <w:color w:val="auto"/>
        </w:rPr>
        <w:t>audiences.</w:t>
      </w:r>
    </w:p>
    <w:p>
      <w:pPr>
        <w:ind w:left="5560"/>
        <w:spacing w:after="0" w:line="198" w:lineRule="auto"/>
        <w:rPr>
          <w:sz w:val="20"/>
          <w:szCs w:val="20"/>
          <w:color w:val="auto"/>
        </w:rPr>
      </w:pPr>
      <w:r>
        <w:rPr>
          <w:rFonts w:ascii="Arial" w:cs="Arial" w:eastAsia="Arial" w:hAnsi="Arial"/>
          <w:sz w:val="10"/>
          <w:szCs w:val="10"/>
          <w:color w:val="auto"/>
        </w:rPr>
        <w:t>To further enhance clarity and consistency across all patient-facing</w:t>
      </w:r>
    </w:p>
    <w:p>
      <w:pPr>
        <w:ind w:left="5560"/>
        <w:spacing w:after="0" w:line="199" w:lineRule="auto"/>
        <w:rPr>
          <w:sz w:val="20"/>
          <w:szCs w:val="20"/>
          <w:color w:val="auto"/>
        </w:rPr>
      </w:pPr>
      <w:r>
        <w:rPr>
          <w:rFonts w:ascii="Arial" w:cs="Arial" w:eastAsia="Arial" w:hAnsi="Arial"/>
          <w:sz w:val="10"/>
          <w:szCs w:val="10"/>
          <w:color w:val="auto"/>
        </w:rPr>
        <w:t>materials, we developed and finalized an internal Plain Language</w:t>
      </w:r>
    </w:p>
    <w:p>
      <w:pPr>
        <w:ind w:left="5560"/>
        <w:spacing w:after="0" w:line="199" w:lineRule="auto"/>
        <w:rPr>
          <w:sz w:val="20"/>
          <w:szCs w:val="20"/>
          <w:color w:val="auto"/>
        </w:rPr>
      </w:pPr>
      <w:r>
        <w:rPr>
          <w:rFonts w:ascii="Arial" w:cs="Arial" w:eastAsia="Arial" w:hAnsi="Arial"/>
          <w:sz w:val="10"/>
          <w:szCs w:val="10"/>
          <w:color w:val="auto"/>
        </w:rPr>
        <w:t>Lexicon. The lexicon supports the use of health-literate terminology an</w:t>
      </w:r>
    </w:p>
    <w:p>
      <w:pPr>
        <w:ind w:left="5560"/>
        <w:spacing w:after="0" w:line="198" w:lineRule="auto"/>
        <w:rPr>
          <w:sz w:val="20"/>
          <w:szCs w:val="20"/>
          <w:color w:val="auto"/>
        </w:rPr>
      </w:pPr>
      <w:r>
        <w:rPr>
          <w:rFonts w:ascii="Arial" w:cs="Arial" w:eastAsia="Arial" w:hAnsi="Arial"/>
          <w:sz w:val="10"/>
          <w:szCs w:val="10"/>
          <w:color w:val="auto"/>
        </w:rPr>
        <w:t>d</w:t>
      </w:r>
    </w:p>
    <w:p>
      <w:pPr>
        <w:ind w:left="5560"/>
        <w:spacing w:after="0" w:line="199" w:lineRule="auto"/>
        <w:rPr>
          <w:sz w:val="20"/>
          <w:szCs w:val="20"/>
          <w:color w:val="auto"/>
        </w:rPr>
      </w:pPr>
      <w:r>
        <w:rPr>
          <w:rFonts w:ascii="Arial" w:cs="Arial" w:eastAsia="Arial" w:hAnsi="Arial"/>
          <w:sz w:val="10"/>
          <w:szCs w:val="10"/>
          <w:color w:val="auto"/>
        </w:rPr>
        <w:t>a consistent tone across communications with patients, whether</w:t>
      </w:r>
    </w:p>
    <w:p>
      <w:pPr>
        <w:ind w:left="5560"/>
        <w:spacing w:after="0" w:line="199" w:lineRule="auto"/>
        <w:rPr>
          <w:sz w:val="20"/>
          <w:szCs w:val="20"/>
          <w:color w:val="auto"/>
        </w:rPr>
      </w:pPr>
      <w:r>
        <w:rPr>
          <w:rFonts w:ascii="Arial" w:cs="Arial" w:eastAsia="Arial" w:hAnsi="Arial"/>
          <w:sz w:val="10"/>
          <w:szCs w:val="10"/>
          <w:color w:val="auto"/>
        </w:rPr>
        <w:t>developed by disclosure, trial, or publication teams.</w:t>
      </w:r>
    </w:p>
    <w:p>
      <w:pPr>
        <w:ind w:left="5560"/>
        <w:spacing w:after="0" w:line="198" w:lineRule="auto"/>
        <w:rPr>
          <w:sz w:val="20"/>
          <w:szCs w:val="20"/>
          <w:color w:val="auto"/>
        </w:rPr>
      </w:pPr>
      <w:r>
        <w:rPr>
          <w:rFonts w:ascii="Arial" w:cs="Arial" w:eastAsia="Arial" w:hAnsi="Arial"/>
          <w:sz w:val="10"/>
          <w:szCs w:val="10"/>
          <w:color w:val="auto"/>
        </w:rPr>
        <w:t>We also hosted a health literacy workshop at Genmab’s Advisory</w:t>
      </w:r>
    </w:p>
    <w:p>
      <w:pPr>
        <w:ind w:left="5560"/>
        <w:spacing w:after="0" w:line="199" w:lineRule="auto"/>
        <w:rPr>
          <w:sz w:val="20"/>
          <w:szCs w:val="20"/>
          <w:color w:val="auto"/>
        </w:rPr>
      </w:pPr>
      <w:r>
        <w:rPr>
          <w:rFonts w:ascii="Arial" w:cs="Arial" w:eastAsia="Arial" w:hAnsi="Arial"/>
          <w:sz w:val="10"/>
          <w:szCs w:val="10"/>
          <w:color w:val="auto"/>
        </w:rPr>
        <w:t>Science Day, highlighting Genmab’s efforts to make complex scientific</w:t>
      </w:r>
    </w:p>
    <w:p>
      <w:pPr>
        <w:ind w:left="5560"/>
        <w:spacing w:after="0" w:line="199" w:lineRule="auto"/>
        <w:rPr>
          <w:sz w:val="20"/>
          <w:szCs w:val="20"/>
          <w:color w:val="auto"/>
        </w:rPr>
      </w:pPr>
      <w:r>
        <w:rPr>
          <w:rFonts w:ascii="Arial" w:cs="Arial" w:eastAsia="Arial" w:hAnsi="Arial"/>
          <w:sz w:val="10"/>
          <w:szCs w:val="10"/>
          <w:color w:val="auto"/>
        </w:rPr>
        <w:t>information more accessible and gathering valuable feedback to guide</w:t>
      </w:r>
    </w:p>
    <w:p>
      <w:pPr>
        <w:ind w:left="5560"/>
        <w:spacing w:after="0" w:line="198" w:lineRule="auto"/>
        <w:rPr>
          <w:sz w:val="20"/>
          <w:szCs w:val="20"/>
          <w:color w:val="auto"/>
        </w:rPr>
      </w:pPr>
      <w:r>
        <w:rPr>
          <w:rFonts w:ascii="Arial" w:cs="Arial" w:eastAsia="Arial" w:hAnsi="Arial"/>
          <w:sz w:val="10"/>
          <w:szCs w:val="10"/>
          <w:color w:val="auto"/>
        </w:rPr>
        <w:t>future initiatives.</w:t>
      </w:r>
    </w:p>
    <w:p>
      <w:pPr>
        <w:ind w:left="5560"/>
        <w:spacing w:after="0" w:line="199" w:lineRule="auto"/>
        <w:rPr>
          <w:sz w:val="20"/>
          <w:szCs w:val="20"/>
          <w:color w:val="auto"/>
        </w:rPr>
      </w:pPr>
      <w:r>
        <w:rPr>
          <w:rFonts w:ascii="Arial" w:cs="Arial" w:eastAsia="Arial" w:hAnsi="Arial"/>
          <w:sz w:val="10"/>
          <w:szCs w:val="10"/>
          <w:color w:val="auto"/>
        </w:rPr>
        <w:t>Requests and questions from consumers and end-users were receive</w:t>
      </w:r>
    </w:p>
    <w:p>
      <w:pPr>
        <w:ind w:left="5560"/>
        <w:spacing w:after="0" w:line="198" w:lineRule="auto"/>
        <w:rPr>
          <w:sz w:val="20"/>
          <w:szCs w:val="20"/>
          <w:color w:val="auto"/>
        </w:rPr>
      </w:pPr>
      <w:r>
        <w:rPr>
          <w:rFonts w:ascii="Arial" w:cs="Arial" w:eastAsia="Arial" w:hAnsi="Arial"/>
          <w:sz w:val="10"/>
          <w:szCs w:val="10"/>
          <w:color w:val="auto"/>
        </w:rPr>
        <w:t>d</w:t>
      </w:r>
    </w:p>
    <w:p>
      <w:pPr>
        <w:ind w:left="5560"/>
        <w:spacing w:after="0" w:line="199" w:lineRule="auto"/>
        <w:rPr>
          <w:sz w:val="20"/>
          <w:szCs w:val="20"/>
          <w:color w:val="auto"/>
        </w:rPr>
      </w:pPr>
      <w:r>
        <w:rPr>
          <w:rFonts w:ascii="Arial" w:cs="Arial" w:eastAsia="Arial" w:hAnsi="Arial"/>
          <w:sz w:val="10"/>
          <w:szCs w:val="10"/>
          <w:color w:val="auto"/>
        </w:rPr>
        <w:t>via Genmab’s publicly available mailbox, ClinicalTrials@genmab.com,</w:t>
      </w:r>
    </w:p>
    <w:p>
      <w:pPr>
        <w:ind w:left="5560"/>
        <w:spacing w:after="0" w:line="199" w:lineRule="auto"/>
        <w:rPr>
          <w:sz w:val="20"/>
          <w:szCs w:val="20"/>
          <w:color w:val="auto"/>
        </w:rPr>
      </w:pPr>
      <w:r>
        <w:rPr>
          <w:rFonts w:ascii="Arial" w:cs="Arial" w:eastAsia="Arial" w:hAnsi="Arial"/>
          <w:sz w:val="10"/>
          <w:szCs w:val="10"/>
          <w:color w:val="auto"/>
        </w:rPr>
        <w:t>and were triaged to ensure timely responses by the appropriate</w:t>
      </w:r>
    </w:p>
    <w:p>
      <w:pPr>
        <w:ind w:left="5560"/>
        <w:spacing w:after="0" w:line="198" w:lineRule="auto"/>
        <w:rPr>
          <w:sz w:val="20"/>
          <w:szCs w:val="20"/>
          <w:color w:val="auto"/>
        </w:rPr>
      </w:pPr>
      <w:r>
        <w:rPr>
          <w:rFonts w:ascii="Arial" w:cs="Arial" w:eastAsia="Arial" w:hAnsi="Arial"/>
          <w:sz w:val="10"/>
          <w:szCs w:val="10"/>
          <w:color w:val="auto"/>
        </w:rPr>
        <w:t>functions.</w:t>
      </w:r>
    </w:p>
    <w:p>
      <w:pPr>
        <w:ind w:left="5560"/>
        <w:spacing w:after="0" w:line="199" w:lineRule="auto"/>
        <w:rPr>
          <w:sz w:val="20"/>
          <w:szCs w:val="20"/>
          <w:color w:val="auto"/>
        </w:rPr>
      </w:pPr>
      <w:r>
        <w:rPr>
          <w:rFonts w:ascii="Arial" w:cs="Arial" w:eastAsia="Arial" w:hAnsi="Arial"/>
          <w:sz w:val="10"/>
          <w:szCs w:val="10"/>
          <w:color w:val="auto"/>
        </w:rPr>
        <w:t>Through these initiatives, Genmab continues to strengthen transparen</w:t>
      </w:r>
    </w:p>
    <w:p>
      <w:pPr>
        <w:ind w:left="5560"/>
        <w:spacing w:after="0" w:line="199" w:lineRule="auto"/>
        <w:rPr>
          <w:sz w:val="20"/>
          <w:szCs w:val="20"/>
          <w:color w:val="auto"/>
        </w:rPr>
      </w:pPr>
      <w:r>
        <w:rPr>
          <w:rFonts w:ascii="Arial" w:cs="Arial" w:eastAsia="Arial" w:hAnsi="Arial"/>
          <w:sz w:val="10"/>
          <w:szCs w:val="10"/>
          <w:color w:val="auto"/>
        </w:rPr>
        <w:t>cy,</w:t>
      </w:r>
    </w:p>
    <w:p>
      <w:pPr>
        <w:ind w:left="5560"/>
        <w:spacing w:after="0" w:line="198" w:lineRule="auto"/>
        <w:rPr>
          <w:sz w:val="20"/>
          <w:szCs w:val="20"/>
          <w:color w:val="auto"/>
        </w:rPr>
      </w:pPr>
      <w:r>
        <w:rPr>
          <w:rFonts w:ascii="Arial" w:cs="Arial" w:eastAsia="Arial" w:hAnsi="Arial"/>
          <w:sz w:val="10"/>
          <w:szCs w:val="10"/>
          <w:color w:val="auto"/>
        </w:rPr>
        <w:t>build trust, and ensure that clinical trial information is communicated</w:t>
      </w:r>
    </w:p>
    <w:p>
      <w:pPr>
        <w:ind w:left="5560"/>
        <w:spacing w:after="0"/>
        <w:rPr>
          <w:sz w:val="20"/>
          <w:szCs w:val="20"/>
          <w:color w:val="auto"/>
        </w:rPr>
      </w:pPr>
      <w:r>
        <w:rPr>
          <w:rFonts w:ascii="Arial" w:cs="Arial" w:eastAsia="Arial" w:hAnsi="Arial"/>
          <w:sz w:val="10"/>
          <w:szCs w:val="10"/>
          <w:color w:val="auto"/>
        </w:rPr>
        <w:t>responsibly and meaningfully to patients and the public.</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2193290</wp:posOffset>
            </wp:positionV>
            <wp:extent cx="6781165" cy="4792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ectPr>
          <w:pgSz w:w="11900" w:h="16840" w:orient="portrait"/>
          <w:cols w:equalWidth="0" w:num="1">
            <w:col w:w="9840"/>
          </w:cols>
          <w:pgMar w:left="640" w:top="571" w:right="1420" w:bottom="1440" w:gutter="0" w:footer="0" w:header="0"/>
        </w:sectPr>
      </w:pPr>
    </w:p>
    <w:bookmarkStart w:id="130" w:name="page131"/>
    <w:bookmarkEnd w:id="130"/>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1" w:lineRule="auto"/>
        <w:rPr>
          <w:sz w:val="20"/>
          <w:szCs w:val="20"/>
          <w:color w:val="auto"/>
        </w:rPr>
      </w:pPr>
      <w:r>
        <w:rPr>
          <w:rFonts w:ascii="Arial" w:cs="Arial" w:eastAsia="Arial" w:hAnsi="Arial"/>
          <w:sz w:val="15"/>
          <w:szCs w:val="15"/>
          <w:b w:val="1"/>
          <w:bCs w:val="1"/>
          <w:color w:val="0057CF"/>
        </w:rPr>
        <w:t>5.0</w:t>
      </w:r>
    </w:p>
    <w:p>
      <w:pPr>
        <w:spacing w:after="0" w:line="1" w:lineRule="exact"/>
        <w:rPr>
          <w:sz w:val="20"/>
          <w:szCs w:val="20"/>
          <w:color w:val="auto"/>
        </w:rPr>
      </w:pPr>
    </w:p>
    <w:p>
      <w:pPr>
        <w:ind w:right="500"/>
        <w:spacing w:after="0" w:line="211" w:lineRule="auto"/>
        <w:rPr>
          <w:sz w:val="20"/>
          <w:szCs w:val="20"/>
          <w:color w:val="auto"/>
        </w:rPr>
      </w:pPr>
      <w:r>
        <w:rPr>
          <w:rFonts w:ascii="Arial" w:cs="Arial" w:eastAsia="Arial" w:hAnsi="Arial"/>
          <w:sz w:val="15"/>
          <w:szCs w:val="15"/>
          <w:color w:val="0057CF"/>
        </w:rPr>
        <w:t>Business Conduct IRO Management including Actions, Metrics and Targets</w:t>
      </w:r>
    </w:p>
    <w:p>
      <w:pPr>
        <w:ind w:right="660"/>
        <w:spacing w:after="0" w:line="211" w:lineRule="auto"/>
        <w:rPr>
          <w:sz w:val="20"/>
          <w:szCs w:val="20"/>
          <w:color w:val="auto"/>
        </w:rPr>
      </w:pPr>
      <w:r>
        <w:rPr>
          <w:rFonts w:ascii="Arial" w:cs="Arial" w:eastAsia="Arial" w:hAnsi="Arial"/>
          <w:sz w:val="13"/>
          <w:szCs w:val="13"/>
          <w:b w:val="1"/>
          <w:bCs w:val="1"/>
          <w:color w:val="0057CF"/>
        </w:rPr>
        <w:t>Business conduct policies and corporate culture (G1-1)</w:t>
      </w:r>
    </w:p>
    <w:p>
      <w:pPr>
        <w:spacing w:after="0" w:line="1" w:lineRule="exact"/>
        <w:rPr>
          <w:sz w:val="20"/>
          <w:szCs w:val="20"/>
          <w:color w:val="auto"/>
        </w:rPr>
      </w:pPr>
    </w:p>
    <w:p>
      <w:pPr>
        <w:ind w:right="240"/>
        <w:spacing w:after="0" w:line="227" w:lineRule="auto"/>
        <w:rPr>
          <w:sz w:val="20"/>
          <w:szCs w:val="20"/>
          <w:color w:val="auto"/>
        </w:rPr>
      </w:pPr>
      <w:r>
        <w:rPr>
          <w:rFonts w:ascii="Arial" w:cs="Arial" w:eastAsia="Arial" w:hAnsi="Arial"/>
          <w:sz w:val="10"/>
          <w:szCs w:val="10"/>
          <w:color w:val="auto"/>
        </w:rPr>
        <w:t>We continue to strengthen our compliance, risk, and data privacy programs to support a culture of integrity, resilience, and business continuity, enabling confident, risk -based decisions that drive patient value and align with our goals. Genmab’s policies on business conduct related matters linked to material IROs disclosed in section G1-1 include the following:</w:t>
      </w:r>
    </w:p>
    <w:p>
      <w:pPr>
        <w:spacing w:after="0" w:line="214" w:lineRule="auto"/>
        <w:rPr>
          <w:sz w:val="20"/>
          <w:szCs w:val="20"/>
          <w:color w:val="auto"/>
        </w:rPr>
      </w:pPr>
      <w:r>
        <w:rPr>
          <w:rFonts w:ascii="Arial" w:cs="Arial" w:eastAsia="Arial" w:hAnsi="Arial"/>
          <w:sz w:val="13"/>
          <w:szCs w:val="13"/>
          <w:b w:val="1"/>
          <w:bCs w:val="1"/>
          <w:color w:val="0057CF"/>
        </w:rPr>
        <w:t>Code of conduct</w:t>
      </w:r>
    </w:p>
    <w:p>
      <w:pPr>
        <w:ind w:right="240"/>
        <w:spacing w:after="0" w:line="214" w:lineRule="auto"/>
        <w:rPr>
          <w:sz w:val="20"/>
          <w:szCs w:val="20"/>
          <w:color w:val="auto"/>
        </w:rPr>
      </w:pPr>
      <w:r>
        <w:rPr>
          <w:rFonts w:ascii="Arial" w:cs="Arial" w:eastAsia="Arial" w:hAnsi="Arial"/>
          <w:sz w:val="10"/>
          <w:szCs w:val="10"/>
          <w:color w:val="auto"/>
        </w:rPr>
        <w:t>Genmab’s Code of Conduct sets high ethical standards for all employees and the Board when conducting business on behalf of Genmab. The Code of Conduct encourages team members to conduct themselves in a manner reflecting our core values, determination, integrity, innovation, and teamwork when representing the Company. Our head of Global Compliance who is a member of the CSR &amp; Sustainability Committee is responsible for the Code of Conduct and reports directly to our Chief Legal Officer. The Code of Conduct can be mapped to the positive impact of a healthy and ethical corporate culture aligned with core values and purpose.</w:t>
      </w:r>
    </w:p>
    <w:p>
      <w:pPr>
        <w:spacing w:after="0" w:line="197" w:lineRule="auto"/>
        <w:rPr>
          <w:sz w:val="20"/>
          <w:szCs w:val="20"/>
          <w:color w:val="auto"/>
        </w:rPr>
      </w:pPr>
      <w:r>
        <w:rPr>
          <w:rFonts w:ascii="Arial" w:cs="Arial" w:eastAsia="Arial" w:hAnsi="Arial"/>
          <w:sz w:val="12"/>
          <w:szCs w:val="12"/>
          <w:b w:val="1"/>
          <w:bCs w:val="1"/>
          <w:color w:val="auto"/>
        </w:rPr>
        <w:t>Actions:</w:t>
      </w:r>
    </w:p>
    <w:p>
      <w:pPr>
        <w:ind w:right="240"/>
        <w:spacing w:after="0" w:line="213" w:lineRule="auto"/>
        <w:rPr>
          <w:sz w:val="20"/>
          <w:szCs w:val="20"/>
          <w:color w:val="auto"/>
        </w:rPr>
      </w:pPr>
      <w:r>
        <w:rPr>
          <w:rFonts w:ascii="Arial" w:cs="Arial" w:eastAsia="Arial" w:hAnsi="Arial"/>
          <w:sz w:val="10"/>
          <w:szCs w:val="10"/>
          <w:b w:val="1"/>
          <w:bCs w:val="1"/>
          <w:color w:val="auto"/>
        </w:rPr>
        <w:t xml:space="preserve">Training: </w:t>
      </w:r>
      <w:r>
        <w:rPr>
          <w:rFonts w:ascii="Arial" w:cs="Arial" w:eastAsia="Arial" w:hAnsi="Arial"/>
          <w:sz w:val="10"/>
          <w:szCs w:val="10"/>
          <w:color w:val="auto"/>
        </w:rPr>
        <w:t>All employees are required to complete</w:t>
      </w:r>
      <w:r>
        <w:rPr>
          <w:rFonts w:ascii="Arial" w:cs="Arial" w:eastAsia="Arial" w:hAnsi="Arial"/>
          <w:sz w:val="10"/>
          <w:szCs w:val="10"/>
          <w:b w:val="1"/>
          <w:bCs w:val="1"/>
          <w:color w:val="auto"/>
        </w:rPr>
        <w:t xml:space="preserve"> </w:t>
      </w:r>
      <w:r>
        <w:rPr>
          <w:rFonts w:ascii="Arial" w:cs="Arial" w:eastAsia="Arial" w:hAnsi="Arial"/>
          <w:sz w:val="10"/>
          <w:szCs w:val="10"/>
          <w:color w:val="auto"/>
        </w:rPr>
        <w:t>annual training and attest to their commitment to adhere to our ethical standards. The Code of Conduct training provides an overview of our Ethical Standards, Company Values, and incorporates training vignettes that illustrate ethical approaches to common business practices. This training also reviews relevant anti -bribery and anti-corruption, regulatory, conflicts of interest, and Speak Up concepts. The Global Compliance team monitors completion of the annual Code of Conduct training and provides progress updates to function leaders and the Global Compliance and Risk Committee.</w:t>
      </w:r>
    </w:p>
    <w:p>
      <w:pPr>
        <w:spacing w:after="0" w:line="216" w:lineRule="auto"/>
        <w:rPr>
          <w:sz w:val="20"/>
          <w:szCs w:val="20"/>
          <w:color w:val="auto"/>
        </w:rPr>
      </w:pPr>
      <w:r>
        <w:rPr>
          <w:rFonts w:ascii="Arial" w:cs="Arial" w:eastAsia="Arial" w:hAnsi="Arial"/>
          <w:sz w:val="10"/>
          <w:szCs w:val="10"/>
          <w:color w:val="0057CF"/>
        </w:rPr>
        <w:t xml:space="preserve">Refer to the </w:t>
      </w:r>
      <w:r>
        <w:rPr>
          <w:rFonts w:ascii="Arial" w:cs="Arial" w:eastAsia="Arial" w:hAnsi="Arial"/>
          <w:sz w:val="10"/>
          <w:szCs w:val="10"/>
          <w:b w:val="1"/>
          <w:bCs w:val="1"/>
          <w:color w:val="0057CF"/>
        </w:rPr>
        <w:t>Code of Conduct</w:t>
      </w:r>
      <w:r>
        <w:rPr>
          <w:rFonts w:ascii="Arial" w:cs="Arial" w:eastAsia="Arial" w:hAnsi="Arial"/>
          <w:sz w:val="10"/>
          <w:szCs w:val="10"/>
          <w:color w:val="0057CF"/>
        </w:rPr>
        <w:t xml:space="preserve"> on our website.</w:t>
      </w:r>
    </w:p>
    <w:p>
      <w:pPr>
        <w:spacing w:after="0" w:line="209" w:lineRule="auto"/>
        <w:rPr>
          <w:sz w:val="20"/>
          <w:szCs w:val="20"/>
          <w:color w:val="auto"/>
        </w:rPr>
      </w:pPr>
      <w:r>
        <w:rPr>
          <w:rFonts w:ascii="Arial" w:cs="Arial" w:eastAsia="Arial" w:hAnsi="Arial"/>
          <w:sz w:val="13"/>
          <w:szCs w:val="13"/>
          <w:b w:val="1"/>
          <w:bCs w:val="1"/>
          <w:color w:val="0057CF"/>
        </w:rPr>
        <w:t>Global Compliance Policy</w:t>
      </w:r>
    </w:p>
    <w:p>
      <w:pPr>
        <w:ind w:right="220"/>
        <w:spacing w:after="0" w:line="211" w:lineRule="auto"/>
        <w:rPr>
          <w:sz w:val="20"/>
          <w:szCs w:val="20"/>
          <w:color w:val="auto"/>
        </w:rPr>
      </w:pPr>
      <w:r>
        <w:rPr>
          <w:rFonts w:ascii="Arial" w:cs="Arial" w:eastAsia="Arial" w:hAnsi="Arial"/>
          <w:sz w:val="10"/>
          <w:szCs w:val="10"/>
          <w:color w:val="auto"/>
        </w:rPr>
        <w:t>Our internal Global Compliance Policy, owned by our head of Global Compliance, outlines our standards on interactions and engagements with HCPs, healthcare organizations, patients, patient association groups and government officials consistent with applicable industry codes and standards. The policy aligns with the values and principles articulated in our Code of Conduct and is complemented by an associated Global Fair Market Value Policy and a Compliance Playbook tool to ensure stakeholder engagement is conducted in an ethical, compliant manner. Our compliance program focuses on our commercialization efforts to assure ethical market-based and customer-focused business practices. Genmab maintains a Global Compliance Program staffed by compliance professionals who monitor adherence to the policy. The Global Compliance Policy can be mapped to the positive impact of a healthy and ethical corporate culture aligned with core values and purpose.</w:t>
      </w:r>
    </w:p>
    <w:p>
      <w:pPr>
        <w:spacing w:after="0" w:line="92" w:lineRule="exact"/>
        <w:rPr>
          <w:sz w:val="20"/>
          <w:szCs w:val="20"/>
          <w:color w:val="auto"/>
        </w:rPr>
      </w:pPr>
    </w:p>
    <w:p>
      <w:pPr>
        <w:jc w:val="right"/>
        <w:spacing w:after="0"/>
        <w:tabs>
          <w:tab w:leader="none" w:pos="820" w:val="left"/>
        </w:tabs>
        <w:rPr>
          <w:rFonts w:ascii="Arial" w:cs="Arial" w:eastAsia="Arial" w:hAnsi="Arial"/>
          <w:sz w:val="8"/>
          <w:szCs w:val="8"/>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8"/>
            <w:szCs w:val="8"/>
            <w:b w:val="1"/>
            <w:bCs w:val="1"/>
            <w:color w:val="auto"/>
          </w:rPr>
          <w:t>Financial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9" w:lineRule="auto"/>
        <w:rPr>
          <w:sz w:val="20"/>
          <w:szCs w:val="20"/>
          <w:color w:val="auto"/>
        </w:rPr>
      </w:pPr>
      <w:r>
        <w:rPr>
          <w:rFonts w:ascii="Arial" w:cs="Arial" w:eastAsia="Arial" w:hAnsi="Arial"/>
          <w:sz w:val="13"/>
          <w:szCs w:val="13"/>
          <w:b w:val="1"/>
          <w:bCs w:val="1"/>
          <w:color w:val="0057CF"/>
        </w:rPr>
        <w:t>Data Ethics Policy</w:t>
      </w:r>
    </w:p>
    <w:p>
      <w:pPr>
        <w:ind w:right="220"/>
        <w:spacing w:after="0" w:line="198" w:lineRule="auto"/>
        <w:rPr>
          <w:sz w:val="20"/>
          <w:szCs w:val="20"/>
          <w:color w:val="auto"/>
        </w:rPr>
      </w:pPr>
      <w:r>
        <w:rPr>
          <w:rFonts w:ascii="Arial" w:cs="Arial" w:eastAsia="Arial" w:hAnsi="Arial"/>
          <w:sz w:val="10"/>
          <w:szCs w:val="10"/>
          <w:color w:val="auto"/>
        </w:rPr>
        <w:t>The use of data, both personal and non-personal, is essential to fulfilling our core purpose, and we are committed to handling data with integrity and in an ethical and compliant manner. Genmab has developed a global data privacy program supported by a cross- functional team of global data privacy subject matter experts and a Global Data Privacy Officer (DPO) and EU DPO dedicated to GDPR compliance and oversight.</w:t>
      </w:r>
    </w:p>
    <w:p>
      <w:pPr>
        <w:spacing w:after="0" w:line="3" w:lineRule="exact"/>
        <w:rPr>
          <w:sz w:val="20"/>
          <w:szCs w:val="20"/>
          <w:color w:val="auto"/>
        </w:rPr>
      </w:pPr>
    </w:p>
    <w:p>
      <w:pPr>
        <w:ind w:right="220"/>
        <w:spacing w:after="0" w:line="212" w:lineRule="auto"/>
        <w:rPr>
          <w:sz w:val="20"/>
          <w:szCs w:val="20"/>
          <w:color w:val="auto"/>
        </w:rPr>
      </w:pPr>
      <w:r>
        <w:rPr>
          <w:rFonts w:ascii="Arial" w:cs="Arial" w:eastAsia="Arial" w:hAnsi="Arial"/>
          <w:sz w:val="10"/>
          <w:szCs w:val="10"/>
          <w:color w:val="auto"/>
        </w:rPr>
        <w:t>Our Data Ethics Policy complies with Section 99d of the Danish Financial Statements Act, and we adopted the Data Ethics principles of the International Federation of Pharmaceutical Manufacturers &amp; Associations (IFPMA). As part of this commitment to ethical and responsible use of data and overall transparency, Genmab has made this Data Ethics Policy publicly available to all external stakeholders, and can be mapped to our potential negative impact of global data privacy. The policy and its principles are anchored in our Code of Conduct as part of our overall Compliance program, and has been communicated to our Management so they can share and consider it with team members.</w:t>
      </w:r>
    </w:p>
    <w:p>
      <w:pPr>
        <w:spacing w:after="0" w:line="215" w:lineRule="auto"/>
        <w:rPr>
          <w:sz w:val="20"/>
          <w:szCs w:val="20"/>
          <w:color w:val="auto"/>
        </w:rPr>
      </w:pPr>
      <w:r>
        <w:rPr>
          <w:rFonts w:ascii="Arial" w:cs="Arial" w:eastAsia="Arial" w:hAnsi="Arial"/>
          <w:sz w:val="10"/>
          <w:szCs w:val="10"/>
          <w:color w:val="0057CF"/>
        </w:rPr>
        <w:t xml:space="preserve">Refer to the </w:t>
      </w:r>
      <w:r>
        <w:rPr>
          <w:rFonts w:ascii="Arial" w:cs="Arial" w:eastAsia="Arial" w:hAnsi="Arial"/>
          <w:sz w:val="10"/>
          <w:szCs w:val="10"/>
          <w:b w:val="1"/>
          <w:bCs w:val="1"/>
          <w:color w:val="0057CF"/>
        </w:rPr>
        <w:t>Data Ethics Policy</w:t>
      </w:r>
      <w:r>
        <w:rPr>
          <w:rFonts w:ascii="Arial" w:cs="Arial" w:eastAsia="Arial" w:hAnsi="Arial"/>
          <w:sz w:val="10"/>
          <w:szCs w:val="10"/>
          <w:color w:val="0057CF"/>
        </w:rPr>
        <w:t xml:space="preserve"> on our website.</w:t>
      </w:r>
    </w:p>
    <w:p>
      <w:pPr>
        <w:spacing w:after="0" w:line="210" w:lineRule="auto"/>
        <w:rPr>
          <w:sz w:val="20"/>
          <w:szCs w:val="20"/>
          <w:color w:val="auto"/>
        </w:rPr>
      </w:pPr>
      <w:r>
        <w:rPr>
          <w:rFonts w:ascii="Arial" w:cs="Arial" w:eastAsia="Arial" w:hAnsi="Arial"/>
          <w:sz w:val="13"/>
          <w:szCs w:val="13"/>
          <w:b w:val="1"/>
          <w:bCs w:val="1"/>
          <w:color w:val="0057CF"/>
        </w:rPr>
        <w:t>Animal Welfare Policy</w:t>
      </w:r>
    </w:p>
    <w:p>
      <w:pPr>
        <w:ind w:right="240"/>
        <w:spacing w:after="0" w:line="198" w:lineRule="auto"/>
        <w:rPr>
          <w:sz w:val="20"/>
          <w:szCs w:val="20"/>
          <w:color w:val="auto"/>
        </w:rPr>
      </w:pPr>
      <w:r>
        <w:rPr>
          <w:rFonts w:ascii="Arial" w:cs="Arial" w:eastAsia="Arial" w:hAnsi="Arial"/>
          <w:sz w:val="10"/>
          <w:szCs w:val="10"/>
          <w:color w:val="auto"/>
        </w:rPr>
        <w:t>Genmab uses research animals only when necessary to answer essential scientific questions or meet regulatory requirements, and only when no suitable alternatives exist. Animals have intrinsic value, and we take moral and ethical responsibility for all studies, whether performed internally or externally. We maintain an animal welfare policy and supporting procedures across the US, Europe, Japan, and China that meet local regulations and reflect our high standards. Our approach emphasizes responsible, humane use of animals and is grounded in the 3Rs principles— Replacement, Reduction, and Refinement.</w:t>
      </w:r>
    </w:p>
    <w:p>
      <w:pPr>
        <w:spacing w:after="0" w:line="4" w:lineRule="exact"/>
        <w:rPr>
          <w:sz w:val="20"/>
          <w:szCs w:val="20"/>
          <w:color w:val="auto"/>
        </w:rPr>
      </w:pPr>
    </w:p>
    <w:p>
      <w:pPr>
        <w:ind w:right="240"/>
        <w:spacing w:after="0" w:line="198" w:lineRule="auto"/>
        <w:rPr>
          <w:sz w:val="20"/>
          <w:szCs w:val="20"/>
          <w:color w:val="auto"/>
        </w:rPr>
      </w:pPr>
      <w:r>
        <w:rPr>
          <w:rFonts w:ascii="Arial" w:cs="Arial" w:eastAsia="Arial" w:hAnsi="Arial"/>
          <w:sz w:val="10"/>
          <w:szCs w:val="10"/>
          <w:color w:val="auto"/>
        </w:rPr>
        <w:t>A dedicated animal welfare officer oversees compliance and continuous improvement, while our Global Animal Welfare Committee guides policy, identifies 3R opportunities, and advances transparency. Internal policies further outline requirements for all work involving animals.</w:t>
      </w:r>
    </w:p>
    <w:p>
      <w:pPr>
        <w:spacing w:after="0" w:line="2" w:lineRule="exact"/>
        <w:rPr>
          <w:sz w:val="20"/>
          <w:szCs w:val="20"/>
          <w:color w:val="auto"/>
        </w:rPr>
      </w:pPr>
    </w:p>
    <w:p>
      <w:pPr>
        <w:ind w:right="260"/>
        <w:spacing w:after="0" w:line="200" w:lineRule="auto"/>
        <w:rPr>
          <w:sz w:val="20"/>
          <w:szCs w:val="20"/>
          <w:color w:val="auto"/>
        </w:rPr>
      </w:pPr>
      <w:r>
        <w:rPr>
          <w:rFonts w:ascii="Arial" w:cs="Arial" w:eastAsia="Arial" w:hAnsi="Arial"/>
          <w:sz w:val="10"/>
          <w:szCs w:val="10"/>
          <w:color w:val="auto"/>
        </w:rPr>
        <w:t>The policy is mapped to the actual negative impact of animal welfare.</w:t>
      </w:r>
    </w:p>
    <w:p>
      <w:pPr>
        <w:spacing w:after="0" w:line="196" w:lineRule="auto"/>
        <w:rPr>
          <w:sz w:val="20"/>
          <w:szCs w:val="20"/>
          <w:color w:val="auto"/>
        </w:rPr>
      </w:pPr>
      <w:r>
        <w:rPr>
          <w:rFonts w:ascii="Arial" w:cs="Arial" w:eastAsia="Arial" w:hAnsi="Arial"/>
          <w:sz w:val="12"/>
          <w:szCs w:val="12"/>
          <w:b w:val="1"/>
          <w:bCs w:val="1"/>
          <w:color w:val="auto"/>
        </w:rPr>
        <w:t>Actions:</w:t>
      </w:r>
    </w:p>
    <w:p>
      <w:pPr>
        <w:jc w:val="both"/>
        <w:ind w:right="320"/>
        <w:spacing w:after="0" w:line="198" w:lineRule="auto"/>
        <w:rPr>
          <w:sz w:val="20"/>
          <w:szCs w:val="20"/>
          <w:color w:val="auto"/>
        </w:rPr>
      </w:pPr>
      <w:r>
        <w:rPr>
          <w:rFonts w:ascii="Arial" w:cs="Arial" w:eastAsia="Arial" w:hAnsi="Arial"/>
          <w:sz w:val="10"/>
          <w:szCs w:val="10"/>
          <w:b w:val="1"/>
          <w:bCs w:val="1"/>
          <w:color w:val="auto"/>
        </w:rPr>
        <w:t xml:space="preserve">Training: </w:t>
      </w:r>
      <w:r>
        <w:rPr>
          <w:rFonts w:ascii="Arial" w:cs="Arial" w:eastAsia="Arial" w:hAnsi="Arial"/>
          <w:sz w:val="10"/>
          <w:szCs w:val="10"/>
          <w:color w:val="auto"/>
        </w:rPr>
        <w:t>Genmab provides continuing education</w:t>
      </w:r>
      <w:r>
        <w:rPr>
          <w:rFonts w:ascii="Arial" w:cs="Arial" w:eastAsia="Arial" w:hAnsi="Arial"/>
          <w:sz w:val="10"/>
          <w:szCs w:val="10"/>
          <w:b w:val="1"/>
          <w:bCs w:val="1"/>
          <w:color w:val="auto"/>
        </w:rPr>
        <w:t xml:space="preserve"> </w:t>
      </w:r>
      <w:r>
        <w:rPr>
          <w:rFonts w:ascii="Arial" w:cs="Arial" w:eastAsia="Arial" w:hAnsi="Arial"/>
          <w:sz w:val="10"/>
          <w:szCs w:val="10"/>
          <w:color w:val="auto"/>
        </w:rPr>
        <w:t>to team members working with animals on ethical treatment of animals.</w:t>
      </w:r>
    </w:p>
    <w:p>
      <w:pPr>
        <w:spacing w:after="0" w:line="1" w:lineRule="exact"/>
        <w:rPr>
          <w:sz w:val="20"/>
          <w:szCs w:val="20"/>
          <w:color w:val="auto"/>
        </w:rPr>
      </w:pPr>
    </w:p>
    <w:p>
      <w:pPr>
        <w:ind w:right="240"/>
        <w:spacing w:after="0" w:line="200" w:lineRule="auto"/>
        <w:rPr>
          <w:sz w:val="20"/>
          <w:szCs w:val="20"/>
          <w:color w:val="auto"/>
        </w:rPr>
      </w:pPr>
      <w:r>
        <w:rPr>
          <w:rFonts w:ascii="Arial" w:cs="Arial" w:eastAsia="Arial" w:hAnsi="Arial"/>
          <w:sz w:val="10"/>
          <w:szCs w:val="10"/>
          <w:b w:val="1"/>
          <w:bCs w:val="1"/>
          <w:color w:val="auto"/>
        </w:rPr>
        <w:t xml:space="preserve">Audits: </w:t>
      </w:r>
      <w:r>
        <w:rPr>
          <w:rFonts w:ascii="Arial" w:cs="Arial" w:eastAsia="Arial" w:hAnsi="Arial"/>
          <w:sz w:val="10"/>
          <w:szCs w:val="10"/>
          <w:color w:val="auto"/>
        </w:rPr>
        <w:t>Genmab performs animal welfare audits</w:t>
      </w:r>
      <w:r>
        <w:rPr>
          <w:rFonts w:ascii="Arial" w:cs="Arial" w:eastAsia="Arial" w:hAnsi="Arial"/>
          <w:sz w:val="10"/>
          <w:szCs w:val="10"/>
          <w:b w:val="1"/>
          <w:bCs w:val="1"/>
          <w:color w:val="auto"/>
        </w:rPr>
        <w:t xml:space="preserve"> </w:t>
      </w:r>
      <w:r>
        <w:rPr>
          <w:rFonts w:ascii="Arial" w:cs="Arial" w:eastAsia="Arial" w:hAnsi="Arial"/>
          <w:sz w:val="10"/>
          <w:szCs w:val="10"/>
          <w:color w:val="auto"/>
        </w:rPr>
        <w:t>at external contractors, when required, to ensure contractors maintain comparable high standards for animal use and care as we do internally.</w:t>
      </w:r>
    </w:p>
    <w:p>
      <w:pPr>
        <w:spacing w:after="0" w:line="209" w:lineRule="auto"/>
        <w:rPr>
          <w:sz w:val="20"/>
          <w:szCs w:val="20"/>
          <w:color w:val="auto"/>
        </w:rPr>
      </w:pPr>
      <w:r>
        <w:rPr>
          <w:rFonts w:ascii="Arial" w:cs="Arial" w:eastAsia="Arial" w:hAnsi="Arial"/>
          <w:sz w:val="13"/>
          <w:szCs w:val="13"/>
          <w:b w:val="1"/>
          <w:bCs w:val="1"/>
          <w:color w:val="0057CF"/>
        </w:rPr>
        <w:t>Global Procurement Policy</w:t>
      </w:r>
    </w:p>
    <w:p>
      <w:pPr>
        <w:ind w:right="240"/>
        <w:spacing w:after="0" w:line="198" w:lineRule="auto"/>
        <w:rPr>
          <w:sz w:val="20"/>
          <w:szCs w:val="20"/>
          <w:color w:val="auto"/>
        </w:rPr>
      </w:pPr>
      <w:r>
        <w:rPr>
          <w:rFonts w:ascii="Arial" w:cs="Arial" w:eastAsia="Arial" w:hAnsi="Arial"/>
          <w:sz w:val="10"/>
          <w:szCs w:val="10"/>
          <w:color w:val="auto"/>
        </w:rPr>
        <w:t>Genmab’s Global Procurement Policy is an important tool utilized by our team members to steer the procurement practices and increase financial cost control and transparency within Genmab. Furthermore, the Policy helps assess and mitigate risk, ensure selection and maintenance of high-quality, regulatory -compliant third parties, through a transparent, fair, and compliant process. Genmab’s CFO is responsible for the policy, which is available on Genmab’s intranet.</w:t>
      </w:r>
    </w:p>
    <w:p>
      <w:pPr>
        <w:spacing w:after="0" w:line="3" w:lineRule="exact"/>
        <w:rPr>
          <w:sz w:val="20"/>
          <w:szCs w:val="20"/>
          <w:color w:val="auto"/>
        </w:rPr>
      </w:pPr>
    </w:p>
    <w:p>
      <w:pPr>
        <w:ind w:right="240"/>
        <w:spacing w:after="0" w:line="220" w:lineRule="auto"/>
        <w:rPr>
          <w:sz w:val="20"/>
          <w:szCs w:val="20"/>
          <w:color w:val="auto"/>
        </w:rPr>
      </w:pPr>
      <w:r>
        <w:rPr>
          <w:rFonts w:ascii="Arial" w:cs="Arial" w:eastAsia="Arial" w:hAnsi="Arial"/>
          <w:sz w:val="10"/>
          <w:szCs w:val="10"/>
          <w:color w:val="auto"/>
        </w:rPr>
        <w:t>Genmab’s Global Procurement Policy requires suppliers to be fully onboarded before any commercial engagement to enable timely payment.</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rFonts w:ascii="Arial" w:cs="Arial" w:eastAsia="Arial" w:hAnsi="Arial"/>
          <w:sz w:val="8"/>
          <w:szCs w:val="8"/>
          <w:color w:val="auto"/>
        </w:rPr>
      </w:pPr>
      <w:hyperlink w:anchor="page171">
        <w:r>
          <w:rPr>
            <w:rFonts w:ascii="Arial" w:cs="Arial" w:eastAsia="Arial" w:hAnsi="Arial"/>
            <w:sz w:val="8"/>
            <w:szCs w:val="8"/>
            <w:color w:val="auto"/>
          </w:rPr>
          <w:t>Other Information</w:t>
        </w:r>
      </w:hyperlink>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tab/>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100</w:t>
      </w:r>
    </w:p>
    <w:p>
      <w:pPr>
        <w:sectPr>
          <w:pgSz w:w="11900" w:h="16840" w:orient="portrait"/>
          <w:cols w:equalWidth="0" w:num="3">
            <w:col w:w="2620" w:space="520"/>
            <w:col w:w="4260" w:space="720"/>
            <w:col w:w="1700"/>
          </w:cols>
          <w:pgMar w:left="640" w:top="571" w:right="1440" w:bottom="484" w:gutter="0" w:footer="0" w:header="0"/>
        </w:sectPr>
      </w:pPr>
    </w:p>
    <w:bookmarkStart w:id="131" w:name="page132"/>
    <w:bookmarkEnd w:id="131"/>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101</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09" w:lineRule="auto"/>
        <w:rPr>
          <w:sz w:val="20"/>
          <w:szCs w:val="20"/>
          <w:color w:val="auto"/>
        </w:rPr>
      </w:pPr>
      <w:r>
        <w:rPr>
          <w:rFonts w:ascii="Arial" w:cs="Arial" w:eastAsia="Arial" w:hAnsi="Arial"/>
          <w:sz w:val="13"/>
          <w:szCs w:val="13"/>
          <w:b w:val="1"/>
          <w:bCs w:val="1"/>
          <w:color w:val="0057CF"/>
        </w:rPr>
        <w:t>Management of relationships with suppliers (G1-2)</w:t>
      </w:r>
    </w:p>
    <w:p>
      <w:pPr>
        <w:ind w:right="320"/>
        <w:spacing w:after="0" w:line="198" w:lineRule="auto"/>
        <w:rPr>
          <w:sz w:val="20"/>
          <w:szCs w:val="20"/>
          <w:color w:val="auto"/>
        </w:rPr>
      </w:pPr>
      <w:r>
        <w:rPr>
          <w:rFonts w:ascii="Arial" w:cs="Arial" w:eastAsia="Arial" w:hAnsi="Arial"/>
          <w:sz w:val="10"/>
          <w:szCs w:val="10"/>
          <w:color w:val="auto"/>
        </w:rPr>
        <w:t>Genmab’s Global Procurement functions which include, R&amp;D Contract Management, Lab Purchase Management, CMC Commercial Supply Chain and Global Procurement (collectively known as “Procurement”) are created to be a trusted value adding partner to both internal and external stakeholders across the entire Genmab value chain.</w:t>
      </w:r>
    </w:p>
    <w:p>
      <w:pPr>
        <w:spacing w:after="0" w:line="1" w:lineRule="exact"/>
        <w:rPr>
          <w:rFonts w:ascii="Arial" w:cs="Arial" w:eastAsia="Arial" w:hAnsi="Arial"/>
          <w:sz w:val="10"/>
          <w:szCs w:val="10"/>
          <w:b w:val="1"/>
          <w:bCs w:val="1"/>
          <w:color w:val="auto"/>
        </w:rPr>
      </w:pPr>
    </w:p>
    <w:p>
      <w:pPr>
        <w:spacing w:after="0" w:line="198" w:lineRule="auto"/>
        <w:rPr>
          <w:sz w:val="20"/>
          <w:szCs w:val="20"/>
          <w:color w:val="auto"/>
        </w:rPr>
      </w:pPr>
      <w:r>
        <w:rPr>
          <w:rFonts w:ascii="Arial" w:cs="Arial" w:eastAsia="Arial" w:hAnsi="Arial"/>
          <w:sz w:val="10"/>
          <w:szCs w:val="10"/>
          <w:color w:val="auto"/>
        </w:rPr>
        <w:t>Our Global Procurement function implemented a dedicated supplier vetting tool which serves as a single point of entry for all new suppliers. Information technology &amp; digital, quality assurance, compliance and risk, and legal functions are involved when the risk score is elevated based on a fact-based approach. Our vetting process focuses on financial health, international sanctions, regulatory and reputational risks, and other key issues. Suppliers in sanctioned countries are subject to additional legal review before payments may be processed. All Genmab suppliers are vetted against unethical business practices, including adverse media, U.S. and EU Sanctions lists and the Global Corruption Index as well as a review of the financial health of the third party.</w:t>
      </w:r>
    </w:p>
    <w:p>
      <w:pPr>
        <w:spacing w:after="0" w:line="1" w:lineRule="exact"/>
        <w:rPr>
          <w:rFonts w:ascii="Arial" w:cs="Arial" w:eastAsia="Arial" w:hAnsi="Arial"/>
          <w:sz w:val="10"/>
          <w:szCs w:val="10"/>
          <w:b w:val="1"/>
          <w:bCs w:val="1"/>
          <w:color w:val="auto"/>
        </w:rPr>
      </w:pPr>
    </w:p>
    <w:p>
      <w:pPr>
        <w:ind w:right="100"/>
        <w:spacing w:after="0" w:line="201" w:lineRule="auto"/>
        <w:rPr>
          <w:sz w:val="20"/>
          <w:szCs w:val="20"/>
          <w:color w:val="auto"/>
        </w:rPr>
      </w:pPr>
      <w:r>
        <w:rPr>
          <w:rFonts w:ascii="Arial" w:cs="Arial" w:eastAsia="Arial" w:hAnsi="Arial"/>
          <w:sz w:val="10"/>
          <w:szCs w:val="10"/>
          <w:color w:val="auto"/>
        </w:rPr>
        <w:t>Our Global Procurement Policy and Supplier Code of Conduct reflect our strong supplier management practices, which emphasize compliance with our Code of Conduct. The Global Procurement team is responsible for setting, monitoring and ensuring achievement of related targets.</w:t>
      </w:r>
    </w:p>
    <w:p>
      <w:pPr>
        <w:spacing w:after="0"/>
        <w:rPr>
          <w:sz w:val="20"/>
          <w:szCs w:val="20"/>
          <w:color w:val="auto"/>
        </w:rPr>
      </w:pPr>
      <w:r>
        <w:rPr>
          <w:rFonts w:ascii="Arial" w:cs="Arial" w:eastAsia="Arial" w:hAnsi="Arial"/>
          <w:sz w:val="13"/>
          <w:szCs w:val="13"/>
          <w:b w:val="1"/>
          <w:bCs w:val="1"/>
          <w:color w:val="0057CF"/>
        </w:rPr>
        <w:t>Actions / Targets related to Suppliers: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243320" cy="120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6243320" cy="12065"/>
                    </a:xfrm>
                    <a:prstGeom prst="rect">
                      <a:avLst/>
                    </a:prstGeom>
                    <a:noFill/>
                  </pic:spPr>
                </pic:pic>
              </a:graphicData>
            </a:graphic>
          </wp:anchor>
        </w:drawing>
      </w:r>
    </w:p>
    <w:p>
      <w:pPr>
        <w:sectPr>
          <w:pgSz w:w="11900" w:h="16840" w:orient="portrait"/>
          <w:cols w:equalWidth="0" w:num="1">
            <w:col w:w="10020"/>
          </w:cols>
          <w:pgMar w:left="640" w:top="571" w:right="1240" w:bottom="543" w:gutter="0" w:footer="0" w:header="0"/>
        </w:sectPr>
      </w:pPr>
    </w:p>
    <w:p>
      <w:pPr>
        <w:spacing w:after="0" w:line="18" w:lineRule="exact"/>
        <w:rPr>
          <w:rFonts w:ascii="Arial" w:cs="Arial" w:eastAsia="Arial" w:hAnsi="Arial"/>
          <w:sz w:val="10"/>
          <w:szCs w:val="10"/>
          <w:b w:val="1"/>
          <w:bCs w:val="1"/>
          <w:color w:val="auto"/>
        </w:rPr>
      </w:pPr>
    </w:p>
    <w:tbl>
      <w:tblPr>
        <w:tblLayout w:type="fixed"/>
        <w:tblInd w:w="20" w:type="dxa"/>
        <w:tblCellMar>
          <w:top w:w="0" w:type="dxa"/>
          <w:left w:w="0" w:type="dxa"/>
          <w:bottom w:w="0" w:type="dxa"/>
          <w:right w:w="0" w:type="dxa"/>
        </w:tblCellMar>
      </w:tblPr>
      <w:tr>
        <w:trPr>
          <w:trHeight w:val="115"/>
        </w:trPr>
        <w:tc>
          <w:tcPr>
            <w:tcW w:w="660" w:type="dxa"/>
            <w:vAlign w:val="bottom"/>
          </w:tcPr>
          <w:p>
            <w:pPr>
              <w:spacing w:after="0"/>
              <w:rPr>
                <w:sz w:val="20"/>
                <w:szCs w:val="20"/>
                <w:color w:val="auto"/>
              </w:rPr>
            </w:pPr>
            <w:r>
              <w:rPr>
                <w:rFonts w:ascii="Arial" w:cs="Arial" w:eastAsia="Arial" w:hAnsi="Arial"/>
                <w:sz w:val="10"/>
                <w:szCs w:val="10"/>
                <w:b w:val="1"/>
                <w:bCs w:val="1"/>
                <w:color w:val="auto"/>
              </w:rPr>
              <w:t>IRO</w:t>
            </w:r>
          </w:p>
        </w:tc>
        <w:tc>
          <w:tcPr>
            <w:tcW w:w="1900" w:type="dxa"/>
            <w:vAlign w:val="bottom"/>
          </w:tcPr>
          <w:p>
            <w:pPr>
              <w:ind w:left="60"/>
              <w:spacing w:after="0"/>
              <w:rPr>
                <w:sz w:val="20"/>
                <w:szCs w:val="20"/>
                <w:color w:val="auto"/>
              </w:rPr>
            </w:pPr>
            <w:r>
              <w:rPr>
                <w:rFonts w:ascii="Arial" w:cs="Arial" w:eastAsia="Arial" w:hAnsi="Arial"/>
                <w:sz w:val="10"/>
                <w:szCs w:val="10"/>
                <w:b w:val="1"/>
                <w:bCs w:val="1"/>
                <w:color w:val="auto"/>
              </w:rPr>
              <w:t>Key Actions in 2025</w:t>
            </w:r>
          </w:p>
        </w:tc>
        <w:tc>
          <w:tcPr>
            <w:tcW w:w="2680" w:type="dxa"/>
            <w:vAlign w:val="bottom"/>
          </w:tcPr>
          <w:p>
            <w:pPr>
              <w:ind w:left="440"/>
              <w:spacing w:after="0"/>
              <w:rPr>
                <w:sz w:val="20"/>
                <w:szCs w:val="20"/>
                <w:color w:val="auto"/>
              </w:rPr>
            </w:pPr>
            <w:r>
              <w:rPr>
                <w:rFonts w:ascii="Arial" w:cs="Arial" w:eastAsia="Arial" w:hAnsi="Arial"/>
                <w:sz w:val="10"/>
                <w:szCs w:val="10"/>
                <w:b w:val="1"/>
                <w:bCs w:val="1"/>
                <w:color w:val="auto"/>
              </w:rPr>
              <w:t>Targets</w:t>
            </w:r>
          </w:p>
        </w:tc>
        <w:tc>
          <w:tcPr>
            <w:tcW w:w="2260" w:type="dxa"/>
            <w:vAlign w:val="bottom"/>
          </w:tcPr>
          <w:p>
            <w:pPr>
              <w:ind w:left="40"/>
              <w:spacing w:after="0"/>
              <w:rPr>
                <w:sz w:val="20"/>
                <w:szCs w:val="20"/>
                <w:color w:val="auto"/>
              </w:rPr>
            </w:pPr>
            <w:r>
              <w:rPr>
                <w:rFonts w:ascii="Arial" w:cs="Arial" w:eastAsia="Arial" w:hAnsi="Arial"/>
                <w:sz w:val="10"/>
                <w:szCs w:val="10"/>
                <w:b w:val="1"/>
                <w:bCs w:val="1"/>
                <w:color w:val="auto"/>
              </w:rPr>
              <w:t>Outcomes / Tracking Effectiveness</w:t>
            </w:r>
          </w:p>
        </w:tc>
        <w:tc>
          <w:tcPr>
            <w:tcW w:w="0" w:type="dxa"/>
            <w:vAlign w:val="bottom"/>
          </w:tcPr>
          <w:p>
            <w:pPr>
              <w:spacing w:after="0"/>
              <w:rPr>
                <w:sz w:val="1"/>
                <w:szCs w:val="1"/>
                <w:color w:val="auto"/>
              </w:rPr>
            </w:pPr>
          </w:p>
        </w:tc>
      </w:tr>
      <w:tr>
        <w:trPr>
          <w:trHeight w:val="105"/>
        </w:trPr>
        <w:tc>
          <w:tcPr>
            <w:tcW w:w="660" w:type="dxa"/>
            <w:vAlign w:val="bottom"/>
          </w:tcPr>
          <w:p>
            <w:pPr>
              <w:spacing w:after="0" w:line="105" w:lineRule="exact"/>
              <w:rPr>
                <w:sz w:val="20"/>
                <w:szCs w:val="20"/>
                <w:color w:val="auto"/>
              </w:rPr>
            </w:pPr>
            <w:r>
              <w:rPr>
                <w:rFonts w:ascii="Arial" w:cs="Arial" w:eastAsia="Arial" w:hAnsi="Arial"/>
                <w:sz w:val="10"/>
                <w:szCs w:val="10"/>
                <w:color w:val="auto"/>
              </w:rPr>
              <w:t>Management</w:t>
            </w:r>
          </w:p>
        </w:tc>
        <w:tc>
          <w:tcPr>
            <w:tcW w:w="4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 xml:space="preserve">Leadership transition: </w:t>
            </w:r>
            <w:r>
              <w:rPr>
                <w:rFonts w:ascii="Arial" w:cs="Arial" w:eastAsia="Arial" w:hAnsi="Arial"/>
                <w:sz w:val="10"/>
                <w:szCs w:val="10"/>
                <w:color w:val="auto"/>
              </w:rPr>
              <w:t>Responsibility for Suppli Acceptance of Genmab’s Supplier Code of</w:t>
            </w:r>
          </w:p>
        </w:tc>
        <w:tc>
          <w:tcPr>
            <w:tcW w:w="2260" w:type="dxa"/>
            <w:vAlign w:val="bottom"/>
          </w:tcPr>
          <w:p>
            <w:pPr>
              <w:ind w:left="40"/>
              <w:spacing w:after="0" w:line="105" w:lineRule="exact"/>
              <w:rPr>
                <w:sz w:val="20"/>
                <w:szCs w:val="20"/>
                <w:color w:val="auto"/>
              </w:rPr>
            </w:pPr>
            <w:r>
              <w:rPr>
                <w:rFonts w:ascii="Arial" w:cs="Arial" w:eastAsia="Arial" w:hAnsi="Arial"/>
                <w:sz w:val="10"/>
                <w:szCs w:val="10"/>
                <w:color w:val="auto"/>
              </w:rPr>
              <w:t>Target not achieved in 2025. The target was</w:t>
            </w:r>
          </w:p>
        </w:tc>
        <w:tc>
          <w:tcPr>
            <w:tcW w:w="0" w:type="dxa"/>
            <w:vAlign w:val="bottom"/>
          </w:tcPr>
          <w:p>
            <w:pPr>
              <w:spacing w:after="0"/>
              <w:rPr>
                <w:sz w:val="1"/>
                <w:szCs w:val="1"/>
                <w:color w:val="auto"/>
              </w:rPr>
            </w:pPr>
          </w:p>
        </w:tc>
      </w:tr>
      <w:tr>
        <w:trPr>
          <w:trHeight w:val="95"/>
        </w:trPr>
        <w:tc>
          <w:tcPr>
            <w:tcW w:w="660" w:type="dxa"/>
            <w:vAlign w:val="bottom"/>
          </w:tcPr>
          <w:p>
            <w:pPr>
              <w:spacing w:after="0" w:line="95" w:lineRule="exact"/>
              <w:rPr>
                <w:sz w:val="20"/>
                <w:szCs w:val="20"/>
                <w:color w:val="auto"/>
              </w:rPr>
            </w:pPr>
            <w:r>
              <w:rPr>
                <w:rFonts w:ascii="Arial" w:cs="Arial" w:eastAsia="Arial" w:hAnsi="Arial"/>
                <w:sz w:val="10"/>
                <w:szCs w:val="10"/>
                <w:color w:val="auto"/>
              </w:rPr>
              <w:t>of suppliers</w:t>
            </w:r>
          </w:p>
        </w:tc>
        <w:tc>
          <w:tcPr>
            <w:tcW w:w="1900" w:type="dxa"/>
            <w:vAlign w:val="bottom"/>
          </w:tcPr>
          <w:p>
            <w:pPr>
              <w:ind w:left="60"/>
              <w:spacing w:after="0" w:line="95" w:lineRule="exact"/>
              <w:rPr>
                <w:sz w:val="20"/>
                <w:szCs w:val="20"/>
                <w:color w:val="auto"/>
              </w:rPr>
            </w:pPr>
            <w:r>
              <w:rPr>
                <w:rFonts w:ascii="Arial" w:cs="Arial" w:eastAsia="Arial" w:hAnsi="Arial"/>
                <w:sz w:val="10"/>
                <w:szCs w:val="10"/>
                <w:color w:val="auto"/>
              </w:rPr>
              <w:t>er</w:t>
            </w:r>
          </w:p>
        </w:tc>
        <w:tc>
          <w:tcPr>
            <w:tcW w:w="2680" w:type="dxa"/>
            <w:vAlign w:val="bottom"/>
          </w:tcPr>
          <w:p>
            <w:pPr>
              <w:ind w:left="440"/>
              <w:spacing w:after="0" w:line="95" w:lineRule="exact"/>
              <w:rPr>
                <w:sz w:val="20"/>
                <w:szCs w:val="20"/>
                <w:color w:val="auto"/>
              </w:rPr>
            </w:pPr>
            <w:r>
              <w:rPr>
                <w:rFonts w:ascii="Arial" w:cs="Arial" w:eastAsia="Arial" w:hAnsi="Arial"/>
                <w:sz w:val="10"/>
                <w:szCs w:val="10"/>
                <w:color w:val="auto"/>
              </w:rPr>
              <w:t>Conduct by 80% of suppliers by spend by 2025.</w:t>
            </w:r>
          </w:p>
        </w:tc>
        <w:tc>
          <w:tcPr>
            <w:tcW w:w="2260" w:type="dxa"/>
            <w:vAlign w:val="bottom"/>
          </w:tcPr>
          <w:p>
            <w:pPr>
              <w:ind w:left="40"/>
              <w:spacing w:after="0" w:line="95" w:lineRule="exact"/>
              <w:rPr>
                <w:sz w:val="20"/>
                <w:szCs w:val="20"/>
                <w:color w:val="auto"/>
              </w:rPr>
            </w:pPr>
            <w:r>
              <w:rPr>
                <w:rFonts w:ascii="Arial" w:cs="Arial" w:eastAsia="Arial" w:hAnsi="Arial"/>
                <w:sz w:val="10"/>
                <w:szCs w:val="10"/>
                <w:color w:val="auto"/>
              </w:rPr>
              <w:t>initially set for 2025; however, Genmab did not</w:t>
            </w:r>
          </w:p>
        </w:tc>
        <w:tc>
          <w:tcPr>
            <w:tcW w:w="0" w:type="dxa"/>
            <w:vAlign w:val="bottom"/>
          </w:tcPr>
          <w:p>
            <w:pPr>
              <w:spacing w:after="0"/>
              <w:rPr>
                <w:sz w:val="1"/>
                <w:szCs w:val="1"/>
                <w:color w:val="auto"/>
              </w:rPr>
            </w:pPr>
          </w:p>
        </w:tc>
      </w:tr>
      <w:tr>
        <w:trPr>
          <w:trHeight w:val="95"/>
        </w:trPr>
        <w:tc>
          <w:tcPr>
            <w:tcW w:w="660" w:type="dxa"/>
            <w:vAlign w:val="bottom"/>
          </w:tcPr>
          <w:p>
            <w:pPr>
              <w:spacing w:after="0" w:line="95" w:lineRule="exact"/>
              <w:rPr>
                <w:sz w:val="20"/>
                <w:szCs w:val="20"/>
                <w:color w:val="auto"/>
              </w:rPr>
            </w:pPr>
            <w:r>
              <w:rPr>
                <w:rFonts w:ascii="Arial" w:cs="Arial" w:eastAsia="Arial" w:hAnsi="Arial"/>
                <w:sz w:val="10"/>
                <w:szCs w:val="10"/>
                <w:color w:val="auto"/>
              </w:rPr>
              <w:t>(potential</w:t>
            </w:r>
          </w:p>
        </w:tc>
        <w:tc>
          <w:tcPr>
            <w:tcW w:w="6840" w:type="dxa"/>
            <w:vAlign w:val="bottom"/>
            <w:gridSpan w:val="3"/>
          </w:tcPr>
          <w:p>
            <w:pPr>
              <w:ind w:left="60"/>
              <w:spacing w:after="0" w:line="95" w:lineRule="exact"/>
              <w:rPr>
                <w:sz w:val="20"/>
                <w:szCs w:val="20"/>
                <w:color w:val="auto"/>
              </w:rPr>
            </w:pPr>
            <w:r>
              <w:rPr>
                <w:rFonts w:ascii="Arial" w:cs="Arial" w:eastAsia="Arial" w:hAnsi="Arial"/>
                <w:sz w:val="10"/>
                <w:szCs w:val="10"/>
                <w:color w:val="auto"/>
              </w:rPr>
              <w:t>Code of Conduct implementation moved to a newThe target supports key governance areas in the meet this target date due to a lack of systematic</w:t>
            </w:r>
          </w:p>
        </w:tc>
        <w:tc>
          <w:tcPr>
            <w:tcW w:w="0" w:type="dxa"/>
            <w:vAlign w:val="bottom"/>
          </w:tcPr>
          <w:p>
            <w:pPr>
              <w:spacing w:after="0"/>
              <w:rPr>
                <w:sz w:val="1"/>
                <w:szCs w:val="1"/>
                <w:color w:val="auto"/>
              </w:rPr>
            </w:pPr>
          </w:p>
        </w:tc>
      </w:tr>
      <w:tr>
        <w:trPr>
          <w:trHeight w:val="95"/>
        </w:trPr>
        <w:tc>
          <w:tcPr>
            <w:tcW w:w="660" w:type="dxa"/>
            <w:vAlign w:val="bottom"/>
          </w:tcPr>
          <w:p>
            <w:pPr>
              <w:spacing w:after="0" w:line="95" w:lineRule="exact"/>
              <w:rPr>
                <w:sz w:val="20"/>
                <w:szCs w:val="20"/>
                <w:color w:val="auto"/>
              </w:rPr>
            </w:pPr>
            <w:r>
              <w:rPr>
                <w:rFonts w:ascii="Arial" w:cs="Arial" w:eastAsia="Arial" w:hAnsi="Arial"/>
                <w:sz w:val="10"/>
                <w:szCs w:val="10"/>
                <w:color w:val="auto"/>
              </w:rPr>
              <w:t>negative</w:t>
            </w:r>
          </w:p>
        </w:tc>
        <w:tc>
          <w:tcPr>
            <w:tcW w:w="1900" w:type="dxa"/>
            <w:vAlign w:val="bottom"/>
            <w:vMerge w:val="restart"/>
          </w:tcPr>
          <w:p>
            <w:pPr>
              <w:ind w:left="60"/>
              <w:spacing w:after="0"/>
              <w:rPr>
                <w:sz w:val="20"/>
                <w:szCs w:val="20"/>
                <w:color w:val="auto"/>
              </w:rPr>
            </w:pPr>
            <w:r>
              <w:rPr>
                <w:rFonts w:ascii="Arial" w:cs="Arial" w:eastAsia="Arial" w:hAnsi="Arial"/>
                <w:sz w:val="10"/>
                <w:szCs w:val="10"/>
                <w:color w:val="auto"/>
              </w:rPr>
              <w:t>Procurement VP in mid-2025.</w:t>
            </w:r>
          </w:p>
        </w:tc>
        <w:tc>
          <w:tcPr>
            <w:tcW w:w="2680" w:type="dxa"/>
            <w:vAlign w:val="bottom"/>
            <w:vMerge w:val="restart"/>
          </w:tcPr>
          <w:p>
            <w:pPr>
              <w:ind w:left="440"/>
              <w:spacing w:after="0"/>
              <w:rPr>
                <w:sz w:val="20"/>
                <w:szCs w:val="20"/>
                <w:color w:val="auto"/>
              </w:rPr>
            </w:pPr>
            <w:r>
              <w:rPr>
                <w:rFonts w:ascii="Arial" w:cs="Arial" w:eastAsia="Arial" w:hAnsi="Arial"/>
                <w:sz w:val="10"/>
                <w:szCs w:val="10"/>
                <w:color w:val="auto"/>
              </w:rPr>
              <w:t>Supplier Code of Conduct, including legal</w:t>
            </w:r>
          </w:p>
        </w:tc>
        <w:tc>
          <w:tcPr>
            <w:tcW w:w="2260" w:type="dxa"/>
            <w:vAlign w:val="bottom"/>
          </w:tcPr>
          <w:p>
            <w:pPr>
              <w:ind w:left="40"/>
              <w:spacing w:after="0" w:line="95" w:lineRule="exact"/>
              <w:rPr>
                <w:sz w:val="20"/>
                <w:szCs w:val="20"/>
                <w:color w:val="auto"/>
              </w:rPr>
            </w:pPr>
            <w:r>
              <w:rPr>
                <w:rFonts w:ascii="Arial" w:cs="Arial" w:eastAsia="Arial" w:hAnsi="Arial"/>
                <w:sz w:val="10"/>
                <w:szCs w:val="10"/>
                <w:color w:val="auto"/>
              </w:rPr>
              <w:t>initiation and monitoring during the initial</w:t>
            </w:r>
          </w:p>
        </w:tc>
        <w:tc>
          <w:tcPr>
            <w:tcW w:w="0" w:type="dxa"/>
            <w:vAlign w:val="bottom"/>
          </w:tcPr>
          <w:p>
            <w:pPr>
              <w:spacing w:after="0"/>
              <w:rPr>
                <w:sz w:val="1"/>
                <w:szCs w:val="1"/>
                <w:color w:val="auto"/>
              </w:rPr>
            </w:pPr>
          </w:p>
        </w:tc>
      </w:tr>
      <w:tr>
        <w:trPr>
          <w:trHeight w:val="95"/>
        </w:trPr>
        <w:tc>
          <w:tcPr>
            <w:tcW w:w="660" w:type="dxa"/>
            <w:vAlign w:val="bottom"/>
          </w:tcPr>
          <w:p>
            <w:pPr>
              <w:spacing w:after="0" w:line="95" w:lineRule="exact"/>
              <w:rPr>
                <w:sz w:val="20"/>
                <w:szCs w:val="20"/>
                <w:color w:val="auto"/>
              </w:rPr>
            </w:pPr>
            <w:r>
              <w:rPr>
                <w:rFonts w:ascii="Arial" w:cs="Arial" w:eastAsia="Arial" w:hAnsi="Arial"/>
                <w:sz w:val="10"/>
                <w:szCs w:val="10"/>
                <w:color w:val="auto"/>
              </w:rPr>
              <w:t>impact)</w:t>
            </w:r>
          </w:p>
        </w:tc>
        <w:tc>
          <w:tcPr>
            <w:tcW w:w="190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2260" w:type="dxa"/>
            <w:vAlign w:val="bottom"/>
          </w:tcPr>
          <w:p>
            <w:pPr>
              <w:ind w:left="40"/>
              <w:spacing w:after="0" w:line="95" w:lineRule="exact"/>
              <w:rPr>
                <w:sz w:val="20"/>
                <w:szCs w:val="20"/>
                <w:color w:val="auto"/>
              </w:rPr>
            </w:pPr>
            <w:r>
              <w:rPr>
                <w:rFonts w:ascii="Arial" w:cs="Arial" w:eastAsia="Arial" w:hAnsi="Arial"/>
                <w:sz w:val="10"/>
                <w:szCs w:val="10"/>
                <w:color w:val="auto"/>
              </w:rPr>
              <w:t>implementation phase. Responsibility has since</w:t>
            </w: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4580" w:type="dxa"/>
            <w:vAlign w:val="bottom"/>
            <w:gridSpan w:val="2"/>
          </w:tcPr>
          <w:p>
            <w:pPr>
              <w:ind w:left="60"/>
              <w:spacing w:after="0" w:line="95" w:lineRule="exact"/>
              <w:rPr>
                <w:sz w:val="20"/>
                <w:szCs w:val="20"/>
                <w:color w:val="auto"/>
              </w:rPr>
            </w:pPr>
            <w:r>
              <w:rPr>
                <w:rFonts w:ascii="Arial" w:cs="Arial" w:eastAsia="Arial" w:hAnsi="Arial"/>
                <w:sz w:val="10"/>
                <w:szCs w:val="10"/>
                <w:b w:val="1"/>
                <w:bCs w:val="1"/>
                <w:color w:val="auto"/>
              </w:rPr>
              <w:t xml:space="preserve">Process review: </w:t>
            </w:r>
            <w:r>
              <w:rPr>
                <w:rFonts w:ascii="Arial" w:cs="Arial" w:eastAsia="Arial" w:hAnsi="Arial"/>
                <w:sz w:val="10"/>
                <w:szCs w:val="10"/>
                <w:color w:val="auto"/>
              </w:rPr>
              <w:t>Conducted a review of the initi compliance, anti-corruption, labor practices,</w:t>
            </w:r>
          </w:p>
        </w:tc>
        <w:tc>
          <w:tcPr>
            <w:tcW w:w="2260" w:type="dxa"/>
            <w:vAlign w:val="bottom"/>
          </w:tcPr>
          <w:p>
            <w:pPr>
              <w:ind w:left="40"/>
              <w:spacing w:after="0" w:line="95" w:lineRule="exact"/>
              <w:rPr>
                <w:sz w:val="20"/>
                <w:szCs w:val="20"/>
                <w:color w:val="auto"/>
              </w:rPr>
            </w:pPr>
            <w:r>
              <w:rPr>
                <w:rFonts w:ascii="Arial" w:cs="Arial" w:eastAsia="Arial" w:hAnsi="Arial"/>
                <w:sz w:val="10"/>
                <w:szCs w:val="10"/>
                <w:color w:val="auto"/>
              </w:rPr>
              <w:t>moved to a new VP of Procurement (joined</w:t>
            </w: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1900" w:type="dxa"/>
            <w:vAlign w:val="bottom"/>
          </w:tcPr>
          <w:p>
            <w:pPr>
              <w:ind w:left="60"/>
              <w:spacing w:after="0" w:line="95" w:lineRule="exact"/>
              <w:rPr>
                <w:sz w:val="20"/>
                <w:szCs w:val="20"/>
                <w:color w:val="auto"/>
              </w:rPr>
            </w:pPr>
            <w:r>
              <w:rPr>
                <w:rFonts w:ascii="Arial" w:cs="Arial" w:eastAsia="Arial" w:hAnsi="Arial"/>
                <w:sz w:val="10"/>
                <w:szCs w:val="10"/>
                <w:color w:val="auto"/>
              </w:rPr>
              <w:t>al</w:t>
            </w:r>
          </w:p>
        </w:tc>
        <w:tc>
          <w:tcPr>
            <w:tcW w:w="2680" w:type="dxa"/>
            <w:vAlign w:val="bottom"/>
          </w:tcPr>
          <w:p>
            <w:pPr>
              <w:ind w:left="440"/>
              <w:spacing w:after="0" w:line="95" w:lineRule="exact"/>
              <w:rPr>
                <w:sz w:val="20"/>
                <w:szCs w:val="20"/>
                <w:color w:val="auto"/>
              </w:rPr>
            </w:pPr>
            <w:r>
              <w:rPr>
                <w:rFonts w:ascii="Arial" w:cs="Arial" w:eastAsia="Arial" w:hAnsi="Arial"/>
                <w:sz w:val="10"/>
                <w:szCs w:val="10"/>
                <w:color w:val="auto"/>
              </w:rPr>
              <w:t>human rights, supply chain, animal welfare, and</w:t>
            </w:r>
          </w:p>
        </w:tc>
        <w:tc>
          <w:tcPr>
            <w:tcW w:w="2260" w:type="dxa"/>
            <w:vAlign w:val="bottom"/>
          </w:tcPr>
          <w:p>
            <w:pPr>
              <w:ind w:left="40"/>
              <w:spacing w:after="0" w:line="95" w:lineRule="exact"/>
              <w:rPr>
                <w:sz w:val="20"/>
                <w:szCs w:val="20"/>
                <w:color w:val="auto"/>
              </w:rPr>
            </w:pPr>
            <w:r>
              <w:rPr>
                <w:rFonts w:ascii="Arial" w:cs="Arial" w:eastAsia="Arial" w:hAnsi="Arial"/>
                <w:sz w:val="10"/>
                <w:szCs w:val="10"/>
                <w:color w:val="auto"/>
              </w:rPr>
              <w:t>mid-2025), and a review has been conducted to</w:t>
            </w: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4580" w:type="dxa"/>
            <w:vAlign w:val="bottom"/>
            <w:gridSpan w:val="2"/>
          </w:tcPr>
          <w:p>
            <w:pPr>
              <w:ind w:left="60"/>
              <w:spacing w:after="0"/>
              <w:rPr>
                <w:sz w:val="20"/>
                <w:szCs w:val="20"/>
                <w:color w:val="auto"/>
              </w:rPr>
            </w:pPr>
            <w:r>
              <w:rPr>
                <w:rFonts w:ascii="Arial" w:cs="Arial" w:eastAsia="Arial" w:hAnsi="Arial"/>
                <w:sz w:val="10"/>
                <w:szCs w:val="10"/>
                <w:color w:val="auto"/>
              </w:rPr>
              <w:t>implementation phase to identify opportunities forinformation and IP security.</w:t>
            </w:r>
          </w:p>
        </w:tc>
        <w:tc>
          <w:tcPr>
            <w:tcW w:w="2260" w:type="dxa"/>
            <w:vAlign w:val="bottom"/>
          </w:tcPr>
          <w:p>
            <w:pPr>
              <w:ind w:left="40"/>
              <w:spacing w:after="0"/>
              <w:rPr>
                <w:sz w:val="20"/>
                <w:szCs w:val="20"/>
                <w:color w:val="auto"/>
              </w:rPr>
            </w:pPr>
            <w:r>
              <w:rPr>
                <w:rFonts w:ascii="Arial" w:cs="Arial" w:eastAsia="Arial" w:hAnsi="Arial"/>
                <w:sz w:val="10"/>
                <w:szCs w:val="10"/>
                <w:color w:val="auto"/>
              </w:rPr>
              <w:t>establish a more structured approach to achieve</w:t>
            </w:r>
          </w:p>
        </w:tc>
        <w:tc>
          <w:tcPr>
            <w:tcW w:w="0" w:type="dxa"/>
            <w:vAlign w:val="bottom"/>
          </w:tcPr>
          <w:p>
            <w:pPr>
              <w:spacing w:after="0"/>
              <w:rPr>
                <w:sz w:val="1"/>
                <w:szCs w:val="1"/>
                <w:color w:val="auto"/>
              </w:rPr>
            </w:pPr>
          </w:p>
        </w:tc>
      </w:tr>
    </w:tbl>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rPr>
          <w:sz w:val="20"/>
          <w:szCs w:val="20"/>
          <w:color w:val="auto"/>
        </w:rPr>
      </w:pPr>
      <w:r>
        <w:rPr>
          <w:rFonts w:ascii="Arial" w:cs="Arial" w:eastAsia="Arial" w:hAnsi="Arial"/>
          <w:sz w:val="10"/>
          <w:szCs w:val="10"/>
          <w:b w:val="1"/>
          <w:bCs w:val="1"/>
          <w:color w:val="auto"/>
        </w:rPr>
        <w:t>Stakeholder Involvement</w:t>
      </w:r>
    </w:p>
    <w:p>
      <w:pPr>
        <w:spacing w:after="0" w:line="5" w:lineRule="exact"/>
        <w:rPr>
          <w:rFonts w:ascii="Arial" w:cs="Arial" w:eastAsia="Arial" w:hAnsi="Arial"/>
          <w:sz w:val="10"/>
          <w:szCs w:val="10"/>
          <w:b w:val="1"/>
          <w:bCs w:val="1"/>
          <w:color w:val="auto"/>
        </w:rPr>
      </w:pPr>
    </w:p>
    <w:p>
      <w:pPr>
        <w:ind w:right="300"/>
        <w:spacing w:after="0" w:line="223" w:lineRule="auto"/>
        <w:rPr>
          <w:sz w:val="20"/>
          <w:szCs w:val="20"/>
          <w:color w:val="auto"/>
        </w:rPr>
      </w:pPr>
      <w:r>
        <w:rPr>
          <w:rFonts w:ascii="Arial" w:cs="Arial" w:eastAsia="Arial" w:hAnsi="Arial"/>
          <w:sz w:val="10"/>
          <w:szCs w:val="10"/>
          <w:color w:val="auto"/>
        </w:rPr>
        <w:t>Key stakeholders include suppliers, the Global Procurement team, and the Legal and Compliance teams.</w:t>
      </w:r>
    </w:p>
    <w:p>
      <w:pPr>
        <w:spacing w:after="0" w:line="520" w:lineRule="exact"/>
        <w:rPr>
          <w:rFonts w:ascii="Arial" w:cs="Arial" w:eastAsia="Arial" w:hAnsi="Arial"/>
          <w:sz w:val="10"/>
          <w:szCs w:val="10"/>
          <w:b w:val="1"/>
          <w:bCs w:val="1"/>
          <w:color w:val="auto"/>
        </w:rPr>
      </w:pPr>
    </w:p>
    <w:p>
      <w:pPr>
        <w:sectPr>
          <w:pgSz w:w="11900" w:h="16840" w:orient="portrait"/>
          <w:cols w:equalWidth="0" w:num="2">
            <w:col w:w="7520" w:space="60"/>
            <w:col w:w="2440"/>
          </w:cols>
          <w:pgMar w:left="640" w:top="571" w:right="1240" w:bottom="543" w:gutter="0" w:footer="0" w:header="0"/>
          <w:type w:val="continuous"/>
        </w:sectPr>
      </w:pPr>
    </w:p>
    <w:p>
      <w:pPr>
        <w:ind w:left="740"/>
        <w:spacing w:after="0"/>
        <w:rPr>
          <w:sz w:val="20"/>
          <w:szCs w:val="20"/>
          <w:color w:val="auto"/>
        </w:rPr>
      </w:pPr>
      <w:r>
        <w:rPr>
          <w:rFonts w:ascii="Arial" w:cs="Arial" w:eastAsia="Arial" w:hAnsi="Arial"/>
          <w:sz w:val="10"/>
          <w:szCs w:val="10"/>
          <w:color w:val="auto"/>
        </w:rPr>
        <w:t>a more structured and effective approach.</w:t>
      </w:r>
    </w:p>
    <w:p>
      <w:pPr>
        <w:ind w:left="740"/>
        <w:spacing w:after="0" w:line="198" w:lineRule="auto"/>
        <w:rPr>
          <w:sz w:val="20"/>
          <w:szCs w:val="20"/>
          <w:color w:val="auto"/>
        </w:rPr>
      </w:pPr>
      <w:r>
        <w:rPr>
          <w:rFonts w:ascii="Arial" w:cs="Arial" w:eastAsia="Arial" w:hAnsi="Arial"/>
          <w:sz w:val="10"/>
          <w:szCs w:val="10"/>
          <w:b w:val="1"/>
          <w:bCs w:val="1"/>
          <w:color w:val="auto"/>
        </w:rPr>
        <w:t xml:space="preserve">Supplier identification: </w:t>
      </w:r>
      <w:r>
        <w:rPr>
          <w:rFonts w:ascii="Arial" w:cs="Arial" w:eastAsia="Arial" w:hAnsi="Arial"/>
          <w:sz w:val="10"/>
          <w:szCs w:val="10"/>
          <w:color w:val="auto"/>
        </w:rPr>
        <w:t>Identified over 130</w:t>
      </w:r>
    </w:p>
    <w:p>
      <w:pPr>
        <w:ind w:left="740"/>
        <w:spacing w:after="0" w:line="199" w:lineRule="auto"/>
        <w:rPr>
          <w:sz w:val="20"/>
          <w:szCs w:val="20"/>
          <w:color w:val="auto"/>
        </w:rPr>
      </w:pPr>
      <w:r>
        <w:rPr>
          <w:rFonts w:ascii="Arial" w:cs="Arial" w:eastAsia="Arial" w:hAnsi="Arial"/>
          <w:sz w:val="10"/>
          <w:szCs w:val="10"/>
          <w:color w:val="auto"/>
        </w:rPr>
        <w:t>suppliers requiring formal engagement on the</w:t>
      </w:r>
    </w:p>
    <w:p>
      <w:pPr>
        <w:ind w:left="740"/>
        <w:spacing w:after="0" w:line="198" w:lineRule="auto"/>
        <w:rPr>
          <w:sz w:val="20"/>
          <w:szCs w:val="20"/>
          <w:color w:val="auto"/>
        </w:rPr>
      </w:pPr>
      <w:r>
        <w:rPr>
          <w:rFonts w:ascii="Arial" w:cs="Arial" w:eastAsia="Arial" w:hAnsi="Arial"/>
          <w:sz w:val="10"/>
          <w:szCs w:val="10"/>
          <w:color w:val="auto"/>
        </w:rPr>
        <w:t>Supplier Code of Conduct.</w:t>
      </w:r>
    </w:p>
    <w:p>
      <w:pPr>
        <w:ind w:left="740"/>
        <w:spacing w:after="0" w:line="199" w:lineRule="auto"/>
        <w:rPr>
          <w:sz w:val="20"/>
          <w:szCs w:val="20"/>
          <w:color w:val="auto"/>
        </w:rPr>
      </w:pPr>
      <w:r>
        <w:rPr>
          <w:rFonts w:ascii="Arial" w:cs="Arial" w:eastAsia="Arial" w:hAnsi="Arial"/>
          <w:sz w:val="10"/>
          <w:szCs w:val="10"/>
          <w:b w:val="1"/>
          <w:bCs w:val="1"/>
          <w:color w:val="auto"/>
        </w:rPr>
        <w:t xml:space="preserve">Revised planning: </w:t>
      </w:r>
      <w:r>
        <w:rPr>
          <w:rFonts w:ascii="Arial" w:cs="Arial" w:eastAsia="Arial" w:hAnsi="Arial"/>
          <w:sz w:val="10"/>
          <w:szCs w:val="10"/>
          <w:color w:val="auto"/>
        </w:rPr>
        <w:t>Developed a phased</w:t>
      </w:r>
    </w:p>
    <w:p>
      <w:pPr>
        <w:ind w:left="740"/>
        <w:spacing w:after="0" w:line="199" w:lineRule="auto"/>
        <w:rPr>
          <w:sz w:val="20"/>
          <w:szCs w:val="20"/>
          <w:color w:val="auto"/>
        </w:rPr>
      </w:pPr>
      <w:r>
        <w:rPr>
          <w:rFonts w:ascii="Arial" w:cs="Arial" w:eastAsia="Arial" w:hAnsi="Arial"/>
          <w:sz w:val="10"/>
          <w:szCs w:val="10"/>
          <w:color w:val="auto"/>
        </w:rPr>
        <w:t>implementation plan, targeting engagement</w:t>
      </w:r>
    </w:p>
    <w:p>
      <w:pPr>
        <w:ind w:left="740"/>
        <w:spacing w:after="0" w:line="198" w:lineRule="auto"/>
        <w:rPr>
          <w:sz w:val="20"/>
          <w:szCs w:val="20"/>
          <w:color w:val="auto"/>
        </w:rPr>
      </w:pPr>
      <w:r>
        <w:rPr>
          <w:rFonts w:ascii="Arial" w:cs="Arial" w:eastAsia="Arial" w:hAnsi="Arial"/>
          <w:sz w:val="10"/>
          <w:szCs w:val="10"/>
          <w:color w:val="auto"/>
        </w:rPr>
        <w:t>with roughly half of suppliers in 2026 and the</w:t>
      </w:r>
    </w:p>
    <w:p>
      <w:pPr>
        <w:ind w:left="740"/>
        <w:spacing w:after="0" w:line="199" w:lineRule="auto"/>
        <w:rPr>
          <w:sz w:val="20"/>
          <w:szCs w:val="20"/>
          <w:color w:val="auto"/>
        </w:rPr>
      </w:pPr>
      <w:r>
        <w:rPr>
          <w:rFonts w:ascii="Arial" w:cs="Arial" w:eastAsia="Arial" w:hAnsi="Arial"/>
          <w:sz w:val="10"/>
          <w:szCs w:val="10"/>
          <w:color w:val="auto"/>
        </w:rPr>
        <w:t>remainder in 2027.</w:t>
      </w:r>
    </w:p>
    <w:p>
      <w:pPr>
        <w:ind w:left="740"/>
        <w:spacing w:after="0" w:line="199" w:lineRule="auto"/>
        <w:rPr>
          <w:sz w:val="20"/>
          <w:szCs w:val="20"/>
          <w:color w:val="auto"/>
        </w:rPr>
      </w:pPr>
      <w:r>
        <w:rPr>
          <w:rFonts w:ascii="Arial" w:cs="Arial" w:eastAsia="Arial" w:hAnsi="Arial"/>
          <w:sz w:val="10"/>
          <w:szCs w:val="10"/>
          <w:b w:val="1"/>
          <w:bCs w:val="1"/>
          <w:color w:val="auto"/>
        </w:rPr>
        <w:t xml:space="preserve">Monitoring and oversight: </w:t>
      </w:r>
      <w:r>
        <w:rPr>
          <w:rFonts w:ascii="Arial" w:cs="Arial" w:eastAsia="Arial" w:hAnsi="Arial"/>
          <w:sz w:val="10"/>
          <w:szCs w:val="10"/>
          <w:color w:val="auto"/>
        </w:rPr>
        <w:t>Planned regular</w:t>
      </w:r>
    </w:p>
    <w:p>
      <w:pPr>
        <w:ind w:left="740"/>
        <w:spacing w:after="0" w:line="198" w:lineRule="auto"/>
        <w:rPr>
          <w:sz w:val="20"/>
          <w:szCs w:val="20"/>
          <w:color w:val="auto"/>
        </w:rPr>
      </w:pPr>
      <w:r>
        <w:rPr>
          <w:rFonts w:ascii="Arial" w:cs="Arial" w:eastAsia="Arial" w:hAnsi="Arial"/>
          <w:sz w:val="10"/>
          <w:szCs w:val="10"/>
          <w:color w:val="auto"/>
        </w:rPr>
        <w:t>progress tracking by the Global Procurement</w:t>
      </w:r>
    </w:p>
    <w:p>
      <w:pPr>
        <w:ind w:left="740"/>
        <w:spacing w:after="0"/>
        <w:rPr>
          <w:sz w:val="20"/>
          <w:szCs w:val="20"/>
          <w:color w:val="auto"/>
        </w:rPr>
      </w:pPr>
      <w:r>
        <w:rPr>
          <w:rFonts w:ascii="Arial" w:cs="Arial" w:eastAsia="Arial" w:hAnsi="Arial"/>
          <w:sz w:val="10"/>
          <w:szCs w:val="10"/>
          <w:color w:val="auto"/>
        </w:rPr>
        <w:t>team.</w:t>
      </w:r>
    </w:p>
    <w:p>
      <w:pPr>
        <w:spacing w:after="0" w:line="122"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0"/>
          <w:szCs w:val="10"/>
          <w:color w:val="0057CF"/>
        </w:rPr>
        <w:t xml:space="preserve">Refer to </w:t>
      </w:r>
      <w:r>
        <w:rPr>
          <w:rFonts w:ascii="Arial" w:cs="Arial" w:eastAsia="Arial" w:hAnsi="Arial"/>
          <w:sz w:val="10"/>
          <w:szCs w:val="10"/>
          <w:b w:val="1"/>
          <w:bCs w:val="1"/>
          <w:color w:val="0057CF"/>
        </w:rPr>
        <w:t>E1-4</w:t>
      </w:r>
      <w:r>
        <w:rPr>
          <w:rFonts w:ascii="Arial" w:cs="Arial" w:eastAsia="Arial" w:hAnsi="Arial"/>
          <w:sz w:val="10"/>
          <w:szCs w:val="10"/>
          <w:color w:val="0057CF"/>
        </w:rPr>
        <w:t xml:space="preserve"> for details of Genmab’s engagement plans with suppliers on Scope 3 emission reductions targets.</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br w:type="column"/>
      </w:r>
    </w:p>
    <w:p>
      <w:pPr>
        <w:spacing w:after="0"/>
        <w:rPr>
          <w:sz w:val="20"/>
          <w:szCs w:val="20"/>
          <w:color w:val="auto"/>
        </w:rPr>
      </w:pPr>
      <w:r>
        <w:rPr>
          <w:rFonts w:ascii="Arial" w:cs="Arial" w:eastAsia="Arial" w:hAnsi="Arial"/>
          <w:sz w:val="10"/>
          <w:szCs w:val="10"/>
          <w:color w:val="auto"/>
        </w:rPr>
        <w:t>this target. Target has been reset with a 2027 tim</w:t>
      </w:r>
    </w:p>
    <w:p>
      <w:pPr>
        <w:spacing w:after="0" w:line="198" w:lineRule="auto"/>
        <w:rPr>
          <w:sz w:val="20"/>
          <w:szCs w:val="20"/>
          <w:color w:val="auto"/>
        </w:rPr>
      </w:pPr>
      <w:r>
        <w:rPr>
          <w:rFonts w:ascii="Arial" w:cs="Arial" w:eastAsia="Arial" w:hAnsi="Arial"/>
          <w:sz w:val="10"/>
          <w:szCs w:val="10"/>
          <w:color w:val="auto"/>
        </w:rPr>
        <w:t>e</w:t>
      </w:r>
    </w:p>
    <w:p>
      <w:pPr>
        <w:spacing w:after="0"/>
        <w:rPr>
          <w:sz w:val="20"/>
          <w:szCs w:val="20"/>
          <w:color w:val="auto"/>
        </w:rPr>
      </w:pPr>
      <w:r>
        <w:rPr>
          <w:rFonts w:ascii="Arial" w:cs="Arial" w:eastAsia="Arial" w:hAnsi="Arial"/>
          <w:sz w:val="10"/>
          <w:szCs w:val="10"/>
          <w:color w:val="auto"/>
        </w:rPr>
        <w:t>horizon.</w:t>
      </w:r>
    </w:p>
    <w:p>
      <w:pPr>
        <w:spacing w:after="0" w:line="1198" w:lineRule="exact"/>
        <w:rPr>
          <w:rFonts w:ascii="Arial" w:cs="Arial" w:eastAsia="Arial" w:hAnsi="Arial"/>
          <w:sz w:val="10"/>
          <w:szCs w:val="10"/>
          <w:b w:val="1"/>
          <w:bCs w:val="1"/>
          <w:color w:val="auto"/>
        </w:rPr>
      </w:pPr>
    </w:p>
    <w:p>
      <w:pPr>
        <w:sectPr>
          <w:pgSz w:w="11900" w:h="16840" w:orient="portrait"/>
          <w:cols w:equalWidth="0" w:num="2">
            <w:col w:w="5160" w:space="140"/>
            <w:col w:w="4720"/>
          </w:cols>
          <w:pgMar w:left="640" w:top="571" w:right="1240" w:bottom="543" w:gutter="0" w:footer="0" w:header="0"/>
          <w:type w:val="continuous"/>
        </w:sect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41" w:lineRule="exact"/>
        <w:rPr>
          <w:rFonts w:ascii="Arial" w:cs="Arial" w:eastAsia="Arial" w:hAnsi="Arial"/>
          <w:sz w:val="10"/>
          <w:szCs w:val="10"/>
          <w:b w:val="1"/>
          <w:bCs w:val="1"/>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b w:val="1"/>
            <w:bCs w:val="1"/>
            <w:color w:val="auto"/>
          </w:rPr>
          <w:t>Management’s Review</w:t>
        </w:r>
      </w:hyperlink>
      <w:r>
        <w:rPr>
          <w:rFonts w:ascii="Arial" w:cs="Arial" w:eastAsia="Arial" w:hAnsi="Arial"/>
          <w:sz w:val="10"/>
          <w:szCs w:val="10"/>
          <w:b w:val="1"/>
          <w:bCs w:val="1"/>
          <w:color w:val="auto"/>
        </w:rPr>
        <w:tab/>
      </w:r>
      <w:hyperlink w:anchor="page134">
        <w:r>
          <w:rPr>
            <w:rFonts w:ascii="Arial" w:cs="Arial" w:eastAsia="Arial" w:hAnsi="Arial"/>
            <w:sz w:val="10"/>
            <w:szCs w:val="10"/>
            <w:b w:val="1"/>
            <w:bCs w:val="1"/>
            <w:color w:val="auto"/>
          </w:rPr>
          <w:t>Financial Statement</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102</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257810</wp:posOffset>
            </wp:positionH>
            <wp:positionV relativeFrom="paragraph">
              <wp:posOffset>107315</wp:posOffset>
            </wp:positionV>
            <wp:extent cx="8642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22"/>
          <w:szCs w:val="22"/>
          <w:color w:val="0057CF"/>
        </w:rPr>
        <w:t>Sustainability Statements</w:t>
      </w:r>
    </w:p>
    <w:p>
      <w:pPr>
        <w:spacing w:after="0" w:line="213" w:lineRule="auto"/>
        <w:rPr>
          <w:sz w:val="20"/>
          <w:szCs w:val="20"/>
          <w:color w:val="auto"/>
        </w:rPr>
      </w:pPr>
      <w:r>
        <w:rPr>
          <w:rFonts w:ascii="Arial" w:cs="Arial" w:eastAsia="Arial" w:hAnsi="Arial"/>
          <w:sz w:val="13"/>
          <w:szCs w:val="13"/>
          <w:b w:val="1"/>
          <w:bCs w:val="1"/>
          <w:color w:val="0057CF"/>
        </w:rPr>
        <w:t>Prevention and detection of</w:t>
      </w:r>
    </w:p>
    <w:p>
      <w:pPr>
        <w:spacing w:after="0" w:line="210" w:lineRule="auto"/>
        <w:rPr>
          <w:sz w:val="20"/>
          <w:szCs w:val="20"/>
          <w:color w:val="auto"/>
        </w:rPr>
      </w:pPr>
      <w:r>
        <w:rPr>
          <w:rFonts w:ascii="Arial" w:cs="Arial" w:eastAsia="Arial" w:hAnsi="Arial"/>
          <w:sz w:val="13"/>
          <w:szCs w:val="13"/>
          <w:b w:val="1"/>
          <w:bCs w:val="1"/>
          <w:color w:val="0057CF"/>
        </w:rPr>
        <w:t>corruption and bribery (G1-3)</w:t>
      </w:r>
    </w:p>
    <w:p>
      <w:pPr>
        <w:spacing w:after="0" w:line="199" w:lineRule="auto"/>
        <w:rPr>
          <w:sz w:val="20"/>
          <w:szCs w:val="20"/>
          <w:color w:val="auto"/>
        </w:rPr>
      </w:pPr>
      <w:r>
        <w:rPr>
          <w:rFonts w:ascii="Arial" w:cs="Arial" w:eastAsia="Arial" w:hAnsi="Arial"/>
          <w:sz w:val="10"/>
          <w:szCs w:val="10"/>
          <w:color w:val="auto"/>
        </w:rPr>
        <w:t>Management identifies the primary bribery and</w:t>
      </w:r>
    </w:p>
    <w:p>
      <w:pPr>
        <w:spacing w:after="0" w:line="198" w:lineRule="auto"/>
        <w:rPr>
          <w:sz w:val="20"/>
          <w:szCs w:val="20"/>
          <w:color w:val="auto"/>
        </w:rPr>
      </w:pPr>
      <w:r>
        <w:rPr>
          <w:rFonts w:ascii="Arial" w:cs="Arial" w:eastAsia="Arial" w:hAnsi="Arial"/>
          <w:sz w:val="10"/>
          <w:szCs w:val="10"/>
          <w:color w:val="auto"/>
        </w:rPr>
        <w:t>corruption risks as payments or gifts intended to</w:t>
      </w:r>
    </w:p>
    <w:p>
      <w:pPr>
        <w:spacing w:after="0" w:line="199" w:lineRule="auto"/>
        <w:rPr>
          <w:sz w:val="20"/>
          <w:szCs w:val="20"/>
          <w:color w:val="auto"/>
        </w:rPr>
      </w:pPr>
      <w:r>
        <w:rPr>
          <w:rFonts w:ascii="Arial" w:cs="Arial" w:eastAsia="Arial" w:hAnsi="Arial"/>
          <w:sz w:val="10"/>
          <w:szCs w:val="10"/>
          <w:color w:val="auto"/>
        </w:rPr>
        <w:t>secure preferential treatment for Genmab.</w:t>
      </w:r>
    </w:p>
    <w:p>
      <w:pPr>
        <w:spacing w:after="0" w:line="199" w:lineRule="auto"/>
        <w:rPr>
          <w:sz w:val="20"/>
          <w:szCs w:val="20"/>
          <w:color w:val="auto"/>
        </w:rPr>
      </w:pPr>
      <w:r>
        <w:rPr>
          <w:rFonts w:ascii="Arial" w:cs="Arial" w:eastAsia="Arial" w:hAnsi="Arial"/>
          <w:sz w:val="10"/>
          <w:szCs w:val="10"/>
          <w:color w:val="auto"/>
        </w:rPr>
        <w:t>Employees interacting with public officials or</w:t>
      </w:r>
    </w:p>
    <w:p>
      <w:pPr>
        <w:spacing w:after="0" w:line="198" w:lineRule="auto"/>
        <w:rPr>
          <w:sz w:val="20"/>
          <w:szCs w:val="20"/>
          <w:color w:val="auto"/>
        </w:rPr>
      </w:pPr>
      <w:r>
        <w:rPr>
          <w:rFonts w:ascii="Arial" w:cs="Arial" w:eastAsia="Arial" w:hAnsi="Arial"/>
          <w:sz w:val="10"/>
          <w:szCs w:val="10"/>
          <w:color w:val="auto"/>
        </w:rPr>
        <w:t>regulatory representatives face heightened risks, as</w:t>
      </w:r>
    </w:p>
    <w:p>
      <w:pPr>
        <w:spacing w:after="0" w:line="199" w:lineRule="auto"/>
        <w:rPr>
          <w:sz w:val="20"/>
          <w:szCs w:val="20"/>
          <w:color w:val="auto"/>
        </w:rPr>
      </w:pPr>
      <w:r>
        <w:rPr>
          <w:rFonts w:ascii="Arial" w:cs="Arial" w:eastAsia="Arial" w:hAnsi="Arial"/>
          <w:sz w:val="10"/>
          <w:szCs w:val="10"/>
          <w:color w:val="auto"/>
        </w:rPr>
        <w:t>do those dealing with healthcare providers and third</w:t>
      </w:r>
    </w:p>
    <w:p>
      <w:pPr>
        <w:spacing w:after="0" w:line="199" w:lineRule="auto"/>
        <w:rPr>
          <w:sz w:val="20"/>
          <w:szCs w:val="20"/>
          <w:color w:val="auto"/>
        </w:rPr>
      </w:pPr>
      <w:r>
        <w:rPr>
          <w:rFonts w:ascii="Arial" w:cs="Arial" w:eastAsia="Arial" w:hAnsi="Arial"/>
          <w:sz w:val="10"/>
          <w:szCs w:val="10"/>
          <w:color w:val="auto"/>
        </w:rPr>
        <w:t>parties on Genmab’s behalf, especially due to</w:t>
      </w:r>
    </w:p>
    <w:p>
      <w:pPr>
        <w:spacing w:after="0" w:line="198" w:lineRule="auto"/>
        <w:rPr>
          <w:sz w:val="20"/>
          <w:szCs w:val="20"/>
          <w:color w:val="auto"/>
        </w:rPr>
      </w:pPr>
      <w:r>
        <w:rPr>
          <w:rFonts w:ascii="Arial" w:cs="Arial" w:eastAsia="Arial" w:hAnsi="Arial"/>
          <w:sz w:val="10"/>
          <w:szCs w:val="10"/>
          <w:color w:val="auto"/>
        </w:rPr>
        <w:t>limited oversight of third-party anti-corruption</w:t>
      </w:r>
    </w:p>
    <w:p>
      <w:pPr>
        <w:spacing w:after="0" w:line="199" w:lineRule="auto"/>
        <w:rPr>
          <w:sz w:val="20"/>
          <w:szCs w:val="20"/>
          <w:color w:val="auto"/>
        </w:rPr>
      </w:pPr>
      <w:r>
        <w:rPr>
          <w:rFonts w:ascii="Arial" w:cs="Arial" w:eastAsia="Arial" w:hAnsi="Arial"/>
          <w:sz w:val="10"/>
          <w:szCs w:val="10"/>
          <w:color w:val="auto"/>
        </w:rPr>
        <w:t>practices.</w:t>
      </w:r>
    </w:p>
    <w:p>
      <w:pPr>
        <w:spacing w:after="0" w:line="199" w:lineRule="auto"/>
        <w:rPr>
          <w:sz w:val="20"/>
          <w:szCs w:val="20"/>
          <w:color w:val="auto"/>
        </w:rPr>
      </w:pPr>
      <w:r>
        <w:rPr>
          <w:rFonts w:ascii="Arial" w:cs="Arial" w:eastAsia="Arial" w:hAnsi="Arial"/>
          <w:sz w:val="10"/>
          <w:szCs w:val="10"/>
          <w:color w:val="auto"/>
        </w:rPr>
        <w:t>Reports of bribery or corruption are reviewed by the</w:t>
      </w:r>
    </w:p>
    <w:p>
      <w:pPr>
        <w:spacing w:after="0" w:line="198" w:lineRule="auto"/>
        <w:rPr>
          <w:sz w:val="20"/>
          <w:szCs w:val="20"/>
          <w:color w:val="auto"/>
        </w:rPr>
      </w:pPr>
      <w:r>
        <w:rPr>
          <w:rFonts w:ascii="Arial" w:cs="Arial" w:eastAsia="Arial" w:hAnsi="Arial"/>
          <w:sz w:val="10"/>
          <w:szCs w:val="10"/>
          <w:color w:val="auto"/>
        </w:rPr>
        <w:t>Global Compliance Program, which reports directly</w:t>
      </w:r>
    </w:p>
    <w:p>
      <w:pPr>
        <w:spacing w:after="0" w:line="199" w:lineRule="auto"/>
        <w:rPr>
          <w:sz w:val="20"/>
          <w:szCs w:val="20"/>
          <w:color w:val="auto"/>
        </w:rPr>
      </w:pPr>
      <w:r>
        <w:rPr>
          <w:rFonts w:ascii="Arial" w:cs="Arial" w:eastAsia="Arial" w:hAnsi="Arial"/>
          <w:sz w:val="10"/>
          <w:szCs w:val="10"/>
          <w:color w:val="auto"/>
        </w:rPr>
        <w:t>to the Chief Legal Officer. Annual summaries are</w:t>
      </w:r>
    </w:p>
    <w:p>
      <w:pPr>
        <w:spacing w:after="0" w:line="198" w:lineRule="auto"/>
        <w:rPr>
          <w:sz w:val="20"/>
          <w:szCs w:val="20"/>
          <w:color w:val="auto"/>
        </w:rPr>
      </w:pPr>
      <w:r>
        <w:rPr>
          <w:rFonts w:ascii="Arial" w:cs="Arial" w:eastAsia="Arial" w:hAnsi="Arial"/>
          <w:sz w:val="10"/>
          <w:szCs w:val="10"/>
          <w:color w:val="auto"/>
        </w:rPr>
        <w:t>provided to the Global Compliance and Risk</w:t>
      </w:r>
    </w:p>
    <w:p>
      <w:pPr>
        <w:spacing w:after="0" w:line="199" w:lineRule="auto"/>
        <w:rPr>
          <w:sz w:val="20"/>
          <w:szCs w:val="20"/>
          <w:color w:val="auto"/>
        </w:rPr>
      </w:pPr>
      <w:r>
        <w:rPr>
          <w:rFonts w:ascii="Arial" w:cs="Arial" w:eastAsia="Arial" w:hAnsi="Arial"/>
          <w:sz w:val="10"/>
          <w:szCs w:val="10"/>
          <w:color w:val="auto"/>
        </w:rPr>
        <w:t>Committee and the Board, detailing all reported</w:t>
      </w:r>
    </w:p>
    <w:p>
      <w:pPr>
        <w:spacing w:after="0" w:line="199" w:lineRule="auto"/>
        <w:rPr>
          <w:sz w:val="20"/>
          <w:szCs w:val="20"/>
          <w:color w:val="auto"/>
        </w:rPr>
      </w:pPr>
      <w:r>
        <w:rPr>
          <w:rFonts w:ascii="Arial" w:cs="Arial" w:eastAsia="Arial" w:hAnsi="Arial"/>
          <w:sz w:val="10"/>
          <w:szCs w:val="10"/>
          <w:color w:val="auto"/>
        </w:rPr>
        <w:t>incidents. We consider all functions within the</w:t>
      </w:r>
    </w:p>
    <w:p>
      <w:pPr>
        <w:spacing w:after="0" w:line="198" w:lineRule="auto"/>
        <w:rPr>
          <w:sz w:val="20"/>
          <w:szCs w:val="20"/>
          <w:color w:val="auto"/>
        </w:rPr>
      </w:pPr>
      <w:r>
        <w:rPr>
          <w:rFonts w:ascii="Arial" w:cs="Arial" w:eastAsia="Arial" w:hAnsi="Arial"/>
          <w:sz w:val="10"/>
          <w:szCs w:val="10"/>
          <w:color w:val="auto"/>
        </w:rPr>
        <w:t>business to be potentially subject to corruption and</w:t>
      </w:r>
    </w:p>
    <w:p>
      <w:pPr>
        <w:spacing w:after="0" w:line="199" w:lineRule="auto"/>
        <w:rPr>
          <w:sz w:val="20"/>
          <w:szCs w:val="20"/>
          <w:color w:val="auto"/>
        </w:rPr>
      </w:pPr>
      <w:r>
        <w:rPr>
          <w:rFonts w:ascii="Arial" w:cs="Arial" w:eastAsia="Arial" w:hAnsi="Arial"/>
          <w:sz w:val="10"/>
          <w:szCs w:val="10"/>
          <w:color w:val="auto"/>
        </w:rPr>
        <w:t>bribery and as such, 100% of Genmab employees,</w:t>
      </w:r>
    </w:p>
    <w:p>
      <w:pPr>
        <w:spacing w:after="0" w:line="199" w:lineRule="auto"/>
        <w:rPr>
          <w:sz w:val="20"/>
          <w:szCs w:val="20"/>
          <w:color w:val="auto"/>
        </w:rPr>
      </w:pPr>
      <w:r>
        <w:rPr>
          <w:rFonts w:ascii="Arial" w:cs="Arial" w:eastAsia="Arial" w:hAnsi="Arial"/>
          <w:sz w:val="10"/>
          <w:szCs w:val="10"/>
          <w:color w:val="auto"/>
        </w:rPr>
        <w:t>contractors, and Board members must complete</w:t>
      </w:r>
    </w:p>
    <w:p>
      <w:pPr>
        <w:spacing w:after="0" w:line="198" w:lineRule="auto"/>
        <w:rPr>
          <w:sz w:val="20"/>
          <w:szCs w:val="20"/>
          <w:color w:val="auto"/>
        </w:rPr>
      </w:pPr>
      <w:r>
        <w:rPr>
          <w:rFonts w:ascii="Arial" w:cs="Arial" w:eastAsia="Arial" w:hAnsi="Arial"/>
          <w:sz w:val="10"/>
          <w:szCs w:val="10"/>
          <w:color w:val="auto"/>
        </w:rPr>
        <w:t>annual Code of Conduct training, which covers</w:t>
      </w:r>
    </w:p>
    <w:p>
      <w:pPr>
        <w:spacing w:after="0" w:line="199" w:lineRule="auto"/>
        <w:rPr>
          <w:sz w:val="20"/>
          <w:szCs w:val="20"/>
          <w:color w:val="auto"/>
        </w:rPr>
      </w:pPr>
      <w:r>
        <w:rPr>
          <w:rFonts w:ascii="Arial" w:cs="Arial" w:eastAsia="Arial" w:hAnsi="Arial"/>
          <w:sz w:val="10"/>
          <w:szCs w:val="10"/>
          <w:color w:val="auto"/>
        </w:rPr>
        <w:t>ABAC, regulatory issues, conflicts of interest, and</w:t>
      </w:r>
    </w:p>
    <w:p>
      <w:pPr>
        <w:spacing w:after="0" w:line="199" w:lineRule="auto"/>
        <w:rPr>
          <w:sz w:val="20"/>
          <w:szCs w:val="20"/>
          <w:color w:val="auto"/>
        </w:rPr>
      </w:pPr>
      <w:r>
        <w:rPr>
          <w:rFonts w:ascii="Arial" w:cs="Arial" w:eastAsia="Arial" w:hAnsi="Arial"/>
          <w:sz w:val="10"/>
          <w:szCs w:val="10"/>
          <w:color w:val="auto"/>
        </w:rPr>
        <w:t>reporting mechanisms. New hires also receive</w:t>
      </w:r>
    </w:p>
    <w:p>
      <w:pPr>
        <w:spacing w:after="0" w:line="198" w:lineRule="auto"/>
        <w:rPr>
          <w:sz w:val="20"/>
          <w:szCs w:val="20"/>
          <w:color w:val="auto"/>
        </w:rPr>
      </w:pPr>
      <w:r>
        <w:rPr>
          <w:rFonts w:ascii="Arial" w:cs="Arial" w:eastAsia="Arial" w:hAnsi="Arial"/>
          <w:sz w:val="10"/>
          <w:szCs w:val="10"/>
          <w:color w:val="auto"/>
        </w:rPr>
        <w:t>ABAC training. Our Compliance program maintains</w:t>
      </w:r>
    </w:p>
    <w:p>
      <w:pPr>
        <w:spacing w:after="0"/>
        <w:rPr>
          <w:sz w:val="20"/>
          <w:szCs w:val="20"/>
          <w:color w:val="auto"/>
        </w:rPr>
      </w:pPr>
      <w:r>
        <w:rPr>
          <w:rFonts w:ascii="Arial" w:cs="Arial" w:eastAsia="Arial" w:hAnsi="Arial"/>
          <w:sz w:val="10"/>
          <w:szCs w:val="10"/>
          <w:color w:val="auto"/>
        </w:rPr>
        <w:t>a SharePoint site for business conduct policies and</w:t>
      </w:r>
    </w:p>
    <w:p>
      <w:pPr>
        <w:spacing w:after="0" w:line="20" w:lineRule="exact"/>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4623435" cy="1408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4623435" cy="1408430"/>
                    </a:xfrm>
                    <a:prstGeom prst="rect">
                      <a:avLst/>
                    </a:prstGeom>
                    <a:noFill/>
                  </pic:spPr>
                </pic:pic>
              </a:graphicData>
            </a:graphic>
          </wp:anchor>
        </w:drawing>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358" w:lineRule="exact"/>
        <w:rPr>
          <w:rFonts w:ascii="Arial" w:cs="Arial" w:eastAsia="Arial" w:hAnsi="Arial"/>
          <w:sz w:val="10"/>
          <w:szCs w:val="10"/>
          <w:b w:val="1"/>
          <w:bCs w:val="1"/>
          <w:color w:val="auto"/>
        </w:rPr>
      </w:pPr>
    </w:p>
    <w:p>
      <w:pPr>
        <w:spacing w:after="0"/>
        <w:rPr>
          <w:sz w:val="20"/>
          <w:szCs w:val="20"/>
          <w:color w:val="auto"/>
        </w:rPr>
      </w:pPr>
      <w:r>
        <w:rPr>
          <w:rFonts w:ascii="Arial" w:cs="Arial" w:eastAsia="Arial" w:hAnsi="Arial"/>
          <w:sz w:val="10"/>
          <w:szCs w:val="10"/>
          <w:color w:val="auto"/>
        </w:rPr>
        <w:t>uses the Company intranet to communicate key</w:t>
      </w:r>
    </w:p>
    <w:p>
      <w:pPr>
        <w:spacing w:after="0" w:line="198" w:lineRule="auto"/>
        <w:rPr>
          <w:sz w:val="20"/>
          <w:szCs w:val="20"/>
          <w:color w:val="auto"/>
        </w:rPr>
      </w:pPr>
      <w:r>
        <w:rPr>
          <w:rFonts w:ascii="Arial" w:cs="Arial" w:eastAsia="Arial" w:hAnsi="Arial"/>
          <w:sz w:val="10"/>
          <w:szCs w:val="10"/>
          <w:color w:val="auto"/>
        </w:rPr>
        <w:t>concepts.</w:t>
      </w:r>
    </w:p>
    <w:p>
      <w:pPr>
        <w:spacing w:after="0" w:line="199" w:lineRule="auto"/>
        <w:rPr>
          <w:sz w:val="20"/>
          <w:szCs w:val="20"/>
          <w:color w:val="auto"/>
        </w:rPr>
      </w:pPr>
      <w:r>
        <w:rPr>
          <w:rFonts w:ascii="Arial" w:cs="Arial" w:eastAsia="Arial" w:hAnsi="Arial"/>
          <w:sz w:val="10"/>
          <w:szCs w:val="10"/>
          <w:color w:val="auto"/>
        </w:rPr>
        <w:t>Every two years, business functions assess their</w:t>
      </w:r>
    </w:p>
    <w:p>
      <w:pPr>
        <w:spacing w:after="0" w:line="198" w:lineRule="auto"/>
        <w:rPr>
          <w:sz w:val="20"/>
          <w:szCs w:val="20"/>
          <w:color w:val="auto"/>
        </w:rPr>
      </w:pPr>
      <w:r>
        <w:rPr>
          <w:rFonts w:ascii="Arial" w:cs="Arial" w:eastAsia="Arial" w:hAnsi="Arial"/>
          <w:sz w:val="10"/>
          <w:szCs w:val="10"/>
          <w:color w:val="auto"/>
        </w:rPr>
        <w:t>vulnerability to corruption and report findings to the</w:t>
      </w:r>
    </w:p>
    <w:p>
      <w:pPr>
        <w:spacing w:after="0" w:line="199" w:lineRule="auto"/>
        <w:rPr>
          <w:sz w:val="20"/>
          <w:szCs w:val="20"/>
          <w:color w:val="auto"/>
        </w:rPr>
      </w:pPr>
      <w:r>
        <w:rPr>
          <w:rFonts w:ascii="Arial" w:cs="Arial" w:eastAsia="Arial" w:hAnsi="Arial"/>
          <w:sz w:val="10"/>
          <w:szCs w:val="10"/>
          <w:color w:val="auto"/>
        </w:rPr>
        <w:t>Compliance organization, which may implement</w:t>
      </w:r>
    </w:p>
    <w:p>
      <w:pPr>
        <w:spacing w:after="0" w:line="199" w:lineRule="auto"/>
        <w:rPr>
          <w:sz w:val="20"/>
          <w:szCs w:val="20"/>
          <w:color w:val="auto"/>
        </w:rPr>
      </w:pPr>
      <w:r>
        <w:rPr>
          <w:rFonts w:ascii="Arial" w:cs="Arial" w:eastAsia="Arial" w:hAnsi="Arial"/>
          <w:sz w:val="10"/>
          <w:szCs w:val="10"/>
          <w:color w:val="auto"/>
        </w:rPr>
        <w:t>further controls. Our Internal Audit function also</w:t>
      </w:r>
    </w:p>
    <w:p>
      <w:pPr>
        <w:spacing w:after="0" w:line="204" w:lineRule="auto"/>
        <w:rPr>
          <w:sz w:val="20"/>
          <w:szCs w:val="20"/>
          <w:color w:val="auto"/>
        </w:rPr>
      </w:pPr>
      <w:r>
        <w:rPr>
          <w:rFonts w:ascii="Arial" w:cs="Arial" w:eastAsia="Arial" w:hAnsi="Arial"/>
          <w:sz w:val="10"/>
          <w:szCs w:val="10"/>
          <w:color w:val="auto"/>
        </w:rPr>
        <w:t>conducts an annual fraud assessment.</w:t>
      </w:r>
    </w:p>
    <w:p>
      <w:pPr>
        <w:spacing w:after="0" w:line="214" w:lineRule="auto"/>
        <w:rPr>
          <w:sz w:val="20"/>
          <w:szCs w:val="20"/>
          <w:color w:val="auto"/>
        </w:rPr>
      </w:pPr>
      <w:r>
        <w:rPr>
          <w:rFonts w:ascii="Arial" w:cs="Arial" w:eastAsia="Arial" w:hAnsi="Arial"/>
          <w:sz w:val="13"/>
          <w:szCs w:val="13"/>
          <w:b w:val="1"/>
          <w:bCs w:val="1"/>
          <w:color w:val="0057CF"/>
        </w:rPr>
        <w:t>Incidents of corruption or bribery</w:t>
      </w:r>
    </w:p>
    <w:p>
      <w:pPr>
        <w:spacing w:after="0" w:line="209" w:lineRule="auto"/>
        <w:rPr>
          <w:sz w:val="20"/>
          <w:szCs w:val="20"/>
          <w:color w:val="auto"/>
        </w:rPr>
      </w:pPr>
      <w:r>
        <w:rPr>
          <w:rFonts w:ascii="Arial" w:cs="Arial" w:eastAsia="Arial" w:hAnsi="Arial"/>
          <w:sz w:val="13"/>
          <w:szCs w:val="13"/>
          <w:b w:val="1"/>
          <w:bCs w:val="1"/>
          <w:color w:val="0057CF"/>
        </w:rPr>
        <w:t>(G1-4)</w:t>
      </w:r>
    </w:p>
    <w:p>
      <w:pPr>
        <w:spacing w:after="0" w:line="199" w:lineRule="auto"/>
        <w:rPr>
          <w:sz w:val="20"/>
          <w:szCs w:val="20"/>
          <w:color w:val="auto"/>
        </w:rPr>
      </w:pPr>
      <w:r>
        <w:rPr>
          <w:rFonts w:ascii="Arial" w:cs="Arial" w:eastAsia="Arial" w:hAnsi="Arial"/>
          <w:sz w:val="10"/>
          <w:szCs w:val="10"/>
          <w:color w:val="auto"/>
        </w:rPr>
        <w:t>Genmab defines bribery as acts designed to</w:t>
      </w:r>
    </w:p>
    <w:p>
      <w:pPr>
        <w:spacing w:after="0" w:line="199" w:lineRule="auto"/>
        <w:rPr>
          <w:sz w:val="20"/>
          <w:szCs w:val="20"/>
          <w:color w:val="auto"/>
        </w:rPr>
      </w:pPr>
      <w:r>
        <w:rPr>
          <w:rFonts w:ascii="Arial" w:cs="Arial" w:eastAsia="Arial" w:hAnsi="Arial"/>
          <w:sz w:val="10"/>
          <w:szCs w:val="10"/>
          <w:color w:val="auto"/>
        </w:rPr>
        <w:t>influence individuals to act dishonestly in the</w:t>
      </w:r>
    </w:p>
    <w:p>
      <w:pPr>
        <w:spacing w:after="0" w:line="199" w:lineRule="auto"/>
        <w:rPr>
          <w:sz w:val="20"/>
          <w:szCs w:val="20"/>
          <w:color w:val="auto"/>
        </w:rPr>
      </w:pPr>
      <w:r>
        <w:rPr>
          <w:rFonts w:ascii="Arial" w:cs="Arial" w:eastAsia="Arial" w:hAnsi="Arial"/>
          <w:sz w:val="10"/>
          <w:szCs w:val="10"/>
          <w:color w:val="auto"/>
        </w:rPr>
        <w:t>performance or discharge of their duty, and</w:t>
      </w:r>
    </w:p>
    <w:p>
      <w:pPr>
        <w:spacing w:after="0" w:line="198" w:lineRule="auto"/>
        <w:rPr>
          <w:sz w:val="20"/>
          <w:szCs w:val="20"/>
          <w:color w:val="auto"/>
        </w:rPr>
      </w:pPr>
      <w:r>
        <w:rPr>
          <w:rFonts w:ascii="Arial" w:cs="Arial" w:eastAsia="Arial" w:hAnsi="Arial"/>
          <w:sz w:val="10"/>
          <w:szCs w:val="10"/>
          <w:color w:val="auto"/>
        </w:rPr>
        <w:t>corruption as the misuse of office or power or</w:t>
      </w:r>
    </w:p>
    <w:p>
      <w:pPr>
        <w:spacing w:after="0" w:line="199" w:lineRule="auto"/>
        <w:rPr>
          <w:sz w:val="20"/>
          <w:szCs w:val="20"/>
          <w:color w:val="auto"/>
        </w:rPr>
      </w:pPr>
      <w:r>
        <w:rPr>
          <w:rFonts w:ascii="Arial" w:cs="Arial" w:eastAsia="Arial" w:hAnsi="Arial"/>
          <w:sz w:val="10"/>
          <w:szCs w:val="10"/>
          <w:color w:val="auto"/>
        </w:rPr>
        <w:t>influence for private gain. Genmab has a zero-</w:t>
      </w:r>
    </w:p>
    <w:p>
      <w:pPr>
        <w:spacing w:after="0" w:line="198" w:lineRule="auto"/>
        <w:rPr>
          <w:sz w:val="20"/>
          <w:szCs w:val="20"/>
          <w:color w:val="auto"/>
        </w:rPr>
      </w:pPr>
      <w:r>
        <w:rPr>
          <w:rFonts w:ascii="Arial" w:cs="Arial" w:eastAsia="Arial" w:hAnsi="Arial"/>
          <w:sz w:val="10"/>
          <w:szCs w:val="10"/>
          <w:color w:val="auto"/>
        </w:rPr>
        <w:t>tolerance policy for any acts of bribery or corruption</w:t>
      </w:r>
    </w:p>
    <w:p>
      <w:pPr>
        <w:spacing w:after="0" w:line="199" w:lineRule="auto"/>
        <w:rPr>
          <w:sz w:val="20"/>
          <w:szCs w:val="20"/>
          <w:color w:val="auto"/>
        </w:rPr>
      </w:pPr>
      <w:r>
        <w:rPr>
          <w:rFonts w:ascii="Arial" w:cs="Arial" w:eastAsia="Arial" w:hAnsi="Arial"/>
          <w:sz w:val="10"/>
          <w:szCs w:val="10"/>
          <w:color w:val="auto"/>
        </w:rPr>
        <w:t>by employees, contingent staff, Management,</w:t>
      </w:r>
    </w:p>
    <w:p>
      <w:pPr>
        <w:spacing w:after="0" w:line="199" w:lineRule="auto"/>
        <w:rPr>
          <w:sz w:val="20"/>
          <w:szCs w:val="20"/>
          <w:color w:val="auto"/>
        </w:rPr>
      </w:pPr>
      <w:r>
        <w:rPr>
          <w:rFonts w:ascii="Arial" w:cs="Arial" w:eastAsia="Arial" w:hAnsi="Arial"/>
          <w:sz w:val="10"/>
          <w:szCs w:val="10"/>
          <w:color w:val="auto"/>
        </w:rPr>
        <w:t>officers, directors, or third-party agents or</w:t>
      </w:r>
    </w:p>
    <w:p>
      <w:pPr>
        <w:spacing w:after="0" w:line="198" w:lineRule="auto"/>
        <w:rPr>
          <w:sz w:val="20"/>
          <w:szCs w:val="20"/>
          <w:color w:val="auto"/>
        </w:rPr>
      </w:pPr>
      <w:r>
        <w:rPr>
          <w:rFonts w:ascii="Arial" w:cs="Arial" w:eastAsia="Arial" w:hAnsi="Arial"/>
          <w:sz w:val="10"/>
          <w:szCs w:val="10"/>
          <w:color w:val="auto"/>
        </w:rPr>
        <w:t>representatives. Genmab’s 24/7 Speak Up</w:t>
      </w:r>
    </w:p>
    <w:p>
      <w:pPr>
        <w:spacing w:after="0" w:line="199" w:lineRule="auto"/>
        <w:rPr>
          <w:sz w:val="20"/>
          <w:szCs w:val="20"/>
          <w:color w:val="auto"/>
        </w:rPr>
      </w:pPr>
      <w:r>
        <w:rPr>
          <w:rFonts w:ascii="Arial" w:cs="Arial" w:eastAsia="Arial" w:hAnsi="Arial"/>
          <w:sz w:val="10"/>
          <w:szCs w:val="10"/>
          <w:color w:val="auto"/>
        </w:rPr>
        <w:t>Compliance Hotline enables the anonymous</w:t>
      </w:r>
    </w:p>
    <w:p>
      <w:pPr>
        <w:spacing w:after="0" w:line="199" w:lineRule="auto"/>
        <w:rPr>
          <w:sz w:val="20"/>
          <w:szCs w:val="20"/>
          <w:color w:val="auto"/>
        </w:rPr>
      </w:pPr>
      <w:r>
        <w:rPr>
          <w:rFonts w:ascii="Arial" w:cs="Arial" w:eastAsia="Arial" w:hAnsi="Arial"/>
          <w:sz w:val="10"/>
          <w:szCs w:val="10"/>
          <w:color w:val="auto"/>
        </w:rPr>
        <w:t>reporting of behavior indicative of corruption or</w:t>
      </w:r>
    </w:p>
    <w:p>
      <w:pPr>
        <w:spacing w:after="0"/>
        <w:rPr>
          <w:sz w:val="20"/>
          <w:szCs w:val="20"/>
          <w:color w:val="auto"/>
        </w:rPr>
      </w:pPr>
      <w:r>
        <w:rPr>
          <w:rFonts w:ascii="Arial" w:cs="Arial" w:eastAsia="Arial" w:hAnsi="Arial"/>
          <w:sz w:val="10"/>
          <w:szCs w:val="10"/>
          <w:color w:val="auto"/>
        </w:rPr>
        <w:t>bribery. Our compliance team reviews these reports</w:t>
      </w:r>
    </w:p>
    <w:p>
      <w:pPr>
        <w:sectPr>
          <w:pgSz w:w="11900" w:h="16840" w:orient="portrait"/>
          <w:cols w:equalWidth="0" w:num="1">
            <w:col w:w="10020"/>
          </w:cols>
          <w:pgMar w:left="640" w:top="571" w:right="1240" w:bottom="543" w:gutter="0" w:footer="0" w:header="0"/>
          <w:type w:val="continuous"/>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4" w:name="page135"/>
    <w:bookmarkEnd w:id="134"/>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107</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1" w:lineRule="auto"/>
        <w:rPr>
          <w:sz w:val="20"/>
          <w:szCs w:val="20"/>
          <w:color w:val="auto"/>
        </w:rPr>
      </w:pPr>
      <w:r>
        <w:rPr>
          <w:rFonts w:ascii="Arial" w:cs="Arial" w:eastAsia="Arial" w:hAnsi="Arial"/>
          <w:sz w:val="15"/>
          <w:szCs w:val="15"/>
          <w:b w:val="1"/>
          <w:bCs w:val="1"/>
          <w:color w:val="691A6B"/>
        </w:rPr>
        <w:t>Consolidated Statements of Comprehensive Income</w:t>
      </w:r>
    </w:p>
    <w:p>
      <w:pPr>
        <w:spacing w:after="0" w:line="219" w:lineRule="auto"/>
        <w:rPr>
          <w:sz w:val="20"/>
          <w:szCs w:val="20"/>
          <w:color w:val="auto"/>
        </w:rPr>
      </w:pPr>
      <w:r>
        <w:rPr>
          <w:rFonts w:ascii="Arial" w:cs="Arial" w:eastAsia="Arial" w:hAnsi="Arial"/>
          <w:sz w:val="15"/>
          <w:szCs w:val="15"/>
          <w:color w:val="691A6B"/>
        </w:rPr>
        <w:t>Income Statement</w:t>
      </w:r>
    </w:p>
    <w:tbl>
      <w:tblPr>
        <w:tblLayout w:type="fixed"/>
        <w:tblInd w:w="0" w:type="dxa"/>
        <w:tblCellMar>
          <w:top w:w="0" w:type="dxa"/>
          <w:left w:w="0" w:type="dxa"/>
          <w:bottom w:w="0" w:type="dxa"/>
          <w:right w:w="0" w:type="dxa"/>
        </w:tblCellMar>
      </w:tblPr>
      <w:tr>
        <w:trPr>
          <w:trHeight w:val="123"/>
        </w:trPr>
        <w:tc>
          <w:tcPr>
            <w:tcW w:w="4600" w:type="dxa"/>
            <w:vAlign w:val="bottom"/>
            <w:tcBorders>
              <w:top w:val="single" w:sz="8" w:color="691A6B"/>
            </w:tcBorders>
          </w:tcPr>
          <w:p>
            <w:pPr>
              <w:spacing w:after="0"/>
              <w:rPr>
                <w:sz w:val="10"/>
                <w:szCs w:val="10"/>
                <w:color w:val="auto"/>
              </w:rPr>
            </w:pPr>
          </w:p>
        </w:tc>
        <w:tc>
          <w:tcPr>
            <w:tcW w:w="2260" w:type="dxa"/>
            <w:vAlign w:val="bottom"/>
            <w:tcBorders>
              <w:top w:val="single" w:sz="8" w:color="691A6B"/>
            </w:tcBorders>
          </w:tcPr>
          <w:p>
            <w:pPr>
              <w:ind w:left="1520"/>
              <w:spacing w:after="0"/>
              <w:rPr>
                <w:sz w:val="20"/>
                <w:szCs w:val="20"/>
                <w:color w:val="auto"/>
              </w:rPr>
            </w:pPr>
            <w:r>
              <w:rPr>
                <w:rFonts w:ascii="Arial" w:cs="Arial" w:eastAsia="Arial" w:hAnsi="Arial"/>
                <w:sz w:val="10"/>
                <w:szCs w:val="10"/>
                <w:b w:val="1"/>
                <w:bCs w:val="1"/>
                <w:color w:val="auto"/>
              </w:rPr>
              <w:t>Note</w:t>
            </w:r>
          </w:p>
        </w:tc>
        <w:tc>
          <w:tcPr>
            <w:tcW w:w="1100" w:type="dxa"/>
            <w:vAlign w:val="bottom"/>
            <w:tcBorders>
              <w:top w:val="single" w:sz="8" w:color="691A6B"/>
            </w:tcBorders>
          </w:tcPr>
          <w:p>
            <w:pPr>
              <w:jc w:val="right"/>
              <w:ind w:right="648"/>
              <w:spacing w:after="0"/>
              <w:rPr>
                <w:sz w:val="20"/>
                <w:szCs w:val="20"/>
                <w:color w:val="auto"/>
              </w:rPr>
            </w:pPr>
            <w:r>
              <w:rPr>
                <w:rFonts w:ascii="Arial" w:cs="Arial" w:eastAsia="Arial" w:hAnsi="Arial"/>
                <w:sz w:val="10"/>
                <w:szCs w:val="10"/>
                <w:b w:val="1"/>
                <w:bCs w:val="1"/>
                <w:color w:val="691A6B"/>
              </w:rPr>
              <w:t>2025</w:t>
            </w:r>
          </w:p>
        </w:tc>
        <w:tc>
          <w:tcPr>
            <w:tcW w:w="940" w:type="dxa"/>
            <w:vAlign w:val="bottom"/>
            <w:tcBorders>
              <w:top w:val="single" w:sz="8" w:color="691A6B"/>
            </w:tcBorders>
          </w:tcPr>
          <w:p>
            <w:pPr>
              <w:jc w:val="right"/>
              <w:ind w:right="188"/>
              <w:spacing w:after="0"/>
              <w:rPr>
                <w:sz w:val="20"/>
                <w:szCs w:val="20"/>
                <w:color w:val="auto"/>
              </w:rPr>
            </w:pPr>
            <w:r>
              <w:rPr>
                <w:rFonts w:ascii="Arial" w:cs="Arial" w:eastAsia="Arial" w:hAnsi="Arial"/>
                <w:sz w:val="10"/>
                <w:szCs w:val="10"/>
                <w:b w:val="1"/>
                <w:bCs w:val="1"/>
                <w:color w:val="auto"/>
                <w:w w:val="96"/>
              </w:rPr>
              <w:t>2024¹ Restated</w:t>
            </w:r>
          </w:p>
        </w:tc>
        <w:tc>
          <w:tcPr>
            <w:tcW w:w="940" w:type="dxa"/>
            <w:vAlign w:val="bottom"/>
            <w:tcBorders>
              <w:top w:val="single" w:sz="8" w:color="691A6B"/>
            </w:tcBorders>
          </w:tcPr>
          <w:p>
            <w:pPr>
              <w:jc w:val="right"/>
              <w:ind w:right="188"/>
              <w:spacing w:after="0"/>
              <w:rPr>
                <w:sz w:val="20"/>
                <w:szCs w:val="20"/>
                <w:color w:val="auto"/>
              </w:rPr>
            </w:pPr>
            <w:r>
              <w:rPr>
                <w:rFonts w:ascii="Arial" w:cs="Arial" w:eastAsia="Arial" w:hAnsi="Arial"/>
                <w:sz w:val="10"/>
                <w:szCs w:val="10"/>
                <w:b w:val="1"/>
                <w:bCs w:val="1"/>
                <w:color w:val="auto"/>
                <w:w w:val="96"/>
              </w:rPr>
              <w:t>2023¹ Restated</w:t>
            </w:r>
          </w:p>
        </w:tc>
      </w:tr>
      <w:tr>
        <w:trPr>
          <w:trHeight w:val="143"/>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Revenue</w:t>
            </w:r>
          </w:p>
        </w:tc>
        <w:tc>
          <w:tcPr>
            <w:tcW w:w="2260" w:type="dxa"/>
            <w:vAlign w:val="bottom"/>
          </w:tcPr>
          <w:p>
            <w:pPr>
              <w:ind w:left="1520"/>
              <w:spacing w:after="0"/>
              <w:rPr>
                <w:sz w:val="20"/>
                <w:szCs w:val="20"/>
                <w:color w:val="auto"/>
              </w:rPr>
            </w:pPr>
            <w:r>
              <w:rPr>
                <w:rFonts w:ascii="Arial" w:cs="Arial" w:eastAsia="Arial" w:hAnsi="Arial"/>
                <w:sz w:val="10"/>
                <w:szCs w:val="10"/>
                <w:b w:val="1"/>
                <w:bCs w:val="1"/>
                <w:color w:val="auto"/>
              </w:rPr>
              <w:t>2.1, 2.2</w:t>
            </w:r>
          </w:p>
        </w:tc>
        <w:tc>
          <w:tcPr>
            <w:tcW w:w="1100" w:type="dxa"/>
            <w:vAlign w:val="bottom"/>
          </w:tcPr>
          <w:p>
            <w:pPr>
              <w:jc w:val="right"/>
              <w:ind w:right="8"/>
              <w:spacing w:after="0"/>
              <w:rPr>
                <w:sz w:val="20"/>
                <w:szCs w:val="20"/>
                <w:color w:val="auto"/>
              </w:rPr>
            </w:pPr>
            <w:r>
              <w:rPr>
                <w:rFonts w:ascii="Arial" w:cs="Arial" w:eastAsia="Arial" w:hAnsi="Arial"/>
                <w:sz w:val="10"/>
                <w:szCs w:val="10"/>
                <w:b w:val="1"/>
                <w:bCs w:val="1"/>
                <w:color w:val="auto"/>
              </w:rPr>
              <w:t>3,720</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3,121</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2,390</w:t>
            </w:r>
          </w:p>
        </w:tc>
      </w:tr>
      <w:tr>
        <w:trPr>
          <w:trHeight w:val="308"/>
        </w:trPr>
        <w:tc>
          <w:tcPr>
            <w:tcW w:w="4600" w:type="dxa"/>
            <w:vAlign w:val="bottom"/>
          </w:tcPr>
          <w:p>
            <w:pPr>
              <w:ind w:left="20"/>
              <w:spacing w:after="0"/>
              <w:rPr>
                <w:sz w:val="20"/>
                <w:szCs w:val="20"/>
                <w:color w:val="auto"/>
              </w:rPr>
            </w:pPr>
            <w:r>
              <w:rPr>
                <w:rFonts w:ascii="Arial" w:cs="Arial" w:eastAsia="Arial" w:hAnsi="Arial"/>
                <w:sz w:val="10"/>
                <w:szCs w:val="10"/>
                <w:color w:val="auto"/>
              </w:rPr>
              <w:t>Cost of product sales</w:t>
            </w:r>
          </w:p>
        </w:tc>
        <w:tc>
          <w:tcPr>
            <w:tcW w:w="2260" w:type="dxa"/>
            <w:vAlign w:val="bottom"/>
          </w:tcPr>
          <w:p>
            <w:pPr>
              <w:ind w:left="1520"/>
              <w:spacing w:after="0"/>
              <w:rPr>
                <w:sz w:val="20"/>
                <w:szCs w:val="20"/>
                <w:color w:val="auto"/>
              </w:rPr>
            </w:pPr>
            <w:r>
              <w:rPr>
                <w:rFonts w:ascii="Arial" w:cs="Arial" w:eastAsia="Arial" w:hAnsi="Arial"/>
                <w:sz w:val="10"/>
                <w:szCs w:val="10"/>
                <w:color w:val="auto"/>
              </w:rPr>
              <w:t>2.3</w:t>
            </w:r>
          </w:p>
        </w:tc>
        <w:tc>
          <w:tcPr>
            <w:tcW w:w="1100" w:type="dxa"/>
            <w:vAlign w:val="bottom"/>
          </w:tcPr>
          <w:p>
            <w:pPr>
              <w:jc w:val="right"/>
              <w:spacing w:after="0"/>
              <w:rPr>
                <w:sz w:val="20"/>
                <w:szCs w:val="20"/>
                <w:color w:val="auto"/>
              </w:rPr>
            </w:pPr>
            <w:r>
              <w:rPr>
                <w:rFonts w:ascii="Arial" w:cs="Arial" w:eastAsia="Arial" w:hAnsi="Arial"/>
                <w:sz w:val="10"/>
                <w:szCs w:val="10"/>
                <w:color w:val="691A6B"/>
              </w:rPr>
              <w:t>(238)</w:t>
            </w:r>
          </w:p>
        </w:tc>
        <w:tc>
          <w:tcPr>
            <w:tcW w:w="940" w:type="dxa"/>
            <w:vAlign w:val="bottom"/>
          </w:tcPr>
          <w:p>
            <w:pPr>
              <w:jc w:val="right"/>
              <w:spacing w:after="0"/>
              <w:rPr>
                <w:sz w:val="20"/>
                <w:szCs w:val="20"/>
                <w:color w:val="auto"/>
              </w:rPr>
            </w:pPr>
            <w:r>
              <w:rPr>
                <w:rFonts w:ascii="Arial" w:cs="Arial" w:eastAsia="Arial" w:hAnsi="Arial"/>
                <w:sz w:val="10"/>
                <w:szCs w:val="10"/>
                <w:color w:val="auto"/>
              </w:rPr>
              <w:t>(143)</w:t>
            </w:r>
          </w:p>
        </w:tc>
        <w:tc>
          <w:tcPr>
            <w:tcW w:w="940" w:type="dxa"/>
            <w:vAlign w:val="bottom"/>
          </w:tcPr>
          <w:p>
            <w:pPr>
              <w:jc w:val="right"/>
              <w:spacing w:after="0"/>
              <w:rPr>
                <w:sz w:val="20"/>
                <w:szCs w:val="20"/>
                <w:color w:val="auto"/>
              </w:rPr>
            </w:pPr>
            <w:r>
              <w:rPr>
                <w:rFonts w:ascii="Arial" w:cs="Arial" w:eastAsia="Arial" w:hAnsi="Arial"/>
                <w:sz w:val="10"/>
                <w:szCs w:val="10"/>
                <w:color w:val="auto"/>
              </w:rPr>
              <w:t>(33)</w:t>
            </w:r>
          </w:p>
        </w:tc>
      </w:tr>
      <w:tr>
        <w:trPr>
          <w:trHeight w:val="152"/>
        </w:trPr>
        <w:tc>
          <w:tcPr>
            <w:tcW w:w="4600" w:type="dxa"/>
            <w:vAlign w:val="bottom"/>
          </w:tcPr>
          <w:p>
            <w:pPr>
              <w:ind w:left="20"/>
              <w:spacing w:after="0"/>
              <w:rPr>
                <w:sz w:val="20"/>
                <w:szCs w:val="20"/>
                <w:color w:val="auto"/>
              </w:rPr>
            </w:pPr>
            <w:r>
              <w:rPr>
                <w:rFonts w:ascii="Arial" w:cs="Arial" w:eastAsia="Arial" w:hAnsi="Arial"/>
                <w:sz w:val="10"/>
                <w:szCs w:val="10"/>
                <w:color w:val="auto"/>
              </w:rPr>
              <w:t>Research and development expenses</w:t>
            </w:r>
          </w:p>
        </w:tc>
        <w:tc>
          <w:tcPr>
            <w:tcW w:w="2260" w:type="dxa"/>
            <w:vAlign w:val="bottom"/>
          </w:tcPr>
          <w:p>
            <w:pPr>
              <w:ind w:left="1520"/>
              <w:spacing w:after="0"/>
              <w:rPr>
                <w:sz w:val="20"/>
                <w:szCs w:val="20"/>
                <w:color w:val="auto"/>
              </w:rPr>
            </w:pPr>
            <w:r>
              <w:rPr>
                <w:rFonts w:ascii="Arial" w:cs="Arial" w:eastAsia="Arial" w:hAnsi="Arial"/>
                <w:sz w:val="10"/>
                <w:szCs w:val="10"/>
                <w:color w:val="auto"/>
              </w:rPr>
              <w:t>2.3, 3.1, 3.2</w:t>
            </w:r>
          </w:p>
        </w:tc>
        <w:tc>
          <w:tcPr>
            <w:tcW w:w="1100" w:type="dxa"/>
            <w:vAlign w:val="bottom"/>
          </w:tcPr>
          <w:p>
            <w:pPr>
              <w:jc w:val="right"/>
              <w:spacing w:after="0"/>
              <w:rPr>
                <w:sz w:val="20"/>
                <w:szCs w:val="20"/>
                <w:color w:val="auto"/>
              </w:rPr>
            </w:pPr>
            <w:r>
              <w:rPr>
                <w:rFonts w:ascii="Arial" w:cs="Arial" w:eastAsia="Arial" w:hAnsi="Arial"/>
                <w:sz w:val="10"/>
                <w:szCs w:val="10"/>
                <w:color w:val="691A6B"/>
              </w:rPr>
              <w:t>(1,606)</w:t>
            </w:r>
          </w:p>
        </w:tc>
        <w:tc>
          <w:tcPr>
            <w:tcW w:w="940" w:type="dxa"/>
            <w:vAlign w:val="bottom"/>
          </w:tcPr>
          <w:p>
            <w:pPr>
              <w:jc w:val="right"/>
              <w:spacing w:after="0"/>
              <w:rPr>
                <w:sz w:val="20"/>
                <w:szCs w:val="20"/>
                <w:color w:val="auto"/>
              </w:rPr>
            </w:pPr>
            <w:r>
              <w:rPr>
                <w:rFonts w:ascii="Arial" w:cs="Arial" w:eastAsia="Arial" w:hAnsi="Arial"/>
                <w:sz w:val="10"/>
                <w:szCs w:val="10"/>
                <w:color w:val="auto"/>
              </w:rPr>
              <w:t>(1,414)</w:t>
            </w:r>
          </w:p>
        </w:tc>
        <w:tc>
          <w:tcPr>
            <w:tcW w:w="940" w:type="dxa"/>
            <w:vAlign w:val="bottom"/>
          </w:tcPr>
          <w:p>
            <w:pPr>
              <w:jc w:val="right"/>
              <w:spacing w:after="0"/>
              <w:rPr>
                <w:sz w:val="20"/>
                <w:szCs w:val="20"/>
                <w:color w:val="auto"/>
              </w:rPr>
            </w:pPr>
            <w:r>
              <w:rPr>
                <w:rFonts w:ascii="Arial" w:cs="Arial" w:eastAsia="Arial" w:hAnsi="Arial"/>
                <w:sz w:val="10"/>
                <w:szCs w:val="10"/>
                <w:color w:val="auto"/>
              </w:rPr>
              <w:t>(1,107)</w:t>
            </w:r>
          </w:p>
        </w:tc>
      </w:tr>
      <w:tr>
        <w:trPr>
          <w:trHeight w:val="152"/>
        </w:trPr>
        <w:tc>
          <w:tcPr>
            <w:tcW w:w="4600" w:type="dxa"/>
            <w:vAlign w:val="bottom"/>
          </w:tcPr>
          <w:p>
            <w:pPr>
              <w:ind w:left="20"/>
              <w:spacing w:after="0"/>
              <w:rPr>
                <w:sz w:val="20"/>
                <w:szCs w:val="20"/>
                <w:color w:val="auto"/>
              </w:rPr>
            </w:pPr>
            <w:r>
              <w:rPr>
                <w:rFonts w:ascii="Arial" w:cs="Arial" w:eastAsia="Arial" w:hAnsi="Arial"/>
                <w:sz w:val="10"/>
                <w:szCs w:val="10"/>
                <w:color w:val="auto"/>
              </w:rPr>
              <w:t>Selling, general and administrative expenses</w:t>
            </w:r>
          </w:p>
        </w:tc>
        <w:tc>
          <w:tcPr>
            <w:tcW w:w="2260" w:type="dxa"/>
            <w:vAlign w:val="bottom"/>
          </w:tcPr>
          <w:p>
            <w:pPr>
              <w:ind w:left="1520"/>
              <w:spacing w:after="0"/>
              <w:rPr>
                <w:sz w:val="20"/>
                <w:szCs w:val="20"/>
                <w:color w:val="auto"/>
              </w:rPr>
            </w:pPr>
            <w:r>
              <w:rPr>
                <w:rFonts w:ascii="Arial" w:cs="Arial" w:eastAsia="Arial" w:hAnsi="Arial"/>
                <w:sz w:val="10"/>
                <w:szCs w:val="10"/>
                <w:color w:val="auto"/>
              </w:rPr>
              <w:t>2.3, 3.2</w:t>
            </w:r>
          </w:p>
        </w:tc>
        <w:tc>
          <w:tcPr>
            <w:tcW w:w="1100" w:type="dxa"/>
            <w:vAlign w:val="bottom"/>
          </w:tcPr>
          <w:p>
            <w:pPr>
              <w:jc w:val="right"/>
              <w:spacing w:after="0"/>
              <w:rPr>
                <w:sz w:val="20"/>
                <w:szCs w:val="20"/>
                <w:color w:val="auto"/>
              </w:rPr>
            </w:pPr>
            <w:r>
              <w:rPr>
                <w:rFonts w:ascii="Arial" w:cs="Arial" w:eastAsia="Arial" w:hAnsi="Arial"/>
                <w:sz w:val="10"/>
                <w:szCs w:val="10"/>
                <w:color w:val="691A6B"/>
              </w:rPr>
              <w:t>(626)</w:t>
            </w:r>
          </w:p>
        </w:tc>
        <w:tc>
          <w:tcPr>
            <w:tcW w:w="940" w:type="dxa"/>
            <w:vAlign w:val="bottom"/>
          </w:tcPr>
          <w:p>
            <w:pPr>
              <w:jc w:val="right"/>
              <w:spacing w:after="0"/>
              <w:rPr>
                <w:sz w:val="20"/>
                <w:szCs w:val="20"/>
                <w:color w:val="auto"/>
              </w:rPr>
            </w:pPr>
            <w:r>
              <w:rPr>
                <w:rFonts w:ascii="Arial" w:cs="Arial" w:eastAsia="Arial" w:hAnsi="Arial"/>
                <w:sz w:val="10"/>
                <w:szCs w:val="10"/>
                <w:color w:val="auto"/>
              </w:rPr>
              <w:t>(549)</w:t>
            </w:r>
          </w:p>
        </w:tc>
        <w:tc>
          <w:tcPr>
            <w:tcW w:w="940" w:type="dxa"/>
            <w:vAlign w:val="bottom"/>
          </w:tcPr>
          <w:p>
            <w:pPr>
              <w:jc w:val="right"/>
              <w:spacing w:after="0"/>
              <w:rPr>
                <w:sz w:val="20"/>
                <w:szCs w:val="20"/>
                <w:color w:val="auto"/>
              </w:rPr>
            </w:pPr>
            <w:r>
              <w:rPr>
                <w:rFonts w:ascii="Arial" w:cs="Arial" w:eastAsia="Arial" w:hAnsi="Arial"/>
                <w:sz w:val="10"/>
                <w:szCs w:val="10"/>
                <w:color w:val="auto"/>
              </w:rPr>
              <w:t>(478)</w:t>
            </w:r>
          </w:p>
        </w:tc>
      </w:tr>
      <w:tr>
        <w:trPr>
          <w:trHeight w:val="152"/>
        </w:trPr>
        <w:tc>
          <w:tcPr>
            <w:tcW w:w="4600" w:type="dxa"/>
            <w:vAlign w:val="bottom"/>
          </w:tcPr>
          <w:p>
            <w:pPr>
              <w:ind w:left="20"/>
              <w:spacing w:after="0"/>
              <w:rPr>
                <w:sz w:val="20"/>
                <w:szCs w:val="20"/>
                <w:color w:val="auto"/>
              </w:rPr>
            </w:pPr>
            <w:r>
              <w:rPr>
                <w:rFonts w:ascii="Arial" w:cs="Arial" w:eastAsia="Arial" w:hAnsi="Arial"/>
                <w:sz w:val="10"/>
                <w:szCs w:val="10"/>
                <w:color w:val="auto"/>
              </w:rPr>
              <w:t>Acquisition and integration related charges</w:t>
            </w:r>
          </w:p>
        </w:tc>
        <w:tc>
          <w:tcPr>
            <w:tcW w:w="2260" w:type="dxa"/>
            <w:vAlign w:val="bottom"/>
          </w:tcPr>
          <w:p>
            <w:pPr>
              <w:ind w:left="1520"/>
              <w:spacing w:after="0"/>
              <w:rPr>
                <w:sz w:val="20"/>
                <w:szCs w:val="20"/>
                <w:color w:val="auto"/>
              </w:rPr>
            </w:pPr>
            <w:r>
              <w:rPr>
                <w:rFonts w:ascii="Arial" w:cs="Arial" w:eastAsia="Arial" w:hAnsi="Arial"/>
                <w:sz w:val="10"/>
                <w:szCs w:val="10"/>
                <w:color w:val="auto"/>
              </w:rPr>
              <w:t>5.5</w:t>
            </w:r>
          </w:p>
        </w:tc>
        <w:tc>
          <w:tcPr>
            <w:tcW w:w="1100" w:type="dxa"/>
            <w:vAlign w:val="bottom"/>
          </w:tcPr>
          <w:p>
            <w:pPr>
              <w:jc w:val="right"/>
              <w:spacing w:after="0"/>
              <w:rPr>
                <w:sz w:val="20"/>
                <w:szCs w:val="20"/>
                <w:color w:val="auto"/>
              </w:rPr>
            </w:pPr>
            <w:r>
              <w:rPr>
                <w:rFonts w:ascii="Arial" w:cs="Arial" w:eastAsia="Arial" w:hAnsi="Arial"/>
                <w:sz w:val="10"/>
                <w:szCs w:val="10"/>
                <w:color w:val="691A6B"/>
              </w:rPr>
              <w:t>(185)</w:t>
            </w:r>
          </w:p>
        </w:tc>
        <w:tc>
          <w:tcPr>
            <w:tcW w:w="940" w:type="dxa"/>
            <w:vAlign w:val="bottom"/>
          </w:tcPr>
          <w:p>
            <w:pPr>
              <w:jc w:val="right"/>
              <w:spacing w:after="0"/>
              <w:rPr>
                <w:sz w:val="20"/>
                <w:szCs w:val="20"/>
                <w:color w:val="auto"/>
              </w:rPr>
            </w:pPr>
            <w:r>
              <w:rPr>
                <w:rFonts w:ascii="Arial" w:cs="Arial" w:eastAsia="Arial" w:hAnsi="Arial"/>
                <w:sz w:val="10"/>
                <w:szCs w:val="10"/>
                <w:color w:val="auto"/>
              </w:rPr>
              <w:t>(43)</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8"/>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Total costs and operating expenses</w:t>
            </w:r>
          </w:p>
        </w:tc>
        <w:tc>
          <w:tcPr>
            <w:tcW w:w="2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691A6B"/>
              </w:rPr>
              <w:t>(2,655)</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(2,149)</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(1,618)</w:t>
            </w:r>
          </w:p>
        </w:tc>
      </w:tr>
      <w:tr>
        <w:trPr>
          <w:trHeight w:val="352"/>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Operating profit</w:t>
            </w:r>
          </w:p>
        </w:tc>
        <w:tc>
          <w:tcPr>
            <w:tcW w:w="226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0"/>
                <w:szCs w:val="10"/>
                <w:b w:val="1"/>
                <w:bCs w:val="1"/>
                <w:color w:val="auto"/>
              </w:rPr>
              <w:t>1,065</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972</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772</w:t>
            </w:r>
          </w:p>
        </w:tc>
      </w:tr>
      <w:tr>
        <w:trPr>
          <w:trHeight w:val="146"/>
        </w:trPr>
        <w:tc>
          <w:tcPr>
            <w:tcW w:w="4600" w:type="dxa"/>
            <w:vAlign w:val="bottom"/>
          </w:tcPr>
          <w:p>
            <w:pPr>
              <w:ind w:left="20"/>
              <w:spacing w:after="0"/>
              <w:rPr>
                <w:sz w:val="20"/>
                <w:szCs w:val="20"/>
                <w:color w:val="auto"/>
              </w:rPr>
            </w:pPr>
            <w:r>
              <w:rPr>
                <w:rFonts w:ascii="Arial" w:cs="Arial" w:eastAsia="Arial" w:hAnsi="Arial"/>
                <w:sz w:val="10"/>
                <w:szCs w:val="10"/>
                <w:color w:val="auto"/>
              </w:rPr>
              <w:t>Financial income</w:t>
            </w:r>
          </w:p>
        </w:tc>
        <w:tc>
          <w:tcPr>
            <w:tcW w:w="2260" w:type="dxa"/>
            <w:vAlign w:val="bottom"/>
          </w:tcPr>
          <w:p>
            <w:pPr>
              <w:ind w:left="1520"/>
              <w:spacing w:after="0"/>
              <w:rPr>
                <w:sz w:val="20"/>
                <w:szCs w:val="20"/>
                <w:color w:val="auto"/>
              </w:rPr>
            </w:pPr>
            <w:r>
              <w:rPr>
                <w:rFonts w:ascii="Arial" w:cs="Arial" w:eastAsia="Arial" w:hAnsi="Arial"/>
                <w:sz w:val="10"/>
                <w:szCs w:val="10"/>
                <w:color w:val="auto"/>
              </w:rPr>
              <w:t>4.5</w:t>
            </w:r>
          </w:p>
        </w:tc>
        <w:tc>
          <w:tcPr>
            <w:tcW w:w="1100" w:type="dxa"/>
            <w:vAlign w:val="bottom"/>
          </w:tcPr>
          <w:p>
            <w:pPr>
              <w:jc w:val="right"/>
              <w:ind w:right="8"/>
              <w:spacing w:after="0"/>
              <w:rPr>
                <w:sz w:val="20"/>
                <w:szCs w:val="20"/>
                <w:color w:val="auto"/>
              </w:rPr>
            </w:pPr>
            <w:r>
              <w:rPr>
                <w:rFonts w:ascii="Arial" w:cs="Arial" w:eastAsia="Arial" w:hAnsi="Arial"/>
                <w:sz w:val="10"/>
                <w:szCs w:val="10"/>
                <w:color w:val="691A6B"/>
              </w:rPr>
              <w:t>408</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645</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299</w:t>
            </w:r>
          </w:p>
        </w:tc>
      </w:tr>
      <w:tr>
        <w:trPr>
          <w:trHeight w:val="152"/>
        </w:trPr>
        <w:tc>
          <w:tcPr>
            <w:tcW w:w="4600" w:type="dxa"/>
            <w:vAlign w:val="bottom"/>
          </w:tcPr>
          <w:p>
            <w:pPr>
              <w:ind w:left="20"/>
              <w:spacing w:after="0"/>
              <w:rPr>
                <w:sz w:val="20"/>
                <w:szCs w:val="20"/>
                <w:color w:val="auto"/>
              </w:rPr>
            </w:pPr>
            <w:r>
              <w:rPr>
                <w:rFonts w:ascii="Arial" w:cs="Arial" w:eastAsia="Arial" w:hAnsi="Arial"/>
                <w:sz w:val="10"/>
                <w:szCs w:val="10"/>
                <w:color w:val="auto"/>
              </w:rPr>
              <w:t>Financial expenses</w:t>
            </w:r>
          </w:p>
        </w:tc>
        <w:tc>
          <w:tcPr>
            <w:tcW w:w="2260" w:type="dxa"/>
            <w:vAlign w:val="bottom"/>
          </w:tcPr>
          <w:p>
            <w:pPr>
              <w:ind w:left="1520"/>
              <w:spacing w:after="0"/>
              <w:rPr>
                <w:sz w:val="20"/>
                <w:szCs w:val="20"/>
                <w:color w:val="auto"/>
              </w:rPr>
            </w:pPr>
            <w:r>
              <w:rPr>
                <w:rFonts w:ascii="Arial" w:cs="Arial" w:eastAsia="Arial" w:hAnsi="Arial"/>
                <w:sz w:val="10"/>
                <w:szCs w:val="10"/>
                <w:color w:val="auto"/>
              </w:rPr>
              <w:t>4.5</w:t>
            </w:r>
          </w:p>
        </w:tc>
        <w:tc>
          <w:tcPr>
            <w:tcW w:w="1100" w:type="dxa"/>
            <w:vAlign w:val="bottom"/>
          </w:tcPr>
          <w:p>
            <w:pPr>
              <w:jc w:val="right"/>
              <w:spacing w:after="0"/>
              <w:rPr>
                <w:sz w:val="20"/>
                <w:szCs w:val="20"/>
                <w:color w:val="auto"/>
              </w:rPr>
            </w:pPr>
            <w:r>
              <w:rPr>
                <w:rFonts w:ascii="Arial" w:cs="Arial" w:eastAsia="Arial" w:hAnsi="Arial"/>
                <w:sz w:val="10"/>
                <w:szCs w:val="10"/>
                <w:color w:val="691A6B"/>
              </w:rPr>
              <w:t>(269)</w:t>
            </w:r>
          </w:p>
        </w:tc>
        <w:tc>
          <w:tcPr>
            <w:tcW w:w="940" w:type="dxa"/>
            <w:vAlign w:val="bottom"/>
          </w:tcPr>
          <w:p>
            <w:pPr>
              <w:jc w:val="right"/>
              <w:spacing w:after="0"/>
              <w:rPr>
                <w:sz w:val="20"/>
                <w:szCs w:val="20"/>
                <w:color w:val="auto"/>
              </w:rPr>
            </w:pPr>
            <w:r>
              <w:rPr>
                <w:rFonts w:ascii="Arial" w:cs="Arial" w:eastAsia="Arial" w:hAnsi="Arial"/>
                <w:sz w:val="10"/>
                <w:szCs w:val="10"/>
                <w:color w:val="auto"/>
              </w:rPr>
              <w:t>(291)</w:t>
            </w:r>
          </w:p>
        </w:tc>
        <w:tc>
          <w:tcPr>
            <w:tcW w:w="940" w:type="dxa"/>
            <w:vAlign w:val="bottom"/>
          </w:tcPr>
          <w:p>
            <w:pPr>
              <w:jc w:val="right"/>
              <w:spacing w:after="0"/>
              <w:rPr>
                <w:sz w:val="20"/>
                <w:szCs w:val="20"/>
                <w:color w:val="auto"/>
              </w:rPr>
            </w:pPr>
            <w:r>
              <w:rPr>
                <w:rFonts w:ascii="Arial" w:cs="Arial" w:eastAsia="Arial" w:hAnsi="Arial"/>
                <w:sz w:val="10"/>
                <w:szCs w:val="10"/>
                <w:color w:val="auto"/>
              </w:rPr>
              <w:t>(254)</w:t>
            </w:r>
          </w:p>
        </w:tc>
      </w:tr>
      <w:tr>
        <w:trPr>
          <w:trHeight w:val="158"/>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Net profit before tax</w:t>
            </w:r>
          </w:p>
        </w:tc>
        <w:tc>
          <w:tcPr>
            <w:tcW w:w="2260" w:type="dxa"/>
            <w:vAlign w:val="bottom"/>
          </w:tcPr>
          <w:p>
            <w:pPr>
              <w:spacing w:after="0"/>
              <w:rPr>
                <w:sz w:val="13"/>
                <w:szCs w:val="13"/>
                <w:color w:val="auto"/>
              </w:rPr>
            </w:pPr>
          </w:p>
        </w:tc>
        <w:tc>
          <w:tcPr>
            <w:tcW w:w="1100" w:type="dxa"/>
            <w:vAlign w:val="bottom"/>
          </w:tcPr>
          <w:p>
            <w:pPr>
              <w:jc w:val="right"/>
              <w:ind w:right="8"/>
              <w:spacing w:after="0"/>
              <w:rPr>
                <w:sz w:val="20"/>
                <w:szCs w:val="20"/>
                <w:color w:val="auto"/>
              </w:rPr>
            </w:pPr>
            <w:r>
              <w:rPr>
                <w:rFonts w:ascii="Arial" w:cs="Arial" w:eastAsia="Arial" w:hAnsi="Arial"/>
                <w:sz w:val="10"/>
                <w:szCs w:val="10"/>
                <w:b w:val="1"/>
                <w:bCs w:val="1"/>
                <w:color w:val="691A6B"/>
              </w:rPr>
              <w:t>1,204</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1,326</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817</w:t>
            </w:r>
          </w:p>
        </w:tc>
      </w:tr>
      <w:tr>
        <w:trPr>
          <w:trHeight w:val="146"/>
        </w:trPr>
        <w:tc>
          <w:tcPr>
            <w:tcW w:w="4600" w:type="dxa"/>
            <w:vAlign w:val="bottom"/>
          </w:tcPr>
          <w:p>
            <w:pPr>
              <w:ind w:left="20"/>
              <w:spacing w:after="0"/>
              <w:rPr>
                <w:sz w:val="20"/>
                <w:szCs w:val="20"/>
                <w:color w:val="auto"/>
              </w:rPr>
            </w:pPr>
            <w:r>
              <w:rPr>
                <w:rFonts w:ascii="Arial" w:cs="Arial" w:eastAsia="Arial" w:hAnsi="Arial"/>
                <w:sz w:val="10"/>
                <w:szCs w:val="10"/>
                <w:color w:val="auto"/>
              </w:rPr>
              <w:t>Corporate tax</w:t>
            </w:r>
          </w:p>
        </w:tc>
        <w:tc>
          <w:tcPr>
            <w:tcW w:w="2260" w:type="dxa"/>
            <w:vAlign w:val="bottom"/>
          </w:tcPr>
          <w:p>
            <w:pPr>
              <w:ind w:left="1520"/>
              <w:spacing w:after="0"/>
              <w:rPr>
                <w:sz w:val="20"/>
                <w:szCs w:val="20"/>
                <w:color w:val="auto"/>
              </w:rPr>
            </w:pPr>
            <w:r>
              <w:rPr>
                <w:rFonts w:ascii="Arial" w:cs="Arial" w:eastAsia="Arial" w:hAnsi="Arial"/>
                <w:sz w:val="10"/>
                <w:szCs w:val="10"/>
                <w:color w:val="auto"/>
              </w:rPr>
              <w:t>2.4</w:t>
            </w:r>
          </w:p>
        </w:tc>
        <w:tc>
          <w:tcPr>
            <w:tcW w:w="1100" w:type="dxa"/>
            <w:vAlign w:val="bottom"/>
          </w:tcPr>
          <w:p>
            <w:pPr>
              <w:jc w:val="right"/>
              <w:spacing w:after="0"/>
              <w:rPr>
                <w:sz w:val="20"/>
                <w:szCs w:val="20"/>
                <w:color w:val="auto"/>
              </w:rPr>
            </w:pPr>
            <w:r>
              <w:rPr>
                <w:rFonts w:ascii="Arial" w:cs="Arial" w:eastAsia="Arial" w:hAnsi="Arial"/>
                <w:sz w:val="10"/>
                <w:szCs w:val="10"/>
                <w:color w:val="691A6B"/>
              </w:rPr>
              <w:t>(241)</w:t>
            </w:r>
          </w:p>
        </w:tc>
        <w:tc>
          <w:tcPr>
            <w:tcW w:w="940" w:type="dxa"/>
            <w:vAlign w:val="bottom"/>
          </w:tcPr>
          <w:p>
            <w:pPr>
              <w:jc w:val="right"/>
              <w:spacing w:after="0"/>
              <w:rPr>
                <w:sz w:val="20"/>
                <w:szCs w:val="20"/>
                <w:color w:val="auto"/>
              </w:rPr>
            </w:pPr>
            <w:r>
              <w:rPr>
                <w:rFonts w:ascii="Arial" w:cs="Arial" w:eastAsia="Arial" w:hAnsi="Arial"/>
                <w:sz w:val="10"/>
                <w:szCs w:val="10"/>
                <w:color w:val="auto"/>
              </w:rPr>
              <w:t>(193)</w:t>
            </w:r>
          </w:p>
        </w:tc>
        <w:tc>
          <w:tcPr>
            <w:tcW w:w="940" w:type="dxa"/>
            <w:vAlign w:val="bottom"/>
          </w:tcPr>
          <w:p>
            <w:pPr>
              <w:jc w:val="right"/>
              <w:spacing w:after="0"/>
              <w:rPr>
                <w:sz w:val="20"/>
                <w:szCs w:val="20"/>
                <w:color w:val="auto"/>
              </w:rPr>
            </w:pPr>
            <w:r>
              <w:rPr>
                <w:rFonts w:ascii="Arial" w:cs="Arial" w:eastAsia="Arial" w:hAnsi="Arial"/>
                <w:sz w:val="10"/>
                <w:szCs w:val="10"/>
                <w:color w:val="auto"/>
              </w:rPr>
              <w:t>(186)</w:t>
            </w:r>
          </w:p>
        </w:tc>
      </w:tr>
      <w:tr>
        <w:trPr>
          <w:trHeight w:val="158"/>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Net profit</w:t>
            </w:r>
          </w:p>
        </w:tc>
        <w:tc>
          <w:tcPr>
            <w:tcW w:w="2260" w:type="dxa"/>
            <w:vAlign w:val="bottom"/>
          </w:tcPr>
          <w:p>
            <w:pPr>
              <w:spacing w:after="0"/>
              <w:rPr>
                <w:sz w:val="13"/>
                <w:szCs w:val="13"/>
                <w:color w:val="auto"/>
              </w:rPr>
            </w:pPr>
          </w:p>
        </w:tc>
        <w:tc>
          <w:tcPr>
            <w:tcW w:w="1100" w:type="dxa"/>
            <w:vAlign w:val="bottom"/>
          </w:tcPr>
          <w:p>
            <w:pPr>
              <w:jc w:val="right"/>
              <w:ind w:right="8"/>
              <w:spacing w:after="0"/>
              <w:rPr>
                <w:sz w:val="20"/>
                <w:szCs w:val="20"/>
                <w:color w:val="auto"/>
              </w:rPr>
            </w:pPr>
            <w:r>
              <w:rPr>
                <w:rFonts w:ascii="Arial" w:cs="Arial" w:eastAsia="Arial" w:hAnsi="Arial"/>
                <w:sz w:val="10"/>
                <w:szCs w:val="10"/>
                <w:b w:val="1"/>
                <w:bCs w:val="1"/>
                <w:color w:val="691A6B"/>
              </w:rPr>
              <w:t>963</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1,133</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631</w:t>
            </w:r>
          </w:p>
        </w:tc>
      </w:tr>
      <w:tr>
        <w:trPr>
          <w:trHeight w:val="352"/>
        </w:trPr>
        <w:tc>
          <w:tcPr>
            <w:tcW w:w="4600" w:type="dxa"/>
            <w:vAlign w:val="bottom"/>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52"/>
        </w:trPr>
        <w:tc>
          <w:tcPr>
            <w:tcW w:w="4600" w:type="dxa"/>
            <w:vAlign w:val="bottom"/>
          </w:tcPr>
          <w:p>
            <w:pPr>
              <w:ind w:left="20"/>
              <w:spacing w:after="0"/>
              <w:rPr>
                <w:rFonts w:ascii="Arial" w:cs="Arial" w:eastAsia="Arial" w:hAnsi="Arial"/>
                <w:sz w:val="10"/>
                <w:szCs w:val="10"/>
                <w:b w:val="1"/>
                <w:bCs w:val="1"/>
                <w:i w:val="1"/>
                <w:iCs w:val="1"/>
                <w:color w:val="auto"/>
              </w:rPr>
            </w:pPr>
            <w:r>
              <w:rPr>
                <w:rFonts w:ascii="Arial" w:cs="Arial" w:eastAsia="Arial" w:hAnsi="Arial"/>
                <w:sz w:val="10"/>
                <w:szCs w:val="10"/>
                <w:b w:val="1"/>
                <w:bCs w:val="1"/>
                <w:i w:val="1"/>
                <w:iCs w:val="1"/>
                <w:color w:val="auto"/>
              </w:rPr>
              <w:t xml:space="preserve">Amounts </w:t>
            </w:r>
            <w:hyperlink w:anchor="page134">
              <w:r>
                <w:rPr>
                  <w:rFonts w:ascii="Arial" w:cs="Arial" w:eastAsia="Arial" w:hAnsi="Arial"/>
                  <w:sz w:val="10"/>
                  <w:szCs w:val="10"/>
                  <w:b w:val="1"/>
                  <w:bCs w:val="1"/>
                  <w:i w:val="1"/>
                  <w:iCs w:val="1"/>
                  <w:color w:val="auto"/>
                </w:rPr>
                <w:t>which may be re-</w:t>
              </w:r>
            </w:hyperlink>
            <w:r>
              <w:rPr>
                <w:rFonts w:ascii="Arial" w:cs="Arial" w:eastAsia="Arial" w:hAnsi="Arial"/>
                <w:sz w:val="10"/>
                <w:szCs w:val="10"/>
                <w:b w:val="1"/>
                <w:bCs w:val="1"/>
                <w:i w:val="1"/>
                <w:iCs w:val="1"/>
                <w:color w:val="auto"/>
              </w:rPr>
              <w:t>classified to the income statement:</w:t>
            </w:r>
          </w:p>
        </w:tc>
        <w:tc>
          <w:tcPr>
            <w:tcW w:w="2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6"/>
        </w:trPr>
        <w:tc>
          <w:tcPr>
            <w:tcW w:w="4600" w:type="dxa"/>
            <w:vAlign w:val="bottom"/>
          </w:tcPr>
          <w:p>
            <w:pPr>
              <w:ind w:left="20"/>
              <w:spacing w:after="0"/>
              <w:rPr>
                <w:sz w:val="20"/>
                <w:szCs w:val="20"/>
                <w:color w:val="auto"/>
              </w:rPr>
            </w:pPr>
            <w:r>
              <w:rPr>
                <w:rFonts w:ascii="Arial" w:cs="Arial" w:eastAsia="Arial" w:hAnsi="Arial"/>
                <w:sz w:val="10"/>
                <w:szCs w:val="10"/>
                <w:color w:val="auto"/>
              </w:rPr>
              <w:t>Exchange differences on translation of foreign operations</w:t>
            </w:r>
          </w:p>
        </w:tc>
        <w:tc>
          <w:tcPr>
            <w:tcW w:w="2260" w:type="dxa"/>
            <w:vAlign w:val="bottom"/>
          </w:tcPr>
          <w:p>
            <w:pPr>
              <w:spacing w:after="0"/>
              <w:rPr>
                <w:sz w:val="12"/>
                <w:szCs w:val="12"/>
                <w:color w:val="auto"/>
              </w:rPr>
            </w:pPr>
          </w:p>
        </w:tc>
        <w:tc>
          <w:tcPr>
            <w:tcW w:w="1100" w:type="dxa"/>
            <w:vAlign w:val="bottom"/>
          </w:tcPr>
          <w:p>
            <w:pPr>
              <w:jc w:val="right"/>
              <w:ind w:right="8"/>
              <w:spacing w:after="0"/>
              <w:rPr>
                <w:sz w:val="20"/>
                <w:szCs w:val="20"/>
                <w:color w:val="auto"/>
              </w:rPr>
            </w:pPr>
            <w:r>
              <w:rPr>
                <w:rFonts w:ascii="Arial" w:cs="Arial" w:eastAsia="Arial" w:hAnsi="Arial"/>
                <w:sz w:val="10"/>
                <w:szCs w:val="10"/>
                <w:color w:val="691A6B"/>
              </w:rPr>
              <w:t>45</w:t>
            </w:r>
          </w:p>
        </w:tc>
        <w:tc>
          <w:tcPr>
            <w:tcW w:w="940" w:type="dxa"/>
            <w:vAlign w:val="bottom"/>
          </w:tcPr>
          <w:p>
            <w:pPr>
              <w:jc w:val="right"/>
              <w:spacing w:after="0"/>
              <w:rPr>
                <w:sz w:val="20"/>
                <w:szCs w:val="20"/>
                <w:color w:val="auto"/>
              </w:rPr>
            </w:pPr>
            <w:r>
              <w:rPr>
                <w:rFonts w:ascii="Arial" w:cs="Arial" w:eastAsia="Arial" w:hAnsi="Arial"/>
                <w:sz w:val="10"/>
                <w:szCs w:val="10"/>
                <w:color w:val="auto"/>
              </w:rPr>
              <w:t>(224)</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139</w:t>
            </w:r>
          </w:p>
        </w:tc>
      </w:tr>
      <w:tr>
        <w:trPr>
          <w:trHeight w:val="158"/>
        </w:trPr>
        <w:tc>
          <w:tcPr>
            <w:tcW w:w="4600" w:type="dxa"/>
            <w:vAlign w:val="bottom"/>
          </w:tcPr>
          <w:p>
            <w:pPr>
              <w:ind w:left="20"/>
              <w:spacing w:after="0"/>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Total </w:t>
            </w:r>
            <w:hyperlink w:anchor="page135">
              <w:r>
                <w:rPr>
                  <w:rFonts w:ascii="Arial" w:cs="Arial" w:eastAsia="Arial" w:hAnsi="Arial"/>
                  <w:sz w:val="10"/>
                  <w:szCs w:val="10"/>
                  <w:b w:val="1"/>
                  <w:bCs w:val="1"/>
                  <w:color w:val="auto"/>
                </w:rPr>
                <w:t>comprehensive income</w:t>
              </w:r>
            </w:hyperlink>
          </w:p>
        </w:tc>
        <w:tc>
          <w:tcPr>
            <w:tcW w:w="2260" w:type="dxa"/>
            <w:vAlign w:val="bottom"/>
          </w:tcPr>
          <w:p>
            <w:pPr>
              <w:spacing w:after="0"/>
              <w:rPr>
                <w:sz w:val="13"/>
                <w:szCs w:val="13"/>
                <w:color w:val="auto"/>
              </w:rPr>
            </w:pPr>
          </w:p>
        </w:tc>
        <w:tc>
          <w:tcPr>
            <w:tcW w:w="1100" w:type="dxa"/>
            <w:vAlign w:val="bottom"/>
          </w:tcPr>
          <w:p>
            <w:pPr>
              <w:jc w:val="right"/>
              <w:ind w:right="8"/>
              <w:spacing w:after="0"/>
              <w:rPr>
                <w:sz w:val="20"/>
                <w:szCs w:val="20"/>
                <w:color w:val="auto"/>
              </w:rPr>
            </w:pPr>
            <w:r>
              <w:rPr>
                <w:rFonts w:ascii="Arial" w:cs="Arial" w:eastAsia="Arial" w:hAnsi="Arial"/>
                <w:sz w:val="10"/>
                <w:szCs w:val="10"/>
                <w:b w:val="1"/>
                <w:bCs w:val="1"/>
                <w:color w:val="691A6B"/>
              </w:rPr>
              <w:t>1,008</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909</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770</w:t>
            </w:r>
          </w:p>
        </w:tc>
      </w:tr>
      <w:tr>
        <w:trPr>
          <w:trHeight w:val="346"/>
        </w:trPr>
        <w:tc>
          <w:tcPr>
            <w:tcW w:w="4600" w:type="dxa"/>
            <w:vAlign w:val="bottom"/>
          </w:tcPr>
          <w:p>
            <w:pPr>
              <w:ind w:left="20"/>
              <w:spacing w:after="0"/>
              <w:rPr>
                <w:sz w:val="20"/>
                <w:szCs w:val="20"/>
                <w:color w:val="auto"/>
              </w:rPr>
            </w:pPr>
            <w:r>
              <w:rPr>
                <w:rFonts w:ascii="Arial" w:cs="Arial" w:eastAsia="Arial" w:hAnsi="Arial"/>
                <w:sz w:val="10"/>
                <w:szCs w:val="10"/>
                <w:color w:val="auto"/>
              </w:rPr>
              <w:t>Basic net profit per share</w:t>
            </w:r>
          </w:p>
        </w:tc>
        <w:tc>
          <w:tcPr>
            <w:tcW w:w="2260" w:type="dxa"/>
            <w:vAlign w:val="bottom"/>
          </w:tcPr>
          <w:p>
            <w:pPr>
              <w:ind w:left="1520"/>
              <w:spacing w:after="0"/>
              <w:rPr>
                <w:sz w:val="20"/>
                <w:szCs w:val="20"/>
                <w:color w:val="auto"/>
              </w:rPr>
            </w:pPr>
            <w:r>
              <w:rPr>
                <w:rFonts w:ascii="Arial" w:cs="Arial" w:eastAsia="Arial" w:hAnsi="Arial"/>
                <w:sz w:val="10"/>
                <w:szCs w:val="10"/>
                <w:color w:val="auto"/>
              </w:rPr>
              <w:t>2.5</w:t>
            </w:r>
          </w:p>
        </w:tc>
        <w:tc>
          <w:tcPr>
            <w:tcW w:w="1100" w:type="dxa"/>
            <w:vAlign w:val="bottom"/>
          </w:tcPr>
          <w:p>
            <w:pPr>
              <w:jc w:val="right"/>
              <w:ind w:right="8"/>
              <w:spacing w:after="0"/>
              <w:rPr>
                <w:sz w:val="20"/>
                <w:szCs w:val="20"/>
                <w:color w:val="auto"/>
              </w:rPr>
            </w:pPr>
            <w:r>
              <w:rPr>
                <w:rFonts w:ascii="Arial" w:cs="Arial" w:eastAsia="Arial" w:hAnsi="Arial"/>
                <w:sz w:val="10"/>
                <w:szCs w:val="10"/>
                <w:color w:val="691A6B"/>
              </w:rPr>
              <w:t>15.50</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17.66</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9.67</w:t>
            </w:r>
          </w:p>
        </w:tc>
      </w:tr>
      <w:tr>
        <w:trPr>
          <w:trHeight w:val="152"/>
        </w:trPr>
        <w:tc>
          <w:tcPr>
            <w:tcW w:w="4600" w:type="dxa"/>
            <w:vAlign w:val="bottom"/>
          </w:tcPr>
          <w:p>
            <w:pPr>
              <w:ind w:left="20"/>
              <w:spacing w:after="0"/>
              <w:rPr>
                <w:sz w:val="20"/>
                <w:szCs w:val="20"/>
                <w:color w:val="auto"/>
              </w:rPr>
            </w:pPr>
            <w:r>
              <w:rPr>
                <w:rFonts w:ascii="Arial" w:cs="Arial" w:eastAsia="Arial" w:hAnsi="Arial"/>
                <w:sz w:val="10"/>
                <w:szCs w:val="10"/>
                <w:color w:val="auto"/>
              </w:rPr>
              <w:t>Diluted net profit per share</w:t>
            </w:r>
          </w:p>
        </w:tc>
        <w:tc>
          <w:tcPr>
            <w:tcW w:w="2260" w:type="dxa"/>
            <w:vAlign w:val="bottom"/>
          </w:tcPr>
          <w:p>
            <w:pPr>
              <w:ind w:left="1520"/>
              <w:spacing w:after="0"/>
              <w:rPr>
                <w:sz w:val="20"/>
                <w:szCs w:val="20"/>
                <w:color w:val="auto"/>
              </w:rPr>
            </w:pPr>
            <w:r>
              <w:rPr>
                <w:rFonts w:ascii="Arial" w:cs="Arial" w:eastAsia="Arial" w:hAnsi="Arial"/>
                <w:sz w:val="10"/>
                <w:szCs w:val="10"/>
                <w:color w:val="auto"/>
              </w:rPr>
              <w:t>2.5</w:t>
            </w:r>
          </w:p>
        </w:tc>
        <w:tc>
          <w:tcPr>
            <w:tcW w:w="1100" w:type="dxa"/>
            <w:vAlign w:val="bottom"/>
          </w:tcPr>
          <w:p>
            <w:pPr>
              <w:jc w:val="right"/>
              <w:ind w:right="8"/>
              <w:spacing w:after="0"/>
              <w:rPr>
                <w:sz w:val="20"/>
                <w:szCs w:val="20"/>
                <w:color w:val="auto"/>
              </w:rPr>
            </w:pPr>
            <w:r>
              <w:rPr>
                <w:rFonts w:ascii="Arial" w:cs="Arial" w:eastAsia="Arial" w:hAnsi="Arial"/>
                <w:sz w:val="10"/>
                <w:szCs w:val="10"/>
                <w:color w:val="691A6B"/>
              </w:rPr>
              <w:t>15.37</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17.53</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9.58</w:t>
            </w:r>
          </w:p>
        </w:tc>
      </w:tr>
    </w:tbl>
    <w:p>
      <w:pPr>
        <w:spacing w:after="0" w:line="16" w:lineRule="exact"/>
        <w:rPr>
          <w:sz w:val="20"/>
          <w:szCs w:val="20"/>
          <w:color w:val="auto"/>
        </w:rPr>
      </w:pPr>
    </w:p>
    <w:p>
      <w:pPr>
        <w:ind w:right="640"/>
        <w:spacing w:after="0" w:line="235" w:lineRule="auto"/>
        <w:rPr>
          <w:rFonts w:ascii="Arial" w:cs="Arial" w:eastAsia="Arial" w:hAnsi="Arial"/>
          <w:sz w:val="9"/>
          <w:szCs w:val="9"/>
          <w:color w:val="auto"/>
        </w:rPr>
      </w:pPr>
      <w:r>
        <w:rPr>
          <w:rFonts w:ascii="Arial" w:cs="Arial" w:eastAsia="Arial" w:hAnsi="Arial"/>
          <w:sz w:val="9"/>
          <w:szCs w:val="9"/>
          <w:color w:val="auto"/>
        </w:rPr>
        <w:t xml:space="preserve">1.Genmab changed its presentation currency from DKK to USD effective January 1, 2025. Accordingly, Management has translated the consolidated financial statements and related notes into USD for all periods presented. Additionally, certain reclassifications have been made between financial income and financial expenses for all periods presented. Refer to </w:t>
      </w:r>
      <w:hyperlink w:anchor="page137">
        <w:r>
          <w:rPr>
            <w:rFonts w:ascii="Arial" w:cs="Arial" w:eastAsia="Arial" w:hAnsi="Arial"/>
            <w:sz w:val="9"/>
            <w:szCs w:val="9"/>
            <w:b w:val="1"/>
            <w:bCs w:val="1"/>
            <w:color w:val="691A6B"/>
          </w:rPr>
          <w:t xml:space="preserve">Note </w:t>
        </w:r>
      </w:hyperlink>
      <w:r>
        <w:rPr>
          <w:rFonts w:ascii="Arial" w:cs="Arial" w:eastAsia="Arial" w:hAnsi="Arial"/>
          <w:sz w:val="9"/>
          <w:szCs w:val="9"/>
          <w:color w:val="auto"/>
        </w:rPr>
        <w:t xml:space="preserve">1.1 and </w:t>
      </w:r>
      <w:hyperlink w:anchor="page140">
        <w:r>
          <w:rPr>
            <w:rFonts w:ascii="Arial" w:cs="Arial" w:eastAsia="Arial" w:hAnsi="Arial"/>
            <w:sz w:val="9"/>
            <w:szCs w:val="9"/>
            <w:b w:val="1"/>
            <w:bCs w:val="1"/>
            <w:color w:val="691A6B"/>
          </w:rPr>
          <w:t xml:space="preserve">Note </w:t>
        </w:r>
      </w:hyperlink>
      <w:r>
        <w:rPr>
          <w:rFonts w:ascii="Arial" w:cs="Arial" w:eastAsia="Arial" w:hAnsi="Arial"/>
          <w:sz w:val="9"/>
          <w:szCs w:val="9"/>
          <w:color w:val="auto"/>
        </w:rPr>
        <w:t>1.4, respectively,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108</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8" w:lineRule="auto"/>
        <w:rPr>
          <w:sz w:val="20"/>
          <w:szCs w:val="20"/>
          <w:color w:val="auto"/>
        </w:rPr>
      </w:pPr>
      <w:r>
        <w:rPr>
          <w:rFonts w:ascii="Arial" w:cs="Arial" w:eastAsia="Arial" w:hAnsi="Arial"/>
          <w:sz w:val="15"/>
          <w:szCs w:val="15"/>
          <w:b w:val="1"/>
          <w:bCs w:val="1"/>
          <w:color w:val="691A6B"/>
        </w:rPr>
        <w:t>Consolidated Balance Sheets</w:t>
      </w:r>
    </w:p>
    <w:tbl>
      <w:tblPr>
        <w:tblLayout w:type="fixed"/>
        <w:tblInd w:w="0" w:type="dxa"/>
        <w:tblCellMar>
          <w:top w:w="0" w:type="dxa"/>
          <w:left w:w="0" w:type="dxa"/>
          <w:bottom w:w="0" w:type="dxa"/>
          <w:right w:w="0" w:type="dxa"/>
        </w:tblCellMar>
      </w:tblPr>
      <w:tr>
        <w:trPr>
          <w:trHeight w:val="128"/>
        </w:trPr>
        <w:tc>
          <w:tcPr>
            <w:tcW w:w="2720" w:type="dxa"/>
            <w:vAlign w:val="bottom"/>
            <w:tcBorders>
              <w:top w:val="single" w:sz="8" w:color="691A6B"/>
            </w:tcBorders>
          </w:tcPr>
          <w:p>
            <w:pPr>
              <w:spacing w:after="0"/>
              <w:rPr>
                <w:sz w:val="11"/>
                <w:szCs w:val="11"/>
                <w:color w:val="auto"/>
              </w:rPr>
            </w:pPr>
          </w:p>
        </w:tc>
        <w:tc>
          <w:tcPr>
            <w:tcW w:w="860" w:type="dxa"/>
            <w:vAlign w:val="bottom"/>
            <w:tcBorders>
              <w:top w:val="single" w:sz="8" w:color="691A6B"/>
            </w:tcBorders>
          </w:tcPr>
          <w:p>
            <w:pPr>
              <w:ind w:left="220"/>
              <w:spacing w:after="0"/>
              <w:rPr>
                <w:sz w:val="20"/>
                <w:szCs w:val="20"/>
                <w:color w:val="auto"/>
              </w:rPr>
            </w:pPr>
            <w:r>
              <w:rPr>
                <w:rFonts w:ascii="Arial" w:cs="Arial" w:eastAsia="Arial" w:hAnsi="Arial"/>
                <w:sz w:val="10"/>
                <w:szCs w:val="10"/>
                <w:b w:val="1"/>
                <w:bCs w:val="1"/>
                <w:color w:val="auto"/>
                <w:w w:val="95"/>
              </w:rPr>
              <w:t>December 31,</w:t>
            </w:r>
          </w:p>
        </w:tc>
        <w:tc>
          <w:tcPr>
            <w:tcW w:w="540" w:type="dxa"/>
            <w:vAlign w:val="bottom"/>
            <w:tcBorders>
              <w:top w:val="single" w:sz="8" w:color="691A6B"/>
            </w:tcBorders>
          </w:tcPr>
          <w:p>
            <w:pPr>
              <w:spacing w:after="0"/>
              <w:rPr>
                <w:sz w:val="11"/>
                <w:szCs w:val="11"/>
                <w:color w:val="auto"/>
              </w:rPr>
            </w:pPr>
          </w:p>
        </w:tc>
        <w:tc>
          <w:tcPr>
            <w:tcW w:w="780" w:type="dxa"/>
            <w:vAlign w:val="bottom"/>
            <w:tcBorders>
              <w:top w:val="single" w:sz="8" w:color="691A6B"/>
            </w:tcBorders>
          </w:tcPr>
          <w:p>
            <w:pPr>
              <w:ind w:left="140"/>
              <w:spacing w:after="0"/>
              <w:rPr>
                <w:sz w:val="20"/>
                <w:szCs w:val="20"/>
                <w:color w:val="auto"/>
              </w:rPr>
            </w:pPr>
            <w:r>
              <w:rPr>
                <w:rFonts w:ascii="Arial" w:cs="Arial" w:eastAsia="Arial" w:hAnsi="Arial"/>
                <w:sz w:val="10"/>
                <w:szCs w:val="10"/>
                <w:b w:val="1"/>
                <w:bCs w:val="1"/>
                <w:color w:val="auto"/>
              </w:rPr>
              <w:t>January 1,</w:t>
            </w:r>
          </w:p>
        </w:tc>
      </w:tr>
      <w:tr>
        <w:trPr>
          <w:trHeight w:val="100"/>
        </w:trPr>
        <w:tc>
          <w:tcPr>
            <w:tcW w:w="2720" w:type="dxa"/>
            <w:vAlign w:val="bottom"/>
          </w:tcPr>
          <w:p>
            <w:pPr>
              <w:ind w:left="2280"/>
              <w:spacing w:after="0" w:line="101" w:lineRule="exact"/>
              <w:rPr>
                <w:sz w:val="20"/>
                <w:szCs w:val="20"/>
                <w:color w:val="auto"/>
              </w:rPr>
            </w:pPr>
            <w:r>
              <w:rPr>
                <w:rFonts w:ascii="Arial" w:cs="Arial" w:eastAsia="Arial" w:hAnsi="Arial"/>
                <w:sz w:val="10"/>
                <w:szCs w:val="10"/>
                <w:b w:val="1"/>
                <w:bCs w:val="1"/>
                <w:color w:val="auto"/>
              </w:rPr>
              <w:t>Note</w:t>
            </w:r>
          </w:p>
        </w:tc>
        <w:tc>
          <w:tcPr>
            <w:tcW w:w="860" w:type="dxa"/>
            <w:vAlign w:val="bottom"/>
          </w:tcPr>
          <w:p>
            <w:pPr>
              <w:ind w:left="220"/>
              <w:spacing w:after="0" w:line="101" w:lineRule="exact"/>
              <w:rPr>
                <w:sz w:val="20"/>
                <w:szCs w:val="20"/>
                <w:color w:val="auto"/>
              </w:rPr>
            </w:pPr>
            <w:r>
              <w:rPr>
                <w:rFonts w:ascii="Arial" w:cs="Arial" w:eastAsia="Arial" w:hAnsi="Arial"/>
                <w:sz w:val="10"/>
                <w:szCs w:val="10"/>
                <w:b w:val="1"/>
                <w:bCs w:val="1"/>
                <w:color w:val="691A6B"/>
              </w:rPr>
              <w:t>2025</w:t>
            </w:r>
          </w:p>
        </w:tc>
        <w:tc>
          <w:tcPr>
            <w:tcW w:w="540" w:type="dxa"/>
            <w:vAlign w:val="bottom"/>
          </w:tcPr>
          <w:p>
            <w:pPr>
              <w:ind w:left="20"/>
              <w:spacing w:after="0" w:line="101" w:lineRule="exact"/>
              <w:rPr>
                <w:sz w:val="20"/>
                <w:szCs w:val="20"/>
                <w:color w:val="auto"/>
              </w:rPr>
            </w:pPr>
            <w:r>
              <w:rPr>
                <w:rFonts w:ascii="Arial" w:cs="Arial" w:eastAsia="Arial" w:hAnsi="Arial"/>
                <w:sz w:val="10"/>
                <w:szCs w:val="10"/>
                <w:b w:val="1"/>
                <w:bCs w:val="1"/>
                <w:color w:val="auto"/>
              </w:rPr>
              <w:t>2024¹</w:t>
            </w:r>
          </w:p>
        </w:tc>
        <w:tc>
          <w:tcPr>
            <w:tcW w:w="780" w:type="dxa"/>
            <w:vAlign w:val="bottom"/>
          </w:tcPr>
          <w:p>
            <w:pPr>
              <w:ind w:left="140"/>
              <w:spacing w:after="0" w:line="101" w:lineRule="exact"/>
              <w:rPr>
                <w:sz w:val="20"/>
                <w:szCs w:val="20"/>
                <w:color w:val="auto"/>
              </w:rPr>
            </w:pPr>
            <w:r>
              <w:rPr>
                <w:rFonts w:ascii="Arial" w:cs="Arial" w:eastAsia="Arial" w:hAnsi="Arial"/>
                <w:sz w:val="10"/>
                <w:szCs w:val="10"/>
                <w:b w:val="1"/>
                <w:bCs w:val="1"/>
                <w:color w:val="auto"/>
              </w:rPr>
              <w:t>2024¹</w:t>
            </w:r>
          </w:p>
        </w:tc>
      </w:tr>
      <w:tr>
        <w:trPr>
          <w:trHeight w:val="128"/>
        </w:trPr>
        <w:tc>
          <w:tcPr>
            <w:tcW w:w="2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0"/>
                <w:szCs w:val="10"/>
                <w:b w:val="1"/>
                <w:bCs w:val="1"/>
                <w:color w:val="auto"/>
              </w:rPr>
              <w:t>Restated</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Restated</w:t>
            </w:r>
          </w:p>
        </w:tc>
      </w:tr>
    </w:tbl>
    <w:p>
      <w:pPr>
        <w:spacing w:after="0" w:line="23"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43"/>
        </w:trPr>
        <w:tc>
          <w:tcPr>
            <w:tcW w:w="2040" w:type="dxa"/>
            <w:vAlign w:val="bottom"/>
          </w:tcPr>
          <w:p>
            <w:pPr>
              <w:ind w:left="20"/>
              <w:spacing w:after="0"/>
              <w:rPr>
                <w:sz w:val="20"/>
                <w:szCs w:val="20"/>
                <w:color w:val="auto"/>
              </w:rPr>
            </w:pPr>
            <w:r>
              <w:rPr>
                <w:rFonts w:ascii="Arial" w:cs="Arial" w:eastAsia="Arial" w:hAnsi="Arial"/>
                <w:sz w:val="10"/>
                <w:szCs w:val="10"/>
                <w:b w:val="1"/>
                <w:bCs w:val="1"/>
                <w:color w:val="691A6B"/>
              </w:rPr>
              <w:t>Assets</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40" w:type="dxa"/>
            <w:vAlign w:val="bottom"/>
          </w:tcPr>
          <w:p>
            <w:pPr>
              <w:ind w:left="20"/>
              <w:spacing w:after="0"/>
              <w:rPr>
                <w:sz w:val="20"/>
                <w:szCs w:val="20"/>
                <w:color w:val="auto"/>
              </w:rPr>
            </w:pPr>
            <w:r>
              <w:rPr>
                <w:rFonts w:ascii="Arial" w:cs="Arial" w:eastAsia="Arial" w:hAnsi="Arial"/>
                <w:sz w:val="10"/>
                <w:szCs w:val="10"/>
                <w:color w:val="auto"/>
              </w:rPr>
              <w:t>Goodwill</w:t>
            </w:r>
          </w:p>
        </w:tc>
        <w:tc>
          <w:tcPr>
            <w:tcW w:w="740" w:type="dxa"/>
            <w:vAlign w:val="bottom"/>
          </w:tcPr>
          <w:p>
            <w:pPr>
              <w:ind w:left="240"/>
              <w:spacing w:after="0"/>
              <w:rPr>
                <w:sz w:val="20"/>
                <w:szCs w:val="20"/>
                <w:color w:val="auto"/>
              </w:rPr>
            </w:pPr>
            <w:r>
              <w:rPr>
                <w:rFonts w:ascii="Arial" w:cs="Arial" w:eastAsia="Arial" w:hAnsi="Arial"/>
                <w:sz w:val="10"/>
                <w:szCs w:val="10"/>
                <w:color w:val="auto"/>
              </w:rPr>
              <w:t>3.1, 5.5</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355</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355</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040" w:type="dxa"/>
            <w:vAlign w:val="bottom"/>
          </w:tcPr>
          <w:p>
            <w:pPr>
              <w:ind w:left="20"/>
              <w:spacing w:after="0"/>
              <w:rPr>
                <w:rFonts w:ascii="Arial" w:cs="Arial" w:eastAsia="Arial" w:hAnsi="Arial"/>
                <w:sz w:val="10"/>
                <w:szCs w:val="10"/>
                <w:color w:val="auto"/>
              </w:rPr>
            </w:pPr>
            <w:r>
              <w:rPr>
                <w:rFonts w:ascii="Arial" w:cs="Arial" w:eastAsia="Arial" w:hAnsi="Arial"/>
                <w:sz w:val="10"/>
                <w:szCs w:val="10"/>
                <w:color w:val="auto"/>
              </w:rPr>
              <w:t xml:space="preserve">Other intangible </w:t>
            </w:r>
            <w:hyperlink w:anchor="page146">
              <w:r>
                <w:rPr>
                  <w:rFonts w:ascii="Arial" w:cs="Arial" w:eastAsia="Arial" w:hAnsi="Arial"/>
                  <w:sz w:val="10"/>
                  <w:szCs w:val="10"/>
                  <w:color w:val="auto"/>
                </w:rPr>
                <w:t>assets</w:t>
              </w:r>
            </w:hyperlink>
          </w:p>
        </w:tc>
        <w:tc>
          <w:tcPr>
            <w:tcW w:w="740" w:type="dxa"/>
            <w:vAlign w:val="bottom"/>
          </w:tcPr>
          <w:p>
            <w:pPr>
              <w:ind w:left="240"/>
              <w:spacing w:after="0"/>
              <w:rPr>
                <w:sz w:val="20"/>
                <w:szCs w:val="20"/>
                <w:color w:val="auto"/>
              </w:rPr>
            </w:pPr>
            <w:r>
              <w:rPr>
                <w:rFonts w:ascii="Arial" w:cs="Arial" w:eastAsia="Arial" w:hAnsi="Arial"/>
                <w:sz w:val="10"/>
                <w:szCs w:val="10"/>
                <w:color w:val="auto"/>
              </w:rPr>
              <w:t>3.1, 5.5</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9,123</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1,728</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15</w:t>
            </w:r>
          </w:p>
        </w:tc>
      </w:tr>
      <w:tr>
        <w:trPr>
          <w:trHeight w:val="152"/>
        </w:trPr>
        <w:tc>
          <w:tcPr>
            <w:tcW w:w="2040" w:type="dxa"/>
            <w:vAlign w:val="bottom"/>
          </w:tcPr>
          <w:p>
            <w:pPr>
              <w:ind w:left="20"/>
              <w:spacing w:after="0"/>
              <w:rPr>
                <w:rFonts w:ascii="Arial" w:cs="Arial" w:eastAsia="Arial" w:hAnsi="Arial"/>
                <w:sz w:val="10"/>
                <w:szCs w:val="10"/>
                <w:color w:val="auto"/>
              </w:rPr>
            </w:pPr>
            <w:r>
              <w:rPr>
                <w:rFonts w:ascii="Arial" w:cs="Arial" w:eastAsia="Arial" w:hAnsi="Arial"/>
                <w:sz w:val="10"/>
                <w:szCs w:val="10"/>
                <w:color w:val="auto"/>
              </w:rPr>
              <w:t xml:space="preserve">Property and </w:t>
            </w:r>
            <w:hyperlink w:anchor="page146">
              <w:r>
                <w:rPr>
                  <w:rFonts w:ascii="Arial" w:cs="Arial" w:eastAsia="Arial" w:hAnsi="Arial"/>
                  <w:sz w:val="10"/>
                  <w:szCs w:val="10"/>
                  <w:color w:val="auto"/>
                </w:rPr>
                <w:t>equipment</w:t>
              </w:r>
            </w:hyperlink>
          </w:p>
        </w:tc>
        <w:tc>
          <w:tcPr>
            <w:tcW w:w="740" w:type="dxa"/>
            <w:vAlign w:val="bottom"/>
          </w:tcPr>
          <w:p>
            <w:pPr>
              <w:ind w:left="240"/>
              <w:spacing w:after="0"/>
              <w:rPr>
                <w:sz w:val="20"/>
                <w:szCs w:val="20"/>
                <w:color w:val="auto"/>
              </w:rPr>
            </w:pPr>
            <w:r>
              <w:rPr>
                <w:rFonts w:ascii="Arial" w:cs="Arial" w:eastAsia="Arial" w:hAnsi="Arial"/>
                <w:sz w:val="10"/>
                <w:szCs w:val="10"/>
                <w:color w:val="auto"/>
              </w:rPr>
              <w:t>2.2, 3.2</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153</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137</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142</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Right-of-use assets</w:t>
            </w:r>
          </w:p>
        </w:tc>
        <w:tc>
          <w:tcPr>
            <w:tcW w:w="740" w:type="dxa"/>
            <w:vAlign w:val="bottom"/>
          </w:tcPr>
          <w:p>
            <w:pPr>
              <w:ind w:left="240"/>
              <w:spacing w:after="0"/>
              <w:rPr>
                <w:sz w:val="20"/>
                <w:szCs w:val="20"/>
                <w:color w:val="auto"/>
              </w:rPr>
            </w:pPr>
            <w:r>
              <w:rPr>
                <w:rFonts w:ascii="Arial" w:cs="Arial" w:eastAsia="Arial" w:hAnsi="Arial"/>
                <w:sz w:val="10"/>
                <w:szCs w:val="10"/>
                <w:color w:val="auto"/>
              </w:rPr>
              <w:t>2.2, 3.3</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127</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128</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102</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Receivables</w:t>
            </w:r>
          </w:p>
        </w:tc>
        <w:tc>
          <w:tcPr>
            <w:tcW w:w="740" w:type="dxa"/>
            <w:vAlign w:val="bottom"/>
          </w:tcPr>
          <w:p>
            <w:pPr>
              <w:ind w:left="240"/>
              <w:spacing w:after="0"/>
              <w:rPr>
                <w:sz w:val="20"/>
                <w:szCs w:val="20"/>
                <w:color w:val="auto"/>
              </w:rPr>
            </w:pPr>
            <w:r>
              <w:rPr>
                <w:rFonts w:ascii="Arial" w:cs="Arial" w:eastAsia="Arial" w:hAnsi="Arial"/>
                <w:sz w:val="10"/>
                <w:szCs w:val="10"/>
                <w:color w:val="auto"/>
              </w:rPr>
              <w:t>2.2, 3.6</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22</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7</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10</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Deferred tax assets</w:t>
            </w:r>
          </w:p>
        </w:tc>
        <w:tc>
          <w:tcPr>
            <w:tcW w:w="740" w:type="dxa"/>
            <w:vAlign w:val="bottom"/>
          </w:tcPr>
          <w:p>
            <w:pPr>
              <w:ind w:left="240"/>
              <w:spacing w:after="0"/>
              <w:rPr>
                <w:sz w:val="20"/>
                <w:szCs w:val="20"/>
                <w:color w:val="auto"/>
              </w:rPr>
            </w:pPr>
            <w:r>
              <w:rPr>
                <w:rFonts w:ascii="Arial" w:cs="Arial" w:eastAsia="Arial" w:hAnsi="Arial"/>
                <w:sz w:val="10"/>
                <w:szCs w:val="10"/>
                <w:color w:val="auto"/>
              </w:rPr>
              <w:t>2.4</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171</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127</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31</w:t>
            </w:r>
          </w:p>
        </w:tc>
      </w:tr>
      <w:tr>
        <w:trPr>
          <w:trHeight w:val="152"/>
        </w:trPr>
        <w:tc>
          <w:tcPr>
            <w:tcW w:w="2040" w:type="dxa"/>
            <w:vAlign w:val="bottom"/>
          </w:tcPr>
          <w:p>
            <w:pPr>
              <w:ind w:left="20"/>
              <w:spacing w:after="0"/>
              <w:rPr>
                <w:rFonts w:ascii="Arial" w:cs="Arial" w:eastAsia="Arial" w:hAnsi="Arial"/>
                <w:sz w:val="10"/>
                <w:szCs w:val="10"/>
                <w:color w:val="auto"/>
              </w:rPr>
            </w:pPr>
            <w:hyperlink w:anchor="page147">
              <w:r>
                <w:rPr>
                  <w:rFonts w:ascii="Arial" w:cs="Arial" w:eastAsia="Arial" w:hAnsi="Arial"/>
                  <w:sz w:val="10"/>
                  <w:szCs w:val="10"/>
                  <w:color w:val="auto"/>
                </w:rPr>
                <w:t>Other investments</w:t>
              </w:r>
            </w:hyperlink>
          </w:p>
        </w:tc>
        <w:tc>
          <w:tcPr>
            <w:tcW w:w="740" w:type="dxa"/>
            <w:vAlign w:val="bottom"/>
          </w:tcPr>
          <w:p>
            <w:pPr>
              <w:ind w:left="240"/>
              <w:spacing w:after="0"/>
              <w:rPr>
                <w:sz w:val="20"/>
                <w:szCs w:val="20"/>
                <w:color w:val="auto"/>
              </w:rPr>
            </w:pPr>
            <w:r>
              <w:rPr>
                <w:rFonts w:ascii="Arial" w:cs="Arial" w:eastAsia="Arial" w:hAnsi="Arial"/>
                <w:sz w:val="10"/>
                <w:szCs w:val="10"/>
                <w:color w:val="auto"/>
              </w:rPr>
              <w:t>3.4</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37</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32</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20</w:t>
            </w:r>
          </w:p>
        </w:tc>
      </w:tr>
      <w:tr>
        <w:trPr>
          <w:trHeight w:val="158"/>
        </w:trPr>
        <w:tc>
          <w:tcPr>
            <w:tcW w:w="2040" w:type="dxa"/>
            <w:vAlign w:val="bottom"/>
          </w:tcPr>
          <w:p>
            <w:pPr>
              <w:ind w:left="20"/>
              <w:spacing w:after="0"/>
              <w:rPr>
                <w:sz w:val="20"/>
                <w:szCs w:val="20"/>
                <w:color w:val="auto"/>
              </w:rPr>
            </w:pPr>
            <w:r>
              <w:rPr>
                <w:rFonts w:ascii="Arial" w:cs="Arial" w:eastAsia="Arial" w:hAnsi="Arial"/>
                <w:sz w:val="10"/>
                <w:szCs w:val="10"/>
                <w:b w:val="1"/>
                <w:bCs w:val="1"/>
                <w:color w:val="auto"/>
              </w:rPr>
              <w:t>Total non-current assets</w:t>
            </w:r>
          </w:p>
        </w:tc>
        <w:tc>
          <w:tcPr>
            <w:tcW w:w="740" w:type="dxa"/>
            <w:vAlign w:val="bottom"/>
          </w:tcPr>
          <w:p>
            <w:pPr>
              <w:spacing w:after="0"/>
              <w:rPr>
                <w:sz w:val="13"/>
                <w:szCs w:val="13"/>
                <w:color w:val="auto"/>
              </w:rPr>
            </w:pPr>
          </w:p>
        </w:tc>
        <w:tc>
          <w:tcPr>
            <w:tcW w:w="800" w:type="dxa"/>
            <w:vAlign w:val="bottom"/>
          </w:tcPr>
          <w:p>
            <w:pPr>
              <w:jc w:val="right"/>
              <w:ind w:right="28"/>
              <w:spacing w:after="0"/>
              <w:rPr>
                <w:sz w:val="20"/>
                <w:szCs w:val="20"/>
                <w:color w:val="auto"/>
              </w:rPr>
            </w:pPr>
            <w:r>
              <w:rPr>
                <w:rFonts w:ascii="Arial" w:cs="Arial" w:eastAsia="Arial" w:hAnsi="Arial"/>
                <w:sz w:val="10"/>
                <w:szCs w:val="10"/>
                <w:b w:val="1"/>
                <w:bCs w:val="1"/>
                <w:color w:val="691A6B"/>
              </w:rPr>
              <w:t>9,988</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2,514</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auto"/>
              </w:rPr>
              <w:t>320</w:t>
            </w:r>
          </w:p>
        </w:tc>
      </w:tr>
      <w:tr>
        <w:trPr>
          <w:trHeight w:val="346"/>
        </w:trPr>
        <w:tc>
          <w:tcPr>
            <w:tcW w:w="2040" w:type="dxa"/>
            <w:vAlign w:val="bottom"/>
          </w:tcPr>
          <w:p>
            <w:pPr>
              <w:ind w:left="20"/>
              <w:spacing w:after="0"/>
              <w:rPr>
                <w:sz w:val="20"/>
                <w:szCs w:val="20"/>
                <w:color w:val="auto"/>
              </w:rPr>
            </w:pPr>
            <w:r>
              <w:rPr>
                <w:rFonts w:ascii="Arial" w:cs="Arial" w:eastAsia="Arial" w:hAnsi="Arial"/>
                <w:sz w:val="10"/>
                <w:szCs w:val="10"/>
                <w:color w:val="auto"/>
              </w:rPr>
              <w:t>Corporate tax receivable</w:t>
            </w:r>
          </w:p>
        </w:tc>
        <w:tc>
          <w:tcPr>
            <w:tcW w:w="740" w:type="dxa"/>
            <w:vAlign w:val="bottom"/>
          </w:tcPr>
          <w:p>
            <w:pPr>
              <w:ind w:left="240"/>
              <w:spacing w:after="0"/>
              <w:rPr>
                <w:sz w:val="20"/>
                <w:szCs w:val="20"/>
                <w:color w:val="auto"/>
              </w:rPr>
            </w:pPr>
            <w:r>
              <w:rPr>
                <w:rFonts w:ascii="Arial" w:cs="Arial" w:eastAsia="Arial" w:hAnsi="Arial"/>
                <w:sz w:val="10"/>
                <w:szCs w:val="10"/>
                <w:color w:val="auto"/>
              </w:rPr>
              <w:t>2.4</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40</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14</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Inventories</w:t>
            </w:r>
          </w:p>
        </w:tc>
        <w:tc>
          <w:tcPr>
            <w:tcW w:w="740" w:type="dxa"/>
            <w:vAlign w:val="bottom"/>
          </w:tcPr>
          <w:p>
            <w:pPr>
              <w:ind w:left="240"/>
              <w:spacing w:after="0"/>
              <w:rPr>
                <w:sz w:val="20"/>
                <w:szCs w:val="20"/>
                <w:color w:val="auto"/>
              </w:rPr>
            </w:pPr>
            <w:r>
              <w:rPr>
                <w:rFonts w:ascii="Arial" w:cs="Arial" w:eastAsia="Arial" w:hAnsi="Arial"/>
                <w:sz w:val="10"/>
                <w:szCs w:val="10"/>
                <w:color w:val="auto"/>
              </w:rPr>
              <w:t>3.5</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18</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9</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8</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Receivables</w:t>
            </w:r>
          </w:p>
        </w:tc>
        <w:tc>
          <w:tcPr>
            <w:tcW w:w="740" w:type="dxa"/>
            <w:vAlign w:val="bottom"/>
          </w:tcPr>
          <w:p>
            <w:pPr>
              <w:ind w:left="240"/>
              <w:spacing w:after="0"/>
              <w:rPr>
                <w:sz w:val="20"/>
                <w:szCs w:val="20"/>
                <w:color w:val="auto"/>
              </w:rPr>
            </w:pPr>
            <w:r>
              <w:rPr>
                <w:rFonts w:ascii="Arial" w:cs="Arial" w:eastAsia="Arial" w:hAnsi="Arial"/>
                <w:sz w:val="10"/>
                <w:szCs w:val="10"/>
                <w:color w:val="auto"/>
              </w:rPr>
              <w:t>3.6</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1,112</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923</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733</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Marketable securities</w:t>
            </w:r>
          </w:p>
        </w:tc>
        <w:tc>
          <w:tcPr>
            <w:tcW w:w="740" w:type="dxa"/>
            <w:vAlign w:val="bottom"/>
          </w:tcPr>
          <w:p>
            <w:pPr>
              <w:ind w:left="240"/>
              <w:spacing w:after="0"/>
              <w:rPr>
                <w:sz w:val="20"/>
                <w:szCs w:val="20"/>
                <w:color w:val="auto"/>
              </w:rPr>
            </w:pPr>
            <w:r>
              <w:rPr>
                <w:rFonts w:ascii="Arial" w:cs="Arial" w:eastAsia="Arial" w:hAnsi="Arial"/>
                <w:sz w:val="10"/>
                <w:szCs w:val="10"/>
                <w:color w:val="auto"/>
              </w:rPr>
              <w:t>4.2, 4.4</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1,574</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1,967</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Cash and cash equivalents</w:t>
            </w:r>
          </w:p>
        </w:tc>
        <w:tc>
          <w:tcPr>
            <w:tcW w:w="740" w:type="dxa"/>
            <w:vAlign w:val="bottom"/>
          </w:tcPr>
          <w:p>
            <w:pPr>
              <w:spacing w:after="0"/>
              <w:rPr>
                <w:sz w:val="13"/>
                <w:szCs w:val="13"/>
                <w:color w:val="auto"/>
              </w:rPr>
            </w:pP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1,715</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1,380</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2,204</w:t>
            </w:r>
          </w:p>
        </w:tc>
      </w:tr>
      <w:tr>
        <w:trPr>
          <w:trHeight w:val="158"/>
        </w:trPr>
        <w:tc>
          <w:tcPr>
            <w:tcW w:w="2040" w:type="dxa"/>
            <w:vAlign w:val="bottom"/>
          </w:tcPr>
          <w:p>
            <w:pPr>
              <w:ind w:left="20"/>
              <w:spacing w:after="0"/>
              <w:rPr>
                <w:sz w:val="20"/>
                <w:szCs w:val="20"/>
                <w:color w:val="auto"/>
              </w:rPr>
            </w:pPr>
            <w:r>
              <w:rPr>
                <w:rFonts w:ascii="Arial" w:cs="Arial" w:eastAsia="Arial" w:hAnsi="Arial"/>
                <w:sz w:val="10"/>
                <w:szCs w:val="10"/>
                <w:b w:val="1"/>
                <w:bCs w:val="1"/>
                <w:color w:val="auto"/>
              </w:rPr>
              <w:t>Total current assets</w:t>
            </w:r>
          </w:p>
        </w:tc>
        <w:tc>
          <w:tcPr>
            <w:tcW w:w="740" w:type="dxa"/>
            <w:vAlign w:val="bottom"/>
          </w:tcPr>
          <w:p>
            <w:pPr>
              <w:spacing w:after="0"/>
              <w:rPr>
                <w:sz w:val="13"/>
                <w:szCs w:val="13"/>
                <w:color w:val="auto"/>
              </w:rPr>
            </w:pPr>
          </w:p>
        </w:tc>
        <w:tc>
          <w:tcPr>
            <w:tcW w:w="800" w:type="dxa"/>
            <w:vAlign w:val="bottom"/>
          </w:tcPr>
          <w:p>
            <w:pPr>
              <w:jc w:val="right"/>
              <w:ind w:right="28"/>
              <w:spacing w:after="0"/>
              <w:rPr>
                <w:sz w:val="20"/>
                <w:szCs w:val="20"/>
                <w:color w:val="auto"/>
              </w:rPr>
            </w:pPr>
            <w:r>
              <w:rPr>
                <w:rFonts w:ascii="Arial" w:cs="Arial" w:eastAsia="Arial" w:hAnsi="Arial"/>
                <w:sz w:val="10"/>
                <w:szCs w:val="10"/>
                <w:b w:val="1"/>
                <w:bCs w:val="1"/>
                <w:color w:val="691A6B"/>
              </w:rPr>
              <w:t>2,885</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3,900</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auto"/>
              </w:rPr>
              <w:t>4,912</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b w:val="1"/>
                <w:bCs w:val="1"/>
                <w:color w:val="auto"/>
              </w:rPr>
              <w:t>Total assets</w:t>
            </w:r>
          </w:p>
        </w:tc>
        <w:tc>
          <w:tcPr>
            <w:tcW w:w="740" w:type="dxa"/>
            <w:vAlign w:val="bottom"/>
          </w:tcPr>
          <w:p>
            <w:pPr>
              <w:spacing w:after="0"/>
              <w:rPr>
                <w:sz w:val="13"/>
                <w:szCs w:val="13"/>
                <w:color w:val="auto"/>
              </w:rPr>
            </w:pPr>
          </w:p>
        </w:tc>
        <w:tc>
          <w:tcPr>
            <w:tcW w:w="800" w:type="dxa"/>
            <w:vAlign w:val="bottom"/>
          </w:tcPr>
          <w:p>
            <w:pPr>
              <w:jc w:val="right"/>
              <w:ind w:right="28"/>
              <w:spacing w:after="0"/>
              <w:rPr>
                <w:sz w:val="20"/>
                <w:szCs w:val="20"/>
                <w:color w:val="auto"/>
              </w:rPr>
            </w:pPr>
            <w:r>
              <w:rPr>
                <w:rFonts w:ascii="Arial" w:cs="Arial" w:eastAsia="Arial" w:hAnsi="Arial"/>
                <w:sz w:val="10"/>
                <w:szCs w:val="10"/>
                <w:b w:val="1"/>
                <w:bCs w:val="1"/>
                <w:color w:val="691A6B"/>
              </w:rPr>
              <w:t>12,873</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6,414</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auto"/>
              </w:rPr>
              <w:t>5,232</w:t>
            </w:r>
          </w:p>
        </w:tc>
      </w:tr>
      <w:tr>
        <w:trPr>
          <w:trHeight w:val="219"/>
        </w:trPr>
        <w:tc>
          <w:tcPr>
            <w:tcW w:w="2040" w:type="dxa"/>
            <w:vAlign w:val="bottom"/>
            <w:tcBorders>
              <w:bottom w:val="single" w:sz="8" w:color="691A6B"/>
            </w:tcBorders>
          </w:tcPr>
          <w:p>
            <w:pPr>
              <w:spacing w:after="0"/>
              <w:rPr>
                <w:sz w:val="19"/>
                <w:szCs w:val="19"/>
                <w:color w:val="auto"/>
              </w:rPr>
            </w:pPr>
          </w:p>
        </w:tc>
        <w:tc>
          <w:tcPr>
            <w:tcW w:w="740" w:type="dxa"/>
            <w:vAlign w:val="bottom"/>
            <w:tcBorders>
              <w:bottom w:val="single" w:sz="8" w:color="691A6B"/>
            </w:tcBorders>
          </w:tcPr>
          <w:p>
            <w:pPr>
              <w:spacing w:after="0"/>
              <w:rPr>
                <w:sz w:val="19"/>
                <w:szCs w:val="19"/>
                <w:color w:val="auto"/>
              </w:rPr>
            </w:pPr>
          </w:p>
        </w:tc>
        <w:tc>
          <w:tcPr>
            <w:tcW w:w="800" w:type="dxa"/>
            <w:vAlign w:val="bottom"/>
            <w:tcBorders>
              <w:bottom w:val="single" w:sz="8" w:color="691A6B"/>
            </w:tcBorders>
          </w:tcPr>
          <w:p>
            <w:pPr>
              <w:spacing w:after="0"/>
              <w:rPr>
                <w:sz w:val="19"/>
                <w:szCs w:val="19"/>
                <w:color w:val="auto"/>
              </w:rPr>
            </w:pPr>
          </w:p>
        </w:tc>
        <w:tc>
          <w:tcPr>
            <w:tcW w:w="640" w:type="dxa"/>
            <w:vAlign w:val="bottom"/>
            <w:tcBorders>
              <w:bottom w:val="single" w:sz="8" w:color="691A6B"/>
            </w:tcBorders>
          </w:tcPr>
          <w:p>
            <w:pPr>
              <w:spacing w:after="0"/>
              <w:rPr>
                <w:sz w:val="19"/>
                <w:szCs w:val="19"/>
                <w:color w:val="auto"/>
              </w:rPr>
            </w:pPr>
          </w:p>
        </w:tc>
        <w:tc>
          <w:tcPr>
            <w:tcW w:w="680" w:type="dxa"/>
            <w:vAlign w:val="bottom"/>
            <w:tcBorders>
              <w:bottom w:val="single" w:sz="8" w:color="691A6B"/>
            </w:tcBorders>
          </w:tcPr>
          <w:p>
            <w:pPr>
              <w:spacing w:after="0"/>
              <w:rPr>
                <w:sz w:val="19"/>
                <w:szCs w:val="19"/>
                <w:color w:val="auto"/>
              </w:rPr>
            </w:pPr>
          </w:p>
        </w:tc>
      </w:tr>
      <w:tr>
        <w:trPr>
          <w:trHeight w:val="128"/>
        </w:trPr>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January 1,</w:t>
            </w:r>
          </w:p>
        </w:tc>
      </w:tr>
      <w:tr>
        <w:trPr>
          <w:trHeight w:val="100"/>
        </w:trPr>
        <w:tc>
          <w:tcPr>
            <w:tcW w:w="2040" w:type="dxa"/>
            <w:vAlign w:val="bottom"/>
          </w:tcPr>
          <w:p>
            <w:pPr>
              <w:spacing w:after="0"/>
              <w:rPr>
                <w:sz w:val="8"/>
                <w:szCs w:val="8"/>
                <w:color w:val="auto"/>
              </w:rPr>
            </w:pPr>
          </w:p>
        </w:tc>
        <w:tc>
          <w:tcPr>
            <w:tcW w:w="740" w:type="dxa"/>
            <w:vAlign w:val="bottom"/>
          </w:tcPr>
          <w:p>
            <w:pPr>
              <w:ind w:left="240"/>
              <w:spacing w:after="0" w:line="101" w:lineRule="exact"/>
              <w:rPr>
                <w:sz w:val="20"/>
                <w:szCs w:val="20"/>
                <w:color w:val="auto"/>
              </w:rPr>
            </w:pPr>
            <w:r>
              <w:rPr>
                <w:rFonts w:ascii="Arial" w:cs="Arial" w:eastAsia="Arial" w:hAnsi="Arial"/>
                <w:sz w:val="10"/>
                <w:szCs w:val="10"/>
                <w:b w:val="1"/>
                <w:bCs w:val="1"/>
                <w:color w:val="auto"/>
              </w:rPr>
              <w:t>Note</w:t>
            </w:r>
          </w:p>
        </w:tc>
        <w:tc>
          <w:tcPr>
            <w:tcW w:w="800" w:type="dxa"/>
            <w:vAlign w:val="bottom"/>
          </w:tcPr>
          <w:p>
            <w:pPr>
              <w:jc w:val="right"/>
              <w:ind w:right="388"/>
              <w:spacing w:after="0" w:line="101" w:lineRule="exact"/>
              <w:rPr>
                <w:sz w:val="20"/>
                <w:szCs w:val="20"/>
                <w:color w:val="auto"/>
              </w:rPr>
            </w:pPr>
            <w:r>
              <w:rPr>
                <w:rFonts w:ascii="Arial" w:cs="Arial" w:eastAsia="Arial" w:hAnsi="Arial"/>
                <w:sz w:val="10"/>
                <w:szCs w:val="10"/>
                <w:b w:val="1"/>
                <w:bCs w:val="1"/>
                <w:color w:val="691A6B"/>
              </w:rPr>
              <w:t>2025</w:t>
            </w:r>
          </w:p>
        </w:tc>
        <w:tc>
          <w:tcPr>
            <w:tcW w:w="640" w:type="dxa"/>
            <w:vAlign w:val="bottom"/>
          </w:tcPr>
          <w:p>
            <w:pPr>
              <w:ind w:left="20"/>
              <w:spacing w:after="0" w:line="101" w:lineRule="exact"/>
              <w:rPr>
                <w:sz w:val="20"/>
                <w:szCs w:val="20"/>
                <w:color w:val="auto"/>
              </w:rPr>
            </w:pPr>
            <w:r>
              <w:rPr>
                <w:rFonts w:ascii="Arial" w:cs="Arial" w:eastAsia="Arial" w:hAnsi="Arial"/>
                <w:sz w:val="10"/>
                <w:szCs w:val="10"/>
                <w:b w:val="1"/>
                <w:bCs w:val="1"/>
                <w:color w:val="auto"/>
              </w:rPr>
              <w:t>2024¹</w:t>
            </w:r>
          </w:p>
        </w:tc>
        <w:tc>
          <w:tcPr>
            <w:tcW w:w="680" w:type="dxa"/>
            <w:vAlign w:val="bottom"/>
          </w:tcPr>
          <w:p>
            <w:pPr>
              <w:ind w:left="40"/>
              <w:spacing w:after="0" w:line="101" w:lineRule="exact"/>
              <w:rPr>
                <w:sz w:val="20"/>
                <w:szCs w:val="20"/>
                <w:color w:val="auto"/>
              </w:rPr>
            </w:pPr>
            <w:r>
              <w:rPr>
                <w:rFonts w:ascii="Arial" w:cs="Arial" w:eastAsia="Arial" w:hAnsi="Arial"/>
                <w:sz w:val="10"/>
                <w:szCs w:val="10"/>
                <w:b w:val="1"/>
                <w:bCs w:val="1"/>
                <w:color w:val="auto"/>
              </w:rPr>
              <w:t>2024¹</w:t>
            </w:r>
          </w:p>
        </w:tc>
      </w:tr>
      <w:tr>
        <w:trPr>
          <w:trHeight w:val="128"/>
        </w:trPr>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Restated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Restated</w:t>
            </w:r>
          </w:p>
        </w:tc>
      </w:tr>
      <w:tr>
        <w:trPr>
          <w:trHeight w:val="166"/>
        </w:trPr>
        <w:tc>
          <w:tcPr>
            <w:tcW w:w="2040" w:type="dxa"/>
            <w:vAlign w:val="bottom"/>
          </w:tcPr>
          <w:p>
            <w:pPr>
              <w:ind w:left="20"/>
              <w:spacing w:after="0"/>
              <w:rPr>
                <w:sz w:val="20"/>
                <w:szCs w:val="20"/>
                <w:color w:val="auto"/>
              </w:rPr>
            </w:pPr>
            <w:r>
              <w:rPr>
                <w:rFonts w:ascii="Arial" w:cs="Arial" w:eastAsia="Arial" w:hAnsi="Arial"/>
                <w:sz w:val="10"/>
                <w:szCs w:val="10"/>
                <w:b w:val="1"/>
                <w:bCs w:val="1"/>
                <w:color w:val="691A6B"/>
              </w:rPr>
              <w:t>Shareholders' Equity And Liabilities</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6"/>
        </w:trPr>
        <w:tc>
          <w:tcPr>
            <w:tcW w:w="2040" w:type="dxa"/>
            <w:vAlign w:val="bottom"/>
          </w:tcPr>
          <w:p>
            <w:pPr>
              <w:ind w:left="20"/>
              <w:spacing w:after="0"/>
              <w:rPr>
                <w:sz w:val="20"/>
                <w:szCs w:val="20"/>
                <w:color w:val="auto"/>
              </w:rPr>
            </w:pPr>
            <w:r>
              <w:rPr>
                <w:rFonts w:ascii="Arial" w:cs="Arial" w:eastAsia="Arial" w:hAnsi="Arial"/>
                <w:sz w:val="10"/>
                <w:szCs w:val="10"/>
                <w:color w:val="auto"/>
              </w:rPr>
              <w:t>Share capital</w:t>
            </w:r>
          </w:p>
        </w:tc>
        <w:tc>
          <w:tcPr>
            <w:tcW w:w="740" w:type="dxa"/>
            <w:vAlign w:val="bottom"/>
          </w:tcPr>
          <w:p>
            <w:pPr>
              <w:ind w:left="240"/>
              <w:spacing w:after="0"/>
              <w:rPr>
                <w:sz w:val="20"/>
                <w:szCs w:val="20"/>
                <w:color w:val="auto"/>
              </w:rPr>
            </w:pPr>
            <w:r>
              <w:rPr>
                <w:rFonts w:ascii="Arial" w:cs="Arial" w:eastAsia="Arial" w:hAnsi="Arial"/>
                <w:sz w:val="10"/>
                <w:szCs w:val="10"/>
                <w:color w:val="auto"/>
              </w:rPr>
              <w:t>4.7</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10</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10</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10</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Share premium</w:t>
            </w:r>
          </w:p>
        </w:tc>
        <w:tc>
          <w:tcPr>
            <w:tcW w:w="740" w:type="dxa"/>
            <w:vAlign w:val="bottom"/>
          </w:tcPr>
          <w:p>
            <w:pPr>
              <w:ind w:left="240"/>
              <w:spacing w:after="0"/>
              <w:rPr>
                <w:sz w:val="20"/>
                <w:szCs w:val="20"/>
                <w:color w:val="auto"/>
              </w:rPr>
            </w:pPr>
            <w:r>
              <w:rPr>
                <w:rFonts w:ascii="Arial" w:cs="Arial" w:eastAsia="Arial" w:hAnsi="Arial"/>
                <w:sz w:val="10"/>
                <w:szCs w:val="10"/>
                <w:color w:val="auto"/>
              </w:rPr>
              <w:t>4.7</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1,920</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1,961</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1,942</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Other reserves</w:t>
            </w:r>
          </w:p>
        </w:tc>
        <w:tc>
          <w:tcPr>
            <w:tcW w:w="7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691A6B"/>
              </w:rPr>
              <w:t>(181)</w:t>
            </w:r>
          </w:p>
        </w:tc>
        <w:tc>
          <w:tcPr>
            <w:tcW w:w="640" w:type="dxa"/>
            <w:vAlign w:val="bottom"/>
          </w:tcPr>
          <w:p>
            <w:pPr>
              <w:jc w:val="right"/>
              <w:spacing w:after="0"/>
              <w:rPr>
                <w:sz w:val="20"/>
                <w:szCs w:val="20"/>
                <w:color w:val="auto"/>
              </w:rPr>
            </w:pPr>
            <w:r>
              <w:rPr>
                <w:rFonts w:ascii="Arial" w:cs="Arial" w:eastAsia="Arial" w:hAnsi="Arial"/>
                <w:sz w:val="10"/>
                <w:szCs w:val="10"/>
                <w:color w:val="auto"/>
              </w:rPr>
              <w:t>(226)</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(2)</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Retained earnings</w:t>
            </w:r>
          </w:p>
        </w:tc>
        <w:tc>
          <w:tcPr>
            <w:tcW w:w="740" w:type="dxa"/>
            <w:vAlign w:val="bottom"/>
          </w:tcPr>
          <w:p>
            <w:pPr>
              <w:spacing w:after="0"/>
              <w:rPr>
                <w:sz w:val="13"/>
                <w:szCs w:val="13"/>
                <w:color w:val="auto"/>
              </w:rPr>
            </w:pP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4,098</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3,392</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2,737</w:t>
            </w:r>
          </w:p>
        </w:tc>
      </w:tr>
      <w:tr>
        <w:trPr>
          <w:trHeight w:val="158"/>
        </w:trPr>
        <w:tc>
          <w:tcPr>
            <w:tcW w:w="2040" w:type="dxa"/>
            <w:vAlign w:val="bottom"/>
          </w:tcPr>
          <w:p>
            <w:pPr>
              <w:ind w:left="20"/>
              <w:spacing w:after="0"/>
              <w:rPr>
                <w:sz w:val="20"/>
                <w:szCs w:val="20"/>
                <w:color w:val="auto"/>
              </w:rPr>
            </w:pPr>
            <w:r>
              <w:rPr>
                <w:rFonts w:ascii="Arial" w:cs="Arial" w:eastAsia="Arial" w:hAnsi="Arial"/>
                <w:sz w:val="10"/>
                <w:szCs w:val="10"/>
                <w:b w:val="1"/>
                <w:bCs w:val="1"/>
                <w:color w:val="auto"/>
              </w:rPr>
              <w:t>Total shareholders' equity</w:t>
            </w:r>
          </w:p>
        </w:tc>
        <w:tc>
          <w:tcPr>
            <w:tcW w:w="740" w:type="dxa"/>
            <w:vAlign w:val="bottom"/>
          </w:tcPr>
          <w:p>
            <w:pPr>
              <w:spacing w:after="0"/>
              <w:rPr>
                <w:sz w:val="13"/>
                <w:szCs w:val="13"/>
                <w:color w:val="auto"/>
              </w:rPr>
            </w:pPr>
          </w:p>
        </w:tc>
        <w:tc>
          <w:tcPr>
            <w:tcW w:w="800" w:type="dxa"/>
            <w:vAlign w:val="bottom"/>
          </w:tcPr>
          <w:p>
            <w:pPr>
              <w:jc w:val="right"/>
              <w:ind w:right="28"/>
              <w:spacing w:after="0"/>
              <w:rPr>
                <w:sz w:val="20"/>
                <w:szCs w:val="20"/>
                <w:color w:val="auto"/>
              </w:rPr>
            </w:pPr>
            <w:r>
              <w:rPr>
                <w:rFonts w:ascii="Arial" w:cs="Arial" w:eastAsia="Arial" w:hAnsi="Arial"/>
                <w:sz w:val="10"/>
                <w:szCs w:val="10"/>
                <w:b w:val="1"/>
                <w:bCs w:val="1"/>
                <w:color w:val="691A6B"/>
              </w:rPr>
              <w:t>5,847</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5,137</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auto"/>
              </w:rPr>
              <w:t>4,687</w:t>
            </w:r>
          </w:p>
        </w:tc>
      </w:tr>
      <w:tr>
        <w:trPr>
          <w:trHeight w:val="346"/>
        </w:trPr>
        <w:tc>
          <w:tcPr>
            <w:tcW w:w="2040" w:type="dxa"/>
            <w:vAlign w:val="bottom"/>
          </w:tcPr>
          <w:p>
            <w:pPr>
              <w:ind w:left="20"/>
              <w:spacing w:after="0"/>
              <w:rPr>
                <w:sz w:val="20"/>
                <w:szCs w:val="20"/>
                <w:color w:val="auto"/>
              </w:rPr>
            </w:pPr>
            <w:r>
              <w:rPr>
                <w:rFonts w:ascii="Arial" w:cs="Arial" w:eastAsia="Arial" w:hAnsi="Arial"/>
                <w:sz w:val="10"/>
                <w:szCs w:val="10"/>
                <w:color w:val="auto"/>
              </w:rPr>
              <w:t>Borrowings</w:t>
            </w:r>
          </w:p>
        </w:tc>
        <w:tc>
          <w:tcPr>
            <w:tcW w:w="740" w:type="dxa"/>
            <w:vAlign w:val="bottom"/>
          </w:tcPr>
          <w:p>
            <w:pPr>
              <w:ind w:left="240"/>
              <w:spacing w:after="0"/>
              <w:rPr>
                <w:sz w:val="20"/>
                <w:szCs w:val="20"/>
                <w:color w:val="auto"/>
              </w:rPr>
            </w:pPr>
            <w:r>
              <w:rPr>
                <w:rFonts w:ascii="Arial" w:cs="Arial" w:eastAsia="Arial" w:hAnsi="Arial"/>
                <w:sz w:val="10"/>
                <w:szCs w:val="10"/>
                <w:color w:val="auto"/>
              </w:rPr>
              <w:t>4.8</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5,001</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Lease liabilities</w:t>
            </w:r>
          </w:p>
        </w:tc>
        <w:tc>
          <w:tcPr>
            <w:tcW w:w="740" w:type="dxa"/>
            <w:vAlign w:val="bottom"/>
          </w:tcPr>
          <w:p>
            <w:pPr>
              <w:ind w:left="240"/>
              <w:spacing w:after="0"/>
              <w:rPr>
                <w:sz w:val="20"/>
                <w:szCs w:val="20"/>
                <w:color w:val="auto"/>
              </w:rPr>
            </w:pPr>
            <w:r>
              <w:rPr>
                <w:rFonts w:ascii="Arial" w:cs="Arial" w:eastAsia="Arial" w:hAnsi="Arial"/>
                <w:sz w:val="10"/>
                <w:szCs w:val="10"/>
                <w:color w:val="auto"/>
              </w:rPr>
              <w:t>3.3</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134</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131</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101</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Contract Liabilities</w:t>
            </w:r>
          </w:p>
        </w:tc>
        <w:tc>
          <w:tcPr>
            <w:tcW w:w="740" w:type="dxa"/>
            <w:vAlign w:val="bottom"/>
          </w:tcPr>
          <w:p>
            <w:pPr>
              <w:ind w:left="240"/>
              <w:spacing w:after="0"/>
              <w:rPr>
                <w:sz w:val="20"/>
                <w:szCs w:val="20"/>
                <w:color w:val="auto"/>
              </w:rPr>
            </w:pPr>
            <w:r>
              <w:rPr>
                <w:rFonts w:ascii="Arial" w:cs="Arial" w:eastAsia="Arial" w:hAnsi="Arial"/>
                <w:sz w:val="10"/>
                <w:szCs w:val="10"/>
                <w:color w:val="auto"/>
              </w:rPr>
              <w:t>3.7</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95</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67</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71</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Deferred tax liabilities</w:t>
            </w:r>
          </w:p>
        </w:tc>
        <w:tc>
          <w:tcPr>
            <w:tcW w:w="740" w:type="dxa"/>
            <w:vAlign w:val="bottom"/>
          </w:tcPr>
          <w:p>
            <w:pPr>
              <w:ind w:left="240"/>
              <w:spacing w:after="0"/>
              <w:rPr>
                <w:sz w:val="20"/>
                <w:szCs w:val="20"/>
                <w:color w:val="auto"/>
              </w:rPr>
            </w:pPr>
            <w:r>
              <w:rPr>
                <w:rFonts w:ascii="Arial" w:cs="Arial" w:eastAsia="Arial" w:hAnsi="Arial"/>
                <w:sz w:val="10"/>
                <w:szCs w:val="10"/>
                <w:color w:val="auto"/>
              </w:rPr>
              <w:t>2.4</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364</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330</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Other payables</w:t>
            </w:r>
          </w:p>
        </w:tc>
        <w:tc>
          <w:tcPr>
            <w:tcW w:w="740" w:type="dxa"/>
            <w:vAlign w:val="bottom"/>
          </w:tcPr>
          <w:p>
            <w:pPr>
              <w:ind w:left="240"/>
              <w:spacing w:after="0"/>
              <w:rPr>
                <w:sz w:val="20"/>
                <w:szCs w:val="20"/>
                <w:color w:val="auto"/>
              </w:rPr>
            </w:pPr>
            <w:r>
              <w:rPr>
                <w:rFonts w:ascii="Arial" w:cs="Arial" w:eastAsia="Arial" w:hAnsi="Arial"/>
                <w:sz w:val="10"/>
                <w:szCs w:val="10"/>
                <w:color w:val="auto"/>
              </w:rPr>
              <w:t>3.8</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5</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5</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5</w:t>
            </w:r>
          </w:p>
        </w:tc>
      </w:tr>
      <w:tr>
        <w:trPr>
          <w:trHeight w:val="158"/>
        </w:trPr>
        <w:tc>
          <w:tcPr>
            <w:tcW w:w="2040" w:type="dxa"/>
            <w:vAlign w:val="bottom"/>
          </w:tcPr>
          <w:p>
            <w:pPr>
              <w:ind w:left="20"/>
              <w:spacing w:after="0"/>
              <w:rPr>
                <w:sz w:val="20"/>
                <w:szCs w:val="20"/>
                <w:color w:val="auto"/>
              </w:rPr>
            </w:pPr>
            <w:r>
              <w:rPr>
                <w:rFonts w:ascii="Arial" w:cs="Arial" w:eastAsia="Arial" w:hAnsi="Arial"/>
                <w:sz w:val="10"/>
                <w:szCs w:val="10"/>
                <w:b w:val="1"/>
                <w:bCs w:val="1"/>
                <w:color w:val="auto"/>
              </w:rPr>
              <w:t>Total non-current liabilities</w:t>
            </w:r>
          </w:p>
        </w:tc>
        <w:tc>
          <w:tcPr>
            <w:tcW w:w="740" w:type="dxa"/>
            <w:vAlign w:val="bottom"/>
          </w:tcPr>
          <w:p>
            <w:pPr>
              <w:spacing w:after="0"/>
              <w:rPr>
                <w:sz w:val="13"/>
                <w:szCs w:val="13"/>
                <w:color w:val="auto"/>
              </w:rPr>
            </w:pPr>
          </w:p>
        </w:tc>
        <w:tc>
          <w:tcPr>
            <w:tcW w:w="800" w:type="dxa"/>
            <w:vAlign w:val="bottom"/>
          </w:tcPr>
          <w:p>
            <w:pPr>
              <w:jc w:val="right"/>
              <w:ind w:right="28"/>
              <w:spacing w:after="0"/>
              <w:rPr>
                <w:sz w:val="20"/>
                <w:szCs w:val="20"/>
                <w:color w:val="auto"/>
              </w:rPr>
            </w:pPr>
            <w:r>
              <w:rPr>
                <w:rFonts w:ascii="Arial" w:cs="Arial" w:eastAsia="Arial" w:hAnsi="Arial"/>
                <w:sz w:val="10"/>
                <w:szCs w:val="10"/>
                <w:b w:val="1"/>
                <w:bCs w:val="1"/>
                <w:color w:val="691A6B"/>
              </w:rPr>
              <w:t>5,599</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533</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auto"/>
              </w:rPr>
              <w:t>177</w:t>
            </w:r>
          </w:p>
        </w:tc>
      </w:tr>
      <w:tr>
        <w:trPr>
          <w:trHeight w:val="346"/>
        </w:trPr>
        <w:tc>
          <w:tcPr>
            <w:tcW w:w="2040" w:type="dxa"/>
            <w:vAlign w:val="bottom"/>
          </w:tcPr>
          <w:p>
            <w:pPr>
              <w:ind w:left="20"/>
              <w:spacing w:after="0"/>
              <w:rPr>
                <w:sz w:val="20"/>
                <w:szCs w:val="20"/>
                <w:color w:val="auto"/>
              </w:rPr>
            </w:pPr>
            <w:r>
              <w:rPr>
                <w:rFonts w:ascii="Arial" w:cs="Arial" w:eastAsia="Arial" w:hAnsi="Arial"/>
                <w:sz w:val="10"/>
                <w:szCs w:val="10"/>
                <w:color w:val="auto"/>
              </w:rPr>
              <w:t>Borrowings</w:t>
            </w:r>
          </w:p>
        </w:tc>
        <w:tc>
          <w:tcPr>
            <w:tcW w:w="740" w:type="dxa"/>
            <w:vAlign w:val="bottom"/>
          </w:tcPr>
          <w:p>
            <w:pPr>
              <w:ind w:left="240"/>
              <w:spacing w:after="0"/>
              <w:rPr>
                <w:sz w:val="20"/>
                <w:szCs w:val="20"/>
                <w:color w:val="auto"/>
              </w:rPr>
            </w:pPr>
            <w:r>
              <w:rPr>
                <w:rFonts w:ascii="Arial" w:cs="Arial" w:eastAsia="Arial" w:hAnsi="Arial"/>
                <w:sz w:val="10"/>
                <w:szCs w:val="10"/>
                <w:color w:val="auto"/>
              </w:rPr>
              <w:t>4.8</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273</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Corporate tax payable</w:t>
            </w:r>
          </w:p>
        </w:tc>
        <w:tc>
          <w:tcPr>
            <w:tcW w:w="740" w:type="dxa"/>
            <w:vAlign w:val="bottom"/>
          </w:tcPr>
          <w:p>
            <w:pPr>
              <w:ind w:left="240"/>
              <w:spacing w:after="0"/>
              <w:rPr>
                <w:sz w:val="20"/>
                <w:szCs w:val="20"/>
                <w:color w:val="auto"/>
              </w:rPr>
            </w:pPr>
            <w:r>
              <w:rPr>
                <w:rFonts w:ascii="Arial" w:cs="Arial" w:eastAsia="Arial" w:hAnsi="Arial"/>
                <w:sz w:val="10"/>
                <w:szCs w:val="10"/>
                <w:color w:val="auto"/>
              </w:rPr>
              <w:t>2.4</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43</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239</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8</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Lease liabilities</w:t>
            </w:r>
          </w:p>
        </w:tc>
        <w:tc>
          <w:tcPr>
            <w:tcW w:w="740" w:type="dxa"/>
            <w:vAlign w:val="bottom"/>
          </w:tcPr>
          <w:p>
            <w:pPr>
              <w:ind w:left="240"/>
              <w:spacing w:after="0"/>
              <w:rPr>
                <w:sz w:val="20"/>
                <w:szCs w:val="20"/>
                <w:color w:val="auto"/>
              </w:rPr>
            </w:pPr>
            <w:r>
              <w:rPr>
                <w:rFonts w:ascii="Arial" w:cs="Arial" w:eastAsia="Arial" w:hAnsi="Arial"/>
                <w:sz w:val="10"/>
                <w:szCs w:val="10"/>
                <w:color w:val="auto"/>
              </w:rPr>
              <w:t>3.3</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18</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13</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13</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Contract liabilities</w:t>
            </w:r>
          </w:p>
        </w:tc>
        <w:tc>
          <w:tcPr>
            <w:tcW w:w="740" w:type="dxa"/>
            <w:vAlign w:val="bottom"/>
          </w:tcPr>
          <w:p>
            <w:pPr>
              <w:ind w:left="240"/>
              <w:spacing w:after="0"/>
              <w:rPr>
                <w:sz w:val="20"/>
                <w:szCs w:val="20"/>
                <w:color w:val="auto"/>
              </w:rPr>
            </w:pPr>
            <w:r>
              <w:rPr>
                <w:rFonts w:ascii="Arial" w:cs="Arial" w:eastAsia="Arial" w:hAnsi="Arial"/>
                <w:sz w:val="10"/>
                <w:szCs w:val="10"/>
                <w:color w:val="auto"/>
              </w:rPr>
              <w:t>3.7</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24</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3</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5</w:t>
            </w:r>
          </w:p>
        </w:tc>
      </w:tr>
      <w:tr>
        <w:trPr>
          <w:trHeight w:val="152"/>
        </w:trPr>
        <w:tc>
          <w:tcPr>
            <w:tcW w:w="2040" w:type="dxa"/>
            <w:vAlign w:val="bottom"/>
          </w:tcPr>
          <w:p>
            <w:pPr>
              <w:ind w:left="20"/>
              <w:spacing w:after="0"/>
              <w:rPr>
                <w:sz w:val="20"/>
                <w:szCs w:val="20"/>
                <w:color w:val="auto"/>
              </w:rPr>
            </w:pPr>
            <w:r>
              <w:rPr>
                <w:rFonts w:ascii="Arial" w:cs="Arial" w:eastAsia="Arial" w:hAnsi="Arial"/>
                <w:sz w:val="10"/>
                <w:szCs w:val="10"/>
                <w:color w:val="auto"/>
              </w:rPr>
              <w:t>Other payables</w:t>
            </w:r>
          </w:p>
        </w:tc>
        <w:tc>
          <w:tcPr>
            <w:tcW w:w="740" w:type="dxa"/>
            <w:vAlign w:val="bottom"/>
          </w:tcPr>
          <w:p>
            <w:pPr>
              <w:ind w:left="240"/>
              <w:spacing w:after="0"/>
              <w:rPr>
                <w:sz w:val="20"/>
                <w:szCs w:val="20"/>
                <w:color w:val="auto"/>
              </w:rPr>
            </w:pPr>
            <w:r>
              <w:rPr>
                <w:rFonts w:ascii="Arial" w:cs="Arial" w:eastAsia="Arial" w:hAnsi="Arial"/>
                <w:sz w:val="10"/>
                <w:szCs w:val="10"/>
                <w:color w:val="auto"/>
              </w:rPr>
              <w:t>3.8</w:t>
            </w:r>
          </w:p>
        </w:tc>
        <w:tc>
          <w:tcPr>
            <w:tcW w:w="800" w:type="dxa"/>
            <w:vAlign w:val="bottom"/>
          </w:tcPr>
          <w:p>
            <w:pPr>
              <w:jc w:val="right"/>
              <w:ind w:right="28"/>
              <w:spacing w:after="0"/>
              <w:rPr>
                <w:sz w:val="20"/>
                <w:szCs w:val="20"/>
                <w:color w:val="auto"/>
              </w:rPr>
            </w:pPr>
            <w:r>
              <w:rPr>
                <w:rFonts w:ascii="Arial" w:cs="Arial" w:eastAsia="Arial" w:hAnsi="Arial"/>
                <w:sz w:val="10"/>
                <w:szCs w:val="10"/>
                <w:color w:val="691A6B"/>
              </w:rPr>
              <w:t>1,069</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489</w:t>
            </w: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342</w:t>
            </w:r>
          </w:p>
        </w:tc>
      </w:tr>
    </w:tbl>
    <w:p>
      <w:pPr>
        <w:sectPr>
          <w:pgSz w:w="11900" w:h="16840" w:orient="portrait"/>
          <w:cols w:equalWidth="0" w:num="1">
            <w:col w:w="9840"/>
          </w:cols>
          <w:pgMar w:left="640" w:top="571" w:right="1420" w:bottom="531" w:gutter="0" w:footer="0" w:header="0"/>
        </w:sectPr>
      </w:pPr>
    </w:p>
    <w:bookmarkStart w:id="135" w:name="page136"/>
    <w:bookmarkEnd w:id="135"/>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109</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8" w:lineRule="auto"/>
        <w:rPr>
          <w:sz w:val="20"/>
          <w:szCs w:val="20"/>
          <w:color w:val="auto"/>
        </w:rPr>
      </w:pPr>
      <w:r>
        <w:rPr>
          <w:rFonts w:ascii="Arial" w:cs="Arial" w:eastAsia="Arial" w:hAnsi="Arial"/>
          <w:sz w:val="15"/>
          <w:szCs w:val="15"/>
          <w:b w:val="1"/>
          <w:bCs w:val="1"/>
          <w:color w:val="691A6B"/>
        </w:rPr>
        <w:t>Consolidated Statements of Cash Flows</w:t>
      </w:r>
    </w:p>
    <w:tbl>
      <w:tblPr>
        <w:tblLayout w:type="fixed"/>
        <w:tblInd w:w="0" w:type="dxa"/>
        <w:tblCellMar>
          <w:top w:w="0" w:type="dxa"/>
          <w:left w:w="0" w:type="dxa"/>
          <w:bottom w:w="0" w:type="dxa"/>
          <w:right w:w="0" w:type="dxa"/>
        </w:tblCellMar>
      </w:tblPr>
      <w:tr>
        <w:trPr>
          <w:trHeight w:val="95"/>
        </w:trPr>
        <w:tc>
          <w:tcPr>
            <w:tcW w:w="2220" w:type="dxa"/>
            <w:vAlign w:val="bottom"/>
            <w:tcBorders>
              <w:top w:val="single" w:sz="8" w:color="691A6B"/>
            </w:tcBorders>
          </w:tcPr>
          <w:p>
            <w:pPr>
              <w:spacing w:after="0"/>
              <w:rPr>
                <w:sz w:val="8"/>
                <w:szCs w:val="8"/>
                <w:color w:val="auto"/>
              </w:rPr>
            </w:pPr>
          </w:p>
        </w:tc>
        <w:tc>
          <w:tcPr>
            <w:tcW w:w="560" w:type="dxa"/>
            <w:vAlign w:val="bottom"/>
            <w:tcBorders>
              <w:top w:val="single" w:sz="8" w:color="691A6B"/>
            </w:tcBorders>
          </w:tcPr>
          <w:p>
            <w:pPr>
              <w:ind w:left="60"/>
              <w:spacing w:after="0" w:line="95" w:lineRule="exact"/>
              <w:rPr>
                <w:sz w:val="20"/>
                <w:szCs w:val="20"/>
                <w:color w:val="auto"/>
              </w:rPr>
            </w:pPr>
            <w:r>
              <w:rPr>
                <w:rFonts w:ascii="Arial" w:cs="Arial" w:eastAsia="Arial" w:hAnsi="Arial"/>
                <w:sz w:val="10"/>
                <w:szCs w:val="10"/>
                <w:b w:val="1"/>
                <w:bCs w:val="1"/>
                <w:color w:val="auto"/>
              </w:rPr>
              <w:t>Note</w:t>
            </w:r>
          </w:p>
        </w:tc>
        <w:tc>
          <w:tcPr>
            <w:tcW w:w="660" w:type="dxa"/>
            <w:vAlign w:val="bottom"/>
            <w:tcBorders>
              <w:top w:val="single" w:sz="8" w:color="691A6B"/>
            </w:tcBorders>
          </w:tcPr>
          <w:p>
            <w:pPr>
              <w:ind w:left="160"/>
              <w:spacing w:after="0" w:line="95" w:lineRule="exact"/>
              <w:rPr>
                <w:sz w:val="20"/>
                <w:szCs w:val="20"/>
                <w:color w:val="auto"/>
              </w:rPr>
            </w:pPr>
            <w:r>
              <w:rPr>
                <w:rFonts w:ascii="Arial" w:cs="Arial" w:eastAsia="Arial" w:hAnsi="Arial"/>
                <w:sz w:val="10"/>
                <w:szCs w:val="10"/>
                <w:b w:val="1"/>
                <w:bCs w:val="1"/>
                <w:color w:val="691A6B"/>
              </w:rPr>
              <w:t>2025</w:t>
            </w:r>
          </w:p>
        </w:tc>
        <w:tc>
          <w:tcPr>
            <w:tcW w:w="680" w:type="dxa"/>
            <w:vAlign w:val="bottom"/>
            <w:tcBorders>
              <w:top w:val="single" w:sz="8" w:color="691A6B"/>
            </w:tcBorders>
          </w:tcPr>
          <w:p>
            <w:pPr>
              <w:ind w:left="160"/>
              <w:spacing w:after="0" w:line="95" w:lineRule="exact"/>
              <w:rPr>
                <w:sz w:val="20"/>
                <w:szCs w:val="20"/>
                <w:color w:val="auto"/>
              </w:rPr>
            </w:pPr>
            <w:r>
              <w:rPr>
                <w:rFonts w:ascii="Arial" w:cs="Arial" w:eastAsia="Arial" w:hAnsi="Arial"/>
                <w:sz w:val="10"/>
                <w:szCs w:val="10"/>
                <w:b w:val="1"/>
                <w:bCs w:val="1"/>
                <w:color w:val="auto"/>
              </w:rPr>
              <w:t>2024¹</w:t>
            </w:r>
          </w:p>
        </w:tc>
        <w:tc>
          <w:tcPr>
            <w:tcW w:w="780" w:type="dxa"/>
            <w:vAlign w:val="bottom"/>
            <w:tcBorders>
              <w:top w:val="single" w:sz="8" w:color="691A6B"/>
            </w:tcBorders>
          </w:tcPr>
          <w:p>
            <w:pPr>
              <w:ind w:left="140"/>
              <w:spacing w:after="0" w:line="95" w:lineRule="exact"/>
              <w:rPr>
                <w:sz w:val="20"/>
                <w:szCs w:val="20"/>
                <w:color w:val="auto"/>
              </w:rPr>
            </w:pPr>
            <w:r>
              <w:rPr>
                <w:rFonts w:ascii="Arial" w:cs="Arial" w:eastAsia="Arial" w:hAnsi="Arial"/>
                <w:sz w:val="10"/>
                <w:szCs w:val="10"/>
                <w:b w:val="1"/>
                <w:bCs w:val="1"/>
                <w:color w:val="auto"/>
              </w:rPr>
              <w:t>2023¹</w:t>
            </w:r>
          </w:p>
        </w:tc>
      </w:tr>
      <w:tr>
        <w:trPr>
          <w:trHeight w:val="128"/>
        </w:trPr>
        <w:tc>
          <w:tcPr>
            <w:tcW w:w="2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60"/>
              <w:spacing w:after="0"/>
              <w:rPr>
                <w:sz w:val="20"/>
                <w:szCs w:val="20"/>
                <w:color w:val="auto"/>
              </w:rPr>
            </w:pPr>
            <w:r>
              <w:rPr>
                <w:rFonts w:ascii="Arial" w:cs="Arial" w:eastAsia="Arial" w:hAnsi="Arial"/>
                <w:sz w:val="10"/>
                <w:szCs w:val="10"/>
                <w:b w:val="1"/>
                <w:bCs w:val="1"/>
                <w:color w:val="auto"/>
              </w:rPr>
              <w:t>Restated</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Restated</w:t>
            </w:r>
          </w:p>
        </w:tc>
      </w:tr>
      <w:tr>
        <w:trPr>
          <w:trHeight w:val="156"/>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Net profit before tax</w:t>
            </w:r>
          </w:p>
        </w:tc>
        <w:tc>
          <w:tcPr>
            <w:tcW w:w="5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0"/>
                <w:szCs w:val="10"/>
                <w:b w:val="1"/>
                <w:bCs w:val="1"/>
                <w:color w:val="691A6B"/>
              </w:rPr>
              <w:t>1,204</w:t>
            </w:r>
          </w:p>
        </w:tc>
        <w:tc>
          <w:tcPr>
            <w:tcW w:w="680" w:type="dxa"/>
            <w:vAlign w:val="bottom"/>
          </w:tcPr>
          <w:p>
            <w:pPr>
              <w:ind w:left="160"/>
              <w:spacing w:after="0"/>
              <w:rPr>
                <w:sz w:val="20"/>
                <w:szCs w:val="20"/>
                <w:color w:val="auto"/>
              </w:rPr>
            </w:pPr>
            <w:r>
              <w:rPr>
                <w:rFonts w:ascii="Arial" w:cs="Arial" w:eastAsia="Arial" w:hAnsi="Arial"/>
                <w:sz w:val="10"/>
                <w:szCs w:val="10"/>
                <w:b w:val="1"/>
                <w:bCs w:val="1"/>
                <w:color w:val="auto"/>
              </w:rPr>
              <w:t>1,326</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817</w:t>
            </w:r>
          </w:p>
        </w:tc>
      </w:tr>
      <w:tr>
        <w:trPr>
          <w:trHeight w:val="146"/>
        </w:trPr>
        <w:tc>
          <w:tcPr>
            <w:tcW w:w="2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60"/>
              <w:spacing w:after="0"/>
              <w:rPr>
                <w:sz w:val="20"/>
                <w:szCs w:val="20"/>
                <w:color w:val="auto"/>
              </w:rPr>
            </w:pPr>
            <w:r>
              <w:rPr>
                <w:rFonts w:ascii="Arial" w:cs="Arial" w:eastAsia="Arial" w:hAnsi="Arial"/>
                <w:sz w:val="10"/>
                <w:szCs w:val="10"/>
                <w:color w:val="691A6B"/>
              </w:rPr>
              <w:t>—</w:t>
            </w:r>
          </w:p>
        </w:tc>
        <w:tc>
          <w:tcPr>
            <w:tcW w:w="680" w:type="dxa"/>
            <w:vAlign w:val="bottom"/>
          </w:tcPr>
          <w:p>
            <w:pPr>
              <w:ind w:left="160"/>
              <w:spacing w:after="0"/>
              <w:rPr>
                <w:sz w:val="20"/>
                <w:szCs w:val="20"/>
                <w:color w:val="auto"/>
              </w:rPr>
            </w:pPr>
            <w:r>
              <w:rPr>
                <w:rFonts w:ascii="Arial" w:cs="Arial" w:eastAsia="Arial" w:hAnsi="Arial"/>
                <w:sz w:val="10"/>
                <w:szCs w:val="10"/>
                <w:color w:val="auto"/>
              </w:rPr>
              <w:t>—</w:t>
            </w:r>
          </w:p>
        </w:tc>
        <w:tc>
          <w:tcPr>
            <w:tcW w:w="780" w:type="dxa"/>
            <w:vAlign w:val="bottom"/>
          </w:tcPr>
          <w:p>
            <w:pPr>
              <w:ind w:left="140"/>
              <w:spacing w:after="0"/>
              <w:rPr>
                <w:sz w:val="20"/>
                <w:szCs w:val="20"/>
                <w:color w:val="auto"/>
              </w:rPr>
            </w:pPr>
            <w:r>
              <w:rPr>
                <w:rFonts w:ascii="Arial" w:cs="Arial" w:eastAsia="Arial" w:hAnsi="Arial"/>
                <w:sz w:val="10"/>
                <w:szCs w:val="10"/>
                <w:color w:val="auto"/>
              </w:rPr>
              <w:t>—</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Financial income</w:t>
            </w:r>
          </w:p>
        </w:tc>
        <w:tc>
          <w:tcPr>
            <w:tcW w:w="560" w:type="dxa"/>
            <w:vAlign w:val="bottom"/>
          </w:tcPr>
          <w:p>
            <w:pPr>
              <w:ind w:left="60"/>
              <w:spacing w:after="0"/>
              <w:rPr>
                <w:sz w:val="20"/>
                <w:szCs w:val="20"/>
                <w:color w:val="auto"/>
              </w:rPr>
            </w:pPr>
            <w:r>
              <w:rPr>
                <w:rFonts w:ascii="Arial" w:cs="Arial" w:eastAsia="Arial" w:hAnsi="Arial"/>
                <w:sz w:val="10"/>
                <w:szCs w:val="10"/>
                <w:color w:val="auto"/>
              </w:rPr>
              <w:t>4.5</w:t>
            </w:r>
          </w:p>
        </w:tc>
        <w:tc>
          <w:tcPr>
            <w:tcW w:w="660" w:type="dxa"/>
            <w:vAlign w:val="bottom"/>
          </w:tcPr>
          <w:p>
            <w:pPr>
              <w:ind w:left="160"/>
              <w:spacing w:after="0"/>
              <w:rPr>
                <w:sz w:val="20"/>
                <w:szCs w:val="20"/>
                <w:color w:val="auto"/>
              </w:rPr>
            </w:pPr>
            <w:r>
              <w:rPr>
                <w:rFonts w:ascii="Arial" w:cs="Arial" w:eastAsia="Arial" w:hAnsi="Arial"/>
                <w:sz w:val="10"/>
                <w:szCs w:val="10"/>
                <w:color w:val="691A6B"/>
              </w:rPr>
              <w:t>(408)</w:t>
            </w:r>
          </w:p>
        </w:tc>
        <w:tc>
          <w:tcPr>
            <w:tcW w:w="680" w:type="dxa"/>
            <w:vAlign w:val="bottom"/>
          </w:tcPr>
          <w:p>
            <w:pPr>
              <w:ind w:left="160"/>
              <w:spacing w:after="0"/>
              <w:rPr>
                <w:sz w:val="20"/>
                <w:szCs w:val="20"/>
                <w:color w:val="auto"/>
              </w:rPr>
            </w:pPr>
            <w:r>
              <w:rPr>
                <w:rFonts w:ascii="Arial" w:cs="Arial" w:eastAsia="Arial" w:hAnsi="Arial"/>
                <w:sz w:val="10"/>
                <w:szCs w:val="10"/>
                <w:color w:val="auto"/>
              </w:rPr>
              <w:t>(645)</w:t>
            </w:r>
          </w:p>
        </w:tc>
        <w:tc>
          <w:tcPr>
            <w:tcW w:w="780" w:type="dxa"/>
            <w:vAlign w:val="bottom"/>
          </w:tcPr>
          <w:p>
            <w:pPr>
              <w:ind w:left="140"/>
              <w:spacing w:after="0"/>
              <w:rPr>
                <w:sz w:val="20"/>
                <w:szCs w:val="20"/>
                <w:color w:val="auto"/>
              </w:rPr>
            </w:pPr>
            <w:r>
              <w:rPr>
                <w:rFonts w:ascii="Arial" w:cs="Arial" w:eastAsia="Arial" w:hAnsi="Arial"/>
                <w:sz w:val="10"/>
                <w:szCs w:val="10"/>
                <w:color w:val="auto"/>
              </w:rPr>
              <w:t>(299)</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Financial expense</w:t>
            </w:r>
          </w:p>
        </w:tc>
        <w:tc>
          <w:tcPr>
            <w:tcW w:w="560" w:type="dxa"/>
            <w:vAlign w:val="bottom"/>
          </w:tcPr>
          <w:p>
            <w:pPr>
              <w:ind w:left="60"/>
              <w:spacing w:after="0"/>
              <w:rPr>
                <w:sz w:val="20"/>
                <w:szCs w:val="20"/>
                <w:color w:val="auto"/>
              </w:rPr>
            </w:pPr>
            <w:r>
              <w:rPr>
                <w:rFonts w:ascii="Arial" w:cs="Arial" w:eastAsia="Arial" w:hAnsi="Arial"/>
                <w:sz w:val="10"/>
                <w:szCs w:val="10"/>
                <w:color w:val="auto"/>
              </w:rPr>
              <w:t>4.5</w:t>
            </w:r>
          </w:p>
        </w:tc>
        <w:tc>
          <w:tcPr>
            <w:tcW w:w="660" w:type="dxa"/>
            <w:vAlign w:val="bottom"/>
          </w:tcPr>
          <w:p>
            <w:pPr>
              <w:ind w:left="160"/>
              <w:spacing w:after="0"/>
              <w:rPr>
                <w:sz w:val="20"/>
                <w:szCs w:val="20"/>
                <w:color w:val="auto"/>
              </w:rPr>
            </w:pPr>
            <w:r>
              <w:rPr>
                <w:rFonts w:ascii="Arial" w:cs="Arial" w:eastAsia="Arial" w:hAnsi="Arial"/>
                <w:sz w:val="10"/>
                <w:szCs w:val="10"/>
                <w:color w:val="691A6B"/>
              </w:rPr>
              <w:t>269</w:t>
            </w:r>
          </w:p>
        </w:tc>
        <w:tc>
          <w:tcPr>
            <w:tcW w:w="680" w:type="dxa"/>
            <w:vAlign w:val="bottom"/>
          </w:tcPr>
          <w:p>
            <w:pPr>
              <w:ind w:left="160"/>
              <w:spacing w:after="0"/>
              <w:rPr>
                <w:sz w:val="20"/>
                <w:szCs w:val="20"/>
                <w:color w:val="auto"/>
              </w:rPr>
            </w:pPr>
            <w:r>
              <w:rPr>
                <w:rFonts w:ascii="Arial" w:cs="Arial" w:eastAsia="Arial" w:hAnsi="Arial"/>
                <w:sz w:val="10"/>
                <w:szCs w:val="10"/>
                <w:color w:val="auto"/>
              </w:rPr>
              <w:t>291</w:t>
            </w:r>
          </w:p>
        </w:tc>
        <w:tc>
          <w:tcPr>
            <w:tcW w:w="780" w:type="dxa"/>
            <w:vAlign w:val="bottom"/>
          </w:tcPr>
          <w:p>
            <w:pPr>
              <w:ind w:left="140"/>
              <w:spacing w:after="0"/>
              <w:rPr>
                <w:sz w:val="20"/>
                <w:szCs w:val="20"/>
                <w:color w:val="auto"/>
              </w:rPr>
            </w:pPr>
            <w:r>
              <w:rPr>
                <w:rFonts w:ascii="Arial" w:cs="Arial" w:eastAsia="Arial" w:hAnsi="Arial"/>
                <w:sz w:val="10"/>
                <w:szCs w:val="10"/>
                <w:color w:val="auto"/>
              </w:rPr>
              <w:t>254</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Adjustment for non-cash transactions</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2"/>
        </w:trPr>
        <w:tc>
          <w:tcPr>
            <w:tcW w:w="2220" w:type="dxa"/>
            <w:vAlign w:val="bottom"/>
          </w:tcPr>
          <w:p>
            <w:pPr>
              <w:ind w:left="20"/>
              <w:spacing w:after="0"/>
              <w:rPr>
                <w:rFonts w:ascii="Arial" w:cs="Arial" w:eastAsia="Arial" w:hAnsi="Arial"/>
                <w:sz w:val="10"/>
                <w:szCs w:val="10"/>
                <w:color w:val="auto"/>
              </w:rPr>
            </w:pPr>
            <w:hyperlink w:anchor="page154">
              <w:r>
                <w:rPr>
                  <w:rFonts w:ascii="Arial" w:cs="Arial" w:eastAsia="Arial" w:hAnsi="Arial"/>
                  <w:sz w:val="10"/>
                  <w:szCs w:val="10"/>
                  <w:color w:val="auto"/>
                </w:rPr>
                <w:t xml:space="preserve">Share-based compensation </w:t>
              </w:r>
            </w:hyperlink>
            <w:r>
              <w:rPr>
                <w:rFonts w:ascii="Arial" w:cs="Arial" w:eastAsia="Arial" w:hAnsi="Arial"/>
                <w:sz w:val="10"/>
                <w:szCs w:val="10"/>
                <w:color w:val="auto"/>
              </w:rPr>
              <w:t>expense</w:t>
            </w:r>
          </w:p>
        </w:tc>
        <w:tc>
          <w:tcPr>
            <w:tcW w:w="560" w:type="dxa"/>
            <w:vAlign w:val="bottom"/>
          </w:tcPr>
          <w:p>
            <w:pPr>
              <w:ind w:left="60"/>
              <w:spacing w:after="0"/>
              <w:rPr>
                <w:sz w:val="20"/>
                <w:szCs w:val="20"/>
                <w:color w:val="auto"/>
              </w:rPr>
            </w:pPr>
            <w:r>
              <w:rPr>
                <w:rFonts w:ascii="Arial" w:cs="Arial" w:eastAsia="Arial" w:hAnsi="Arial"/>
                <w:sz w:val="10"/>
                <w:szCs w:val="10"/>
                <w:color w:val="auto"/>
              </w:rPr>
              <w:t>2.3, 4.6</w:t>
            </w:r>
          </w:p>
        </w:tc>
        <w:tc>
          <w:tcPr>
            <w:tcW w:w="660" w:type="dxa"/>
            <w:vAlign w:val="bottom"/>
          </w:tcPr>
          <w:p>
            <w:pPr>
              <w:ind w:left="160"/>
              <w:spacing w:after="0"/>
              <w:rPr>
                <w:sz w:val="20"/>
                <w:szCs w:val="20"/>
                <w:color w:val="auto"/>
              </w:rPr>
            </w:pPr>
            <w:r>
              <w:rPr>
                <w:rFonts w:ascii="Arial" w:cs="Arial" w:eastAsia="Arial" w:hAnsi="Arial"/>
                <w:sz w:val="10"/>
                <w:szCs w:val="10"/>
                <w:color w:val="691A6B"/>
              </w:rPr>
              <w:t>128</w:t>
            </w:r>
          </w:p>
        </w:tc>
        <w:tc>
          <w:tcPr>
            <w:tcW w:w="680" w:type="dxa"/>
            <w:vAlign w:val="bottom"/>
          </w:tcPr>
          <w:p>
            <w:pPr>
              <w:ind w:left="160"/>
              <w:spacing w:after="0"/>
              <w:rPr>
                <w:sz w:val="20"/>
                <w:szCs w:val="20"/>
                <w:color w:val="auto"/>
              </w:rPr>
            </w:pPr>
            <w:r>
              <w:rPr>
                <w:rFonts w:ascii="Arial" w:cs="Arial" w:eastAsia="Arial" w:hAnsi="Arial"/>
                <w:sz w:val="10"/>
                <w:szCs w:val="10"/>
                <w:color w:val="auto"/>
              </w:rPr>
              <w:t>105</w:t>
            </w:r>
          </w:p>
        </w:tc>
        <w:tc>
          <w:tcPr>
            <w:tcW w:w="780" w:type="dxa"/>
            <w:vAlign w:val="bottom"/>
          </w:tcPr>
          <w:p>
            <w:pPr>
              <w:ind w:left="140"/>
              <w:spacing w:after="0"/>
              <w:rPr>
                <w:sz w:val="20"/>
                <w:szCs w:val="20"/>
                <w:color w:val="auto"/>
              </w:rPr>
            </w:pPr>
            <w:r>
              <w:rPr>
                <w:rFonts w:ascii="Arial" w:cs="Arial" w:eastAsia="Arial" w:hAnsi="Arial"/>
                <w:sz w:val="10"/>
                <w:szCs w:val="10"/>
                <w:color w:val="auto"/>
              </w:rPr>
              <w:t>85</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Depreciation</w:t>
            </w:r>
          </w:p>
        </w:tc>
        <w:tc>
          <w:tcPr>
            <w:tcW w:w="560" w:type="dxa"/>
            <w:vAlign w:val="bottom"/>
          </w:tcPr>
          <w:p>
            <w:pPr>
              <w:ind w:left="60"/>
              <w:spacing w:after="0"/>
              <w:rPr>
                <w:sz w:val="20"/>
                <w:szCs w:val="20"/>
                <w:color w:val="auto"/>
              </w:rPr>
            </w:pPr>
            <w:r>
              <w:rPr>
                <w:rFonts w:ascii="Arial" w:cs="Arial" w:eastAsia="Arial" w:hAnsi="Arial"/>
                <w:sz w:val="10"/>
                <w:szCs w:val="10"/>
                <w:color w:val="auto"/>
              </w:rPr>
              <w:t>3.2, 3.3</w:t>
            </w:r>
          </w:p>
        </w:tc>
        <w:tc>
          <w:tcPr>
            <w:tcW w:w="660" w:type="dxa"/>
            <w:vAlign w:val="bottom"/>
          </w:tcPr>
          <w:p>
            <w:pPr>
              <w:ind w:left="160"/>
              <w:spacing w:after="0"/>
              <w:rPr>
                <w:sz w:val="20"/>
                <w:szCs w:val="20"/>
                <w:color w:val="auto"/>
              </w:rPr>
            </w:pPr>
            <w:r>
              <w:rPr>
                <w:rFonts w:ascii="Arial" w:cs="Arial" w:eastAsia="Arial" w:hAnsi="Arial"/>
                <w:sz w:val="10"/>
                <w:szCs w:val="10"/>
                <w:color w:val="691A6B"/>
              </w:rPr>
              <w:t>55</w:t>
            </w:r>
          </w:p>
        </w:tc>
        <w:tc>
          <w:tcPr>
            <w:tcW w:w="680" w:type="dxa"/>
            <w:vAlign w:val="bottom"/>
          </w:tcPr>
          <w:p>
            <w:pPr>
              <w:ind w:left="160"/>
              <w:spacing w:after="0"/>
              <w:rPr>
                <w:sz w:val="20"/>
                <w:szCs w:val="20"/>
                <w:color w:val="auto"/>
              </w:rPr>
            </w:pPr>
            <w:r>
              <w:rPr>
                <w:rFonts w:ascii="Arial" w:cs="Arial" w:eastAsia="Arial" w:hAnsi="Arial"/>
                <w:sz w:val="10"/>
                <w:szCs w:val="10"/>
                <w:color w:val="auto"/>
              </w:rPr>
              <w:t>49</w:t>
            </w:r>
          </w:p>
        </w:tc>
        <w:tc>
          <w:tcPr>
            <w:tcW w:w="780" w:type="dxa"/>
            <w:vAlign w:val="bottom"/>
          </w:tcPr>
          <w:p>
            <w:pPr>
              <w:ind w:left="140"/>
              <w:spacing w:after="0"/>
              <w:rPr>
                <w:sz w:val="20"/>
                <w:szCs w:val="20"/>
                <w:color w:val="auto"/>
              </w:rPr>
            </w:pPr>
            <w:r>
              <w:rPr>
                <w:rFonts w:ascii="Arial" w:cs="Arial" w:eastAsia="Arial" w:hAnsi="Arial"/>
                <w:sz w:val="10"/>
                <w:szCs w:val="10"/>
                <w:color w:val="auto"/>
              </w:rPr>
              <w:t>40</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Amortization</w:t>
            </w:r>
          </w:p>
        </w:tc>
        <w:tc>
          <w:tcPr>
            <w:tcW w:w="560" w:type="dxa"/>
            <w:vAlign w:val="bottom"/>
          </w:tcPr>
          <w:p>
            <w:pPr>
              <w:ind w:left="60"/>
              <w:spacing w:after="0"/>
              <w:rPr>
                <w:sz w:val="20"/>
                <w:szCs w:val="20"/>
                <w:color w:val="auto"/>
              </w:rPr>
            </w:pPr>
            <w:r>
              <w:rPr>
                <w:rFonts w:ascii="Arial" w:cs="Arial" w:eastAsia="Arial" w:hAnsi="Arial"/>
                <w:sz w:val="10"/>
                <w:szCs w:val="10"/>
                <w:color w:val="auto"/>
              </w:rPr>
              <w:t>3.1</w:t>
            </w:r>
          </w:p>
        </w:tc>
        <w:tc>
          <w:tcPr>
            <w:tcW w:w="660" w:type="dxa"/>
            <w:vAlign w:val="bottom"/>
          </w:tcPr>
          <w:p>
            <w:pPr>
              <w:ind w:left="160"/>
              <w:spacing w:after="0"/>
              <w:rPr>
                <w:sz w:val="20"/>
                <w:szCs w:val="20"/>
                <w:color w:val="auto"/>
              </w:rPr>
            </w:pPr>
            <w:r>
              <w:rPr>
                <w:rFonts w:ascii="Arial" w:cs="Arial" w:eastAsia="Arial" w:hAnsi="Arial"/>
                <w:sz w:val="10"/>
                <w:szCs w:val="10"/>
                <w:color w:val="691A6B"/>
              </w:rPr>
              <w:t>16</w:t>
            </w:r>
          </w:p>
        </w:tc>
        <w:tc>
          <w:tcPr>
            <w:tcW w:w="680" w:type="dxa"/>
            <w:vAlign w:val="bottom"/>
          </w:tcPr>
          <w:p>
            <w:pPr>
              <w:ind w:left="160"/>
              <w:spacing w:after="0"/>
              <w:rPr>
                <w:sz w:val="20"/>
                <w:szCs w:val="20"/>
                <w:color w:val="auto"/>
              </w:rPr>
            </w:pPr>
            <w:r>
              <w:rPr>
                <w:rFonts w:ascii="Arial" w:cs="Arial" w:eastAsia="Arial" w:hAnsi="Arial"/>
                <w:sz w:val="10"/>
                <w:szCs w:val="10"/>
                <w:color w:val="auto"/>
              </w:rPr>
              <w:t>11</w:t>
            </w:r>
          </w:p>
        </w:tc>
        <w:tc>
          <w:tcPr>
            <w:tcW w:w="780" w:type="dxa"/>
            <w:vAlign w:val="bottom"/>
          </w:tcPr>
          <w:p>
            <w:pPr>
              <w:ind w:left="140"/>
              <w:spacing w:after="0"/>
              <w:rPr>
                <w:sz w:val="20"/>
                <w:szCs w:val="20"/>
                <w:color w:val="auto"/>
              </w:rPr>
            </w:pPr>
            <w:r>
              <w:rPr>
                <w:rFonts w:ascii="Arial" w:cs="Arial" w:eastAsia="Arial" w:hAnsi="Arial"/>
                <w:sz w:val="10"/>
                <w:szCs w:val="10"/>
                <w:color w:val="auto"/>
              </w:rPr>
              <w:t>3</w:t>
            </w:r>
          </w:p>
        </w:tc>
      </w:tr>
      <w:tr>
        <w:trPr>
          <w:trHeight w:val="152"/>
        </w:trPr>
        <w:tc>
          <w:tcPr>
            <w:tcW w:w="2220" w:type="dxa"/>
            <w:vAlign w:val="bottom"/>
          </w:tcPr>
          <w:p>
            <w:pPr>
              <w:ind w:left="20"/>
              <w:spacing w:after="0"/>
              <w:rPr>
                <w:rFonts w:ascii="Arial" w:cs="Arial" w:eastAsia="Arial" w:hAnsi="Arial"/>
                <w:sz w:val="10"/>
                <w:szCs w:val="10"/>
                <w:color w:val="auto"/>
              </w:rPr>
            </w:pPr>
            <w:r>
              <w:rPr>
                <w:rFonts w:ascii="Arial" w:cs="Arial" w:eastAsia="Arial" w:hAnsi="Arial"/>
                <w:sz w:val="10"/>
                <w:szCs w:val="10"/>
                <w:color w:val="auto"/>
              </w:rPr>
              <w:t xml:space="preserve">Impairment </w:t>
            </w:r>
            <w:hyperlink w:anchor="page154">
              <w:r>
                <w:rPr>
                  <w:rFonts w:ascii="Arial" w:cs="Arial" w:eastAsia="Arial" w:hAnsi="Arial"/>
                  <w:sz w:val="10"/>
                  <w:szCs w:val="10"/>
                  <w:color w:val="auto"/>
                </w:rPr>
                <w:t>losses</w:t>
              </w:r>
            </w:hyperlink>
          </w:p>
        </w:tc>
        <w:tc>
          <w:tcPr>
            <w:tcW w:w="560" w:type="dxa"/>
            <w:vAlign w:val="bottom"/>
          </w:tcPr>
          <w:p>
            <w:pPr>
              <w:ind w:left="60"/>
              <w:spacing w:after="0"/>
              <w:rPr>
                <w:sz w:val="20"/>
                <w:szCs w:val="20"/>
                <w:color w:val="auto"/>
              </w:rPr>
            </w:pPr>
            <w:r>
              <w:rPr>
                <w:rFonts w:ascii="Arial" w:cs="Arial" w:eastAsia="Arial" w:hAnsi="Arial"/>
                <w:sz w:val="10"/>
                <w:szCs w:val="10"/>
                <w:color w:val="auto"/>
              </w:rPr>
              <w:t>3.1, 3.6</w:t>
            </w:r>
          </w:p>
        </w:tc>
        <w:tc>
          <w:tcPr>
            <w:tcW w:w="660" w:type="dxa"/>
            <w:vAlign w:val="bottom"/>
          </w:tcPr>
          <w:p>
            <w:pPr>
              <w:ind w:left="160"/>
              <w:spacing w:after="0"/>
              <w:rPr>
                <w:sz w:val="20"/>
                <w:szCs w:val="20"/>
                <w:color w:val="auto"/>
              </w:rPr>
            </w:pPr>
            <w:r>
              <w:rPr>
                <w:rFonts w:ascii="Arial" w:cs="Arial" w:eastAsia="Arial" w:hAnsi="Arial"/>
                <w:sz w:val="10"/>
                <w:szCs w:val="10"/>
                <w:color w:val="691A6B"/>
              </w:rPr>
              <w:t>32</w:t>
            </w:r>
          </w:p>
        </w:tc>
        <w:tc>
          <w:tcPr>
            <w:tcW w:w="680" w:type="dxa"/>
            <w:vAlign w:val="bottom"/>
          </w:tcPr>
          <w:p>
            <w:pPr>
              <w:ind w:left="160"/>
              <w:spacing w:after="0"/>
              <w:rPr>
                <w:sz w:val="20"/>
                <w:szCs w:val="20"/>
                <w:color w:val="auto"/>
              </w:rPr>
            </w:pPr>
            <w:r>
              <w:rPr>
                <w:rFonts w:ascii="Arial" w:cs="Arial" w:eastAsia="Arial" w:hAnsi="Arial"/>
                <w:sz w:val="10"/>
                <w:szCs w:val="10"/>
                <w:color w:val="auto"/>
              </w:rPr>
              <w:t>17</w:t>
            </w:r>
          </w:p>
        </w:tc>
        <w:tc>
          <w:tcPr>
            <w:tcW w:w="780" w:type="dxa"/>
            <w:vAlign w:val="bottom"/>
          </w:tcPr>
          <w:p>
            <w:pPr>
              <w:ind w:left="140"/>
              <w:spacing w:after="0"/>
              <w:rPr>
                <w:sz w:val="20"/>
                <w:szCs w:val="20"/>
                <w:color w:val="auto"/>
              </w:rPr>
            </w:pPr>
            <w:r>
              <w:rPr>
                <w:rFonts w:ascii="Arial" w:cs="Arial" w:eastAsia="Arial" w:hAnsi="Arial"/>
                <w:sz w:val="10"/>
                <w:szCs w:val="10"/>
                <w:color w:val="auto"/>
              </w:rPr>
              <w:t>—</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Change in operating assets and liabilities</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Receivables</w:t>
            </w:r>
          </w:p>
        </w:tc>
        <w:tc>
          <w:tcPr>
            <w:tcW w:w="560" w:type="dxa"/>
            <w:vAlign w:val="bottom"/>
          </w:tcPr>
          <w:p>
            <w:pPr>
              <w:ind w:left="60"/>
              <w:spacing w:after="0"/>
              <w:rPr>
                <w:sz w:val="20"/>
                <w:szCs w:val="20"/>
                <w:color w:val="auto"/>
              </w:rPr>
            </w:pPr>
            <w:r>
              <w:rPr>
                <w:rFonts w:ascii="Arial" w:cs="Arial" w:eastAsia="Arial" w:hAnsi="Arial"/>
                <w:sz w:val="10"/>
                <w:szCs w:val="10"/>
                <w:color w:val="auto"/>
              </w:rPr>
              <w:t>3.6</w:t>
            </w:r>
          </w:p>
        </w:tc>
        <w:tc>
          <w:tcPr>
            <w:tcW w:w="660" w:type="dxa"/>
            <w:vAlign w:val="bottom"/>
          </w:tcPr>
          <w:p>
            <w:pPr>
              <w:ind w:left="160"/>
              <w:spacing w:after="0"/>
              <w:rPr>
                <w:sz w:val="20"/>
                <w:szCs w:val="20"/>
                <w:color w:val="auto"/>
              </w:rPr>
            </w:pPr>
            <w:r>
              <w:rPr>
                <w:rFonts w:ascii="Arial" w:cs="Arial" w:eastAsia="Arial" w:hAnsi="Arial"/>
                <w:sz w:val="10"/>
                <w:szCs w:val="10"/>
                <w:color w:val="691A6B"/>
              </w:rPr>
              <w:t>(166)</w:t>
            </w:r>
          </w:p>
        </w:tc>
        <w:tc>
          <w:tcPr>
            <w:tcW w:w="680" w:type="dxa"/>
            <w:vAlign w:val="bottom"/>
          </w:tcPr>
          <w:p>
            <w:pPr>
              <w:ind w:left="160"/>
              <w:spacing w:after="0"/>
              <w:rPr>
                <w:sz w:val="20"/>
                <w:szCs w:val="20"/>
                <w:color w:val="auto"/>
              </w:rPr>
            </w:pPr>
            <w:r>
              <w:rPr>
                <w:rFonts w:ascii="Arial" w:cs="Arial" w:eastAsia="Arial" w:hAnsi="Arial"/>
                <w:sz w:val="10"/>
                <w:szCs w:val="10"/>
                <w:color w:val="auto"/>
              </w:rPr>
              <w:t>(230)</w:t>
            </w:r>
          </w:p>
        </w:tc>
        <w:tc>
          <w:tcPr>
            <w:tcW w:w="780" w:type="dxa"/>
            <w:vAlign w:val="bottom"/>
          </w:tcPr>
          <w:p>
            <w:pPr>
              <w:ind w:left="140"/>
              <w:spacing w:after="0"/>
              <w:rPr>
                <w:sz w:val="20"/>
                <w:szCs w:val="20"/>
                <w:color w:val="auto"/>
              </w:rPr>
            </w:pPr>
            <w:r>
              <w:rPr>
                <w:rFonts w:ascii="Arial" w:cs="Arial" w:eastAsia="Arial" w:hAnsi="Arial"/>
                <w:sz w:val="10"/>
                <w:szCs w:val="10"/>
                <w:color w:val="auto"/>
              </w:rPr>
              <w:t>116</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Inventories</w:t>
            </w:r>
          </w:p>
        </w:tc>
        <w:tc>
          <w:tcPr>
            <w:tcW w:w="560" w:type="dxa"/>
            <w:vAlign w:val="bottom"/>
          </w:tcPr>
          <w:p>
            <w:pPr>
              <w:ind w:left="60"/>
              <w:spacing w:after="0"/>
              <w:rPr>
                <w:sz w:val="20"/>
                <w:szCs w:val="20"/>
                <w:color w:val="auto"/>
              </w:rPr>
            </w:pPr>
            <w:r>
              <w:rPr>
                <w:rFonts w:ascii="Arial" w:cs="Arial" w:eastAsia="Arial" w:hAnsi="Arial"/>
                <w:sz w:val="10"/>
                <w:szCs w:val="10"/>
                <w:color w:val="auto"/>
              </w:rPr>
              <w:t>3.5</w:t>
            </w:r>
          </w:p>
        </w:tc>
        <w:tc>
          <w:tcPr>
            <w:tcW w:w="660" w:type="dxa"/>
            <w:vAlign w:val="bottom"/>
          </w:tcPr>
          <w:p>
            <w:pPr>
              <w:ind w:left="160"/>
              <w:spacing w:after="0"/>
              <w:rPr>
                <w:sz w:val="20"/>
                <w:szCs w:val="20"/>
                <w:color w:val="auto"/>
              </w:rPr>
            </w:pPr>
            <w:r>
              <w:rPr>
                <w:rFonts w:ascii="Arial" w:cs="Arial" w:eastAsia="Arial" w:hAnsi="Arial"/>
                <w:sz w:val="10"/>
                <w:szCs w:val="10"/>
                <w:color w:val="691A6B"/>
              </w:rPr>
              <w:t>(9)</w:t>
            </w:r>
          </w:p>
        </w:tc>
        <w:tc>
          <w:tcPr>
            <w:tcW w:w="680" w:type="dxa"/>
            <w:vAlign w:val="bottom"/>
          </w:tcPr>
          <w:p>
            <w:pPr>
              <w:ind w:left="160"/>
              <w:spacing w:after="0"/>
              <w:rPr>
                <w:sz w:val="20"/>
                <w:szCs w:val="20"/>
                <w:color w:val="auto"/>
              </w:rPr>
            </w:pPr>
            <w:r>
              <w:rPr>
                <w:rFonts w:ascii="Arial" w:cs="Arial" w:eastAsia="Arial" w:hAnsi="Arial"/>
                <w:sz w:val="10"/>
                <w:szCs w:val="10"/>
                <w:color w:val="auto"/>
              </w:rPr>
              <w:t>(1)</w:t>
            </w:r>
          </w:p>
        </w:tc>
        <w:tc>
          <w:tcPr>
            <w:tcW w:w="780" w:type="dxa"/>
            <w:vAlign w:val="bottom"/>
          </w:tcPr>
          <w:p>
            <w:pPr>
              <w:ind w:left="140"/>
              <w:spacing w:after="0"/>
              <w:rPr>
                <w:sz w:val="20"/>
                <w:szCs w:val="20"/>
                <w:color w:val="auto"/>
              </w:rPr>
            </w:pPr>
            <w:r>
              <w:rPr>
                <w:rFonts w:ascii="Arial" w:cs="Arial" w:eastAsia="Arial" w:hAnsi="Arial"/>
                <w:sz w:val="10"/>
                <w:szCs w:val="10"/>
                <w:color w:val="auto"/>
              </w:rPr>
              <w:t>(8)</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Other payables</w:t>
            </w:r>
          </w:p>
        </w:tc>
        <w:tc>
          <w:tcPr>
            <w:tcW w:w="560" w:type="dxa"/>
            <w:vAlign w:val="bottom"/>
          </w:tcPr>
          <w:p>
            <w:pPr>
              <w:ind w:left="60"/>
              <w:spacing w:after="0"/>
              <w:rPr>
                <w:sz w:val="20"/>
                <w:szCs w:val="20"/>
                <w:color w:val="auto"/>
              </w:rPr>
            </w:pPr>
            <w:r>
              <w:rPr>
                <w:rFonts w:ascii="Arial" w:cs="Arial" w:eastAsia="Arial" w:hAnsi="Arial"/>
                <w:sz w:val="10"/>
                <w:szCs w:val="10"/>
                <w:color w:val="auto"/>
              </w:rPr>
              <w:t>3.8</w:t>
            </w:r>
          </w:p>
        </w:tc>
        <w:tc>
          <w:tcPr>
            <w:tcW w:w="660" w:type="dxa"/>
            <w:vAlign w:val="bottom"/>
          </w:tcPr>
          <w:p>
            <w:pPr>
              <w:ind w:left="160"/>
              <w:spacing w:after="0"/>
              <w:rPr>
                <w:sz w:val="20"/>
                <w:szCs w:val="20"/>
                <w:color w:val="auto"/>
              </w:rPr>
            </w:pPr>
            <w:r>
              <w:rPr>
                <w:rFonts w:ascii="Arial" w:cs="Arial" w:eastAsia="Arial" w:hAnsi="Arial"/>
                <w:sz w:val="10"/>
                <w:szCs w:val="10"/>
                <w:color w:val="691A6B"/>
              </w:rPr>
              <w:t>400</w:t>
            </w:r>
          </w:p>
        </w:tc>
        <w:tc>
          <w:tcPr>
            <w:tcW w:w="680" w:type="dxa"/>
            <w:vAlign w:val="bottom"/>
          </w:tcPr>
          <w:p>
            <w:pPr>
              <w:ind w:left="160"/>
              <w:spacing w:after="0"/>
              <w:rPr>
                <w:sz w:val="20"/>
                <w:szCs w:val="20"/>
                <w:color w:val="auto"/>
              </w:rPr>
            </w:pPr>
            <w:r>
              <w:rPr>
                <w:rFonts w:ascii="Arial" w:cs="Arial" w:eastAsia="Arial" w:hAnsi="Arial"/>
                <w:sz w:val="10"/>
                <w:szCs w:val="10"/>
                <w:color w:val="auto"/>
              </w:rPr>
              <w:t>122</w:t>
            </w:r>
          </w:p>
        </w:tc>
        <w:tc>
          <w:tcPr>
            <w:tcW w:w="780" w:type="dxa"/>
            <w:vAlign w:val="bottom"/>
          </w:tcPr>
          <w:p>
            <w:pPr>
              <w:ind w:left="140"/>
              <w:spacing w:after="0"/>
              <w:rPr>
                <w:sz w:val="20"/>
                <w:szCs w:val="20"/>
                <w:color w:val="auto"/>
              </w:rPr>
            </w:pPr>
            <w:r>
              <w:rPr>
                <w:rFonts w:ascii="Arial" w:cs="Arial" w:eastAsia="Arial" w:hAnsi="Arial"/>
                <w:sz w:val="10"/>
                <w:szCs w:val="10"/>
                <w:color w:val="auto"/>
              </w:rPr>
              <w:t>90</w:t>
            </w:r>
          </w:p>
        </w:tc>
      </w:tr>
      <w:tr>
        <w:trPr>
          <w:trHeight w:val="120"/>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 before</w:t>
            </w:r>
          </w:p>
        </w:tc>
        <w:tc>
          <w:tcPr>
            <w:tcW w:w="560" w:type="dxa"/>
            <w:vAlign w:val="bottom"/>
          </w:tcPr>
          <w:p>
            <w:pPr>
              <w:spacing w:after="0"/>
              <w:rPr>
                <w:sz w:val="10"/>
                <w:szCs w:val="10"/>
                <w:color w:val="auto"/>
              </w:rPr>
            </w:pPr>
          </w:p>
        </w:tc>
        <w:tc>
          <w:tcPr>
            <w:tcW w:w="660" w:type="dxa"/>
            <w:vAlign w:val="bottom"/>
          </w:tcPr>
          <w:p>
            <w:pPr>
              <w:ind w:left="160"/>
              <w:spacing w:after="0"/>
              <w:rPr>
                <w:sz w:val="20"/>
                <w:szCs w:val="20"/>
                <w:color w:val="auto"/>
              </w:rPr>
            </w:pPr>
            <w:r>
              <w:rPr>
                <w:rFonts w:ascii="Arial" w:cs="Arial" w:eastAsia="Arial" w:hAnsi="Arial"/>
                <w:sz w:val="10"/>
                <w:szCs w:val="10"/>
                <w:b w:val="1"/>
                <w:bCs w:val="1"/>
                <w:color w:val="691A6B"/>
              </w:rPr>
              <w:t>1,521</w:t>
            </w:r>
          </w:p>
        </w:tc>
        <w:tc>
          <w:tcPr>
            <w:tcW w:w="680" w:type="dxa"/>
            <w:vAlign w:val="bottom"/>
          </w:tcPr>
          <w:p>
            <w:pPr>
              <w:ind w:left="160"/>
              <w:spacing w:after="0"/>
              <w:rPr>
                <w:sz w:val="20"/>
                <w:szCs w:val="20"/>
                <w:color w:val="auto"/>
              </w:rPr>
            </w:pPr>
            <w:r>
              <w:rPr>
                <w:rFonts w:ascii="Arial" w:cs="Arial" w:eastAsia="Arial" w:hAnsi="Arial"/>
                <w:sz w:val="10"/>
                <w:szCs w:val="10"/>
                <w:b w:val="1"/>
                <w:bCs w:val="1"/>
                <w:color w:val="auto"/>
              </w:rPr>
              <w:t>1,045</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1,098</w:t>
            </w:r>
          </w:p>
        </w:tc>
      </w:tr>
      <w:tr>
        <w:trPr>
          <w:trHeight w:val="143"/>
        </w:trPr>
        <w:tc>
          <w:tcPr>
            <w:tcW w:w="2220" w:type="dxa"/>
            <w:vAlign w:val="bottom"/>
          </w:tcPr>
          <w:p>
            <w:pPr>
              <w:ind w:left="20"/>
              <w:spacing w:after="0"/>
              <w:rPr>
                <w:rFonts w:ascii="Arial" w:cs="Arial" w:eastAsia="Arial" w:hAnsi="Arial"/>
                <w:sz w:val="10"/>
                <w:szCs w:val="10"/>
                <w:b w:val="1"/>
                <w:bCs w:val="1"/>
                <w:color w:val="auto"/>
              </w:rPr>
            </w:pPr>
            <w:hyperlink w:anchor="page156">
              <w:r>
                <w:rPr>
                  <w:rFonts w:ascii="Arial" w:cs="Arial" w:eastAsia="Arial" w:hAnsi="Arial"/>
                  <w:sz w:val="10"/>
                  <w:szCs w:val="10"/>
                  <w:b w:val="1"/>
                  <w:bCs w:val="1"/>
                  <w:color w:val="auto"/>
                </w:rPr>
                <w:t xml:space="preserve">financial </w:t>
              </w:r>
            </w:hyperlink>
            <w:r>
              <w:rPr>
                <w:rFonts w:ascii="Arial" w:cs="Arial" w:eastAsia="Arial" w:hAnsi="Arial"/>
                <w:sz w:val="10"/>
                <w:szCs w:val="10"/>
                <w:b w:val="1"/>
                <w:bCs w:val="1"/>
                <w:color w:val="auto"/>
              </w:rPr>
              <w:t>items</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6"/>
        </w:trPr>
        <w:tc>
          <w:tcPr>
            <w:tcW w:w="2220" w:type="dxa"/>
            <w:vAlign w:val="bottom"/>
          </w:tcPr>
          <w:p>
            <w:pPr>
              <w:ind w:left="20"/>
              <w:spacing w:after="0"/>
              <w:rPr>
                <w:sz w:val="20"/>
                <w:szCs w:val="20"/>
                <w:color w:val="auto"/>
              </w:rPr>
            </w:pPr>
            <w:r>
              <w:rPr>
                <w:rFonts w:ascii="Arial" w:cs="Arial" w:eastAsia="Arial" w:hAnsi="Arial"/>
                <w:sz w:val="10"/>
                <w:szCs w:val="10"/>
                <w:color w:val="auto"/>
              </w:rPr>
              <w:t>Interest received</w:t>
            </w:r>
          </w:p>
        </w:tc>
        <w:tc>
          <w:tcPr>
            <w:tcW w:w="5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0"/>
                <w:szCs w:val="10"/>
                <w:color w:val="691A6B"/>
              </w:rPr>
              <w:t>135</w:t>
            </w:r>
          </w:p>
        </w:tc>
        <w:tc>
          <w:tcPr>
            <w:tcW w:w="680" w:type="dxa"/>
            <w:vAlign w:val="bottom"/>
          </w:tcPr>
          <w:p>
            <w:pPr>
              <w:ind w:left="160"/>
              <w:spacing w:after="0"/>
              <w:rPr>
                <w:sz w:val="20"/>
                <w:szCs w:val="20"/>
                <w:color w:val="auto"/>
              </w:rPr>
            </w:pPr>
            <w:r>
              <w:rPr>
                <w:rFonts w:ascii="Arial" w:cs="Arial" w:eastAsia="Arial" w:hAnsi="Arial"/>
                <w:sz w:val="10"/>
                <w:szCs w:val="10"/>
                <w:color w:val="auto"/>
              </w:rPr>
              <w:t>136</w:t>
            </w:r>
          </w:p>
        </w:tc>
        <w:tc>
          <w:tcPr>
            <w:tcW w:w="780" w:type="dxa"/>
            <w:vAlign w:val="bottom"/>
          </w:tcPr>
          <w:p>
            <w:pPr>
              <w:ind w:left="140"/>
              <w:spacing w:after="0"/>
              <w:rPr>
                <w:sz w:val="20"/>
                <w:szCs w:val="20"/>
                <w:color w:val="auto"/>
              </w:rPr>
            </w:pPr>
            <w:r>
              <w:rPr>
                <w:rFonts w:ascii="Arial" w:cs="Arial" w:eastAsia="Arial" w:hAnsi="Arial"/>
                <w:sz w:val="10"/>
                <w:szCs w:val="10"/>
                <w:color w:val="auto"/>
              </w:rPr>
              <w:t>131</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Interest elements of lease payments</w:t>
            </w:r>
          </w:p>
        </w:tc>
        <w:tc>
          <w:tcPr>
            <w:tcW w:w="560" w:type="dxa"/>
            <w:vAlign w:val="bottom"/>
          </w:tcPr>
          <w:p>
            <w:pPr>
              <w:ind w:left="60"/>
              <w:spacing w:after="0"/>
              <w:rPr>
                <w:sz w:val="20"/>
                <w:szCs w:val="20"/>
                <w:color w:val="auto"/>
              </w:rPr>
            </w:pPr>
            <w:r>
              <w:rPr>
                <w:rFonts w:ascii="Arial" w:cs="Arial" w:eastAsia="Arial" w:hAnsi="Arial"/>
                <w:sz w:val="10"/>
                <w:szCs w:val="10"/>
                <w:color w:val="auto"/>
              </w:rPr>
              <w:t>3.3</w:t>
            </w:r>
          </w:p>
        </w:tc>
        <w:tc>
          <w:tcPr>
            <w:tcW w:w="660" w:type="dxa"/>
            <w:vAlign w:val="bottom"/>
          </w:tcPr>
          <w:p>
            <w:pPr>
              <w:ind w:left="160"/>
              <w:spacing w:after="0"/>
              <w:rPr>
                <w:sz w:val="20"/>
                <w:szCs w:val="20"/>
                <w:color w:val="auto"/>
              </w:rPr>
            </w:pPr>
            <w:r>
              <w:rPr>
                <w:rFonts w:ascii="Arial" w:cs="Arial" w:eastAsia="Arial" w:hAnsi="Arial"/>
                <w:sz w:val="10"/>
                <w:szCs w:val="10"/>
                <w:color w:val="691A6B"/>
              </w:rPr>
              <w:t>(5)</w:t>
            </w:r>
          </w:p>
        </w:tc>
        <w:tc>
          <w:tcPr>
            <w:tcW w:w="680" w:type="dxa"/>
            <w:vAlign w:val="bottom"/>
          </w:tcPr>
          <w:p>
            <w:pPr>
              <w:ind w:left="160"/>
              <w:spacing w:after="0"/>
              <w:rPr>
                <w:sz w:val="20"/>
                <w:szCs w:val="20"/>
                <w:color w:val="auto"/>
              </w:rPr>
            </w:pPr>
            <w:r>
              <w:rPr>
                <w:rFonts w:ascii="Arial" w:cs="Arial" w:eastAsia="Arial" w:hAnsi="Arial"/>
                <w:sz w:val="10"/>
                <w:szCs w:val="10"/>
                <w:color w:val="auto"/>
              </w:rPr>
              <w:t>(5)</w:t>
            </w:r>
          </w:p>
        </w:tc>
        <w:tc>
          <w:tcPr>
            <w:tcW w:w="780" w:type="dxa"/>
            <w:vAlign w:val="bottom"/>
          </w:tcPr>
          <w:p>
            <w:pPr>
              <w:ind w:left="140"/>
              <w:spacing w:after="0"/>
              <w:rPr>
                <w:sz w:val="20"/>
                <w:szCs w:val="20"/>
                <w:color w:val="auto"/>
              </w:rPr>
            </w:pPr>
            <w:r>
              <w:rPr>
                <w:rFonts w:ascii="Arial" w:cs="Arial" w:eastAsia="Arial" w:hAnsi="Arial"/>
                <w:sz w:val="10"/>
                <w:szCs w:val="10"/>
                <w:color w:val="auto"/>
              </w:rPr>
              <w:t>(3)</w:t>
            </w:r>
          </w:p>
        </w:tc>
      </w:tr>
      <w:tr>
        <w:trPr>
          <w:trHeight w:val="152"/>
        </w:trPr>
        <w:tc>
          <w:tcPr>
            <w:tcW w:w="2220" w:type="dxa"/>
            <w:vAlign w:val="bottom"/>
          </w:tcPr>
          <w:p>
            <w:pPr>
              <w:ind w:left="20"/>
              <w:spacing w:after="0"/>
              <w:rPr>
                <w:rFonts w:ascii="Arial" w:cs="Arial" w:eastAsia="Arial" w:hAnsi="Arial"/>
                <w:sz w:val="10"/>
                <w:szCs w:val="10"/>
                <w:color w:val="auto"/>
              </w:rPr>
            </w:pPr>
            <w:hyperlink w:anchor="page159">
              <w:r>
                <w:rPr>
                  <w:rFonts w:ascii="Arial" w:cs="Arial" w:eastAsia="Arial" w:hAnsi="Arial"/>
                  <w:sz w:val="10"/>
                  <w:szCs w:val="10"/>
                  <w:color w:val="auto"/>
                </w:rPr>
                <w:t xml:space="preserve">Interest </w:t>
              </w:r>
            </w:hyperlink>
            <w:r>
              <w:rPr>
                <w:rFonts w:ascii="Arial" w:cs="Arial" w:eastAsia="Arial" w:hAnsi="Arial"/>
                <w:sz w:val="10"/>
                <w:szCs w:val="10"/>
                <w:color w:val="auto"/>
              </w:rPr>
              <w:t>paid</w:t>
            </w:r>
          </w:p>
        </w:tc>
        <w:tc>
          <w:tcPr>
            <w:tcW w:w="5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0"/>
                <w:szCs w:val="10"/>
                <w:color w:val="691A6B"/>
              </w:rPr>
              <w:t>(5)</w:t>
            </w:r>
          </w:p>
        </w:tc>
        <w:tc>
          <w:tcPr>
            <w:tcW w:w="680" w:type="dxa"/>
            <w:vAlign w:val="bottom"/>
          </w:tcPr>
          <w:p>
            <w:pPr>
              <w:ind w:left="160"/>
              <w:spacing w:after="0"/>
              <w:rPr>
                <w:sz w:val="20"/>
                <w:szCs w:val="20"/>
                <w:color w:val="auto"/>
              </w:rPr>
            </w:pPr>
            <w:r>
              <w:rPr>
                <w:rFonts w:ascii="Arial" w:cs="Arial" w:eastAsia="Arial" w:hAnsi="Arial"/>
                <w:sz w:val="10"/>
                <w:szCs w:val="10"/>
                <w:color w:val="auto"/>
              </w:rPr>
              <w:t>—</w:t>
            </w:r>
          </w:p>
        </w:tc>
        <w:tc>
          <w:tcPr>
            <w:tcW w:w="780" w:type="dxa"/>
            <w:vAlign w:val="bottom"/>
          </w:tcPr>
          <w:p>
            <w:pPr>
              <w:ind w:left="140"/>
              <w:spacing w:after="0"/>
              <w:rPr>
                <w:sz w:val="20"/>
                <w:szCs w:val="20"/>
                <w:color w:val="auto"/>
              </w:rPr>
            </w:pPr>
            <w:r>
              <w:rPr>
                <w:rFonts w:ascii="Arial" w:cs="Arial" w:eastAsia="Arial" w:hAnsi="Arial"/>
                <w:sz w:val="10"/>
                <w:szCs w:val="10"/>
                <w:color w:val="auto"/>
              </w:rPr>
              <w:t>—</w:t>
            </w:r>
          </w:p>
        </w:tc>
      </w:tr>
      <w:tr>
        <w:trPr>
          <w:trHeight w:val="152"/>
        </w:trPr>
        <w:tc>
          <w:tcPr>
            <w:tcW w:w="2220" w:type="dxa"/>
            <w:vAlign w:val="bottom"/>
          </w:tcPr>
          <w:p>
            <w:pPr>
              <w:ind w:left="20"/>
              <w:spacing w:after="0"/>
              <w:rPr>
                <w:rFonts w:ascii="Arial" w:cs="Arial" w:eastAsia="Arial" w:hAnsi="Arial"/>
                <w:sz w:val="10"/>
                <w:szCs w:val="10"/>
                <w:color w:val="auto"/>
              </w:rPr>
            </w:pPr>
            <w:hyperlink w:anchor="page159">
              <w:r>
                <w:rPr>
                  <w:rFonts w:ascii="Arial" w:cs="Arial" w:eastAsia="Arial" w:hAnsi="Arial"/>
                  <w:sz w:val="10"/>
                  <w:szCs w:val="10"/>
                  <w:color w:val="auto"/>
                </w:rPr>
                <w:t>Corporate taxes paid</w:t>
              </w:r>
            </w:hyperlink>
          </w:p>
        </w:tc>
        <w:tc>
          <w:tcPr>
            <w:tcW w:w="5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0"/>
                <w:szCs w:val="10"/>
                <w:color w:val="691A6B"/>
              </w:rPr>
              <w:t>(460)</w:t>
            </w:r>
          </w:p>
        </w:tc>
        <w:tc>
          <w:tcPr>
            <w:tcW w:w="680" w:type="dxa"/>
            <w:vAlign w:val="bottom"/>
          </w:tcPr>
          <w:p>
            <w:pPr>
              <w:ind w:left="160"/>
              <w:spacing w:after="0"/>
              <w:rPr>
                <w:sz w:val="20"/>
                <w:szCs w:val="20"/>
                <w:color w:val="auto"/>
              </w:rPr>
            </w:pPr>
            <w:r>
              <w:rPr>
                <w:rFonts w:ascii="Arial" w:cs="Arial" w:eastAsia="Arial" w:hAnsi="Arial"/>
                <w:sz w:val="10"/>
                <w:szCs w:val="10"/>
                <w:color w:val="auto"/>
              </w:rPr>
              <w:t>(50)</w:t>
            </w:r>
          </w:p>
        </w:tc>
        <w:tc>
          <w:tcPr>
            <w:tcW w:w="780" w:type="dxa"/>
            <w:vAlign w:val="bottom"/>
          </w:tcPr>
          <w:p>
            <w:pPr>
              <w:ind w:left="140"/>
              <w:spacing w:after="0"/>
              <w:rPr>
                <w:sz w:val="20"/>
                <w:szCs w:val="20"/>
                <w:color w:val="auto"/>
              </w:rPr>
            </w:pPr>
            <w:r>
              <w:rPr>
                <w:rFonts w:ascii="Arial" w:cs="Arial" w:eastAsia="Arial" w:hAnsi="Arial"/>
                <w:sz w:val="10"/>
                <w:szCs w:val="10"/>
                <w:color w:val="auto"/>
              </w:rPr>
              <w:t>(155)</w:t>
            </w:r>
          </w:p>
        </w:tc>
      </w:tr>
      <w:tr>
        <w:trPr>
          <w:trHeight w:val="158"/>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operating activities</w:t>
            </w:r>
          </w:p>
        </w:tc>
        <w:tc>
          <w:tcPr>
            <w:tcW w:w="5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0"/>
                <w:szCs w:val="10"/>
                <w:b w:val="1"/>
                <w:bCs w:val="1"/>
                <w:color w:val="691A6B"/>
              </w:rPr>
              <w:t>1,186</w:t>
            </w:r>
          </w:p>
        </w:tc>
        <w:tc>
          <w:tcPr>
            <w:tcW w:w="680" w:type="dxa"/>
            <w:vAlign w:val="bottom"/>
          </w:tcPr>
          <w:p>
            <w:pPr>
              <w:ind w:left="160"/>
              <w:spacing w:after="0"/>
              <w:rPr>
                <w:sz w:val="20"/>
                <w:szCs w:val="20"/>
                <w:color w:val="auto"/>
              </w:rPr>
            </w:pPr>
            <w:r>
              <w:rPr>
                <w:rFonts w:ascii="Arial" w:cs="Arial" w:eastAsia="Arial" w:hAnsi="Arial"/>
                <w:sz w:val="10"/>
                <w:szCs w:val="10"/>
                <w:b w:val="1"/>
                <w:bCs w:val="1"/>
                <w:color w:val="auto"/>
              </w:rPr>
              <w:t>1,126</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1,071</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6"/>
        </w:trPr>
        <w:tc>
          <w:tcPr>
            <w:tcW w:w="2220" w:type="dxa"/>
            <w:vAlign w:val="bottom"/>
          </w:tcPr>
          <w:p>
            <w:pPr>
              <w:ind w:left="20"/>
              <w:spacing w:after="0"/>
              <w:rPr>
                <w:sz w:val="20"/>
                <w:szCs w:val="20"/>
                <w:color w:val="auto"/>
              </w:rPr>
            </w:pPr>
            <w:r>
              <w:rPr>
                <w:rFonts w:ascii="Arial" w:cs="Arial" w:eastAsia="Arial" w:hAnsi="Arial"/>
                <w:sz w:val="10"/>
                <w:szCs w:val="10"/>
                <w:color w:val="auto"/>
              </w:rPr>
              <w:t>Acquisition of business, net of cash acquired</w:t>
            </w:r>
          </w:p>
        </w:tc>
        <w:tc>
          <w:tcPr>
            <w:tcW w:w="560" w:type="dxa"/>
            <w:vAlign w:val="bottom"/>
          </w:tcPr>
          <w:p>
            <w:pPr>
              <w:ind w:left="60"/>
              <w:spacing w:after="0"/>
              <w:rPr>
                <w:sz w:val="20"/>
                <w:szCs w:val="20"/>
                <w:color w:val="auto"/>
              </w:rPr>
            </w:pPr>
            <w:r>
              <w:rPr>
                <w:rFonts w:ascii="Arial" w:cs="Arial" w:eastAsia="Arial" w:hAnsi="Arial"/>
                <w:sz w:val="10"/>
                <w:szCs w:val="10"/>
                <w:color w:val="auto"/>
              </w:rPr>
              <w:t>5.5</w:t>
            </w:r>
          </w:p>
        </w:tc>
        <w:tc>
          <w:tcPr>
            <w:tcW w:w="660" w:type="dxa"/>
            <w:vAlign w:val="bottom"/>
          </w:tcPr>
          <w:p>
            <w:pPr>
              <w:ind w:left="160"/>
              <w:spacing w:after="0"/>
              <w:rPr>
                <w:sz w:val="20"/>
                <w:szCs w:val="20"/>
                <w:color w:val="auto"/>
              </w:rPr>
            </w:pPr>
            <w:r>
              <w:rPr>
                <w:rFonts w:ascii="Arial" w:cs="Arial" w:eastAsia="Arial" w:hAnsi="Arial"/>
                <w:sz w:val="10"/>
                <w:szCs w:val="10"/>
                <w:color w:val="691A6B"/>
              </w:rPr>
              <w:t>—</w:t>
            </w:r>
          </w:p>
        </w:tc>
        <w:tc>
          <w:tcPr>
            <w:tcW w:w="680" w:type="dxa"/>
            <w:vAlign w:val="bottom"/>
          </w:tcPr>
          <w:p>
            <w:pPr>
              <w:ind w:left="160"/>
              <w:spacing w:after="0"/>
              <w:rPr>
                <w:sz w:val="20"/>
                <w:szCs w:val="20"/>
                <w:color w:val="auto"/>
              </w:rPr>
            </w:pPr>
            <w:r>
              <w:rPr>
                <w:rFonts w:ascii="Arial" w:cs="Arial" w:eastAsia="Arial" w:hAnsi="Arial"/>
                <w:sz w:val="10"/>
                <w:szCs w:val="10"/>
                <w:color w:val="auto"/>
              </w:rPr>
              <w:t>(1,783)</w:t>
            </w:r>
          </w:p>
        </w:tc>
        <w:tc>
          <w:tcPr>
            <w:tcW w:w="780" w:type="dxa"/>
            <w:vAlign w:val="bottom"/>
          </w:tcPr>
          <w:p>
            <w:pPr>
              <w:ind w:left="140"/>
              <w:spacing w:after="0"/>
              <w:rPr>
                <w:sz w:val="20"/>
                <w:szCs w:val="20"/>
                <w:color w:val="auto"/>
              </w:rPr>
            </w:pPr>
            <w:r>
              <w:rPr>
                <w:rFonts w:ascii="Arial" w:cs="Arial" w:eastAsia="Arial" w:hAnsi="Arial"/>
                <w:sz w:val="10"/>
                <w:szCs w:val="10"/>
                <w:color w:val="auto"/>
              </w:rPr>
              <w:t>—</w:t>
            </w:r>
          </w:p>
        </w:tc>
      </w:tr>
      <w:tr>
        <w:trPr>
          <w:trHeight w:val="162"/>
        </w:trPr>
        <w:tc>
          <w:tcPr>
            <w:tcW w:w="2220" w:type="dxa"/>
            <w:vAlign w:val="bottom"/>
          </w:tcPr>
          <w:p>
            <w:pPr>
              <w:ind w:left="20"/>
              <w:spacing w:after="0"/>
              <w:rPr>
                <w:sz w:val="20"/>
                <w:szCs w:val="20"/>
                <w:color w:val="auto"/>
              </w:rPr>
            </w:pPr>
            <w:r>
              <w:rPr>
                <w:rFonts w:ascii="Arial" w:cs="Arial" w:eastAsia="Arial" w:hAnsi="Arial"/>
                <w:sz w:val="10"/>
                <w:szCs w:val="10"/>
                <w:color w:val="auto"/>
              </w:rPr>
              <w:t>Acquisition of assets, net of cash acquired</w:t>
            </w:r>
          </w:p>
        </w:tc>
        <w:tc>
          <w:tcPr>
            <w:tcW w:w="560" w:type="dxa"/>
            <w:vAlign w:val="bottom"/>
          </w:tcPr>
          <w:p>
            <w:pPr>
              <w:ind w:left="60"/>
              <w:spacing w:after="0"/>
              <w:rPr>
                <w:sz w:val="20"/>
                <w:szCs w:val="20"/>
                <w:color w:val="auto"/>
              </w:rPr>
            </w:pPr>
            <w:r>
              <w:rPr>
                <w:rFonts w:ascii="Arial" w:cs="Arial" w:eastAsia="Arial" w:hAnsi="Arial"/>
                <w:sz w:val="10"/>
                <w:szCs w:val="10"/>
                <w:color w:val="auto"/>
              </w:rPr>
              <w:t>5.5</w:t>
            </w:r>
          </w:p>
        </w:tc>
        <w:tc>
          <w:tcPr>
            <w:tcW w:w="660" w:type="dxa"/>
            <w:vAlign w:val="bottom"/>
          </w:tcPr>
          <w:p>
            <w:pPr>
              <w:ind w:left="160"/>
              <w:spacing w:after="0"/>
              <w:rPr>
                <w:sz w:val="20"/>
                <w:szCs w:val="20"/>
                <w:color w:val="auto"/>
              </w:rPr>
            </w:pPr>
            <w:r>
              <w:rPr>
                <w:rFonts w:ascii="Arial" w:cs="Arial" w:eastAsia="Arial" w:hAnsi="Arial"/>
                <w:sz w:val="10"/>
                <w:szCs w:val="10"/>
                <w:color w:val="691A6B"/>
              </w:rPr>
              <w:t>(7,215)</w:t>
            </w:r>
          </w:p>
        </w:tc>
        <w:tc>
          <w:tcPr>
            <w:tcW w:w="680" w:type="dxa"/>
            <w:vAlign w:val="bottom"/>
          </w:tcPr>
          <w:p>
            <w:pPr>
              <w:ind w:left="160"/>
              <w:spacing w:after="0"/>
              <w:rPr>
                <w:sz w:val="20"/>
                <w:szCs w:val="20"/>
                <w:color w:val="auto"/>
              </w:rPr>
            </w:pPr>
            <w:r>
              <w:rPr>
                <w:rFonts w:ascii="Arial" w:cs="Arial" w:eastAsia="Arial" w:hAnsi="Arial"/>
                <w:sz w:val="10"/>
                <w:szCs w:val="10"/>
                <w:color w:val="auto"/>
              </w:rPr>
              <w:t>—</w:t>
            </w:r>
          </w:p>
        </w:tc>
        <w:tc>
          <w:tcPr>
            <w:tcW w:w="780" w:type="dxa"/>
            <w:vAlign w:val="bottom"/>
          </w:tcPr>
          <w:p>
            <w:pPr>
              <w:ind w:left="140"/>
              <w:spacing w:after="0"/>
              <w:rPr>
                <w:sz w:val="20"/>
                <w:szCs w:val="20"/>
                <w:color w:val="auto"/>
              </w:rPr>
            </w:pPr>
            <w:r>
              <w:rPr>
                <w:rFonts w:ascii="Arial" w:cs="Arial" w:eastAsia="Arial" w:hAnsi="Arial"/>
                <w:sz w:val="10"/>
                <w:szCs w:val="10"/>
                <w:color w:val="auto"/>
              </w:rPr>
              <w:t>—</w:t>
            </w:r>
          </w:p>
        </w:tc>
      </w:tr>
      <w:tr>
        <w:trPr>
          <w:trHeight w:val="162"/>
        </w:trPr>
        <w:tc>
          <w:tcPr>
            <w:tcW w:w="2220" w:type="dxa"/>
            <w:vAlign w:val="bottom"/>
          </w:tcPr>
          <w:p>
            <w:pPr>
              <w:ind w:left="20"/>
              <w:spacing w:after="0"/>
              <w:rPr>
                <w:sz w:val="20"/>
                <w:szCs w:val="20"/>
                <w:color w:val="auto"/>
              </w:rPr>
            </w:pPr>
            <w:r>
              <w:rPr>
                <w:rFonts w:ascii="Arial" w:cs="Arial" w:eastAsia="Arial" w:hAnsi="Arial"/>
                <w:sz w:val="10"/>
                <w:szCs w:val="10"/>
                <w:color w:val="auto"/>
              </w:rPr>
              <w:t>Investment in intangible assets</w:t>
            </w:r>
          </w:p>
        </w:tc>
        <w:tc>
          <w:tcPr>
            <w:tcW w:w="560" w:type="dxa"/>
            <w:vAlign w:val="bottom"/>
          </w:tcPr>
          <w:p>
            <w:pPr>
              <w:ind w:left="60"/>
              <w:spacing w:after="0"/>
              <w:rPr>
                <w:sz w:val="20"/>
                <w:szCs w:val="20"/>
                <w:color w:val="auto"/>
              </w:rPr>
            </w:pPr>
            <w:r>
              <w:rPr>
                <w:rFonts w:ascii="Arial" w:cs="Arial" w:eastAsia="Arial" w:hAnsi="Arial"/>
                <w:sz w:val="10"/>
                <w:szCs w:val="10"/>
                <w:color w:val="auto"/>
              </w:rPr>
              <w:t>3.1</w:t>
            </w:r>
          </w:p>
        </w:tc>
        <w:tc>
          <w:tcPr>
            <w:tcW w:w="660" w:type="dxa"/>
            <w:vAlign w:val="bottom"/>
          </w:tcPr>
          <w:p>
            <w:pPr>
              <w:ind w:left="160"/>
              <w:spacing w:after="0"/>
              <w:rPr>
                <w:sz w:val="20"/>
                <w:szCs w:val="20"/>
                <w:color w:val="auto"/>
              </w:rPr>
            </w:pPr>
            <w:r>
              <w:rPr>
                <w:rFonts w:ascii="Arial" w:cs="Arial" w:eastAsia="Arial" w:hAnsi="Arial"/>
                <w:sz w:val="10"/>
                <w:szCs w:val="10"/>
                <w:color w:val="691A6B"/>
              </w:rPr>
              <w:t>(18)</w:t>
            </w:r>
          </w:p>
        </w:tc>
        <w:tc>
          <w:tcPr>
            <w:tcW w:w="680" w:type="dxa"/>
            <w:vAlign w:val="bottom"/>
          </w:tcPr>
          <w:p>
            <w:pPr>
              <w:ind w:left="160"/>
              <w:spacing w:after="0"/>
              <w:rPr>
                <w:sz w:val="20"/>
                <w:szCs w:val="20"/>
                <w:color w:val="auto"/>
              </w:rPr>
            </w:pPr>
            <w:r>
              <w:rPr>
                <w:rFonts w:ascii="Arial" w:cs="Arial" w:eastAsia="Arial" w:hAnsi="Arial"/>
                <w:sz w:val="10"/>
                <w:szCs w:val="10"/>
                <w:color w:val="auto"/>
              </w:rPr>
              <w:t>(17)</w:t>
            </w:r>
          </w:p>
        </w:tc>
        <w:tc>
          <w:tcPr>
            <w:tcW w:w="780" w:type="dxa"/>
            <w:vAlign w:val="bottom"/>
          </w:tcPr>
          <w:p>
            <w:pPr>
              <w:ind w:left="140"/>
              <w:spacing w:after="0"/>
              <w:rPr>
                <w:sz w:val="20"/>
                <w:szCs w:val="20"/>
                <w:color w:val="auto"/>
              </w:rPr>
            </w:pPr>
            <w:r>
              <w:rPr>
                <w:rFonts w:ascii="Arial" w:cs="Arial" w:eastAsia="Arial" w:hAnsi="Arial"/>
                <w:sz w:val="10"/>
                <w:szCs w:val="10"/>
                <w:color w:val="auto"/>
              </w:rPr>
              <w:t>(1)</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Investment in tangible assets</w:t>
            </w:r>
          </w:p>
        </w:tc>
        <w:tc>
          <w:tcPr>
            <w:tcW w:w="560" w:type="dxa"/>
            <w:vAlign w:val="bottom"/>
          </w:tcPr>
          <w:p>
            <w:pPr>
              <w:ind w:left="60"/>
              <w:spacing w:after="0"/>
              <w:rPr>
                <w:sz w:val="20"/>
                <w:szCs w:val="20"/>
                <w:color w:val="auto"/>
              </w:rPr>
            </w:pPr>
            <w:r>
              <w:rPr>
                <w:rFonts w:ascii="Arial" w:cs="Arial" w:eastAsia="Arial" w:hAnsi="Arial"/>
                <w:sz w:val="10"/>
                <w:szCs w:val="10"/>
                <w:color w:val="auto"/>
              </w:rPr>
              <w:t>3.2</w:t>
            </w:r>
          </w:p>
        </w:tc>
        <w:tc>
          <w:tcPr>
            <w:tcW w:w="660" w:type="dxa"/>
            <w:vAlign w:val="bottom"/>
          </w:tcPr>
          <w:p>
            <w:pPr>
              <w:ind w:left="160"/>
              <w:spacing w:after="0"/>
              <w:rPr>
                <w:sz w:val="20"/>
                <w:szCs w:val="20"/>
                <w:color w:val="auto"/>
              </w:rPr>
            </w:pPr>
            <w:r>
              <w:rPr>
                <w:rFonts w:ascii="Arial" w:cs="Arial" w:eastAsia="Arial" w:hAnsi="Arial"/>
                <w:sz w:val="10"/>
                <w:szCs w:val="10"/>
                <w:color w:val="691A6B"/>
              </w:rPr>
              <w:t>(37)</w:t>
            </w:r>
          </w:p>
        </w:tc>
        <w:tc>
          <w:tcPr>
            <w:tcW w:w="680" w:type="dxa"/>
            <w:vAlign w:val="bottom"/>
          </w:tcPr>
          <w:p>
            <w:pPr>
              <w:ind w:left="160"/>
              <w:spacing w:after="0"/>
              <w:rPr>
                <w:sz w:val="20"/>
                <w:szCs w:val="20"/>
                <w:color w:val="auto"/>
              </w:rPr>
            </w:pPr>
            <w:r>
              <w:rPr>
                <w:rFonts w:ascii="Arial" w:cs="Arial" w:eastAsia="Arial" w:hAnsi="Arial"/>
                <w:sz w:val="10"/>
                <w:szCs w:val="10"/>
                <w:color w:val="auto"/>
              </w:rPr>
              <w:t>(27)</w:t>
            </w:r>
          </w:p>
        </w:tc>
        <w:tc>
          <w:tcPr>
            <w:tcW w:w="780" w:type="dxa"/>
            <w:vAlign w:val="bottom"/>
          </w:tcPr>
          <w:p>
            <w:pPr>
              <w:ind w:left="140"/>
              <w:spacing w:after="0"/>
              <w:rPr>
                <w:sz w:val="20"/>
                <w:szCs w:val="20"/>
                <w:color w:val="auto"/>
              </w:rPr>
            </w:pPr>
            <w:r>
              <w:rPr>
                <w:rFonts w:ascii="Arial" w:cs="Arial" w:eastAsia="Arial" w:hAnsi="Arial"/>
                <w:sz w:val="10"/>
                <w:szCs w:val="10"/>
                <w:color w:val="auto"/>
              </w:rPr>
              <w:t>(53)</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Marketable securities bought</w:t>
            </w:r>
          </w:p>
        </w:tc>
        <w:tc>
          <w:tcPr>
            <w:tcW w:w="560" w:type="dxa"/>
            <w:vAlign w:val="bottom"/>
          </w:tcPr>
          <w:p>
            <w:pPr>
              <w:ind w:left="60"/>
              <w:spacing w:after="0"/>
              <w:rPr>
                <w:sz w:val="20"/>
                <w:szCs w:val="20"/>
                <w:color w:val="auto"/>
              </w:rPr>
            </w:pPr>
            <w:r>
              <w:rPr>
                <w:rFonts w:ascii="Arial" w:cs="Arial" w:eastAsia="Arial" w:hAnsi="Arial"/>
                <w:sz w:val="10"/>
                <w:szCs w:val="10"/>
                <w:color w:val="auto"/>
              </w:rPr>
              <w:t>4.3, 4.4</w:t>
            </w:r>
          </w:p>
        </w:tc>
        <w:tc>
          <w:tcPr>
            <w:tcW w:w="660" w:type="dxa"/>
            <w:vAlign w:val="bottom"/>
          </w:tcPr>
          <w:p>
            <w:pPr>
              <w:ind w:left="160"/>
              <w:spacing w:after="0"/>
              <w:rPr>
                <w:sz w:val="20"/>
                <w:szCs w:val="20"/>
                <w:color w:val="auto"/>
              </w:rPr>
            </w:pPr>
            <w:r>
              <w:rPr>
                <w:rFonts w:ascii="Arial" w:cs="Arial" w:eastAsia="Arial" w:hAnsi="Arial"/>
                <w:sz w:val="10"/>
                <w:szCs w:val="10"/>
                <w:color w:val="691A6B"/>
              </w:rPr>
              <w:t>(991)</w:t>
            </w:r>
          </w:p>
        </w:tc>
        <w:tc>
          <w:tcPr>
            <w:tcW w:w="680" w:type="dxa"/>
            <w:vAlign w:val="bottom"/>
          </w:tcPr>
          <w:p>
            <w:pPr>
              <w:ind w:left="160"/>
              <w:spacing w:after="0"/>
              <w:rPr>
                <w:sz w:val="20"/>
                <w:szCs w:val="20"/>
                <w:color w:val="auto"/>
              </w:rPr>
            </w:pPr>
            <w:r>
              <w:rPr>
                <w:rFonts w:ascii="Arial" w:cs="Arial" w:eastAsia="Arial" w:hAnsi="Arial"/>
                <w:sz w:val="10"/>
                <w:szCs w:val="10"/>
                <w:color w:val="auto"/>
              </w:rPr>
              <w:t>(1,248)</w:t>
            </w:r>
          </w:p>
        </w:tc>
        <w:tc>
          <w:tcPr>
            <w:tcW w:w="780" w:type="dxa"/>
            <w:vAlign w:val="bottom"/>
          </w:tcPr>
          <w:p>
            <w:pPr>
              <w:ind w:left="140"/>
              <w:spacing w:after="0"/>
              <w:rPr>
                <w:sz w:val="20"/>
                <w:szCs w:val="20"/>
                <w:color w:val="auto"/>
              </w:rPr>
            </w:pPr>
            <w:r>
              <w:rPr>
                <w:rFonts w:ascii="Arial" w:cs="Arial" w:eastAsia="Arial" w:hAnsi="Arial"/>
                <w:sz w:val="10"/>
                <w:szCs w:val="10"/>
                <w:color w:val="auto"/>
              </w:rPr>
              <w:t>(1,578)</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Marketable securities sold</w:t>
            </w:r>
          </w:p>
        </w:tc>
        <w:tc>
          <w:tcPr>
            <w:tcW w:w="560" w:type="dxa"/>
            <w:vAlign w:val="bottom"/>
          </w:tcPr>
          <w:p>
            <w:pPr>
              <w:ind w:left="60"/>
              <w:spacing w:after="0"/>
              <w:rPr>
                <w:sz w:val="20"/>
                <w:szCs w:val="20"/>
                <w:color w:val="auto"/>
              </w:rPr>
            </w:pPr>
            <w:r>
              <w:rPr>
                <w:rFonts w:ascii="Arial" w:cs="Arial" w:eastAsia="Arial" w:hAnsi="Arial"/>
                <w:sz w:val="10"/>
                <w:szCs w:val="10"/>
                <w:color w:val="auto"/>
              </w:rPr>
              <w:t>4.3, 4.4</w:t>
            </w:r>
          </w:p>
        </w:tc>
        <w:tc>
          <w:tcPr>
            <w:tcW w:w="660" w:type="dxa"/>
            <w:vAlign w:val="bottom"/>
          </w:tcPr>
          <w:p>
            <w:pPr>
              <w:ind w:left="160"/>
              <w:spacing w:after="0"/>
              <w:rPr>
                <w:sz w:val="20"/>
                <w:szCs w:val="20"/>
                <w:color w:val="auto"/>
              </w:rPr>
            </w:pPr>
            <w:r>
              <w:rPr>
                <w:rFonts w:ascii="Arial" w:cs="Arial" w:eastAsia="Arial" w:hAnsi="Arial"/>
                <w:sz w:val="10"/>
                <w:szCs w:val="10"/>
                <w:color w:val="691A6B"/>
              </w:rPr>
              <w:t>2,622</w:t>
            </w:r>
          </w:p>
        </w:tc>
        <w:tc>
          <w:tcPr>
            <w:tcW w:w="680" w:type="dxa"/>
            <w:vAlign w:val="bottom"/>
          </w:tcPr>
          <w:p>
            <w:pPr>
              <w:ind w:left="160"/>
              <w:spacing w:after="0"/>
              <w:rPr>
                <w:sz w:val="20"/>
                <w:szCs w:val="20"/>
                <w:color w:val="auto"/>
              </w:rPr>
            </w:pPr>
            <w:r>
              <w:rPr>
                <w:rFonts w:ascii="Arial" w:cs="Arial" w:eastAsia="Arial" w:hAnsi="Arial"/>
                <w:sz w:val="10"/>
                <w:szCs w:val="10"/>
                <w:color w:val="auto"/>
              </w:rPr>
              <w:t>1,636</w:t>
            </w:r>
          </w:p>
        </w:tc>
        <w:tc>
          <w:tcPr>
            <w:tcW w:w="780" w:type="dxa"/>
            <w:vAlign w:val="bottom"/>
          </w:tcPr>
          <w:p>
            <w:pPr>
              <w:ind w:left="140"/>
              <w:spacing w:after="0"/>
              <w:rPr>
                <w:sz w:val="20"/>
                <w:szCs w:val="20"/>
                <w:color w:val="auto"/>
              </w:rPr>
            </w:pPr>
            <w:r>
              <w:rPr>
                <w:rFonts w:ascii="Arial" w:cs="Arial" w:eastAsia="Arial" w:hAnsi="Arial"/>
                <w:sz w:val="10"/>
                <w:szCs w:val="10"/>
                <w:color w:val="auto"/>
              </w:rPr>
              <w:t>1,451</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Other investments bought</w:t>
            </w:r>
          </w:p>
        </w:tc>
        <w:tc>
          <w:tcPr>
            <w:tcW w:w="560" w:type="dxa"/>
            <w:vAlign w:val="bottom"/>
          </w:tcPr>
          <w:p>
            <w:pPr>
              <w:ind w:left="60"/>
              <w:spacing w:after="0"/>
              <w:rPr>
                <w:sz w:val="20"/>
                <w:szCs w:val="20"/>
                <w:color w:val="auto"/>
              </w:rPr>
            </w:pPr>
            <w:r>
              <w:rPr>
                <w:rFonts w:ascii="Arial" w:cs="Arial" w:eastAsia="Arial" w:hAnsi="Arial"/>
                <w:sz w:val="10"/>
                <w:szCs w:val="10"/>
                <w:color w:val="auto"/>
              </w:rPr>
              <w:t>3.4</w:t>
            </w:r>
          </w:p>
        </w:tc>
        <w:tc>
          <w:tcPr>
            <w:tcW w:w="660" w:type="dxa"/>
            <w:vAlign w:val="bottom"/>
          </w:tcPr>
          <w:p>
            <w:pPr>
              <w:ind w:left="160"/>
              <w:spacing w:after="0"/>
              <w:rPr>
                <w:sz w:val="20"/>
                <w:szCs w:val="20"/>
                <w:color w:val="auto"/>
              </w:rPr>
            </w:pPr>
            <w:r>
              <w:rPr>
                <w:rFonts w:ascii="Arial" w:cs="Arial" w:eastAsia="Arial" w:hAnsi="Arial"/>
                <w:sz w:val="10"/>
                <w:szCs w:val="10"/>
                <w:color w:val="691A6B"/>
              </w:rPr>
              <w:t>(4)</w:t>
            </w:r>
          </w:p>
        </w:tc>
        <w:tc>
          <w:tcPr>
            <w:tcW w:w="680" w:type="dxa"/>
            <w:vAlign w:val="bottom"/>
          </w:tcPr>
          <w:p>
            <w:pPr>
              <w:ind w:left="160"/>
              <w:spacing w:after="0"/>
              <w:rPr>
                <w:sz w:val="20"/>
                <w:szCs w:val="20"/>
                <w:color w:val="auto"/>
              </w:rPr>
            </w:pPr>
            <w:r>
              <w:rPr>
                <w:rFonts w:ascii="Arial" w:cs="Arial" w:eastAsia="Arial" w:hAnsi="Arial"/>
                <w:sz w:val="10"/>
                <w:szCs w:val="10"/>
                <w:color w:val="auto"/>
              </w:rPr>
              <w:t>(8)</w:t>
            </w:r>
          </w:p>
        </w:tc>
        <w:tc>
          <w:tcPr>
            <w:tcW w:w="780" w:type="dxa"/>
            <w:vAlign w:val="bottom"/>
          </w:tcPr>
          <w:p>
            <w:pPr>
              <w:ind w:left="140"/>
              <w:spacing w:after="0"/>
              <w:rPr>
                <w:sz w:val="20"/>
                <w:szCs w:val="20"/>
                <w:color w:val="auto"/>
              </w:rPr>
            </w:pPr>
            <w:r>
              <w:rPr>
                <w:rFonts w:ascii="Arial" w:cs="Arial" w:eastAsia="Arial" w:hAnsi="Arial"/>
                <w:sz w:val="10"/>
                <w:szCs w:val="10"/>
                <w:color w:val="auto"/>
              </w:rPr>
              <w:t>(4)</w:t>
            </w:r>
          </w:p>
        </w:tc>
      </w:tr>
      <w:tr>
        <w:trPr>
          <w:trHeight w:val="158"/>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Net cash (used in) investing activities</w:t>
            </w:r>
          </w:p>
        </w:tc>
        <w:tc>
          <w:tcPr>
            <w:tcW w:w="5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0"/>
                <w:szCs w:val="10"/>
                <w:b w:val="1"/>
                <w:bCs w:val="1"/>
                <w:color w:val="691A6B"/>
              </w:rPr>
              <w:t>(5,643)</w:t>
            </w:r>
          </w:p>
        </w:tc>
        <w:tc>
          <w:tcPr>
            <w:tcW w:w="680" w:type="dxa"/>
            <w:vAlign w:val="bottom"/>
          </w:tcPr>
          <w:p>
            <w:pPr>
              <w:ind w:left="160"/>
              <w:spacing w:after="0"/>
              <w:rPr>
                <w:sz w:val="20"/>
                <w:szCs w:val="20"/>
                <w:color w:val="auto"/>
              </w:rPr>
            </w:pPr>
            <w:r>
              <w:rPr>
                <w:rFonts w:ascii="Arial" w:cs="Arial" w:eastAsia="Arial" w:hAnsi="Arial"/>
                <w:sz w:val="10"/>
                <w:szCs w:val="10"/>
                <w:b w:val="1"/>
                <w:bCs w:val="1"/>
                <w:color w:val="auto"/>
              </w:rPr>
              <w:t>(1,447)</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(185)</w:t>
            </w:r>
          </w:p>
        </w:tc>
      </w:tr>
      <w:tr>
        <w:trPr>
          <w:trHeight w:val="219"/>
        </w:trPr>
        <w:tc>
          <w:tcPr>
            <w:tcW w:w="2220" w:type="dxa"/>
            <w:vAlign w:val="bottom"/>
            <w:tcBorders>
              <w:bottom w:val="single" w:sz="8" w:color="691A6B"/>
            </w:tcBorders>
          </w:tcPr>
          <w:p>
            <w:pPr>
              <w:spacing w:after="0"/>
              <w:rPr>
                <w:sz w:val="19"/>
                <w:szCs w:val="19"/>
                <w:color w:val="auto"/>
              </w:rPr>
            </w:pPr>
          </w:p>
        </w:tc>
        <w:tc>
          <w:tcPr>
            <w:tcW w:w="560" w:type="dxa"/>
            <w:vAlign w:val="bottom"/>
            <w:tcBorders>
              <w:bottom w:val="single" w:sz="8" w:color="691A6B"/>
            </w:tcBorders>
          </w:tcPr>
          <w:p>
            <w:pPr>
              <w:spacing w:after="0"/>
              <w:rPr>
                <w:sz w:val="19"/>
                <w:szCs w:val="19"/>
                <w:color w:val="auto"/>
              </w:rPr>
            </w:pPr>
          </w:p>
        </w:tc>
        <w:tc>
          <w:tcPr>
            <w:tcW w:w="660" w:type="dxa"/>
            <w:vAlign w:val="bottom"/>
            <w:tcBorders>
              <w:bottom w:val="single" w:sz="8" w:color="691A6B"/>
            </w:tcBorders>
          </w:tcPr>
          <w:p>
            <w:pPr>
              <w:spacing w:after="0"/>
              <w:rPr>
                <w:sz w:val="19"/>
                <w:szCs w:val="19"/>
                <w:color w:val="auto"/>
              </w:rPr>
            </w:pPr>
          </w:p>
        </w:tc>
        <w:tc>
          <w:tcPr>
            <w:tcW w:w="680" w:type="dxa"/>
            <w:vAlign w:val="bottom"/>
            <w:tcBorders>
              <w:bottom w:val="single" w:sz="8" w:color="691A6B"/>
            </w:tcBorders>
          </w:tcPr>
          <w:p>
            <w:pPr>
              <w:spacing w:after="0"/>
              <w:rPr>
                <w:sz w:val="19"/>
                <w:szCs w:val="19"/>
                <w:color w:val="auto"/>
              </w:rPr>
            </w:pPr>
          </w:p>
        </w:tc>
        <w:tc>
          <w:tcPr>
            <w:tcW w:w="780" w:type="dxa"/>
            <w:vAlign w:val="bottom"/>
            <w:tcBorders>
              <w:bottom w:val="single" w:sz="8" w:color="691A6B"/>
            </w:tcBorders>
          </w:tcPr>
          <w:p>
            <w:pPr>
              <w:spacing w:after="0"/>
              <w:rPr>
                <w:sz w:val="19"/>
                <w:szCs w:val="19"/>
                <w:color w:val="auto"/>
              </w:rPr>
            </w:pPr>
          </w:p>
        </w:tc>
      </w:tr>
      <w:tr>
        <w:trPr>
          <w:trHeight w:val="95"/>
        </w:trPr>
        <w:tc>
          <w:tcPr>
            <w:tcW w:w="2220" w:type="dxa"/>
            <w:vAlign w:val="bottom"/>
          </w:tcPr>
          <w:p>
            <w:pPr>
              <w:spacing w:after="0"/>
              <w:rPr>
                <w:sz w:val="8"/>
                <w:szCs w:val="8"/>
                <w:color w:val="auto"/>
              </w:rPr>
            </w:pPr>
          </w:p>
        </w:tc>
        <w:tc>
          <w:tcPr>
            <w:tcW w:w="5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Note</w:t>
            </w:r>
          </w:p>
        </w:tc>
        <w:tc>
          <w:tcPr>
            <w:tcW w:w="660" w:type="dxa"/>
            <w:vAlign w:val="bottom"/>
          </w:tcPr>
          <w:p>
            <w:pPr>
              <w:ind w:left="160"/>
              <w:spacing w:after="0" w:line="95" w:lineRule="exact"/>
              <w:rPr>
                <w:sz w:val="20"/>
                <w:szCs w:val="20"/>
                <w:color w:val="auto"/>
              </w:rPr>
            </w:pPr>
            <w:r>
              <w:rPr>
                <w:rFonts w:ascii="Arial" w:cs="Arial" w:eastAsia="Arial" w:hAnsi="Arial"/>
                <w:sz w:val="10"/>
                <w:szCs w:val="10"/>
                <w:b w:val="1"/>
                <w:bCs w:val="1"/>
                <w:color w:val="691A6B"/>
              </w:rPr>
              <w:t>2025</w:t>
            </w:r>
          </w:p>
        </w:tc>
        <w:tc>
          <w:tcPr>
            <w:tcW w:w="680" w:type="dxa"/>
            <w:vAlign w:val="bottom"/>
          </w:tcPr>
          <w:p>
            <w:pPr>
              <w:ind w:left="160"/>
              <w:spacing w:after="0" w:line="95" w:lineRule="exact"/>
              <w:rPr>
                <w:sz w:val="20"/>
                <w:szCs w:val="20"/>
                <w:color w:val="auto"/>
              </w:rPr>
            </w:pPr>
            <w:r>
              <w:rPr>
                <w:rFonts w:ascii="Arial" w:cs="Arial" w:eastAsia="Arial" w:hAnsi="Arial"/>
                <w:sz w:val="10"/>
                <w:szCs w:val="10"/>
                <w:b w:val="1"/>
                <w:bCs w:val="1"/>
                <w:color w:val="auto"/>
              </w:rPr>
              <w:t>2024¹</w:t>
            </w:r>
          </w:p>
        </w:tc>
        <w:tc>
          <w:tcPr>
            <w:tcW w:w="780" w:type="dxa"/>
            <w:vAlign w:val="bottom"/>
          </w:tcPr>
          <w:p>
            <w:pPr>
              <w:ind w:left="140"/>
              <w:spacing w:after="0" w:line="95" w:lineRule="exact"/>
              <w:rPr>
                <w:sz w:val="20"/>
                <w:szCs w:val="20"/>
                <w:color w:val="auto"/>
              </w:rPr>
            </w:pPr>
            <w:r>
              <w:rPr>
                <w:rFonts w:ascii="Arial" w:cs="Arial" w:eastAsia="Arial" w:hAnsi="Arial"/>
                <w:sz w:val="10"/>
                <w:szCs w:val="10"/>
                <w:b w:val="1"/>
                <w:bCs w:val="1"/>
                <w:color w:val="auto"/>
              </w:rPr>
              <w:t>2023¹</w:t>
            </w:r>
          </w:p>
        </w:tc>
      </w:tr>
      <w:tr>
        <w:trPr>
          <w:trHeight w:val="128"/>
        </w:trPr>
        <w:tc>
          <w:tcPr>
            <w:tcW w:w="2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60"/>
              <w:spacing w:after="0"/>
              <w:rPr>
                <w:sz w:val="20"/>
                <w:szCs w:val="20"/>
                <w:color w:val="auto"/>
              </w:rPr>
            </w:pPr>
            <w:r>
              <w:rPr>
                <w:rFonts w:ascii="Arial" w:cs="Arial" w:eastAsia="Arial" w:hAnsi="Arial"/>
                <w:sz w:val="10"/>
                <w:szCs w:val="10"/>
                <w:b w:val="1"/>
                <w:bCs w:val="1"/>
                <w:color w:val="auto"/>
              </w:rPr>
              <w:t>Restated</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Restated</w:t>
            </w:r>
          </w:p>
        </w:tc>
      </w:tr>
      <w:tr>
        <w:trPr>
          <w:trHeight w:val="156"/>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6"/>
        </w:trPr>
        <w:tc>
          <w:tcPr>
            <w:tcW w:w="2220" w:type="dxa"/>
            <w:vAlign w:val="bottom"/>
          </w:tcPr>
          <w:p>
            <w:pPr>
              <w:ind w:left="20"/>
              <w:spacing w:after="0"/>
              <w:rPr>
                <w:sz w:val="20"/>
                <w:szCs w:val="20"/>
                <w:color w:val="auto"/>
              </w:rPr>
            </w:pPr>
            <w:r>
              <w:rPr>
                <w:rFonts w:ascii="Arial" w:cs="Arial" w:eastAsia="Arial" w:hAnsi="Arial"/>
                <w:sz w:val="10"/>
                <w:szCs w:val="10"/>
                <w:color w:val="auto"/>
              </w:rPr>
              <w:t>Warrants exercised</w:t>
            </w:r>
          </w:p>
        </w:tc>
        <w:tc>
          <w:tcPr>
            <w:tcW w:w="560" w:type="dxa"/>
            <w:vAlign w:val="bottom"/>
          </w:tcPr>
          <w:p>
            <w:pPr>
              <w:ind w:left="60"/>
              <w:spacing w:after="0"/>
              <w:rPr>
                <w:sz w:val="20"/>
                <w:szCs w:val="20"/>
                <w:color w:val="auto"/>
              </w:rPr>
            </w:pPr>
            <w:r>
              <w:rPr>
                <w:rFonts w:ascii="Arial" w:cs="Arial" w:eastAsia="Arial" w:hAnsi="Arial"/>
                <w:sz w:val="10"/>
                <w:szCs w:val="10"/>
                <w:color w:val="auto"/>
              </w:rPr>
              <w:t>4.6, 4.7</w:t>
            </w:r>
          </w:p>
        </w:tc>
        <w:tc>
          <w:tcPr>
            <w:tcW w:w="660" w:type="dxa"/>
            <w:vAlign w:val="bottom"/>
          </w:tcPr>
          <w:p>
            <w:pPr>
              <w:ind w:left="160"/>
              <w:spacing w:after="0"/>
              <w:rPr>
                <w:sz w:val="20"/>
                <w:szCs w:val="20"/>
                <w:color w:val="auto"/>
              </w:rPr>
            </w:pPr>
            <w:r>
              <w:rPr>
                <w:rFonts w:ascii="Arial" w:cs="Arial" w:eastAsia="Arial" w:hAnsi="Arial"/>
                <w:sz w:val="10"/>
                <w:szCs w:val="10"/>
                <w:color w:val="691A6B"/>
              </w:rPr>
              <w:t>23</w:t>
            </w:r>
          </w:p>
        </w:tc>
        <w:tc>
          <w:tcPr>
            <w:tcW w:w="680" w:type="dxa"/>
            <w:vAlign w:val="bottom"/>
          </w:tcPr>
          <w:p>
            <w:pPr>
              <w:ind w:left="160"/>
              <w:spacing w:after="0"/>
              <w:rPr>
                <w:sz w:val="20"/>
                <w:szCs w:val="20"/>
                <w:color w:val="auto"/>
              </w:rPr>
            </w:pPr>
            <w:r>
              <w:rPr>
                <w:rFonts w:ascii="Arial" w:cs="Arial" w:eastAsia="Arial" w:hAnsi="Arial"/>
                <w:sz w:val="10"/>
                <w:szCs w:val="10"/>
                <w:color w:val="auto"/>
              </w:rPr>
              <w:t>19</w:t>
            </w:r>
          </w:p>
        </w:tc>
        <w:tc>
          <w:tcPr>
            <w:tcW w:w="780" w:type="dxa"/>
            <w:vAlign w:val="bottom"/>
          </w:tcPr>
          <w:p>
            <w:pPr>
              <w:ind w:left="140"/>
              <w:spacing w:after="0"/>
              <w:rPr>
                <w:sz w:val="20"/>
                <w:szCs w:val="20"/>
                <w:color w:val="auto"/>
              </w:rPr>
            </w:pPr>
            <w:r>
              <w:rPr>
                <w:rFonts w:ascii="Arial" w:cs="Arial" w:eastAsia="Arial" w:hAnsi="Arial"/>
                <w:sz w:val="10"/>
                <w:szCs w:val="10"/>
                <w:color w:val="auto"/>
              </w:rPr>
              <w:t>21</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Principal elements of lease payments</w:t>
            </w:r>
          </w:p>
        </w:tc>
        <w:tc>
          <w:tcPr>
            <w:tcW w:w="560" w:type="dxa"/>
            <w:vAlign w:val="bottom"/>
          </w:tcPr>
          <w:p>
            <w:pPr>
              <w:ind w:left="60"/>
              <w:spacing w:after="0"/>
              <w:rPr>
                <w:sz w:val="20"/>
                <w:szCs w:val="20"/>
                <w:color w:val="auto"/>
              </w:rPr>
            </w:pPr>
            <w:r>
              <w:rPr>
                <w:rFonts w:ascii="Arial" w:cs="Arial" w:eastAsia="Arial" w:hAnsi="Arial"/>
                <w:sz w:val="10"/>
                <w:szCs w:val="10"/>
                <w:color w:val="auto"/>
              </w:rPr>
              <w:t>3.3</w:t>
            </w:r>
          </w:p>
        </w:tc>
        <w:tc>
          <w:tcPr>
            <w:tcW w:w="660" w:type="dxa"/>
            <w:vAlign w:val="bottom"/>
          </w:tcPr>
          <w:p>
            <w:pPr>
              <w:ind w:left="160"/>
              <w:spacing w:after="0"/>
              <w:rPr>
                <w:sz w:val="20"/>
                <w:szCs w:val="20"/>
                <w:color w:val="auto"/>
              </w:rPr>
            </w:pPr>
            <w:r>
              <w:rPr>
                <w:rFonts w:ascii="Arial" w:cs="Arial" w:eastAsia="Arial" w:hAnsi="Arial"/>
                <w:sz w:val="10"/>
                <w:szCs w:val="10"/>
                <w:color w:val="691A6B"/>
              </w:rPr>
              <w:t>(13)</w:t>
            </w:r>
          </w:p>
        </w:tc>
        <w:tc>
          <w:tcPr>
            <w:tcW w:w="680" w:type="dxa"/>
            <w:vAlign w:val="bottom"/>
          </w:tcPr>
          <w:p>
            <w:pPr>
              <w:ind w:left="160"/>
              <w:spacing w:after="0"/>
              <w:rPr>
                <w:sz w:val="20"/>
                <w:szCs w:val="20"/>
                <w:color w:val="auto"/>
              </w:rPr>
            </w:pPr>
            <w:r>
              <w:rPr>
                <w:rFonts w:ascii="Arial" w:cs="Arial" w:eastAsia="Arial" w:hAnsi="Arial"/>
                <w:sz w:val="10"/>
                <w:szCs w:val="10"/>
                <w:color w:val="auto"/>
              </w:rPr>
              <w:t>(9)</w:t>
            </w:r>
          </w:p>
        </w:tc>
        <w:tc>
          <w:tcPr>
            <w:tcW w:w="780" w:type="dxa"/>
            <w:vAlign w:val="bottom"/>
          </w:tcPr>
          <w:p>
            <w:pPr>
              <w:ind w:left="140"/>
              <w:spacing w:after="0"/>
              <w:rPr>
                <w:sz w:val="20"/>
                <w:szCs w:val="20"/>
                <w:color w:val="auto"/>
              </w:rPr>
            </w:pPr>
            <w:r>
              <w:rPr>
                <w:rFonts w:ascii="Arial" w:cs="Arial" w:eastAsia="Arial" w:hAnsi="Arial"/>
                <w:sz w:val="10"/>
                <w:szCs w:val="10"/>
                <w:color w:val="auto"/>
              </w:rPr>
              <w:t>(14)</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Purchase of treasury shares</w:t>
            </w:r>
          </w:p>
        </w:tc>
        <w:tc>
          <w:tcPr>
            <w:tcW w:w="560" w:type="dxa"/>
            <w:vAlign w:val="bottom"/>
          </w:tcPr>
          <w:p>
            <w:pPr>
              <w:ind w:left="60"/>
              <w:spacing w:after="0"/>
              <w:rPr>
                <w:sz w:val="20"/>
                <w:szCs w:val="20"/>
                <w:color w:val="auto"/>
              </w:rPr>
            </w:pPr>
            <w:r>
              <w:rPr>
                <w:rFonts w:ascii="Arial" w:cs="Arial" w:eastAsia="Arial" w:hAnsi="Arial"/>
                <w:sz w:val="10"/>
                <w:szCs w:val="10"/>
                <w:color w:val="auto"/>
              </w:rPr>
              <w:t>4.7</w:t>
            </w:r>
          </w:p>
        </w:tc>
        <w:tc>
          <w:tcPr>
            <w:tcW w:w="660" w:type="dxa"/>
            <w:vAlign w:val="bottom"/>
          </w:tcPr>
          <w:p>
            <w:pPr>
              <w:ind w:left="160"/>
              <w:spacing w:after="0"/>
              <w:rPr>
                <w:sz w:val="20"/>
                <w:szCs w:val="20"/>
                <w:color w:val="auto"/>
              </w:rPr>
            </w:pPr>
            <w:r>
              <w:rPr>
                <w:rFonts w:ascii="Arial" w:cs="Arial" w:eastAsia="Arial" w:hAnsi="Arial"/>
                <w:sz w:val="10"/>
                <w:szCs w:val="10"/>
                <w:color w:val="691A6B"/>
              </w:rPr>
              <w:t>(430)</w:t>
            </w:r>
          </w:p>
        </w:tc>
        <w:tc>
          <w:tcPr>
            <w:tcW w:w="680" w:type="dxa"/>
            <w:vAlign w:val="bottom"/>
          </w:tcPr>
          <w:p>
            <w:pPr>
              <w:ind w:left="160"/>
              <w:spacing w:after="0"/>
              <w:rPr>
                <w:sz w:val="20"/>
                <w:szCs w:val="20"/>
                <w:color w:val="auto"/>
              </w:rPr>
            </w:pPr>
            <w:r>
              <w:rPr>
                <w:rFonts w:ascii="Arial" w:cs="Arial" w:eastAsia="Arial" w:hAnsi="Arial"/>
                <w:sz w:val="10"/>
                <w:szCs w:val="10"/>
                <w:color w:val="auto"/>
              </w:rPr>
              <w:t>(560)</w:t>
            </w:r>
          </w:p>
        </w:tc>
        <w:tc>
          <w:tcPr>
            <w:tcW w:w="780" w:type="dxa"/>
            <w:vAlign w:val="bottom"/>
          </w:tcPr>
          <w:p>
            <w:pPr>
              <w:ind w:left="140"/>
              <w:spacing w:after="0"/>
              <w:rPr>
                <w:sz w:val="20"/>
                <w:szCs w:val="20"/>
                <w:color w:val="auto"/>
              </w:rPr>
            </w:pPr>
            <w:r>
              <w:rPr>
                <w:rFonts w:ascii="Arial" w:cs="Arial" w:eastAsia="Arial" w:hAnsi="Arial"/>
                <w:sz w:val="10"/>
                <w:szCs w:val="10"/>
                <w:color w:val="auto"/>
              </w:rPr>
              <w:t>(81)</w:t>
            </w:r>
          </w:p>
        </w:tc>
      </w:tr>
      <w:tr>
        <w:trPr>
          <w:trHeight w:val="120"/>
        </w:trPr>
        <w:tc>
          <w:tcPr>
            <w:tcW w:w="2220" w:type="dxa"/>
            <w:vAlign w:val="bottom"/>
          </w:tcPr>
          <w:p>
            <w:pPr>
              <w:ind w:left="20"/>
              <w:spacing w:after="0"/>
              <w:rPr>
                <w:sz w:val="20"/>
                <w:szCs w:val="20"/>
                <w:color w:val="auto"/>
              </w:rPr>
            </w:pPr>
            <w:r>
              <w:rPr>
                <w:rFonts w:ascii="Arial" w:cs="Arial" w:eastAsia="Arial" w:hAnsi="Arial"/>
                <w:sz w:val="10"/>
                <w:szCs w:val="10"/>
                <w:color w:val="auto"/>
              </w:rPr>
              <w:t>Payment of withholding taxes on behalf of</w:t>
            </w:r>
          </w:p>
        </w:tc>
        <w:tc>
          <w:tcPr>
            <w:tcW w:w="560" w:type="dxa"/>
            <w:vAlign w:val="bottom"/>
          </w:tcPr>
          <w:p>
            <w:pPr>
              <w:spacing w:after="0"/>
              <w:rPr>
                <w:sz w:val="10"/>
                <w:szCs w:val="10"/>
                <w:color w:val="auto"/>
              </w:rPr>
            </w:pPr>
          </w:p>
        </w:tc>
        <w:tc>
          <w:tcPr>
            <w:tcW w:w="660" w:type="dxa"/>
            <w:vAlign w:val="bottom"/>
          </w:tcPr>
          <w:p>
            <w:pPr>
              <w:ind w:left="160"/>
              <w:spacing w:after="0"/>
              <w:rPr>
                <w:sz w:val="20"/>
                <w:szCs w:val="20"/>
                <w:color w:val="auto"/>
              </w:rPr>
            </w:pPr>
            <w:r>
              <w:rPr>
                <w:rFonts w:ascii="Arial" w:cs="Arial" w:eastAsia="Arial" w:hAnsi="Arial"/>
                <w:sz w:val="10"/>
                <w:szCs w:val="10"/>
                <w:color w:val="691A6B"/>
              </w:rPr>
              <w:t>(18)</w:t>
            </w:r>
          </w:p>
        </w:tc>
        <w:tc>
          <w:tcPr>
            <w:tcW w:w="680" w:type="dxa"/>
            <w:vAlign w:val="bottom"/>
          </w:tcPr>
          <w:p>
            <w:pPr>
              <w:ind w:left="160"/>
              <w:spacing w:after="0"/>
              <w:rPr>
                <w:sz w:val="20"/>
                <w:szCs w:val="20"/>
                <w:color w:val="auto"/>
              </w:rPr>
            </w:pPr>
            <w:r>
              <w:rPr>
                <w:rFonts w:ascii="Arial" w:cs="Arial" w:eastAsia="Arial" w:hAnsi="Arial"/>
                <w:sz w:val="10"/>
                <w:szCs w:val="10"/>
                <w:color w:val="auto"/>
              </w:rPr>
              <w:t>(16)</w:t>
            </w:r>
          </w:p>
        </w:tc>
        <w:tc>
          <w:tcPr>
            <w:tcW w:w="780" w:type="dxa"/>
            <w:vAlign w:val="bottom"/>
          </w:tcPr>
          <w:p>
            <w:pPr>
              <w:ind w:left="140"/>
              <w:spacing w:after="0"/>
              <w:rPr>
                <w:sz w:val="20"/>
                <w:szCs w:val="20"/>
                <w:color w:val="auto"/>
              </w:rPr>
            </w:pPr>
            <w:r>
              <w:rPr>
                <w:rFonts w:ascii="Arial" w:cs="Arial" w:eastAsia="Arial" w:hAnsi="Arial"/>
                <w:sz w:val="10"/>
                <w:szCs w:val="10"/>
                <w:color w:val="auto"/>
              </w:rPr>
              <w:t>(15)</w:t>
            </w:r>
          </w:p>
        </w:tc>
      </w:tr>
      <w:tr>
        <w:trPr>
          <w:trHeight w:val="137"/>
        </w:trPr>
        <w:tc>
          <w:tcPr>
            <w:tcW w:w="2220" w:type="dxa"/>
            <w:vAlign w:val="bottom"/>
          </w:tcPr>
          <w:p>
            <w:pPr>
              <w:ind w:left="20"/>
              <w:spacing w:after="0"/>
              <w:rPr>
                <w:sz w:val="20"/>
                <w:szCs w:val="20"/>
                <w:color w:val="auto"/>
              </w:rPr>
            </w:pPr>
            <w:r>
              <w:rPr>
                <w:rFonts w:ascii="Arial" w:cs="Arial" w:eastAsia="Arial" w:hAnsi="Arial"/>
                <w:sz w:val="10"/>
                <w:szCs w:val="10"/>
                <w:color w:val="auto"/>
              </w:rPr>
              <w:t>employees on net settled RSUs</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0"/>
                <w:szCs w:val="10"/>
                <w:color w:val="auto"/>
              </w:rPr>
              <w:t>Proceeds from issuance of borrowings</w:t>
            </w:r>
          </w:p>
        </w:tc>
        <w:tc>
          <w:tcPr>
            <w:tcW w:w="560" w:type="dxa"/>
            <w:vAlign w:val="bottom"/>
          </w:tcPr>
          <w:p>
            <w:pPr>
              <w:ind w:left="60"/>
              <w:spacing w:after="0"/>
              <w:rPr>
                <w:sz w:val="20"/>
                <w:szCs w:val="20"/>
                <w:color w:val="auto"/>
              </w:rPr>
            </w:pPr>
            <w:r>
              <w:rPr>
                <w:rFonts w:ascii="Arial" w:cs="Arial" w:eastAsia="Arial" w:hAnsi="Arial"/>
                <w:sz w:val="10"/>
                <w:szCs w:val="10"/>
                <w:color w:val="auto"/>
              </w:rPr>
              <w:t>4.8</w:t>
            </w:r>
          </w:p>
        </w:tc>
        <w:tc>
          <w:tcPr>
            <w:tcW w:w="660" w:type="dxa"/>
            <w:vAlign w:val="bottom"/>
          </w:tcPr>
          <w:p>
            <w:pPr>
              <w:ind w:left="160"/>
              <w:spacing w:after="0"/>
              <w:rPr>
                <w:sz w:val="20"/>
                <w:szCs w:val="20"/>
                <w:color w:val="auto"/>
              </w:rPr>
            </w:pPr>
            <w:r>
              <w:rPr>
                <w:rFonts w:ascii="Arial" w:cs="Arial" w:eastAsia="Arial" w:hAnsi="Arial"/>
                <w:sz w:val="10"/>
                <w:szCs w:val="10"/>
                <w:color w:val="691A6B"/>
              </w:rPr>
              <w:t>5,500</w:t>
            </w:r>
          </w:p>
        </w:tc>
        <w:tc>
          <w:tcPr>
            <w:tcW w:w="680" w:type="dxa"/>
            <w:vAlign w:val="bottom"/>
          </w:tcPr>
          <w:p>
            <w:pPr>
              <w:ind w:left="160"/>
              <w:spacing w:after="0"/>
              <w:rPr>
                <w:sz w:val="20"/>
                <w:szCs w:val="20"/>
                <w:color w:val="auto"/>
              </w:rPr>
            </w:pPr>
            <w:r>
              <w:rPr>
                <w:rFonts w:ascii="Arial" w:cs="Arial" w:eastAsia="Arial" w:hAnsi="Arial"/>
                <w:sz w:val="10"/>
                <w:szCs w:val="10"/>
                <w:color w:val="auto"/>
              </w:rPr>
              <w:t>—</w:t>
            </w:r>
          </w:p>
        </w:tc>
        <w:tc>
          <w:tcPr>
            <w:tcW w:w="780" w:type="dxa"/>
            <w:vAlign w:val="bottom"/>
          </w:tcPr>
          <w:p>
            <w:pPr>
              <w:ind w:left="140"/>
              <w:spacing w:after="0"/>
              <w:rPr>
                <w:sz w:val="20"/>
                <w:szCs w:val="20"/>
                <w:color w:val="auto"/>
              </w:rPr>
            </w:pPr>
            <w:r>
              <w:rPr>
                <w:rFonts w:ascii="Arial" w:cs="Arial" w:eastAsia="Arial" w:hAnsi="Arial"/>
                <w:sz w:val="10"/>
                <w:szCs w:val="10"/>
                <w:color w:val="auto"/>
              </w:rPr>
              <w:t>—</w:t>
            </w:r>
          </w:p>
        </w:tc>
      </w:tr>
      <w:tr>
        <w:trPr>
          <w:trHeight w:val="152"/>
        </w:trPr>
        <w:tc>
          <w:tcPr>
            <w:tcW w:w="2220" w:type="dxa"/>
            <w:vAlign w:val="bottom"/>
          </w:tcPr>
          <w:p>
            <w:pPr>
              <w:ind w:left="20"/>
              <w:spacing w:after="0"/>
              <w:rPr>
                <w:sz w:val="20"/>
                <w:szCs w:val="20"/>
                <w:color w:val="auto"/>
              </w:rPr>
            </w:pPr>
            <w:r>
              <w:rPr>
                <w:rFonts w:ascii="Arial" w:cs="Arial" w:eastAsia="Arial" w:hAnsi="Arial"/>
                <w:sz w:val="10"/>
                <w:szCs w:val="10"/>
                <w:color w:val="auto"/>
              </w:rPr>
              <w:t>Debt issuance costs paid</w:t>
            </w:r>
          </w:p>
        </w:tc>
        <w:tc>
          <w:tcPr>
            <w:tcW w:w="560" w:type="dxa"/>
            <w:vAlign w:val="bottom"/>
          </w:tcPr>
          <w:p>
            <w:pPr>
              <w:ind w:left="60"/>
              <w:spacing w:after="0"/>
              <w:rPr>
                <w:sz w:val="20"/>
                <w:szCs w:val="20"/>
                <w:color w:val="auto"/>
              </w:rPr>
            </w:pPr>
            <w:r>
              <w:rPr>
                <w:rFonts w:ascii="Arial" w:cs="Arial" w:eastAsia="Arial" w:hAnsi="Arial"/>
                <w:sz w:val="10"/>
                <w:szCs w:val="10"/>
                <w:color w:val="auto"/>
              </w:rPr>
              <w:t>4.8</w:t>
            </w:r>
          </w:p>
        </w:tc>
        <w:tc>
          <w:tcPr>
            <w:tcW w:w="660" w:type="dxa"/>
            <w:vAlign w:val="bottom"/>
          </w:tcPr>
          <w:p>
            <w:pPr>
              <w:ind w:left="160"/>
              <w:spacing w:after="0"/>
              <w:rPr>
                <w:sz w:val="20"/>
                <w:szCs w:val="20"/>
                <w:color w:val="auto"/>
              </w:rPr>
            </w:pPr>
            <w:r>
              <w:rPr>
                <w:rFonts w:ascii="Arial" w:cs="Arial" w:eastAsia="Arial" w:hAnsi="Arial"/>
                <w:sz w:val="10"/>
                <w:szCs w:val="10"/>
                <w:color w:val="691A6B"/>
              </w:rPr>
              <w:t>(273)</w:t>
            </w:r>
          </w:p>
        </w:tc>
        <w:tc>
          <w:tcPr>
            <w:tcW w:w="680" w:type="dxa"/>
            <w:vAlign w:val="bottom"/>
          </w:tcPr>
          <w:p>
            <w:pPr>
              <w:ind w:left="160"/>
              <w:spacing w:after="0"/>
              <w:rPr>
                <w:sz w:val="20"/>
                <w:szCs w:val="20"/>
                <w:color w:val="auto"/>
              </w:rPr>
            </w:pPr>
            <w:r>
              <w:rPr>
                <w:rFonts w:ascii="Arial" w:cs="Arial" w:eastAsia="Arial" w:hAnsi="Arial"/>
                <w:sz w:val="10"/>
                <w:szCs w:val="10"/>
                <w:color w:val="auto"/>
              </w:rPr>
              <w:t>—</w:t>
            </w:r>
          </w:p>
        </w:tc>
        <w:tc>
          <w:tcPr>
            <w:tcW w:w="780" w:type="dxa"/>
            <w:vAlign w:val="bottom"/>
          </w:tcPr>
          <w:p>
            <w:pPr>
              <w:ind w:left="140"/>
              <w:spacing w:after="0"/>
              <w:rPr>
                <w:sz w:val="20"/>
                <w:szCs w:val="20"/>
                <w:color w:val="auto"/>
              </w:rPr>
            </w:pPr>
            <w:r>
              <w:rPr>
                <w:rFonts w:ascii="Arial" w:cs="Arial" w:eastAsia="Arial" w:hAnsi="Arial"/>
                <w:sz w:val="10"/>
                <w:szCs w:val="10"/>
                <w:color w:val="auto"/>
              </w:rPr>
              <w:t>—</w:t>
            </w:r>
          </w:p>
        </w:tc>
      </w:tr>
      <w:tr>
        <w:trPr>
          <w:trHeight w:val="121"/>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financing</w:t>
            </w:r>
          </w:p>
        </w:tc>
        <w:tc>
          <w:tcPr>
            <w:tcW w:w="560" w:type="dxa"/>
            <w:vAlign w:val="bottom"/>
          </w:tcPr>
          <w:p>
            <w:pPr>
              <w:spacing w:after="0"/>
              <w:rPr>
                <w:sz w:val="10"/>
                <w:szCs w:val="10"/>
                <w:color w:val="auto"/>
              </w:rPr>
            </w:pPr>
          </w:p>
        </w:tc>
        <w:tc>
          <w:tcPr>
            <w:tcW w:w="660" w:type="dxa"/>
            <w:vAlign w:val="bottom"/>
          </w:tcPr>
          <w:p>
            <w:pPr>
              <w:ind w:left="160"/>
              <w:spacing w:after="0"/>
              <w:rPr>
                <w:sz w:val="20"/>
                <w:szCs w:val="20"/>
                <w:color w:val="auto"/>
              </w:rPr>
            </w:pPr>
            <w:r>
              <w:rPr>
                <w:rFonts w:ascii="Arial" w:cs="Arial" w:eastAsia="Arial" w:hAnsi="Arial"/>
                <w:sz w:val="10"/>
                <w:szCs w:val="10"/>
                <w:b w:val="1"/>
                <w:bCs w:val="1"/>
                <w:color w:val="691A6B"/>
              </w:rPr>
              <w:t>4,789</w:t>
            </w:r>
          </w:p>
        </w:tc>
        <w:tc>
          <w:tcPr>
            <w:tcW w:w="680" w:type="dxa"/>
            <w:vAlign w:val="bottom"/>
          </w:tcPr>
          <w:p>
            <w:pPr>
              <w:ind w:left="160"/>
              <w:spacing w:after="0"/>
              <w:rPr>
                <w:sz w:val="20"/>
                <w:szCs w:val="20"/>
                <w:color w:val="auto"/>
              </w:rPr>
            </w:pPr>
            <w:r>
              <w:rPr>
                <w:rFonts w:ascii="Arial" w:cs="Arial" w:eastAsia="Arial" w:hAnsi="Arial"/>
                <w:sz w:val="10"/>
                <w:szCs w:val="10"/>
                <w:b w:val="1"/>
                <w:bCs w:val="1"/>
                <w:color w:val="auto"/>
              </w:rPr>
              <w:t>(566)</w:t>
            </w: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(89)</w:t>
            </w:r>
          </w:p>
        </w:tc>
      </w:tr>
    </w:tbl>
    <w:p>
      <w:pPr>
        <w:ind w:left="20"/>
        <w:spacing w:after="0"/>
        <w:rPr>
          <w:sz w:val="20"/>
          <w:szCs w:val="20"/>
          <w:color w:val="auto"/>
        </w:rPr>
      </w:pPr>
      <w:r>
        <w:rPr>
          <w:rFonts w:ascii="Arial" w:cs="Arial" w:eastAsia="Arial" w:hAnsi="Arial"/>
          <w:sz w:val="10"/>
          <w:szCs w:val="10"/>
          <w:b w:val="1"/>
          <w:bCs w:val="1"/>
          <w:color w:val="auto"/>
        </w:rPr>
        <w:t>activities</w:t>
      </w:r>
    </w:p>
    <w:p>
      <w:pPr>
        <w:spacing w:after="0" w:line="57"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110</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8" w:lineRule="auto"/>
        <w:rPr>
          <w:sz w:val="20"/>
          <w:szCs w:val="20"/>
          <w:color w:val="auto"/>
        </w:rPr>
      </w:pPr>
      <w:r>
        <w:rPr>
          <w:rFonts w:ascii="Arial" w:cs="Arial" w:eastAsia="Arial" w:hAnsi="Arial"/>
          <w:sz w:val="15"/>
          <w:szCs w:val="15"/>
          <w:b w:val="1"/>
          <w:bCs w:val="1"/>
          <w:color w:val="691A6B"/>
        </w:rPr>
        <w:t>Consolidated Statements of Changes in Equity</w:t>
      </w:r>
    </w:p>
    <w:tbl>
      <w:tblPr>
        <w:tblLayout w:type="fixed"/>
        <w:tblInd w:w="0" w:type="dxa"/>
        <w:tblCellMar>
          <w:top w:w="0" w:type="dxa"/>
          <w:left w:w="0" w:type="dxa"/>
          <w:bottom w:w="0" w:type="dxa"/>
          <w:right w:w="0" w:type="dxa"/>
        </w:tblCellMar>
      </w:tblPr>
      <w:tr>
        <w:trPr>
          <w:trHeight w:val="95"/>
        </w:trPr>
        <w:tc>
          <w:tcPr>
            <w:tcW w:w="1540" w:type="dxa"/>
            <w:vAlign w:val="bottom"/>
            <w:tcBorders>
              <w:top w:val="single" w:sz="8" w:color="691A6B"/>
            </w:tcBorders>
          </w:tcPr>
          <w:p>
            <w:pPr>
              <w:spacing w:after="0"/>
              <w:rPr>
                <w:sz w:val="8"/>
                <w:szCs w:val="8"/>
                <w:color w:val="auto"/>
              </w:rPr>
            </w:pPr>
          </w:p>
        </w:tc>
        <w:tc>
          <w:tcPr>
            <w:tcW w:w="640" w:type="dxa"/>
            <w:vAlign w:val="bottom"/>
            <w:tcBorders>
              <w:top w:val="single" w:sz="8" w:color="691A6B"/>
            </w:tcBorders>
          </w:tcPr>
          <w:p>
            <w:pPr>
              <w:jc w:val="right"/>
              <w:spacing w:after="0" w:line="95" w:lineRule="exact"/>
              <w:rPr>
                <w:sz w:val="20"/>
                <w:szCs w:val="20"/>
                <w:color w:val="auto"/>
              </w:rPr>
            </w:pPr>
            <w:r>
              <w:rPr>
                <w:rFonts w:ascii="Arial" w:cs="Arial" w:eastAsia="Arial" w:hAnsi="Arial"/>
                <w:sz w:val="10"/>
                <w:szCs w:val="10"/>
                <w:b w:val="1"/>
                <w:bCs w:val="1"/>
                <w:color w:val="auto"/>
                <w:w w:val="93"/>
              </w:rPr>
              <w:t>Share capital</w:t>
            </w:r>
          </w:p>
        </w:tc>
        <w:tc>
          <w:tcPr>
            <w:tcW w:w="64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Share</w:t>
            </w:r>
          </w:p>
        </w:tc>
        <w:tc>
          <w:tcPr>
            <w:tcW w:w="6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Translation</w:t>
            </w:r>
          </w:p>
        </w:tc>
        <w:tc>
          <w:tcPr>
            <w:tcW w:w="660" w:type="dxa"/>
            <w:vAlign w:val="bottom"/>
            <w:tcBorders>
              <w:top w:val="single" w:sz="8" w:color="691A6B"/>
            </w:tcBorders>
          </w:tcPr>
          <w:p>
            <w:pPr>
              <w:jc w:val="right"/>
              <w:ind w:right="168"/>
              <w:spacing w:after="0" w:line="95" w:lineRule="exact"/>
              <w:rPr>
                <w:sz w:val="20"/>
                <w:szCs w:val="20"/>
                <w:color w:val="auto"/>
              </w:rPr>
            </w:pPr>
            <w:r>
              <w:rPr>
                <w:rFonts w:ascii="Arial" w:cs="Arial" w:eastAsia="Arial" w:hAnsi="Arial"/>
                <w:sz w:val="10"/>
                <w:szCs w:val="10"/>
                <w:b w:val="1"/>
                <w:bCs w:val="1"/>
                <w:color w:val="auto"/>
                <w:w w:val="99"/>
              </w:rPr>
              <w:t>Retained</w:t>
            </w:r>
          </w:p>
        </w:tc>
        <w:tc>
          <w:tcPr>
            <w:tcW w:w="72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w w:val="99"/>
              </w:rPr>
              <w:t>Shareholders'</w:t>
            </w:r>
          </w:p>
        </w:tc>
      </w:tr>
      <w:tr>
        <w:trPr>
          <w:trHeight w:val="128"/>
        </w:trPr>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premium</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reserves</w:t>
            </w:r>
          </w:p>
        </w:tc>
        <w:tc>
          <w:tcPr>
            <w:tcW w:w="660" w:type="dxa"/>
            <w:vAlign w:val="bottom"/>
          </w:tcPr>
          <w:p>
            <w:pPr>
              <w:jc w:val="right"/>
              <w:ind w:right="168"/>
              <w:spacing w:after="0"/>
              <w:rPr>
                <w:sz w:val="20"/>
                <w:szCs w:val="20"/>
                <w:color w:val="auto"/>
              </w:rPr>
            </w:pPr>
            <w:r>
              <w:rPr>
                <w:rFonts w:ascii="Arial" w:cs="Arial" w:eastAsia="Arial" w:hAnsi="Arial"/>
                <w:sz w:val="10"/>
                <w:szCs w:val="10"/>
                <w:b w:val="1"/>
                <w:bCs w:val="1"/>
                <w:color w:val="auto"/>
              </w:rPr>
              <w:t>earnings</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equity</w:t>
            </w:r>
          </w:p>
        </w:tc>
      </w:tr>
      <w:tr>
        <w:trPr>
          <w:trHeight w:val="147"/>
        </w:trPr>
        <w:tc>
          <w:tcPr>
            <w:tcW w:w="154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2022</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10</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1,921</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(141)</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2,125</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3,915</w:t>
            </w:r>
          </w:p>
        </w:tc>
      </w:tr>
      <w:tr>
        <w:trPr>
          <w:trHeight w:val="95"/>
        </w:trPr>
        <w:tc>
          <w:tcPr>
            <w:tcW w:w="15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¹</w:t>
            </w: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Restated</w:t>
            </w: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7"/>
        </w:trPr>
        <w:tc>
          <w:tcPr>
            <w:tcW w:w="1540" w:type="dxa"/>
            <w:vAlign w:val="bottom"/>
          </w:tcPr>
          <w:p>
            <w:pPr>
              <w:ind w:left="20"/>
              <w:spacing w:after="0"/>
              <w:rPr>
                <w:sz w:val="20"/>
                <w:szCs w:val="20"/>
                <w:color w:val="auto"/>
              </w:rPr>
            </w:pPr>
            <w:r>
              <w:rPr>
                <w:rFonts w:ascii="Arial" w:cs="Arial" w:eastAsia="Arial" w:hAnsi="Arial"/>
                <w:sz w:val="10"/>
                <w:szCs w:val="10"/>
                <w:color w:val="auto"/>
              </w:rPr>
              <w:t>Net profit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631</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631</w:t>
            </w:r>
          </w:p>
        </w:tc>
      </w:tr>
      <w:tr>
        <w:trPr>
          <w:trHeight w:val="152"/>
        </w:trPr>
        <w:tc>
          <w:tcPr>
            <w:tcW w:w="154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139</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139</w:t>
            </w:r>
          </w:p>
        </w:tc>
      </w:tr>
      <w:tr>
        <w:trPr>
          <w:trHeight w:val="158"/>
        </w:trPr>
        <w:tc>
          <w:tcPr>
            <w:tcW w:w="1540" w:type="dxa"/>
            <w:vAlign w:val="bottom"/>
          </w:tcPr>
          <w:p>
            <w:pPr>
              <w:ind w:left="20"/>
              <w:spacing w:after="0"/>
              <w:rPr>
                <w:sz w:val="20"/>
                <w:szCs w:val="20"/>
                <w:color w:val="auto"/>
              </w:rPr>
            </w:pPr>
            <w:r>
              <w:rPr>
                <w:rFonts w:ascii="Arial" w:cs="Arial" w:eastAsia="Arial" w:hAnsi="Arial"/>
                <w:sz w:val="10"/>
                <w:szCs w:val="10"/>
                <w:b w:val="1"/>
                <w:bCs w:val="1"/>
                <w:color w:val="auto"/>
              </w:rPr>
              <w:t>Total comprehensive income</w:t>
            </w:r>
          </w:p>
        </w:tc>
        <w:tc>
          <w:tcPr>
            <w:tcW w:w="6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139</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631</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770</w:t>
            </w:r>
          </w:p>
        </w:tc>
      </w:tr>
      <w:tr>
        <w:trPr>
          <w:trHeight w:val="314"/>
        </w:trPr>
        <w:tc>
          <w:tcPr>
            <w:tcW w:w="1540" w:type="dxa"/>
            <w:vAlign w:val="bottom"/>
          </w:tcPr>
          <w:p>
            <w:pPr>
              <w:ind w:left="20"/>
              <w:spacing w:after="0"/>
              <w:rPr>
                <w:sz w:val="20"/>
                <w:szCs w:val="20"/>
                <w:color w:val="auto"/>
              </w:rPr>
            </w:pPr>
            <w:r>
              <w:rPr>
                <w:rFonts w:ascii="Arial" w:cs="Arial" w:eastAsia="Arial" w:hAnsi="Arial"/>
                <w:sz w:val="10"/>
                <w:szCs w:val="10"/>
                <w:b w:val="1"/>
                <w:bCs w:val="1"/>
                <w:color w:val="auto"/>
              </w:rPr>
              <w:t>Transactions with owners: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6"/>
        </w:trPr>
        <w:tc>
          <w:tcPr>
            <w:tcW w:w="1540" w:type="dxa"/>
            <w:vAlign w:val="bottom"/>
          </w:tcPr>
          <w:p>
            <w:pPr>
              <w:ind w:left="20"/>
              <w:spacing w:after="0"/>
              <w:rPr>
                <w:sz w:val="20"/>
                <w:szCs w:val="20"/>
                <w:color w:val="auto"/>
              </w:rPr>
            </w:pPr>
            <w:r>
              <w:rPr>
                <w:rFonts w:ascii="Arial" w:cs="Arial" w:eastAsia="Arial" w:hAnsi="Arial"/>
                <w:sz w:val="10"/>
                <w:szCs w:val="10"/>
                <w:color w:val="auto"/>
              </w:rPr>
              <w:t>Exercise of warrants</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21</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21</w:t>
            </w:r>
          </w:p>
        </w:tc>
      </w:tr>
      <w:tr>
        <w:trPr>
          <w:trHeight w:val="152"/>
        </w:trPr>
        <w:tc>
          <w:tcPr>
            <w:tcW w:w="1540" w:type="dxa"/>
            <w:vAlign w:val="bottom"/>
          </w:tcPr>
          <w:p>
            <w:pPr>
              <w:ind w:left="20"/>
              <w:spacing w:after="0"/>
              <w:rPr>
                <w:sz w:val="20"/>
                <w:szCs w:val="20"/>
                <w:color w:val="auto"/>
              </w:rPr>
            </w:pPr>
            <w:r>
              <w:rPr>
                <w:rFonts w:ascii="Arial" w:cs="Arial" w:eastAsia="Arial" w:hAnsi="Arial"/>
                <w:sz w:val="10"/>
                <w:szCs w:val="10"/>
                <w:color w:val="auto"/>
              </w:rPr>
              <w:t>Purchase of treasury shares</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(81)</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(81)</w:t>
            </w:r>
          </w:p>
        </w:tc>
      </w:tr>
      <w:tr>
        <w:trPr>
          <w:trHeight w:val="120"/>
        </w:trPr>
        <w:tc>
          <w:tcPr>
            <w:tcW w:w="154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85</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85</w:t>
            </w:r>
          </w:p>
        </w:tc>
      </w:tr>
      <w:tr>
        <w:trPr>
          <w:trHeight w:val="137"/>
        </w:trPr>
        <w:tc>
          <w:tcPr>
            <w:tcW w:w="1540" w:type="dxa"/>
            <w:vAlign w:val="bottom"/>
          </w:tcPr>
          <w:p>
            <w:pPr>
              <w:ind w:left="20"/>
              <w:spacing w:after="0"/>
              <w:rPr>
                <w:sz w:val="20"/>
                <w:szCs w:val="20"/>
                <w:color w:val="auto"/>
              </w:rPr>
            </w:pPr>
            <w:r>
              <w:rPr>
                <w:rFonts w:ascii="Arial" w:cs="Arial" w:eastAsia="Arial" w:hAnsi="Arial"/>
                <w:sz w:val="10"/>
                <w:szCs w:val="10"/>
                <w:color w:val="auto"/>
              </w:rPr>
              <w:t>expenses</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0"/>
        </w:trPr>
        <w:tc>
          <w:tcPr>
            <w:tcW w:w="1540" w:type="dxa"/>
            <w:vAlign w:val="bottom"/>
          </w:tcPr>
          <w:p>
            <w:pPr>
              <w:ind w:left="20"/>
              <w:spacing w:after="0"/>
              <w:rPr>
                <w:sz w:val="20"/>
                <w:szCs w:val="20"/>
                <w:color w:val="auto"/>
              </w:rPr>
            </w:pPr>
            <w:r>
              <w:rPr>
                <w:rFonts w:ascii="Arial" w:cs="Arial" w:eastAsia="Arial" w:hAnsi="Arial"/>
                <w:sz w:val="10"/>
                <w:szCs w:val="10"/>
                <w:color w:val="auto"/>
              </w:rPr>
              <w:t>Withholding taxes on behalf of</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(15)</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(15)</w:t>
            </w:r>
          </w:p>
        </w:tc>
      </w:tr>
      <w:tr>
        <w:trPr>
          <w:trHeight w:val="137"/>
        </w:trPr>
        <w:tc>
          <w:tcPr>
            <w:tcW w:w="1540" w:type="dxa"/>
            <w:vAlign w:val="bottom"/>
          </w:tcPr>
          <w:p>
            <w:pPr>
              <w:ind w:left="20"/>
              <w:spacing w:after="0"/>
              <w:rPr>
                <w:sz w:val="20"/>
                <w:szCs w:val="20"/>
                <w:color w:val="auto"/>
              </w:rPr>
            </w:pPr>
            <w:r>
              <w:rPr>
                <w:rFonts w:ascii="Arial" w:cs="Arial" w:eastAsia="Arial" w:hAnsi="Arial"/>
                <w:sz w:val="10"/>
                <w:szCs w:val="10"/>
                <w:color w:val="auto"/>
              </w:rPr>
              <w:t>employees on net settled RSUs</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1540" w:type="dxa"/>
            <w:vAlign w:val="bottom"/>
          </w:tcPr>
          <w:p>
            <w:pPr>
              <w:ind w:left="20"/>
              <w:spacing w:after="0"/>
              <w:rPr>
                <w:sz w:val="20"/>
                <w:szCs w:val="20"/>
                <w:color w:val="auto"/>
              </w:rPr>
            </w:pPr>
            <w:r>
              <w:rPr>
                <w:rFonts w:ascii="Arial" w:cs="Arial" w:eastAsia="Arial" w:hAnsi="Arial"/>
                <w:sz w:val="10"/>
                <w:szCs w:val="10"/>
                <w:color w:val="auto"/>
              </w:rPr>
              <w:t>Tax on items recognized directly</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(8)</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(8)</w:t>
            </w:r>
          </w:p>
        </w:tc>
      </w:tr>
      <w:tr>
        <w:trPr>
          <w:trHeight w:val="190"/>
        </w:trPr>
        <w:tc>
          <w:tcPr>
            <w:tcW w:w="1540" w:type="dxa"/>
            <w:vAlign w:val="bottom"/>
          </w:tcPr>
          <w:p>
            <w:pPr>
              <w:ind w:left="20"/>
              <w:spacing w:after="0"/>
              <w:rPr>
                <w:sz w:val="20"/>
                <w:szCs w:val="20"/>
                <w:color w:val="auto"/>
              </w:rPr>
            </w:pPr>
            <w:r>
              <w:rPr>
                <w:rFonts w:ascii="Arial" w:cs="Arial" w:eastAsia="Arial" w:hAnsi="Arial"/>
                <w:sz w:val="10"/>
                <w:szCs w:val="10"/>
                <w:color w:val="auto"/>
              </w:rPr>
              <w:t>in equity</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154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2023</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10</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1,942</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2,737</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4,687</w:t>
            </w:r>
          </w:p>
        </w:tc>
      </w:tr>
      <w:tr>
        <w:trPr>
          <w:trHeight w:val="95"/>
        </w:trPr>
        <w:tc>
          <w:tcPr>
            <w:tcW w:w="15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¹</w:t>
            </w: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5"/>
        </w:trPr>
        <w:tc>
          <w:tcPr>
            <w:tcW w:w="154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Restated</w:t>
            </w: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7"/>
        </w:trPr>
        <w:tc>
          <w:tcPr>
            <w:tcW w:w="1540" w:type="dxa"/>
            <w:vAlign w:val="bottom"/>
          </w:tcPr>
          <w:p>
            <w:pPr>
              <w:ind w:left="20"/>
              <w:spacing w:after="0"/>
              <w:rPr>
                <w:sz w:val="20"/>
                <w:szCs w:val="20"/>
                <w:color w:val="auto"/>
              </w:rPr>
            </w:pPr>
            <w:r>
              <w:rPr>
                <w:rFonts w:ascii="Arial" w:cs="Arial" w:eastAsia="Arial" w:hAnsi="Arial"/>
                <w:sz w:val="10"/>
                <w:szCs w:val="10"/>
                <w:color w:val="auto"/>
              </w:rPr>
              <w:t>Net profit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1,133</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1,133</w:t>
            </w:r>
          </w:p>
        </w:tc>
      </w:tr>
      <w:tr>
        <w:trPr>
          <w:trHeight w:val="152"/>
        </w:trPr>
        <w:tc>
          <w:tcPr>
            <w:tcW w:w="154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(224)</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(224)</w:t>
            </w:r>
          </w:p>
        </w:tc>
      </w:tr>
      <w:tr>
        <w:trPr>
          <w:trHeight w:val="158"/>
        </w:trPr>
        <w:tc>
          <w:tcPr>
            <w:tcW w:w="1540" w:type="dxa"/>
            <w:vAlign w:val="bottom"/>
          </w:tcPr>
          <w:p>
            <w:pPr>
              <w:ind w:left="20"/>
              <w:spacing w:after="0"/>
              <w:rPr>
                <w:sz w:val="20"/>
                <w:szCs w:val="20"/>
                <w:color w:val="auto"/>
              </w:rPr>
            </w:pPr>
            <w:r>
              <w:rPr>
                <w:rFonts w:ascii="Arial" w:cs="Arial" w:eastAsia="Arial" w:hAnsi="Arial"/>
                <w:sz w:val="10"/>
                <w:szCs w:val="10"/>
                <w:b w:val="1"/>
                <w:bCs w:val="1"/>
                <w:color w:val="auto"/>
              </w:rPr>
              <w:t>Total comprehensive income</w:t>
            </w:r>
          </w:p>
        </w:tc>
        <w:tc>
          <w:tcPr>
            <w:tcW w:w="6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(224)</w:t>
            </w:r>
          </w:p>
        </w:tc>
        <w:tc>
          <w:tcPr>
            <w:tcW w:w="660" w:type="dxa"/>
            <w:vAlign w:val="bottom"/>
          </w:tcPr>
          <w:p>
            <w:pPr>
              <w:jc w:val="right"/>
              <w:ind w:right="8"/>
              <w:spacing w:after="0"/>
              <w:rPr>
                <w:sz w:val="20"/>
                <w:szCs w:val="20"/>
                <w:color w:val="auto"/>
              </w:rPr>
            </w:pPr>
            <w:r>
              <w:rPr>
                <w:rFonts w:ascii="Arial" w:cs="Arial" w:eastAsia="Arial" w:hAnsi="Arial"/>
                <w:sz w:val="10"/>
                <w:szCs w:val="10"/>
                <w:b w:val="1"/>
                <w:bCs w:val="1"/>
                <w:color w:val="auto"/>
              </w:rPr>
              <w:t>1,133</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909</w:t>
            </w:r>
          </w:p>
        </w:tc>
      </w:tr>
      <w:tr>
        <w:trPr>
          <w:trHeight w:val="305"/>
        </w:trPr>
        <w:tc>
          <w:tcPr>
            <w:tcW w:w="1540" w:type="dxa"/>
            <w:vAlign w:val="bottom"/>
          </w:tcPr>
          <w:p>
            <w:pPr>
              <w:ind w:left="20"/>
              <w:spacing w:after="0"/>
              <w:rPr>
                <w:sz w:val="20"/>
                <w:szCs w:val="20"/>
                <w:color w:val="auto"/>
              </w:rPr>
            </w:pPr>
            <w:r>
              <w:rPr>
                <w:rFonts w:ascii="Arial" w:cs="Arial" w:eastAsia="Arial" w:hAnsi="Arial"/>
                <w:sz w:val="10"/>
                <w:szCs w:val="10"/>
                <w:b w:val="1"/>
                <w:bCs w:val="1"/>
                <w:color w:val="auto"/>
              </w:rPr>
              <w:t>Transactions with owners: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6"/>
        </w:trPr>
        <w:tc>
          <w:tcPr>
            <w:tcW w:w="1540" w:type="dxa"/>
            <w:vAlign w:val="bottom"/>
          </w:tcPr>
          <w:p>
            <w:pPr>
              <w:ind w:left="20"/>
              <w:spacing w:after="0"/>
              <w:rPr>
                <w:sz w:val="20"/>
                <w:szCs w:val="20"/>
                <w:color w:val="auto"/>
              </w:rPr>
            </w:pPr>
            <w:r>
              <w:rPr>
                <w:rFonts w:ascii="Arial" w:cs="Arial" w:eastAsia="Arial" w:hAnsi="Arial"/>
                <w:sz w:val="10"/>
                <w:szCs w:val="10"/>
                <w:color w:val="auto"/>
              </w:rPr>
              <w:t>Exercise of warrants</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19</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19</w:t>
            </w:r>
          </w:p>
        </w:tc>
      </w:tr>
      <w:tr>
        <w:trPr>
          <w:trHeight w:val="152"/>
        </w:trPr>
        <w:tc>
          <w:tcPr>
            <w:tcW w:w="1540" w:type="dxa"/>
            <w:vAlign w:val="bottom"/>
          </w:tcPr>
          <w:p>
            <w:pPr>
              <w:ind w:left="20"/>
              <w:spacing w:after="0"/>
              <w:rPr>
                <w:sz w:val="20"/>
                <w:szCs w:val="20"/>
                <w:color w:val="auto"/>
              </w:rPr>
            </w:pPr>
            <w:r>
              <w:rPr>
                <w:rFonts w:ascii="Arial" w:cs="Arial" w:eastAsia="Arial" w:hAnsi="Arial"/>
                <w:sz w:val="10"/>
                <w:szCs w:val="10"/>
                <w:color w:val="auto"/>
              </w:rPr>
              <w:t>Purchase of treasury shares</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(560)</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(560)</w:t>
            </w:r>
          </w:p>
        </w:tc>
      </w:tr>
      <w:tr>
        <w:trPr>
          <w:trHeight w:val="120"/>
        </w:trPr>
        <w:tc>
          <w:tcPr>
            <w:tcW w:w="154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105</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105</w:t>
            </w:r>
          </w:p>
        </w:tc>
      </w:tr>
      <w:tr>
        <w:trPr>
          <w:trHeight w:val="137"/>
        </w:trPr>
        <w:tc>
          <w:tcPr>
            <w:tcW w:w="1540" w:type="dxa"/>
            <w:vAlign w:val="bottom"/>
          </w:tcPr>
          <w:p>
            <w:pPr>
              <w:ind w:left="20"/>
              <w:spacing w:after="0"/>
              <w:rPr>
                <w:sz w:val="20"/>
                <w:szCs w:val="20"/>
                <w:color w:val="auto"/>
              </w:rPr>
            </w:pPr>
            <w:r>
              <w:rPr>
                <w:rFonts w:ascii="Arial" w:cs="Arial" w:eastAsia="Arial" w:hAnsi="Arial"/>
                <w:sz w:val="10"/>
                <w:szCs w:val="10"/>
                <w:color w:val="auto"/>
              </w:rPr>
              <w:t>expenses</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0"/>
        </w:trPr>
        <w:tc>
          <w:tcPr>
            <w:tcW w:w="1540" w:type="dxa"/>
            <w:vAlign w:val="bottom"/>
          </w:tcPr>
          <w:p>
            <w:pPr>
              <w:ind w:left="20"/>
              <w:spacing w:after="0"/>
              <w:rPr>
                <w:sz w:val="20"/>
                <w:szCs w:val="20"/>
                <w:color w:val="auto"/>
              </w:rPr>
            </w:pPr>
            <w:r>
              <w:rPr>
                <w:rFonts w:ascii="Arial" w:cs="Arial" w:eastAsia="Arial" w:hAnsi="Arial"/>
                <w:sz w:val="10"/>
                <w:szCs w:val="10"/>
                <w:color w:val="auto"/>
              </w:rPr>
              <w:t>Withholding taxes on behalf of</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(16)</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(16)</w:t>
            </w:r>
          </w:p>
        </w:tc>
      </w:tr>
      <w:tr>
        <w:trPr>
          <w:trHeight w:val="137"/>
        </w:trPr>
        <w:tc>
          <w:tcPr>
            <w:tcW w:w="1540" w:type="dxa"/>
            <w:vAlign w:val="bottom"/>
          </w:tcPr>
          <w:p>
            <w:pPr>
              <w:ind w:left="20"/>
              <w:spacing w:after="0"/>
              <w:rPr>
                <w:sz w:val="20"/>
                <w:szCs w:val="20"/>
                <w:color w:val="auto"/>
              </w:rPr>
            </w:pPr>
            <w:r>
              <w:rPr>
                <w:rFonts w:ascii="Arial" w:cs="Arial" w:eastAsia="Arial" w:hAnsi="Arial"/>
                <w:sz w:val="10"/>
                <w:szCs w:val="10"/>
                <w:color w:val="auto"/>
              </w:rPr>
              <w:t>employees on net settled RSUs</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1540" w:type="dxa"/>
            <w:vAlign w:val="bottom"/>
          </w:tcPr>
          <w:p>
            <w:pPr>
              <w:ind w:left="20"/>
              <w:spacing w:after="0"/>
              <w:rPr>
                <w:sz w:val="20"/>
                <w:szCs w:val="20"/>
                <w:color w:val="auto"/>
              </w:rPr>
            </w:pPr>
            <w:r>
              <w:rPr>
                <w:rFonts w:ascii="Arial" w:cs="Arial" w:eastAsia="Arial" w:hAnsi="Arial"/>
                <w:sz w:val="10"/>
                <w:szCs w:val="10"/>
                <w:color w:val="auto"/>
              </w:rPr>
              <w:t>Tax on items recognized directly</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(7)</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(7)</w:t>
            </w:r>
          </w:p>
        </w:tc>
      </w:tr>
      <w:tr>
        <w:trPr>
          <w:trHeight w:val="190"/>
        </w:trPr>
        <w:tc>
          <w:tcPr>
            <w:tcW w:w="1540" w:type="dxa"/>
            <w:vAlign w:val="bottom"/>
          </w:tcPr>
          <w:p>
            <w:pPr>
              <w:ind w:left="20"/>
              <w:spacing w:after="0"/>
              <w:rPr>
                <w:sz w:val="20"/>
                <w:szCs w:val="20"/>
                <w:color w:val="auto"/>
              </w:rPr>
            </w:pPr>
            <w:r>
              <w:rPr>
                <w:rFonts w:ascii="Arial" w:cs="Arial" w:eastAsia="Arial" w:hAnsi="Arial"/>
                <w:sz w:val="10"/>
                <w:szCs w:val="10"/>
                <w:color w:val="auto"/>
              </w:rPr>
              <w:t>in equity</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ectPr>
          <w:pgSz w:w="11900" w:h="16840" w:orient="portrait"/>
          <w:cols w:equalWidth="0" w:num="1">
            <w:col w:w="9820"/>
          </w:cols>
          <w:pgMar w:left="640" w:top="571" w:right="1440"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440"/>
        <w:spacing w:after="0" w:line="201" w:lineRule="auto"/>
        <w:rPr>
          <w:sz w:val="20"/>
          <w:szCs w:val="20"/>
          <w:color w:val="auto"/>
        </w:rPr>
      </w:pPr>
      <w:r>
        <w:rPr>
          <w:rFonts w:ascii="Arial" w:cs="Arial" w:eastAsia="Arial" w:hAnsi="Arial"/>
          <w:sz w:val="10"/>
          <w:szCs w:val="10"/>
          <w:color w:val="auto"/>
        </w:rPr>
        <w:t>Genmab provides these specific required disclosures unless the information is considered immaterial to the economic decision-making of the readers of the consolidated financial statements or not applicable.</w:t>
      </w:r>
    </w:p>
    <w:p>
      <w:pPr>
        <w:spacing w:after="0" w:line="210" w:lineRule="auto"/>
        <w:rPr>
          <w:sz w:val="20"/>
          <w:szCs w:val="20"/>
          <w:color w:val="auto"/>
        </w:rPr>
      </w:pPr>
      <w:r>
        <w:rPr>
          <w:rFonts w:ascii="Arial" w:cs="Arial" w:eastAsia="Arial" w:hAnsi="Arial"/>
          <w:sz w:val="13"/>
          <w:szCs w:val="13"/>
          <w:b w:val="1"/>
          <w:bCs w:val="1"/>
          <w:color w:val="691A6B"/>
        </w:rPr>
        <w:t>Consolidated Financial Statements</w:t>
      </w:r>
    </w:p>
    <w:p>
      <w:pPr>
        <w:ind w:right="2760"/>
        <w:spacing w:after="0" w:line="202" w:lineRule="auto"/>
        <w:rPr>
          <w:sz w:val="20"/>
          <w:szCs w:val="20"/>
          <w:color w:val="auto"/>
        </w:rPr>
      </w:pPr>
      <w:r>
        <w:rPr>
          <w:rFonts w:ascii="Arial" w:cs="Arial" w:eastAsia="Arial" w:hAnsi="Arial"/>
          <w:sz w:val="10"/>
          <w:szCs w:val="10"/>
          <w:color w:val="auto"/>
        </w:rPr>
        <w:t>The consolidated financial statements include Genmab A/S and subsidiaries over which the parent company has control. The parent controls a subsidiary when the parent is exposed to, or has rights to, variable returns from its involvement with the subsidiary and has the ability to affect those returns through its power to direct the activities of the subsidiary. Genmab A/S (parent company) holds investments either directly or indirectly in the following subsidiaries:</w:t>
      </w:r>
    </w:p>
    <w:p>
      <w:pPr>
        <w:spacing w:after="0" w:line="1"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95"/>
        </w:trPr>
        <w:tc>
          <w:tcPr>
            <w:tcW w:w="168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Name</w:t>
            </w:r>
          </w:p>
        </w:tc>
        <w:tc>
          <w:tcPr>
            <w:tcW w:w="1700" w:type="dxa"/>
            <w:vAlign w:val="bottom"/>
            <w:tcBorders>
              <w:top w:val="single" w:sz="8" w:color="691A6B"/>
            </w:tcBorders>
          </w:tcPr>
          <w:p>
            <w:pPr>
              <w:ind w:left="380"/>
              <w:spacing w:after="0" w:line="95" w:lineRule="exact"/>
              <w:rPr>
                <w:sz w:val="20"/>
                <w:szCs w:val="20"/>
                <w:color w:val="auto"/>
              </w:rPr>
            </w:pPr>
            <w:r>
              <w:rPr>
                <w:rFonts w:ascii="Arial" w:cs="Arial" w:eastAsia="Arial" w:hAnsi="Arial"/>
                <w:sz w:val="10"/>
                <w:szCs w:val="10"/>
                <w:b w:val="1"/>
                <w:bCs w:val="1"/>
                <w:color w:val="auto"/>
              </w:rPr>
              <w:t>Domicile</w:t>
            </w:r>
          </w:p>
        </w:tc>
        <w:tc>
          <w:tcPr>
            <w:tcW w:w="760" w:type="dxa"/>
            <w:vAlign w:val="bottom"/>
            <w:tcBorders>
              <w:top w:val="single" w:sz="8" w:color="691A6B"/>
            </w:tcBorders>
          </w:tcPr>
          <w:p>
            <w:pPr>
              <w:ind w:left="180"/>
              <w:spacing w:after="0" w:line="95" w:lineRule="exact"/>
              <w:rPr>
                <w:sz w:val="20"/>
                <w:szCs w:val="20"/>
                <w:color w:val="auto"/>
              </w:rPr>
            </w:pPr>
            <w:r>
              <w:rPr>
                <w:rFonts w:ascii="Arial" w:cs="Arial" w:eastAsia="Arial" w:hAnsi="Arial"/>
                <w:sz w:val="10"/>
                <w:szCs w:val="10"/>
                <w:b w:val="1"/>
                <w:bCs w:val="1"/>
                <w:color w:val="auto"/>
              </w:rPr>
              <w:t>Ownership</w:t>
            </w:r>
          </w:p>
        </w:tc>
        <w:tc>
          <w:tcPr>
            <w:tcW w:w="720" w:type="dxa"/>
            <w:vAlign w:val="bottom"/>
            <w:tcBorders>
              <w:top w:val="single" w:sz="8" w:color="691A6B"/>
            </w:tcBorders>
          </w:tcPr>
          <w:p>
            <w:pPr>
              <w:ind w:left="80"/>
              <w:spacing w:after="0" w:line="95" w:lineRule="exact"/>
              <w:rPr>
                <w:sz w:val="20"/>
                <w:szCs w:val="20"/>
                <w:color w:val="auto"/>
              </w:rPr>
            </w:pPr>
            <w:r>
              <w:rPr>
                <w:rFonts w:ascii="Arial" w:cs="Arial" w:eastAsia="Arial" w:hAnsi="Arial"/>
                <w:sz w:val="10"/>
                <w:szCs w:val="10"/>
                <w:b w:val="1"/>
                <w:bCs w:val="1"/>
                <w:color w:val="auto"/>
              </w:rPr>
              <w:t>Ownership</w:t>
            </w:r>
          </w:p>
        </w:tc>
      </w:tr>
      <w:tr>
        <w:trPr>
          <w:trHeight w:val="95"/>
        </w:trPr>
        <w:tc>
          <w:tcPr>
            <w:tcW w:w="16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ind w:left="180"/>
              <w:spacing w:after="0" w:line="95" w:lineRule="exact"/>
              <w:rPr>
                <w:sz w:val="20"/>
                <w:szCs w:val="20"/>
                <w:color w:val="auto"/>
              </w:rPr>
            </w:pPr>
            <w:r>
              <w:rPr>
                <w:rFonts w:ascii="Arial" w:cs="Arial" w:eastAsia="Arial" w:hAnsi="Arial"/>
                <w:sz w:val="10"/>
                <w:szCs w:val="10"/>
                <w:b w:val="1"/>
                <w:bCs w:val="1"/>
                <w:color w:val="auto"/>
              </w:rPr>
              <w:t>and votes</w:t>
            </w:r>
          </w:p>
        </w:tc>
        <w:tc>
          <w:tcPr>
            <w:tcW w:w="7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and votes</w:t>
            </w:r>
          </w:p>
        </w:tc>
      </w:tr>
      <w:tr>
        <w:trPr>
          <w:trHeight w:val="128"/>
        </w:trPr>
        <w:tc>
          <w:tcPr>
            <w:tcW w:w="16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0"/>
                <w:szCs w:val="10"/>
                <w:b w:val="1"/>
                <w:bCs w:val="1"/>
                <w:color w:val="auto"/>
              </w:rPr>
              <w:t>2025</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2024</w:t>
            </w:r>
          </w:p>
        </w:tc>
      </w:tr>
      <w:tr>
        <w:trPr>
          <w:trHeight w:val="207"/>
        </w:trPr>
        <w:tc>
          <w:tcPr>
            <w:tcW w:w="1680" w:type="dxa"/>
            <w:vAlign w:val="bottom"/>
          </w:tcPr>
          <w:p>
            <w:pPr>
              <w:ind w:left="20"/>
              <w:spacing w:after="0"/>
              <w:rPr>
                <w:sz w:val="20"/>
                <w:szCs w:val="20"/>
                <w:color w:val="auto"/>
              </w:rPr>
            </w:pPr>
            <w:r>
              <w:rPr>
                <w:rFonts w:ascii="Arial" w:cs="Arial" w:eastAsia="Arial" w:hAnsi="Arial"/>
                <w:sz w:val="10"/>
                <w:szCs w:val="10"/>
                <w:color w:val="auto"/>
              </w:rPr>
              <w:t>Genmab B.V.</w:t>
            </w:r>
          </w:p>
        </w:tc>
        <w:tc>
          <w:tcPr>
            <w:tcW w:w="1700" w:type="dxa"/>
            <w:vAlign w:val="bottom"/>
          </w:tcPr>
          <w:p>
            <w:pPr>
              <w:ind w:left="380"/>
              <w:spacing w:after="0"/>
              <w:rPr>
                <w:sz w:val="20"/>
                <w:szCs w:val="20"/>
                <w:color w:val="auto"/>
              </w:rPr>
            </w:pPr>
            <w:r>
              <w:rPr>
                <w:rFonts w:ascii="Arial" w:cs="Arial" w:eastAsia="Arial" w:hAnsi="Arial"/>
                <w:sz w:val="10"/>
                <w:szCs w:val="10"/>
                <w:color w:val="auto"/>
              </w:rPr>
              <w:t>Utrecht, the Netherlands</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Holding B.V.</w:t>
            </w:r>
          </w:p>
        </w:tc>
        <w:tc>
          <w:tcPr>
            <w:tcW w:w="1700" w:type="dxa"/>
            <w:vAlign w:val="bottom"/>
          </w:tcPr>
          <w:p>
            <w:pPr>
              <w:ind w:left="380"/>
              <w:spacing w:after="0"/>
              <w:rPr>
                <w:sz w:val="20"/>
                <w:szCs w:val="20"/>
                <w:color w:val="auto"/>
              </w:rPr>
            </w:pPr>
            <w:r>
              <w:rPr>
                <w:rFonts w:ascii="Arial" w:cs="Arial" w:eastAsia="Arial" w:hAnsi="Arial"/>
                <w:sz w:val="10"/>
                <w:szCs w:val="10"/>
                <w:color w:val="auto"/>
              </w:rPr>
              <w:t>Utrecht, the Netherlands</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Holding II B.V.</w:t>
            </w:r>
          </w:p>
        </w:tc>
        <w:tc>
          <w:tcPr>
            <w:tcW w:w="1700" w:type="dxa"/>
            <w:vAlign w:val="bottom"/>
          </w:tcPr>
          <w:p>
            <w:pPr>
              <w:ind w:left="380"/>
              <w:spacing w:after="0"/>
              <w:rPr>
                <w:sz w:val="20"/>
                <w:szCs w:val="20"/>
                <w:color w:val="auto"/>
              </w:rPr>
            </w:pPr>
            <w:r>
              <w:rPr>
                <w:rFonts w:ascii="Arial" w:cs="Arial" w:eastAsia="Arial" w:hAnsi="Arial"/>
                <w:sz w:val="10"/>
                <w:szCs w:val="10"/>
                <w:color w:val="auto"/>
              </w:rPr>
              <w:t>Utrecht, the Netherlands</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N/A²</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US, Inc.</w:t>
            </w:r>
          </w:p>
        </w:tc>
        <w:tc>
          <w:tcPr>
            <w:tcW w:w="1700" w:type="dxa"/>
            <w:vAlign w:val="bottom"/>
          </w:tcPr>
          <w:p>
            <w:pPr>
              <w:ind w:left="380"/>
              <w:spacing w:after="0"/>
              <w:rPr>
                <w:sz w:val="20"/>
                <w:szCs w:val="20"/>
                <w:color w:val="auto"/>
              </w:rPr>
            </w:pPr>
            <w:r>
              <w:rPr>
                <w:rFonts w:ascii="Arial" w:cs="Arial" w:eastAsia="Arial" w:hAnsi="Arial"/>
                <w:sz w:val="10"/>
                <w:szCs w:val="10"/>
                <w:color w:val="auto"/>
              </w:rPr>
              <w:t>Delaware, USA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K.K.</w:t>
            </w:r>
          </w:p>
        </w:tc>
        <w:tc>
          <w:tcPr>
            <w:tcW w:w="1700" w:type="dxa"/>
            <w:vAlign w:val="bottom"/>
          </w:tcPr>
          <w:p>
            <w:pPr>
              <w:ind w:left="380"/>
              <w:spacing w:after="0"/>
              <w:rPr>
                <w:sz w:val="20"/>
                <w:szCs w:val="20"/>
                <w:color w:val="auto"/>
              </w:rPr>
            </w:pPr>
            <w:r>
              <w:rPr>
                <w:rFonts w:ascii="Arial" w:cs="Arial" w:eastAsia="Arial" w:hAnsi="Arial"/>
                <w:sz w:val="10"/>
                <w:szCs w:val="10"/>
                <w:color w:val="auto"/>
              </w:rPr>
              <w:t>Tokyo, Japan</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Germany GmbH</w:t>
            </w:r>
          </w:p>
        </w:tc>
        <w:tc>
          <w:tcPr>
            <w:tcW w:w="1700" w:type="dxa"/>
            <w:vAlign w:val="bottom"/>
          </w:tcPr>
          <w:p>
            <w:pPr>
              <w:ind w:left="380"/>
              <w:spacing w:after="0"/>
              <w:rPr>
                <w:sz w:val="20"/>
                <w:szCs w:val="20"/>
                <w:color w:val="auto"/>
              </w:rPr>
            </w:pPr>
            <w:r>
              <w:rPr>
                <w:rFonts w:ascii="Arial" w:cs="Arial" w:eastAsia="Arial" w:hAnsi="Arial"/>
                <w:sz w:val="10"/>
                <w:szCs w:val="10"/>
                <w:color w:val="auto"/>
              </w:rPr>
              <w:t>Munich, Germany</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N/A²</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UK Ltd</w:t>
            </w:r>
          </w:p>
        </w:tc>
        <w:tc>
          <w:tcPr>
            <w:tcW w:w="1700" w:type="dxa"/>
            <w:vAlign w:val="bottom"/>
          </w:tcPr>
          <w:p>
            <w:pPr>
              <w:ind w:left="380"/>
              <w:spacing w:after="0"/>
              <w:rPr>
                <w:sz w:val="20"/>
                <w:szCs w:val="20"/>
                <w:color w:val="auto"/>
              </w:rPr>
            </w:pPr>
            <w:r>
              <w:rPr>
                <w:rFonts w:ascii="Arial" w:cs="Arial" w:eastAsia="Arial" w:hAnsi="Arial"/>
                <w:sz w:val="10"/>
                <w:szCs w:val="10"/>
                <w:color w:val="auto"/>
              </w:rPr>
              <w:t>London, United Kingdom</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N/A²</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France SAS</w:t>
            </w:r>
          </w:p>
        </w:tc>
        <w:tc>
          <w:tcPr>
            <w:tcW w:w="1700" w:type="dxa"/>
            <w:vAlign w:val="bottom"/>
          </w:tcPr>
          <w:p>
            <w:pPr>
              <w:ind w:left="380"/>
              <w:spacing w:after="0"/>
              <w:rPr>
                <w:sz w:val="20"/>
                <w:szCs w:val="20"/>
                <w:color w:val="auto"/>
              </w:rPr>
            </w:pPr>
            <w:r>
              <w:rPr>
                <w:rFonts w:ascii="Arial" w:cs="Arial" w:eastAsia="Arial" w:hAnsi="Arial"/>
                <w:sz w:val="10"/>
                <w:szCs w:val="10"/>
                <w:color w:val="auto"/>
              </w:rPr>
              <w:t>Paris, France</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N/A²</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Finance LLC.</w:t>
            </w:r>
          </w:p>
        </w:tc>
        <w:tc>
          <w:tcPr>
            <w:tcW w:w="1700" w:type="dxa"/>
            <w:vAlign w:val="bottom"/>
          </w:tcPr>
          <w:p>
            <w:pPr>
              <w:ind w:left="380"/>
              <w:spacing w:after="0"/>
              <w:rPr>
                <w:sz w:val="20"/>
                <w:szCs w:val="20"/>
                <w:color w:val="auto"/>
              </w:rPr>
            </w:pPr>
            <w:r>
              <w:rPr>
                <w:rFonts w:ascii="Arial" w:cs="Arial" w:eastAsia="Arial" w:hAnsi="Arial"/>
                <w:sz w:val="10"/>
                <w:szCs w:val="10"/>
                <w:color w:val="auto"/>
              </w:rPr>
              <w:t>Delaware, USA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N/A²</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ProfoundBio Inc.</w:t>
            </w:r>
          </w:p>
        </w:tc>
        <w:tc>
          <w:tcPr>
            <w:tcW w:w="1700" w:type="dxa"/>
            <w:vAlign w:val="bottom"/>
          </w:tcPr>
          <w:p>
            <w:pPr>
              <w:ind w:left="380"/>
              <w:spacing w:after="0"/>
              <w:rPr>
                <w:sz w:val="20"/>
                <w:szCs w:val="20"/>
                <w:color w:val="auto"/>
              </w:rPr>
            </w:pPr>
            <w:r>
              <w:rPr>
                <w:rFonts w:ascii="Arial" w:cs="Arial" w:eastAsia="Arial" w:hAnsi="Arial"/>
                <w:sz w:val="10"/>
                <w:szCs w:val="10"/>
                <w:color w:val="auto"/>
              </w:rPr>
              <w:t>Delaware, USA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ProfoundBio US Co.</w:t>
            </w:r>
          </w:p>
        </w:tc>
        <w:tc>
          <w:tcPr>
            <w:tcW w:w="1700" w:type="dxa"/>
            <w:vAlign w:val="bottom"/>
          </w:tcPr>
          <w:p>
            <w:pPr>
              <w:ind w:left="380"/>
              <w:spacing w:after="0"/>
              <w:rPr>
                <w:sz w:val="20"/>
                <w:szCs w:val="20"/>
                <w:color w:val="auto"/>
              </w:rPr>
            </w:pPr>
            <w:r>
              <w:rPr>
                <w:rFonts w:ascii="Arial" w:cs="Arial" w:eastAsia="Arial" w:hAnsi="Arial"/>
                <w:sz w:val="10"/>
                <w:szCs w:val="10"/>
                <w:color w:val="auto"/>
              </w:rPr>
              <w:t>Delaware, USA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ProfoundBio Limited</w:t>
            </w:r>
          </w:p>
        </w:tc>
        <w:tc>
          <w:tcPr>
            <w:tcW w:w="1700" w:type="dxa"/>
            <w:vAlign w:val="bottom"/>
          </w:tcPr>
          <w:p>
            <w:pPr>
              <w:ind w:left="380"/>
              <w:spacing w:after="0"/>
              <w:rPr>
                <w:sz w:val="20"/>
                <w:szCs w:val="20"/>
                <w:color w:val="auto"/>
              </w:rPr>
            </w:pPr>
            <w:r>
              <w:rPr>
                <w:rFonts w:ascii="Arial" w:cs="Arial" w:eastAsia="Arial" w:hAnsi="Arial"/>
                <w:sz w:val="10"/>
                <w:szCs w:val="10"/>
                <w:color w:val="auto"/>
              </w:rPr>
              <w:t>Hong Kong, China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(Suzhou) Co., Ltd.</w:t>
            </w:r>
          </w:p>
        </w:tc>
        <w:tc>
          <w:tcPr>
            <w:tcW w:w="1700" w:type="dxa"/>
            <w:vAlign w:val="bottom"/>
          </w:tcPr>
          <w:p>
            <w:pPr>
              <w:ind w:left="380"/>
              <w:spacing w:after="0"/>
              <w:rPr>
                <w:sz w:val="20"/>
                <w:szCs w:val="20"/>
                <w:color w:val="auto"/>
              </w:rPr>
            </w:pPr>
            <w:r>
              <w:rPr>
                <w:rFonts w:ascii="Arial" w:cs="Arial" w:eastAsia="Arial" w:hAnsi="Arial"/>
                <w:sz w:val="10"/>
                <w:szCs w:val="10"/>
                <w:color w:val="auto"/>
              </w:rPr>
              <w:t>Suzhou, China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Genmab (Beijing) Co., Ltd.</w:t>
            </w:r>
          </w:p>
        </w:tc>
        <w:tc>
          <w:tcPr>
            <w:tcW w:w="1700" w:type="dxa"/>
            <w:vAlign w:val="bottom"/>
          </w:tcPr>
          <w:p>
            <w:pPr>
              <w:ind w:left="380"/>
              <w:spacing w:after="0"/>
              <w:rPr>
                <w:sz w:val="20"/>
                <w:szCs w:val="20"/>
                <w:color w:val="auto"/>
              </w:rPr>
            </w:pPr>
            <w:r>
              <w:rPr>
                <w:rFonts w:ascii="Arial" w:cs="Arial" w:eastAsia="Arial" w:hAnsi="Arial"/>
                <w:sz w:val="10"/>
                <w:szCs w:val="10"/>
                <w:color w:val="auto"/>
              </w:rPr>
              <w:t>Beijing, China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100 %</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Merus B.V.</w:t>
            </w:r>
          </w:p>
        </w:tc>
        <w:tc>
          <w:tcPr>
            <w:tcW w:w="1700" w:type="dxa"/>
            <w:vAlign w:val="bottom"/>
          </w:tcPr>
          <w:p>
            <w:pPr>
              <w:ind w:left="380"/>
              <w:spacing w:after="0"/>
              <w:rPr>
                <w:sz w:val="20"/>
                <w:szCs w:val="20"/>
                <w:color w:val="auto"/>
              </w:rPr>
            </w:pPr>
            <w:r>
              <w:rPr>
                <w:rFonts w:ascii="Arial" w:cs="Arial" w:eastAsia="Arial" w:hAnsi="Arial"/>
                <w:sz w:val="10"/>
                <w:szCs w:val="10"/>
                <w:color w:val="auto"/>
              </w:rPr>
              <w:t>Utrecht, the Netherlands</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N/A¹</w:t>
            </w:r>
          </w:p>
        </w:tc>
      </w:tr>
      <w:tr>
        <w:trPr>
          <w:trHeight w:val="162"/>
        </w:trPr>
        <w:tc>
          <w:tcPr>
            <w:tcW w:w="1680" w:type="dxa"/>
            <w:vAlign w:val="bottom"/>
          </w:tcPr>
          <w:p>
            <w:pPr>
              <w:ind w:left="20"/>
              <w:spacing w:after="0"/>
              <w:rPr>
                <w:sz w:val="20"/>
                <w:szCs w:val="20"/>
                <w:color w:val="auto"/>
              </w:rPr>
            </w:pPr>
            <w:r>
              <w:rPr>
                <w:rFonts w:ascii="Arial" w:cs="Arial" w:eastAsia="Arial" w:hAnsi="Arial"/>
                <w:sz w:val="10"/>
                <w:szCs w:val="10"/>
                <w:color w:val="auto"/>
              </w:rPr>
              <w:t>Merus US Inc.</w:t>
            </w:r>
          </w:p>
        </w:tc>
        <w:tc>
          <w:tcPr>
            <w:tcW w:w="1700" w:type="dxa"/>
            <w:vAlign w:val="bottom"/>
          </w:tcPr>
          <w:p>
            <w:pPr>
              <w:ind w:left="380"/>
              <w:spacing w:after="0"/>
              <w:rPr>
                <w:sz w:val="20"/>
                <w:szCs w:val="20"/>
                <w:color w:val="auto"/>
              </w:rPr>
            </w:pPr>
            <w:r>
              <w:rPr>
                <w:rFonts w:ascii="Arial" w:cs="Arial" w:eastAsia="Arial" w:hAnsi="Arial"/>
                <w:sz w:val="10"/>
                <w:szCs w:val="10"/>
                <w:color w:val="auto"/>
              </w:rPr>
              <w:t>Massachusetts, USA</w:t>
            </w:r>
          </w:p>
        </w:tc>
        <w:tc>
          <w:tcPr>
            <w:tcW w:w="760" w:type="dxa"/>
            <w:vAlign w:val="bottom"/>
          </w:tcPr>
          <w:p>
            <w:pPr>
              <w:ind w:left="180"/>
              <w:spacing w:after="0"/>
              <w:rPr>
                <w:sz w:val="20"/>
                <w:szCs w:val="20"/>
                <w:color w:val="auto"/>
              </w:rPr>
            </w:pPr>
            <w:r>
              <w:rPr>
                <w:rFonts w:ascii="Arial" w:cs="Arial" w:eastAsia="Arial" w:hAnsi="Arial"/>
                <w:sz w:val="10"/>
                <w:szCs w:val="10"/>
                <w:color w:val="auto"/>
              </w:rPr>
              <w:t>100 %</w:t>
            </w:r>
          </w:p>
        </w:tc>
        <w:tc>
          <w:tcPr>
            <w:tcW w:w="720" w:type="dxa"/>
            <w:vAlign w:val="bottom"/>
          </w:tcPr>
          <w:p>
            <w:pPr>
              <w:ind w:left="80"/>
              <w:spacing w:after="0"/>
              <w:rPr>
                <w:sz w:val="20"/>
                <w:szCs w:val="20"/>
                <w:color w:val="auto"/>
              </w:rPr>
            </w:pPr>
            <w:r>
              <w:rPr>
                <w:rFonts w:ascii="Arial" w:cs="Arial" w:eastAsia="Arial" w:hAnsi="Arial"/>
                <w:sz w:val="10"/>
                <w:szCs w:val="10"/>
                <w:color w:val="auto"/>
              </w:rPr>
              <w:t>N/A¹</w:t>
            </w:r>
          </w:p>
        </w:tc>
      </w:tr>
    </w:tbl>
    <w:p>
      <w:pPr>
        <w:spacing w:after="0" w:line="25" w:lineRule="exact"/>
        <w:rPr>
          <w:rFonts w:ascii="Arial" w:cs="Arial" w:eastAsia="Arial" w:hAnsi="Arial"/>
          <w:sz w:val="10"/>
          <w:szCs w:val="10"/>
          <w:color w:val="auto"/>
        </w:rPr>
      </w:pPr>
    </w:p>
    <w:p>
      <w:pPr>
        <w:ind w:left="80" w:hanging="74"/>
        <w:spacing w:after="0"/>
        <w:tabs>
          <w:tab w:leader="none" w:pos="80" w:val="left"/>
        </w:tabs>
        <w:numPr>
          <w:ilvl w:val="0"/>
          <w:numId w:val="32"/>
        </w:numPr>
        <w:rPr>
          <w:rFonts w:ascii="Arial" w:cs="Arial" w:eastAsia="Arial" w:hAnsi="Arial"/>
          <w:sz w:val="7"/>
          <w:szCs w:val="7"/>
          <w:color w:val="auto"/>
        </w:rPr>
      </w:pPr>
      <w:r>
        <w:rPr>
          <w:rFonts w:ascii="Arial" w:cs="Arial" w:eastAsia="Arial" w:hAnsi="Arial"/>
          <w:sz w:val="7"/>
          <w:szCs w:val="7"/>
          <w:color w:val="auto"/>
        </w:rPr>
        <w:t>These subsidiaries were added as a result of the acquisition of Merus during the fourth quarter of 2025.</w:t>
      </w:r>
    </w:p>
    <w:p>
      <w:pPr>
        <w:spacing w:after="0" w:line="13" w:lineRule="exact"/>
        <w:rPr>
          <w:rFonts w:ascii="Arial" w:cs="Arial" w:eastAsia="Arial" w:hAnsi="Arial"/>
          <w:sz w:val="7"/>
          <w:szCs w:val="7"/>
          <w:color w:val="auto"/>
        </w:rPr>
      </w:pPr>
    </w:p>
    <w:p>
      <w:pPr>
        <w:ind w:left="80" w:hanging="74"/>
        <w:spacing w:after="0" w:line="232" w:lineRule="auto"/>
        <w:tabs>
          <w:tab w:leader="none" w:pos="80" w:val="left"/>
        </w:tabs>
        <w:numPr>
          <w:ilvl w:val="0"/>
          <w:numId w:val="32"/>
        </w:numPr>
        <w:rPr>
          <w:rFonts w:ascii="Arial" w:cs="Arial" w:eastAsia="Arial" w:hAnsi="Arial"/>
          <w:sz w:val="7"/>
          <w:szCs w:val="7"/>
          <w:color w:val="auto"/>
        </w:rPr>
      </w:pPr>
      <w:r>
        <w:rPr>
          <w:rFonts w:ascii="Arial" w:cs="Arial" w:eastAsia="Arial" w:hAnsi="Arial"/>
          <w:sz w:val="7"/>
          <w:szCs w:val="7"/>
          <w:color w:val="auto"/>
        </w:rPr>
        <w:t>These subsidiaries were created during 2025.</w:t>
      </w:r>
    </w:p>
    <w:p>
      <w:pPr>
        <w:ind w:right="2540"/>
        <w:spacing w:after="0" w:line="198" w:lineRule="auto"/>
        <w:rPr>
          <w:sz w:val="20"/>
          <w:szCs w:val="20"/>
          <w:color w:val="auto"/>
        </w:rPr>
      </w:pPr>
      <w:r>
        <w:rPr>
          <w:rFonts w:ascii="Arial" w:cs="Arial" w:eastAsia="Arial" w:hAnsi="Arial"/>
          <w:sz w:val="10"/>
          <w:szCs w:val="10"/>
          <w:color w:val="auto"/>
        </w:rPr>
        <w:t>Genmab’s consolidated financial statements have been prepared on the basis of the financial statements of the parent company and subsidiaries – prepared under Genmab’s accounting policies – by combining similar accounting items on a line-by-line basis. On consolidation, intercompany income and expenses, intercompany receivables and payables, and unrealized gains and losses on transactions between the consolidated companies are eliminated.</w:t>
      </w:r>
    </w:p>
    <w:p>
      <w:pPr>
        <w:spacing w:after="0" w:line="2" w:lineRule="exact"/>
        <w:rPr>
          <w:rFonts w:ascii="Arial" w:cs="Arial" w:eastAsia="Arial" w:hAnsi="Arial"/>
          <w:sz w:val="10"/>
          <w:szCs w:val="10"/>
          <w:color w:val="auto"/>
        </w:rPr>
      </w:pPr>
    </w:p>
    <w:p>
      <w:pPr>
        <w:ind w:right="2480"/>
        <w:spacing w:after="0" w:line="198" w:lineRule="auto"/>
        <w:rPr>
          <w:sz w:val="20"/>
          <w:szCs w:val="20"/>
          <w:color w:val="auto"/>
        </w:rPr>
      </w:pPr>
      <w:r>
        <w:rPr>
          <w:rFonts w:ascii="Arial" w:cs="Arial" w:eastAsia="Arial" w:hAnsi="Arial"/>
          <w:sz w:val="10"/>
          <w:szCs w:val="10"/>
          <w:color w:val="auto"/>
        </w:rPr>
        <w:t>The recorded value of the equity interests in the consolidated subsidiaries is eliminated with the proportionate share of the subsidiaries’ equity. Subsidiaries are consolidated from the date when control is transferred to the Group.</w:t>
      </w:r>
    </w:p>
    <w:p>
      <w:pPr>
        <w:spacing w:after="0" w:line="1" w:lineRule="exact"/>
        <w:rPr>
          <w:rFonts w:ascii="Arial" w:cs="Arial" w:eastAsia="Arial" w:hAnsi="Arial"/>
          <w:sz w:val="10"/>
          <w:szCs w:val="10"/>
          <w:color w:val="auto"/>
        </w:rPr>
      </w:pPr>
    </w:p>
    <w:p>
      <w:pPr>
        <w:ind w:right="2440"/>
        <w:spacing w:after="0" w:line="198" w:lineRule="auto"/>
        <w:rPr>
          <w:sz w:val="20"/>
          <w:szCs w:val="20"/>
          <w:color w:val="auto"/>
        </w:rPr>
      </w:pPr>
      <w:r>
        <w:rPr>
          <w:rFonts w:ascii="Arial" w:cs="Arial" w:eastAsia="Arial" w:hAnsi="Arial"/>
          <w:sz w:val="10"/>
          <w:szCs w:val="10"/>
          <w:color w:val="auto"/>
        </w:rPr>
        <w:t>Items included in the financial statements of Genmab's entities are measured using the currency of the primary economic environment in which the entity operates (functional currency).The income statements for subsidiaries with a different functional currency than Genmab’s presentation currency are translated into Genmab’s presentation currency at average exchange rates, and the balance sheets are translated at the exchange rate in effect at the balance sheet date.</w:t>
      </w:r>
    </w:p>
    <w:p>
      <w:pPr>
        <w:spacing w:after="0" w:line="2" w:lineRule="exact"/>
        <w:rPr>
          <w:rFonts w:ascii="Arial" w:cs="Arial" w:eastAsia="Arial" w:hAnsi="Arial"/>
          <w:sz w:val="10"/>
          <w:szCs w:val="10"/>
          <w:color w:val="auto"/>
        </w:rPr>
      </w:pPr>
    </w:p>
    <w:p>
      <w:pPr>
        <w:ind w:right="2620"/>
        <w:spacing w:after="0" w:line="200" w:lineRule="auto"/>
        <w:rPr>
          <w:sz w:val="20"/>
          <w:szCs w:val="20"/>
          <w:color w:val="auto"/>
        </w:rPr>
      </w:pPr>
      <w:r>
        <w:rPr>
          <w:rFonts w:ascii="Arial" w:cs="Arial" w:eastAsia="Arial" w:hAnsi="Arial"/>
          <w:sz w:val="10"/>
          <w:szCs w:val="10"/>
          <w:color w:val="auto"/>
        </w:rPr>
        <w:t>Exchange rate differences arising from the translation of foreign subsidiaries shareholders’ equity at the beginning of the year and exchange rate differences arising as a result of foreign subsidiaries’ income statements being translated at average exchange rates are recorded in translation reserves in shareholders’ equity.</w:t>
      </w:r>
    </w:p>
    <w:p>
      <w:pPr>
        <w:spacing w:after="0" w:line="209" w:lineRule="auto"/>
        <w:rPr>
          <w:sz w:val="20"/>
          <w:szCs w:val="20"/>
          <w:color w:val="auto"/>
        </w:rPr>
      </w:pPr>
      <w:r>
        <w:rPr>
          <w:rFonts w:ascii="Arial" w:cs="Arial" w:eastAsia="Arial" w:hAnsi="Arial"/>
          <w:sz w:val="13"/>
          <w:szCs w:val="13"/>
          <w:b w:val="1"/>
          <w:bCs w:val="1"/>
          <w:color w:val="691A6B"/>
        </w:rPr>
        <w:t>Functional and Presentation Currency Change</w:t>
      </w:r>
    </w:p>
    <w:p>
      <w:pPr>
        <w:ind w:right="2580"/>
        <w:spacing w:after="0" w:line="198" w:lineRule="auto"/>
        <w:rPr>
          <w:sz w:val="20"/>
          <w:szCs w:val="20"/>
          <w:color w:val="auto"/>
        </w:rPr>
      </w:pPr>
      <w:r>
        <w:rPr>
          <w:rFonts w:ascii="Arial" w:cs="Arial" w:eastAsia="Arial" w:hAnsi="Arial"/>
          <w:sz w:val="10"/>
          <w:szCs w:val="10"/>
          <w:color w:val="auto"/>
        </w:rPr>
        <w:t>Management has determined it is appropriate to change both the functional currency of the Genmab A/S legal entity and the presentation currency of the consolidated financial statements from DKK to</w:t>
      </w:r>
    </w:p>
    <w:p>
      <w:pPr>
        <w:spacing w:after="0" w:line="1" w:lineRule="exact"/>
        <w:rPr>
          <w:rFonts w:ascii="Arial" w:cs="Arial" w:eastAsia="Arial" w:hAnsi="Arial"/>
          <w:sz w:val="10"/>
          <w:szCs w:val="10"/>
          <w:color w:val="auto"/>
        </w:rPr>
      </w:pPr>
    </w:p>
    <w:p>
      <w:pPr>
        <w:ind w:right="2440"/>
        <w:spacing w:after="0" w:line="198" w:lineRule="auto"/>
        <w:rPr>
          <w:sz w:val="20"/>
          <w:szCs w:val="20"/>
          <w:color w:val="auto"/>
        </w:rPr>
      </w:pPr>
      <w:r>
        <w:rPr>
          <w:rFonts w:ascii="Arial" w:cs="Arial" w:eastAsia="Arial" w:hAnsi="Arial"/>
          <w:sz w:val="10"/>
          <w:szCs w:val="10"/>
          <w:color w:val="auto"/>
        </w:rPr>
        <w:t>USD effective January 1, 2025. The change in functional currency was triggered by the expansion of commercialization of EPKINLY and was made to reflect that USD has become the predominant currency of the Genmab A/S legal entity. The change has been implemented with prospective effect. The change in presentation currency is applied retrospectively and was made to better reflect the Company’s financial position. Comparative figures for prior periods have been restated accordingly.</w:t>
      </w:r>
    </w:p>
    <w:p>
      <w:pPr>
        <w:spacing w:after="0" w:line="2" w:lineRule="exact"/>
        <w:rPr>
          <w:rFonts w:ascii="Arial" w:cs="Arial" w:eastAsia="Arial" w:hAnsi="Arial"/>
          <w:sz w:val="10"/>
          <w:szCs w:val="10"/>
          <w:color w:val="auto"/>
        </w:rPr>
      </w:pPr>
    </w:p>
    <w:p>
      <w:pPr>
        <w:ind w:right="2440"/>
        <w:spacing w:after="0" w:line="215" w:lineRule="auto"/>
        <w:rPr>
          <w:sz w:val="20"/>
          <w:szCs w:val="20"/>
          <w:color w:val="auto"/>
        </w:rPr>
      </w:pPr>
      <w:r>
        <w:rPr>
          <w:rFonts w:ascii="Arial" w:cs="Arial" w:eastAsia="Arial" w:hAnsi="Arial"/>
          <w:sz w:val="10"/>
          <w:szCs w:val="10"/>
          <w:color w:val="auto"/>
        </w:rPr>
        <w:t>The consolidated statements of comprehensive income and the consolidated statements of cash flows have been translated into the presentation currency using the average exchange rates prevailing during each reporting period. In the consolidated balance sheets, all assets and liabilities have been translated using the period-end exchange rates, and all resulting exchange differences have been recognized in other</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54"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112</w:t>
      </w:r>
    </w:p>
    <w:p>
      <w:pPr>
        <w:sectPr>
          <w:pgSz w:w="11900" w:h="16840" w:orient="portrait"/>
          <w:cols w:equalWidth="0" w:num="2">
            <w:col w:w="7400" w:space="720"/>
            <w:col w:w="1700"/>
          </w:cols>
          <w:pgMar w:left="640" w:top="1440" w:right="1440" w:bottom="503" w:gutter="0" w:footer="0" w:header="0"/>
        </w:sectPr>
      </w:pPr>
    </w:p>
    <w:bookmarkStart w:id="137" w:name="page138"/>
    <w:bookmarkEnd w:id="137"/>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113</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7" w:lineRule="auto"/>
        <w:rPr>
          <w:sz w:val="20"/>
          <w:szCs w:val="20"/>
          <w:color w:val="auto"/>
        </w:rPr>
      </w:pPr>
      <w:r>
        <w:rPr>
          <w:rFonts w:ascii="Arial" w:cs="Arial" w:eastAsia="Arial" w:hAnsi="Arial"/>
          <w:sz w:val="10"/>
          <w:szCs w:val="10"/>
          <w:color w:val="auto"/>
        </w:rPr>
        <w:t>The DKK/USD exchange rates used to reflect the change in presentation currency were as follows:</w:t>
      </w:r>
    </w:p>
    <w:tbl>
      <w:tblPr>
        <w:tblLayout w:type="fixed"/>
        <w:tblInd w:w="0" w:type="dxa"/>
        <w:tblCellMar>
          <w:top w:w="0" w:type="dxa"/>
          <w:left w:w="0" w:type="dxa"/>
          <w:bottom w:w="0" w:type="dxa"/>
          <w:right w:w="0" w:type="dxa"/>
        </w:tblCellMar>
      </w:tblPr>
      <w:tr>
        <w:trPr>
          <w:trHeight w:val="123"/>
        </w:trPr>
        <w:tc>
          <w:tcPr>
            <w:tcW w:w="920" w:type="dxa"/>
            <w:vAlign w:val="bottom"/>
            <w:tcBorders>
              <w:top w:val="single" w:sz="8" w:color="691A6B"/>
            </w:tcBorders>
          </w:tcPr>
          <w:p>
            <w:pPr>
              <w:spacing w:after="0"/>
              <w:rPr>
                <w:sz w:val="10"/>
                <w:szCs w:val="10"/>
                <w:color w:val="auto"/>
              </w:rPr>
            </w:pPr>
          </w:p>
        </w:tc>
        <w:tc>
          <w:tcPr>
            <w:tcW w:w="1120" w:type="dxa"/>
            <w:vAlign w:val="bottom"/>
            <w:tcBorders>
              <w:top w:val="single" w:sz="8" w:color="691A6B"/>
            </w:tcBorders>
          </w:tcPr>
          <w:p>
            <w:pPr>
              <w:ind w:left="260"/>
              <w:spacing w:after="0"/>
              <w:rPr>
                <w:sz w:val="20"/>
                <w:szCs w:val="20"/>
                <w:color w:val="auto"/>
              </w:rPr>
            </w:pPr>
            <w:r>
              <w:rPr>
                <w:rFonts w:ascii="Arial" w:cs="Arial" w:eastAsia="Arial" w:hAnsi="Arial"/>
                <w:sz w:val="10"/>
                <w:szCs w:val="10"/>
                <w:b w:val="1"/>
                <w:bCs w:val="1"/>
                <w:color w:val="auto"/>
              </w:rPr>
              <w:t>2020</w:t>
            </w:r>
          </w:p>
        </w:tc>
        <w:tc>
          <w:tcPr>
            <w:tcW w:w="840" w:type="dxa"/>
            <w:vAlign w:val="bottom"/>
            <w:tcBorders>
              <w:top w:val="single" w:sz="8" w:color="691A6B"/>
            </w:tcBorders>
          </w:tcPr>
          <w:p>
            <w:pPr>
              <w:ind w:left="60"/>
              <w:spacing w:after="0"/>
              <w:rPr>
                <w:sz w:val="20"/>
                <w:szCs w:val="20"/>
                <w:color w:val="auto"/>
              </w:rPr>
            </w:pPr>
            <w:r>
              <w:rPr>
                <w:rFonts w:ascii="Arial" w:cs="Arial" w:eastAsia="Arial" w:hAnsi="Arial"/>
                <w:sz w:val="10"/>
                <w:szCs w:val="10"/>
                <w:b w:val="1"/>
                <w:bCs w:val="1"/>
                <w:color w:val="auto"/>
              </w:rPr>
              <w:t>2021</w:t>
            </w:r>
          </w:p>
        </w:tc>
        <w:tc>
          <w:tcPr>
            <w:tcW w:w="720" w:type="dxa"/>
            <w:vAlign w:val="bottom"/>
            <w:tcBorders>
              <w:top w:val="single" w:sz="8" w:color="691A6B"/>
            </w:tcBorders>
          </w:tcPr>
          <w:p>
            <w:pPr>
              <w:ind w:left="160"/>
              <w:spacing w:after="0"/>
              <w:rPr>
                <w:sz w:val="20"/>
                <w:szCs w:val="20"/>
                <w:color w:val="auto"/>
              </w:rPr>
            </w:pPr>
            <w:r>
              <w:rPr>
                <w:rFonts w:ascii="Arial" w:cs="Arial" w:eastAsia="Arial" w:hAnsi="Arial"/>
                <w:sz w:val="10"/>
                <w:szCs w:val="10"/>
                <w:b w:val="1"/>
                <w:bCs w:val="1"/>
                <w:color w:val="auto"/>
              </w:rPr>
              <w:t>2022</w:t>
            </w:r>
          </w:p>
        </w:tc>
        <w:tc>
          <w:tcPr>
            <w:tcW w:w="340" w:type="dxa"/>
            <w:vAlign w:val="bottom"/>
            <w:tcBorders>
              <w:top w:val="single" w:sz="8" w:color="691A6B"/>
            </w:tcBorders>
          </w:tcPr>
          <w:p>
            <w:pPr>
              <w:spacing w:after="0"/>
              <w:rPr>
                <w:sz w:val="10"/>
                <w:szCs w:val="10"/>
                <w:color w:val="auto"/>
              </w:rPr>
            </w:pPr>
          </w:p>
        </w:tc>
        <w:tc>
          <w:tcPr>
            <w:tcW w:w="30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2023</w:t>
            </w:r>
          </w:p>
        </w:tc>
        <w:tc>
          <w:tcPr>
            <w:tcW w:w="640" w:type="dxa"/>
            <w:vAlign w:val="bottom"/>
            <w:tcBorders>
              <w:top w:val="single" w:sz="8" w:color="691A6B"/>
            </w:tcBorders>
          </w:tcPr>
          <w:p>
            <w:pPr>
              <w:spacing w:after="0"/>
              <w:rPr>
                <w:sz w:val="10"/>
                <w:szCs w:val="10"/>
                <w:color w:val="auto"/>
              </w:rPr>
            </w:pPr>
          </w:p>
        </w:tc>
        <w:tc>
          <w:tcPr>
            <w:tcW w:w="20" w:type="dxa"/>
            <w:vAlign w:val="bottom"/>
            <w:tcBorders>
              <w:top w:val="single" w:sz="8" w:color="691A6B"/>
            </w:tcBorders>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920" w:type="dxa"/>
            <w:vAlign w:val="bottom"/>
          </w:tcPr>
          <w:p>
            <w:pPr>
              <w:ind w:left="20"/>
              <w:spacing w:after="0"/>
              <w:rPr>
                <w:sz w:val="20"/>
                <w:szCs w:val="20"/>
                <w:color w:val="auto"/>
              </w:rPr>
            </w:pPr>
            <w:r>
              <w:rPr>
                <w:rFonts w:ascii="Arial" w:cs="Arial" w:eastAsia="Arial" w:hAnsi="Arial"/>
                <w:sz w:val="10"/>
                <w:szCs w:val="10"/>
                <w:color w:val="auto"/>
              </w:rPr>
              <w:t>Average rate</w:t>
            </w:r>
          </w:p>
        </w:tc>
        <w:tc>
          <w:tcPr>
            <w:tcW w:w="1120" w:type="dxa"/>
            <w:vAlign w:val="bottom"/>
          </w:tcPr>
          <w:p>
            <w:pPr>
              <w:ind w:left="260"/>
              <w:spacing w:after="0"/>
              <w:rPr>
                <w:sz w:val="20"/>
                <w:szCs w:val="20"/>
                <w:color w:val="auto"/>
              </w:rPr>
            </w:pPr>
            <w:r>
              <w:rPr>
                <w:rFonts w:ascii="Arial" w:cs="Arial" w:eastAsia="Arial" w:hAnsi="Arial"/>
                <w:sz w:val="10"/>
                <w:szCs w:val="10"/>
                <w:color w:val="auto"/>
              </w:rPr>
              <w:t>0.1530</w:t>
            </w:r>
          </w:p>
        </w:tc>
        <w:tc>
          <w:tcPr>
            <w:tcW w:w="840" w:type="dxa"/>
            <w:vAlign w:val="bottom"/>
          </w:tcPr>
          <w:p>
            <w:pPr>
              <w:ind w:left="60"/>
              <w:spacing w:after="0"/>
              <w:rPr>
                <w:sz w:val="20"/>
                <w:szCs w:val="20"/>
                <w:color w:val="auto"/>
              </w:rPr>
            </w:pPr>
            <w:r>
              <w:rPr>
                <w:rFonts w:ascii="Arial" w:cs="Arial" w:eastAsia="Arial" w:hAnsi="Arial"/>
                <w:sz w:val="10"/>
                <w:szCs w:val="10"/>
                <w:color w:val="auto"/>
              </w:rPr>
              <w:t>NA</w:t>
            </w:r>
          </w:p>
        </w:tc>
        <w:tc>
          <w:tcPr>
            <w:tcW w:w="720" w:type="dxa"/>
            <w:vAlign w:val="bottom"/>
          </w:tcPr>
          <w:p>
            <w:pPr>
              <w:ind w:left="160"/>
              <w:spacing w:after="0"/>
              <w:rPr>
                <w:sz w:val="20"/>
                <w:szCs w:val="20"/>
                <w:color w:val="auto"/>
              </w:rPr>
            </w:pPr>
            <w:r>
              <w:rPr>
                <w:rFonts w:ascii="Arial" w:cs="Arial" w:eastAsia="Arial" w:hAnsi="Arial"/>
                <w:sz w:val="10"/>
                <w:szCs w:val="10"/>
                <w:color w:val="auto"/>
              </w:rPr>
              <w:t>0.1415</w:t>
            </w:r>
          </w:p>
        </w:tc>
        <w:tc>
          <w:tcPr>
            <w:tcW w:w="34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color w:val="auto"/>
              </w:rPr>
              <w:t>0.1451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2"/>
        </w:trPr>
        <w:tc>
          <w:tcPr>
            <w:tcW w:w="920" w:type="dxa"/>
            <w:vAlign w:val="bottom"/>
          </w:tcPr>
          <w:p>
            <w:pPr>
              <w:ind w:left="20"/>
              <w:spacing w:after="0"/>
              <w:rPr>
                <w:sz w:val="20"/>
                <w:szCs w:val="20"/>
                <w:color w:val="auto"/>
              </w:rPr>
            </w:pPr>
            <w:r>
              <w:rPr>
                <w:rFonts w:ascii="Arial" w:cs="Arial" w:eastAsia="Arial" w:hAnsi="Arial"/>
                <w:sz w:val="10"/>
                <w:szCs w:val="10"/>
                <w:color w:val="auto"/>
              </w:rPr>
              <w:t>Closing rate</w:t>
            </w:r>
          </w:p>
        </w:tc>
        <w:tc>
          <w:tcPr>
            <w:tcW w:w="1120" w:type="dxa"/>
            <w:vAlign w:val="bottom"/>
          </w:tcPr>
          <w:p>
            <w:pPr>
              <w:ind w:left="260"/>
              <w:spacing w:after="0"/>
              <w:rPr>
                <w:sz w:val="20"/>
                <w:szCs w:val="20"/>
                <w:color w:val="auto"/>
              </w:rPr>
            </w:pPr>
            <w:r>
              <w:rPr>
                <w:rFonts w:ascii="Arial" w:cs="Arial" w:eastAsia="Arial" w:hAnsi="Arial"/>
                <w:sz w:val="10"/>
                <w:szCs w:val="10"/>
                <w:color w:val="auto"/>
              </w:rPr>
              <w:t>N/A</w:t>
            </w:r>
          </w:p>
        </w:tc>
        <w:tc>
          <w:tcPr>
            <w:tcW w:w="840" w:type="dxa"/>
            <w:vAlign w:val="bottom"/>
          </w:tcPr>
          <w:p>
            <w:pPr>
              <w:ind w:left="60"/>
              <w:spacing w:after="0"/>
              <w:rPr>
                <w:sz w:val="20"/>
                <w:szCs w:val="20"/>
                <w:color w:val="auto"/>
              </w:rPr>
            </w:pPr>
            <w:r>
              <w:rPr>
                <w:rFonts w:ascii="Arial" w:cs="Arial" w:eastAsia="Arial" w:hAnsi="Arial"/>
                <w:sz w:val="10"/>
                <w:szCs w:val="10"/>
                <w:color w:val="auto"/>
              </w:rPr>
              <w:t>0.1524</w:t>
            </w:r>
          </w:p>
        </w:tc>
        <w:tc>
          <w:tcPr>
            <w:tcW w:w="720" w:type="dxa"/>
            <w:vAlign w:val="bottom"/>
          </w:tcPr>
          <w:p>
            <w:pPr>
              <w:ind w:left="160"/>
              <w:spacing w:after="0"/>
              <w:rPr>
                <w:sz w:val="20"/>
                <w:szCs w:val="20"/>
                <w:color w:val="auto"/>
              </w:rPr>
            </w:pPr>
            <w:r>
              <w:rPr>
                <w:rFonts w:ascii="Arial" w:cs="Arial" w:eastAsia="Arial" w:hAnsi="Arial"/>
                <w:sz w:val="10"/>
                <w:szCs w:val="10"/>
                <w:color w:val="auto"/>
              </w:rPr>
              <w:t>0.1434</w:t>
            </w:r>
          </w:p>
        </w:tc>
        <w:tc>
          <w:tcPr>
            <w:tcW w:w="3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color w:val="auto"/>
              </w:rPr>
              <w:t>0.1483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
        </w:trPr>
        <w:tc>
          <w:tcPr>
            <w:tcW w:w="920" w:type="dxa"/>
            <w:vAlign w:val="bottom"/>
            <w:tcBorders>
              <w:bottom w:val="single" w:sz="8" w:color="691A6B"/>
            </w:tcBorders>
          </w:tcPr>
          <w:p>
            <w:pPr>
              <w:spacing w:after="0"/>
              <w:rPr>
                <w:sz w:val="2"/>
                <w:szCs w:val="2"/>
                <w:color w:val="auto"/>
              </w:rPr>
            </w:pPr>
          </w:p>
        </w:tc>
        <w:tc>
          <w:tcPr>
            <w:tcW w:w="1120" w:type="dxa"/>
            <w:vAlign w:val="bottom"/>
            <w:tcBorders>
              <w:bottom w:val="single" w:sz="8" w:color="691A6B"/>
            </w:tcBorders>
          </w:tcPr>
          <w:p>
            <w:pPr>
              <w:spacing w:after="0"/>
              <w:rPr>
                <w:sz w:val="2"/>
                <w:szCs w:val="2"/>
                <w:color w:val="auto"/>
              </w:rPr>
            </w:pPr>
          </w:p>
        </w:tc>
        <w:tc>
          <w:tcPr>
            <w:tcW w:w="840" w:type="dxa"/>
            <w:vAlign w:val="bottom"/>
            <w:tcBorders>
              <w:bottom w:val="single" w:sz="8" w:color="691A6B"/>
            </w:tcBorders>
          </w:tcPr>
          <w:p>
            <w:pPr>
              <w:spacing w:after="0"/>
              <w:rPr>
                <w:sz w:val="2"/>
                <w:szCs w:val="2"/>
                <w:color w:val="auto"/>
              </w:rPr>
            </w:pPr>
          </w:p>
        </w:tc>
        <w:tc>
          <w:tcPr>
            <w:tcW w:w="720" w:type="dxa"/>
            <w:vAlign w:val="bottom"/>
            <w:tcBorders>
              <w:bottom w:val="single" w:sz="8" w:color="691A6B"/>
            </w:tcBorders>
          </w:tcPr>
          <w:p>
            <w:pPr>
              <w:spacing w:after="0"/>
              <w:rPr>
                <w:sz w:val="2"/>
                <w:szCs w:val="2"/>
                <w:color w:val="auto"/>
              </w:rPr>
            </w:pPr>
          </w:p>
        </w:tc>
        <w:tc>
          <w:tcPr>
            <w:tcW w:w="640" w:type="dxa"/>
            <w:vAlign w:val="bottom"/>
            <w:tcBorders>
              <w:bottom w:val="single" w:sz="8" w:color="691A6B"/>
            </w:tcBorders>
            <w:gridSpan w:val="2"/>
          </w:tcPr>
          <w:p>
            <w:pPr>
              <w:spacing w:after="0"/>
              <w:rPr>
                <w:sz w:val="2"/>
                <w:szCs w:val="2"/>
                <w:color w:val="auto"/>
              </w:rPr>
            </w:pPr>
          </w:p>
        </w:tc>
        <w:tc>
          <w:tcPr>
            <w:tcW w:w="640" w:type="dxa"/>
            <w:vAlign w:val="bottom"/>
            <w:tcBorders>
              <w:bottom w:val="single" w:sz="8" w:color="691A6B"/>
            </w:tcBorders>
          </w:tcPr>
          <w:p>
            <w:pPr>
              <w:spacing w:after="0"/>
              <w:rPr>
                <w:sz w:val="2"/>
                <w:szCs w:val="2"/>
                <w:color w:val="auto"/>
              </w:rPr>
            </w:pPr>
          </w:p>
        </w:tc>
        <w:tc>
          <w:tcPr>
            <w:tcW w:w="20" w:type="dxa"/>
            <w:vAlign w:val="bottom"/>
            <w:tcBorders>
              <w:bottom w:val="single" w:sz="8" w:color="691A6B"/>
            </w:tcBorders>
          </w:tcPr>
          <w:p>
            <w:pPr>
              <w:spacing w:after="0"/>
              <w:rPr>
                <w:sz w:val="2"/>
                <w:szCs w:val="2"/>
                <w:color w:val="auto"/>
              </w:rPr>
            </w:pPr>
          </w:p>
        </w:tc>
        <w:tc>
          <w:tcPr>
            <w:tcW w:w="20" w:type="dxa"/>
            <w:vAlign w:val="bottom"/>
            <w:tcBorders>
              <w:bottom w:val="single" w:sz="8" w:color="691A6B"/>
            </w:tcBorders>
          </w:tcPr>
          <w:p>
            <w:pPr>
              <w:spacing w:after="0"/>
              <w:rPr>
                <w:sz w:val="2"/>
                <w:szCs w:val="2"/>
                <w:color w:val="auto"/>
              </w:rPr>
            </w:pPr>
          </w:p>
        </w:tc>
      </w:tr>
      <w:tr>
        <w:trPr>
          <w:trHeight w:val="123"/>
        </w:trPr>
        <w:tc>
          <w:tcPr>
            <w:tcW w:w="920" w:type="dxa"/>
            <w:vAlign w:val="bottom"/>
          </w:tcPr>
          <w:p>
            <w:pPr>
              <w:spacing w:after="0"/>
              <w:rPr>
                <w:sz w:val="10"/>
                <w:szCs w:val="10"/>
                <w:color w:val="auto"/>
              </w:rPr>
            </w:pPr>
          </w:p>
        </w:tc>
        <w:tc>
          <w:tcPr>
            <w:tcW w:w="1120" w:type="dxa"/>
            <w:vAlign w:val="bottom"/>
          </w:tcPr>
          <w:p>
            <w:pPr>
              <w:ind w:left="720"/>
              <w:spacing w:after="0"/>
              <w:rPr>
                <w:sz w:val="20"/>
                <w:szCs w:val="20"/>
                <w:color w:val="auto"/>
              </w:rPr>
            </w:pPr>
            <w:r>
              <w:rPr>
                <w:rFonts w:ascii="Arial" w:cs="Arial" w:eastAsia="Arial" w:hAnsi="Arial"/>
                <w:sz w:val="10"/>
                <w:szCs w:val="10"/>
                <w:b w:val="1"/>
                <w:bCs w:val="1"/>
                <w:color w:val="auto"/>
                <w:w w:val="98"/>
              </w:rPr>
              <w:t>Q1 2024</w:t>
            </w:r>
          </w:p>
        </w:tc>
        <w:tc>
          <w:tcPr>
            <w:tcW w:w="840" w:type="dxa"/>
            <w:vAlign w:val="bottom"/>
          </w:tcPr>
          <w:p>
            <w:pPr>
              <w:ind w:left="260"/>
              <w:spacing w:after="0"/>
              <w:rPr>
                <w:sz w:val="20"/>
                <w:szCs w:val="20"/>
                <w:color w:val="auto"/>
              </w:rPr>
            </w:pPr>
            <w:r>
              <w:rPr>
                <w:rFonts w:ascii="Arial" w:cs="Arial" w:eastAsia="Arial" w:hAnsi="Arial"/>
                <w:sz w:val="10"/>
                <w:szCs w:val="10"/>
                <w:b w:val="1"/>
                <w:bCs w:val="1"/>
                <w:color w:val="auto"/>
              </w:rPr>
              <w:t>Q2 2024</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Q3 2024</w:t>
            </w:r>
          </w:p>
        </w:tc>
        <w:tc>
          <w:tcPr>
            <w:tcW w:w="640" w:type="dxa"/>
            <w:vAlign w:val="bottom"/>
            <w:gridSpan w:val="2"/>
          </w:tcPr>
          <w:p>
            <w:pPr>
              <w:ind w:left="20"/>
              <w:spacing w:after="0"/>
              <w:rPr>
                <w:sz w:val="20"/>
                <w:szCs w:val="20"/>
                <w:color w:val="auto"/>
              </w:rPr>
            </w:pPr>
            <w:r>
              <w:rPr>
                <w:rFonts w:ascii="Arial" w:cs="Arial" w:eastAsia="Arial" w:hAnsi="Arial"/>
                <w:sz w:val="10"/>
                <w:szCs w:val="10"/>
                <w:b w:val="1"/>
                <w:bCs w:val="1"/>
                <w:color w:val="auto"/>
              </w:rPr>
              <w:t>Q4 2024</w:t>
            </w: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920" w:type="dxa"/>
            <w:vAlign w:val="bottom"/>
          </w:tcPr>
          <w:p>
            <w:pPr>
              <w:ind w:left="20"/>
              <w:spacing w:after="0"/>
              <w:rPr>
                <w:sz w:val="20"/>
                <w:szCs w:val="20"/>
                <w:color w:val="auto"/>
              </w:rPr>
            </w:pPr>
            <w:r>
              <w:rPr>
                <w:rFonts w:ascii="Arial" w:cs="Arial" w:eastAsia="Arial" w:hAnsi="Arial"/>
                <w:sz w:val="10"/>
                <w:szCs w:val="10"/>
                <w:color w:val="auto"/>
              </w:rPr>
              <w:t>Average rate</w:t>
            </w:r>
          </w:p>
        </w:tc>
        <w:tc>
          <w:tcPr>
            <w:tcW w:w="1120" w:type="dxa"/>
            <w:vAlign w:val="bottom"/>
          </w:tcPr>
          <w:p>
            <w:pPr>
              <w:ind w:left="720"/>
              <w:spacing w:after="0"/>
              <w:rPr>
                <w:sz w:val="20"/>
                <w:szCs w:val="20"/>
                <w:color w:val="auto"/>
              </w:rPr>
            </w:pPr>
            <w:r>
              <w:rPr>
                <w:rFonts w:ascii="Arial" w:cs="Arial" w:eastAsia="Arial" w:hAnsi="Arial"/>
                <w:sz w:val="10"/>
                <w:szCs w:val="10"/>
                <w:color w:val="auto"/>
              </w:rPr>
              <w:t>0.1456</w:t>
            </w:r>
          </w:p>
        </w:tc>
        <w:tc>
          <w:tcPr>
            <w:tcW w:w="840" w:type="dxa"/>
            <w:vAlign w:val="bottom"/>
          </w:tcPr>
          <w:p>
            <w:pPr>
              <w:ind w:left="260"/>
              <w:spacing w:after="0"/>
              <w:rPr>
                <w:sz w:val="20"/>
                <w:szCs w:val="20"/>
                <w:color w:val="auto"/>
              </w:rPr>
            </w:pPr>
            <w:r>
              <w:rPr>
                <w:rFonts w:ascii="Arial" w:cs="Arial" w:eastAsia="Arial" w:hAnsi="Arial"/>
                <w:sz w:val="10"/>
                <w:szCs w:val="10"/>
                <w:color w:val="auto"/>
              </w:rPr>
              <w:t>0.1443</w:t>
            </w:r>
          </w:p>
        </w:tc>
        <w:tc>
          <w:tcPr>
            <w:tcW w:w="720" w:type="dxa"/>
            <w:vAlign w:val="bottom"/>
          </w:tcPr>
          <w:p>
            <w:pPr>
              <w:ind w:left="80"/>
              <w:spacing w:after="0"/>
              <w:rPr>
                <w:sz w:val="20"/>
                <w:szCs w:val="20"/>
                <w:color w:val="auto"/>
              </w:rPr>
            </w:pPr>
            <w:r>
              <w:rPr>
                <w:rFonts w:ascii="Arial" w:cs="Arial" w:eastAsia="Arial" w:hAnsi="Arial"/>
                <w:sz w:val="10"/>
                <w:szCs w:val="10"/>
                <w:color w:val="auto"/>
              </w:rPr>
              <w:t>0.1472</w:t>
            </w:r>
          </w:p>
        </w:tc>
        <w:tc>
          <w:tcPr>
            <w:tcW w:w="340" w:type="dxa"/>
            <w:vAlign w:val="bottom"/>
          </w:tcPr>
          <w:p>
            <w:pPr>
              <w:ind w:left="20"/>
              <w:spacing w:after="0"/>
              <w:rPr>
                <w:sz w:val="20"/>
                <w:szCs w:val="20"/>
                <w:color w:val="auto"/>
              </w:rPr>
            </w:pPr>
            <w:r>
              <w:rPr>
                <w:rFonts w:ascii="Arial" w:cs="Arial" w:eastAsia="Arial" w:hAnsi="Arial"/>
                <w:sz w:val="10"/>
                <w:szCs w:val="10"/>
                <w:color w:val="auto"/>
                <w:w w:val="97"/>
              </w:rPr>
              <w:t>0.1433</w:t>
            </w:r>
          </w:p>
        </w:tc>
        <w:tc>
          <w:tcPr>
            <w:tcW w:w="30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0"/>
                <w:szCs w:val="10"/>
                <w:color w:val="auto"/>
              </w:rPr>
              <w:t>0.1452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2"/>
        </w:trPr>
        <w:tc>
          <w:tcPr>
            <w:tcW w:w="920" w:type="dxa"/>
            <w:vAlign w:val="bottom"/>
          </w:tcPr>
          <w:p>
            <w:pPr>
              <w:ind w:left="20"/>
              <w:spacing w:after="0"/>
              <w:rPr>
                <w:sz w:val="20"/>
                <w:szCs w:val="20"/>
                <w:color w:val="auto"/>
              </w:rPr>
            </w:pPr>
            <w:r>
              <w:rPr>
                <w:rFonts w:ascii="Arial" w:cs="Arial" w:eastAsia="Arial" w:hAnsi="Arial"/>
                <w:sz w:val="10"/>
                <w:szCs w:val="10"/>
                <w:color w:val="auto"/>
              </w:rPr>
              <w:t>Closing rate</w:t>
            </w:r>
          </w:p>
        </w:tc>
        <w:tc>
          <w:tcPr>
            <w:tcW w:w="1120" w:type="dxa"/>
            <w:vAlign w:val="bottom"/>
          </w:tcPr>
          <w:p>
            <w:pPr>
              <w:ind w:left="720"/>
              <w:spacing w:after="0"/>
              <w:rPr>
                <w:sz w:val="20"/>
                <w:szCs w:val="20"/>
                <w:color w:val="auto"/>
              </w:rPr>
            </w:pPr>
            <w:r>
              <w:rPr>
                <w:rFonts w:ascii="Arial" w:cs="Arial" w:eastAsia="Arial" w:hAnsi="Arial"/>
                <w:sz w:val="10"/>
                <w:szCs w:val="10"/>
                <w:color w:val="auto"/>
              </w:rPr>
              <w:t>0.1450</w:t>
            </w:r>
          </w:p>
        </w:tc>
        <w:tc>
          <w:tcPr>
            <w:tcW w:w="840" w:type="dxa"/>
            <w:vAlign w:val="bottom"/>
          </w:tcPr>
          <w:p>
            <w:pPr>
              <w:ind w:left="260"/>
              <w:spacing w:after="0"/>
              <w:rPr>
                <w:sz w:val="20"/>
                <w:szCs w:val="20"/>
                <w:color w:val="auto"/>
              </w:rPr>
            </w:pPr>
            <w:r>
              <w:rPr>
                <w:rFonts w:ascii="Arial" w:cs="Arial" w:eastAsia="Arial" w:hAnsi="Arial"/>
                <w:sz w:val="10"/>
                <w:szCs w:val="10"/>
                <w:color w:val="auto"/>
              </w:rPr>
              <w:t>0.1435</w:t>
            </w:r>
          </w:p>
        </w:tc>
        <w:tc>
          <w:tcPr>
            <w:tcW w:w="720" w:type="dxa"/>
            <w:vAlign w:val="bottom"/>
          </w:tcPr>
          <w:p>
            <w:pPr>
              <w:ind w:left="80"/>
              <w:spacing w:after="0"/>
              <w:rPr>
                <w:sz w:val="20"/>
                <w:szCs w:val="20"/>
                <w:color w:val="auto"/>
              </w:rPr>
            </w:pPr>
            <w:r>
              <w:rPr>
                <w:rFonts w:ascii="Arial" w:cs="Arial" w:eastAsia="Arial" w:hAnsi="Arial"/>
                <w:sz w:val="10"/>
                <w:szCs w:val="10"/>
                <w:color w:val="auto"/>
              </w:rPr>
              <w:t>0.1502</w:t>
            </w:r>
          </w:p>
        </w:tc>
        <w:tc>
          <w:tcPr>
            <w:tcW w:w="340" w:type="dxa"/>
            <w:vAlign w:val="bottom"/>
          </w:tcPr>
          <w:p>
            <w:pPr>
              <w:ind w:left="20"/>
              <w:spacing w:after="0"/>
              <w:rPr>
                <w:sz w:val="20"/>
                <w:szCs w:val="20"/>
                <w:color w:val="auto"/>
              </w:rPr>
            </w:pPr>
            <w:r>
              <w:rPr>
                <w:rFonts w:ascii="Arial" w:cs="Arial" w:eastAsia="Arial" w:hAnsi="Arial"/>
                <w:sz w:val="10"/>
                <w:szCs w:val="10"/>
                <w:color w:val="auto"/>
                <w:w w:val="97"/>
              </w:rPr>
              <w:t>0.1400</w:t>
            </w:r>
          </w:p>
        </w:tc>
        <w:tc>
          <w:tcPr>
            <w:tcW w:w="30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0"/>
                <w:szCs w:val="10"/>
                <w:color w:val="auto"/>
              </w:rPr>
              <w:t>0.1400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1"/>
        </w:trPr>
        <w:tc>
          <w:tcPr>
            <w:tcW w:w="4900" w:type="dxa"/>
            <w:vAlign w:val="bottom"/>
            <w:gridSpan w:val="8"/>
          </w:tcPr>
          <w:p>
            <w:pPr>
              <w:spacing w:after="0" w:line="111" w:lineRule="exact"/>
              <w:rPr>
                <w:sz w:val="20"/>
                <w:szCs w:val="20"/>
                <w:color w:val="auto"/>
              </w:rPr>
            </w:pPr>
            <w:r>
              <w:rPr>
                <w:rFonts w:ascii="Arial" w:cs="Arial" w:eastAsia="Arial" w:hAnsi="Arial"/>
                <w:sz w:val="10"/>
                <w:szCs w:val="10"/>
                <w:color w:val="auto"/>
              </w:rPr>
              <w:t>The change in presentation currency resulted in the following impact on the December 31, 2024</w:t>
            </w:r>
          </w:p>
        </w:tc>
        <w:tc>
          <w:tcPr>
            <w:tcW w:w="20" w:type="dxa"/>
            <w:vAlign w:val="bottom"/>
          </w:tcPr>
          <w:p>
            <w:pPr>
              <w:spacing w:after="0"/>
              <w:rPr>
                <w:sz w:val="9"/>
                <w:szCs w:val="9"/>
                <w:color w:val="auto"/>
              </w:rPr>
            </w:pPr>
          </w:p>
        </w:tc>
      </w:tr>
      <w:tr>
        <w:trPr>
          <w:trHeight w:val="105"/>
        </w:trPr>
        <w:tc>
          <w:tcPr>
            <w:tcW w:w="2040" w:type="dxa"/>
            <w:vAlign w:val="bottom"/>
            <w:tcBorders>
              <w:bottom w:val="single" w:sz="8" w:color="691A6B"/>
            </w:tcBorders>
            <w:gridSpan w:val="2"/>
          </w:tcPr>
          <w:p>
            <w:pPr>
              <w:spacing w:after="0" w:line="105" w:lineRule="exact"/>
              <w:rPr>
                <w:sz w:val="20"/>
                <w:szCs w:val="20"/>
                <w:color w:val="auto"/>
              </w:rPr>
            </w:pPr>
            <w:r>
              <w:rPr>
                <w:rFonts w:ascii="Arial" w:cs="Arial" w:eastAsia="Arial" w:hAnsi="Arial"/>
                <w:sz w:val="10"/>
                <w:szCs w:val="10"/>
                <w:color w:val="auto"/>
              </w:rPr>
              <w:t>consolidated balance sheet:</w:t>
            </w:r>
          </w:p>
        </w:tc>
        <w:tc>
          <w:tcPr>
            <w:tcW w:w="840" w:type="dxa"/>
            <w:vAlign w:val="bottom"/>
            <w:tcBorders>
              <w:bottom w:val="single" w:sz="8" w:color="691A6B"/>
            </w:tcBorders>
          </w:tcPr>
          <w:p>
            <w:pPr>
              <w:spacing w:after="0"/>
              <w:rPr>
                <w:sz w:val="9"/>
                <w:szCs w:val="9"/>
                <w:color w:val="auto"/>
              </w:rPr>
            </w:pPr>
          </w:p>
        </w:tc>
        <w:tc>
          <w:tcPr>
            <w:tcW w:w="720" w:type="dxa"/>
            <w:vAlign w:val="bottom"/>
            <w:tcBorders>
              <w:bottom w:val="single" w:sz="8" w:color="691A6B"/>
            </w:tcBorders>
          </w:tcPr>
          <w:p>
            <w:pPr>
              <w:spacing w:after="0"/>
              <w:rPr>
                <w:sz w:val="9"/>
                <w:szCs w:val="9"/>
                <w:color w:val="auto"/>
              </w:rPr>
            </w:pPr>
          </w:p>
        </w:tc>
        <w:tc>
          <w:tcPr>
            <w:tcW w:w="340" w:type="dxa"/>
            <w:vAlign w:val="bottom"/>
            <w:tcBorders>
              <w:bottom w:val="single" w:sz="8" w:color="691A6B"/>
            </w:tcBorders>
          </w:tcPr>
          <w:p>
            <w:pPr>
              <w:spacing w:after="0"/>
              <w:rPr>
                <w:sz w:val="9"/>
                <w:szCs w:val="9"/>
                <w:color w:val="auto"/>
              </w:rPr>
            </w:pPr>
          </w:p>
        </w:tc>
        <w:tc>
          <w:tcPr>
            <w:tcW w:w="300" w:type="dxa"/>
            <w:vAlign w:val="bottom"/>
            <w:tcBorders>
              <w:bottom w:val="single" w:sz="8" w:color="691A6B"/>
            </w:tcBorders>
          </w:tcPr>
          <w:p>
            <w:pPr>
              <w:spacing w:after="0"/>
              <w:rPr>
                <w:sz w:val="9"/>
                <w:szCs w:val="9"/>
                <w:color w:val="auto"/>
              </w:rPr>
            </w:pPr>
          </w:p>
        </w:tc>
        <w:tc>
          <w:tcPr>
            <w:tcW w:w="640" w:type="dxa"/>
            <w:vAlign w:val="bottom"/>
            <w:tcBorders>
              <w:bottom w:val="single" w:sz="8" w:color="691A6B"/>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5"/>
        </w:trPr>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Previously</w:t>
            </w: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Reported in USD</w:t>
            </w:r>
          </w:p>
        </w:tc>
        <w:tc>
          <w:tcPr>
            <w:tcW w:w="20" w:type="dxa"/>
            <w:vAlign w:val="bottom"/>
          </w:tcPr>
          <w:p>
            <w:pPr>
              <w:spacing w:after="0"/>
              <w:rPr>
                <w:sz w:val="8"/>
                <w:szCs w:val="8"/>
                <w:color w:val="auto"/>
              </w:rPr>
            </w:pPr>
          </w:p>
        </w:tc>
      </w:tr>
      <w:tr>
        <w:trPr>
          <w:trHeight w:val="128"/>
        </w:trPr>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w w:val="99"/>
              </w:rPr>
              <w:t>reported in DKK</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9"/>
        </w:trPr>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Pr>
          <w:p>
            <w:pPr>
              <w:ind w:left="140"/>
              <w:spacing w:after="0"/>
              <w:rPr>
                <w:sz w:val="20"/>
                <w:szCs w:val="20"/>
                <w:color w:val="auto"/>
              </w:rPr>
            </w:pPr>
            <w:r>
              <w:rPr>
                <w:rFonts w:ascii="Arial" w:cs="Arial" w:eastAsia="Arial" w:hAnsi="Arial"/>
                <w:sz w:val="10"/>
                <w:szCs w:val="10"/>
                <w:b w:val="1"/>
                <w:bCs w:val="1"/>
                <w:color w:val="auto"/>
                <w:w w:val="92"/>
              </w:rPr>
              <w:t>Presentation</w:t>
            </w:r>
          </w:p>
        </w:tc>
        <w:tc>
          <w:tcPr>
            <w:tcW w:w="340" w:type="dxa"/>
            <w:vAlign w:val="bottom"/>
          </w:tcPr>
          <w:p>
            <w:pPr>
              <w:spacing w:after="0"/>
              <w:rPr>
                <w:sz w:val="10"/>
                <w:szCs w:val="10"/>
                <w:color w:val="auto"/>
              </w:rPr>
            </w:pPr>
          </w:p>
        </w:tc>
        <w:tc>
          <w:tcPr>
            <w:tcW w:w="960" w:type="dxa"/>
            <w:vAlign w:val="bottom"/>
            <w:gridSpan w:val="3"/>
          </w:tcPr>
          <w:p>
            <w:pPr>
              <w:ind w:left="20"/>
              <w:spacing w:after="0"/>
              <w:rPr>
                <w:sz w:val="20"/>
                <w:szCs w:val="20"/>
                <w:color w:val="auto"/>
              </w:rPr>
            </w:pPr>
            <w:r>
              <w:rPr>
                <w:rFonts w:ascii="Arial" w:cs="Arial" w:eastAsia="Arial" w:hAnsi="Arial"/>
                <w:sz w:val="10"/>
                <w:szCs w:val="10"/>
                <w:b w:val="1"/>
                <w:bCs w:val="1"/>
                <w:color w:val="auto"/>
              </w:rPr>
              <w:t>December 31,</w:t>
            </w:r>
          </w:p>
        </w:tc>
        <w:tc>
          <w:tcPr>
            <w:tcW w:w="20" w:type="dxa"/>
            <w:vAlign w:val="bottom"/>
          </w:tcPr>
          <w:p>
            <w:pPr>
              <w:spacing w:after="0"/>
              <w:rPr>
                <w:sz w:val="10"/>
                <w:szCs w:val="10"/>
                <w:color w:val="auto"/>
              </w:rPr>
            </w:pPr>
          </w:p>
        </w:tc>
      </w:tr>
      <w:tr>
        <w:trPr>
          <w:trHeight w:val="128"/>
        </w:trPr>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2024</w:t>
            </w:r>
          </w:p>
        </w:tc>
        <w:tc>
          <w:tcPr>
            <w:tcW w:w="1060" w:type="dxa"/>
            <w:vAlign w:val="bottom"/>
            <w:gridSpan w:val="2"/>
          </w:tcPr>
          <w:p>
            <w:pPr>
              <w:ind w:left="140"/>
              <w:spacing w:after="0"/>
              <w:rPr>
                <w:sz w:val="20"/>
                <w:szCs w:val="20"/>
                <w:color w:val="auto"/>
              </w:rPr>
            </w:pPr>
            <w:r>
              <w:rPr>
                <w:rFonts w:ascii="Arial" w:cs="Arial" w:eastAsia="Arial" w:hAnsi="Arial"/>
                <w:sz w:val="10"/>
                <w:szCs w:val="10"/>
                <w:b w:val="1"/>
                <w:bCs w:val="1"/>
                <w:color w:val="auto"/>
              </w:rPr>
              <w:t>currency change</w:t>
            </w:r>
          </w:p>
        </w:tc>
        <w:tc>
          <w:tcPr>
            <w:tcW w:w="300" w:type="dxa"/>
            <w:vAlign w:val="bottom"/>
          </w:tcPr>
          <w:p>
            <w:pPr>
              <w:ind w:left="20"/>
              <w:spacing w:after="0"/>
              <w:rPr>
                <w:sz w:val="20"/>
                <w:szCs w:val="20"/>
                <w:color w:val="auto"/>
              </w:rPr>
            </w:pPr>
            <w:r>
              <w:rPr>
                <w:rFonts w:ascii="Arial" w:cs="Arial" w:eastAsia="Arial" w:hAnsi="Arial"/>
                <w:sz w:val="10"/>
                <w:szCs w:val="10"/>
                <w:b w:val="1"/>
                <w:bCs w:val="1"/>
                <w:color w:val="auto"/>
              </w:rPr>
              <w:t>2024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920" w:type="dxa"/>
            <w:vAlign w:val="bottom"/>
          </w:tcPr>
          <w:p>
            <w:pPr>
              <w:ind w:left="20"/>
              <w:spacing w:after="0"/>
              <w:rPr>
                <w:sz w:val="20"/>
                <w:szCs w:val="20"/>
                <w:color w:val="auto"/>
              </w:rPr>
            </w:pPr>
            <w:r>
              <w:rPr>
                <w:rFonts w:ascii="Arial" w:cs="Arial" w:eastAsia="Arial" w:hAnsi="Arial"/>
                <w:sz w:val="10"/>
                <w:szCs w:val="10"/>
                <w:color w:val="auto"/>
              </w:rPr>
              <w:t>Total assets</w:t>
            </w: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0"/>
                <w:szCs w:val="10"/>
                <w:color w:val="auto"/>
              </w:rPr>
              <w:t>45,811</w:t>
            </w:r>
          </w:p>
        </w:tc>
        <w:tc>
          <w:tcPr>
            <w:tcW w:w="720" w:type="dxa"/>
            <w:vAlign w:val="bottom"/>
          </w:tcPr>
          <w:p>
            <w:pPr>
              <w:ind w:left="140"/>
              <w:spacing w:after="0"/>
              <w:rPr>
                <w:sz w:val="20"/>
                <w:szCs w:val="20"/>
                <w:color w:val="auto"/>
              </w:rPr>
            </w:pPr>
            <w:r>
              <w:rPr>
                <w:rFonts w:ascii="Arial" w:cs="Arial" w:eastAsia="Arial" w:hAnsi="Arial"/>
                <w:sz w:val="10"/>
                <w:szCs w:val="10"/>
                <w:color w:val="auto"/>
              </w:rPr>
              <w:t>(39,397)</w:t>
            </w:r>
          </w:p>
        </w:tc>
        <w:tc>
          <w:tcPr>
            <w:tcW w:w="3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0"/>
                <w:szCs w:val="10"/>
                <w:color w:val="auto"/>
              </w:rPr>
              <w:t>6,414</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920" w:type="dxa"/>
            <w:vAlign w:val="bottom"/>
          </w:tcPr>
          <w:p>
            <w:pPr>
              <w:ind w:left="20"/>
              <w:spacing w:after="0"/>
              <w:rPr>
                <w:sz w:val="20"/>
                <w:szCs w:val="20"/>
                <w:color w:val="auto"/>
              </w:rPr>
            </w:pPr>
            <w:r>
              <w:rPr>
                <w:rFonts w:ascii="Arial" w:cs="Arial" w:eastAsia="Arial" w:hAnsi="Arial"/>
                <w:sz w:val="10"/>
                <w:szCs w:val="10"/>
                <w:color w:val="auto"/>
              </w:rPr>
              <w:t>Total liabilities</w:t>
            </w: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0"/>
                <w:szCs w:val="10"/>
                <w:color w:val="auto"/>
              </w:rPr>
              <w:t>9,114</w:t>
            </w:r>
          </w:p>
        </w:tc>
        <w:tc>
          <w:tcPr>
            <w:tcW w:w="720" w:type="dxa"/>
            <w:vAlign w:val="bottom"/>
          </w:tcPr>
          <w:p>
            <w:pPr>
              <w:ind w:left="140"/>
              <w:spacing w:after="0"/>
              <w:rPr>
                <w:sz w:val="20"/>
                <w:szCs w:val="20"/>
                <w:color w:val="auto"/>
              </w:rPr>
            </w:pPr>
            <w:r>
              <w:rPr>
                <w:rFonts w:ascii="Arial" w:cs="Arial" w:eastAsia="Arial" w:hAnsi="Arial"/>
                <w:sz w:val="10"/>
                <w:szCs w:val="10"/>
                <w:color w:val="auto"/>
              </w:rPr>
              <w:t>(7,837)</w:t>
            </w:r>
          </w:p>
        </w:tc>
        <w:tc>
          <w:tcPr>
            <w:tcW w:w="3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0"/>
                <w:szCs w:val="10"/>
                <w:color w:val="auto"/>
              </w:rPr>
              <w:t>1,277</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2040" w:type="dxa"/>
            <w:vAlign w:val="bottom"/>
            <w:gridSpan w:val="2"/>
          </w:tcPr>
          <w:p>
            <w:pPr>
              <w:ind w:left="20"/>
              <w:spacing w:after="0"/>
              <w:rPr>
                <w:sz w:val="20"/>
                <w:szCs w:val="20"/>
                <w:color w:val="auto"/>
              </w:rPr>
            </w:pPr>
            <w:r>
              <w:rPr>
                <w:rFonts w:ascii="Arial" w:cs="Arial" w:eastAsia="Arial" w:hAnsi="Arial"/>
                <w:sz w:val="10"/>
                <w:szCs w:val="10"/>
                <w:color w:val="auto"/>
              </w:rPr>
              <w:t>Total shareholders' equity</w:t>
            </w:r>
          </w:p>
        </w:tc>
        <w:tc>
          <w:tcPr>
            <w:tcW w:w="840" w:type="dxa"/>
            <w:vAlign w:val="bottom"/>
          </w:tcPr>
          <w:p>
            <w:pPr>
              <w:ind w:left="60"/>
              <w:spacing w:after="0"/>
              <w:rPr>
                <w:sz w:val="20"/>
                <w:szCs w:val="20"/>
                <w:color w:val="auto"/>
              </w:rPr>
            </w:pPr>
            <w:r>
              <w:rPr>
                <w:rFonts w:ascii="Arial" w:cs="Arial" w:eastAsia="Arial" w:hAnsi="Arial"/>
                <w:sz w:val="10"/>
                <w:szCs w:val="10"/>
                <w:color w:val="auto"/>
              </w:rPr>
              <w:t>36,697</w:t>
            </w:r>
          </w:p>
        </w:tc>
        <w:tc>
          <w:tcPr>
            <w:tcW w:w="720" w:type="dxa"/>
            <w:vAlign w:val="bottom"/>
          </w:tcPr>
          <w:p>
            <w:pPr>
              <w:ind w:left="140"/>
              <w:spacing w:after="0"/>
              <w:rPr>
                <w:sz w:val="20"/>
                <w:szCs w:val="20"/>
                <w:color w:val="auto"/>
              </w:rPr>
            </w:pPr>
            <w:r>
              <w:rPr>
                <w:rFonts w:ascii="Arial" w:cs="Arial" w:eastAsia="Arial" w:hAnsi="Arial"/>
                <w:sz w:val="10"/>
                <w:szCs w:val="10"/>
                <w:color w:val="auto"/>
              </w:rPr>
              <w:t>(31,560)</w:t>
            </w:r>
          </w:p>
        </w:tc>
        <w:tc>
          <w:tcPr>
            <w:tcW w:w="3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0"/>
                <w:szCs w:val="10"/>
                <w:color w:val="auto"/>
              </w:rPr>
              <w:t>5,137</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32" w:lineRule="auto"/>
        <w:rPr>
          <w:sz w:val="20"/>
          <w:szCs w:val="20"/>
          <w:color w:val="auto"/>
        </w:rPr>
      </w:pPr>
      <w:r>
        <w:rPr>
          <w:rFonts w:ascii="Arial" w:cs="Arial" w:eastAsia="Arial" w:hAnsi="Arial"/>
          <w:sz w:val="10"/>
          <w:szCs w:val="10"/>
          <w:color w:val="auto"/>
        </w:rPr>
        <w:t>The change in presentation currency resulted in the following impact on the January 1, 2024 consolidated</w:t>
      </w:r>
    </w:p>
    <w:p>
      <w:pPr>
        <w:spacing w:after="0" w:line="217" w:lineRule="auto"/>
        <w:rPr>
          <w:sz w:val="20"/>
          <w:szCs w:val="20"/>
          <w:color w:val="auto"/>
        </w:rPr>
      </w:pPr>
      <w:r>
        <w:rPr>
          <w:rFonts w:ascii="Arial" w:cs="Arial" w:eastAsia="Arial" w:hAnsi="Arial"/>
          <w:sz w:val="10"/>
          <w:szCs w:val="10"/>
          <w:color w:val="auto"/>
        </w:rPr>
        <w:t>balance sheets:</w:t>
      </w:r>
    </w:p>
    <w:tbl>
      <w:tblPr>
        <w:tblLayout w:type="fixed"/>
        <w:tblInd w:w="0" w:type="dxa"/>
        <w:tblCellMar>
          <w:top w:w="0" w:type="dxa"/>
          <w:left w:w="0" w:type="dxa"/>
          <w:bottom w:w="0" w:type="dxa"/>
          <w:right w:w="0" w:type="dxa"/>
        </w:tblCellMar>
      </w:tblPr>
      <w:tr>
        <w:trPr>
          <w:trHeight w:val="95"/>
        </w:trPr>
        <w:tc>
          <w:tcPr>
            <w:tcW w:w="1680" w:type="dxa"/>
            <w:vAlign w:val="bottom"/>
            <w:tcBorders>
              <w:top w:val="single" w:sz="8" w:color="691A6B"/>
            </w:tcBorders>
          </w:tcPr>
          <w:p>
            <w:pPr>
              <w:spacing w:after="0"/>
              <w:rPr>
                <w:sz w:val="8"/>
                <w:szCs w:val="8"/>
                <w:color w:val="auto"/>
              </w:rPr>
            </w:pPr>
          </w:p>
        </w:tc>
        <w:tc>
          <w:tcPr>
            <w:tcW w:w="1320" w:type="dxa"/>
            <w:vAlign w:val="bottom"/>
            <w:tcBorders>
              <w:top w:val="single" w:sz="8" w:color="691A6B"/>
            </w:tcBorders>
          </w:tcPr>
          <w:p>
            <w:pPr>
              <w:ind w:left="420"/>
              <w:spacing w:after="0" w:line="95" w:lineRule="exact"/>
              <w:rPr>
                <w:sz w:val="20"/>
                <w:szCs w:val="20"/>
                <w:color w:val="auto"/>
              </w:rPr>
            </w:pPr>
            <w:r>
              <w:rPr>
                <w:rFonts w:ascii="Arial" w:cs="Arial" w:eastAsia="Arial" w:hAnsi="Arial"/>
                <w:sz w:val="10"/>
                <w:szCs w:val="10"/>
                <w:b w:val="1"/>
                <w:bCs w:val="1"/>
                <w:color w:val="auto"/>
              </w:rPr>
              <w:t>Previously</w:t>
            </w:r>
          </w:p>
        </w:tc>
        <w:tc>
          <w:tcPr>
            <w:tcW w:w="920" w:type="dxa"/>
            <w:vAlign w:val="bottom"/>
            <w:tcBorders>
              <w:top w:val="single" w:sz="8" w:color="691A6B"/>
            </w:tcBorders>
          </w:tcPr>
          <w:p>
            <w:pPr>
              <w:spacing w:after="0"/>
              <w:rPr>
                <w:sz w:val="8"/>
                <w:szCs w:val="8"/>
                <w:color w:val="auto"/>
              </w:rPr>
            </w:pP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80" w:type="dxa"/>
            <w:vAlign w:val="bottom"/>
          </w:tcPr>
          <w:p>
            <w:pPr>
              <w:spacing w:after="0"/>
              <w:rPr>
                <w:sz w:val="11"/>
                <w:szCs w:val="11"/>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reported in DKK</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19"/>
        </w:trPr>
        <w:tc>
          <w:tcPr>
            <w:tcW w:w="1680" w:type="dxa"/>
            <w:vAlign w:val="bottom"/>
          </w:tcPr>
          <w:p>
            <w:pPr>
              <w:spacing w:after="0"/>
              <w:rPr>
                <w:sz w:val="10"/>
                <w:szCs w:val="10"/>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January 1, 2024</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Presentation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January 1, 2024</w:t>
            </w:r>
          </w:p>
        </w:tc>
      </w:tr>
      <w:tr>
        <w:trPr>
          <w:trHeight w:val="128"/>
        </w:trPr>
        <w:tc>
          <w:tcPr>
            <w:tcW w:w="1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spacing w:after="0"/>
              <w:rPr>
                <w:sz w:val="11"/>
                <w:szCs w:val="1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0"/>
                <w:szCs w:val="10"/>
                <w:color w:val="auto"/>
              </w:rPr>
              <w:t>Total assets</w:t>
            </w:r>
          </w:p>
        </w:tc>
        <w:tc>
          <w:tcPr>
            <w:tcW w:w="1320" w:type="dxa"/>
            <w:vAlign w:val="bottom"/>
          </w:tcPr>
          <w:p>
            <w:pPr>
              <w:ind w:left="420"/>
              <w:spacing w:after="0"/>
              <w:rPr>
                <w:sz w:val="20"/>
                <w:szCs w:val="20"/>
                <w:color w:val="auto"/>
              </w:rPr>
            </w:pPr>
            <w:r>
              <w:rPr>
                <w:rFonts w:ascii="Arial" w:cs="Arial" w:eastAsia="Arial" w:hAnsi="Arial"/>
                <w:sz w:val="10"/>
                <w:szCs w:val="10"/>
                <w:color w:val="auto"/>
              </w:rPr>
              <w:t>35,289</w:t>
            </w:r>
          </w:p>
        </w:tc>
        <w:tc>
          <w:tcPr>
            <w:tcW w:w="920" w:type="dxa"/>
            <w:vAlign w:val="bottom"/>
          </w:tcPr>
          <w:p>
            <w:pPr>
              <w:ind w:left="20"/>
              <w:spacing w:after="0"/>
              <w:rPr>
                <w:sz w:val="20"/>
                <w:szCs w:val="20"/>
                <w:color w:val="auto"/>
              </w:rPr>
            </w:pPr>
            <w:r>
              <w:rPr>
                <w:rFonts w:ascii="Arial" w:cs="Arial" w:eastAsia="Arial" w:hAnsi="Arial"/>
                <w:sz w:val="10"/>
                <w:szCs w:val="10"/>
                <w:color w:val="auto"/>
              </w:rPr>
              <w:t>(30,057)</w:t>
            </w:r>
          </w:p>
        </w:tc>
        <w:tc>
          <w:tcPr>
            <w:tcW w:w="960" w:type="dxa"/>
            <w:vAlign w:val="bottom"/>
          </w:tcPr>
          <w:p>
            <w:pPr>
              <w:ind w:left="40"/>
              <w:spacing w:after="0"/>
              <w:rPr>
                <w:sz w:val="20"/>
                <w:szCs w:val="20"/>
                <w:color w:val="auto"/>
              </w:rPr>
            </w:pPr>
            <w:r>
              <w:rPr>
                <w:rFonts w:ascii="Arial" w:cs="Arial" w:eastAsia="Arial" w:hAnsi="Arial"/>
                <w:sz w:val="10"/>
                <w:szCs w:val="10"/>
                <w:color w:val="auto"/>
              </w:rPr>
              <w:t>5,232</w:t>
            </w:r>
          </w:p>
        </w:tc>
      </w:tr>
      <w:tr>
        <w:trPr>
          <w:trHeight w:val="152"/>
        </w:trPr>
        <w:tc>
          <w:tcPr>
            <w:tcW w:w="1680" w:type="dxa"/>
            <w:vAlign w:val="bottom"/>
          </w:tcPr>
          <w:p>
            <w:pPr>
              <w:ind w:left="20"/>
              <w:spacing w:after="0"/>
              <w:rPr>
                <w:sz w:val="20"/>
                <w:szCs w:val="20"/>
                <w:color w:val="auto"/>
              </w:rPr>
            </w:pPr>
            <w:r>
              <w:rPr>
                <w:rFonts w:ascii="Arial" w:cs="Arial" w:eastAsia="Arial" w:hAnsi="Arial"/>
                <w:sz w:val="10"/>
                <w:szCs w:val="10"/>
                <w:color w:val="auto"/>
              </w:rPr>
              <w:t>Total liabilities</w:t>
            </w:r>
          </w:p>
        </w:tc>
        <w:tc>
          <w:tcPr>
            <w:tcW w:w="1320" w:type="dxa"/>
            <w:vAlign w:val="bottom"/>
          </w:tcPr>
          <w:p>
            <w:pPr>
              <w:ind w:left="420"/>
              <w:spacing w:after="0"/>
              <w:rPr>
                <w:sz w:val="20"/>
                <w:szCs w:val="20"/>
                <w:color w:val="auto"/>
              </w:rPr>
            </w:pPr>
            <w:r>
              <w:rPr>
                <w:rFonts w:ascii="Arial" w:cs="Arial" w:eastAsia="Arial" w:hAnsi="Arial"/>
                <w:sz w:val="10"/>
                <w:szCs w:val="10"/>
                <w:color w:val="auto"/>
              </w:rPr>
              <w:t>3,679</w:t>
            </w:r>
          </w:p>
        </w:tc>
        <w:tc>
          <w:tcPr>
            <w:tcW w:w="920" w:type="dxa"/>
            <w:vAlign w:val="bottom"/>
          </w:tcPr>
          <w:p>
            <w:pPr>
              <w:ind w:left="20"/>
              <w:spacing w:after="0"/>
              <w:rPr>
                <w:sz w:val="20"/>
                <w:szCs w:val="20"/>
                <w:color w:val="auto"/>
              </w:rPr>
            </w:pPr>
            <w:r>
              <w:rPr>
                <w:rFonts w:ascii="Arial" w:cs="Arial" w:eastAsia="Arial" w:hAnsi="Arial"/>
                <w:sz w:val="10"/>
                <w:szCs w:val="10"/>
                <w:color w:val="auto"/>
              </w:rPr>
              <w:t>(3,134)</w:t>
            </w:r>
          </w:p>
        </w:tc>
        <w:tc>
          <w:tcPr>
            <w:tcW w:w="960" w:type="dxa"/>
            <w:vAlign w:val="bottom"/>
          </w:tcPr>
          <w:p>
            <w:pPr>
              <w:ind w:left="40"/>
              <w:spacing w:after="0"/>
              <w:rPr>
                <w:sz w:val="20"/>
                <w:szCs w:val="20"/>
                <w:color w:val="auto"/>
              </w:rPr>
            </w:pPr>
            <w:r>
              <w:rPr>
                <w:rFonts w:ascii="Arial" w:cs="Arial" w:eastAsia="Arial" w:hAnsi="Arial"/>
                <w:sz w:val="10"/>
                <w:szCs w:val="10"/>
                <w:color w:val="auto"/>
              </w:rPr>
              <w:t>545</w:t>
            </w:r>
          </w:p>
        </w:tc>
      </w:tr>
      <w:tr>
        <w:trPr>
          <w:trHeight w:val="152"/>
        </w:trPr>
        <w:tc>
          <w:tcPr>
            <w:tcW w:w="1680" w:type="dxa"/>
            <w:vAlign w:val="bottom"/>
          </w:tcPr>
          <w:p>
            <w:pPr>
              <w:ind w:left="20"/>
              <w:spacing w:after="0"/>
              <w:rPr>
                <w:sz w:val="20"/>
                <w:szCs w:val="20"/>
                <w:color w:val="auto"/>
              </w:rPr>
            </w:pPr>
            <w:r>
              <w:rPr>
                <w:rFonts w:ascii="Arial" w:cs="Arial" w:eastAsia="Arial" w:hAnsi="Arial"/>
                <w:sz w:val="10"/>
                <w:szCs w:val="10"/>
                <w:color w:val="auto"/>
              </w:rPr>
              <w:t>Total shareholders' equity</w:t>
            </w:r>
          </w:p>
        </w:tc>
        <w:tc>
          <w:tcPr>
            <w:tcW w:w="1320" w:type="dxa"/>
            <w:vAlign w:val="bottom"/>
          </w:tcPr>
          <w:p>
            <w:pPr>
              <w:ind w:left="420"/>
              <w:spacing w:after="0"/>
              <w:rPr>
                <w:sz w:val="20"/>
                <w:szCs w:val="20"/>
                <w:color w:val="auto"/>
              </w:rPr>
            </w:pPr>
            <w:r>
              <w:rPr>
                <w:rFonts w:ascii="Arial" w:cs="Arial" w:eastAsia="Arial" w:hAnsi="Arial"/>
                <w:sz w:val="10"/>
                <w:szCs w:val="10"/>
                <w:color w:val="auto"/>
              </w:rPr>
              <w:t>31,610</w:t>
            </w:r>
          </w:p>
        </w:tc>
        <w:tc>
          <w:tcPr>
            <w:tcW w:w="920" w:type="dxa"/>
            <w:vAlign w:val="bottom"/>
          </w:tcPr>
          <w:p>
            <w:pPr>
              <w:ind w:left="20"/>
              <w:spacing w:after="0"/>
              <w:rPr>
                <w:sz w:val="20"/>
                <w:szCs w:val="20"/>
                <w:color w:val="auto"/>
              </w:rPr>
            </w:pPr>
            <w:r>
              <w:rPr>
                <w:rFonts w:ascii="Arial" w:cs="Arial" w:eastAsia="Arial" w:hAnsi="Arial"/>
                <w:sz w:val="10"/>
                <w:szCs w:val="10"/>
                <w:color w:val="auto"/>
              </w:rPr>
              <w:t>(26,923)</w:t>
            </w:r>
          </w:p>
        </w:tc>
        <w:tc>
          <w:tcPr>
            <w:tcW w:w="960" w:type="dxa"/>
            <w:vAlign w:val="bottom"/>
          </w:tcPr>
          <w:p>
            <w:pPr>
              <w:ind w:left="40"/>
              <w:spacing w:after="0"/>
              <w:rPr>
                <w:sz w:val="20"/>
                <w:szCs w:val="20"/>
                <w:color w:val="auto"/>
              </w:rPr>
            </w:pPr>
            <w:r>
              <w:rPr>
                <w:rFonts w:ascii="Arial" w:cs="Arial" w:eastAsia="Arial" w:hAnsi="Arial"/>
                <w:sz w:val="10"/>
                <w:szCs w:val="10"/>
                <w:color w:val="auto"/>
              </w:rPr>
              <w:t>4,687</w:t>
            </w:r>
          </w:p>
        </w:tc>
      </w:tr>
      <w:tr>
        <w:trPr>
          <w:trHeight w:val="111"/>
        </w:trPr>
        <w:tc>
          <w:tcPr>
            <w:tcW w:w="4880" w:type="dxa"/>
            <w:vAlign w:val="bottom"/>
            <w:gridSpan w:val="4"/>
          </w:tcPr>
          <w:p>
            <w:pPr>
              <w:spacing w:after="0" w:line="111" w:lineRule="exact"/>
              <w:rPr>
                <w:sz w:val="20"/>
                <w:szCs w:val="20"/>
                <w:color w:val="auto"/>
              </w:rPr>
            </w:pPr>
            <w:r>
              <w:rPr>
                <w:rFonts w:ascii="Arial" w:cs="Arial" w:eastAsia="Arial" w:hAnsi="Arial"/>
                <w:sz w:val="10"/>
                <w:szCs w:val="10"/>
                <w:color w:val="auto"/>
              </w:rPr>
              <w:t>The change in presentation currency resulted in the following impact on the 12 months ended</w:t>
            </w:r>
          </w:p>
        </w:tc>
      </w:tr>
      <w:tr>
        <w:trPr>
          <w:trHeight w:val="105"/>
        </w:trPr>
        <w:tc>
          <w:tcPr>
            <w:tcW w:w="3920" w:type="dxa"/>
            <w:vAlign w:val="bottom"/>
            <w:tcBorders>
              <w:bottom w:val="single" w:sz="8" w:color="691A6B"/>
            </w:tcBorders>
            <w:gridSpan w:val="3"/>
          </w:tcPr>
          <w:p>
            <w:pPr>
              <w:spacing w:after="0" w:line="105" w:lineRule="exact"/>
              <w:rPr>
                <w:sz w:val="20"/>
                <w:szCs w:val="20"/>
                <w:color w:val="auto"/>
              </w:rPr>
            </w:pPr>
            <w:r>
              <w:rPr>
                <w:rFonts w:ascii="Arial" w:cs="Arial" w:eastAsia="Arial" w:hAnsi="Arial"/>
                <w:sz w:val="10"/>
                <w:szCs w:val="10"/>
                <w:color w:val="auto"/>
              </w:rPr>
              <w:t>December 31, 2024 consolidated statement of comprehensive income:</w:t>
            </w:r>
          </w:p>
        </w:tc>
        <w:tc>
          <w:tcPr>
            <w:tcW w:w="960" w:type="dxa"/>
            <w:vAlign w:val="bottom"/>
            <w:tcBorders>
              <w:bottom w:val="single" w:sz="8" w:color="691A6B"/>
            </w:tcBorders>
          </w:tcPr>
          <w:p>
            <w:pPr>
              <w:spacing w:after="0"/>
              <w:rPr>
                <w:sz w:val="9"/>
                <w:szCs w:val="9"/>
                <w:color w:val="auto"/>
              </w:rPr>
            </w:pPr>
          </w:p>
        </w:tc>
      </w:tr>
      <w:tr>
        <w:trPr>
          <w:trHeight w:val="95"/>
        </w:trPr>
        <w:tc>
          <w:tcPr>
            <w:tcW w:w="1680" w:type="dxa"/>
            <w:vAlign w:val="bottom"/>
          </w:tcPr>
          <w:p>
            <w:pPr>
              <w:spacing w:after="0"/>
              <w:rPr>
                <w:sz w:val="8"/>
                <w:szCs w:val="8"/>
                <w:color w:val="auto"/>
              </w:rPr>
            </w:pPr>
          </w:p>
        </w:tc>
        <w:tc>
          <w:tcPr>
            <w:tcW w:w="1320" w:type="dxa"/>
            <w:vAlign w:val="bottom"/>
          </w:tcPr>
          <w:p>
            <w:pPr>
              <w:ind w:left="420"/>
              <w:spacing w:after="0" w:line="95" w:lineRule="exact"/>
              <w:rPr>
                <w:sz w:val="20"/>
                <w:szCs w:val="20"/>
                <w:color w:val="auto"/>
              </w:rPr>
            </w:pPr>
            <w:r>
              <w:rPr>
                <w:rFonts w:ascii="Arial" w:cs="Arial" w:eastAsia="Arial" w:hAnsi="Arial"/>
                <w:sz w:val="10"/>
                <w:szCs w:val="10"/>
                <w:b w:val="1"/>
                <w:bCs w:val="1"/>
                <w:color w:val="auto"/>
              </w:rPr>
              <w:t>Previously</w:t>
            </w:r>
          </w:p>
        </w:tc>
        <w:tc>
          <w:tcPr>
            <w:tcW w:w="920" w:type="dxa"/>
            <w:vAlign w:val="bottom"/>
          </w:tcPr>
          <w:p>
            <w:pPr>
              <w:spacing w:after="0"/>
              <w:rPr>
                <w:sz w:val="8"/>
                <w:szCs w:val="8"/>
                <w:color w:val="auto"/>
              </w:rPr>
            </w:pPr>
          </w:p>
        </w:tc>
        <w:tc>
          <w:tcPr>
            <w:tcW w:w="96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80" w:type="dxa"/>
            <w:vAlign w:val="bottom"/>
          </w:tcPr>
          <w:p>
            <w:pPr>
              <w:spacing w:after="0"/>
              <w:rPr>
                <w:sz w:val="11"/>
                <w:szCs w:val="11"/>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reported in DKK</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19"/>
        </w:trPr>
        <w:tc>
          <w:tcPr>
            <w:tcW w:w="1680" w:type="dxa"/>
            <w:vAlign w:val="bottom"/>
          </w:tcPr>
          <w:p>
            <w:pPr>
              <w:spacing w:after="0"/>
              <w:rPr>
                <w:sz w:val="10"/>
                <w:szCs w:val="10"/>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December 31,</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Presentation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680" w:type="dxa"/>
            <w:vAlign w:val="bottom"/>
          </w:tcPr>
          <w:p>
            <w:pPr>
              <w:spacing w:after="0"/>
              <w:rPr>
                <w:sz w:val="11"/>
                <w:szCs w:val="11"/>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2024</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60"/>
        </w:trPr>
        <w:tc>
          <w:tcPr>
            <w:tcW w:w="1680" w:type="dxa"/>
            <w:vAlign w:val="bottom"/>
          </w:tcPr>
          <w:p>
            <w:pPr>
              <w:ind w:left="20"/>
              <w:spacing w:after="0"/>
              <w:rPr>
                <w:sz w:val="20"/>
                <w:szCs w:val="20"/>
                <w:color w:val="auto"/>
              </w:rPr>
            </w:pPr>
            <w:r>
              <w:rPr>
                <w:rFonts w:ascii="Arial" w:cs="Arial" w:eastAsia="Arial" w:hAnsi="Arial"/>
                <w:sz w:val="10"/>
                <w:szCs w:val="10"/>
                <w:color w:val="auto"/>
              </w:rPr>
              <w:t>Net profit</w:t>
            </w:r>
          </w:p>
        </w:tc>
        <w:tc>
          <w:tcPr>
            <w:tcW w:w="1320" w:type="dxa"/>
            <w:vAlign w:val="bottom"/>
          </w:tcPr>
          <w:p>
            <w:pPr>
              <w:jc w:val="right"/>
              <w:ind w:right="11"/>
              <w:spacing w:after="0"/>
              <w:rPr>
                <w:sz w:val="20"/>
                <w:szCs w:val="20"/>
                <w:color w:val="auto"/>
              </w:rPr>
            </w:pPr>
            <w:r>
              <w:rPr>
                <w:rFonts w:ascii="Arial" w:cs="Arial" w:eastAsia="Arial" w:hAnsi="Arial"/>
                <w:sz w:val="10"/>
                <w:szCs w:val="10"/>
                <w:color w:val="auto"/>
              </w:rPr>
              <w:t>7,844</w:t>
            </w:r>
          </w:p>
        </w:tc>
        <w:tc>
          <w:tcPr>
            <w:tcW w:w="920" w:type="dxa"/>
            <w:vAlign w:val="bottom"/>
          </w:tcPr>
          <w:p>
            <w:pPr>
              <w:jc w:val="right"/>
              <w:spacing w:after="0"/>
              <w:rPr>
                <w:sz w:val="20"/>
                <w:szCs w:val="20"/>
                <w:color w:val="auto"/>
              </w:rPr>
            </w:pPr>
            <w:r>
              <w:rPr>
                <w:rFonts w:ascii="Arial" w:cs="Arial" w:eastAsia="Arial" w:hAnsi="Arial"/>
                <w:sz w:val="10"/>
                <w:szCs w:val="10"/>
                <w:color w:val="auto"/>
              </w:rPr>
              <w:t>(6,711)</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1,133</w:t>
            </w:r>
          </w:p>
        </w:tc>
      </w:tr>
      <w:tr>
        <w:trPr>
          <w:trHeight w:val="152"/>
        </w:trPr>
        <w:tc>
          <w:tcPr>
            <w:tcW w:w="1680" w:type="dxa"/>
            <w:vAlign w:val="bottom"/>
          </w:tcPr>
          <w:p>
            <w:pPr>
              <w:ind w:left="20"/>
              <w:spacing w:after="0"/>
              <w:rPr>
                <w:sz w:val="20"/>
                <w:szCs w:val="20"/>
                <w:color w:val="auto"/>
              </w:rPr>
            </w:pPr>
            <w:r>
              <w:rPr>
                <w:rFonts w:ascii="Arial" w:cs="Arial" w:eastAsia="Arial" w:hAnsi="Arial"/>
                <w:sz w:val="10"/>
                <w:szCs w:val="10"/>
                <w:color w:val="auto"/>
              </w:rPr>
              <w:t>Comprehensive income</w:t>
            </w:r>
          </w:p>
        </w:tc>
        <w:tc>
          <w:tcPr>
            <w:tcW w:w="1320" w:type="dxa"/>
            <w:vAlign w:val="bottom"/>
          </w:tcPr>
          <w:p>
            <w:pPr>
              <w:jc w:val="right"/>
              <w:ind w:right="11"/>
              <w:spacing w:after="0"/>
              <w:rPr>
                <w:sz w:val="20"/>
                <w:szCs w:val="20"/>
                <w:color w:val="auto"/>
              </w:rPr>
            </w:pPr>
            <w:r>
              <w:rPr>
                <w:rFonts w:ascii="Arial" w:cs="Arial" w:eastAsia="Arial" w:hAnsi="Arial"/>
                <w:sz w:val="10"/>
                <w:szCs w:val="10"/>
                <w:color w:val="auto"/>
              </w:rPr>
              <w:t>8,274</w:t>
            </w:r>
          </w:p>
        </w:tc>
        <w:tc>
          <w:tcPr>
            <w:tcW w:w="920" w:type="dxa"/>
            <w:vAlign w:val="bottom"/>
          </w:tcPr>
          <w:p>
            <w:pPr>
              <w:jc w:val="right"/>
              <w:spacing w:after="0"/>
              <w:rPr>
                <w:sz w:val="20"/>
                <w:szCs w:val="20"/>
                <w:color w:val="auto"/>
              </w:rPr>
            </w:pPr>
            <w:r>
              <w:rPr>
                <w:rFonts w:ascii="Arial" w:cs="Arial" w:eastAsia="Arial" w:hAnsi="Arial"/>
                <w:sz w:val="10"/>
                <w:szCs w:val="10"/>
                <w:color w:val="auto"/>
              </w:rPr>
              <w:t>(7,365)</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909</w:t>
            </w:r>
          </w:p>
        </w:tc>
      </w:tr>
      <w:tr>
        <w:trPr>
          <w:trHeight w:val="111"/>
        </w:trPr>
        <w:tc>
          <w:tcPr>
            <w:tcW w:w="4880" w:type="dxa"/>
            <w:vAlign w:val="bottom"/>
            <w:gridSpan w:val="4"/>
          </w:tcPr>
          <w:p>
            <w:pPr>
              <w:spacing w:after="0" w:line="111" w:lineRule="exact"/>
              <w:rPr>
                <w:sz w:val="20"/>
                <w:szCs w:val="20"/>
                <w:color w:val="auto"/>
              </w:rPr>
            </w:pPr>
            <w:r>
              <w:rPr>
                <w:rFonts w:ascii="Arial" w:cs="Arial" w:eastAsia="Arial" w:hAnsi="Arial"/>
                <w:sz w:val="10"/>
                <w:szCs w:val="10"/>
                <w:color w:val="auto"/>
              </w:rPr>
              <w:t>The change in presentation currency resulted in the following impact on the 12 months ended</w:t>
            </w:r>
          </w:p>
        </w:tc>
      </w:tr>
      <w:tr>
        <w:trPr>
          <w:trHeight w:val="105"/>
        </w:trPr>
        <w:tc>
          <w:tcPr>
            <w:tcW w:w="3920" w:type="dxa"/>
            <w:vAlign w:val="bottom"/>
            <w:tcBorders>
              <w:bottom w:val="single" w:sz="8" w:color="691A6B"/>
            </w:tcBorders>
            <w:gridSpan w:val="3"/>
          </w:tcPr>
          <w:p>
            <w:pPr>
              <w:spacing w:after="0" w:line="105" w:lineRule="exact"/>
              <w:rPr>
                <w:sz w:val="20"/>
                <w:szCs w:val="20"/>
                <w:color w:val="auto"/>
              </w:rPr>
            </w:pPr>
            <w:r>
              <w:rPr>
                <w:rFonts w:ascii="Arial" w:cs="Arial" w:eastAsia="Arial" w:hAnsi="Arial"/>
                <w:sz w:val="10"/>
                <w:szCs w:val="10"/>
                <w:color w:val="auto"/>
              </w:rPr>
              <w:t>December 31, 2023 consolidated statement of comprehensive income:</w:t>
            </w:r>
          </w:p>
        </w:tc>
        <w:tc>
          <w:tcPr>
            <w:tcW w:w="960" w:type="dxa"/>
            <w:vAlign w:val="bottom"/>
            <w:tcBorders>
              <w:bottom w:val="single" w:sz="8" w:color="691A6B"/>
            </w:tcBorders>
          </w:tcPr>
          <w:p>
            <w:pPr>
              <w:spacing w:after="0"/>
              <w:rPr>
                <w:sz w:val="9"/>
                <w:szCs w:val="9"/>
                <w:color w:val="auto"/>
              </w:rPr>
            </w:pPr>
          </w:p>
        </w:tc>
      </w:tr>
      <w:tr>
        <w:trPr>
          <w:trHeight w:val="95"/>
        </w:trPr>
        <w:tc>
          <w:tcPr>
            <w:tcW w:w="1680" w:type="dxa"/>
            <w:vAlign w:val="bottom"/>
          </w:tcPr>
          <w:p>
            <w:pPr>
              <w:spacing w:after="0"/>
              <w:rPr>
                <w:sz w:val="8"/>
                <w:szCs w:val="8"/>
                <w:color w:val="auto"/>
              </w:rPr>
            </w:pPr>
          </w:p>
        </w:tc>
        <w:tc>
          <w:tcPr>
            <w:tcW w:w="1320" w:type="dxa"/>
            <w:vAlign w:val="bottom"/>
          </w:tcPr>
          <w:p>
            <w:pPr>
              <w:ind w:left="420"/>
              <w:spacing w:after="0" w:line="95" w:lineRule="exact"/>
              <w:rPr>
                <w:sz w:val="20"/>
                <w:szCs w:val="20"/>
                <w:color w:val="auto"/>
              </w:rPr>
            </w:pPr>
            <w:r>
              <w:rPr>
                <w:rFonts w:ascii="Arial" w:cs="Arial" w:eastAsia="Arial" w:hAnsi="Arial"/>
                <w:sz w:val="10"/>
                <w:szCs w:val="10"/>
                <w:b w:val="1"/>
                <w:bCs w:val="1"/>
                <w:color w:val="auto"/>
              </w:rPr>
              <w:t>Previously</w:t>
            </w:r>
          </w:p>
        </w:tc>
        <w:tc>
          <w:tcPr>
            <w:tcW w:w="920" w:type="dxa"/>
            <w:vAlign w:val="bottom"/>
          </w:tcPr>
          <w:p>
            <w:pPr>
              <w:spacing w:after="0"/>
              <w:rPr>
                <w:sz w:val="8"/>
                <w:szCs w:val="8"/>
                <w:color w:val="auto"/>
              </w:rPr>
            </w:pPr>
          </w:p>
        </w:tc>
        <w:tc>
          <w:tcPr>
            <w:tcW w:w="96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80" w:type="dxa"/>
            <w:vAlign w:val="bottom"/>
          </w:tcPr>
          <w:p>
            <w:pPr>
              <w:spacing w:after="0"/>
              <w:rPr>
                <w:sz w:val="11"/>
                <w:szCs w:val="11"/>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reported in DKK</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19"/>
        </w:trPr>
        <w:tc>
          <w:tcPr>
            <w:tcW w:w="1680" w:type="dxa"/>
            <w:vAlign w:val="bottom"/>
          </w:tcPr>
          <w:p>
            <w:pPr>
              <w:spacing w:after="0"/>
              <w:rPr>
                <w:sz w:val="10"/>
                <w:szCs w:val="10"/>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December 31,</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Presentation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680" w:type="dxa"/>
            <w:vAlign w:val="bottom"/>
          </w:tcPr>
          <w:p>
            <w:pPr>
              <w:spacing w:after="0"/>
              <w:rPr>
                <w:sz w:val="11"/>
                <w:szCs w:val="11"/>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2023</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2023</w:t>
            </w:r>
          </w:p>
        </w:tc>
      </w:tr>
      <w:tr>
        <w:trPr>
          <w:trHeight w:val="160"/>
        </w:trPr>
        <w:tc>
          <w:tcPr>
            <w:tcW w:w="1680" w:type="dxa"/>
            <w:vAlign w:val="bottom"/>
          </w:tcPr>
          <w:p>
            <w:pPr>
              <w:ind w:left="20"/>
              <w:spacing w:after="0"/>
              <w:rPr>
                <w:sz w:val="20"/>
                <w:szCs w:val="20"/>
                <w:color w:val="auto"/>
              </w:rPr>
            </w:pPr>
            <w:r>
              <w:rPr>
                <w:rFonts w:ascii="Arial" w:cs="Arial" w:eastAsia="Arial" w:hAnsi="Arial"/>
                <w:sz w:val="10"/>
                <w:szCs w:val="10"/>
                <w:color w:val="auto"/>
              </w:rPr>
              <w:t>Net profit</w:t>
            </w:r>
          </w:p>
        </w:tc>
        <w:tc>
          <w:tcPr>
            <w:tcW w:w="1320" w:type="dxa"/>
            <w:vAlign w:val="bottom"/>
          </w:tcPr>
          <w:p>
            <w:pPr>
              <w:jc w:val="right"/>
              <w:ind w:right="11"/>
              <w:spacing w:after="0"/>
              <w:rPr>
                <w:sz w:val="20"/>
                <w:szCs w:val="20"/>
                <w:color w:val="auto"/>
              </w:rPr>
            </w:pPr>
            <w:r>
              <w:rPr>
                <w:rFonts w:ascii="Arial" w:cs="Arial" w:eastAsia="Arial" w:hAnsi="Arial"/>
                <w:sz w:val="10"/>
                <w:szCs w:val="10"/>
                <w:color w:val="auto"/>
              </w:rPr>
              <w:t>4,352</w:t>
            </w:r>
          </w:p>
        </w:tc>
        <w:tc>
          <w:tcPr>
            <w:tcW w:w="920" w:type="dxa"/>
            <w:vAlign w:val="bottom"/>
          </w:tcPr>
          <w:p>
            <w:pPr>
              <w:jc w:val="right"/>
              <w:spacing w:after="0"/>
              <w:rPr>
                <w:sz w:val="20"/>
                <w:szCs w:val="20"/>
                <w:color w:val="auto"/>
              </w:rPr>
            </w:pPr>
            <w:r>
              <w:rPr>
                <w:rFonts w:ascii="Arial" w:cs="Arial" w:eastAsia="Arial" w:hAnsi="Arial"/>
                <w:sz w:val="10"/>
                <w:szCs w:val="10"/>
                <w:color w:val="auto"/>
              </w:rPr>
              <w:t>(3,721)</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631</w:t>
            </w:r>
          </w:p>
        </w:tc>
      </w:tr>
      <w:tr>
        <w:trPr>
          <w:trHeight w:val="152"/>
        </w:trPr>
        <w:tc>
          <w:tcPr>
            <w:tcW w:w="1680" w:type="dxa"/>
            <w:vAlign w:val="bottom"/>
          </w:tcPr>
          <w:p>
            <w:pPr>
              <w:ind w:left="20"/>
              <w:spacing w:after="0"/>
              <w:rPr>
                <w:sz w:val="20"/>
                <w:szCs w:val="20"/>
                <w:color w:val="auto"/>
              </w:rPr>
            </w:pPr>
            <w:r>
              <w:rPr>
                <w:rFonts w:ascii="Arial" w:cs="Arial" w:eastAsia="Arial" w:hAnsi="Arial"/>
                <w:sz w:val="10"/>
                <w:szCs w:val="10"/>
                <w:color w:val="auto"/>
              </w:rPr>
              <w:t>Comprehensive income</w:t>
            </w:r>
          </w:p>
        </w:tc>
        <w:tc>
          <w:tcPr>
            <w:tcW w:w="1320" w:type="dxa"/>
            <w:vAlign w:val="bottom"/>
          </w:tcPr>
          <w:p>
            <w:pPr>
              <w:jc w:val="right"/>
              <w:ind w:right="11"/>
              <w:spacing w:after="0"/>
              <w:rPr>
                <w:sz w:val="20"/>
                <w:szCs w:val="20"/>
                <w:color w:val="auto"/>
              </w:rPr>
            </w:pPr>
            <w:r>
              <w:rPr>
                <w:rFonts w:ascii="Arial" w:cs="Arial" w:eastAsia="Arial" w:hAnsi="Arial"/>
                <w:sz w:val="10"/>
                <w:szCs w:val="10"/>
                <w:color w:val="auto"/>
              </w:rPr>
              <w:t>4,314</w:t>
            </w:r>
          </w:p>
        </w:tc>
        <w:tc>
          <w:tcPr>
            <w:tcW w:w="920" w:type="dxa"/>
            <w:vAlign w:val="bottom"/>
          </w:tcPr>
          <w:p>
            <w:pPr>
              <w:jc w:val="right"/>
              <w:spacing w:after="0"/>
              <w:rPr>
                <w:sz w:val="20"/>
                <w:szCs w:val="20"/>
                <w:color w:val="auto"/>
              </w:rPr>
            </w:pPr>
            <w:r>
              <w:rPr>
                <w:rFonts w:ascii="Arial" w:cs="Arial" w:eastAsia="Arial" w:hAnsi="Arial"/>
                <w:sz w:val="10"/>
                <w:szCs w:val="10"/>
                <w:color w:val="auto"/>
              </w:rPr>
              <w:t>(3,544)</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770</w:t>
            </w:r>
          </w:p>
        </w:tc>
      </w:tr>
      <w:tr>
        <w:trPr>
          <w:trHeight w:val="111"/>
        </w:trPr>
        <w:tc>
          <w:tcPr>
            <w:tcW w:w="4880" w:type="dxa"/>
            <w:vAlign w:val="bottom"/>
            <w:gridSpan w:val="4"/>
          </w:tcPr>
          <w:p>
            <w:pPr>
              <w:spacing w:after="0" w:line="111" w:lineRule="exact"/>
              <w:rPr>
                <w:sz w:val="20"/>
                <w:szCs w:val="20"/>
                <w:color w:val="auto"/>
              </w:rPr>
            </w:pPr>
            <w:r>
              <w:rPr>
                <w:rFonts w:ascii="Arial" w:cs="Arial" w:eastAsia="Arial" w:hAnsi="Arial"/>
                <w:sz w:val="10"/>
                <w:szCs w:val="10"/>
                <w:color w:val="auto"/>
              </w:rPr>
              <w:t>The change in presentation currency resulted in the following impact on the 12 months ended</w:t>
            </w:r>
          </w:p>
        </w:tc>
      </w:tr>
      <w:tr>
        <w:trPr>
          <w:trHeight w:val="105"/>
        </w:trPr>
        <w:tc>
          <w:tcPr>
            <w:tcW w:w="3000" w:type="dxa"/>
            <w:vAlign w:val="bottom"/>
            <w:tcBorders>
              <w:bottom w:val="single" w:sz="8" w:color="691A6B"/>
            </w:tcBorders>
            <w:gridSpan w:val="2"/>
          </w:tcPr>
          <w:p>
            <w:pPr>
              <w:spacing w:after="0" w:line="105" w:lineRule="exact"/>
              <w:rPr>
                <w:sz w:val="20"/>
                <w:szCs w:val="20"/>
                <w:color w:val="auto"/>
              </w:rPr>
            </w:pPr>
            <w:r>
              <w:rPr>
                <w:rFonts w:ascii="Arial" w:cs="Arial" w:eastAsia="Arial" w:hAnsi="Arial"/>
                <w:sz w:val="10"/>
                <w:szCs w:val="10"/>
                <w:color w:val="auto"/>
              </w:rPr>
              <w:t>December 31, 2024 consolidated statement of cash flows:</w:t>
            </w:r>
          </w:p>
        </w:tc>
        <w:tc>
          <w:tcPr>
            <w:tcW w:w="920" w:type="dxa"/>
            <w:vAlign w:val="bottom"/>
            <w:tcBorders>
              <w:bottom w:val="single" w:sz="8" w:color="691A6B"/>
            </w:tcBorders>
          </w:tcPr>
          <w:p>
            <w:pPr>
              <w:spacing w:after="0"/>
              <w:rPr>
                <w:sz w:val="9"/>
                <w:szCs w:val="9"/>
                <w:color w:val="auto"/>
              </w:rPr>
            </w:pPr>
          </w:p>
        </w:tc>
        <w:tc>
          <w:tcPr>
            <w:tcW w:w="960" w:type="dxa"/>
            <w:vAlign w:val="bottom"/>
            <w:tcBorders>
              <w:bottom w:val="single" w:sz="8" w:color="691A6B"/>
            </w:tcBorders>
          </w:tcPr>
          <w:p>
            <w:pPr>
              <w:spacing w:after="0"/>
              <w:rPr>
                <w:sz w:val="9"/>
                <w:szCs w:val="9"/>
                <w:color w:val="auto"/>
              </w:rPr>
            </w:pPr>
          </w:p>
        </w:tc>
      </w:tr>
      <w:tr>
        <w:trPr>
          <w:trHeight w:val="95"/>
        </w:trPr>
        <w:tc>
          <w:tcPr>
            <w:tcW w:w="1680" w:type="dxa"/>
            <w:vAlign w:val="bottom"/>
          </w:tcPr>
          <w:p>
            <w:pPr>
              <w:spacing w:after="0"/>
              <w:rPr>
                <w:sz w:val="8"/>
                <w:szCs w:val="8"/>
                <w:color w:val="auto"/>
              </w:rPr>
            </w:pPr>
          </w:p>
        </w:tc>
        <w:tc>
          <w:tcPr>
            <w:tcW w:w="1320" w:type="dxa"/>
            <w:vAlign w:val="bottom"/>
          </w:tcPr>
          <w:p>
            <w:pPr>
              <w:ind w:left="420"/>
              <w:spacing w:after="0" w:line="95" w:lineRule="exact"/>
              <w:rPr>
                <w:sz w:val="20"/>
                <w:szCs w:val="20"/>
                <w:color w:val="auto"/>
              </w:rPr>
            </w:pPr>
            <w:r>
              <w:rPr>
                <w:rFonts w:ascii="Arial" w:cs="Arial" w:eastAsia="Arial" w:hAnsi="Arial"/>
                <w:sz w:val="10"/>
                <w:szCs w:val="10"/>
                <w:b w:val="1"/>
                <w:bCs w:val="1"/>
                <w:color w:val="auto"/>
              </w:rPr>
              <w:t>Previously</w:t>
            </w:r>
          </w:p>
        </w:tc>
        <w:tc>
          <w:tcPr>
            <w:tcW w:w="920" w:type="dxa"/>
            <w:vAlign w:val="bottom"/>
          </w:tcPr>
          <w:p>
            <w:pPr>
              <w:spacing w:after="0"/>
              <w:rPr>
                <w:sz w:val="8"/>
                <w:szCs w:val="8"/>
                <w:color w:val="auto"/>
              </w:rPr>
            </w:pPr>
          </w:p>
        </w:tc>
        <w:tc>
          <w:tcPr>
            <w:tcW w:w="96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80" w:type="dxa"/>
            <w:vAlign w:val="bottom"/>
          </w:tcPr>
          <w:p>
            <w:pPr>
              <w:spacing w:after="0"/>
              <w:rPr>
                <w:sz w:val="11"/>
                <w:szCs w:val="11"/>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reported in DKK</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19"/>
        </w:trPr>
        <w:tc>
          <w:tcPr>
            <w:tcW w:w="1680" w:type="dxa"/>
            <w:vAlign w:val="bottom"/>
          </w:tcPr>
          <w:p>
            <w:pPr>
              <w:ind w:left="20"/>
              <w:spacing w:after="0"/>
              <w:rPr>
                <w:sz w:val="20"/>
                <w:szCs w:val="20"/>
                <w:color w:val="auto"/>
              </w:rPr>
            </w:pPr>
            <w:r>
              <w:rPr>
                <w:rFonts w:ascii="Arial" w:cs="Arial" w:eastAsia="Arial" w:hAnsi="Arial"/>
                <w:sz w:val="10"/>
                <w:szCs w:val="10"/>
                <w:b w:val="1"/>
                <w:bCs w:val="1"/>
                <w:color w:val="auto"/>
              </w:rPr>
              <w:t>Cash provided by (used in):</w:t>
            </w: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December 31,</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Presentation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680" w:type="dxa"/>
            <w:vAlign w:val="bottom"/>
          </w:tcPr>
          <w:p>
            <w:pPr>
              <w:spacing w:after="0"/>
              <w:rPr>
                <w:sz w:val="11"/>
                <w:szCs w:val="11"/>
                <w:color w:val="auto"/>
              </w:rPr>
            </w:pPr>
          </w:p>
        </w:tc>
        <w:tc>
          <w:tcPr>
            <w:tcW w:w="1320" w:type="dxa"/>
            <w:vAlign w:val="bottom"/>
          </w:tcPr>
          <w:p>
            <w:pPr>
              <w:ind w:left="420"/>
              <w:spacing w:after="0"/>
              <w:rPr>
                <w:sz w:val="20"/>
                <w:szCs w:val="20"/>
                <w:color w:val="auto"/>
              </w:rPr>
            </w:pPr>
            <w:r>
              <w:rPr>
                <w:rFonts w:ascii="Arial" w:cs="Arial" w:eastAsia="Arial" w:hAnsi="Arial"/>
                <w:sz w:val="10"/>
                <w:szCs w:val="10"/>
                <w:b w:val="1"/>
                <w:bCs w:val="1"/>
                <w:color w:val="auto"/>
              </w:rPr>
              <w:t>2024</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60"/>
        </w:trPr>
        <w:tc>
          <w:tcPr>
            <w:tcW w:w="1680" w:type="dxa"/>
            <w:vAlign w:val="bottom"/>
          </w:tcPr>
          <w:p>
            <w:pPr>
              <w:ind w:left="20"/>
              <w:spacing w:after="0"/>
              <w:rPr>
                <w:sz w:val="20"/>
                <w:szCs w:val="20"/>
                <w:color w:val="auto"/>
              </w:rPr>
            </w:pPr>
            <w:r>
              <w:rPr>
                <w:rFonts w:ascii="Arial" w:cs="Arial" w:eastAsia="Arial" w:hAnsi="Arial"/>
                <w:sz w:val="10"/>
                <w:szCs w:val="10"/>
                <w:color w:val="auto"/>
              </w:rPr>
              <w:t>Operating activities</w:t>
            </w:r>
          </w:p>
        </w:tc>
        <w:tc>
          <w:tcPr>
            <w:tcW w:w="1320" w:type="dxa"/>
            <w:vAlign w:val="bottom"/>
          </w:tcPr>
          <w:p>
            <w:pPr>
              <w:jc w:val="right"/>
              <w:ind w:right="11"/>
              <w:spacing w:after="0"/>
              <w:rPr>
                <w:sz w:val="20"/>
                <w:szCs w:val="20"/>
                <w:color w:val="auto"/>
              </w:rPr>
            </w:pPr>
            <w:r>
              <w:rPr>
                <w:rFonts w:ascii="Arial" w:cs="Arial" w:eastAsia="Arial" w:hAnsi="Arial"/>
                <w:sz w:val="10"/>
                <w:szCs w:val="10"/>
                <w:color w:val="auto"/>
              </w:rPr>
              <w:t>7,771</w:t>
            </w:r>
          </w:p>
        </w:tc>
        <w:tc>
          <w:tcPr>
            <w:tcW w:w="920" w:type="dxa"/>
            <w:vAlign w:val="bottom"/>
          </w:tcPr>
          <w:p>
            <w:pPr>
              <w:jc w:val="right"/>
              <w:spacing w:after="0"/>
              <w:rPr>
                <w:sz w:val="20"/>
                <w:szCs w:val="20"/>
                <w:color w:val="auto"/>
              </w:rPr>
            </w:pPr>
            <w:r>
              <w:rPr>
                <w:rFonts w:ascii="Arial" w:cs="Arial" w:eastAsia="Arial" w:hAnsi="Arial"/>
                <w:sz w:val="10"/>
                <w:szCs w:val="10"/>
                <w:color w:val="auto"/>
              </w:rPr>
              <w:t>(6,645)</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1,126</w:t>
            </w:r>
          </w:p>
        </w:tc>
      </w:tr>
      <w:tr>
        <w:trPr>
          <w:trHeight w:val="152"/>
        </w:trPr>
        <w:tc>
          <w:tcPr>
            <w:tcW w:w="1680" w:type="dxa"/>
            <w:vAlign w:val="bottom"/>
          </w:tcPr>
          <w:p>
            <w:pPr>
              <w:ind w:left="20"/>
              <w:spacing w:after="0"/>
              <w:rPr>
                <w:sz w:val="20"/>
                <w:szCs w:val="20"/>
                <w:color w:val="auto"/>
              </w:rPr>
            </w:pPr>
            <w:r>
              <w:rPr>
                <w:rFonts w:ascii="Arial" w:cs="Arial" w:eastAsia="Arial" w:hAnsi="Arial"/>
                <w:sz w:val="10"/>
                <w:szCs w:val="10"/>
                <w:color w:val="auto"/>
              </w:rPr>
              <w:t>Investing activities</w:t>
            </w:r>
          </w:p>
        </w:tc>
        <w:tc>
          <w:tcPr>
            <w:tcW w:w="1320" w:type="dxa"/>
            <w:vAlign w:val="bottom"/>
          </w:tcPr>
          <w:p>
            <w:pPr>
              <w:jc w:val="right"/>
              <w:spacing w:after="0"/>
              <w:rPr>
                <w:sz w:val="20"/>
                <w:szCs w:val="20"/>
                <w:color w:val="auto"/>
              </w:rPr>
            </w:pPr>
            <w:r>
              <w:rPr>
                <w:rFonts w:ascii="Arial" w:cs="Arial" w:eastAsia="Arial" w:hAnsi="Arial"/>
                <w:sz w:val="10"/>
                <w:szCs w:val="10"/>
                <w:color w:val="auto"/>
              </w:rPr>
              <w:t>(9,907)</w:t>
            </w:r>
          </w:p>
        </w:tc>
        <w:tc>
          <w:tcPr>
            <w:tcW w:w="920" w:type="dxa"/>
            <w:vAlign w:val="bottom"/>
          </w:tcPr>
          <w:p>
            <w:pPr>
              <w:jc w:val="right"/>
              <w:ind w:right="10"/>
              <w:spacing w:after="0"/>
              <w:rPr>
                <w:sz w:val="20"/>
                <w:szCs w:val="20"/>
                <w:color w:val="auto"/>
              </w:rPr>
            </w:pPr>
            <w:r>
              <w:rPr>
                <w:rFonts w:ascii="Arial" w:cs="Arial" w:eastAsia="Arial" w:hAnsi="Arial"/>
                <w:sz w:val="10"/>
                <w:szCs w:val="10"/>
                <w:color w:val="auto"/>
              </w:rPr>
              <w:t>8,460</w:t>
            </w:r>
          </w:p>
        </w:tc>
        <w:tc>
          <w:tcPr>
            <w:tcW w:w="960" w:type="dxa"/>
            <w:vAlign w:val="bottom"/>
          </w:tcPr>
          <w:p>
            <w:pPr>
              <w:jc w:val="right"/>
              <w:ind w:right="10"/>
              <w:spacing w:after="0"/>
              <w:rPr>
                <w:sz w:val="20"/>
                <w:szCs w:val="20"/>
                <w:color w:val="auto"/>
              </w:rPr>
            </w:pPr>
            <w:r>
              <w:rPr>
                <w:rFonts w:ascii="Arial" w:cs="Arial" w:eastAsia="Arial" w:hAnsi="Arial"/>
                <w:sz w:val="10"/>
                <w:szCs w:val="10"/>
                <w:color w:val="auto"/>
              </w:rPr>
              <w:t>(1,447)</w:t>
            </w:r>
          </w:p>
        </w:tc>
      </w:tr>
      <w:tr>
        <w:trPr>
          <w:trHeight w:val="152"/>
        </w:trPr>
        <w:tc>
          <w:tcPr>
            <w:tcW w:w="1680" w:type="dxa"/>
            <w:vAlign w:val="bottom"/>
          </w:tcPr>
          <w:p>
            <w:pPr>
              <w:ind w:left="20"/>
              <w:spacing w:after="0"/>
              <w:rPr>
                <w:sz w:val="20"/>
                <w:szCs w:val="20"/>
                <w:color w:val="auto"/>
              </w:rPr>
            </w:pPr>
            <w:r>
              <w:rPr>
                <w:rFonts w:ascii="Arial" w:cs="Arial" w:eastAsia="Arial" w:hAnsi="Arial"/>
                <w:sz w:val="10"/>
                <w:szCs w:val="10"/>
                <w:color w:val="auto"/>
              </w:rPr>
              <w:t>Financing activities</w:t>
            </w:r>
          </w:p>
        </w:tc>
        <w:tc>
          <w:tcPr>
            <w:tcW w:w="1320" w:type="dxa"/>
            <w:vAlign w:val="bottom"/>
          </w:tcPr>
          <w:p>
            <w:pPr>
              <w:jc w:val="right"/>
              <w:spacing w:after="0"/>
              <w:rPr>
                <w:sz w:val="20"/>
                <w:szCs w:val="20"/>
                <w:color w:val="auto"/>
              </w:rPr>
            </w:pPr>
            <w:r>
              <w:rPr>
                <w:rFonts w:ascii="Arial" w:cs="Arial" w:eastAsia="Arial" w:hAnsi="Arial"/>
                <w:sz w:val="10"/>
                <w:szCs w:val="10"/>
                <w:color w:val="auto"/>
              </w:rPr>
              <w:t>(3,919)</w:t>
            </w:r>
          </w:p>
        </w:tc>
        <w:tc>
          <w:tcPr>
            <w:tcW w:w="920" w:type="dxa"/>
            <w:vAlign w:val="bottom"/>
          </w:tcPr>
          <w:p>
            <w:pPr>
              <w:jc w:val="right"/>
              <w:ind w:right="10"/>
              <w:spacing w:after="0"/>
              <w:rPr>
                <w:sz w:val="20"/>
                <w:szCs w:val="20"/>
                <w:color w:val="auto"/>
              </w:rPr>
            </w:pPr>
            <w:r>
              <w:rPr>
                <w:rFonts w:ascii="Arial" w:cs="Arial" w:eastAsia="Arial" w:hAnsi="Arial"/>
                <w:sz w:val="10"/>
                <w:szCs w:val="10"/>
                <w:color w:val="auto"/>
              </w:rPr>
              <w:t>3,353</w:t>
            </w:r>
          </w:p>
        </w:tc>
        <w:tc>
          <w:tcPr>
            <w:tcW w:w="960" w:type="dxa"/>
            <w:vAlign w:val="bottom"/>
          </w:tcPr>
          <w:p>
            <w:pPr>
              <w:jc w:val="right"/>
              <w:ind w:right="10"/>
              <w:spacing w:after="0"/>
              <w:rPr>
                <w:sz w:val="20"/>
                <w:szCs w:val="20"/>
                <w:color w:val="auto"/>
              </w:rPr>
            </w:pPr>
            <w:r>
              <w:rPr>
                <w:rFonts w:ascii="Arial" w:cs="Arial" w:eastAsia="Arial" w:hAnsi="Arial"/>
                <w:sz w:val="10"/>
                <w:szCs w:val="10"/>
                <w:color w:val="auto"/>
              </w:rPr>
              <w:t>(566)</w:t>
            </w:r>
          </w:p>
        </w:tc>
      </w:tr>
    </w:tbl>
    <w:p>
      <w:pPr>
        <w:spacing w:after="0" w:line="232" w:lineRule="auto"/>
        <w:rPr>
          <w:sz w:val="20"/>
          <w:szCs w:val="20"/>
          <w:color w:val="auto"/>
        </w:rPr>
      </w:pPr>
      <w:r>
        <w:rPr>
          <w:rFonts w:ascii="Arial" w:cs="Arial" w:eastAsia="Arial" w:hAnsi="Arial"/>
          <w:sz w:val="10"/>
          <w:szCs w:val="10"/>
          <w:color w:val="auto"/>
        </w:rPr>
        <w:t>The change in presentation currency resulted in the following impact on the 12 months ended</w:t>
      </w:r>
    </w:p>
    <w:p>
      <w:pPr>
        <w:spacing w:after="0"/>
        <w:rPr>
          <w:sz w:val="20"/>
          <w:szCs w:val="20"/>
          <w:color w:val="auto"/>
        </w:rPr>
      </w:pPr>
      <w:r>
        <w:rPr>
          <w:rFonts w:ascii="Arial" w:cs="Arial" w:eastAsia="Arial" w:hAnsi="Arial"/>
          <w:sz w:val="10"/>
          <w:szCs w:val="10"/>
          <w:color w:val="auto"/>
        </w:rPr>
        <w:t>December 31, 2023 consolidated statement of cash flows: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094355" cy="12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3094355" cy="12065"/>
                    </a:xfrm>
                    <a:prstGeom prst="rect">
                      <a:avLst/>
                    </a:prstGeom>
                    <a:noFill/>
                  </pic:spPr>
                </pic:pic>
              </a:graphicData>
            </a:graphic>
          </wp:anchor>
        </w:drawing>
      </w:r>
    </w:p>
    <w:p>
      <w:pPr>
        <w:spacing w:after="0" w:line="104" w:lineRule="exact"/>
        <w:rPr>
          <w:rFonts w:ascii="Arial" w:cs="Arial" w:eastAsia="Arial" w:hAnsi="Arial"/>
          <w:sz w:val="10"/>
          <w:szCs w:val="1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114</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198" w:lineRule="auto"/>
        <w:rPr>
          <w:sz w:val="20"/>
          <w:szCs w:val="20"/>
          <w:color w:val="auto"/>
        </w:rPr>
      </w:pPr>
      <w:r>
        <w:rPr>
          <w:rFonts w:ascii="Arial" w:cs="Arial" w:eastAsia="Arial" w:hAnsi="Arial"/>
          <w:sz w:val="10"/>
          <w:szCs w:val="10"/>
          <w:color w:val="auto"/>
        </w:rPr>
        <w:t>The change in presentation currency resulted in the following impact on the 12 months ended</w:t>
      </w:r>
    </w:p>
    <w:p>
      <w:pPr>
        <w:spacing w:after="0" w:line="218" w:lineRule="auto"/>
        <w:rPr>
          <w:sz w:val="20"/>
          <w:szCs w:val="20"/>
          <w:color w:val="auto"/>
        </w:rPr>
      </w:pPr>
      <w:r>
        <w:rPr>
          <w:rFonts w:ascii="Arial" w:cs="Arial" w:eastAsia="Arial" w:hAnsi="Arial"/>
          <w:sz w:val="10"/>
          <w:szCs w:val="10"/>
          <w:color w:val="auto"/>
        </w:rPr>
        <w:t>December 31, 2024 basic and diluted earnings per share:</w:t>
      </w:r>
    </w:p>
    <w:tbl>
      <w:tblPr>
        <w:tblLayout w:type="fixed"/>
        <w:tblInd w:w="0" w:type="dxa"/>
        <w:tblCellMar>
          <w:top w:w="0" w:type="dxa"/>
          <w:left w:w="0" w:type="dxa"/>
          <w:bottom w:w="0" w:type="dxa"/>
          <w:right w:w="0" w:type="dxa"/>
        </w:tblCellMar>
      </w:tblPr>
      <w:tr>
        <w:trPr>
          <w:trHeight w:val="95"/>
        </w:trPr>
        <w:tc>
          <w:tcPr>
            <w:tcW w:w="1700" w:type="dxa"/>
            <w:vAlign w:val="bottom"/>
            <w:tcBorders>
              <w:top w:val="single" w:sz="8" w:color="691A6B"/>
            </w:tcBorders>
          </w:tcPr>
          <w:p>
            <w:pPr>
              <w:spacing w:after="0"/>
              <w:rPr>
                <w:sz w:val="8"/>
                <w:szCs w:val="8"/>
                <w:color w:val="auto"/>
              </w:rPr>
            </w:pPr>
          </w:p>
        </w:tc>
        <w:tc>
          <w:tcPr>
            <w:tcW w:w="1280" w:type="dxa"/>
            <w:vAlign w:val="bottom"/>
            <w:tcBorders>
              <w:top w:val="single" w:sz="8" w:color="691A6B"/>
            </w:tcBorders>
          </w:tcPr>
          <w:p>
            <w:pPr>
              <w:ind w:left="400"/>
              <w:spacing w:after="0" w:line="95" w:lineRule="exact"/>
              <w:rPr>
                <w:sz w:val="20"/>
                <w:szCs w:val="20"/>
                <w:color w:val="auto"/>
              </w:rPr>
            </w:pPr>
            <w:r>
              <w:rPr>
                <w:rFonts w:ascii="Arial" w:cs="Arial" w:eastAsia="Arial" w:hAnsi="Arial"/>
                <w:sz w:val="10"/>
                <w:szCs w:val="10"/>
                <w:b w:val="1"/>
                <w:bCs w:val="1"/>
                <w:color w:val="auto"/>
              </w:rPr>
              <w:t>Previously</w:t>
            </w:r>
          </w:p>
        </w:tc>
        <w:tc>
          <w:tcPr>
            <w:tcW w:w="940" w:type="dxa"/>
            <w:vAlign w:val="bottom"/>
            <w:tcBorders>
              <w:top w:val="single" w:sz="8" w:color="691A6B"/>
            </w:tcBorders>
          </w:tcPr>
          <w:p>
            <w:pPr>
              <w:spacing w:after="0"/>
              <w:rPr>
                <w:sz w:val="8"/>
                <w:szCs w:val="8"/>
                <w:color w:val="auto"/>
              </w:rPr>
            </w:pP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700" w:type="dxa"/>
            <w:vAlign w:val="bottom"/>
          </w:tcPr>
          <w:p>
            <w:pPr>
              <w:spacing w:after="0"/>
              <w:rPr>
                <w:sz w:val="11"/>
                <w:szCs w:val="11"/>
                <w:color w:val="auto"/>
              </w:rPr>
            </w:pPr>
          </w:p>
        </w:tc>
        <w:tc>
          <w:tcPr>
            <w:tcW w:w="1280" w:type="dxa"/>
            <w:vAlign w:val="bottom"/>
          </w:tcPr>
          <w:p>
            <w:pPr>
              <w:ind w:left="400"/>
              <w:spacing w:after="0"/>
              <w:rPr>
                <w:sz w:val="20"/>
                <w:szCs w:val="20"/>
                <w:color w:val="auto"/>
              </w:rPr>
            </w:pPr>
            <w:r>
              <w:rPr>
                <w:rFonts w:ascii="Arial" w:cs="Arial" w:eastAsia="Arial" w:hAnsi="Arial"/>
                <w:sz w:val="10"/>
                <w:szCs w:val="10"/>
                <w:b w:val="1"/>
                <w:bCs w:val="1"/>
                <w:color w:val="auto"/>
              </w:rPr>
              <w:t>reported in DKK</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19"/>
        </w:trPr>
        <w:tc>
          <w:tcPr>
            <w:tcW w:w="1700" w:type="dxa"/>
            <w:vAlign w:val="bottom"/>
          </w:tcPr>
          <w:p>
            <w:pPr>
              <w:spacing w:after="0"/>
              <w:rPr>
                <w:sz w:val="10"/>
                <w:szCs w:val="10"/>
                <w:color w:val="auto"/>
              </w:rPr>
            </w:pPr>
          </w:p>
        </w:tc>
        <w:tc>
          <w:tcPr>
            <w:tcW w:w="1280" w:type="dxa"/>
            <w:vAlign w:val="bottom"/>
          </w:tcPr>
          <w:p>
            <w:pPr>
              <w:ind w:left="400"/>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Presentation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700" w:type="dxa"/>
            <w:vAlign w:val="bottom"/>
          </w:tcPr>
          <w:p>
            <w:pPr>
              <w:spacing w:after="0"/>
              <w:rPr>
                <w:sz w:val="11"/>
                <w:szCs w:val="11"/>
                <w:color w:val="auto"/>
              </w:rPr>
            </w:pPr>
          </w:p>
        </w:tc>
        <w:tc>
          <w:tcPr>
            <w:tcW w:w="1280" w:type="dxa"/>
            <w:vAlign w:val="bottom"/>
          </w:tcPr>
          <w:p>
            <w:pPr>
              <w:ind w:left="400"/>
              <w:spacing w:after="0"/>
              <w:rPr>
                <w:sz w:val="20"/>
                <w:szCs w:val="20"/>
                <w:color w:val="auto"/>
              </w:rPr>
            </w:pPr>
            <w:r>
              <w:rPr>
                <w:rFonts w:ascii="Arial" w:cs="Arial" w:eastAsia="Arial" w:hAnsi="Arial"/>
                <w:sz w:val="10"/>
                <w:szCs w:val="10"/>
                <w:b w:val="1"/>
                <w:bCs w:val="1"/>
                <w:color w:val="auto"/>
              </w:rPr>
              <w:t>2024</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60"/>
        </w:trPr>
        <w:tc>
          <w:tcPr>
            <w:tcW w:w="1700" w:type="dxa"/>
            <w:vAlign w:val="bottom"/>
          </w:tcPr>
          <w:p>
            <w:pPr>
              <w:ind w:left="20"/>
              <w:spacing w:after="0"/>
              <w:rPr>
                <w:sz w:val="20"/>
                <w:szCs w:val="20"/>
                <w:color w:val="auto"/>
              </w:rPr>
            </w:pPr>
            <w:r>
              <w:rPr>
                <w:rFonts w:ascii="Arial" w:cs="Arial" w:eastAsia="Arial" w:hAnsi="Arial"/>
                <w:sz w:val="10"/>
                <w:szCs w:val="10"/>
                <w:color w:val="auto"/>
              </w:rPr>
              <w:t>Earnings per share - basic</w:t>
            </w:r>
          </w:p>
        </w:tc>
        <w:tc>
          <w:tcPr>
            <w:tcW w:w="1280" w:type="dxa"/>
            <w:vAlign w:val="bottom"/>
          </w:tcPr>
          <w:p>
            <w:pPr>
              <w:ind w:left="920"/>
              <w:spacing w:after="0"/>
              <w:rPr>
                <w:sz w:val="20"/>
                <w:szCs w:val="20"/>
                <w:color w:val="auto"/>
              </w:rPr>
            </w:pPr>
            <w:r>
              <w:rPr>
                <w:rFonts w:ascii="Arial" w:cs="Arial" w:eastAsia="Arial" w:hAnsi="Arial"/>
                <w:sz w:val="10"/>
                <w:szCs w:val="10"/>
                <w:color w:val="auto"/>
              </w:rPr>
              <w:t>122.21</w:t>
            </w:r>
          </w:p>
        </w:tc>
        <w:tc>
          <w:tcPr>
            <w:tcW w:w="940" w:type="dxa"/>
            <w:vAlign w:val="bottom"/>
          </w:tcPr>
          <w:p>
            <w:pPr>
              <w:jc w:val="right"/>
              <w:spacing w:after="0"/>
              <w:rPr>
                <w:sz w:val="20"/>
                <w:szCs w:val="20"/>
                <w:color w:val="auto"/>
              </w:rPr>
            </w:pPr>
            <w:r>
              <w:rPr>
                <w:rFonts w:ascii="Arial" w:cs="Arial" w:eastAsia="Arial" w:hAnsi="Arial"/>
                <w:sz w:val="10"/>
                <w:szCs w:val="10"/>
                <w:color w:val="auto"/>
              </w:rPr>
              <w:t>(104.55)</w:t>
            </w:r>
          </w:p>
        </w:tc>
        <w:tc>
          <w:tcPr>
            <w:tcW w:w="960" w:type="dxa"/>
            <w:vAlign w:val="bottom"/>
          </w:tcPr>
          <w:p>
            <w:pPr>
              <w:jc w:val="right"/>
              <w:ind w:right="31"/>
              <w:spacing w:after="0"/>
              <w:rPr>
                <w:sz w:val="20"/>
                <w:szCs w:val="20"/>
                <w:color w:val="auto"/>
              </w:rPr>
            </w:pPr>
            <w:r>
              <w:rPr>
                <w:rFonts w:ascii="Arial" w:cs="Arial" w:eastAsia="Arial" w:hAnsi="Arial"/>
                <w:sz w:val="10"/>
                <w:szCs w:val="10"/>
                <w:color w:val="auto"/>
              </w:rPr>
              <w:t>17.66</w:t>
            </w:r>
          </w:p>
        </w:tc>
      </w:tr>
      <w:tr>
        <w:trPr>
          <w:trHeight w:val="152"/>
        </w:trPr>
        <w:tc>
          <w:tcPr>
            <w:tcW w:w="1700" w:type="dxa"/>
            <w:vAlign w:val="bottom"/>
          </w:tcPr>
          <w:p>
            <w:pPr>
              <w:ind w:left="20"/>
              <w:spacing w:after="0"/>
              <w:rPr>
                <w:sz w:val="20"/>
                <w:szCs w:val="20"/>
                <w:color w:val="auto"/>
              </w:rPr>
            </w:pPr>
            <w:r>
              <w:rPr>
                <w:rFonts w:ascii="Arial" w:cs="Arial" w:eastAsia="Arial" w:hAnsi="Arial"/>
                <w:sz w:val="10"/>
                <w:szCs w:val="10"/>
                <w:color w:val="auto"/>
              </w:rPr>
              <w:t>Earnings per share - diluted</w:t>
            </w:r>
          </w:p>
        </w:tc>
        <w:tc>
          <w:tcPr>
            <w:tcW w:w="1280" w:type="dxa"/>
            <w:vAlign w:val="bottom"/>
          </w:tcPr>
          <w:p>
            <w:pPr>
              <w:ind w:left="920"/>
              <w:spacing w:after="0"/>
              <w:rPr>
                <w:sz w:val="20"/>
                <w:szCs w:val="20"/>
                <w:color w:val="auto"/>
              </w:rPr>
            </w:pPr>
            <w:r>
              <w:rPr>
                <w:rFonts w:ascii="Arial" w:cs="Arial" w:eastAsia="Arial" w:hAnsi="Arial"/>
                <w:sz w:val="10"/>
                <w:szCs w:val="10"/>
                <w:color w:val="auto"/>
              </w:rPr>
              <w:t>121.36</w:t>
            </w:r>
          </w:p>
        </w:tc>
        <w:tc>
          <w:tcPr>
            <w:tcW w:w="940" w:type="dxa"/>
            <w:vAlign w:val="bottom"/>
          </w:tcPr>
          <w:p>
            <w:pPr>
              <w:jc w:val="right"/>
              <w:spacing w:after="0"/>
              <w:rPr>
                <w:sz w:val="20"/>
                <w:szCs w:val="20"/>
                <w:color w:val="auto"/>
              </w:rPr>
            </w:pPr>
            <w:r>
              <w:rPr>
                <w:rFonts w:ascii="Arial" w:cs="Arial" w:eastAsia="Arial" w:hAnsi="Arial"/>
                <w:sz w:val="10"/>
                <w:szCs w:val="10"/>
                <w:color w:val="auto"/>
              </w:rPr>
              <w:t>(103.83)</w:t>
            </w:r>
          </w:p>
        </w:tc>
        <w:tc>
          <w:tcPr>
            <w:tcW w:w="960" w:type="dxa"/>
            <w:vAlign w:val="bottom"/>
          </w:tcPr>
          <w:p>
            <w:pPr>
              <w:jc w:val="right"/>
              <w:ind w:right="31"/>
              <w:spacing w:after="0"/>
              <w:rPr>
                <w:sz w:val="20"/>
                <w:szCs w:val="20"/>
                <w:color w:val="auto"/>
              </w:rPr>
            </w:pPr>
            <w:r>
              <w:rPr>
                <w:rFonts w:ascii="Arial" w:cs="Arial" w:eastAsia="Arial" w:hAnsi="Arial"/>
                <w:sz w:val="10"/>
                <w:szCs w:val="10"/>
                <w:color w:val="auto"/>
              </w:rPr>
              <w:t>17.53</w:t>
            </w:r>
          </w:p>
        </w:tc>
      </w:tr>
    </w:tbl>
    <w:p>
      <w:pPr>
        <w:spacing w:after="0" w:line="232" w:lineRule="auto"/>
        <w:rPr>
          <w:sz w:val="20"/>
          <w:szCs w:val="20"/>
          <w:color w:val="auto"/>
        </w:rPr>
      </w:pPr>
      <w:r>
        <w:rPr>
          <w:rFonts w:ascii="Arial" w:cs="Arial" w:eastAsia="Arial" w:hAnsi="Arial"/>
          <w:sz w:val="10"/>
          <w:szCs w:val="10"/>
          <w:color w:val="auto"/>
        </w:rPr>
        <w:t>The change in presentation currency resulted in the following impact on the 12 months ended December</w:t>
      </w:r>
    </w:p>
    <w:p>
      <w:pPr>
        <w:spacing w:after="0" w:line="217" w:lineRule="auto"/>
        <w:rPr>
          <w:sz w:val="20"/>
          <w:szCs w:val="20"/>
          <w:color w:val="auto"/>
        </w:rPr>
      </w:pPr>
      <w:r>
        <w:rPr>
          <w:rFonts w:ascii="Arial" w:cs="Arial" w:eastAsia="Arial" w:hAnsi="Arial"/>
          <w:sz w:val="10"/>
          <w:szCs w:val="10"/>
          <w:color w:val="auto"/>
        </w:rPr>
        <w:t>31, 2023 basic and diluted earnings per share:</w:t>
      </w:r>
    </w:p>
    <w:tbl>
      <w:tblPr>
        <w:tblLayout w:type="fixed"/>
        <w:tblInd w:w="0" w:type="dxa"/>
        <w:tblCellMar>
          <w:top w:w="0" w:type="dxa"/>
          <w:left w:w="0" w:type="dxa"/>
          <w:bottom w:w="0" w:type="dxa"/>
          <w:right w:w="0" w:type="dxa"/>
        </w:tblCellMar>
      </w:tblPr>
      <w:tr>
        <w:trPr>
          <w:trHeight w:val="95"/>
        </w:trPr>
        <w:tc>
          <w:tcPr>
            <w:tcW w:w="1700" w:type="dxa"/>
            <w:vAlign w:val="bottom"/>
            <w:tcBorders>
              <w:top w:val="single" w:sz="8" w:color="691A6B"/>
            </w:tcBorders>
          </w:tcPr>
          <w:p>
            <w:pPr>
              <w:spacing w:after="0"/>
              <w:rPr>
                <w:sz w:val="8"/>
                <w:szCs w:val="8"/>
                <w:color w:val="auto"/>
              </w:rPr>
            </w:pPr>
          </w:p>
        </w:tc>
        <w:tc>
          <w:tcPr>
            <w:tcW w:w="1280" w:type="dxa"/>
            <w:vAlign w:val="bottom"/>
            <w:tcBorders>
              <w:top w:val="single" w:sz="8" w:color="691A6B"/>
            </w:tcBorders>
          </w:tcPr>
          <w:p>
            <w:pPr>
              <w:ind w:left="400"/>
              <w:spacing w:after="0" w:line="95" w:lineRule="exact"/>
              <w:rPr>
                <w:sz w:val="20"/>
                <w:szCs w:val="20"/>
                <w:color w:val="auto"/>
              </w:rPr>
            </w:pPr>
            <w:r>
              <w:rPr>
                <w:rFonts w:ascii="Arial" w:cs="Arial" w:eastAsia="Arial" w:hAnsi="Arial"/>
                <w:sz w:val="10"/>
                <w:szCs w:val="10"/>
                <w:b w:val="1"/>
                <w:bCs w:val="1"/>
                <w:color w:val="auto"/>
              </w:rPr>
              <w:t>Previously</w:t>
            </w:r>
          </w:p>
        </w:tc>
        <w:tc>
          <w:tcPr>
            <w:tcW w:w="940" w:type="dxa"/>
            <w:vAlign w:val="bottom"/>
            <w:tcBorders>
              <w:top w:val="single" w:sz="8" w:color="691A6B"/>
            </w:tcBorders>
          </w:tcPr>
          <w:p>
            <w:pPr>
              <w:spacing w:after="0"/>
              <w:rPr>
                <w:sz w:val="8"/>
                <w:szCs w:val="8"/>
                <w:color w:val="auto"/>
              </w:rPr>
            </w:pP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700" w:type="dxa"/>
            <w:vAlign w:val="bottom"/>
          </w:tcPr>
          <w:p>
            <w:pPr>
              <w:spacing w:after="0"/>
              <w:rPr>
                <w:sz w:val="11"/>
                <w:szCs w:val="11"/>
                <w:color w:val="auto"/>
              </w:rPr>
            </w:pPr>
          </w:p>
        </w:tc>
        <w:tc>
          <w:tcPr>
            <w:tcW w:w="1280" w:type="dxa"/>
            <w:vAlign w:val="bottom"/>
          </w:tcPr>
          <w:p>
            <w:pPr>
              <w:ind w:left="400"/>
              <w:spacing w:after="0"/>
              <w:rPr>
                <w:sz w:val="20"/>
                <w:szCs w:val="20"/>
                <w:color w:val="auto"/>
              </w:rPr>
            </w:pPr>
            <w:r>
              <w:rPr>
                <w:rFonts w:ascii="Arial" w:cs="Arial" w:eastAsia="Arial" w:hAnsi="Arial"/>
                <w:sz w:val="10"/>
                <w:szCs w:val="10"/>
                <w:b w:val="1"/>
                <w:bCs w:val="1"/>
                <w:color w:val="auto"/>
              </w:rPr>
              <w:t>reported in DKK</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19"/>
        </w:trPr>
        <w:tc>
          <w:tcPr>
            <w:tcW w:w="1700" w:type="dxa"/>
            <w:vAlign w:val="bottom"/>
          </w:tcPr>
          <w:p>
            <w:pPr>
              <w:spacing w:after="0"/>
              <w:rPr>
                <w:sz w:val="10"/>
                <w:szCs w:val="10"/>
                <w:color w:val="auto"/>
              </w:rPr>
            </w:pPr>
          </w:p>
        </w:tc>
        <w:tc>
          <w:tcPr>
            <w:tcW w:w="1280" w:type="dxa"/>
            <w:vAlign w:val="bottom"/>
          </w:tcPr>
          <w:p>
            <w:pPr>
              <w:ind w:left="400"/>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Presentation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700" w:type="dxa"/>
            <w:vAlign w:val="bottom"/>
          </w:tcPr>
          <w:p>
            <w:pPr>
              <w:spacing w:after="0"/>
              <w:rPr>
                <w:sz w:val="11"/>
                <w:szCs w:val="11"/>
                <w:color w:val="auto"/>
              </w:rPr>
            </w:pPr>
          </w:p>
        </w:tc>
        <w:tc>
          <w:tcPr>
            <w:tcW w:w="1280" w:type="dxa"/>
            <w:vAlign w:val="bottom"/>
          </w:tcPr>
          <w:p>
            <w:pPr>
              <w:ind w:left="400"/>
              <w:spacing w:after="0"/>
              <w:rPr>
                <w:sz w:val="20"/>
                <w:szCs w:val="20"/>
                <w:color w:val="auto"/>
              </w:rPr>
            </w:pPr>
            <w:r>
              <w:rPr>
                <w:rFonts w:ascii="Arial" w:cs="Arial" w:eastAsia="Arial" w:hAnsi="Arial"/>
                <w:sz w:val="10"/>
                <w:szCs w:val="10"/>
                <w:b w:val="1"/>
                <w:bCs w:val="1"/>
                <w:color w:val="auto"/>
              </w:rPr>
              <w:t>2023</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2023</w:t>
            </w:r>
          </w:p>
        </w:tc>
      </w:tr>
      <w:tr>
        <w:trPr>
          <w:trHeight w:val="160"/>
        </w:trPr>
        <w:tc>
          <w:tcPr>
            <w:tcW w:w="1700" w:type="dxa"/>
            <w:vAlign w:val="bottom"/>
          </w:tcPr>
          <w:p>
            <w:pPr>
              <w:ind w:left="20"/>
              <w:spacing w:after="0"/>
              <w:rPr>
                <w:sz w:val="20"/>
                <w:szCs w:val="20"/>
                <w:color w:val="auto"/>
              </w:rPr>
            </w:pPr>
            <w:r>
              <w:rPr>
                <w:rFonts w:ascii="Arial" w:cs="Arial" w:eastAsia="Arial" w:hAnsi="Arial"/>
                <w:sz w:val="10"/>
                <w:szCs w:val="10"/>
                <w:color w:val="auto"/>
              </w:rPr>
              <w:t>Earnings per share - basic</w:t>
            </w:r>
          </w:p>
        </w:tc>
        <w:tc>
          <w:tcPr>
            <w:tcW w:w="1280" w:type="dxa"/>
            <w:vAlign w:val="bottom"/>
          </w:tcPr>
          <w:p>
            <w:pPr>
              <w:ind w:left="980"/>
              <w:spacing w:after="0"/>
              <w:rPr>
                <w:sz w:val="20"/>
                <w:szCs w:val="20"/>
                <w:color w:val="auto"/>
              </w:rPr>
            </w:pPr>
            <w:r>
              <w:rPr>
                <w:rFonts w:ascii="Arial" w:cs="Arial" w:eastAsia="Arial" w:hAnsi="Arial"/>
                <w:sz w:val="10"/>
                <w:szCs w:val="10"/>
                <w:color w:val="auto"/>
              </w:rPr>
              <w:t>66.64</w:t>
            </w:r>
          </w:p>
        </w:tc>
        <w:tc>
          <w:tcPr>
            <w:tcW w:w="940" w:type="dxa"/>
            <w:vAlign w:val="bottom"/>
          </w:tcPr>
          <w:p>
            <w:pPr>
              <w:jc w:val="right"/>
              <w:spacing w:after="0"/>
              <w:rPr>
                <w:sz w:val="20"/>
                <w:szCs w:val="20"/>
                <w:color w:val="auto"/>
              </w:rPr>
            </w:pPr>
            <w:r>
              <w:rPr>
                <w:rFonts w:ascii="Arial" w:cs="Arial" w:eastAsia="Arial" w:hAnsi="Arial"/>
                <w:sz w:val="10"/>
                <w:szCs w:val="10"/>
                <w:color w:val="auto"/>
              </w:rPr>
              <w:t>(56.97)</w:t>
            </w:r>
          </w:p>
        </w:tc>
        <w:tc>
          <w:tcPr>
            <w:tcW w:w="960" w:type="dxa"/>
            <w:vAlign w:val="bottom"/>
          </w:tcPr>
          <w:p>
            <w:pPr>
              <w:jc w:val="right"/>
              <w:ind w:right="31"/>
              <w:spacing w:after="0"/>
              <w:rPr>
                <w:sz w:val="20"/>
                <w:szCs w:val="20"/>
                <w:color w:val="auto"/>
              </w:rPr>
            </w:pPr>
            <w:r>
              <w:rPr>
                <w:rFonts w:ascii="Arial" w:cs="Arial" w:eastAsia="Arial" w:hAnsi="Arial"/>
                <w:sz w:val="10"/>
                <w:szCs w:val="10"/>
                <w:color w:val="auto"/>
              </w:rPr>
              <w:t>9.67</w:t>
            </w:r>
          </w:p>
        </w:tc>
      </w:tr>
      <w:tr>
        <w:trPr>
          <w:trHeight w:val="152"/>
        </w:trPr>
        <w:tc>
          <w:tcPr>
            <w:tcW w:w="1700" w:type="dxa"/>
            <w:vAlign w:val="bottom"/>
          </w:tcPr>
          <w:p>
            <w:pPr>
              <w:ind w:left="20"/>
              <w:spacing w:after="0"/>
              <w:rPr>
                <w:sz w:val="20"/>
                <w:szCs w:val="20"/>
                <w:color w:val="auto"/>
              </w:rPr>
            </w:pPr>
            <w:r>
              <w:rPr>
                <w:rFonts w:ascii="Arial" w:cs="Arial" w:eastAsia="Arial" w:hAnsi="Arial"/>
                <w:sz w:val="10"/>
                <w:szCs w:val="10"/>
                <w:color w:val="auto"/>
              </w:rPr>
              <w:t>Earnings per share - diluted</w:t>
            </w:r>
          </w:p>
        </w:tc>
        <w:tc>
          <w:tcPr>
            <w:tcW w:w="1280" w:type="dxa"/>
            <w:vAlign w:val="bottom"/>
          </w:tcPr>
          <w:p>
            <w:pPr>
              <w:ind w:left="980"/>
              <w:spacing w:after="0"/>
              <w:rPr>
                <w:sz w:val="20"/>
                <w:szCs w:val="20"/>
                <w:color w:val="auto"/>
              </w:rPr>
            </w:pPr>
            <w:r>
              <w:rPr>
                <w:rFonts w:ascii="Arial" w:cs="Arial" w:eastAsia="Arial" w:hAnsi="Arial"/>
                <w:sz w:val="10"/>
                <w:szCs w:val="10"/>
                <w:color w:val="auto"/>
              </w:rPr>
              <w:t>66.02</w:t>
            </w:r>
          </w:p>
        </w:tc>
        <w:tc>
          <w:tcPr>
            <w:tcW w:w="940" w:type="dxa"/>
            <w:vAlign w:val="bottom"/>
          </w:tcPr>
          <w:p>
            <w:pPr>
              <w:jc w:val="right"/>
              <w:spacing w:after="0"/>
              <w:rPr>
                <w:sz w:val="20"/>
                <w:szCs w:val="20"/>
                <w:color w:val="auto"/>
              </w:rPr>
            </w:pPr>
            <w:r>
              <w:rPr>
                <w:rFonts w:ascii="Arial" w:cs="Arial" w:eastAsia="Arial" w:hAnsi="Arial"/>
                <w:sz w:val="10"/>
                <w:szCs w:val="10"/>
                <w:color w:val="auto"/>
              </w:rPr>
              <w:t>(56.44)</w:t>
            </w:r>
          </w:p>
        </w:tc>
        <w:tc>
          <w:tcPr>
            <w:tcW w:w="960" w:type="dxa"/>
            <w:vAlign w:val="bottom"/>
          </w:tcPr>
          <w:p>
            <w:pPr>
              <w:jc w:val="right"/>
              <w:ind w:right="31"/>
              <w:spacing w:after="0"/>
              <w:rPr>
                <w:sz w:val="20"/>
                <w:szCs w:val="20"/>
                <w:color w:val="auto"/>
              </w:rPr>
            </w:pPr>
            <w:r>
              <w:rPr>
                <w:rFonts w:ascii="Arial" w:cs="Arial" w:eastAsia="Arial" w:hAnsi="Arial"/>
                <w:sz w:val="10"/>
                <w:szCs w:val="10"/>
                <w:color w:val="auto"/>
              </w:rPr>
              <w:t>9.58</w:t>
            </w:r>
          </w:p>
        </w:tc>
      </w:tr>
    </w:tbl>
    <w:p>
      <w:pPr>
        <w:spacing w:after="0"/>
        <w:rPr>
          <w:sz w:val="20"/>
          <w:szCs w:val="20"/>
          <w:color w:val="auto"/>
        </w:rPr>
      </w:pPr>
      <w:r>
        <w:rPr>
          <w:rFonts w:ascii="Arial" w:cs="Arial" w:eastAsia="Arial" w:hAnsi="Arial"/>
          <w:sz w:val="13"/>
          <w:szCs w:val="13"/>
          <w:b w:val="1"/>
          <w:bCs w:val="1"/>
          <w:color w:val="691A6B"/>
        </w:rPr>
        <w:t>Foreign Currency</w:t>
      </w:r>
    </w:p>
    <w:p>
      <w:pPr>
        <w:spacing w:after="0" w:line="198" w:lineRule="auto"/>
        <w:rPr>
          <w:sz w:val="20"/>
          <w:szCs w:val="20"/>
          <w:color w:val="auto"/>
        </w:rPr>
      </w:pPr>
      <w:r>
        <w:rPr>
          <w:rFonts w:ascii="Arial" w:cs="Arial" w:eastAsia="Arial" w:hAnsi="Arial"/>
          <w:sz w:val="10"/>
          <w:szCs w:val="10"/>
          <w:color w:val="auto"/>
        </w:rPr>
        <w:t>Transactions in foreign currencies are translated at the exchange rates in effect at the date of the</w:t>
      </w:r>
    </w:p>
    <w:p>
      <w:pPr>
        <w:spacing w:after="0" w:line="199" w:lineRule="auto"/>
        <w:rPr>
          <w:sz w:val="20"/>
          <w:szCs w:val="20"/>
          <w:color w:val="auto"/>
        </w:rPr>
      </w:pPr>
      <w:r>
        <w:rPr>
          <w:rFonts w:ascii="Arial" w:cs="Arial" w:eastAsia="Arial" w:hAnsi="Arial"/>
          <w:sz w:val="10"/>
          <w:szCs w:val="10"/>
          <w:color w:val="auto"/>
        </w:rPr>
        <w:t>transaction.</w:t>
      </w:r>
    </w:p>
    <w:p>
      <w:pPr>
        <w:spacing w:after="0" w:line="198" w:lineRule="auto"/>
        <w:rPr>
          <w:sz w:val="20"/>
          <w:szCs w:val="20"/>
          <w:color w:val="auto"/>
        </w:rPr>
      </w:pPr>
      <w:r>
        <w:rPr>
          <w:rFonts w:ascii="Arial" w:cs="Arial" w:eastAsia="Arial" w:hAnsi="Arial"/>
          <w:sz w:val="10"/>
          <w:szCs w:val="10"/>
          <w:color w:val="auto"/>
        </w:rPr>
        <w:t>Except for foreign currency differences related to tax balances, exchange rate gains and losses arising</w:t>
      </w:r>
    </w:p>
    <w:p>
      <w:pPr>
        <w:spacing w:after="0" w:line="199" w:lineRule="auto"/>
        <w:rPr>
          <w:sz w:val="20"/>
          <w:szCs w:val="20"/>
          <w:color w:val="auto"/>
        </w:rPr>
      </w:pPr>
      <w:r>
        <w:rPr>
          <w:rFonts w:ascii="Arial" w:cs="Arial" w:eastAsia="Arial" w:hAnsi="Arial"/>
          <w:sz w:val="10"/>
          <w:szCs w:val="10"/>
          <w:color w:val="auto"/>
        </w:rPr>
        <w:t>between the transaction date and the settlement date are recognized in the Consolidated Statements</w:t>
      </w:r>
    </w:p>
    <w:p>
      <w:pPr>
        <w:spacing w:after="0" w:line="199" w:lineRule="auto"/>
        <w:rPr>
          <w:sz w:val="20"/>
          <w:szCs w:val="20"/>
          <w:color w:val="auto"/>
        </w:rPr>
      </w:pPr>
      <w:r>
        <w:rPr>
          <w:rFonts w:ascii="Arial" w:cs="Arial" w:eastAsia="Arial" w:hAnsi="Arial"/>
          <w:sz w:val="10"/>
          <w:szCs w:val="10"/>
          <w:color w:val="auto"/>
        </w:rPr>
        <w:t>of Comprehensive Income as financial income or expense.</w:t>
      </w:r>
    </w:p>
    <w:p>
      <w:pPr>
        <w:ind w:right="4880"/>
        <w:spacing w:after="0" w:line="200" w:lineRule="auto"/>
        <w:rPr>
          <w:sz w:val="20"/>
          <w:szCs w:val="20"/>
          <w:color w:val="auto"/>
        </w:rPr>
      </w:pPr>
      <w:r>
        <w:rPr>
          <w:rFonts w:ascii="Arial" w:cs="Arial" w:eastAsia="Arial" w:hAnsi="Arial"/>
          <w:sz w:val="10"/>
          <w:szCs w:val="10"/>
          <w:color w:val="auto"/>
        </w:rPr>
        <w:t>Unsettled monetary assets and liabilities in foreign currencies are translated at the exchange rates in effect at the balance sheet date. Exchange rate gains and losses arising between the transaction date and the balance sheet date are recognized in the Consolidated Statements of Comprehensive Income as financial income or expense.</w:t>
      </w:r>
    </w:p>
    <w:p>
      <w:pPr>
        <w:spacing w:after="0" w:line="212" w:lineRule="auto"/>
        <w:rPr>
          <w:sz w:val="20"/>
          <w:szCs w:val="20"/>
          <w:color w:val="auto"/>
        </w:rPr>
      </w:pPr>
      <w:r>
        <w:rPr>
          <w:rFonts w:ascii="Arial" w:cs="Arial" w:eastAsia="Arial" w:hAnsi="Arial"/>
          <w:sz w:val="13"/>
          <w:szCs w:val="13"/>
          <w:b w:val="1"/>
          <w:bCs w:val="1"/>
          <w:color w:val="691A6B"/>
        </w:rPr>
        <w:t>Classification of Costs and Operating Expenses in the Income Statement</w:t>
      </w:r>
    </w:p>
    <w:p>
      <w:pPr>
        <w:spacing w:after="0" w:line="196" w:lineRule="auto"/>
        <w:rPr>
          <w:sz w:val="20"/>
          <w:szCs w:val="20"/>
          <w:color w:val="auto"/>
        </w:rPr>
      </w:pPr>
      <w:r>
        <w:rPr>
          <w:rFonts w:ascii="Arial" w:cs="Arial" w:eastAsia="Arial" w:hAnsi="Arial"/>
          <w:sz w:val="12"/>
          <w:szCs w:val="12"/>
          <w:b w:val="1"/>
          <w:bCs w:val="1"/>
          <w:color w:val="auto"/>
        </w:rPr>
        <w:t>Cost of Product Sales</w:t>
      </w:r>
    </w:p>
    <w:p>
      <w:pPr>
        <w:ind w:right="4900"/>
        <w:spacing w:after="0" w:line="198" w:lineRule="auto"/>
        <w:rPr>
          <w:sz w:val="20"/>
          <w:szCs w:val="20"/>
          <w:color w:val="auto"/>
        </w:rPr>
      </w:pPr>
      <w:r>
        <w:rPr>
          <w:rFonts w:ascii="Arial" w:cs="Arial" w:eastAsia="Arial" w:hAnsi="Arial"/>
          <w:sz w:val="10"/>
          <w:szCs w:val="10"/>
          <w:color w:val="auto"/>
        </w:rPr>
        <w:t>Cost of product sales includes direct and indirect costs relating to the manufacturing of inventory mainly from third-party providers of manufacturing as well as costs related to internal resources and distribution and logistics. Inventory amounts written down as a result of excess or obsolescence are charged to cost of product sales. Also included in cost of product sales are royalty payments on commercialized products. Additionally, cost of product sales includes profit-sharing amounts owed to collaboration partners for the sale of commercial products when Genmab is determined to be the principal in sales to end</w:t>
      </w:r>
    </w:p>
    <w:p>
      <w:pPr>
        <w:spacing w:after="0" w:line="202" w:lineRule="auto"/>
        <w:rPr>
          <w:sz w:val="20"/>
          <w:szCs w:val="20"/>
          <w:color w:val="auto"/>
        </w:rPr>
      </w:pPr>
      <w:r>
        <w:rPr>
          <w:rFonts w:ascii="Arial" w:cs="Arial" w:eastAsia="Arial" w:hAnsi="Arial"/>
          <w:sz w:val="10"/>
          <w:szCs w:val="10"/>
          <w:color w:val="auto"/>
        </w:rPr>
        <w:t>customers. The only profit-sharing amounts owed to collaboration partners that are recorded as cost of</w:t>
      </w:r>
    </w:p>
    <w:p>
      <w:pPr>
        <w:spacing w:after="0" w:line="199" w:lineRule="auto"/>
        <w:rPr>
          <w:sz w:val="20"/>
          <w:szCs w:val="20"/>
          <w:color w:val="auto"/>
        </w:rPr>
      </w:pPr>
      <w:r>
        <w:rPr>
          <w:rFonts w:ascii="Arial" w:cs="Arial" w:eastAsia="Arial" w:hAnsi="Arial"/>
          <w:sz w:val="10"/>
          <w:szCs w:val="10"/>
          <w:color w:val="auto"/>
        </w:rPr>
        <w:t>product sales relate to sales of EPKINLY in the US and Japan pursuant to the Collaboration Agreement</w:t>
      </w:r>
    </w:p>
    <w:p>
      <w:pPr>
        <w:spacing w:after="0" w:line="198" w:lineRule="auto"/>
        <w:rPr>
          <w:sz w:val="20"/>
          <w:szCs w:val="20"/>
          <w:color w:val="auto"/>
        </w:rPr>
      </w:pPr>
      <w:r>
        <w:rPr>
          <w:rFonts w:ascii="Arial" w:cs="Arial" w:eastAsia="Arial" w:hAnsi="Arial"/>
          <w:sz w:val="10"/>
          <w:szCs w:val="10"/>
          <w:color w:val="auto"/>
        </w:rPr>
        <w:t>with AbbVie.</w:t>
      </w:r>
    </w:p>
    <w:p>
      <w:pPr>
        <w:spacing w:after="0" w:line="199" w:lineRule="auto"/>
        <w:rPr>
          <w:sz w:val="20"/>
          <w:szCs w:val="20"/>
          <w:color w:val="auto"/>
        </w:rPr>
      </w:pPr>
      <w:r>
        <w:rPr>
          <w:rFonts w:ascii="Arial" w:cs="Arial" w:eastAsia="Arial" w:hAnsi="Arial"/>
          <w:sz w:val="10"/>
          <w:szCs w:val="10"/>
          <w:color w:val="auto"/>
        </w:rPr>
        <w:t>Aside from these items, there are no other costs included within cost of product sales.</w:t>
      </w:r>
    </w:p>
    <w:p>
      <w:pPr>
        <w:spacing w:after="0" w:line="199" w:lineRule="auto"/>
        <w:rPr>
          <w:rFonts w:ascii="Arial" w:cs="Arial" w:eastAsia="Arial" w:hAnsi="Arial"/>
          <w:sz w:val="10"/>
          <w:szCs w:val="10"/>
          <w:color w:val="691A6B"/>
        </w:rPr>
      </w:pPr>
      <w:hyperlink w:anchor="page158">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5.6 </w:t>
      </w:r>
      <w:hyperlink w:anchor="page158">
        <w:r>
          <w:rPr>
            <w:rFonts w:ascii="Arial" w:cs="Arial" w:eastAsia="Arial" w:hAnsi="Arial"/>
            <w:sz w:val="10"/>
            <w:szCs w:val="10"/>
            <w:color w:val="691A6B"/>
          </w:rPr>
          <w:t>in the Annual Report for detailed information regarding Genmab’s Collaboration</w:t>
        </w:r>
      </w:hyperlink>
    </w:p>
    <w:p>
      <w:pPr>
        <w:spacing w:after="0"/>
        <w:rPr>
          <w:rFonts w:ascii="Arial" w:cs="Arial" w:eastAsia="Arial" w:hAnsi="Arial"/>
          <w:sz w:val="10"/>
          <w:szCs w:val="10"/>
          <w:color w:val="691A6B"/>
        </w:rPr>
      </w:pPr>
      <w:hyperlink w:anchor="page158">
        <w:r>
          <w:rPr>
            <w:rFonts w:ascii="Arial" w:cs="Arial" w:eastAsia="Arial" w:hAnsi="Arial"/>
            <w:sz w:val="10"/>
            <w:szCs w:val="10"/>
            <w:color w:val="691A6B"/>
          </w:rPr>
          <w:t>Agreement with AbbVie.</w:t>
        </w:r>
      </w:hyperlink>
    </w:p>
    <w:p>
      <w:pPr>
        <w:sectPr>
          <w:pgSz w:w="11900" w:h="16840" w:orient="portrait"/>
          <w:cols w:equalWidth="0" w:num="1">
            <w:col w:w="9820"/>
          </w:cols>
          <w:pgMar w:left="640" w:top="571" w:right="1440" w:bottom="1440" w:gutter="0" w:footer="0" w:header="0"/>
        </w:sectPr>
      </w:pPr>
    </w:p>
    <w:bookmarkStart w:id="138" w:name="page139"/>
    <w:bookmarkEnd w:id="138"/>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195" w:lineRule="auto"/>
        <w:rPr>
          <w:sz w:val="20"/>
          <w:szCs w:val="20"/>
          <w:color w:val="auto"/>
        </w:rPr>
      </w:pPr>
      <w:r>
        <w:rPr>
          <w:rFonts w:ascii="Arial" w:cs="Arial" w:eastAsia="Arial" w:hAnsi="Arial"/>
          <w:sz w:val="12"/>
          <w:szCs w:val="12"/>
          <w:b w:val="1"/>
          <w:bCs w:val="1"/>
          <w:color w:val="auto"/>
        </w:rPr>
        <w:t>Research and Development Expenses</w:t>
      </w:r>
    </w:p>
    <w:p>
      <w:pPr>
        <w:ind w:right="2460"/>
        <w:spacing w:after="0" w:line="198" w:lineRule="auto"/>
        <w:rPr>
          <w:sz w:val="20"/>
          <w:szCs w:val="20"/>
          <w:color w:val="auto"/>
        </w:rPr>
      </w:pPr>
      <w:r>
        <w:rPr>
          <w:rFonts w:ascii="Arial" w:cs="Arial" w:eastAsia="Arial" w:hAnsi="Arial"/>
          <w:sz w:val="10"/>
          <w:szCs w:val="10"/>
          <w:color w:val="auto"/>
        </w:rPr>
        <w:t>Research and development expenses primarily include salaries, benefits and other employee-related costs of Genmab’s research and development staff, license costs, manufacturing costs, preclinical costs, clinical trials, contractors and outside service fees, amortization and impairment of licenses and rights related to intangible assets, depreciation of property and equipment, and depreciation of right- of-use assets, to the extent that such costs are related to the Group’s research and development activities.</w:t>
      </w:r>
    </w:p>
    <w:p>
      <w:pPr>
        <w:spacing w:after="0" w:line="2" w:lineRule="exact"/>
        <w:rPr>
          <w:rFonts w:ascii="Arial" w:cs="Arial" w:eastAsia="Arial" w:hAnsi="Arial"/>
          <w:sz w:val="10"/>
          <w:szCs w:val="10"/>
          <w:color w:val="auto"/>
        </w:rPr>
      </w:pPr>
    </w:p>
    <w:p>
      <w:pPr>
        <w:ind w:right="2480"/>
        <w:spacing w:after="0" w:line="200" w:lineRule="auto"/>
        <w:rPr>
          <w:rFonts w:ascii="Arial" w:cs="Arial" w:eastAsia="Arial" w:hAnsi="Arial"/>
          <w:sz w:val="10"/>
          <w:szCs w:val="10"/>
          <w:color w:val="691A6B"/>
        </w:rPr>
      </w:pPr>
      <w:hyperlink w:anchor="page143">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3.1 </w:t>
      </w:r>
      <w:hyperlink w:anchor="page143">
        <w:r>
          <w:rPr>
            <w:rFonts w:ascii="Arial" w:cs="Arial" w:eastAsia="Arial" w:hAnsi="Arial"/>
            <w:sz w:val="10"/>
            <w:szCs w:val="10"/>
            <w:color w:val="691A6B"/>
          </w:rPr>
          <w:t>for a more detailed description on the treatment of Genmab’s research and development</w:t>
        </w:r>
      </w:hyperlink>
      <w:r>
        <w:rPr>
          <w:rFonts w:ascii="Arial" w:cs="Arial" w:eastAsia="Arial" w:hAnsi="Arial"/>
          <w:sz w:val="10"/>
          <w:szCs w:val="10"/>
          <w:color w:val="691A6B"/>
        </w:rPr>
        <w:t xml:space="preserve"> </w:t>
      </w:r>
      <w:hyperlink w:anchor="page143">
        <w:r>
          <w:rPr>
            <w:rFonts w:ascii="Arial" w:cs="Arial" w:eastAsia="Arial" w:hAnsi="Arial"/>
            <w:sz w:val="10"/>
            <w:szCs w:val="10"/>
            <w:color w:val="691A6B"/>
          </w:rPr>
          <w:t>expenses.</w:t>
        </w:r>
      </w:hyperlink>
    </w:p>
    <w:p>
      <w:pPr>
        <w:spacing w:after="0" w:line="196" w:lineRule="auto"/>
        <w:rPr>
          <w:sz w:val="20"/>
          <w:szCs w:val="20"/>
          <w:color w:val="auto"/>
        </w:rPr>
      </w:pPr>
      <w:r>
        <w:rPr>
          <w:rFonts w:ascii="Arial" w:cs="Arial" w:eastAsia="Arial" w:hAnsi="Arial"/>
          <w:sz w:val="12"/>
          <w:szCs w:val="12"/>
          <w:b w:val="1"/>
          <w:bCs w:val="1"/>
          <w:color w:val="auto"/>
        </w:rPr>
        <w:t>Selling, General and Administrative Expenses</w:t>
      </w:r>
    </w:p>
    <w:p>
      <w:pPr>
        <w:ind w:right="2520"/>
        <w:spacing w:after="0" w:line="199" w:lineRule="auto"/>
        <w:rPr>
          <w:sz w:val="20"/>
          <w:szCs w:val="20"/>
          <w:color w:val="auto"/>
        </w:rPr>
      </w:pPr>
      <w:r>
        <w:rPr>
          <w:rFonts w:ascii="Arial" w:cs="Arial" w:eastAsia="Arial" w:hAnsi="Arial"/>
          <w:sz w:val="10"/>
          <w:szCs w:val="10"/>
          <w:color w:val="auto"/>
        </w:rPr>
        <w:t>Selling, general and administrative expenses relate to the management and administration of Genmab, including commercialization activities. This primarily includes salaries, benefits and other employee costs related to management and support functions including human resources, information technology and the finance departments. In addition, depreciation of property and equipment and depreciation of right -of-use assets, to the extent such expenses are related to administrative functions, are also included. Selling, general and administrative expenses are recognized in the Consolidated Statements of Comprehensive Income in the period to which they relate.</w:t>
      </w:r>
    </w:p>
    <w:p>
      <w:pPr>
        <w:spacing w:after="0" w:line="196" w:lineRule="auto"/>
        <w:rPr>
          <w:sz w:val="20"/>
          <w:szCs w:val="20"/>
          <w:color w:val="auto"/>
        </w:rPr>
      </w:pPr>
      <w:r>
        <w:rPr>
          <w:rFonts w:ascii="Arial" w:cs="Arial" w:eastAsia="Arial" w:hAnsi="Arial"/>
          <w:sz w:val="12"/>
          <w:szCs w:val="12"/>
          <w:b w:val="1"/>
          <w:bCs w:val="1"/>
          <w:color w:val="auto"/>
        </w:rPr>
        <w:t>Acquisition and Integration Related Charges</w:t>
      </w:r>
    </w:p>
    <w:p>
      <w:pPr>
        <w:ind w:right="2580"/>
        <w:spacing w:after="0" w:line="198" w:lineRule="auto"/>
        <w:rPr>
          <w:sz w:val="20"/>
          <w:szCs w:val="20"/>
          <w:color w:val="auto"/>
        </w:rPr>
      </w:pPr>
      <w:r>
        <w:rPr>
          <w:rFonts w:ascii="Arial" w:cs="Arial" w:eastAsia="Arial" w:hAnsi="Arial"/>
          <w:sz w:val="10"/>
          <w:szCs w:val="10"/>
          <w:color w:val="auto"/>
        </w:rPr>
        <w:t>Acquisition and integration related charges for the acquisitions of Merus N.V. ("Merus") and ProfoundBio which occurred during the fourth quarter of 2025 and second quarter of 2024, respectively.</w:t>
      </w:r>
    </w:p>
    <w:p>
      <w:pPr>
        <w:spacing w:after="0" w:line="1" w:lineRule="exact"/>
        <w:rPr>
          <w:rFonts w:ascii="Arial" w:cs="Arial" w:eastAsia="Arial" w:hAnsi="Arial"/>
          <w:sz w:val="10"/>
          <w:szCs w:val="10"/>
          <w:color w:val="691A6B"/>
        </w:rPr>
      </w:pPr>
    </w:p>
    <w:p>
      <w:pPr>
        <w:ind w:right="2480"/>
        <w:spacing w:after="0" w:line="201" w:lineRule="auto"/>
        <w:rPr>
          <w:rFonts w:ascii="Arial" w:cs="Arial" w:eastAsia="Arial" w:hAnsi="Arial"/>
          <w:sz w:val="10"/>
          <w:szCs w:val="10"/>
          <w:color w:val="691A6B"/>
        </w:rPr>
      </w:pPr>
      <w:hyperlink w:anchor="page15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5.5 </w:t>
      </w:r>
      <w:hyperlink w:anchor="page156">
        <w:r>
          <w:rPr>
            <w:rFonts w:ascii="Arial" w:cs="Arial" w:eastAsia="Arial" w:hAnsi="Arial"/>
            <w:sz w:val="10"/>
            <w:szCs w:val="10"/>
            <w:color w:val="691A6B"/>
          </w:rPr>
          <w:t>for more information regarding Genmab’s Acquisition and Integration costs related to the</w:t>
        </w:r>
      </w:hyperlink>
      <w:r>
        <w:rPr>
          <w:rFonts w:ascii="Arial" w:cs="Arial" w:eastAsia="Arial" w:hAnsi="Arial"/>
          <w:sz w:val="10"/>
          <w:szCs w:val="10"/>
          <w:color w:val="691A6B"/>
        </w:rPr>
        <w:t xml:space="preserve"> </w:t>
      </w:r>
      <w:hyperlink w:anchor="page156">
        <w:r>
          <w:rPr>
            <w:rFonts w:ascii="Arial" w:cs="Arial" w:eastAsia="Arial" w:hAnsi="Arial"/>
            <w:sz w:val="10"/>
            <w:szCs w:val="10"/>
            <w:color w:val="691A6B"/>
          </w:rPr>
          <w:t>acquisition of Merus and ProfoundBio.</w:t>
        </w:r>
      </w:hyperlink>
    </w:p>
    <w:p>
      <w:pPr>
        <w:spacing w:after="0" w:line="210" w:lineRule="auto"/>
        <w:rPr>
          <w:sz w:val="20"/>
          <w:szCs w:val="20"/>
          <w:color w:val="auto"/>
        </w:rPr>
      </w:pPr>
      <w:r>
        <w:rPr>
          <w:rFonts w:ascii="Arial" w:cs="Arial" w:eastAsia="Arial" w:hAnsi="Arial"/>
          <w:sz w:val="13"/>
          <w:szCs w:val="13"/>
          <w:b w:val="1"/>
          <w:bCs w:val="1"/>
          <w:color w:val="691A6B"/>
        </w:rPr>
        <w:t>Government Grants</w:t>
      </w:r>
    </w:p>
    <w:p>
      <w:pPr>
        <w:ind w:right="2580"/>
        <w:spacing w:after="0" w:line="232" w:lineRule="auto"/>
        <w:rPr>
          <w:sz w:val="20"/>
          <w:szCs w:val="20"/>
          <w:color w:val="auto"/>
        </w:rPr>
      </w:pPr>
      <w:r>
        <w:rPr>
          <w:rFonts w:ascii="Arial" w:cs="Arial" w:eastAsia="Arial" w:hAnsi="Arial"/>
          <w:sz w:val="10"/>
          <w:szCs w:val="10"/>
          <w:color w:val="auto"/>
        </w:rPr>
        <w:t>Government grants are recognized at their fair value where there is reasonable assurance that the grant will be received and that Genmab will comply with all attaching conditions. When the grant relates to an expense item, it is recognized as a reduction of that expense on a systematic basis over the periods that the costs for which it is intended to compensate are incurred. Where the grant relates to an asset, the fair value is credited to a contract liability account and is released to the statement of comprehensive income as other operating income over the expected useful life of the relevant asset by equal annual installments.</w:t>
      </w:r>
    </w:p>
    <w:p>
      <w:pPr>
        <w:spacing w:after="0" w:line="212" w:lineRule="auto"/>
        <w:rPr>
          <w:sz w:val="20"/>
          <w:szCs w:val="20"/>
          <w:color w:val="auto"/>
        </w:rPr>
      </w:pPr>
      <w:r>
        <w:rPr>
          <w:rFonts w:ascii="Arial" w:cs="Arial" w:eastAsia="Arial" w:hAnsi="Arial"/>
          <w:sz w:val="13"/>
          <w:szCs w:val="13"/>
          <w:b w:val="1"/>
          <w:bCs w:val="1"/>
          <w:color w:val="691A6B"/>
        </w:rPr>
        <w:t>Statements of Cash Flows</w:t>
      </w:r>
    </w:p>
    <w:p>
      <w:pPr>
        <w:ind w:right="2460"/>
        <w:spacing w:after="0" w:line="198" w:lineRule="auto"/>
        <w:rPr>
          <w:sz w:val="20"/>
          <w:szCs w:val="20"/>
          <w:color w:val="auto"/>
        </w:rPr>
      </w:pPr>
      <w:r>
        <w:rPr>
          <w:rFonts w:ascii="Arial" w:cs="Arial" w:eastAsia="Arial" w:hAnsi="Arial"/>
          <w:sz w:val="10"/>
          <w:szCs w:val="10"/>
          <w:color w:val="auto"/>
        </w:rPr>
        <w:t>The cash flow statement is presented using the indirect method with basis in the net profit before tax. Cash flows from operating activities are stated as the net profit before tax adjusted for financial income and expense, non- cash operating items including depreciation, amortization, impairment losses, share-based compensation expenses, and for changes in operating assets and liabilities, interest paid and received, interest elements of lease payments and corporate taxes paid or received. Operating assets and liabilities are mainly comprised of changes in receivables, inventories and other payables excluding the items included in cash and cash equivalents. Changes in non-current assets and liabilities are included in operating assets and liabilities, if related to the main revenue-producing activities of Genmab.</w:t>
      </w:r>
    </w:p>
    <w:p>
      <w:pPr>
        <w:spacing w:after="0" w:line="2" w:lineRule="exact"/>
        <w:rPr>
          <w:rFonts w:ascii="Arial" w:cs="Arial" w:eastAsia="Arial" w:hAnsi="Arial"/>
          <w:sz w:val="10"/>
          <w:szCs w:val="10"/>
          <w:color w:val="691A6B"/>
        </w:rPr>
      </w:pPr>
    </w:p>
    <w:p>
      <w:pPr>
        <w:ind w:right="2520"/>
        <w:spacing w:after="0" w:line="198" w:lineRule="auto"/>
        <w:rPr>
          <w:sz w:val="20"/>
          <w:szCs w:val="20"/>
          <w:color w:val="auto"/>
        </w:rPr>
      </w:pPr>
      <w:r>
        <w:rPr>
          <w:rFonts w:ascii="Arial" w:cs="Arial" w:eastAsia="Arial" w:hAnsi="Arial"/>
          <w:sz w:val="10"/>
          <w:szCs w:val="10"/>
          <w:color w:val="auto"/>
        </w:rPr>
        <w:t>Cash flows from investing activities consist of acquisitions of businesses, net of cash acquired, purchases and sales of marketable securities and other investments, as well as purchases of intangible assets and property and equipment.</w:t>
      </w:r>
    </w:p>
    <w:p>
      <w:pPr>
        <w:spacing w:after="0" w:line="1" w:lineRule="exact"/>
        <w:rPr>
          <w:rFonts w:ascii="Arial" w:cs="Arial" w:eastAsia="Arial" w:hAnsi="Arial"/>
          <w:sz w:val="10"/>
          <w:szCs w:val="10"/>
          <w:color w:val="691A6B"/>
        </w:rPr>
      </w:pPr>
    </w:p>
    <w:p>
      <w:pPr>
        <w:ind w:right="2480"/>
        <w:spacing w:after="0" w:line="198" w:lineRule="auto"/>
        <w:rPr>
          <w:sz w:val="20"/>
          <w:szCs w:val="20"/>
          <w:color w:val="auto"/>
        </w:rPr>
      </w:pPr>
      <w:r>
        <w:rPr>
          <w:rFonts w:ascii="Arial" w:cs="Arial" w:eastAsia="Arial" w:hAnsi="Arial"/>
          <w:sz w:val="10"/>
          <w:szCs w:val="10"/>
          <w:color w:val="auto"/>
        </w:rPr>
        <w:t>Cash flows from financing activities relate to the purchase of treasury shares, exercise of warrants, payments of withholding taxes on behalf of employees on net settled RSUs and repayments of borrowings including installments on loans, notes and lease liabilities.</w:t>
      </w:r>
    </w:p>
    <w:p>
      <w:pPr>
        <w:spacing w:after="0" w:line="1" w:lineRule="exact"/>
        <w:rPr>
          <w:rFonts w:ascii="Arial" w:cs="Arial" w:eastAsia="Arial" w:hAnsi="Arial"/>
          <w:sz w:val="10"/>
          <w:szCs w:val="10"/>
          <w:color w:val="691A6B"/>
        </w:rPr>
      </w:pPr>
    </w:p>
    <w:p>
      <w:pPr>
        <w:ind w:right="2820"/>
        <w:spacing w:after="0" w:line="198" w:lineRule="auto"/>
        <w:rPr>
          <w:sz w:val="20"/>
          <w:szCs w:val="20"/>
          <w:color w:val="auto"/>
        </w:rPr>
      </w:pPr>
      <w:r>
        <w:rPr>
          <w:rFonts w:ascii="Arial" w:cs="Arial" w:eastAsia="Arial" w:hAnsi="Arial"/>
          <w:sz w:val="10"/>
          <w:szCs w:val="10"/>
          <w:color w:val="auto"/>
        </w:rPr>
        <w:t>Cash and cash equivalents are comprised of cash, bank deposits, and marketable securities with a maturity of less than 90 days on the date of acquisition.</w:t>
      </w:r>
    </w:p>
    <w:p>
      <w:pPr>
        <w:spacing w:after="0" w:line="205" w:lineRule="auto"/>
        <w:rPr>
          <w:sz w:val="20"/>
          <w:szCs w:val="20"/>
          <w:color w:val="auto"/>
        </w:rPr>
      </w:pPr>
      <w:r>
        <w:rPr>
          <w:rFonts w:ascii="Arial" w:cs="Arial" w:eastAsia="Arial" w:hAnsi="Arial"/>
          <w:sz w:val="10"/>
          <w:szCs w:val="10"/>
          <w:color w:val="auto"/>
        </w:rPr>
        <w:t>The statements of cash flows cannot be derived solely from the consolidated financial statements.</w:t>
      </w:r>
    </w:p>
    <w:p>
      <w:pPr>
        <w:spacing w:after="0" w:line="210" w:lineRule="auto"/>
        <w:rPr>
          <w:sz w:val="20"/>
          <w:szCs w:val="20"/>
          <w:color w:val="auto"/>
        </w:rPr>
      </w:pPr>
      <w:r>
        <w:rPr>
          <w:rFonts w:ascii="Arial" w:cs="Arial" w:eastAsia="Arial" w:hAnsi="Arial"/>
          <w:sz w:val="13"/>
          <w:szCs w:val="13"/>
          <w:b w:val="1"/>
          <w:bCs w:val="1"/>
          <w:color w:val="691A6B"/>
        </w:rPr>
        <w:t>Treasury Shares</w:t>
      </w:r>
    </w:p>
    <w:p>
      <w:pPr>
        <w:ind w:right="2440"/>
        <w:spacing w:after="0" w:line="201" w:lineRule="auto"/>
        <w:rPr>
          <w:sz w:val="20"/>
          <w:szCs w:val="20"/>
          <w:color w:val="auto"/>
        </w:rPr>
      </w:pPr>
      <w:r>
        <w:rPr>
          <w:rFonts w:ascii="Arial" w:cs="Arial" w:eastAsia="Arial" w:hAnsi="Arial"/>
          <w:sz w:val="10"/>
          <w:szCs w:val="10"/>
          <w:color w:val="auto"/>
        </w:rPr>
        <w:t>The total amount paid to acquire treasury shares including directly attributable costs and the proceeds from the sale of treasury shares is recognized in retained earnings.</w:t>
      </w:r>
    </w:p>
    <w:p>
      <w:pPr>
        <w:spacing w:after="0" w:line="213" w:lineRule="auto"/>
        <w:rPr>
          <w:sz w:val="20"/>
          <w:szCs w:val="20"/>
          <w:color w:val="auto"/>
        </w:rPr>
      </w:pPr>
      <w:r>
        <w:rPr>
          <w:rFonts w:ascii="Arial" w:cs="Arial" w:eastAsia="Arial" w:hAnsi="Arial"/>
          <w:sz w:val="13"/>
          <w:szCs w:val="13"/>
          <w:b w:val="1"/>
          <w:bCs w:val="1"/>
          <w:color w:val="691A6B"/>
        </w:rPr>
        <w:t>Collaborations, License Agreements and Collaborative Agreements</w:t>
      </w:r>
    </w:p>
    <w:p>
      <w:pPr>
        <w:spacing w:after="0" w:line="195" w:lineRule="auto"/>
        <w:rPr>
          <w:sz w:val="20"/>
          <w:szCs w:val="20"/>
          <w:color w:val="auto"/>
        </w:rPr>
      </w:pPr>
      <w:r>
        <w:rPr>
          <w:rFonts w:ascii="Arial" w:cs="Arial" w:eastAsia="Arial" w:hAnsi="Arial"/>
          <w:sz w:val="12"/>
          <w:szCs w:val="12"/>
          <w:b w:val="1"/>
          <w:bCs w:val="1"/>
          <w:color w:val="auto"/>
        </w:rPr>
        <w:t>Collaborations and License Agreements</w:t>
      </w:r>
    </w:p>
    <w:p>
      <w:pPr>
        <w:ind w:right="2540"/>
        <w:spacing w:after="0" w:line="198" w:lineRule="auto"/>
        <w:rPr>
          <w:sz w:val="20"/>
          <w:szCs w:val="20"/>
          <w:color w:val="auto"/>
        </w:rPr>
      </w:pPr>
      <w:r>
        <w:rPr>
          <w:rFonts w:ascii="Arial" w:cs="Arial" w:eastAsia="Arial" w:hAnsi="Arial"/>
          <w:sz w:val="10"/>
          <w:szCs w:val="10"/>
          <w:color w:val="auto"/>
        </w:rPr>
        <w:t>Genmab continues to pursue the establishment of research collaborations and licensing agreements. These arrangements often include upfront payments, expense reimbursements or payments to the collaboration partner, and milestone and royalty arrangements, contingent upon the occurrence of certain future events linked to the success of the asset in development.</w:t>
      </w:r>
    </w:p>
    <w:p>
      <w:pPr>
        <w:spacing w:after="0" w:line="1" w:lineRule="exact"/>
        <w:rPr>
          <w:rFonts w:ascii="Arial" w:cs="Arial" w:eastAsia="Arial" w:hAnsi="Arial"/>
          <w:sz w:val="10"/>
          <w:szCs w:val="10"/>
          <w:color w:val="691A6B"/>
        </w:rPr>
      </w:pPr>
    </w:p>
    <w:p>
      <w:pPr>
        <w:ind w:right="2700"/>
        <w:spacing w:after="0" w:line="198" w:lineRule="auto"/>
        <w:rPr>
          <w:sz w:val="20"/>
          <w:szCs w:val="20"/>
          <w:color w:val="auto"/>
        </w:rPr>
      </w:pPr>
      <w:r>
        <w:rPr>
          <w:rFonts w:ascii="Arial" w:cs="Arial" w:eastAsia="Arial" w:hAnsi="Arial"/>
          <w:sz w:val="10"/>
          <w:szCs w:val="10"/>
          <w:color w:val="auto"/>
        </w:rPr>
        <w:t>In regard to Genmab’s license agreements with J&amp;J, Novartis and Roche, each of these parties retain final decision-making authority over the relevant activities and as such no joint control exists.</w:t>
      </w:r>
    </w:p>
    <w:p>
      <w:pPr>
        <w:spacing w:after="0" w:line="1" w:lineRule="exact"/>
        <w:rPr>
          <w:rFonts w:ascii="Arial" w:cs="Arial" w:eastAsia="Arial" w:hAnsi="Arial"/>
          <w:sz w:val="10"/>
          <w:szCs w:val="10"/>
          <w:color w:val="691A6B"/>
        </w:rPr>
      </w:pPr>
    </w:p>
    <w:p>
      <w:pPr>
        <w:spacing w:after="0"/>
        <w:rPr>
          <w:rFonts w:ascii="Arial" w:cs="Arial" w:eastAsia="Arial" w:hAnsi="Arial"/>
          <w:sz w:val="10"/>
          <w:szCs w:val="10"/>
          <w:color w:val="691A6B"/>
        </w:rPr>
      </w:pPr>
      <w:hyperlink w:anchor="page140">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2.1 </w:t>
      </w:r>
      <w:hyperlink w:anchor="page140">
        <w:r>
          <w:rPr>
            <w:rFonts w:ascii="Arial" w:cs="Arial" w:eastAsia="Arial" w:hAnsi="Arial"/>
            <w:sz w:val="10"/>
            <w:szCs w:val="10"/>
            <w:color w:val="691A6B"/>
          </w:rPr>
          <w:t>for additional information related to revenue from these parties.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195" w:lineRule="auto"/>
        <w:rPr>
          <w:sz w:val="20"/>
          <w:szCs w:val="20"/>
          <w:color w:val="auto"/>
        </w:rPr>
      </w:pPr>
      <w:r>
        <w:rPr>
          <w:rFonts w:ascii="Arial" w:cs="Arial" w:eastAsia="Arial" w:hAnsi="Arial"/>
          <w:sz w:val="12"/>
          <w:szCs w:val="12"/>
          <w:b w:val="1"/>
          <w:bCs w:val="1"/>
          <w:color w:val="auto"/>
        </w:rPr>
        <w:t>Collaborative Agreements</w:t>
      </w:r>
    </w:p>
    <w:p>
      <w:pPr>
        <w:ind w:right="2500"/>
        <w:spacing w:after="0" w:line="198" w:lineRule="auto"/>
        <w:rPr>
          <w:sz w:val="20"/>
          <w:szCs w:val="20"/>
          <w:color w:val="auto"/>
        </w:rPr>
      </w:pPr>
      <w:r>
        <w:rPr>
          <w:rFonts w:ascii="Arial" w:cs="Arial" w:eastAsia="Arial" w:hAnsi="Arial"/>
          <w:sz w:val="10"/>
          <w:szCs w:val="10"/>
          <w:color w:val="auto"/>
        </w:rPr>
        <w:t>Genmab has entered into a number of joint collaborative agreements. These agreements often include upfront payments, expense reimbursements or payments to the collaboration partner, and milestone and royalty arrangements, contingent upon the occurrence of certain future events linked to the success of the asset in development.</w:t>
      </w:r>
    </w:p>
    <w:p>
      <w:pPr>
        <w:spacing w:after="0" w:line="1" w:lineRule="exact"/>
        <w:rPr>
          <w:rFonts w:ascii="Arial" w:cs="Arial" w:eastAsia="Arial" w:hAnsi="Arial"/>
          <w:sz w:val="10"/>
          <w:szCs w:val="10"/>
          <w:color w:val="auto"/>
        </w:rPr>
      </w:pPr>
    </w:p>
    <w:p>
      <w:pPr>
        <w:ind w:right="2580"/>
        <w:spacing w:after="0" w:line="198" w:lineRule="auto"/>
        <w:rPr>
          <w:sz w:val="20"/>
          <w:szCs w:val="20"/>
          <w:color w:val="auto"/>
        </w:rPr>
      </w:pPr>
      <w:r>
        <w:rPr>
          <w:rFonts w:ascii="Arial" w:cs="Arial" w:eastAsia="Arial" w:hAnsi="Arial"/>
          <w:sz w:val="10"/>
          <w:szCs w:val="10"/>
          <w:color w:val="auto"/>
        </w:rPr>
        <w:t>These agreements also provide Genmab with varying rights to develop, produce and market products together with its collaborative partners. Both parties in these arrangements share in the decision-making and therefore have joint control of the arrangement. In 2025, Genmab’s more significant collaboration agreements are with AbbVie (epcoritamab) and Pfizer (tisotumab vedotin).</w:t>
      </w:r>
    </w:p>
    <w:p>
      <w:pPr>
        <w:spacing w:after="0" w:line="1" w:lineRule="exact"/>
        <w:rPr>
          <w:rFonts w:ascii="Arial" w:cs="Arial" w:eastAsia="Arial" w:hAnsi="Arial"/>
          <w:sz w:val="10"/>
          <w:szCs w:val="10"/>
          <w:color w:val="auto"/>
        </w:rPr>
      </w:pPr>
    </w:p>
    <w:p>
      <w:pPr>
        <w:ind w:right="2680"/>
        <w:spacing w:after="0" w:line="201" w:lineRule="auto"/>
        <w:rPr>
          <w:rFonts w:ascii="Arial" w:cs="Arial" w:eastAsia="Arial" w:hAnsi="Arial"/>
          <w:sz w:val="10"/>
          <w:szCs w:val="10"/>
          <w:color w:val="691A6B"/>
        </w:rPr>
      </w:pPr>
      <w:hyperlink w:anchor="page140">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2.1 </w:t>
      </w:r>
      <w:hyperlink w:anchor="page140">
        <w:r>
          <w:rPr>
            <w:rFonts w:ascii="Arial" w:cs="Arial" w:eastAsia="Arial" w:hAnsi="Arial"/>
            <w:sz w:val="10"/>
            <w:szCs w:val="10"/>
            <w:color w:val="691A6B"/>
          </w:rPr>
          <w:t>for additional information related to revenue from our joint collaborative agreements.</w:t>
        </w:r>
      </w:hyperlink>
      <w:r>
        <w:rPr>
          <w:rFonts w:ascii="Arial" w:cs="Arial" w:eastAsia="Arial" w:hAnsi="Arial"/>
          <w:sz w:val="10"/>
          <w:szCs w:val="10"/>
          <w:color w:val="691A6B"/>
        </w:rPr>
        <w:t xml:space="preserve"> </w:t>
      </w:r>
      <w:hyperlink w:anchor="page158">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5.6 </w:t>
      </w:r>
      <w:hyperlink w:anchor="page158">
        <w:r>
          <w:rPr>
            <w:rFonts w:ascii="Arial" w:cs="Arial" w:eastAsia="Arial" w:hAnsi="Arial"/>
            <w:sz w:val="10"/>
            <w:szCs w:val="10"/>
            <w:color w:val="691A6B"/>
          </w:rPr>
          <w:t>for detailed information regarding Genmab’s significant Research Collaborations,</w:t>
        </w:r>
      </w:hyperlink>
      <w:r>
        <w:rPr>
          <w:rFonts w:ascii="Arial" w:cs="Arial" w:eastAsia="Arial" w:hAnsi="Arial"/>
          <w:sz w:val="10"/>
          <w:szCs w:val="10"/>
          <w:color w:val="691A6B"/>
        </w:rPr>
        <w:t xml:space="preserve"> </w:t>
      </w:r>
      <w:hyperlink w:anchor="page158">
        <w:r>
          <w:rPr>
            <w:rFonts w:ascii="Arial" w:cs="Arial" w:eastAsia="Arial" w:hAnsi="Arial"/>
            <w:sz w:val="10"/>
            <w:szCs w:val="10"/>
            <w:color w:val="691A6B"/>
          </w:rPr>
          <w:t>License Agreements and Collaborative Agreements.</w:t>
        </w:r>
      </w:hyperlink>
    </w:p>
    <w:p>
      <w:pPr>
        <w:spacing w:after="0" w:line="210" w:lineRule="auto"/>
        <w:rPr>
          <w:sz w:val="20"/>
          <w:szCs w:val="20"/>
          <w:color w:val="auto"/>
        </w:rPr>
      </w:pPr>
      <w:r>
        <w:rPr>
          <w:rFonts w:ascii="Arial" w:cs="Arial" w:eastAsia="Arial" w:hAnsi="Arial"/>
          <w:sz w:val="15"/>
          <w:szCs w:val="15"/>
          <w:b w:val="1"/>
          <w:bCs w:val="1"/>
          <w:color w:val="691A6B"/>
        </w:rPr>
        <w:t>1.2 - New Accounting Policies and Disclosures</w:t>
      </w:r>
    </w:p>
    <w:p>
      <w:pPr>
        <w:spacing w:after="0" w:line="210" w:lineRule="auto"/>
        <w:rPr>
          <w:sz w:val="20"/>
          <w:szCs w:val="20"/>
          <w:color w:val="auto"/>
        </w:rPr>
      </w:pPr>
      <w:r>
        <w:rPr>
          <w:rFonts w:ascii="Arial" w:cs="Arial" w:eastAsia="Arial" w:hAnsi="Arial"/>
          <w:sz w:val="13"/>
          <w:szCs w:val="13"/>
          <w:b w:val="1"/>
          <w:bCs w:val="1"/>
          <w:color w:val="691A6B"/>
        </w:rPr>
        <w:t>New Accounting Policies and Disclosures For 2025</w:t>
      </w:r>
    </w:p>
    <w:p>
      <w:pPr>
        <w:ind w:right="2720"/>
        <w:spacing w:after="0"/>
        <w:rPr>
          <w:sz w:val="20"/>
          <w:szCs w:val="20"/>
          <w:color w:val="auto"/>
        </w:rPr>
      </w:pPr>
      <w:r>
        <w:rPr>
          <w:rFonts w:ascii="Arial" w:cs="Arial" w:eastAsia="Arial" w:hAnsi="Arial"/>
          <w:sz w:val="10"/>
          <w:szCs w:val="10"/>
          <w:color w:val="auto"/>
        </w:rPr>
        <w:t>Genmab has, with effect from January 1, 2025, implemented the following amendment: •Amendments to IAS 21 The Effects of Changes in Foreign Exchange Rates: Lack of Exchangeability The implementation of this amendment did not have a material impact on the consolidated financial statements for the current or prior reporting periods and is not expected to have a significant impact in future reporting periods.</w:t>
      </w:r>
    </w:p>
    <w:p>
      <w:pPr>
        <w:spacing w:after="0" w:line="19" w:lineRule="exact"/>
        <w:rPr>
          <w:rFonts w:ascii="Arial" w:cs="Arial" w:eastAsia="Arial" w:hAnsi="Arial"/>
          <w:sz w:val="10"/>
          <w:szCs w:val="10"/>
          <w:color w:val="691A6B"/>
        </w:rPr>
      </w:pPr>
    </w:p>
    <w:p>
      <w:pPr>
        <w:spacing w:after="0"/>
        <w:rPr>
          <w:sz w:val="20"/>
          <w:szCs w:val="20"/>
          <w:color w:val="auto"/>
        </w:rPr>
      </w:pPr>
      <w:r>
        <w:rPr>
          <w:rFonts w:ascii="Arial" w:cs="Arial" w:eastAsia="Arial" w:hAnsi="Arial"/>
          <w:sz w:val="13"/>
          <w:szCs w:val="13"/>
          <w:b w:val="1"/>
          <w:bCs w:val="1"/>
          <w:color w:val="691A6B"/>
        </w:rPr>
        <w:t>New Accounting Policies and Disclosures Effective in 2026 or Later</w:t>
      </w:r>
    </w:p>
    <w:p>
      <w:pPr>
        <w:spacing w:after="0" w:line="20" w:lineRule="exact"/>
        <w:rPr>
          <w:rFonts w:ascii="Arial" w:cs="Arial" w:eastAsia="Arial" w:hAnsi="Arial"/>
          <w:sz w:val="10"/>
          <w:szCs w:val="10"/>
          <w:color w:val="691A6B"/>
        </w:rPr>
      </w:pPr>
      <w:r>
        <w:rPr>
          <w:rFonts w:ascii="Arial" w:cs="Arial" w:eastAsia="Arial" w:hAnsi="Arial"/>
          <w:sz w:val="10"/>
          <w:szCs w:val="10"/>
          <w:color w:val="691A6B"/>
        </w:rPr>
        <w:drawing>
          <wp:anchor simplePos="0" relativeHeight="251657728" behindDoc="1" locked="0" layoutInCell="0" allowOverlap="1">
            <wp:simplePos x="0" y="0"/>
            <wp:positionH relativeFrom="column">
              <wp:posOffset>3810</wp:posOffset>
            </wp:positionH>
            <wp:positionV relativeFrom="paragraph">
              <wp:posOffset>-5715</wp:posOffset>
            </wp:positionV>
            <wp:extent cx="3118485" cy="7010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3118485" cy="701040"/>
                    </a:xfrm>
                    <a:prstGeom prst="rect">
                      <a:avLst/>
                    </a:prstGeom>
                    <a:noFill/>
                  </pic:spPr>
                </pic:pic>
              </a:graphicData>
            </a:graphic>
          </wp:anchor>
        </w:drawing>
      </w: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331" w:lineRule="exact"/>
        <w:rPr>
          <w:rFonts w:ascii="Arial" w:cs="Arial" w:eastAsia="Arial" w:hAnsi="Arial"/>
          <w:sz w:val="10"/>
          <w:szCs w:val="10"/>
          <w:color w:val="691A6B"/>
        </w:rPr>
      </w:pPr>
    </w:p>
    <w:p>
      <w:pPr>
        <w:ind w:right="2660"/>
        <w:spacing w:after="0" w:line="205" w:lineRule="auto"/>
        <w:rPr>
          <w:sz w:val="20"/>
          <w:szCs w:val="20"/>
          <w:color w:val="auto"/>
        </w:rPr>
      </w:pPr>
      <w:r>
        <w:rPr>
          <w:rFonts w:ascii="Arial" w:cs="Arial" w:eastAsia="Arial" w:hAnsi="Arial"/>
          <w:sz w:val="10"/>
          <w:szCs w:val="10"/>
          <w:color w:val="auto"/>
        </w:rPr>
        <w:t>Furthermore, as it relates to new or amended accounting standards and interpretations (IFRSs) not yet effective, but issued by the IASB, Management does not anticipate any significant impact on the Consolidated Financial Statements in the period of initial application from the adoption of these</w:t>
      </w:r>
    </w:p>
    <w:p>
      <w:pPr>
        <w:spacing w:after="0" w:line="1" w:lineRule="exact"/>
        <w:rPr>
          <w:rFonts w:ascii="Arial" w:cs="Arial" w:eastAsia="Arial" w:hAnsi="Arial"/>
          <w:sz w:val="10"/>
          <w:szCs w:val="10"/>
          <w:color w:val="691A6B"/>
        </w:rPr>
      </w:pPr>
    </w:p>
    <w:p>
      <w:pPr>
        <w:ind w:right="2660"/>
        <w:spacing w:after="0" w:line="198" w:lineRule="auto"/>
        <w:rPr>
          <w:sz w:val="20"/>
          <w:szCs w:val="20"/>
          <w:color w:val="auto"/>
        </w:rPr>
      </w:pPr>
      <w:r>
        <w:rPr>
          <w:rFonts w:ascii="Arial" w:cs="Arial" w:eastAsia="Arial" w:hAnsi="Arial"/>
          <w:sz w:val="10"/>
          <w:szCs w:val="10"/>
          <w:color w:val="auto"/>
        </w:rPr>
        <w:t>new standards and amendments, apart from IFRS 18 ‘Presentation and Disclosure in Financial Statements’ which replaces IAS 1 effective from 1 January 2027. Management is assessing the impact of the standard on its financial statements, and the impact has not yet been determined. IFRS 18 introduces the following :</w:t>
      </w:r>
    </w:p>
    <w:p>
      <w:pPr>
        <w:spacing w:after="0" w:line="1" w:lineRule="exact"/>
        <w:rPr>
          <w:rFonts w:ascii="Arial" w:cs="Arial" w:eastAsia="Arial" w:hAnsi="Arial"/>
          <w:sz w:val="10"/>
          <w:szCs w:val="10"/>
          <w:color w:val="691A6B"/>
        </w:rPr>
      </w:pPr>
    </w:p>
    <w:p>
      <w:pPr>
        <w:ind w:right="2640"/>
        <w:spacing w:after="0" w:line="198" w:lineRule="auto"/>
        <w:rPr>
          <w:sz w:val="20"/>
          <w:szCs w:val="20"/>
          <w:color w:val="auto"/>
        </w:rPr>
      </w:pPr>
      <w:r>
        <w:rPr>
          <w:rFonts w:ascii="Arial" w:cs="Arial" w:eastAsia="Arial" w:hAnsi="Arial"/>
          <w:sz w:val="10"/>
          <w:szCs w:val="10"/>
          <w:color w:val="auto"/>
        </w:rPr>
        <w:t>•Changes the presentation of the financial statements, requiring items of income and expense to be classified into five categories: operating, investing, finance, income taxes and discontinued operations along with two new mandatory sub-totals, operating profit or loss and profit or loss before financing and income taxes.</w:t>
      </w:r>
    </w:p>
    <w:p>
      <w:pPr>
        <w:spacing w:after="0" w:line="1" w:lineRule="exact"/>
        <w:rPr>
          <w:rFonts w:ascii="Arial" w:cs="Arial" w:eastAsia="Arial" w:hAnsi="Arial"/>
          <w:sz w:val="10"/>
          <w:szCs w:val="10"/>
          <w:color w:val="691A6B"/>
        </w:rPr>
      </w:pPr>
    </w:p>
    <w:p>
      <w:pPr>
        <w:ind w:right="2680"/>
        <w:spacing w:after="0" w:line="200" w:lineRule="auto"/>
        <w:rPr>
          <w:sz w:val="20"/>
          <w:szCs w:val="20"/>
          <w:color w:val="auto"/>
        </w:rPr>
      </w:pPr>
      <w:r>
        <w:rPr>
          <w:rFonts w:ascii="Arial" w:cs="Arial" w:eastAsia="Arial" w:hAnsi="Arial"/>
          <w:sz w:val="10"/>
          <w:szCs w:val="10"/>
          <w:color w:val="auto"/>
        </w:rPr>
        <w:t>•Requires companies to disclose definitions of company-specific management-defined performance measures (MPMs) that are related to the statement of income and provide reconciliations between the MPMs and the most similar specified subtotals within the statement of income in a single note. •Provides enhanced guidance on the principles of how items should be aggregated or disaggregated based on shared characteristics. The changes are expected to provide more detailed and useful information to investors and impacts all primary financial statements and notes.</w:t>
      </w:r>
    </w:p>
    <w:p>
      <w:pPr>
        <w:spacing w:after="0" w:line="206" w:lineRule="auto"/>
        <w:rPr>
          <w:sz w:val="20"/>
          <w:szCs w:val="20"/>
          <w:color w:val="auto"/>
        </w:rPr>
      </w:pPr>
      <w:r>
        <w:rPr>
          <w:rFonts w:ascii="Arial" w:cs="Arial" w:eastAsia="Arial" w:hAnsi="Arial"/>
          <w:sz w:val="15"/>
          <w:szCs w:val="15"/>
          <w:b w:val="1"/>
          <w:bCs w:val="1"/>
          <w:color w:val="691A6B"/>
        </w:rPr>
        <w:t>1.3 - Management’s Judgements and Estimates under IFRS</w:t>
      </w:r>
    </w:p>
    <w:p>
      <w:pPr>
        <w:jc w:val="both"/>
        <w:ind w:right="2540"/>
        <w:spacing w:after="0" w:line="198" w:lineRule="auto"/>
        <w:rPr>
          <w:sz w:val="20"/>
          <w:szCs w:val="20"/>
          <w:color w:val="auto"/>
        </w:rPr>
      </w:pPr>
      <w:r>
        <w:rPr>
          <w:rFonts w:ascii="Arial" w:cs="Arial" w:eastAsia="Arial" w:hAnsi="Arial"/>
          <w:sz w:val="10"/>
          <w:szCs w:val="10"/>
          <w:color w:val="auto"/>
        </w:rPr>
        <w:t>In preparing financial statements under IFRS, certain provisions in the standards require Management’s judgements, including various accounting estimates and assumptions. These judgements and estimates affect the application of accounting policies, as well as reported amounts within the consolidated financial statements and disclosures.</w:t>
      </w:r>
    </w:p>
    <w:p>
      <w:pPr>
        <w:spacing w:after="0" w:line="1" w:lineRule="exact"/>
        <w:rPr>
          <w:rFonts w:ascii="Arial" w:cs="Arial" w:eastAsia="Arial" w:hAnsi="Arial"/>
          <w:sz w:val="10"/>
          <w:szCs w:val="10"/>
          <w:color w:val="691A6B"/>
        </w:rPr>
      </w:pPr>
    </w:p>
    <w:p>
      <w:pPr>
        <w:ind w:right="2540"/>
        <w:spacing w:after="0" w:line="198" w:lineRule="auto"/>
        <w:rPr>
          <w:sz w:val="20"/>
          <w:szCs w:val="20"/>
          <w:color w:val="auto"/>
        </w:rPr>
      </w:pPr>
      <w:r>
        <w:rPr>
          <w:rFonts w:ascii="Arial" w:cs="Arial" w:eastAsia="Arial" w:hAnsi="Arial"/>
          <w:sz w:val="10"/>
          <w:szCs w:val="10"/>
          <w:color w:val="auto"/>
        </w:rPr>
        <w:t>Determining the carrying amount of certain assets and liabilities requires judgements, estimates and assumptions concerning future events that are based on historical experience and other factors, which by their very nature are associated with uncertainty and unpredictability.</w:t>
      </w:r>
    </w:p>
    <w:p>
      <w:pPr>
        <w:spacing w:after="0" w:line="1" w:lineRule="exact"/>
        <w:rPr>
          <w:rFonts w:ascii="Arial" w:cs="Arial" w:eastAsia="Arial" w:hAnsi="Arial"/>
          <w:sz w:val="10"/>
          <w:szCs w:val="10"/>
          <w:color w:val="691A6B"/>
        </w:rPr>
      </w:pPr>
    </w:p>
    <w:p>
      <w:pPr>
        <w:ind w:right="2660"/>
        <w:spacing w:after="0" w:line="198" w:lineRule="auto"/>
        <w:rPr>
          <w:sz w:val="20"/>
          <w:szCs w:val="20"/>
          <w:color w:val="auto"/>
        </w:rPr>
      </w:pPr>
      <w:r>
        <w:rPr>
          <w:rFonts w:ascii="Arial" w:cs="Arial" w:eastAsia="Arial" w:hAnsi="Arial"/>
          <w:sz w:val="10"/>
          <w:szCs w:val="10"/>
          <w:color w:val="auto"/>
        </w:rPr>
        <w:t>Accounting estimates are based on historical experience and various other factors relative to the circumstances in which they are applied. Estimates are generally made based on information available at the time.</w:t>
      </w:r>
    </w:p>
    <w:p>
      <w:pPr>
        <w:spacing w:after="0" w:line="1" w:lineRule="exact"/>
        <w:rPr>
          <w:rFonts w:ascii="Arial" w:cs="Arial" w:eastAsia="Arial" w:hAnsi="Arial"/>
          <w:sz w:val="10"/>
          <w:szCs w:val="10"/>
          <w:color w:val="691A6B"/>
        </w:rPr>
      </w:pPr>
    </w:p>
    <w:p>
      <w:pPr>
        <w:ind w:right="2520"/>
        <w:spacing w:after="0" w:line="209" w:lineRule="auto"/>
        <w:rPr>
          <w:sz w:val="20"/>
          <w:szCs w:val="20"/>
          <w:color w:val="auto"/>
        </w:rPr>
      </w:pPr>
      <w:r>
        <w:rPr>
          <w:rFonts w:ascii="Arial" w:cs="Arial" w:eastAsia="Arial" w:hAnsi="Arial"/>
          <w:sz w:val="10"/>
          <w:szCs w:val="10"/>
          <w:color w:val="auto"/>
        </w:rPr>
        <w:t>Accounting judgements are made in the process of applying accounting policies. These judgements are typically made based on the guidance and information available at the time of application. These estimates and judgements may prove incomplete or incorrect, and unexpected events or circumstances may arise. Genmab is also subject to risks and uncertainties which may lead actual results to differ from these estimates, both positively and negatively. Specific risks for Genmab are discussed in the relevant section of this Annual Report and in the notes to the consolidated financial statements.</w:t>
      </w:r>
    </w:p>
    <w:p>
      <w:pPr>
        <w:spacing w:after="0" w:line="20" w:lineRule="exact"/>
        <w:rPr>
          <w:rFonts w:ascii="Arial" w:cs="Arial" w:eastAsia="Arial" w:hAnsi="Arial"/>
          <w:sz w:val="10"/>
          <w:szCs w:val="10"/>
          <w:color w:val="691A6B"/>
        </w:rPr>
      </w:pPr>
      <w:r>
        <w:rPr>
          <w:rFonts w:ascii="Arial" w:cs="Arial" w:eastAsia="Arial" w:hAnsi="Arial"/>
          <w:sz w:val="10"/>
          <w:szCs w:val="10"/>
          <w:color w:val="691A6B"/>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115</w:t>
      </w: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328" w:lineRule="exact"/>
        <w:rPr>
          <w:rFonts w:ascii="Arial" w:cs="Arial" w:eastAsia="Arial" w:hAnsi="Arial"/>
          <w:sz w:val="10"/>
          <w:szCs w:val="10"/>
          <w:color w:val="691A6B"/>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116</w:t>
      </w:r>
    </w:p>
    <w:p>
      <w:pPr>
        <w:sectPr>
          <w:pgSz w:w="11900" w:h="16840" w:orient="portrait"/>
          <w:cols w:equalWidth="0" w:num="2">
            <w:col w:w="7400" w:space="720"/>
            <w:col w:w="1700"/>
          </w:cols>
          <w:pgMar w:left="640" w:top="571" w:right="1440" w:bottom="951"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28"/>
        </w:trPr>
        <w:tc>
          <w:tcPr>
            <w:tcW w:w="1760" w:type="dxa"/>
            <w:vAlign w:val="bottom"/>
            <w:gridSpan w:val="2"/>
          </w:tcPr>
          <w:p>
            <w:pPr>
              <w:ind w:left="420"/>
              <w:spacing w:after="0"/>
              <w:rPr>
                <w:rFonts w:ascii="Arial" w:cs="Arial" w:eastAsia="Arial" w:hAnsi="Arial"/>
                <w:sz w:val="10"/>
                <w:szCs w:val="10"/>
                <w:color w:val="auto"/>
              </w:rPr>
            </w:pPr>
            <w:hyperlink w:anchor="page83">
              <w:r>
                <w:rPr>
                  <w:rFonts w:ascii="Arial" w:cs="Arial" w:eastAsia="Arial" w:hAnsi="Arial"/>
                  <w:sz w:val="10"/>
                  <w:szCs w:val="10"/>
                  <w:color w:val="auto"/>
                </w:rPr>
                <w:t>Management’s Review</w:t>
              </w:r>
            </w:hyperlink>
          </w:p>
        </w:tc>
        <w:tc>
          <w:tcPr>
            <w:tcW w:w="1360" w:type="dxa"/>
            <w:vAlign w:val="bottom"/>
          </w:tcPr>
          <w:p>
            <w:pPr>
              <w:ind w:left="20"/>
              <w:spacing w:after="0"/>
              <w:rPr>
                <w:rFonts w:ascii="Arial" w:cs="Arial" w:eastAsia="Arial" w:hAnsi="Arial"/>
                <w:sz w:val="10"/>
                <w:szCs w:val="10"/>
                <w:b w:val="1"/>
                <w:bCs w:val="1"/>
                <w:color w:val="auto"/>
              </w:rPr>
            </w:pPr>
            <w:hyperlink w:anchor="page134">
              <w:r>
                <w:rPr>
                  <w:rFonts w:ascii="Arial" w:cs="Arial" w:eastAsia="Arial" w:hAnsi="Arial"/>
                  <w:sz w:val="10"/>
                  <w:szCs w:val="10"/>
                  <w:b w:val="1"/>
                  <w:bCs w:val="1"/>
                  <w:color w:val="auto"/>
                </w:rPr>
                <w:t>Financial Statements</w:t>
              </w:r>
            </w:hyperlink>
          </w:p>
        </w:tc>
        <w:tc>
          <w:tcPr>
            <w:tcW w:w="1220" w:type="dxa"/>
            <w:vAlign w:val="bottom"/>
            <w:gridSpan w:val="2"/>
          </w:tcPr>
          <w:p>
            <w:pPr>
              <w:ind w:left="20"/>
              <w:spacing w:after="0"/>
              <w:rPr>
                <w:rFonts w:ascii="Arial" w:cs="Arial" w:eastAsia="Arial" w:hAnsi="Arial"/>
                <w:sz w:val="10"/>
                <w:szCs w:val="10"/>
                <w:color w:val="auto"/>
              </w:rPr>
            </w:pPr>
            <w:hyperlink w:anchor="page171">
              <w:r>
                <w:rPr>
                  <w:rFonts w:ascii="Arial" w:cs="Arial" w:eastAsia="Arial" w:hAnsi="Arial"/>
                  <w:sz w:val="10"/>
                  <w:szCs w:val="10"/>
                  <w:color w:val="auto"/>
                </w:rPr>
                <w:t>Other Information</w:t>
              </w:r>
            </w:hyperlink>
          </w:p>
        </w:tc>
        <w:tc>
          <w:tcPr>
            <w:tcW w:w="540" w:type="dxa"/>
            <w:vAlign w:val="bottom"/>
          </w:tcPr>
          <w:p>
            <w:pPr>
              <w:spacing w:after="0"/>
              <w:rPr>
                <w:sz w:val="11"/>
                <w:szCs w:val="11"/>
                <w:color w:val="auto"/>
              </w:rPr>
            </w:pPr>
          </w:p>
        </w:tc>
        <w:tc>
          <w:tcPr>
            <w:tcW w:w="4760" w:type="dxa"/>
            <w:vAlign w:val="bottom"/>
          </w:tcPr>
          <w:p>
            <w:pPr>
              <w:ind w:left="3240"/>
              <w:spacing w:after="0"/>
              <w:rPr>
                <w:sz w:val="20"/>
                <w:szCs w:val="20"/>
                <w:color w:val="auto"/>
              </w:rPr>
            </w:pPr>
            <w:r>
              <w:rPr>
                <w:rFonts w:ascii="Arial" w:cs="Arial" w:eastAsia="Arial" w:hAnsi="Arial"/>
                <w:sz w:val="10"/>
                <w:szCs w:val="10"/>
                <w:color w:val="auto"/>
                <w:w w:val="96"/>
              </w:rPr>
              <w:t>Genmab 2025 Annual Report   117</w:t>
            </w:r>
          </w:p>
        </w:tc>
      </w:tr>
      <w:tr>
        <w:trPr>
          <w:trHeight w:val="156"/>
        </w:trPr>
        <w:tc>
          <w:tcPr>
            <w:tcW w:w="4340" w:type="dxa"/>
            <w:vAlign w:val="bottom"/>
            <w:gridSpan w:val="5"/>
          </w:tcPr>
          <w:p>
            <w:pPr>
              <w:spacing w:after="0"/>
              <w:rPr>
                <w:sz w:val="13"/>
                <w:szCs w:val="13"/>
                <w:color w:val="auto"/>
              </w:rPr>
            </w:pPr>
          </w:p>
        </w:tc>
        <w:tc>
          <w:tcPr>
            <w:tcW w:w="540" w:type="dxa"/>
            <w:vAlign w:val="bottom"/>
          </w:tcPr>
          <w:p>
            <w:pPr>
              <w:spacing w:after="0"/>
              <w:rPr>
                <w:sz w:val="13"/>
                <w:szCs w:val="13"/>
                <w:color w:val="auto"/>
              </w:rPr>
            </w:pPr>
          </w:p>
        </w:tc>
        <w:tc>
          <w:tcPr>
            <w:tcW w:w="4760" w:type="dxa"/>
            <w:vAlign w:val="bottom"/>
          </w:tcPr>
          <w:p>
            <w:pPr>
              <w:spacing w:after="0"/>
              <w:rPr>
                <w:sz w:val="13"/>
                <w:szCs w:val="13"/>
                <w:color w:val="auto"/>
              </w:rPr>
            </w:pPr>
          </w:p>
        </w:tc>
      </w:tr>
      <w:tr>
        <w:trPr>
          <w:trHeight w:val="67"/>
        </w:trPr>
        <w:tc>
          <w:tcPr>
            <w:tcW w:w="1760" w:type="dxa"/>
            <w:vAlign w:val="bottom"/>
            <w:gridSpan w:val="2"/>
          </w:tcPr>
          <w:p>
            <w:pPr>
              <w:spacing w:after="0"/>
              <w:rPr>
                <w:sz w:val="5"/>
                <w:szCs w:val="5"/>
                <w:color w:val="auto"/>
              </w:rPr>
            </w:pPr>
          </w:p>
        </w:tc>
        <w:tc>
          <w:tcPr>
            <w:tcW w:w="1360" w:type="dxa"/>
            <w:vAlign w:val="bottom"/>
            <w:shd w:val="clear" w:color="auto" w:fill="691A6B"/>
          </w:tcPr>
          <w:p>
            <w:pPr>
              <w:spacing w:after="0"/>
              <w:rPr>
                <w:sz w:val="5"/>
                <w:szCs w:val="5"/>
                <w:color w:val="auto"/>
              </w:rPr>
            </w:pPr>
          </w:p>
        </w:tc>
        <w:tc>
          <w:tcPr>
            <w:tcW w:w="1220" w:type="dxa"/>
            <w:vAlign w:val="bottom"/>
            <w:gridSpan w:val="2"/>
          </w:tcPr>
          <w:p>
            <w:pPr>
              <w:spacing w:after="0"/>
              <w:rPr>
                <w:sz w:val="5"/>
                <w:szCs w:val="5"/>
                <w:color w:val="auto"/>
              </w:rPr>
            </w:pPr>
          </w:p>
        </w:tc>
        <w:tc>
          <w:tcPr>
            <w:tcW w:w="540" w:type="dxa"/>
            <w:vAlign w:val="bottom"/>
          </w:tcPr>
          <w:p>
            <w:pPr>
              <w:spacing w:after="0"/>
              <w:rPr>
                <w:sz w:val="5"/>
                <w:szCs w:val="5"/>
                <w:color w:val="auto"/>
              </w:rPr>
            </w:pPr>
          </w:p>
        </w:tc>
        <w:tc>
          <w:tcPr>
            <w:tcW w:w="4760" w:type="dxa"/>
            <w:vAlign w:val="bottom"/>
          </w:tcPr>
          <w:p>
            <w:pPr>
              <w:spacing w:after="0"/>
              <w:rPr>
                <w:sz w:val="5"/>
                <w:szCs w:val="5"/>
                <w:color w:val="auto"/>
              </w:rPr>
            </w:pPr>
          </w:p>
        </w:tc>
      </w:tr>
      <w:tr>
        <w:trPr>
          <w:trHeight w:val="409"/>
        </w:trPr>
        <w:tc>
          <w:tcPr>
            <w:tcW w:w="4340" w:type="dxa"/>
            <w:vAlign w:val="bottom"/>
            <w:tcBorders>
              <w:bottom w:val="single" w:sz="8" w:color="691A6B"/>
            </w:tcBorders>
            <w:gridSpan w:val="5"/>
          </w:tcPr>
          <w:p>
            <w:pPr>
              <w:spacing w:after="0"/>
              <w:rPr>
                <w:sz w:val="20"/>
                <w:szCs w:val="20"/>
                <w:color w:val="auto"/>
              </w:rPr>
            </w:pPr>
            <w:r>
              <w:rPr>
                <w:rFonts w:ascii="Arial" w:cs="Arial" w:eastAsia="Arial" w:hAnsi="Arial"/>
                <w:sz w:val="22"/>
                <w:szCs w:val="22"/>
                <w:color w:val="691A6B"/>
              </w:rPr>
              <w:t>Financial Statements for the Genmab Group</w:t>
            </w:r>
          </w:p>
        </w:tc>
        <w:tc>
          <w:tcPr>
            <w:tcW w:w="540" w:type="dxa"/>
            <w:vAlign w:val="bottom"/>
            <w:tcBorders>
              <w:bottom w:val="single" w:sz="8" w:color="691A6B"/>
            </w:tcBorders>
          </w:tcPr>
          <w:p>
            <w:pPr>
              <w:spacing w:after="0"/>
              <w:rPr>
                <w:sz w:val="24"/>
                <w:szCs w:val="24"/>
                <w:color w:val="auto"/>
              </w:rPr>
            </w:pPr>
          </w:p>
        </w:tc>
        <w:tc>
          <w:tcPr>
            <w:tcW w:w="4760" w:type="dxa"/>
            <w:vAlign w:val="bottom"/>
          </w:tcPr>
          <w:p>
            <w:pPr>
              <w:spacing w:after="0"/>
              <w:rPr>
                <w:sz w:val="24"/>
                <w:szCs w:val="24"/>
                <w:color w:val="auto"/>
              </w:rPr>
            </w:pP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Accounting</w:t>
            </w:r>
          </w:p>
        </w:tc>
        <w:tc>
          <w:tcPr>
            <w:tcW w:w="230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Key accounting estimates and judgements</w:t>
            </w:r>
          </w:p>
        </w:tc>
        <w:tc>
          <w:tcPr>
            <w:tcW w:w="720" w:type="dxa"/>
            <w:vAlign w:val="bottom"/>
          </w:tcPr>
          <w:p>
            <w:pPr>
              <w:spacing w:after="0"/>
              <w:rPr>
                <w:sz w:val="8"/>
                <w:szCs w:val="8"/>
                <w:color w:val="auto"/>
              </w:rPr>
            </w:pPr>
          </w:p>
        </w:tc>
        <w:tc>
          <w:tcPr>
            <w:tcW w:w="500" w:type="dxa"/>
            <w:vAlign w:val="bottom"/>
          </w:tcPr>
          <w:p>
            <w:pPr>
              <w:spacing w:after="0" w:line="95" w:lineRule="exact"/>
              <w:rPr>
                <w:sz w:val="20"/>
                <w:szCs w:val="20"/>
                <w:color w:val="auto"/>
              </w:rPr>
            </w:pPr>
            <w:r>
              <w:rPr>
                <w:rFonts w:ascii="Arial" w:cs="Arial" w:eastAsia="Arial" w:hAnsi="Arial"/>
                <w:sz w:val="10"/>
                <w:szCs w:val="10"/>
                <w:b w:val="1"/>
                <w:bCs w:val="1"/>
                <w:color w:val="auto"/>
              </w:rPr>
              <w:t>Note</w:t>
            </w:r>
          </w:p>
        </w:tc>
        <w:tc>
          <w:tcPr>
            <w:tcW w:w="530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Risk</w:t>
            </w:r>
          </w:p>
        </w:tc>
      </w:tr>
      <w:tr>
        <w:trPr>
          <w:trHeight w:val="128"/>
        </w:trPr>
        <w:tc>
          <w:tcPr>
            <w:tcW w:w="820" w:type="dxa"/>
            <w:vAlign w:val="bottom"/>
          </w:tcPr>
          <w:p>
            <w:pPr>
              <w:ind w:left="20"/>
              <w:spacing w:after="0"/>
              <w:rPr>
                <w:sz w:val="20"/>
                <w:szCs w:val="20"/>
                <w:color w:val="auto"/>
              </w:rPr>
            </w:pPr>
            <w:r>
              <w:rPr>
                <w:rFonts w:ascii="Arial" w:cs="Arial" w:eastAsia="Arial" w:hAnsi="Arial"/>
                <w:sz w:val="10"/>
                <w:szCs w:val="10"/>
                <w:b w:val="1"/>
                <w:bCs w:val="1"/>
                <w:color w:val="auto"/>
              </w:rPr>
              <w:t>policy</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0"/>
                <w:szCs w:val="10"/>
                <w:b w:val="1"/>
                <w:bCs w:val="1"/>
                <w:color w:val="auto"/>
              </w:rPr>
              <w:t>reference</w:t>
            </w:r>
          </w:p>
        </w:tc>
        <w:tc>
          <w:tcPr>
            <w:tcW w:w="540" w:type="dxa"/>
            <w:vAlign w:val="bottom"/>
          </w:tcPr>
          <w:p>
            <w:pPr>
              <w:spacing w:after="0"/>
              <w:rPr>
                <w:sz w:val="11"/>
                <w:szCs w:val="11"/>
                <w:color w:val="auto"/>
              </w:rPr>
            </w:pPr>
          </w:p>
        </w:tc>
        <w:tc>
          <w:tcPr>
            <w:tcW w:w="4760" w:type="dxa"/>
            <w:vAlign w:val="bottom"/>
          </w:tcPr>
          <w:p>
            <w:pPr>
              <w:spacing w:after="0"/>
              <w:rPr>
                <w:sz w:val="11"/>
                <w:szCs w:val="11"/>
                <w:color w:val="auto"/>
              </w:rPr>
            </w:pPr>
          </w:p>
        </w:tc>
      </w:tr>
      <w:tr>
        <w:trPr>
          <w:trHeight w:val="118"/>
        </w:trPr>
        <w:tc>
          <w:tcPr>
            <w:tcW w:w="820" w:type="dxa"/>
            <w:vAlign w:val="bottom"/>
          </w:tcPr>
          <w:p>
            <w:pPr>
              <w:ind w:left="20"/>
              <w:spacing w:after="0"/>
              <w:rPr>
                <w:sz w:val="20"/>
                <w:szCs w:val="20"/>
                <w:color w:val="auto"/>
              </w:rPr>
            </w:pPr>
            <w:r>
              <w:rPr>
                <w:rFonts w:ascii="Arial" w:cs="Arial" w:eastAsia="Arial" w:hAnsi="Arial"/>
                <w:sz w:val="10"/>
                <w:szCs w:val="10"/>
                <w:color w:val="auto"/>
              </w:rPr>
              <w:t>Fair value and</w:t>
            </w:r>
          </w:p>
        </w:tc>
        <w:tc>
          <w:tcPr>
            <w:tcW w:w="3020" w:type="dxa"/>
            <w:vAlign w:val="bottom"/>
            <w:gridSpan w:val="3"/>
          </w:tcPr>
          <w:p>
            <w:pPr>
              <w:ind w:left="40"/>
              <w:spacing w:after="0"/>
              <w:rPr>
                <w:sz w:val="20"/>
                <w:szCs w:val="20"/>
                <w:color w:val="auto"/>
              </w:rPr>
            </w:pPr>
            <w:r>
              <w:rPr>
                <w:rFonts w:ascii="Arial" w:cs="Arial" w:eastAsia="Arial" w:hAnsi="Arial"/>
                <w:sz w:val="10"/>
                <w:szCs w:val="10"/>
                <w:color w:val="auto"/>
              </w:rPr>
              <w:t>Estimation of the fair value of other intangible assets acquired</w:t>
            </w:r>
          </w:p>
        </w:tc>
        <w:tc>
          <w:tcPr>
            <w:tcW w:w="5800" w:type="dxa"/>
            <w:vAlign w:val="bottom"/>
            <w:gridSpan w:val="3"/>
          </w:tcPr>
          <w:p>
            <w:pPr>
              <w:spacing w:after="0"/>
              <w:rPr>
                <w:sz w:val="20"/>
                <w:szCs w:val="20"/>
                <w:color w:val="auto"/>
              </w:rPr>
            </w:pPr>
            <w:r>
              <w:rPr>
                <w:rFonts w:ascii="Arial" w:cs="Arial" w:eastAsia="Arial" w:hAnsi="Arial"/>
                <w:sz w:val="10"/>
                <w:szCs w:val="10"/>
                <w:b w:val="1"/>
                <w:bCs w:val="1"/>
                <w:color w:val="691A6B"/>
              </w:rPr>
              <w:t xml:space="preserve">Notes 3.1 </w:t>
            </w:r>
            <w:r>
              <w:rPr>
                <w:rFonts w:ascii="Arial" w:cs="Arial" w:eastAsia="Arial" w:hAnsi="Arial"/>
                <w:sz w:val="10"/>
                <w:szCs w:val="10"/>
                <w:color w:val="000000"/>
              </w:rPr>
              <w:t>High</w:t>
            </w: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impairment</w:t>
            </w:r>
          </w:p>
        </w:tc>
        <w:tc>
          <w:tcPr>
            <w:tcW w:w="2300" w:type="dxa"/>
            <w:vAlign w:val="bottom"/>
            <w:gridSpan w:val="2"/>
          </w:tcPr>
          <w:p>
            <w:pPr>
              <w:ind w:left="40"/>
              <w:spacing w:after="0" w:line="95" w:lineRule="exact"/>
              <w:rPr>
                <w:sz w:val="20"/>
                <w:szCs w:val="20"/>
                <w:color w:val="auto"/>
              </w:rPr>
            </w:pPr>
            <w:r>
              <w:rPr>
                <w:rFonts w:ascii="Arial" w:cs="Arial" w:eastAsia="Arial" w:hAnsi="Arial"/>
                <w:sz w:val="10"/>
                <w:szCs w:val="10"/>
                <w:color w:val="auto"/>
              </w:rPr>
              <w:t>through acquisitions</w:t>
            </w:r>
          </w:p>
        </w:tc>
        <w:tc>
          <w:tcPr>
            <w:tcW w:w="720" w:type="dxa"/>
            <w:vAlign w:val="bottom"/>
          </w:tcPr>
          <w:p>
            <w:pPr>
              <w:spacing w:after="0"/>
              <w:rPr>
                <w:sz w:val="8"/>
                <w:szCs w:val="8"/>
                <w:color w:val="auto"/>
              </w:rPr>
            </w:pPr>
          </w:p>
        </w:tc>
        <w:tc>
          <w:tcPr>
            <w:tcW w:w="500" w:type="dxa"/>
            <w:vAlign w:val="bottom"/>
          </w:tcPr>
          <w:p>
            <w:pPr>
              <w:spacing w:after="0" w:line="95" w:lineRule="exact"/>
              <w:rPr>
                <w:sz w:val="20"/>
                <w:szCs w:val="20"/>
                <w:color w:val="auto"/>
              </w:rPr>
            </w:pPr>
            <w:r>
              <w:rPr>
                <w:rFonts w:ascii="Arial" w:cs="Arial" w:eastAsia="Arial" w:hAnsi="Arial"/>
                <w:sz w:val="10"/>
                <w:szCs w:val="10"/>
                <w:color w:val="auto"/>
              </w:rPr>
              <w:t xml:space="preserve">and </w:t>
            </w:r>
            <w:r>
              <w:rPr>
                <w:rFonts w:ascii="Arial" w:cs="Arial" w:eastAsia="Arial" w:hAnsi="Arial"/>
                <w:sz w:val="10"/>
                <w:szCs w:val="10"/>
                <w:b w:val="1"/>
                <w:bCs w:val="1"/>
                <w:color w:val="691A6B"/>
              </w:rPr>
              <w:t>5.5</w:t>
            </w: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assessment of</w:t>
            </w:r>
          </w:p>
        </w:tc>
        <w:tc>
          <w:tcPr>
            <w:tcW w:w="3020" w:type="dxa"/>
            <w:vAlign w:val="bottom"/>
            <w:gridSpan w:val="3"/>
          </w:tcPr>
          <w:p>
            <w:pPr>
              <w:ind w:left="40"/>
              <w:spacing w:after="0" w:line="95" w:lineRule="exact"/>
              <w:rPr>
                <w:sz w:val="20"/>
                <w:szCs w:val="20"/>
                <w:color w:val="auto"/>
              </w:rPr>
            </w:pPr>
            <w:r>
              <w:rPr>
                <w:rFonts w:ascii="Arial" w:cs="Arial" w:eastAsia="Arial" w:hAnsi="Arial"/>
                <w:sz w:val="10"/>
                <w:szCs w:val="10"/>
                <w:color w:val="auto"/>
              </w:rPr>
              <w:t>Subsequent assessment of impairment of other intangible asset</w:t>
            </w: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other intangible</w:t>
            </w:r>
          </w:p>
        </w:tc>
        <w:tc>
          <w:tcPr>
            <w:tcW w:w="940" w:type="dxa"/>
            <w:vAlign w:val="bottom"/>
          </w:tcPr>
          <w:p>
            <w:pPr>
              <w:ind w:left="40"/>
              <w:spacing w:after="0" w:line="95" w:lineRule="exact"/>
              <w:rPr>
                <w:sz w:val="20"/>
                <w:szCs w:val="20"/>
                <w:color w:val="auto"/>
              </w:rPr>
            </w:pPr>
            <w:r>
              <w:rPr>
                <w:rFonts w:ascii="Arial" w:cs="Arial" w:eastAsia="Arial" w:hAnsi="Arial"/>
                <w:sz w:val="10"/>
                <w:szCs w:val="10"/>
                <w:color w:val="auto"/>
              </w:rPr>
              <w:t>s</w:t>
            </w: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assets and</w:t>
            </w:r>
          </w:p>
        </w:tc>
        <w:tc>
          <w:tcPr>
            <w:tcW w:w="3020" w:type="dxa"/>
            <w:vAlign w:val="bottom"/>
            <w:gridSpan w:val="3"/>
          </w:tcPr>
          <w:p>
            <w:pPr>
              <w:ind w:left="40"/>
              <w:spacing w:after="0" w:line="95" w:lineRule="exact"/>
              <w:rPr>
                <w:sz w:val="20"/>
                <w:szCs w:val="20"/>
                <w:color w:val="auto"/>
              </w:rPr>
            </w:pPr>
            <w:r>
              <w:rPr>
                <w:rFonts w:ascii="Arial" w:cs="Arial" w:eastAsia="Arial" w:hAnsi="Arial"/>
                <w:sz w:val="10"/>
                <w:szCs w:val="10"/>
                <w:color w:val="auto"/>
              </w:rPr>
              <w:t>Estimation regarding the valuation of goodwill and assessment o</w:t>
            </w: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goodwill</w:t>
            </w:r>
          </w:p>
        </w:tc>
        <w:tc>
          <w:tcPr>
            <w:tcW w:w="940" w:type="dxa"/>
            <w:vAlign w:val="bottom"/>
          </w:tcPr>
          <w:p>
            <w:pPr>
              <w:ind w:left="40"/>
              <w:spacing w:after="0" w:line="95" w:lineRule="exact"/>
              <w:rPr>
                <w:sz w:val="20"/>
                <w:szCs w:val="20"/>
                <w:color w:val="auto"/>
              </w:rPr>
            </w:pPr>
            <w:r>
              <w:rPr>
                <w:rFonts w:ascii="Arial" w:cs="Arial" w:eastAsia="Arial" w:hAnsi="Arial"/>
                <w:sz w:val="10"/>
                <w:szCs w:val="10"/>
                <w:color w:val="auto"/>
              </w:rPr>
              <w:t>f</w:t>
            </w: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137"/>
        </w:trPr>
        <w:tc>
          <w:tcPr>
            <w:tcW w:w="820" w:type="dxa"/>
            <w:vAlign w:val="bottom"/>
          </w:tcPr>
          <w:p>
            <w:pPr>
              <w:spacing w:after="0"/>
              <w:rPr>
                <w:sz w:val="11"/>
                <w:szCs w:val="11"/>
                <w:color w:val="auto"/>
              </w:rPr>
            </w:pPr>
          </w:p>
        </w:tc>
        <w:tc>
          <w:tcPr>
            <w:tcW w:w="2300" w:type="dxa"/>
            <w:vAlign w:val="bottom"/>
            <w:gridSpan w:val="2"/>
          </w:tcPr>
          <w:p>
            <w:pPr>
              <w:ind w:left="40"/>
              <w:spacing w:after="0"/>
              <w:rPr>
                <w:sz w:val="20"/>
                <w:szCs w:val="20"/>
                <w:color w:val="auto"/>
              </w:rPr>
            </w:pPr>
            <w:r>
              <w:rPr>
                <w:rFonts w:ascii="Arial" w:cs="Arial" w:eastAsia="Arial" w:hAnsi="Arial"/>
                <w:sz w:val="10"/>
                <w:szCs w:val="10"/>
                <w:color w:val="auto"/>
              </w:rPr>
              <w:t>impairment of goodwill</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60" w:type="dxa"/>
            <w:vAlign w:val="bottom"/>
          </w:tcPr>
          <w:p>
            <w:pPr>
              <w:spacing w:after="0"/>
              <w:rPr>
                <w:sz w:val="11"/>
                <w:szCs w:val="11"/>
                <w:color w:val="auto"/>
              </w:rPr>
            </w:pPr>
          </w:p>
        </w:tc>
      </w:tr>
      <w:tr>
        <w:trPr>
          <w:trHeight w:val="111"/>
        </w:trPr>
        <w:tc>
          <w:tcPr>
            <w:tcW w:w="820" w:type="dxa"/>
            <w:vAlign w:val="bottom"/>
          </w:tcPr>
          <w:p>
            <w:pPr>
              <w:ind w:left="20"/>
              <w:spacing w:after="0" w:line="111" w:lineRule="exact"/>
              <w:rPr>
                <w:sz w:val="20"/>
                <w:szCs w:val="20"/>
                <w:color w:val="auto"/>
              </w:rPr>
            </w:pPr>
            <w:r>
              <w:rPr>
                <w:rFonts w:ascii="Arial" w:cs="Arial" w:eastAsia="Arial" w:hAnsi="Arial"/>
                <w:sz w:val="10"/>
                <w:szCs w:val="10"/>
                <w:color w:val="auto"/>
              </w:rPr>
              <w:t>Revenue</w:t>
            </w:r>
          </w:p>
        </w:tc>
        <w:tc>
          <w:tcPr>
            <w:tcW w:w="2300" w:type="dxa"/>
            <w:vAlign w:val="bottom"/>
            <w:gridSpan w:val="2"/>
          </w:tcPr>
          <w:p>
            <w:pPr>
              <w:ind w:left="40"/>
              <w:spacing w:after="0" w:line="111" w:lineRule="exact"/>
              <w:rPr>
                <w:sz w:val="20"/>
                <w:szCs w:val="20"/>
                <w:color w:val="auto"/>
              </w:rPr>
            </w:pPr>
            <w:r>
              <w:rPr>
                <w:rFonts w:ascii="Arial" w:cs="Arial" w:eastAsia="Arial" w:hAnsi="Arial"/>
                <w:sz w:val="10"/>
                <w:szCs w:val="10"/>
                <w:color w:val="auto"/>
              </w:rPr>
              <w:t>Judgement in assessing whether a collaboration</w:t>
            </w:r>
          </w:p>
        </w:tc>
        <w:tc>
          <w:tcPr>
            <w:tcW w:w="720" w:type="dxa"/>
            <w:vAlign w:val="bottom"/>
          </w:tcPr>
          <w:p>
            <w:pPr>
              <w:spacing w:after="0"/>
              <w:rPr>
                <w:sz w:val="9"/>
                <w:szCs w:val="9"/>
                <w:color w:val="auto"/>
              </w:rPr>
            </w:pPr>
          </w:p>
        </w:tc>
        <w:tc>
          <w:tcPr>
            <w:tcW w:w="500" w:type="dxa"/>
            <w:vAlign w:val="bottom"/>
          </w:tcPr>
          <w:p>
            <w:pPr>
              <w:spacing w:after="0" w:line="111" w:lineRule="exact"/>
              <w:rPr>
                <w:sz w:val="20"/>
                <w:szCs w:val="20"/>
                <w:color w:val="auto"/>
              </w:rPr>
            </w:pPr>
            <w:r>
              <w:rPr>
                <w:rFonts w:ascii="Arial" w:cs="Arial" w:eastAsia="Arial" w:hAnsi="Arial"/>
                <w:sz w:val="10"/>
                <w:szCs w:val="10"/>
                <w:b w:val="1"/>
                <w:bCs w:val="1"/>
                <w:color w:val="691A6B"/>
              </w:rPr>
              <w:t>Note 2.1</w:t>
            </w:r>
          </w:p>
        </w:tc>
        <w:tc>
          <w:tcPr>
            <w:tcW w:w="5300" w:type="dxa"/>
            <w:vAlign w:val="bottom"/>
            <w:gridSpan w:val="2"/>
          </w:tcPr>
          <w:p>
            <w:pPr>
              <w:ind w:left="20"/>
              <w:spacing w:after="0" w:line="111" w:lineRule="exact"/>
              <w:rPr>
                <w:sz w:val="20"/>
                <w:szCs w:val="20"/>
                <w:color w:val="auto"/>
              </w:rPr>
            </w:pPr>
            <w:r>
              <w:rPr>
                <w:rFonts w:ascii="Arial" w:cs="Arial" w:eastAsia="Arial" w:hAnsi="Arial"/>
                <w:sz w:val="10"/>
                <w:szCs w:val="10"/>
                <w:color w:val="auto"/>
              </w:rPr>
              <w:t>High</w:t>
            </w: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recognition</w:t>
            </w:r>
          </w:p>
        </w:tc>
        <w:tc>
          <w:tcPr>
            <w:tcW w:w="2300" w:type="dxa"/>
            <w:vAlign w:val="bottom"/>
            <w:gridSpan w:val="2"/>
          </w:tcPr>
          <w:p>
            <w:pPr>
              <w:ind w:left="40"/>
              <w:spacing w:after="0" w:line="95" w:lineRule="exact"/>
              <w:rPr>
                <w:sz w:val="20"/>
                <w:szCs w:val="20"/>
                <w:color w:val="auto"/>
              </w:rPr>
            </w:pPr>
            <w:r>
              <w:rPr>
                <w:rFonts w:ascii="Arial" w:cs="Arial" w:eastAsia="Arial" w:hAnsi="Arial"/>
                <w:sz w:val="10"/>
                <w:szCs w:val="10"/>
                <w:color w:val="auto"/>
              </w:rPr>
              <w:t>partner is a customer</w:t>
            </w: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spacing w:after="0"/>
              <w:rPr>
                <w:sz w:val="8"/>
                <w:szCs w:val="8"/>
                <w:color w:val="auto"/>
              </w:rPr>
            </w:pPr>
          </w:p>
        </w:tc>
        <w:tc>
          <w:tcPr>
            <w:tcW w:w="2300" w:type="dxa"/>
            <w:vAlign w:val="bottom"/>
            <w:gridSpan w:val="2"/>
          </w:tcPr>
          <w:p>
            <w:pPr>
              <w:ind w:left="40"/>
              <w:spacing w:after="0" w:line="95" w:lineRule="exact"/>
              <w:rPr>
                <w:sz w:val="20"/>
                <w:szCs w:val="20"/>
                <w:color w:val="auto"/>
              </w:rPr>
            </w:pPr>
            <w:r>
              <w:rPr>
                <w:rFonts w:ascii="Arial" w:cs="Arial" w:eastAsia="Arial" w:hAnsi="Arial"/>
                <w:sz w:val="10"/>
                <w:szCs w:val="10"/>
                <w:color w:val="auto"/>
              </w:rPr>
              <w:t>Estimation of partner net sales amounts in the</w:t>
            </w: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spacing w:after="0"/>
              <w:rPr>
                <w:sz w:val="8"/>
                <w:szCs w:val="8"/>
                <w:color w:val="auto"/>
              </w:rPr>
            </w:pPr>
          </w:p>
        </w:tc>
        <w:tc>
          <w:tcPr>
            <w:tcW w:w="2300" w:type="dxa"/>
            <w:vAlign w:val="bottom"/>
            <w:gridSpan w:val="2"/>
          </w:tcPr>
          <w:p>
            <w:pPr>
              <w:ind w:left="40"/>
              <w:spacing w:after="0" w:line="95" w:lineRule="exact"/>
              <w:rPr>
                <w:sz w:val="20"/>
                <w:szCs w:val="20"/>
                <w:color w:val="auto"/>
              </w:rPr>
            </w:pPr>
            <w:r>
              <w:rPr>
                <w:rFonts w:ascii="Arial" w:cs="Arial" w:eastAsia="Arial" w:hAnsi="Arial"/>
                <w:sz w:val="10"/>
                <w:szCs w:val="10"/>
                <w:color w:val="auto"/>
              </w:rPr>
              <w:t>calculation of royalties</w:t>
            </w: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spacing w:after="0"/>
              <w:rPr>
                <w:sz w:val="8"/>
                <w:szCs w:val="8"/>
                <w:color w:val="auto"/>
              </w:rPr>
            </w:pPr>
          </w:p>
        </w:tc>
        <w:tc>
          <w:tcPr>
            <w:tcW w:w="2300" w:type="dxa"/>
            <w:vAlign w:val="bottom"/>
            <w:gridSpan w:val="2"/>
          </w:tcPr>
          <w:p>
            <w:pPr>
              <w:ind w:left="40"/>
              <w:spacing w:after="0" w:line="95" w:lineRule="exact"/>
              <w:rPr>
                <w:sz w:val="20"/>
                <w:szCs w:val="20"/>
                <w:color w:val="auto"/>
              </w:rPr>
            </w:pPr>
            <w:r>
              <w:rPr>
                <w:rFonts w:ascii="Arial" w:cs="Arial" w:eastAsia="Arial" w:hAnsi="Arial"/>
                <w:sz w:val="10"/>
                <w:szCs w:val="10"/>
                <w:color w:val="auto"/>
              </w:rPr>
              <w:t>Estimation of variable consideration</w:t>
            </w: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spacing w:after="0"/>
              <w:rPr>
                <w:sz w:val="8"/>
                <w:szCs w:val="8"/>
                <w:color w:val="auto"/>
              </w:rPr>
            </w:pPr>
          </w:p>
        </w:tc>
        <w:tc>
          <w:tcPr>
            <w:tcW w:w="3020" w:type="dxa"/>
            <w:vAlign w:val="bottom"/>
            <w:gridSpan w:val="3"/>
          </w:tcPr>
          <w:p>
            <w:pPr>
              <w:ind w:left="40"/>
              <w:spacing w:after="0" w:line="95" w:lineRule="exact"/>
              <w:rPr>
                <w:sz w:val="20"/>
                <w:szCs w:val="20"/>
                <w:color w:val="auto"/>
              </w:rPr>
            </w:pPr>
            <w:r>
              <w:rPr>
                <w:rFonts w:ascii="Arial" w:cs="Arial" w:eastAsia="Arial" w:hAnsi="Arial"/>
                <w:sz w:val="10"/>
                <w:szCs w:val="10"/>
                <w:color w:val="auto"/>
              </w:rPr>
              <w:t>Judgement in assessing the nature of combined performance</w:t>
            </w: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137"/>
        </w:trPr>
        <w:tc>
          <w:tcPr>
            <w:tcW w:w="820" w:type="dxa"/>
            <w:vAlign w:val="bottom"/>
          </w:tcPr>
          <w:p>
            <w:pPr>
              <w:spacing w:after="0"/>
              <w:rPr>
                <w:sz w:val="11"/>
                <w:szCs w:val="11"/>
                <w:color w:val="auto"/>
              </w:rPr>
            </w:pPr>
          </w:p>
        </w:tc>
        <w:tc>
          <w:tcPr>
            <w:tcW w:w="2300" w:type="dxa"/>
            <w:vAlign w:val="bottom"/>
            <w:gridSpan w:val="2"/>
          </w:tcPr>
          <w:p>
            <w:pPr>
              <w:ind w:left="40"/>
              <w:spacing w:after="0"/>
              <w:rPr>
                <w:sz w:val="20"/>
                <w:szCs w:val="20"/>
                <w:color w:val="auto"/>
              </w:rPr>
            </w:pPr>
            <w:r>
              <w:rPr>
                <w:rFonts w:ascii="Arial" w:cs="Arial" w:eastAsia="Arial" w:hAnsi="Arial"/>
                <w:sz w:val="10"/>
                <w:szCs w:val="10"/>
                <w:color w:val="auto"/>
              </w:rPr>
              <w:t>obligations within contracts</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60" w:type="dxa"/>
            <w:vAlign w:val="bottom"/>
          </w:tcPr>
          <w:p>
            <w:pPr>
              <w:spacing w:after="0"/>
              <w:rPr>
                <w:sz w:val="11"/>
                <w:szCs w:val="11"/>
                <w:color w:val="auto"/>
              </w:rPr>
            </w:pPr>
          </w:p>
        </w:tc>
      </w:tr>
      <w:tr>
        <w:trPr>
          <w:trHeight w:val="377"/>
        </w:trPr>
        <w:tc>
          <w:tcPr>
            <w:tcW w:w="820" w:type="dxa"/>
            <w:vAlign w:val="bottom"/>
          </w:tcPr>
          <w:p>
            <w:pPr>
              <w:ind w:left="20"/>
              <w:spacing w:after="0"/>
              <w:rPr>
                <w:sz w:val="20"/>
                <w:szCs w:val="20"/>
                <w:color w:val="auto"/>
              </w:rPr>
            </w:pPr>
            <w:r>
              <w:rPr>
                <w:rFonts w:ascii="Arial" w:cs="Arial" w:eastAsia="Arial" w:hAnsi="Arial"/>
                <w:sz w:val="10"/>
                <w:szCs w:val="10"/>
                <w:color w:val="auto"/>
              </w:rPr>
              <w:t>Share-based</w:t>
            </w:r>
          </w:p>
        </w:tc>
        <w:tc>
          <w:tcPr>
            <w:tcW w:w="3020" w:type="dxa"/>
            <w:vAlign w:val="bottom"/>
            <w:gridSpan w:val="3"/>
          </w:tcPr>
          <w:p>
            <w:pPr>
              <w:ind w:left="40"/>
              <w:spacing w:after="0"/>
              <w:rPr>
                <w:sz w:val="20"/>
                <w:szCs w:val="20"/>
                <w:color w:val="auto"/>
              </w:rPr>
            </w:pPr>
            <w:r>
              <w:rPr>
                <w:rFonts w:ascii="Arial" w:cs="Arial" w:eastAsia="Arial" w:hAnsi="Arial"/>
                <w:sz w:val="10"/>
                <w:szCs w:val="10"/>
                <w:color w:val="auto"/>
              </w:rPr>
              <w:t>Judgement in selecting assumptions required for valuation of</w:t>
            </w:r>
          </w:p>
        </w:tc>
        <w:tc>
          <w:tcPr>
            <w:tcW w:w="500" w:type="dxa"/>
            <w:vAlign w:val="bottom"/>
          </w:tcPr>
          <w:p>
            <w:pPr>
              <w:spacing w:after="0"/>
              <w:rPr>
                <w:sz w:val="20"/>
                <w:szCs w:val="20"/>
                <w:color w:val="auto"/>
              </w:rPr>
            </w:pPr>
            <w:r>
              <w:rPr>
                <w:rFonts w:ascii="Arial" w:cs="Arial" w:eastAsia="Arial" w:hAnsi="Arial"/>
                <w:sz w:val="10"/>
                <w:szCs w:val="10"/>
                <w:b w:val="1"/>
                <w:bCs w:val="1"/>
                <w:color w:val="691A6B"/>
              </w:rPr>
              <w:t>Note 4.6</w:t>
            </w:r>
          </w:p>
        </w:tc>
        <w:tc>
          <w:tcPr>
            <w:tcW w:w="5300" w:type="dxa"/>
            <w:vAlign w:val="bottom"/>
            <w:gridSpan w:val="2"/>
          </w:tcPr>
          <w:p>
            <w:pPr>
              <w:ind w:left="20"/>
              <w:spacing w:after="0"/>
              <w:rPr>
                <w:sz w:val="20"/>
                <w:szCs w:val="20"/>
                <w:color w:val="auto"/>
              </w:rPr>
            </w:pPr>
            <w:r>
              <w:rPr>
                <w:rFonts w:ascii="Arial" w:cs="Arial" w:eastAsia="Arial" w:hAnsi="Arial"/>
                <w:sz w:val="10"/>
                <w:szCs w:val="10"/>
                <w:color w:val="auto"/>
              </w:rPr>
              <w:t>Moderate</w:t>
            </w: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compensation</w:t>
            </w:r>
          </w:p>
        </w:tc>
        <w:tc>
          <w:tcPr>
            <w:tcW w:w="940" w:type="dxa"/>
            <w:vAlign w:val="bottom"/>
          </w:tcPr>
          <w:p>
            <w:pPr>
              <w:ind w:left="40"/>
              <w:spacing w:after="0" w:line="95" w:lineRule="exact"/>
              <w:rPr>
                <w:sz w:val="20"/>
                <w:szCs w:val="20"/>
                <w:color w:val="auto"/>
              </w:rPr>
            </w:pPr>
            <w:r>
              <w:rPr>
                <w:rFonts w:ascii="Arial" w:cs="Arial" w:eastAsia="Arial" w:hAnsi="Arial"/>
                <w:sz w:val="10"/>
                <w:szCs w:val="10"/>
                <w:color w:val="auto"/>
              </w:rPr>
              <w:t>warrant grants</w:t>
            </w: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95"/>
        </w:trPr>
        <w:tc>
          <w:tcPr>
            <w:tcW w:w="820" w:type="dxa"/>
            <w:vAlign w:val="bottom"/>
          </w:tcPr>
          <w:p>
            <w:pPr>
              <w:spacing w:after="0"/>
              <w:rPr>
                <w:sz w:val="8"/>
                <w:szCs w:val="8"/>
                <w:color w:val="auto"/>
              </w:rPr>
            </w:pPr>
          </w:p>
        </w:tc>
        <w:tc>
          <w:tcPr>
            <w:tcW w:w="3020" w:type="dxa"/>
            <w:vAlign w:val="bottom"/>
            <w:gridSpan w:val="3"/>
          </w:tcPr>
          <w:p>
            <w:pPr>
              <w:ind w:left="40"/>
              <w:spacing w:after="0" w:line="95" w:lineRule="exact"/>
              <w:rPr>
                <w:sz w:val="20"/>
                <w:szCs w:val="20"/>
                <w:color w:val="auto"/>
              </w:rPr>
            </w:pPr>
            <w:r>
              <w:rPr>
                <w:rFonts w:ascii="Arial" w:cs="Arial" w:eastAsia="Arial" w:hAnsi="Arial"/>
                <w:sz w:val="10"/>
                <w:szCs w:val="10"/>
                <w:color w:val="auto"/>
              </w:rPr>
              <w:t>Estimation in developing forfeiture rate RSUs/warrants and</w:t>
            </w: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137"/>
        </w:trPr>
        <w:tc>
          <w:tcPr>
            <w:tcW w:w="820" w:type="dxa"/>
            <w:vAlign w:val="bottom"/>
          </w:tcPr>
          <w:p>
            <w:pPr>
              <w:spacing w:after="0"/>
              <w:rPr>
                <w:sz w:val="11"/>
                <w:szCs w:val="11"/>
                <w:color w:val="auto"/>
              </w:rPr>
            </w:pPr>
          </w:p>
        </w:tc>
        <w:tc>
          <w:tcPr>
            <w:tcW w:w="2300" w:type="dxa"/>
            <w:vAlign w:val="bottom"/>
            <w:gridSpan w:val="2"/>
          </w:tcPr>
          <w:p>
            <w:pPr>
              <w:ind w:left="40"/>
              <w:spacing w:after="0"/>
              <w:rPr>
                <w:sz w:val="20"/>
                <w:szCs w:val="20"/>
                <w:color w:val="auto"/>
              </w:rPr>
            </w:pPr>
            <w:r>
              <w:rPr>
                <w:rFonts w:ascii="Arial" w:cs="Arial" w:eastAsia="Arial" w:hAnsi="Arial"/>
                <w:sz w:val="10"/>
                <w:szCs w:val="10"/>
                <w:color w:val="auto"/>
              </w:rPr>
              <w:t>probability of achievement for PSUs</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60" w:type="dxa"/>
            <w:vAlign w:val="bottom"/>
          </w:tcPr>
          <w:p>
            <w:pPr>
              <w:spacing w:after="0"/>
              <w:rPr>
                <w:sz w:val="11"/>
                <w:szCs w:val="11"/>
                <w:color w:val="auto"/>
              </w:rPr>
            </w:pPr>
          </w:p>
        </w:tc>
      </w:tr>
      <w:tr>
        <w:trPr>
          <w:trHeight w:val="215"/>
        </w:trPr>
        <w:tc>
          <w:tcPr>
            <w:tcW w:w="820" w:type="dxa"/>
            <w:vAlign w:val="bottom"/>
          </w:tcPr>
          <w:p>
            <w:pPr>
              <w:ind w:left="20"/>
              <w:spacing w:after="0"/>
              <w:rPr>
                <w:sz w:val="20"/>
                <w:szCs w:val="20"/>
                <w:color w:val="auto"/>
              </w:rPr>
            </w:pPr>
            <w:r>
              <w:rPr>
                <w:rFonts w:ascii="Arial" w:cs="Arial" w:eastAsia="Arial" w:hAnsi="Arial"/>
                <w:sz w:val="10"/>
                <w:szCs w:val="10"/>
                <w:color w:val="auto"/>
              </w:rPr>
              <w:t>Current and</w:t>
            </w:r>
          </w:p>
        </w:tc>
        <w:tc>
          <w:tcPr>
            <w:tcW w:w="3020" w:type="dxa"/>
            <w:vAlign w:val="bottom"/>
            <w:gridSpan w:val="3"/>
          </w:tcPr>
          <w:p>
            <w:pPr>
              <w:ind w:left="40"/>
              <w:spacing w:after="0"/>
              <w:rPr>
                <w:sz w:val="20"/>
                <w:szCs w:val="20"/>
                <w:color w:val="auto"/>
              </w:rPr>
            </w:pPr>
            <w:r>
              <w:rPr>
                <w:rFonts w:ascii="Arial" w:cs="Arial" w:eastAsia="Arial" w:hAnsi="Arial"/>
                <w:sz w:val="10"/>
                <w:szCs w:val="10"/>
                <w:color w:val="auto"/>
              </w:rPr>
              <w:t>Judgement and estimation regarding valuation of deferred</w:t>
            </w:r>
          </w:p>
        </w:tc>
        <w:tc>
          <w:tcPr>
            <w:tcW w:w="500" w:type="dxa"/>
            <w:vAlign w:val="bottom"/>
          </w:tcPr>
          <w:p>
            <w:pPr>
              <w:spacing w:after="0"/>
              <w:rPr>
                <w:sz w:val="20"/>
                <w:szCs w:val="20"/>
                <w:color w:val="auto"/>
              </w:rPr>
            </w:pPr>
            <w:r>
              <w:rPr>
                <w:rFonts w:ascii="Arial" w:cs="Arial" w:eastAsia="Arial" w:hAnsi="Arial"/>
                <w:sz w:val="10"/>
                <w:szCs w:val="10"/>
                <w:b w:val="1"/>
                <w:bCs w:val="1"/>
                <w:color w:val="691A6B"/>
              </w:rPr>
              <w:t>Note 2.4</w:t>
            </w:r>
          </w:p>
        </w:tc>
        <w:tc>
          <w:tcPr>
            <w:tcW w:w="5300" w:type="dxa"/>
            <w:vAlign w:val="bottom"/>
            <w:gridSpan w:val="2"/>
          </w:tcPr>
          <w:p>
            <w:pPr>
              <w:ind w:left="20"/>
              <w:spacing w:after="0"/>
              <w:rPr>
                <w:sz w:val="20"/>
                <w:szCs w:val="20"/>
                <w:color w:val="auto"/>
              </w:rPr>
            </w:pPr>
            <w:r>
              <w:rPr>
                <w:rFonts w:ascii="Arial" w:cs="Arial" w:eastAsia="Arial" w:hAnsi="Arial"/>
                <w:sz w:val="10"/>
                <w:szCs w:val="10"/>
                <w:color w:val="auto"/>
              </w:rPr>
              <w:t>Moderate</w:t>
            </w:r>
          </w:p>
        </w:tc>
      </w:tr>
      <w:tr>
        <w:trPr>
          <w:trHeight w:val="95"/>
        </w:trPr>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deferred income</w:t>
            </w:r>
          </w:p>
        </w:tc>
        <w:tc>
          <w:tcPr>
            <w:tcW w:w="940" w:type="dxa"/>
            <w:vAlign w:val="bottom"/>
          </w:tcPr>
          <w:p>
            <w:pPr>
              <w:ind w:left="40"/>
              <w:spacing w:after="0" w:line="95" w:lineRule="exact"/>
              <w:rPr>
                <w:sz w:val="20"/>
                <w:szCs w:val="20"/>
                <w:color w:val="auto"/>
              </w:rPr>
            </w:pPr>
            <w:r>
              <w:rPr>
                <w:rFonts w:ascii="Arial" w:cs="Arial" w:eastAsia="Arial" w:hAnsi="Arial"/>
                <w:sz w:val="10"/>
                <w:szCs w:val="10"/>
                <w:color w:val="auto"/>
              </w:rPr>
              <w:t>income tax assets</w:t>
            </w: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137"/>
        </w:trPr>
        <w:tc>
          <w:tcPr>
            <w:tcW w:w="820" w:type="dxa"/>
            <w:vAlign w:val="bottom"/>
          </w:tcPr>
          <w:p>
            <w:pPr>
              <w:ind w:left="20"/>
              <w:spacing w:after="0"/>
              <w:rPr>
                <w:sz w:val="20"/>
                <w:szCs w:val="20"/>
                <w:color w:val="auto"/>
              </w:rPr>
            </w:pPr>
            <w:r>
              <w:rPr>
                <w:rFonts w:ascii="Arial" w:cs="Arial" w:eastAsia="Arial" w:hAnsi="Arial"/>
                <w:sz w:val="10"/>
                <w:szCs w:val="10"/>
                <w:color w:val="auto"/>
              </w:rPr>
              <w:t>taxes</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-2286000</wp:posOffset>
            </wp:positionV>
            <wp:extent cx="90805" cy="965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691A6B"/>
        </w:rPr>
        <w:t>1.4 - Reclassifications of Prior Period Financial Statements</w:t>
      </w:r>
    </w:p>
    <w:p>
      <w:pPr>
        <w:spacing w:after="0" w:line="198" w:lineRule="auto"/>
        <w:rPr>
          <w:sz w:val="20"/>
          <w:szCs w:val="20"/>
          <w:color w:val="auto"/>
        </w:rPr>
      </w:pPr>
      <w:r>
        <w:rPr>
          <w:rFonts w:ascii="Arial" w:cs="Arial" w:eastAsia="Arial" w:hAnsi="Arial"/>
          <w:sz w:val="10"/>
          <w:szCs w:val="10"/>
          <w:color w:val="auto"/>
        </w:rPr>
        <w:t>In order to conform to the current period gross presentation for 2025, a reclassification of net, $100 million</w:t>
      </w:r>
    </w:p>
    <w:p>
      <w:pPr>
        <w:spacing w:after="0" w:line="199" w:lineRule="auto"/>
        <w:rPr>
          <w:sz w:val="20"/>
          <w:szCs w:val="20"/>
          <w:color w:val="auto"/>
        </w:rPr>
      </w:pPr>
      <w:r>
        <w:rPr>
          <w:rFonts w:ascii="Arial" w:cs="Arial" w:eastAsia="Arial" w:hAnsi="Arial"/>
          <w:sz w:val="10"/>
          <w:szCs w:val="10"/>
          <w:color w:val="auto"/>
        </w:rPr>
        <w:t>gain and $63 million loss have been made to the gross amounts presented for 2024 and 2023, to move</w:t>
      </w:r>
    </w:p>
    <w:p>
      <w:pPr>
        <w:spacing w:after="0" w:line="198" w:lineRule="auto"/>
        <w:rPr>
          <w:sz w:val="20"/>
          <w:szCs w:val="20"/>
          <w:color w:val="auto"/>
        </w:rPr>
      </w:pPr>
      <w:r>
        <w:rPr>
          <w:rFonts w:ascii="Arial" w:cs="Arial" w:eastAsia="Arial" w:hAnsi="Arial"/>
          <w:sz w:val="10"/>
          <w:szCs w:val="10"/>
          <w:color w:val="auto"/>
        </w:rPr>
        <w:t>foreign exchange rate gains and losses related to marketable securities from gains and losses on foreign</w:t>
      </w:r>
    </w:p>
    <w:p>
      <w:pPr>
        <w:spacing w:after="0" w:line="199" w:lineRule="auto"/>
        <w:rPr>
          <w:sz w:val="20"/>
          <w:szCs w:val="20"/>
          <w:color w:val="auto"/>
        </w:rPr>
      </w:pPr>
      <w:r>
        <w:rPr>
          <w:rFonts w:ascii="Arial" w:cs="Arial" w:eastAsia="Arial" w:hAnsi="Arial"/>
          <w:sz w:val="10"/>
          <w:szCs w:val="10"/>
          <w:color w:val="auto"/>
        </w:rPr>
        <w:t>exchange rates to gains and losses on marketable securities. These reclassifications have no impact on</w:t>
      </w:r>
    </w:p>
    <w:p>
      <w:pPr>
        <w:spacing w:after="0" w:line="218" w:lineRule="auto"/>
        <w:rPr>
          <w:rFonts w:ascii="Arial" w:cs="Arial" w:eastAsia="Arial" w:hAnsi="Arial"/>
          <w:sz w:val="10"/>
          <w:szCs w:val="10"/>
          <w:color w:val="auto"/>
        </w:rPr>
      </w:pPr>
      <w:r>
        <w:rPr>
          <w:rFonts w:ascii="Arial" w:cs="Arial" w:eastAsia="Arial" w:hAnsi="Arial"/>
          <w:sz w:val="10"/>
          <w:szCs w:val="10"/>
          <w:color w:val="auto"/>
        </w:rPr>
        <w:t xml:space="preserve">the net amounts of financial items as presented in </w:t>
      </w:r>
      <w:hyperlink w:anchor="page149">
        <w:r>
          <w:rPr>
            <w:rFonts w:ascii="Arial" w:cs="Arial" w:eastAsia="Arial" w:hAnsi="Arial"/>
            <w:sz w:val="10"/>
            <w:szCs w:val="10"/>
            <w:b w:val="1"/>
            <w:bCs w:val="1"/>
            <w:color w:val="691A6B"/>
          </w:rPr>
          <w:t>Note 4.5 - Financial Income and Expenses.</w:t>
        </w:r>
      </w:hyperlink>
    </w:p>
    <w:tbl>
      <w:tblPr>
        <w:tblLayout w:type="fixed"/>
        <w:tblInd w:w="0" w:type="dxa"/>
        <w:tblCellMar>
          <w:top w:w="0" w:type="dxa"/>
          <w:left w:w="0" w:type="dxa"/>
          <w:bottom w:w="0" w:type="dxa"/>
          <w:right w:w="0" w:type="dxa"/>
        </w:tblCellMar>
      </w:tblPr>
      <w:tr>
        <w:trPr>
          <w:trHeight w:val="95"/>
        </w:trPr>
        <w:tc>
          <w:tcPr>
            <w:tcW w:w="2720" w:type="dxa"/>
            <w:vAlign w:val="bottom"/>
            <w:tcBorders>
              <w:top w:val="single" w:sz="8" w:color="691A6B"/>
            </w:tcBorders>
          </w:tcPr>
          <w:p>
            <w:pPr>
              <w:ind w:left="2100"/>
              <w:spacing w:after="0" w:line="95" w:lineRule="exact"/>
              <w:rPr>
                <w:sz w:val="20"/>
                <w:szCs w:val="20"/>
                <w:color w:val="auto"/>
              </w:rPr>
            </w:pPr>
            <w:r>
              <w:rPr>
                <w:rFonts w:ascii="Arial" w:cs="Arial" w:eastAsia="Arial" w:hAnsi="Arial"/>
                <w:sz w:val="10"/>
                <w:szCs w:val="10"/>
                <w:b w:val="1"/>
                <w:bCs w:val="1"/>
                <w:color w:val="auto"/>
                <w:w w:val="92"/>
              </w:rPr>
              <w:t>December 31,</w:t>
            </w:r>
          </w:p>
        </w:tc>
        <w:tc>
          <w:tcPr>
            <w:tcW w:w="800" w:type="dxa"/>
            <w:vAlign w:val="bottom"/>
            <w:tcBorders>
              <w:top w:val="single" w:sz="8" w:color="691A6B"/>
            </w:tcBorders>
          </w:tcPr>
          <w:p>
            <w:pPr>
              <w:jc w:val="right"/>
              <w:ind w:right="88"/>
              <w:spacing w:after="0" w:line="95" w:lineRule="exact"/>
              <w:rPr>
                <w:sz w:val="20"/>
                <w:szCs w:val="20"/>
                <w:color w:val="auto"/>
              </w:rPr>
            </w:pPr>
            <w:r>
              <w:rPr>
                <w:rFonts w:ascii="Arial" w:cs="Arial" w:eastAsia="Arial" w:hAnsi="Arial"/>
                <w:sz w:val="10"/>
                <w:szCs w:val="10"/>
                <w:b w:val="1"/>
                <w:bCs w:val="1"/>
                <w:color w:val="auto"/>
              </w:rPr>
              <w:t>Reclass</w:t>
            </w:r>
          </w:p>
        </w:tc>
        <w:tc>
          <w:tcPr>
            <w:tcW w:w="400" w:type="dxa"/>
            <w:vAlign w:val="bottom"/>
            <w:tcBorders>
              <w:top w:val="single" w:sz="8" w:color="691A6B"/>
            </w:tcBorders>
          </w:tcPr>
          <w:p>
            <w:pPr>
              <w:spacing w:after="0"/>
              <w:rPr>
                <w:sz w:val="8"/>
                <w:szCs w:val="8"/>
                <w:color w:val="auto"/>
              </w:rPr>
            </w:pP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December 31,</w:t>
            </w:r>
          </w:p>
        </w:tc>
      </w:tr>
      <w:tr>
        <w:trPr>
          <w:trHeight w:val="128"/>
        </w:trPr>
        <w:tc>
          <w:tcPr>
            <w:tcW w:w="2720" w:type="dxa"/>
            <w:vAlign w:val="bottom"/>
          </w:tcPr>
          <w:p>
            <w:pPr>
              <w:ind w:left="2100"/>
              <w:spacing w:after="0"/>
              <w:rPr>
                <w:sz w:val="20"/>
                <w:szCs w:val="20"/>
                <w:color w:val="auto"/>
              </w:rPr>
            </w:pPr>
            <w:r>
              <w:rPr>
                <w:rFonts w:ascii="Arial" w:cs="Arial" w:eastAsia="Arial" w:hAnsi="Arial"/>
                <w:sz w:val="10"/>
                <w:szCs w:val="10"/>
                <w:b w:val="1"/>
                <w:bCs w:val="1"/>
                <w:color w:val="auto"/>
              </w:rPr>
              <w:t>2024</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50"/>
        </w:trPr>
        <w:tc>
          <w:tcPr>
            <w:tcW w:w="2720" w:type="dxa"/>
            <w:vAlign w:val="bottom"/>
          </w:tcPr>
          <w:p>
            <w:pPr>
              <w:ind w:left="20"/>
              <w:spacing w:after="0"/>
              <w:rPr>
                <w:sz w:val="20"/>
                <w:szCs w:val="20"/>
                <w:color w:val="auto"/>
              </w:rPr>
            </w:pPr>
            <w:r>
              <w:rPr>
                <w:rFonts w:ascii="Arial" w:cs="Arial" w:eastAsia="Arial" w:hAnsi="Arial"/>
                <w:sz w:val="10"/>
                <w:szCs w:val="10"/>
                <w:color w:val="auto"/>
              </w:rPr>
              <w:t>Financial income:</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Gain on marketable securities</w:t>
            </w:r>
          </w:p>
        </w:tc>
        <w:tc>
          <w:tcPr>
            <w:tcW w:w="800" w:type="dxa"/>
            <w:vAlign w:val="bottom"/>
          </w:tcPr>
          <w:p>
            <w:pPr>
              <w:jc w:val="right"/>
              <w:ind w:right="548"/>
              <w:spacing w:after="0"/>
              <w:rPr>
                <w:sz w:val="20"/>
                <w:szCs w:val="20"/>
                <w:color w:val="auto"/>
              </w:rPr>
            </w:pPr>
            <w:r>
              <w:rPr>
                <w:rFonts w:ascii="Arial" w:cs="Arial" w:eastAsia="Arial" w:hAnsi="Arial"/>
                <w:sz w:val="10"/>
                <w:szCs w:val="10"/>
                <w:color w:val="auto"/>
              </w:rPr>
              <w:t>53</w:t>
            </w: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184</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237</w:t>
            </w: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Foreign exchange rate gain</w:t>
            </w:r>
          </w:p>
        </w:tc>
        <w:tc>
          <w:tcPr>
            <w:tcW w:w="800" w:type="dxa"/>
            <w:vAlign w:val="bottom"/>
          </w:tcPr>
          <w:p>
            <w:pPr>
              <w:jc w:val="right"/>
              <w:ind w:right="528"/>
              <w:spacing w:after="0"/>
              <w:rPr>
                <w:sz w:val="20"/>
                <w:szCs w:val="20"/>
                <w:color w:val="auto"/>
              </w:rPr>
            </w:pPr>
            <w:r>
              <w:rPr>
                <w:rFonts w:ascii="Arial" w:cs="Arial" w:eastAsia="Arial" w:hAnsi="Arial"/>
                <w:sz w:val="10"/>
                <w:szCs w:val="10"/>
                <w:color w:val="auto"/>
              </w:rPr>
              <w:t>431</w:t>
            </w:r>
          </w:p>
        </w:tc>
        <w:tc>
          <w:tcPr>
            <w:tcW w:w="400" w:type="dxa"/>
            <w:vAlign w:val="bottom"/>
          </w:tcPr>
          <w:p>
            <w:pPr>
              <w:jc w:val="right"/>
              <w:spacing w:after="0"/>
              <w:rPr>
                <w:sz w:val="20"/>
                <w:szCs w:val="20"/>
                <w:color w:val="auto"/>
              </w:rPr>
            </w:pPr>
            <w:r>
              <w:rPr>
                <w:rFonts w:ascii="Arial" w:cs="Arial" w:eastAsia="Arial" w:hAnsi="Arial"/>
                <w:sz w:val="10"/>
                <w:szCs w:val="10"/>
                <w:color w:val="auto"/>
              </w:rPr>
              <w:t>(173)</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258</w:t>
            </w: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Gain on other investments, net</w:t>
            </w:r>
          </w:p>
        </w:tc>
        <w:tc>
          <w:tcPr>
            <w:tcW w:w="800" w:type="dxa"/>
            <w:vAlign w:val="bottom"/>
          </w:tcPr>
          <w:p>
            <w:pPr>
              <w:jc w:val="right"/>
              <w:ind w:right="548"/>
              <w:spacing w:after="0"/>
              <w:rPr>
                <w:sz w:val="20"/>
                <w:szCs w:val="20"/>
                <w:color w:val="auto"/>
              </w:rPr>
            </w:pPr>
            <w:r>
              <w:rPr>
                <w:rFonts w:ascii="Arial" w:cs="Arial" w:eastAsia="Arial" w:hAnsi="Arial"/>
                <w:sz w:val="10"/>
                <w:szCs w:val="10"/>
                <w:color w:val="auto"/>
              </w:rPr>
              <w:t>21</w:t>
            </w:r>
          </w:p>
        </w:tc>
        <w:tc>
          <w:tcPr>
            <w:tcW w:w="400" w:type="dxa"/>
            <w:vAlign w:val="bottom"/>
          </w:tcPr>
          <w:p>
            <w:pPr>
              <w:jc w:val="right"/>
              <w:spacing w:after="0"/>
              <w:rPr>
                <w:sz w:val="20"/>
                <w:szCs w:val="20"/>
                <w:color w:val="auto"/>
              </w:rPr>
            </w:pPr>
            <w:r>
              <w:rPr>
                <w:rFonts w:ascii="Arial" w:cs="Arial" w:eastAsia="Arial" w:hAnsi="Arial"/>
                <w:sz w:val="10"/>
                <w:szCs w:val="10"/>
                <w:color w:val="auto"/>
              </w:rPr>
              <w:t>(15)</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6</w:t>
            </w:r>
          </w:p>
        </w:tc>
      </w:tr>
      <w:tr>
        <w:trPr>
          <w:trHeight w:val="158"/>
        </w:trPr>
        <w:tc>
          <w:tcPr>
            <w:tcW w:w="2720" w:type="dxa"/>
            <w:vAlign w:val="bottom"/>
          </w:tcPr>
          <w:p>
            <w:pPr>
              <w:ind w:left="20"/>
              <w:spacing w:after="0"/>
              <w:rPr>
                <w:sz w:val="20"/>
                <w:szCs w:val="20"/>
                <w:color w:val="auto"/>
              </w:rPr>
            </w:pPr>
            <w:r>
              <w:rPr>
                <w:rFonts w:ascii="Arial" w:cs="Arial" w:eastAsia="Arial" w:hAnsi="Arial"/>
                <w:sz w:val="10"/>
                <w:szCs w:val="10"/>
                <w:b w:val="1"/>
                <w:bCs w:val="1"/>
                <w:color w:val="auto"/>
              </w:rPr>
              <w:t>Total financial income</w:t>
            </w:r>
          </w:p>
        </w:tc>
        <w:tc>
          <w:tcPr>
            <w:tcW w:w="800" w:type="dxa"/>
            <w:vAlign w:val="bottom"/>
          </w:tcPr>
          <w:p>
            <w:pPr>
              <w:jc w:val="right"/>
              <w:ind w:right="528"/>
              <w:spacing w:after="0"/>
              <w:rPr>
                <w:sz w:val="20"/>
                <w:szCs w:val="20"/>
                <w:color w:val="auto"/>
              </w:rPr>
            </w:pPr>
            <w:r>
              <w:rPr>
                <w:rFonts w:ascii="Arial" w:cs="Arial" w:eastAsia="Arial" w:hAnsi="Arial"/>
                <w:sz w:val="10"/>
                <w:szCs w:val="10"/>
                <w:b w:val="1"/>
                <w:bCs w:val="1"/>
                <w:color w:val="auto"/>
              </w:rPr>
              <w:t>505</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(4)</w:t>
            </w:r>
          </w:p>
        </w:tc>
        <w:tc>
          <w:tcPr>
            <w:tcW w:w="960" w:type="dxa"/>
            <w:vAlign w:val="bottom"/>
          </w:tcPr>
          <w:p>
            <w:pPr>
              <w:jc w:val="right"/>
              <w:ind w:right="29"/>
              <w:spacing w:after="0"/>
              <w:rPr>
                <w:sz w:val="20"/>
                <w:szCs w:val="20"/>
                <w:color w:val="auto"/>
              </w:rPr>
            </w:pPr>
            <w:r>
              <w:rPr>
                <w:rFonts w:ascii="Arial" w:cs="Arial" w:eastAsia="Arial" w:hAnsi="Arial"/>
                <w:sz w:val="10"/>
                <w:szCs w:val="10"/>
                <w:b w:val="1"/>
                <w:bCs w:val="1"/>
                <w:color w:val="auto"/>
              </w:rPr>
              <w:t>501</w:t>
            </w:r>
          </w:p>
        </w:tc>
      </w:tr>
      <w:tr>
        <w:trPr>
          <w:trHeight w:val="352"/>
        </w:trPr>
        <w:tc>
          <w:tcPr>
            <w:tcW w:w="2720" w:type="dxa"/>
            <w:vAlign w:val="bottom"/>
          </w:tcPr>
          <w:p>
            <w:pPr>
              <w:ind w:left="20"/>
              <w:spacing w:after="0"/>
              <w:rPr>
                <w:sz w:val="20"/>
                <w:szCs w:val="20"/>
                <w:color w:val="auto"/>
              </w:rPr>
            </w:pPr>
            <w:r>
              <w:rPr>
                <w:rFonts w:ascii="Arial" w:cs="Arial" w:eastAsia="Arial" w:hAnsi="Arial"/>
                <w:sz w:val="10"/>
                <w:szCs w:val="10"/>
                <w:b w:val="1"/>
                <w:bCs w:val="1"/>
                <w:color w:val="auto"/>
              </w:rPr>
              <w:t>Financial expenses: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6"/>
        </w:trPr>
        <w:tc>
          <w:tcPr>
            <w:tcW w:w="2720" w:type="dxa"/>
            <w:vAlign w:val="bottom"/>
          </w:tcPr>
          <w:p>
            <w:pPr>
              <w:ind w:left="20"/>
              <w:spacing w:after="0"/>
              <w:rPr>
                <w:sz w:val="20"/>
                <w:szCs w:val="20"/>
                <w:color w:val="auto"/>
              </w:rPr>
            </w:pPr>
            <w:r>
              <w:rPr>
                <w:rFonts w:ascii="Arial" w:cs="Arial" w:eastAsia="Arial" w:hAnsi="Arial"/>
                <w:sz w:val="10"/>
                <w:szCs w:val="10"/>
                <w:color w:val="auto"/>
              </w:rPr>
              <w:t>Loss on marketable securities</w:t>
            </w:r>
          </w:p>
        </w:tc>
        <w:tc>
          <w:tcPr>
            <w:tcW w:w="800" w:type="dxa"/>
            <w:vAlign w:val="bottom"/>
          </w:tcPr>
          <w:p>
            <w:pPr>
              <w:jc w:val="right"/>
              <w:ind w:right="508"/>
              <w:spacing w:after="0"/>
              <w:rPr>
                <w:sz w:val="20"/>
                <w:szCs w:val="20"/>
                <w:color w:val="auto"/>
              </w:rPr>
            </w:pPr>
            <w:r>
              <w:rPr>
                <w:rFonts w:ascii="Arial" w:cs="Arial" w:eastAsia="Arial" w:hAnsi="Arial"/>
                <w:sz w:val="10"/>
                <w:szCs w:val="10"/>
                <w:color w:val="auto"/>
              </w:rPr>
              <w:t>(23)</w:t>
            </w:r>
          </w:p>
        </w:tc>
        <w:tc>
          <w:tcPr>
            <w:tcW w:w="400" w:type="dxa"/>
            <w:vAlign w:val="bottom"/>
          </w:tcPr>
          <w:p>
            <w:pPr>
              <w:jc w:val="right"/>
              <w:spacing w:after="0"/>
              <w:rPr>
                <w:sz w:val="20"/>
                <w:szCs w:val="20"/>
                <w:color w:val="auto"/>
              </w:rPr>
            </w:pPr>
            <w:r>
              <w:rPr>
                <w:rFonts w:ascii="Arial" w:cs="Arial" w:eastAsia="Arial" w:hAnsi="Arial"/>
                <w:sz w:val="10"/>
                <w:szCs w:val="10"/>
                <w:color w:val="auto"/>
              </w:rPr>
              <w:t>(84)</w:t>
            </w:r>
          </w:p>
        </w:tc>
        <w:tc>
          <w:tcPr>
            <w:tcW w:w="960" w:type="dxa"/>
            <w:vAlign w:val="bottom"/>
          </w:tcPr>
          <w:p>
            <w:pPr>
              <w:jc w:val="right"/>
              <w:ind w:right="9"/>
              <w:spacing w:after="0"/>
              <w:rPr>
                <w:sz w:val="20"/>
                <w:szCs w:val="20"/>
                <w:color w:val="auto"/>
              </w:rPr>
            </w:pPr>
            <w:r>
              <w:rPr>
                <w:rFonts w:ascii="Arial" w:cs="Arial" w:eastAsia="Arial" w:hAnsi="Arial"/>
                <w:sz w:val="10"/>
                <w:szCs w:val="10"/>
                <w:color w:val="auto"/>
              </w:rPr>
              <w:t>(107)</w:t>
            </w: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Foreign exchange rate loss</w:t>
            </w:r>
          </w:p>
        </w:tc>
        <w:tc>
          <w:tcPr>
            <w:tcW w:w="800" w:type="dxa"/>
            <w:vAlign w:val="bottom"/>
          </w:tcPr>
          <w:p>
            <w:pPr>
              <w:jc w:val="right"/>
              <w:ind w:right="508"/>
              <w:spacing w:after="0"/>
              <w:rPr>
                <w:sz w:val="20"/>
                <w:szCs w:val="20"/>
                <w:color w:val="auto"/>
              </w:rPr>
            </w:pPr>
            <w:r>
              <w:rPr>
                <w:rFonts w:ascii="Arial" w:cs="Arial" w:eastAsia="Arial" w:hAnsi="Arial"/>
                <w:sz w:val="10"/>
                <w:szCs w:val="10"/>
                <w:color w:val="auto"/>
                <w:w w:val="94"/>
              </w:rPr>
              <w:t>(239)</w:t>
            </w: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73</w:t>
            </w:r>
          </w:p>
        </w:tc>
        <w:tc>
          <w:tcPr>
            <w:tcW w:w="960" w:type="dxa"/>
            <w:vAlign w:val="bottom"/>
          </w:tcPr>
          <w:p>
            <w:pPr>
              <w:jc w:val="right"/>
              <w:ind w:right="9"/>
              <w:spacing w:after="0"/>
              <w:rPr>
                <w:sz w:val="20"/>
                <w:szCs w:val="20"/>
                <w:color w:val="auto"/>
              </w:rPr>
            </w:pPr>
            <w:r>
              <w:rPr>
                <w:rFonts w:ascii="Arial" w:cs="Arial" w:eastAsia="Arial" w:hAnsi="Arial"/>
                <w:sz w:val="10"/>
                <w:szCs w:val="10"/>
                <w:color w:val="auto"/>
              </w:rPr>
              <w:t>(166)</w:t>
            </w: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Loss on other investments, net</w:t>
            </w:r>
          </w:p>
        </w:tc>
        <w:tc>
          <w:tcPr>
            <w:tcW w:w="800" w:type="dxa"/>
            <w:vAlign w:val="bottom"/>
          </w:tcPr>
          <w:p>
            <w:pPr>
              <w:jc w:val="right"/>
              <w:ind w:right="508"/>
              <w:spacing w:after="0"/>
              <w:rPr>
                <w:sz w:val="20"/>
                <w:szCs w:val="20"/>
                <w:color w:val="auto"/>
              </w:rPr>
            </w:pPr>
            <w:r>
              <w:rPr>
                <w:rFonts w:ascii="Arial" w:cs="Arial" w:eastAsia="Arial" w:hAnsi="Arial"/>
                <w:sz w:val="10"/>
                <w:szCs w:val="10"/>
                <w:color w:val="auto"/>
              </w:rPr>
              <w:t>(15)</w:t>
            </w: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15</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w:t>
            </w:r>
          </w:p>
        </w:tc>
      </w:tr>
      <w:tr>
        <w:trPr>
          <w:trHeight w:val="16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Total financial expenses</w:t>
            </w:r>
          </w:p>
        </w:tc>
        <w:tc>
          <w:tcPr>
            <w:tcW w:w="80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b w:val="1"/>
                <w:bCs w:val="1"/>
                <w:color w:val="auto"/>
                <w:w w:val="94"/>
              </w:rPr>
              <w:t>(277)</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4</w:t>
            </w: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(273)</w:t>
            </w:r>
          </w:p>
        </w:tc>
      </w:tr>
      <w:tr>
        <w:trPr>
          <w:trHeight w:val="142"/>
        </w:trPr>
        <w:tc>
          <w:tcPr>
            <w:tcW w:w="2720" w:type="dxa"/>
            <w:vAlign w:val="bottom"/>
            <w:tcBorders>
              <w:bottom w:val="single" w:sz="8" w:color="691A6B"/>
            </w:tcBorders>
          </w:tcPr>
          <w:p>
            <w:pPr>
              <w:ind w:left="20"/>
              <w:spacing w:after="0"/>
              <w:rPr>
                <w:sz w:val="20"/>
                <w:szCs w:val="20"/>
                <w:color w:val="auto"/>
              </w:rPr>
            </w:pPr>
            <w:r>
              <w:rPr>
                <w:rFonts w:ascii="Arial" w:cs="Arial" w:eastAsia="Arial" w:hAnsi="Arial"/>
                <w:sz w:val="10"/>
                <w:szCs w:val="10"/>
                <w:b w:val="1"/>
                <w:bCs w:val="1"/>
                <w:color w:val="auto"/>
              </w:rPr>
              <w:t>Net financial items</w:t>
            </w:r>
          </w:p>
        </w:tc>
        <w:tc>
          <w:tcPr>
            <w:tcW w:w="800" w:type="dxa"/>
            <w:vAlign w:val="bottom"/>
            <w:tcBorders>
              <w:bottom w:val="single" w:sz="8" w:color="691A6B"/>
            </w:tcBorders>
          </w:tcPr>
          <w:p>
            <w:pPr>
              <w:jc w:val="right"/>
              <w:ind w:right="528"/>
              <w:spacing w:after="0"/>
              <w:rPr>
                <w:sz w:val="20"/>
                <w:szCs w:val="20"/>
                <w:color w:val="auto"/>
              </w:rPr>
            </w:pPr>
            <w:r>
              <w:rPr>
                <w:rFonts w:ascii="Arial" w:cs="Arial" w:eastAsia="Arial" w:hAnsi="Arial"/>
                <w:sz w:val="10"/>
                <w:szCs w:val="10"/>
                <w:b w:val="1"/>
                <w:bCs w:val="1"/>
                <w:color w:val="auto"/>
              </w:rPr>
              <w:t>228</w:t>
            </w:r>
          </w:p>
        </w:tc>
        <w:tc>
          <w:tcPr>
            <w:tcW w:w="400" w:type="dxa"/>
            <w:vAlign w:val="bottom"/>
            <w:tcBorders>
              <w:bottom w:val="single" w:sz="8" w:color="691A6B"/>
            </w:tcBorders>
          </w:tcPr>
          <w:p>
            <w:pPr>
              <w:jc w:val="right"/>
              <w:ind w:right="8"/>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691A6B"/>
            </w:tcBorders>
          </w:tcPr>
          <w:p>
            <w:pPr>
              <w:jc w:val="right"/>
              <w:ind w:right="29"/>
              <w:spacing w:after="0"/>
              <w:rPr>
                <w:sz w:val="20"/>
                <w:szCs w:val="20"/>
                <w:color w:val="auto"/>
              </w:rPr>
            </w:pPr>
            <w:r>
              <w:rPr>
                <w:rFonts w:ascii="Arial" w:cs="Arial" w:eastAsia="Arial" w:hAnsi="Arial"/>
                <w:sz w:val="10"/>
                <w:szCs w:val="10"/>
                <w:b w:val="1"/>
                <w:bCs w:val="1"/>
                <w:color w:val="auto"/>
              </w:rPr>
              <w:t>228</w:t>
            </w:r>
          </w:p>
        </w:tc>
      </w:tr>
      <w:tr>
        <w:trPr>
          <w:trHeight w:val="95"/>
        </w:trPr>
        <w:tc>
          <w:tcPr>
            <w:tcW w:w="2720" w:type="dxa"/>
            <w:vAlign w:val="bottom"/>
          </w:tcPr>
          <w:p>
            <w:pPr>
              <w:ind w:left="2100"/>
              <w:spacing w:after="0" w:line="95" w:lineRule="exact"/>
              <w:rPr>
                <w:sz w:val="20"/>
                <w:szCs w:val="20"/>
                <w:color w:val="auto"/>
              </w:rPr>
            </w:pPr>
            <w:r>
              <w:rPr>
                <w:rFonts w:ascii="Arial" w:cs="Arial" w:eastAsia="Arial" w:hAnsi="Arial"/>
                <w:sz w:val="10"/>
                <w:szCs w:val="10"/>
                <w:b w:val="1"/>
                <w:bCs w:val="1"/>
                <w:color w:val="auto"/>
                <w:w w:val="92"/>
              </w:rPr>
              <w:t>December 31,</w:t>
            </w:r>
          </w:p>
        </w:tc>
        <w:tc>
          <w:tcPr>
            <w:tcW w:w="800" w:type="dxa"/>
            <w:vAlign w:val="bottom"/>
          </w:tcPr>
          <w:p>
            <w:pPr>
              <w:jc w:val="right"/>
              <w:ind w:right="88"/>
              <w:spacing w:after="0" w:line="95" w:lineRule="exact"/>
              <w:rPr>
                <w:sz w:val="20"/>
                <w:szCs w:val="20"/>
                <w:color w:val="auto"/>
              </w:rPr>
            </w:pPr>
            <w:r>
              <w:rPr>
                <w:rFonts w:ascii="Arial" w:cs="Arial" w:eastAsia="Arial" w:hAnsi="Arial"/>
                <w:sz w:val="10"/>
                <w:szCs w:val="10"/>
                <w:b w:val="1"/>
                <w:bCs w:val="1"/>
                <w:color w:val="auto"/>
              </w:rPr>
              <w:t>Reclass</w:t>
            </w:r>
          </w:p>
        </w:tc>
        <w:tc>
          <w:tcPr>
            <w:tcW w:w="400" w:type="dxa"/>
            <w:vAlign w:val="bottom"/>
          </w:tcPr>
          <w:p>
            <w:pPr>
              <w:spacing w:after="0"/>
              <w:rPr>
                <w:sz w:val="8"/>
                <w:szCs w:val="8"/>
                <w:color w:val="auto"/>
              </w:rPr>
            </w:pPr>
          </w:p>
        </w:tc>
        <w:tc>
          <w:tcPr>
            <w:tcW w:w="96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December 31,</w:t>
            </w:r>
          </w:p>
        </w:tc>
      </w:tr>
      <w:tr>
        <w:trPr>
          <w:trHeight w:val="128"/>
        </w:trPr>
        <w:tc>
          <w:tcPr>
            <w:tcW w:w="2720" w:type="dxa"/>
            <w:vAlign w:val="bottom"/>
          </w:tcPr>
          <w:p>
            <w:pPr>
              <w:ind w:left="2100"/>
              <w:spacing w:after="0"/>
              <w:rPr>
                <w:sz w:val="20"/>
                <w:szCs w:val="20"/>
                <w:color w:val="auto"/>
              </w:rPr>
            </w:pPr>
            <w:r>
              <w:rPr>
                <w:rFonts w:ascii="Arial" w:cs="Arial" w:eastAsia="Arial" w:hAnsi="Arial"/>
                <w:sz w:val="10"/>
                <w:szCs w:val="10"/>
                <w:b w:val="1"/>
                <w:bCs w:val="1"/>
                <w:color w:val="auto"/>
              </w:rPr>
              <w:t>2023</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2023</w:t>
            </w:r>
          </w:p>
        </w:tc>
      </w:tr>
      <w:tr>
        <w:trPr>
          <w:trHeight w:val="156"/>
        </w:trPr>
        <w:tc>
          <w:tcPr>
            <w:tcW w:w="2720" w:type="dxa"/>
            <w:vAlign w:val="bottom"/>
          </w:tcPr>
          <w:p>
            <w:pPr>
              <w:ind w:left="20"/>
              <w:spacing w:after="0"/>
              <w:rPr>
                <w:sz w:val="20"/>
                <w:szCs w:val="20"/>
                <w:color w:val="auto"/>
              </w:rPr>
            </w:pPr>
            <w:r>
              <w:rPr>
                <w:rFonts w:ascii="Arial" w:cs="Arial" w:eastAsia="Arial" w:hAnsi="Arial"/>
                <w:sz w:val="10"/>
                <w:szCs w:val="10"/>
                <w:b w:val="1"/>
                <w:bCs w:val="1"/>
                <w:color w:val="auto"/>
              </w:rPr>
              <w:t>Financial income:</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6"/>
        </w:trPr>
        <w:tc>
          <w:tcPr>
            <w:tcW w:w="2720" w:type="dxa"/>
            <w:vAlign w:val="bottom"/>
          </w:tcPr>
          <w:p>
            <w:pPr>
              <w:ind w:left="20"/>
              <w:spacing w:after="0"/>
              <w:rPr>
                <w:sz w:val="20"/>
                <w:szCs w:val="20"/>
                <w:color w:val="auto"/>
              </w:rPr>
            </w:pPr>
            <w:r>
              <w:rPr>
                <w:rFonts w:ascii="Arial" w:cs="Arial" w:eastAsia="Arial" w:hAnsi="Arial"/>
                <w:sz w:val="10"/>
                <w:szCs w:val="10"/>
                <w:color w:val="auto"/>
              </w:rPr>
              <w:t>Gain on marketable securities</w:t>
            </w:r>
          </w:p>
        </w:tc>
        <w:tc>
          <w:tcPr>
            <w:tcW w:w="800" w:type="dxa"/>
            <w:vAlign w:val="bottom"/>
          </w:tcPr>
          <w:p>
            <w:pPr>
              <w:jc w:val="right"/>
              <w:ind w:right="548"/>
              <w:spacing w:after="0"/>
              <w:rPr>
                <w:sz w:val="20"/>
                <w:szCs w:val="20"/>
                <w:color w:val="auto"/>
              </w:rPr>
            </w:pPr>
            <w:r>
              <w:rPr>
                <w:rFonts w:ascii="Arial" w:cs="Arial" w:eastAsia="Arial" w:hAnsi="Arial"/>
                <w:sz w:val="10"/>
                <w:szCs w:val="10"/>
                <w:color w:val="auto"/>
              </w:rPr>
              <w:t>72</w:t>
            </w: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85</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157</w:t>
            </w: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Foreign exchange rate gain</w:t>
            </w:r>
          </w:p>
        </w:tc>
        <w:tc>
          <w:tcPr>
            <w:tcW w:w="800" w:type="dxa"/>
            <w:vAlign w:val="bottom"/>
          </w:tcPr>
          <w:p>
            <w:pPr>
              <w:jc w:val="right"/>
              <w:ind w:right="548"/>
              <w:spacing w:after="0"/>
              <w:rPr>
                <w:sz w:val="20"/>
                <w:szCs w:val="20"/>
                <w:color w:val="auto"/>
              </w:rPr>
            </w:pPr>
            <w:r>
              <w:rPr>
                <w:rFonts w:ascii="Arial" w:cs="Arial" w:eastAsia="Arial" w:hAnsi="Arial"/>
                <w:sz w:val="10"/>
                <w:szCs w:val="10"/>
                <w:color w:val="auto"/>
              </w:rPr>
              <w:t>57</w:t>
            </w:r>
          </w:p>
        </w:tc>
        <w:tc>
          <w:tcPr>
            <w:tcW w:w="400" w:type="dxa"/>
            <w:vAlign w:val="bottom"/>
          </w:tcPr>
          <w:p>
            <w:pPr>
              <w:jc w:val="right"/>
              <w:spacing w:after="0"/>
              <w:rPr>
                <w:sz w:val="20"/>
                <w:szCs w:val="20"/>
                <w:color w:val="auto"/>
              </w:rPr>
            </w:pPr>
            <w:r>
              <w:rPr>
                <w:rFonts w:ascii="Arial" w:cs="Arial" w:eastAsia="Arial" w:hAnsi="Arial"/>
                <w:sz w:val="10"/>
                <w:szCs w:val="10"/>
                <w:color w:val="auto"/>
              </w:rPr>
              <w:t>(57)</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w:t>
            </w: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Gain on other investments, net</w:t>
            </w:r>
          </w:p>
        </w:tc>
        <w:tc>
          <w:tcPr>
            <w:tcW w:w="800" w:type="dxa"/>
            <w:vAlign w:val="bottom"/>
          </w:tcPr>
          <w:p>
            <w:pPr>
              <w:jc w:val="right"/>
              <w:ind w:right="548"/>
              <w:spacing w:after="0"/>
              <w:rPr>
                <w:sz w:val="20"/>
                <w:szCs w:val="20"/>
                <w:color w:val="auto"/>
              </w:rPr>
            </w:pPr>
            <w:r>
              <w:rPr>
                <w:rFonts w:ascii="Arial" w:cs="Arial" w:eastAsia="Arial" w:hAnsi="Arial"/>
                <w:sz w:val="10"/>
                <w:szCs w:val="10"/>
                <w:color w:val="auto"/>
              </w:rPr>
              <w:t>10</w:t>
            </w:r>
          </w:p>
        </w:tc>
        <w:tc>
          <w:tcPr>
            <w:tcW w:w="400" w:type="dxa"/>
            <w:vAlign w:val="bottom"/>
          </w:tcPr>
          <w:p>
            <w:pPr>
              <w:jc w:val="right"/>
              <w:spacing w:after="0"/>
              <w:rPr>
                <w:sz w:val="20"/>
                <w:szCs w:val="20"/>
                <w:color w:val="auto"/>
              </w:rPr>
            </w:pPr>
            <w:r>
              <w:rPr>
                <w:rFonts w:ascii="Arial" w:cs="Arial" w:eastAsia="Arial" w:hAnsi="Arial"/>
                <w:sz w:val="10"/>
                <w:szCs w:val="10"/>
                <w:color w:val="auto"/>
              </w:rPr>
              <w:t>(10)</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w:t>
            </w:r>
          </w:p>
        </w:tc>
      </w:tr>
      <w:tr>
        <w:trPr>
          <w:trHeight w:val="158"/>
        </w:trPr>
        <w:tc>
          <w:tcPr>
            <w:tcW w:w="2720" w:type="dxa"/>
            <w:vAlign w:val="bottom"/>
          </w:tcPr>
          <w:p>
            <w:pPr>
              <w:ind w:left="20"/>
              <w:spacing w:after="0"/>
              <w:rPr>
                <w:sz w:val="20"/>
                <w:szCs w:val="20"/>
                <w:color w:val="auto"/>
              </w:rPr>
            </w:pPr>
            <w:r>
              <w:rPr>
                <w:rFonts w:ascii="Arial" w:cs="Arial" w:eastAsia="Arial" w:hAnsi="Arial"/>
                <w:sz w:val="10"/>
                <w:szCs w:val="10"/>
                <w:b w:val="1"/>
                <w:bCs w:val="1"/>
                <w:color w:val="auto"/>
              </w:rPr>
              <w:t>Total financial income</w:t>
            </w:r>
          </w:p>
        </w:tc>
        <w:tc>
          <w:tcPr>
            <w:tcW w:w="800" w:type="dxa"/>
            <w:vAlign w:val="bottom"/>
          </w:tcPr>
          <w:p>
            <w:pPr>
              <w:jc w:val="right"/>
              <w:ind w:right="528"/>
              <w:spacing w:after="0"/>
              <w:rPr>
                <w:sz w:val="20"/>
                <w:szCs w:val="20"/>
                <w:color w:val="auto"/>
              </w:rPr>
            </w:pPr>
            <w:r>
              <w:rPr>
                <w:rFonts w:ascii="Arial" w:cs="Arial" w:eastAsia="Arial" w:hAnsi="Arial"/>
                <w:sz w:val="10"/>
                <w:szCs w:val="10"/>
                <w:b w:val="1"/>
                <w:bCs w:val="1"/>
                <w:color w:val="auto"/>
              </w:rPr>
              <w:t>139</w:t>
            </w:r>
          </w:p>
        </w:tc>
        <w:tc>
          <w:tcPr>
            <w:tcW w:w="400" w:type="dxa"/>
            <w:vAlign w:val="bottom"/>
          </w:tcPr>
          <w:p>
            <w:pPr>
              <w:jc w:val="right"/>
              <w:ind w:right="8"/>
              <w:spacing w:after="0"/>
              <w:rPr>
                <w:sz w:val="20"/>
                <w:szCs w:val="20"/>
                <w:color w:val="auto"/>
              </w:rPr>
            </w:pPr>
            <w:r>
              <w:rPr>
                <w:rFonts w:ascii="Arial" w:cs="Arial" w:eastAsia="Arial" w:hAnsi="Arial"/>
                <w:sz w:val="10"/>
                <w:szCs w:val="10"/>
                <w:b w:val="1"/>
                <w:bCs w:val="1"/>
                <w:color w:val="auto"/>
              </w:rPr>
              <w:t>18</w:t>
            </w:r>
          </w:p>
        </w:tc>
        <w:tc>
          <w:tcPr>
            <w:tcW w:w="960" w:type="dxa"/>
            <w:vAlign w:val="bottom"/>
          </w:tcPr>
          <w:p>
            <w:pPr>
              <w:jc w:val="right"/>
              <w:ind w:right="29"/>
              <w:spacing w:after="0"/>
              <w:rPr>
                <w:sz w:val="20"/>
                <w:szCs w:val="20"/>
                <w:color w:val="auto"/>
              </w:rPr>
            </w:pPr>
            <w:r>
              <w:rPr>
                <w:rFonts w:ascii="Arial" w:cs="Arial" w:eastAsia="Arial" w:hAnsi="Arial"/>
                <w:sz w:val="10"/>
                <w:szCs w:val="10"/>
                <w:b w:val="1"/>
                <w:bCs w:val="1"/>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781165" cy="4792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ectPr>
          <w:pgSz w:w="11900" w:h="16840" w:orient="portrait"/>
          <w:cols w:equalWidth="0" w:num="1">
            <w:col w:w="9820"/>
          </w:cols>
          <w:pgMar w:left="640" w:top="571" w:right="1440" w:bottom="1440" w:gutter="0" w:footer="0" w:header="0"/>
        </w:sectPr>
      </w:pPr>
    </w:p>
    <w:bookmarkStart w:id="140" w:name="page141"/>
    <w:bookmarkEnd w:id="140"/>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4"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600"/>
        <w:spacing w:after="0" w:line="202" w:lineRule="auto"/>
        <w:rPr>
          <w:sz w:val="20"/>
          <w:szCs w:val="20"/>
          <w:color w:val="auto"/>
        </w:rPr>
      </w:pPr>
      <w:r>
        <w:rPr>
          <w:rFonts w:ascii="Arial" w:cs="Arial" w:eastAsia="Arial" w:hAnsi="Arial"/>
          <w:sz w:val="11"/>
          <w:szCs w:val="11"/>
          <w:b w:val="1"/>
          <w:bCs w:val="1"/>
          <w:color w:val="auto"/>
        </w:rPr>
        <w:t xml:space="preserve">Reimbursement Revenue for R&amp;D Services: </w:t>
      </w:r>
      <w:r>
        <w:rPr>
          <w:rFonts w:ascii="Arial" w:cs="Arial" w:eastAsia="Arial" w:hAnsi="Arial"/>
          <w:sz w:val="10"/>
          <w:szCs w:val="10"/>
          <w:color w:val="auto"/>
        </w:rPr>
        <w:t>Genmab’s research collaboration agreements</w:t>
      </w:r>
      <w:r>
        <w:rPr>
          <w:rFonts w:ascii="Arial" w:cs="Arial" w:eastAsia="Arial" w:hAnsi="Arial"/>
          <w:sz w:val="11"/>
          <w:szCs w:val="11"/>
          <w:b w:val="1"/>
          <w:bCs w:val="1"/>
          <w:color w:val="auto"/>
        </w:rPr>
        <w:t xml:space="preserve"> </w:t>
      </w:r>
      <w:r>
        <w:rPr>
          <w:rFonts w:ascii="Arial" w:cs="Arial" w:eastAsia="Arial" w:hAnsi="Arial"/>
          <w:sz w:val="10"/>
          <w:szCs w:val="10"/>
          <w:color w:val="auto"/>
        </w:rPr>
        <w:t>include provisions for reimbursement or cost sharing for R&amp;D services and payment for full time equivalents (“FTEs”) at contractual rates. R&amp;D services are performed and satisfied over time given that the customer simultaneously receives and consumes the benefits provided by Genmab and revenue for research services is recognized over time rather than at a point in time.</w:t>
      </w:r>
    </w:p>
    <w:p>
      <w:pPr>
        <w:spacing w:after="0" w:line="1" w:lineRule="exact"/>
        <w:rPr>
          <w:rFonts w:ascii="Arial" w:cs="Arial" w:eastAsia="Arial" w:hAnsi="Arial"/>
          <w:sz w:val="10"/>
          <w:szCs w:val="10"/>
          <w:color w:val="auto"/>
        </w:rPr>
      </w:pPr>
    </w:p>
    <w:p>
      <w:pPr>
        <w:ind w:right="2440"/>
        <w:spacing w:after="0" w:line="211" w:lineRule="auto"/>
        <w:rPr>
          <w:sz w:val="20"/>
          <w:szCs w:val="20"/>
          <w:color w:val="auto"/>
        </w:rPr>
      </w:pPr>
      <w:r>
        <w:rPr>
          <w:rFonts w:ascii="Arial" w:cs="Arial" w:eastAsia="Arial" w:hAnsi="Arial"/>
          <w:sz w:val="11"/>
          <w:szCs w:val="11"/>
          <w:b w:val="1"/>
          <w:bCs w:val="1"/>
          <w:color w:val="auto"/>
        </w:rPr>
        <w:t xml:space="preserve">Milestone Revenue: </w:t>
      </w:r>
      <w:r>
        <w:rPr>
          <w:rFonts w:ascii="Arial" w:cs="Arial" w:eastAsia="Arial" w:hAnsi="Arial"/>
          <w:sz w:val="10"/>
          <w:szCs w:val="10"/>
          <w:color w:val="auto"/>
        </w:rPr>
        <w:t>Certain of Genmab’s license and collaboration agreements include development,</w:t>
      </w:r>
      <w:r>
        <w:rPr>
          <w:rFonts w:ascii="Arial" w:cs="Arial" w:eastAsia="Arial" w:hAnsi="Arial"/>
          <w:sz w:val="11"/>
          <w:szCs w:val="11"/>
          <w:b w:val="1"/>
          <w:bCs w:val="1"/>
          <w:color w:val="auto"/>
        </w:rPr>
        <w:t xml:space="preserve"> </w:t>
      </w:r>
      <w:r>
        <w:rPr>
          <w:rFonts w:ascii="Arial" w:cs="Arial" w:eastAsia="Arial" w:hAnsi="Arial"/>
          <w:sz w:val="10"/>
          <w:szCs w:val="10"/>
          <w:color w:val="auto"/>
        </w:rPr>
        <w:t>regulatory and commercial milestone payments based on the level of sales. At the inception of each arrangement that includes milestone payments, Genmab evaluates whether the achievement of milestones is considered highly probable and estimates the amount to be included in the transaction price using the most likely amount method. If it is highly probable that a significant revenue reversal would not occur, the associated milestone value is included in the transaction price. Milestone payments that are not within the control of Genmab or the license and collaboration partner, such as regulatory approvals, are not considered probable of being achieved until those approvals are received. The transaction price is then allocated to each performance obligation on a relative stand- alone selling price basis, for which Genmab recognizes revenue as or when the performance obligations under the contract are satisfied. At the end of each subsequent reporting period, Genmab re-evaluates the probability of achievement of such development milestones and commercial milestones and any related constraint, and if necessary, adjusts its estimate of the overall transaction price. Any such adjustments are recorded on a cumulative catch-up basis, which would affect revenue and earnings in the period of adjustment. Under all of Genmab’s existing license and collaboration agreements, milestone payments have been allocated to the license transfer performance obligation.</w:t>
      </w:r>
    </w:p>
    <w:p>
      <w:pPr>
        <w:spacing w:after="0" w:line="5" w:lineRule="exact"/>
        <w:rPr>
          <w:rFonts w:ascii="Arial" w:cs="Arial" w:eastAsia="Arial" w:hAnsi="Arial"/>
          <w:sz w:val="10"/>
          <w:szCs w:val="10"/>
          <w:color w:val="auto"/>
        </w:rPr>
      </w:pPr>
    </w:p>
    <w:p>
      <w:pPr>
        <w:ind w:right="2620"/>
        <w:spacing w:after="0" w:line="203" w:lineRule="auto"/>
        <w:rPr>
          <w:sz w:val="20"/>
          <w:szCs w:val="20"/>
          <w:color w:val="auto"/>
        </w:rPr>
      </w:pPr>
      <w:r>
        <w:rPr>
          <w:rFonts w:ascii="Arial" w:cs="Arial" w:eastAsia="Arial" w:hAnsi="Arial"/>
          <w:sz w:val="11"/>
          <w:szCs w:val="11"/>
          <w:b w:val="1"/>
          <w:bCs w:val="1"/>
          <w:color w:val="auto"/>
        </w:rPr>
        <w:t xml:space="preserve">Collaboration Revenue: </w:t>
      </w:r>
      <w:r>
        <w:rPr>
          <w:rFonts w:ascii="Arial" w:cs="Arial" w:eastAsia="Arial" w:hAnsi="Arial"/>
          <w:sz w:val="10"/>
          <w:szCs w:val="10"/>
          <w:color w:val="auto"/>
        </w:rPr>
        <w:t>Collaboration revenue includes the result of profit sharing arrangements for</w:t>
      </w:r>
      <w:r>
        <w:rPr>
          <w:rFonts w:ascii="Arial" w:cs="Arial" w:eastAsia="Arial" w:hAnsi="Arial"/>
          <w:sz w:val="11"/>
          <w:szCs w:val="11"/>
          <w:b w:val="1"/>
          <w:bCs w:val="1"/>
          <w:color w:val="auto"/>
        </w:rPr>
        <w:t xml:space="preserve"> </w:t>
      </w:r>
      <w:r>
        <w:rPr>
          <w:rFonts w:ascii="Arial" w:cs="Arial" w:eastAsia="Arial" w:hAnsi="Arial"/>
          <w:sz w:val="10"/>
          <w:szCs w:val="10"/>
          <w:color w:val="auto"/>
        </w:rPr>
        <w:t>the sale of commercial products by our collaboration partners. When Genmab’s collaboration partner is determined to be the principal in sales to end customers, Genmab’s share of profits for the sale of commercial products is included in collaboration revenue.</w:t>
      </w:r>
    </w:p>
    <w:p>
      <w:pPr>
        <w:spacing w:after="0" w:line="1" w:lineRule="exact"/>
        <w:rPr>
          <w:rFonts w:ascii="Arial" w:cs="Arial" w:eastAsia="Arial" w:hAnsi="Arial"/>
          <w:sz w:val="10"/>
          <w:szCs w:val="10"/>
          <w:color w:val="auto"/>
        </w:rPr>
      </w:pPr>
    </w:p>
    <w:p>
      <w:pPr>
        <w:ind w:right="2460"/>
        <w:spacing w:after="0" w:line="200" w:lineRule="auto"/>
        <w:rPr>
          <w:sz w:val="20"/>
          <w:szCs w:val="20"/>
          <w:color w:val="auto"/>
        </w:rPr>
      </w:pPr>
      <w:r>
        <w:rPr>
          <w:rFonts w:ascii="Arial" w:cs="Arial" w:eastAsia="Arial" w:hAnsi="Arial"/>
          <w:sz w:val="11"/>
          <w:szCs w:val="11"/>
          <w:b w:val="1"/>
          <w:bCs w:val="1"/>
          <w:color w:val="auto"/>
        </w:rPr>
        <w:t xml:space="preserve">License Revenue for Intellectual Property: </w:t>
      </w:r>
      <w:r>
        <w:rPr>
          <w:rFonts w:ascii="Arial" w:cs="Arial" w:eastAsia="Arial" w:hAnsi="Arial"/>
          <w:sz w:val="10"/>
          <w:szCs w:val="10"/>
          <w:color w:val="auto"/>
        </w:rPr>
        <w:t>If the license to Genmab’s functional intellectual</w:t>
      </w:r>
      <w:r>
        <w:rPr>
          <w:rFonts w:ascii="Arial" w:cs="Arial" w:eastAsia="Arial" w:hAnsi="Arial"/>
          <w:sz w:val="11"/>
          <w:szCs w:val="11"/>
          <w:b w:val="1"/>
          <w:bCs w:val="1"/>
          <w:color w:val="auto"/>
        </w:rPr>
        <w:t xml:space="preserve"> </w:t>
      </w:r>
      <w:r>
        <w:rPr>
          <w:rFonts w:ascii="Arial" w:cs="Arial" w:eastAsia="Arial" w:hAnsi="Arial"/>
          <w:sz w:val="10"/>
          <w:szCs w:val="10"/>
          <w:color w:val="auto"/>
        </w:rPr>
        <w:t>property is determined to be distinct from the other performance obligations identified in the arrangement, Genmab recognizes revenues from non-refundable upfront fees allocated to the license at the point in time the license is transferred to the licensee and the licensee is able to use and benefit from the license. For licenses that are bundled with other promises, Genmab utilizes judgement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Under all of Genmab’s existing license and collaboration agreements the license to functional intellectual property has been determined to be distinct from other performance obligations identified in the agreement.</w:t>
      </w:r>
    </w:p>
    <w:p>
      <w:pPr>
        <w:spacing w:after="0" w:line="2" w:lineRule="exact"/>
        <w:rPr>
          <w:rFonts w:ascii="Arial" w:cs="Arial" w:eastAsia="Arial" w:hAnsi="Arial"/>
          <w:sz w:val="10"/>
          <w:szCs w:val="10"/>
          <w:color w:val="auto"/>
        </w:rPr>
      </w:pPr>
    </w:p>
    <w:p>
      <w:pPr>
        <w:ind w:right="2820"/>
        <w:spacing w:after="0" w:line="198" w:lineRule="auto"/>
        <w:rPr>
          <w:rFonts w:ascii="Arial" w:cs="Arial" w:eastAsia="Arial" w:hAnsi="Arial"/>
          <w:sz w:val="10"/>
          <w:szCs w:val="10"/>
          <w:color w:val="691A6B"/>
        </w:rPr>
      </w:pPr>
      <w:hyperlink w:anchor="page158">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5.6 </w:t>
      </w:r>
      <w:hyperlink w:anchor="page158">
        <w:r>
          <w:rPr>
            <w:rFonts w:ascii="Arial" w:cs="Arial" w:eastAsia="Arial" w:hAnsi="Arial"/>
            <w:sz w:val="10"/>
            <w:szCs w:val="10"/>
            <w:color w:val="691A6B"/>
          </w:rPr>
          <w:t>for detailed information regarding Genmab’s significant Research Collaborations,</w:t>
        </w:r>
      </w:hyperlink>
      <w:r>
        <w:rPr>
          <w:rFonts w:ascii="Arial" w:cs="Arial" w:eastAsia="Arial" w:hAnsi="Arial"/>
          <w:sz w:val="10"/>
          <w:szCs w:val="10"/>
          <w:color w:val="691A6B"/>
        </w:rPr>
        <w:t xml:space="preserve"> </w:t>
      </w:r>
      <w:hyperlink w:anchor="page158">
        <w:r>
          <w:rPr>
            <w:rFonts w:ascii="Arial" w:cs="Arial" w:eastAsia="Arial" w:hAnsi="Arial"/>
            <w:sz w:val="10"/>
            <w:szCs w:val="10"/>
            <w:color w:val="691A6B"/>
          </w:rPr>
          <w:t>License Agreements and Collaborative Agreements.</w:t>
        </w:r>
      </w:hyperlink>
    </w:p>
    <w:p>
      <w:pPr>
        <w:spacing w:after="0" w:line="209" w:lineRule="auto"/>
        <w:rPr>
          <w:rFonts w:ascii="Arial" w:cs="Arial" w:eastAsia="Arial" w:hAnsi="Arial"/>
          <w:sz w:val="10"/>
          <w:szCs w:val="10"/>
          <w:color w:val="691A6B"/>
        </w:rPr>
      </w:pPr>
      <w:hyperlink w:anchor="page139">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1.3 </w:t>
      </w:r>
      <w:hyperlink w:anchor="page139">
        <w:r>
          <w:rPr>
            <w:rFonts w:ascii="Arial" w:cs="Arial" w:eastAsia="Arial" w:hAnsi="Arial"/>
            <w:sz w:val="10"/>
            <w:szCs w:val="10"/>
            <w:color w:val="691A6B"/>
          </w:rPr>
          <w:t>for Management’s judgements and estimates related to revenue recognition.</w:t>
        </w:r>
      </w:hyperlink>
    </w:p>
    <w:p>
      <w:pPr>
        <w:spacing w:after="0" w:line="205" w:lineRule="auto"/>
        <w:rPr>
          <w:sz w:val="20"/>
          <w:szCs w:val="20"/>
          <w:color w:val="auto"/>
        </w:rPr>
      </w:pPr>
      <w:r>
        <w:rPr>
          <w:rFonts w:ascii="Arial" w:cs="Arial" w:eastAsia="Arial" w:hAnsi="Arial"/>
          <w:sz w:val="15"/>
          <w:szCs w:val="15"/>
          <w:b w:val="1"/>
          <w:bCs w:val="1"/>
          <w:color w:val="691A6B"/>
        </w:rPr>
        <w:t>2.2 - Information about Geographical Areas</w:t>
      </w:r>
    </w:p>
    <w:p>
      <w:pPr>
        <w:spacing w:after="0" w:line="1" w:lineRule="exact"/>
        <w:rPr>
          <w:sz w:val="20"/>
          <w:szCs w:val="20"/>
          <w:color w:val="auto"/>
        </w:rPr>
      </w:pPr>
    </w:p>
    <w:p>
      <w:pPr>
        <w:ind w:right="2460"/>
        <w:spacing w:after="0" w:line="198" w:lineRule="auto"/>
        <w:rPr>
          <w:sz w:val="20"/>
          <w:szCs w:val="20"/>
          <w:color w:val="auto"/>
        </w:rPr>
      </w:pPr>
      <w:r>
        <w:rPr>
          <w:rFonts w:ascii="Arial" w:cs="Arial" w:eastAsia="Arial" w:hAnsi="Arial"/>
          <w:sz w:val="10"/>
          <w:szCs w:val="10"/>
          <w:color w:val="auto"/>
        </w:rPr>
        <w:t>Genmab is managed and operated as one business unit, which is reflected in the organizational structure and internal reporting. No separate lines of business or separate business entities have been identified with respect to any licensed products, marketed products, product candidates or geographical markets and no segment information is currently prepared for internal reporting.</w:t>
      </w:r>
    </w:p>
    <w:p>
      <w:pPr>
        <w:spacing w:after="0" w:line="1" w:lineRule="exact"/>
        <w:rPr>
          <w:sz w:val="20"/>
          <w:szCs w:val="20"/>
          <w:color w:val="auto"/>
        </w:rPr>
      </w:pPr>
    </w:p>
    <w:p>
      <w:pPr>
        <w:ind w:right="2660"/>
        <w:spacing w:after="0" w:line="204" w:lineRule="auto"/>
        <w:rPr>
          <w:sz w:val="20"/>
          <w:szCs w:val="20"/>
          <w:color w:val="auto"/>
        </w:rPr>
      </w:pPr>
      <w:r>
        <w:rPr>
          <w:rFonts w:ascii="Arial" w:cs="Arial" w:eastAsia="Arial" w:hAnsi="Arial"/>
          <w:sz w:val="10"/>
          <w:szCs w:val="10"/>
          <w:color w:val="auto"/>
        </w:rPr>
        <w:t>Accordingly, it has been concluded that it is not relevant to include segment disclosures in the financial statements as Genmab’s business activities are not organized on the basis of differences in related product and geographical areas.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820" w:type="dxa"/>
            <w:vAlign w:val="bottom"/>
            <w:tcBorders>
              <w:top w:val="single" w:sz="8" w:color="691A6B"/>
            </w:tcBorders>
          </w:tcPr>
          <w:p>
            <w:pPr>
              <w:spacing w:after="0"/>
              <w:rPr>
                <w:sz w:val="8"/>
                <w:szCs w:val="8"/>
                <w:color w:val="auto"/>
              </w:rPr>
            </w:pPr>
          </w:p>
        </w:tc>
        <w:tc>
          <w:tcPr>
            <w:tcW w:w="800" w:type="dxa"/>
            <w:vAlign w:val="bottom"/>
            <w:tcBorders>
              <w:top w:val="single" w:sz="8" w:color="691A6B"/>
            </w:tcBorders>
          </w:tcPr>
          <w:p>
            <w:pPr>
              <w:ind w:left="180"/>
              <w:spacing w:after="0" w:line="95" w:lineRule="exact"/>
              <w:rPr>
                <w:sz w:val="20"/>
                <w:szCs w:val="20"/>
                <w:color w:val="auto"/>
              </w:rPr>
            </w:pPr>
            <w:r>
              <w:rPr>
                <w:rFonts w:ascii="Arial" w:cs="Arial" w:eastAsia="Arial" w:hAnsi="Arial"/>
                <w:sz w:val="10"/>
                <w:szCs w:val="10"/>
                <w:b w:val="1"/>
                <w:bCs w:val="1"/>
                <w:color w:val="691A6B"/>
              </w:rPr>
              <w:t>Revenue</w:t>
            </w:r>
          </w:p>
        </w:tc>
        <w:tc>
          <w:tcPr>
            <w:tcW w:w="6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691A6B"/>
              </w:rPr>
              <w:t>Non-current</w:t>
            </w:r>
          </w:p>
        </w:tc>
        <w:tc>
          <w:tcPr>
            <w:tcW w:w="6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Revenue</w:t>
            </w:r>
          </w:p>
        </w:tc>
        <w:tc>
          <w:tcPr>
            <w:tcW w:w="64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Non-current</w:t>
            </w:r>
          </w:p>
        </w:tc>
        <w:tc>
          <w:tcPr>
            <w:tcW w:w="660" w:type="dxa"/>
            <w:vAlign w:val="bottom"/>
            <w:tcBorders>
              <w:top w:val="single" w:sz="8" w:color="691A6B"/>
            </w:tcBorders>
          </w:tcPr>
          <w:p>
            <w:pPr>
              <w:ind w:left="60"/>
              <w:spacing w:after="0" w:line="95" w:lineRule="exact"/>
              <w:rPr>
                <w:sz w:val="20"/>
                <w:szCs w:val="20"/>
                <w:color w:val="auto"/>
              </w:rPr>
            </w:pPr>
            <w:r>
              <w:rPr>
                <w:rFonts w:ascii="Arial" w:cs="Arial" w:eastAsia="Arial" w:hAnsi="Arial"/>
                <w:sz w:val="10"/>
                <w:szCs w:val="10"/>
                <w:b w:val="1"/>
                <w:bCs w:val="1"/>
                <w:color w:val="auto"/>
              </w:rPr>
              <w:t>Revenue</w:t>
            </w:r>
          </w:p>
        </w:tc>
        <w:tc>
          <w:tcPr>
            <w:tcW w:w="70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Non-current</w:t>
            </w:r>
          </w:p>
        </w:tc>
      </w:tr>
      <w:tr>
        <w:trPr>
          <w:trHeight w:val="128"/>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691A6B"/>
              </w:rPr>
              <w:t>assets</w:t>
            </w:r>
          </w:p>
        </w:tc>
        <w:tc>
          <w:tcPr>
            <w:tcW w:w="66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assets</w:t>
            </w:r>
          </w:p>
        </w:tc>
        <w:tc>
          <w:tcPr>
            <w:tcW w:w="66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10"/>
                <w:szCs w:val="10"/>
                <w:b w:val="1"/>
                <w:bCs w:val="1"/>
                <w:color w:val="auto"/>
              </w:rPr>
              <w:t>assets</w:t>
            </w:r>
          </w:p>
        </w:tc>
      </w:tr>
      <w:tr>
        <w:trPr>
          <w:trHeight w:val="152"/>
        </w:trPr>
        <w:tc>
          <w:tcPr>
            <w:tcW w:w="82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0"/>
                <w:szCs w:val="10"/>
                <w:b w:val="1"/>
                <w:bCs w:val="1"/>
                <w:color w:val="691A6B"/>
              </w:rPr>
              <w:t>2025</w:t>
            </w:r>
          </w:p>
        </w:tc>
        <w:tc>
          <w:tcPr>
            <w:tcW w:w="6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2023</w:t>
            </w:r>
          </w:p>
        </w:tc>
        <w:tc>
          <w:tcPr>
            <w:tcW w:w="700" w:type="dxa"/>
            <w:vAlign w:val="bottom"/>
          </w:tcPr>
          <w:p>
            <w:pPr>
              <w:spacing w:after="0"/>
              <w:rPr>
                <w:sz w:val="13"/>
                <w:szCs w:val="13"/>
                <w:color w:val="auto"/>
              </w:rPr>
            </w:pPr>
          </w:p>
        </w:tc>
      </w:tr>
      <w:tr>
        <w:trPr>
          <w:trHeight w:val="141"/>
        </w:trPr>
        <w:tc>
          <w:tcPr>
            <w:tcW w:w="820" w:type="dxa"/>
            <w:vAlign w:val="bottom"/>
          </w:tcPr>
          <w:p>
            <w:pPr>
              <w:ind w:left="20"/>
              <w:spacing w:after="0"/>
              <w:rPr>
                <w:sz w:val="20"/>
                <w:szCs w:val="20"/>
                <w:color w:val="auto"/>
              </w:rPr>
            </w:pPr>
            <w:r>
              <w:rPr>
                <w:rFonts w:ascii="Arial" w:cs="Arial" w:eastAsia="Arial" w:hAnsi="Arial"/>
                <w:sz w:val="10"/>
                <w:szCs w:val="10"/>
                <w:color w:val="auto"/>
              </w:rPr>
              <w:t>Denmark</w:t>
            </w:r>
          </w:p>
        </w:tc>
        <w:tc>
          <w:tcPr>
            <w:tcW w:w="800" w:type="dxa"/>
            <w:vAlign w:val="bottom"/>
          </w:tcPr>
          <w:p>
            <w:pPr>
              <w:jc w:val="right"/>
              <w:spacing w:after="0"/>
              <w:rPr>
                <w:sz w:val="20"/>
                <w:szCs w:val="20"/>
                <w:color w:val="auto"/>
              </w:rPr>
            </w:pPr>
            <w:r>
              <w:rPr>
                <w:rFonts w:ascii="Arial" w:cs="Arial" w:eastAsia="Arial" w:hAnsi="Arial"/>
                <w:sz w:val="10"/>
                <w:szCs w:val="10"/>
                <w:color w:val="691A6B"/>
              </w:rPr>
              <w:t>3,326</w:t>
            </w:r>
          </w:p>
        </w:tc>
        <w:tc>
          <w:tcPr>
            <w:tcW w:w="660" w:type="dxa"/>
            <w:vAlign w:val="bottom"/>
          </w:tcPr>
          <w:p>
            <w:pPr>
              <w:jc w:val="right"/>
              <w:ind w:right="9"/>
              <w:spacing w:after="0"/>
              <w:rPr>
                <w:sz w:val="20"/>
                <w:szCs w:val="20"/>
                <w:color w:val="auto"/>
              </w:rPr>
            </w:pPr>
            <w:r>
              <w:rPr>
                <w:rFonts w:ascii="Arial" w:cs="Arial" w:eastAsia="Arial" w:hAnsi="Arial"/>
                <w:sz w:val="10"/>
                <w:szCs w:val="10"/>
                <w:color w:val="691A6B"/>
              </w:rPr>
              <w:t>1,791</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2,868</w:t>
            </w:r>
          </w:p>
        </w:tc>
        <w:tc>
          <w:tcPr>
            <w:tcW w:w="640" w:type="dxa"/>
            <w:vAlign w:val="bottom"/>
          </w:tcPr>
          <w:p>
            <w:pPr>
              <w:jc w:val="right"/>
              <w:spacing w:after="0"/>
              <w:rPr>
                <w:sz w:val="20"/>
                <w:szCs w:val="20"/>
                <w:color w:val="auto"/>
              </w:rPr>
            </w:pPr>
            <w:r>
              <w:rPr>
                <w:rFonts w:ascii="Arial" w:cs="Arial" w:eastAsia="Arial" w:hAnsi="Arial"/>
                <w:sz w:val="10"/>
                <w:szCs w:val="10"/>
                <w:color w:val="auto"/>
              </w:rPr>
              <w:t>1,779</w:t>
            </w:r>
          </w:p>
        </w:tc>
        <w:tc>
          <w:tcPr>
            <w:tcW w:w="660" w:type="dxa"/>
            <w:vAlign w:val="bottom"/>
          </w:tcPr>
          <w:p>
            <w:pPr>
              <w:jc w:val="right"/>
              <w:spacing w:after="0"/>
              <w:rPr>
                <w:sz w:val="20"/>
                <w:szCs w:val="20"/>
                <w:color w:val="auto"/>
              </w:rPr>
            </w:pPr>
            <w:r>
              <w:rPr>
                <w:rFonts w:ascii="Arial" w:cs="Arial" w:eastAsia="Arial" w:hAnsi="Arial"/>
                <w:sz w:val="10"/>
                <w:szCs w:val="10"/>
                <w:color w:val="auto"/>
              </w:rPr>
              <w:t>2,329</w:t>
            </w:r>
          </w:p>
        </w:tc>
        <w:tc>
          <w:tcPr>
            <w:tcW w:w="700" w:type="dxa"/>
            <w:vAlign w:val="bottom"/>
          </w:tcPr>
          <w:p>
            <w:pPr>
              <w:jc w:val="right"/>
              <w:ind w:right="29"/>
              <w:spacing w:after="0"/>
              <w:rPr>
                <w:sz w:val="20"/>
                <w:szCs w:val="20"/>
                <w:color w:val="auto"/>
              </w:rPr>
            </w:pPr>
            <w:r>
              <w:rPr>
                <w:rFonts w:ascii="Arial" w:cs="Arial" w:eastAsia="Arial" w:hAnsi="Arial"/>
                <w:sz w:val="10"/>
                <w:szCs w:val="10"/>
                <w:color w:val="auto"/>
              </w:rPr>
              <w:t>75</w:t>
            </w:r>
          </w:p>
        </w:tc>
      </w:tr>
      <w:tr>
        <w:trPr>
          <w:trHeight w:val="152"/>
        </w:trPr>
        <w:tc>
          <w:tcPr>
            <w:tcW w:w="820" w:type="dxa"/>
            <w:vAlign w:val="bottom"/>
          </w:tcPr>
          <w:p>
            <w:pPr>
              <w:ind w:left="20"/>
              <w:spacing w:after="0"/>
              <w:rPr>
                <w:sz w:val="20"/>
                <w:szCs w:val="20"/>
                <w:color w:val="auto"/>
              </w:rPr>
            </w:pPr>
            <w:r>
              <w:rPr>
                <w:rFonts w:ascii="Arial" w:cs="Arial" w:eastAsia="Arial" w:hAnsi="Arial"/>
                <w:sz w:val="10"/>
                <w:szCs w:val="10"/>
                <w:color w:val="auto"/>
              </w:rPr>
              <w:t>Netherlands</w:t>
            </w:r>
          </w:p>
        </w:tc>
        <w:tc>
          <w:tcPr>
            <w:tcW w:w="800" w:type="dxa"/>
            <w:vAlign w:val="bottom"/>
          </w:tcPr>
          <w:p>
            <w:pPr>
              <w:jc w:val="right"/>
              <w:ind w:right="9"/>
              <w:spacing w:after="0"/>
              <w:rPr>
                <w:sz w:val="20"/>
                <w:szCs w:val="20"/>
                <w:color w:val="auto"/>
              </w:rPr>
            </w:pPr>
            <w:r>
              <w:rPr>
                <w:rFonts w:ascii="Arial" w:cs="Arial" w:eastAsia="Arial" w:hAnsi="Arial"/>
                <w:sz w:val="10"/>
                <w:szCs w:val="10"/>
                <w:color w:val="691A6B"/>
              </w:rPr>
              <w:t>1</w:t>
            </w:r>
          </w:p>
        </w:tc>
        <w:tc>
          <w:tcPr>
            <w:tcW w:w="660" w:type="dxa"/>
            <w:vAlign w:val="bottom"/>
          </w:tcPr>
          <w:p>
            <w:pPr>
              <w:jc w:val="right"/>
              <w:ind w:right="9"/>
              <w:spacing w:after="0"/>
              <w:rPr>
                <w:sz w:val="20"/>
                <w:szCs w:val="20"/>
                <w:color w:val="auto"/>
              </w:rPr>
            </w:pPr>
            <w:r>
              <w:rPr>
                <w:rFonts w:ascii="Arial" w:cs="Arial" w:eastAsia="Arial" w:hAnsi="Arial"/>
                <w:sz w:val="10"/>
                <w:szCs w:val="10"/>
                <w:color w:val="691A6B"/>
              </w:rPr>
              <w:t>7,512</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108</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29"/>
              <w:spacing w:after="0"/>
              <w:rPr>
                <w:sz w:val="20"/>
                <w:szCs w:val="20"/>
                <w:color w:val="auto"/>
              </w:rPr>
            </w:pPr>
            <w:r>
              <w:rPr>
                <w:rFonts w:ascii="Arial" w:cs="Arial" w:eastAsia="Arial" w:hAnsi="Arial"/>
                <w:sz w:val="10"/>
                <w:szCs w:val="10"/>
                <w:color w:val="auto"/>
              </w:rPr>
              <w:t>130</w:t>
            </w:r>
          </w:p>
        </w:tc>
      </w:tr>
      <w:tr>
        <w:trPr>
          <w:trHeight w:val="152"/>
        </w:trPr>
        <w:tc>
          <w:tcPr>
            <w:tcW w:w="820" w:type="dxa"/>
            <w:vAlign w:val="bottom"/>
          </w:tcPr>
          <w:p>
            <w:pPr>
              <w:ind w:left="20"/>
              <w:spacing w:after="0"/>
              <w:rPr>
                <w:sz w:val="20"/>
                <w:szCs w:val="20"/>
                <w:color w:val="auto"/>
              </w:rPr>
            </w:pPr>
            <w:r>
              <w:rPr>
                <w:rFonts w:ascii="Arial" w:cs="Arial" w:eastAsia="Arial" w:hAnsi="Arial"/>
                <w:sz w:val="10"/>
                <w:szCs w:val="10"/>
                <w:color w:val="auto"/>
              </w:rPr>
              <w:t>United States</w:t>
            </w:r>
          </w:p>
        </w:tc>
        <w:tc>
          <w:tcPr>
            <w:tcW w:w="800" w:type="dxa"/>
            <w:vAlign w:val="bottom"/>
          </w:tcPr>
          <w:p>
            <w:pPr>
              <w:jc w:val="right"/>
              <w:ind w:right="9"/>
              <w:spacing w:after="0"/>
              <w:rPr>
                <w:sz w:val="20"/>
                <w:szCs w:val="20"/>
                <w:color w:val="auto"/>
              </w:rPr>
            </w:pPr>
            <w:r>
              <w:rPr>
                <w:rFonts w:ascii="Arial" w:cs="Arial" w:eastAsia="Arial" w:hAnsi="Arial"/>
                <w:sz w:val="10"/>
                <w:szCs w:val="10"/>
                <w:color w:val="691A6B"/>
              </w:rPr>
              <w:t>180</w:t>
            </w:r>
          </w:p>
        </w:tc>
        <w:tc>
          <w:tcPr>
            <w:tcW w:w="660" w:type="dxa"/>
            <w:vAlign w:val="bottom"/>
          </w:tcPr>
          <w:p>
            <w:pPr>
              <w:jc w:val="right"/>
              <w:ind w:right="9"/>
              <w:spacing w:after="0"/>
              <w:rPr>
                <w:sz w:val="20"/>
                <w:szCs w:val="20"/>
                <w:color w:val="auto"/>
              </w:rPr>
            </w:pPr>
            <w:r>
              <w:rPr>
                <w:rFonts w:ascii="Arial" w:cs="Arial" w:eastAsia="Arial" w:hAnsi="Arial"/>
                <w:sz w:val="10"/>
                <w:szCs w:val="10"/>
                <w:color w:val="691A6B"/>
              </w:rPr>
              <w:t>459</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131</w:t>
            </w:r>
          </w:p>
        </w:tc>
        <w:tc>
          <w:tcPr>
            <w:tcW w:w="640" w:type="dxa"/>
            <w:vAlign w:val="bottom"/>
          </w:tcPr>
          <w:p>
            <w:pPr>
              <w:jc w:val="right"/>
              <w:spacing w:after="0"/>
              <w:rPr>
                <w:sz w:val="20"/>
                <w:szCs w:val="20"/>
                <w:color w:val="auto"/>
              </w:rPr>
            </w:pPr>
            <w:r>
              <w:rPr>
                <w:rFonts w:ascii="Arial" w:cs="Arial" w:eastAsia="Arial" w:hAnsi="Arial"/>
                <w:sz w:val="10"/>
                <w:szCs w:val="10"/>
                <w:color w:val="auto"/>
              </w:rPr>
              <w:t>447</w:t>
            </w:r>
          </w:p>
        </w:tc>
        <w:tc>
          <w:tcPr>
            <w:tcW w:w="660" w:type="dxa"/>
            <w:vAlign w:val="bottom"/>
          </w:tcPr>
          <w:p>
            <w:pPr>
              <w:jc w:val="right"/>
              <w:spacing w:after="0"/>
              <w:rPr>
                <w:sz w:val="20"/>
                <w:szCs w:val="20"/>
                <w:color w:val="auto"/>
              </w:rPr>
            </w:pPr>
            <w:r>
              <w:rPr>
                <w:rFonts w:ascii="Arial" w:cs="Arial" w:eastAsia="Arial" w:hAnsi="Arial"/>
                <w:sz w:val="10"/>
                <w:szCs w:val="10"/>
                <w:color w:val="auto"/>
              </w:rPr>
              <w:t>55</w:t>
            </w:r>
          </w:p>
        </w:tc>
        <w:tc>
          <w:tcPr>
            <w:tcW w:w="700" w:type="dxa"/>
            <w:vAlign w:val="bottom"/>
          </w:tcPr>
          <w:p>
            <w:pPr>
              <w:jc w:val="right"/>
              <w:ind w:right="29"/>
              <w:spacing w:after="0"/>
              <w:rPr>
                <w:sz w:val="20"/>
                <w:szCs w:val="20"/>
                <w:color w:val="auto"/>
              </w:rPr>
            </w:pPr>
            <w:r>
              <w:rPr>
                <w:rFonts w:ascii="Arial" w:cs="Arial" w:eastAsia="Arial" w:hAnsi="Arial"/>
                <w:sz w:val="10"/>
                <w:szCs w:val="10"/>
                <w:color w:val="auto"/>
              </w:rPr>
              <w:t>56</w:t>
            </w:r>
          </w:p>
        </w:tc>
      </w:tr>
      <w:tr>
        <w:trPr>
          <w:trHeight w:val="152"/>
        </w:trPr>
        <w:tc>
          <w:tcPr>
            <w:tcW w:w="820" w:type="dxa"/>
            <w:vAlign w:val="bottom"/>
          </w:tcPr>
          <w:p>
            <w:pPr>
              <w:ind w:left="20"/>
              <w:spacing w:after="0"/>
              <w:rPr>
                <w:sz w:val="20"/>
                <w:szCs w:val="20"/>
                <w:color w:val="auto"/>
              </w:rPr>
            </w:pPr>
            <w:r>
              <w:rPr>
                <w:rFonts w:ascii="Arial" w:cs="Arial" w:eastAsia="Arial" w:hAnsi="Arial"/>
                <w:sz w:val="10"/>
                <w:szCs w:val="10"/>
                <w:color w:val="auto"/>
              </w:rPr>
              <w:t>Japan</w:t>
            </w:r>
          </w:p>
        </w:tc>
        <w:tc>
          <w:tcPr>
            <w:tcW w:w="800" w:type="dxa"/>
            <w:vAlign w:val="bottom"/>
          </w:tcPr>
          <w:p>
            <w:pPr>
              <w:jc w:val="right"/>
              <w:ind w:right="9"/>
              <w:spacing w:after="0"/>
              <w:rPr>
                <w:sz w:val="20"/>
                <w:szCs w:val="20"/>
                <w:color w:val="auto"/>
              </w:rPr>
            </w:pPr>
            <w:r>
              <w:rPr>
                <w:rFonts w:ascii="Arial" w:cs="Arial" w:eastAsia="Arial" w:hAnsi="Arial"/>
                <w:sz w:val="10"/>
                <w:szCs w:val="10"/>
                <w:color w:val="691A6B"/>
              </w:rPr>
              <w:t>213</w:t>
            </w:r>
          </w:p>
        </w:tc>
        <w:tc>
          <w:tcPr>
            <w:tcW w:w="660" w:type="dxa"/>
            <w:vAlign w:val="bottom"/>
          </w:tcPr>
          <w:p>
            <w:pPr>
              <w:jc w:val="right"/>
              <w:ind w:right="9"/>
              <w:spacing w:after="0"/>
              <w:rPr>
                <w:sz w:val="20"/>
                <w:szCs w:val="20"/>
                <w:color w:val="auto"/>
              </w:rPr>
            </w:pPr>
            <w:r>
              <w:rPr>
                <w:rFonts w:ascii="Arial" w:cs="Arial" w:eastAsia="Arial" w:hAnsi="Arial"/>
                <w:sz w:val="10"/>
                <w:szCs w:val="10"/>
                <w:color w:val="691A6B"/>
              </w:rPr>
              <w:t>12</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122</w:t>
            </w:r>
          </w:p>
        </w:tc>
        <w:tc>
          <w:tcPr>
            <w:tcW w:w="640" w:type="dxa"/>
            <w:vAlign w:val="bottom"/>
          </w:tcPr>
          <w:p>
            <w:pPr>
              <w:jc w:val="right"/>
              <w:spacing w:after="0"/>
              <w:rPr>
                <w:sz w:val="20"/>
                <w:szCs w:val="20"/>
                <w:color w:val="auto"/>
              </w:rPr>
            </w:pPr>
            <w:r>
              <w:rPr>
                <w:rFonts w:ascii="Arial" w:cs="Arial" w:eastAsia="Arial" w:hAnsi="Arial"/>
                <w:sz w:val="10"/>
                <w:szCs w:val="10"/>
                <w:color w:val="auto"/>
              </w:rPr>
              <w:t>14</w:t>
            </w:r>
          </w:p>
        </w:tc>
        <w:tc>
          <w:tcPr>
            <w:tcW w:w="660" w:type="dxa"/>
            <w:vAlign w:val="bottom"/>
          </w:tcPr>
          <w:p>
            <w:pPr>
              <w:jc w:val="right"/>
              <w:spacing w:after="0"/>
              <w:rPr>
                <w:sz w:val="20"/>
                <w:szCs w:val="20"/>
                <w:color w:val="auto"/>
              </w:rPr>
            </w:pPr>
            <w:r>
              <w:rPr>
                <w:rFonts w:ascii="Arial" w:cs="Arial" w:eastAsia="Arial" w:hAnsi="Arial"/>
                <w:sz w:val="10"/>
                <w:szCs w:val="10"/>
                <w:color w:val="auto"/>
              </w:rPr>
              <w:t>6</w:t>
            </w:r>
          </w:p>
        </w:tc>
        <w:tc>
          <w:tcPr>
            <w:tcW w:w="700" w:type="dxa"/>
            <w:vAlign w:val="bottom"/>
          </w:tcPr>
          <w:p>
            <w:pPr>
              <w:jc w:val="right"/>
              <w:ind w:right="29"/>
              <w:spacing w:after="0"/>
              <w:rPr>
                <w:sz w:val="20"/>
                <w:szCs w:val="20"/>
                <w:color w:val="auto"/>
              </w:rPr>
            </w:pPr>
            <w:r>
              <w:rPr>
                <w:rFonts w:ascii="Arial" w:cs="Arial" w:eastAsia="Arial" w:hAnsi="Arial"/>
                <w:sz w:val="10"/>
                <w:szCs w:val="10"/>
                <w:color w:val="auto"/>
              </w:rPr>
              <w:t>8</w:t>
            </w:r>
          </w:p>
        </w:tc>
      </w:tr>
      <w:tr>
        <w:trPr>
          <w:trHeight w:val="152"/>
        </w:trPr>
        <w:tc>
          <w:tcPr>
            <w:tcW w:w="820" w:type="dxa"/>
            <w:vAlign w:val="bottom"/>
          </w:tcPr>
          <w:p>
            <w:pPr>
              <w:ind w:left="20"/>
              <w:spacing w:after="0"/>
              <w:rPr>
                <w:sz w:val="20"/>
                <w:szCs w:val="20"/>
                <w:color w:val="auto"/>
              </w:rPr>
            </w:pPr>
            <w:r>
              <w:rPr>
                <w:rFonts w:ascii="Arial" w:cs="Arial" w:eastAsia="Arial" w:hAnsi="Arial"/>
                <w:sz w:val="10"/>
                <w:szCs w:val="10"/>
                <w:color w:val="auto"/>
              </w:rPr>
              <w:t>China</w:t>
            </w:r>
          </w:p>
        </w:tc>
        <w:tc>
          <w:tcPr>
            <w:tcW w:w="800" w:type="dxa"/>
            <w:vAlign w:val="bottom"/>
          </w:tcPr>
          <w:p>
            <w:pPr>
              <w:jc w:val="right"/>
              <w:ind w:right="9"/>
              <w:spacing w:after="0"/>
              <w:rPr>
                <w:sz w:val="20"/>
                <w:szCs w:val="20"/>
                <w:color w:val="auto"/>
              </w:rPr>
            </w:pPr>
            <w:r>
              <w:rPr>
                <w:rFonts w:ascii="Arial" w:cs="Arial" w:eastAsia="Arial" w:hAnsi="Arial"/>
                <w:sz w:val="10"/>
                <w:szCs w:val="10"/>
                <w:color w:val="691A6B"/>
              </w:rPr>
              <w:t>—</w:t>
            </w:r>
          </w:p>
        </w:tc>
        <w:tc>
          <w:tcPr>
            <w:tcW w:w="660" w:type="dxa"/>
            <w:vAlign w:val="bottom"/>
          </w:tcPr>
          <w:p>
            <w:pPr>
              <w:jc w:val="right"/>
              <w:ind w:right="9"/>
              <w:spacing w:after="0"/>
              <w:rPr>
                <w:sz w:val="20"/>
                <w:szCs w:val="20"/>
                <w:color w:val="auto"/>
              </w:rPr>
            </w:pPr>
            <w:r>
              <w:rPr>
                <w:rFonts w:ascii="Arial" w:cs="Arial" w:eastAsia="Arial" w:hAnsi="Arial"/>
                <w:sz w:val="10"/>
                <w:szCs w:val="10"/>
                <w:color w:val="691A6B"/>
              </w:rPr>
              <w:t>6</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7</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49"/>
              <w:spacing w:after="0"/>
              <w:rPr>
                <w:sz w:val="20"/>
                <w:szCs w:val="20"/>
                <w:color w:val="auto"/>
              </w:rPr>
            </w:pPr>
            <w:r>
              <w:rPr>
                <w:rFonts w:ascii="Arial" w:cs="Arial" w:eastAsia="Arial" w:hAnsi="Arial"/>
                <w:sz w:val="10"/>
                <w:szCs w:val="10"/>
                <w:color w:val="auto"/>
              </w:rPr>
              <w:t>—</w:t>
            </w:r>
          </w:p>
        </w:tc>
      </w:tr>
      <w:tr>
        <w:trPr>
          <w:trHeight w:val="158"/>
        </w:trPr>
        <w:tc>
          <w:tcPr>
            <w:tcW w:w="82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691A6B"/>
              </w:rPr>
              <w:t>3,720</w:t>
            </w: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691A6B"/>
              </w:rPr>
              <w:t>9,780</w:t>
            </w: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3,121</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2,355</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2,390</w:t>
            </w:r>
          </w:p>
        </w:tc>
        <w:tc>
          <w:tcPr>
            <w:tcW w:w="700" w:type="dxa"/>
            <w:vAlign w:val="bottom"/>
          </w:tcPr>
          <w:p>
            <w:pPr>
              <w:jc w:val="right"/>
              <w:ind w:right="29"/>
              <w:spacing w:after="0"/>
              <w:rPr>
                <w:sz w:val="20"/>
                <w:szCs w:val="20"/>
                <w:color w:val="auto"/>
              </w:rPr>
            </w:pPr>
            <w:r>
              <w:rPr>
                <w:rFonts w:ascii="Arial" w:cs="Arial" w:eastAsia="Arial" w:hAnsi="Arial"/>
                <w:sz w:val="10"/>
                <w:szCs w:val="10"/>
                <w:b w:val="1"/>
                <w:bCs w:val="1"/>
                <w:color w:val="auto"/>
              </w:rPr>
              <w:t>269</w:t>
            </w:r>
          </w:p>
        </w:tc>
      </w:tr>
    </w:tbl>
    <w:p>
      <w:pPr>
        <w:ind w:right="2520"/>
        <w:spacing w:after="0" w:line="210" w:lineRule="auto"/>
        <w:rPr>
          <w:sz w:val="20"/>
          <w:szCs w:val="20"/>
          <w:color w:val="auto"/>
        </w:rPr>
      </w:pPr>
      <w:r>
        <w:rPr>
          <w:rFonts w:ascii="Arial" w:cs="Arial" w:eastAsia="Arial" w:hAnsi="Arial"/>
          <w:sz w:val="10"/>
          <w:szCs w:val="10"/>
          <w:color w:val="auto"/>
        </w:rPr>
        <w:t>Out of total non-current assets of $9,780 million, $1,728 million relates to intangible assets in Denmark primarily acquired as part of the acquisition of ProfoundBio, $7,394 million relates to intangibles in the Netherlands acquired as a part of the acquisition of Merus N.V. and $355 million relates to Goodwill in the United States acquired through the acquisition of ProfoundBio.</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6" w:lineRule="exact"/>
        <w:rPr>
          <w:sz w:val="20"/>
          <w:szCs w:val="20"/>
          <w:color w:val="auto"/>
        </w:rPr>
      </w:pPr>
    </w:p>
    <w:p>
      <w:pPr>
        <w:ind w:right="2600"/>
        <w:spacing w:after="0" w:line="221" w:lineRule="auto"/>
        <w:rPr>
          <w:sz w:val="20"/>
          <w:szCs w:val="20"/>
          <w:color w:val="auto"/>
        </w:rPr>
      </w:pPr>
      <w:r>
        <w:rPr>
          <w:rFonts w:ascii="Arial" w:cs="Arial" w:eastAsia="Arial" w:hAnsi="Arial"/>
          <w:sz w:val="10"/>
          <w:szCs w:val="10"/>
          <w:color w:val="auto"/>
        </w:rPr>
        <w:t>Geographical information is presented for Genmab’s revenue and non-current assets. Revenue is attributed to countries on the basis of the location of the legal entity holding the contract with the counterparty. Non-current assets comprise intangible assets, goodwill, property and equipment, right-of-use assets, and receivables.</w:t>
      </w:r>
    </w:p>
    <w:p>
      <w:pPr>
        <w:spacing w:after="0" w:line="25"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8" w:lineRule="auto"/>
        <w:rPr>
          <w:sz w:val="20"/>
          <w:szCs w:val="20"/>
          <w:color w:val="auto"/>
        </w:rPr>
      </w:pPr>
      <w:r>
        <w:rPr>
          <w:rFonts w:ascii="Arial" w:cs="Arial" w:eastAsia="Arial" w:hAnsi="Arial"/>
          <w:sz w:val="15"/>
          <w:szCs w:val="15"/>
          <w:b w:val="1"/>
          <w:bCs w:val="1"/>
          <w:color w:val="691A6B"/>
        </w:rPr>
        <w:t>2.3 - Staff Costs</w:t>
      </w: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691A6B"/>
            </w:tcBorders>
          </w:tcPr>
          <w:p>
            <w:pPr>
              <w:ind w:left="2100"/>
              <w:spacing w:after="0"/>
              <w:rPr>
                <w:sz w:val="20"/>
                <w:szCs w:val="20"/>
                <w:color w:val="auto"/>
              </w:rPr>
            </w:pPr>
            <w:r>
              <w:rPr>
                <w:rFonts w:ascii="Arial" w:cs="Arial" w:eastAsia="Arial" w:hAnsi="Arial"/>
                <w:sz w:val="10"/>
                <w:szCs w:val="10"/>
                <w:b w:val="1"/>
                <w:bCs w:val="1"/>
                <w:color w:val="691A6B"/>
              </w:rPr>
              <w:t>2025</w:t>
            </w:r>
          </w:p>
        </w:tc>
        <w:tc>
          <w:tcPr>
            <w:tcW w:w="940" w:type="dxa"/>
            <w:vAlign w:val="bottom"/>
            <w:tcBorders>
              <w:top w:val="single" w:sz="8" w:color="691A6B"/>
            </w:tcBorders>
          </w:tcPr>
          <w:p>
            <w:pPr>
              <w:jc w:val="right"/>
              <w:ind w:right="128"/>
              <w:spacing w:after="0"/>
              <w:rPr>
                <w:sz w:val="20"/>
                <w:szCs w:val="20"/>
                <w:color w:val="auto"/>
              </w:rPr>
            </w:pPr>
            <w:r>
              <w:rPr>
                <w:rFonts w:ascii="Arial" w:cs="Arial" w:eastAsia="Arial" w:hAnsi="Arial"/>
                <w:sz w:val="10"/>
                <w:szCs w:val="10"/>
                <w:b w:val="1"/>
                <w:bCs w:val="1"/>
                <w:color w:val="auto"/>
              </w:rPr>
              <w:t>2024</w:t>
            </w:r>
          </w:p>
        </w:tc>
        <w:tc>
          <w:tcPr>
            <w:tcW w:w="50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2023</w:t>
            </w:r>
          </w:p>
        </w:tc>
      </w:tr>
      <w:tr>
        <w:trPr>
          <w:trHeight w:val="137"/>
        </w:trPr>
        <w:tc>
          <w:tcPr>
            <w:tcW w:w="2480" w:type="dxa"/>
            <w:vAlign w:val="bottom"/>
          </w:tcPr>
          <w:p>
            <w:pPr>
              <w:ind w:left="20"/>
              <w:spacing w:after="0"/>
              <w:rPr>
                <w:sz w:val="20"/>
                <w:szCs w:val="20"/>
                <w:color w:val="auto"/>
              </w:rPr>
            </w:pPr>
            <w:r>
              <w:rPr>
                <w:rFonts w:ascii="Arial" w:cs="Arial" w:eastAsia="Arial" w:hAnsi="Arial"/>
                <w:sz w:val="10"/>
                <w:szCs w:val="10"/>
                <w:color w:val="auto"/>
              </w:rPr>
              <w:t>Wages and salaries</w:t>
            </w:r>
          </w:p>
        </w:tc>
        <w:tc>
          <w:tcPr>
            <w:tcW w:w="940" w:type="dxa"/>
            <w:vAlign w:val="bottom"/>
          </w:tcPr>
          <w:p>
            <w:pPr>
              <w:jc w:val="right"/>
              <w:ind w:right="428"/>
              <w:spacing w:after="0"/>
              <w:rPr>
                <w:sz w:val="20"/>
                <w:szCs w:val="20"/>
                <w:color w:val="auto"/>
              </w:rPr>
            </w:pPr>
            <w:r>
              <w:rPr>
                <w:rFonts w:ascii="Arial" w:cs="Arial" w:eastAsia="Arial" w:hAnsi="Arial"/>
                <w:sz w:val="10"/>
                <w:szCs w:val="10"/>
                <w:color w:val="691A6B"/>
              </w:rPr>
              <w:t>547</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460</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381</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940" w:type="dxa"/>
            <w:vAlign w:val="bottom"/>
          </w:tcPr>
          <w:p>
            <w:pPr>
              <w:jc w:val="right"/>
              <w:ind w:right="428"/>
              <w:spacing w:after="0"/>
              <w:rPr>
                <w:sz w:val="20"/>
                <w:szCs w:val="20"/>
                <w:color w:val="auto"/>
              </w:rPr>
            </w:pPr>
            <w:r>
              <w:rPr>
                <w:rFonts w:ascii="Arial" w:cs="Arial" w:eastAsia="Arial" w:hAnsi="Arial"/>
                <w:sz w:val="10"/>
                <w:szCs w:val="10"/>
                <w:color w:val="691A6B"/>
              </w:rPr>
              <w:t>128</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105</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85</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Defined contribution plans</w:t>
            </w:r>
          </w:p>
        </w:tc>
        <w:tc>
          <w:tcPr>
            <w:tcW w:w="940" w:type="dxa"/>
            <w:vAlign w:val="bottom"/>
          </w:tcPr>
          <w:p>
            <w:pPr>
              <w:jc w:val="right"/>
              <w:ind w:right="448"/>
              <w:spacing w:after="0"/>
              <w:rPr>
                <w:sz w:val="20"/>
                <w:szCs w:val="20"/>
                <w:color w:val="auto"/>
              </w:rPr>
            </w:pPr>
            <w:r>
              <w:rPr>
                <w:rFonts w:ascii="Arial" w:cs="Arial" w:eastAsia="Arial" w:hAnsi="Arial"/>
                <w:sz w:val="10"/>
                <w:szCs w:val="10"/>
                <w:color w:val="691A6B"/>
              </w:rPr>
              <w:t>34</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30</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25</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Other social security costs</w:t>
            </w:r>
          </w:p>
        </w:tc>
        <w:tc>
          <w:tcPr>
            <w:tcW w:w="940" w:type="dxa"/>
            <w:vAlign w:val="bottom"/>
          </w:tcPr>
          <w:p>
            <w:pPr>
              <w:jc w:val="right"/>
              <w:ind w:right="448"/>
              <w:spacing w:after="0"/>
              <w:rPr>
                <w:sz w:val="20"/>
                <w:szCs w:val="20"/>
                <w:color w:val="auto"/>
              </w:rPr>
            </w:pPr>
            <w:r>
              <w:rPr>
                <w:rFonts w:ascii="Arial" w:cs="Arial" w:eastAsia="Arial" w:hAnsi="Arial"/>
                <w:sz w:val="10"/>
                <w:szCs w:val="10"/>
                <w:color w:val="691A6B"/>
              </w:rPr>
              <w:t>77</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58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49</w:t>
            </w:r>
          </w:p>
        </w:tc>
      </w:tr>
      <w:tr>
        <w:trPr>
          <w:trHeight w:val="120"/>
        </w:trPr>
        <w:tc>
          <w:tcPr>
            <w:tcW w:w="2480" w:type="dxa"/>
            <w:vAlign w:val="bottom"/>
          </w:tcPr>
          <w:p>
            <w:pPr>
              <w:ind w:left="20"/>
              <w:spacing w:after="0"/>
              <w:rPr>
                <w:sz w:val="20"/>
                <w:szCs w:val="20"/>
                <w:color w:val="auto"/>
              </w:rPr>
            </w:pPr>
            <w:r>
              <w:rPr>
                <w:rFonts w:ascii="Arial" w:cs="Arial" w:eastAsia="Arial" w:hAnsi="Arial"/>
                <w:sz w:val="10"/>
                <w:szCs w:val="10"/>
                <w:color w:val="auto"/>
              </w:rPr>
              <w:t>Government grants related to research and</w:t>
            </w:r>
          </w:p>
        </w:tc>
        <w:tc>
          <w:tcPr>
            <w:tcW w:w="940" w:type="dxa"/>
            <w:vAlign w:val="bottom"/>
          </w:tcPr>
          <w:p>
            <w:pPr>
              <w:jc w:val="right"/>
              <w:ind w:right="408"/>
              <w:spacing w:after="0"/>
              <w:rPr>
                <w:sz w:val="20"/>
                <w:szCs w:val="20"/>
                <w:color w:val="auto"/>
              </w:rPr>
            </w:pPr>
            <w:r>
              <w:rPr>
                <w:rFonts w:ascii="Arial" w:cs="Arial" w:eastAsia="Arial" w:hAnsi="Arial"/>
                <w:sz w:val="10"/>
                <w:szCs w:val="10"/>
                <w:color w:val="691A6B"/>
              </w:rPr>
              <w:t>(23)</w:t>
            </w:r>
          </w:p>
        </w:tc>
        <w:tc>
          <w:tcPr>
            <w:tcW w:w="500" w:type="dxa"/>
            <w:vAlign w:val="bottom"/>
          </w:tcPr>
          <w:p>
            <w:pPr>
              <w:jc w:val="right"/>
              <w:spacing w:after="0"/>
              <w:rPr>
                <w:sz w:val="20"/>
                <w:szCs w:val="20"/>
                <w:color w:val="auto"/>
              </w:rPr>
            </w:pPr>
            <w:r>
              <w:rPr>
                <w:rFonts w:ascii="Arial" w:cs="Arial" w:eastAsia="Arial" w:hAnsi="Arial"/>
                <w:sz w:val="10"/>
                <w:szCs w:val="10"/>
                <w:color w:val="auto"/>
              </w:rPr>
              <w:t>(22)</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(25)</w:t>
            </w:r>
          </w:p>
        </w:tc>
      </w:tr>
      <w:tr>
        <w:trPr>
          <w:trHeight w:val="137"/>
        </w:trPr>
        <w:tc>
          <w:tcPr>
            <w:tcW w:w="2480" w:type="dxa"/>
            <w:vAlign w:val="bottom"/>
          </w:tcPr>
          <w:p>
            <w:pPr>
              <w:ind w:left="20"/>
              <w:spacing w:after="0"/>
              <w:rPr>
                <w:sz w:val="20"/>
                <w:szCs w:val="20"/>
                <w:color w:val="auto"/>
              </w:rPr>
            </w:pPr>
            <w:r>
              <w:rPr>
                <w:rFonts w:ascii="Arial" w:cs="Arial" w:eastAsia="Arial" w:hAnsi="Arial"/>
                <w:sz w:val="10"/>
                <w:szCs w:val="10"/>
                <w:color w:val="auto"/>
              </w:rPr>
              <w:t>development expenses</w:t>
            </w: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68"/>
        </w:trPr>
        <w:tc>
          <w:tcPr>
            <w:tcW w:w="24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940" w:type="dxa"/>
            <w:vAlign w:val="bottom"/>
          </w:tcPr>
          <w:p>
            <w:pPr>
              <w:jc w:val="right"/>
              <w:ind w:right="428"/>
              <w:spacing w:after="0"/>
              <w:rPr>
                <w:sz w:val="20"/>
                <w:szCs w:val="20"/>
                <w:color w:val="auto"/>
              </w:rPr>
            </w:pPr>
            <w:r>
              <w:rPr>
                <w:rFonts w:ascii="Arial" w:cs="Arial" w:eastAsia="Arial" w:hAnsi="Arial"/>
                <w:sz w:val="10"/>
                <w:szCs w:val="10"/>
                <w:b w:val="1"/>
                <w:bCs w:val="1"/>
                <w:color w:val="691A6B"/>
              </w:rPr>
              <w:t>763</w:t>
            </w:r>
          </w:p>
        </w:tc>
        <w:tc>
          <w:tcPr>
            <w:tcW w:w="500" w:type="dxa"/>
            <w:vAlign w:val="bottom"/>
          </w:tcPr>
          <w:p>
            <w:pPr>
              <w:jc w:val="right"/>
              <w:ind w:right="8"/>
              <w:spacing w:after="0"/>
              <w:rPr>
                <w:sz w:val="20"/>
                <w:szCs w:val="20"/>
                <w:color w:val="auto"/>
              </w:rPr>
            </w:pPr>
            <w:r>
              <w:rPr>
                <w:rFonts w:ascii="Arial" w:cs="Arial" w:eastAsia="Arial" w:hAnsi="Arial"/>
                <w:sz w:val="10"/>
                <w:szCs w:val="10"/>
                <w:b w:val="1"/>
                <w:bCs w:val="1"/>
                <w:color w:val="auto"/>
              </w:rPr>
              <w:t>631</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515</w:t>
            </w:r>
          </w:p>
        </w:tc>
      </w:tr>
      <w:tr>
        <w:trPr>
          <w:trHeight w:val="114"/>
        </w:trPr>
        <w:tc>
          <w:tcPr>
            <w:tcW w:w="2480" w:type="dxa"/>
            <w:vAlign w:val="bottom"/>
          </w:tcPr>
          <w:p>
            <w:pPr>
              <w:ind w:left="20"/>
              <w:spacing w:after="0"/>
              <w:rPr>
                <w:sz w:val="20"/>
                <w:szCs w:val="20"/>
                <w:color w:val="auto"/>
              </w:rPr>
            </w:pPr>
            <w:r>
              <w:rPr>
                <w:rFonts w:ascii="Arial" w:cs="Arial" w:eastAsia="Arial" w:hAnsi="Arial"/>
                <w:sz w:val="10"/>
                <w:szCs w:val="10"/>
                <w:color w:val="auto"/>
              </w:rPr>
              <w:t>Staff costs are included in the Consolidated</w:t>
            </w: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95"/>
        </w:trPr>
        <w:tc>
          <w:tcPr>
            <w:tcW w:w="2480" w:type="dxa"/>
            <w:vAlign w:val="bottom"/>
          </w:tcPr>
          <w:p>
            <w:pPr>
              <w:ind w:left="20"/>
              <w:spacing w:after="0" w:line="95" w:lineRule="exact"/>
              <w:rPr>
                <w:sz w:val="20"/>
                <w:szCs w:val="20"/>
                <w:color w:val="auto"/>
              </w:rPr>
            </w:pPr>
            <w:r>
              <w:rPr>
                <w:rFonts w:ascii="Arial" w:cs="Arial" w:eastAsia="Arial" w:hAnsi="Arial"/>
                <w:sz w:val="10"/>
                <w:szCs w:val="10"/>
                <w:color w:val="auto"/>
              </w:rPr>
              <w:t>Statements of Comprehensive Income as</w:t>
            </w: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37"/>
        </w:trPr>
        <w:tc>
          <w:tcPr>
            <w:tcW w:w="2480" w:type="dxa"/>
            <w:vAlign w:val="bottom"/>
          </w:tcPr>
          <w:p>
            <w:pPr>
              <w:ind w:left="20"/>
              <w:spacing w:after="0"/>
              <w:rPr>
                <w:sz w:val="20"/>
                <w:szCs w:val="20"/>
                <w:color w:val="auto"/>
              </w:rPr>
            </w:pPr>
            <w:r>
              <w:rPr>
                <w:rFonts w:ascii="Arial" w:cs="Arial" w:eastAsia="Arial" w:hAnsi="Arial"/>
                <w:sz w:val="10"/>
                <w:szCs w:val="10"/>
                <w:color w:val="auto"/>
              </w:rPr>
              <w:t>follows:</w:t>
            </w: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1"/>
        </w:trPr>
        <w:tc>
          <w:tcPr>
            <w:tcW w:w="2480" w:type="dxa"/>
            <w:vAlign w:val="bottom"/>
          </w:tcPr>
          <w:p>
            <w:pPr>
              <w:ind w:left="20"/>
              <w:spacing w:after="0"/>
              <w:rPr>
                <w:sz w:val="20"/>
                <w:szCs w:val="20"/>
                <w:color w:val="auto"/>
              </w:rPr>
            </w:pPr>
            <w:r>
              <w:rPr>
                <w:rFonts w:ascii="Arial" w:cs="Arial" w:eastAsia="Arial" w:hAnsi="Arial"/>
                <w:sz w:val="10"/>
                <w:szCs w:val="10"/>
                <w:color w:val="auto"/>
              </w:rPr>
              <w:t>Cost of product sales</w:t>
            </w:r>
          </w:p>
        </w:tc>
        <w:tc>
          <w:tcPr>
            <w:tcW w:w="940" w:type="dxa"/>
            <w:vAlign w:val="bottom"/>
          </w:tcPr>
          <w:p>
            <w:pPr>
              <w:jc w:val="right"/>
              <w:ind w:right="448"/>
              <w:spacing w:after="0"/>
              <w:rPr>
                <w:sz w:val="20"/>
                <w:szCs w:val="20"/>
                <w:color w:val="auto"/>
              </w:rPr>
            </w:pPr>
            <w:r>
              <w:rPr>
                <w:rFonts w:ascii="Arial" w:cs="Arial" w:eastAsia="Arial" w:hAnsi="Arial"/>
                <w:sz w:val="10"/>
                <w:szCs w:val="10"/>
                <w:color w:val="691A6B"/>
              </w:rPr>
              <w:t>4</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Research and development expenses</w:t>
            </w:r>
          </w:p>
        </w:tc>
        <w:tc>
          <w:tcPr>
            <w:tcW w:w="940" w:type="dxa"/>
            <w:vAlign w:val="bottom"/>
          </w:tcPr>
          <w:p>
            <w:pPr>
              <w:jc w:val="right"/>
              <w:ind w:right="428"/>
              <w:spacing w:after="0"/>
              <w:rPr>
                <w:sz w:val="20"/>
                <w:szCs w:val="20"/>
                <w:color w:val="auto"/>
              </w:rPr>
            </w:pPr>
            <w:r>
              <w:rPr>
                <w:rFonts w:ascii="Arial" w:cs="Arial" w:eastAsia="Arial" w:hAnsi="Arial"/>
                <w:sz w:val="10"/>
                <w:szCs w:val="10"/>
                <w:color w:val="691A6B"/>
              </w:rPr>
              <w:t>436</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366</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291</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Selling, general and administrative expenses</w:t>
            </w:r>
          </w:p>
        </w:tc>
        <w:tc>
          <w:tcPr>
            <w:tcW w:w="940" w:type="dxa"/>
            <w:vAlign w:val="bottom"/>
          </w:tcPr>
          <w:p>
            <w:pPr>
              <w:jc w:val="right"/>
              <w:ind w:right="428"/>
              <w:spacing w:after="0"/>
              <w:rPr>
                <w:sz w:val="20"/>
                <w:szCs w:val="20"/>
                <w:color w:val="auto"/>
              </w:rPr>
            </w:pPr>
            <w:r>
              <w:rPr>
                <w:rFonts w:ascii="Arial" w:cs="Arial" w:eastAsia="Arial" w:hAnsi="Arial"/>
                <w:sz w:val="10"/>
                <w:szCs w:val="10"/>
                <w:color w:val="691A6B"/>
              </w:rPr>
              <w:t>323</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263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224</w:t>
            </w:r>
          </w:p>
        </w:tc>
      </w:tr>
      <w:tr>
        <w:trPr>
          <w:trHeight w:val="158"/>
        </w:trPr>
        <w:tc>
          <w:tcPr>
            <w:tcW w:w="24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940" w:type="dxa"/>
            <w:vAlign w:val="bottom"/>
          </w:tcPr>
          <w:p>
            <w:pPr>
              <w:jc w:val="right"/>
              <w:ind w:right="428"/>
              <w:spacing w:after="0"/>
              <w:rPr>
                <w:sz w:val="20"/>
                <w:szCs w:val="20"/>
                <w:color w:val="auto"/>
              </w:rPr>
            </w:pPr>
            <w:r>
              <w:rPr>
                <w:rFonts w:ascii="Arial" w:cs="Arial" w:eastAsia="Arial" w:hAnsi="Arial"/>
                <w:sz w:val="10"/>
                <w:szCs w:val="10"/>
                <w:b w:val="1"/>
                <w:bCs w:val="1"/>
                <w:color w:val="691A6B"/>
              </w:rPr>
              <w:t>763</w:t>
            </w:r>
          </w:p>
        </w:tc>
        <w:tc>
          <w:tcPr>
            <w:tcW w:w="500" w:type="dxa"/>
            <w:vAlign w:val="bottom"/>
          </w:tcPr>
          <w:p>
            <w:pPr>
              <w:jc w:val="right"/>
              <w:ind w:right="8"/>
              <w:spacing w:after="0"/>
              <w:rPr>
                <w:sz w:val="20"/>
                <w:szCs w:val="20"/>
                <w:color w:val="auto"/>
              </w:rPr>
            </w:pPr>
            <w:r>
              <w:rPr>
                <w:rFonts w:ascii="Arial" w:cs="Arial" w:eastAsia="Arial" w:hAnsi="Arial"/>
                <w:sz w:val="10"/>
                <w:szCs w:val="10"/>
                <w:b w:val="1"/>
                <w:bCs w:val="1"/>
                <w:color w:val="auto"/>
              </w:rPr>
              <w:t>631</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515</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b w:val="1"/>
                <w:bCs w:val="1"/>
                <w:color w:val="auto"/>
              </w:rPr>
              <w:t>Average number of FTE</w:t>
            </w:r>
          </w:p>
        </w:tc>
        <w:tc>
          <w:tcPr>
            <w:tcW w:w="940" w:type="dxa"/>
            <w:vAlign w:val="bottom"/>
          </w:tcPr>
          <w:p>
            <w:pPr>
              <w:jc w:val="right"/>
              <w:ind w:right="428"/>
              <w:spacing w:after="0"/>
              <w:rPr>
                <w:sz w:val="20"/>
                <w:szCs w:val="20"/>
                <w:color w:val="auto"/>
              </w:rPr>
            </w:pPr>
            <w:r>
              <w:rPr>
                <w:rFonts w:ascii="Arial" w:cs="Arial" w:eastAsia="Arial" w:hAnsi="Arial"/>
                <w:sz w:val="10"/>
                <w:szCs w:val="10"/>
                <w:b w:val="1"/>
                <w:bCs w:val="1"/>
                <w:color w:val="691A6B"/>
              </w:rPr>
              <w:t>2,694</w:t>
            </w:r>
          </w:p>
        </w:tc>
        <w:tc>
          <w:tcPr>
            <w:tcW w:w="500" w:type="dxa"/>
            <w:vAlign w:val="bottom"/>
          </w:tcPr>
          <w:p>
            <w:pPr>
              <w:jc w:val="right"/>
              <w:ind w:right="8"/>
              <w:spacing w:after="0"/>
              <w:rPr>
                <w:sz w:val="20"/>
                <w:szCs w:val="20"/>
                <w:color w:val="auto"/>
              </w:rPr>
            </w:pPr>
            <w:r>
              <w:rPr>
                <w:rFonts w:ascii="Arial" w:cs="Arial" w:eastAsia="Arial" w:hAnsi="Arial"/>
                <w:sz w:val="10"/>
                <w:szCs w:val="10"/>
                <w:b w:val="1"/>
                <w:bCs w:val="1"/>
                <w:color w:val="auto"/>
              </w:rPr>
              <w:t>2,535</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2,011</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b w:val="1"/>
                <w:bCs w:val="1"/>
                <w:color w:val="auto"/>
              </w:rPr>
              <w:t>Number of FTE at year-end</w:t>
            </w:r>
          </w:p>
        </w:tc>
        <w:tc>
          <w:tcPr>
            <w:tcW w:w="940" w:type="dxa"/>
            <w:vAlign w:val="bottom"/>
          </w:tcPr>
          <w:p>
            <w:pPr>
              <w:jc w:val="right"/>
              <w:ind w:right="428"/>
              <w:spacing w:after="0"/>
              <w:rPr>
                <w:sz w:val="20"/>
                <w:szCs w:val="20"/>
                <w:color w:val="auto"/>
              </w:rPr>
            </w:pPr>
            <w:r>
              <w:rPr>
                <w:rFonts w:ascii="Arial" w:cs="Arial" w:eastAsia="Arial" w:hAnsi="Arial"/>
                <w:sz w:val="10"/>
                <w:szCs w:val="10"/>
                <w:b w:val="1"/>
                <w:bCs w:val="1"/>
                <w:color w:val="691A6B"/>
              </w:rPr>
              <w:t>3,029</w:t>
            </w:r>
          </w:p>
        </w:tc>
        <w:tc>
          <w:tcPr>
            <w:tcW w:w="500" w:type="dxa"/>
            <w:vAlign w:val="bottom"/>
          </w:tcPr>
          <w:p>
            <w:pPr>
              <w:jc w:val="right"/>
              <w:ind w:right="8"/>
              <w:spacing w:after="0"/>
              <w:rPr>
                <w:sz w:val="20"/>
                <w:szCs w:val="20"/>
                <w:color w:val="auto"/>
              </w:rPr>
            </w:pPr>
            <w:r>
              <w:rPr>
                <w:rFonts w:ascii="Arial" w:cs="Arial" w:eastAsia="Arial" w:hAnsi="Arial"/>
                <w:sz w:val="10"/>
                <w:szCs w:val="10"/>
                <w:b w:val="1"/>
                <w:bCs w:val="1"/>
                <w:color w:val="auto"/>
              </w:rPr>
              <w:t>2,682</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2,204</w:t>
            </w:r>
          </w:p>
        </w:tc>
      </w:tr>
    </w:tbl>
    <w:p>
      <w:pPr>
        <w:ind w:right="2460"/>
        <w:spacing w:after="0" w:line="205" w:lineRule="auto"/>
        <w:rPr>
          <w:sz w:val="20"/>
          <w:szCs w:val="20"/>
          <w:color w:val="auto"/>
        </w:rPr>
      </w:pPr>
      <w:r>
        <w:rPr>
          <w:rFonts w:ascii="Arial" w:cs="Arial" w:eastAsia="Arial" w:hAnsi="Arial"/>
          <w:sz w:val="10"/>
          <w:szCs w:val="10"/>
          <w:color w:val="auto"/>
        </w:rPr>
        <w:t>Staff costs also include $58 million of payments to Merus option holders for the portion of the equity payout attributable to the post-combination period, which were recorded in Acquisition and integration related charges in the Consolidated Statements of Income during the fourth quarter of 2025.</w:t>
      </w:r>
    </w:p>
    <w:p>
      <w:pPr>
        <w:spacing w:after="0" w:line="1" w:lineRule="exact"/>
        <w:rPr>
          <w:rFonts w:ascii="Arial" w:cs="Arial" w:eastAsia="Arial" w:hAnsi="Arial"/>
          <w:sz w:val="10"/>
          <w:szCs w:val="10"/>
          <w:color w:val="auto"/>
        </w:rPr>
      </w:pPr>
    </w:p>
    <w:p>
      <w:pPr>
        <w:ind w:right="2680"/>
        <w:spacing w:after="0" w:line="207" w:lineRule="auto"/>
        <w:rPr>
          <w:rFonts w:ascii="Arial" w:cs="Arial" w:eastAsia="Arial" w:hAnsi="Arial"/>
          <w:sz w:val="10"/>
          <w:szCs w:val="10"/>
          <w:color w:val="691A6B"/>
        </w:rPr>
      </w:pPr>
      <w:hyperlink w:anchor="page150">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4.6 </w:t>
      </w:r>
      <w:hyperlink w:anchor="page150">
        <w:r>
          <w:rPr>
            <w:rFonts w:ascii="Arial" w:cs="Arial" w:eastAsia="Arial" w:hAnsi="Arial"/>
            <w:sz w:val="10"/>
            <w:szCs w:val="10"/>
            <w:color w:val="691A6B"/>
          </w:rPr>
          <w:t xml:space="preserve">for additional information regarding share-based instruments, </w:t>
        </w:r>
      </w:hyperlink>
      <w:hyperlink w:anchor="page154">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5.1 for additional information regarding the remuneration of the Board and Executive Management and </w:t>
      </w:r>
      <w:r>
        <w:rPr>
          <w:rFonts w:ascii="Arial" w:cs="Arial" w:eastAsia="Arial" w:hAnsi="Arial"/>
          <w:sz w:val="10"/>
          <w:szCs w:val="10"/>
          <w:b w:val="1"/>
          <w:bCs w:val="1"/>
          <w:color w:val="691A6B"/>
        </w:rPr>
        <w:t>Note 5.5</w:t>
      </w:r>
      <w:r>
        <w:rPr>
          <w:rFonts w:ascii="Arial" w:cs="Arial" w:eastAsia="Arial" w:hAnsi="Arial"/>
          <w:sz w:val="10"/>
          <w:szCs w:val="10"/>
          <w:color w:val="691A6B"/>
        </w:rPr>
        <w:t xml:space="preserve"> for additional information related to the acquisition of Merus.</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691A6B"/>
        </w:rPr>
      </w:pPr>
      <w:r>
        <w:rPr>
          <w:rFonts w:ascii="Arial" w:cs="Arial" w:eastAsia="Arial" w:hAnsi="Arial"/>
          <w:sz w:val="10"/>
          <w:szCs w:val="10"/>
          <w:color w:val="691A6B"/>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2" w:lineRule="exact"/>
        <w:rPr>
          <w:rFonts w:ascii="Arial" w:cs="Arial" w:eastAsia="Arial" w:hAnsi="Arial"/>
          <w:sz w:val="10"/>
          <w:szCs w:val="10"/>
          <w:color w:val="691A6B"/>
        </w:rPr>
      </w:pPr>
    </w:p>
    <w:p>
      <w:pPr>
        <w:spacing w:after="0"/>
        <w:rPr>
          <w:sz w:val="20"/>
          <w:szCs w:val="20"/>
          <w:color w:val="auto"/>
        </w:rPr>
      </w:pPr>
      <w:r>
        <w:rPr>
          <w:rFonts w:ascii="Arial" w:cs="Arial" w:eastAsia="Arial" w:hAnsi="Arial"/>
          <w:sz w:val="12"/>
          <w:szCs w:val="12"/>
          <w:b w:val="1"/>
          <w:bCs w:val="1"/>
          <w:color w:val="auto"/>
        </w:rPr>
        <w:t>Staff costs</w:t>
      </w:r>
    </w:p>
    <w:p>
      <w:pPr>
        <w:ind w:right="2500"/>
        <w:spacing w:after="0" w:line="198" w:lineRule="auto"/>
        <w:rPr>
          <w:sz w:val="20"/>
          <w:szCs w:val="20"/>
          <w:color w:val="auto"/>
        </w:rPr>
      </w:pPr>
      <w:r>
        <w:rPr>
          <w:rFonts w:ascii="Arial" w:cs="Arial" w:eastAsia="Arial" w:hAnsi="Arial"/>
          <w:sz w:val="10"/>
          <w:szCs w:val="10"/>
          <w:color w:val="auto"/>
        </w:rPr>
        <w:t>Wages and salaries, other social security costs, paid leave and bonuses, and other employee benefits are recognized in the financial year in which the employee performs the associated work.</w:t>
      </w:r>
    </w:p>
    <w:p>
      <w:pPr>
        <w:spacing w:after="0" w:line="1" w:lineRule="exact"/>
        <w:rPr>
          <w:rFonts w:ascii="Arial" w:cs="Arial" w:eastAsia="Arial" w:hAnsi="Arial"/>
          <w:sz w:val="10"/>
          <w:szCs w:val="10"/>
          <w:color w:val="691A6B"/>
        </w:rPr>
      </w:pPr>
    </w:p>
    <w:p>
      <w:pPr>
        <w:ind w:right="2440"/>
        <w:spacing w:after="0"/>
        <w:rPr>
          <w:sz w:val="20"/>
          <w:szCs w:val="20"/>
          <w:color w:val="auto"/>
        </w:rPr>
      </w:pPr>
      <w:r>
        <w:rPr>
          <w:rFonts w:ascii="Arial" w:cs="Arial" w:eastAsia="Arial" w:hAnsi="Arial"/>
          <w:sz w:val="10"/>
          <w:szCs w:val="10"/>
          <w:color w:val="auto"/>
        </w:rPr>
        <w:t>Genmab’s pension plans are classified as defined contribution plans and, accordingly, no pension obligations are recognized in the balance sheet. Costs relating to defined contribution plans are included in the income statement in the period in which they are accrued, and outstanding contributions are included in other payables.</w:t>
      </w:r>
    </w:p>
    <w:p>
      <w:pPr>
        <w:spacing w:after="0" w:line="36" w:lineRule="exact"/>
        <w:rPr>
          <w:rFonts w:ascii="Arial" w:cs="Arial" w:eastAsia="Arial" w:hAnsi="Arial"/>
          <w:sz w:val="10"/>
          <w:szCs w:val="10"/>
          <w:color w:val="691A6B"/>
        </w:rPr>
      </w:pPr>
    </w:p>
    <w:p>
      <w:pPr>
        <w:ind w:right="2980"/>
        <w:spacing w:after="0" w:line="203" w:lineRule="auto"/>
        <w:rPr>
          <w:sz w:val="20"/>
          <w:szCs w:val="20"/>
          <w:color w:val="auto"/>
        </w:rPr>
      </w:pPr>
      <w:r>
        <w:rPr>
          <w:rFonts w:ascii="Arial" w:cs="Arial" w:eastAsia="Arial" w:hAnsi="Arial"/>
          <w:sz w:val="10"/>
          <w:szCs w:val="10"/>
          <w:color w:val="auto"/>
        </w:rPr>
        <w:t>Termination benefits are recognized as an expense, when Genmab is committed demonstrably, without realistic possibility of withdrawal, to a formal detailed plan to terminate employment.</w:t>
      </w:r>
    </w:p>
    <w:p>
      <w:pPr>
        <w:spacing w:after="0" w:line="209" w:lineRule="auto"/>
        <w:rPr>
          <w:sz w:val="20"/>
          <w:szCs w:val="20"/>
          <w:color w:val="auto"/>
        </w:rPr>
      </w:pPr>
      <w:r>
        <w:rPr>
          <w:rFonts w:ascii="Arial" w:cs="Arial" w:eastAsia="Arial" w:hAnsi="Arial"/>
          <w:sz w:val="15"/>
          <w:szCs w:val="15"/>
          <w:b w:val="1"/>
          <w:bCs w:val="1"/>
          <w:color w:val="691A6B"/>
        </w:rPr>
        <w:t>2.4 - Corporate and Deferred Tax</w:t>
      </w:r>
    </w:p>
    <w:p>
      <w:pPr>
        <w:spacing w:after="0" w:line="225" w:lineRule="auto"/>
        <w:rPr>
          <w:sz w:val="20"/>
          <w:szCs w:val="20"/>
          <w:color w:val="auto"/>
        </w:rPr>
      </w:pPr>
      <w:r>
        <w:rPr>
          <w:rFonts w:ascii="Arial" w:cs="Arial" w:eastAsia="Arial" w:hAnsi="Arial"/>
          <w:sz w:val="13"/>
          <w:szCs w:val="13"/>
          <w:b w:val="1"/>
          <w:bCs w:val="1"/>
          <w:color w:val="691A6B"/>
        </w:rPr>
        <w:t>Taxation – Income Statement &amp; Shareholders’ Equity</w:t>
      </w:r>
    </w:p>
    <w:tbl>
      <w:tblPr>
        <w:tblLayout w:type="fixed"/>
        <w:tblInd w:w="0" w:type="dxa"/>
        <w:tblCellMar>
          <w:top w:w="0" w:type="dxa"/>
          <w:left w:w="0" w:type="dxa"/>
          <w:bottom w:w="0" w:type="dxa"/>
          <w:right w:w="0" w:type="dxa"/>
        </w:tblCellMar>
      </w:tblPr>
      <w:tr>
        <w:trPr>
          <w:trHeight w:val="123"/>
        </w:trPr>
        <w:tc>
          <w:tcPr>
            <w:tcW w:w="2520" w:type="dxa"/>
            <w:vAlign w:val="bottom"/>
            <w:tcBorders>
              <w:top w:val="single" w:sz="8" w:color="691A6B"/>
            </w:tcBorders>
          </w:tcPr>
          <w:p>
            <w:pPr>
              <w:ind w:left="2100"/>
              <w:spacing w:after="0"/>
              <w:rPr>
                <w:sz w:val="20"/>
                <w:szCs w:val="20"/>
                <w:color w:val="auto"/>
              </w:rPr>
            </w:pPr>
            <w:r>
              <w:rPr>
                <w:rFonts w:ascii="Arial" w:cs="Arial" w:eastAsia="Arial" w:hAnsi="Arial"/>
                <w:sz w:val="10"/>
                <w:szCs w:val="10"/>
                <w:b w:val="1"/>
                <w:bCs w:val="1"/>
                <w:color w:val="691A6B"/>
              </w:rPr>
              <w:t>2025</w:t>
            </w:r>
          </w:p>
        </w:tc>
        <w:tc>
          <w:tcPr>
            <w:tcW w:w="480" w:type="dxa"/>
            <w:vAlign w:val="bottom"/>
            <w:tcBorders>
              <w:top w:val="single" w:sz="8" w:color="691A6B"/>
            </w:tcBorders>
          </w:tcPr>
          <w:p>
            <w:pPr>
              <w:spacing w:after="0"/>
              <w:rPr>
                <w:sz w:val="10"/>
                <w:szCs w:val="10"/>
                <w:color w:val="auto"/>
              </w:rPr>
            </w:pPr>
          </w:p>
        </w:tc>
        <w:tc>
          <w:tcPr>
            <w:tcW w:w="920" w:type="dxa"/>
            <w:vAlign w:val="bottom"/>
            <w:tcBorders>
              <w:top w:val="single" w:sz="8" w:color="691A6B"/>
            </w:tcBorders>
          </w:tcPr>
          <w:p>
            <w:pPr>
              <w:jc w:val="right"/>
              <w:ind w:right="628"/>
              <w:spacing w:after="0"/>
              <w:rPr>
                <w:sz w:val="20"/>
                <w:szCs w:val="20"/>
                <w:color w:val="auto"/>
              </w:rPr>
            </w:pPr>
            <w:r>
              <w:rPr>
                <w:rFonts w:ascii="Arial" w:cs="Arial" w:eastAsia="Arial" w:hAnsi="Arial"/>
                <w:sz w:val="10"/>
                <w:szCs w:val="10"/>
                <w:b w:val="1"/>
                <w:bCs w:val="1"/>
                <w:color w:val="auto"/>
                <w:w w:val="98"/>
              </w:rPr>
              <w:t>2024</w:t>
            </w: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2023</w:t>
            </w:r>
          </w:p>
        </w:tc>
      </w:tr>
      <w:tr>
        <w:trPr>
          <w:trHeight w:val="137"/>
        </w:trPr>
        <w:tc>
          <w:tcPr>
            <w:tcW w:w="2520" w:type="dxa"/>
            <w:vAlign w:val="bottom"/>
          </w:tcPr>
          <w:p>
            <w:pPr>
              <w:ind w:left="20"/>
              <w:spacing w:after="0"/>
              <w:rPr>
                <w:sz w:val="20"/>
                <w:szCs w:val="20"/>
                <w:color w:val="auto"/>
              </w:rPr>
            </w:pPr>
            <w:r>
              <w:rPr>
                <w:rFonts w:ascii="Arial" w:cs="Arial" w:eastAsia="Arial" w:hAnsi="Arial"/>
                <w:sz w:val="10"/>
                <w:szCs w:val="10"/>
                <w:color w:val="auto"/>
              </w:rPr>
              <w:t>Current tax on profit</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256</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261</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189</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Adjustment to deferred tax</w:t>
            </w:r>
          </w:p>
        </w:tc>
        <w:tc>
          <w:tcPr>
            <w:tcW w:w="480" w:type="dxa"/>
            <w:vAlign w:val="bottom"/>
          </w:tcPr>
          <w:p>
            <w:pPr>
              <w:jc w:val="right"/>
              <w:spacing w:after="0"/>
              <w:rPr>
                <w:sz w:val="20"/>
                <w:szCs w:val="20"/>
                <w:color w:val="auto"/>
              </w:rPr>
            </w:pPr>
            <w:r>
              <w:rPr>
                <w:rFonts w:ascii="Arial" w:cs="Arial" w:eastAsia="Arial" w:hAnsi="Arial"/>
                <w:sz w:val="10"/>
                <w:szCs w:val="10"/>
                <w:color w:val="691A6B"/>
              </w:rPr>
              <w:t>(63)</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14</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(9)</w:t>
            </w:r>
          </w:p>
        </w:tc>
      </w:tr>
      <w:tr>
        <w:trPr>
          <w:trHeight w:val="120"/>
        </w:trPr>
        <w:tc>
          <w:tcPr>
            <w:tcW w:w="2520" w:type="dxa"/>
            <w:vAlign w:val="bottom"/>
          </w:tcPr>
          <w:p>
            <w:pPr>
              <w:ind w:left="20"/>
              <w:spacing w:after="0"/>
              <w:rPr>
                <w:sz w:val="20"/>
                <w:szCs w:val="20"/>
                <w:color w:val="auto"/>
              </w:rPr>
            </w:pPr>
            <w:r>
              <w:rPr>
                <w:rFonts w:ascii="Arial" w:cs="Arial" w:eastAsia="Arial" w:hAnsi="Arial"/>
                <w:sz w:val="10"/>
                <w:szCs w:val="10"/>
                <w:color w:val="auto"/>
              </w:rPr>
              <w:t>Net increase (decrease) of unrecognized</w:t>
            </w:r>
          </w:p>
        </w:tc>
        <w:tc>
          <w:tcPr>
            <w:tcW w:w="480" w:type="dxa"/>
            <w:vAlign w:val="bottom"/>
          </w:tcPr>
          <w:p>
            <w:pPr>
              <w:jc w:val="right"/>
              <w:ind w:right="28"/>
              <w:spacing w:after="0"/>
              <w:rPr>
                <w:sz w:val="20"/>
                <w:szCs w:val="20"/>
                <w:color w:val="auto"/>
              </w:rPr>
            </w:pPr>
            <w:r>
              <w:rPr>
                <w:rFonts w:ascii="Arial" w:cs="Arial" w:eastAsia="Arial" w:hAnsi="Arial"/>
                <w:sz w:val="10"/>
                <w:szCs w:val="10"/>
                <w:color w:val="691A6B"/>
              </w:rPr>
              <w:t>51</w:t>
            </w:r>
          </w:p>
        </w:tc>
        <w:tc>
          <w:tcPr>
            <w:tcW w:w="920" w:type="dxa"/>
            <w:vAlign w:val="bottom"/>
          </w:tcPr>
          <w:p>
            <w:pPr>
              <w:jc w:val="right"/>
              <w:spacing w:after="0"/>
              <w:rPr>
                <w:sz w:val="20"/>
                <w:szCs w:val="20"/>
                <w:color w:val="auto"/>
              </w:rPr>
            </w:pPr>
            <w:r>
              <w:rPr>
                <w:rFonts w:ascii="Arial" w:cs="Arial" w:eastAsia="Arial" w:hAnsi="Arial"/>
                <w:sz w:val="10"/>
                <w:szCs w:val="10"/>
                <w:color w:val="auto"/>
              </w:rPr>
              <w:t>(84)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6</w:t>
            </w:r>
          </w:p>
        </w:tc>
      </w:tr>
      <w:tr>
        <w:trPr>
          <w:trHeight w:val="137"/>
        </w:trPr>
        <w:tc>
          <w:tcPr>
            <w:tcW w:w="2520" w:type="dxa"/>
            <w:vAlign w:val="bottom"/>
          </w:tcPr>
          <w:p>
            <w:pPr>
              <w:ind w:left="20"/>
              <w:spacing w:after="0"/>
              <w:rPr>
                <w:sz w:val="20"/>
                <w:szCs w:val="20"/>
                <w:color w:val="auto"/>
              </w:rPr>
            </w:pPr>
            <w:r>
              <w:rPr>
                <w:rFonts w:ascii="Arial" w:cs="Arial" w:eastAsia="Arial" w:hAnsi="Arial"/>
                <w:sz w:val="10"/>
                <w:szCs w:val="10"/>
                <w:color w:val="auto"/>
              </w:rPr>
              <w:t>deferred tax assets for the year</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62"/>
        </w:trPr>
        <w:tc>
          <w:tcPr>
            <w:tcW w:w="2520" w:type="dxa"/>
            <w:vAlign w:val="bottom"/>
          </w:tcPr>
          <w:p>
            <w:pPr>
              <w:ind w:left="20"/>
              <w:spacing w:after="0"/>
              <w:rPr>
                <w:sz w:val="20"/>
                <w:szCs w:val="20"/>
                <w:color w:val="auto"/>
              </w:rPr>
            </w:pPr>
            <w:r>
              <w:rPr>
                <w:rFonts w:ascii="Arial" w:cs="Arial" w:eastAsia="Arial" w:hAnsi="Arial"/>
                <w:sz w:val="10"/>
                <w:szCs w:val="10"/>
                <w:color w:val="auto"/>
              </w:rPr>
              <w:t>Effect of exchange rate adjustment</w:t>
            </w:r>
          </w:p>
        </w:tc>
        <w:tc>
          <w:tcPr>
            <w:tcW w:w="480" w:type="dxa"/>
            <w:vAlign w:val="bottom"/>
          </w:tcPr>
          <w:p>
            <w:pPr>
              <w:jc w:val="right"/>
              <w:spacing w:after="0"/>
              <w:rPr>
                <w:sz w:val="20"/>
                <w:szCs w:val="20"/>
                <w:color w:val="auto"/>
              </w:rPr>
            </w:pPr>
            <w:r>
              <w:rPr>
                <w:rFonts w:ascii="Arial" w:cs="Arial" w:eastAsia="Arial" w:hAnsi="Arial"/>
                <w:sz w:val="10"/>
                <w:szCs w:val="10"/>
                <w:color w:val="691A6B"/>
              </w:rPr>
              <w:t>(3)</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20"/>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Total tax for the period in the income</w:t>
            </w:r>
          </w:p>
        </w:tc>
        <w:tc>
          <w:tcPr>
            <w:tcW w:w="480" w:type="dxa"/>
            <w:vAlign w:val="bottom"/>
          </w:tcPr>
          <w:p>
            <w:pPr>
              <w:jc w:val="right"/>
              <w:ind w:right="8"/>
              <w:spacing w:after="0"/>
              <w:rPr>
                <w:sz w:val="20"/>
                <w:szCs w:val="20"/>
                <w:color w:val="auto"/>
              </w:rPr>
            </w:pPr>
            <w:r>
              <w:rPr>
                <w:rFonts w:ascii="Arial" w:cs="Arial" w:eastAsia="Arial" w:hAnsi="Arial"/>
                <w:sz w:val="10"/>
                <w:szCs w:val="10"/>
                <w:b w:val="1"/>
                <w:bCs w:val="1"/>
                <w:color w:val="691A6B"/>
              </w:rPr>
              <w:t>241</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193</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186</w:t>
            </w:r>
          </w:p>
        </w:tc>
      </w:tr>
      <w:tr>
        <w:trPr>
          <w:trHeight w:val="143"/>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statement</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bl>
    <w:p>
      <w:pPr>
        <w:spacing w:after="0" w:line="20" w:lineRule="exact"/>
        <w:rPr>
          <w:rFonts w:ascii="Arial" w:cs="Arial" w:eastAsia="Arial" w:hAnsi="Arial"/>
          <w:sz w:val="10"/>
          <w:szCs w:val="10"/>
          <w:color w:val="691A6B"/>
        </w:rPr>
      </w:pPr>
      <w:r>
        <w:rPr>
          <w:rFonts w:ascii="Arial" w:cs="Arial" w:eastAsia="Arial" w:hAnsi="Arial"/>
          <w:sz w:val="10"/>
          <w:szCs w:val="10"/>
          <w:color w:val="691A6B"/>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119</w:t>
      </w: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328" w:lineRule="exact"/>
        <w:rPr>
          <w:rFonts w:ascii="Arial" w:cs="Arial" w:eastAsia="Arial" w:hAnsi="Arial"/>
          <w:sz w:val="10"/>
          <w:szCs w:val="10"/>
          <w:color w:val="691A6B"/>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120</w:t>
      </w:r>
    </w:p>
    <w:p>
      <w:pPr>
        <w:sectPr>
          <w:pgSz w:w="11900" w:h="16840" w:orient="portrait"/>
          <w:cols w:equalWidth="0" w:num="2">
            <w:col w:w="7400" w:space="720"/>
            <w:col w:w="1700"/>
          </w:cols>
          <w:pgMar w:left="640" w:top="571" w:right="1440" w:bottom="1440" w:gutter="0" w:footer="0" w:header="0"/>
        </w:sectPr>
      </w:pPr>
    </w:p>
    <w:bookmarkStart w:id="141" w:name="page142"/>
    <w:bookmarkEnd w:id="141"/>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580"/>
        <w:spacing w:after="0" w:line="200" w:lineRule="auto"/>
        <w:rPr>
          <w:sz w:val="20"/>
          <w:szCs w:val="20"/>
          <w:color w:val="auto"/>
        </w:rPr>
      </w:pPr>
      <w:r>
        <w:rPr>
          <w:rFonts w:ascii="Arial" w:cs="Arial" w:eastAsia="Arial" w:hAnsi="Arial"/>
          <w:sz w:val="10"/>
          <w:szCs w:val="10"/>
          <w:color w:val="auto"/>
        </w:rPr>
        <w:t>Genmab operates in multiple jurisdictions which have enacted new legislation to implement the global minimum top-up tax, which became effective on January 1, 2024. Under this legislation, the Company is liable to pay a top-up tax for the difference between its GloBE Effective Tax Rate per jurisdiction and the minimum rate of 15 percent. The rules have no impact on the tax position of Genmab in 2025.</w:t>
      </w:r>
    </w:p>
    <w:p>
      <w:pPr>
        <w:spacing w:after="0" w:line="209" w:lineRule="auto"/>
        <w:rPr>
          <w:sz w:val="20"/>
          <w:szCs w:val="20"/>
          <w:color w:val="auto"/>
        </w:rPr>
      </w:pPr>
      <w:r>
        <w:rPr>
          <w:rFonts w:ascii="Arial" w:cs="Arial" w:eastAsia="Arial" w:hAnsi="Arial"/>
          <w:sz w:val="13"/>
          <w:szCs w:val="13"/>
          <w:b w:val="1"/>
          <w:bCs w:val="1"/>
          <w:color w:val="691A6B"/>
        </w:rPr>
        <w:t>Taxation – Balance Sheet</w:t>
      </w:r>
    </w:p>
    <w:p>
      <w:pPr>
        <w:spacing w:after="0" w:line="218" w:lineRule="auto"/>
        <w:rPr>
          <w:sz w:val="20"/>
          <w:szCs w:val="20"/>
          <w:color w:val="auto"/>
        </w:rPr>
      </w:pPr>
      <w:r>
        <w:rPr>
          <w:rFonts w:ascii="Arial" w:cs="Arial" w:eastAsia="Arial" w:hAnsi="Arial"/>
          <w:sz w:val="10"/>
          <w:szCs w:val="10"/>
          <w:color w:val="auto"/>
        </w:rPr>
        <w:t>Significant components of the deferred tax asset(liability) are as follows:</w:t>
      </w:r>
    </w:p>
    <w:tbl>
      <w:tblPr>
        <w:tblLayout w:type="fixed"/>
        <w:tblInd w:w="0" w:type="dxa"/>
        <w:tblCellMar>
          <w:top w:w="0" w:type="dxa"/>
          <w:left w:w="0" w:type="dxa"/>
          <w:bottom w:w="0" w:type="dxa"/>
          <w:right w:w="0" w:type="dxa"/>
        </w:tblCellMar>
      </w:tblPr>
      <w:tr>
        <w:trPr>
          <w:trHeight w:val="128"/>
        </w:trPr>
        <w:tc>
          <w:tcPr>
            <w:tcW w:w="1340" w:type="dxa"/>
            <w:vAlign w:val="bottom"/>
            <w:tcBorders>
              <w:top w:val="single" w:sz="8" w:color="691A6B"/>
            </w:tcBorders>
          </w:tcPr>
          <w:p>
            <w:pPr>
              <w:spacing w:after="0"/>
              <w:rPr>
                <w:sz w:val="11"/>
                <w:szCs w:val="11"/>
                <w:color w:val="auto"/>
              </w:rPr>
            </w:pPr>
          </w:p>
        </w:tc>
        <w:tc>
          <w:tcPr>
            <w:tcW w:w="200" w:type="dxa"/>
            <w:vAlign w:val="bottom"/>
            <w:tcBorders>
              <w:top w:val="single" w:sz="8" w:color="691A6B"/>
            </w:tcBorders>
          </w:tcPr>
          <w:p>
            <w:pPr>
              <w:spacing w:after="0"/>
              <w:rPr>
                <w:sz w:val="11"/>
                <w:szCs w:val="11"/>
                <w:color w:val="auto"/>
              </w:rPr>
            </w:pPr>
          </w:p>
        </w:tc>
        <w:tc>
          <w:tcPr>
            <w:tcW w:w="480" w:type="dxa"/>
            <w:vAlign w:val="bottom"/>
            <w:tcBorders>
              <w:top w:val="single" w:sz="8" w:color="691A6B"/>
            </w:tcBorders>
          </w:tcPr>
          <w:p>
            <w:pPr>
              <w:spacing w:after="0"/>
              <w:rPr>
                <w:sz w:val="11"/>
                <w:szCs w:val="11"/>
                <w:color w:val="auto"/>
              </w:rPr>
            </w:pPr>
          </w:p>
        </w:tc>
        <w:tc>
          <w:tcPr>
            <w:tcW w:w="720" w:type="dxa"/>
            <w:vAlign w:val="bottom"/>
            <w:tcBorders>
              <w:top w:val="single" w:sz="8" w:color="691A6B"/>
            </w:tcBorders>
            <w:gridSpan w:val="2"/>
          </w:tcPr>
          <w:p>
            <w:pPr>
              <w:ind w:left="100"/>
              <w:spacing w:after="0"/>
              <w:rPr>
                <w:sz w:val="20"/>
                <w:szCs w:val="20"/>
                <w:color w:val="auto"/>
              </w:rPr>
            </w:pPr>
            <w:r>
              <w:rPr>
                <w:rFonts w:ascii="Arial" w:cs="Arial" w:eastAsia="Arial" w:hAnsi="Arial"/>
                <w:sz w:val="10"/>
                <w:szCs w:val="10"/>
                <w:b w:val="1"/>
                <w:bCs w:val="1"/>
                <w:color w:val="691A6B"/>
                <w:w w:val="92"/>
              </w:rPr>
              <w:t>December 31,</w:t>
            </w:r>
          </w:p>
        </w:tc>
        <w:tc>
          <w:tcPr>
            <w:tcW w:w="940" w:type="dxa"/>
            <w:vAlign w:val="bottom"/>
            <w:tcBorders>
              <w:top w:val="single" w:sz="8" w:color="691A6B"/>
            </w:tcBorders>
            <w:gridSpan w:val="2"/>
          </w:tcPr>
          <w:p>
            <w:pPr>
              <w:ind w:left="320"/>
              <w:spacing w:after="0"/>
              <w:rPr>
                <w:sz w:val="20"/>
                <w:szCs w:val="20"/>
                <w:color w:val="auto"/>
              </w:rPr>
            </w:pPr>
            <w:r>
              <w:rPr>
                <w:rFonts w:ascii="Arial" w:cs="Arial" w:eastAsia="Arial" w:hAnsi="Arial"/>
                <w:sz w:val="10"/>
                <w:szCs w:val="10"/>
                <w:b w:val="1"/>
                <w:bCs w:val="1"/>
                <w:color w:val="auto"/>
                <w:w w:val="92"/>
              </w:rPr>
              <w:t>December 31,</w:t>
            </w:r>
          </w:p>
        </w:tc>
        <w:tc>
          <w:tcPr>
            <w:tcW w:w="40" w:type="dxa"/>
            <w:vAlign w:val="bottom"/>
            <w:tcBorders>
              <w:top w:val="single" w:sz="8" w:color="691A6B"/>
            </w:tcBorders>
          </w:tcPr>
          <w:p>
            <w:pPr>
              <w:spacing w:after="0"/>
              <w:rPr>
                <w:sz w:val="11"/>
                <w:szCs w:val="11"/>
                <w:color w:val="auto"/>
              </w:rPr>
            </w:pPr>
          </w:p>
        </w:tc>
        <w:tc>
          <w:tcPr>
            <w:tcW w:w="1180" w:type="dxa"/>
            <w:vAlign w:val="bottom"/>
            <w:tcBorders>
              <w:top w:val="single" w:sz="8" w:color="691A6B"/>
            </w:tcBorders>
            <w:gridSpan w:val="2"/>
          </w:tcPr>
          <w:p>
            <w:pPr>
              <w:ind w:left="260"/>
              <w:spacing w:after="0"/>
              <w:rPr>
                <w:sz w:val="20"/>
                <w:szCs w:val="20"/>
                <w:color w:val="auto"/>
              </w:rPr>
            </w:pPr>
            <w:r>
              <w:rPr>
                <w:rFonts w:ascii="Arial" w:cs="Arial" w:eastAsia="Arial" w:hAnsi="Arial"/>
                <w:sz w:val="10"/>
                <w:szCs w:val="10"/>
                <w:b w:val="1"/>
                <w:bCs w:val="1"/>
                <w:color w:val="auto"/>
              </w:rPr>
              <w:t>January 1,</w:t>
            </w:r>
          </w:p>
        </w:tc>
        <w:tc>
          <w:tcPr>
            <w:tcW w:w="60" w:type="dxa"/>
            <w:vAlign w:val="bottom"/>
          </w:tcPr>
          <w:p>
            <w:pPr>
              <w:spacing w:after="0"/>
              <w:rPr>
                <w:sz w:val="11"/>
                <w:szCs w:val="11"/>
                <w:color w:val="auto"/>
              </w:rPr>
            </w:pPr>
          </w:p>
        </w:tc>
      </w:tr>
      <w:tr>
        <w:trPr>
          <w:trHeight w:val="133"/>
        </w:trPr>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00"/>
              <w:spacing w:after="0"/>
              <w:rPr>
                <w:sz w:val="20"/>
                <w:szCs w:val="20"/>
                <w:color w:val="auto"/>
              </w:rPr>
            </w:pPr>
            <w:r>
              <w:rPr>
                <w:rFonts w:ascii="Arial" w:cs="Arial" w:eastAsia="Arial" w:hAnsi="Arial"/>
                <w:sz w:val="10"/>
                <w:szCs w:val="10"/>
                <w:b w:val="1"/>
                <w:bCs w:val="1"/>
                <w:color w:val="691A6B"/>
              </w:rPr>
              <w:t>2025</w:t>
            </w:r>
          </w:p>
        </w:tc>
        <w:tc>
          <w:tcPr>
            <w:tcW w:w="140" w:type="dxa"/>
            <w:vAlign w:val="bottom"/>
          </w:tcPr>
          <w:p>
            <w:pPr>
              <w:spacing w:after="0"/>
              <w:rPr>
                <w:sz w:val="11"/>
                <w:szCs w:val="11"/>
                <w:color w:val="auto"/>
              </w:rPr>
            </w:pPr>
          </w:p>
        </w:tc>
        <w:tc>
          <w:tcPr>
            <w:tcW w:w="940" w:type="dxa"/>
            <w:vAlign w:val="bottom"/>
            <w:gridSpan w:val="2"/>
          </w:tcPr>
          <w:p>
            <w:pPr>
              <w:ind w:left="320"/>
              <w:spacing w:after="0"/>
              <w:rPr>
                <w:sz w:val="20"/>
                <w:szCs w:val="20"/>
                <w:color w:val="auto"/>
              </w:rPr>
            </w:pPr>
            <w:r>
              <w:rPr>
                <w:rFonts w:ascii="Arial" w:cs="Arial" w:eastAsia="Arial" w:hAnsi="Arial"/>
                <w:sz w:val="10"/>
                <w:szCs w:val="10"/>
                <w:b w:val="1"/>
                <w:bCs w:val="1"/>
                <w:color w:val="auto"/>
              </w:rPr>
              <w:t>2024</w:t>
            </w:r>
          </w:p>
        </w:tc>
        <w:tc>
          <w:tcPr>
            <w:tcW w:w="4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0"/>
                <w:szCs w:val="10"/>
                <w:b w:val="1"/>
                <w:bCs w:val="1"/>
                <w:color w:val="auto"/>
              </w:rPr>
              <w:t>2024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1"/>
        </w:trPr>
        <w:tc>
          <w:tcPr>
            <w:tcW w:w="1340" w:type="dxa"/>
            <w:vAlign w:val="bottom"/>
          </w:tcPr>
          <w:p>
            <w:pPr>
              <w:ind w:left="20"/>
              <w:spacing w:after="0"/>
              <w:rPr>
                <w:sz w:val="20"/>
                <w:szCs w:val="20"/>
                <w:color w:val="auto"/>
              </w:rPr>
            </w:pPr>
            <w:r>
              <w:rPr>
                <w:rFonts w:ascii="Arial" w:cs="Arial" w:eastAsia="Arial" w:hAnsi="Arial"/>
                <w:sz w:val="10"/>
                <w:szCs w:val="10"/>
                <w:color w:val="auto"/>
              </w:rPr>
              <w:t>Share-based instruments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128"/>
              <w:spacing w:after="0"/>
              <w:rPr>
                <w:sz w:val="20"/>
                <w:szCs w:val="20"/>
                <w:color w:val="auto"/>
              </w:rPr>
            </w:pPr>
            <w:r>
              <w:rPr>
                <w:rFonts w:ascii="Arial" w:cs="Arial" w:eastAsia="Arial" w:hAnsi="Arial"/>
                <w:sz w:val="10"/>
                <w:szCs w:val="10"/>
                <w:color w:val="691A6B"/>
              </w:rPr>
              <w:t>52</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ind w:right="429"/>
              <w:spacing w:after="0"/>
              <w:rPr>
                <w:sz w:val="20"/>
                <w:szCs w:val="20"/>
                <w:color w:val="auto"/>
              </w:rPr>
            </w:pPr>
            <w:r>
              <w:rPr>
                <w:rFonts w:ascii="Arial" w:cs="Arial" w:eastAsia="Arial" w:hAnsi="Arial"/>
                <w:sz w:val="10"/>
                <w:szCs w:val="10"/>
                <w:color w:val="auto"/>
              </w:rPr>
              <w:t>38</w:t>
            </w: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2"/>
                <w:szCs w:val="12"/>
                <w:color w:val="auto"/>
              </w:rPr>
            </w:pPr>
          </w:p>
        </w:tc>
      </w:tr>
      <w:tr>
        <w:trPr>
          <w:trHeight w:val="152"/>
        </w:trPr>
        <w:tc>
          <w:tcPr>
            <w:tcW w:w="1340" w:type="dxa"/>
            <w:vAlign w:val="bottom"/>
          </w:tcPr>
          <w:p>
            <w:pPr>
              <w:ind w:left="20"/>
              <w:spacing w:after="0"/>
              <w:rPr>
                <w:sz w:val="20"/>
                <w:szCs w:val="20"/>
                <w:color w:val="auto"/>
              </w:rPr>
            </w:pPr>
            <w:r>
              <w:rPr>
                <w:rFonts w:ascii="Arial" w:cs="Arial" w:eastAsia="Arial" w:hAnsi="Arial"/>
                <w:sz w:val="10"/>
                <w:szCs w:val="10"/>
                <w:color w:val="auto"/>
              </w:rPr>
              <w:t>Deferred revenue</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128"/>
              <w:spacing w:after="0"/>
              <w:rPr>
                <w:sz w:val="20"/>
                <w:szCs w:val="20"/>
                <w:color w:val="auto"/>
              </w:rPr>
            </w:pPr>
            <w:r>
              <w:rPr>
                <w:rFonts w:ascii="Arial" w:cs="Arial" w:eastAsia="Arial" w:hAnsi="Arial"/>
                <w:sz w:val="10"/>
                <w:szCs w:val="10"/>
                <w:color w:val="691A6B"/>
              </w:rPr>
              <w:t>16</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right"/>
              <w:ind w:right="429"/>
              <w:spacing w:after="0"/>
              <w:rPr>
                <w:sz w:val="20"/>
                <w:szCs w:val="20"/>
                <w:color w:val="auto"/>
              </w:rPr>
            </w:pPr>
            <w:r>
              <w:rPr>
                <w:rFonts w:ascii="Arial" w:cs="Arial" w:eastAsia="Arial" w:hAnsi="Arial"/>
                <w:sz w:val="10"/>
                <w:szCs w:val="10"/>
                <w:color w:val="auto"/>
              </w:rPr>
              <w:t>16</w:t>
            </w: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13"/>
                <w:szCs w:val="13"/>
                <w:color w:val="auto"/>
              </w:rPr>
            </w:pPr>
          </w:p>
        </w:tc>
      </w:tr>
      <w:tr>
        <w:trPr>
          <w:trHeight w:val="152"/>
        </w:trPr>
        <w:tc>
          <w:tcPr>
            <w:tcW w:w="1340" w:type="dxa"/>
            <w:vAlign w:val="bottom"/>
          </w:tcPr>
          <w:p>
            <w:pPr>
              <w:ind w:left="20"/>
              <w:spacing w:after="0"/>
              <w:rPr>
                <w:sz w:val="20"/>
                <w:szCs w:val="20"/>
                <w:color w:val="auto"/>
              </w:rPr>
            </w:pPr>
            <w:r>
              <w:rPr>
                <w:rFonts w:ascii="Arial" w:cs="Arial" w:eastAsia="Arial" w:hAnsi="Arial"/>
                <w:sz w:val="10"/>
                <w:szCs w:val="10"/>
                <w:color w:val="auto"/>
              </w:rPr>
              <w:t>Intangible assets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88"/>
              <w:spacing w:after="0"/>
              <w:rPr>
                <w:sz w:val="20"/>
                <w:szCs w:val="20"/>
                <w:color w:val="auto"/>
              </w:rPr>
            </w:pPr>
            <w:r>
              <w:rPr>
                <w:rFonts w:ascii="Arial" w:cs="Arial" w:eastAsia="Arial" w:hAnsi="Arial"/>
                <w:sz w:val="10"/>
                <w:szCs w:val="10"/>
                <w:color w:val="691A6B"/>
              </w:rPr>
              <w:t>(410)</w:t>
            </w:r>
          </w:p>
        </w:tc>
        <w:tc>
          <w:tcPr>
            <w:tcW w:w="540" w:type="dxa"/>
            <w:vAlign w:val="bottom"/>
          </w:tcPr>
          <w:p>
            <w:pPr>
              <w:spacing w:after="0"/>
              <w:rPr>
                <w:sz w:val="13"/>
                <w:szCs w:val="13"/>
                <w:color w:val="auto"/>
              </w:rPr>
            </w:pPr>
          </w:p>
        </w:tc>
        <w:tc>
          <w:tcPr>
            <w:tcW w:w="700" w:type="dxa"/>
            <w:vAlign w:val="bottom"/>
            <w:gridSpan w:val="2"/>
          </w:tcPr>
          <w:p>
            <w:pPr>
              <w:jc w:val="right"/>
              <w:ind w:right="409"/>
              <w:spacing w:after="0"/>
              <w:rPr>
                <w:sz w:val="20"/>
                <w:szCs w:val="20"/>
                <w:color w:val="auto"/>
              </w:rPr>
            </w:pPr>
            <w:r>
              <w:rPr>
                <w:rFonts w:ascii="Arial" w:cs="Arial" w:eastAsia="Arial" w:hAnsi="Arial"/>
                <w:sz w:val="10"/>
                <w:szCs w:val="10"/>
                <w:color w:val="auto"/>
                <w:w w:val="94"/>
              </w:rPr>
              <w:t>(409)</w:t>
            </w:r>
          </w:p>
        </w:tc>
        <w:tc>
          <w:tcPr>
            <w:tcW w:w="520" w:type="dxa"/>
            <w:vAlign w:val="bottom"/>
          </w:tcPr>
          <w:p>
            <w:pPr>
              <w:jc w:val="right"/>
              <w:spacing w:after="0"/>
              <w:rPr>
                <w:sz w:val="20"/>
                <w:szCs w:val="20"/>
                <w:color w:val="auto"/>
              </w:rPr>
            </w:pPr>
            <w:r>
              <w:rPr>
                <w:rFonts w:ascii="Arial" w:cs="Arial" w:eastAsia="Arial" w:hAnsi="Arial"/>
                <w:sz w:val="10"/>
                <w:szCs w:val="10"/>
                <w:color w:val="auto"/>
              </w:rPr>
              <w:t>(9)</w:t>
            </w:r>
          </w:p>
        </w:tc>
        <w:tc>
          <w:tcPr>
            <w:tcW w:w="60" w:type="dxa"/>
            <w:vAlign w:val="bottom"/>
          </w:tcPr>
          <w:p>
            <w:pPr>
              <w:spacing w:after="0"/>
              <w:rPr>
                <w:sz w:val="13"/>
                <w:szCs w:val="13"/>
                <w:color w:val="auto"/>
              </w:rPr>
            </w:pPr>
          </w:p>
        </w:tc>
      </w:tr>
      <w:tr>
        <w:trPr>
          <w:trHeight w:val="152"/>
        </w:trPr>
        <w:tc>
          <w:tcPr>
            <w:tcW w:w="1340" w:type="dxa"/>
            <w:vAlign w:val="bottom"/>
          </w:tcPr>
          <w:p>
            <w:pPr>
              <w:ind w:left="20"/>
              <w:spacing w:after="0"/>
              <w:rPr>
                <w:sz w:val="20"/>
                <w:szCs w:val="20"/>
                <w:color w:val="auto"/>
              </w:rPr>
            </w:pPr>
            <w:r>
              <w:rPr>
                <w:rFonts w:ascii="Arial" w:cs="Arial" w:eastAsia="Arial" w:hAnsi="Arial"/>
                <w:sz w:val="10"/>
                <w:szCs w:val="10"/>
                <w:color w:val="auto"/>
              </w:rPr>
              <w:t>Liabilities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128"/>
              <w:spacing w:after="0"/>
              <w:rPr>
                <w:sz w:val="20"/>
                <w:szCs w:val="20"/>
                <w:color w:val="auto"/>
              </w:rPr>
            </w:pPr>
            <w:r>
              <w:rPr>
                <w:rFonts w:ascii="Arial" w:cs="Arial" w:eastAsia="Arial" w:hAnsi="Arial"/>
                <w:sz w:val="10"/>
                <w:szCs w:val="10"/>
                <w:color w:val="691A6B"/>
              </w:rPr>
              <w:t>30</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right"/>
              <w:ind w:right="429"/>
              <w:spacing w:after="0"/>
              <w:rPr>
                <w:sz w:val="20"/>
                <w:szCs w:val="20"/>
                <w:color w:val="auto"/>
              </w:rPr>
            </w:pPr>
            <w:r>
              <w:rPr>
                <w:rFonts w:ascii="Arial" w:cs="Arial" w:eastAsia="Arial" w:hAnsi="Arial"/>
                <w:sz w:val="10"/>
                <w:szCs w:val="10"/>
                <w:color w:val="auto"/>
              </w:rPr>
              <w:t>9</w:t>
            </w: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3"/>
                <w:szCs w:val="13"/>
                <w:color w:val="auto"/>
              </w:rPr>
            </w:pPr>
          </w:p>
        </w:tc>
      </w:tr>
      <w:tr>
        <w:trPr>
          <w:trHeight w:val="152"/>
        </w:trPr>
        <w:tc>
          <w:tcPr>
            <w:tcW w:w="2020" w:type="dxa"/>
            <w:vAlign w:val="bottom"/>
            <w:gridSpan w:val="3"/>
          </w:tcPr>
          <w:p>
            <w:pPr>
              <w:ind w:left="20"/>
              <w:spacing w:after="0"/>
              <w:rPr>
                <w:sz w:val="20"/>
                <w:szCs w:val="20"/>
                <w:color w:val="auto"/>
              </w:rPr>
            </w:pPr>
            <w:r>
              <w:rPr>
                <w:rFonts w:ascii="Arial" w:cs="Arial" w:eastAsia="Arial" w:hAnsi="Arial"/>
                <w:sz w:val="10"/>
                <w:szCs w:val="10"/>
                <w:color w:val="auto"/>
              </w:rPr>
              <w:t>Tax losses and credits carried forward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128"/>
              <w:spacing w:after="0"/>
              <w:rPr>
                <w:sz w:val="20"/>
                <w:szCs w:val="20"/>
                <w:color w:val="auto"/>
              </w:rPr>
            </w:pPr>
            <w:r>
              <w:rPr>
                <w:rFonts w:ascii="Arial" w:cs="Arial" w:eastAsia="Arial" w:hAnsi="Arial"/>
                <w:sz w:val="10"/>
                <w:szCs w:val="10"/>
                <w:color w:val="691A6B"/>
              </w:rPr>
              <w:t>33</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right"/>
              <w:ind w:right="429"/>
              <w:spacing w:after="0"/>
              <w:rPr>
                <w:sz w:val="20"/>
                <w:szCs w:val="20"/>
                <w:color w:val="auto"/>
              </w:rPr>
            </w:pPr>
            <w:r>
              <w:rPr>
                <w:rFonts w:ascii="Arial" w:cs="Arial" w:eastAsia="Arial" w:hAnsi="Arial"/>
                <w:sz w:val="10"/>
                <w:szCs w:val="10"/>
                <w:color w:val="auto"/>
              </w:rPr>
              <w:t>48</w:t>
            </w: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r>
      <w:tr>
        <w:trPr>
          <w:trHeight w:val="152"/>
        </w:trPr>
        <w:tc>
          <w:tcPr>
            <w:tcW w:w="1340" w:type="dxa"/>
            <w:vAlign w:val="bottom"/>
          </w:tcPr>
          <w:p>
            <w:pPr>
              <w:ind w:left="20"/>
              <w:spacing w:after="0"/>
              <w:rPr>
                <w:sz w:val="20"/>
                <w:szCs w:val="20"/>
                <w:color w:val="auto"/>
              </w:rPr>
            </w:pPr>
            <w:r>
              <w:rPr>
                <w:rFonts w:ascii="Arial" w:cs="Arial" w:eastAsia="Arial" w:hAnsi="Arial"/>
                <w:sz w:val="10"/>
                <w:szCs w:val="10"/>
                <w:color w:val="auto"/>
              </w:rPr>
              <w:t>Other temporary differences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128"/>
              <w:spacing w:after="0"/>
              <w:rPr>
                <w:sz w:val="20"/>
                <w:szCs w:val="20"/>
                <w:color w:val="auto"/>
              </w:rPr>
            </w:pPr>
            <w:r>
              <w:rPr>
                <w:rFonts w:ascii="Arial" w:cs="Arial" w:eastAsia="Arial" w:hAnsi="Arial"/>
                <w:sz w:val="10"/>
                <w:szCs w:val="10"/>
                <w:color w:val="691A6B"/>
              </w:rPr>
              <w:t>86</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jc w:val="right"/>
              <w:ind w:right="429"/>
              <w:spacing w:after="0"/>
              <w:rPr>
                <w:sz w:val="20"/>
                <w:szCs w:val="20"/>
                <w:color w:val="auto"/>
              </w:rPr>
            </w:pPr>
            <w:r>
              <w:rPr>
                <w:rFonts w:ascii="Arial" w:cs="Arial" w:eastAsia="Arial" w:hAnsi="Arial"/>
                <w:sz w:val="10"/>
                <w:szCs w:val="10"/>
                <w:color w:val="auto"/>
              </w:rPr>
              <w:t>95</w:t>
            </w: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13"/>
                <w:szCs w:val="13"/>
                <w:color w:val="auto"/>
              </w:rPr>
            </w:pPr>
          </w:p>
        </w:tc>
      </w:tr>
      <w:tr>
        <w:trPr>
          <w:trHeight w:val="176"/>
        </w:trPr>
        <w:tc>
          <w:tcPr>
            <w:tcW w:w="1340" w:type="dxa"/>
            <w:vAlign w:val="bottom"/>
            <w:tcBorders>
              <w:bottom w:val="single" w:sz="8" w:color="691A6B"/>
            </w:tcBorders>
          </w:tcPr>
          <w:p>
            <w:pPr>
              <w:ind w:left="20"/>
              <w:spacing w:after="0"/>
              <w:rPr>
                <w:sz w:val="20"/>
                <w:szCs w:val="20"/>
                <w:color w:val="auto"/>
              </w:rPr>
            </w:pPr>
            <w:r>
              <w:rPr>
                <w:rFonts w:ascii="Arial" w:cs="Arial" w:eastAsia="Arial" w:hAnsi="Arial"/>
                <w:sz w:val="10"/>
                <w:szCs w:val="10"/>
                <w:b w:val="1"/>
                <w:bCs w:val="1"/>
                <w:color w:val="auto"/>
              </w:rPr>
              <w:t>Total</w:t>
            </w:r>
          </w:p>
        </w:tc>
        <w:tc>
          <w:tcPr>
            <w:tcW w:w="200" w:type="dxa"/>
            <w:vAlign w:val="bottom"/>
            <w:tcBorders>
              <w:bottom w:val="single" w:sz="8" w:color="691A6B"/>
            </w:tcBorders>
          </w:tcPr>
          <w:p>
            <w:pPr>
              <w:spacing w:after="0"/>
              <w:rPr>
                <w:sz w:val="15"/>
                <w:szCs w:val="15"/>
                <w:color w:val="auto"/>
              </w:rPr>
            </w:pPr>
          </w:p>
        </w:tc>
        <w:tc>
          <w:tcPr>
            <w:tcW w:w="480" w:type="dxa"/>
            <w:vAlign w:val="bottom"/>
            <w:tcBorders>
              <w:bottom w:val="single" w:sz="8" w:color="691A6B"/>
            </w:tcBorders>
          </w:tcPr>
          <w:p>
            <w:pPr>
              <w:spacing w:after="0"/>
              <w:rPr>
                <w:sz w:val="15"/>
                <w:szCs w:val="15"/>
                <w:color w:val="auto"/>
              </w:rPr>
            </w:pPr>
          </w:p>
        </w:tc>
        <w:tc>
          <w:tcPr>
            <w:tcW w:w="580" w:type="dxa"/>
            <w:vAlign w:val="bottom"/>
            <w:tcBorders>
              <w:bottom w:val="single" w:sz="8" w:color="691A6B"/>
            </w:tcBorders>
          </w:tcPr>
          <w:p>
            <w:pPr>
              <w:spacing w:after="0"/>
              <w:rPr>
                <w:sz w:val="15"/>
                <w:szCs w:val="15"/>
                <w:color w:val="auto"/>
              </w:rPr>
            </w:pPr>
          </w:p>
        </w:tc>
        <w:tc>
          <w:tcPr>
            <w:tcW w:w="140" w:type="dxa"/>
            <w:vAlign w:val="bottom"/>
            <w:tcBorders>
              <w:bottom w:val="single" w:sz="8" w:color="691A6B"/>
            </w:tcBorders>
          </w:tcPr>
          <w:p>
            <w:pPr>
              <w:spacing w:after="0"/>
              <w:rPr>
                <w:sz w:val="15"/>
                <w:szCs w:val="15"/>
                <w:color w:val="auto"/>
              </w:rPr>
            </w:pPr>
          </w:p>
        </w:tc>
        <w:tc>
          <w:tcPr>
            <w:tcW w:w="400" w:type="dxa"/>
            <w:vAlign w:val="bottom"/>
            <w:tcBorders>
              <w:bottom w:val="single" w:sz="8" w:color="691A6B"/>
            </w:tcBorders>
          </w:tcPr>
          <w:p>
            <w:pPr>
              <w:jc w:val="right"/>
              <w:ind w:right="88"/>
              <w:spacing w:after="0"/>
              <w:rPr>
                <w:sz w:val="20"/>
                <w:szCs w:val="20"/>
                <w:color w:val="auto"/>
              </w:rPr>
            </w:pPr>
            <w:r>
              <w:rPr>
                <w:rFonts w:ascii="Arial" w:cs="Arial" w:eastAsia="Arial" w:hAnsi="Arial"/>
                <w:sz w:val="10"/>
                <w:szCs w:val="10"/>
                <w:b w:val="1"/>
                <w:bCs w:val="1"/>
                <w:color w:val="691A6B"/>
              </w:rPr>
              <w:t>(193)</w:t>
            </w:r>
          </w:p>
        </w:tc>
        <w:tc>
          <w:tcPr>
            <w:tcW w:w="540" w:type="dxa"/>
            <w:vAlign w:val="bottom"/>
            <w:tcBorders>
              <w:bottom w:val="single" w:sz="8" w:color="691A6B"/>
            </w:tcBorders>
          </w:tcPr>
          <w:p>
            <w:pPr>
              <w:spacing w:after="0"/>
              <w:rPr>
                <w:sz w:val="15"/>
                <w:szCs w:val="15"/>
                <w:color w:val="auto"/>
              </w:rPr>
            </w:pPr>
          </w:p>
        </w:tc>
        <w:tc>
          <w:tcPr>
            <w:tcW w:w="700" w:type="dxa"/>
            <w:vAlign w:val="bottom"/>
            <w:tcBorders>
              <w:bottom w:val="single" w:sz="8" w:color="691A6B"/>
            </w:tcBorders>
            <w:gridSpan w:val="2"/>
          </w:tcPr>
          <w:p>
            <w:pPr>
              <w:jc w:val="right"/>
              <w:ind w:right="409"/>
              <w:spacing w:after="0"/>
              <w:rPr>
                <w:sz w:val="20"/>
                <w:szCs w:val="20"/>
                <w:color w:val="auto"/>
              </w:rPr>
            </w:pPr>
            <w:r>
              <w:rPr>
                <w:rFonts w:ascii="Arial" w:cs="Arial" w:eastAsia="Arial" w:hAnsi="Arial"/>
                <w:sz w:val="10"/>
                <w:szCs w:val="10"/>
                <w:b w:val="1"/>
                <w:bCs w:val="1"/>
                <w:color w:val="auto"/>
                <w:w w:val="94"/>
              </w:rPr>
              <w:t>(203)</w:t>
            </w:r>
          </w:p>
        </w:tc>
        <w:tc>
          <w:tcPr>
            <w:tcW w:w="520" w:type="dxa"/>
            <w:vAlign w:val="bottom"/>
            <w:tcBorders>
              <w:bottom w:val="single" w:sz="8" w:color="691A6B"/>
            </w:tcBorders>
          </w:tcPr>
          <w:p>
            <w:pPr>
              <w:jc w:val="right"/>
              <w:ind w:right="28"/>
              <w:spacing w:after="0"/>
              <w:rPr>
                <w:sz w:val="20"/>
                <w:szCs w:val="20"/>
                <w:color w:val="auto"/>
              </w:rPr>
            </w:pPr>
            <w:r>
              <w:rPr>
                <w:rFonts w:ascii="Arial" w:cs="Arial" w:eastAsia="Arial" w:hAnsi="Arial"/>
                <w:sz w:val="10"/>
                <w:szCs w:val="10"/>
                <w:b w:val="1"/>
                <w:bCs w:val="1"/>
                <w:color w:val="auto"/>
              </w:rPr>
              <w:t>31</w:t>
            </w:r>
          </w:p>
        </w:tc>
        <w:tc>
          <w:tcPr>
            <w:tcW w:w="60" w:type="dxa"/>
            <w:vAlign w:val="bottom"/>
            <w:tcBorders>
              <w:bottom w:val="single" w:sz="8" w:color="691A6B"/>
            </w:tcBorders>
          </w:tcPr>
          <w:p>
            <w:pPr>
              <w:spacing w:after="0"/>
              <w:rPr>
                <w:sz w:val="15"/>
                <w:szCs w:val="15"/>
                <w:color w:val="auto"/>
              </w:rPr>
            </w:pPr>
          </w:p>
        </w:tc>
      </w:tr>
      <w:tr>
        <w:trPr>
          <w:trHeight w:val="96"/>
        </w:trPr>
        <w:tc>
          <w:tcPr>
            <w:tcW w:w="1340" w:type="dxa"/>
            <w:vAlign w:val="bottom"/>
          </w:tcPr>
          <w:p>
            <w:pPr>
              <w:ind w:left="940"/>
              <w:spacing w:after="0" w:line="96" w:lineRule="exact"/>
              <w:rPr>
                <w:sz w:val="20"/>
                <w:szCs w:val="20"/>
                <w:color w:val="auto"/>
              </w:rPr>
            </w:pPr>
            <w:r>
              <w:rPr>
                <w:rFonts w:ascii="Arial" w:cs="Arial" w:eastAsia="Arial" w:hAnsi="Arial"/>
                <w:sz w:val="10"/>
                <w:szCs w:val="10"/>
                <w:b w:val="1"/>
                <w:bCs w:val="1"/>
                <w:color w:val="auto"/>
              </w:rPr>
              <w:t>Share-</w:t>
            </w:r>
          </w:p>
        </w:tc>
        <w:tc>
          <w:tcPr>
            <w:tcW w:w="200" w:type="dxa"/>
            <w:vAlign w:val="bottom"/>
          </w:tcPr>
          <w:p>
            <w:pPr>
              <w:spacing w:after="0"/>
              <w:rPr>
                <w:sz w:val="8"/>
                <w:szCs w:val="8"/>
                <w:color w:val="auto"/>
              </w:rPr>
            </w:pPr>
          </w:p>
        </w:tc>
        <w:tc>
          <w:tcPr>
            <w:tcW w:w="480" w:type="dxa"/>
            <w:vAlign w:val="bottom"/>
          </w:tcPr>
          <w:p>
            <w:pPr>
              <w:ind w:left="40"/>
              <w:spacing w:after="0" w:line="96" w:lineRule="exact"/>
              <w:rPr>
                <w:sz w:val="20"/>
                <w:szCs w:val="20"/>
                <w:color w:val="auto"/>
              </w:rPr>
            </w:pPr>
            <w:r>
              <w:rPr>
                <w:rFonts w:ascii="Arial" w:cs="Arial" w:eastAsia="Arial" w:hAnsi="Arial"/>
                <w:sz w:val="10"/>
                <w:szCs w:val="10"/>
                <w:b w:val="1"/>
                <w:bCs w:val="1"/>
                <w:color w:val="auto"/>
              </w:rPr>
              <w:t>Deferred</w:t>
            </w:r>
          </w:p>
        </w:tc>
        <w:tc>
          <w:tcPr>
            <w:tcW w:w="580" w:type="dxa"/>
            <w:vAlign w:val="bottom"/>
          </w:tcPr>
          <w:p>
            <w:pPr>
              <w:ind w:left="60"/>
              <w:spacing w:after="0" w:line="96" w:lineRule="exact"/>
              <w:rPr>
                <w:sz w:val="20"/>
                <w:szCs w:val="20"/>
                <w:color w:val="auto"/>
              </w:rPr>
            </w:pPr>
            <w:r>
              <w:rPr>
                <w:rFonts w:ascii="Arial" w:cs="Arial" w:eastAsia="Arial" w:hAnsi="Arial"/>
                <w:sz w:val="10"/>
                <w:szCs w:val="10"/>
                <w:b w:val="1"/>
                <w:bCs w:val="1"/>
                <w:color w:val="auto"/>
              </w:rPr>
              <w:t>Intangible</w:t>
            </w:r>
          </w:p>
        </w:tc>
        <w:tc>
          <w:tcPr>
            <w:tcW w:w="540" w:type="dxa"/>
            <w:vAlign w:val="bottom"/>
            <w:gridSpan w:val="2"/>
          </w:tcPr>
          <w:p>
            <w:pPr>
              <w:jc w:val="right"/>
              <w:ind w:right="8"/>
              <w:spacing w:after="0" w:line="96" w:lineRule="exact"/>
              <w:rPr>
                <w:sz w:val="20"/>
                <w:szCs w:val="20"/>
                <w:color w:val="auto"/>
              </w:rPr>
            </w:pPr>
            <w:r>
              <w:rPr>
                <w:rFonts w:ascii="Arial" w:cs="Arial" w:eastAsia="Arial" w:hAnsi="Arial"/>
                <w:sz w:val="10"/>
                <w:szCs w:val="10"/>
                <w:b w:val="1"/>
                <w:bCs w:val="1"/>
                <w:color w:val="auto"/>
                <w:w w:val="99"/>
              </w:rPr>
              <w:t>Liabilities</w:t>
            </w:r>
          </w:p>
        </w:tc>
        <w:tc>
          <w:tcPr>
            <w:tcW w:w="540" w:type="dxa"/>
            <w:vAlign w:val="bottom"/>
          </w:tcPr>
          <w:p>
            <w:pPr>
              <w:ind w:left="60"/>
              <w:spacing w:after="0" w:line="96" w:lineRule="exact"/>
              <w:rPr>
                <w:sz w:val="20"/>
                <w:szCs w:val="20"/>
                <w:color w:val="auto"/>
              </w:rPr>
            </w:pPr>
            <w:r>
              <w:rPr>
                <w:rFonts w:ascii="Arial" w:cs="Arial" w:eastAsia="Arial" w:hAnsi="Arial"/>
                <w:sz w:val="10"/>
                <w:szCs w:val="10"/>
                <w:b w:val="1"/>
                <w:bCs w:val="1"/>
                <w:color w:val="auto"/>
              </w:rPr>
              <w:t>Tax</w:t>
            </w:r>
          </w:p>
        </w:tc>
        <w:tc>
          <w:tcPr>
            <w:tcW w:w="40" w:type="dxa"/>
            <w:vAlign w:val="bottom"/>
          </w:tcPr>
          <w:p>
            <w:pPr>
              <w:spacing w:after="0"/>
              <w:rPr>
                <w:sz w:val="8"/>
                <w:szCs w:val="8"/>
                <w:color w:val="auto"/>
              </w:rPr>
            </w:pPr>
          </w:p>
        </w:tc>
        <w:tc>
          <w:tcPr>
            <w:tcW w:w="660" w:type="dxa"/>
            <w:vAlign w:val="bottom"/>
          </w:tcPr>
          <w:p>
            <w:pPr>
              <w:ind w:left="40"/>
              <w:spacing w:after="0" w:line="96" w:lineRule="exact"/>
              <w:rPr>
                <w:sz w:val="20"/>
                <w:szCs w:val="20"/>
                <w:color w:val="auto"/>
              </w:rPr>
            </w:pPr>
            <w:r>
              <w:rPr>
                <w:rFonts w:ascii="Arial" w:cs="Arial" w:eastAsia="Arial" w:hAnsi="Arial"/>
                <w:sz w:val="10"/>
                <w:szCs w:val="10"/>
                <w:b w:val="1"/>
                <w:bCs w:val="1"/>
                <w:color w:val="auto"/>
              </w:rPr>
              <w:t>Other</w:t>
            </w:r>
          </w:p>
        </w:tc>
        <w:tc>
          <w:tcPr>
            <w:tcW w:w="520" w:type="dxa"/>
            <w:vAlign w:val="bottom"/>
          </w:tcPr>
          <w:p>
            <w:pPr>
              <w:jc w:val="right"/>
              <w:ind w:right="208"/>
              <w:spacing w:after="0" w:line="96" w:lineRule="exact"/>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8"/>
                <w:szCs w:val="8"/>
                <w:color w:val="auto"/>
              </w:rPr>
            </w:pPr>
          </w:p>
        </w:tc>
      </w:tr>
      <w:tr>
        <w:trPr>
          <w:trHeight w:val="95"/>
        </w:trPr>
        <w:tc>
          <w:tcPr>
            <w:tcW w:w="1340" w:type="dxa"/>
            <w:vAlign w:val="bottom"/>
          </w:tcPr>
          <w:p>
            <w:pPr>
              <w:ind w:left="940"/>
              <w:spacing w:after="0" w:line="95" w:lineRule="exact"/>
              <w:rPr>
                <w:sz w:val="20"/>
                <w:szCs w:val="20"/>
                <w:color w:val="auto"/>
              </w:rPr>
            </w:pPr>
            <w:r>
              <w:rPr>
                <w:rFonts w:ascii="Arial" w:cs="Arial" w:eastAsia="Arial" w:hAnsi="Arial"/>
                <w:sz w:val="10"/>
                <w:szCs w:val="10"/>
                <w:b w:val="1"/>
                <w:bCs w:val="1"/>
                <w:color w:val="auto"/>
              </w:rPr>
              <w:t>based</w:t>
            </w:r>
          </w:p>
        </w:tc>
        <w:tc>
          <w:tcPr>
            <w:tcW w:w="200" w:type="dxa"/>
            <w:vAlign w:val="bottom"/>
          </w:tcPr>
          <w:p>
            <w:pPr>
              <w:spacing w:after="0"/>
              <w:rPr>
                <w:sz w:val="8"/>
                <w:szCs w:val="8"/>
                <w:color w:val="auto"/>
              </w:rPr>
            </w:pPr>
          </w:p>
        </w:tc>
        <w:tc>
          <w:tcPr>
            <w:tcW w:w="48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revenue</w:t>
            </w:r>
          </w:p>
        </w:tc>
        <w:tc>
          <w:tcPr>
            <w:tcW w:w="5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assets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losses</w:t>
            </w:r>
          </w:p>
        </w:tc>
        <w:tc>
          <w:tcPr>
            <w:tcW w:w="40" w:type="dxa"/>
            <w:vAlign w:val="bottom"/>
          </w:tcPr>
          <w:p>
            <w:pPr>
              <w:spacing w:after="0"/>
              <w:rPr>
                <w:sz w:val="8"/>
                <w:szCs w:val="8"/>
                <w:color w:val="auto"/>
              </w:rPr>
            </w:pPr>
          </w:p>
        </w:tc>
        <w:tc>
          <w:tcPr>
            <w:tcW w:w="66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temporary</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5"/>
        </w:trPr>
        <w:tc>
          <w:tcPr>
            <w:tcW w:w="1540" w:type="dxa"/>
            <w:vAlign w:val="bottom"/>
            <w:gridSpan w:val="2"/>
          </w:tcPr>
          <w:p>
            <w:pPr>
              <w:ind w:left="940"/>
              <w:spacing w:after="0" w:line="95" w:lineRule="exact"/>
              <w:rPr>
                <w:sz w:val="20"/>
                <w:szCs w:val="20"/>
                <w:color w:val="auto"/>
              </w:rPr>
            </w:pPr>
            <w:r>
              <w:rPr>
                <w:rFonts w:ascii="Arial" w:cs="Arial" w:eastAsia="Arial" w:hAnsi="Arial"/>
                <w:sz w:val="10"/>
                <w:szCs w:val="10"/>
                <w:b w:val="1"/>
                <w:bCs w:val="1"/>
                <w:color w:val="auto"/>
              </w:rPr>
              <w:t>instruments</w:t>
            </w: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carried</w:t>
            </w:r>
          </w:p>
        </w:tc>
        <w:tc>
          <w:tcPr>
            <w:tcW w:w="40" w:type="dxa"/>
            <w:vAlign w:val="bottom"/>
          </w:tcPr>
          <w:p>
            <w:pPr>
              <w:spacing w:after="0"/>
              <w:rPr>
                <w:sz w:val="8"/>
                <w:szCs w:val="8"/>
                <w:color w:val="auto"/>
              </w:rPr>
            </w:pPr>
          </w:p>
        </w:tc>
        <w:tc>
          <w:tcPr>
            <w:tcW w:w="66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differences</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28"/>
        </w:trPr>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forward</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8"/>
        </w:trPr>
        <w:tc>
          <w:tcPr>
            <w:tcW w:w="1340" w:type="dxa"/>
            <w:vAlign w:val="bottom"/>
          </w:tcPr>
          <w:p>
            <w:pPr>
              <w:ind w:left="20"/>
              <w:spacing w:after="0"/>
              <w:rPr>
                <w:sz w:val="20"/>
                <w:szCs w:val="20"/>
                <w:color w:val="auto"/>
              </w:rPr>
            </w:pPr>
            <w:r>
              <w:rPr>
                <w:rFonts w:ascii="Arial" w:cs="Arial" w:eastAsia="Arial" w:hAnsi="Arial"/>
                <w:sz w:val="10"/>
                <w:szCs w:val="10"/>
                <w:color w:val="691A6B"/>
              </w:rPr>
              <w:t>2025</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0"/>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Net deferred tax</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rPr>
              <w:t>38</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16</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(409)</w:t>
            </w: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9</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48</w:t>
            </w:r>
          </w:p>
        </w:tc>
        <w:tc>
          <w:tcPr>
            <w:tcW w:w="40" w:type="dxa"/>
            <w:vAlign w:val="bottom"/>
          </w:tcPr>
          <w:p>
            <w:pPr>
              <w:spacing w:after="0"/>
              <w:rPr>
                <w:sz w:val="10"/>
                <w:szCs w:val="10"/>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95</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(203)</w:t>
            </w:r>
          </w:p>
        </w:tc>
        <w:tc>
          <w:tcPr>
            <w:tcW w:w="60" w:type="dxa"/>
            <w:vAlign w:val="bottom"/>
          </w:tcPr>
          <w:p>
            <w:pPr>
              <w:spacing w:after="0"/>
              <w:rPr>
                <w:sz w:val="10"/>
                <w:szCs w:val="10"/>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asset/(liability) at</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the beginning of</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3"/>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the year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1340" w:type="dxa"/>
            <w:vAlign w:val="bottom"/>
          </w:tcPr>
          <w:p>
            <w:pPr>
              <w:ind w:left="20"/>
              <w:spacing w:after="0"/>
              <w:rPr>
                <w:sz w:val="20"/>
                <w:szCs w:val="20"/>
                <w:color w:val="auto"/>
              </w:rPr>
            </w:pPr>
            <w:r>
              <w:rPr>
                <w:rFonts w:ascii="Arial" w:cs="Arial" w:eastAsia="Arial" w:hAnsi="Arial"/>
                <w:sz w:val="10"/>
                <w:szCs w:val="10"/>
                <w:color w:val="auto"/>
              </w:rPr>
              <w:t>Recognised in</w:t>
            </w:r>
          </w:p>
        </w:tc>
        <w:tc>
          <w:tcPr>
            <w:tcW w:w="200" w:type="dxa"/>
            <w:vAlign w:val="bottom"/>
          </w:tcPr>
          <w:p>
            <w:pPr>
              <w:jc w:val="right"/>
              <w:spacing w:after="0"/>
              <w:rPr>
                <w:sz w:val="20"/>
                <w:szCs w:val="20"/>
                <w:color w:val="auto"/>
              </w:rPr>
            </w:pPr>
            <w:r>
              <w:rPr>
                <w:rFonts w:ascii="Arial" w:cs="Arial" w:eastAsia="Arial" w:hAnsi="Arial"/>
                <w:sz w:val="10"/>
                <w:szCs w:val="10"/>
                <w:color w:val="auto"/>
              </w:rPr>
              <w:t>14</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21</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(15)</w:t>
            </w:r>
          </w:p>
        </w:tc>
        <w:tc>
          <w:tcPr>
            <w:tcW w:w="660" w:type="dxa"/>
            <w:vAlign w:val="bottom"/>
          </w:tcPr>
          <w:p>
            <w:pPr>
              <w:jc w:val="right"/>
              <w:spacing w:after="0"/>
              <w:rPr>
                <w:sz w:val="20"/>
                <w:szCs w:val="20"/>
                <w:color w:val="auto"/>
              </w:rPr>
            </w:pPr>
            <w:r>
              <w:rPr>
                <w:rFonts w:ascii="Arial" w:cs="Arial" w:eastAsia="Arial" w:hAnsi="Arial"/>
                <w:sz w:val="10"/>
                <w:szCs w:val="10"/>
                <w:color w:val="auto"/>
              </w:rPr>
              <w:t>(9)</w:t>
            </w:r>
          </w:p>
        </w:tc>
        <w:tc>
          <w:tcPr>
            <w:tcW w:w="520" w:type="dxa"/>
            <w:vAlign w:val="bottom"/>
          </w:tcPr>
          <w:p>
            <w:pPr>
              <w:jc w:val="right"/>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4"/>
                <w:szCs w:val="14"/>
                <w:color w:val="auto"/>
              </w:rPr>
            </w:pPr>
          </w:p>
        </w:tc>
      </w:tr>
      <w:tr>
        <w:trPr>
          <w:trHeight w:val="137"/>
        </w:trPr>
        <w:tc>
          <w:tcPr>
            <w:tcW w:w="1340" w:type="dxa"/>
            <w:vAlign w:val="bottom"/>
          </w:tcPr>
          <w:p>
            <w:pPr>
              <w:ind w:left="20"/>
              <w:spacing w:after="0"/>
              <w:rPr>
                <w:sz w:val="20"/>
                <w:szCs w:val="20"/>
                <w:color w:val="auto"/>
              </w:rPr>
            </w:pPr>
            <w:r>
              <w:rPr>
                <w:rFonts w:ascii="Arial" w:cs="Arial" w:eastAsia="Arial" w:hAnsi="Arial"/>
                <w:sz w:val="10"/>
                <w:szCs w:val="10"/>
                <w:color w:val="auto"/>
              </w:rPr>
              <w:t>Profit or Loss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0"/>
        </w:trPr>
        <w:tc>
          <w:tcPr>
            <w:tcW w:w="1340" w:type="dxa"/>
            <w:vAlign w:val="bottom"/>
          </w:tcPr>
          <w:p>
            <w:pPr>
              <w:ind w:left="20"/>
              <w:spacing w:after="0"/>
              <w:rPr>
                <w:sz w:val="20"/>
                <w:szCs w:val="20"/>
                <w:color w:val="auto"/>
              </w:rPr>
            </w:pPr>
            <w:r>
              <w:rPr>
                <w:rFonts w:ascii="Arial" w:cs="Arial" w:eastAsia="Arial" w:hAnsi="Arial"/>
                <w:sz w:val="10"/>
                <w:szCs w:val="10"/>
                <w:color w:val="auto"/>
              </w:rPr>
              <w:t>Acquired in</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color w:val="auto"/>
              </w:rPr>
              <w:t>Business</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37"/>
        </w:trPr>
        <w:tc>
          <w:tcPr>
            <w:tcW w:w="1340" w:type="dxa"/>
            <w:vAlign w:val="bottom"/>
          </w:tcPr>
          <w:p>
            <w:pPr>
              <w:ind w:left="20"/>
              <w:spacing w:after="0"/>
              <w:rPr>
                <w:sz w:val="20"/>
                <w:szCs w:val="20"/>
                <w:color w:val="auto"/>
              </w:rPr>
            </w:pPr>
            <w:r>
              <w:rPr>
                <w:rFonts w:ascii="Arial" w:cs="Arial" w:eastAsia="Arial" w:hAnsi="Arial"/>
                <w:sz w:val="10"/>
                <w:szCs w:val="10"/>
                <w:color w:val="auto"/>
              </w:rPr>
              <w:t>Combinations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Net deferred tax</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rPr>
              <w:t>52</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16</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(410)</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30</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33</w:t>
            </w:r>
          </w:p>
        </w:tc>
        <w:tc>
          <w:tcPr>
            <w:tcW w:w="40" w:type="dxa"/>
            <w:vAlign w:val="bottom"/>
          </w:tcPr>
          <w:p>
            <w:pPr>
              <w:spacing w:after="0"/>
              <w:rPr>
                <w:sz w:val="12"/>
                <w:szCs w:val="12"/>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86</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(193)</w:t>
            </w:r>
          </w:p>
        </w:tc>
        <w:tc>
          <w:tcPr>
            <w:tcW w:w="60" w:type="dxa"/>
            <w:vAlign w:val="bottom"/>
          </w:tcPr>
          <w:p>
            <w:pPr>
              <w:spacing w:after="0"/>
              <w:rPr>
                <w:sz w:val="12"/>
                <w:szCs w:val="12"/>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asset/(liability) at</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the end of the</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3"/>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year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56"/>
        </w:trPr>
        <w:tc>
          <w:tcPr>
            <w:tcW w:w="1340" w:type="dxa"/>
            <w:vAlign w:val="bottom"/>
          </w:tcPr>
          <w:p>
            <w:pPr>
              <w:ind w:left="20"/>
              <w:spacing w:after="0"/>
              <w:rPr>
                <w:sz w:val="20"/>
                <w:szCs w:val="20"/>
                <w:color w:val="auto"/>
              </w:rPr>
            </w:pPr>
            <w:r>
              <w:rPr>
                <w:rFonts w:ascii="Arial" w:cs="Arial" w:eastAsia="Arial" w:hAnsi="Arial"/>
                <w:sz w:val="10"/>
                <w:szCs w:val="10"/>
                <w:color w:val="691A6B"/>
              </w:rPr>
              <w:t>2024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0"/>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Net deferred tax</w:t>
            </w:r>
          </w:p>
        </w:tc>
        <w:tc>
          <w:tcPr>
            <w:tcW w:w="200" w:type="dxa"/>
            <w:vAlign w:val="bottom"/>
          </w:tcPr>
          <w:p>
            <w:pPr>
              <w:jc w:val="right"/>
              <w:spacing w:after="0"/>
              <w:rPr>
                <w:sz w:val="20"/>
                <w:szCs w:val="20"/>
                <w:color w:val="auto"/>
              </w:rPr>
            </w:pPr>
            <w:r>
              <w:rPr>
                <w:rFonts w:ascii="Arial" w:cs="Arial" w:eastAsia="Arial" w:hAnsi="Arial"/>
                <w:sz w:val="10"/>
                <w:szCs w:val="10"/>
                <w:color w:val="auto"/>
              </w:rPr>
              <w:t>5</w:t>
            </w:r>
          </w:p>
        </w:tc>
        <w:tc>
          <w:tcPr>
            <w:tcW w:w="480" w:type="dxa"/>
            <w:vAlign w:val="bottom"/>
          </w:tcPr>
          <w:p>
            <w:pPr>
              <w:jc w:val="right"/>
              <w:spacing w:after="0"/>
              <w:rPr>
                <w:sz w:val="20"/>
                <w:szCs w:val="20"/>
                <w:color w:val="auto"/>
              </w:rPr>
            </w:pPr>
            <w:r>
              <w:rPr>
                <w:rFonts w:ascii="Arial" w:cs="Arial" w:eastAsia="Arial" w:hAnsi="Arial"/>
                <w:sz w:val="10"/>
                <w:szCs w:val="10"/>
                <w:color w:val="auto"/>
              </w:rPr>
              <w:t>16</w:t>
            </w:r>
          </w:p>
        </w:tc>
        <w:tc>
          <w:tcPr>
            <w:tcW w:w="580" w:type="dxa"/>
            <w:vAlign w:val="bottom"/>
          </w:tcPr>
          <w:p>
            <w:pPr>
              <w:jc w:val="right"/>
              <w:spacing w:after="0"/>
              <w:rPr>
                <w:sz w:val="20"/>
                <w:szCs w:val="20"/>
                <w:color w:val="auto"/>
              </w:rPr>
            </w:pPr>
            <w:r>
              <w:rPr>
                <w:rFonts w:ascii="Arial" w:cs="Arial" w:eastAsia="Arial" w:hAnsi="Arial"/>
                <w:sz w:val="10"/>
                <w:szCs w:val="10"/>
                <w:color w:val="auto"/>
              </w:rPr>
              <w:t>(9)</w:t>
            </w: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16</w:t>
            </w:r>
          </w:p>
        </w:tc>
        <w:tc>
          <w:tcPr>
            <w:tcW w:w="520" w:type="dxa"/>
            <w:vAlign w:val="bottom"/>
          </w:tcPr>
          <w:p>
            <w:pPr>
              <w:jc w:val="right"/>
              <w:spacing w:after="0"/>
              <w:rPr>
                <w:sz w:val="20"/>
                <w:szCs w:val="20"/>
                <w:color w:val="auto"/>
              </w:rPr>
            </w:pPr>
            <w:r>
              <w:rPr>
                <w:rFonts w:ascii="Arial" w:cs="Arial" w:eastAsia="Arial" w:hAnsi="Arial"/>
                <w:sz w:val="10"/>
                <w:szCs w:val="10"/>
                <w:color w:val="auto"/>
              </w:rPr>
              <w:t>31</w:t>
            </w:r>
          </w:p>
        </w:tc>
        <w:tc>
          <w:tcPr>
            <w:tcW w:w="60" w:type="dxa"/>
            <w:vAlign w:val="bottom"/>
          </w:tcPr>
          <w:p>
            <w:pPr>
              <w:spacing w:after="0"/>
              <w:rPr>
                <w:sz w:val="10"/>
                <w:szCs w:val="10"/>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asset/(liability) at</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the beginning of</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3"/>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the year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1340" w:type="dxa"/>
            <w:vAlign w:val="bottom"/>
          </w:tcPr>
          <w:p>
            <w:pPr>
              <w:ind w:left="20"/>
              <w:spacing w:after="0"/>
              <w:rPr>
                <w:sz w:val="20"/>
                <w:szCs w:val="20"/>
                <w:color w:val="auto"/>
              </w:rPr>
            </w:pPr>
            <w:r>
              <w:rPr>
                <w:rFonts w:ascii="Arial" w:cs="Arial" w:eastAsia="Arial" w:hAnsi="Arial"/>
                <w:sz w:val="10"/>
                <w:szCs w:val="10"/>
                <w:color w:val="auto"/>
              </w:rPr>
              <w:t>Recognised in</w:t>
            </w:r>
          </w:p>
        </w:tc>
        <w:tc>
          <w:tcPr>
            <w:tcW w:w="200" w:type="dxa"/>
            <w:vAlign w:val="bottom"/>
          </w:tcPr>
          <w:p>
            <w:pPr>
              <w:jc w:val="right"/>
              <w:spacing w:after="0"/>
              <w:rPr>
                <w:sz w:val="20"/>
                <w:szCs w:val="20"/>
                <w:color w:val="auto"/>
              </w:rPr>
            </w:pPr>
            <w:r>
              <w:rPr>
                <w:rFonts w:ascii="Arial" w:cs="Arial" w:eastAsia="Arial" w:hAnsi="Arial"/>
                <w:sz w:val="10"/>
                <w:szCs w:val="10"/>
                <w:color w:val="auto"/>
              </w:rPr>
              <w:t>33</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(52)</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6</w:t>
            </w:r>
          </w:p>
        </w:tc>
        <w:tc>
          <w:tcPr>
            <w:tcW w:w="540" w:type="dxa"/>
            <w:vAlign w:val="bottom"/>
          </w:tcPr>
          <w:p>
            <w:pPr>
              <w:jc w:val="right"/>
              <w:spacing w:after="0"/>
              <w:rPr>
                <w:sz w:val="20"/>
                <w:szCs w:val="20"/>
                <w:color w:val="auto"/>
              </w:rPr>
            </w:pPr>
            <w:r>
              <w:rPr>
                <w:rFonts w:ascii="Arial" w:cs="Arial" w:eastAsia="Arial" w:hAnsi="Arial"/>
                <w:sz w:val="10"/>
                <w:szCs w:val="10"/>
                <w:color w:val="auto"/>
              </w:rPr>
              <w:t>48</w:t>
            </w:r>
          </w:p>
        </w:tc>
        <w:tc>
          <w:tcPr>
            <w:tcW w:w="4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79</w:t>
            </w:r>
          </w:p>
        </w:tc>
        <w:tc>
          <w:tcPr>
            <w:tcW w:w="520" w:type="dxa"/>
            <w:vAlign w:val="bottom"/>
          </w:tcPr>
          <w:p>
            <w:pPr>
              <w:jc w:val="right"/>
              <w:spacing w:after="0"/>
              <w:rPr>
                <w:sz w:val="20"/>
                <w:szCs w:val="20"/>
                <w:color w:val="auto"/>
              </w:rPr>
            </w:pPr>
            <w:r>
              <w:rPr>
                <w:rFonts w:ascii="Arial" w:cs="Arial" w:eastAsia="Arial" w:hAnsi="Arial"/>
                <w:sz w:val="10"/>
                <w:szCs w:val="10"/>
                <w:color w:val="auto"/>
              </w:rPr>
              <w:t>114</w:t>
            </w:r>
          </w:p>
        </w:tc>
        <w:tc>
          <w:tcPr>
            <w:tcW w:w="60" w:type="dxa"/>
            <w:vAlign w:val="bottom"/>
          </w:tcPr>
          <w:p>
            <w:pPr>
              <w:spacing w:after="0"/>
              <w:rPr>
                <w:sz w:val="14"/>
                <w:szCs w:val="14"/>
                <w:color w:val="auto"/>
              </w:rPr>
            </w:pPr>
          </w:p>
        </w:tc>
      </w:tr>
      <w:tr>
        <w:trPr>
          <w:trHeight w:val="137"/>
        </w:trPr>
        <w:tc>
          <w:tcPr>
            <w:tcW w:w="1340" w:type="dxa"/>
            <w:vAlign w:val="bottom"/>
          </w:tcPr>
          <w:p>
            <w:pPr>
              <w:ind w:left="20"/>
              <w:spacing w:after="0"/>
              <w:rPr>
                <w:sz w:val="20"/>
                <w:szCs w:val="20"/>
                <w:color w:val="auto"/>
              </w:rPr>
            </w:pPr>
            <w:r>
              <w:rPr>
                <w:rFonts w:ascii="Arial" w:cs="Arial" w:eastAsia="Arial" w:hAnsi="Arial"/>
                <w:sz w:val="10"/>
                <w:szCs w:val="10"/>
                <w:color w:val="auto"/>
              </w:rPr>
              <w:t>Profit or Loss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0"/>
        </w:trPr>
        <w:tc>
          <w:tcPr>
            <w:tcW w:w="1340" w:type="dxa"/>
            <w:vAlign w:val="bottom"/>
          </w:tcPr>
          <w:p>
            <w:pPr>
              <w:ind w:left="20"/>
              <w:spacing w:after="0"/>
              <w:rPr>
                <w:sz w:val="20"/>
                <w:szCs w:val="20"/>
                <w:color w:val="auto"/>
              </w:rPr>
            </w:pPr>
            <w:r>
              <w:rPr>
                <w:rFonts w:ascii="Arial" w:cs="Arial" w:eastAsia="Arial" w:hAnsi="Arial"/>
                <w:sz w:val="10"/>
                <w:szCs w:val="10"/>
                <w:color w:val="auto"/>
              </w:rPr>
              <w:t>Acquired in</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(348)</w:t>
            </w:r>
          </w:p>
        </w:tc>
        <w:tc>
          <w:tcPr>
            <w:tcW w:w="1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(348)</w:t>
            </w:r>
          </w:p>
        </w:tc>
        <w:tc>
          <w:tcPr>
            <w:tcW w:w="60" w:type="dxa"/>
            <w:vAlign w:val="bottom"/>
          </w:tcPr>
          <w:p>
            <w:pPr>
              <w:spacing w:after="0"/>
              <w:rPr>
                <w:sz w:val="11"/>
                <w:szCs w:val="11"/>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color w:val="auto"/>
              </w:rPr>
              <w:t>Business</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37"/>
        </w:trPr>
        <w:tc>
          <w:tcPr>
            <w:tcW w:w="1340" w:type="dxa"/>
            <w:vAlign w:val="bottom"/>
          </w:tcPr>
          <w:p>
            <w:pPr>
              <w:ind w:left="20"/>
              <w:spacing w:after="0"/>
              <w:rPr>
                <w:sz w:val="20"/>
                <w:szCs w:val="20"/>
                <w:color w:val="auto"/>
              </w:rPr>
            </w:pPr>
            <w:r>
              <w:rPr>
                <w:rFonts w:ascii="Arial" w:cs="Arial" w:eastAsia="Arial" w:hAnsi="Arial"/>
                <w:sz w:val="10"/>
                <w:szCs w:val="10"/>
                <w:color w:val="auto"/>
              </w:rPr>
              <w:t>Combinations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Net deferred tax</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rPr>
              <w:t>38</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16</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(409)</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9</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48</w:t>
            </w:r>
          </w:p>
        </w:tc>
        <w:tc>
          <w:tcPr>
            <w:tcW w:w="40" w:type="dxa"/>
            <w:vAlign w:val="bottom"/>
          </w:tcPr>
          <w:p>
            <w:pPr>
              <w:spacing w:after="0"/>
              <w:rPr>
                <w:sz w:val="12"/>
                <w:szCs w:val="12"/>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95</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(203)</w:t>
            </w:r>
          </w:p>
        </w:tc>
        <w:tc>
          <w:tcPr>
            <w:tcW w:w="60" w:type="dxa"/>
            <w:vAlign w:val="bottom"/>
          </w:tcPr>
          <w:p>
            <w:pPr>
              <w:spacing w:after="0"/>
              <w:rPr>
                <w:sz w:val="12"/>
                <w:szCs w:val="12"/>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asset/(liability) at</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the end of the</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3"/>
        </w:trPr>
        <w:tc>
          <w:tcPr>
            <w:tcW w:w="1340" w:type="dxa"/>
            <w:vAlign w:val="bottom"/>
          </w:tcPr>
          <w:p>
            <w:pPr>
              <w:ind w:left="20"/>
              <w:spacing w:after="0"/>
              <w:rPr>
                <w:sz w:val="20"/>
                <w:szCs w:val="20"/>
                <w:color w:val="auto"/>
              </w:rPr>
            </w:pPr>
            <w:r>
              <w:rPr>
                <w:rFonts w:ascii="Arial" w:cs="Arial" w:eastAsia="Arial" w:hAnsi="Arial"/>
                <w:sz w:val="10"/>
                <w:szCs w:val="10"/>
                <w:b w:val="1"/>
                <w:bCs w:val="1"/>
                <w:color w:val="auto"/>
              </w:rPr>
              <w:t>year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57" w:lineRule="exact"/>
        <w:rPr>
          <w:rFonts w:ascii="Arial" w:cs="Arial" w:eastAsia="Arial" w:hAnsi="Arial"/>
          <w:sz w:val="10"/>
          <w:szCs w:val="10"/>
          <w:color w:val="auto"/>
        </w:rPr>
      </w:pPr>
    </w:p>
    <w:p>
      <w:pPr>
        <w:ind w:right="2580"/>
        <w:spacing w:after="0" w:line="205" w:lineRule="auto"/>
        <w:rPr>
          <w:sz w:val="20"/>
          <w:szCs w:val="20"/>
          <w:color w:val="auto"/>
        </w:rPr>
      </w:pPr>
      <w:r>
        <w:rPr>
          <w:rFonts w:ascii="Arial" w:cs="Arial" w:eastAsia="Arial" w:hAnsi="Arial"/>
          <w:sz w:val="10"/>
          <w:szCs w:val="10"/>
          <w:color w:val="auto"/>
        </w:rPr>
        <w:t>Genmab recognizes deferred tax assets if it is probable that sufficient taxable income will be available in the future. Management has considered future taxable income and applied its judgement in assessing whether deferred tax assets should be recognized.</w:t>
      </w:r>
    </w:p>
    <w:p>
      <w:pPr>
        <w:spacing w:after="0" w:line="1" w:lineRule="exact"/>
        <w:rPr>
          <w:rFonts w:ascii="Arial" w:cs="Arial" w:eastAsia="Arial" w:hAnsi="Arial"/>
          <w:sz w:val="10"/>
          <w:szCs w:val="10"/>
          <w:color w:val="auto"/>
        </w:rPr>
      </w:pPr>
    </w:p>
    <w:p>
      <w:pPr>
        <w:ind w:right="2500"/>
        <w:spacing w:after="0" w:line="220" w:lineRule="auto"/>
        <w:rPr>
          <w:sz w:val="20"/>
          <w:szCs w:val="20"/>
          <w:color w:val="auto"/>
        </w:rPr>
      </w:pPr>
      <w:r>
        <w:rPr>
          <w:rFonts w:ascii="Arial" w:cs="Arial" w:eastAsia="Arial" w:hAnsi="Arial"/>
          <w:sz w:val="10"/>
          <w:szCs w:val="10"/>
          <w:color w:val="auto"/>
        </w:rPr>
        <w:t>The difference between the deferred tax liability as of December 31, 2024 and the deferred tax liability acquired as part of the acquisition of ProfoundBio relates to the reestablishment of the deferred tax liability as a result of the transfer of intangible assets from ProfoundBio US to Genmab A/S during the fourth</w:t>
      </w:r>
    </w:p>
    <w:p>
      <w:pPr>
        <w:spacing w:after="0" w:line="56" w:lineRule="exact"/>
        <w:rPr>
          <w:rFonts w:ascii="Arial" w:cs="Arial" w:eastAsia="Arial" w:hAnsi="Arial"/>
          <w:sz w:val="10"/>
          <w:szCs w:val="1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800"/>
        <w:spacing w:after="0" w:line="198" w:lineRule="auto"/>
        <w:rPr>
          <w:sz w:val="20"/>
          <w:szCs w:val="20"/>
          <w:color w:val="auto"/>
        </w:rPr>
      </w:pPr>
      <w:r>
        <w:rPr>
          <w:rFonts w:ascii="Arial" w:cs="Arial" w:eastAsia="Arial" w:hAnsi="Arial"/>
          <w:sz w:val="10"/>
          <w:szCs w:val="10"/>
          <w:color w:val="auto"/>
        </w:rPr>
        <w:t>As of December 31, 2025, Genmab had estimated gross unrecognized tax loss carryforwards in the Netherlands of $ 1.6 billion and in the United States of $0.1 billion to reduce future taxable income. As of December 31, 2024, Genmab had estimated gross unrecognized tax loss carryforwards in the Netherlands of $ 0.1 billion. The increase of the loss carryforwards is due to the acquisition of Merus</w:t>
      </w:r>
    </w:p>
    <w:p>
      <w:pPr>
        <w:spacing w:after="0" w:line="1" w:lineRule="exact"/>
        <w:rPr>
          <w:rFonts w:ascii="Arial" w:cs="Arial" w:eastAsia="Arial" w:hAnsi="Arial"/>
          <w:sz w:val="10"/>
          <w:szCs w:val="10"/>
          <w:color w:val="auto"/>
        </w:rPr>
      </w:pPr>
    </w:p>
    <w:p>
      <w:pPr>
        <w:ind w:right="2440"/>
        <w:spacing w:after="0" w:line="211" w:lineRule="auto"/>
        <w:rPr>
          <w:sz w:val="20"/>
          <w:szCs w:val="20"/>
          <w:color w:val="auto"/>
        </w:rPr>
      </w:pPr>
      <w:r>
        <w:rPr>
          <w:rFonts w:ascii="Arial" w:cs="Arial" w:eastAsia="Arial" w:hAnsi="Arial"/>
          <w:sz w:val="10"/>
          <w:szCs w:val="10"/>
          <w:color w:val="auto"/>
        </w:rPr>
        <w:t>B.V; and Merus U.S. The tax losses available in the Netherlands and the United States as of December 31, 2025 can be carried forward indefinitely.</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Corporate Tax</w:t>
      </w:r>
    </w:p>
    <w:p>
      <w:pPr>
        <w:jc w:val="both"/>
        <w:ind w:right="2600"/>
        <w:spacing w:after="0" w:line="198" w:lineRule="auto"/>
        <w:rPr>
          <w:sz w:val="20"/>
          <w:szCs w:val="20"/>
          <w:color w:val="auto"/>
        </w:rPr>
      </w:pPr>
      <w:r>
        <w:rPr>
          <w:rFonts w:ascii="Arial" w:cs="Arial" w:eastAsia="Arial" w:hAnsi="Arial"/>
          <w:sz w:val="10"/>
          <w:szCs w:val="10"/>
          <w:color w:val="auto"/>
        </w:rPr>
        <w:t>Corporate tax, which consists of current tax and deferred taxes for the year, is recognized in the income statement, except to the extent that the tax is attributable to items which directly relate to shareholders’ equity or other comprehensive income.</w:t>
      </w:r>
    </w:p>
    <w:p>
      <w:pPr>
        <w:spacing w:after="0" w:line="1" w:lineRule="exact"/>
        <w:rPr>
          <w:rFonts w:ascii="Arial" w:cs="Arial" w:eastAsia="Arial" w:hAnsi="Arial"/>
          <w:sz w:val="10"/>
          <w:szCs w:val="10"/>
          <w:color w:val="auto"/>
        </w:rPr>
      </w:pPr>
    </w:p>
    <w:p>
      <w:pPr>
        <w:ind w:right="2480"/>
        <w:spacing w:after="0" w:line="200" w:lineRule="auto"/>
        <w:rPr>
          <w:sz w:val="20"/>
          <w:szCs w:val="20"/>
          <w:color w:val="auto"/>
        </w:rPr>
      </w:pPr>
      <w:r>
        <w:rPr>
          <w:rFonts w:ascii="Arial" w:cs="Arial" w:eastAsia="Arial" w:hAnsi="Arial"/>
          <w:sz w:val="10"/>
          <w:szCs w:val="10"/>
          <w:color w:val="auto"/>
        </w:rPr>
        <w:t>Current tax assets and liabilities for current and prior periods are measured at the amounts expected to be recovered from or paid to the tax authorities.</w:t>
      </w:r>
    </w:p>
    <w:p>
      <w:pPr>
        <w:spacing w:after="0" w:line="196" w:lineRule="auto"/>
        <w:rPr>
          <w:sz w:val="20"/>
          <w:szCs w:val="20"/>
          <w:color w:val="auto"/>
        </w:rPr>
      </w:pPr>
      <w:r>
        <w:rPr>
          <w:rFonts w:ascii="Arial" w:cs="Arial" w:eastAsia="Arial" w:hAnsi="Arial"/>
          <w:sz w:val="12"/>
          <w:szCs w:val="12"/>
          <w:b w:val="1"/>
          <w:bCs w:val="1"/>
          <w:color w:val="auto"/>
        </w:rPr>
        <w:t>Deferred Tax</w:t>
      </w:r>
    </w:p>
    <w:p>
      <w:pPr>
        <w:ind w:right="2600"/>
        <w:spacing w:after="0" w:line="198" w:lineRule="auto"/>
        <w:rPr>
          <w:sz w:val="20"/>
          <w:szCs w:val="20"/>
          <w:color w:val="auto"/>
        </w:rPr>
      </w:pPr>
      <w:r>
        <w:rPr>
          <w:rFonts w:ascii="Arial" w:cs="Arial" w:eastAsia="Arial" w:hAnsi="Arial"/>
          <w:sz w:val="10"/>
          <w:szCs w:val="10"/>
          <w:color w:val="auto"/>
        </w:rPr>
        <w:t>Deferred tax accounting requires recognition of deferred tax on all temporary differences between the carrying amount of assets and liabilities and the tax base of such assets and liabilities. This includes the tax value of certain tax losses carried forward.</w:t>
      </w:r>
    </w:p>
    <w:p>
      <w:pPr>
        <w:spacing w:after="0" w:line="1" w:lineRule="exact"/>
        <w:rPr>
          <w:rFonts w:ascii="Arial" w:cs="Arial" w:eastAsia="Arial" w:hAnsi="Arial"/>
          <w:sz w:val="10"/>
          <w:szCs w:val="10"/>
          <w:color w:val="auto"/>
        </w:rPr>
      </w:pPr>
    </w:p>
    <w:p>
      <w:pPr>
        <w:ind w:right="2640"/>
        <w:spacing w:after="0" w:line="198" w:lineRule="auto"/>
        <w:rPr>
          <w:sz w:val="20"/>
          <w:szCs w:val="20"/>
          <w:color w:val="auto"/>
        </w:rPr>
      </w:pPr>
      <w:r>
        <w:rPr>
          <w:rFonts w:ascii="Arial" w:cs="Arial" w:eastAsia="Arial" w:hAnsi="Arial"/>
          <w:sz w:val="10"/>
          <w:szCs w:val="10"/>
          <w:color w:val="auto"/>
        </w:rPr>
        <w:t>Deferred tax is calculated in accordance with the tax regulations in the local countries and the tax rates expected to be in force at the time the deferred tax is utilized. Changes in deferred tax as a result of changes in tax rates are recognized in the income statement.</w:t>
      </w:r>
    </w:p>
    <w:p>
      <w:pPr>
        <w:spacing w:after="0" w:line="1" w:lineRule="exact"/>
        <w:rPr>
          <w:rFonts w:ascii="Arial" w:cs="Arial" w:eastAsia="Arial" w:hAnsi="Arial"/>
          <w:sz w:val="10"/>
          <w:szCs w:val="10"/>
          <w:color w:val="auto"/>
        </w:rPr>
      </w:pPr>
    </w:p>
    <w:p>
      <w:pPr>
        <w:ind w:right="2640"/>
        <w:spacing w:after="0" w:line="198" w:lineRule="auto"/>
        <w:rPr>
          <w:sz w:val="20"/>
          <w:szCs w:val="20"/>
          <w:color w:val="auto"/>
        </w:rPr>
      </w:pPr>
      <w:r>
        <w:rPr>
          <w:rFonts w:ascii="Arial" w:cs="Arial" w:eastAsia="Arial" w:hAnsi="Arial"/>
          <w:sz w:val="10"/>
          <w:szCs w:val="10"/>
          <w:color w:val="auto"/>
        </w:rPr>
        <w:t>Deferred tax assets resulting from temporary differences, including the tax value of losses to be carried forward, are recognized only to the extent that it is probable that future taxable profit will be available against which the differences can be utilized.</w:t>
      </w:r>
    </w:p>
    <w:p>
      <w:pPr>
        <w:spacing w:after="0" w:line="1" w:lineRule="exact"/>
        <w:rPr>
          <w:rFonts w:ascii="Arial" w:cs="Arial" w:eastAsia="Arial" w:hAnsi="Arial"/>
          <w:sz w:val="10"/>
          <w:szCs w:val="10"/>
          <w:color w:val="auto"/>
        </w:rPr>
      </w:pPr>
    </w:p>
    <w:p>
      <w:pPr>
        <w:ind w:right="2760"/>
        <w:spacing w:after="0" w:line="211" w:lineRule="auto"/>
        <w:rPr>
          <w:sz w:val="20"/>
          <w:szCs w:val="20"/>
          <w:color w:val="auto"/>
        </w:rPr>
      </w:pPr>
      <w:r>
        <w:rPr>
          <w:rFonts w:ascii="Arial" w:cs="Arial" w:eastAsia="Arial" w:hAnsi="Arial"/>
          <w:sz w:val="10"/>
          <w:szCs w:val="10"/>
          <w:color w:val="auto"/>
        </w:rPr>
        <w:t>Deferred tax liabilities are recognized for taxable temporary differences that arise when the carrying amount of an asset exceeds its tax basis or the carrying amount of a liability is less than its tax base.</w:t>
      </w:r>
    </w:p>
    <w:p>
      <w:pPr>
        <w:ind w:left="260"/>
        <w:spacing w:after="0"/>
        <w:rPr>
          <w:sz w:val="20"/>
          <w:szCs w:val="20"/>
          <w:color w:val="auto"/>
        </w:rPr>
      </w:pPr>
      <w:r>
        <w:rPr>
          <w:rFonts w:ascii="Arial" w:cs="Arial" w:eastAsia="Arial" w:hAnsi="Arial"/>
          <w:sz w:val="13"/>
          <w:szCs w:val="13"/>
          <w:b w:val="1"/>
          <w:bCs w:val="1"/>
          <w:color w:val="691A6B"/>
        </w:rPr>
        <w:t>Management’s Judgements and Estimates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Deferred Tax</w:t>
      </w:r>
    </w:p>
    <w:p>
      <w:pPr>
        <w:ind w:right="2460"/>
        <w:spacing w:after="0"/>
        <w:rPr>
          <w:sz w:val="20"/>
          <w:szCs w:val="20"/>
          <w:color w:val="auto"/>
        </w:rPr>
      </w:pPr>
      <w:r>
        <w:rPr>
          <w:rFonts w:ascii="Arial" w:cs="Arial" w:eastAsia="Arial" w:hAnsi="Arial"/>
          <w:sz w:val="10"/>
          <w:szCs w:val="10"/>
          <w:color w:val="auto"/>
        </w:rPr>
        <w:t>Genmab recognizes deferred tax assets if Management assesses that these tax assets can be offset against positive taxable income within the foreseeable future. This judgement is made on an ongoing basis and is based on numerous factors, including actual results, budgets, and business plans for the coming years.</w:t>
      </w:r>
    </w:p>
    <w:p>
      <w:pPr>
        <w:spacing w:after="0" w:line="36" w:lineRule="exact"/>
        <w:rPr>
          <w:rFonts w:ascii="Arial" w:cs="Arial" w:eastAsia="Arial" w:hAnsi="Arial"/>
          <w:sz w:val="10"/>
          <w:szCs w:val="10"/>
          <w:color w:val="auto"/>
        </w:rPr>
      </w:pPr>
    </w:p>
    <w:p>
      <w:pPr>
        <w:ind w:right="2580"/>
        <w:spacing w:after="0" w:line="198" w:lineRule="auto"/>
        <w:rPr>
          <w:sz w:val="20"/>
          <w:szCs w:val="20"/>
          <w:color w:val="auto"/>
        </w:rPr>
      </w:pPr>
      <w:r>
        <w:rPr>
          <w:rFonts w:ascii="Arial" w:cs="Arial" w:eastAsia="Arial" w:hAnsi="Arial"/>
          <w:sz w:val="10"/>
          <w:szCs w:val="10"/>
          <w:color w:val="auto"/>
        </w:rPr>
        <w:t>Realization of deferred tax assets is dependent upon a number of factors, including estimated future taxable earnings, the timing and amount of which are highly uncertain. A significant portion of Genmab’s future taxable income will be driven by future events that are highly susceptible to factors outside the control of Genmab including overall commercial growth, specific clinical outcomes, regulatory approvals, advancement of Genmab’s product pipeline and other matters. As such, changes in estimates of</w:t>
      </w:r>
    </w:p>
    <w:p>
      <w:pPr>
        <w:spacing w:after="0" w:line="2" w:lineRule="exact"/>
        <w:rPr>
          <w:rFonts w:ascii="Arial" w:cs="Arial" w:eastAsia="Arial" w:hAnsi="Arial"/>
          <w:sz w:val="10"/>
          <w:szCs w:val="10"/>
          <w:color w:val="auto"/>
        </w:rPr>
      </w:pPr>
    </w:p>
    <w:p>
      <w:pPr>
        <w:ind w:right="3200"/>
        <w:spacing w:after="0" w:line="198" w:lineRule="auto"/>
        <w:rPr>
          <w:sz w:val="20"/>
          <w:szCs w:val="20"/>
          <w:color w:val="auto"/>
        </w:rPr>
      </w:pPr>
      <w:r>
        <w:rPr>
          <w:rFonts w:ascii="Arial" w:cs="Arial" w:eastAsia="Arial" w:hAnsi="Arial"/>
          <w:sz w:val="10"/>
          <w:szCs w:val="10"/>
          <w:color w:val="auto"/>
        </w:rPr>
        <w:t>the impact from these factors could impact Genmab’s future taxable income in a positive or negative manner.</w:t>
      </w:r>
    </w:p>
    <w:p>
      <w:pPr>
        <w:spacing w:after="0" w:line="1" w:lineRule="exact"/>
        <w:rPr>
          <w:rFonts w:ascii="Arial" w:cs="Arial" w:eastAsia="Arial" w:hAnsi="Arial"/>
          <w:sz w:val="10"/>
          <w:szCs w:val="10"/>
          <w:color w:val="auto"/>
        </w:rPr>
      </w:pPr>
    </w:p>
    <w:p>
      <w:pPr>
        <w:ind w:right="2480"/>
        <w:spacing w:after="0" w:line="200" w:lineRule="auto"/>
        <w:rPr>
          <w:sz w:val="20"/>
          <w:szCs w:val="20"/>
          <w:color w:val="auto"/>
        </w:rPr>
      </w:pPr>
      <w:r>
        <w:rPr>
          <w:rFonts w:ascii="Arial" w:cs="Arial" w:eastAsia="Arial" w:hAnsi="Arial"/>
          <w:sz w:val="10"/>
          <w:szCs w:val="10"/>
          <w:color w:val="auto"/>
        </w:rPr>
        <w:t>As of December 31, 2025, the deferred tax assets of Merus B.V. and Merus U.S. are not recognized. As a result of the ProfoundBio integration activities, Genmab, based on current business plans and estimates of future taxable income, recognized a significant portion of previously unrecognized deferred tax assets during 2024.</w:t>
      </w:r>
    </w:p>
    <w:p>
      <w:pPr>
        <w:spacing w:after="0" w:line="220" w:lineRule="auto"/>
        <w:rPr>
          <w:sz w:val="20"/>
          <w:szCs w:val="20"/>
          <w:color w:val="auto"/>
        </w:rPr>
      </w:pPr>
      <w:r>
        <w:rPr>
          <w:rFonts w:ascii="Arial" w:cs="Arial" w:eastAsia="Arial" w:hAnsi="Arial"/>
          <w:sz w:val="15"/>
          <w:szCs w:val="15"/>
          <w:b w:val="1"/>
          <w:bCs w:val="1"/>
          <w:color w:val="691A6B"/>
        </w:rPr>
        <w:t>2.5 - Profit Per Share</w:t>
      </w:r>
    </w:p>
    <w:p>
      <w:pPr>
        <w:spacing w:after="0" w:line="1"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23"/>
        </w:trPr>
        <w:tc>
          <w:tcPr>
            <w:tcW w:w="2080" w:type="dxa"/>
            <w:vAlign w:val="bottom"/>
            <w:tcBorders>
              <w:top w:val="single" w:sz="8" w:color="691A6B"/>
            </w:tcBorders>
          </w:tcPr>
          <w:p>
            <w:pPr>
              <w:spacing w:after="0"/>
              <w:rPr>
                <w:sz w:val="10"/>
                <w:szCs w:val="10"/>
                <w:color w:val="auto"/>
              </w:rPr>
            </w:pPr>
          </w:p>
        </w:tc>
        <w:tc>
          <w:tcPr>
            <w:tcW w:w="300" w:type="dxa"/>
            <w:vAlign w:val="bottom"/>
            <w:tcBorders>
              <w:top w:val="single" w:sz="8" w:color="691A6B"/>
            </w:tcBorders>
          </w:tcPr>
          <w:p>
            <w:pPr>
              <w:ind w:left="20"/>
              <w:spacing w:after="0"/>
              <w:rPr>
                <w:sz w:val="20"/>
                <w:szCs w:val="20"/>
                <w:color w:val="auto"/>
              </w:rPr>
            </w:pPr>
            <w:r>
              <w:rPr>
                <w:rFonts w:ascii="Arial" w:cs="Arial" w:eastAsia="Arial" w:hAnsi="Arial"/>
                <w:sz w:val="10"/>
                <w:szCs w:val="10"/>
                <w:b w:val="1"/>
                <w:bCs w:val="1"/>
                <w:color w:val="691A6B"/>
              </w:rPr>
              <w:t>2025</w:t>
            </w:r>
          </w:p>
        </w:tc>
        <w:tc>
          <w:tcPr>
            <w:tcW w:w="620" w:type="dxa"/>
            <w:vAlign w:val="bottom"/>
            <w:tcBorders>
              <w:top w:val="single" w:sz="8" w:color="691A6B"/>
            </w:tcBorders>
          </w:tcPr>
          <w:p>
            <w:pPr>
              <w:spacing w:after="0"/>
              <w:rPr>
                <w:sz w:val="10"/>
                <w:szCs w:val="10"/>
                <w:color w:val="auto"/>
              </w:rPr>
            </w:pPr>
          </w:p>
        </w:tc>
        <w:tc>
          <w:tcPr>
            <w:tcW w:w="940" w:type="dxa"/>
            <w:vAlign w:val="bottom"/>
            <w:tcBorders>
              <w:top w:val="single" w:sz="8" w:color="691A6B"/>
            </w:tcBorders>
          </w:tcPr>
          <w:p>
            <w:pPr>
              <w:ind w:left="20"/>
              <w:spacing w:after="0"/>
              <w:rPr>
                <w:sz w:val="20"/>
                <w:szCs w:val="20"/>
                <w:color w:val="auto"/>
              </w:rPr>
            </w:pPr>
            <w:r>
              <w:rPr>
                <w:rFonts w:ascii="Arial" w:cs="Arial" w:eastAsia="Arial" w:hAnsi="Arial"/>
                <w:sz w:val="10"/>
                <w:szCs w:val="10"/>
                <w:b w:val="1"/>
                <w:bCs w:val="1"/>
                <w:color w:val="auto"/>
              </w:rPr>
              <w:t>2024</w:t>
            </w:r>
          </w:p>
        </w:tc>
        <w:tc>
          <w:tcPr>
            <w:tcW w:w="940" w:type="dxa"/>
            <w:vAlign w:val="bottom"/>
            <w:tcBorders>
              <w:top w:val="single" w:sz="8" w:color="691A6B"/>
            </w:tcBorders>
          </w:tcPr>
          <w:p>
            <w:pPr>
              <w:ind w:left="20"/>
              <w:spacing w:after="0"/>
              <w:rPr>
                <w:sz w:val="20"/>
                <w:szCs w:val="20"/>
                <w:color w:val="auto"/>
              </w:rPr>
            </w:pPr>
            <w:r>
              <w:rPr>
                <w:rFonts w:ascii="Arial" w:cs="Arial" w:eastAsia="Arial" w:hAnsi="Arial"/>
                <w:sz w:val="10"/>
                <w:szCs w:val="10"/>
                <w:b w:val="1"/>
                <w:bCs w:val="1"/>
                <w:color w:val="auto"/>
              </w:rPr>
              <w:t>2023</w:t>
            </w:r>
          </w:p>
        </w:tc>
      </w:tr>
      <w:tr>
        <w:trPr>
          <w:trHeight w:val="143"/>
        </w:trPr>
        <w:tc>
          <w:tcPr>
            <w:tcW w:w="2080" w:type="dxa"/>
            <w:vAlign w:val="bottom"/>
          </w:tcPr>
          <w:p>
            <w:pPr>
              <w:ind w:left="20"/>
              <w:spacing w:after="0"/>
              <w:rPr>
                <w:sz w:val="20"/>
                <w:szCs w:val="20"/>
                <w:color w:val="auto"/>
              </w:rPr>
            </w:pPr>
            <w:r>
              <w:rPr>
                <w:rFonts w:ascii="Arial" w:cs="Arial" w:eastAsia="Arial" w:hAnsi="Arial"/>
                <w:sz w:val="10"/>
                <w:szCs w:val="10"/>
                <w:b w:val="1"/>
                <w:bCs w:val="1"/>
                <w:color w:val="auto"/>
              </w:rPr>
              <w:t>Net profit</w:t>
            </w:r>
          </w:p>
        </w:tc>
        <w:tc>
          <w:tcPr>
            <w:tcW w:w="30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b w:val="1"/>
                <w:bCs w:val="1"/>
                <w:color w:val="691A6B"/>
              </w:rPr>
              <w:t>963</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1,133</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631</w:t>
            </w:r>
          </w:p>
        </w:tc>
      </w:tr>
      <w:tr>
        <w:trPr>
          <w:trHeight w:val="152"/>
        </w:trPr>
        <w:tc>
          <w:tcPr>
            <w:tcW w:w="2080" w:type="dxa"/>
            <w:vAlign w:val="bottom"/>
          </w:tcPr>
          <w:p>
            <w:pPr>
              <w:ind w:left="2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10"/>
                <w:szCs w:val="10"/>
                <w:color w:val="auto"/>
              </w:rPr>
              <w:t>Weighted average number of shares</w:t>
            </w:r>
          </w:p>
        </w:tc>
        <w:tc>
          <w:tcPr>
            <w:tcW w:w="300" w:type="dxa"/>
            <w:vAlign w:val="bottom"/>
          </w:tcPr>
          <w:p>
            <w:pPr>
              <w:spacing w:after="0"/>
              <w:rPr>
                <w:sz w:val="9"/>
                <w:szCs w:val="9"/>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691A6B"/>
              </w:rPr>
              <w:t>64,721,175</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66,139,029</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66,023,437</w:t>
            </w:r>
          </w:p>
        </w:tc>
      </w:tr>
      <w:tr>
        <w:trPr>
          <w:trHeight w:val="137"/>
        </w:trPr>
        <w:tc>
          <w:tcPr>
            <w:tcW w:w="2080" w:type="dxa"/>
            <w:vAlign w:val="bottom"/>
          </w:tcPr>
          <w:p>
            <w:pPr>
              <w:ind w:left="20"/>
              <w:spacing w:after="0"/>
              <w:rPr>
                <w:sz w:val="20"/>
                <w:szCs w:val="20"/>
                <w:color w:val="auto"/>
              </w:rPr>
            </w:pPr>
            <w:r>
              <w:rPr>
                <w:rFonts w:ascii="Arial" w:cs="Arial" w:eastAsia="Arial" w:hAnsi="Arial"/>
                <w:sz w:val="10"/>
                <w:szCs w:val="10"/>
                <w:color w:val="auto"/>
              </w:rPr>
              <w:t>outstanding</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0"/>
                <w:szCs w:val="10"/>
                <w:color w:val="auto"/>
              </w:rPr>
              <w:t>Weighted average number of treasury share</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691A6B"/>
              </w:rPr>
              <w:t>(2,570,090)</w:t>
            </w:r>
          </w:p>
        </w:tc>
        <w:tc>
          <w:tcPr>
            <w:tcW w:w="940" w:type="dxa"/>
            <w:vAlign w:val="bottom"/>
          </w:tcPr>
          <w:p>
            <w:pPr>
              <w:jc w:val="right"/>
              <w:spacing w:after="0"/>
              <w:rPr>
                <w:sz w:val="20"/>
                <w:szCs w:val="20"/>
                <w:color w:val="auto"/>
              </w:rPr>
            </w:pPr>
            <w:r>
              <w:rPr>
                <w:rFonts w:ascii="Arial" w:cs="Arial" w:eastAsia="Arial" w:hAnsi="Arial"/>
                <w:sz w:val="10"/>
                <w:szCs w:val="10"/>
                <w:color w:val="auto"/>
              </w:rPr>
              <w:t>(1,952,382)</w:t>
            </w:r>
          </w:p>
        </w:tc>
        <w:tc>
          <w:tcPr>
            <w:tcW w:w="940" w:type="dxa"/>
            <w:vAlign w:val="bottom"/>
          </w:tcPr>
          <w:p>
            <w:pPr>
              <w:jc w:val="right"/>
              <w:spacing w:after="0"/>
              <w:rPr>
                <w:sz w:val="20"/>
                <w:szCs w:val="20"/>
                <w:color w:val="auto"/>
              </w:rPr>
            </w:pPr>
            <w:r>
              <w:rPr>
                <w:rFonts w:ascii="Arial" w:cs="Arial" w:eastAsia="Arial" w:hAnsi="Arial"/>
                <w:sz w:val="10"/>
                <w:szCs w:val="10"/>
                <w:color w:val="auto"/>
              </w:rPr>
              <w:t>(713,693)</w:t>
            </w:r>
          </w:p>
        </w:tc>
      </w:tr>
      <w:tr>
        <w:trPr>
          <w:trHeight w:val="105"/>
        </w:trPr>
        <w:tc>
          <w:tcPr>
            <w:tcW w:w="2080" w:type="dxa"/>
            <w:vAlign w:val="bottom"/>
          </w:tcPr>
          <w:p>
            <w:pPr>
              <w:ind w:left="20"/>
              <w:spacing w:after="0" w:line="105" w:lineRule="exact"/>
              <w:rPr>
                <w:sz w:val="20"/>
                <w:szCs w:val="20"/>
                <w:color w:val="auto"/>
              </w:rPr>
            </w:pPr>
            <w:r>
              <w:rPr>
                <w:rFonts w:ascii="Arial" w:cs="Arial" w:eastAsia="Arial" w:hAnsi="Arial"/>
                <w:sz w:val="10"/>
                <w:szCs w:val="10"/>
                <w:color w:val="auto"/>
              </w:rPr>
              <w:t>s</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05"/>
        </w:trPr>
        <w:tc>
          <w:tcPr>
            <w:tcW w:w="208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Weighted average number of shares excl</w:t>
            </w:r>
          </w:p>
        </w:tc>
        <w:tc>
          <w:tcPr>
            <w:tcW w:w="300" w:type="dxa"/>
            <w:vAlign w:val="bottom"/>
          </w:tcPr>
          <w:p>
            <w:pPr>
              <w:spacing w:after="0"/>
              <w:rPr>
                <w:sz w:val="9"/>
                <w:szCs w:val="9"/>
                <w:color w:val="auto"/>
              </w:rPr>
            </w:pPr>
          </w:p>
        </w:tc>
        <w:tc>
          <w:tcPr>
            <w:tcW w:w="6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691A6B"/>
              </w:rPr>
              <w:t>62,151,085</w:t>
            </w:r>
          </w:p>
        </w:tc>
        <w:tc>
          <w:tcPr>
            <w:tcW w:w="940" w:type="dxa"/>
            <w:vAlign w:val="bottom"/>
          </w:tcPr>
          <w:p>
            <w:pPr>
              <w:jc w:val="right"/>
              <w:ind w:right="28"/>
              <w:spacing w:after="0" w:line="105" w:lineRule="exact"/>
              <w:rPr>
                <w:sz w:val="20"/>
                <w:szCs w:val="20"/>
                <w:color w:val="auto"/>
              </w:rPr>
            </w:pPr>
            <w:r>
              <w:rPr>
                <w:rFonts w:ascii="Arial" w:cs="Arial" w:eastAsia="Arial" w:hAnsi="Arial"/>
                <w:sz w:val="10"/>
                <w:szCs w:val="10"/>
                <w:b w:val="1"/>
                <w:bCs w:val="1"/>
                <w:color w:val="auto"/>
              </w:rPr>
              <w:t>64,186,647</w:t>
            </w:r>
          </w:p>
        </w:tc>
        <w:tc>
          <w:tcPr>
            <w:tcW w:w="940" w:type="dxa"/>
            <w:vAlign w:val="bottom"/>
          </w:tcPr>
          <w:p>
            <w:pPr>
              <w:jc w:val="right"/>
              <w:ind w:right="28"/>
              <w:spacing w:after="0" w:line="105" w:lineRule="exact"/>
              <w:rPr>
                <w:sz w:val="20"/>
                <w:szCs w:val="20"/>
                <w:color w:val="auto"/>
              </w:rPr>
            </w:pPr>
            <w:r>
              <w:rPr>
                <w:rFonts w:ascii="Arial" w:cs="Arial" w:eastAsia="Arial" w:hAnsi="Arial"/>
                <w:sz w:val="10"/>
                <w:szCs w:val="10"/>
                <w:b w:val="1"/>
                <w:bCs w:val="1"/>
                <w:color w:val="auto"/>
              </w:rPr>
              <w:t>65,309,744</w:t>
            </w: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05"/>
        </w:trPr>
        <w:tc>
          <w:tcPr>
            <w:tcW w:w="208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treasury shares</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05"/>
        </w:trPr>
        <w:tc>
          <w:tcPr>
            <w:tcW w:w="2080" w:type="dxa"/>
            <w:vAlign w:val="bottom"/>
          </w:tcPr>
          <w:p>
            <w:pPr>
              <w:ind w:left="20"/>
              <w:spacing w:after="0" w:line="105" w:lineRule="exact"/>
              <w:rPr>
                <w:sz w:val="20"/>
                <w:szCs w:val="20"/>
                <w:color w:val="auto"/>
              </w:rPr>
            </w:pPr>
            <w:r>
              <w:rPr>
                <w:rFonts w:ascii="Arial" w:cs="Arial" w:eastAsia="Arial" w:hAnsi="Arial"/>
                <w:sz w:val="10"/>
                <w:szCs w:val="10"/>
                <w:color w:val="auto"/>
              </w:rPr>
              <w:t>Adjustments for share-based instruments,</w:t>
            </w:r>
          </w:p>
        </w:tc>
        <w:tc>
          <w:tcPr>
            <w:tcW w:w="300" w:type="dxa"/>
            <w:vAlign w:val="bottom"/>
          </w:tcPr>
          <w:p>
            <w:pPr>
              <w:spacing w:after="0"/>
              <w:rPr>
                <w:sz w:val="9"/>
                <w:szCs w:val="9"/>
                <w:color w:val="auto"/>
              </w:rPr>
            </w:pPr>
          </w:p>
        </w:tc>
        <w:tc>
          <w:tcPr>
            <w:tcW w:w="620" w:type="dxa"/>
            <w:vAlign w:val="bottom"/>
          </w:tcPr>
          <w:p>
            <w:pPr>
              <w:jc w:val="right"/>
              <w:ind w:right="8"/>
              <w:spacing w:after="0" w:line="105" w:lineRule="exact"/>
              <w:rPr>
                <w:sz w:val="20"/>
                <w:szCs w:val="20"/>
                <w:color w:val="auto"/>
              </w:rPr>
            </w:pPr>
            <w:r>
              <w:rPr>
                <w:rFonts w:ascii="Arial" w:cs="Arial" w:eastAsia="Arial" w:hAnsi="Arial"/>
                <w:sz w:val="10"/>
                <w:szCs w:val="10"/>
                <w:color w:val="691A6B"/>
              </w:rPr>
              <w:t>540,545</w:t>
            </w:r>
          </w:p>
        </w:tc>
        <w:tc>
          <w:tcPr>
            <w:tcW w:w="940" w:type="dxa"/>
            <w:vAlign w:val="bottom"/>
          </w:tcPr>
          <w:p>
            <w:pPr>
              <w:jc w:val="right"/>
              <w:ind w:right="28"/>
              <w:spacing w:after="0" w:line="105" w:lineRule="exact"/>
              <w:rPr>
                <w:sz w:val="20"/>
                <w:szCs w:val="20"/>
                <w:color w:val="auto"/>
              </w:rPr>
            </w:pPr>
            <w:r>
              <w:rPr>
                <w:rFonts w:ascii="Arial" w:cs="Arial" w:eastAsia="Arial" w:hAnsi="Arial"/>
                <w:sz w:val="10"/>
                <w:szCs w:val="10"/>
                <w:color w:val="auto"/>
              </w:rPr>
              <w:t>469,339</w:t>
            </w:r>
          </w:p>
        </w:tc>
        <w:tc>
          <w:tcPr>
            <w:tcW w:w="940" w:type="dxa"/>
            <w:vAlign w:val="bottom"/>
          </w:tcPr>
          <w:p>
            <w:pPr>
              <w:jc w:val="right"/>
              <w:ind w:right="28"/>
              <w:spacing w:after="0" w:line="105" w:lineRule="exact"/>
              <w:rPr>
                <w:sz w:val="20"/>
                <w:szCs w:val="20"/>
                <w:color w:val="auto"/>
              </w:rPr>
            </w:pPr>
            <w:r>
              <w:rPr>
                <w:rFonts w:ascii="Arial" w:cs="Arial" w:eastAsia="Arial" w:hAnsi="Arial"/>
                <w:sz w:val="10"/>
                <w:szCs w:val="10"/>
                <w:color w:val="auto"/>
              </w:rPr>
              <w:t>587,833</w:t>
            </w:r>
          </w:p>
        </w:tc>
      </w:tr>
      <w:tr>
        <w:trPr>
          <w:trHeight w:val="137"/>
        </w:trPr>
        <w:tc>
          <w:tcPr>
            <w:tcW w:w="2080" w:type="dxa"/>
            <w:vAlign w:val="bottom"/>
          </w:tcPr>
          <w:p>
            <w:pPr>
              <w:ind w:left="20"/>
              <w:spacing w:after="0"/>
              <w:rPr>
                <w:sz w:val="20"/>
                <w:szCs w:val="20"/>
                <w:color w:val="auto"/>
              </w:rPr>
            </w:pPr>
            <w:r>
              <w:rPr>
                <w:rFonts w:ascii="Arial" w:cs="Arial" w:eastAsia="Arial" w:hAnsi="Arial"/>
                <w:sz w:val="10"/>
                <w:szCs w:val="10"/>
                <w:color w:val="auto"/>
              </w:rPr>
              <w:t>dilution</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0"/>
                <w:szCs w:val="10"/>
                <w:b w:val="1"/>
                <w:bCs w:val="1"/>
                <w:color w:val="auto"/>
              </w:rPr>
              <w:t>Weighted average number of shares,</w:t>
            </w:r>
          </w:p>
        </w:tc>
        <w:tc>
          <w:tcPr>
            <w:tcW w:w="300" w:type="dxa"/>
            <w:vAlign w:val="bottom"/>
          </w:tcPr>
          <w:p>
            <w:pPr>
              <w:spacing w:after="0"/>
              <w:rPr>
                <w:sz w:val="11"/>
                <w:szCs w:val="11"/>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b w:val="1"/>
                <w:bCs w:val="1"/>
                <w:color w:val="691A6B"/>
              </w:rPr>
              <w:t>62,691,630</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64,655,986</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65,897,577</w:t>
            </w:r>
          </w:p>
        </w:tc>
      </w:tr>
      <w:tr>
        <w:trPr>
          <w:trHeight w:val="143"/>
        </w:trPr>
        <w:tc>
          <w:tcPr>
            <w:tcW w:w="2080" w:type="dxa"/>
            <w:vAlign w:val="bottom"/>
          </w:tcPr>
          <w:p>
            <w:pPr>
              <w:ind w:left="20"/>
              <w:spacing w:after="0"/>
              <w:rPr>
                <w:sz w:val="20"/>
                <w:szCs w:val="20"/>
                <w:color w:val="auto"/>
              </w:rPr>
            </w:pPr>
            <w:r>
              <w:rPr>
                <w:rFonts w:ascii="Arial" w:cs="Arial" w:eastAsia="Arial" w:hAnsi="Arial"/>
                <w:sz w:val="10"/>
                <w:szCs w:val="10"/>
                <w:b w:val="1"/>
                <w:bCs w:val="1"/>
                <w:color w:val="auto"/>
              </w:rPr>
              <w:t>diluted</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6"/>
        </w:trPr>
        <w:tc>
          <w:tcPr>
            <w:tcW w:w="2080" w:type="dxa"/>
            <w:vAlign w:val="bottom"/>
          </w:tcPr>
          <w:p>
            <w:pPr>
              <w:ind w:left="20"/>
              <w:spacing w:after="0"/>
              <w:rPr>
                <w:sz w:val="20"/>
                <w:szCs w:val="20"/>
                <w:color w:val="auto"/>
              </w:rPr>
            </w:pPr>
            <w:r>
              <w:rPr>
                <w:rFonts w:ascii="Arial" w:cs="Arial" w:eastAsia="Arial" w:hAnsi="Arial"/>
                <w:sz w:val="10"/>
                <w:szCs w:val="10"/>
                <w:color w:val="auto"/>
              </w:rPr>
              <w:t>Basic net profit per share</w:t>
            </w:r>
          </w:p>
        </w:tc>
        <w:tc>
          <w:tcPr>
            <w:tcW w:w="300" w:type="dxa"/>
            <w:vAlign w:val="bottom"/>
          </w:tcPr>
          <w:p>
            <w:pPr>
              <w:ind w:left="20"/>
              <w:spacing w:after="0"/>
              <w:rPr>
                <w:sz w:val="20"/>
                <w:szCs w:val="20"/>
                <w:color w:val="auto"/>
              </w:rPr>
            </w:pPr>
            <w:r>
              <w:rPr>
                <w:rFonts w:ascii="Arial" w:cs="Arial" w:eastAsia="Arial" w:hAnsi="Arial"/>
                <w:sz w:val="10"/>
                <w:szCs w:val="10"/>
                <w:color w:val="691A6B"/>
              </w:rPr>
              <w:t>15.50</w:t>
            </w:r>
          </w:p>
        </w:tc>
        <w:tc>
          <w:tcPr>
            <w:tcW w:w="62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0"/>
                <w:szCs w:val="10"/>
                <w:color w:val="auto"/>
              </w:rPr>
              <w:t>17.66</w:t>
            </w:r>
          </w:p>
        </w:tc>
        <w:tc>
          <w:tcPr>
            <w:tcW w:w="940" w:type="dxa"/>
            <w:vAlign w:val="bottom"/>
          </w:tcPr>
          <w:p>
            <w:pPr>
              <w:ind w:left="20"/>
              <w:spacing w:after="0"/>
              <w:rPr>
                <w:sz w:val="20"/>
                <w:szCs w:val="20"/>
                <w:color w:val="auto"/>
              </w:rPr>
            </w:pPr>
            <w:r>
              <w:rPr>
                <w:rFonts w:ascii="Arial" w:cs="Arial" w:eastAsia="Arial" w:hAnsi="Arial"/>
                <w:sz w:val="10"/>
                <w:szCs w:val="10"/>
                <w:color w:val="auto"/>
              </w:rPr>
              <w:t>9.67</w:t>
            </w:r>
          </w:p>
        </w:tc>
      </w:tr>
      <w:tr>
        <w:trPr>
          <w:trHeight w:val="152"/>
        </w:trPr>
        <w:tc>
          <w:tcPr>
            <w:tcW w:w="2080" w:type="dxa"/>
            <w:vAlign w:val="bottom"/>
          </w:tcPr>
          <w:p>
            <w:pPr>
              <w:ind w:left="20"/>
              <w:spacing w:after="0"/>
              <w:rPr>
                <w:sz w:val="20"/>
                <w:szCs w:val="20"/>
                <w:color w:val="auto"/>
              </w:rPr>
            </w:pPr>
            <w:r>
              <w:rPr>
                <w:rFonts w:ascii="Arial" w:cs="Arial" w:eastAsia="Arial" w:hAnsi="Arial"/>
                <w:sz w:val="10"/>
                <w:szCs w:val="10"/>
                <w:color w:val="auto"/>
              </w:rPr>
              <w:t>Diluted net profit per share</w:t>
            </w:r>
          </w:p>
        </w:tc>
        <w:tc>
          <w:tcPr>
            <w:tcW w:w="300" w:type="dxa"/>
            <w:vAlign w:val="bottom"/>
          </w:tcPr>
          <w:p>
            <w:pPr>
              <w:ind w:left="20"/>
              <w:spacing w:after="0"/>
              <w:rPr>
                <w:sz w:val="20"/>
                <w:szCs w:val="20"/>
                <w:color w:val="auto"/>
              </w:rPr>
            </w:pPr>
            <w:r>
              <w:rPr>
                <w:rFonts w:ascii="Arial" w:cs="Arial" w:eastAsia="Arial" w:hAnsi="Arial"/>
                <w:sz w:val="10"/>
                <w:szCs w:val="10"/>
                <w:color w:val="691A6B"/>
              </w:rPr>
              <w:t>15.37</w:t>
            </w:r>
          </w:p>
        </w:tc>
        <w:tc>
          <w:tcPr>
            <w:tcW w:w="62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0"/>
                <w:szCs w:val="10"/>
                <w:color w:val="auto"/>
              </w:rPr>
              <w:t>17.53</w:t>
            </w:r>
          </w:p>
        </w:tc>
        <w:tc>
          <w:tcPr>
            <w:tcW w:w="940" w:type="dxa"/>
            <w:vAlign w:val="bottom"/>
          </w:tcPr>
          <w:p>
            <w:pPr>
              <w:ind w:left="20"/>
              <w:spacing w:after="0"/>
              <w:rPr>
                <w:sz w:val="20"/>
                <w:szCs w:val="20"/>
                <w:color w:val="auto"/>
              </w:rPr>
            </w:pPr>
            <w:r>
              <w:rPr>
                <w:rFonts w:ascii="Arial" w:cs="Arial" w:eastAsia="Arial" w:hAnsi="Arial"/>
                <w:sz w:val="10"/>
                <w:szCs w:val="10"/>
                <w:color w:val="auto"/>
              </w:rPr>
              <w:t>9.58</w:t>
            </w:r>
          </w:p>
        </w:tc>
      </w:tr>
    </w:tbl>
    <w:p>
      <w:pPr>
        <w:spacing w:after="0" w:line="6" w:lineRule="exact"/>
        <w:rPr>
          <w:rFonts w:ascii="Arial" w:cs="Arial" w:eastAsia="Arial" w:hAnsi="Arial"/>
          <w:sz w:val="10"/>
          <w:szCs w:val="10"/>
          <w:color w:val="auto"/>
        </w:rPr>
      </w:pPr>
    </w:p>
    <w:p>
      <w:pPr>
        <w:jc w:val="both"/>
        <w:ind w:right="2520"/>
        <w:spacing w:after="0" w:line="244" w:lineRule="auto"/>
        <w:rPr>
          <w:sz w:val="20"/>
          <w:szCs w:val="20"/>
          <w:color w:val="auto"/>
        </w:rPr>
      </w:pPr>
      <w:r>
        <w:rPr>
          <w:rFonts w:ascii="Arial" w:cs="Arial" w:eastAsia="Arial" w:hAnsi="Arial"/>
          <w:sz w:val="10"/>
          <w:szCs w:val="10"/>
          <w:color w:val="auto"/>
        </w:rPr>
        <w:t>In the calculation of the diluted net profit per share for 2025, 1,067,239 potential ordinary shares related to share -based instruments have been excluded as they are anti-dilutive, compared to 788,967 and 248,649</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121</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122</w:t>
      </w:r>
    </w:p>
    <w:p>
      <w:pPr>
        <w:sectPr>
          <w:pgSz w:w="11900" w:h="16840" w:orient="portrait"/>
          <w:cols w:equalWidth="0" w:num="2">
            <w:col w:w="7400" w:space="720"/>
            <w:col w:w="1700"/>
          </w:cols>
          <w:pgMar w:left="640" w:top="571" w:right="1440" w:bottom="519"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500"/>
        <w:spacing w:after="0" w:line="198" w:lineRule="auto"/>
        <w:rPr>
          <w:sz w:val="20"/>
          <w:szCs w:val="20"/>
          <w:color w:val="auto"/>
        </w:rPr>
      </w:pPr>
      <w:r>
        <w:rPr>
          <w:rFonts w:ascii="Arial" w:cs="Arial" w:eastAsia="Arial" w:hAnsi="Arial"/>
          <w:sz w:val="10"/>
          <w:szCs w:val="10"/>
          <w:color w:val="auto"/>
        </w:rPr>
        <w:t>The impairment losses recognized during 2025 relate to licenses and patents and were primarily attributable to other intangible assets associated with the acasunlimab program, which was terminated in the fourth quarter of 2025. The impairment losses during 2024 were related to licenses and patents, which were not material. The impairment losses for 2025 and 2024 were recognized in Research and development expenses in the Consolidated Statements of Comprehensive Income.</w:t>
      </w:r>
    </w:p>
    <w:p>
      <w:pPr>
        <w:spacing w:after="0" w:line="2" w:lineRule="exact"/>
        <w:rPr>
          <w:rFonts w:ascii="Arial" w:cs="Arial" w:eastAsia="Arial" w:hAnsi="Arial"/>
          <w:sz w:val="10"/>
          <w:szCs w:val="10"/>
          <w:color w:val="auto"/>
        </w:rPr>
      </w:pPr>
    </w:p>
    <w:p>
      <w:pPr>
        <w:ind w:right="2620"/>
        <w:spacing w:after="0" w:line="200" w:lineRule="auto"/>
        <w:rPr>
          <w:sz w:val="20"/>
          <w:szCs w:val="20"/>
          <w:color w:val="auto"/>
        </w:rPr>
      </w:pPr>
      <w:r>
        <w:rPr>
          <w:rFonts w:ascii="Arial" w:cs="Arial" w:eastAsia="Arial" w:hAnsi="Arial"/>
          <w:sz w:val="10"/>
          <w:szCs w:val="10"/>
          <w:color w:val="auto"/>
        </w:rPr>
        <w:t>Amortization expense was $16 million $11 million, and $8 million for 2025, 2024 and 2023, respectively, which was recorded in Research and development expenses in the Consolidated Statements of Comprehensive Income.</w:t>
      </w:r>
    </w:p>
    <w:p>
      <w:pPr>
        <w:spacing w:after="0" w:line="210" w:lineRule="auto"/>
        <w:rPr>
          <w:sz w:val="20"/>
          <w:szCs w:val="20"/>
          <w:color w:val="auto"/>
        </w:rPr>
      </w:pPr>
      <w:r>
        <w:rPr>
          <w:rFonts w:ascii="Arial" w:cs="Arial" w:eastAsia="Arial" w:hAnsi="Arial"/>
          <w:sz w:val="13"/>
          <w:szCs w:val="13"/>
          <w:b w:val="1"/>
          <w:bCs w:val="1"/>
          <w:color w:val="691A6B"/>
        </w:rPr>
        <w:t>Goodwill</w:t>
      </w:r>
    </w:p>
    <w:p>
      <w:pPr>
        <w:ind w:right="2660"/>
        <w:spacing w:after="0" w:line="198" w:lineRule="auto"/>
        <w:rPr>
          <w:rFonts w:ascii="Arial" w:cs="Arial" w:eastAsia="Arial" w:hAnsi="Arial"/>
          <w:sz w:val="10"/>
          <w:szCs w:val="10"/>
          <w:color w:val="auto"/>
        </w:rPr>
      </w:pPr>
      <w:r>
        <w:rPr>
          <w:rFonts w:ascii="Arial" w:cs="Arial" w:eastAsia="Arial" w:hAnsi="Arial"/>
          <w:sz w:val="10"/>
          <w:szCs w:val="10"/>
          <w:color w:val="auto"/>
        </w:rPr>
        <w:t xml:space="preserve">The carrying amount </w:t>
      </w:r>
      <w:hyperlink w:anchor="page141">
        <w:r>
          <w:rPr>
            <w:rFonts w:ascii="Arial" w:cs="Arial" w:eastAsia="Arial" w:hAnsi="Arial"/>
            <w:sz w:val="10"/>
            <w:szCs w:val="10"/>
            <w:color w:val="auto"/>
          </w:rPr>
          <w:t xml:space="preserve">of </w:t>
        </w:r>
      </w:hyperlink>
      <w:r>
        <w:rPr>
          <w:rFonts w:ascii="Arial" w:cs="Arial" w:eastAsia="Arial" w:hAnsi="Arial"/>
          <w:sz w:val="10"/>
          <w:szCs w:val="10"/>
          <w:color w:val="auto"/>
        </w:rPr>
        <w:t xml:space="preserve">goodwill was $ 355 million as of December 31, 2025, due to the acquisition of ProfoundBio (refer to </w:t>
      </w:r>
      <w:hyperlink w:anchor="page156">
        <w:r>
          <w:rPr>
            <w:rFonts w:ascii="Arial" w:cs="Arial" w:eastAsia="Arial" w:hAnsi="Arial"/>
            <w:sz w:val="10"/>
            <w:szCs w:val="10"/>
            <w:b w:val="1"/>
            <w:bCs w:val="1"/>
            <w:color w:val="691A6B"/>
          </w:rPr>
          <w:t xml:space="preserve">Note </w:t>
        </w:r>
      </w:hyperlink>
      <w:r>
        <w:rPr>
          <w:rFonts w:ascii="Arial" w:cs="Arial" w:eastAsia="Arial" w:hAnsi="Arial"/>
          <w:sz w:val="10"/>
          <w:szCs w:val="10"/>
          <w:color w:val="auto"/>
        </w:rPr>
        <w:t>5.5), and was unchanged from December 31, 2024.. No impairment of goodwill was recognized in 2025 as the annual impairment test showed that the estimated recoverable amount exceeded the carrying amount of the cash-generating unit (CGU) to which all of Genmab’s goodwill was allocated.</w:t>
      </w:r>
    </w:p>
    <w:p>
      <w:pPr>
        <w:spacing w:after="0" w:line="2" w:lineRule="exact"/>
        <w:rPr>
          <w:sz w:val="20"/>
          <w:szCs w:val="20"/>
          <w:color w:val="auto"/>
        </w:rPr>
      </w:pPr>
    </w:p>
    <w:p>
      <w:pPr>
        <w:ind w:right="2460"/>
        <w:spacing w:after="0" w:line="198" w:lineRule="auto"/>
        <w:rPr>
          <w:sz w:val="20"/>
          <w:szCs w:val="20"/>
          <w:color w:val="auto"/>
        </w:rPr>
      </w:pPr>
      <w:r>
        <w:rPr>
          <w:rFonts w:ascii="Arial" w:cs="Arial" w:eastAsia="Arial" w:hAnsi="Arial"/>
          <w:sz w:val="10"/>
          <w:szCs w:val="10"/>
          <w:color w:val="auto"/>
        </w:rPr>
        <w:t>Goodwill is monitored for impairment at the operating segment level, which is the lowest level CGU to which consolidated goodwill is allocated and monitored by Management. Genmab operates as a single CGU, reflecting its single operating segment. The recoverable amount is estimated based on VIU, with VIU being estimated at net present value using an income approach. The applied discount rate is 8.6%. Cash flow projections are based on Management-approved forecasts. The forecast period comprises 10 years. Management considers the use of a forecast period longer than five years to be appropriate given the long-term nature of pharmaceutical development and commercialization cycles and the expected duration of economic benefits from the underlying assets. No terminal growth rate was applied, and the growth rate was not considered a material input in the VIU calculation.</w:t>
      </w:r>
    </w:p>
    <w:p>
      <w:pPr>
        <w:spacing w:after="0" w:line="3" w:lineRule="exact"/>
        <w:rPr>
          <w:sz w:val="20"/>
          <w:szCs w:val="20"/>
          <w:color w:val="auto"/>
        </w:rPr>
      </w:pPr>
    </w:p>
    <w:p>
      <w:pPr>
        <w:ind w:right="2620"/>
        <w:spacing w:after="0" w:line="198" w:lineRule="auto"/>
        <w:rPr>
          <w:sz w:val="20"/>
          <w:szCs w:val="20"/>
          <w:color w:val="auto"/>
        </w:rPr>
      </w:pPr>
      <w:r>
        <w:rPr>
          <w:rFonts w:ascii="Arial" w:cs="Arial" w:eastAsia="Arial" w:hAnsi="Arial"/>
          <w:sz w:val="10"/>
          <w:szCs w:val="10"/>
          <w:color w:val="auto"/>
        </w:rPr>
        <w:t>The key estimations relate to volume of market share, pricing, development of new markets and the success rate for introducing new products and treatments. Assumptions are affected by external factors such as market and generic competition, and price regulation. VIU is determined using largely unobservable inputs.</w:t>
      </w:r>
    </w:p>
    <w:p>
      <w:pPr>
        <w:spacing w:after="0" w:line="1" w:lineRule="exact"/>
        <w:rPr>
          <w:sz w:val="20"/>
          <w:szCs w:val="20"/>
          <w:color w:val="auto"/>
        </w:rPr>
      </w:pPr>
    </w:p>
    <w:p>
      <w:pPr>
        <w:ind w:right="2440"/>
        <w:spacing w:after="0" w:line="207" w:lineRule="auto"/>
        <w:rPr>
          <w:sz w:val="20"/>
          <w:szCs w:val="20"/>
          <w:color w:val="auto"/>
        </w:rPr>
      </w:pPr>
      <w:r>
        <w:rPr>
          <w:rFonts w:ascii="Arial" w:cs="Arial" w:eastAsia="Arial" w:hAnsi="Arial"/>
          <w:sz w:val="10"/>
          <w:szCs w:val="10"/>
          <w:color w:val="auto"/>
        </w:rPr>
        <w:t>Management has performed sensitivity analyses on the key assumptions used in the VIU calculation. Reasonably possible changes in the key assumptions, individually or in combination, would not result in the carrying amount exceeding the recoverable amount, and accordingly no impairment would be required.</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691A6B"/>
        </w:rPr>
        <w:t>Research and Development Projects</w:t>
      </w:r>
    </w:p>
    <w:p>
      <w:pPr>
        <w:ind w:right="2440"/>
        <w:spacing w:after="0"/>
        <w:rPr>
          <w:rFonts w:ascii="Arial" w:cs="Arial" w:eastAsia="Arial" w:hAnsi="Arial"/>
          <w:sz w:val="10"/>
          <w:szCs w:val="10"/>
          <w:color w:val="auto"/>
        </w:rPr>
      </w:pPr>
      <w:r>
        <w:rPr>
          <w:rFonts w:ascii="Arial" w:cs="Arial" w:eastAsia="Arial" w:hAnsi="Arial"/>
          <w:sz w:val="10"/>
          <w:szCs w:val="10"/>
          <w:color w:val="auto"/>
        </w:rPr>
        <w:t xml:space="preserve">Internal and subcontracted research costs are charged in full to research and development expenses in the Consolidated Statements of Comprehensive Income in the period in which they are incurred. Development </w:t>
      </w:r>
      <w:hyperlink w:anchor="page156">
        <w:r>
          <w:rPr>
            <w:rFonts w:ascii="Arial" w:cs="Arial" w:eastAsia="Arial" w:hAnsi="Arial"/>
            <w:sz w:val="10"/>
            <w:szCs w:val="10"/>
            <w:color w:val="auto"/>
          </w:rPr>
          <w:t xml:space="preserve">costs are also expensed until regulatory approval </w:t>
        </w:r>
      </w:hyperlink>
      <w:r>
        <w:rPr>
          <w:rFonts w:ascii="Arial" w:cs="Arial" w:eastAsia="Arial" w:hAnsi="Arial"/>
          <w:sz w:val="10"/>
          <w:szCs w:val="10"/>
          <w:color w:val="auto"/>
        </w:rPr>
        <w:t>is obtained or is probable. Genmab has no internally generated intangible assets from development, as the criteria for recognition of an intangible asset are not met.</w:t>
      </w:r>
    </w:p>
    <w:p>
      <w:pPr>
        <w:spacing w:after="0" w:line="16" w:lineRule="exact"/>
        <w:rPr>
          <w:sz w:val="20"/>
          <w:szCs w:val="20"/>
          <w:color w:val="auto"/>
        </w:rPr>
      </w:pPr>
    </w:p>
    <w:p>
      <w:pPr>
        <w:ind w:right="2440"/>
        <w:spacing w:after="0" w:line="231" w:lineRule="auto"/>
        <w:rPr>
          <w:sz w:val="20"/>
          <w:szCs w:val="20"/>
          <w:color w:val="auto"/>
        </w:rPr>
      </w:pPr>
      <w:r>
        <w:rPr>
          <w:rFonts w:ascii="Arial" w:cs="Arial" w:eastAsia="Arial" w:hAnsi="Arial"/>
          <w:sz w:val="10"/>
          <w:szCs w:val="10"/>
          <w:color w:val="auto"/>
        </w:rPr>
        <w:t>Genmab acquires licenses and rights primarily to gain access to targets and technologies identified by third parties. Payments to third parties under collaboration and license agreements are assessed to determine whether such payments should be expensed as incurred as research and development expenses or capitalized as an intangible asset. Licenses and rights that meet the criteria for capitalization as intangible assets are measured at cost less accumulated amortization and any impairment losses. Milestone payments related to capitalized licenses and rights are accounted for as an increase in the cost to acquire licenses and rights. </w:t>
      </w:r>
    </w:p>
    <w:p>
      <w:pPr>
        <w:spacing w:after="0" w:line="2" w:lineRule="exact"/>
        <w:rPr>
          <w:sz w:val="20"/>
          <w:szCs w:val="20"/>
          <w:color w:val="auto"/>
        </w:rPr>
      </w:pPr>
    </w:p>
    <w:p>
      <w:pPr>
        <w:ind w:right="2500"/>
        <w:spacing w:after="0" w:line="198" w:lineRule="auto"/>
        <w:rPr>
          <w:sz w:val="20"/>
          <w:szCs w:val="20"/>
          <w:color w:val="auto"/>
        </w:rPr>
      </w:pPr>
      <w:r>
        <w:rPr>
          <w:rFonts w:ascii="Arial" w:cs="Arial" w:eastAsia="Arial" w:hAnsi="Arial"/>
          <w:sz w:val="10"/>
          <w:szCs w:val="10"/>
          <w:color w:val="auto"/>
        </w:rPr>
        <w:t>For acquired research and development projects, and intellectual property rights, including acquisition in a business combination, the likelihood of obtaining future commercial sales is reflected in the cost of the asset, and thus the probability recognition criteria is always considered to be satisfied. As the cost</w:t>
      </w:r>
    </w:p>
    <w:p>
      <w:pPr>
        <w:spacing w:after="0" w:line="1" w:lineRule="exact"/>
        <w:rPr>
          <w:sz w:val="20"/>
          <w:szCs w:val="20"/>
          <w:color w:val="auto"/>
        </w:rPr>
      </w:pPr>
    </w:p>
    <w:p>
      <w:pPr>
        <w:ind w:right="2660"/>
        <w:spacing w:after="0" w:line="200" w:lineRule="auto"/>
        <w:rPr>
          <w:sz w:val="20"/>
          <w:szCs w:val="20"/>
          <w:color w:val="auto"/>
        </w:rPr>
      </w:pPr>
      <w:r>
        <w:rPr>
          <w:rFonts w:ascii="Arial" w:cs="Arial" w:eastAsia="Arial" w:hAnsi="Arial"/>
          <w:sz w:val="10"/>
          <w:szCs w:val="10"/>
          <w:color w:val="auto"/>
        </w:rPr>
        <w:t>of acquired research and development projects can often be measured reliably, these projects fulfil the capitalization criteria as intangible assets on acquisition. Development costs incurred subsequent to acquisition are treated consistently with internal project development costs.</w:t>
      </w:r>
    </w:p>
    <w:p>
      <w:pPr>
        <w:spacing w:after="0" w:line="210" w:lineRule="auto"/>
        <w:rPr>
          <w:sz w:val="20"/>
          <w:szCs w:val="20"/>
          <w:color w:val="auto"/>
        </w:rPr>
      </w:pPr>
      <w:r>
        <w:rPr>
          <w:rFonts w:ascii="Arial" w:cs="Arial" w:eastAsia="Arial" w:hAnsi="Arial"/>
          <w:sz w:val="13"/>
          <w:szCs w:val="13"/>
          <w:b w:val="1"/>
          <w:bCs w:val="1"/>
          <w:color w:val="691A6B"/>
        </w:rPr>
        <w:t>Goodwill</w:t>
      </w:r>
    </w:p>
    <w:p>
      <w:pPr>
        <w:ind w:right="2460"/>
        <w:spacing w:after="0"/>
        <w:rPr>
          <w:sz w:val="20"/>
          <w:szCs w:val="20"/>
          <w:color w:val="auto"/>
        </w:rPr>
      </w:pPr>
      <w:r>
        <w:rPr>
          <w:rFonts w:ascii="Arial" w:cs="Arial" w:eastAsia="Arial" w:hAnsi="Arial"/>
          <w:sz w:val="10"/>
          <w:szCs w:val="10"/>
          <w:color w:val="auto"/>
        </w:rPr>
        <w:t>Goodwill represents the excess of purchase price over the fair value of net identifiable assets acquired and liabilities assumed in a business combination accounted for by the acquisition method of accounting. Goodwill is allocated to each of the group’s CGU (or groups of CGUs) expected to benefit from the synergies of the combination. Genmab consists of one single CGU which represents its single operating segment.</w:t>
      </w:r>
    </w:p>
    <w:p>
      <w:pPr>
        <w:spacing w:after="0"/>
        <w:rPr>
          <w:sz w:val="20"/>
          <w:szCs w:val="20"/>
          <w:color w:val="auto"/>
        </w:rPr>
      </w:pPr>
      <w:r>
        <w:rPr>
          <w:rFonts w:ascii="Arial" w:cs="Arial" w:eastAsia="Arial" w:hAnsi="Arial"/>
          <w:sz w:val="13"/>
          <w:szCs w:val="13"/>
          <w:b w:val="1"/>
          <w:bCs w:val="1"/>
          <w:color w:val="691A6B"/>
        </w:rPr>
        <w:t>Recognition and Measurement</w:t>
      </w:r>
    </w:p>
    <w:p>
      <w:pPr>
        <w:ind w:right="2520"/>
        <w:spacing w:after="0"/>
        <w:rPr>
          <w:sz w:val="20"/>
          <w:szCs w:val="20"/>
          <w:color w:val="auto"/>
        </w:rPr>
      </w:pPr>
      <w:r>
        <w:rPr>
          <w:rFonts w:ascii="Arial" w:cs="Arial" w:eastAsia="Arial" w:hAnsi="Arial"/>
          <w:sz w:val="10"/>
          <w:szCs w:val="10"/>
          <w:color w:val="auto"/>
        </w:rPr>
        <w:t>Intangible assets are initially measured at cost and are subsequently measured at cost less any accumulated amortization and any impairment loss. Goodwill is not amortized but is subject to impairment testing.</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Amortization</w:t>
      </w:r>
    </w:p>
    <w:p>
      <w:pPr>
        <w:ind w:right="2760"/>
        <w:spacing w:after="0" w:line="215" w:lineRule="auto"/>
        <w:rPr>
          <w:sz w:val="20"/>
          <w:szCs w:val="20"/>
          <w:color w:val="auto"/>
        </w:rPr>
      </w:pPr>
      <w:r>
        <w:rPr>
          <w:rFonts w:ascii="Arial" w:cs="Arial" w:eastAsia="Arial" w:hAnsi="Arial"/>
          <w:sz w:val="10"/>
          <w:szCs w:val="10"/>
          <w:color w:val="auto"/>
        </w:rPr>
        <w:t>Intangible assets with definite useful lives are amortized based on the straight -line method over their estimated useful lives. This corresponds to the legal duration or the economic useful life depending on which is shorter. The amortization of intellectual property rights, including IPR&amp;D, commences after regulatory approval has been obtained or when assets are put in 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124</w:t>
      </w:r>
    </w:p>
    <w:p>
      <w:pPr>
        <w:sectPr>
          <w:pgSz w:w="11900" w:h="16840" w:orient="portrait"/>
          <w:cols w:equalWidth="0" w:num="2">
            <w:col w:w="7400" w:space="720"/>
            <w:col w:w="1700"/>
          </w:cols>
          <w:pgMar w:left="640" w:top="1440" w:right="1440" w:bottom="779" w:gutter="0" w:footer="0" w:header="0"/>
        </w:sectPr>
      </w:pPr>
    </w:p>
    <w:bookmarkStart w:id="143" w:name="page144"/>
    <w:bookmarkEnd w:id="143"/>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125</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left="260"/>
        <w:spacing w:after="0"/>
        <w:rPr>
          <w:sz w:val="20"/>
          <w:szCs w:val="20"/>
          <w:color w:val="auto"/>
        </w:rPr>
      </w:pPr>
      <w:r>
        <w:rPr>
          <w:rFonts w:ascii="Arial" w:cs="Arial" w:eastAsia="Arial" w:hAnsi="Arial"/>
          <w:sz w:val="13"/>
          <w:szCs w:val="13"/>
          <w:b w:val="1"/>
          <w:bCs w:val="1"/>
          <w:color w:val="691A6B"/>
        </w:rPr>
        <w:t>Management’s Judgements and Estimates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Impairment Assessment of Goodwill and Other Intangible Assets</w:t>
      </w:r>
    </w:p>
    <w:p>
      <w:pPr>
        <w:ind w:right="4880"/>
        <w:spacing w:after="0" w:line="220" w:lineRule="auto"/>
        <w:rPr>
          <w:sz w:val="20"/>
          <w:szCs w:val="20"/>
          <w:color w:val="auto"/>
        </w:rPr>
      </w:pPr>
      <w:r>
        <w:rPr>
          <w:rFonts w:ascii="Arial" w:cs="Arial" w:eastAsia="Arial" w:hAnsi="Arial"/>
          <w:sz w:val="10"/>
          <w:szCs w:val="10"/>
          <w:color w:val="auto"/>
        </w:rPr>
        <w:t>Genmab performs its annual test of goodwill and indefinite-lived intangible assets for impairment in its fiscal fourth quarter. Indefinite-lived intangible assets and the CGU including goodwill are monitored for indicators of impairment throughout the year. If indicators of impairment exist, then an impairment test is performed. The recoverable amount of certain intangible assets was determined using VIU. The VIU used in impairment tests is based on Management’s projections and anticipated net present value of estimated future cash flows from marketable products and products in development. Goodwill and intangible assets not yet available for use are tested for impairment at least annually or when indicators of impairment are identified. Goodwill is allocated to the single operating segment. The discount rate used is based on the Group WACC, adjusted where appropriate, to reflect the risk of the specific asset tested. VIU is determined using largely unobservable inputs.</w:t>
      </w:r>
    </w:p>
    <w:p>
      <w:pPr>
        <w:spacing w:after="0" w:line="205" w:lineRule="auto"/>
        <w:rPr>
          <w:sz w:val="20"/>
          <w:szCs w:val="20"/>
          <w:color w:val="auto"/>
        </w:rPr>
      </w:pPr>
      <w:r>
        <w:rPr>
          <w:rFonts w:ascii="Arial" w:cs="Arial" w:eastAsia="Arial" w:hAnsi="Arial"/>
          <w:sz w:val="10"/>
          <w:szCs w:val="10"/>
          <w:color w:val="auto"/>
        </w:rPr>
        <w:t>Assets that are subject to amortization are reviewed for impairment whenever events or changes in</w:t>
      </w:r>
    </w:p>
    <w:p>
      <w:pPr>
        <w:spacing w:after="0" w:line="198" w:lineRule="auto"/>
        <w:rPr>
          <w:sz w:val="20"/>
          <w:szCs w:val="20"/>
          <w:color w:val="auto"/>
        </w:rPr>
      </w:pPr>
      <w:r>
        <w:rPr>
          <w:rFonts w:ascii="Arial" w:cs="Arial" w:eastAsia="Arial" w:hAnsi="Arial"/>
          <w:sz w:val="10"/>
          <w:szCs w:val="10"/>
          <w:color w:val="auto"/>
        </w:rPr>
        <w:t>circumstances indicate that the carrying amount may not be recoverable.</w:t>
      </w:r>
    </w:p>
    <w:p>
      <w:pPr>
        <w:spacing w:after="0" w:line="199" w:lineRule="auto"/>
        <w:rPr>
          <w:sz w:val="20"/>
          <w:szCs w:val="20"/>
          <w:color w:val="auto"/>
        </w:rPr>
      </w:pPr>
      <w:r>
        <w:rPr>
          <w:rFonts w:ascii="Arial" w:cs="Arial" w:eastAsia="Arial" w:hAnsi="Arial"/>
          <w:sz w:val="10"/>
          <w:szCs w:val="10"/>
          <w:color w:val="auto"/>
        </w:rPr>
        <w:t>Factors considered material that could trigger an impairment test include the following:</w:t>
      </w:r>
    </w:p>
    <w:p>
      <w:pPr>
        <w:spacing w:after="0" w:line="198" w:lineRule="auto"/>
        <w:rPr>
          <w:sz w:val="20"/>
          <w:szCs w:val="20"/>
          <w:color w:val="auto"/>
        </w:rPr>
      </w:pPr>
      <w:r>
        <w:rPr>
          <w:rFonts w:ascii="Arial" w:cs="Arial" w:eastAsia="Arial" w:hAnsi="Arial"/>
          <w:sz w:val="10"/>
          <w:szCs w:val="10"/>
          <w:color w:val="auto"/>
        </w:rPr>
        <w:t>•Development of a competing drug</w:t>
      </w:r>
    </w:p>
    <w:p>
      <w:pPr>
        <w:spacing w:after="0" w:line="199" w:lineRule="auto"/>
        <w:rPr>
          <w:sz w:val="20"/>
          <w:szCs w:val="20"/>
          <w:color w:val="auto"/>
        </w:rPr>
      </w:pPr>
      <w:r>
        <w:rPr>
          <w:rFonts w:ascii="Arial" w:cs="Arial" w:eastAsia="Arial" w:hAnsi="Arial"/>
          <w:sz w:val="10"/>
          <w:szCs w:val="10"/>
          <w:color w:val="auto"/>
        </w:rPr>
        <w:t>•Realized sales trending below predicted sales</w:t>
      </w:r>
    </w:p>
    <w:p>
      <w:pPr>
        <w:spacing w:after="0" w:line="199" w:lineRule="auto"/>
        <w:rPr>
          <w:sz w:val="20"/>
          <w:szCs w:val="20"/>
          <w:color w:val="auto"/>
        </w:rPr>
      </w:pPr>
      <w:r>
        <w:rPr>
          <w:rFonts w:ascii="Arial" w:cs="Arial" w:eastAsia="Arial" w:hAnsi="Arial"/>
          <w:sz w:val="10"/>
          <w:szCs w:val="10"/>
          <w:color w:val="auto"/>
        </w:rPr>
        <w:t>•Inconsistent or unfavorable clinical readouts</w:t>
      </w:r>
    </w:p>
    <w:p>
      <w:pPr>
        <w:spacing w:after="0" w:line="198" w:lineRule="auto"/>
        <w:rPr>
          <w:sz w:val="20"/>
          <w:szCs w:val="20"/>
          <w:color w:val="auto"/>
        </w:rPr>
      </w:pPr>
      <w:r>
        <w:rPr>
          <w:rFonts w:ascii="Arial" w:cs="Arial" w:eastAsia="Arial" w:hAnsi="Arial"/>
          <w:sz w:val="10"/>
          <w:szCs w:val="10"/>
          <w:color w:val="auto"/>
        </w:rPr>
        <w:t>•Changes in the legal framework covering patents, rights, and licenses</w:t>
      </w:r>
    </w:p>
    <w:p>
      <w:pPr>
        <w:spacing w:after="0" w:line="199" w:lineRule="auto"/>
        <w:rPr>
          <w:sz w:val="20"/>
          <w:szCs w:val="20"/>
          <w:color w:val="auto"/>
        </w:rPr>
      </w:pPr>
      <w:r>
        <w:rPr>
          <w:rFonts w:ascii="Arial" w:cs="Arial" w:eastAsia="Arial" w:hAnsi="Arial"/>
          <w:sz w:val="10"/>
          <w:szCs w:val="10"/>
          <w:color w:val="auto"/>
        </w:rPr>
        <w:t>•Advances in medicine and/or technology that affect the medical treatments</w:t>
      </w:r>
    </w:p>
    <w:p>
      <w:pPr>
        <w:spacing w:after="0" w:line="199" w:lineRule="auto"/>
        <w:rPr>
          <w:sz w:val="20"/>
          <w:szCs w:val="20"/>
          <w:color w:val="auto"/>
        </w:rPr>
      </w:pPr>
      <w:r>
        <w:rPr>
          <w:rFonts w:ascii="Arial" w:cs="Arial" w:eastAsia="Arial" w:hAnsi="Arial"/>
          <w:sz w:val="10"/>
          <w:szCs w:val="10"/>
          <w:color w:val="auto"/>
        </w:rPr>
        <w:t>•Adverse impact on reputation and/or brand names</w:t>
      </w:r>
    </w:p>
    <w:p>
      <w:pPr>
        <w:spacing w:after="0" w:line="198" w:lineRule="auto"/>
        <w:rPr>
          <w:sz w:val="20"/>
          <w:szCs w:val="20"/>
          <w:color w:val="auto"/>
        </w:rPr>
      </w:pPr>
      <w:r>
        <w:rPr>
          <w:rFonts w:ascii="Arial" w:cs="Arial" w:eastAsia="Arial" w:hAnsi="Arial"/>
          <w:sz w:val="10"/>
          <w:szCs w:val="10"/>
          <w:color w:val="auto"/>
        </w:rPr>
        <w:t>An impairment loss is recognized in Consolidated Statements of Comprehensive Income as research</w:t>
      </w:r>
    </w:p>
    <w:p>
      <w:pPr>
        <w:spacing w:after="0" w:line="199" w:lineRule="auto"/>
        <w:rPr>
          <w:sz w:val="20"/>
          <w:szCs w:val="20"/>
          <w:color w:val="auto"/>
        </w:rPr>
      </w:pPr>
      <w:r>
        <w:rPr>
          <w:rFonts w:ascii="Arial" w:cs="Arial" w:eastAsia="Arial" w:hAnsi="Arial"/>
          <w:sz w:val="10"/>
          <w:szCs w:val="10"/>
          <w:color w:val="auto"/>
        </w:rPr>
        <w:t>and development expenses when the carrying amount of intangible assets exceeds the recoverable</w:t>
      </w:r>
    </w:p>
    <w:p>
      <w:pPr>
        <w:spacing w:after="0" w:line="199" w:lineRule="auto"/>
        <w:rPr>
          <w:sz w:val="20"/>
          <w:szCs w:val="20"/>
          <w:color w:val="auto"/>
        </w:rPr>
      </w:pPr>
      <w:r>
        <w:rPr>
          <w:rFonts w:ascii="Arial" w:cs="Arial" w:eastAsia="Arial" w:hAnsi="Arial"/>
          <w:sz w:val="10"/>
          <w:szCs w:val="10"/>
          <w:color w:val="auto"/>
        </w:rPr>
        <w:t>amount. Impairments on intangible assets, other than goodwill, are reviewed at each reporting date</w:t>
      </w:r>
    </w:p>
    <w:p>
      <w:pPr>
        <w:spacing w:after="0" w:line="208" w:lineRule="auto"/>
        <w:rPr>
          <w:sz w:val="20"/>
          <w:szCs w:val="20"/>
          <w:color w:val="auto"/>
        </w:rPr>
      </w:pPr>
      <w:r>
        <w:rPr>
          <w:rFonts w:ascii="Arial" w:cs="Arial" w:eastAsia="Arial" w:hAnsi="Arial"/>
          <w:sz w:val="10"/>
          <w:szCs w:val="10"/>
          <w:color w:val="auto"/>
        </w:rPr>
        <w:t>for possible reversal.</w:t>
      </w:r>
    </w:p>
    <w:p>
      <w:pPr>
        <w:spacing w:after="0" w:line="218" w:lineRule="auto"/>
        <w:rPr>
          <w:sz w:val="20"/>
          <w:szCs w:val="20"/>
          <w:color w:val="auto"/>
        </w:rPr>
      </w:pPr>
      <w:r>
        <w:rPr>
          <w:rFonts w:ascii="Arial" w:cs="Arial" w:eastAsia="Arial" w:hAnsi="Arial"/>
          <w:sz w:val="15"/>
          <w:szCs w:val="15"/>
          <w:b w:val="1"/>
          <w:bCs w:val="1"/>
          <w:color w:val="691A6B"/>
        </w:rPr>
        <w:t>3.2 - Property and Equipment</w:t>
      </w:r>
    </w:p>
    <w:tbl>
      <w:tblPr>
        <w:tblLayout w:type="fixed"/>
        <w:tblInd w:w="0" w:type="dxa"/>
        <w:tblCellMar>
          <w:top w:w="0" w:type="dxa"/>
          <w:left w:w="0" w:type="dxa"/>
          <w:bottom w:w="0" w:type="dxa"/>
          <w:right w:w="0" w:type="dxa"/>
        </w:tblCellMar>
      </w:tblPr>
      <w:tr>
        <w:trPr>
          <w:trHeight w:val="95"/>
        </w:trPr>
        <w:tc>
          <w:tcPr>
            <w:tcW w:w="1760" w:type="dxa"/>
            <w:vAlign w:val="bottom"/>
            <w:tcBorders>
              <w:top w:val="single" w:sz="8" w:color="691A6B"/>
            </w:tcBorders>
          </w:tcPr>
          <w:p>
            <w:pPr>
              <w:ind w:left="1180"/>
              <w:spacing w:after="0" w:line="95" w:lineRule="exact"/>
              <w:rPr>
                <w:sz w:val="20"/>
                <w:szCs w:val="20"/>
                <w:color w:val="auto"/>
              </w:rPr>
            </w:pPr>
            <w:r>
              <w:rPr>
                <w:rFonts w:ascii="Arial" w:cs="Arial" w:eastAsia="Arial" w:hAnsi="Arial"/>
                <w:sz w:val="10"/>
                <w:szCs w:val="10"/>
                <w:b w:val="1"/>
                <w:bCs w:val="1"/>
                <w:color w:val="auto"/>
              </w:rPr>
              <w:t>Leasehold</w:t>
            </w:r>
          </w:p>
        </w:tc>
        <w:tc>
          <w:tcPr>
            <w:tcW w:w="320" w:type="dxa"/>
            <w:vAlign w:val="bottom"/>
            <w:tcBorders>
              <w:top w:val="single" w:sz="8" w:color="691A6B"/>
            </w:tcBorders>
          </w:tcPr>
          <w:p>
            <w:pPr>
              <w:spacing w:after="0"/>
              <w:rPr>
                <w:sz w:val="8"/>
                <w:szCs w:val="8"/>
                <w:color w:val="auto"/>
              </w:rPr>
            </w:pPr>
          </w:p>
        </w:tc>
        <w:tc>
          <w:tcPr>
            <w:tcW w:w="94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Equipment,</w:t>
            </w:r>
          </w:p>
        </w:tc>
        <w:tc>
          <w:tcPr>
            <w:tcW w:w="920" w:type="dxa"/>
            <w:vAlign w:val="bottom"/>
            <w:tcBorders>
              <w:top w:val="single" w:sz="8" w:color="691A6B"/>
            </w:tcBorders>
            <w:gridSpan w:val="2"/>
          </w:tcPr>
          <w:p>
            <w:pPr>
              <w:ind w:left="20"/>
              <w:spacing w:after="0" w:line="95" w:lineRule="exact"/>
              <w:rPr>
                <w:sz w:val="20"/>
                <w:szCs w:val="20"/>
                <w:color w:val="auto"/>
              </w:rPr>
            </w:pPr>
            <w:r>
              <w:rPr>
                <w:rFonts w:ascii="Arial" w:cs="Arial" w:eastAsia="Arial" w:hAnsi="Arial"/>
                <w:sz w:val="10"/>
                <w:szCs w:val="10"/>
                <w:b w:val="1"/>
                <w:bCs w:val="1"/>
                <w:color w:val="auto"/>
              </w:rPr>
              <w:t>Assets under</w:t>
            </w: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Total property and</w:t>
            </w:r>
          </w:p>
        </w:tc>
        <w:tc>
          <w:tcPr>
            <w:tcW w:w="4740" w:type="dxa"/>
            <w:vAlign w:val="bottom"/>
          </w:tcPr>
          <w:p>
            <w:pPr>
              <w:spacing w:after="0"/>
              <w:rPr>
                <w:sz w:val="8"/>
                <w:szCs w:val="8"/>
                <w:color w:val="auto"/>
              </w:rPr>
            </w:pPr>
          </w:p>
        </w:tc>
      </w:tr>
      <w:tr>
        <w:trPr>
          <w:trHeight w:val="95"/>
        </w:trPr>
        <w:tc>
          <w:tcPr>
            <w:tcW w:w="2080" w:type="dxa"/>
            <w:vAlign w:val="bottom"/>
            <w:gridSpan w:val="2"/>
          </w:tcPr>
          <w:p>
            <w:pPr>
              <w:ind w:left="1180"/>
              <w:spacing w:after="0" w:line="95" w:lineRule="exact"/>
              <w:rPr>
                <w:sz w:val="20"/>
                <w:szCs w:val="20"/>
                <w:color w:val="auto"/>
              </w:rPr>
            </w:pPr>
            <w:r>
              <w:rPr>
                <w:rFonts w:ascii="Arial" w:cs="Arial" w:eastAsia="Arial" w:hAnsi="Arial"/>
                <w:sz w:val="10"/>
                <w:szCs w:val="10"/>
                <w:b w:val="1"/>
                <w:bCs w:val="1"/>
                <w:color w:val="auto"/>
              </w:rPr>
              <w:t>improvements</w:t>
            </w: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furniture and</w:t>
            </w:r>
          </w:p>
        </w:tc>
        <w:tc>
          <w:tcPr>
            <w:tcW w:w="92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construction</w:t>
            </w:r>
          </w:p>
        </w:tc>
        <w:tc>
          <w:tcPr>
            <w:tcW w:w="570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equipment</w:t>
            </w:r>
          </w:p>
        </w:tc>
      </w:tr>
      <w:tr>
        <w:trPr>
          <w:trHeight w:val="128"/>
        </w:trPr>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fixtures</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69"/>
        </w:trPr>
        <w:tc>
          <w:tcPr>
            <w:tcW w:w="1760" w:type="dxa"/>
            <w:vAlign w:val="bottom"/>
          </w:tcPr>
          <w:p>
            <w:pPr>
              <w:ind w:left="20"/>
              <w:spacing w:after="0"/>
              <w:rPr>
                <w:sz w:val="20"/>
                <w:szCs w:val="20"/>
                <w:color w:val="auto"/>
              </w:rPr>
            </w:pPr>
            <w:r>
              <w:rPr>
                <w:rFonts w:ascii="Arial" w:cs="Arial" w:eastAsia="Arial" w:hAnsi="Arial"/>
                <w:sz w:val="10"/>
                <w:szCs w:val="10"/>
                <w:color w:val="691A6B"/>
              </w:rPr>
              <w:t>2025</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Cost at January 1</w:t>
            </w:r>
          </w:p>
        </w:tc>
        <w:tc>
          <w:tcPr>
            <w:tcW w:w="320" w:type="dxa"/>
            <w:vAlign w:val="bottom"/>
          </w:tcPr>
          <w:p>
            <w:pPr>
              <w:jc w:val="right"/>
              <w:ind w:right="8"/>
              <w:spacing w:after="0"/>
              <w:rPr>
                <w:sz w:val="20"/>
                <w:szCs w:val="20"/>
                <w:color w:val="auto"/>
              </w:rPr>
            </w:pPr>
            <w:r>
              <w:rPr>
                <w:rFonts w:ascii="Arial" w:cs="Arial" w:eastAsia="Arial" w:hAnsi="Arial"/>
                <w:sz w:val="10"/>
                <w:szCs w:val="10"/>
                <w:color w:val="691A6B"/>
              </w:rPr>
              <w:t>101</w:t>
            </w: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139</w:t>
            </w:r>
          </w:p>
        </w:tc>
        <w:tc>
          <w:tcPr>
            <w:tcW w:w="920" w:type="dxa"/>
            <w:vAlign w:val="bottom"/>
            <w:gridSpan w:val="2"/>
          </w:tcPr>
          <w:p>
            <w:pPr>
              <w:jc w:val="right"/>
              <w:ind w:right="8"/>
              <w:spacing w:after="0"/>
              <w:rPr>
                <w:sz w:val="20"/>
                <w:szCs w:val="20"/>
                <w:color w:val="auto"/>
              </w:rPr>
            </w:pPr>
            <w:r>
              <w:rPr>
                <w:rFonts w:ascii="Arial" w:cs="Arial" w:eastAsia="Arial" w:hAnsi="Arial"/>
                <w:sz w:val="10"/>
                <w:szCs w:val="10"/>
                <w:color w:val="auto"/>
              </w:rPr>
              <w:t>14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254</w:t>
            </w:r>
          </w:p>
        </w:tc>
        <w:tc>
          <w:tcPr>
            <w:tcW w:w="4740" w:type="dxa"/>
            <w:vAlign w:val="bottom"/>
          </w:tcPr>
          <w:p>
            <w:pPr>
              <w:spacing w:after="0"/>
              <w:rPr>
                <w:sz w:val="13"/>
                <w:szCs w:val="13"/>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Additions for the year</w:t>
            </w:r>
          </w:p>
        </w:tc>
        <w:tc>
          <w:tcPr>
            <w:tcW w:w="320" w:type="dxa"/>
            <w:vAlign w:val="bottom"/>
          </w:tcPr>
          <w:p>
            <w:pPr>
              <w:jc w:val="right"/>
              <w:ind w:right="8"/>
              <w:spacing w:after="0"/>
              <w:rPr>
                <w:sz w:val="20"/>
                <w:szCs w:val="20"/>
                <w:color w:val="auto"/>
              </w:rPr>
            </w:pPr>
            <w:r>
              <w:rPr>
                <w:rFonts w:ascii="Arial" w:cs="Arial" w:eastAsia="Arial" w:hAnsi="Arial"/>
                <w:sz w:val="10"/>
                <w:szCs w:val="10"/>
                <w:color w:val="691A6B"/>
              </w:rPr>
              <w:t>8</w:t>
            </w: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9</w:t>
            </w:r>
          </w:p>
        </w:tc>
        <w:tc>
          <w:tcPr>
            <w:tcW w:w="920" w:type="dxa"/>
            <w:vAlign w:val="bottom"/>
            <w:gridSpan w:val="2"/>
          </w:tcPr>
          <w:p>
            <w:pPr>
              <w:jc w:val="right"/>
              <w:ind w:right="8"/>
              <w:spacing w:after="0"/>
              <w:rPr>
                <w:sz w:val="20"/>
                <w:szCs w:val="20"/>
                <w:color w:val="auto"/>
              </w:rPr>
            </w:pPr>
            <w:r>
              <w:rPr>
                <w:rFonts w:ascii="Arial" w:cs="Arial" w:eastAsia="Arial" w:hAnsi="Arial"/>
                <w:sz w:val="10"/>
                <w:szCs w:val="10"/>
                <w:color w:val="auto"/>
              </w:rPr>
              <w:t>29</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46</w:t>
            </w:r>
          </w:p>
        </w:tc>
        <w:tc>
          <w:tcPr>
            <w:tcW w:w="4740" w:type="dxa"/>
            <w:vAlign w:val="bottom"/>
          </w:tcPr>
          <w:p>
            <w:pPr>
              <w:spacing w:after="0"/>
              <w:rPr>
                <w:sz w:val="13"/>
                <w:szCs w:val="13"/>
                <w:color w:val="auto"/>
              </w:rPr>
            </w:pPr>
          </w:p>
        </w:tc>
      </w:tr>
      <w:tr>
        <w:trPr>
          <w:trHeight w:val="120"/>
        </w:trPr>
        <w:tc>
          <w:tcPr>
            <w:tcW w:w="1760" w:type="dxa"/>
            <w:vAlign w:val="bottom"/>
          </w:tcPr>
          <w:p>
            <w:pPr>
              <w:ind w:left="20"/>
              <w:spacing w:after="0"/>
              <w:rPr>
                <w:sz w:val="20"/>
                <w:szCs w:val="20"/>
                <w:color w:val="auto"/>
              </w:rPr>
            </w:pPr>
            <w:r>
              <w:rPr>
                <w:rFonts w:ascii="Arial" w:cs="Arial" w:eastAsia="Arial" w:hAnsi="Arial"/>
                <w:sz w:val="10"/>
                <w:szCs w:val="10"/>
                <w:color w:val="auto"/>
              </w:rPr>
              <w:t>Transfers between the</w:t>
            </w:r>
          </w:p>
        </w:tc>
        <w:tc>
          <w:tcPr>
            <w:tcW w:w="320" w:type="dxa"/>
            <w:vAlign w:val="bottom"/>
          </w:tcPr>
          <w:p>
            <w:pPr>
              <w:jc w:val="right"/>
              <w:ind w:right="8"/>
              <w:spacing w:after="0"/>
              <w:rPr>
                <w:sz w:val="20"/>
                <w:szCs w:val="20"/>
                <w:color w:val="auto"/>
              </w:rPr>
            </w:pPr>
            <w:r>
              <w:rPr>
                <w:rFonts w:ascii="Arial" w:cs="Arial" w:eastAsia="Arial" w:hAnsi="Arial"/>
                <w:sz w:val="10"/>
                <w:szCs w:val="10"/>
                <w:color w:val="691A6B"/>
              </w:rPr>
              <w:t>23</w:t>
            </w: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18</w:t>
            </w:r>
          </w:p>
        </w:tc>
        <w:tc>
          <w:tcPr>
            <w:tcW w:w="920" w:type="dxa"/>
            <w:vAlign w:val="bottom"/>
            <w:gridSpan w:val="2"/>
          </w:tcPr>
          <w:p>
            <w:pPr>
              <w:jc w:val="right"/>
              <w:spacing w:after="0"/>
              <w:rPr>
                <w:sz w:val="20"/>
                <w:szCs w:val="20"/>
                <w:color w:val="auto"/>
              </w:rPr>
            </w:pPr>
            <w:r>
              <w:rPr>
                <w:rFonts w:ascii="Arial" w:cs="Arial" w:eastAsia="Arial" w:hAnsi="Arial"/>
                <w:sz w:val="10"/>
                <w:szCs w:val="10"/>
                <w:color w:val="auto"/>
              </w:rPr>
              <w:t>(41)</w:t>
            </w:r>
          </w:p>
        </w:tc>
        <w:tc>
          <w:tcPr>
            <w:tcW w:w="5700" w:type="dxa"/>
            <w:vAlign w:val="bottom"/>
            <w:gridSpan w:val="2"/>
          </w:tcPr>
          <w:p>
            <w:pPr>
              <w:jc w:val="right"/>
              <w:ind w:right="4772"/>
              <w:spacing w:after="0"/>
              <w:rPr>
                <w:sz w:val="20"/>
                <w:szCs w:val="20"/>
                <w:color w:val="auto"/>
              </w:rPr>
            </w:pPr>
            <w:r>
              <w:rPr>
                <w:rFonts w:ascii="Arial" w:cs="Arial" w:eastAsia="Arial" w:hAnsi="Arial"/>
                <w:sz w:val="10"/>
                <w:szCs w:val="10"/>
                <w:color w:val="auto"/>
              </w:rPr>
              <w:t>—</w:t>
            </w:r>
          </w:p>
        </w:tc>
      </w:tr>
      <w:tr>
        <w:trPr>
          <w:trHeight w:val="137"/>
        </w:trPr>
        <w:tc>
          <w:tcPr>
            <w:tcW w:w="1760" w:type="dxa"/>
            <w:vAlign w:val="bottom"/>
          </w:tcPr>
          <w:p>
            <w:pPr>
              <w:ind w:left="20"/>
              <w:spacing w:after="0"/>
              <w:rPr>
                <w:sz w:val="20"/>
                <w:szCs w:val="20"/>
                <w:color w:val="auto"/>
              </w:rPr>
            </w:pPr>
            <w:r>
              <w:rPr>
                <w:rFonts w:ascii="Arial" w:cs="Arial" w:eastAsia="Arial" w:hAnsi="Arial"/>
                <w:sz w:val="10"/>
                <w:szCs w:val="10"/>
                <w:color w:val="auto"/>
              </w:rPr>
              <w:t>classes</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62"/>
        </w:trPr>
        <w:tc>
          <w:tcPr>
            <w:tcW w:w="1760" w:type="dxa"/>
            <w:vAlign w:val="bottom"/>
          </w:tcPr>
          <w:p>
            <w:pPr>
              <w:ind w:left="20"/>
              <w:spacing w:after="0"/>
              <w:rPr>
                <w:sz w:val="20"/>
                <w:szCs w:val="20"/>
                <w:color w:val="auto"/>
              </w:rPr>
            </w:pPr>
            <w:r>
              <w:rPr>
                <w:rFonts w:ascii="Arial" w:cs="Arial" w:eastAsia="Arial" w:hAnsi="Arial"/>
                <w:sz w:val="10"/>
                <w:szCs w:val="10"/>
                <w:color w:val="auto"/>
              </w:rPr>
              <w:t>Disposals for the year</w:t>
            </w:r>
          </w:p>
        </w:tc>
        <w:tc>
          <w:tcPr>
            <w:tcW w:w="320" w:type="dxa"/>
            <w:vAlign w:val="bottom"/>
          </w:tcPr>
          <w:p>
            <w:pPr>
              <w:jc w:val="right"/>
              <w:spacing w:after="0"/>
              <w:rPr>
                <w:sz w:val="20"/>
                <w:szCs w:val="20"/>
                <w:color w:val="auto"/>
              </w:rPr>
            </w:pPr>
            <w:r>
              <w:rPr>
                <w:rFonts w:ascii="Arial" w:cs="Arial" w:eastAsia="Arial" w:hAnsi="Arial"/>
                <w:sz w:val="10"/>
                <w:szCs w:val="10"/>
                <w:color w:val="691A6B"/>
              </w:rPr>
              <w:t>(6)</w:t>
            </w:r>
          </w:p>
        </w:tc>
        <w:tc>
          <w:tcPr>
            <w:tcW w:w="94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(11)</w:t>
            </w:r>
          </w:p>
        </w:tc>
        <w:tc>
          <w:tcPr>
            <w:tcW w:w="4740" w:type="dxa"/>
            <w:vAlign w:val="bottom"/>
          </w:tcPr>
          <w:p>
            <w:pPr>
              <w:spacing w:after="0"/>
              <w:rPr>
                <w:sz w:val="14"/>
                <w:szCs w:val="14"/>
                <w:color w:val="auto"/>
              </w:rPr>
            </w:pPr>
          </w:p>
        </w:tc>
      </w:tr>
      <w:tr>
        <w:trPr>
          <w:trHeight w:val="120"/>
        </w:trPr>
        <w:tc>
          <w:tcPr>
            <w:tcW w:w="1760" w:type="dxa"/>
            <w:vAlign w:val="bottom"/>
          </w:tcPr>
          <w:p>
            <w:pPr>
              <w:ind w:left="20"/>
              <w:spacing w:after="0"/>
              <w:rPr>
                <w:sz w:val="20"/>
                <w:szCs w:val="20"/>
                <w:color w:val="auto"/>
              </w:rPr>
            </w:pPr>
            <w:r>
              <w:rPr>
                <w:rFonts w:ascii="Arial" w:cs="Arial" w:eastAsia="Arial" w:hAnsi="Arial"/>
                <w:sz w:val="10"/>
                <w:szCs w:val="10"/>
                <w:color w:val="auto"/>
              </w:rPr>
              <w:t>Exchange rate</w:t>
            </w:r>
          </w:p>
        </w:tc>
        <w:tc>
          <w:tcPr>
            <w:tcW w:w="320" w:type="dxa"/>
            <w:vAlign w:val="bottom"/>
          </w:tcPr>
          <w:p>
            <w:pPr>
              <w:jc w:val="right"/>
              <w:ind w:right="8"/>
              <w:spacing w:after="0"/>
              <w:rPr>
                <w:sz w:val="20"/>
                <w:szCs w:val="20"/>
                <w:color w:val="auto"/>
              </w:rPr>
            </w:pPr>
            <w:r>
              <w:rPr>
                <w:rFonts w:ascii="Arial" w:cs="Arial" w:eastAsia="Arial" w:hAnsi="Arial"/>
                <w:sz w:val="10"/>
                <w:szCs w:val="10"/>
                <w:color w:val="691A6B"/>
              </w:rPr>
              <w:t>6</w:t>
            </w: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14</w:t>
            </w:r>
          </w:p>
        </w:tc>
        <w:tc>
          <w:tcPr>
            <w:tcW w:w="920" w:type="dxa"/>
            <w:vAlign w:val="bottom"/>
            <w:gridSpan w:val="2"/>
          </w:tcPr>
          <w:p>
            <w:pPr>
              <w:jc w:val="right"/>
              <w:ind w:right="8"/>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21</w:t>
            </w:r>
          </w:p>
        </w:tc>
        <w:tc>
          <w:tcPr>
            <w:tcW w:w="4740" w:type="dxa"/>
            <w:vAlign w:val="bottom"/>
          </w:tcPr>
          <w:p>
            <w:pPr>
              <w:spacing w:after="0"/>
              <w:rPr>
                <w:sz w:val="10"/>
                <w:szCs w:val="10"/>
                <w:color w:val="auto"/>
              </w:rPr>
            </w:pPr>
          </w:p>
        </w:tc>
      </w:tr>
      <w:tr>
        <w:trPr>
          <w:trHeight w:val="137"/>
        </w:trPr>
        <w:tc>
          <w:tcPr>
            <w:tcW w:w="1760" w:type="dxa"/>
            <w:vAlign w:val="bottom"/>
          </w:tcPr>
          <w:p>
            <w:pPr>
              <w:ind w:left="20"/>
              <w:spacing w:after="0"/>
              <w:rPr>
                <w:sz w:val="20"/>
                <w:szCs w:val="20"/>
                <w:color w:val="auto"/>
              </w:rPr>
            </w:pPr>
            <w:r>
              <w:rPr>
                <w:rFonts w:ascii="Arial" w:cs="Arial" w:eastAsia="Arial" w:hAnsi="Arial"/>
                <w:sz w:val="10"/>
                <w:szCs w:val="10"/>
                <w:color w:val="auto"/>
              </w:rPr>
              <w:t>adjustment</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Cost at December 31</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691A6B"/>
              </w:rPr>
              <w:t>132</w:t>
            </w:r>
          </w:p>
        </w:tc>
        <w:tc>
          <w:tcPr>
            <w:tcW w:w="940" w:type="dxa"/>
            <w:vAlign w:val="bottom"/>
          </w:tcPr>
          <w:p>
            <w:pPr>
              <w:jc w:val="right"/>
              <w:ind w:right="29"/>
              <w:spacing w:after="0"/>
              <w:rPr>
                <w:sz w:val="20"/>
                <w:szCs w:val="20"/>
                <w:color w:val="auto"/>
              </w:rPr>
            </w:pPr>
            <w:r>
              <w:rPr>
                <w:rFonts w:ascii="Arial" w:cs="Arial" w:eastAsia="Arial" w:hAnsi="Arial"/>
                <w:sz w:val="10"/>
                <w:szCs w:val="10"/>
                <w:b w:val="1"/>
                <w:bCs w:val="1"/>
                <w:color w:val="auto"/>
              </w:rPr>
              <w:t>175</w:t>
            </w:r>
          </w:p>
        </w:tc>
        <w:tc>
          <w:tcPr>
            <w:tcW w:w="920" w:type="dxa"/>
            <w:vAlign w:val="bottom"/>
            <w:gridSpan w:val="2"/>
          </w:tcPr>
          <w:p>
            <w:pPr>
              <w:jc w:val="right"/>
              <w:ind w:right="8"/>
              <w:spacing w:after="0"/>
              <w:rPr>
                <w:sz w:val="20"/>
                <w:szCs w:val="20"/>
                <w:color w:val="auto"/>
              </w:rPr>
            </w:pPr>
            <w:r>
              <w:rPr>
                <w:rFonts w:ascii="Arial" w:cs="Arial" w:eastAsia="Arial" w:hAnsi="Arial"/>
                <w:sz w:val="10"/>
                <w:szCs w:val="10"/>
                <w:b w:val="1"/>
                <w:bCs w:val="1"/>
                <w:color w:val="auto"/>
              </w:rPr>
              <w:t>3</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310</w:t>
            </w:r>
          </w:p>
        </w:tc>
        <w:tc>
          <w:tcPr>
            <w:tcW w:w="4740" w:type="dxa"/>
            <w:vAlign w:val="bottom"/>
          </w:tcPr>
          <w:p>
            <w:pPr>
              <w:spacing w:after="0"/>
              <w:rPr>
                <w:sz w:val="14"/>
                <w:szCs w:val="14"/>
                <w:color w:val="auto"/>
              </w:rPr>
            </w:pPr>
          </w:p>
        </w:tc>
      </w:tr>
      <w:tr>
        <w:trPr>
          <w:trHeight w:val="314"/>
        </w:trPr>
        <w:tc>
          <w:tcPr>
            <w:tcW w:w="1760" w:type="dxa"/>
            <w:vAlign w:val="bottom"/>
          </w:tcPr>
          <w:p>
            <w:pPr>
              <w:ind w:left="20"/>
              <w:spacing w:after="0"/>
              <w:rPr>
                <w:sz w:val="20"/>
                <w:szCs w:val="20"/>
                <w:color w:val="auto"/>
              </w:rPr>
            </w:pPr>
            <w:r>
              <w:rPr>
                <w:rFonts w:ascii="Arial" w:cs="Arial" w:eastAsia="Arial" w:hAnsi="Arial"/>
                <w:sz w:val="10"/>
                <w:szCs w:val="10"/>
                <w:color w:val="auto"/>
              </w:rPr>
              <w:t>Accumulated</w:t>
            </w:r>
          </w:p>
        </w:tc>
        <w:tc>
          <w:tcPr>
            <w:tcW w:w="320" w:type="dxa"/>
            <w:vAlign w:val="bottom"/>
          </w:tcPr>
          <w:p>
            <w:pPr>
              <w:jc w:val="right"/>
              <w:spacing w:after="0"/>
              <w:rPr>
                <w:sz w:val="20"/>
                <w:szCs w:val="20"/>
                <w:color w:val="auto"/>
              </w:rPr>
            </w:pPr>
            <w:r>
              <w:rPr>
                <w:rFonts w:ascii="Arial" w:cs="Arial" w:eastAsia="Arial" w:hAnsi="Arial"/>
                <w:sz w:val="10"/>
                <w:szCs w:val="10"/>
                <w:color w:val="691A6B"/>
              </w:rPr>
              <w:t>(38)</w:t>
            </w:r>
          </w:p>
        </w:tc>
        <w:tc>
          <w:tcPr>
            <w:tcW w:w="940" w:type="dxa"/>
            <w:vAlign w:val="bottom"/>
          </w:tcPr>
          <w:p>
            <w:pPr>
              <w:jc w:val="right"/>
              <w:spacing w:after="0"/>
              <w:rPr>
                <w:sz w:val="20"/>
                <w:szCs w:val="20"/>
                <w:color w:val="auto"/>
              </w:rPr>
            </w:pPr>
            <w:r>
              <w:rPr>
                <w:rFonts w:ascii="Arial" w:cs="Arial" w:eastAsia="Arial" w:hAnsi="Arial"/>
                <w:sz w:val="10"/>
                <w:szCs w:val="10"/>
                <w:color w:val="auto"/>
              </w:rPr>
              <w:t>(79)</w:t>
            </w: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(117)</w:t>
            </w:r>
          </w:p>
        </w:tc>
        <w:tc>
          <w:tcPr>
            <w:tcW w:w="4740" w:type="dxa"/>
            <w:vAlign w:val="bottom"/>
          </w:tcPr>
          <w:p>
            <w:pPr>
              <w:spacing w:after="0"/>
              <w:rPr>
                <w:sz w:val="24"/>
                <w:szCs w:val="24"/>
                <w:color w:val="auto"/>
              </w:rPr>
            </w:pPr>
          </w:p>
        </w:tc>
      </w:tr>
      <w:tr>
        <w:trPr>
          <w:trHeight w:val="95"/>
        </w:trPr>
        <w:tc>
          <w:tcPr>
            <w:tcW w:w="1760" w:type="dxa"/>
            <w:vAlign w:val="bottom"/>
          </w:tcPr>
          <w:p>
            <w:pPr>
              <w:ind w:left="20"/>
              <w:spacing w:after="0" w:line="95" w:lineRule="exact"/>
              <w:rPr>
                <w:sz w:val="20"/>
                <w:szCs w:val="20"/>
                <w:color w:val="auto"/>
              </w:rPr>
            </w:pPr>
            <w:r>
              <w:rPr>
                <w:rFonts w:ascii="Arial" w:cs="Arial" w:eastAsia="Arial" w:hAnsi="Arial"/>
                <w:sz w:val="10"/>
                <w:szCs w:val="10"/>
                <w:color w:val="auto"/>
              </w:rPr>
              <w:t>depreciation and</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740" w:type="dxa"/>
            <w:vAlign w:val="bottom"/>
          </w:tcPr>
          <w:p>
            <w:pPr>
              <w:spacing w:after="0"/>
              <w:rPr>
                <w:sz w:val="8"/>
                <w:szCs w:val="8"/>
                <w:color w:val="auto"/>
              </w:rPr>
            </w:pPr>
          </w:p>
        </w:tc>
      </w:tr>
      <w:tr>
        <w:trPr>
          <w:trHeight w:val="137"/>
        </w:trPr>
        <w:tc>
          <w:tcPr>
            <w:tcW w:w="1760" w:type="dxa"/>
            <w:vAlign w:val="bottom"/>
          </w:tcPr>
          <w:p>
            <w:pPr>
              <w:ind w:left="20"/>
              <w:spacing w:after="0"/>
              <w:rPr>
                <w:sz w:val="20"/>
                <w:szCs w:val="20"/>
                <w:color w:val="auto"/>
              </w:rPr>
            </w:pPr>
            <w:r>
              <w:rPr>
                <w:rFonts w:ascii="Arial" w:cs="Arial" w:eastAsia="Arial" w:hAnsi="Arial"/>
                <w:sz w:val="10"/>
                <w:szCs w:val="10"/>
                <w:color w:val="auto"/>
              </w:rPr>
              <w:t>impairment at January 1</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81"/>
        </w:trPr>
        <w:tc>
          <w:tcPr>
            <w:tcW w:w="1760" w:type="dxa"/>
            <w:vAlign w:val="bottom"/>
          </w:tcPr>
          <w:p>
            <w:pPr>
              <w:ind w:left="20"/>
              <w:spacing w:after="0"/>
              <w:rPr>
                <w:sz w:val="20"/>
                <w:szCs w:val="20"/>
                <w:color w:val="auto"/>
              </w:rPr>
            </w:pPr>
            <w:r>
              <w:rPr>
                <w:rFonts w:ascii="Arial" w:cs="Arial" w:eastAsia="Arial" w:hAnsi="Arial"/>
                <w:sz w:val="10"/>
                <w:szCs w:val="10"/>
                <w:color w:val="auto"/>
              </w:rPr>
              <w:t>Depreciation for the year</w:t>
            </w:r>
          </w:p>
        </w:tc>
        <w:tc>
          <w:tcPr>
            <w:tcW w:w="320" w:type="dxa"/>
            <w:vAlign w:val="bottom"/>
          </w:tcPr>
          <w:p>
            <w:pPr>
              <w:jc w:val="right"/>
              <w:spacing w:after="0"/>
              <w:rPr>
                <w:sz w:val="20"/>
                <w:szCs w:val="20"/>
                <w:color w:val="auto"/>
              </w:rPr>
            </w:pPr>
            <w:r>
              <w:rPr>
                <w:rFonts w:ascii="Arial" w:cs="Arial" w:eastAsia="Arial" w:hAnsi="Arial"/>
                <w:sz w:val="10"/>
                <w:szCs w:val="10"/>
                <w:color w:val="691A6B"/>
              </w:rPr>
              <w:t>(13)</w:t>
            </w:r>
          </w:p>
        </w:tc>
        <w:tc>
          <w:tcPr>
            <w:tcW w:w="94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(38)</w:t>
            </w:r>
          </w:p>
        </w:tc>
        <w:tc>
          <w:tcPr>
            <w:tcW w:w="4740" w:type="dxa"/>
            <w:vAlign w:val="bottom"/>
          </w:tcPr>
          <w:p>
            <w:pPr>
              <w:spacing w:after="0"/>
              <w:rPr>
                <w:sz w:val="15"/>
                <w:szCs w:val="15"/>
                <w:color w:val="auto"/>
              </w:rPr>
            </w:pPr>
          </w:p>
        </w:tc>
      </w:tr>
      <w:tr>
        <w:trPr>
          <w:trHeight w:val="120"/>
        </w:trPr>
        <w:tc>
          <w:tcPr>
            <w:tcW w:w="1760" w:type="dxa"/>
            <w:vAlign w:val="bottom"/>
          </w:tcPr>
          <w:p>
            <w:pPr>
              <w:ind w:left="20"/>
              <w:spacing w:after="0"/>
              <w:rPr>
                <w:sz w:val="20"/>
                <w:szCs w:val="20"/>
                <w:color w:val="auto"/>
              </w:rPr>
            </w:pPr>
            <w:r>
              <w:rPr>
                <w:rFonts w:ascii="Arial" w:cs="Arial" w:eastAsia="Arial" w:hAnsi="Arial"/>
                <w:sz w:val="10"/>
                <w:szCs w:val="10"/>
                <w:color w:val="auto"/>
              </w:rPr>
              <w:t>Exchange rate</w:t>
            </w:r>
          </w:p>
        </w:tc>
        <w:tc>
          <w:tcPr>
            <w:tcW w:w="320" w:type="dxa"/>
            <w:vAlign w:val="bottom"/>
          </w:tcPr>
          <w:p>
            <w:pPr>
              <w:jc w:val="right"/>
              <w:spacing w:after="0"/>
              <w:rPr>
                <w:sz w:val="20"/>
                <w:szCs w:val="20"/>
                <w:color w:val="auto"/>
              </w:rPr>
            </w:pPr>
            <w:r>
              <w:rPr>
                <w:rFonts w:ascii="Arial" w:cs="Arial" w:eastAsia="Arial" w:hAnsi="Arial"/>
                <w:sz w:val="10"/>
                <w:szCs w:val="10"/>
                <w:color w:val="691A6B"/>
              </w:rPr>
              <w:t>(3)</w:t>
            </w:r>
          </w:p>
        </w:tc>
        <w:tc>
          <w:tcPr>
            <w:tcW w:w="94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0"/>
                <w:szCs w:val="10"/>
                <w:color w:val="auto"/>
              </w:rPr>
            </w:pPr>
          </w:p>
        </w:tc>
        <w:tc>
          <w:tcPr>
            <w:tcW w:w="8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(13)</w:t>
            </w:r>
          </w:p>
        </w:tc>
        <w:tc>
          <w:tcPr>
            <w:tcW w:w="4740" w:type="dxa"/>
            <w:vAlign w:val="bottom"/>
          </w:tcPr>
          <w:p>
            <w:pPr>
              <w:spacing w:after="0"/>
              <w:rPr>
                <w:sz w:val="10"/>
                <w:szCs w:val="10"/>
                <w:color w:val="auto"/>
              </w:rPr>
            </w:pPr>
          </w:p>
        </w:tc>
      </w:tr>
      <w:tr>
        <w:trPr>
          <w:trHeight w:val="137"/>
        </w:trPr>
        <w:tc>
          <w:tcPr>
            <w:tcW w:w="1760" w:type="dxa"/>
            <w:vAlign w:val="bottom"/>
          </w:tcPr>
          <w:p>
            <w:pPr>
              <w:ind w:left="20"/>
              <w:spacing w:after="0"/>
              <w:rPr>
                <w:sz w:val="20"/>
                <w:szCs w:val="20"/>
                <w:color w:val="auto"/>
              </w:rPr>
            </w:pPr>
            <w:r>
              <w:rPr>
                <w:rFonts w:ascii="Arial" w:cs="Arial" w:eastAsia="Arial" w:hAnsi="Arial"/>
                <w:sz w:val="10"/>
                <w:szCs w:val="10"/>
                <w:color w:val="auto"/>
              </w:rPr>
              <w:t>adjustment</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30"/>
        </w:trPr>
        <w:tc>
          <w:tcPr>
            <w:tcW w:w="1760" w:type="dxa"/>
            <w:vAlign w:val="bottom"/>
          </w:tcPr>
          <w:p>
            <w:pPr>
              <w:ind w:left="20"/>
              <w:spacing w:after="0"/>
              <w:rPr>
                <w:sz w:val="20"/>
                <w:szCs w:val="20"/>
                <w:color w:val="auto"/>
              </w:rPr>
            </w:pPr>
            <w:r>
              <w:rPr>
                <w:rFonts w:ascii="Arial" w:cs="Arial" w:eastAsia="Arial" w:hAnsi="Arial"/>
                <w:sz w:val="10"/>
                <w:szCs w:val="10"/>
                <w:color w:val="auto"/>
              </w:rPr>
              <w:t>Accumulated</w:t>
            </w:r>
          </w:p>
        </w:tc>
        <w:tc>
          <w:tcPr>
            <w:tcW w:w="320" w:type="dxa"/>
            <w:vAlign w:val="bottom"/>
          </w:tcPr>
          <w:p>
            <w:pPr>
              <w:jc w:val="right"/>
              <w:ind w:right="8"/>
              <w:spacing w:after="0"/>
              <w:rPr>
                <w:sz w:val="20"/>
                <w:szCs w:val="20"/>
                <w:color w:val="auto"/>
              </w:rPr>
            </w:pPr>
            <w:r>
              <w:rPr>
                <w:rFonts w:ascii="Arial" w:cs="Arial" w:eastAsia="Arial" w:hAnsi="Arial"/>
                <w:sz w:val="10"/>
                <w:szCs w:val="10"/>
                <w:color w:val="691A6B"/>
              </w:rPr>
              <w:t>6</w:t>
            </w: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8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11</w:t>
            </w:r>
          </w:p>
        </w:tc>
        <w:tc>
          <w:tcPr>
            <w:tcW w:w="4740" w:type="dxa"/>
            <w:vAlign w:val="bottom"/>
          </w:tcPr>
          <w:p>
            <w:pPr>
              <w:spacing w:after="0"/>
              <w:rPr>
                <w:sz w:val="11"/>
                <w:szCs w:val="11"/>
                <w:color w:val="auto"/>
              </w:rPr>
            </w:pPr>
          </w:p>
        </w:tc>
      </w:tr>
      <w:tr>
        <w:trPr>
          <w:trHeight w:val="95"/>
        </w:trPr>
        <w:tc>
          <w:tcPr>
            <w:tcW w:w="1760" w:type="dxa"/>
            <w:vAlign w:val="bottom"/>
          </w:tcPr>
          <w:p>
            <w:pPr>
              <w:ind w:left="20"/>
              <w:spacing w:after="0" w:line="95" w:lineRule="exact"/>
              <w:rPr>
                <w:sz w:val="20"/>
                <w:szCs w:val="20"/>
                <w:color w:val="auto"/>
              </w:rPr>
            </w:pPr>
            <w:r>
              <w:rPr>
                <w:rFonts w:ascii="Arial" w:cs="Arial" w:eastAsia="Arial" w:hAnsi="Arial"/>
                <w:sz w:val="10"/>
                <w:szCs w:val="10"/>
                <w:color w:val="auto"/>
              </w:rPr>
              <w:t>depreciation on</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740" w:type="dxa"/>
            <w:vAlign w:val="bottom"/>
          </w:tcPr>
          <w:p>
            <w:pPr>
              <w:spacing w:after="0"/>
              <w:rPr>
                <w:sz w:val="8"/>
                <w:szCs w:val="8"/>
                <w:color w:val="auto"/>
              </w:rPr>
            </w:pPr>
          </w:p>
        </w:tc>
      </w:tr>
      <w:tr>
        <w:trPr>
          <w:trHeight w:val="137"/>
        </w:trPr>
        <w:tc>
          <w:tcPr>
            <w:tcW w:w="1760" w:type="dxa"/>
            <w:vAlign w:val="bottom"/>
          </w:tcPr>
          <w:p>
            <w:pPr>
              <w:ind w:left="20"/>
              <w:spacing w:after="0"/>
              <w:rPr>
                <w:sz w:val="20"/>
                <w:szCs w:val="20"/>
                <w:color w:val="auto"/>
              </w:rPr>
            </w:pPr>
            <w:r>
              <w:rPr>
                <w:rFonts w:ascii="Arial" w:cs="Arial" w:eastAsia="Arial" w:hAnsi="Arial"/>
                <w:sz w:val="10"/>
                <w:szCs w:val="10"/>
                <w:color w:val="auto"/>
              </w:rPr>
              <w:t>disposals</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49"/>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Accumulated</w:t>
            </w:r>
          </w:p>
        </w:tc>
        <w:tc>
          <w:tcPr>
            <w:tcW w:w="320" w:type="dxa"/>
            <w:vAlign w:val="bottom"/>
          </w:tcPr>
          <w:p>
            <w:pPr>
              <w:jc w:val="right"/>
              <w:spacing w:after="0"/>
              <w:rPr>
                <w:sz w:val="20"/>
                <w:szCs w:val="20"/>
                <w:color w:val="auto"/>
              </w:rPr>
            </w:pPr>
            <w:r>
              <w:rPr>
                <w:rFonts w:ascii="Arial" w:cs="Arial" w:eastAsia="Arial" w:hAnsi="Arial"/>
                <w:sz w:val="10"/>
                <w:szCs w:val="10"/>
                <w:b w:val="1"/>
                <w:bCs w:val="1"/>
                <w:color w:val="691A6B"/>
              </w:rPr>
              <w:t>(48)</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(109)</w:t>
            </w:r>
          </w:p>
        </w:tc>
        <w:tc>
          <w:tcPr>
            <w:tcW w:w="100" w:type="dxa"/>
            <w:vAlign w:val="bottom"/>
          </w:tcPr>
          <w:p>
            <w:pPr>
              <w:spacing w:after="0"/>
              <w:rPr>
                <w:sz w:val="12"/>
                <w:szCs w:val="12"/>
                <w:color w:val="auto"/>
              </w:rPr>
            </w:pPr>
          </w:p>
        </w:tc>
        <w:tc>
          <w:tcPr>
            <w:tcW w:w="8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(157)</w:t>
            </w:r>
          </w:p>
        </w:tc>
        <w:tc>
          <w:tcPr>
            <w:tcW w:w="4740" w:type="dxa"/>
            <w:vAlign w:val="bottom"/>
          </w:tcPr>
          <w:p>
            <w:pPr>
              <w:spacing w:after="0"/>
              <w:rPr>
                <w:sz w:val="12"/>
                <w:szCs w:val="12"/>
                <w:color w:val="auto"/>
              </w:rPr>
            </w:pPr>
          </w:p>
        </w:tc>
      </w:tr>
      <w:tr>
        <w:trPr>
          <w:trHeight w:val="95"/>
        </w:trPr>
        <w:tc>
          <w:tcPr>
            <w:tcW w:w="17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depreciation and</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740" w:type="dxa"/>
            <w:vAlign w:val="bottom"/>
          </w:tcPr>
          <w:p>
            <w:pPr>
              <w:spacing w:after="0"/>
              <w:rPr>
                <w:sz w:val="8"/>
                <w:szCs w:val="8"/>
                <w:color w:val="auto"/>
              </w:rPr>
            </w:pPr>
          </w:p>
        </w:tc>
      </w:tr>
      <w:tr>
        <w:trPr>
          <w:trHeight w:val="95"/>
        </w:trPr>
        <w:tc>
          <w:tcPr>
            <w:tcW w:w="17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impairment at</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740" w:type="dxa"/>
            <w:vAlign w:val="bottom"/>
          </w:tcPr>
          <w:p>
            <w:pPr>
              <w:spacing w:after="0"/>
              <w:rPr>
                <w:sz w:val="8"/>
                <w:szCs w:val="8"/>
                <w:color w:val="auto"/>
              </w:rPr>
            </w:pPr>
          </w:p>
        </w:tc>
      </w:tr>
      <w:tr>
        <w:trPr>
          <w:trHeight w:val="143"/>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740" w:type="dxa"/>
            <w:vAlign w:val="bottom"/>
          </w:tcPr>
          <w:p>
            <w:pPr>
              <w:spacing w:after="0"/>
              <w:rPr>
                <w:sz w:val="12"/>
                <w:szCs w:val="12"/>
                <w:color w:val="auto"/>
              </w:rPr>
            </w:pPr>
          </w:p>
        </w:tc>
      </w:tr>
      <w:tr>
        <w:trPr>
          <w:trHeight w:val="371"/>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Carrying amount at</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691A6B"/>
              </w:rPr>
              <w:t>84</w:t>
            </w:r>
          </w:p>
        </w:tc>
        <w:tc>
          <w:tcPr>
            <w:tcW w:w="940" w:type="dxa"/>
            <w:vAlign w:val="bottom"/>
          </w:tcPr>
          <w:p>
            <w:pPr>
              <w:jc w:val="right"/>
              <w:ind w:right="29"/>
              <w:spacing w:after="0"/>
              <w:rPr>
                <w:sz w:val="20"/>
                <w:szCs w:val="20"/>
                <w:color w:val="auto"/>
              </w:rPr>
            </w:pPr>
            <w:r>
              <w:rPr>
                <w:rFonts w:ascii="Arial" w:cs="Arial" w:eastAsia="Arial" w:hAnsi="Arial"/>
                <w:sz w:val="10"/>
                <w:szCs w:val="10"/>
                <w:b w:val="1"/>
                <w:bCs w:val="1"/>
                <w:color w:val="auto"/>
              </w:rPr>
              <w:t>66</w:t>
            </w:r>
          </w:p>
        </w:tc>
        <w:tc>
          <w:tcPr>
            <w:tcW w:w="920" w:type="dxa"/>
            <w:vAlign w:val="bottom"/>
            <w:gridSpan w:val="2"/>
          </w:tcPr>
          <w:p>
            <w:pPr>
              <w:jc w:val="right"/>
              <w:ind w:right="8"/>
              <w:spacing w:after="0"/>
              <w:rPr>
                <w:sz w:val="20"/>
                <w:szCs w:val="20"/>
                <w:color w:val="auto"/>
              </w:rPr>
            </w:pPr>
            <w:r>
              <w:rPr>
                <w:rFonts w:ascii="Arial" w:cs="Arial" w:eastAsia="Arial" w:hAnsi="Arial"/>
                <w:sz w:val="10"/>
                <w:szCs w:val="10"/>
                <w:b w:val="1"/>
                <w:bCs w:val="1"/>
                <w:color w:val="auto"/>
              </w:rPr>
              <w:t>3</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153</w:t>
            </w:r>
          </w:p>
        </w:tc>
        <w:tc>
          <w:tcPr>
            <w:tcW w:w="4740" w:type="dxa"/>
            <w:vAlign w:val="bottom"/>
          </w:tcPr>
          <w:p>
            <w:pPr>
              <w:spacing w:after="0"/>
              <w:rPr>
                <w:sz w:val="24"/>
                <w:szCs w:val="24"/>
                <w:color w:val="auto"/>
              </w:rPr>
            </w:pPr>
          </w:p>
        </w:tc>
      </w:tr>
      <w:tr>
        <w:trPr>
          <w:trHeight w:val="143"/>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740" w:type="dxa"/>
            <w:vAlign w:val="bottom"/>
          </w:tcPr>
          <w:p>
            <w:pPr>
              <w:spacing w:after="0"/>
              <w:rPr>
                <w:sz w:val="12"/>
                <w:szCs w:val="12"/>
                <w:color w:val="auto"/>
              </w:rPr>
            </w:pPr>
          </w:p>
        </w:tc>
      </w:tr>
      <w:tr>
        <w:trPr>
          <w:trHeight w:val="320"/>
        </w:trPr>
        <w:tc>
          <w:tcPr>
            <w:tcW w:w="1760" w:type="dxa"/>
            <w:vAlign w:val="bottom"/>
          </w:tcPr>
          <w:p>
            <w:pPr>
              <w:ind w:left="420"/>
              <w:spacing w:after="0"/>
              <w:rPr>
                <w:rFonts w:ascii="Arial" w:cs="Arial" w:eastAsia="Arial" w:hAnsi="Arial"/>
                <w:sz w:val="10"/>
                <w:szCs w:val="10"/>
                <w:color w:val="auto"/>
              </w:rPr>
            </w:pPr>
            <w:hyperlink w:anchor="page83">
              <w:r>
                <w:rPr>
                  <w:rFonts w:ascii="Arial" w:cs="Arial" w:eastAsia="Arial" w:hAnsi="Arial"/>
                  <w:sz w:val="10"/>
                  <w:szCs w:val="10"/>
                  <w:color w:val="auto"/>
                </w:rPr>
                <w:t>Management’s Review</w:t>
              </w:r>
            </w:hyperlink>
          </w:p>
        </w:tc>
        <w:tc>
          <w:tcPr>
            <w:tcW w:w="1260" w:type="dxa"/>
            <w:vAlign w:val="bottom"/>
            <w:gridSpan w:val="2"/>
          </w:tcPr>
          <w:p>
            <w:pPr>
              <w:jc w:val="right"/>
              <w:ind w:right="249"/>
              <w:spacing w:after="0"/>
              <w:rPr>
                <w:rFonts w:ascii="Arial" w:cs="Arial" w:eastAsia="Arial" w:hAnsi="Arial"/>
                <w:sz w:val="10"/>
                <w:szCs w:val="10"/>
                <w:b w:val="1"/>
                <w:bCs w:val="1"/>
                <w:color w:val="auto"/>
                <w:w w:val="93"/>
              </w:rPr>
            </w:pPr>
            <w:hyperlink w:anchor="page134">
              <w:r>
                <w:rPr>
                  <w:rFonts w:ascii="Arial" w:cs="Arial" w:eastAsia="Arial" w:hAnsi="Arial"/>
                  <w:sz w:val="10"/>
                  <w:szCs w:val="10"/>
                  <w:b w:val="1"/>
                  <w:bCs w:val="1"/>
                  <w:color w:val="auto"/>
                  <w:w w:val="93"/>
                </w:rPr>
                <w:t>Financial Statements</w:t>
              </w:r>
            </w:hyperlink>
          </w:p>
        </w:tc>
        <w:tc>
          <w:tcPr>
            <w:tcW w:w="100" w:type="dxa"/>
            <w:vAlign w:val="bottom"/>
          </w:tcPr>
          <w:p>
            <w:pPr>
              <w:spacing w:after="0"/>
              <w:rPr>
                <w:sz w:val="24"/>
                <w:szCs w:val="24"/>
                <w:color w:val="auto"/>
              </w:rPr>
            </w:pPr>
          </w:p>
        </w:tc>
        <w:tc>
          <w:tcPr>
            <w:tcW w:w="820" w:type="dxa"/>
            <w:vAlign w:val="bottom"/>
          </w:tcPr>
          <w:p>
            <w:pPr>
              <w:jc w:val="right"/>
              <w:ind w:right="8"/>
              <w:spacing w:after="0"/>
              <w:rPr>
                <w:rFonts w:ascii="Arial" w:cs="Arial" w:eastAsia="Arial" w:hAnsi="Arial"/>
                <w:sz w:val="10"/>
                <w:szCs w:val="10"/>
                <w:color w:val="auto"/>
                <w:w w:val="95"/>
              </w:rPr>
            </w:pPr>
            <w:hyperlink w:anchor="page171">
              <w:r>
                <w:rPr>
                  <w:rFonts w:ascii="Arial" w:cs="Arial" w:eastAsia="Arial" w:hAnsi="Arial"/>
                  <w:sz w:val="10"/>
                  <w:szCs w:val="10"/>
                  <w:color w:val="auto"/>
                  <w:w w:val="95"/>
                </w:rPr>
                <w:t>Other Information</w:t>
              </w:r>
            </w:hyperlink>
          </w:p>
        </w:tc>
        <w:tc>
          <w:tcPr>
            <w:tcW w:w="960" w:type="dxa"/>
            <w:vAlign w:val="bottom"/>
          </w:tcPr>
          <w:p>
            <w:pPr>
              <w:spacing w:after="0"/>
              <w:rPr>
                <w:sz w:val="24"/>
                <w:szCs w:val="24"/>
                <w:color w:val="auto"/>
              </w:rPr>
            </w:pPr>
          </w:p>
        </w:tc>
        <w:tc>
          <w:tcPr>
            <w:tcW w:w="4740" w:type="dxa"/>
            <w:vAlign w:val="bottom"/>
          </w:tcPr>
          <w:p>
            <w:pPr>
              <w:ind w:left="3220"/>
              <w:spacing w:after="0"/>
              <w:rPr>
                <w:sz w:val="20"/>
                <w:szCs w:val="20"/>
                <w:color w:val="auto"/>
              </w:rPr>
            </w:pPr>
            <w:r>
              <w:rPr>
                <w:rFonts w:ascii="Arial" w:cs="Arial" w:eastAsia="Arial" w:hAnsi="Arial"/>
                <w:sz w:val="10"/>
                <w:szCs w:val="10"/>
                <w:color w:val="auto"/>
                <w:w w:val="96"/>
              </w:rPr>
              <w:t>Genmab 2025 Annual Report   126</w:t>
            </w:r>
          </w:p>
        </w:tc>
      </w:tr>
      <w:tr>
        <w:trPr>
          <w:trHeight w:val="156"/>
        </w:trPr>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67"/>
        </w:trPr>
        <w:tc>
          <w:tcPr>
            <w:tcW w:w="1760" w:type="dxa"/>
            <w:vAlign w:val="bottom"/>
          </w:tcPr>
          <w:p>
            <w:pPr>
              <w:spacing w:after="0"/>
              <w:rPr>
                <w:sz w:val="5"/>
                <w:szCs w:val="5"/>
                <w:color w:val="auto"/>
              </w:rPr>
            </w:pPr>
          </w:p>
        </w:tc>
        <w:tc>
          <w:tcPr>
            <w:tcW w:w="320" w:type="dxa"/>
            <w:vAlign w:val="bottom"/>
            <w:shd w:val="clear" w:color="auto" w:fill="691A6B"/>
          </w:tcPr>
          <w:p>
            <w:pPr>
              <w:spacing w:after="0"/>
              <w:rPr>
                <w:sz w:val="5"/>
                <w:szCs w:val="5"/>
                <w:color w:val="auto"/>
              </w:rPr>
            </w:pPr>
          </w:p>
        </w:tc>
        <w:tc>
          <w:tcPr>
            <w:tcW w:w="940" w:type="dxa"/>
            <w:vAlign w:val="bottom"/>
            <w:shd w:val="clear" w:color="auto" w:fill="691A6B"/>
          </w:tcPr>
          <w:p>
            <w:pPr>
              <w:spacing w:after="0"/>
              <w:rPr>
                <w:sz w:val="5"/>
                <w:szCs w:val="5"/>
                <w:color w:val="auto"/>
              </w:rPr>
            </w:pPr>
          </w:p>
        </w:tc>
        <w:tc>
          <w:tcPr>
            <w:tcW w:w="100" w:type="dxa"/>
            <w:vAlign w:val="bottom"/>
            <w:shd w:val="clear" w:color="auto" w:fill="691A6B"/>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7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90805" cy="965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691A6B"/>
        </w:rPr>
        <w:t>Financial Statements for the Genmab Group</w:t>
      </w:r>
    </w:p>
    <w:tbl>
      <w:tblPr>
        <w:tblLayout w:type="fixed"/>
        <w:tblInd w:w="0" w:type="dxa"/>
        <w:tblCellMar>
          <w:top w:w="0" w:type="dxa"/>
          <w:left w:w="0" w:type="dxa"/>
          <w:bottom w:w="0" w:type="dxa"/>
          <w:right w:w="0" w:type="dxa"/>
        </w:tblCellMar>
      </w:tblPr>
      <w:tr>
        <w:trPr>
          <w:trHeight w:val="95"/>
        </w:trPr>
        <w:tc>
          <w:tcPr>
            <w:tcW w:w="1840" w:type="dxa"/>
            <w:vAlign w:val="bottom"/>
            <w:tcBorders>
              <w:top w:val="single" w:sz="8" w:color="691A6B"/>
            </w:tcBorders>
          </w:tcPr>
          <w:p>
            <w:pPr>
              <w:ind w:left="1180"/>
              <w:spacing w:after="0" w:line="95" w:lineRule="exact"/>
              <w:rPr>
                <w:sz w:val="20"/>
                <w:szCs w:val="20"/>
                <w:color w:val="auto"/>
              </w:rPr>
            </w:pPr>
            <w:r>
              <w:rPr>
                <w:rFonts w:ascii="Arial" w:cs="Arial" w:eastAsia="Arial" w:hAnsi="Arial"/>
                <w:sz w:val="10"/>
                <w:szCs w:val="10"/>
                <w:b w:val="1"/>
                <w:bCs w:val="1"/>
                <w:color w:val="auto"/>
              </w:rPr>
              <w:t>Leasehold</w:t>
            </w:r>
          </w:p>
        </w:tc>
        <w:tc>
          <w:tcPr>
            <w:tcW w:w="900" w:type="dxa"/>
            <w:vAlign w:val="bottom"/>
            <w:tcBorders>
              <w:top w:val="single" w:sz="8" w:color="691A6B"/>
            </w:tcBorders>
          </w:tcPr>
          <w:p>
            <w:pPr>
              <w:ind w:left="260"/>
              <w:spacing w:after="0" w:line="95" w:lineRule="exact"/>
              <w:rPr>
                <w:sz w:val="20"/>
                <w:szCs w:val="20"/>
                <w:color w:val="auto"/>
              </w:rPr>
            </w:pPr>
            <w:r>
              <w:rPr>
                <w:rFonts w:ascii="Arial" w:cs="Arial" w:eastAsia="Arial" w:hAnsi="Arial"/>
                <w:sz w:val="10"/>
                <w:szCs w:val="10"/>
                <w:b w:val="1"/>
                <w:bCs w:val="1"/>
                <w:color w:val="auto"/>
              </w:rPr>
              <w:t>Equipment,</w:t>
            </w:r>
          </w:p>
        </w:tc>
        <w:tc>
          <w:tcPr>
            <w:tcW w:w="960" w:type="dxa"/>
            <w:vAlign w:val="bottom"/>
            <w:tcBorders>
              <w:top w:val="single" w:sz="8" w:color="691A6B"/>
            </w:tcBorders>
          </w:tcPr>
          <w:p>
            <w:pPr>
              <w:ind w:left="300"/>
              <w:spacing w:after="0" w:line="95" w:lineRule="exact"/>
              <w:rPr>
                <w:sz w:val="20"/>
                <w:szCs w:val="20"/>
                <w:color w:val="auto"/>
              </w:rPr>
            </w:pPr>
            <w:r>
              <w:rPr>
                <w:rFonts w:ascii="Arial" w:cs="Arial" w:eastAsia="Arial" w:hAnsi="Arial"/>
                <w:sz w:val="10"/>
                <w:szCs w:val="10"/>
                <w:b w:val="1"/>
                <w:bCs w:val="1"/>
                <w:color w:val="auto"/>
              </w:rPr>
              <w:t>Assets under</w:t>
            </w:r>
          </w:p>
        </w:tc>
        <w:tc>
          <w:tcPr>
            <w:tcW w:w="240" w:type="dxa"/>
            <w:vAlign w:val="bottom"/>
            <w:tcBorders>
              <w:top w:val="single" w:sz="8" w:color="691A6B"/>
            </w:tcBorders>
          </w:tcPr>
          <w:p>
            <w:pPr>
              <w:spacing w:after="0"/>
              <w:rPr>
                <w:sz w:val="8"/>
                <w:szCs w:val="8"/>
                <w:color w:val="auto"/>
              </w:rPr>
            </w:pPr>
          </w:p>
        </w:tc>
        <w:tc>
          <w:tcPr>
            <w:tcW w:w="960" w:type="dxa"/>
            <w:vAlign w:val="bottom"/>
            <w:tcBorders>
              <w:top w:val="single" w:sz="8" w:color="691A6B"/>
            </w:tcBorders>
            <w:gridSpan w:val="2"/>
          </w:tcPr>
          <w:p>
            <w:pPr>
              <w:ind w:left="40"/>
              <w:spacing w:after="0" w:line="95" w:lineRule="exact"/>
              <w:rPr>
                <w:sz w:val="20"/>
                <w:szCs w:val="20"/>
                <w:color w:val="auto"/>
              </w:rPr>
            </w:pPr>
            <w:r>
              <w:rPr>
                <w:rFonts w:ascii="Arial" w:cs="Arial" w:eastAsia="Arial" w:hAnsi="Arial"/>
                <w:sz w:val="10"/>
                <w:szCs w:val="10"/>
                <w:b w:val="1"/>
                <w:bCs w:val="1"/>
                <w:color w:val="auto"/>
              </w:rPr>
              <w:t>Total property and</w:t>
            </w:r>
          </w:p>
        </w:tc>
      </w:tr>
      <w:tr>
        <w:trPr>
          <w:trHeight w:val="95"/>
        </w:trPr>
        <w:tc>
          <w:tcPr>
            <w:tcW w:w="1840" w:type="dxa"/>
            <w:vAlign w:val="bottom"/>
          </w:tcPr>
          <w:p>
            <w:pPr>
              <w:ind w:left="1180"/>
              <w:spacing w:after="0" w:line="95" w:lineRule="exact"/>
              <w:rPr>
                <w:sz w:val="20"/>
                <w:szCs w:val="20"/>
                <w:color w:val="auto"/>
              </w:rPr>
            </w:pPr>
            <w:r>
              <w:rPr>
                <w:rFonts w:ascii="Arial" w:cs="Arial" w:eastAsia="Arial" w:hAnsi="Arial"/>
                <w:sz w:val="10"/>
                <w:szCs w:val="10"/>
                <w:b w:val="1"/>
                <w:bCs w:val="1"/>
                <w:color w:val="auto"/>
                <w:w w:val="93"/>
              </w:rPr>
              <w:t>improvements</w:t>
            </w:r>
          </w:p>
        </w:tc>
        <w:tc>
          <w:tcPr>
            <w:tcW w:w="900" w:type="dxa"/>
            <w:vAlign w:val="bottom"/>
          </w:tcPr>
          <w:p>
            <w:pPr>
              <w:ind w:left="260"/>
              <w:spacing w:after="0" w:line="95" w:lineRule="exact"/>
              <w:rPr>
                <w:sz w:val="20"/>
                <w:szCs w:val="20"/>
                <w:color w:val="auto"/>
              </w:rPr>
            </w:pPr>
            <w:r>
              <w:rPr>
                <w:rFonts w:ascii="Arial" w:cs="Arial" w:eastAsia="Arial" w:hAnsi="Arial"/>
                <w:sz w:val="10"/>
                <w:szCs w:val="10"/>
                <w:b w:val="1"/>
                <w:bCs w:val="1"/>
                <w:color w:val="auto"/>
              </w:rPr>
              <w:t>furniture and</w:t>
            </w:r>
          </w:p>
        </w:tc>
        <w:tc>
          <w:tcPr>
            <w:tcW w:w="960" w:type="dxa"/>
            <w:vAlign w:val="bottom"/>
          </w:tcPr>
          <w:p>
            <w:pPr>
              <w:ind w:left="300"/>
              <w:spacing w:after="0" w:line="95" w:lineRule="exact"/>
              <w:rPr>
                <w:sz w:val="20"/>
                <w:szCs w:val="20"/>
                <w:color w:val="auto"/>
              </w:rPr>
            </w:pPr>
            <w:r>
              <w:rPr>
                <w:rFonts w:ascii="Arial" w:cs="Arial" w:eastAsia="Arial" w:hAnsi="Arial"/>
                <w:sz w:val="10"/>
                <w:szCs w:val="10"/>
                <w:b w:val="1"/>
                <w:bCs w:val="1"/>
                <w:color w:val="auto"/>
              </w:rPr>
              <w:t>construction</w:t>
            </w:r>
          </w:p>
        </w:tc>
        <w:tc>
          <w:tcPr>
            <w:tcW w:w="240" w:type="dxa"/>
            <w:vAlign w:val="bottom"/>
          </w:tcPr>
          <w:p>
            <w:pPr>
              <w:spacing w:after="0"/>
              <w:rPr>
                <w:sz w:val="8"/>
                <w:szCs w:val="8"/>
                <w:color w:val="auto"/>
              </w:rPr>
            </w:pPr>
          </w:p>
        </w:tc>
        <w:tc>
          <w:tcPr>
            <w:tcW w:w="96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equipment</w:t>
            </w:r>
          </w:p>
        </w:tc>
      </w:tr>
      <w:tr>
        <w:trPr>
          <w:trHeight w:val="128"/>
        </w:trPr>
        <w:tc>
          <w:tcPr>
            <w:tcW w:w="1840" w:type="dxa"/>
            <w:vAlign w:val="bottom"/>
          </w:tcPr>
          <w:p>
            <w:pPr>
              <w:spacing w:after="0"/>
              <w:rPr>
                <w:sz w:val="11"/>
                <w:szCs w:val="11"/>
                <w:color w:val="auto"/>
              </w:rPr>
            </w:pPr>
          </w:p>
        </w:tc>
        <w:tc>
          <w:tcPr>
            <w:tcW w:w="900" w:type="dxa"/>
            <w:vAlign w:val="bottom"/>
          </w:tcPr>
          <w:p>
            <w:pPr>
              <w:ind w:left="260"/>
              <w:spacing w:after="0"/>
              <w:rPr>
                <w:sz w:val="20"/>
                <w:szCs w:val="20"/>
                <w:color w:val="auto"/>
              </w:rPr>
            </w:pPr>
            <w:r>
              <w:rPr>
                <w:rFonts w:ascii="Arial" w:cs="Arial" w:eastAsia="Arial" w:hAnsi="Arial"/>
                <w:sz w:val="10"/>
                <w:szCs w:val="10"/>
                <w:b w:val="1"/>
                <w:bCs w:val="1"/>
                <w:color w:val="auto"/>
              </w:rPr>
              <w:t>fixtures</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1840" w:type="dxa"/>
            <w:vAlign w:val="bottom"/>
          </w:tcPr>
          <w:p>
            <w:pPr>
              <w:ind w:left="20"/>
              <w:spacing w:after="0"/>
              <w:rPr>
                <w:sz w:val="20"/>
                <w:szCs w:val="20"/>
                <w:color w:val="auto"/>
              </w:rPr>
            </w:pPr>
            <w:r>
              <w:rPr>
                <w:rFonts w:ascii="Arial" w:cs="Arial" w:eastAsia="Arial" w:hAnsi="Arial"/>
                <w:sz w:val="10"/>
                <w:szCs w:val="10"/>
                <w:color w:val="691A6B"/>
              </w:rPr>
              <w:t>2024</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1840" w:type="dxa"/>
            <w:vAlign w:val="bottom"/>
          </w:tcPr>
          <w:p>
            <w:pPr>
              <w:ind w:left="20"/>
              <w:spacing w:after="0"/>
              <w:rPr>
                <w:sz w:val="20"/>
                <w:szCs w:val="20"/>
                <w:color w:val="auto"/>
              </w:rPr>
            </w:pPr>
            <w:r>
              <w:rPr>
                <w:rFonts w:ascii="Arial" w:cs="Arial" w:eastAsia="Arial" w:hAnsi="Arial"/>
                <w:sz w:val="10"/>
                <w:szCs w:val="10"/>
                <w:color w:val="auto"/>
              </w:rPr>
              <w:t>Cost at January 1</w:t>
            </w:r>
          </w:p>
        </w:tc>
        <w:tc>
          <w:tcPr>
            <w:tcW w:w="900" w:type="dxa"/>
            <w:vAlign w:val="bottom"/>
          </w:tcPr>
          <w:p>
            <w:pPr>
              <w:jc w:val="right"/>
              <w:ind w:right="669"/>
              <w:spacing w:after="0"/>
              <w:rPr>
                <w:sz w:val="20"/>
                <w:szCs w:val="20"/>
                <w:color w:val="auto"/>
              </w:rPr>
            </w:pPr>
            <w:r>
              <w:rPr>
                <w:rFonts w:ascii="Arial" w:cs="Arial" w:eastAsia="Arial" w:hAnsi="Arial"/>
                <w:sz w:val="10"/>
                <w:szCs w:val="10"/>
                <w:color w:val="auto"/>
                <w:w w:val="95"/>
              </w:rPr>
              <w:t>101</w:t>
            </w:r>
          </w:p>
        </w:tc>
        <w:tc>
          <w:tcPr>
            <w:tcW w:w="960" w:type="dxa"/>
            <w:vAlign w:val="bottom"/>
          </w:tcPr>
          <w:p>
            <w:pPr>
              <w:jc w:val="right"/>
              <w:ind w:right="708"/>
              <w:spacing w:after="0"/>
              <w:rPr>
                <w:sz w:val="20"/>
                <w:szCs w:val="20"/>
                <w:color w:val="auto"/>
              </w:rPr>
            </w:pPr>
            <w:r>
              <w:rPr>
                <w:rFonts w:ascii="Arial" w:cs="Arial" w:eastAsia="Arial" w:hAnsi="Arial"/>
                <w:sz w:val="10"/>
                <w:szCs w:val="10"/>
                <w:color w:val="auto"/>
              </w:rPr>
              <w:t>135</w:t>
            </w:r>
          </w:p>
        </w:tc>
        <w:tc>
          <w:tcPr>
            <w:tcW w:w="240" w:type="dxa"/>
            <w:vAlign w:val="bottom"/>
          </w:tcPr>
          <w:p>
            <w:pPr>
              <w:jc w:val="right"/>
              <w:ind w:right="8"/>
              <w:spacing w:after="0"/>
              <w:rPr>
                <w:sz w:val="20"/>
                <w:szCs w:val="20"/>
                <w:color w:val="auto"/>
              </w:rPr>
            </w:pPr>
            <w:r>
              <w:rPr>
                <w:rFonts w:ascii="Arial" w:cs="Arial" w:eastAsia="Arial" w:hAnsi="Arial"/>
                <w:sz w:val="10"/>
                <w:szCs w:val="10"/>
                <w:color w:val="auto"/>
              </w:rPr>
              <w:t>6</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242</w:t>
            </w:r>
          </w:p>
        </w:tc>
        <w:tc>
          <w:tcPr>
            <w:tcW w:w="20" w:type="dxa"/>
            <w:vAlign w:val="bottom"/>
          </w:tcPr>
          <w:p>
            <w:pPr>
              <w:spacing w:after="0"/>
              <w:rPr>
                <w:sz w:val="13"/>
                <w:szCs w:val="13"/>
                <w:color w:val="auto"/>
              </w:rPr>
            </w:pPr>
          </w:p>
        </w:tc>
      </w:tr>
      <w:tr>
        <w:trPr>
          <w:trHeight w:val="152"/>
        </w:trPr>
        <w:tc>
          <w:tcPr>
            <w:tcW w:w="1840" w:type="dxa"/>
            <w:vAlign w:val="bottom"/>
          </w:tcPr>
          <w:p>
            <w:pPr>
              <w:ind w:left="20"/>
              <w:spacing w:after="0"/>
              <w:rPr>
                <w:sz w:val="20"/>
                <w:szCs w:val="20"/>
                <w:color w:val="auto"/>
              </w:rPr>
            </w:pPr>
            <w:r>
              <w:rPr>
                <w:rFonts w:ascii="Arial" w:cs="Arial" w:eastAsia="Arial" w:hAnsi="Arial"/>
                <w:sz w:val="10"/>
                <w:szCs w:val="10"/>
                <w:color w:val="auto"/>
              </w:rPr>
              <w:t>Additions for the year</w:t>
            </w:r>
          </w:p>
        </w:tc>
        <w:tc>
          <w:tcPr>
            <w:tcW w:w="900" w:type="dxa"/>
            <w:vAlign w:val="bottom"/>
          </w:tcPr>
          <w:p>
            <w:pPr>
              <w:jc w:val="right"/>
              <w:ind w:right="669"/>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708"/>
              <w:spacing w:after="0"/>
              <w:rPr>
                <w:sz w:val="20"/>
                <w:szCs w:val="20"/>
                <w:color w:val="auto"/>
              </w:rPr>
            </w:pPr>
            <w:r>
              <w:rPr>
                <w:rFonts w:ascii="Arial" w:cs="Arial" w:eastAsia="Arial" w:hAnsi="Arial"/>
                <w:sz w:val="10"/>
                <w:szCs w:val="10"/>
                <w:color w:val="auto"/>
              </w:rPr>
              <w:t>12</w:t>
            </w:r>
          </w:p>
        </w:tc>
        <w:tc>
          <w:tcPr>
            <w:tcW w:w="240" w:type="dxa"/>
            <w:vAlign w:val="bottom"/>
          </w:tcPr>
          <w:p>
            <w:pPr>
              <w:jc w:val="right"/>
              <w:ind w:right="8"/>
              <w:spacing w:after="0"/>
              <w:rPr>
                <w:sz w:val="20"/>
                <w:szCs w:val="20"/>
                <w:color w:val="auto"/>
              </w:rPr>
            </w:pPr>
            <w:r>
              <w:rPr>
                <w:rFonts w:ascii="Arial" w:cs="Arial" w:eastAsia="Arial" w:hAnsi="Arial"/>
                <w:sz w:val="10"/>
                <w:szCs w:val="10"/>
                <w:color w:val="auto"/>
              </w:rPr>
              <w:t>17</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30</w:t>
            </w:r>
          </w:p>
        </w:tc>
        <w:tc>
          <w:tcPr>
            <w:tcW w:w="20" w:type="dxa"/>
            <w:vAlign w:val="bottom"/>
          </w:tcPr>
          <w:p>
            <w:pPr>
              <w:spacing w:after="0"/>
              <w:rPr>
                <w:sz w:val="13"/>
                <w:szCs w:val="13"/>
                <w:color w:val="auto"/>
              </w:rPr>
            </w:pPr>
          </w:p>
        </w:tc>
      </w:tr>
      <w:tr>
        <w:trPr>
          <w:trHeight w:val="120"/>
        </w:trPr>
        <w:tc>
          <w:tcPr>
            <w:tcW w:w="1840" w:type="dxa"/>
            <w:vAlign w:val="bottom"/>
          </w:tcPr>
          <w:p>
            <w:pPr>
              <w:ind w:left="20"/>
              <w:spacing w:after="0"/>
              <w:rPr>
                <w:sz w:val="20"/>
                <w:szCs w:val="20"/>
                <w:color w:val="auto"/>
              </w:rPr>
            </w:pPr>
            <w:r>
              <w:rPr>
                <w:rFonts w:ascii="Arial" w:cs="Arial" w:eastAsia="Arial" w:hAnsi="Arial"/>
                <w:sz w:val="10"/>
                <w:szCs w:val="10"/>
                <w:color w:val="auto"/>
              </w:rPr>
              <w:t>Acquisitions through</w:t>
            </w:r>
          </w:p>
        </w:tc>
        <w:tc>
          <w:tcPr>
            <w:tcW w:w="900" w:type="dxa"/>
            <w:vAlign w:val="bottom"/>
          </w:tcPr>
          <w:p>
            <w:pPr>
              <w:jc w:val="right"/>
              <w:ind w:right="669"/>
              <w:spacing w:after="0"/>
              <w:rPr>
                <w:sz w:val="20"/>
                <w:szCs w:val="20"/>
                <w:color w:val="auto"/>
              </w:rPr>
            </w:pPr>
            <w:r>
              <w:rPr>
                <w:rFonts w:ascii="Arial" w:cs="Arial" w:eastAsia="Arial" w:hAnsi="Arial"/>
                <w:sz w:val="10"/>
                <w:szCs w:val="10"/>
                <w:color w:val="auto"/>
              </w:rPr>
              <w:t>2</w:t>
            </w:r>
          </w:p>
        </w:tc>
        <w:tc>
          <w:tcPr>
            <w:tcW w:w="960" w:type="dxa"/>
            <w:vAlign w:val="bottom"/>
          </w:tcPr>
          <w:p>
            <w:pPr>
              <w:jc w:val="right"/>
              <w:ind w:right="708"/>
              <w:spacing w:after="0"/>
              <w:rPr>
                <w:sz w:val="20"/>
                <w:szCs w:val="20"/>
                <w:color w:val="auto"/>
              </w:rPr>
            </w:pPr>
            <w:r>
              <w:rPr>
                <w:rFonts w:ascii="Arial" w:cs="Arial" w:eastAsia="Arial" w:hAnsi="Arial"/>
                <w:sz w:val="10"/>
                <w:szCs w:val="10"/>
                <w:color w:val="auto"/>
              </w:rPr>
              <w:t>6</w:t>
            </w:r>
          </w:p>
        </w:tc>
        <w:tc>
          <w:tcPr>
            <w:tcW w:w="2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8</w:t>
            </w:r>
          </w:p>
        </w:tc>
        <w:tc>
          <w:tcPr>
            <w:tcW w:w="20" w:type="dxa"/>
            <w:vAlign w:val="bottom"/>
          </w:tcPr>
          <w:p>
            <w:pPr>
              <w:spacing w:after="0"/>
              <w:rPr>
                <w:sz w:val="10"/>
                <w:szCs w:val="10"/>
                <w:color w:val="auto"/>
              </w:rPr>
            </w:pPr>
          </w:p>
        </w:tc>
      </w:tr>
      <w:tr>
        <w:trPr>
          <w:trHeight w:val="137"/>
        </w:trPr>
        <w:tc>
          <w:tcPr>
            <w:tcW w:w="1840" w:type="dxa"/>
            <w:vAlign w:val="bottom"/>
          </w:tcPr>
          <w:p>
            <w:pPr>
              <w:ind w:left="20"/>
              <w:spacing w:after="0"/>
              <w:rPr>
                <w:sz w:val="20"/>
                <w:szCs w:val="20"/>
                <w:color w:val="auto"/>
              </w:rPr>
            </w:pPr>
            <w:r>
              <w:rPr>
                <w:rFonts w:ascii="Arial" w:cs="Arial" w:eastAsia="Arial" w:hAnsi="Arial"/>
                <w:sz w:val="10"/>
                <w:szCs w:val="10"/>
                <w:color w:val="auto"/>
              </w:rPr>
              <w:t>business combinations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0"/>
        </w:trPr>
        <w:tc>
          <w:tcPr>
            <w:tcW w:w="1840" w:type="dxa"/>
            <w:vAlign w:val="bottom"/>
          </w:tcPr>
          <w:p>
            <w:pPr>
              <w:ind w:left="20"/>
              <w:spacing w:after="0"/>
              <w:rPr>
                <w:sz w:val="20"/>
                <w:szCs w:val="20"/>
                <w:color w:val="auto"/>
              </w:rPr>
            </w:pPr>
            <w:r>
              <w:rPr>
                <w:rFonts w:ascii="Arial" w:cs="Arial" w:eastAsia="Arial" w:hAnsi="Arial"/>
                <w:sz w:val="10"/>
                <w:szCs w:val="10"/>
                <w:color w:val="auto"/>
              </w:rPr>
              <w:t>Transfers between the</w:t>
            </w:r>
          </w:p>
        </w:tc>
        <w:tc>
          <w:tcPr>
            <w:tcW w:w="900" w:type="dxa"/>
            <w:vAlign w:val="bottom"/>
          </w:tcPr>
          <w:p>
            <w:pPr>
              <w:jc w:val="right"/>
              <w:ind w:right="669"/>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708"/>
              <w:spacing w:after="0"/>
              <w:rPr>
                <w:sz w:val="20"/>
                <w:szCs w:val="20"/>
                <w:color w:val="auto"/>
              </w:rPr>
            </w:pPr>
            <w:r>
              <w:rPr>
                <w:rFonts w:ascii="Arial" w:cs="Arial" w:eastAsia="Arial" w:hAnsi="Arial"/>
                <w:sz w:val="10"/>
                <w:szCs w:val="10"/>
                <w:color w:val="auto"/>
              </w:rPr>
              <w:t>6</w:t>
            </w:r>
          </w:p>
        </w:tc>
        <w:tc>
          <w:tcPr>
            <w:tcW w:w="240" w:type="dxa"/>
            <w:vAlign w:val="bottom"/>
          </w:tcPr>
          <w:p>
            <w:pPr>
              <w:jc w:val="right"/>
              <w:spacing w:after="0"/>
              <w:rPr>
                <w:sz w:val="20"/>
                <w:szCs w:val="20"/>
                <w:color w:val="auto"/>
              </w:rPr>
            </w:pPr>
            <w:r>
              <w:rPr>
                <w:rFonts w:ascii="Arial" w:cs="Arial" w:eastAsia="Arial" w:hAnsi="Arial"/>
                <w:sz w:val="10"/>
                <w:szCs w:val="10"/>
                <w:color w:val="auto"/>
              </w:rPr>
              <w:t>(7)</w:t>
            </w:r>
          </w:p>
        </w:tc>
        <w:tc>
          <w:tcPr>
            <w:tcW w:w="9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r>
      <w:tr>
        <w:trPr>
          <w:trHeight w:val="137"/>
        </w:trPr>
        <w:tc>
          <w:tcPr>
            <w:tcW w:w="1840" w:type="dxa"/>
            <w:vAlign w:val="bottom"/>
          </w:tcPr>
          <w:p>
            <w:pPr>
              <w:ind w:left="20"/>
              <w:spacing w:after="0"/>
              <w:rPr>
                <w:sz w:val="20"/>
                <w:szCs w:val="20"/>
                <w:color w:val="auto"/>
              </w:rPr>
            </w:pPr>
            <w:r>
              <w:rPr>
                <w:rFonts w:ascii="Arial" w:cs="Arial" w:eastAsia="Arial" w:hAnsi="Arial"/>
                <w:sz w:val="10"/>
                <w:szCs w:val="10"/>
                <w:color w:val="auto"/>
              </w:rPr>
              <w:t>classes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1840" w:type="dxa"/>
            <w:vAlign w:val="bottom"/>
          </w:tcPr>
          <w:p>
            <w:pPr>
              <w:ind w:left="20"/>
              <w:spacing w:after="0"/>
              <w:rPr>
                <w:sz w:val="20"/>
                <w:szCs w:val="20"/>
                <w:color w:val="auto"/>
              </w:rPr>
            </w:pPr>
            <w:r>
              <w:rPr>
                <w:rFonts w:ascii="Arial" w:cs="Arial" w:eastAsia="Arial" w:hAnsi="Arial"/>
                <w:sz w:val="10"/>
                <w:szCs w:val="10"/>
                <w:color w:val="auto"/>
              </w:rPr>
              <w:t>Disposals for the year</w:t>
            </w:r>
          </w:p>
        </w:tc>
        <w:tc>
          <w:tcPr>
            <w:tcW w:w="900" w:type="dxa"/>
            <w:vAlign w:val="bottom"/>
          </w:tcPr>
          <w:p>
            <w:pPr>
              <w:jc w:val="right"/>
              <w:ind w:right="649"/>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668"/>
              <w:spacing w:after="0"/>
              <w:rPr>
                <w:sz w:val="20"/>
                <w:szCs w:val="20"/>
                <w:color w:val="auto"/>
              </w:rPr>
            </w:pPr>
            <w:r>
              <w:rPr>
                <w:rFonts w:ascii="Arial" w:cs="Arial" w:eastAsia="Arial" w:hAnsi="Arial"/>
                <w:sz w:val="10"/>
                <w:szCs w:val="10"/>
                <w:color w:val="auto"/>
              </w:rPr>
              <w:t>(12)</w:t>
            </w:r>
          </w:p>
        </w:tc>
        <w:tc>
          <w:tcPr>
            <w:tcW w:w="240" w:type="dxa"/>
            <w:vAlign w:val="bottom"/>
          </w:tcPr>
          <w:p>
            <w:pPr>
              <w:jc w:val="right"/>
              <w:spacing w:after="0"/>
              <w:rPr>
                <w:sz w:val="20"/>
                <w:szCs w:val="20"/>
                <w:color w:val="auto"/>
              </w:rPr>
            </w:pPr>
            <w:r>
              <w:rPr>
                <w:rFonts w:ascii="Arial" w:cs="Arial" w:eastAsia="Arial" w:hAnsi="Arial"/>
                <w:sz w:val="10"/>
                <w:szCs w:val="10"/>
                <w:color w:val="auto"/>
              </w:rPr>
              <w:t>(1)</w:t>
            </w:r>
          </w:p>
        </w:tc>
        <w:tc>
          <w:tcPr>
            <w:tcW w:w="940" w:type="dxa"/>
            <w:vAlign w:val="bottom"/>
          </w:tcPr>
          <w:p>
            <w:pPr>
              <w:jc w:val="right"/>
              <w:spacing w:after="0"/>
              <w:rPr>
                <w:sz w:val="20"/>
                <w:szCs w:val="20"/>
                <w:color w:val="auto"/>
              </w:rPr>
            </w:pPr>
            <w:r>
              <w:rPr>
                <w:rFonts w:ascii="Arial" w:cs="Arial" w:eastAsia="Arial" w:hAnsi="Arial"/>
                <w:sz w:val="10"/>
                <w:szCs w:val="10"/>
                <w:color w:val="auto"/>
              </w:rPr>
              <w:t>(14)</w:t>
            </w:r>
          </w:p>
        </w:tc>
        <w:tc>
          <w:tcPr>
            <w:tcW w:w="20" w:type="dxa"/>
            <w:vAlign w:val="bottom"/>
          </w:tcPr>
          <w:p>
            <w:pPr>
              <w:spacing w:after="0"/>
              <w:rPr>
                <w:sz w:val="14"/>
                <w:szCs w:val="14"/>
                <w:color w:val="auto"/>
              </w:rPr>
            </w:pPr>
          </w:p>
        </w:tc>
      </w:tr>
      <w:tr>
        <w:trPr>
          <w:trHeight w:val="120"/>
        </w:trPr>
        <w:tc>
          <w:tcPr>
            <w:tcW w:w="1840" w:type="dxa"/>
            <w:vAlign w:val="bottom"/>
          </w:tcPr>
          <w:p>
            <w:pPr>
              <w:ind w:left="20"/>
              <w:spacing w:after="0"/>
              <w:rPr>
                <w:sz w:val="20"/>
                <w:szCs w:val="20"/>
                <w:color w:val="auto"/>
              </w:rPr>
            </w:pPr>
            <w:r>
              <w:rPr>
                <w:rFonts w:ascii="Arial" w:cs="Arial" w:eastAsia="Arial" w:hAnsi="Arial"/>
                <w:sz w:val="10"/>
                <w:szCs w:val="10"/>
                <w:color w:val="auto"/>
              </w:rPr>
              <w:t>Exchange rate</w:t>
            </w:r>
          </w:p>
        </w:tc>
        <w:tc>
          <w:tcPr>
            <w:tcW w:w="900" w:type="dxa"/>
            <w:vAlign w:val="bottom"/>
          </w:tcPr>
          <w:p>
            <w:pPr>
              <w:jc w:val="right"/>
              <w:ind w:right="649"/>
              <w:spacing w:after="0"/>
              <w:rPr>
                <w:sz w:val="20"/>
                <w:szCs w:val="20"/>
                <w:color w:val="auto"/>
              </w:rPr>
            </w:pPr>
            <w:r>
              <w:rPr>
                <w:rFonts w:ascii="Arial" w:cs="Arial" w:eastAsia="Arial" w:hAnsi="Arial"/>
                <w:sz w:val="10"/>
                <w:szCs w:val="10"/>
                <w:color w:val="auto"/>
              </w:rPr>
              <w:t>(3)</w:t>
            </w:r>
          </w:p>
        </w:tc>
        <w:tc>
          <w:tcPr>
            <w:tcW w:w="960" w:type="dxa"/>
            <w:vAlign w:val="bottom"/>
          </w:tcPr>
          <w:p>
            <w:pPr>
              <w:jc w:val="right"/>
              <w:ind w:right="668"/>
              <w:spacing w:after="0"/>
              <w:rPr>
                <w:sz w:val="20"/>
                <w:szCs w:val="20"/>
                <w:color w:val="auto"/>
              </w:rPr>
            </w:pPr>
            <w:r>
              <w:rPr>
                <w:rFonts w:ascii="Arial" w:cs="Arial" w:eastAsia="Arial" w:hAnsi="Arial"/>
                <w:sz w:val="10"/>
                <w:szCs w:val="10"/>
                <w:color w:val="auto"/>
              </w:rPr>
              <w:t>(8)</w:t>
            </w:r>
          </w:p>
        </w:tc>
        <w:tc>
          <w:tcPr>
            <w:tcW w:w="240" w:type="dxa"/>
            <w:vAlign w:val="bottom"/>
          </w:tcPr>
          <w:p>
            <w:pPr>
              <w:jc w:val="right"/>
              <w:spacing w:after="0"/>
              <w:rPr>
                <w:sz w:val="20"/>
                <w:szCs w:val="20"/>
                <w:color w:val="auto"/>
              </w:rPr>
            </w:pPr>
            <w:r>
              <w:rPr>
                <w:rFonts w:ascii="Arial" w:cs="Arial" w:eastAsia="Arial" w:hAnsi="Arial"/>
                <w:sz w:val="10"/>
                <w:szCs w:val="10"/>
                <w:color w:val="auto"/>
              </w:rPr>
              <w:t>(1)</w:t>
            </w:r>
          </w:p>
        </w:tc>
        <w:tc>
          <w:tcPr>
            <w:tcW w:w="940" w:type="dxa"/>
            <w:vAlign w:val="bottom"/>
          </w:tcPr>
          <w:p>
            <w:pPr>
              <w:jc w:val="right"/>
              <w:spacing w:after="0"/>
              <w:rPr>
                <w:sz w:val="20"/>
                <w:szCs w:val="20"/>
                <w:color w:val="auto"/>
              </w:rPr>
            </w:pPr>
            <w:r>
              <w:rPr>
                <w:rFonts w:ascii="Arial" w:cs="Arial" w:eastAsia="Arial" w:hAnsi="Arial"/>
                <w:sz w:val="10"/>
                <w:szCs w:val="10"/>
                <w:color w:val="auto"/>
              </w:rPr>
              <w:t>(12)</w:t>
            </w:r>
          </w:p>
        </w:tc>
        <w:tc>
          <w:tcPr>
            <w:tcW w:w="20" w:type="dxa"/>
            <w:vAlign w:val="bottom"/>
          </w:tcPr>
          <w:p>
            <w:pPr>
              <w:spacing w:after="0"/>
              <w:rPr>
                <w:sz w:val="10"/>
                <w:szCs w:val="10"/>
                <w:color w:val="auto"/>
              </w:rPr>
            </w:pPr>
          </w:p>
        </w:tc>
      </w:tr>
      <w:tr>
        <w:trPr>
          <w:trHeight w:val="137"/>
        </w:trPr>
        <w:tc>
          <w:tcPr>
            <w:tcW w:w="1840" w:type="dxa"/>
            <w:vAlign w:val="bottom"/>
          </w:tcPr>
          <w:p>
            <w:pPr>
              <w:ind w:left="20"/>
              <w:spacing w:after="0"/>
              <w:rPr>
                <w:sz w:val="20"/>
                <w:szCs w:val="20"/>
                <w:color w:val="auto"/>
              </w:rPr>
            </w:pPr>
            <w:r>
              <w:rPr>
                <w:rFonts w:ascii="Arial" w:cs="Arial" w:eastAsia="Arial" w:hAnsi="Arial"/>
                <w:sz w:val="10"/>
                <w:szCs w:val="10"/>
                <w:color w:val="auto"/>
              </w:rPr>
              <w:t>adjustment</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8"/>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Cost at December 31</w:t>
            </w:r>
          </w:p>
        </w:tc>
        <w:tc>
          <w:tcPr>
            <w:tcW w:w="900" w:type="dxa"/>
            <w:vAlign w:val="bottom"/>
          </w:tcPr>
          <w:p>
            <w:pPr>
              <w:jc w:val="right"/>
              <w:ind w:right="669"/>
              <w:spacing w:after="0"/>
              <w:rPr>
                <w:sz w:val="20"/>
                <w:szCs w:val="20"/>
                <w:color w:val="auto"/>
              </w:rPr>
            </w:pPr>
            <w:r>
              <w:rPr>
                <w:rFonts w:ascii="Arial" w:cs="Arial" w:eastAsia="Arial" w:hAnsi="Arial"/>
                <w:sz w:val="10"/>
                <w:szCs w:val="10"/>
                <w:b w:val="1"/>
                <w:bCs w:val="1"/>
                <w:color w:val="auto"/>
                <w:w w:val="95"/>
              </w:rPr>
              <w:t>101</w:t>
            </w:r>
          </w:p>
        </w:tc>
        <w:tc>
          <w:tcPr>
            <w:tcW w:w="960" w:type="dxa"/>
            <w:vAlign w:val="bottom"/>
          </w:tcPr>
          <w:p>
            <w:pPr>
              <w:jc w:val="right"/>
              <w:ind w:right="708"/>
              <w:spacing w:after="0"/>
              <w:rPr>
                <w:sz w:val="20"/>
                <w:szCs w:val="20"/>
                <w:color w:val="auto"/>
              </w:rPr>
            </w:pPr>
            <w:r>
              <w:rPr>
                <w:rFonts w:ascii="Arial" w:cs="Arial" w:eastAsia="Arial" w:hAnsi="Arial"/>
                <w:sz w:val="10"/>
                <w:szCs w:val="10"/>
                <w:b w:val="1"/>
                <w:bCs w:val="1"/>
                <w:color w:val="auto"/>
              </w:rPr>
              <w:t>139</w:t>
            </w:r>
          </w:p>
        </w:tc>
        <w:tc>
          <w:tcPr>
            <w:tcW w:w="240" w:type="dxa"/>
            <w:vAlign w:val="bottom"/>
          </w:tcPr>
          <w:p>
            <w:pPr>
              <w:jc w:val="right"/>
              <w:ind w:right="8"/>
              <w:spacing w:after="0"/>
              <w:rPr>
                <w:sz w:val="20"/>
                <w:szCs w:val="20"/>
                <w:color w:val="auto"/>
              </w:rPr>
            </w:pPr>
            <w:r>
              <w:rPr>
                <w:rFonts w:ascii="Arial" w:cs="Arial" w:eastAsia="Arial" w:hAnsi="Arial"/>
                <w:sz w:val="10"/>
                <w:szCs w:val="10"/>
                <w:b w:val="1"/>
                <w:bCs w:val="1"/>
                <w:color w:val="auto"/>
              </w:rPr>
              <w:t>14</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254</w:t>
            </w:r>
          </w:p>
        </w:tc>
        <w:tc>
          <w:tcPr>
            <w:tcW w:w="20" w:type="dxa"/>
            <w:vAlign w:val="bottom"/>
          </w:tcPr>
          <w:p>
            <w:pPr>
              <w:spacing w:after="0"/>
              <w:rPr>
                <w:sz w:val="14"/>
                <w:szCs w:val="14"/>
                <w:color w:val="auto"/>
              </w:rPr>
            </w:pPr>
          </w:p>
        </w:tc>
      </w:tr>
      <w:tr>
        <w:trPr>
          <w:trHeight w:val="314"/>
        </w:trPr>
        <w:tc>
          <w:tcPr>
            <w:tcW w:w="1840" w:type="dxa"/>
            <w:vAlign w:val="bottom"/>
          </w:tcPr>
          <w:p>
            <w:pPr>
              <w:ind w:left="20"/>
              <w:spacing w:after="0"/>
              <w:rPr>
                <w:sz w:val="20"/>
                <w:szCs w:val="20"/>
                <w:color w:val="auto"/>
              </w:rPr>
            </w:pPr>
            <w:r>
              <w:rPr>
                <w:rFonts w:ascii="Arial" w:cs="Arial" w:eastAsia="Arial" w:hAnsi="Arial"/>
                <w:sz w:val="10"/>
                <w:szCs w:val="10"/>
                <w:color w:val="auto"/>
              </w:rPr>
              <w:t>Accumulated</w:t>
            </w:r>
          </w:p>
        </w:tc>
        <w:tc>
          <w:tcPr>
            <w:tcW w:w="900" w:type="dxa"/>
            <w:vAlign w:val="bottom"/>
          </w:tcPr>
          <w:p>
            <w:pPr>
              <w:jc w:val="right"/>
              <w:ind w:right="649"/>
              <w:spacing w:after="0"/>
              <w:rPr>
                <w:sz w:val="20"/>
                <w:szCs w:val="20"/>
                <w:color w:val="auto"/>
              </w:rPr>
            </w:pPr>
            <w:r>
              <w:rPr>
                <w:rFonts w:ascii="Arial" w:cs="Arial" w:eastAsia="Arial" w:hAnsi="Arial"/>
                <w:sz w:val="10"/>
                <w:szCs w:val="10"/>
                <w:color w:val="auto"/>
              </w:rPr>
              <w:t>(29)</w:t>
            </w:r>
          </w:p>
        </w:tc>
        <w:tc>
          <w:tcPr>
            <w:tcW w:w="960" w:type="dxa"/>
            <w:vAlign w:val="bottom"/>
          </w:tcPr>
          <w:p>
            <w:pPr>
              <w:jc w:val="right"/>
              <w:ind w:right="668"/>
              <w:spacing w:after="0"/>
              <w:rPr>
                <w:sz w:val="20"/>
                <w:szCs w:val="20"/>
                <w:color w:val="auto"/>
              </w:rPr>
            </w:pPr>
            <w:r>
              <w:rPr>
                <w:rFonts w:ascii="Arial" w:cs="Arial" w:eastAsia="Arial" w:hAnsi="Arial"/>
                <w:sz w:val="10"/>
                <w:szCs w:val="10"/>
                <w:color w:val="auto"/>
              </w:rPr>
              <w:t>(71)</w:t>
            </w:r>
          </w:p>
        </w:tc>
        <w:tc>
          <w:tcPr>
            <w:tcW w:w="2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(100)</w:t>
            </w:r>
          </w:p>
        </w:tc>
        <w:tc>
          <w:tcPr>
            <w:tcW w:w="20" w:type="dxa"/>
            <w:vAlign w:val="bottom"/>
          </w:tcPr>
          <w:p>
            <w:pPr>
              <w:spacing w:after="0"/>
              <w:rPr>
                <w:sz w:val="24"/>
                <w:szCs w:val="24"/>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depreciation and</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7"/>
        </w:trPr>
        <w:tc>
          <w:tcPr>
            <w:tcW w:w="1840" w:type="dxa"/>
            <w:vAlign w:val="bottom"/>
          </w:tcPr>
          <w:p>
            <w:pPr>
              <w:ind w:left="20"/>
              <w:spacing w:after="0"/>
              <w:rPr>
                <w:sz w:val="20"/>
                <w:szCs w:val="20"/>
                <w:color w:val="auto"/>
              </w:rPr>
            </w:pPr>
            <w:r>
              <w:rPr>
                <w:rFonts w:ascii="Arial" w:cs="Arial" w:eastAsia="Arial" w:hAnsi="Arial"/>
                <w:sz w:val="10"/>
                <w:szCs w:val="10"/>
                <w:color w:val="auto"/>
              </w:rPr>
              <w:t>impairment at January 1</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0"/>
                <w:szCs w:val="10"/>
                <w:color w:val="auto"/>
              </w:rPr>
              <w:t>Depreciation for the year</w:t>
            </w:r>
          </w:p>
        </w:tc>
        <w:tc>
          <w:tcPr>
            <w:tcW w:w="900" w:type="dxa"/>
            <w:vAlign w:val="bottom"/>
          </w:tcPr>
          <w:p>
            <w:pPr>
              <w:jc w:val="right"/>
              <w:ind w:right="649"/>
              <w:spacing w:after="0"/>
              <w:rPr>
                <w:sz w:val="20"/>
                <w:szCs w:val="20"/>
                <w:color w:val="auto"/>
              </w:rPr>
            </w:pPr>
            <w:r>
              <w:rPr>
                <w:rFonts w:ascii="Arial" w:cs="Arial" w:eastAsia="Arial" w:hAnsi="Arial"/>
                <w:sz w:val="10"/>
                <w:szCs w:val="10"/>
                <w:color w:val="auto"/>
              </w:rPr>
              <w:t>(11)</w:t>
            </w:r>
          </w:p>
        </w:tc>
        <w:tc>
          <w:tcPr>
            <w:tcW w:w="960" w:type="dxa"/>
            <w:vAlign w:val="bottom"/>
          </w:tcPr>
          <w:p>
            <w:pPr>
              <w:jc w:val="right"/>
              <w:ind w:right="668"/>
              <w:spacing w:after="0"/>
              <w:rPr>
                <w:sz w:val="20"/>
                <w:szCs w:val="20"/>
                <w:color w:val="auto"/>
              </w:rPr>
            </w:pPr>
            <w:r>
              <w:rPr>
                <w:rFonts w:ascii="Arial" w:cs="Arial" w:eastAsia="Arial" w:hAnsi="Arial"/>
                <w:sz w:val="10"/>
                <w:szCs w:val="10"/>
                <w:color w:val="auto"/>
              </w:rPr>
              <w:t>(23)</w:t>
            </w:r>
          </w:p>
        </w:tc>
        <w:tc>
          <w:tcPr>
            <w:tcW w:w="2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(34)</w:t>
            </w:r>
          </w:p>
        </w:tc>
        <w:tc>
          <w:tcPr>
            <w:tcW w:w="20" w:type="dxa"/>
            <w:vAlign w:val="bottom"/>
          </w:tcPr>
          <w:p>
            <w:pPr>
              <w:spacing w:after="0"/>
              <w:rPr>
                <w:sz w:val="15"/>
                <w:szCs w:val="15"/>
                <w:color w:val="auto"/>
              </w:rPr>
            </w:pPr>
          </w:p>
        </w:tc>
      </w:tr>
      <w:tr>
        <w:trPr>
          <w:trHeight w:val="120"/>
        </w:trPr>
        <w:tc>
          <w:tcPr>
            <w:tcW w:w="1840" w:type="dxa"/>
            <w:vAlign w:val="bottom"/>
          </w:tcPr>
          <w:p>
            <w:pPr>
              <w:ind w:left="20"/>
              <w:spacing w:after="0"/>
              <w:rPr>
                <w:sz w:val="20"/>
                <w:szCs w:val="20"/>
                <w:color w:val="auto"/>
              </w:rPr>
            </w:pPr>
            <w:r>
              <w:rPr>
                <w:rFonts w:ascii="Arial" w:cs="Arial" w:eastAsia="Arial" w:hAnsi="Arial"/>
                <w:sz w:val="10"/>
                <w:szCs w:val="10"/>
                <w:color w:val="auto"/>
              </w:rPr>
              <w:t>Exchange rate</w:t>
            </w:r>
          </w:p>
        </w:tc>
        <w:tc>
          <w:tcPr>
            <w:tcW w:w="900" w:type="dxa"/>
            <w:vAlign w:val="bottom"/>
          </w:tcPr>
          <w:p>
            <w:pPr>
              <w:jc w:val="right"/>
              <w:ind w:right="669"/>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708"/>
              <w:spacing w:after="0"/>
              <w:rPr>
                <w:sz w:val="20"/>
                <w:szCs w:val="20"/>
                <w:color w:val="auto"/>
              </w:rPr>
            </w:pPr>
            <w:r>
              <w:rPr>
                <w:rFonts w:ascii="Arial" w:cs="Arial" w:eastAsia="Arial" w:hAnsi="Arial"/>
                <w:sz w:val="10"/>
                <w:szCs w:val="10"/>
                <w:color w:val="auto"/>
              </w:rPr>
              <w:t>4</w:t>
            </w:r>
          </w:p>
        </w:tc>
        <w:tc>
          <w:tcPr>
            <w:tcW w:w="2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5</w:t>
            </w:r>
          </w:p>
        </w:tc>
        <w:tc>
          <w:tcPr>
            <w:tcW w:w="20" w:type="dxa"/>
            <w:vAlign w:val="bottom"/>
          </w:tcPr>
          <w:p>
            <w:pPr>
              <w:spacing w:after="0"/>
              <w:rPr>
                <w:sz w:val="10"/>
                <w:szCs w:val="10"/>
                <w:color w:val="auto"/>
              </w:rPr>
            </w:pPr>
          </w:p>
        </w:tc>
      </w:tr>
      <w:tr>
        <w:trPr>
          <w:trHeight w:val="137"/>
        </w:trPr>
        <w:tc>
          <w:tcPr>
            <w:tcW w:w="1840" w:type="dxa"/>
            <w:vAlign w:val="bottom"/>
          </w:tcPr>
          <w:p>
            <w:pPr>
              <w:ind w:left="20"/>
              <w:spacing w:after="0"/>
              <w:rPr>
                <w:sz w:val="20"/>
                <w:szCs w:val="20"/>
                <w:color w:val="auto"/>
              </w:rPr>
            </w:pPr>
            <w:r>
              <w:rPr>
                <w:rFonts w:ascii="Arial" w:cs="Arial" w:eastAsia="Arial" w:hAnsi="Arial"/>
                <w:sz w:val="10"/>
                <w:szCs w:val="10"/>
                <w:color w:val="auto"/>
              </w:rPr>
              <w:t>adjustment</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0"/>
        </w:trPr>
        <w:tc>
          <w:tcPr>
            <w:tcW w:w="1840" w:type="dxa"/>
            <w:vAlign w:val="bottom"/>
          </w:tcPr>
          <w:p>
            <w:pPr>
              <w:ind w:left="20"/>
              <w:spacing w:after="0"/>
              <w:rPr>
                <w:sz w:val="20"/>
                <w:szCs w:val="20"/>
                <w:color w:val="auto"/>
              </w:rPr>
            </w:pPr>
            <w:r>
              <w:rPr>
                <w:rFonts w:ascii="Arial" w:cs="Arial" w:eastAsia="Arial" w:hAnsi="Arial"/>
                <w:sz w:val="10"/>
                <w:szCs w:val="10"/>
                <w:color w:val="auto"/>
              </w:rPr>
              <w:t>Accumulated</w:t>
            </w:r>
          </w:p>
        </w:tc>
        <w:tc>
          <w:tcPr>
            <w:tcW w:w="900" w:type="dxa"/>
            <w:vAlign w:val="bottom"/>
          </w:tcPr>
          <w:p>
            <w:pPr>
              <w:jc w:val="right"/>
              <w:ind w:right="669"/>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708"/>
              <w:spacing w:after="0"/>
              <w:rPr>
                <w:sz w:val="20"/>
                <w:szCs w:val="20"/>
                <w:color w:val="auto"/>
              </w:rPr>
            </w:pPr>
            <w:r>
              <w:rPr>
                <w:rFonts w:ascii="Arial" w:cs="Arial" w:eastAsia="Arial" w:hAnsi="Arial"/>
                <w:sz w:val="10"/>
                <w:szCs w:val="10"/>
                <w:color w:val="auto"/>
              </w:rPr>
              <w:t>11</w:t>
            </w:r>
          </w:p>
        </w:tc>
        <w:tc>
          <w:tcPr>
            <w:tcW w:w="2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12</w:t>
            </w:r>
          </w:p>
        </w:tc>
        <w:tc>
          <w:tcPr>
            <w:tcW w:w="20" w:type="dxa"/>
            <w:vAlign w:val="bottom"/>
          </w:tcPr>
          <w:p>
            <w:pPr>
              <w:spacing w:after="0"/>
              <w:rPr>
                <w:sz w:val="11"/>
                <w:szCs w:val="1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depreciation on</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7"/>
        </w:trPr>
        <w:tc>
          <w:tcPr>
            <w:tcW w:w="1840" w:type="dxa"/>
            <w:vAlign w:val="bottom"/>
          </w:tcPr>
          <w:p>
            <w:pPr>
              <w:ind w:left="20"/>
              <w:spacing w:after="0"/>
              <w:rPr>
                <w:sz w:val="20"/>
                <w:szCs w:val="20"/>
                <w:color w:val="auto"/>
              </w:rPr>
            </w:pPr>
            <w:r>
              <w:rPr>
                <w:rFonts w:ascii="Arial" w:cs="Arial" w:eastAsia="Arial" w:hAnsi="Arial"/>
                <w:sz w:val="10"/>
                <w:szCs w:val="10"/>
                <w:color w:val="auto"/>
              </w:rPr>
              <w:t>disposals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Accumulated</w:t>
            </w:r>
          </w:p>
        </w:tc>
        <w:tc>
          <w:tcPr>
            <w:tcW w:w="900" w:type="dxa"/>
            <w:vAlign w:val="bottom"/>
          </w:tcPr>
          <w:p>
            <w:pPr>
              <w:jc w:val="right"/>
              <w:ind w:right="649"/>
              <w:spacing w:after="0"/>
              <w:rPr>
                <w:sz w:val="20"/>
                <w:szCs w:val="20"/>
                <w:color w:val="auto"/>
              </w:rPr>
            </w:pPr>
            <w:r>
              <w:rPr>
                <w:rFonts w:ascii="Arial" w:cs="Arial" w:eastAsia="Arial" w:hAnsi="Arial"/>
                <w:sz w:val="10"/>
                <w:szCs w:val="10"/>
                <w:b w:val="1"/>
                <w:bCs w:val="1"/>
                <w:color w:val="auto"/>
              </w:rPr>
              <w:t>(38)</w:t>
            </w:r>
          </w:p>
        </w:tc>
        <w:tc>
          <w:tcPr>
            <w:tcW w:w="960" w:type="dxa"/>
            <w:vAlign w:val="bottom"/>
          </w:tcPr>
          <w:p>
            <w:pPr>
              <w:jc w:val="right"/>
              <w:ind w:right="668"/>
              <w:spacing w:after="0"/>
              <w:rPr>
                <w:sz w:val="20"/>
                <w:szCs w:val="20"/>
                <w:color w:val="auto"/>
              </w:rPr>
            </w:pPr>
            <w:r>
              <w:rPr>
                <w:rFonts w:ascii="Arial" w:cs="Arial" w:eastAsia="Arial" w:hAnsi="Arial"/>
                <w:sz w:val="10"/>
                <w:szCs w:val="10"/>
                <w:b w:val="1"/>
                <w:bCs w:val="1"/>
                <w:color w:val="auto"/>
              </w:rPr>
              <w:t>(79)</w:t>
            </w:r>
          </w:p>
        </w:tc>
        <w:tc>
          <w:tcPr>
            <w:tcW w:w="2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(117)</w:t>
            </w:r>
          </w:p>
        </w:tc>
        <w:tc>
          <w:tcPr>
            <w:tcW w:w="20" w:type="dxa"/>
            <w:vAlign w:val="bottom"/>
          </w:tcPr>
          <w:p>
            <w:pPr>
              <w:spacing w:after="0"/>
              <w:rPr>
                <w:sz w:val="12"/>
                <w:szCs w:val="12"/>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depreciation and</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impairment at</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3"/>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December 31</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71"/>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Carrying amount at</w:t>
            </w:r>
          </w:p>
        </w:tc>
        <w:tc>
          <w:tcPr>
            <w:tcW w:w="900" w:type="dxa"/>
            <w:vAlign w:val="bottom"/>
          </w:tcPr>
          <w:p>
            <w:pPr>
              <w:jc w:val="right"/>
              <w:ind w:right="669"/>
              <w:spacing w:after="0"/>
              <w:rPr>
                <w:sz w:val="20"/>
                <w:szCs w:val="20"/>
                <w:color w:val="auto"/>
              </w:rPr>
            </w:pPr>
            <w:r>
              <w:rPr>
                <w:rFonts w:ascii="Arial" w:cs="Arial" w:eastAsia="Arial" w:hAnsi="Arial"/>
                <w:sz w:val="10"/>
                <w:szCs w:val="10"/>
                <w:b w:val="1"/>
                <w:bCs w:val="1"/>
                <w:color w:val="auto"/>
              </w:rPr>
              <w:t>63</w:t>
            </w:r>
          </w:p>
        </w:tc>
        <w:tc>
          <w:tcPr>
            <w:tcW w:w="960" w:type="dxa"/>
            <w:vAlign w:val="bottom"/>
          </w:tcPr>
          <w:p>
            <w:pPr>
              <w:jc w:val="right"/>
              <w:ind w:right="708"/>
              <w:spacing w:after="0"/>
              <w:rPr>
                <w:sz w:val="20"/>
                <w:szCs w:val="20"/>
                <w:color w:val="auto"/>
              </w:rPr>
            </w:pPr>
            <w:r>
              <w:rPr>
                <w:rFonts w:ascii="Arial" w:cs="Arial" w:eastAsia="Arial" w:hAnsi="Arial"/>
                <w:sz w:val="10"/>
                <w:szCs w:val="10"/>
                <w:b w:val="1"/>
                <w:bCs w:val="1"/>
                <w:color w:val="auto"/>
              </w:rPr>
              <w:t>60</w:t>
            </w:r>
          </w:p>
        </w:tc>
        <w:tc>
          <w:tcPr>
            <w:tcW w:w="240" w:type="dxa"/>
            <w:vAlign w:val="bottom"/>
          </w:tcPr>
          <w:p>
            <w:pPr>
              <w:jc w:val="right"/>
              <w:ind w:right="8"/>
              <w:spacing w:after="0"/>
              <w:rPr>
                <w:sz w:val="20"/>
                <w:szCs w:val="20"/>
                <w:color w:val="auto"/>
              </w:rPr>
            </w:pPr>
            <w:r>
              <w:rPr>
                <w:rFonts w:ascii="Arial" w:cs="Arial" w:eastAsia="Arial" w:hAnsi="Arial"/>
                <w:sz w:val="10"/>
                <w:szCs w:val="10"/>
                <w:b w:val="1"/>
                <w:bCs w:val="1"/>
                <w:color w:val="auto"/>
              </w:rPr>
              <w:t>14</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137</w:t>
            </w:r>
          </w:p>
        </w:tc>
        <w:tc>
          <w:tcPr>
            <w:tcW w:w="20" w:type="dxa"/>
            <w:vAlign w:val="bottom"/>
          </w:tcPr>
          <w:p>
            <w:pPr>
              <w:spacing w:after="0"/>
              <w:rPr>
                <w:sz w:val="24"/>
                <w:szCs w:val="24"/>
                <w:color w:val="auto"/>
              </w:rPr>
            </w:pPr>
          </w:p>
        </w:tc>
      </w:tr>
      <w:tr>
        <w:trPr>
          <w:trHeight w:val="143"/>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December 31</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
        </w:trPr>
        <w:tc>
          <w:tcPr>
            <w:tcW w:w="1840" w:type="dxa"/>
            <w:vAlign w:val="bottom"/>
            <w:tcBorders>
              <w:bottom w:val="single" w:sz="8" w:color="691A6B"/>
            </w:tcBorders>
          </w:tcPr>
          <w:p>
            <w:pPr>
              <w:spacing w:after="0"/>
              <w:rPr>
                <w:sz w:val="2"/>
                <w:szCs w:val="2"/>
                <w:color w:val="auto"/>
              </w:rPr>
            </w:pPr>
          </w:p>
        </w:tc>
        <w:tc>
          <w:tcPr>
            <w:tcW w:w="900" w:type="dxa"/>
            <w:vAlign w:val="bottom"/>
            <w:tcBorders>
              <w:bottom w:val="single" w:sz="8" w:color="691A6B"/>
            </w:tcBorders>
          </w:tcPr>
          <w:p>
            <w:pPr>
              <w:spacing w:after="0"/>
              <w:rPr>
                <w:sz w:val="2"/>
                <w:szCs w:val="2"/>
                <w:color w:val="auto"/>
              </w:rPr>
            </w:pPr>
          </w:p>
        </w:tc>
        <w:tc>
          <w:tcPr>
            <w:tcW w:w="960" w:type="dxa"/>
            <w:vAlign w:val="bottom"/>
            <w:tcBorders>
              <w:bottom w:val="single" w:sz="8" w:color="691A6B"/>
            </w:tcBorders>
          </w:tcPr>
          <w:p>
            <w:pPr>
              <w:spacing w:after="0"/>
              <w:rPr>
                <w:sz w:val="2"/>
                <w:szCs w:val="2"/>
                <w:color w:val="auto"/>
              </w:rPr>
            </w:pPr>
          </w:p>
        </w:tc>
        <w:tc>
          <w:tcPr>
            <w:tcW w:w="240" w:type="dxa"/>
            <w:vAlign w:val="bottom"/>
            <w:tcBorders>
              <w:bottom w:val="single" w:sz="8" w:color="691A6B"/>
            </w:tcBorders>
          </w:tcPr>
          <w:p>
            <w:pPr>
              <w:spacing w:after="0"/>
              <w:rPr>
                <w:sz w:val="2"/>
                <w:szCs w:val="2"/>
                <w:color w:val="auto"/>
              </w:rPr>
            </w:pPr>
          </w:p>
        </w:tc>
        <w:tc>
          <w:tcPr>
            <w:tcW w:w="940" w:type="dxa"/>
            <w:vAlign w:val="bottom"/>
            <w:tcBorders>
              <w:bottom w:val="single" w:sz="8" w:color="691A6B"/>
            </w:tcBorders>
          </w:tcPr>
          <w:p>
            <w:pPr>
              <w:spacing w:after="0"/>
              <w:rPr>
                <w:sz w:val="2"/>
                <w:szCs w:val="2"/>
                <w:color w:val="auto"/>
              </w:rPr>
            </w:pPr>
          </w:p>
        </w:tc>
        <w:tc>
          <w:tcPr>
            <w:tcW w:w="20" w:type="dxa"/>
            <w:vAlign w:val="bottom"/>
          </w:tcPr>
          <w:p>
            <w:pPr>
              <w:spacing w:after="0"/>
              <w:rPr>
                <w:sz w:val="2"/>
                <w:szCs w:val="2"/>
                <w:color w:val="auto"/>
              </w:rPr>
            </w:pPr>
          </w:p>
        </w:tc>
      </w:tr>
      <w:tr>
        <w:trPr>
          <w:trHeight w:val="123"/>
        </w:trPr>
        <w:tc>
          <w:tcPr>
            <w:tcW w:w="1840" w:type="dxa"/>
            <w:vAlign w:val="bottom"/>
          </w:tcPr>
          <w:p>
            <w:pPr>
              <w:spacing w:after="0"/>
              <w:rPr>
                <w:sz w:val="10"/>
                <w:szCs w:val="10"/>
                <w:color w:val="auto"/>
              </w:rPr>
            </w:pPr>
          </w:p>
        </w:tc>
        <w:tc>
          <w:tcPr>
            <w:tcW w:w="900" w:type="dxa"/>
            <w:vAlign w:val="bottom"/>
          </w:tcPr>
          <w:p>
            <w:pPr>
              <w:ind w:left="260"/>
              <w:spacing w:after="0"/>
              <w:rPr>
                <w:sz w:val="20"/>
                <w:szCs w:val="20"/>
                <w:color w:val="auto"/>
              </w:rPr>
            </w:pPr>
            <w:r>
              <w:rPr>
                <w:rFonts w:ascii="Arial" w:cs="Arial" w:eastAsia="Arial" w:hAnsi="Arial"/>
                <w:sz w:val="10"/>
                <w:szCs w:val="10"/>
                <w:b w:val="1"/>
                <w:bCs w:val="1"/>
                <w:color w:val="691A6B"/>
              </w:rPr>
              <w:t>2025</w:t>
            </w:r>
          </w:p>
        </w:tc>
        <w:tc>
          <w:tcPr>
            <w:tcW w:w="960" w:type="dxa"/>
            <w:vAlign w:val="bottom"/>
          </w:tcPr>
          <w:p>
            <w:pPr>
              <w:ind w:left="280"/>
              <w:spacing w:after="0"/>
              <w:rPr>
                <w:sz w:val="20"/>
                <w:szCs w:val="20"/>
                <w:color w:val="auto"/>
              </w:rPr>
            </w:pPr>
            <w:r>
              <w:rPr>
                <w:rFonts w:ascii="Arial" w:cs="Arial" w:eastAsia="Arial" w:hAnsi="Arial"/>
                <w:sz w:val="10"/>
                <w:szCs w:val="10"/>
                <w:b w:val="1"/>
                <w:bCs w:val="1"/>
                <w:color w:val="auto"/>
              </w:rPr>
              <w:t>2024</w:t>
            </w:r>
          </w:p>
        </w:tc>
        <w:tc>
          <w:tcPr>
            <w:tcW w:w="240" w:type="dxa"/>
            <w:vAlign w:val="bottom"/>
          </w:tcPr>
          <w:p>
            <w:pPr>
              <w:spacing w:after="0"/>
              <w:rPr>
                <w:sz w:val="10"/>
                <w:szCs w:val="10"/>
                <w:color w:val="auto"/>
              </w:rPr>
            </w:pP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2023</w:t>
            </w:r>
          </w:p>
        </w:tc>
        <w:tc>
          <w:tcPr>
            <w:tcW w:w="20" w:type="dxa"/>
            <w:vAlign w:val="bottom"/>
          </w:tcPr>
          <w:p>
            <w:pPr>
              <w:spacing w:after="0"/>
              <w:rPr>
                <w:sz w:val="10"/>
                <w:szCs w:val="10"/>
                <w:color w:val="auto"/>
              </w:rPr>
            </w:pPr>
          </w:p>
        </w:tc>
      </w:tr>
      <w:tr>
        <w:trPr>
          <w:trHeight w:val="105"/>
        </w:trPr>
        <w:tc>
          <w:tcPr>
            <w:tcW w:w="274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Depreciation and impairment included in</w:t>
            </w: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3"/>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the income statement as follows:</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1840" w:type="dxa"/>
            <w:vAlign w:val="bottom"/>
          </w:tcPr>
          <w:p>
            <w:pPr>
              <w:ind w:left="20"/>
              <w:spacing w:after="0"/>
              <w:rPr>
                <w:sz w:val="20"/>
                <w:szCs w:val="20"/>
                <w:color w:val="auto"/>
              </w:rPr>
            </w:pPr>
            <w:r>
              <w:rPr>
                <w:rFonts w:ascii="Arial" w:cs="Arial" w:eastAsia="Arial" w:hAnsi="Arial"/>
                <w:sz w:val="10"/>
                <w:szCs w:val="10"/>
                <w:color w:val="auto"/>
              </w:rPr>
              <w:t>Research and development expenses</w:t>
            </w:r>
          </w:p>
        </w:tc>
        <w:tc>
          <w:tcPr>
            <w:tcW w:w="900" w:type="dxa"/>
            <w:vAlign w:val="bottom"/>
          </w:tcPr>
          <w:p>
            <w:pPr>
              <w:ind w:left="260"/>
              <w:spacing w:after="0"/>
              <w:rPr>
                <w:sz w:val="20"/>
                <w:szCs w:val="20"/>
                <w:color w:val="auto"/>
              </w:rPr>
            </w:pPr>
            <w:r>
              <w:rPr>
                <w:rFonts w:ascii="Arial" w:cs="Arial" w:eastAsia="Arial" w:hAnsi="Arial"/>
                <w:sz w:val="10"/>
                <w:szCs w:val="10"/>
                <w:color w:val="691A6B"/>
              </w:rPr>
              <w:t>31</w:t>
            </w:r>
          </w:p>
        </w:tc>
        <w:tc>
          <w:tcPr>
            <w:tcW w:w="960" w:type="dxa"/>
            <w:vAlign w:val="bottom"/>
          </w:tcPr>
          <w:p>
            <w:pPr>
              <w:ind w:left="280"/>
              <w:spacing w:after="0"/>
              <w:rPr>
                <w:sz w:val="20"/>
                <w:szCs w:val="20"/>
                <w:color w:val="auto"/>
              </w:rPr>
            </w:pPr>
            <w:r>
              <w:rPr>
                <w:rFonts w:ascii="Arial" w:cs="Arial" w:eastAsia="Arial" w:hAnsi="Arial"/>
                <w:sz w:val="10"/>
                <w:szCs w:val="10"/>
                <w:color w:val="auto"/>
              </w:rPr>
              <w:t>29</w:t>
            </w:r>
          </w:p>
        </w:tc>
        <w:tc>
          <w:tcPr>
            <w:tcW w:w="24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0"/>
                <w:szCs w:val="10"/>
                <w:color w:val="auto"/>
              </w:rPr>
              <w:t>20</w:t>
            </w:r>
          </w:p>
        </w:tc>
        <w:tc>
          <w:tcPr>
            <w:tcW w:w="20" w:type="dxa"/>
            <w:vAlign w:val="bottom"/>
          </w:tcPr>
          <w:p>
            <w:pPr>
              <w:spacing w:after="0"/>
              <w:rPr>
                <w:sz w:val="13"/>
                <w:szCs w:val="13"/>
                <w:color w:val="auto"/>
              </w:rPr>
            </w:pPr>
          </w:p>
        </w:tc>
      </w:tr>
      <w:tr>
        <w:trPr>
          <w:trHeight w:val="152"/>
        </w:trPr>
        <w:tc>
          <w:tcPr>
            <w:tcW w:w="2740" w:type="dxa"/>
            <w:vAlign w:val="bottom"/>
            <w:gridSpan w:val="2"/>
          </w:tcPr>
          <w:p>
            <w:pPr>
              <w:ind w:left="20"/>
              <w:spacing w:after="0"/>
              <w:rPr>
                <w:sz w:val="20"/>
                <w:szCs w:val="20"/>
                <w:color w:val="auto"/>
              </w:rPr>
            </w:pPr>
            <w:r>
              <w:rPr>
                <w:rFonts w:ascii="Arial" w:cs="Arial" w:eastAsia="Arial" w:hAnsi="Arial"/>
                <w:sz w:val="10"/>
                <w:szCs w:val="10"/>
                <w:color w:val="auto"/>
              </w:rPr>
              <w:t>Selling, general and administrative expenses</w:t>
            </w:r>
            <w:r>
              <w:rPr>
                <w:rFonts w:ascii="Arial" w:cs="Arial" w:eastAsia="Arial" w:hAnsi="Arial"/>
                <w:sz w:val="10"/>
                <w:szCs w:val="10"/>
                <w:color w:val="691A6B"/>
              </w:rPr>
              <w:t>7</w:t>
            </w:r>
          </w:p>
        </w:tc>
        <w:tc>
          <w:tcPr>
            <w:tcW w:w="960" w:type="dxa"/>
            <w:vAlign w:val="bottom"/>
          </w:tcPr>
          <w:p>
            <w:pPr>
              <w:ind w:left="280"/>
              <w:spacing w:after="0"/>
              <w:rPr>
                <w:sz w:val="20"/>
                <w:szCs w:val="20"/>
                <w:color w:val="auto"/>
              </w:rPr>
            </w:pPr>
            <w:r>
              <w:rPr>
                <w:rFonts w:ascii="Arial" w:cs="Arial" w:eastAsia="Arial" w:hAnsi="Arial"/>
                <w:sz w:val="10"/>
                <w:szCs w:val="10"/>
                <w:color w:val="auto"/>
              </w:rPr>
              <w:t>5</w:t>
            </w:r>
          </w:p>
        </w:tc>
        <w:tc>
          <w:tcPr>
            <w:tcW w:w="24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0"/>
                <w:szCs w:val="10"/>
                <w:color w:val="auto"/>
              </w:rPr>
              <w:t>7</w:t>
            </w:r>
          </w:p>
        </w:tc>
        <w:tc>
          <w:tcPr>
            <w:tcW w:w="20" w:type="dxa"/>
            <w:vAlign w:val="bottom"/>
          </w:tcPr>
          <w:p>
            <w:pPr>
              <w:spacing w:after="0"/>
              <w:rPr>
                <w:sz w:val="13"/>
                <w:szCs w:val="13"/>
                <w:color w:val="auto"/>
              </w:rPr>
            </w:pPr>
          </w:p>
        </w:tc>
      </w:tr>
      <w:tr>
        <w:trPr>
          <w:trHeight w:val="158"/>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900" w:type="dxa"/>
            <w:vAlign w:val="bottom"/>
          </w:tcPr>
          <w:p>
            <w:pPr>
              <w:ind w:left="260"/>
              <w:spacing w:after="0"/>
              <w:rPr>
                <w:sz w:val="20"/>
                <w:szCs w:val="20"/>
                <w:color w:val="auto"/>
              </w:rPr>
            </w:pPr>
            <w:r>
              <w:rPr>
                <w:rFonts w:ascii="Arial" w:cs="Arial" w:eastAsia="Arial" w:hAnsi="Arial"/>
                <w:sz w:val="10"/>
                <w:szCs w:val="10"/>
                <w:b w:val="1"/>
                <w:bCs w:val="1"/>
                <w:color w:val="691A6B"/>
              </w:rPr>
              <w:t>38</w:t>
            </w:r>
          </w:p>
        </w:tc>
        <w:tc>
          <w:tcPr>
            <w:tcW w:w="960" w:type="dxa"/>
            <w:vAlign w:val="bottom"/>
          </w:tcPr>
          <w:p>
            <w:pPr>
              <w:ind w:left="280"/>
              <w:spacing w:after="0"/>
              <w:rPr>
                <w:sz w:val="20"/>
                <w:szCs w:val="20"/>
                <w:color w:val="auto"/>
              </w:rPr>
            </w:pPr>
            <w:r>
              <w:rPr>
                <w:rFonts w:ascii="Arial" w:cs="Arial" w:eastAsia="Arial" w:hAnsi="Arial"/>
                <w:sz w:val="10"/>
                <w:szCs w:val="10"/>
                <w:b w:val="1"/>
                <w:bCs w:val="1"/>
                <w:color w:val="auto"/>
              </w:rPr>
              <w:t>34</w:t>
            </w:r>
          </w:p>
        </w:tc>
        <w:tc>
          <w:tcPr>
            <w:tcW w:w="24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27</w:t>
            </w:r>
          </w:p>
        </w:tc>
        <w:tc>
          <w:tcPr>
            <w:tcW w:w="20" w:type="dxa"/>
            <w:vAlign w:val="bottom"/>
          </w:tcPr>
          <w:p>
            <w:pPr>
              <w:spacing w:after="0"/>
              <w:rPr>
                <w:sz w:val="13"/>
                <w:szCs w:val="13"/>
                <w:color w:val="auto"/>
              </w:rPr>
            </w:pPr>
          </w:p>
        </w:tc>
      </w:tr>
    </w:tbl>
    <w:p>
      <w:pPr>
        <w:spacing w:after="0" w:line="219" w:lineRule="auto"/>
        <w:rPr>
          <w:sz w:val="20"/>
          <w:szCs w:val="20"/>
          <w:color w:val="auto"/>
        </w:rPr>
      </w:pPr>
      <w:r>
        <w:rPr>
          <w:rFonts w:ascii="Arial" w:cs="Arial" w:eastAsia="Arial" w:hAnsi="Arial"/>
          <w:sz w:val="10"/>
          <w:szCs w:val="10"/>
          <w:color w:val="auto"/>
        </w:rPr>
        <w:t>Capital expenditures in 2025 were primarily related to the expansion of Genmab’s facilities in the United</w:t>
      </w:r>
    </w:p>
    <w:p>
      <w:pPr>
        <w:spacing w:after="0" w:line="199" w:lineRule="auto"/>
        <w:rPr>
          <w:sz w:val="20"/>
          <w:szCs w:val="20"/>
          <w:color w:val="auto"/>
        </w:rPr>
      </w:pPr>
      <w:r>
        <w:rPr>
          <w:rFonts w:ascii="Arial" w:cs="Arial" w:eastAsia="Arial" w:hAnsi="Arial"/>
          <w:sz w:val="10"/>
          <w:szCs w:val="10"/>
          <w:color w:val="auto"/>
        </w:rPr>
        <w:t>States and Japan. Capital expenditures in 2024 were primarily related to the expansion of Genmab’s</w:t>
      </w:r>
    </w:p>
    <w:p>
      <w:pPr>
        <w:spacing w:after="0" w:line="224" w:lineRule="auto"/>
        <w:rPr>
          <w:sz w:val="20"/>
          <w:szCs w:val="20"/>
          <w:color w:val="auto"/>
        </w:rPr>
      </w:pPr>
      <w:r>
        <w:rPr>
          <w:rFonts w:ascii="Arial" w:cs="Arial" w:eastAsia="Arial" w:hAnsi="Arial"/>
          <w:sz w:val="10"/>
          <w:szCs w:val="10"/>
          <w:color w:val="auto"/>
        </w:rPr>
        <w:t>facilities in the United States and Japan.</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Property and equipment is comprised of leasehold improvements, assets under construction, and</w:t>
      </w:r>
    </w:p>
    <w:p>
      <w:pPr>
        <w:spacing w:after="0" w:line="198" w:lineRule="auto"/>
        <w:rPr>
          <w:sz w:val="20"/>
          <w:szCs w:val="20"/>
          <w:color w:val="auto"/>
        </w:rPr>
      </w:pPr>
      <w:r>
        <w:rPr>
          <w:rFonts w:ascii="Arial" w:cs="Arial" w:eastAsia="Arial" w:hAnsi="Arial"/>
          <w:sz w:val="10"/>
          <w:szCs w:val="10"/>
          <w:color w:val="auto"/>
        </w:rPr>
        <w:t>equipment, furniture, and fixtures, which are measured at cost less accumulated depreciation and any</w:t>
      </w:r>
    </w:p>
    <w:p>
      <w:pPr>
        <w:spacing w:after="0" w:line="199" w:lineRule="auto"/>
        <w:rPr>
          <w:sz w:val="20"/>
          <w:szCs w:val="20"/>
          <w:color w:val="auto"/>
        </w:rPr>
      </w:pPr>
      <w:r>
        <w:rPr>
          <w:rFonts w:ascii="Arial" w:cs="Arial" w:eastAsia="Arial" w:hAnsi="Arial"/>
          <w:sz w:val="10"/>
          <w:szCs w:val="10"/>
          <w:color w:val="auto"/>
        </w:rPr>
        <w:t>impairment losses.</w:t>
      </w:r>
    </w:p>
    <w:p>
      <w:pPr>
        <w:spacing w:after="0" w:line="198" w:lineRule="auto"/>
        <w:rPr>
          <w:sz w:val="20"/>
          <w:szCs w:val="20"/>
          <w:color w:val="auto"/>
        </w:rPr>
      </w:pPr>
      <w:r>
        <w:rPr>
          <w:rFonts w:ascii="Arial" w:cs="Arial" w:eastAsia="Arial" w:hAnsi="Arial"/>
          <w:sz w:val="10"/>
          <w:szCs w:val="10"/>
          <w:color w:val="auto"/>
        </w:rPr>
        <w:t>The cost is comprised of the acquisition price and direct costs related to the acquisition until the asset is</w:t>
      </w:r>
    </w:p>
    <w:p>
      <w:pPr>
        <w:spacing w:after="0" w:line="203" w:lineRule="auto"/>
        <w:rPr>
          <w:sz w:val="20"/>
          <w:szCs w:val="20"/>
          <w:color w:val="auto"/>
        </w:rPr>
      </w:pPr>
      <w:r>
        <w:rPr>
          <w:rFonts w:ascii="Arial" w:cs="Arial" w:eastAsia="Arial" w:hAnsi="Arial"/>
          <w:sz w:val="10"/>
          <w:szCs w:val="10"/>
          <w:color w:val="auto"/>
        </w:rPr>
        <w:t>ready for use. Costs include direct costs and costs to subcontractors.</w:t>
      </w:r>
    </w:p>
    <w:p>
      <w:pPr>
        <w:spacing w:after="0" w:line="195" w:lineRule="auto"/>
        <w:rPr>
          <w:sz w:val="20"/>
          <w:szCs w:val="20"/>
          <w:color w:val="auto"/>
        </w:rPr>
      </w:pPr>
      <w:r>
        <w:rPr>
          <w:rFonts w:ascii="Arial" w:cs="Arial" w:eastAsia="Arial" w:hAnsi="Arial"/>
          <w:sz w:val="12"/>
          <w:szCs w:val="12"/>
          <w:b w:val="1"/>
          <w:bCs w:val="1"/>
          <w:color w:val="auto"/>
        </w:rPr>
        <w:t>Depreciation</w:t>
      </w:r>
    </w:p>
    <w:p>
      <w:pPr>
        <w:spacing w:after="0" w:line="199" w:lineRule="auto"/>
        <w:rPr>
          <w:sz w:val="20"/>
          <w:szCs w:val="20"/>
          <w:color w:val="auto"/>
        </w:rPr>
      </w:pPr>
      <w:r>
        <w:rPr>
          <w:rFonts w:ascii="Arial" w:cs="Arial" w:eastAsia="Arial" w:hAnsi="Arial"/>
          <w:sz w:val="10"/>
          <w:szCs w:val="10"/>
          <w:color w:val="auto"/>
        </w:rPr>
        <w:t>Depreciation is calculated on a straight-line basis to allocate the cost of the assets, net of any residual</w:t>
      </w:r>
    </w:p>
    <w:p>
      <w:pPr>
        <w:spacing w:after="0"/>
        <w:rPr>
          <w:sz w:val="20"/>
          <w:szCs w:val="20"/>
          <w:color w:val="auto"/>
        </w:rPr>
      </w:pPr>
      <w:r>
        <w:rPr>
          <w:rFonts w:ascii="Arial" w:cs="Arial" w:eastAsia="Arial" w:hAnsi="Arial"/>
          <w:sz w:val="10"/>
          <w:szCs w:val="10"/>
          <w:color w:val="auto"/>
        </w:rPr>
        <w:t>value, over the estimated useful lives, which are as follows:</w:t>
      </w:r>
    </w:p>
    <w:p>
      <w:pPr>
        <w:sectPr>
          <w:pgSz w:w="11900" w:h="16840" w:orient="portrait"/>
          <w:cols w:equalWidth="0" w:num="1">
            <w:col w:w="9820"/>
          </w:cols>
          <w:pgMar w:left="640" w:top="571" w:right="1440" w:bottom="572" w:gutter="0" w:footer="0" w:header="0"/>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0"/>
          <w:szCs w:val="10"/>
          <w:color w:val="auto"/>
        </w:rPr>
        <w:t>Equipment, 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3-5 years</w:t>
      </w:r>
    </w:p>
    <w:p>
      <w:pPr>
        <w:spacing w:after="0" w:line="16" w:lineRule="exact"/>
        <w:rPr>
          <w:sz w:val="20"/>
          <w:szCs w:val="20"/>
          <w:color w:val="auto"/>
        </w:rPr>
      </w:pPr>
    </w:p>
    <w:p>
      <w:pPr>
        <w:sectPr>
          <w:pgSz w:w="11900" w:h="16840" w:orient="portrait"/>
          <w:cols w:equalWidth="0" w:num="2">
            <w:col w:w="1820" w:space="720"/>
            <w:col w:w="7280"/>
          </w:cols>
          <w:pgMar w:left="640" w:top="571" w:right="1440" w:bottom="572" w:gutter="0" w:footer="0" w:header="0"/>
          <w:type w:val="continuous"/>
        </w:sectPr>
      </w:pPr>
    </w:p>
    <w:p>
      <w:pPr>
        <w:ind w:left="20"/>
        <w:spacing w:after="0"/>
        <w:rPr>
          <w:sz w:val="20"/>
          <w:szCs w:val="20"/>
          <w:color w:val="auto"/>
        </w:rPr>
      </w:pPr>
      <w:r>
        <w:rPr>
          <w:rFonts w:ascii="Arial" w:cs="Arial" w:eastAsia="Arial" w:hAnsi="Arial"/>
          <w:sz w:val="10"/>
          <w:szCs w:val="10"/>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15 years or the lease term, if shorter</w:t>
      </w:r>
    </w:p>
    <w:p>
      <w:pPr>
        <w:sectPr>
          <w:pgSz w:w="11900" w:h="16840" w:orient="portrait"/>
          <w:cols w:equalWidth="0" w:num="2">
            <w:col w:w="1820" w:space="720"/>
            <w:col w:w="7280"/>
          </w:cols>
          <w:pgMar w:left="640" w:top="571" w:right="1440" w:bottom="572" w:gutter="0" w:footer="0" w:header="0"/>
          <w:type w:val="continuous"/>
        </w:sectPr>
      </w:pPr>
    </w:p>
    <w:bookmarkStart w:id="144" w:name="page145"/>
    <w:bookmarkEnd w:id="144"/>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5" w:lineRule="auto"/>
        <w:rPr>
          <w:sz w:val="20"/>
          <w:szCs w:val="20"/>
          <w:color w:val="auto"/>
        </w:rPr>
      </w:pPr>
      <w:r>
        <w:rPr>
          <w:rFonts w:ascii="Arial" w:cs="Arial" w:eastAsia="Arial" w:hAnsi="Arial"/>
          <w:sz w:val="15"/>
          <w:szCs w:val="15"/>
          <w:b w:val="1"/>
          <w:bCs w:val="1"/>
          <w:color w:val="691A6B"/>
        </w:rPr>
        <w:t>3.3 - Leases</w:t>
      </w:r>
    </w:p>
    <w:p>
      <w:pPr>
        <w:jc w:val="both"/>
        <w:ind w:right="2700"/>
        <w:spacing w:after="0" w:line="204" w:lineRule="auto"/>
        <w:rPr>
          <w:sz w:val="20"/>
          <w:szCs w:val="20"/>
          <w:color w:val="auto"/>
        </w:rPr>
      </w:pPr>
      <w:r>
        <w:rPr>
          <w:rFonts w:ascii="Arial" w:cs="Arial" w:eastAsia="Arial" w:hAnsi="Arial"/>
          <w:sz w:val="10"/>
          <w:szCs w:val="10"/>
          <w:color w:val="auto"/>
        </w:rPr>
        <w:t>Genmab has entered into lease agreements with respect to office and laboratory space, vehicles, and IT equipment. The expense, lease liability, and right-of-use assets balances related to vehicles and IT equipment are immaterial. The leases are non- cancelable over various periods through 2038.</w:t>
      </w:r>
    </w:p>
    <w:p>
      <w:pPr>
        <w:spacing w:after="0" w:line="1"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23"/>
        </w:trPr>
        <w:tc>
          <w:tcPr>
            <w:tcW w:w="2520" w:type="dxa"/>
            <w:vAlign w:val="bottom"/>
            <w:tcBorders>
              <w:top w:val="single" w:sz="8" w:color="691A6B"/>
            </w:tcBorders>
          </w:tcPr>
          <w:p>
            <w:pPr>
              <w:ind w:left="2100"/>
              <w:spacing w:after="0"/>
              <w:rPr>
                <w:sz w:val="20"/>
                <w:szCs w:val="20"/>
                <w:color w:val="auto"/>
              </w:rPr>
            </w:pPr>
            <w:r>
              <w:rPr>
                <w:rFonts w:ascii="Arial" w:cs="Arial" w:eastAsia="Arial" w:hAnsi="Arial"/>
                <w:sz w:val="10"/>
                <w:szCs w:val="10"/>
                <w:b w:val="1"/>
                <w:bCs w:val="1"/>
                <w:color w:val="691A6B"/>
              </w:rPr>
              <w:t>2025</w:t>
            </w:r>
          </w:p>
        </w:tc>
        <w:tc>
          <w:tcPr>
            <w:tcW w:w="480" w:type="dxa"/>
            <w:vAlign w:val="bottom"/>
            <w:tcBorders>
              <w:top w:val="single" w:sz="8" w:color="691A6B"/>
            </w:tcBorders>
          </w:tcPr>
          <w:p>
            <w:pPr>
              <w:spacing w:after="0"/>
              <w:rPr>
                <w:sz w:val="10"/>
                <w:szCs w:val="10"/>
                <w:color w:val="auto"/>
              </w:rPr>
            </w:pPr>
          </w:p>
        </w:tc>
        <w:tc>
          <w:tcPr>
            <w:tcW w:w="920" w:type="dxa"/>
            <w:vAlign w:val="bottom"/>
            <w:tcBorders>
              <w:top w:val="single" w:sz="8" w:color="691A6B"/>
            </w:tcBorders>
          </w:tcPr>
          <w:p>
            <w:pPr>
              <w:jc w:val="right"/>
              <w:ind w:right="628"/>
              <w:spacing w:after="0"/>
              <w:rPr>
                <w:sz w:val="20"/>
                <w:szCs w:val="20"/>
                <w:color w:val="auto"/>
              </w:rPr>
            </w:pPr>
            <w:r>
              <w:rPr>
                <w:rFonts w:ascii="Arial" w:cs="Arial" w:eastAsia="Arial" w:hAnsi="Arial"/>
                <w:sz w:val="10"/>
                <w:szCs w:val="10"/>
                <w:b w:val="1"/>
                <w:bCs w:val="1"/>
                <w:color w:val="auto"/>
                <w:w w:val="98"/>
              </w:rPr>
              <w:t>2024</w:t>
            </w: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2023</w:t>
            </w:r>
          </w:p>
        </w:tc>
      </w:tr>
      <w:tr>
        <w:trPr>
          <w:trHeight w:val="137"/>
        </w:trPr>
        <w:tc>
          <w:tcPr>
            <w:tcW w:w="2520" w:type="dxa"/>
            <w:vAlign w:val="bottom"/>
          </w:tcPr>
          <w:p>
            <w:pPr>
              <w:ind w:left="20"/>
              <w:spacing w:after="0"/>
              <w:rPr>
                <w:sz w:val="20"/>
                <w:szCs w:val="20"/>
                <w:color w:val="auto"/>
              </w:rPr>
            </w:pPr>
            <w:r>
              <w:rPr>
                <w:rFonts w:ascii="Arial" w:cs="Arial" w:eastAsia="Arial" w:hAnsi="Arial"/>
                <w:sz w:val="10"/>
                <w:szCs w:val="10"/>
                <w:color w:val="auto"/>
              </w:rPr>
              <w:t>Right-of-use assets</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Balance at January 1</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128</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102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75</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Additions to right-of-use assets</w:t>
            </w:r>
            <w:r>
              <w:rPr>
                <w:rFonts w:ascii="Arial" w:cs="Arial" w:eastAsia="Arial" w:hAnsi="Arial"/>
                <w:sz w:val="6"/>
                <w:szCs w:val="6"/>
                <w:color w:val="auto"/>
              </w:rPr>
              <w:t>1</w:t>
            </w:r>
          </w:p>
        </w:tc>
        <w:tc>
          <w:tcPr>
            <w:tcW w:w="480" w:type="dxa"/>
            <w:vAlign w:val="bottom"/>
          </w:tcPr>
          <w:p>
            <w:pPr>
              <w:jc w:val="right"/>
              <w:ind w:right="28"/>
              <w:spacing w:after="0"/>
              <w:rPr>
                <w:sz w:val="20"/>
                <w:szCs w:val="20"/>
                <w:color w:val="auto"/>
              </w:rPr>
            </w:pPr>
            <w:r>
              <w:rPr>
                <w:rFonts w:ascii="Arial" w:cs="Arial" w:eastAsia="Arial" w:hAnsi="Arial"/>
                <w:sz w:val="10"/>
                <w:szCs w:val="10"/>
                <w:color w:val="691A6B"/>
              </w:rPr>
              <w:t>12</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48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36</w:t>
            </w:r>
          </w:p>
        </w:tc>
      </w:tr>
      <w:tr>
        <w:trPr>
          <w:trHeight w:val="162"/>
        </w:trPr>
        <w:tc>
          <w:tcPr>
            <w:tcW w:w="2520" w:type="dxa"/>
            <w:vAlign w:val="bottom"/>
          </w:tcPr>
          <w:p>
            <w:pPr>
              <w:ind w:left="20"/>
              <w:spacing w:after="0"/>
              <w:rPr>
                <w:sz w:val="20"/>
                <w:szCs w:val="20"/>
                <w:color w:val="auto"/>
              </w:rPr>
            </w:pPr>
            <w:r>
              <w:rPr>
                <w:rFonts w:ascii="Arial" w:cs="Arial" w:eastAsia="Arial" w:hAnsi="Arial"/>
                <w:sz w:val="10"/>
                <w:szCs w:val="10"/>
                <w:color w:val="auto"/>
              </w:rPr>
              <w:t>Depreciation charge for the year</w:t>
            </w:r>
          </w:p>
        </w:tc>
        <w:tc>
          <w:tcPr>
            <w:tcW w:w="480" w:type="dxa"/>
            <w:vAlign w:val="bottom"/>
          </w:tcPr>
          <w:p>
            <w:pPr>
              <w:jc w:val="right"/>
              <w:spacing w:after="0"/>
              <w:rPr>
                <w:sz w:val="20"/>
                <w:szCs w:val="20"/>
                <w:color w:val="auto"/>
              </w:rPr>
            </w:pPr>
            <w:r>
              <w:rPr>
                <w:rFonts w:ascii="Arial" w:cs="Arial" w:eastAsia="Arial" w:hAnsi="Arial"/>
                <w:sz w:val="10"/>
                <w:szCs w:val="10"/>
                <w:color w:val="691A6B"/>
              </w:rPr>
              <w:t>(17)</w:t>
            </w:r>
          </w:p>
        </w:tc>
        <w:tc>
          <w:tcPr>
            <w:tcW w:w="920" w:type="dxa"/>
            <w:vAlign w:val="bottom"/>
          </w:tcPr>
          <w:p>
            <w:pPr>
              <w:jc w:val="right"/>
              <w:spacing w:after="0"/>
              <w:rPr>
                <w:sz w:val="20"/>
                <w:szCs w:val="20"/>
                <w:color w:val="auto"/>
              </w:rPr>
            </w:pPr>
            <w:r>
              <w:rPr>
                <w:rFonts w:ascii="Arial" w:cs="Arial" w:eastAsia="Arial" w:hAnsi="Arial"/>
                <w:sz w:val="10"/>
                <w:szCs w:val="10"/>
                <w:color w:val="auto"/>
              </w:rPr>
              <w:t>(15)</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(13)</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Exchange rate adjustment</w:t>
            </w:r>
          </w:p>
        </w:tc>
        <w:tc>
          <w:tcPr>
            <w:tcW w:w="480" w:type="dxa"/>
            <w:vAlign w:val="bottom"/>
          </w:tcPr>
          <w:p>
            <w:pPr>
              <w:jc w:val="right"/>
              <w:ind w:right="28"/>
              <w:spacing w:after="0"/>
              <w:rPr>
                <w:sz w:val="20"/>
                <w:szCs w:val="20"/>
                <w:color w:val="auto"/>
              </w:rPr>
            </w:pPr>
            <w:r>
              <w:rPr>
                <w:rFonts w:ascii="Arial" w:cs="Arial" w:eastAsia="Arial" w:hAnsi="Arial"/>
                <w:sz w:val="10"/>
                <w:szCs w:val="10"/>
                <w:color w:val="691A6B"/>
              </w:rPr>
              <w:t>4</w:t>
            </w:r>
          </w:p>
        </w:tc>
        <w:tc>
          <w:tcPr>
            <w:tcW w:w="920" w:type="dxa"/>
            <w:vAlign w:val="bottom"/>
          </w:tcPr>
          <w:p>
            <w:pPr>
              <w:jc w:val="right"/>
              <w:spacing w:after="0"/>
              <w:rPr>
                <w:sz w:val="20"/>
                <w:szCs w:val="20"/>
                <w:color w:val="auto"/>
              </w:rPr>
            </w:pPr>
            <w:r>
              <w:rPr>
                <w:rFonts w:ascii="Arial" w:cs="Arial" w:eastAsia="Arial" w:hAnsi="Arial"/>
                <w:sz w:val="10"/>
                <w:szCs w:val="10"/>
                <w:color w:val="auto"/>
              </w:rPr>
              <w:t>(7)</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4</w:t>
            </w:r>
          </w:p>
        </w:tc>
      </w:tr>
      <w:tr>
        <w:trPr>
          <w:trHeight w:val="158"/>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w:t>
            </w:r>
          </w:p>
        </w:tc>
        <w:tc>
          <w:tcPr>
            <w:tcW w:w="480" w:type="dxa"/>
            <w:vAlign w:val="bottom"/>
          </w:tcPr>
          <w:p>
            <w:pPr>
              <w:jc w:val="right"/>
              <w:ind w:right="8"/>
              <w:spacing w:after="0"/>
              <w:rPr>
                <w:sz w:val="20"/>
                <w:szCs w:val="20"/>
                <w:color w:val="auto"/>
              </w:rPr>
            </w:pPr>
            <w:r>
              <w:rPr>
                <w:rFonts w:ascii="Arial" w:cs="Arial" w:eastAsia="Arial" w:hAnsi="Arial"/>
                <w:sz w:val="10"/>
                <w:szCs w:val="10"/>
                <w:b w:val="1"/>
                <w:bCs w:val="1"/>
                <w:color w:val="691A6B"/>
              </w:rPr>
              <w:t>127</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128</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102</w:t>
            </w:r>
          </w:p>
        </w:tc>
      </w:tr>
      <w:tr>
        <w:trPr>
          <w:trHeight w:val="352"/>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Lease liabilities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6"/>
        </w:trPr>
        <w:tc>
          <w:tcPr>
            <w:tcW w:w="2520" w:type="dxa"/>
            <w:vAlign w:val="bottom"/>
          </w:tcPr>
          <w:p>
            <w:pPr>
              <w:ind w:left="20"/>
              <w:spacing w:after="0"/>
              <w:rPr>
                <w:sz w:val="20"/>
                <w:szCs w:val="20"/>
                <w:color w:val="auto"/>
              </w:rPr>
            </w:pPr>
            <w:r>
              <w:rPr>
                <w:rFonts w:ascii="Arial" w:cs="Arial" w:eastAsia="Arial" w:hAnsi="Arial"/>
                <w:sz w:val="10"/>
                <w:szCs w:val="10"/>
                <w:color w:val="auto"/>
              </w:rPr>
              <w:t>Current</w:t>
            </w:r>
          </w:p>
        </w:tc>
        <w:tc>
          <w:tcPr>
            <w:tcW w:w="480" w:type="dxa"/>
            <w:vAlign w:val="bottom"/>
          </w:tcPr>
          <w:p>
            <w:pPr>
              <w:jc w:val="right"/>
              <w:ind w:right="28"/>
              <w:spacing w:after="0"/>
              <w:rPr>
                <w:sz w:val="20"/>
                <w:szCs w:val="20"/>
                <w:color w:val="auto"/>
              </w:rPr>
            </w:pPr>
            <w:r>
              <w:rPr>
                <w:rFonts w:ascii="Arial" w:cs="Arial" w:eastAsia="Arial" w:hAnsi="Arial"/>
                <w:sz w:val="10"/>
                <w:szCs w:val="10"/>
                <w:color w:val="691A6B"/>
              </w:rPr>
              <w:t>18</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13</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Non-current</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134</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131</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101</w:t>
            </w:r>
          </w:p>
        </w:tc>
      </w:tr>
      <w:tr>
        <w:trPr>
          <w:trHeight w:val="358"/>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480" w:type="dxa"/>
            <w:vAlign w:val="bottom"/>
          </w:tcPr>
          <w:p>
            <w:pPr>
              <w:jc w:val="right"/>
              <w:ind w:right="8"/>
              <w:spacing w:after="0"/>
              <w:rPr>
                <w:sz w:val="20"/>
                <w:szCs w:val="20"/>
                <w:color w:val="auto"/>
              </w:rPr>
            </w:pPr>
            <w:r>
              <w:rPr>
                <w:rFonts w:ascii="Arial" w:cs="Arial" w:eastAsia="Arial" w:hAnsi="Arial"/>
                <w:sz w:val="10"/>
                <w:szCs w:val="10"/>
                <w:b w:val="1"/>
                <w:bCs w:val="1"/>
                <w:color w:val="691A6B"/>
              </w:rPr>
              <w:t>152</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144</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114</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Cash outflow for lease payments</w:t>
            </w:r>
          </w:p>
        </w:tc>
        <w:tc>
          <w:tcPr>
            <w:tcW w:w="480" w:type="dxa"/>
            <w:vAlign w:val="bottom"/>
          </w:tcPr>
          <w:p>
            <w:pPr>
              <w:jc w:val="right"/>
              <w:ind w:right="28"/>
              <w:spacing w:after="0"/>
              <w:rPr>
                <w:sz w:val="20"/>
                <w:szCs w:val="20"/>
                <w:color w:val="auto"/>
              </w:rPr>
            </w:pPr>
            <w:r>
              <w:rPr>
                <w:rFonts w:ascii="Arial" w:cs="Arial" w:eastAsia="Arial" w:hAnsi="Arial"/>
                <w:sz w:val="10"/>
                <w:szCs w:val="10"/>
                <w:b w:val="1"/>
                <w:bCs w:val="1"/>
                <w:color w:val="691A6B"/>
              </w:rPr>
              <w:t>18</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14</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17</w:t>
            </w:r>
          </w:p>
        </w:tc>
      </w:tr>
    </w:tbl>
    <w:p>
      <w:pPr>
        <w:spacing w:after="0" w:line="181" w:lineRule="exact"/>
        <w:rPr>
          <w:rFonts w:ascii="Arial" w:cs="Arial" w:eastAsia="Arial" w:hAnsi="Arial"/>
          <w:sz w:val="10"/>
          <w:szCs w:val="10"/>
          <w:color w:val="auto"/>
        </w:rPr>
      </w:pPr>
    </w:p>
    <w:p>
      <w:pPr>
        <w:jc w:val="both"/>
        <w:ind w:left="20" w:right="3140" w:hanging="4"/>
        <w:spacing w:after="0" w:line="218" w:lineRule="auto"/>
        <w:tabs>
          <w:tab w:leader="none" w:pos="96" w:val="left"/>
        </w:tabs>
        <w:numPr>
          <w:ilvl w:val="0"/>
          <w:numId w:val="33"/>
        </w:numPr>
        <w:rPr>
          <w:rFonts w:ascii="Arial" w:cs="Arial" w:eastAsia="Arial" w:hAnsi="Arial"/>
          <w:sz w:val="9"/>
          <w:szCs w:val="9"/>
          <w:color w:val="auto"/>
        </w:rPr>
      </w:pPr>
      <w:r>
        <w:rPr>
          <w:rFonts w:ascii="Arial" w:cs="Arial" w:eastAsia="Arial" w:hAnsi="Arial"/>
          <w:sz w:val="9"/>
          <w:szCs w:val="9"/>
          <w:color w:val="auto"/>
        </w:rPr>
        <w:t>Additions to right-of-use assets in 2025 related to the Merus acquisition, modifications to existing leases, lease incentives, and adjustments to the provisions for contractual restoration obligations related to leases of Genmab offices.</w:t>
      </w:r>
    </w:p>
    <w:p>
      <w:pPr>
        <w:spacing w:after="0" w:line="60"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0"/>
          <w:szCs w:val="10"/>
          <w:color w:val="auto"/>
        </w:rPr>
        <w:t>Variable lease payments, short-term lease expense, lease interest expense, and low-value assets.</w:t>
      </w:r>
    </w:p>
    <w:p>
      <w:pPr>
        <w:spacing w:after="0" w:line="217" w:lineRule="auto"/>
        <w:rPr>
          <w:sz w:val="20"/>
          <w:szCs w:val="20"/>
          <w:color w:val="auto"/>
        </w:rPr>
      </w:pPr>
      <w:r>
        <w:rPr>
          <w:rFonts w:ascii="Arial" w:cs="Arial" w:eastAsia="Arial" w:hAnsi="Arial"/>
          <w:sz w:val="10"/>
          <w:szCs w:val="10"/>
          <w:color w:val="auto"/>
        </w:rPr>
        <w:t>Undiscounted future minimum payments under leases are as follows:</w:t>
      </w:r>
    </w:p>
    <w:tbl>
      <w:tblPr>
        <w:tblLayout w:type="fixed"/>
        <w:tblInd w:w="0" w:type="dxa"/>
        <w:tblCellMar>
          <w:top w:w="0" w:type="dxa"/>
          <w:left w:w="0" w:type="dxa"/>
          <w:bottom w:w="0" w:type="dxa"/>
          <w:right w:w="0" w:type="dxa"/>
        </w:tblCellMar>
      </w:tblPr>
      <w:tr>
        <w:trPr>
          <w:trHeight w:val="128"/>
        </w:trPr>
        <w:tc>
          <w:tcPr>
            <w:tcW w:w="1480" w:type="dxa"/>
            <w:vAlign w:val="bottom"/>
            <w:tcBorders>
              <w:top w:val="single" w:sz="8" w:color="691A6B"/>
            </w:tcBorders>
          </w:tcPr>
          <w:p>
            <w:pPr>
              <w:spacing w:after="0"/>
              <w:rPr>
                <w:sz w:val="11"/>
                <w:szCs w:val="11"/>
                <w:color w:val="auto"/>
              </w:rPr>
            </w:pPr>
          </w:p>
        </w:tc>
        <w:tc>
          <w:tcPr>
            <w:tcW w:w="1260" w:type="dxa"/>
            <w:vAlign w:val="bottom"/>
            <w:tcBorders>
              <w:top w:val="single" w:sz="8" w:color="691A6B"/>
            </w:tcBorders>
          </w:tcPr>
          <w:p>
            <w:pPr>
              <w:ind w:left="620"/>
              <w:spacing w:after="0"/>
              <w:rPr>
                <w:sz w:val="20"/>
                <w:szCs w:val="20"/>
                <w:color w:val="auto"/>
              </w:rPr>
            </w:pPr>
            <w:r>
              <w:rPr>
                <w:rFonts w:ascii="Arial" w:cs="Arial" w:eastAsia="Arial" w:hAnsi="Arial"/>
                <w:sz w:val="10"/>
                <w:szCs w:val="10"/>
                <w:b w:val="1"/>
                <w:bCs w:val="1"/>
                <w:color w:val="691A6B"/>
                <w:w w:val="95"/>
              </w:rPr>
              <w:t>December 31,</w:t>
            </w:r>
          </w:p>
        </w:tc>
        <w:tc>
          <w:tcPr>
            <w:tcW w:w="920" w:type="dxa"/>
            <w:vAlign w:val="bottom"/>
            <w:tcBorders>
              <w:top w:val="single" w:sz="8" w:color="691A6B"/>
            </w:tcBorders>
          </w:tcPr>
          <w:p>
            <w:pPr>
              <w:jc w:val="right"/>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Borders>
              <w:top w:val="single" w:sz="8" w:color="691A6B"/>
            </w:tcBorders>
          </w:tcPr>
          <w:p>
            <w:pPr>
              <w:spacing w:after="0"/>
              <w:rPr>
                <w:sz w:val="11"/>
                <w:szCs w:val="11"/>
                <w:color w:val="auto"/>
              </w:rPr>
            </w:pPr>
          </w:p>
        </w:tc>
        <w:tc>
          <w:tcPr>
            <w:tcW w:w="980" w:type="dxa"/>
            <w:vAlign w:val="bottom"/>
            <w:tcBorders>
              <w:top w:val="single" w:sz="8" w:color="691A6B"/>
            </w:tcBorders>
          </w:tcPr>
          <w:p>
            <w:pPr>
              <w:jc w:val="right"/>
              <w:ind w:right="249"/>
              <w:spacing w:after="0"/>
              <w:rPr>
                <w:sz w:val="20"/>
                <w:szCs w:val="20"/>
                <w:color w:val="auto"/>
              </w:rPr>
            </w:pPr>
            <w:r>
              <w:rPr>
                <w:rFonts w:ascii="Arial" w:cs="Arial" w:eastAsia="Arial" w:hAnsi="Arial"/>
                <w:sz w:val="10"/>
                <w:szCs w:val="10"/>
                <w:b w:val="1"/>
                <w:bCs w:val="1"/>
                <w:color w:val="auto"/>
              </w:rPr>
              <w:t>December 31,</w:t>
            </w:r>
          </w:p>
        </w:tc>
      </w:tr>
      <w:tr>
        <w:trPr>
          <w:trHeight w:val="133"/>
        </w:trPr>
        <w:tc>
          <w:tcPr>
            <w:tcW w:w="1480" w:type="dxa"/>
            <w:vAlign w:val="bottom"/>
          </w:tcPr>
          <w:p>
            <w:pPr>
              <w:spacing w:after="0"/>
              <w:rPr>
                <w:sz w:val="11"/>
                <w:szCs w:val="11"/>
                <w:color w:val="auto"/>
              </w:rPr>
            </w:pPr>
          </w:p>
        </w:tc>
        <w:tc>
          <w:tcPr>
            <w:tcW w:w="1260" w:type="dxa"/>
            <w:vAlign w:val="bottom"/>
          </w:tcPr>
          <w:p>
            <w:pPr>
              <w:ind w:left="620"/>
              <w:spacing w:after="0"/>
              <w:rPr>
                <w:sz w:val="20"/>
                <w:szCs w:val="20"/>
                <w:color w:val="auto"/>
              </w:rPr>
            </w:pPr>
            <w:r>
              <w:rPr>
                <w:rFonts w:ascii="Arial" w:cs="Arial" w:eastAsia="Arial" w:hAnsi="Arial"/>
                <w:sz w:val="10"/>
                <w:szCs w:val="10"/>
                <w:b w:val="1"/>
                <w:bCs w:val="1"/>
                <w:color w:val="691A6B"/>
              </w:rPr>
              <w:t>2025</w:t>
            </w:r>
          </w:p>
        </w:tc>
        <w:tc>
          <w:tcPr>
            <w:tcW w:w="920" w:type="dxa"/>
            <w:vAlign w:val="bottom"/>
          </w:tcPr>
          <w:p>
            <w:pPr>
              <w:ind w:left="280"/>
              <w:spacing w:after="0"/>
              <w:rPr>
                <w:sz w:val="20"/>
                <w:szCs w:val="20"/>
                <w:color w:val="auto"/>
              </w:rPr>
            </w:pPr>
            <w:r>
              <w:rPr>
                <w:rFonts w:ascii="Arial" w:cs="Arial" w:eastAsia="Arial" w:hAnsi="Arial"/>
                <w:sz w:val="10"/>
                <w:szCs w:val="10"/>
                <w:b w:val="1"/>
                <w:bCs w:val="1"/>
                <w:color w:val="auto"/>
              </w:rPr>
              <w:t>2024</w:t>
            </w:r>
          </w:p>
        </w:tc>
        <w:tc>
          <w:tcPr>
            <w:tcW w:w="24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2023</w:t>
            </w:r>
          </w:p>
        </w:tc>
      </w:tr>
      <w:tr>
        <w:trPr>
          <w:trHeight w:val="147"/>
        </w:trPr>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Payment due</w:t>
            </w: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6"/>
        </w:trPr>
        <w:tc>
          <w:tcPr>
            <w:tcW w:w="1480" w:type="dxa"/>
            <w:vAlign w:val="bottom"/>
          </w:tcPr>
          <w:p>
            <w:pPr>
              <w:ind w:left="20"/>
              <w:spacing w:after="0"/>
              <w:rPr>
                <w:sz w:val="20"/>
                <w:szCs w:val="20"/>
                <w:color w:val="auto"/>
              </w:rPr>
            </w:pPr>
            <w:r>
              <w:rPr>
                <w:rFonts w:ascii="Arial" w:cs="Arial" w:eastAsia="Arial" w:hAnsi="Arial"/>
                <w:sz w:val="10"/>
                <w:szCs w:val="10"/>
                <w:color w:val="auto"/>
              </w:rPr>
              <w:t>Within 1 year</w:t>
            </w:r>
          </w:p>
        </w:tc>
        <w:tc>
          <w:tcPr>
            <w:tcW w:w="1260" w:type="dxa"/>
            <w:vAlign w:val="bottom"/>
          </w:tcPr>
          <w:p>
            <w:pPr>
              <w:spacing w:after="0"/>
              <w:rPr>
                <w:sz w:val="12"/>
                <w:szCs w:val="12"/>
                <w:color w:val="auto"/>
              </w:rPr>
            </w:pPr>
          </w:p>
        </w:tc>
        <w:tc>
          <w:tcPr>
            <w:tcW w:w="920" w:type="dxa"/>
            <w:vAlign w:val="bottom"/>
          </w:tcPr>
          <w:p>
            <w:pPr>
              <w:jc w:val="right"/>
              <w:ind w:right="689"/>
              <w:spacing w:after="0"/>
              <w:rPr>
                <w:sz w:val="20"/>
                <w:szCs w:val="20"/>
                <w:color w:val="auto"/>
              </w:rPr>
            </w:pPr>
            <w:r>
              <w:rPr>
                <w:rFonts w:ascii="Arial" w:cs="Arial" w:eastAsia="Arial" w:hAnsi="Arial"/>
                <w:sz w:val="10"/>
                <w:szCs w:val="10"/>
                <w:color w:val="auto"/>
              </w:rPr>
              <w:t>25</w:t>
            </w:r>
          </w:p>
        </w:tc>
        <w:tc>
          <w:tcPr>
            <w:tcW w:w="240" w:type="dxa"/>
            <w:vAlign w:val="bottom"/>
          </w:tcPr>
          <w:p>
            <w:pPr>
              <w:jc w:val="right"/>
              <w:spacing w:after="0"/>
              <w:rPr>
                <w:sz w:val="20"/>
                <w:szCs w:val="20"/>
                <w:color w:val="auto"/>
              </w:rPr>
            </w:pPr>
            <w:r>
              <w:rPr>
                <w:rFonts w:ascii="Arial" w:cs="Arial" w:eastAsia="Arial" w:hAnsi="Arial"/>
                <w:sz w:val="10"/>
                <w:szCs w:val="10"/>
                <w:color w:val="auto"/>
              </w:rPr>
              <w:t>18</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16</w:t>
            </w:r>
          </w:p>
        </w:tc>
      </w:tr>
      <w:tr>
        <w:trPr>
          <w:trHeight w:val="152"/>
        </w:trPr>
        <w:tc>
          <w:tcPr>
            <w:tcW w:w="1480" w:type="dxa"/>
            <w:vAlign w:val="bottom"/>
          </w:tcPr>
          <w:p>
            <w:pPr>
              <w:ind w:left="20"/>
              <w:spacing w:after="0"/>
              <w:rPr>
                <w:sz w:val="20"/>
                <w:szCs w:val="20"/>
                <w:color w:val="auto"/>
              </w:rPr>
            </w:pPr>
            <w:r>
              <w:rPr>
                <w:rFonts w:ascii="Arial" w:cs="Arial" w:eastAsia="Arial" w:hAnsi="Arial"/>
                <w:sz w:val="10"/>
                <w:szCs w:val="10"/>
                <w:color w:val="auto"/>
              </w:rPr>
              <w:t>1 – 3 years</w:t>
            </w:r>
          </w:p>
        </w:tc>
        <w:tc>
          <w:tcPr>
            <w:tcW w:w="1260" w:type="dxa"/>
            <w:vAlign w:val="bottom"/>
          </w:tcPr>
          <w:p>
            <w:pPr>
              <w:spacing w:after="0"/>
              <w:rPr>
                <w:sz w:val="13"/>
                <w:szCs w:val="13"/>
                <w:color w:val="auto"/>
              </w:rPr>
            </w:pPr>
          </w:p>
        </w:tc>
        <w:tc>
          <w:tcPr>
            <w:tcW w:w="920" w:type="dxa"/>
            <w:vAlign w:val="bottom"/>
          </w:tcPr>
          <w:p>
            <w:pPr>
              <w:jc w:val="right"/>
              <w:ind w:right="689"/>
              <w:spacing w:after="0"/>
              <w:rPr>
                <w:sz w:val="20"/>
                <w:szCs w:val="20"/>
                <w:color w:val="auto"/>
              </w:rPr>
            </w:pPr>
            <w:r>
              <w:rPr>
                <w:rFonts w:ascii="Arial" w:cs="Arial" w:eastAsia="Arial" w:hAnsi="Arial"/>
                <w:sz w:val="10"/>
                <w:szCs w:val="10"/>
                <w:color w:val="auto"/>
              </w:rPr>
              <w:t>47</w:t>
            </w:r>
          </w:p>
        </w:tc>
        <w:tc>
          <w:tcPr>
            <w:tcW w:w="240" w:type="dxa"/>
            <w:vAlign w:val="bottom"/>
          </w:tcPr>
          <w:p>
            <w:pPr>
              <w:jc w:val="right"/>
              <w:spacing w:after="0"/>
              <w:rPr>
                <w:sz w:val="20"/>
                <w:szCs w:val="20"/>
                <w:color w:val="auto"/>
              </w:rPr>
            </w:pPr>
            <w:r>
              <w:rPr>
                <w:rFonts w:ascii="Arial" w:cs="Arial" w:eastAsia="Arial" w:hAnsi="Arial"/>
                <w:sz w:val="10"/>
                <w:szCs w:val="10"/>
                <w:color w:val="auto"/>
              </w:rPr>
              <w:t>40</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30</w:t>
            </w:r>
          </w:p>
        </w:tc>
      </w:tr>
      <w:tr>
        <w:trPr>
          <w:trHeight w:val="152"/>
        </w:trPr>
        <w:tc>
          <w:tcPr>
            <w:tcW w:w="1480" w:type="dxa"/>
            <w:vAlign w:val="bottom"/>
          </w:tcPr>
          <w:p>
            <w:pPr>
              <w:ind w:left="20"/>
              <w:spacing w:after="0"/>
              <w:rPr>
                <w:sz w:val="20"/>
                <w:szCs w:val="20"/>
                <w:color w:val="auto"/>
              </w:rPr>
            </w:pPr>
            <w:r>
              <w:rPr>
                <w:rFonts w:ascii="Arial" w:cs="Arial" w:eastAsia="Arial" w:hAnsi="Arial"/>
                <w:sz w:val="10"/>
                <w:szCs w:val="10"/>
                <w:color w:val="auto"/>
              </w:rPr>
              <w:t>3 – 5 years</w:t>
            </w:r>
          </w:p>
        </w:tc>
        <w:tc>
          <w:tcPr>
            <w:tcW w:w="1260" w:type="dxa"/>
            <w:vAlign w:val="bottom"/>
          </w:tcPr>
          <w:p>
            <w:pPr>
              <w:spacing w:after="0"/>
              <w:rPr>
                <w:sz w:val="13"/>
                <w:szCs w:val="13"/>
                <w:color w:val="auto"/>
              </w:rPr>
            </w:pPr>
          </w:p>
        </w:tc>
        <w:tc>
          <w:tcPr>
            <w:tcW w:w="920" w:type="dxa"/>
            <w:vAlign w:val="bottom"/>
          </w:tcPr>
          <w:p>
            <w:pPr>
              <w:jc w:val="right"/>
              <w:ind w:right="689"/>
              <w:spacing w:after="0"/>
              <w:rPr>
                <w:sz w:val="20"/>
                <w:szCs w:val="20"/>
                <w:color w:val="auto"/>
              </w:rPr>
            </w:pPr>
            <w:r>
              <w:rPr>
                <w:rFonts w:ascii="Arial" w:cs="Arial" w:eastAsia="Arial" w:hAnsi="Arial"/>
                <w:sz w:val="10"/>
                <w:szCs w:val="10"/>
                <w:color w:val="auto"/>
              </w:rPr>
              <w:t>44</w:t>
            </w:r>
          </w:p>
        </w:tc>
        <w:tc>
          <w:tcPr>
            <w:tcW w:w="240" w:type="dxa"/>
            <w:vAlign w:val="bottom"/>
          </w:tcPr>
          <w:p>
            <w:pPr>
              <w:jc w:val="right"/>
              <w:spacing w:after="0"/>
              <w:rPr>
                <w:sz w:val="20"/>
                <w:szCs w:val="20"/>
                <w:color w:val="auto"/>
              </w:rPr>
            </w:pPr>
            <w:r>
              <w:rPr>
                <w:rFonts w:ascii="Arial" w:cs="Arial" w:eastAsia="Arial" w:hAnsi="Arial"/>
                <w:sz w:val="10"/>
                <w:szCs w:val="10"/>
                <w:color w:val="auto"/>
              </w:rPr>
              <w:t>39</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27</w:t>
            </w:r>
          </w:p>
        </w:tc>
      </w:tr>
      <w:tr>
        <w:trPr>
          <w:trHeight w:val="152"/>
        </w:trPr>
        <w:tc>
          <w:tcPr>
            <w:tcW w:w="1480" w:type="dxa"/>
            <w:vAlign w:val="bottom"/>
          </w:tcPr>
          <w:p>
            <w:pPr>
              <w:ind w:left="20"/>
              <w:spacing w:after="0"/>
              <w:rPr>
                <w:sz w:val="20"/>
                <w:szCs w:val="20"/>
                <w:color w:val="auto"/>
              </w:rPr>
            </w:pPr>
            <w:r>
              <w:rPr>
                <w:rFonts w:ascii="Arial" w:cs="Arial" w:eastAsia="Arial" w:hAnsi="Arial"/>
                <w:sz w:val="10"/>
                <w:szCs w:val="10"/>
                <w:color w:val="auto"/>
              </w:rPr>
              <w:t>More than 5 years</w:t>
            </w:r>
          </w:p>
        </w:tc>
        <w:tc>
          <w:tcPr>
            <w:tcW w:w="1260" w:type="dxa"/>
            <w:vAlign w:val="bottom"/>
          </w:tcPr>
          <w:p>
            <w:pPr>
              <w:ind w:left="620"/>
              <w:spacing w:after="0"/>
              <w:rPr>
                <w:sz w:val="20"/>
                <w:szCs w:val="20"/>
                <w:color w:val="auto"/>
              </w:rPr>
            </w:pPr>
            <w:r>
              <w:rPr>
                <w:rFonts w:ascii="Arial" w:cs="Arial" w:eastAsia="Arial" w:hAnsi="Arial"/>
                <w:sz w:val="10"/>
                <w:szCs w:val="10"/>
                <w:color w:val="auto"/>
              </w:rPr>
              <w:t>65</w:t>
            </w:r>
          </w:p>
        </w:tc>
        <w:tc>
          <w:tcPr>
            <w:tcW w:w="920" w:type="dxa"/>
            <w:vAlign w:val="bottom"/>
          </w:tcPr>
          <w:p>
            <w:pPr>
              <w:ind w:left="280"/>
              <w:spacing w:after="0"/>
              <w:rPr>
                <w:sz w:val="20"/>
                <w:szCs w:val="20"/>
                <w:color w:val="auto"/>
              </w:rPr>
            </w:pPr>
            <w:r>
              <w:rPr>
                <w:rFonts w:ascii="Arial" w:cs="Arial" w:eastAsia="Arial" w:hAnsi="Arial"/>
                <w:sz w:val="10"/>
                <w:szCs w:val="10"/>
                <w:color w:val="auto"/>
              </w:rPr>
              <w:t>77</w:t>
            </w:r>
          </w:p>
        </w:tc>
        <w:tc>
          <w:tcPr>
            <w:tcW w:w="24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0"/>
                <w:szCs w:val="10"/>
                <w:color w:val="auto"/>
              </w:rPr>
              <w:t>61</w:t>
            </w:r>
          </w:p>
        </w:tc>
      </w:tr>
      <w:tr>
        <w:trPr>
          <w:trHeight w:val="158"/>
        </w:trPr>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260" w:type="dxa"/>
            <w:vAlign w:val="bottom"/>
          </w:tcPr>
          <w:p>
            <w:pPr>
              <w:spacing w:after="0"/>
              <w:rPr>
                <w:sz w:val="13"/>
                <w:szCs w:val="13"/>
                <w:color w:val="auto"/>
              </w:rPr>
            </w:pPr>
          </w:p>
        </w:tc>
        <w:tc>
          <w:tcPr>
            <w:tcW w:w="920" w:type="dxa"/>
            <w:vAlign w:val="bottom"/>
          </w:tcPr>
          <w:p>
            <w:pPr>
              <w:jc w:val="right"/>
              <w:ind w:right="669"/>
              <w:spacing w:after="0"/>
              <w:rPr>
                <w:sz w:val="20"/>
                <w:szCs w:val="20"/>
                <w:color w:val="auto"/>
              </w:rPr>
            </w:pPr>
            <w:r>
              <w:rPr>
                <w:rFonts w:ascii="Arial" w:cs="Arial" w:eastAsia="Arial" w:hAnsi="Arial"/>
                <w:sz w:val="10"/>
                <w:szCs w:val="10"/>
                <w:b w:val="1"/>
                <w:bCs w:val="1"/>
                <w:color w:val="auto"/>
              </w:rPr>
              <w:t>181</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rPr>
              <w:t>174</w:t>
            </w:r>
          </w:p>
        </w:tc>
        <w:tc>
          <w:tcPr>
            <w:tcW w:w="980" w:type="dxa"/>
            <w:vAlign w:val="bottom"/>
          </w:tcPr>
          <w:p>
            <w:pPr>
              <w:jc w:val="right"/>
              <w:ind w:right="29"/>
              <w:spacing w:after="0"/>
              <w:rPr>
                <w:sz w:val="20"/>
                <w:szCs w:val="20"/>
                <w:color w:val="auto"/>
              </w:rPr>
            </w:pPr>
            <w:r>
              <w:rPr>
                <w:rFonts w:ascii="Arial" w:cs="Arial" w:eastAsia="Arial" w:hAnsi="Arial"/>
                <w:sz w:val="10"/>
                <w:szCs w:val="10"/>
                <w:b w:val="1"/>
                <w:bCs w:val="1"/>
                <w:color w:val="auto"/>
              </w:rPr>
              <w:t>134</w:t>
            </w:r>
          </w:p>
        </w:tc>
      </w:tr>
    </w:tbl>
    <w:p>
      <w:pPr>
        <w:spacing w:after="0" w:line="10" w:lineRule="exact"/>
        <w:rPr>
          <w:rFonts w:ascii="Arial" w:cs="Arial" w:eastAsia="Arial" w:hAnsi="Arial"/>
          <w:sz w:val="10"/>
          <w:szCs w:val="10"/>
          <w:color w:val="auto"/>
        </w:rPr>
      </w:pP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90805" cy="908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58" w:lineRule="exact"/>
        <w:rPr>
          <w:rFonts w:ascii="Arial" w:cs="Arial" w:eastAsia="Arial" w:hAnsi="Arial"/>
          <w:sz w:val="10"/>
          <w:szCs w:val="10"/>
          <w:color w:val="auto"/>
        </w:rPr>
      </w:pPr>
    </w:p>
    <w:p>
      <w:pPr>
        <w:ind w:right="2780"/>
        <w:spacing w:after="0" w:line="205" w:lineRule="auto"/>
        <w:rPr>
          <w:sz w:val="20"/>
          <w:szCs w:val="20"/>
          <w:color w:val="auto"/>
        </w:rPr>
      </w:pPr>
      <w:r>
        <w:rPr>
          <w:rFonts w:ascii="Arial" w:cs="Arial" w:eastAsia="Arial" w:hAnsi="Arial"/>
          <w:sz w:val="10"/>
          <w:szCs w:val="10"/>
          <w:color w:val="auto"/>
        </w:rPr>
        <w:t>All leases are recognized in the Consolidated Balance Sheets as a right-of- use (ROU) asset with a corresponding lease liability, except for short- term leases in which the term is 12 months or less and low-value leases.</w:t>
      </w:r>
    </w:p>
    <w:p>
      <w:pPr>
        <w:spacing w:after="0" w:line="1" w:lineRule="exact"/>
        <w:rPr>
          <w:rFonts w:ascii="Arial" w:cs="Arial" w:eastAsia="Arial" w:hAnsi="Arial"/>
          <w:sz w:val="10"/>
          <w:szCs w:val="10"/>
          <w:color w:val="auto"/>
        </w:rPr>
      </w:pPr>
    </w:p>
    <w:p>
      <w:pPr>
        <w:ind w:right="2460"/>
        <w:spacing w:after="0" w:line="238" w:lineRule="auto"/>
        <w:rPr>
          <w:sz w:val="20"/>
          <w:szCs w:val="20"/>
          <w:color w:val="auto"/>
        </w:rPr>
      </w:pPr>
      <w:r>
        <w:rPr>
          <w:rFonts w:ascii="Arial" w:cs="Arial" w:eastAsia="Arial" w:hAnsi="Arial"/>
          <w:sz w:val="10"/>
          <w:szCs w:val="10"/>
          <w:color w:val="auto"/>
        </w:rPr>
        <w:t>ROU assets represent Genmab’s right to use an underlying asset for the lease term and lease liabilities represent Genmab’s obligation to make lease payments arising from the lease. The ROU asset is depreciated over the shorter of the asset’s useful life or the lease term on a straight- line basis. In the Consolidated Statements of Comprehensive Income, depreciation of the ROU asset is recognized over the lease term in operating expenses and interest expenses related to the lease liability are classified in financial items.</w:t>
      </w:r>
    </w:p>
    <w:p>
      <w:pPr>
        <w:spacing w:after="0" w:line="1" w:lineRule="exact"/>
        <w:rPr>
          <w:rFonts w:ascii="Arial" w:cs="Arial" w:eastAsia="Arial" w:hAnsi="Arial"/>
          <w:sz w:val="10"/>
          <w:szCs w:val="10"/>
          <w:color w:val="auto"/>
        </w:rPr>
      </w:pPr>
    </w:p>
    <w:p>
      <w:pPr>
        <w:jc w:val="both"/>
        <w:ind w:right="2900"/>
        <w:spacing w:after="0" w:line="198" w:lineRule="auto"/>
        <w:rPr>
          <w:sz w:val="20"/>
          <w:szCs w:val="20"/>
          <w:color w:val="auto"/>
        </w:rPr>
      </w:pPr>
      <w:r>
        <w:rPr>
          <w:rFonts w:ascii="Arial" w:cs="Arial" w:eastAsia="Arial" w:hAnsi="Arial"/>
          <w:sz w:val="10"/>
          <w:szCs w:val="10"/>
          <w:color w:val="auto"/>
        </w:rPr>
        <w:t>Genmab determines if an arrangement is a lease at inception. Genmab leases various properties and vehicles. Lease contracts are typically made for fixed periods. Lease terms are negotiated on an individual basis and contain a wide range of terms and conditions.</w:t>
      </w:r>
    </w:p>
    <w:p>
      <w:pPr>
        <w:spacing w:after="0" w:line="1" w:lineRule="exact"/>
        <w:rPr>
          <w:rFonts w:ascii="Arial" w:cs="Arial" w:eastAsia="Arial" w:hAnsi="Arial"/>
          <w:sz w:val="10"/>
          <w:szCs w:val="10"/>
          <w:color w:val="auto"/>
        </w:rPr>
      </w:pPr>
    </w:p>
    <w:p>
      <w:pPr>
        <w:ind w:right="2480"/>
        <w:spacing w:after="0" w:line="206" w:lineRule="auto"/>
        <w:rPr>
          <w:sz w:val="20"/>
          <w:szCs w:val="20"/>
          <w:color w:val="auto"/>
        </w:rPr>
      </w:pPr>
      <w:r>
        <w:rPr>
          <w:rFonts w:ascii="Arial" w:cs="Arial" w:eastAsia="Arial" w:hAnsi="Arial"/>
          <w:sz w:val="10"/>
          <w:szCs w:val="10"/>
          <w:color w:val="auto"/>
        </w:rPr>
        <w:t>Assets and liabilities arising from a lease are initially measured on a present value basis. Lease liabilities are measured at amortized cost, and include the net present value of fixed payments, less any lease incentives receivable. As Genmab’s leases generally do not provide an implicit interest rate, Genmab uses an incremental borrowing rate based on the information available at the commencement date of the lease in determining the present value of lease payments. Lease terms utilized by Genmab may include options to extend or terminate the lease when it is reasonably certain that Genmab will exercise that option. In determining the lease term, Management considers all facts and circumstances that create an economic incentive to exercise an extension option, or not exercise a termination option. Extension options (or</w:t>
      </w:r>
    </w:p>
    <w:p>
      <w:pPr>
        <w:spacing w:after="0" w:line="115" w:lineRule="exact"/>
        <w:rPr>
          <w:rFonts w:ascii="Arial" w:cs="Arial" w:eastAsia="Arial" w:hAnsi="Arial"/>
          <w:sz w:val="10"/>
          <w:szCs w:val="1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8" w:lineRule="auto"/>
        <w:rPr>
          <w:sz w:val="20"/>
          <w:szCs w:val="20"/>
          <w:color w:val="auto"/>
        </w:rPr>
      </w:pPr>
      <w:r>
        <w:rPr>
          <w:rFonts w:ascii="Arial" w:cs="Arial" w:eastAsia="Arial" w:hAnsi="Arial"/>
          <w:sz w:val="15"/>
          <w:szCs w:val="15"/>
          <w:b w:val="1"/>
          <w:bCs w:val="1"/>
          <w:color w:val="691A6B"/>
        </w:rPr>
        <w:t>3.4 - Other Investments</w:t>
      </w:r>
    </w:p>
    <w:tbl>
      <w:tblPr>
        <w:tblLayout w:type="fixed"/>
        <w:tblInd w:w="0" w:type="dxa"/>
        <w:tblCellMar>
          <w:top w:w="0" w:type="dxa"/>
          <w:left w:w="0" w:type="dxa"/>
          <w:bottom w:w="0" w:type="dxa"/>
          <w:right w:w="0" w:type="dxa"/>
        </w:tblCellMar>
      </w:tblPr>
      <w:tr>
        <w:trPr>
          <w:trHeight w:val="128"/>
        </w:trPr>
        <w:tc>
          <w:tcPr>
            <w:tcW w:w="2760" w:type="dxa"/>
            <w:vAlign w:val="bottom"/>
            <w:tcBorders>
              <w:top w:val="single" w:sz="8" w:color="691A6B"/>
            </w:tcBorders>
          </w:tcPr>
          <w:p>
            <w:pPr>
              <w:ind w:left="2100"/>
              <w:spacing w:after="0"/>
              <w:rPr>
                <w:sz w:val="20"/>
                <w:szCs w:val="20"/>
                <w:color w:val="auto"/>
              </w:rPr>
            </w:pPr>
            <w:r>
              <w:rPr>
                <w:rFonts w:ascii="Arial" w:cs="Arial" w:eastAsia="Arial" w:hAnsi="Arial"/>
                <w:sz w:val="10"/>
                <w:szCs w:val="10"/>
                <w:b w:val="1"/>
                <w:bCs w:val="1"/>
                <w:color w:val="691A6B"/>
                <w:w w:val="98"/>
              </w:rPr>
              <w:t>December 31,</w:t>
            </w:r>
          </w:p>
        </w:tc>
        <w:tc>
          <w:tcPr>
            <w:tcW w:w="940" w:type="dxa"/>
            <w:vAlign w:val="bottom"/>
            <w:tcBorders>
              <w:top w:val="single" w:sz="8" w:color="691A6B"/>
            </w:tcBorders>
          </w:tcPr>
          <w:p>
            <w:pPr>
              <w:ind w:left="260"/>
              <w:spacing w:after="0"/>
              <w:rPr>
                <w:sz w:val="20"/>
                <w:szCs w:val="20"/>
                <w:color w:val="auto"/>
              </w:rPr>
            </w:pPr>
            <w:r>
              <w:rPr>
                <w:rFonts w:ascii="Arial" w:cs="Arial" w:eastAsia="Arial" w:hAnsi="Arial"/>
                <w:sz w:val="10"/>
                <w:szCs w:val="10"/>
                <w:b w:val="1"/>
                <w:bCs w:val="1"/>
                <w:color w:val="auto"/>
              </w:rPr>
              <w:t>December 31,</w:t>
            </w:r>
          </w:p>
        </w:tc>
        <w:tc>
          <w:tcPr>
            <w:tcW w:w="200" w:type="dxa"/>
            <w:vAlign w:val="bottom"/>
            <w:tcBorders>
              <w:top w:val="single" w:sz="8" w:color="691A6B"/>
            </w:tcBorders>
          </w:tcPr>
          <w:p>
            <w:pPr>
              <w:spacing w:after="0"/>
              <w:rPr>
                <w:sz w:val="11"/>
                <w:szCs w:val="11"/>
                <w:color w:val="auto"/>
              </w:rPr>
            </w:pPr>
          </w:p>
        </w:tc>
        <w:tc>
          <w:tcPr>
            <w:tcW w:w="980" w:type="dxa"/>
            <w:vAlign w:val="bottom"/>
            <w:tcBorders>
              <w:top w:val="single" w:sz="8" w:color="691A6B"/>
            </w:tcBorders>
          </w:tcPr>
          <w:p>
            <w:pPr>
              <w:ind w:left="60"/>
              <w:spacing w:after="0"/>
              <w:rPr>
                <w:sz w:val="20"/>
                <w:szCs w:val="20"/>
                <w:color w:val="auto"/>
              </w:rPr>
            </w:pPr>
            <w:r>
              <w:rPr>
                <w:rFonts w:ascii="Arial" w:cs="Arial" w:eastAsia="Arial" w:hAnsi="Arial"/>
                <w:sz w:val="10"/>
                <w:szCs w:val="10"/>
                <w:b w:val="1"/>
                <w:bCs w:val="1"/>
                <w:color w:val="auto"/>
              </w:rPr>
              <w:t>January 1,</w:t>
            </w:r>
          </w:p>
        </w:tc>
      </w:tr>
      <w:tr>
        <w:trPr>
          <w:trHeight w:val="133"/>
        </w:trPr>
        <w:tc>
          <w:tcPr>
            <w:tcW w:w="2760" w:type="dxa"/>
            <w:vAlign w:val="bottom"/>
          </w:tcPr>
          <w:p>
            <w:pPr>
              <w:ind w:left="2100"/>
              <w:spacing w:after="0"/>
              <w:rPr>
                <w:sz w:val="20"/>
                <w:szCs w:val="20"/>
                <w:color w:val="auto"/>
              </w:rPr>
            </w:pPr>
            <w:r>
              <w:rPr>
                <w:rFonts w:ascii="Arial" w:cs="Arial" w:eastAsia="Arial" w:hAnsi="Arial"/>
                <w:sz w:val="10"/>
                <w:szCs w:val="10"/>
                <w:b w:val="1"/>
                <w:bCs w:val="1"/>
                <w:color w:val="691A6B"/>
              </w:rPr>
              <w:t>2025</w:t>
            </w:r>
          </w:p>
        </w:tc>
        <w:tc>
          <w:tcPr>
            <w:tcW w:w="940" w:type="dxa"/>
            <w:vAlign w:val="bottom"/>
          </w:tcPr>
          <w:p>
            <w:pPr>
              <w:ind w:left="260"/>
              <w:spacing w:after="0"/>
              <w:rPr>
                <w:sz w:val="20"/>
                <w:szCs w:val="20"/>
                <w:color w:val="auto"/>
              </w:rPr>
            </w:pPr>
            <w:r>
              <w:rPr>
                <w:rFonts w:ascii="Arial" w:cs="Arial" w:eastAsia="Arial" w:hAnsi="Arial"/>
                <w:sz w:val="10"/>
                <w:szCs w:val="10"/>
                <w:b w:val="1"/>
                <w:bCs w:val="1"/>
                <w:color w:val="auto"/>
              </w:rPr>
              <w:t>2024</w:t>
            </w:r>
          </w:p>
        </w:tc>
        <w:tc>
          <w:tcPr>
            <w:tcW w:w="20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2024</w:t>
            </w:r>
          </w:p>
        </w:tc>
      </w:tr>
      <w:tr>
        <w:trPr>
          <w:trHeight w:val="141"/>
        </w:trPr>
        <w:tc>
          <w:tcPr>
            <w:tcW w:w="2760" w:type="dxa"/>
            <w:vAlign w:val="bottom"/>
          </w:tcPr>
          <w:p>
            <w:pPr>
              <w:ind w:left="20"/>
              <w:spacing w:after="0"/>
              <w:rPr>
                <w:sz w:val="20"/>
                <w:szCs w:val="20"/>
                <w:color w:val="auto"/>
              </w:rPr>
            </w:pPr>
            <w:r>
              <w:rPr>
                <w:rFonts w:ascii="Arial" w:cs="Arial" w:eastAsia="Arial" w:hAnsi="Arial"/>
                <w:sz w:val="10"/>
                <w:szCs w:val="10"/>
                <w:color w:val="auto"/>
              </w:rPr>
              <w:t>Publicly traded equity securities</w:t>
            </w:r>
          </w:p>
        </w:tc>
        <w:tc>
          <w:tcPr>
            <w:tcW w:w="940" w:type="dxa"/>
            <w:vAlign w:val="bottom"/>
          </w:tcPr>
          <w:p>
            <w:pPr>
              <w:jc w:val="right"/>
              <w:ind w:right="729"/>
              <w:spacing w:after="0"/>
              <w:rPr>
                <w:sz w:val="20"/>
                <w:szCs w:val="20"/>
                <w:color w:val="auto"/>
              </w:rPr>
            </w:pPr>
            <w:r>
              <w:rPr>
                <w:rFonts w:ascii="Arial" w:cs="Arial" w:eastAsia="Arial" w:hAnsi="Arial"/>
                <w:sz w:val="10"/>
                <w:szCs w:val="10"/>
                <w:color w:val="691A6B"/>
              </w:rPr>
              <w:t>9</w:t>
            </w:r>
          </w:p>
        </w:tc>
        <w:tc>
          <w:tcPr>
            <w:tcW w:w="200" w:type="dxa"/>
            <w:vAlign w:val="bottom"/>
          </w:tcPr>
          <w:p>
            <w:pPr>
              <w:jc w:val="right"/>
              <w:spacing w:after="0"/>
              <w:rPr>
                <w:sz w:val="20"/>
                <w:szCs w:val="20"/>
                <w:color w:val="auto"/>
              </w:rPr>
            </w:pPr>
            <w:r>
              <w:rPr>
                <w:rFonts w:ascii="Arial" w:cs="Arial" w:eastAsia="Arial" w:hAnsi="Arial"/>
                <w:sz w:val="10"/>
                <w:szCs w:val="10"/>
                <w:color w:val="auto"/>
              </w:rPr>
              <w:t>5</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7</w:t>
            </w:r>
          </w:p>
        </w:tc>
      </w:tr>
      <w:tr>
        <w:trPr>
          <w:trHeight w:val="152"/>
        </w:trPr>
        <w:tc>
          <w:tcPr>
            <w:tcW w:w="2760" w:type="dxa"/>
            <w:vAlign w:val="bottom"/>
          </w:tcPr>
          <w:p>
            <w:pPr>
              <w:ind w:left="20"/>
              <w:spacing w:after="0"/>
              <w:rPr>
                <w:sz w:val="20"/>
                <w:szCs w:val="20"/>
                <w:color w:val="auto"/>
              </w:rPr>
            </w:pPr>
            <w:r>
              <w:rPr>
                <w:rFonts w:ascii="Arial" w:cs="Arial" w:eastAsia="Arial" w:hAnsi="Arial"/>
                <w:sz w:val="10"/>
                <w:szCs w:val="10"/>
                <w:color w:val="auto"/>
              </w:rPr>
              <w:t>Fund investments</w:t>
            </w:r>
          </w:p>
        </w:tc>
        <w:tc>
          <w:tcPr>
            <w:tcW w:w="940" w:type="dxa"/>
            <w:vAlign w:val="bottom"/>
          </w:tcPr>
          <w:p>
            <w:pPr>
              <w:jc w:val="right"/>
              <w:ind w:right="729"/>
              <w:spacing w:after="0"/>
              <w:rPr>
                <w:sz w:val="20"/>
                <w:szCs w:val="20"/>
                <w:color w:val="auto"/>
              </w:rPr>
            </w:pPr>
            <w:r>
              <w:rPr>
                <w:rFonts w:ascii="Arial" w:cs="Arial" w:eastAsia="Arial" w:hAnsi="Arial"/>
                <w:sz w:val="10"/>
                <w:szCs w:val="10"/>
                <w:color w:val="691A6B"/>
              </w:rPr>
              <w:t>26</w:t>
            </w:r>
          </w:p>
        </w:tc>
        <w:tc>
          <w:tcPr>
            <w:tcW w:w="200" w:type="dxa"/>
            <w:vAlign w:val="bottom"/>
          </w:tcPr>
          <w:p>
            <w:pPr>
              <w:jc w:val="right"/>
              <w:spacing w:after="0"/>
              <w:rPr>
                <w:sz w:val="20"/>
                <w:szCs w:val="20"/>
                <w:color w:val="auto"/>
              </w:rPr>
            </w:pPr>
            <w:r>
              <w:rPr>
                <w:rFonts w:ascii="Arial" w:cs="Arial" w:eastAsia="Arial" w:hAnsi="Arial"/>
                <w:sz w:val="10"/>
                <w:szCs w:val="10"/>
                <w:color w:val="auto"/>
              </w:rPr>
              <w:t>25</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13</w:t>
            </w:r>
          </w:p>
        </w:tc>
      </w:tr>
      <w:tr>
        <w:trPr>
          <w:trHeight w:val="152"/>
        </w:trPr>
        <w:tc>
          <w:tcPr>
            <w:tcW w:w="2760" w:type="dxa"/>
            <w:vAlign w:val="bottom"/>
          </w:tcPr>
          <w:p>
            <w:pPr>
              <w:ind w:left="20"/>
              <w:spacing w:after="0"/>
              <w:rPr>
                <w:sz w:val="20"/>
                <w:szCs w:val="20"/>
                <w:color w:val="auto"/>
              </w:rPr>
            </w:pPr>
            <w:r>
              <w:rPr>
                <w:rFonts w:ascii="Arial" w:cs="Arial" w:eastAsia="Arial" w:hAnsi="Arial"/>
                <w:sz w:val="10"/>
                <w:szCs w:val="10"/>
                <w:color w:val="auto"/>
              </w:rPr>
              <w:t>Privately held equity securities</w:t>
            </w:r>
          </w:p>
        </w:tc>
        <w:tc>
          <w:tcPr>
            <w:tcW w:w="940" w:type="dxa"/>
            <w:vAlign w:val="bottom"/>
          </w:tcPr>
          <w:p>
            <w:pPr>
              <w:jc w:val="right"/>
              <w:ind w:right="729"/>
              <w:spacing w:after="0"/>
              <w:rPr>
                <w:sz w:val="20"/>
                <w:szCs w:val="20"/>
                <w:color w:val="auto"/>
              </w:rPr>
            </w:pPr>
            <w:r>
              <w:rPr>
                <w:rFonts w:ascii="Arial" w:cs="Arial" w:eastAsia="Arial" w:hAnsi="Arial"/>
                <w:sz w:val="10"/>
                <w:szCs w:val="10"/>
                <w:color w:val="691A6B"/>
              </w:rPr>
              <w:t>2</w:t>
            </w:r>
          </w:p>
        </w:tc>
        <w:tc>
          <w:tcPr>
            <w:tcW w:w="200" w:type="dxa"/>
            <w:vAlign w:val="bottom"/>
          </w:tcPr>
          <w:p>
            <w:pPr>
              <w:jc w:val="right"/>
              <w:spacing w:after="0"/>
              <w:rPr>
                <w:sz w:val="20"/>
                <w:szCs w:val="20"/>
                <w:color w:val="auto"/>
              </w:rPr>
            </w:pPr>
            <w:r>
              <w:rPr>
                <w:rFonts w:ascii="Arial" w:cs="Arial" w:eastAsia="Arial" w:hAnsi="Arial"/>
                <w:sz w:val="10"/>
                <w:szCs w:val="10"/>
                <w:color w:val="auto"/>
              </w:rPr>
              <w:t>2</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w:t>
            </w:r>
          </w:p>
        </w:tc>
      </w:tr>
      <w:tr>
        <w:trPr>
          <w:trHeight w:val="158"/>
        </w:trPr>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940" w:type="dxa"/>
            <w:vAlign w:val="bottom"/>
          </w:tcPr>
          <w:p>
            <w:pPr>
              <w:jc w:val="right"/>
              <w:ind w:right="729"/>
              <w:spacing w:after="0"/>
              <w:rPr>
                <w:sz w:val="20"/>
                <w:szCs w:val="20"/>
                <w:color w:val="auto"/>
              </w:rPr>
            </w:pPr>
            <w:r>
              <w:rPr>
                <w:rFonts w:ascii="Arial" w:cs="Arial" w:eastAsia="Arial" w:hAnsi="Arial"/>
                <w:sz w:val="10"/>
                <w:szCs w:val="10"/>
                <w:b w:val="1"/>
                <w:bCs w:val="1"/>
                <w:color w:val="691A6B"/>
              </w:rPr>
              <w:t>37</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rPr>
              <w:t>32</w:t>
            </w:r>
          </w:p>
        </w:tc>
        <w:tc>
          <w:tcPr>
            <w:tcW w:w="980" w:type="dxa"/>
            <w:vAlign w:val="bottom"/>
          </w:tcPr>
          <w:p>
            <w:pPr>
              <w:jc w:val="right"/>
              <w:ind w:right="29"/>
              <w:spacing w:after="0"/>
              <w:rPr>
                <w:sz w:val="20"/>
                <w:szCs w:val="20"/>
                <w:color w:val="auto"/>
              </w:rPr>
            </w:pPr>
            <w:r>
              <w:rPr>
                <w:rFonts w:ascii="Arial" w:cs="Arial" w:eastAsia="Arial" w:hAnsi="Arial"/>
                <w:sz w:val="10"/>
                <w:szCs w:val="10"/>
                <w:b w:val="1"/>
                <w:bCs w:val="1"/>
                <w:color w:val="auto"/>
              </w:rPr>
              <w:t>20</w:t>
            </w:r>
          </w:p>
        </w:tc>
      </w:tr>
    </w:tbl>
    <w:p>
      <w:pPr>
        <w:ind w:right="2480"/>
        <w:spacing w:after="0" w:line="214" w:lineRule="auto"/>
        <w:rPr>
          <w:sz w:val="20"/>
          <w:szCs w:val="20"/>
          <w:color w:val="auto"/>
        </w:rPr>
      </w:pPr>
      <w:r>
        <w:rPr>
          <w:rFonts w:ascii="Arial" w:cs="Arial" w:eastAsia="Arial" w:hAnsi="Arial"/>
          <w:sz w:val="10"/>
          <w:szCs w:val="10"/>
          <w:color w:val="auto"/>
        </w:rPr>
        <w:t>Other investments includes strategic investments in publicly traded common stock of companies, including common stock of companies with whom Genmab has entered into collaboration arrangements, investments in certain investment funds, as well as investments in shares of privately held companies.</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6" w:lineRule="exact"/>
        <w:rPr>
          <w:rFonts w:ascii="Arial" w:cs="Arial" w:eastAsia="Arial" w:hAnsi="Arial"/>
          <w:sz w:val="10"/>
          <w:szCs w:val="10"/>
          <w:color w:val="auto"/>
        </w:rPr>
      </w:pPr>
    </w:p>
    <w:p>
      <w:pPr>
        <w:ind w:right="2660"/>
        <w:spacing w:after="0" w:line="205" w:lineRule="auto"/>
        <w:rPr>
          <w:sz w:val="20"/>
          <w:szCs w:val="20"/>
          <w:color w:val="auto"/>
        </w:rPr>
      </w:pPr>
      <w:r>
        <w:rPr>
          <w:rFonts w:ascii="Arial" w:cs="Arial" w:eastAsia="Arial" w:hAnsi="Arial"/>
          <w:sz w:val="10"/>
          <w:szCs w:val="10"/>
          <w:color w:val="auto"/>
        </w:rPr>
        <w:t>Other investments are measured on initial recognition at fair value, and subsequently at fair value. Changes in fair value are recognized in the Consolidated Statements of Comprehensive Income within financial income or expense.</w:t>
      </w:r>
    </w:p>
    <w:p>
      <w:pPr>
        <w:spacing w:after="0" w:line="1" w:lineRule="exact"/>
        <w:rPr>
          <w:rFonts w:ascii="Arial" w:cs="Arial" w:eastAsia="Arial" w:hAnsi="Arial"/>
          <w:sz w:val="10"/>
          <w:szCs w:val="10"/>
          <w:color w:val="auto"/>
        </w:rPr>
      </w:pPr>
    </w:p>
    <w:p>
      <w:pPr>
        <w:ind w:right="2440"/>
        <w:spacing w:after="0" w:line="199" w:lineRule="auto"/>
        <w:rPr>
          <w:sz w:val="20"/>
          <w:szCs w:val="20"/>
          <w:color w:val="auto"/>
        </w:rPr>
      </w:pPr>
      <w:r>
        <w:rPr>
          <w:rFonts w:ascii="Arial" w:cs="Arial" w:eastAsia="Arial" w:hAnsi="Arial"/>
          <w:sz w:val="10"/>
          <w:szCs w:val="10"/>
          <w:color w:val="auto"/>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at the most recent sale price or official closing price reported on the exchange or over -the -counter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based on significant unobservable inputs.</w:t>
      </w:r>
    </w:p>
    <w:p>
      <w:pPr>
        <w:spacing w:after="0" w:line="222" w:lineRule="auto"/>
        <w:rPr>
          <w:sz w:val="20"/>
          <w:szCs w:val="20"/>
          <w:color w:val="auto"/>
        </w:rPr>
      </w:pPr>
      <w:r>
        <w:rPr>
          <w:rFonts w:ascii="Arial" w:cs="Arial" w:eastAsia="Arial" w:hAnsi="Arial"/>
          <w:sz w:val="15"/>
          <w:szCs w:val="15"/>
          <w:b w:val="1"/>
          <w:bCs w:val="1"/>
          <w:color w:val="691A6B"/>
        </w:rPr>
        <w:t>3.5 - Inventories</w:t>
      </w:r>
    </w:p>
    <w:tbl>
      <w:tblPr>
        <w:tblLayout w:type="fixed"/>
        <w:tblInd w:w="0" w:type="dxa"/>
        <w:tblCellMar>
          <w:top w:w="0" w:type="dxa"/>
          <w:left w:w="0" w:type="dxa"/>
          <w:bottom w:w="0" w:type="dxa"/>
          <w:right w:w="0" w:type="dxa"/>
        </w:tblCellMar>
      </w:tblPr>
      <w:tr>
        <w:trPr>
          <w:trHeight w:val="128"/>
        </w:trPr>
        <w:tc>
          <w:tcPr>
            <w:tcW w:w="2760" w:type="dxa"/>
            <w:vAlign w:val="bottom"/>
            <w:tcBorders>
              <w:top w:val="single" w:sz="8" w:color="691A6B"/>
            </w:tcBorders>
          </w:tcPr>
          <w:p>
            <w:pPr>
              <w:ind w:left="2100"/>
              <w:spacing w:after="0"/>
              <w:rPr>
                <w:sz w:val="20"/>
                <w:szCs w:val="20"/>
                <w:color w:val="auto"/>
              </w:rPr>
            </w:pPr>
            <w:r>
              <w:rPr>
                <w:rFonts w:ascii="Arial" w:cs="Arial" w:eastAsia="Arial" w:hAnsi="Arial"/>
                <w:sz w:val="10"/>
                <w:szCs w:val="10"/>
                <w:b w:val="1"/>
                <w:bCs w:val="1"/>
                <w:color w:val="691A6B"/>
                <w:w w:val="98"/>
              </w:rPr>
              <w:t>December 31,</w:t>
            </w:r>
          </w:p>
        </w:tc>
        <w:tc>
          <w:tcPr>
            <w:tcW w:w="240" w:type="dxa"/>
            <w:vAlign w:val="bottom"/>
            <w:tcBorders>
              <w:top w:val="single" w:sz="8" w:color="691A6B"/>
            </w:tcBorders>
          </w:tcPr>
          <w:p>
            <w:pPr>
              <w:spacing w:after="0"/>
              <w:rPr>
                <w:sz w:val="11"/>
                <w:szCs w:val="11"/>
                <w:color w:val="auto"/>
              </w:rPr>
            </w:pPr>
          </w:p>
        </w:tc>
        <w:tc>
          <w:tcPr>
            <w:tcW w:w="920" w:type="dxa"/>
            <w:vAlign w:val="bottom"/>
            <w:tcBorders>
              <w:top w:val="single" w:sz="8" w:color="691A6B"/>
            </w:tcBorders>
          </w:tcPr>
          <w:p>
            <w:pPr>
              <w:ind w:left="20"/>
              <w:spacing w:after="0"/>
              <w:rPr>
                <w:sz w:val="20"/>
                <w:szCs w:val="20"/>
                <w:color w:val="auto"/>
              </w:rPr>
            </w:pPr>
            <w:r>
              <w:rPr>
                <w:rFonts w:ascii="Arial" w:cs="Arial" w:eastAsia="Arial" w:hAnsi="Arial"/>
                <w:sz w:val="10"/>
                <w:szCs w:val="10"/>
                <w:b w:val="1"/>
                <w:bCs w:val="1"/>
                <w:color w:val="auto"/>
              </w:rPr>
              <w:t>December 31,</w:t>
            </w:r>
          </w:p>
        </w:tc>
        <w:tc>
          <w:tcPr>
            <w:tcW w:w="96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January 1,</w:t>
            </w:r>
          </w:p>
        </w:tc>
      </w:tr>
      <w:tr>
        <w:trPr>
          <w:trHeight w:val="133"/>
        </w:trPr>
        <w:tc>
          <w:tcPr>
            <w:tcW w:w="2760" w:type="dxa"/>
            <w:vAlign w:val="bottom"/>
          </w:tcPr>
          <w:p>
            <w:pPr>
              <w:ind w:left="2100"/>
              <w:spacing w:after="0"/>
              <w:rPr>
                <w:sz w:val="20"/>
                <w:szCs w:val="20"/>
                <w:color w:val="auto"/>
              </w:rPr>
            </w:pPr>
            <w:r>
              <w:rPr>
                <w:rFonts w:ascii="Arial" w:cs="Arial" w:eastAsia="Arial" w:hAnsi="Arial"/>
                <w:sz w:val="10"/>
                <w:szCs w:val="10"/>
                <w:b w:val="1"/>
                <w:bCs w:val="1"/>
                <w:color w:val="691A6B"/>
              </w:rPr>
              <w:t>2025</w:t>
            </w:r>
          </w:p>
        </w:tc>
        <w:tc>
          <w:tcPr>
            <w:tcW w:w="2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2024</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41"/>
        </w:trPr>
        <w:tc>
          <w:tcPr>
            <w:tcW w:w="2760" w:type="dxa"/>
            <w:vAlign w:val="bottom"/>
          </w:tcPr>
          <w:p>
            <w:pPr>
              <w:ind w:left="20"/>
              <w:spacing w:after="0"/>
              <w:rPr>
                <w:sz w:val="20"/>
                <w:szCs w:val="20"/>
                <w:color w:val="auto"/>
              </w:rPr>
            </w:pPr>
            <w:r>
              <w:rPr>
                <w:rFonts w:ascii="Arial" w:cs="Arial" w:eastAsia="Arial" w:hAnsi="Arial"/>
                <w:sz w:val="10"/>
                <w:szCs w:val="10"/>
                <w:color w:val="auto"/>
              </w:rPr>
              <w:t>Raw materials</w:t>
            </w:r>
          </w:p>
        </w:tc>
        <w:tc>
          <w:tcPr>
            <w:tcW w:w="240" w:type="dxa"/>
            <w:vAlign w:val="bottom"/>
          </w:tcPr>
          <w:p>
            <w:pPr>
              <w:jc w:val="right"/>
              <w:ind w:right="28"/>
              <w:spacing w:after="0"/>
              <w:rPr>
                <w:sz w:val="20"/>
                <w:szCs w:val="20"/>
                <w:color w:val="auto"/>
              </w:rPr>
            </w:pPr>
            <w:r>
              <w:rPr>
                <w:rFonts w:ascii="Arial" w:cs="Arial" w:eastAsia="Arial" w:hAnsi="Arial"/>
                <w:sz w:val="10"/>
                <w:szCs w:val="10"/>
                <w:color w:val="691A6B"/>
              </w:rPr>
              <w:t>6</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2</w:t>
            </w:r>
          </w:p>
        </w:tc>
      </w:tr>
      <w:tr>
        <w:trPr>
          <w:trHeight w:val="152"/>
        </w:trPr>
        <w:tc>
          <w:tcPr>
            <w:tcW w:w="2760" w:type="dxa"/>
            <w:vAlign w:val="bottom"/>
          </w:tcPr>
          <w:p>
            <w:pPr>
              <w:ind w:left="20"/>
              <w:spacing w:after="0"/>
              <w:rPr>
                <w:sz w:val="20"/>
                <w:szCs w:val="20"/>
                <w:color w:val="auto"/>
              </w:rPr>
            </w:pPr>
            <w:r>
              <w:rPr>
                <w:rFonts w:ascii="Arial" w:cs="Arial" w:eastAsia="Arial" w:hAnsi="Arial"/>
                <w:sz w:val="10"/>
                <w:szCs w:val="10"/>
                <w:color w:val="auto"/>
              </w:rPr>
              <w:t>Work in progress</w:t>
            </w:r>
          </w:p>
        </w:tc>
        <w:tc>
          <w:tcPr>
            <w:tcW w:w="240" w:type="dxa"/>
            <w:vAlign w:val="bottom"/>
          </w:tcPr>
          <w:p>
            <w:pPr>
              <w:jc w:val="right"/>
              <w:ind w:right="28"/>
              <w:spacing w:after="0"/>
              <w:rPr>
                <w:sz w:val="20"/>
                <w:szCs w:val="20"/>
                <w:color w:val="auto"/>
              </w:rPr>
            </w:pPr>
            <w:r>
              <w:rPr>
                <w:rFonts w:ascii="Arial" w:cs="Arial" w:eastAsia="Arial" w:hAnsi="Arial"/>
                <w:sz w:val="10"/>
                <w:szCs w:val="10"/>
                <w:color w:val="691A6B"/>
              </w:rPr>
              <w:t>—</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w:t>
            </w:r>
          </w:p>
        </w:tc>
      </w:tr>
      <w:tr>
        <w:trPr>
          <w:trHeight w:val="152"/>
        </w:trPr>
        <w:tc>
          <w:tcPr>
            <w:tcW w:w="2760" w:type="dxa"/>
            <w:vAlign w:val="bottom"/>
          </w:tcPr>
          <w:p>
            <w:pPr>
              <w:ind w:left="20"/>
              <w:spacing w:after="0"/>
              <w:rPr>
                <w:sz w:val="20"/>
                <w:szCs w:val="20"/>
                <w:color w:val="auto"/>
              </w:rPr>
            </w:pPr>
            <w:r>
              <w:rPr>
                <w:rFonts w:ascii="Arial" w:cs="Arial" w:eastAsia="Arial" w:hAnsi="Arial"/>
                <w:sz w:val="10"/>
                <w:szCs w:val="10"/>
                <w:color w:val="auto"/>
              </w:rPr>
              <w:t>Finished goods</w:t>
            </w:r>
          </w:p>
        </w:tc>
        <w:tc>
          <w:tcPr>
            <w:tcW w:w="240" w:type="dxa"/>
            <w:vAlign w:val="bottom"/>
          </w:tcPr>
          <w:p>
            <w:pPr>
              <w:jc w:val="right"/>
              <w:ind w:right="28"/>
              <w:spacing w:after="0"/>
              <w:rPr>
                <w:sz w:val="20"/>
                <w:szCs w:val="20"/>
                <w:color w:val="auto"/>
              </w:rPr>
            </w:pPr>
            <w:r>
              <w:rPr>
                <w:rFonts w:ascii="Arial" w:cs="Arial" w:eastAsia="Arial" w:hAnsi="Arial"/>
                <w:sz w:val="10"/>
                <w:szCs w:val="10"/>
                <w:color w:val="691A6B"/>
              </w:rPr>
              <w:t>13</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11</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9</w:t>
            </w:r>
          </w:p>
        </w:tc>
      </w:tr>
      <w:tr>
        <w:trPr>
          <w:trHeight w:val="158"/>
        </w:trPr>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Total inventories (gross)</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691A6B"/>
              </w:rPr>
              <w:t>19</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12</w:t>
            </w:r>
          </w:p>
        </w:tc>
        <w:tc>
          <w:tcPr>
            <w:tcW w:w="960" w:type="dxa"/>
            <w:vAlign w:val="bottom"/>
          </w:tcPr>
          <w:p>
            <w:pPr>
              <w:jc w:val="right"/>
              <w:ind w:right="29"/>
              <w:spacing w:after="0"/>
              <w:rPr>
                <w:sz w:val="20"/>
                <w:szCs w:val="20"/>
                <w:color w:val="auto"/>
              </w:rPr>
            </w:pPr>
            <w:r>
              <w:rPr>
                <w:rFonts w:ascii="Arial" w:cs="Arial" w:eastAsia="Arial" w:hAnsi="Arial"/>
                <w:sz w:val="10"/>
                <w:szCs w:val="10"/>
                <w:b w:val="1"/>
                <w:bCs w:val="1"/>
                <w:color w:val="auto"/>
              </w:rPr>
              <w:t>11</w:t>
            </w:r>
          </w:p>
        </w:tc>
      </w:tr>
      <w:tr>
        <w:trPr>
          <w:trHeight w:val="146"/>
        </w:trPr>
        <w:tc>
          <w:tcPr>
            <w:tcW w:w="2760" w:type="dxa"/>
            <w:vAlign w:val="bottom"/>
          </w:tcPr>
          <w:p>
            <w:pPr>
              <w:ind w:left="20"/>
              <w:spacing w:after="0"/>
              <w:rPr>
                <w:sz w:val="20"/>
                <w:szCs w:val="20"/>
                <w:color w:val="auto"/>
              </w:rPr>
            </w:pPr>
            <w:r>
              <w:rPr>
                <w:rFonts w:ascii="Arial" w:cs="Arial" w:eastAsia="Arial" w:hAnsi="Arial"/>
                <w:sz w:val="10"/>
                <w:szCs w:val="10"/>
                <w:color w:val="auto"/>
              </w:rPr>
              <w:t>Allowances at year end</w:t>
            </w:r>
          </w:p>
        </w:tc>
        <w:tc>
          <w:tcPr>
            <w:tcW w:w="240" w:type="dxa"/>
            <w:vAlign w:val="bottom"/>
          </w:tcPr>
          <w:p>
            <w:pPr>
              <w:jc w:val="right"/>
              <w:spacing w:after="0"/>
              <w:rPr>
                <w:sz w:val="20"/>
                <w:szCs w:val="20"/>
                <w:color w:val="auto"/>
              </w:rPr>
            </w:pPr>
            <w:r>
              <w:rPr>
                <w:rFonts w:ascii="Arial" w:cs="Arial" w:eastAsia="Arial" w:hAnsi="Arial"/>
                <w:sz w:val="10"/>
                <w:szCs w:val="10"/>
                <w:color w:val="691A6B"/>
              </w:rPr>
              <w:t>(1)</w:t>
            </w:r>
          </w:p>
        </w:tc>
        <w:tc>
          <w:tcPr>
            <w:tcW w:w="920" w:type="dxa"/>
            <w:vAlign w:val="bottom"/>
          </w:tcPr>
          <w:p>
            <w:pPr>
              <w:jc w:val="right"/>
              <w:spacing w:after="0"/>
              <w:rPr>
                <w:sz w:val="20"/>
                <w:szCs w:val="20"/>
                <w:color w:val="auto"/>
              </w:rPr>
            </w:pPr>
            <w:r>
              <w:rPr>
                <w:rFonts w:ascii="Arial" w:cs="Arial" w:eastAsia="Arial" w:hAnsi="Arial"/>
                <w:sz w:val="10"/>
                <w:szCs w:val="10"/>
                <w:color w:val="auto"/>
              </w:rPr>
              <w:t>(3)</w:t>
            </w:r>
          </w:p>
        </w:tc>
        <w:tc>
          <w:tcPr>
            <w:tcW w:w="960" w:type="dxa"/>
            <w:vAlign w:val="bottom"/>
          </w:tcPr>
          <w:p>
            <w:pPr>
              <w:jc w:val="right"/>
              <w:ind w:right="9"/>
              <w:spacing w:after="0"/>
              <w:rPr>
                <w:sz w:val="20"/>
                <w:szCs w:val="20"/>
                <w:color w:val="auto"/>
              </w:rPr>
            </w:pPr>
            <w:r>
              <w:rPr>
                <w:rFonts w:ascii="Arial" w:cs="Arial" w:eastAsia="Arial" w:hAnsi="Arial"/>
                <w:sz w:val="10"/>
                <w:szCs w:val="10"/>
                <w:color w:val="auto"/>
              </w:rPr>
              <w:t>(3)</w:t>
            </w:r>
          </w:p>
        </w:tc>
      </w:tr>
      <w:tr>
        <w:trPr>
          <w:trHeight w:val="158"/>
        </w:trPr>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Total inventories (net)</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691A6B"/>
              </w:rPr>
              <w:t>18</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9</w:t>
            </w:r>
          </w:p>
        </w:tc>
        <w:tc>
          <w:tcPr>
            <w:tcW w:w="960" w:type="dxa"/>
            <w:vAlign w:val="bottom"/>
          </w:tcPr>
          <w:p>
            <w:pPr>
              <w:jc w:val="right"/>
              <w:ind w:right="29"/>
              <w:spacing w:after="0"/>
              <w:rPr>
                <w:sz w:val="20"/>
                <w:szCs w:val="20"/>
                <w:color w:val="auto"/>
              </w:rPr>
            </w:pPr>
            <w:r>
              <w:rPr>
                <w:rFonts w:ascii="Arial" w:cs="Arial" w:eastAsia="Arial" w:hAnsi="Arial"/>
                <w:sz w:val="10"/>
                <w:szCs w:val="10"/>
                <w:b w:val="1"/>
                <w:bCs w:val="1"/>
                <w:color w:val="auto"/>
              </w:rPr>
              <w:t>8</w:t>
            </w:r>
          </w:p>
        </w:tc>
      </w:tr>
    </w:tbl>
    <w:p>
      <w:pPr>
        <w:ind w:right="2480"/>
        <w:spacing w:after="0"/>
        <w:rPr>
          <w:sz w:val="20"/>
          <w:szCs w:val="20"/>
          <w:color w:val="auto"/>
        </w:rPr>
      </w:pPr>
      <w:r>
        <w:rPr>
          <w:rFonts w:ascii="Arial" w:cs="Arial" w:eastAsia="Arial" w:hAnsi="Arial"/>
          <w:sz w:val="10"/>
          <w:szCs w:val="10"/>
          <w:color w:val="auto"/>
        </w:rPr>
        <w:t>In 2025 and 2024, allowances related to write downs of excess and obsolete inventories were immaterial and recognized as expense within cost of product sales in the Consolidated Statements of Comprehensive Income.</w:t>
      </w:r>
    </w:p>
    <w:p>
      <w:pPr>
        <w:spacing w:after="0" w:line="78" w:lineRule="exact"/>
        <w:rPr>
          <w:rFonts w:ascii="Arial" w:cs="Arial" w:eastAsia="Arial" w:hAnsi="Arial"/>
          <w:sz w:val="10"/>
          <w:szCs w:val="10"/>
          <w:color w:val="auto"/>
        </w:rPr>
      </w:pP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6" w:lineRule="exact"/>
        <w:rPr>
          <w:rFonts w:ascii="Arial" w:cs="Arial" w:eastAsia="Arial" w:hAnsi="Arial"/>
          <w:sz w:val="10"/>
          <w:szCs w:val="10"/>
          <w:color w:val="auto"/>
        </w:rPr>
      </w:pPr>
    </w:p>
    <w:p>
      <w:pPr>
        <w:ind w:right="2560"/>
        <w:spacing w:after="0" w:line="201" w:lineRule="auto"/>
        <w:rPr>
          <w:sz w:val="20"/>
          <w:szCs w:val="20"/>
          <w:color w:val="auto"/>
        </w:rPr>
      </w:pPr>
      <w:r>
        <w:rPr>
          <w:rFonts w:ascii="Arial" w:cs="Arial" w:eastAsia="Arial" w:hAnsi="Arial"/>
          <w:sz w:val="10"/>
          <w:szCs w:val="10"/>
          <w:color w:val="auto"/>
        </w:rPr>
        <w:t>Inventories are measured at the lower of cost and net realizable value with costs determined on a first-in, first-out basis. Costs comprise direct and indirect costs relating to the manufacture of inventory mainly from third-party providers of manufacturing as well as costs related to internal resources and distribution and logistics. Genmab assesses the recoverability of capitalized inventories during each reporting period and will write down excess or obsolete inventories to their net realizable value in the period in which the impairment is identified. Write downs of inventory are included within Cost of product sales in the Consolidated Statements of Comprehensive Income.</w:t>
      </w:r>
    </w:p>
    <w:p>
      <w:pPr>
        <w:spacing w:after="0" w:line="2" w:lineRule="exact"/>
        <w:rPr>
          <w:rFonts w:ascii="Arial" w:cs="Arial" w:eastAsia="Arial" w:hAnsi="Arial"/>
          <w:sz w:val="10"/>
          <w:szCs w:val="10"/>
          <w:color w:val="auto"/>
        </w:rPr>
      </w:pPr>
    </w:p>
    <w:p>
      <w:pPr>
        <w:ind w:right="2440"/>
        <w:spacing w:after="0" w:line="198" w:lineRule="auto"/>
        <w:rPr>
          <w:sz w:val="20"/>
          <w:szCs w:val="20"/>
          <w:color w:val="auto"/>
        </w:rPr>
      </w:pPr>
      <w:r>
        <w:rPr>
          <w:rFonts w:ascii="Arial" w:cs="Arial" w:eastAsia="Arial" w:hAnsi="Arial"/>
          <w:sz w:val="10"/>
          <w:szCs w:val="10"/>
          <w:color w:val="auto"/>
        </w:rPr>
        <w:t>Included in inventories are materials with the intended purpose of being made available for sale. If the materials are later used in the production of clinical products, the materials are charged to research and development expense when shipped to the clinical packaging site. Materials ordered exclusively to be used in Genmab’s research and development process (e.g., early research/clinical trials) are immediately expensed to research and development as incurred.</w:t>
      </w:r>
    </w:p>
    <w:p>
      <w:pPr>
        <w:spacing w:after="0" w:line="2" w:lineRule="exact"/>
        <w:rPr>
          <w:rFonts w:ascii="Arial" w:cs="Arial" w:eastAsia="Arial" w:hAnsi="Arial"/>
          <w:sz w:val="10"/>
          <w:szCs w:val="10"/>
          <w:color w:val="auto"/>
        </w:rPr>
      </w:pPr>
    </w:p>
    <w:p>
      <w:pPr>
        <w:jc w:val="both"/>
        <w:ind w:right="2460"/>
        <w:spacing w:after="0" w:line="198" w:lineRule="auto"/>
        <w:rPr>
          <w:sz w:val="20"/>
          <w:szCs w:val="20"/>
          <w:color w:val="auto"/>
        </w:rPr>
      </w:pPr>
      <w:r>
        <w:rPr>
          <w:rFonts w:ascii="Arial" w:cs="Arial" w:eastAsia="Arial" w:hAnsi="Arial"/>
          <w:sz w:val="10"/>
          <w:szCs w:val="10"/>
          <w:color w:val="auto"/>
        </w:rPr>
        <w:t>Inventory manufactured prior to regulatory approval of a product (prelaunch inventory) is written down to its net realizable value (that is the probable amount expected to be realized from its sale or use at the time of production). The amount of this write down is recognized in the Consolidated Statements</w:t>
      </w:r>
    </w:p>
    <w:p>
      <w:pPr>
        <w:spacing w:after="0" w:line="1" w:lineRule="exact"/>
        <w:rPr>
          <w:rFonts w:ascii="Arial" w:cs="Arial" w:eastAsia="Arial" w:hAnsi="Arial"/>
          <w:sz w:val="10"/>
          <w:szCs w:val="10"/>
          <w:color w:val="auto"/>
        </w:rPr>
      </w:pPr>
    </w:p>
    <w:p>
      <w:pPr>
        <w:ind w:right="2460"/>
        <w:spacing w:after="0"/>
        <w:rPr>
          <w:sz w:val="20"/>
          <w:szCs w:val="20"/>
          <w:color w:val="auto"/>
        </w:rPr>
      </w:pPr>
      <w:r>
        <w:rPr>
          <w:rFonts w:ascii="Arial" w:cs="Arial" w:eastAsia="Arial" w:hAnsi="Arial"/>
          <w:sz w:val="10"/>
          <w:szCs w:val="10"/>
          <w:color w:val="auto"/>
        </w:rPr>
        <w:t>of Comprehensive Income as research and development expenses. Once there is a high probability of regulatory approval being obtained for the product, inventory costs begin to be capitalized. Additionally, the write -down is reversed, up to no more than the original cost. The reversal of the write-down is recognized as a reduction to research and development expenses in the Consolidated Statements of Comprehensive Income.</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127</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128</w:t>
      </w:r>
    </w:p>
    <w:p>
      <w:pPr>
        <w:sectPr>
          <w:pgSz w:w="11900" w:h="16840" w:orient="portrait"/>
          <w:cols w:equalWidth="0" w:num="2">
            <w:col w:w="7400" w:space="720"/>
            <w:col w:w="1700"/>
          </w:cols>
          <w:pgMar w:left="640" w:top="571" w:right="1440" w:bottom="721" w:gutter="0" w:footer="0" w:header="0"/>
        </w:sectPr>
      </w:pPr>
    </w:p>
    <w:bookmarkStart w:id="145" w:name="page146"/>
    <w:bookmarkEnd w:id="145"/>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8" w:lineRule="auto"/>
        <w:rPr>
          <w:sz w:val="20"/>
          <w:szCs w:val="20"/>
          <w:color w:val="auto"/>
        </w:rPr>
      </w:pPr>
      <w:r>
        <w:rPr>
          <w:rFonts w:ascii="Arial" w:cs="Arial" w:eastAsia="Arial" w:hAnsi="Arial"/>
          <w:sz w:val="15"/>
          <w:szCs w:val="15"/>
          <w:b w:val="1"/>
          <w:bCs w:val="1"/>
          <w:color w:val="691A6B"/>
        </w:rPr>
        <w:t>3.6 - Receivables</w:t>
      </w:r>
    </w:p>
    <w:tbl>
      <w:tblPr>
        <w:tblLayout w:type="fixed"/>
        <w:tblInd w:w="0" w:type="dxa"/>
        <w:tblCellMar>
          <w:top w:w="0" w:type="dxa"/>
          <w:left w:w="0" w:type="dxa"/>
          <w:bottom w:w="0" w:type="dxa"/>
          <w:right w:w="0" w:type="dxa"/>
        </w:tblCellMar>
      </w:tblPr>
      <w:tr>
        <w:trPr>
          <w:trHeight w:val="128"/>
        </w:trPr>
        <w:tc>
          <w:tcPr>
            <w:tcW w:w="2300" w:type="dxa"/>
            <w:vAlign w:val="bottom"/>
            <w:tcBorders>
              <w:top w:val="single" w:sz="8" w:color="691A6B"/>
            </w:tcBorders>
          </w:tcPr>
          <w:p>
            <w:pPr>
              <w:spacing w:after="0"/>
              <w:rPr>
                <w:sz w:val="11"/>
                <w:szCs w:val="11"/>
                <w:color w:val="auto"/>
              </w:rPr>
            </w:pPr>
          </w:p>
        </w:tc>
        <w:tc>
          <w:tcPr>
            <w:tcW w:w="84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691A6B"/>
              </w:rPr>
              <w:t>December 31,</w:t>
            </w:r>
          </w:p>
        </w:tc>
        <w:tc>
          <w:tcPr>
            <w:tcW w:w="860" w:type="dxa"/>
            <w:vAlign w:val="bottom"/>
            <w:tcBorders>
              <w:top w:val="single" w:sz="8" w:color="691A6B"/>
            </w:tcBorders>
          </w:tcPr>
          <w:p>
            <w:pPr>
              <w:ind w:left="60"/>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January 1,</w:t>
            </w:r>
          </w:p>
        </w:tc>
      </w:tr>
      <w:tr>
        <w:trPr>
          <w:trHeight w:val="133"/>
        </w:trPr>
        <w:tc>
          <w:tcPr>
            <w:tcW w:w="2300" w:type="dxa"/>
            <w:vAlign w:val="bottom"/>
          </w:tcPr>
          <w:p>
            <w:pPr>
              <w:spacing w:after="0"/>
              <w:rPr>
                <w:sz w:val="11"/>
                <w:szCs w:val="11"/>
                <w:color w:val="auto"/>
              </w:rPr>
            </w:pPr>
          </w:p>
        </w:tc>
        <w:tc>
          <w:tcPr>
            <w:tcW w:w="840" w:type="dxa"/>
            <w:vAlign w:val="bottom"/>
          </w:tcPr>
          <w:p>
            <w:pPr>
              <w:ind w:left="40"/>
              <w:spacing w:after="0"/>
              <w:rPr>
                <w:sz w:val="20"/>
                <w:szCs w:val="20"/>
                <w:color w:val="auto"/>
              </w:rPr>
            </w:pPr>
            <w:r>
              <w:rPr>
                <w:rFonts w:ascii="Arial" w:cs="Arial" w:eastAsia="Arial" w:hAnsi="Arial"/>
                <w:sz w:val="10"/>
                <w:szCs w:val="10"/>
                <w:b w:val="1"/>
                <w:bCs w:val="1"/>
                <w:color w:val="691A6B"/>
              </w:rPr>
              <w:t>2025</w:t>
            </w:r>
          </w:p>
        </w:tc>
        <w:tc>
          <w:tcPr>
            <w:tcW w:w="860" w:type="dxa"/>
            <w:vAlign w:val="bottom"/>
          </w:tcPr>
          <w:p>
            <w:pPr>
              <w:ind w:left="60"/>
              <w:spacing w:after="0"/>
              <w:rPr>
                <w:sz w:val="20"/>
                <w:szCs w:val="20"/>
                <w:color w:val="auto"/>
              </w:rPr>
            </w:pPr>
            <w:r>
              <w:rPr>
                <w:rFonts w:ascii="Arial" w:cs="Arial" w:eastAsia="Arial" w:hAnsi="Arial"/>
                <w:sz w:val="10"/>
                <w:szCs w:val="10"/>
                <w:b w:val="1"/>
                <w:bCs w:val="1"/>
                <w:color w:val="auto"/>
              </w:rPr>
              <w:t>2024</w:t>
            </w:r>
          </w:p>
        </w:tc>
        <w:tc>
          <w:tcPr>
            <w:tcW w:w="88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41"/>
        </w:trPr>
        <w:tc>
          <w:tcPr>
            <w:tcW w:w="2300" w:type="dxa"/>
            <w:vAlign w:val="bottom"/>
          </w:tcPr>
          <w:p>
            <w:pPr>
              <w:ind w:left="20"/>
              <w:spacing w:after="0"/>
              <w:rPr>
                <w:sz w:val="20"/>
                <w:szCs w:val="20"/>
                <w:color w:val="auto"/>
              </w:rPr>
            </w:pPr>
            <w:r>
              <w:rPr>
                <w:rFonts w:ascii="Arial" w:cs="Arial" w:eastAsia="Arial" w:hAnsi="Arial"/>
                <w:sz w:val="10"/>
                <w:szCs w:val="10"/>
                <w:color w:val="auto"/>
              </w:rPr>
              <w:t>Receivables related to collaboration agreements</w:t>
            </w:r>
          </w:p>
        </w:tc>
        <w:tc>
          <w:tcPr>
            <w:tcW w:w="840" w:type="dxa"/>
            <w:vAlign w:val="bottom"/>
          </w:tcPr>
          <w:p>
            <w:pPr>
              <w:jc w:val="right"/>
              <w:spacing w:after="0"/>
              <w:rPr>
                <w:sz w:val="20"/>
                <w:szCs w:val="20"/>
                <w:color w:val="auto"/>
              </w:rPr>
            </w:pPr>
            <w:r>
              <w:rPr>
                <w:rFonts w:ascii="Arial" w:cs="Arial" w:eastAsia="Arial" w:hAnsi="Arial"/>
                <w:sz w:val="10"/>
                <w:szCs w:val="10"/>
                <w:color w:val="691A6B"/>
              </w:rPr>
              <w:t>907</w:t>
            </w: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761</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615</w:t>
            </w:r>
          </w:p>
        </w:tc>
      </w:tr>
      <w:tr>
        <w:trPr>
          <w:trHeight w:val="152"/>
        </w:trPr>
        <w:tc>
          <w:tcPr>
            <w:tcW w:w="2300" w:type="dxa"/>
            <w:vAlign w:val="bottom"/>
          </w:tcPr>
          <w:p>
            <w:pPr>
              <w:ind w:left="20"/>
              <w:spacing w:after="0"/>
              <w:rPr>
                <w:sz w:val="20"/>
                <w:szCs w:val="20"/>
                <w:color w:val="auto"/>
              </w:rPr>
            </w:pPr>
            <w:r>
              <w:rPr>
                <w:rFonts w:ascii="Arial" w:cs="Arial" w:eastAsia="Arial" w:hAnsi="Arial"/>
                <w:sz w:val="10"/>
                <w:szCs w:val="10"/>
                <w:color w:val="auto"/>
              </w:rPr>
              <w:t>Prepayments</w:t>
            </w:r>
          </w:p>
        </w:tc>
        <w:tc>
          <w:tcPr>
            <w:tcW w:w="840" w:type="dxa"/>
            <w:vAlign w:val="bottom"/>
          </w:tcPr>
          <w:p>
            <w:pPr>
              <w:jc w:val="right"/>
              <w:spacing w:after="0"/>
              <w:rPr>
                <w:sz w:val="20"/>
                <w:szCs w:val="20"/>
                <w:color w:val="auto"/>
              </w:rPr>
            </w:pPr>
            <w:r>
              <w:rPr>
                <w:rFonts w:ascii="Arial" w:cs="Arial" w:eastAsia="Arial" w:hAnsi="Arial"/>
                <w:sz w:val="10"/>
                <w:szCs w:val="10"/>
                <w:color w:val="691A6B"/>
              </w:rPr>
              <w:t>65</w:t>
            </w: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36</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36</w:t>
            </w:r>
          </w:p>
        </w:tc>
      </w:tr>
      <w:tr>
        <w:trPr>
          <w:trHeight w:val="152"/>
        </w:trPr>
        <w:tc>
          <w:tcPr>
            <w:tcW w:w="2300" w:type="dxa"/>
            <w:vAlign w:val="bottom"/>
          </w:tcPr>
          <w:p>
            <w:pPr>
              <w:ind w:left="20"/>
              <w:spacing w:after="0"/>
              <w:rPr>
                <w:sz w:val="20"/>
                <w:szCs w:val="20"/>
                <w:color w:val="auto"/>
              </w:rPr>
            </w:pPr>
            <w:r>
              <w:rPr>
                <w:rFonts w:ascii="Arial" w:cs="Arial" w:eastAsia="Arial" w:hAnsi="Arial"/>
                <w:sz w:val="10"/>
                <w:szCs w:val="10"/>
                <w:color w:val="auto"/>
              </w:rPr>
              <w:t>Trade receivables related to product sales</w:t>
            </w:r>
          </w:p>
        </w:tc>
        <w:tc>
          <w:tcPr>
            <w:tcW w:w="840" w:type="dxa"/>
            <w:vAlign w:val="bottom"/>
          </w:tcPr>
          <w:p>
            <w:pPr>
              <w:jc w:val="right"/>
              <w:spacing w:after="0"/>
              <w:rPr>
                <w:sz w:val="20"/>
                <w:szCs w:val="20"/>
                <w:color w:val="auto"/>
              </w:rPr>
            </w:pPr>
            <w:r>
              <w:rPr>
                <w:rFonts w:ascii="Arial" w:cs="Arial" w:eastAsia="Arial" w:hAnsi="Arial"/>
                <w:sz w:val="10"/>
                <w:szCs w:val="10"/>
                <w:color w:val="691A6B"/>
              </w:rPr>
              <w:t>96</w:t>
            </w: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65</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27</w:t>
            </w:r>
          </w:p>
        </w:tc>
      </w:tr>
      <w:tr>
        <w:trPr>
          <w:trHeight w:val="152"/>
        </w:trPr>
        <w:tc>
          <w:tcPr>
            <w:tcW w:w="2300" w:type="dxa"/>
            <w:vAlign w:val="bottom"/>
          </w:tcPr>
          <w:p>
            <w:pPr>
              <w:ind w:left="20"/>
              <w:spacing w:after="0"/>
              <w:rPr>
                <w:sz w:val="20"/>
                <w:szCs w:val="20"/>
                <w:color w:val="auto"/>
              </w:rPr>
            </w:pPr>
            <w:r>
              <w:rPr>
                <w:rFonts w:ascii="Arial" w:cs="Arial" w:eastAsia="Arial" w:hAnsi="Arial"/>
                <w:sz w:val="10"/>
                <w:szCs w:val="10"/>
                <w:color w:val="auto"/>
              </w:rPr>
              <w:t>Interest receivables</w:t>
            </w:r>
          </w:p>
        </w:tc>
        <w:tc>
          <w:tcPr>
            <w:tcW w:w="840" w:type="dxa"/>
            <w:vAlign w:val="bottom"/>
          </w:tcPr>
          <w:p>
            <w:pPr>
              <w:jc w:val="right"/>
              <w:spacing w:after="0"/>
              <w:rPr>
                <w:sz w:val="20"/>
                <w:szCs w:val="20"/>
                <w:color w:val="auto"/>
              </w:rPr>
            </w:pPr>
            <w:r>
              <w:rPr>
                <w:rFonts w:ascii="Arial" w:cs="Arial" w:eastAsia="Arial" w:hAnsi="Arial"/>
                <w:sz w:val="10"/>
                <w:szCs w:val="10"/>
                <w:color w:val="691A6B"/>
              </w:rPr>
              <w:t>4</w:t>
            </w: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19</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22</w:t>
            </w:r>
          </w:p>
        </w:tc>
      </w:tr>
      <w:tr>
        <w:trPr>
          <w:trHeight w:val="152"/>
        </w:trPr>
        <w:tc>
          <w:tcPr>
            <w:tcW w:w="2300" w:type="dxa"/>
            <w:vAlign w:val="bottom"/>
          </w:tcPr>
          <w:p>
            <w:pPr>
              <w:ind w:left="20"/>
              <w:spacing w:after="0"/>
              <w:rPr>
                <w:sz w:val="20"/>
                <w:szCs w:val="20"/>
                <w:color w:val="auto"/>
              </w:rPr>
            </w:pPr>
            <w:r>
              <w:rPr>
                <w:rFonts w:ascii="Arial" w:cs="Arial" w:eastAsia="Arial" w:hAnsi="Arial"/>
                <w:sz w:val="10"/>
                <w:szCs w:val="10"/>
                <w:color w:val="auto"/>
              </w:rPr>
              <w:t>Other receivables</w:t>
            </w:r>
          </w:p>
        </w:tc>
        <w:tc>
          <w:tcPr>
            <w:tcW w:w="840" w:type="dxa"/>
            <w:vAlign w:val="bottom"/>
          </w:tcPr>
          <w:p>
            <w:pPr>
              <w:jc w:val="right"/>
              <w:spacing w:after="0"/>
              <w:rPr>
                <w:sz w:val="20"/>
                <w:szCs w:val="20"/>
                <w:color w:val="auto"/>
              </w:rPr>
            </w:pPr>
            <w:r>
              <w:rPr>
                <w:rFonts w:ascii="Arial" w:cs="Arial" w:eastAsia="Arial" w:hAnsi="Arial"/>
                <w:sz w:val="10"/>
                <w:szCs w:val="10"/>
                <w:color w:val="691A6B"/>
              </w:rPr>
              <w:t>62</w:t>
            </w: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49</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43</w:t>
            </w:r>
          </w:p>
        </w:tc>
      </w:tr>
      <w:tr>
        <w:trPr>
          <w:trHeight w:val="158"/>
        </w:trPr>
        <w:tc>
          <w:tcPr>
            <w:tcW w:w="230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691A6B"/>
              </w:rPr>
              <w:t>1,134</w:t>
            </w:r>
          </w:p>
        </w:tc>
        <w:tc>
          <w:tcPr>
            <w:tcW w:w="860" w:type="dxa"/>
            <w:vAlign w:val="bottom"/>
          </w:tcPr>
          <w:p>
            <w:pPr>
              <w:jc w:val="right"/>
              <w:ind w:right="9"/>
              <w:spacing w:after="0"/>
              <w:rPr>
                <w:sz w:val="20"/>
                <w:szCs w:val="20"/>
                <w:color w:val="auto"/>
              </w:rPr>
            </w:pPr>
            <w:r>
              <w:rPr>
                <w:rFonts w:ascii="Arial" w:cs="Arial" w:eastAsia="Arial" w:hAnsi="Arial"/>
                <w:sz w:val="10"/>
                <w:szCs w:val="10"/>
                <w:b w:val="1"/>
                <w:bCs w:val="1"/>
                <w:color w:val="auto"/>
              </w:rPr>
              <w:t>930</w:t>
            </w:r>
          </w:p>
        </w:tc>
        <w:tc>
          <w:tcPr>
            <w:tcW w:w="880" w:type="dxa"/>
            <w:vAlign w:val="bottom"/>
          </w:tcPr>
          <w:p>
            <w:pPr>
              <w:jc w:val="right"/>
              <w:ind w:right="29"/>
              <w:spacing w:after="0"/>
              <w:rPr>
                <w:sz w:val="20"/>
                <w:szCs w:val="20"/>
                <w:color w:val="auto"/>
              </w:rPr>
            </w:pPr>
            <w:r>
              <w:rPr>
                <w:rFonts w:ascii="Arial" w:cs="Arial" w:eastAsia="Arial" w:hAnsi="Arial"/>
                <w:sz w:val="10"/>
                <w:szCs w:val="10"/>
                <w:b w:val="1"/>
                <w:bCs w:val="1"/>
                <w:color w:val="auto"/>
              </w:rPr>
              <w:t>743</w:t>
            </w:r>
          </w:p>
        </w:tc>
      </w:tr>
      <w:tr>
        <w:trPr>
          <w:trHeight w:val="146"/>
        </w:trPr>
        <w:tc>
          <w:tcPr>
            <w:tcW w:w="2300" w:type="dxa"/>
            <w:vAlign w:val="bottom"/>
          </w:tcPr>
          <w:p>
            <w:pPr>
              <w:ind w:left="20"/>
              <w:spacing w:after="0"/>
              <w:rPr>
                <w:sz w:val="20"/>
                <w:szCs w:val="20"/>
                <w:color w:val="auto"/>
              </w:rPr>
            </w:pPr>
            <w:r>
              <w:rPr>
                <w:rFonts w:ascii="Arial" w:cs="Arial" w:eastAsia="Arial" w:hAnsi="Arial"/>
                <w:sz w:val="10"/>
                <w:szCs w:val="10"/>
                <w:color w:val="auto"/>
              </w:rPr>
              <w:t>Non-current receivables</w:t>
            </w:r>
          </w:p>
        </w:tc>
        <w:tc>
          <w:tcPr>
            <w:tcW w:w="840" w:type="dxa"/>
            <w:vAlign w:val="bottom"/>
          </w:tcPr>
          <w:p>
            <w:pPr>
              <w:jc w:val="right"/>
              <w:spacing w:after="0"/>
              <w:rPr>
                <w:sz w:val="20"/>
                <w:szCs w:val="20"/>
                <w:color w:val="auto"/>
              </w:rPr>
            </w:pPr>
            <w:r>
              <w:rPr>
                <w:rFonts w:ascii="Arial" w:cs="Arial" w:eastAsia="Arial" w:hAnsi="Arial"/>
                <w:sz w:val="10"/>
                <w:szCs w:val="10"/>
                <w:color w:val="691A6B"/>
              </w:rPr>
              <w:t>22</w:t>
            </w: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7</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10</w:t>
            </w:r>
          </w:p>
        </w:tc>
      </w:tr>
      <w:tr>
        <w:trPr>
          <w:trHeight w:val="152"/>
        </w:trPr>
        <w:tc>
          <w:tcPr>
            <w:tcW w:w="2300" w:type="dxa"/>
            <w:vAlign w:val="bottom"/>
          </w:tcPr>
          <w:p>
            <w:pPr>
              <w:ind w:left="20"/>
              <w:spacing w:after="0"/>
              <w:rPr>
                <w:sz w:val="20"/>
                <w:szCs w:val="20"/>
                <w:color w:val="auto"/>
              </w:rPr>
            </w:pPr>
            <w:r>
              <w:rPr>
                <w:rFonts w:ascii="Arial" w:cs="Arial" w:eastAsia="Arial" w:hAnsi="Arial"/>
                <w:sz w:val="10"/>
                <w:szCs w:val="10"/>
                <w:color w:val="auto"/>
              </w:rPr>
              <w:t>Current receivables</w:t>
            </w:r>
          </w:p>
        </w:tc>
        <w:tc>
          <w:tcPr>
            <w:tcW w:w="840" w:type="dxa"/>
            <w:vAlign w:val="bottom"/>
          </w:tcPr>
          <w:p>
            <w:pPr>
              <w:jc w:val="right"/>
              <w:spacing w:after="0"/>
              <w:rPr>
                <w:sz w:val="20"/>
                <w:szCs w:val="20"/>
                <w:color w:val="auto"/>
              </w:rPr>
            </w:pPr>
            <w:r>
              <w:rPr>
                <w:rFonts w:ascii="Arial" w:cs="Arial" w:eastAsia="Arial" w:hAnsi="Arial"/>
                <w:sz w:val="10"/>
                <w:szCs w:val="10"/>
                <w:color w:val="691A6B"/>
              </w:rPr>
              <w:t>1,112</w:t>
            </w: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923</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733</w:t>
            </w:r>
          </w:p>
        </w:tc>
      </w:tr>
      <w:tr>
        <w:trPr>
          <w:trHeight w:val="158"/>
        </w:trPr>
        <w:tc>
          <w:tcPr>
            <w:tcW w:w="230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691A6B"/>
              </w:rPr>
              <w:t>1,134</w:t>
            </w:r>
          </w:p>
        </w:tc>
        <w:tc>
          <w:tcPr>
            <w:tcW w:w="860" w:type="dxa"/>
            <w:vAlign w:val="bottom"/>
          </w:tcPr>
          <w:p>
            <w:pPr>
              <w:jc w:val="right"/>
              <w:ind w:right="9"/>
              <w:spacing w:after="0"/>
              <w:rPr>
                <w:sz w:val="20"/>
                <w:szCs w:val="20"/>
                <w:color w:val="auto"/>
              </w:rPr>
            </w:pPr>
            <w:r>
              <w:rPr>
                <w:rFonts w:ascii="Arial" w:cs="Arial" w:eastAsia="Arial" w:hAnsi="Arial"/>
                <w:sz w:val="10"/>
                <w:szCs w:val="10"/>
                <w:b w:val="1"/>
                <w:bCs w:val="1"/>
                <w:color w:val="auto"/>
              </w:rPr>
              <w:t>930</w:t>
            </w:r>
          </w:p>
        </w:tc>
        <w:tc>
          <w:tcPr>
            <w:tcW w:w="880" w:type="dxa"/>
            <w:vAlign w:val="bottom"/>
          </w:tcPr>
          <w:p>
            <w:pPr>
              <w:jc w:val="right"/>
              <w:ind w:right="29"/>
              <w:spacing w:after="0"/>
              <w:rPr>
                <w:sz w:val="20"/>
                <w:szCs w:val="20"/>
                <w:color w:val="auto"/>
              </w:rPr>
            </w:pPr>
            <w:r>
              <w:rPr>
                <w:rFonts w:ascii="Arial" w:cs="Arial" w:eastAsia="Arial" w:hAnsi="Arial"/>
                <w:sz w:val="10"/>
                <w:szCs w:val="10"/>
                <w:b w:val="1"/>
                <w:bCs w:val="1"/>
                <w:color w:val="auto"/>
              </w:rPr>
              <w:t>743</w:t>
            </w:r>
          </w:p>
        </w:tc>
      </w:tr>
    </w:tbl>
    <w:p>
      <w:pPr>
        <w:ind w:right="2480"/>
        <w:spacing w:after="0" w:line="202" w:lineRule="auto"/>
        <w:rPr>
          <w:sz w:val="20"/>
          <w:szCs w:val="20"/>
          <w:color w:val="auto"/>
        </w:rPr>
      </w:pPr>
      <w:r>
        <w:rPr>
          <w:rFonts w:ascii="Arial" w:cs="Arial" w:eastAsia="Arial" w:hAnsi="Arial"/>
          <w:sz w:val="10"/>
          <w:szCs w:val="10"/>
          <w:color w:val="auto"/>
        </w:rPr>
        <w:t>During 2025 and 2024, there were immaterial and no losses, respectively, related to receivables and the credit risk on receivables is considered to be limited. The provision for expected credit losses was zero given that there have been no credit losses over the last three years and the limited credit risk due to high-quality nature with high credit ratings (top tier life science companies and major distributors) of Genmab’s customers are not likely to result in future default risk.</w:t>
      </w:r>
    </w:p>
    <w:p>
      <w:pPr>
        <w:spacing w:after="0" w:line="2" w:lineRule="exact"/>
        <w:rPr>
          <w:rFonts w:ascii="Arial" w:cs="Arial" w:eastAsia="Arial" w:hAnsi="Arial"/>
          <w:sz w:val="10"/>
          <w:szCs w:val="10"/>
          <w:color w:val="auto"/>
        </w:rPr>
      </w:pPr>
    </w:p>
    <w:p>
      <w:pPr>
        <w:jc w:val="both"/>
        <w:ind w:right="2520"/>
        <w:spacing w:after="0" w:line="198" w:lineRule="auto"/>
        <w:rPr>
          <w:sz w:val="20"/>
          <w:szCs w:val="20"/>
          <w:color w:val="auto"/>
        </w:rPr>
      </w:pPr>
      <w:r>
        <w:rPr>
          <w:rFonts w:ascii="Arial" w:cs="Arial" w:eastAsia="Arial" w:hAnsi="Arial"/>
          <w:sz w:val="10"/>
          <w:szCs w:val="10"/>
          <w:color w:val="auto"/>
        </w:rPr>
        <w:t>The receivables are mainly comprised of royalties, trade receivables, milestones and amounts due under collaboration agreements and are non-interest bearing receivables which are due less than one year from the balance sheet date.</w:t>
      </w:r>
    </w:p>
    <w:p>
      <w:pPr>
        <w:spacing w:after="0" w:line="226" w:lineRule="auto"/>
        <w:rPr>
          <w:rFonts w:ascii="Arial" w:cs="Arial" w:eastAsia="Arial" w:hAnsi="Arial"/>
          <w:sz w:val="10"/>
          <w:szCs w:val="10"/>
          <w:color w:val="691A6B"/>
        </w:rPr>
      </w:pPr>
      <w:hyperlink w:anchor="page147">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4.2 </w:t>
      </w:r>
      <w:hyperlink w:anchor="page147">
        <w:r>
          <w:rPr>
            <w:rFonts w:ascii="Arial" w:cs="Arial" w:eastAsia="Arial" w:hAnsi="Arial"/>
            <w:sz w:val="10"/>
            <w:szCs w:val="10"/>
            <w:color w:val="691A6B"/>
          </w:rPr>
          <w:t>for additional information about interest receivables and related credit risk.</w:t>
        </w:r>
      </w:hyperlink>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6" w:lineRule="exact"/>
        <w:rPr>
          <w:sz w:val="20"/>
          <w:szCs w:val="20"/>
          <w:color w:val="auto"/>
        </w:rPr>
      </w:pPr>
    </w:p>
    <w:p>
      <w:pPr>
        <w:jc w:val="both"/>
        <w:ind w:right="2740"/>
        <w:spacing w:after="0" w:line="205" w:lineRule="auto"/>
        <w:rPr>
          <w:sz w:val="20"/>
          <w:szCs w:val="20"/>
          <w:color w:val="auto"/>
        </w:rPr>
      </w:pPr>
      <w:r>
        <w:rPr>
          <w:rFonts w:ascii="Arial" w:cs="Arial" w:eastAsia="Arial" w:hAnsi="Arial"/>
          <w:sz w:val="10"/>
          <w:szCs w:val="10"/>
          <w:color w:val="auto"/>
        </w:rPr>
        <w:t>Initially, trade receivables are designated as financial assets measured at transaction price and other receivables are measured at fair value. Subsequently receivables are measured in the balance sheet at amortized cost, which generally corresponds to nominal value less expected credit losses.</w:t>
      </w:r>
    </w:p>
    <w:p>
      <w:pPr>
        <w:spacing w:after="0" w:line="1" w:lineRule="exact"/>
        <w:rPr>
          <w:sz w:val="20"/>
          <w:szCs w:val="20"/>
          <w:color w:val="auto"/>
        </w:rPr>
      </w:pPr>
    </w:p>
    <w:p>
      <w:pPr>
        <w:jc w:val="both"/>
        <w:ind w:right="2540"/>
        <w:spacing w:after="0" w:line="198" w:lineRule="auto"/>
        <w:rPr>
          <w:sz w:val="20"/>
          <w:szCs w:val="20"/>
          <w:color w:val="auto"/>
        </w:rPr>
      </w:pPr>
      <w:r>
        <w:rPr>
          <w:rFonts w:ascii="Arial" w:cs="Arial" w:eastAsia="Arial" w:hAnsi="Arial"/>
          <w:sz w:val="10"/>
          <w:szCs w:val="10"/>
          <w:color w:val="auto"/>
        </w:rPr>
        <w:t>Accounts receivable arising from product sales consists of amounts due from customers, net of customer allowances for chargebacks, cash and other discounts and estimated credit losses. Genmab’s contracts with customers have initial payment terms that range from 30 to 180 days.</w:t>
      </w:r>
    </w:p>
    <w:p>
      <w:pPr>
        <w:spacing w:after="0" w:line="1" w:lineRule="exact"/>
        <w:rPr>
          <w:sz w:val="20"/>
          <w:szCs w:val="20"/>
          <w:color w:val="auto"/>
        </w:rPr>
      </w:pPr>
    </w:p>
    <w:p>
      <w:pPr>
        <w:ind w:right="2580"/>
        <w:spacing w:after="0"/>
        <w:rPr>
          <w:sz w:val="20"/>
          <w:szCs w:val="20"/>
          <w:color w:val="auto"/>
        </w:rPr>
      </w:pPr>
      <w:r>
        <w:rPr>
          <w:rFonts w:ascii="Arial" w:cs="Arial" w:eastAsia="Arial" w:hAnsi="Arial"/>
          <w:sz w:val="10"/>
          <w:szCs w:val="10"/>
          <w:color w:val="auto"/>
        </w:rPr>
        <w:t>Management measures allowance for doubtful trade receivables based on the simplified approach to provide for expected credit losses, which requires the use of the lifetime expected loss provision for all trade receivables. The allowance is an estimate based on shared credit risk characteristics and the days past due.</w:t>
      </w:r>
    </w:p>
    <w:p>
      <w:pPr>
        <w:spacing w:after="0" w:line="36" w:lineRule="exact"/>
        <w:rPr>
          <w:sz w:val="20"/>
          <w:szCs w:val="20"/>
          <w:color w:val="auto"/>
        </w:rPr>
      </w:pPr>
    </w:p>
    <w:p>
      <w:pPr>
        <w:ind w:right="2500"/>
        <w:spacing w:after="0" w:line="201" w:lineRule="auto"/>
        <w:rPr>
          <w:sz w:val="20"/>
          <w:szCs w:val="20"/>
          <w:color w:val="auto"/>
        </w:rPr>
      </w:pPr>
      <w:r>
        <w:rPr>
          <w:rFonts w:ascii="Arial" w:cs="Arial" w:eastAsia="Arial" w:hAnsi="Arial"/>
          <w:sz w:val="10"/>
          <w:szCs w:val="10"/>
          <w:color w:val="auto"/>
        </w:rPr>
        <w:t>Loss allowance is calculated using historical analysis of customer payments, past due customer invoice activity, Dun &amp; Bradstreet credit risk management reports, and specific customer knowledge. Prepayments include expenditures related to a future financial period. Prepayments are measured at cost.</w:t>
      </w:r>
    </w:p>
    <w:p>
      <w:pPr>
        <w:spacing w:after="0" w:line="219" w:lineRule="auto"/>
        <w:rPr>
          <w:sz w:val="20"/>
          <w:szCs w:val="20"/>
          <w:color w:val="auto"/>
        </w:rPr>
      </w:pPr>
      <w:r>
        <w:rPr>
          <w:rFonts w:ascii="Arial" w:cs="Arial" w:eastAsia="Arial" w:hAnsi="Arial"/>
          <w:sz w:val="15"/>
          <w:szCs w:val="15"/>
          <w:b w:val="1"/>
          <w:bCs w:val="1"/>
          <w:color w:val="691A6B"/>
        </w:rPr>
        <w:t>3.7 - Contract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900" w:type="dxa"/>
            <w:vAlign w:val="bottom"/>
            <w:tcBorders>
              <w:top w:val="single" w:sz="8" w:color="691A6B"/>
            </w:tcBorders>
          </w:tcPr>
          <w:p>
            <w:pPr>
              <w:spacing w:after="0"/>
              <w:rPr>
                <w:sz w:val="11"/>
                <w:szCs w:val="11"/>
                <w:color w:val="auto"/>
              </w:rPr>
            </w:pPr>
          </w:p>
        </w:tc>
        <w:tc>
          <w:tcPr>
            <w:tcW w:w="840" w:type="dxa"/>
            <w:vAlign w:val="bottom"/>
            <w:tcBorders>
              <w:top w:val="single" w:sz="8" w:color="691A6B"/>
            </w:tcBorders>
          </w:tcPr>
          <w:p>
            <w:pPr>
              <w:ind w:left="200"/>
              <w:spacing w:after="0"/>
              <w:rPr>
                <w:sz w:val="20"/>
                <w:szCs w:val="20"/>
                <w:color w:val="auto"/>
              </w:rPr>
            </w:pPr>
            <w:r>
              <w:rPr>
                <w:rFonts w:ascii="Arial" w:cs="Arial" w:eastAsia="Arial" w:hAnsi="Arial"/>
                <w:sz w:val="10"/>
                <w:szCs w:val="10"/>
                <w:b w:val="1"/>
                <w:bCs w:val="1"/>
                <w:color w:val="691A6B"/>
                <w:w w:val="95"/>
              </w:rPr>
              <w:t>December 31,</w:t>
            </w:r>
          </w:p>
        </w:tc>
        <w:tc>
          <w:tcPr>
            <w:tcW w:w="240" w:type="dxa"/>
            <w:vAlign w:val="bottom"/>
            <w:tcBorders>
              <w:top w:val="single" w:sz="8" w:color="691A6B"/>
            </w:tcBorders>
          </w:tcPr>
          <w:p>
            <w:pPr>
              <w:spacing w:after="0"/>
              <w:rPr>
                <w:sz w:val="11"/>
                <w:szCs w:val="11"/>
                <w:color w:val="auto"/>
              </w:rPr>
            </w:pPr>
          </w:p>
        </w:tc>
        <w:tc>
          <w:tcPr>
            <w:tcW w:w="92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December 31,</w:t>
            </w:r>
          </w:p>
        </w:tc>
        <w:tc>
          <w:tcPr>
            <w:tcW w:w="980" w:type="dxa"/>
            <w:vAlign w:val="bottom"/>
            <w:tcBorders>
              <w:top w:val="single" w:sz="8" w:color="691A6B"/>
            </w:tcBorders>
          </w:tcPr>
          <w:p>
            <w:pPr>
              <w:ind w:left="60"/>
              <w:spacing w:after="0"/>
              <w:rPr>
                <w:sz w:val="20"/>
                <w:szCs w:val="20"/>
                <w:color w:val="auto"/>
              </w:rPr>
            </w:pPr>
            <w:r>
              <w:rPr>
                <w:rFonts w:ascii="Arial" w:cs="Arial" w:eastAsia="Arial" w:hAnsi="Arial"/>
                <w:sz w:val="10"/>
                <w:szCs w:val="10"/>
                <w:b w:val="1"/>
                <w:bCs w:val="1"/>
                <w:color w:val="auto"/>
              </w:rPr>
              <w:t>January 1,</w:t>
            </w:r>
          </w:p>
        </w:tc>
      </w:tr>
      <w:tr>
        <w:trPr>
          <w:trHeight w:val="133"/>
        </w:trPr>
        <w:tc>
          <w:tcPr>
            <w:tcW w:w="1900" w:type="dxa"/>
            <w:vAlign w:val="bottom"/>
          </w:tcPr>
          <w:p>
            <w:pPr>
              <w:spacing w:after="0"/>
              <w:rPr>
                <w:sz w:val="11"/>
                <w:szCs w:val="11"/>
                <w:color w:val="auto"/>
              </w:rPr>
            </w:pPr>
          </w:p>
        </w:tc>
        <w:tc>
          <w:tcPr>
            <w:tcW w:w="840" w:type="dxa"/>
            <w:vAlign w:val="bottom"/>
          </w:tcPr>
          <w:p>
            <w:pPr>
              <w:ind w:left="200"/>
              <w:spacing w:after="0"/>
              <w:rPr>
                <w:sz w:val="20"/>
                <w:szCs w:val="20"/>
                <w:color w:val="auto"/>
              </w:rPr>
            </w:pPr>
            <w:r>
              <w:rPr>
                <w:rFonts w:ascii="Arial" w:cs="Arial" w:eastAsia="Arial" w:hAnsi="Arial"/>
                <w:sz w:val="10"/>
                <w:szCs w:val="10"/>
                <w:b w:val="1"/>
                <w:bCs w:val="1"/>
                <w:color w:val="691A6B"/>
              </w:rPr>
              <w:t>2025</w:t>
            </w:r>
          </w:p>
        </w:tc>
        <w:tc>
          <w:tcPr>
            <w:tcW w:w="24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Arial" w:cs="Arial" w:eastAsia="Arial" w:hAnsi="Arial"/>
                <w:sz w:val="10"/>
                <w:szCs w:val="10"/>
                <w:b w:val="1"/>
                <w:bCs w:val="1"/>
                <w:color w:val="auto"/>
              </w:rPr>
              <w:t>2024</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2024</w:t>
            </w:r>
          </w:p>
        </w:tc>
      </w:tr>
      <w:tr>
        <w:trPr>
          <w:trHeight w:val="141"/>
        </w:trPr>
        <w:tc>
          <w:tcPr>
            <w:tcW w:w="1900" w:type="dxa"/>
            <w:vAlign w:val="bottom"/>
          </w:tcPr>
          <w:p>
            <w:pPr>
              <w:ind w:left="20"/>
              <w:spacing w:after="0"/>
              <w:rPr>
                <w:sz w:val="20"/>
                <w:szCs w:val="20"/>
                <w:color w:val="auto"/>
              </w:rPr>
            </w:pPr>
            <w:r>
              <w:rPr>
                <w:rFonts w:ascii="Arial" w:cs="Arial" w:eastAsia="Arial" w:hAnsi="Arial"/>
                <w:sz w:val="10"/>
                <w:szCs w:val="10"/>
                <w:color w:val="auto"/>
              </w:rPr>
              <w:t>Contract liabilities at January 1</w:t>
            </w:r>
          </w:p>
        </w:tc>
        <w:tc>
          <w:tcPr>
            <w:tcW w:w="840" w:type="dxa"/>
            <w:vAlign w:val="bottom"/>
          </w:tcPr>
          <w:p>
            <w:pPr>
              <w:ind w:left="200"/>
              <w:spacing w:after="0"/>
              <w:rPr>
                <w:sz w:val="20"/>
                <w:szCs w:val="20"/>
                <w:color w:val="auto"/>
              </w:rPr>
            </w:pPr>
            <w:r>
              <w:rPr>
                <w:rFonts w:ascii="Arial" w:cs="Arial" w:eastAsia="Arial" w:hAnsi="Arial"/>
                <w:sz w:val="10"/>
                <w:szCs w:val="10"/>
                <w:color w:val="auto"/>
              </w:rPr>
              <w:t>70</w:t>
            </w:r>
          </w:p>
        </w:tc>
        <w:tc>
          <w:tcPr>
            <w:tcW w:w="240" w:type="dxa"/>
            <w:vAlign w:val="bottom"/>
          </w:tcPr>
          <w:p>
            <w:pPr>
              <w:spacing w:after="0"/>
              <w:rPr>
                <w:sz w:val="12"/>
                <w:szCs w:val="12"/>
                <w:color w:val="auto"/>
              </w:rPr>
            </w:pPr>
          </w:p>
        </w:tc>
        <w:tc>
          <w:tcPr>
            <w:tcW w:w="920" w:type="dxa"/>
            <w:vAlign w:val="bottom"/>
          </w:tcPr>
          <w:p>
            <w:pPr>
              <w:ind w:left="40"/>
              <w:spacing w:after="0"/>
              <w:rPr>
                <w:sz w:val="20"/>
                <w:szCs w:val="20"/>
                <w:color w:val="auto"/>
              </w:rPr>
            </w:pPr>
            <w:r>
              <w:rPr>
                <w:rFonts w:ascii="Arial" w:cs="Arial" w:eastAsia="Arial" w:hAnsi="Arial"/>
                <w:sz w:val="10"/>
                <w:szCs w:val="10"/>
                <w:color w:val="auto"/>
              </w:rPr>
              <w:t>76</w:t>
            </w:r>
          </w:p>
        </w:tc>
        <w:tc>
          <w:tcPr>
            <w:tcW w:w="980" w:type="dxa"/>
            <w:vAlign w:val="bottom"/>
          </w:tcPr>
          <w:p>
            <w:pPr>
              <w:ind w:left="60"/>
              <w:spacing w:after="0"/>
              <w:rPr>
                <w:sz w:val="20"/>
                <w:szCs w:val="20"/>
                <w:color w:val="auto"/>
              </w:rPr>
            </w:pPr>
            <w:r>
              <w:rPr>
                <w:rFonts w:ascii="Arial" w:cs="Arial" w:eastAsia="Arial" w:hAnsi="Arial"/>
                <w:sz w:val="10"/>
                <w:szCs w:val="10"/>
                <w:color w:val="auto"/>
              </w:rPr>
              <w:t>74</w:t>
            </w:r>
          </w:p>
        </w:tc>
      </w:tr>
      <w:tr>
        <w:trPr>
          <w:trHeight w:val="152"/>
        </w:trPr>
        <w:tc>
          <w:tcPr>
            <w:tcW w:w="1900" w:type="dxa"/>
            <w:vAlign w:val="bottom"/>
          </w:tcPr>
          <w:p>
            <w:pPr>
              <w:ind w:left="20"/>
              <w:spacing w:after="0"/>
              <w:rPr>
                <w:sz w:val="20"/>
                <w:szCs w:val="20"/>
                <w:color w:val="auto"/>
              </w:rPr>
            </w:pPr>
            <w:r>
              <w:rPr>
                <w:rFonts w:ascii="Arial" w:cs="Arial" w:eastAsia="Arial" w:hAnsi="Arial"/>
                <w:sz w:val="10"/>
                <w:szCs w:val="10"/>
                <w:color w:val="auto"/>
              </w:rPr>
              <w:t>Consideration received</w:t>
            </w:r>
          </w:p>
        </w:tc>
        <w:tc>
          <w:tcPr>
            <w:tcW w:w="840" w:type="dxa"/>
            <w:vAlign w:val="bottom"/>
          </w:tcPr>
          <w:p>
            <w:pPr>
              <w:ind w:left="200"/>
              <w:spacing w:after="0"/>
              <w:rPr>
                <w:sz w:val="20"/>
                <w:szCs w:val="20"/>
                <w:color w:val="auto"/>
              </w:rPr>
            </w:pPr>
            <w:r>
              <w:rPr>
                <w:rFonts w:ascii="Arial" w:cs="Arial" w:eastAsia="Arial" w:hAnsi="Arial"/>
                <w:sz w:val="10"/>
                <w:szCs w:val="10"/>
                <w:color w:val="auto"/>
              </w:rPr>
              <w:t>14</w:t>
            </w:r>
          </w:p>
        </w:tc>
        <w:tc>
          <w:tcPr>
            <w:tcW w:w="24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0"/>
                <w:szCs w:val="10"/>
                <w:color w:val="auto"/>
              </w:rPr>
              <w:t>—</w:t>
            </w:r>
          </w:p>
        </w:tc>
        <w:tc>
          <w:tcPr>
            <w:tcW w:w="980" w:type="dxa"/>
            <w:vAlign w:val="bottom"/>
          </w:tcPr>
          <w:p>
            <w:pPr>
              <w:ind w:left="60"/>
              <w:spacing w:after="0"/>
              <w:rPr>
                <w:sz w:val="20"/>
                <w:szCs w:val="20"/>
                <w:color w:val="auto"/>
              </w:rPr>
            </w:pPr>
            <w:r>
              <w:rPr>
                <w:rFonts w:ascii="Arial" w:cs="Arial" w:eastAsia="Arial" w:hAnsi="Arial"/>
                <w:sz w:val="10"/>
                <w:szCs w:val="10"/>
                <w:color w:val="auto"/>
              </w:rPr>
              <w:t>—</w:t>
            </w:r>
          </w:p>
        </w:tc>
      </w:tr>
      <w:tr>
        <w:trPr>
          <w:trHeight w:val="152"/>
        </w:trPr>
        <w:tc>
          <w:tcPr>
            <w:tcW w:w="1900" w:type="dxa"/>
            <w:vAlign w:val="bottom"/>
          </w:tcPr>
          <w:p>
            <w:pPr>
              <w:ind w:left="20"/>
              <w:spacing w:after="0"/>
              <w:rPr>
                <w:sz w:val="20"/>
                <w:szCs w:val="20"/>
                <w:color w:val="auto"/>
              </w:rPr>
            </w:pPr>
            <w:r>
              <w:rPr>
                <w:rFonts w:ascii="Arial" w:cs="Arial" w:eastAsia="Arial" w:hAnsi="Arial"/>
                <w:sz w:val="10"/>
                <w:szCs w:val="10"/>
                <w:color w:val="auto"/>
              </w:rPr>
              <w:t>Additions from asset acquisition</w:t>
            </w:r>
          </w:p>
        </w:tc>
        <w:tc>
          <w:tcPr>
            <w:tcW w:w="840" w:type="dxa"/>
            <w:vAlign w:val="bottom"/>
          </w:tcPr>
          <w:p>
            <w:pPr>
              <w:ind w:left="200"/>
              <w:spacing w:after="0"/>
              <w:rPr>
                <w:sz w:val="20"/>
                <w:szCs w:val="20"/>
                <w:color w:val="auto"/>
              </w:rPr>
            </w:pPr>
            <w:r>
              <w:rPr>
                <w:rFonts w:ascii="Arial" w:cs="Arial" w:eastAsia="Arial" w:hAnsi="Arial"/>
                <w:sz w:val="10"/>
                <w:szCs w:val="10"/>
                <w:color w:val="auto"/>
              </w:rPr>
              <w:t>51</w:t>
            </w:r>
          </w:p>
        </w:tc>
        <w:tc>
          <w:tcPr>
            <w:tcW w:w="24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0"/>
                <w:szCs w:val="10"/>
                <w:color w:val="auto"/>
              </w:rPr>
              <w:t>—</w:t>
            </w:r>
          </w:p>
        </w:tc>
        <w:tc>
          <w:tcPr>
            <w:tcW w:w="980" w:type="dxa"/>
            <w:vAlign w:val="bottom"/>
          </w:tcPr>
          <w:p>
            <w:pPr>
              <w:ind w:left="60"/>
              <w:spacing w:after="0"/>
              <w:rPr>
                <w:sz w:val="20"/>
                <w:szCs w:val="20"/>
                <w:color w:val="auto"/>
              </w:rPr>
            </w:pPr>
            <w:r>
              <w:rPr>
                <w:rFonts w:ascii="Arial" w:cs="Arial" w:eastAsia="Arial" w:hAnsi="Arial"/>
                <w:sz w:val="10"/>
                <w:szCs w:val="10"/>
                <w:color w:val="auto"/>
              </w:rPr>
              <w:t>—</w:t>
            </w:r>
          </w:p>
        </w:tc>
      </w:tr>
      <w:tr>
        <w:trPr>
          <w:trHeight w:val="152"/>
        </w:trPr>
        <w:tc>
          <w:tcPr>
            <w:tcW w:w="1900" w:type="dxa"/>
            <w:vAlign w:val="bottom"/>
          </w:tcPr>
          <w:p>
            <w:pPr>
              <w:ind w:left="20"/>
              <w:spacing w:after="0"/>
              <w:rPr>
                <w:sz w:val="20"/>
                <w:szCs w:val="20"/>
                <w:color w:val="auto"/>
              </w:rPr>
            </w:pPr>
            <w:r>
              <w:rPr>
                <w:rFonts w:ascii="Arial" w:cs="Arial" w:eastAsia="Arial" w:hAnsi="Arial"/>
                <w:sz w:val="10"/>
                <w:szCs w:val="10"/>
                <w:color w:val="auto"/>
              </w:rPr>
              <w:t>Revenue recognized during the year</w:t>
            </w:r>
          </w:p>
        </w:tc>
        <w:tc>
          <w:tcPr>
            <w:tcW w:w="840" w:type="dxa"/>
            <w:vAlign w:val="bottom"/>
          </w:tcPr>
          <w:p>
            <w:pPr>
              <w:ind w:left="200"/>
              <w:spacing w:after="0"/>
              <w:rPr>
                <w:sz w:val="20"/>
                <w:szCs w:val="20"/>
                <w:color w:val="auto"/>
              </w:rPr>
            </w:pPr>
            <w:r>
              <w:rPr>
                <w:rFonts w:ascii="Arial" w:cs="Arial" w:eastAsia="Arial" w:hAnsi="Arial"/>
                <w:sz w:val="10"/>
                <w:szCs w:val="10"/>
                <w:color w:val="auto"/>
              </w:rPr>
              <w:t>(16)</w:t>
            </w:r>
          </w:p>
        </w:tc>
        <w:tc>
          <w:tcPr>
            <w:tcW w:w="24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0"/>
                <w:szCs w:val="10"/>
                <w:color w:val="auto"/>
              </w:rPr>
              <w:t>(1)</w:t>
            </w:r>
          </w:p>
        </w:tc>
        <w:tc>
          <w:tcPr>
            <w:tcW w:w="980" w:type="dxa"/>
            <w:vAlign w:val="bottom"/>
          </w:tcPr>
          <w:p>
            <w:pPr>
              <w:ind w:left="60"/>
              <w:spacing w:after="0"/>
              <w:rPr>
                <w:sz w:val="20"/>
                <w:szCs w:val="20"/>
                <w:color w:val="auto"/>
              </w:rPr>
            </w:pPr>
            <w:r>
              <w:rPr>
                <w:rFonts w:ascii="Arial" w:cs="Arial" w:eastAsia="Arial" w:hAnsi="Arial"/>
                <w:sz w:val="10"/>
                <w:szCs w:val="10"/>
                <w:color w:val="auto"/>
              </w:rPr>
              <w:t>—</w:t>
            </w:r>
          </w:p>
        </w:tc>
      </w:tr>
      <w:tr>
        <w:trPr>
          <w:trHeight w:val="152"/>
        </w:trPr>
        <w:tc>
          <w:tcPr>
            <w:tcW w:w="1900" w:type="dxa"/>
            <w:vAlign w:val="bottom"/>
          </w:tcPr>
          <w:p>
            <w:pPr>
              <w:ind w:left="20"/>
              <w:spacing w:after="0"/>
              <w:rPr>
                <w:sz w:val="20"/>
                <w:szCs w:val="20"/>
                <w:color w:val="auto"/>
              </w:rPr>
            </w:pPr>
            <w:r>
              <w:rPr>
                <w:rFonts w:ascii="Arial" w:cs="Arial" w:eastAsia="Arial" w:hAnsi="Arial"/>
                <w:sz w:val="10"/>
                <w:szCs w:val="10"/>
                <w:color w:val="auto"/>
              </w:rPr>
              <w:t>Exchange rate adjustment</w:t>
            </w:r>
          </w:p>
        </w:tc>
        <w:tc>
          <w:tcPr>
            <w:tcW w:w="840" w:type="dxa"/>
            <w:vAlign w:val="bottom"/>
          </w:tcPr>
          <w:p>
            <w:pPr>
              <w:ind w:left="2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0"/>
                <w:szCs w:val="10"/>
                <w:color w:val="auto"/>
              </w:rPr>
              <w:t>(5)</w:t>
            </w:r>
          </w:p>
        </w:tc>
        <w:tc>
          <w:tcPr>
            <w:tcW w:w="980" w:type="dxa"/>
            <w:vAlign w:val="bottom"/>
          </w:tcPr>
          <w:p>
            <w:pPr>
              <w:ind w:left="60"/>
              <w:spacing w:after="0"/>
              <w:rPr>
                <w:sz w:val="20"/>
                <w:szCs w:val="20"/>
                <w:color w:val="auto"/>
              </w:rPr>
            </w:pPr>
            <w:r>
              <w:rPr>
                <w:rFonts w:ascii="Arial" w:cs="Arial" w:eastAsia="Arial" w:hAnsi="Arial"/>
                <w:sz w:val="10"/>
                <w:szCs w:val="10"/>
                <w:color w:val="auto"/>
              </w:rPr>
              <w:t>2</w:t>
            </w:r>
          </w:p>
        </w:tc>
      </w:tr>
      <w:tr>
        <w:trPr>
          <w:trHeight w:val="158"/>
        </w:trPr>
        <w:tc>
          <w:tcPr>
            <w:tcW w:w="190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8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0"/>
                <w:szCs w:val="10"/>
                <w:b w:val="1"/>
                <w:bCs w:val="1"/>
                <w:color w:val="691A6B"/>
              </w:rPr>
              <w:t>119</w:t>
            </w:r>
          </w:p>
        </w:tc>
        <w:tc>
          <w:tcPr>
            <w:tcW w:w="920" w:type="dxa"/>
            <w:vAlign w:val="bottom"/>
          </w:tcPr>
          <w:p>
            <w:pPr>
              <w:ind w:left="760"/>
              <w:spacing w:after="0"/>
              <w:rPr>
                <w:sz w:val="20"/>
                <w:szCs w:val="20"/>
                <w:color w:val="auto"/>
              </w:rPr>
            </w:pPr>
            <w:r>
              <w:rPr>
                <w:rFonts w:ascii="Arial" w:cs="Arial" w:eastAsia="Arial" w:hAnsi="Arial"/>
                <w:sz w:val="10"/>
                <w:szCs w:val="10"/>
                <w:b w:val="1"/>
                <w:bCs w:val="1"/>
                <w:color w:val="auto"/>
              </w:rPr>
              <w:t>70</w:t>
            </w:r>
          </w:p>
        </w:tc>
        <w:tc>
          <w:tcPr>
            <w:tcW w:w="980" w:type="dxa"/>
            <w:vAlign w:val="bottom"/>
          </w:tcPr>
          <w:p>
            <w:pPr>
              <w:ind w:left="780"/>
              <w:spacing w:after="0"/>
              <w:rPr>
                <w:sz w:val="20"/>
                <w:szCs w:val="20"/>
                <w:color w:val="auto"/>
              </w:rPr>
            </w:pPr>
            <w:r>
              <w:rPr>
                <w:rFonts w:ascii="Arial" w:cs="Arial" w:eastAsia="Arial" w:hAnsi="Arial"/>
                <w:sz w:val="10"/>
                <w:szCs w:val="10"/>
                <w:b w:val="1"/>
                <w:bCs w:val="1"/>
                <w:color w:val="auto"/>
              </w:rPr>
              <w:t>76</w:t>
            </w:r>
          </w:p>
        </w:tc>
      </w:tr>
      <w:tr>
        <w:trPr>
          <w:trHeight w:val="146"/>
        </w:trPr>
        <w:tc>
          <w:tcPr>
            <w:tcW w:w="1900" w:type="dxa"/>
            <w:vAlign w:val="bottom"/>
          </w:tcPr>
          <w:p>
            <w:pPr>
              <w:ind w:left="20"/>
              <w:spacing w:after="0"/>
              <w:rPr>
                <w:sz w:val="20"/>
                <w:szCs w:val="20"/>
                <w:color w:val="auto"/>
              </w:rPr>
            </w:pPr>
            <w:r>
              <w:rPr>
                <w:rFonts w:ascii="Arial" w:cs="Arial" w:eastAsia="Arial" w:hAnsi="Arial"/>
                <w:sz w:val="10"/>
                <w:szCs w:val="10"/>
                <w:color w:val="auto"/>
              </w:rPr>
              <w:t>Non-current contract liabilities</w:t>
            </w:r>
          </w:p>
        </w:tc>
        <w:tc>
          <w:tcPr>
            <w:tcW w:w="840" w:type="dxa"/>
            <w:vAlign w:val="bottom"/>
          </w:tcPr>
          <w:p>
            <w:pPr>
              <w:ind w:left="200"/>
              <w:spacing w:after="0"/>
              <w:rPr>
                <w:sz w:val="20"/>
                <w:szCs w:val="20"/>
                <w:color w:val="auto"/>
              </w:rPr>
            </w:pPr>
            <w:r>
              <w:rPr>
                <w:rFonts w:ascii="Arial" w:cs="Arial" w:eastAsia="Arial" w:hAnsi="Arial"/>
                <w:sz w:val="10"/>
                <w:szCs w:val="10"/>
                <w:color w:val="auto"/>
              </w:rPr>
              <w:t>95</w:t>
            </w:r>
          </w:p>
        </w:tc>
        <w:tc>
          <w:tcPr>
            <w:tcW w:w="240" w:type="dxa"/>
            <w:vAlign w:val="bottom"/>
          </w:tcPr>
          <w:p>
            <w:pPr>
              <w:spacing w:after="0"/>
              <w:rPr>
                <w:sz w:val="12"/>
                <w:szCs w:val="12"/>
                <w:color w:val="auto"/>
              </w:rPr>
            </w:pPr>
          </w:p>
        </w:tc>
        <w:tc>
          <w:tcPr>
            <w:tcW w:w="920" w:type="dxa"/>
            <w:vAlign w:val="bottom"/>
          </w:tcPr>
          <w:p>
            <w:pPr>
              <w:ind w:left="40"/>
              <w:spacing w:after="0"/>
              <w:rPr>
                <w:sz w:val="20"/>
                <w:szCs w:val="20"/>
                <w:color w:val="auto"/>
              </w:rPr>
            </w:pPr>
            <w:r>
              <w:rPr>
                <w:rFonts w:ascii="Arial" w:cs="Arial" w:eastAsia="Arial" w:hAnsi="Arial"/>
                <w:sz w:val="10"/>
                <w:szCs w:val="10"/>
                <w:color w:val="auto"/>
              </w:rPr>
              <w:t>67</w:t>
            </w:r>
          </w:p>
        </w:tc>
        <w:tc>
          <w:tcPr>
            <w:tcW w:w="980" w:type="dxa"/>
            <w:vAlign w:val="bottom"/>
          </w:tcPr>
          <w:p>
            <w:pPr>
              <w:ind w:left="780"/>
              <w:spacing w:after="0"/>
              <w:rPr>
                <w:sz w:val="20"/>
                <w:szCs w:val="20"/>
                <w:color w:val="auto"/>
              </w:rPr>
            </w:pPr>
            <w:r>
              <w:rPr>
                <w:rFonts w:ascii="Arial" w:cs="Arial" w:eastAsia="Arial" w:hAnsi="Arial"/>
                <w:sz w:val="10"/>
                <w:szCs w:val="10"/>
                <w:color w:val="auto"/>
              </w:rPr>
              <w:t>71</w:t>
            </w:r>
          </w:p>
        </w:tc>
      </w:tr>
      <w:tr>
        <w:trPr>
          <w:trHeight w:val="152"/>
        </w:trPr>
        <w:tc>
          <w:tcPr>
            <w:tcW w:w="1900" w:type="dxa"/>
            <w:vAlign w:val="bottom"/>
          </w:tcPr>
          <w:p>
            <w:pPr>
              <w:ind w:left="20"/>
              <w:spacing w:after="0"/>
              <w:rPr>
                <w:sz w:val="20"/>
                <w:szCs w:val="20"/>
                <w:color w:val="auto"/>
              </w:rPr>
            </w:pPr>
            <w:r>
              <w:rPr>
                <w:rFonts w:ascii="Arial" w:cs="Arial" w:eastAsia="Arial" w:hAnsi="Arial"/>
                <w:sz w:val="10"/>
                <w:szCs w:val="10"/>
                <w:color w:val="auto"/>
              </w:rPr>
              <w:t>Current contract liabilities</w:t>
            </w:r>
          </w:p>
        </w:tc>
        <w:tc>
          <w:tcPr>
            <w:tcW w:w="840" w:type="dxa"/>
            <w:vAlign w:val="bottom"/>
          </w:tcPr>
          <w:p>
            <w:pPr>
              <w:ind w:left="200"/>
              <w:spacing w:after="0"/>
              <w:rPr>
                <w:sz w:val="20"/>
                <w:szCs w:val="20"/>
                <w:color w:val="auto"/>
              </w:rPr>
            </w:pPr>
            <w:r>
              <w:rPr>
                <w:rFonts w:ascii="Arial" w:cs="Arial" w:eastAsia="Arial" w:hAnsi="Arial"/>
                <w:sz w:val="10"/>
                <w:szCs w:val="10"/>
                <w:color w:val="auto"/>
              </w:rPr>
              <w:t>24</w:t>
            </w:r>
          </w:p>
        </w:tc>
        <w:tc>
          <w:tcPr>
            <w:tcW w:w="24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0"/>
                <w:szCs w:val="10"/>
                <w:color w:val="auto"/>
              </w:rPr>
              <w:t>3</w:t>
            </w:r>
          </w:p>
        </w:tc>
        <w:tc>
          <w:tcPr>
            <w:tcW w:w="980" w:type="dxa"/>
            <w:vAlign w:val="bottom"/>
          </w:tcPr>
          <w:p>
            <w:pPr>
              <w:ind w:left="60"/>
              <w:spacing w:after="0"/>
              <w:rPr>
                <w:sz w:val="20"/>
                <w:szCs w:val="20"/>
                <w:color w:val="auto"/>
              </w:rPr>
            </w:pPr>
            <w:r>
              <w:rPr>
                <w:rFonts w:ascii="Arial" w:cs="Arial" w:eastAsia="Arial" w:hAnsi="Arial"/>
                <w:sz w:val="10"/>
                <w:szCs w:val="10"/>
                <w:color w:val="auto"/>
              </w:rPr>
              <w:t>5</w:t>
            </w:r>
          </w:p>
        </w:tc>
      </w:tr>
      <w:tr>
        <w:trPr>
          <w:trHeight w:val="158"/>
        </w:trPr>
        <w:tc>
          <w:tcPr>
            <w:tcW w:w="190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8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0"/>
                <w:szCs w:val="10"/>
                <w:b w:val="1"/>
                <w:bCs w:val="1"/>
                <w:color w:val="691A6B"/>
              </w:rPr>
              <w:t>119</w:t>
            </w:r>
          </w:p>
        </w:tc>
        <w:tc>
          <w:tcPr>
            <w:tcW w:w="920" w:type="dxa"/>
            <w:vAlign w:val="bottom"/>
          </w:tcPr>
          <w:p>
            <w:pPr>
              <w:ind w:left="760"/>
              <w:spacing w:after="0"/>
              <w:rPr>
                <w:sz w:val="20"/>
                <w:szCs w:val="20"/>
                <w:color w:val="auto"/>
              </w:rPr>
            </w:pPr>
            <w:r>
              <w:rPr>
                <w:rFonts w:ascii="Arial" w:cs="Arial" w:eastAsia="Arial" w:hAnsi="Arial"/>
                <w:sz w:val="10"/>
                <w:szCs w:val="10"/>
                <w:b w:val="1"/>
                <w:bCs w:val="1"/>
                <w:color w:val="auto"/>
              </w:rPr>
              <w:t>70</w:t>
            </w:r>
          </w:p>
        </w:tc>
        <w:tc>
          <w:tcPr>
            <w:tcW w:w="980" w:type="dxa"/>
            <w:vAlign w:val="bottom"/>
          </w:tcPr>
          <w:p>
            <w:pPr>
              <w:ind w:left="780"/>
              <w:spacing w:after="0"/>
              <w:rPr>
                <w:sz w:val="20"/>
                <w:szCs w:val="20"/>
                <w:color w:val="auto"/>
              </w:rPr>
            </w:pPr>
            <w:r>
              <w:rPr>
                <w:rFonts w:ascii="Arial" w:cs="Arial" w:eastAsia="Arial" w:hAnsi="Arial"/>
                <w:sz w:val="10"/>
                <w:szCs w:val="10"/>
                <w:b w:val="1"/>
                <w:bCs w:val="1"/>
                <w:color w:val="auto"/>
              </w:rPr>
              <w:t>76</w:t>
            </w:r>
          </w:p>
        </w:tc>
      </w:tr>
    </w:tbl>
    <w:p>
      <w:pPr>
        <w:jc w:val="both"/>
        <w:ind w:right="2540"/>
        <w:spacing w:after="0" w:line="209" w:lineRule="auto"/>
        <w:rPr>
          <w:sz w:val="20"/>
          <w:szCs w:val="20"/>
          <w:color w:val="auto"/>
        </w:rPr>
      </w:pPr>
      <w:r>
        <w:rPr>
          <w:rFonts w:ascii="Arial" w:cs="Arial" w:eastAsia="Arial" w:hAnsi="Arial"/>
          <w:sz w:val="10"/>
          <w:szCs w:val="10"/>
          <w:color w:val="auto"/>
        </w:rPr>
        <w:t>Contract liabilities relate to the AbbVie collaboration agreement and contract liabilities assumed as part of the acquisition of Merus.</w:t>
      </w:r>
    </w:p>
    <w:p>
      <w:pPr>
        <w:ind w:right="2460"/>
        <w:spacing w:after="0" w:line="209" w:lineRule="auto"/>
        <w:rPr>
          <w:sz w:val="20"/>
          <w:szCs w:val="20"/>
          <w:color w:val="auto"/>
        </w:rPr>
      </w:pPr>
      <w:r>
        <w:rPr>
          <w:rFonts w:ascii="Arial" w:cs="Arial" w:eastAsia="Arial" w:hAnsi="Arial"/>
          <w:sz w:val="10"/>
          <w:szCs w:val="10"/>
          <w:color w:val="auto"/>
        </w:rPr>
        <w:t>Under the AbbVie collaboration agreement, Genmab received a non-refundable upfront payment of $750 million in July 2020, of which $673 million was recognized as license revenue during 2020. The revenue deferred at the initiation of the AbbVie agreement in June 2020 related to four product concepts to be identified and subject to a research agreement to be negotiated between Genmab and AbbVie. During the first quarter of 2022, Genmab and AbbVie entered into the aforementioned research agreement that governs the research and development activities in regard to the product concepts.</w:t>
      </w:r>
    </w:p>
    <w:p>
      <w:pPr>
        <w:spacing w:after="0" w:line="133"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440"/>
        <w:spacing w:after="0" w:line="198" w:lineRule="auto"/>
        <w:rPr>
          <w:sz w:val="20"/>
          <w:szCs w:val="20"/>
          <w:color w:val="auto"/>
        </w:rPr>
      </w:pPr>
      <w:r>
        <w:rPr>
          <w:rFonts w:ascii="Arial" w:cs="Arial" w:eastAsia="Arial" w:hAnsi="Arial"/>
          <w:sz w:val="10"/>
          <w:szCs w:val="10"/>
          <w:color w:val="auto"/>
        </w:rPr>
        <w:t>As part of the continued evaluation of contract liabilities related to the AbbVie collaboration agreement, Genmab’s classification of contract liabilities reflects the current estimate of co-development activities as of December 31, 2025. Contract liabilities related to AbbVie have been recognized as reimbursement revenue in the Consolidated Statements of Comprehensive Income. The amounts recognized in 2025 and 2024 were not material.</w:t>
      </w:r>
    </w:p>
    <w:p>
      <w:pPr>
        <w:spacing w:after="0" w:line="2" w:lineRule="exact"/>
        <w:rPr>
          <w:rFonts w:ascii="Arial" w:cs="Arial" w:eastAsia="Arial" w:hAnsi="Arial"/>
          <w:sz w:val="10"/>
          <w:szCs w:val="10"/>
          <w:color w:val="auto"/>
        </w:rPr>
      </w:pPr>
    </w:p>
    <w:p>
      <w:pPr>
        <w:ind w:right="2460"/>
        <w:spacing w:after="0" w:line="198" w:lineRule="auto"/>
        <w:rPr>
          <w:sz w:val="20"/>
          <w:szCs w:val="20"/>
          <w:color w:val="auto"/>
        </w:rPr>
      </w:pPr>
      <w:r>
        <w:rPr>
          <w:rFonts w:ascii="Arial" w:cs="Arial" w:eastAsia="Arial" w:hAnsi="Arial"/>
          <w:sz w:val="10"/>
          <w:szCs w:val="10"/>
          <w:color w:val="auto"/>
        </w:rPr>
        <w:t>Contract liabilities assumed in the acquisition of Merus primarily relate to a collaboration, option and license agreement between Merus and Gilead Sciences, Inc. (Gilead), under which Merus granted Gilead access to certain intellectual property and committed to perform related research and collaboration activities. At inception of the arrangement, Merus identified a performance obligation consisting of research services and deferred the consideration allocated to this performance obligation. Following the acquisition, contract liabilities of $51 million were recognized, primarily relating to the Gilead collaboration agreement, which accounted for $ 49 million of the additions. The contract liabilities assumed from the acquisition of Merus are recognized as reimbursement revenue in the Consolidated Statements of Comprehensive Income over time as the related performance obligations are satisfied.</w:t>
      </w:r>
    </w:p>
    <w:p>
      <w:pPr>
        <w:spacing w:after="0" w:line="213" w:lineRule="auto"/>
        <w:rPr>
          <w:rFonts w:ascii="Arial" w:cs="Arial" w:eastAsia="Arial" w:hAnsi="Arial"/>
          <w:sz w:val="10"/>
          <w:szCs w:val="10"/>
          <w:color w:val="691A6B"/>
        </w:rPr>
      </w:pPr>
      <w:hyperlink w:anchor="page158">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5.6 </w:t>
      </w:r>
      <w:hyperlink w:anchor="page158">
        <w:r>
          <w:rPr>
            <w:rFonts w:ascii="Arial" w:cs="Arial" w:eastAsia="Arial" w:hAnsi="Arial"/>
            <w:sz w:val="10"/>
            <w:szCs w:val="10"/>
            <w:color w:val="691A6B"/>
          </w:rPr>
          <w:t>for additional information related to the AbbVie and Gilead collaborations.</w:t>
        </w:r>
      </w:hyperlink>
    </w:p>
    <w:p>
      <w:pPr>
        <w:spacing w:after="0" w:line="218" w:lineRule="auto"/>
        <w:rPr>
          <w:sz w:val="20"/>
          <w:szCs w:val="20"/>
          <w:color w:val="auto"/>
        </w:rPr>
      </w:pPr>
      <w:r>
        <w:rPr>
          <w:rFonts w:ascii="Arial" w:cs="Arial" w:eastAsia="Arial" w:hAnsi="Arial"/>
          <w:sz w:val="15"/>
          <w:szCs w:val="15"/>
          <w:b w:val="1"/>
          <w:bCs w:val="1"/>
          <w:color w:val="691A6B"/>
        </w:rPr>
        <w:t>3.8 - Other Payables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980" w:type="dxa"/>
            <w:vAlign w:val="bottom"/>
            <w:tcBorders>
              <w:top w:val="single" w:sz="8" w:color="691A6B"/>
            </w:tcBorders>
            <w:gridSpan w:val="2"/>
          </w:tcPr>
          <w:p>
            <w:pPr>
              <w:ind w:left="2100"/>
              <w:spacing w:after="0"/>
              <w:rPr>
                <w:sz w:val="20"/>
                <w:szCs w:val="20"/>
                <w:color w:val="auto"/>
              </w:rPr>
            </w:pPr>
            <w:r>
              <w:rPr>
                <w:rFonts w:ascii="Arial" w:cs="Arial" w:eastAsia="Arial" w:hAnsi="Arial"/>
                <w:sz w:val="10"/>
                <w:szCs w:val="10"/>
                <w:b w:val="1"/>
                <w:bCs w:val="1"/>
                <w:color w:val="691A6B"/>
              </w:rPr>
              <w:t>December 31,</w:t>
            </w:r>
          </w:p>
        </w:tc>
        <w:tc>
          <w:tcPr>
            <w:tcW w:w="92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December 31,</w:t>
            </w:r>
          </w:p>
        </w:tc>
        <w:tc>
          <w:tcPr>
            <w:tcW w:w="980" w:type="dxa"/>
            <w:vAlign w:val="bottom"/>
            <w:tcBorders>
              <w:top w:val="single" w:sz="8" w:color="691A6B"/>
            </w:tcBorders>
          </w:tcPr>
          <w:p>
            <w:pPr>
              <w:ind w:left="60"/>
              <w:spacing w:after="0"/>
              <w:rPr>
                <w:sz w:val="20"/>
                <w:szCs w:val="20"/>
                <w:color w:val="auto"/>
              </w:rPr>
            </w:pPr>
            <w:r>
              <w:rPr>
                <w:rFonts w:ascii="Arial" w:cs="Arial" w:eastAsia="Arial" w:hAnsi="Arial"/>
                <w:sz w:val="10"/>
                <w:szCs w:val="10"/>
                <w:b w:val="1"/>
                <w:bCs w:val="1"/>
                <w:color w:val="auto"/>
              </w:rPr>
              <w:t>January 1,</w:t>
            </w:r>
          </w:p>
        </w:tc>
      </w:tr>
      <w:tr>
        <w:trPr>
          <w:trHeight w:val="133"/>
        </w:trPr>
        <w:tc>
          <w:tcPr>
            <w:tcW w:w="2480" w:type="dxa"/>
            <w:vAlign w:val="bottom"/>
          </w:tcPr>
          <w:p>
            <w:pPr>
              <w:ind w:left="2100"/>
              <w:spacing w:after="0"/>
              <w:rPr>
                <w:sz w:val="20"/>
                <w:szCs w:val="20"/>
                <w:color w:val="auto"/>
              </w:rPr>
            </w:pPr>
            <w:r>
              <w:rPr>
                <w:rFonts w:ascii="Arial" w:cs="Arial" w:eastAsia="Arial" w:hAnsi="Arial"/>
                <w:sz w:val="10"/>
                <w:szCs w:val="10"/>
                <w:b w:val="1"/>
                <w:bCs w:val="1"/>
                <w:color w:val="691A6B"/>
              </w:rPr>
              <w:t>2025</w:t>
            </w:r>
          </w:p>
        </w:tc>
        <w:tc>
          <w:tcPr>
            <w:tcW w:w="50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Arial" w:cs="Arial" w:eastAsia="Arial" w:hAnsi="Arial"/>
                <w:sz w:val="10"/>
                <w:szCs w:val="10"/>
                <w:b w:val="1"/>
                <w:bCs w:val="1"/>
                <w:color w:val="auto"/>
              </w:rPr>
              <w:t>2024</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2024</w:t>
            </w:r>
          </w:p>
        </w:tc>
      </w:tr>
      <w:tr>
        <w:trPr>
          <w:trHeight w:val="141"/>
        </w:trPr>
        <w:tc>
          <w:tcPr>
            <w:tcW w:w="2480" w:type="dxa"/>
            <w:vAlign w:val="bottom"/>
          </w:tcPr>
          <w:p>
            <w:pPr>
              <w:ind w:left="20"/>
              <w:spacing w:after="0"/>
              <w:rPr>
                <w:sz w:val="20"/>
                <w:szCs w:val="20"/>
                <w:color w:val="auto"/>
              </w:rPr>
            </w:pPr>
            <w:r>
              <w:rPr>
                <w:rFonts w:ascii="Arial" w:cs="Arial" w:eastAsia="Arial" w:hAnsi="Arial"/>
                <w:sz w:val="10"/>
                <w:szCs w:val="10"/>
                <w:color w:val="auto"/>
              </w:rPr>
              <w:t>Liabilities related to collaboration agreements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79</w:t>
            </w:r>
          </w:p>
        </w:tc>
        <w:tc>
          <w:tcPr>
            <w:tcW w:w="920" w:type="dxa"/>
            <w:vAlign w:val="bottom"/>
          </w:tcPr>
          <w:p>
            <w:pPr>
              <w:jc w:val="right"/>
              <w:spacing w:after="0"/>
              <w:rPr>
                <w:sz w:val="20"/>
                <w:szCs w:val="20"/>
                <w:color w:val="auto"/>
              </w:rPr>
            </w:pPr>
            <w:r>
              <w:rPr>
                <w:rFonts w:ascii="Arial" w:cs="Arial" w:eastAsia="Arial" w:hAnsi="Arial"/>
                <w:sz w:val="10"/>
                <w:szCs w:val="10"/>
                <w:color w:val="auto"/>
              </w:rPr>
              <w:t>39</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22</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Staff cost liabilities</w:t>
            </w:r>
          </w:p>
        </w:tc>
        <w:tc>
          <w:tcPr>
            <w:tcW w:w="500" w:type="dxa"/>
            <w:vAlign w:val="bottom"/>
          </w:tcPr>
          <w:p>
            <w:pPr>
              <w:jc w:val="right"/>
              <w:spacing w:after="0"/>
              <w:rPr>
                <w:sz w:val="20"/>
                <w:szCs w:val="20"/>
                <w:color w:val="auto"/>
              </w:rPr>
            </w:pPr>
            <w:r>
              <w:rPr>
                <w:rFonts w:ascii="Arial" w:cs="Arial" w:eastAsia="Arial" w:hAnsi="Arial"/>
                <w:sz w:val="10"/>
                <w:szCs w:val="10"/>
                <w:color w:val="691A6B"/>
              </w:rPr>
              <w:t>171</w:t>
            </w:r>
          </w:p>
        </w:tc>
        <w:tc>
          <w:tcPr>
            <w:tcW w:w="920" w:type="dxa"/>
            <w:vAlign w:val="bottom"/>
          </w:tcPr>
          <w:p>
            <w:pPr>
              <w:jc w:val="right"/>
              <w:spacing w:after="0"/>
              <w:rPr>
                <w:sz w:val="20"/>
                <w:szCs w:val="20"/>
                <w:color w:val="auto"/>
              </w:rPr>
            </w:pPr>
            <w:r>
              <w:rPr>
                <w:rFonts w:ascii="Arial" w:cs="Arial" w:eastAsia="Arial" w:hAnsi="Arial"/>
                <w:sz w:val="10"/>
                <w:szCs w:val="10"/>
                <w:color w:val="auto"/>
              </w:rPr>
              <w:t>102</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94</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Accounts payable</w:t>
            </w:r>
          </w:p>
        </w:tc>
        <w:tc>
          <w:tcPr>
            <w:tcW w:w="500" w:type="dxa"/>
            <w:vAlign w:val="bottom"/>
          </w:tcPr>
          <w:p>
            <w:pPr>
              <w:jc w:val="right"/>
              <w:spacing w:after="0"/>
              <w:rPr>
                <w:sz w:val="20"/>
                <w:szCs w:val="20"/>
                <w:color w:val="auto"/>
              </w:rPr>
            </w:pPr>
            <w:r>
              <w:rPr>
                <w:rFonts w:ascii="Arial" w:cs="Arial" w:eastAsia="Arial" w:hAnsi="Arial"/>
                <w:sz w:val="10"/>
                <w:szCs w:val="10"/>
                <w:color w:val="691A6B"/>
              </w:rPr>
              <w:t>145</w:t>
            </w:r>
          </w:p>
        </w:tc>
        <w:tc>
          <w:tcPr>
            <w:tcW w:w="920" w:type="dxa"/>
            <w:vAlign w:val="bottom"/>
          </w:tcPr>
          <w:p>
            <w:pPr>
              <w:jc w:val="right"/>
              <w:spacing w:after="0"/>
              <w:rPr>
                <w:sz w:val="20"/>
                <w:szCs w:val="20"/>
                <w:color w:val="auto"/>
              </w:rPr>
            </w:pPr>
            <w:r>
              <w:rPr>
                <w:rFonts w:ascii="Arial" w:cs="Arial" w:eastAsia="Arial" w:hAnsi="Arial"/>
                <w:sz w:val="10"/>
                <w:szCs w:val="10"/>
                <w:color w:val="auto"/>
              </w:rPr>
              <w:t>90</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49</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Other liabilities</w:t>
            </w:r>
          </w:p>
        </w:tc>
        <w:tc>
          <w:tcPr>
            <w:tcW w:w="500" w:type="dxa"/>
            <w:vAlign w:val="bottom"/>
          </w:tcPr>
          <w:p>
            <w:pPr>
              <w:jc w:val="right"/>
              <w:spacing w:after="0"/>
              <w:rPr>
                <w:sz w:val="20"/>
                <w:szCs w:val="20"/>
                <w:color w:val="auto"/>
              </w:rPr>
            </w:pPr>
            <w:r>
              <w:rPr>
                <w:rFonts w:ascii="Arial" w:cs="Arial" w:eastAsia="Arial" w:hAnsi="Arial"/>
                <w:sz w:val="10"/>
                <w:szCs w:val="10"/>
                <w:color w:val="691A6B"/>
              </w:rPr>
              <w:t>679</w:t>
            </w:r>
          </w:p>
        </w:tc>
        <w:tc>
          <w:tcPr>
            <w:tcW w:w="920" w:type="dxa"/>
            <w:vAlign w:val="bottom"/>
          </w:tcPr>
          <w:p>
            <w:pPr>
              <w:jc w:val="right"/>
              <w:spacing w:after="0"/>
              <w:rPr>
                <w:sz w:val="20"/>
                <w:szCs w:val="20"/>
                <w:color w:val="auto"/>
              </w:rPr>
            </w:pPr>
            <w:r>
              <w:rPr>
                <w:rFonts w:ascii="Arial" w:cs="Arial" w:eastAsia="Arial" w:hAnsi="Arial"/>
                <w:sz w:val="10"/>
                <w:szCs w:val="10"/>
                <w:color w:val="auto"/>
              </w:rPr>
              <w:t>263</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182</w:t>
            </w:r>
          </w:p>
        </w:tc>
      </w:tr>
      <w:tr>
        <w:trPr>
          <w:trHeight w:val="158"/>
        </w:trPr>
        <w:tc>
          <w:tcPr>
            <w:tcW w:w="24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500" w:type="dxa"/>
            <w:vAlign w:val="bottom"/>
          </w:tcPr>
          <w:p>
            <w:pPr>
              <w:jc w:val="right"/>
              <w:spacing w:after="0"/>
              <w:rPr>
                <w:sz w:val="20"/>
                <w:szCs w:val="20"/>
                <w:color w:val="auto"/>
              </w:rPr>
            </w:pPr>
            <w:r>
              <w:rPr>
                <w:rFonts w:ascii="Arial" w:cs="Arial" w:eastAsia="Arial" w:hAnsi="Arial"/>
                <w:sz w:val="10"/>
                <w:szCs w:val="10"/>
                <w:b w:val="1"/>
                <w:bCs w:val="1"/>
                <w:color w:val="691A6B"/>
              </w:rPr>
              <w:t>1,074</w:t>
            </w:r>
          </w:p>
        </w:tc>
        <w:tc>
          <w:tcPr>
            <w:tcW w:w="920" w:type="dxa"/>
            <w:vAlign w:val="bottom"/>
          </w:tcPr>
          <w:p>
            <w:pPr>
              <w:jc w:val="right"/>
              <w:spacing w:after="0"/>
              <w:rPr>
                <w:sz w:val="20"/>
                <w:szCs w:val="20"/>
                <w:color w:val="auto"/>
              </w:rPr>
            </w:pPr>
            <w:r>
              <w:rPr>
                <w:rFonts w:ascii="Arial" w:cs="Arial" w:eastAsia="Arial" w:hAnsi="Arial"/>
                <w:sz w:val="10"/>
                <w:szCs w:val="10"/>
                <w:color w:val="auto"/>
              </w:rPr>
              <w:t>494</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347</w:t>
            </w:r>
          </w:p>
        </w:tc>
      </w:tr>
      <w:tr>
        <w:trPr>
          <w:trHeight w:val="146"/>
        </w:trPr>
        <w:tc>
          <w:tcPr>
            <w:tcW w:w="2480" w:type="dxa"/>
            <w:vAlign w:val="bottom"/>
          </w:tcPr>
          <w:p>
            <w:pPr>
              <w:ind w:left="20"/>
              <w:spacing w:after="0"/>
              <w:rPr>
                <w:sz w:val="20"/>
                <w:szCs w:val="20"/>
                <w:color w:val="auto"/>
              </w:rPr>
            </w:pPr>
            <w:r>
              <w:rPr>
                <w:rFonts w:ascii="Arial" w:cs="Arial" w:eastAsia="Arial" w:hAnsi="Arial"/>
                <w:sz w:val="10"/>
                <w:szCs w:val="10"/>
                <w:color w:val="auto"/>
              </w:rPr>
              <w:t>Non-current other payables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5</w:t>
            </w:r>
          </w:p>
        </w:tc>
        <w:tc>
          <w:tcPr>
            <w:tcW w:w="920" w:type="dxa"/>
            <w:vAlign w:val="bottom"/>
          </w:tcPr>
          <w:p>
            <w:pPr>
              <w:jc w:val="right"/>
              <w:spacing w:after="0"/>
              <w:rPr>
                <w:sz w:val="20"/>
                <w:szCs w:val="20"/>
                <w:color w:val="auto"/>
              </w:rPr>
            </w:pPr>
            <w:r>
              <w:rPr>
                <w:rFonts w:ascii="Arial" w:cs="Arial" w:eastAsia="Arial" w:hAnsi="Arial"/>
                <w:sz w:val="10"/>
                <w:szCs w:val="10"/>
                <w:color w:val="auto"/>
              </w:rPr>
              <w:t>5</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5</w:t>
            </w:r>
          </w:p>
        </w:tc>
      </w:tr>
      <w:tr>
        <w:trPr>
          <w:trHeight w:val="152"/>
        </w:trPr>
        <w:tc>
          <w:tcPr>
            <w:tcW w:w="2480" w:type="dxa"/>
            <w:vAlign w:val="bottom"/>
          </w:tcPr>
          <w:p>
            <w:pPr>
              <w:ind w:left="20"/>
              <w:spacing w:after="0"/>
              <w:rPr>
                <w:sz w:val="20"/>
                <w:szCs w:val="20"/>
                <w:color w:val="auto"/>
              </w:rPr>
            </w:pPr>
            <w:r>
              <w:rPr>
                <w:rFonts w:ascii="Arial" w:cs="Arial" w:eastAsia="Arial" w:hAnsi="Arial"/>
                <w:sz w:val="10"/>
                <w:szCs w:val="10"/>
                <w:color w:val="auto"/>
              </w:rPr>
              <w:t>Current other payables</w:t>
            </w:r>
          </w:p>
        </w:tc>
        <w:tc>
          <w:tcPr>
            <w:tcW w:w="500" w:type="dxa"/>
            <w:vAlign w:val="bottom"/>
          </w:tcPr>
          <w:p>
            <w:pPr>
              <w:jc w:val="right"/>
              <w:spacing w:after="0"/>
              <w:rPr>
                <w:sz w:val="20"/>
                <w:szCs w:val="20"/>
                <w:color w:val="auto"/>
              </w:rPr>
            </w:pPr>
            <w:r>
              <w:rPr>
                <w:rFonts w:ascii="Arial" w:cs="Arial" w:eastAsia="Arial" w:hAnsi="Arial"/>
                <w:sz w:val="10"/>
                <w:szCs w:val="10"/>
                <w:color w:val="691A6B"/>
              </w:rPr>
              <w:t>1,069</w:t>
            </w:r>
          </w:p>
        </w:tc>
        <w:tc>
          <w:tcPr>
            <w:tcW w:w="920" w:type="dxa"/>
            <w:vAlign w:val="bottom"/>
          </w:tcPr>
          <w:p>
            <w:pPr>
              <w:jc w:val="right"/>
              <w:spacing w:after="0"/>
              <w:rPr>
                <w:sz w:val="20"/>
                <w:szCs w:val="20"/>
                <w:color w:val="auto"/>
              </w:rPr>
            </w:pPr>
            <w:r>
              <w:rPr>
                <w:rFonts w:ascii="Arial" w:cs="Arial" w:eastAsia="Arial" w:hAnsi="Arial"/>
                <w:sz w:val="10"/>
                <w:szCs w:val="10"/>
                <w:color w:val="auto"/>
              </w:rPr>
              <w:t>489</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342</w:t>
            </w:r>
          </w:p>
        </w:tc>
      </w:tr>
      <w:tr>
        <w:trPr>
          <w:trHeight w:val="158"/>
        </w:trPr>
        <w:tc>
          <w:tcPr>
            <w:tcW w:w="24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500" w:type="dxa"/>
            <w:vAlign w:val="bottom"/>
          </w:tcPr>
          <w:p>
            <w:pPr>
              <w:jc w:val="right"/>
              <w:spacing w:after="0"/>
              <w:rPr>
                <w:sz w:val="20"/>
                <w:szCs w:val="20"/>
                <w:color w:val="auto"/>
              </w:rPr>
            </w:pPr>
            <w:r>
              <w:rPr>
                <w:rFonts w:ascii="Arial" w:cs="Arial" w:eastAsia="Arial" w:hAnsi="Arial"/>
                <w:sz w:val="10"/>
                <w:szCs w:val="10"/>
                <w:b w:val="1"/>
                <w:bCs w:val="1"/>
                <w:color w:val="691A6B"/>
              </w:rPr>
              <w:t>1,074</w:t>
            </w:r>
          </w:p>
        </w:tc>
        <w:tc>
          <w:tcPr>
            <w:tcW w:w="920" w:type="dxa"/>
            <w:vAlign w:val="bottom"/>
          </w:tcPr>
          <w:p>
            <w:pPr>
              <w:jc w:val="right"/>
              <w:spacing w:after="0"/>
              <w:rPr>
                <w:sz w:val="20"/>
                <w:szCs w:val="20"/>
                <w:color w:val="auto"/>
              </w:rPr>
            </w:pPr>
            <w:r>
              <w:rPr>
                <w:rFonts w:ascii="Arial" w:cs="Arial" w:eastAsia="Arial" w:hAnsi="Arial"/>
                <w:sz w:val="10"/>
                <w:szCs w:val="10"/>
                <w:color w:val="auto"/>
              </w:rPr>
              <w:t>494</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347</w:t>
            </w:r>
          </w:p>
        </w:tc>
      </w:tr>
    </w:tbl>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90805" cy="908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58" w:lineRule="exact"/>
        <w:rPr>
          <w:sz w:val="20"/>
          <w:szCs w:val="20"/>
          <w:color w:val="auto"/>
        </w:rPr>
      </w:pPr>
    </w:p>
    <w:p>
      <w:pPr>
        <w:ind w:right="2440"/>
        <w:spacing w:after="0" w:line="209" w:lineRule="auto"/>
        <w:rPr>
          <w:sz w:val="20"/>
          <w:szCs w:val="20"/>
          <w:color w:val="auto"/>
        </w:rPr>
      </w:pPr>
      <w:r>
        <w:rPr>
          <w:rFonts w:ascii="Arial" w:cs="Arial" w:eastAsia="Arial" w:hAnsi="Arial"/>
          <w:sz w:val="10"/>
          <w:szCs w:val="10"/>
          <w:color w:val="auto"/>
        </w:rPr>
        <w:t>Other payables, excluding provisions, are initially measured at fair value and subsequently measured in the balance sheet at amortized cost.</w:t>
      </w:r>
    </w:p>
    <w:p>
      <w:pPr>
        <w:ind w:right="2480"/>
        <w:spacing w:after="0" w:line="198" w:lineRule="auto"/>
        <w:rPr>
          <w:sz w:val="20"/>
          <w:szCs w:val="20"/>
          <w:color w:val="auto"/>
        </w:rPr>
      </w:pPr>
      <w:r>
        <w:rPr>
          <w:rFonts w:ascii="Arial" w:cs="Arial" w:eastAsia="Arial" w:hAnsi="Arial"/>
          <w:sz w:val="10"/>
          <w:szCs w:val="10"/>
          <w:color w:val="auto"/>
        </w:rPr>
        <w:t>The current other payables are comprised of liabilities that are due less than one year from the balance sheet date and are in general not interest bearing and settled on an ongoing basis during the next financial year. The $580 million increase in current other payables is primarily related to the expansion of our product pipeline as well as accrued termination costs associated with the discontinuance of the acasunlimab program during the fourth quarter of 2025.</w:t>
      </w:r>
    </w:p>
    <w:p>
      <w:pPr>
        <w:spacing w:after="0" w:line="2" w:lineRule="exact"/>
        <w:rPr>
          <w:sz w:val="20"/>
          <w:szCs w:val="20"/>
          <w:color w:val="auto"/>
        </w:rPr>
      </w:pPr>
    </w:p>
    <w:p>
      <w:pPr>
        <w:ind w:right="2540"/>
        <w:spacing w:after="0" w:line="199" w:lineRule="auto"/>
        <w:rPr>
          <w:sz w:val="20"/>
          <w:szCs w:val="20"/>
          <w:color w:val="auto"/>
        </w:rPr>
      </w:pPr>
      <w:r>
        <w:rPr>
          <w:rFonts w:ascii="Arial" w:cs="Arial" w:eastAsia="Arial" w:hAnsi="Arial"/>
          <w:sz w:val="10"/>
          <w:szCs w:val="10"/>
          <w:color w:val="auto"/>
        </w:rPr>
        <w:t>Non-current payables are measured at the present value of the expenditures expected to be required to settle the obligation using a pre-tax discount rate that reflects current market assessments of the time value of money and the risks specific to the obligation. The increase in the liability due to passage of time is recognized as interest expense.</w:t>
      </w:r>
    </w:p>
    <w:p>
      <w:pPr>
        <w:spacing w:after="0" w:line="197" w:lineRule="auto"/>
        <w:rPr>
          <w:sz w:val="20"/>
          <w:szCs w:val="20"/>
          <w:color w:val="auto"/>
        </w:rPr>
      </w:pPr>
      <w:r>
        <w:rPr>
          <w:rFonts w:ascii="Arial" w:cs="Arial" w:eastAsia="Arial" w:hAnsi="Arial"/>
          <w:sz w:val="12"/>
          <w:szCs w:val="12"/>
          <w:b w:val="1"/>
          <w:bCs w:val="1"/>
          <w:color w:val="auto"/>
        </w:rPr>
        <w:t>Accounts Payable</w:t>
      </w:r>
    </w:p>
    <w:p>
      <w:pPr>
        <w:spacing w:after="0" w:line="202" w:lineRule="auto"/>
        <w:rPr>
          <w:sz w:val="20"/>
          <w:szCs w:val="20"/>
          <w:color w:val="auto"/>
        </w:rPr>
      </w:pPr>
      <w:r>
        <w:rPr>
          <w:rFonts w:ascii="Arial" w:cs="Arial" w:eastAsia="Arial" w:hAnsi="Arial"/>
          <w:sz w:val="10"/>
          <w:szCs w:val="10"/>
          <w:color w:val="auto"/>
        </w:rPr>
        <w:t>Accounts payable are measured in the Consolidated Balance Sheets at amortized cost.</w:t>
      </w:r>
    </w:p>
    <w:p>
      <w:pPr>
        <w:spacing w:after="0" w:line="196" w:lineRule="auto"/>
        <w:rPr>
          <w:sz w:val="20"/>
          <w:szCs w:val="20"/>
          <w:color w:val="auto"/>
        </w:rPr>
      </w:pPr>
      <w:r>
        <w:rPr>
          <w:rFonts w:ascii="Arial" w:cs="Arial" w:eastAsia="Arial" w:hAnsi="Arial"/>
          <w:sz w:val="12"/>
          <w:szCs w:val="12"/>
          <w:b w:val="1"/>
          <w:bCs w:val="1"/>
          <w:color w:val="auto"/>
        </w:rPr>
        <w:t>Other Liabilities</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130</w:t>
      </w:r>
    </w:p>
    <w:p>
      <w:pPr>
        <w:spacing w:after="0" w:line="5338" w:lineRule="exact"/>
        <w:rPr>
          <w:sz w:val="20"/>
          <w:szCs w:val="20"/>
          <w:color w:val="auto"/>
        </w:rPr>
      </w:pPr>
    </w:p>
    <w:p>
      <w:pPr>
        <w:sectPr>
          <w:pgSz w:w="11900" w:h="16840" w:orient="portrait"/>
          <w:cols w:equalWidth="0" w:num="2">
            <w:col w:w="7400" w:space="720"/>
            <w:col w:w="1700"/>
          </w:cols>
          <w:pgMar w:left="640" w:top="571" w:right="1440" w:bottom="1440" w:gutter="0" w:footer="0" w:header="0"/>
        </w:sectPr>
      </w:pPr>
    </w:p>
    <w:p>
      <w:pPr>
        <w:spacing w:after="0" w:line="198" w:lineRule="auto"/>
        <w:rPr>
          <w:sz w:val="20"/>
          <w:szCs w:val="20"/>
          <w:color w:val="auto"/>
        </w:rPr>
      </w:pPr>
      <w:r>
        <w:rPr>
          <w:rFonts w:ascii="Arial" w:cs="Arial" w:eastAsia="Arial" w:hAnsi="Arial"/>
          <w:sz w:val="10"/>
          <w:szCs w:val="10"/>
          <w:color w:val="auto"/>
        </w:rPr>
        <w:t>Other liabilities primarily include accrued expenses related to our research and development project costs</w:t>
      </w:r>
    </w:p>
    <w:p>
      <w:pPr>
        <w:spacing w:after="0" w:line="199" w:lineRule="auto"/>
        <w:rPr>
          <w:sz w:val="20"/>
          <w:szCs w:val="20"/>
          <w:color w:val="auto"/>
        </w:rPr>
      </w:pPr>
      <w:r>
        <w:rPr>
          <w:rFonts w:ascii="Arial" w:cs="Arial" w:eastAsia="Arial" w:hAnsi="Arial"/>
          <w:sz w:val="10"/>
          <w:szCs w:val="10"/>
          <w:color w:val="auto"/>
        </w:rPr>
        <w:t>and are measured in the Consolidated Balance Sheets at amortized cost.</w:t>
      </w:r>
    </w:p>
    <w:p>
      <w:pPr>
        <w:spacing w:after="0"/>
        <w:rPr>
          <w:rFonts w:ascii="Arial" w:cs="Arial" w:eastAsia="Arial" w:hAnsi="Arial"/>
          <w:sz w:val="10"/>
          <w:szCs w:val="10"/>
          <w:color w:val="691A6B"/>
        </w:rPr>
      </w:pPr>
      <w:hyperlink w:anchor="page141">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2.3 </w:t>
      </w:r>
      <w:hyperlink w:anchor="page141">
        <w:r>
          <w:rPr>
            <w:rFonts w:ascii="Arial" w:cs="Arial" w:eastAsia="Arial" w:hAnsi="Arial"/>
            <w:sz w:val="10"/>
            <w:szCs w:val="10"/>
            <w:color w:val="691A6B"/>
          </w:rPr>
          <w:t>for accounting policies related to staff costs.</w:t>
        </w:r>
      </w:hyperlink>
    </w:p>
    <w:p>
      <w:pPr>
        <w:sectPr>
          <w:pgSz w:w="11900" w:h="16840" w:orient="portrait"/>
          <w:cols w:equalWidth="0" w:num="1">
            <w:col w:w="9820"/>
          </w:cols>
          <w:pgMar w:left="640" w:top="571" w:right="1440" w:bottom="1440"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620"/>
        <w:spacing w:after="0" w:line="198" w:lineRule="auto"/>
        <w:rPr>
          <w:sz w:val="20"/>
          <w:szCs w:val="20"/>
          <w:color w:val="auto"/>
        </w:rPr>
      </w:pPr>
      <w:r>
        <w:rPr>
          <w:rFonts w:ascii="Arial" w:cs="Arial" w:eastAsia="Arial" w:hAnsi="Arial"/>
          <w:sz w:val="10"/>
          <w:szCs w:val="10"/>
          <w:color w:val="auto"/>
        </w:rPr>
        <w:t>All of Genmab’s marketable securities are traded in established markets. Given the current market conditions, all future cash inflows, including re-investments of proceeds from the disposal of marketable securities, are invested in highly liquid, investment grade securities.</w:t>
      </w:r>
    </w:p>
    <w:p>
      <w:pPr>
        <w:spacing w:after="0" w:line="206" w:lineRule="auto"/>
        <w:rPr>
          <w:rFonts w:ascii="Arial" w:cs="Arial" w:eastAsia="Arial" w:hAnsi="Arial"/>
          <w:sz w:val="10"/>
          <w:szCs w:val="10"/>
          <w:color w:val="691A6B"/>
        </w:rPr>
      </w:pPr>
      <w:hyperlink w:anchor="page149">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4.4 </w:t>
      </w:r>
      <w:hyperlink w:anchor="page149">
        <w:r>
          <w:rPr>
            <w:rFonts w:ascii="Arial" w:cs="Arial" w:eastAsia="Arial" w:hAnsi="Arial"/>
            <w:sz w:val="10"/>
            <w:szCs w:val="10"/>
            <w:color w:val="691A6B"/>
          </w:rPr>
          <w:t>for additional information regarding marketable securities.</w:t>
        </w:r>
      </w:hyperlink>
    </w:p>
    <w:p>
      <w:pPr>
        <w:spacing w:after="0" w:line="209" w:lineRule="auto"/>
        <w:rPr>
          <w:sz w:val="20"/>
          <w:szCs w:val="20"/>
          <w:color w:val="auto"/>
        </w:rPr>
      </w:pPr>
      <w:r>
        <w:rPr>
          <w:rFonts w:ascii="Arial" w:cs="Arial" w:eastAsia="Arial" w:hAnsi="Arial"/>
          <w:sz w:val="13"/>
          <w:szCs w:val="13"/>
          <w:b w:val="1"/>
          <w:bCs w:val="1"/>
          <w:color w:val="691A6B"/>
        </w:rPr>
        <w:t>Credit Risk</w:t>
      </w:r>
    </w:p>
    <w:p>
      <w:pPr>
        <w:ind w:right="2480"/>
        <w:spacing w:after="0" w:line="198" w:lineRule="auto"/>
        <w:rPr>
          <w:sz w:val="20"/>
          <w:szCs w:val="20"/>
          <w:color w:val="auto"/>
        </w:rPr>
      </w:pPr>
      <w:r>
        <w:rPr>
          <w:rFonts w:ascii="Arial" w:cs="Arial" w:eastAsia="Arial" w:hAnsi="Arial"/>
          <w:sz w:val="10"/>
          <w:szCs w:val="10"/>
          <w:color w:val="auto"/>
        </w:rPr>
        <w:t>Genmab is exposed to credit risk and losses on marketable securities, bank deposits and receivables. The maximum credit exposure related to Genmab’s cash and cash equivalents and marketable securities was $1,715 million as of December 31, 2025 compared to $2,954 million as of December 31, 2024. The maximum credit exposure to Genmab’s receivables was $1,134 million as of December 31, 2025 compared to $930 million as of December 31, 2024.</w:t>
      </w:r>
    </w:p>
    <w:p>
      <w:pPr>
        <w:spacing w:after="0" w:line="2" w:lineRule="exact"/>
        <w:rPr>
          <w:sz w:val="20"/>
          <w:szCs w:val="20"/>
          <w:color w:val="auto"/>
        </w:rPr>
      </w:pPr>
    </w:p>
    <w:p>
      <w:pPr>
        <w:ind w:right="2500"/>
        <w:spacing w:after="0" w:line="199" w:lineRule="auto"/>
        <w:rPr>
          <w:sz w:val="20"/>
          <w:szCs w:val="20"/>
          <w:color w:val="auto"/>
        </w:rPr>
      </w:pPr>
      <w:r>
        <w:rPr>
          <w:rFonts w:ascii="Arial" w:cs="Arial" w:eastAsia="Arial" w:hAnsi="Arial"/>
          <w:sz w:val="10"/>
          <w:szCs w:val="10"/>
          <w:color w:val="auto"/>
        </w:rPr>
        <w:t>Genmab maintains a large portion of its investment portfolio in cash equivalents and marketable securities in USD as well as a portion of cash equivalents and marketable securities in DKK, EUR and GBP as a natural partial hedge of Genmab A/S’s liability exposures in those currencies.</w:t>
      </w:r>
    </w:p>
    <w:p>
      <w:pPr>
        <w:spacing w:after="0" w:line="197" w:lineRule="auto"/>
        <w:rPr>
          <w:sz w:val="20"/>
          <w:szCs w:val="20"/>
          <w:color w:val="auto"/>
        </w:rPr>
      </w:pPr>
      <w:r>
        <w:rPr>
          <w:rFonts w:ascii="Arial" w:cs="Arial" w:eastAsia="Arial" w:hAnsi="Arial"/>
          <w:sz w:val="12"/>
          <w:szCs w:val="12"/>
          <w:b w:val="1"/>
          <w:bCs w:val="1"/>
          <w:color w:val="auto"/>
        </w:rPr>
        <w:t>Marketable Securities</w:t>
      </w:r>
    </w:p>
    <w:p>
      <w:pPr>
        <w:ind w:right="2480"/>
        <w:spacing w:after="0"/>
        <w:rPr>
          <w:sz w:val="20"/>
          <w:szCs w:val="20"/>
          <w:color w:val="auto"/>
        </w:rPr>
      </w:pPr>
      <w:r>
        <w:rPr>
          <w:rFonts w:ascii="Arial" w:cs="Arial" w:eastAsia="Arial" w:hAnsi="Arial"/>
          <w:sz w:val="10"/>
          <w:szCs w:val="10"/>
          <w:color w:val="auto"/>
        </w:rPr>
        <w:t>To manage and reduce credit risks on our securities, Genmab’s policy is to ensure only securities from investment grade issuers are eligible for our portfolios. No issuer of marketable securities can be accepted if the issuer, at the time of purchase, does not have the credit quality equal to or better than the rating shown in the table below from at least one of the rating agencies. If an issuer is rated by more than one of the rating agencies listed below, the credit assessment is made against the lowest rating available for the issuer.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80" w:type="dxa"/>
            <w:vAlign w:val="bottom"/>
            <w:tcBorders>
              <w:top w:val="single" w:sz="8" w:color="691A6B"/>
            </w:tcBorders>
          </w:tcPr>
          <w:p>
            <w:pPr>
              <w:ind w:left="20"/>
              <w:spacing w:after="0"/>
              <w:rPr>
                <w:sz w:val="20"/>
                <w:szCs w:val="20"/>
                <w:color w:val="auto"/>
              </w:rPr>
            </w:pPr>
            <w:r>
              <w:rPr>
                <w:rFonts w:ascii="Arial" w:cs="Arial" w:eastAsia="Arial" w:hAnsi="Arial"/>
                <w:sz w:val="10"/>
                <w:szCs w:val="10"/>
                <w:b w:val="1"/>
                <w:bCs w:val="1"/>
                <w:color w:val="auto"/>
              </w:rPr>
              <w:t>Category</w:t>
            </w:r>
          </w:p>
        </w:tc>
        <w:tc>
          <w:tcPr>
            <w:tcW w:w="1080" w:type="dxa"/>
            <w:vAlign w:val="bottom"/>
            <w:tcBorders>
              <w:top w:val="single" w:sz="8" w:color="691A6B"/>
            </w:tcBorders>
          </w:tcPr>
          <w:p>
            <w:pPr>
              <w:ind w:left="360"/>
              <w:spacing w:after="0"/>
              <w:rPr>
                <w:sz w:val="20"/>
                <w:szCs w:val="20"/>
                <w:color w:val="auto"/>
              </w:rPr>
            </w:pPr>
            <w:r>
              <w:rPr>
                <w:rFonts w:ascii="Arial" w:cs="Arial" w:eastAsia="Arial" w:hAnsi="Arial"/>
                <w:sz w:val="10"/>
                <w:szCs w:val="10"/>
                <w:b w:val="1"/>
                <w:bCs w:val="1"/>
                <w:color w:val="auto"/>
              </w:rPr>
              <w:t>S&amp;P</w:t>
            </w:r>
          </w:p>
        </w:tc>
        <w:tc>
          <w:tcPr>
            <w:tcW w:w="1300" w:type="dxa"/>
            <w:vAlign w:val="bottom"/>
            <w:tcBorders>
              <w:top w:val="single" w:sz="8" w:color="691A6B"/>
            </w:tcBorders>
          </w:tcPr>
          <w:p>
            <w:pPr>
              <w:ind w:left="500"/>
              <w:spacing w:after="0"/>
              <w:rPr>
                <w:sz w:val="20"/>
                <w:szCs w:val="20"/>
                <w:color w:val="auto"/>
              </w:rPr>
            </w:pPr>
            <w:r>
              <w:rPr>
                <w:rFonts w:ascii="Arial" w:cs="Arial" w:eastAsia="Arial" w:hAnsi="Arial"/>
                <w:sz w:val="10"/>
                <w:szCs w:val="10"/>
                <w:b w:val="1"/>
                <w:bCs w:val="1"/>
                <w:color w:val="auto"/>
              </w:rPr>
              <w:t>Moody’s</w:t>
            </w:r>
          </w:p>
        </w:tc>
        <w:tc>
          <w:tcPr>
            <w:tcW w:w="1620" w:type="dxa"/>
            <w:vAlign w:val="bottom"/>
            <w:tcBorders>
              <w:top w:val="single" w:sz="8" w:color="691A6B"/>
            </w:tcBorders>
          </w:tcPr>
          <w:p>
            <w:pPr>
              <w:ind w:left="420"/>
              <w:spacing w:after="0"/>
              <w:rPr>
                <w:sz w:val="20"/>
                <w:szCs w:val="20"/>
                <w:color w:val="auto"/>
              </w:rPr>
            </w:pPr>
            <w:r>
              <w:rPr>
                <w:rFonts w:ascii="Arial" w:cs="Arial" w:eastAsia="Arial" w:hAnsi="Arial"/>
                <w:sz w:val="10"/>
                <w:szCs w:val="10"/>
                <w:b w:val="1"/>
                <w:bCs w:val="1"/>
                <w:color w:val="auto"/>
              </w:rPr>
              <w:t>Fitch</w:t>
            </w:r>
          </w:p>
        </w:tc>
      </w:tr>
      <w:tr>
        <w:trPr>
          <w:trHeight w:val="137"/>
        </w:trPr>
        <w:tc>
          <w:tcPr>
            <w:tcW w:w="880" w:type="dxa"/>
            <w:vAlign w:val="bottom"/>
          </w:tcPr>
          <w:p>
            <w:pPr>
              <w:ind w:left="20"/>
              <w:spacing w:after="0"/>
              <w:rPr>
                <w:sz w:val="20"/>
                <w:szCs w:val="20"/>
                <w:color w:val="auto"/>
              </w:rPr>
            </w:pPr>
            <w:r>
              <w:rPr>
                <w:rFonts w:ascii="Arial" w:cs="Arial" w:eastAsia="Arial" w:hAnsi="Arial"/>
                <w:sz w:val="10"/>
                <w:szCs w:val="10"/>
                <w:color w:val="auto"/>
              </w:rPr>
              <w:t>Short-term</w:t>
            </w:r>
          </w:p>
        </w:tc>
        <w:tc>
          <w:tcPr>
            <w:tcW w:w="1080" w:type="dxa"/>
            <w:vAlign w:val="bottom"/>
          </w:tcPr>
          <w:p>
            <w:pPr>
              <w:ind w:left="360"/>
              <w:spacing w:after="0"/>
              <w:rPr>
                <w:sz w:val="20"/>
                <w:szCs w:val="20"/>
                <w:color w:val="auto"/>
              </w:rPr>
            </w:pPr>
            <w:r>
              <w:rPr>
                <w:rFonts w:ascii="Arial" w:cs="Arial" w:eastAsia="Arial" w:hAnsi="Arial"/>
                <w:sz w:val="10"/>
                <w:szCs w:val="10"/>
                <w:color w:val="auto"/>
              </w:rPr>
              <w:t>A-2</w:t>
            </w:r>
          </w:p>
        </w:tc>
        <w:tc>
          <w:tcPr>
            <w:tcW w:w="1300" w:type="dxa"/>
            <w:vAlign w:val="bottom"/>
          </w:tcPr>
          <w:p>
            <w:pPr>
              <w:ind w:left="500"/>
              <w:spacing w:after="0"/>
              <w:rPr>
                <w:sz w:val="20"/>
                <w:szCs w:val="20"/>
                <w:color w:val="auto"/>
              </w:rPr>
            </w:pPr>
            <w:r>
              <w:rPr>
                <w:rFonts w:ascii="Arial" w:cs="Arial" w:eastAsia="Arial" w:hAnsi="Arial"/>
                <w:sz w:val="10"/>
                <w:szCs w:val="10"/>
                <w:color w:val="auto"/>
              </w:rPr>
              <w:t>P-2</w:t>
            </w:r>
          </w:p>
        </w:tc>
        <w:tc>
          <w:tcPr>
            <w:tcW w:w="1620" w:type="dxa"/>
            <w:vAlign w:val="bottom"/>
          </w:tcPr>
          <w:p>
            <w:pPr>
              <w:ind w:left="420"/>
              <w:spacing w:after="0"/>
              <w:rPr>
                <w:sz w:val="20"/>
                <w:szCs w:val="20"/>
                <w:color w:val="auto"/>
              </w:rPr>
            </w:pPr>
            <w:r>
              <w:rPr>
                <w:rFonts w:ascii="Arial" w:cs="Arial" w:eastAsia="Arial" w:hAnsi="Arial"/>
                <w:sz w:val="10"/>
                <w:szCs w:val="10"/>
                <w:color w:val="auto"/>
              </w:rPr>
              <w:t>F-2</w:t>
            </w:r>
          </w:p>
        </w:tc>
      </w:tr>
      <w:tr>
        <w:trPr>
          <w:trHeight w:val="152"/>
        </w:trPr>
        <w:tc>
          <w:tcPr>
            <w:tcW w:w="880" w:type="dxa"/>
            <w:vAlign w:val="bottom"/>
          </w:tcPr>
          <w:p>
            <w:pPr>
              <w:ind w:left="20"/>
              <w:spacing w:after="0"/>
              <w:rPr>
                <w:sz w:val="20"/>
                <w:szCs w:val="20"/>
                <w:color w:val="auto"/>
              </w:rPr>
            </w:pPr>
            <w:r>
              <w:rPr>
                <w:rFonts w:ascii="Arial" w:cs="Arial" w:eastAsia="Arial" w:hAnsi="Arial"/>
                <w:sz w:val="10"/>
                <w:szCs w:val="10"/>
                <w:color w:val="auto"/>
              </w:rPr>
              <w:t>Long-term</w:t>
            </w:r>
          </w:p>
        </w:tc>
        <w:tc>
          <w:tcPr>
            <w:tcW w:w="1080" w:type="dxa"/>
            <w:vAlign w:val="bottom"/>
          </w:tcPr>
          <w:p>
            <w:pPr>
              <w:ind w:left="360"/>
              <w:spacing w:after="0"/>
              <w:rPr>
                <w:sz w:val="20"/>
                <w:szCs w:val="20"/>
                <w:color w:val="auto"/>
              </w:rPr>
            </w:pPr>
            <w:r>
              <w:rPr>
                <w:rFonts w:ascii="Arial" w:cs="Arial" w:eastAsia="Arial" w:hAnsi="Arial"/>
                <w:sz w:val="10"/>
                <w:szCs w:val="10"/>
                <w:color w:val="auto"/>
              </w:rPr>
              <w:t>BBB-</w:t>
            </w:r>
          </w:p>
        </w:tc>
        <w:tc>
          <w:tcPr>
            <w:tcW w:w="1300" w:type="dxa"/>
            <w:vAlign w:val="bottom"/>
          </w:tcPr>
          <w:p>
            <w:pPr>
              <w:ind w:left="500"/>
              <w:spacing w:after="0"/>
              <w:rPr>
                <w:sz w:val="20"/>
                <w:szCs w:val="20"/>
                <w:color w:val="auto"/>
              </w:rPr>
            </w:pPr>
            <w:r>
              <w:rPr>
                <w:rFonts w:ascii="Arial" w:cs="Arial" w:eastAsia="Arial" w:hAnsi="Arial"/>
                <w:sz w:val="10"/>
                <w:szCs w:val="10"/>
                <w:color w:val="auto"/>
              </w:rPr>
              <w:t>Baa3</w:t>
            </w:r>
          </w:p>
        </w:tc>
        <w:tc>
          <w:tcPr>
            <w:tcW w:w="1620" w:type="dxa"/>
            <w:vAlign w:val="bottom"/>
          </w:tcPr>
          <w:p>
            <w:pPr>
              <w:ind w:left="420"/>
              <w:spacing w:after="0"/>
              <w:rPr>
                <w:sz w:val="20"/>
                <w:szCs w:val="20"/>
                <w:color w:val="auto"/>
              </w:rPr>
            </w:pPr>
            <w:r>
              <w:rPr>
                <w:rFonts w:ascii="Arial" w:cs="Arial" w:eastAsia="Arial" w:hAnsi="Arial"/>
                <w:sz w:val="10"/>
                <w:szCs w:val="10"/>
                <w:color w:val="auto"/>
              </w:rPr>
              <w:t>BBB-</w:t>
            </w:r>
          </w:p>
        </w:tc>
      </w:tr>
    </w:tbl>
    <w:p>
      <w:pPr>
        <w:spacing w:after="0" w:line="6" w:lineRule="exact"/>
        <w:rPr>
          <w:sz w:val="20"/>
          <w:szCs w:val="20"/>
          <w:color w:val="auto"/>
        </w:rPr>
      </w:pPr>
    </w:p>
    <w:p>
      <w:pPr>
        <w:ind w:right="2520" w:firstLine="29"/>
        <w:spacing w:after="0" w:line="204" w:lineRule="auto"/>
        <w:rPr>
          <w:sz w:val="20"/>
          <w:szCs w:val="20"/>
          <w:color w:val="auto"/>
        </w:rPr>
      </w:pPr>
      <w:r>
        <w:rPr>
          <w:rFonts w:ascii="Arial" w:cs="Arial" w:eastAsia="Arial" w:hAnsi="Arial"/>
          <w:sz w:val="10"/>
          <w:szCs w:val="10"/>
          <w:color w:val="auto"/>
        </w:rPr>
        <w:t>As of December 31, 2024, 71% of Genmab’s $1,574 million marketable securities were long-term A rated or higher, or short-term A-1 / P-1 rated by S&amp;P, Moody’s or Fitch. Genmab did not have any marketable securities as of December 31, 2025, as they were liquidated to contribute to the financing of the Merus acquisition.</w:t>
      </w:r>
    </w:p>
    <w:p>
      <w:pPr>
        <w:spacing w:after="0" w:line="198" w:lineRule="auto"/>
        <w:rPr>
          <w:sz w:val="20"/>
          <w:szCs w:val="20"/>
          <w:color w:val="auto"/>
        </w:rPr>
      </w:pPr>
      <w:r>
        <w:rPr>
          <w:rFonts w:ascii="Arial" w:cs="Arial" w:eastAsia="Arial" w:hAnsi="Arial"/>
          <w:sz w:val="12"/>
          <w:szCs w:val="12"/>
          <w:b w:val="1"/>
          <w:bCs w:val="1"/>
          <w:color w:val="auto"/>
        </w:rPr>
        <w:t>Cash and Cash Equivalents</w:t>
      </w:r>
    </w:p>
    <w:p>
      <w:pPr>
        <w:ind w:right="2460"/>
        <w:spacing w:after="0" w:line="109" w:lineRule="exact"/>
        <w:rPr>
          <w:sz w:val="20"/>
          <w:szCs w:val="20"/>
          <w:color w:val="auto"/>
        </w:rPr>
      </w:pPr>
      <w:r>
        <w:rPr>
          <w:rFonts w:ascii="Arial" w:cs="Arial" w:eastAsia="Arial" w:hAnsi="Arial"/>
          <w:sz w:val="10"/>
          <w:szCs w:val="10"/>
          <w:color w:val="auto"/>
        </w:rPr>
        <w:t>To reduce the credit risk on our bank deposits, Genmab’s policy is only to invest its cash deposits with highly rated financial institutions. Currently, these financial institutions have a short- term Fitch and S&amp;P rating of at least F</w:t>
      </w:r>
      <w:r>
        <w:rPr>
          <w:rFonts w:ascii="MS PGothic" w:cs="MS PGothic" w:eastAsia="MS PGothic" w:hAnsi="MS PGothic"/>
          <w:sz w:val="10"/>
          <w:szCs w:val="10"/>
          <w:color w:val="auto"/>
        </w:rPr>
        <w:t>‑</w:t>
      </w:r>
      <w:r>
        <w:rPr>
          <w:rFonts w:ascii="Arial" w:cs="Arial" w:eastAsia="Arial" w:hAnsi="Arial"/>
          <w:sz w:val="10"/>
          <w:szCs w:val="10"/>
          <w:color w:val="auto"/>
        </w:rPr>
        <w:t>1 and A</w:t>
      </w:r>
      <w:r>
        <w:rPr>
          <w:rFonts w:ascii="MS PGothic" w:cs="MS PGothic" w:eastAsia="MS PGothic" w:hAnsi="MS PGothic"/>
          <w:sz w:val="10"/>
          <w:szCs w:val="10"/>
          <w:color w:val="auto"/>
        </w:rPr>
        <w:t>‑</w:t>
      </w:r>
      <w:r>
        <w:rPr>
          <w:rFonts w:ascii="Arial" w:cs="Arial" w:eastAsia="Arial" w:hAnsi="Arial"/>
          <w:sz w:val="10"/>
          <w:szCs w:val="10"/>
          <w:color w:val="auto"/>
        </w:rPr>
        <w:t>1, respectively. In addition, Genmab maintains bank deposits at a level necessary to support the short-term funding requirements of Genmab. The total value of bank deposits including AAA rated money market funds and short- term marketable securities classified as cash equivalents amounted to 1,380 million at the end of 2024. There were no short term marketable securities classified as cash and cash equivalents as of December 31, 2025. The decrease was primarily the result of cash used to acquire Merus in December 2025.</w:t>
      </w:r>
    </w:p>
    <w:p>
      <w:pPr>
        <w:spacing w:after="0" w:line="198" w:lineRule="auto"/>
        <w:rPr>
          <w:sz w:val="20"/>
          <w:szCs w:val="20"/>
          <w:color w:val="auto"/>
        </w:rPr>
      </w:pPr>
      <w:r>
        <w:rPr>
          <w:rFonts w:ascii="Arial" w:cs="Arial" w:eastAsia="Arial" w:hAnsi="Arial"/>
          <w:sz w:val="12"/>
          <w:szCs w:val="12"/>
          <w:b w:val="1"/>
          <w:bCs w:val="1"/>
          <w:color w:val="auto"/>
        </w:rPr>
        <w:t>Receivables</w:t>
      </w:r>
    </w:p>
    <w:p>
      <w:pPr>
        <w:ind w:right="2440"/>
        <w:spacing w:after="0" w:line="199" w:lineRule="auto"/>
        <w:rPr>
          <w:rFonts w:ascii="Arial" w:cs="Arial" w:eastAsia="Arial" w:hAnsi="Arial"/>
          <w:sz w:val="10"/>
          <w:szCs w:val="10"/>
          <w:color w:val="auto"/>
        </w:rPr>
      </w:pPr>
      <w:r>
        <w:rPr>
          <w:rFonts w:ascii="Arial" w:cs="Arial" w:eastAsia="Arial" w:hAnsi="Arial"/>
          <w:sz w:val="10"/>
          <w:szCs w:val="10"/>
          <w:color w:val="auto"/>
        </w:rPr>
        <w:t xml:space="preserve">The credit risk related to our receivables is not significant, despite a concentration of credit risk, due to the high -quality nature of Genmab’s collaboration partners. As disclosed in </w:t>
      </w:r>
      <w:hyperlink w:anchor="page141">
        <w:r>
          <w:rPr>
            <w:rFonts w:ascii="Arial" w:cs="Arial" w:eastAsia="Arial" w:hAnsi="Arial"/>
            <w:sz w:val="10"/>
            <w:szCs w:val="10"/>
            <w:b w:val="1"/>
            <w:bCs w:val="1"/>
            <w:color w:val="691A6B"/>
          </w:rPr>
          <w:t xml:space="preserve">Note </w:t>
        </w:r>
      </w:hyperlink>
      <w:r>
        <w:rPr>
          <w:rFonts w:ascii="Arial" w:cs="Arial" w:eastAsia="Arial" w:hAnsi="Arial"/>
          <w:sz w:val="10"/>
          <w:szCs w:val="10"/>
          <w:color w:val="auto"/>
        </w:rPr>
        <w:t>2.2, J&amp;J, Novartis, Roche, AbbVie and BioNTech are Genmab’s primary collaboration partners in which receivables are established for royalties, milestone revenue and reimbursement revenue. These collaboration partners are life sciences companies with strong credit worthiness and long-standing relationships with Genmab. Additionally, Genmab does not have a history of writing off receivables from collaboration partners.</w:t>
      </w:r>
    </w:p>
    <w:p>
      <w:pPr>
        <w:spacing w:after="0" w:line="212" w:lineRule="auto"/>
        <w:rPr>
          <w:sz w:val="20"/>
          <w:szCs w:val="20"/>
          <w:color w:val="auto"/>
        </w:rPr>
      </w:pPr>
      <w:r>
        <w:rPr>
          <w:rFonts w:ascii="Arial" w:cs="Arial" w:eastAsia="Arial" w:hAnsi="Arial"/>
          <w:sz w:val="13"/>
          <w:szCs w:val="13"/>
          <w:b w:val="1"/>
          <w:bCs w:val="1"/>
          <w:color w:val="691A6B"/>
        </w:rPr>
        <w:t>Foreign Currency Risk</w:t>
      </w:r>
    </w:p>
    <w:p>
      <w:pPr>
        <w:ind w:right="2560"/>
        <w:spacing w:after="0" w:line="198" w:lineRule="auto"/>
        <w:rPr>
          <w:sz w:val="20"/>
          <w:szCs w:val="20"/>
          <w:color w:val="auto"/>
        </w:rPr>
      </w:pPr>
      <w:r>
        <w:rPr>
          <w:rFonts w:ascii="Arial" w:cs="Arial" w:eastAsia="Arial" w:hAnsi="Arial"/>
          <w:sz w:val="10"/>
          <w:szCs w:val="10"/>
          <w:color w:val="auto"/>
        </w:rPr>
        <w:t>Genmab and its foreign subsidiaries are not significantly affected by currency risks as both revenues and expenses are primarily settled in the foreign subsidiaries’ functional currencies.</w:t>
      </w:r>
    </w:p>
    <w:p>
      <w:pPr>
        <w:spacing w:after="0" w:line="1" w:lineRule="exact"/>
        <w:rPr>
          <w:sz w:val="20"/>
          <w:szCs w:val="20"/>
          <w:color w:val="auto"/>
        </w:rPr>
      </w:pPr>
    </w:p>
    <w:p>
      <w:pPr>
        <w:ind w:right="2540"/>
        <w:spacing w:after="0"/>
        <w:rPr>
          <w:sz w:val="20"/>
          <w:szCs w:val="20"/>
          <w:color w:val="auto"/>
        </w:rPr>
      </w:pPr>
      <w:r>
        <w:rPr>
          <w:rFonts w:ascii="Arial" w:cs="Arial" w:eastAsia="Arial" w:hAnsi="Arial"/>
          <w:sz w:val="10"/>
          <w:szCs w:val="10"/>
          <w:color w:val="auto"/>
        </w:rPr>
        <w:t>The majority of Genmab’s revenue is generated in USD. Exchange rate changes to the USD, prior to Genmab A/S changing its functional and group presentation currency from DKK to USD effective January 1, 2025, resulted in changes to the translated value of future net profit before tax and cash flows. Genmab’s revenue in USD was 81% of total revenue in 2025 as compared to 79% in 2024 and 86% in 2023.</w:t>
      </w:r>
    </w:p>
    <w:p>
      <w:pPr>
        <w:spacing w:after="0" w:line="16" w:lineRule="exact"/>
        <w:rPr>
          <w:sz w:val="20"/>
          <w:szCs w:val="20"/>
          <w:color w:val="auto"/>
        </w:rPr>
      </w:pPr>
    </w:p>
    <w:p>
      <w:pPr>
        <w:ind w:right="2440"/>
        <w:spacing w:after="0"/>
        <w:rPr>
          <w:sz w:val="20"/>
          <w:szCs w:val="20"/>
          <w:color w:val="auto"/>
        </w:rPr>
      </w:pPr>
      <w:r>
        <w:rPr>
          <w:rFonts w:ascii="Arial" w:cs="Arial" w:eastAsia="Arial" w:hAnsi="Arial"/>
          <w:sz w:val="10"/>
          <w:szCs w:val="10"/>
          <w:color w:val="auto"/>
        </w:rPr>
        <w:t>Under our license agreement with J&amp;J for DARZALEX, for purposes of calculating royalties due to Genmab, DARZALEX net sales for non-U.S. dollar denominated currencies are translated to U.S. dollars at a specified annual Currency Hedge Rate. Movements in foreign exchanges against the annual Currency Hedge Rate will result in changes to royalties due to Genmab impacting net profit before tax and cash flows.</w:t>
      </w:r>
    </w:p>
    <w:p>
      <w:pPr>
        <w:spacing w:after="0" w:line="16" w:lineRule="exact"/>
        <w:rPr>
          <w:sz w:val="20"/>
          <w:szCs w:val="20"/>
          <w:color w:val="auto"/>
        </w:rPr>
      </w:pPr>
    </w:p>
    <w:p>
      <w:pPr>
        <w:ind w:right="2640"/>
        <w:spacing w:after="0" w:line="198" w:lineRule="auto"/>
        <w:rPr>
          <w:sz w:val="20"/>
          <w:szCs w:val="20"/>
          <w:color w:val="auto"/>
        </w:rPr>
      </w:pPr>
      <w:r>
        <w:rPr>
          <w:rFonts w:ascii="Arial" w:cs="Arial" w:eastAsia="Arial" w:hAnsi="Arial"/>
          <w:sz w:val="10"/>
          <w:szCs w:val="10"/>
          <w:color w:val="auto"/>
        </w:rPr>
        <w:t>There is also exposure that exchange rate fluctuations may impact equity as part of the currency translation adjustments required to convert the investments in foreign subsidiaries from their respective functional currencies to the presentation currency of USD during consolidation, however any such fluctuations would be immaterial.</w:t>
      </w:r>
    </w:p>
    <w:p>
      <w:pPr>
        <w:spacing w:after="0" w:line="1" w:lineRule="exact"/>
        <w:rPr>
          <w:sz w:val="20"/>
          <w:szCs w:val="20"/>
          <w:color w:val="auto"/>
        </w:rPr>
      </w:pPr>
    </w:p>
    <w:p>
      <w:pPr>
        <w:ind w:right="2440"/>
        <w:spacing w:after="0" w:line="215" w:lineRule="auto"/>
        <w:rPr>
          <w:sz w:val="20"/>
          <w:szCs w:val="20"/>
          <w:color w:val="auto"/>
        </w:rPr>
      </w:pPr>
      <w:r>
        <w:rPr>
          <w:rFonts w:ascii="Arial" w:cs="Arial" w:eastAsia="Arial" w:hAnsi="Arial"/>
          <w:sz w:val="10"/>
          <w:szCs w:val="10"/>
          <w:color w:val="auto"/>
        </w:rPr>
        <w:t>To manage and reduce this foreign currency risk, Genmab maintains a large portion of its investment portfolio in cash equivalents and marketable securities in USD as well as a portion of cash equivalents and marketable securities in DKK, EUR and GBP as a natural partial hedge of Genmab A/S’s liability exposures in those currencies.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132</w:t>
      </w:r>
    </w:p>
    <w:p>
      <w:pPr>
        <w:sectPr>
          <w:pgSz w:w="11900" w:h="16840" w:orient="portrait"/>
          <w:cols w:equalWidth="0" w:num="2">
            <w:col w:w="7400" w:space="720"/>
            <w:col w:w="1700"/>
          </w:cols>
          <w:pgMar w:left="640" w:top="1440" w:right="1440" w:bottom="883" w:gutter="0" w:footer="0" w:header="0"/>
        </w:sectPr>
      </w:pPr>
    </w:p>
    <w:bookmarkStart w:id="147" w:name="page148"/>
    <w:bookmarkEnd w:id="147"/>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133</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195" w:lineRule="auto"/>
        <w:rPr>
          <w:sz w:val="20"/>
          <w:szCs w:val="20"/>
          <w:color w:val="auto"/>
        </w:rPr>
      </w:pPr>
      <w:r>
        <w:rPr>
          <w:rFonts w:ascii="Arial" w:cs="Arial" w:eastAsia="Arial" w:hAnsi="Arial"/>
          <w:sz w:val="12"/>
          <w:szCs w:val="12"/>
          <w:b w:val="1"/>
          <w:bCs w:val="1"/>
          <w:color w:val="auto"/>
        </w:rPr>
        <w:t>Assets and Liabilities in Foreign Currency</w:t>
      </w:r>
    </w:p>
    <w:p>
      <w:pPr>
        <w:spacing w:after="0" w:line="199" w:lineRule="auto"/>
        <w:rPr>
          <w:sz w:val="20"/>
          <w:szCs w:val="20"/>
          <w:color w:val="auto"/>
        </w:rPr>
      </w:pPr>
      <w:r>
        <w:rPr>
          <w:rFonts w:ascii="Arial" w:cs="Arial" w:eastAsia="Arial" w:hAnsi="Arial"/>
          <w:sz w:val="10"/>
          <w:szCs w:val="10"/>
          <w:color w:val="auto"/>
        </w:rPr>
        <w:t>Genmab’s marketable securities denominated in USD, DKK, EUR and GBP as a percentage of total</w:t>
      </w:r>
    </w:p>
    <w:p>
      <w:pPr>
        <w:spacing w:after="0" w:line="217" w:lineRule="auto"/>
        <w:rPr>
          <w:sz w:val="20"/>
          <w:szCs w:val="20"/>
          <w:color w:val="auto"/>
        </w:rPr>
      </w:pPr>
      <w:r>
        <w:rPr>
          <w:rFonts w:ascii="Arial" w:cs="Arial" w:eastAsia="Arial" w:hAnsi="Arial"/>
          <w:sz w:val="10"/>
          <w:szCs w:val="10"/>
          <w:color w:val="auto"/>
        </w:rPr>
        <w:t>marketable securities were as follows:</w:t>
      </w:r>
    </w:p>
    <w:tbl>
      <w:tblPr>
        <w:tblLayout w:type="fixed"/>
        <w:tblInd w:w="0" w:type="dxa"/>
        <w:tblCellMar>
          <w:top w:w="0" w:type="dxa"/>
          <w:left w:w="0" w:type="dxa"/>
          <w:bottom w:w="0" w:type="dxa"/>
          <w:right w:w="0" w:type="dxa"/>
        </w:tblCellMar>
      </w:tblPr>
      <w:tr>
        <w:trPr>
          <w:trHeight w:val="128"/>
        </w:trPr>
        <w:tc>
          <w:tcPr>
            <w:tcW w:w="2060" w:type="dxa"/>
            <w:vAlign w:val="bottom"/>
            <w:tcBorders>
              <w:top w:val="single" w:sz="8" w:color="691A6B"/>
            </w:tcBorders>
            <w:vMerge w:val="restart"/>
          </w:tcPr>
          <w:p>
            <w:pPr>
              <w:ind w:left="20"/>
              <w:spacing w:after="0"/>
              <w:rPr>
                <w:sz w:val="20"/>
                <w:szCs w:val="20"/>
                <w:color w:val="auto"/>
              </w:rPr>
            </w:pPr>
            <w:r>
              <w:rPr>
                <w:rFonts w:ascii="Arial" w:cs="Arial" w:eastAsia="Arial" w:hAnsi="Arial"/>
                <w:sz w:val="10"/>
                <w:szCs w:val="10"/>
                <w:color w:val="auto"/>
              </w:rPr>
              <w:t>Percent</w:t>
            </w:r>
          </w:p>
        </w:tc>
        <w:tc>
          <w:tcPr>
            <w:tcW w:w="1500" w:type="dxa"/>
            <w:vAlign w:val="bottom"/>
            <w:tcBorders>
              <w:top w:val="single" w:sz="8" w:color="691A6B"/>
            </w:tcBorders>
          </w:tcPr>
          <w:p>
            <w:pPr>
              <w:ind w:left="1000"/>
              <w:spacing w:after="0"/>
              <w:rPr>
                <w:sz w:val="20"/>
                <w:szCs w:val="20"/>
                <w:color w:val="auto"/>
              </w:rPr>
            </w:pPr>
            <w:r>
              <w:rPr>
                <w:rFonts w:ascii="Arial" w:cs="Arial" w:eastAsia="Arial" w:hAnsi="Arial"/>
                <w:sz w:val="10"/>
                <w:szCs w:val="10"/>
                <w:b w:val="1"/>
                <w:bCs w:val="1"/>
                <w:color w:val="691A6B"/>
              </w:rPr>
              <w:t>2025</w:t>
            </w:r>
          </w:p>
        </w:tc>
        <w:tc>
          <w:tcPr>
            <w:tcW w:w="920" w:type="dxa"/>
            <w:vAlign w:val="bottom"/>
            <w:tcBorders>
              <w:top w:val="single" w:sz="8" w:color="691A6B"/>
            </w:tcBorders>
          </w:tcPr>
          <w:p>
            <w:pPr>
              <w:ind w:left="420"/>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top w:val="single" w:sz="8" w:color="691A6B"/>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60" w:type="dxa"/>
            <w:vAlign w:val="bottom"/>
          </w:tcPr>
          <w:p>
            <w:pPr>
              <w:ind w:left="20"/>
              <w:spacing w:after="0"/>
              <w:rPr>
                <w:sz w:val="20"/>
                <w:szCs w:val="20"/>
                <w:color w:val="auto"/>
              </w:rPr>
            </w:pPr>
            <w:r>
              <w:rPr>
                <w:rFonts w:ascii="Arial" w:cs="Arial" w:eastAsia="Arial" w:hAnsi="Arial"/>
                <w:sz w:val="10"/>
                <w:szCs w:val="10"/>
                <w:color w:val="auto"/>
              </w:rPr>
              <w:t>USD</w:t>
            </w:r>
          </w:p>
        </w:tc>
        <w:tc>
          <w:tcPr>
            <w:tcW w:w="1500" w:type="dxa"/>
            <w:vAlign w:val="bottom"/>
          </w:tcPr>
          <w:p>
            <w:pPr>
              <w:ind w:left="1000"/>
              <w:spacing w:after="0"/>
              <w:rPr>
                <w:sz w:val="20"/>
                <w:szCs w:val="20"/>
                <w:color w:val="auto"/>
              </w:rPr>
            </w:pPr>
            <w:r>
              <w:rPr>
                <w:rFonts w:ascii="Arial" w:cs="Arial" w:eastAsia="Arial" w:hAnsi="Arial"/>
                <w:sz w:val="10"/>
                <w:szCs w:val="10"/>
                <w:color w:val="691A6B"/>
              </w:rPr>
              <w:t>—</w:t>
            </w:r>
          </w:p>
        </w:tc>
        <w:tc>
          <w:tcPr>
            <w:tcW w:w="920" w:type="dxa"/>
            <w:vAlign w:val="bottom"/>
          </w:tcPr>
          <w:p>
            <w:pPr>
              <w:ind w:left="280"/>
              <w:spacing w:after="0"/>
              <w:rPr>
                <w:sz w:val="20"/>
                <w:szCs w:val="20"/>
                <w:color w:val="auto"/>
              </w:rPr>
            </w:pPr>
            <w:r>
              <w:rPr>
                <w:rFonts w:ascii="Arial" w:cs="Arial" w:eastAsia="Arial" w:hAnsi="Arial"/>
                <w:sz w:val="10"/>
                <w:szCs w:val="10"/>
                <w:color w:val="691A6B"/>
              </w:rPr>
              <w:t xml:space="preserve">% </w:t>
            </w:r>
            <w:r>
              <w:rPr>
                <w:rFonts w:ascii="Arial" w:cs="Arial" w:eastAsia="Arial" w:hAnsi="Arial"/>
                <w:sz w:val="10"/>
                <w:szCs w:val="10"/>
                <w:color w:val="000000"/>
              </w:rPr>
              <w:t>76</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2060" w:type="dxa"/>
            <w:vAlign w:val="bottom"/>
          </w:tcPr>
          <w:p>
            <w:pPr>
              <w:ind w:left="20"/>
              <w:spacing w:after="0"/>
              <w:rPr>
                <w:sz w:val="20"/>
                <w:szCs w:val="20"/>
                <w:color w:val="auto"/>
              </w:rPr>
            </w:pPr>
            <w:r>
              <w:rPr>
                <w:rFonts w:ascii="Arial" w:cs="Arial" w:eastAsia="Arial" w:hAnsi="Arial"/>
                <w:sz w:val="10"/>
                <w:szCs w:val="10"/>
                <w:color w:val="auto"/>
              </w:rPr>
              <w:t>DKK</w:t>
            </w:r>
          </w:p>
        </w:tc>
        <w:tc>
          <w:tcPr>
            <w:tcW w:w="1500" w:type="dxa"/>
            <w:vAlign w:val="bottom"/>
          </w:tcPr>
          <w:p>
            <w:pPr>
              <w:ind w:left="1000"/>
              <w:spacing w:after="0"/>
              <w:rPr>
                <w:sz w:val="20"/>
                <w:szCs w:val="20"/>
                <w:color w:val="auto"/>
              </w:rPr>
            </w:pPr>
            <w:r>
              <w:rPr>
                <w:rFonts w:ascii="Arial" w:cs="Arial" w:eastAsia="Arial" w:hAnsi="Arial"/>
                <w:sz w:val="10"/>
                <w:szCs w:val="10"/>
                <w:color w:val="691A6B"/>
              </w:rPr>
              <w:t>—</w:t>
            </w:r>
          </w:p>
        </w:tc>
        <w:tc>
          <w:tcPr>
            <w:tcW w:w="920" w:type="dxa"/>
            <w:vAlign w:val="bottom"/>
          </w:tcPr>
          <w:p>
            <w:pPr>
              <w:ind w:left="280"/>
              <w:spacing w:after="0"/>
              <w:rPr>
                <w:sz w:val="20"/>
                <w:szCs w:val="20"/>
                <w:color w:val="auto"/>
              </w:rPr>
            </w:pPr>
            <w:r>
              <w:rPr>
                <w:rFonts w:ascii="Arial" w:cs="Arial" w:eastAsia="Arial" w:hAnsi="Arial"/>
                <w:sz w:val="10"/>
                <w:szCs w:val="10"/>
                <w:color w:val="691A6B"/>
              </w:rPr>
              <w:t xml:space="preserve">% </w:t>
            </w:r>
            <w:r>
              <w:rPr>
                <w:rFonts w:ascii="Arial" w:cs="Arial" w:eastAsia="Arial" w:hAnsi="Arial"/>
                <w:sz w:val="10"/>
                <w:szCs w:val="10"/>
                <w:color w:val="000000"/>
              </w:rPr>
              <w:t>15</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2060" w:type="dxa"/>
            <w:vAlign w:val="bottom"/>
          </w:tcPr>
          <w:p>
            <w:pPr>
              <w:ind w:left="20"/>
              <w:spacing w:after="0"/>
              <w:rPr>
                <w:sz w:val="20"/>
                <w:szCs w:val="20"/>
                <w:color w:val="auto"/>
              </w:rPr>
            </w:pPr>
            <w:r>
              <w:rPr>
                <w:rFonts w:ascii="Arial" w:cs="Arial" w:eastAsia="Arial" w:hAnsi="Arial"/>
                <w:sz w:val="10"/>
                <w:szCs w:val="10"/>
                <w:color w:val="auto"/>
              </w:rPr>
              <w:t>EUR</w:t>
            </w:r>
          </w:p>
        </w:tc>
        <w:tc>
          <w:tcPr>
            <w:tcW w:w="1500" w:type="dxa"/>
            <w:vAlign w:val="bottom"/>
          </w:tcPr>
          <w:p>
            <w:pPr>
              <w:ind w:left="1000"/>
              <w:spacing w:after="0"/>
              <w:rPr>
                <w:sz w:val="20"/>
                <w:szCs w:val="20"/>
                <w:color w:val="auto"/>
              </w:rPr>
            </w:pPr>
            <w:r>
              <w:rPr>
                <w:rFonts w:ascii="Arial" w:cs="Arial" w:eastAsia="Arial" w:hAnsi="Arial"/>
                <w:sz w:val="10"/>
                <w:szCs w:val="10"/>
                <w:color w:val="691A6B"/>
              </w:rPr>
              <w:t>—</w:t>
            </w:r>
          </w:p>
        </w:tc>
        <w:tc>
          <w:tcPr>
            <w:tcW w:w="920" w:type="dxa"/>
            <w:vAlign w:val="bottom"/>
          </w:tcPr>
          <w:p>
            <w:pPr>
              <w:ind w:left="280"/>
              <w:spacing w:after="0"/>
              <w:rPr>
                <w:sz w:val="20"/>
                <w:szCs w:val="20"/>
                <w:color w:val="auto"/>
              </w:rPr>
            </w:pPr>
            <w:r>
              <w:rPr>
                <w:rFonts w:ascii="Arial" w:cs="Arial" w:eastAsia="Arial" w:hAnsi="Arial"/>
                <w:sz w:val="10"/>
                <w:szCs w:val="10"/>
                <w:color w:val="691A6B"/>
              </w:rPr>
              <w:t xml:space="preserve">% </w:t>
            </w:r>
            <w:r>
              <w:rPr>
                <w:rFonts w:ascii="Arial" w:cs="Arial" w:eastAsia="Arial" w:hAnsi="Arial"/>
                <w:sz w:val="10"/>
                <w:szCs w:val="10"/>
                <w:color w:val="000000"/>
              </w:rPr>
              <w:t>8</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2060" w:type="dxa"/>
            <w:vAlign w:val="bottom"/>
          </w:tcPr>
          <w:p>
            <w:pPr>
              <w:ind w:left="20"/>
              <w:spacing w:after="0"/>
              <w:rPr>
                <w:sz w:val="20"/>
                <w:szCs w:val="20"/>
                <w:color w:val="auto"/>
              </w:rPr>
            </w:pPr>
            <w:r>
              <w:rPr>
                <w:rFonts w:ascii="Arial" w:cs="Arial" w:eastAsia="Arial" w:hAnsi="Arial"/>
                <w:sz w:val="10"/>
                <w:szCs w:val="10"/>
                <w:color w:val="auto"/>
              </w:rPr>
              <w:t>GBP</w:t>
            </w:r>
          </w:p>
        </w:tc>
        <w:tc>
          <w:tcPr>
            <w:tcW w:w="1500" w:type="dxa"/>
            <w:vAlign w:val="bottom"/>
          </w:tcPr>
          <w:p>
            <w:pPr>
              <w:ind w:left="1000"/>
              <w:spacing w:after="0"/>
              <w:rPr>
                <w:sz w:val="20"/>
                <w:szCs w:val="20"/>
                <w:color w:val="auto"/>
              </w:rPr>
            </w:pPr>
            <w:r>
              <w:rPr>
                <w:rFonts w:ascii="Arial" w:cs="Arial" w:eastAsia="Arial" w:hAnsi="Arial"/>
                <w:sz w:val="10"/>
                <w:szCs w:val="10"/>
                <w:color w:val="691A6B"/>
              </w:rPr>
              <w:t>—</w:t>
            </w:r>
          </w:p>
        </w:tc>
        <w:tc>
          <w:tcPr>
            <w:tcW w:w="920" w:type="dxa"/>
            <w:vAlign w:val="bottom"/>
          </w:tcPr>
          <w:p>
            <w:pPr>
              <w:ind w:left="280"/>
              <w:spacing w:after="0"/>
              <w:rPr>
                <w:sz w:val="20"/>
                <w:szCs w:val="20"/>
                <w:color w:val="auto"/>
              </w:rPr>
            </w:pPr>
            <w:r>
              <w:rPr>
                <w:rFonts w:ascii="Arial" w:cs="Arial" w:eastAsia="Arial" w:hAnsi="Arial"/>
                <w:sz w:val="10"/>
                <w:szCs w:val="10"/>
                <w:color w:val="691A6B"/>
              </w:rPr>
              <w:t xml:space="preserve">% </w:t>
            </w:r>
            <w:r>
              <w:rPr>
                <w:rFonts w:ascii="Arial" w:cs="Arial" w:eastAsia="Arial" w:hAnsi="Arial"/>
                <w:sz w:val="10"/>
                <w:szCs w:val="10"/>
                <w:color w:val="000000"/>
              </w:rPr>
              <w:t>1</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206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1500" w:type="dxa"/>
            <w:vAlign w:val="bottom"/>
          </w:tcPr>
          <w:p>
            <w:pPr>
              <w:ind w:left="1000"/>
              <w:spacing w:after="0"/>
              <w:rPr>
                <w:sz w:val="20"/>
                <w:szCs w:val="20"/>
                <w:color w:val="auto"/>
              </w:rPr>
            </w:pPr>
            <w:r>
              <w:rPr>
                <w:rFonts w:ascii="Arial" w:cs="Arial" w:eastAsia="Arial" w:hAnsi="Arial"/>
                <w:sz w:val="10"/>
                <w:szCs w:val="10"/>
                <w:b w:val="1"/>
                <w:bCs w:val="1"/>
                <w:color w:val="691A6B"/>
              </w:rPr>
              <w:t>—</w:t>
            </w:r>
          </w:p>
        </w:tc>
        <w:tc>
          <w:tcPr>
            <w:tcW w:w="920" w:type="dxa"/>
            <w:vAlign w:val="bottom"/>
          </w:tcPr>
          <w:p>
            <w:pPr>
              <w:ind w:left="280"/>
              <w:spacing w:after="0"/>
              <w:rPr>
                <w:sz w:val="20"/>
                <w:szCs w:val="20"/>
                <w:color w:val="auto"/>
              </w:rPr>
            </w:pPr>
            <w:r>
              <w:rPr>
                <w:rFonts w:ascii="Arial" w:cs="Arial" w:eastAsia="Arial" w:hAnsi="Arial"/>
                <w:sz w:val="10"/>
                <w:szCs w:val="10"/>
                <w:b w:val="1"/>
                <w:bCs w:val="1"/>
                <w:color w:val="691A6B"/>
              </w:rPr>
              <w:t xml:space="preserve">% </w:t>
            </w:r>
            <w:r>
              <w:rPr>
                <w:rFonts w:ascii="Arial" w:cs="Arial" w:eastAsia="Arial" w:hAnsi="Arial"/>
                <w:sz w:val="10"/>
                <w:szCs w:val="10"/>
                <w:color w:val="000000"/>
              </w:rPr>
              <w:t>100</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ind w:right="4860"/>
        <w:spacing w:after="0" w:line="200" w:lineRule="auto"/>
        <w:rPr>
          <w:sz w:val="20"/>
          <w:szCs w:val="20"/>
          <w:color w:val="auto"/>
        </w:rPr>
      </w:pPr>
      <w:r>
        <w:rPr>
          <w:rFonts w:ascii="Arial" w:cs="Arial" w:eastAsia="Arial" w:hAnsi="Arial"/>
          <w:sz w:val="10"/>
          <w:szCs w:val="10"/>
          <w:color w:val="auto"/>
        </w:rPr>
        <w:t>Genmab’s USD currency exposure, prior to Genmab A/S changing its functional and group presentation currency from DKK to USD effective January 1, 2025, mainly related to cash and cash equivalents, marketable securities, and receivables related to our collaborations with J&amp;J, AbbVie, and Roche. Prior to January 1, 2025, significant changes in the exchange rate of USD to DKK have caused net profit before tax to change materially as gains and losses are recognized in the Consolidated Statements of Comprehensive Income. Based on the amount of assets and liabilities denominated in USD as of December 31, 2024, a 10% increase/decrease in the USD to DKK exchange rate was estimated to impact Genmab’s net profit before tax by approximately $266 million. The analysis assumed that all other variables, in particular interest rates, remain constant. The movements in the income statement and equity arise from monetary items (cash and cash equivalents, marketable securities, receivables, and liabilities) where the functional currency of the entity differs from the currency that the monetary items are denominated in. As of December 31, 2025, Genmab’s DKK exposure is not material.</w:t>
      </w:r>
    </w:p>
    <w:p>
      <w:pPr>
        <w:spacing w:after="0" w:line="2" w:lineRule="exact"/>
        <w:rPr>
          <w:rFonts w:ascii="Arial" w:cs="Arial" w:eastAsia="Arial" w:hAnsi="Arial"/>
          <w:sz w:val="10"/>
          <w:szCs w:val="10"/>
          <w:color w:val="auto"/>
        </w:rPr>
      </w:pPr>
    </w:p>
    <w:p>
      <w:pPr>
        <w:ind w:right="4880"/>
        <w:spacing w:after="0" w:line="199" w:lineRule="auto"/>
        <w:rPr>
          <w:sz w:val="20"/>
          <w:szCs w:val="20"/>
          <w:color w:val="auto"/>
        </w:rPr>
      </w:pPr>
      <w:r>
        <w:rPr>
          <w:rFonts w:ascii="Arial" w:cs="Arial" w:eastAsia="Arial" w:hAnsi="Arial"/>
          <w:sz w:val="10"/>
          <w:szCs w:val="10"/>
          <w:color w:val="auto"/>
        </w:rPr>
        <w:t>Genmab’s EUR exposure is mainly related to our marketable securities, receivables under our collaboration with BioNTech, intangible assets acquired through the acquisition of Merus and other costs denominated in EUR. As of December 31, 2025 and 2024, Genmab’s EUR exposure is not material. Genmab’s GBP currency exposure is mainly related to contracts and marketable securities denominated in GBP. As of December 31, 2025 and 2024, Genmab’s GBP exposure is not material.</w:t>
      </w:r>
    </w:p>
    <w:p>
      <w:pPr>
        <w:spacing w:after="0" w:line="212" w:lineRule="auto"/>
        <w:rPr>
          <w:sz w:val="20"/>
          <w:szCs w:val="20"/>
          <w:color w:val="auto"/>
        </w:rPr>
      </w:pPr>
      <w:r>
        <w:rPr>
          <w:rFonts w:ascii="Arial" w:cs="Arial" w:eastAsia="Arial" w:hAnsi="Arial"/>
          <w:sz w:val="13"/>
          <w:szCs w:val="13"/>
          <w:b w:val="1"/>
          <w:bCs w:val="1"/>
          <w:color w:val="691A6B"/>
        </w:rPr>
        <w:t>Interest Rate Risk</w:t>
      </w:r>
    </w:p>
    <w:p>
      <w:pPr>
        <w:ind w:right="4880"/>
        <w:spacing w:after="0" w:line="198" w:lineRule="auto"/>
        <w:rPr>
          <w:sz w:val="20"/>
          <w:szCs w:val="20"/>
          <w:color w:val="auto"/>
        </w:rPr>
      </w:pPr>
      <w:r>
        <w:rPr>
          <w:rFonts w:ascii="Arial" w:cs="Arial" w:eastAsia="Arial" w:hAnsi="Arial"/>
          <w:sz w:val="10"/>
          <w:szCs w:val="10"/>
          <w:color w:val="auto"/>
        </w:rPr>
        <w:t>Genmab is exposed to interest rate risk as the Senior Unsecured Notes of $1 billion and Senior Secured Notes of $1.5 billion have fixed rates, and Term Loan A of $1 billion and Term Loan B of $2 billion have been partially swapped to fixed rates using hedging instruments effective January 2026 and Genmab intends to apply hedge accounting. The effectiveness of the hedging instruments will be monitored by Management on a quarterly basis. Genmab’s exposure to interest rate risk as of December 31, 2025 is low due to the debt issuance, and related interest rate exposure, occurring in December 2025.</w:t>
      </w:r>
    </w:p>
    <w:p>
      <w:pPr>
        <w:spacing w:after="0" w:line="202" w:lineRule="auto"/>
        <w:rPr>
          <w:sz w:val="20"/>
          <w:szCs w:val="20"/>
          <w:color w:val="auto"/>
        </w:rPr>
      </w:pPr>
      <w:r>
        <w:rPr>
          <w:rFonts w:ascii="Arial" w:cs="Arial" w:eastAsia="Arial" w:hAnsi="Arial"/>
          <w:sz w:val="10"/>
          <w:szCs w:val="10"/>
          <w:color w:val="auto"/>
        </w:rPr>
        <w:t>An interest rate change on Term Loan A and Term Loan B of +/- 1 percentage point would not materially</w:t>
      </w:r>
    </w:p>
    <w:p>
      <w:pPr>
        <w:spacing w:after="0" w:line="199" w:lineRule="auto"/>
        <w:rPr>
          <w:sz w:val="20"/>
          <w:szCs w:val="20"/>
          <w:color w:val="auto"/>
        </w:rPr>
      </w:pPr>
      <w:r>
        <w:rPr>
          <w:rFonts w:ascii="Arial" w:cs="Arial" w:eastAsia="Arial" w:hAnsi="Arial"/>
          <w:sz w:val="10"/>
          <w:szCs w:val="10"/>
          <w:color w:val="auto"/>
        </w:rPr>
        <w:t>decrease/increase net profit before tax in 2025, primarily due to the loans being acquired in December</w:t>
      </w:r>
    </w:p>
    <w:p>
      <w:pPr>
        <w:spacing w:after="0" w:line="198" w:lineRule="auto"/>
        <w:rPr>
          <w:sz w:val="20"/>
          <w:szCs w:val="20"/>
          <w:color w:val="auto"/>
        </w:rPr>
      </w:pPr>
      <w:r>
        <w:rPr>
          <w:rFonts w:ascii="Arial" w:cs="Arial" w:eastAsia="Arial" w:hAnsi="Arial"/>
          <w:sz w:val="10"/>
          <w:szCs w:val="10"/>
          <w:color w:val="auto"/>
        </w:rPr>
        <w:t>2025. There was no interest-bearing debt in 2024.</w:t>
      </w:r>
    </w:p>
    <w:p>
      <w:pPr>
        <w:spacing w:after="0" w:line="203" w:lineRule="auto"/>
        <w:rPr>
          <w:sz w:val="20"/>
          <w:szCs w:val="20"/>
          <w:color w:val="auto"/>
        </w:rPr>
      </w:pPr>
      <w:r>
        <w:rPr>
          <w:rFonts w:ascii="Arial" w:cs="Arial" w:eastAsia="Arial" w:hAnsi="Arial"/>
          <w:sz w:val="10"/>
          <w:szCs w:val="10"/>
          <w:color w:val="691A6B"/>
        </w:rPr>
        <w:t xml:space="preserve">For more information on Genmab’s borrowings refer to </w:t>
      </w:r>
      <w:r>
        <w:rPr>
          <w:rFonts w:ascii="Arial" w:cs="Arial" w:eastAsia="Arial" w:hAnsi="Arial"/>
          <w:sz w:val="10"/>
          <w:szCs w:val="10"/>
          <w:b w:val="1"/>
          <w:bCs w:val="1"/>
          <w:color w:val="691A6B"/>
        </w:rPr>
        <w:t>Note 4.8</w:t>
      </w:r>
      <w:r>
        <w:rPr>
          <w:rFonts w:ascii="Arial" w:cs="Arial" w:eastAsia="Arial" w:hAnsi="Arial"/>
          <w:sz w:val="10"/>
          <w:szCs w:val="10"/>
          <w:color w:val="691A6B"/>
        </w:rPr>
        <w:t>.</w:t>
      </w:r>
    </w:p>
    <w:p>
      <w:pPr>
        <w:spacing w:after="0" w:line="195" w:lineRule="auto"/>
        <w:rPr>
          <w:sz w:val="20"/>
          <w:szCs w:val="20"/>
          <w:color w:val="auto"/>
        </w:rPr>
      </w:pPr>
      <w:r>
        <w:rPr>
          <w:rFonts w:ascii="Arial" w:cs="Arial" w:eastAsia="Arial" w:hAnsi="Arial"/>
          <w:sz w:val="12"/>
          <w:szCs w:val="12"/>
          <w:b w:val="1"/>
          <w:bCs w:val="1"/>
          <w:color w:val="auto"/>
        </w:rPr>
        <w:t>Marketable Securities</w:t>
      </w:r>
    </w:p>
    <w:p>
      <w:pPr>
        <w:spacing w:after="0" w:line="199" w:lineRule="auto"/>
        <w:rPr>
          <w:sz w:val="20"/>
          <w:szCs w:val="20"/>
          <w:color w:val="auto"/>
        </w:rPr>
      </w:pPr>
      <w:r>
        <w:rPr>
          <w:rFonts w:ascii="Arial" w:cs="Arial" w:eastAsia="Arial" w:hAnsi="Arial"/>
          <w:sz w:val="10"/>
          <w:szCs w:val="10"/>
          <w:color w:val="auto"/>
        </w:rPr>
        <w:t>The securities in which the Group has invested bear interest rate risk, as a change in market-derived</w:t>
      </w:r>
    </w:p>
    <w:p>
      <w:pPr>
        <w:spacing w:after="0" w:line="199" w:lineRule="auto"/>
        <w:rPr>
          <w:sz w:val="20"/>
          <w:szCs w:val="20"/>
          <w:color w:val="auto"/>
        </w:rPr>
      </w:pPr>
      <w:r>
        <w:rPr>
          <w:rFonts w:ascii="Arial" w:cs="Arial" w:eastAsia="Arial" w:hAnsi="Arial"/>
          <w:sz w:val="10"/>
          <w:szCs w:val="10"/>
          <w:color w:val="auto"/>
        </w:rPr>
        <w:t>interest rates may cause fluctuations in the fair value of the investments. In accordance with the objective</w:t>
      </w:r>
    </w:p>
    <w:p>
      <w:pPr>
        <w:spacing w:after="0" w:line="198" w:lineRule="auto"/>
        <w:rPr>
          <w:sz w:val="20"/>
          <w:szCs w:val="20"/>
          <w:color w:val="auto"/>
        </w:rPr>
      </w:pPr>
      <w:r>
        <w:rPr>
          <w:rFonts w:ascii="Arial" w:cs="Arial" w:eastAsia="Arial" w:hAnsi="Arial"/>
          <w:sz w:val="10"/>
          <w:szCs w:val="10"/>
          <w:color w:val="auto"/>
        </w:rPr>
        <w:t>of the investment activities, the portfolio of securities is monitored on a total return basis.</w:t>
      </w:r>
    </w:p>
    <w:p>
      <w:pPr>
        <w:spacing w:after="0" w:line="199" w:lineRule="auto"/>
        <w:rPr>
          <w:sz w:val="20"/>
          <w:szCs w:val="20"/>
          <w:color w:val="auto"/>
        </w:rPr>
      </w:pPr>
      <w:r>
        <w:rPr>
          <w:rFonts w:ascii="Arial" w:cs="Arial" w:eastAsia="Arial" w:hAnsi="Arial"/>
          <w:sz w:val="10"/>
          <w:szCs w:val="10"/>
          <w:color w:val="auto"/>
        </w:rPr>
        <w:t>To control and minimize the interest rate risk, Genmab maintains an investment portfolio in a variety of</w:t>
      </w:r>
    </w:p>
    <w:p>
      <w:pPr>
        <w:spacing w:after="0" w:line="198" w:lineRule="auto"/>
        <w:rPr>
          <w:sz w:val="20"/>
          <w:szCs w:val="20"/>
          <w:color w:val="auto"/>
        </w:rPr>
      </w:pPr>
      <w:r>
        <w:rPr>
          <w:rFonts w:ascii="Arial" w:cs="Arial" w:eastAsia="Arial" w:hAnsi="Arial"/>
          <w:sz w:val="10"/>
          <w:szCs w:val="10"/>
          <w:color w:val="auto"/>
        </w:rPr>
        <w:t>securities with a relatively short effective duration with both fixed and variable interest rates.</w:t>
      </w:r>
    </w:p>
    <w:p>
      <w:pPr>
        <w:ind w:right="4880"/>
        <w:spacing w:after="0"/>
        <w:rPr>
          <w:sz w:val="20"/>
          <w:szCs w:val="20"/>
          <w:color w:val="auto"/>
        </w:rPr>
      </w:pPr>
      <w:r>
        <w:rPr>
          <w:rFonts w:ascii="Arial" w:cs="Arial" w:eastAsia="Arial" w:hAnsi="Arial"/>
          <w:sz w:val="10"/>
          <w:szCs w:val="10"/>
          <w:color w:val="auto"/>
        </w:rPr>
        <w:t>A sensitivity analysis was performed on Genmab’s marketable securities, and based on exposures in 2024 and 2025, a hypothetical +/- 1% interest rate change would not have resulted in a material change in the fair values of these financial instruments. Due to the short-term nature of the current investments and to the extent that Genmab is able to hold the investments to maturity, the current exposure to changes in fair value due to interest rate changes is considered to be insignificant compared to the fair value of the portfolio.</w:t>
      </w:r>
    </w:p>
    <w:p>
      <w:pPr>
        <w:spacing w:after="0" w:line="5"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28"/>
        </w:trPr>
        <w:tc>
          <w:tcPr>
            <w:tcW w:w="1760" w:type="dxa"/>
            <w:vAlign w:val="bottom"/>
            <w:tcBorders>
              <w:top w:val="single" w:sz="8" w:color="691A6B"/>
            </w:tcBorders>
            <w:vMerge w:val="restart"/>
          </w:tcPr>
          <w:p>
            <w:pPr>
              <w:ind w:left="20"/>
              <w:spacing w:after="0"/>
              <w:rPr>
                <w:sz w:val="20"/>
                <w:szCs w:val="20"/>
                <w:color w:val="auto"/>
              </w:rPr>
            </w:pPr>
            <w:r>
              <w:rPr>
                <w:rFonts w:ascii="Arial" w:cs="Arial" w:eastAsia="Arial" w:hAnsi="Arial"/>
                <w:sz w:val="10"/>
                <w:szCs w:val="10"/>
                <w:color w:val="auto"/>
              </w:rPr>
              <w:t>Year of Maturity</w:t>
            </w:r>
          </w:p>
        </w:tc>
        <w:tc>
          <w:tcPr>
            <w:tcW w:w="1360" w:type="dxa"/>
            <w:vAlign w:val="bottom"/>
            <w:tcBorders>
              <w:top w:val="single" w:sz="8" w:color="691A6B"/>
            </w:tcBorders>
          </w:tcPr>
          <w:p>
            <w:pPr>
              <w:spacing w:after="0"/>
              <w:rPr>
                <w:sz w:val="11"/>
                <w:szCs w:val="11"/>
                <w:color w:val="auto"/>
              </w:rPr>
            </w:pPr>
          </w:p>
        </w:tc>
        <w:tc>
          <w:tcPr>
            <w:tcW w:w="760" w:type="dxa"/>
            <w:vAlign w:val="bottom"/>
            <w:tcBorders>
              <w:top w:val="single" w:sz="8" w:color="691A6B"/>
            </w:tcBorders>
          </w:tcPr>
          <w:p>
            <w:pPr>
              <w:jc w:val="right"/>
              <w:ind w:right="312"/>
              <w:spacing w:after="0"/>
              <w:rPr>
                <w:sz w:val="20"/>
                <w:szCs w:val="20"/>
                <w:color w:val="auto"/>
              </w:rPr>
            </w:pPr>
            <w:r>
              <w:rPr>
                <w:rFonts w:ascii="Arial" w:cs="Arial" w:eastAsia="Arial" w:hAnsi="Arial"/>
                <w:sz w:val="10"/>
                <w:szCs w:val="10"/>
                <w:b w:val="1"/>
                <w:bCs w:val="1"/>
                <w:color w:val="691A6B"/>
              </w:rPr>
              <w:t>2025</w:t>
            </w:r>
          </w:p>
        </w:tc>
        <w:tc>
          <w:tcPr>
            <w:tcW w:w="160" w:type="dxa"/>
            <w:vAlign w:val="bottom"/>
            <w:tcBorders>
              <w:top w:val="single" w:sz="8" w:color="691A6B"/>
            </w:tcBorders>
          </w:tcPr>
          <w:p>
            <w:pPr>
              <w:spacing w:after="0"/>
              <w:rPr>
                <w:sz w:val="11"/>
                <w:szCs w:val="11"/>
                <w:color w:val="auto"/>
              </w:rPr>
            </w:pPr>
          </w:p>
        </w:tc>
        <w:tc>
          <w:tcPr>
            <w:tcW w:w="820" w:type="dxa"/>
            <w:vAlign w:val="bottom"/>
            <w:tcBorders>
              <w:top w:val="single" w:sz="8" w:color="691A6B"/>
            </w:tcBorders>
          </w:tcPr>
          <w:p>
            <w:pPr>
              <w:jc w:val="right"/>
              <w:ind w:right="508"/>
              <w:spacing w:after="0"/>
              <w:rPr>
                <w:sz w:val="20"/>
                <w:szCs w:val="20"/>
                <w:color w:val="auto"/>
              </w:rPr>
            </w:pPr>
            <w:r>
              <w:rPr>
                <w:rFonts w:ascii="Arial" w:cs="Arial" w:eastAsia="Arial" w:hAnsi="Arial"/>
                <w:sz w:val="10"/>
                <w:szCs w:val="10"/>
                <w:b w:val="1"/>
                <w:bCs w:val="1"/>
                <w:color w:val="auto"/>
              </w:rPr>
              <w:t>2024</w:t>
            </w: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2025</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0"/>
                <w:szCs w:val="10"/>
                <w:color w:val="691A6B"/>
              </w:rPr>
              <w:t>—</w:t>
            </w:r>
          </w:p>
        </w:tc>
        <w:tc>
          <w:tcPr>
            <w:tcW w:w="820" w:type="dxa"/>
            <w:vAlign w:val="bottom"/>
          </w:tcPr>
          <w:p>
            <w:pPr>
              <w:jc w:val="right"/>
              <w:ind w:right="28"/>
              <w:spacing w:after="0"/>
              <w:rPr>
                <w:sz w:val="20"/>
                <w:szCs w:val="20"/>
                <w:color w:val="auto"/>
              </w:rPr>
            </w:pPr>
            <w:r>
              <w:rPr>
                <w:rFonts w:ascii="Arial" w:cs="Arial" w:eastAsia="Arial" w:hAnsi="Arial"/>
                <w:sz w:val="10"/>
                <w:szCs w:val="10"/>
                <w:color w:val="auto"/>
              </w:rPr>
              <w:t>700</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2026</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0"/>
                <w:szCs w:val="10"/>
                <w:color w:val="691A6B"/>
              </w:rPr>
              <w:t>—</w:t>
            </w:r>
          </w:p>
        </w:tc>
        <w:tc>
          <w:tcPr>
            <w:tcW w:w="820" w:type="dxa"/>
            <w:vAlign w:val="bottom"/>
          </w:tcPr>
          <w:p>
            <w:pPr>
              <w:jc w:val="right"/>
              <w:ind w:right="28"/>
              <w:spacing w:after="0"/>
              <w:rPr>
                <w:sz w:val="20"/>
                <w:szCs w:val="20"/>
                <w:color w:val="auto"/>
              </w:rPr>
            </w:pPr>
            <w:r>
              <w:rPr>
                <w:rFonts w:ascii="Arial" w:cs="Arial" w:eastAsia="Arial" w:hAnsi="Arial"/>
                <w:sz w:val="10"/>
                <w:szCs w:val="10"/>
                <w:color w:val="auto"/>
              </w:rPr>
              <w:t>449</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2027</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0"/>
                <w:szCs w:val="10"/>
                <w:color w:val="691A6B"/>
              </w:rPr>
              <w:t>—</w:t>
            </w:r>
          </w:p>
        </w:tc>
        <w:tc>
          <w:tcPr>
            <w:tcW w:w="820" w:type="dxa"/>
            <w:vAlign w:val="bottom"/>
          </w:tcPr>
          <w:p>
            <w:pPr>
              <w:jc w:val="right"/>
              <w:ind w:right="28"/>
              <w:spacing w:after="0"/>
              <w:rPr>
                <w:sz w:val="20"/>
                <w:szCs w:val="20"/>
                <w:color w:val="auto"/>
              </w:rPr>
            </w:pPr>
            <w:r>
              <w:rPr>
                <w:rFonts w:ascii="Arial" w:cs="Arial" w:eastAsia="Arial" w:hAnsi="Arial"/>
                <w:sz w:val="10"/>
                <w:szCs w:val="10"/>
                <w:color w:val="auto"/>
              </w:rPr>
              <w:t>324</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2028</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0"/>
                <w:szCs w:val="10"/>
                <w:color w:val="691A6B"/>
              </w:rPr>
              <w:t>—</w:t>
            </w:r>
          </w:p>
        </w:tc>
        <w:tc>
          <w:tcPr>
            <w:tcW w:w="820" w:type="dxa"/>
            <w:vAlign w:val="bottom"/>
          </w:tcPr>
          <w:p>
            <w:pPr>
              <w:jc w:val="right"/>
              <w:ind w:right="28"/>
              <w:spacing w:after="0"/>
              <w:rPr>
                <w:sz w:val="20"/>
                <w:szCs w:val="20"/>
                <w:color w:val="auto"/>
              </w:rPr>
            </w:pPr>
            <w:r>
              <w:rPr>
                <w:rFonts w:ascii="Arial" w:cs="Arial" w:eastAsia="Arial" w:hAnsi="Arial"/>
                <w:sz w:val="10"/>
                <w:szCs w:val="10"/>
                <w:color w:val="auto"/>
              </w:rPr>
              <w:t>46</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2029</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0"/>
                <w:szCs w:val="10"/>
                <w:color w:val="691A6B"/>
              </w:rPr>
              <w:t>—</w:t>
            </w:r>
          </w:p>
        </w:tc>
        <w:tc>
          <w:tcPr>
            <w:tcW w:w="820" w:type="dxa"/>
            <w:vAlign w:val="bottom"/>
          </w:tcPr>
          <w:p>
            <w:pPr>
              <w:jc w:val="right"/>
              <w:ind w:right="28"/>
              <w:spacing w:after="0"/>
              <w:rPr>
                <w:sz w:val="20"/>
                <w:szCs w:val="20"/>
                <w:color w:val="auto"/>
              </w:rPr>
            </w:pPr>
            <w:r>
              <w:rPr>
                <w:rFonts w:ascii="Arial" w:cs="Arial" w:eastAsia="Arial" w:hAnsi="Arial"/>
                <w:sz w:val="10"/>
                <w:szCs w:val="10"/>
                <w:color w:val="auto"/>
              </w:rPr>
              <w:t>22</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2030+</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0"/>
                <w:szCs w:val="10"/>
                <w:color w:val="691A6B"/>
              </w:rPr>
              <w:t>—</w:t>
            </w:r>
          </w:p>
        </w:tc>
        <w:tc>
          <w:tcPr>
            <w:tcW w:w="820" w:type="dxa"/>
            <w:vAlign w:val="bottom"/>
          </w:tcPr>
          <w:p>
            <w:pPr>
              <w:jc w:val="right"/>
              <w:ind w:right="28"/>
              <w:spacing w:after="0"/>
              <w:rPr>
                <w:sz w:val="20"/>
                <w:szCs w:val="20"/>
                <w:color w:val="auto"/>
              </w:rPr>
            </w:pPr>
            <w:r>
              <w:rPr>
                <w:rFonts w:ascii="Arial" w:cs="Arial" w:eastAsia="Arial" w:hAnsi="Arial"/>
                <w:sz w:val="10"/>
                <w:szCs w:val="10"/>
                <w:color w:val="auto"/>
              </w:rPr>
              <w:t>33</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0"/>
                <w:szCs w:val="10"/>
                <w:b w:val="1"/>
                <w:bCs w:val="1"/>
                <w:color w:val="691A6B"/>
              </w:rPr>
              <w:t>—</w:t>
            </w:r>
          </w:p>
        </w:tc>
        <w:tc>
          <w:tcPr>
            <w:tcW w:w="820" w:type="dxa"/>
            <w:vAlign w:val="bottom"/>
          </w:tcPr>
          <w:p>
            <w:pPr>
              <w:jc w:val="right"/>
              <w:ind w:right="28"/>
              <w:spacing w:after="0"/>
              <w:rPr>
                <w:sz w:val="20"/>
                <w:szCs w:val="20"/>
                <w:color w:val="auto"/>
              </w:rPr>
            </w:pPr>
            <w:r>
              <w:rPr>
                <w:rFonts w:ascii="Arial" w:cs="Arial" w:eastAsia="Arial" w:hAnsi="Arial"/>
                <w:sz w:val="10"/>
                <w:szCs w:val="10"/>
                <w:color w:val="auto"/>
              </w:rPr>
              <w:t>1,574</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4"/>
        </w:trPr>
        <w:tc>
          <w:tcPr>
            <w:tcW w:w="1760" w:type="dxa"/>
            <w:vAlign w:val="bottom"/>
          </w:tcPr>
          <w:p>
            <w:pPr>
              <w:ind w:left="420"/>
              <w:spacing w:after="0"/>
              <w:rPr>
                <w:rFonts w:ascii="Arial" w:cs="Arial" w:eastAsia="Arial" w:hAnsi="Arial"/>
                <w:sz w:val="10"/>
                <w:szCs w:val="10"/>
                <w:color w:val="auto"/>
              </w:rPr>
            </w:pPr>
            <w:hyperlink w:anchor="page83">
              <w:r>
                <w:rPr>
                  <w:rFonts w:ascii="Arial" w:cs="Arial" w:eastAsia="Arial" w:hAnsi="Arial"/>
                  <w:sz w:val="10"/>
                  <w:szCs w:val="10"/>
                  <w:color w:val="auto"/>
                </w:rPr>
                <w:t>Management’s Review</w:t>
              </w:r>
            </w:hyperlink>
          </w:p>
        </w:tc>
        <w:tc>
          <w:tcPr>
            <w:tcW w:w="1360" w:type="dxa"/>
            <w:vAlign w:val="bottom"/>
          </w:tcPr>
          <w:p>
            <w:pPr>
              <w:ind w:left="20"/>
              <w:spacing w:after="0"/>
              <w:rPr>
                <w:rFonts w:ascii="Arial" w:cs="Arial" w:eastAsia="Arial" w:hAnsi="Arial"/>
                <w:sz w:val="10"/>
                <w:szCs w:val="10"/>
                <w:b w:val="1"/>
                <w:bCs w:val="1"/>
                <w:color w:val="auto"/>
              </w:rPr>
            </w:pPr>
            <w:hyperlink w:anchor="page134">
              <w:r>
                <w:rPr>
                  <w:rFonts w:ascii="Arial" w:cs="Arial" w:eastAsia="Arial" w:hAnsi="Arial"/>
                  <w:sz w:val="10"/>
                  <w:szCs w:val="10"/>
                  <w:b w:val="1"/>
                  <w:bCs w:val="1"/>
                  <w:color w:val="auto"/>
                </w:rPr>
                <w:t>Financial Statements</w:t>
              </w:r>
            </w:hyperlink>
          </w:p>
        </w:tc>
        <w:tc>
          <w:tcPr>
            <w:tcW w:w="760" w:type="dxa"/>
            <w:vAlign w:val="bottom"/>
          </w:tcPr>
          <w:p>
            <w:pPr>
              <w:jc w:val="right"/>
              <w:spacing w:after="0"/>
              <w:rPr>
                <w:rFonts w:ascii="Arial" w:cs="Arial" w:eastAsia="Arial" w:hAnsi="Arial"/>
                <w:sz w:val="10"/>
                <w:szCs w:val="10"/>
                <w:color w:val="auto"/>
                <w:w w:val="95"/>
              </w:rPr>
            </w:pPr>
            <w:hyperlink w:anchor="page171">
              <w:r>
                <w:rPr>
                  <w:rFonts w:ascii="Arial" w:cs="Arial" w:eastAsia="Arial" w:hAnsi="Arial"/>
                  <w:sz w:val="10"/>
                  <w:szCs w:val="10"/>
                  <w:color w:val="auto"/>
                  <w:w w:val="95"/>
                </w:rPr>
                <w:t>Other Information</w:t>
              </w:r>
            </w:hyperlink>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80" w:type="dxa"/>
            <w:vAlign w:val="bottom"/>
          </w:tcPr>
          <w:p>
            <w:pPr>
              <w:ind w:left="3260"/>
              <w:spacing w:after="0"/>
              <w:rPr>
                <w:sz w:val="20"/>
                <w:szCs w:val="20"/>
                <w:color w:val="auto"/>
              </w:rPr>
            </w:pPr>
            <w:r>
              <w:rPr>
                <w:rFonts w:ascii="Arial" w:cs="Arial" w:eastAsia="Arial" w:hAnsi="Arial"/>
                <w:sz w:val="10"/>
                <w:szCs w:val="10"/>
                <w:color w:val="auto"/>
                <w:w w:val="96"/>
              </w:rPr>
              <w:t>Genmab 2025 Annual Report   134</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60" w:type="dxa"/>
            <w:vAlign w:val="bottom"/>
          </w:tcPr>
          <w:p>
            <w:pPr>
              <w:spacing w:after="0"/>
              <w:rPr>
                <w:sz w:val="5"/>
                <w:szCs w:val="5"/>
                <w:color w:val="auto"/>
              </w:rPr>
            </w:pPr>
          </w:p>
        </w:tc>
        <w:tc>
          <w:tcPr>
            <w:tcW w:w="1360" w:type="dxa"/>
            <w:vAlign w:val="bottom"/>
            <w:shd w:val="clear" w:color="auto" w:fill="691A6B"/>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90805" cy="965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5"/>
          <w:szCs w:val="15"/>
          <w:b w:val="1"/>
          <w:bCs w:val="1"/>
          <w:color w:val="691A6B"/>
        </w:rPr>
        <w:t>4.3 - Financial Assets and Liabilities</w:t>
      </w:r>
    </w:p>
    <w:p>
      <w:pPr>
        <w:spacing w:after="0" w:line="224" w:lineRule="auto"/>
        <w:rPr>
          <w:sz w:val="20"/>
          <w:szCs w:val="20"/>
          <w:color w:val="auto"/>
        </w:rPr>
      </w:pPr>
      <w:r>
        <w:rPr>
          <w:rFonts w:ascii="Arial" w:cs="Arial" w:eastAsia="Arial" w:hAnsi="Arial"/>
          <w:sz w:val="13"/>
          <w:szCs w:val="13"/>
          <w:b w:val="1"/>
          <w:bCs w:val="1"/>
          <w:color w:val="691A6B"/>
        </w:rPr>
        <w:t>Categories Of Financial Assets And Liabilities</w:t>
      </w:r>
    </w:p>
    <w:tbl>
      <w:tblPr>
        <w:tblLayout w:type="fixed"/>
        <w:tblInd w:w="0" w:type="dxa"/>
        <w:tblCellMar>
          <w:top w:w="0" w:type="dxa"/>
          <w:left w:w="0" w:type="dxa"/>
          <w:bottom w:w="0" w:type="dxa"/>
          <w:right w:w="0" w:type="dxa"/>
        </w:tblCellMar>
      </w:tblPr>
      <w:tr>
        <w:trPr>
          <w:trHeight w:val="128"/>
        </w:trPr>
        <w:tc>
          <w:tcPr>
            <w:tcW w:w="960" w:type="dxa"/>
            <w:vAlign w:val="bottom"/>
            <w:tcBorders>
              <w:top w:val="single" w:sz="8" w:color="691A6B"/>
            </w:tcBorders>
          </w:tcPr>
          <w:p>
            <w:pPr>
              <w:spacing w:after="0"/>
              <w:rPr>
                <w:sz w:val="11"/>
                <w:szCs w:val="11"/>
                <w:color w:val="auto"/>
              </w:rPr>
            </w:pPr>
          </w:p>
        </w:tc>
        <w:tc>
          <w:tcPr>
            <w:tcW w:w="380" w:type="dxa"/>
            <w:vAlign w:val="bottom"/>
            <w:tcBorders>
              <w:top w:val="single" w:sz="8" w:color="691A6B"/>
            </w:tcBorders>
          </w:tcPr>
          <w:p>
            <w:pPr>
              <w:spacing w:after="0"/>
              <w:rPr>
                <w:sz w:val="11"/>
                <w:szCs w:val="11"/>
                <w:color w:val="auto"/>
              </w:rPr>
            </w:pPr>
          </w:p>
        </w:tc>
        <w:tc>
          <w:tcPr>
            <w:tcW w:w="480" w:type="dxa"/>
            <w:vAlign w:val="bottom"/>
            <w:tcBorders>
              <w:top w:val="single" w:sz="8" w:color="691A6B"/>
            </w:tcBorders>
          </w:tcPr>
          <w:p>
            <w:pPr>
              <w:spacing w:after="0"/>
              <w:rPr>
                <w:sz w:val="11"/>
                <w:szCs w:val="11"/>
                <w:color w:val="auto"/>
              </w:rPr>
            </w:pPr>
          </w:p>
        </w:tc>
        <w:tc>
          <w:tcPr>
            <w:tcW w:w="460" w:type="dxa"/>
            <w:vAlign w:val="bottom"/>
            <w:tcBorders>
              <w:top w:val="single" w:sz="8" w:color="691A6B"/>
            </w:tcBorders>
          </w:tcPr>
          <w:p>
            <w:pPr>
              <w:spacing w:after="0"/>
              <w:rPr>
                <w:sz w:val="11"/>
                <w:szCs w:val="11"/>
                <w:color w:val="auto"/>
              </w:rPr>
            </w:pPr>
          </w:p>
        </w:tc>
        <w:tc>
          <w:tcPr>
            <w:tcW w:w="720" w:type="dxa"/>
            <w:vAlign w:val="bottom"/>
            <w:tcBorders>
              <w:top w:val="single" w:sz="8" w:color="691A6B"/>
            </w:tcBorders>
          </w:tcPr>
          <w:p>
            <w:pPr>
              <w:spacing w:after="0"/>
              <w:rPr>
                <w:sz w:val="11"/>
                <w:szCs w:val="11"/>
                <w:color w:val="auto"/>
              </w:rPr>
            </w:pPr>
          </w:p>
        </w:tc>
        <w:tc>
          <w:tcPr>
            <w:tcW w:w="1060" w:type="dxa"/>
            <w:vAlign w:val="bottom"/>
            <w:tcBorders>
              <w:top w:val="single" w:sz="8" w:color="691A6B"/>
            </w:tcBorders>
            <w:gridSpan w:val="3"/>
          </w:tcPr>
          <w:p>
            <w:pPr>
              <w:ind w:left="20"/>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top w:val="single" w:sz="8" w:color="691A6B"/>
            </w:tcBorders>
          </w:tcPr>
          <w:p>
            <w:pPr>
              <w:spacing w:after="0"/>
              <w:rPr>
                <w:sz w:val="11"/>
                <w:szCs w:val="11"/>
                <w:color w:val="auto"/>
              </w:rPr>
            </w:pPr>
          </w:p>
        </w:tc>
        <w:tc>
          <w:tcPr>
            <w:tcW w:w="380" w:type="dxa"/>
            <w:vAlign w:val="bottom"/>
            <w:tcBorders>
              <w:top w:val="single" w:sz="8" w:color="691A6B"/>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8"/>
              </w:rPr>
              <w:t>Note</w:t>
            </w:r>
          </w:p>
        </w:tc>
        <w:tc>
          <w:tcPr>
            <w:tcW w:w="580" w:type="dxa"/>
            <w:vAlign w:val="bottom"/>
            <w:gridSpan w:val="2"/>
          </w:tcPr>
          <w:p>
            <w:pPr>
              <w:ind w:left="20"/>
              <w:spacing w:after="0"/>
              <w:rPr>
                <w:sz w:val="20"/>
                <w:szCs w:val="20"/>
                <w:color w:val="auto"/>
              </w:rPr>
            </w:pPr>
            <w:r>
              <w:rPr>
                <w:rFonts w:ascii="Arial" w:cs="Arial" w:eastAsia="Arial" w:hAnsi="Arial"/>
                <w:sz w:val="10"/>
                <w:szCs w:val="10"/>
                <w:b w:val="1"/>
                <w:bCs w:val="1"/>
                <w:color w:val="691A6B"/>
              </w:rPr>
              <w:t>2025</w:t>
            </w:r>
          </w:p>
        </w:tc>
        <w:tc>
          <w:tcPr>
            <w:tcW w:w="920" w:type="dxa"/>
            <w:vAlign w:val="bottom"/>
            <w:gridSpan w:val="2"/>
          </w:tcPr>
          <w:p>
            <w:pPr>
              <w:jc w:val="right"/>
              <w:ind w:right="289"/>
              <w:spacing w:after="0"/>
              <w:rPr>
                <w:sz w:val="20"/>
                <w:szCs w:val="20"/>
                <w:color w:val="auto"/>
              </w:rPr>
            </w:pPr>
            <w:r>
              <w:rPr>
                <w:rFonts w:ascii="Arial" w:cs="Arial" w:eastAsia="Arial" w:hAnsi="Arial"/>
                <w:sz w:val="10"/>
                <w:szCs w:val="10"/>
                <w:b w:val="1"/>
                <w:bCs w:val="1"/>
                <w:color w:val="auto"/>
              </w:rPr>
              <w:t>2024</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09"/>
        </w:trPr>
        <w:tc>
          <w:tcPr>
            <w:tcW w:w="3000" w:type="dxa"/>
            <w:vAlign w:val="bottom"/>
            <w:gridSpan w:val="5"/>
          </w:tcPr>
          <w:p>
            <w:pPr>
              <w:ind w:left="20"/>
              <w:spacing w:after="0" w:line="109" w:lineRule="exact"/>
              <w:rPr>
                <w:sz w:val="20"/>
                <w:szCs w:val="20"/>
                <w:color w:val="auto"/>
              </w:rPr>
            </w:pPr>
            <w:r>
              <w:rPr>
                <w:rFonts w:ascii="Arial" w:cs="Arial" w:eastAsia="Arial" w:hAnsi="Arial"/>
                <w:sz w:val="10"/>
                <w:szCs w:val="10"/>
                <w:b w:val="1"/>
                <w:bCs w:val="1"/>
                <w:color w:val="auto"/>
              </w:rPr>
              <w:t>Financial assets measured at fair value through</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43"/>
        </w:trPr>
        <w:tc>
          <w:tcPr>
            <w:tcW w:w="960" w:type="dxa"/>
            <w:vAlign w:val="bottom"/>
          </w:tcPr>
          <w:p>
            <w:pPr>
              <w:ind w:left="20"/>
              <w:spacing w:after="0"/>
              <w:rPr>
                <w:sz w:val="20"/>
                <w:szCs w:val="20"/>
                <w:color w:val="auto"/>
              </w:rPr>
            </w:pPr>
            <w:r>
              <w:rPr>
                <w:rFonts w:ascii="Arial" w:cs="Arial" w:eastAsia="Arial" w:hAnsi="Arial"/>
                <w:sz w:val="10"/>
                <w:szCs w:val="10"/>
                <w:b w:val="1"/>
                <w:bCs w:val="1"/>
                <w:color w:val="auto"/>
              </w:rPr>
              <w:t>profit or loss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1340" w:type="dxa"/>
            <w:vAlign w:val="bottom"/>
            <w:gridSpan w:val="2"/>
          </w:tcPr>
          <w:p>
            <w:pPr>
              <w:ind w:left="20"/>
              <w:spacing w:after="0"/>
              <w:rPr>
                <w:sz w:val="20"/>
                <w:szCs w:val="20"/>
                <w:color w:val="auto"/>
              </w:rPr>
            </w:pPr>
            <w:r>
              <w:rPr>
                <w:rFonts w:ascii="Arial" w:cs="Arial" w:eastAsia="Arial" w:hAnsi="Arial"/>
                <w:sz w:val="10"/>
                <w:szCs w:val="10"/>
                <w:color w:val="auto"/>
              </w:rPr>
              <w:t>Marketable securities</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rPr>
              <w:t>4.4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color w:val="691A6B"/>
              </w:rPr>
              <w:t>—</w:t>
            </w:r>
          </w:p>
        </w:tc>
        <w:tc>
          <w:tcPr>
            <w:tcW w:w="440" w:type="dxa"/>
            <w:vAlign w:val="bottom"/>
          </w:tcPr>
          <w:p>
            <w:pPr>
              <w:spacing w:after="0"/>
              <w:rPr>
                <w:sz w:val="13"/>
                <w:szCs w:val="13"/>
                <w:color w:val="auto"/>
              </w:rPr>
            </w:pPr>
          </w:p>
        </w:tc>
        <w:tc>
          <w:tcPr>
            <w:tcW w:w="380" w:type="dxa"/>
            <w:vAlign w:val="bottom"/>
          </w:tcPr>
          <w:p>
            <w:pPr>
              <w:jc w:val="right"/>
              <w:ind w:right="28"/>
              <w:spacing w:after="0"/>
              <w:rPr>
                <w:sz w:val="20"/>
                <w:szCs w:val="20"/>
                <w:color w:val="auto"/>
              </w:rPr>
            </w:pPr>
            <w:r>
              <w:rPr>
                <w:rFonts w:ascii="Arial" w:cs="Arial" w:eastAsia="Arial" w:hAnsi="Arial"/>
                <w:sz w:val="10"/>
                <w:szCs w:val="10"/>
                <w:color w:val="auto"/>
              </w:rPr>
              <w:t>1,574</w:t>
            </w:r>
          </w:p>
        </w:tc>
        <w:tc>
          <w:tcPr>
            <w:tcW w:w="120" w:type="dxa"/>
            <w:vAlign w:val="bottom"/>
          </w:tcPr>
          <w:p>
            <w:pPr>
              <w:spacing w:after="0"/>
              <w:rPr>
                <w:sz w:val="13"/>
                <w:szCs w:val="13"/>
                <w:color w:val="auto"/>
              </w:rPr>
            </w:pPr>
          </w:p>
        </w:tc>
      </w:tr>
      <w:tr>
        <w:trPr>
          <w:trHeight w:val="152"/>
        </w:trPr>
        <w:tc>
          <w:tcPr>
            <w:tcW w:w="960" w:type="dxa"/>
            <w:vAlign w:val="bottom"/>
          </w:tcPr>
          <w:p>
            <w:pPr>
              <w:ind w:left="20"/>
              <w:spacing w:after="0"/>
              <w:rPr>
                <w:sz w:val="20"/>
                <w:szCs w:val="20"/>
                <w:color w:val="auto"/>
              </w:rPr>
            </w:pPr>
            <w:r>
              <w:rPr>
                <w:rFonts w:ascii="Arial" w:cs="Arial" w:eastAsia="Arial" w:hAnsi="Arial"/>
                <w:sz w:val="10"/>
                <w:szCs w:val="10"/>
                <w:color w:val="auto"/>
              </w:rPr>
              <w:t>Other investments</w:t>
            </w: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rPr>
              <w:t>3.4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color w:val="691A6B"/>
              </w:rPr>
              <w:t>37</w:t>
            </w:r>
          </w:p>
        </w:tc>
        <w:tc>
          <w:tcPr>
            <w:tcW w:w="440" w:type="dxa"/>
            <w:vAlign w:val="bottom"/>
          </w:tcPr>
          <w:p>
            <w:pPr>
              <w:spacing w:after="0"/>
              <w:rPr>
                <w:sz w:val="13"/>
                <w:szCs w:val="13"/>
                <w:color w:val="auto"/>
              </w:rPr>
            </w:pPr>
          </w:p>
        </w:tc>
        <w:tc>
          <w:tcPr>
            <w:tcW w:w="380" w:type="dxa"/>
            <w:vAlign w:val="bottom"/>
          </w:tcPr>
          <w:p>
            <w:pPr>
              <w:jc w:val="right"/>
              <w:ind w:right="28"/>
              <w:spacing w:after="0"/>
              <w:rPr>
                <w:sz w:val="20"/>
                <w:szCs w:val="20"/>
                <w:color w:val="auto"/>
              </w:rPr>
            </w:pPr>
            <w:r>
              <w:rPr>
                <w:rFonts w:ascii="Arial" w:cs="Arial" w:eastAsia="Arial" w:hAnsi="Arial"/>
                <w:sz w:val="10"/>
                <w:szCs w:val="10"/>
                <w:color w:val="auto"/>
              </w:rPr>
              <w:t>32</w:t>
            </w:r>
          </w:p>
        </w:tc>
        <w:tc>
          <w:tcPr>
            <w:tcW w:w="120" w:type="dxa"/>
            <w:vAlign w:val="bottom"/>
          </w:tcPr>
          <w:p>
            <w:pPr>
              <w:spacing w:after="0"/>
              <w:rPr>
                <w:sz w:val="13"/>
                <w:szCs w:val="13"/>
                <w:color w:val="auto"/>
              </w:rPr>
            </w:pPr>
          </w:p>
        </w:tc>
      </w:tr>
      <w:tr>
        <w:trPr>
          <w:trHeight w:val="158"/>
        </w:trPr>
        <w:tc>
          <w:tcPr>
            <w:tcW w:w="2280" w:type="dxa"/>
            <w:vAlign w:val="bottom"/>
            <w:gridSpan w:val="4"/>
          </w:tcPr>
          <w:p>
            <w:pPr>
              <w:ind w:left="20"/>
              <w:spacing w:after="0"/>
              <w:rPr>
                <w:sz w:val="20"/>
                <w:szCs w:val="20"/>
                <w:color w:val="auto"/>
              </w:rPr>
            </w:pPr>
            <w:r>
              <w:rPr>
                <w:rFonts w:ascii="Arial" w:cs="Arial" w:eastAsia="Arial" w:hAnsi="Arial"/>
                <w:sz w:val="10"/>
                <w:szCs w:val="10"/>
                <w:b w:val="1"/>
                <w:bCs w:val="1"/>
                <w:color w:val="auto"/>
              </w:rPr>
              <w:t>Financial assets measured at amortized cost</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820" w:type="dxa"/>
            <w:vAlign w:val="bottom"/>
            <w:gridSpan w:val="3"/>
          </w:tcPr>
          <w:p>
            <w:pPr>
              <w:ind w:left="20"/>
              <w:spacing w:after="0"/>
              <w:rPr>
                <w:sz w:val="20"/>
                <w:szCs w:val="20"/>
                <w:color w:val="auto"/>
              </w:rPr>
            </w:pPr>
            <w:r>
              <w:rPr>
                <w:rFonts w:ascii="Arial" w:cs="Arial" w:eastAsia="Arial" w:hAnsi="Arial"/>
                <w:sz w:val="10"/>
                <w:szCs w:val="10"/>
                <w:color w:val="auto"/>
              </w:rPr>
              <w:t>Receivables excluding prepayments</w:t>
            </w:r>
          </w:p>
        </w:tc>
        <w:tc>
          <w:tcPr>
            <w:tcW w:w="4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rPr>
              <w:t>3.6</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color w:val="691A6B"/>
              </w:rPr>
              <w:t>1,069</w:t>
            </w:r>
          </w:p>
        </w:tc>
        <w:tc>
          <w:tcPr>
            <w:tcW w:w="440" w:type="dxa"/>
            <w:vAlign w:val="bottom"/>
          </w:tcPr>
          <w:p>
            <w:pPr>
              <w:spacing w:after="0"/>
              <w:rPr>
                <w:sz w:val="12"/>
                <w:szCs w:val="12"/>
                <w:color w:val="auto"/>
              </w:rPr>
            </w:pPr>
          </w:p>
        </w:tc>
        <w:tc>
          <w:tcPr>
            <w:tcW w:w="380" w:type="dxa"/>
            <w:vAlign w:val="bottom"/>
          </w:tcPr>
          <w:p>
            <w:pPr>
              <w:jc w:val="right"/>
              <w:ind w:right="28"/>
              <w:spacing w:after="0"/>
              <w:rPr>
                <w:sz w:val="20"/>
                <w:szCs w:val="20"/>
                <w:color w:val="auto"/>
              </w:rPr>
            </w:pPr>
            <w:r>
              <w:rPr>
                <w:rFonts w:ascii="Arial" w:cs="Arial" w:eastAsia="Arial" w:hAnsi="Arial"/>
                <w:sz w:val="10"/>
                <w:szCs w:val="10"/>
                <w:color w:val="auto"/>
              </w:rPr>
              <w:t>894</w:t>
            </w:r>
          </w:p>
        </w:tc>
        <w:tc>
          <w:tcPr>
            <w:tcW w:w="120" w:type="dxa"/>
            <w:vAlign w:val="bottom"/>
          </w:tcPr>
          <w:p>
            <w:pPr>
              <w:spacing w:after="0"/>
              <w:rPr>
                <w:sz w:val="12"/>
                <w:szCs w:val="12"/>
                <w:color w:val="auto"/>
              </w:rPr>
            </w:pPr>
          </w:p>
        </w:tc>
      </w:tr>
      <w:tr>
        <w:trPr>
          <w:trHeight w:val="152"/>
        </w:trPr>
        <w:tc>
          <w:tcPr>
            <w:tcW w:w="1340" w:type="dxa"/>
            <w:vAlign w:val="bottom"/>
            <w:gridSpan w:val="2"/>
          </w:tcPr>
          <w:p>
            <w:pPr>
              <w:ind w:left="20"/>
              <w:spacing w:after="0"/>
              <w:rPr>
                <w:sz w:val="20"/>
                <w:szCs w:val="20"/>
                <w:color w:val="auto"/>
              </w:rPr>
            </w:pPr>
            <w:r>
              <w:rPr>
                <w:rFonts w:ascii="Arial" w:cs="Arial" w:eastAsia="Arial" w:hAnsi="Arial"/>
                <w:sz w:val="10"/>
                <w:szCs w:val="10"/>
                <w:color w:val="auto"/>
              </w:rPr>
              <w:t>Cash and cash equivalents</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color w:val="691A6B"/>
              </w:rPr>
              <w:t>1,715</w:t>
            </w:r>
          </w:p>
        </w:tc>
        <w:tc>
          <w:tcPr>
            <w:tcW w:w="440" w:type="dxa"/>
            <w:vAlign w:val="bottom"/>
          </w:tcPr>
          <w:p>
            <w:pPr>
              <w:spacing w:after="0"/>
              <w:rPr>
                <w:sz w:val="13"/>
                <w:szCs w:val="13"/>
                <w:color w:val="auto"/>
              </w:rPr>
            </w:pPr>
          </w:p>
        </w:tc>
        <w:tc>
          <w:tcPr>
            <w:tcW w:w="380" w:type="dxa"/>
            <w:vAlign w:val="bottom"/>
          </w:tcPr>
          <w:p>
            <w:pPr>
              <w:jc w:val="right"/>
              <w:ind w:right="28"/>
              <w:spacing w:after="0"/>
              <w:rPr>
                <w:sz w:val="20"/>
                <w:szCs w:val="20"/>
                <w:color w:val="auto"/>
              </w:rPr>
            </w:pPr>
            <w:r>
              <w:rPr>
                <w:rFonts w:ascii="Arial" w:cs="Arial" w:eastAsia="Arial" w:hAnsi="Arial"/>
                <w:sz w:val="10"/>
                <w:szCs w:val="10"/>
                <w:color w:val="auto"/>
              </w:rPr>
              <w:t>1,380</w:t>
            </w:r>
          </w:p>
        </w:tc>
        <w:tc>
          <w:tcPr>
            <w:tcW w:w="120" w:type="dxa"/>
            <w:vAlign w:val="bottom"/>
          </w:tcPr>
          <w:p>
            <w:pPr>
              <w:spacing w:after="0"/>
              <w:rPr>
                <w:sz w:val="13"/>
                <w:szCs w:val="13"/>
                <w:color w:val="auto"/>
              </w:rPr>
            </w:pPr>
          </w:p>
        </w:tc>
      </w:tr>
      <w:tr>
        <w:trPr>
          <w:trHeight w:val="158"/>
        </w:trPr>
        <w:tc>
          <w:tcPr>
            <w:tcW w:w="3000" w:type="dxa"/>
            <w:vAlign w:val="bottom"/>
            <w:gridSpan w:val="5"/>
          </w:tcPr>
          <w:p>
            <w:pPr>
              <w:ind w:left="20"/>
              <w:spacing w:after="0"/>
              <w:rPr>
                <w:sz w:val="20"/>
                <w:szCs w:val="20"/>
                <w:color w:val="auto"/>
              </w:rPr>
            </w:pPr>
            <w:r>
              <w:rPr>
                <w:rFonts w:ascii="Arial" w:cs="Arial" w:eastAsia="Arial" w:hAnsi="Arial"/>
                <w:sz w:val="10"/>
                <w:szCs w:val="10"/>
                <w:b w:val="1"/>
                <w:bCs w:val="1"/>
                <w:color w:val="auto"/>
              </w:rPr>
              <w:t>Financial liabilities measured at amortized cost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960" w:type="dxa"/>
            <w:vAlign w:val="bottom"/>
          </w:tcPr>
          <w:p>
            <w:pPr>
              <w:ind w:left="20"/>
              <w:spacing w:after="0"/>
              <w:rPr>
                <w:sz w:val="20"/>
                <w:szCs w:val="20"/>
                <w:color w:val="auto"/>
              </w:rPr>
            </w:pPr>
            <w:r>
              <w:rPr>
                <w:rFonts w:ascii="Arial" w:cs="Arial" w:eastAsia="Arial" w:hAnsi="Arial"/>
                <w:sz w:val="10"/>
                <w:szCs w:val="10"/>
                <w:color w:val="auto"/>
              </w:rPr>
              <w:t>Borrowings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rPr>
              <w:t>4.8</w:t>
            </w:r>
          </w:p>
        </w:tc>
        <w:tc>
          <w:tcPr>
            <w:tcW w:w="160" w:type="dxa"/>
            <w:vAlign w:val="bottom"/>
          </w:tcPr>
          <w:p>
            <w:pPr>
              <w:spacing w:after="0"/>
              <w:rPr>
                <w:sz w:val="12"/>
                <w:szCs w:val="12"/>
                <w:color w:val="auto"/>
              </w:rPr>
            </w:pPr>
          </w:p>
        </w:tc>
        <w:tc>
          <w:tcPr>
            <w:tcW w:w="900" w:type="dxa"/>
            <w:vAlign w:val="bottom"/>
            <w:gridSpan w:val="2"/>
          </w:tcPr>
          <w:p>
            <w:pPr>
              <w:jc w:val="right"/>
              <w:ind w:right="109"/>
              <w:spacing w:after="0"/>
              <w:rPr>
                <w:sz w:val="20"/>
                <w:szCs w:val="20"/>
                <w:color w:val="auto"/>
              </w:rPr>
            </w:pPr>
            <w:r>
              <w:rPr>
                <w:rFonts w:ascii="Arial" w:cs="Arial" w:eastAsia="Arial" w:hAnsi="Arial"/>
                <w:sz w:val="10"/>
                <w:szCs w:val="10"/>
                <w:color w:val="691A6B"/>
              </w:rPr>
              <w:t>(5,274)</w:t>
            </w:r>
          </w:p>
        </w:tc>
        <w:tc>
          <w:tcPr>
            <w:tcW w:w="4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r>
      <w:tr>
        <w:trPr>
          <w:trHeight w:val="152"/>
        </w:trPr>
        <w:tc>
          <w:tcPr>
            <w:tcW w:w="960" w:type="dxa"/>
            <w:vAlign w:val="bottom"/>
          </w:tcPr>
          <w:p>
            <w:pPr>
              <w:ind w:left="20"/>
              <w:spacing w:after="0"/>
              <w:rPr>
                <w:sz w:val="20"/>
                <w:szCs w:val="20"/>
                <w:color w:val="auto"/>
              </w:rPr>
            </w:pPr>
            <w:r>
              <w:rPr>
                <w:rFonts w:ascii="Arial" w:cs="Arial" w:eastAsia="Arial" w:hAnsi="Arial"/>
                <w:sz w:val="10"/>
                <w:szCs w:val="10"/>
                <w:color w:val="auto"/>
              </w:rPr>
              <w:t>Lease liabilities</w:t>
            </w: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rPr>
              <w:t>3.3</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0"/>
                <w:szCs w:val="10"/>
                <w:color w:val="691A6B"/>
              </w:rPr>
              <w:t>(152)</w:t>
            </w:r>
          </w:p>
        </w:tc>
        <w:tc>
          <w:tcPr>
            <w:tcW w:w="440" w:type="dxa"/>
            <w:vAlign w:val="bottom"/>
          </w:tcPr>
          <w:p>
            <w:pPr>
              <w:spacing w:after="0"/>
              <w:rPr>
                <w:sz w:val="13"/>
                <w:szCs w:val="13"/>
                <w:color w:val="auto"/>
              </w:rPr>
            </w:pPr>
          </w:p>
        </w:tc>
        <w:tc>
          <w:tcPr>
            <w:tcW w:w="380" w:type="dxa"/>
            <w:vAlign w:val="bottom"/>
          </w:tcPr>
          <w:p>
            <w:pPr>
              <w:jc w:val="right"/>
              <w:ind w:right="8"/>
              <w:spacing w:after="0"/>
              <w:rPr>
                <w:sz w:val="20"/>
                <w:szCs w:val="20"/>
                <w:color w:val="auto"/>
              </w:rPr>
            </w:pPr>
            <w:r>
              <w:rPr>
                <w:rFonts w:ascii="Arial" w:cs="Arial" w:eastAsia="Arial" w:hAnsi="Arial"/>
                <w:sz w:val="10"/>
                <w:szCs w:val="10"/>
                <w:color w:val="auto"/>
              </w:rPr>
              <w:t>(144)</w:t>
            </w:r>
          </w:p>
        </w:tc>
        <w:tc>
          <w:tcPr>
            <w:tcW w:w="120" w:type="dxa"/>
            <w:vAlign w:val="bottom"/>
          </w:tcPr>
          <w:p>
            <w:pPr>
              <w:spacing w:after="0"/>
              <w:rPr>
                <w:sz w:val="13"/>
                <w:szCs w:val="13"/>
                <w:color w:val="auto"/>
              </w:rPr>
            </w:pPr>
          </w:p>
        </w:tc>
      </w:tr>
      <w:tr>
        <w:trPr>
          <w:trHeight w:val="152"/>
        </w:trPr>
        <w:tc>
          <w:tcPr>
            <w:tcW w:w="1820" w:type="dxa"/>
            <w:vAlign w:val="bottom"/>
            <w:gridSpan w:val="3"/>
          </w:tcPr>
          <w:p>
            <w:pPr>
              <w:ind w:left="20"/>
              <w:spacing w:after="0"/>
              <w:rPr>
                <w:sz w:val="20"/>
                <w:szCs w:val="20"/>
                <w:color w:val="auto"/>
              </w:rPr>
            </w:pPr>
            <w:r>
              <w:rPr>
                <w:rFonts w:ascii="Arial" w:cs="Arial" w:eastAsia="Arial" w:hAnsi="Arial"/>
                <w:sz w:val="10"/>
                <w:szCs w:val="10"/>
                <w:color w:val="auto"/>
              </w:rPr>
              <w:t>Other payables excluding provisions</w:t>
            </w:r>
          </w:p>
        </w:tc>
        <w:tc>
          <w:tcPr>
            <w:tcW w:w="4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rPr>
              <w:t>3.8</w:t>
            </w:r>
          </w:p>
        </w:tc>
        <w:tc>
          <w:tcPr>
            <w:tcW w:w="160" w:type="dxa"/>
            <w:vAlign w:val="bottom"/>
          </w:tcPr>
          <w:p>
            <w:pPr>
              <w:spacing w:after="0"/>
              <w:rPr>
                <w:sz w:val="13"/>
                <w:szCs w:val="13"/>
                <w:color w:val="auto"/>
              </w:rPr>
            </w:pPr>
          </w:p>
        </w:tc>
        <w:tc>
          <w:tcPr>
            <w:tcW w:w="900" w:type="dxa"/>
            <w:vAlign w:val="bottom"/>
            <w:gridSpan w:val="2"/>
          </w:tcPr>
          <w:p>
            <w:pPr>
              <w:jc w:val="right"/>
              <w:ind w:right="109"/>
              <w:spacing w:after="0"/>
              <w:rPr>
                <w:sz w:val="20"/>
                <w:szCs w:val="20"/>
                <w:color w:val="auto"/>
              </w:rPr>
            </w:pPr>
            <w:r>
              <w:rPr>
                <w:rFonts w:ascii="Arial" w:cs="Arial" w:eastAsia="Arial" w:hAnsi="Arial"/>
                <w:sz w:val="10"/>
                <w:szCs w:val="10"/>
                <w:color w:val="691A6B"/>
              </w:rPr>
              <w:t>(1,069)</w:t>
            </w:r>
          </w:p>
        </w:tc>
        <w:tc>
          <w:tcPr>
            <w:tcW w:w="440" w:type="dxa"/>
            <w:vAlign w:val="bottom"/>
          </w:tcPr>
          <w:p>
            <w:pPr>
              <w:spacing w:after="0"/>
              <w:rPr>
                <w:sz w:val="13"/>
                <w:szCs w:val="13"/>
                <w:color w:val="auto"/>
              </w:rPr>
            </w:pPr>
          </w:p>
        </w:tc>
        <w:tc>
          <w:tcPr>
            <w:tcW w:w="380" w:type="dxa"/>
            <w:vAlign w:val="bottom"/>
          </w:tcPr>
          <w:p>
            <w:pPr>
              <w:jc w:val="right"/>
              <w:ind w:right="8"/>
              <w:spacing w:after="0"/>
              <w:rPr>
                <w:sz w:val="20"/>
                <w:szCs w:val="20"/>
                <w:color w:val="auto"/>
              </w:rPr>
            </w:pPr>
            <w:r>
              <w:rPr>
                <w:rFonts w:ascii="Arial" w:cs="Arial" w:eastAsia="Arial" w:hAnsi="Arial"/>
                <w:sz w:val="10"/>
                <w:szCs w:val="10"/>
                <w:color w:val="auto"/>
              </w:rPr>
              <w:t>(489)</w:t>
            </w:r>
          </w:p>
        </w:tc>
        <w:tc>
          <w:tcPr>
            <w:tcW w:w="120" w:type="dxa"/>
            <w:vAlign w:val="bottom"/>
          </w:tcPr>
          <w:p>
            <w:pPr>
              <w:spacing w:after="0"/>
              <w:rPr>
                <w:sz w:val="13"/>
                <w:szCs w:val="13"/>
                <w:color w:val="auto"/>
              </w:rPr>
            </w:pPr>
          </w:p>
        </w:tc>
      </w:tr>
      <w:tr>
        <w:trPr>
          <w:trHeight w:val="158"/>
        </w:trPr>
        <w:tc>
          <w:tcPr>
            <w:tcW w:w="1820" w:type="dxa"/>
            <w:vAlign w:val="bottom"/>
            <w:tcBorders>
              <w:bottom w:val="single" w:sz="8" w:color="691A6B"/>
            </w:tcBorders>
            <w:gridSpan w:val="3"/>
          </w:tcPr>
          <w:p>
            <w:pPr>
              <w:spacing w:after="0"/>
              <w:rPr>
                <w:sz w:val="20"/>
                <w:szCs w:val="20"/>
                <w:color w:val="auto"/>
              </w:rPr>
            </w:pPr>
            <w:r>
              <w:rPr>
                <w:rFonts w:ascii="Arial" w:cs="Arial" w:eastAsia="Arial" w:hAnsi="Arial"/>
                <w:sz w:val="13"/>
                <w:szCs w:val="13"/>
                <w:b w:val="1"/>
                <w:bCs w:val="1"/>
                <w:color w:val="691A6B"/>
              </w:rPr>
              <w:t>Fair Value Measurement</w:t>
            </w:r>
          </w:p>
        </w:tc>
        <w:tc>
          <w:tcPr>
            <w:tcW w:w="460" w:type="dxa"/>
            <w:vAlign w:val="bottom"/>
            <w:tcBorders>
              <w:bottom w:val="single" w:sz="8" w:color="691A6B"/>
            </w:tcBorders>
          </w:tcPr>
          <w:p>
            <w:pPr>
              <w:spacing w:after="0"/>
              <w:rPr>
                <w:sz w:val="13"/>
                <w:szCs w:val="13"/>
                <w:color w:val="auto"/>
              </w:rPr>
            </w:pPr>
          </w:p>
        </w:tc>
        <w:tc>
          <w:tcPr>
            <w:tcW w:w="720" w:type="dxa"/>
            <w:vAlign w:val="bottom"/>
            <w:tcBorders>
              <w:bottom w:val="single" w:sz="8" w:color="691A6B"/>
            </w:tcBorders>
          </w:tcPr>
          <w:p>
            <w:pPr>
              <w:spacing w:after="0"/>
              <w:rPr>
                <w:sz w:val="13"/>
                <w:szCs w:val="13"/>
                <w:color w:val="auto"/>
              </w:rPr>
            </w:pPr>
          </w:p>
        </w:tc>
        <w:tc>
          <w:tcPr>
            <w:tcW w:w="160" w:type="dxa"/>
            <w:vAlign w:val="bottom"/>
            <w:tcBorders>
              <w:bottom w:val="single" w:sz="8" w:color="691A6B"/>
            </w:tcBorders>
          </w:tcPr>
          <w:p>
            <w:pPr>
              <w:spacing w:after="0"/>
              <w:rPr>
                <w:sz w:val="13"/>
                <w:szCs w:val="13"/>
                <w:color w:val="auto"/>
              </w:rPr>
            </w:pPr>
          </w:p>
        </w:tc>
        <w:tc>
          <w:tcPr>
            <w:tcW w:w="420" w:type="dxa"/>
            <w:vAlign w:val="bottom"/>
            <w:tcBorders>
              <w:bottom w:val="single" w:sz="8" w:color="691A6B"/>
            </w:tcBorders>
          </w:tcPr>
          <w:p>
            <w:pPr>
              <w:spacing w:after="0"/>
              <w:rPr>
                <w:sz w:val="13"/>
                <w:szCs w:val="13"/>
                <w:color w:val="auto"/>
              </w:rPr>
            </w:pPr>
          </w:p>
        </w:tc>
        <w:tc>
          <w:tcPr>
            <w:tcW w:w="480" w:type="dxa"/>
            <w:vAlign w:val="bottom"/>
            <w:tcBorders>
              <w:bottom w:val="single" w:sz="8" w:color="691A6B"/>
            </w:tcBorders>
          </w:tcPr>
          <w:p>
            <w:pPr>
              <w:spacing w:after="0"/>
              <w:rPr>
                <w:sz w:val="13"/>
                <w:szCs w:val="13"/>
                <w:color w:val="auto"/>
              </w:rPr>
            </w:pPr>
          </w:p>
        </w:tc>
        <w:tc>
          <w:tcPr>
            <w:tcW w:w="440" w:type="dxa"/>
            <w:vAlign w:val="bottom"/>
            <w:tcBorders>
              <w:bottom w:val="single" w:sz="8" w:color="691A6B"/>
            </w:tcBorders>
          </w:tcPr>
          <w:p>
            <w:pPr>
              <w:spacing w:after="0"/>
              <w:rPr>
                <w:sz w:val="13"/>
                <w:szCs w:val="13"/>
                <w:color w:val="auto"/>
              </w:rPr>
            </w:pPr>
          </w:p>
        </w:tc>
        <w:tc>
          <w:tcPr>
            <w:tcW w:w="380" w:type="dxa"/>
            <w:vAlign w:val="bottom"/>
            <w:tcBorders>
              <w:bottom w:val="single" w:sz="8" w:color="691A6B"/>
            </w:tcBorders>
          </w:tcPr>
          <w:p>
            <w:pPr>
              <w:spacing w:after="0"/>
              <w:rPr>
                <w:sz w:val="13"/>
                <w:szCs w:val="13"/>
                <w:color w:val="auto"/>
              </w:rPr>
            </w:pPr>
          </w:p>
        </w:tc>
        <w:tc>
          <w:tcPr>
            <w:tcW w:w="120" w:type="dxa"/>
            <w:vAlign w:val="bottom"/>
            <w:tcBorders>
              <w:bottom w:val="single" w:sz="8" w:color="691A6B"/>
            </w:tcBorders>
          </w:tcPr>
          <w:p>
            <w:pPr>
              <w:spacing w:after="0"/>
              <w:rPr>
                <w:sz w:val="13"/>
                <w:szCs w:val="13"/>
                <w:color w:val="auto"/>
              </w:rPr>
            </w:pPr>
          </w:p>
        </w:tc>
      </w:tr>
      <w:tr>
        <w:trPr>
          <w:trHeight w:val="128"/>
        </w:trPr>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0"/>
                <w:szCs w:val="10"/>
                <w:b w:val="1"/>
                <w:bCs w:val="1"/>
                <w:color w:val="691A6B"/>
              </w:rPr>
              <w:t>2025</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2024</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960" w:type="dxa"/>
            <w:vAlign w:val="bottom"/>
          </w:tcPr>
          <w:p>
            <w:pPr>
              <w:spacing w:after="0"/>
              <w:rPr>
                <w:sz w:val="12"/>
                <w:szCs w:val="12"/>
                <w:color w:val="auto"/>
              </w:rPr>
            </w:pPr>
          </w:p>
        </w:tc>
        <w:tc>
          <w:tcPr>
            <w:tcW w:w="380" w:type="dxa"/>
            <w:vAlign w:val="bottom"/>
          </w:tcPr>
          <w:p>
            <w:pPr>
              <w:ind w:left="20"/>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ind w:left="80"/>
              <w:spacing w:after="0"/>
              <w:rPr>
                <w:sz w:val="20"/>
                <w:szCs w:val="20"/>
                <w:color w:val="auto"/>
              </w:rPr>
            </w:pPr>
            <w:r>
              <w:rPr>
                <w:rFonts w:ascii="Arial" w:cs="Arial" w:eastAsia="Arial" w:hAnsi="Arial"/>
                <w:sz w:val="10"/>
                <w:szCs w:val="10"/>
                <w:b w:val="1"/>
                <w:bCs w:val="1"/>
                <w:color w:val="auto"/>
              </w:rPr>
              <w:t>Level 1</w:t>
            </w:r>
          </w:p>
        </w:tc>
        <w:tc>
          <w:tcPr>
            <w:tcW w:w="460" w:type="dxa"/>
            <w:vAlign w:val="bottom"/>
          </w:tcPr>
          <w:p>
            <w:pPr>
              <w:jc w:val="right"/>
              <w:ind w:right="29"/>
              <w:spacing w:after="0"/>
              <w:rPr>
                <w:sz w:val="20"/>
                <w:szCs w:val="20"/>
                <w:color w:val="auto"/>
              </w:rPr>
            </w:pPr>
            <w:r>
              <w:rPr>
                <w:rFonts w:ascii="Arial" w:cs="Arial" w:eastAsia="Arial" w:hAnsi="Arial"/>
                <w:sz w:val="10"/>
                <w:szCs w:val="10"/>
                <w:b w:val="1"/>
                <w:bCs w:val="1"/>
                <w:color w:val="auto"/>
              </w:rPr>
              <w:t>Level 2</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rPr>
              <w:t>Level 3   Total</w:t>
            </w:r>
          </w:p>
        </w:tc>
        <w:tc>
          <w:tcPr>
            <w:tcW w:w="16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Level 1</w:t>
            </w:r>
          </w:p>
        </w:tc>
        <w:tc>
          <w:tcPr>
            <w:tcW w:w="480" w:type="dxa"/>
            <w:vAlign w:val="bottom"/>
          </w:tcPr>
          <w:p>
            <w:pPr>
              <w:jc w:val="right"/>
              <w:ind w:right="29"/>
              <w:spacing w:after="0"/>
              <w:rPr>
                <w:sz w:val="20"/>
                <w:szCs w:val="20"/>
                <w:color w:val="auto"/>
              </w:rPr>
            </w:pPr>
            <w:r>
              <w:rPr>
                <w:rFonts w:ascii="Arial" w:cs="Arial" w:eastAsia="Arial" w:hAnsi="Arial"/>
                <w:sz w:val="10"/>
                <w:szCs w:val="10"/>
                <w:b w:val="1"/>
                <w:bCs w:val="1"/>
                <w:color w:val="auto"/>
              </w:rPr>
              <w:t>Level 2</w:t>
            </w:r>
          </w:p>
        </w:tc>
        <w:tc>
          <w:tcPr>
            <w:tcW w:w="440" w:type="dxa"/>
            <w:vAlign w:val="bottom"/>
          </w:tcPr>
          <w:p>
            <w:pPr>
              <w:jc w:val="right"/>
              <w:ind w:right="29"/>
              <w:spacing w:after="0"/>
              <w:rPr>
                <w:sz w:val="20"/>
                <w:szCs w:val="20"/>
                <w:color w:val="auto"/>
              </w:rPr>
            </w:pPr>
            <w:r>
              <w:rPr>
                <w:rFonts w:ascii="Arial" w:cs="Arial" w:eastAsia="Arial" w:hAnsi="Arial"/>
                <w:sz w:val="10"/>
                <w:szCs w:val="10"/>
                <w:b w:val="1"/>
                <w:bCs w:val="1"/>
                <w:color w:val="auto"/>
              </w:rPr>
              <w:t>Level 3</w:t>
            </w:r>
          </w:p>
        </w:tc>
        <w:tc>
          <w:tcPr>
            <w:tcW w:w="5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r>
      <w:tr>
        <w:trPr>
          <w:trHeight w:val="141"/>
        </w:trPr>
        <w:tc>
          <w:tcPr>
            <w:tcW w:w="960" w:type="dxa"/>
            <w:vAlign w:val="bottom"/>
          </w:tcPr>
          <w:p>
            <w:pPr>
              <w:ind w:left="20"/>
              <w:spacing w:after="0"/>
              <w:rPr>
                <w:sz w:val="20"/>
                <w:szCs w:val="20"/>
                <w:color w:val="auto"/>
              </w:rPr>
            </w:pPr>
            <w:r>
              <w:rPr>
                <w:rFonts w:ascii="Arial" w:cs="Arial" w:eastAsia="Arial" w:hAnsi="Arial"/>
                <w:sz w:val="10"/>
                <w:szCs w:val="10"/>
                <w:color w:val="auto"/>
              </w:rPr>
              <w:t>Assets Measured at</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8"/>
        </w:trPr>
        <w:tc>
          <w:tcPr>
            <w:tcW w:w="960" w:type="dxa"/>
            <w:vAlign w:val="bottom"/>
          </w:tcPr>
          <w:p>
            <w:pPr>
              <w:ind w:left="20"/>
              <w:spacing w:after="0"/>
              <w:rPr>
                <w:sz w:val="20"/>
                <w:szCs w:val="20"/>
                <w:color w:val="auto"/>
              </w:rPr>
            </w:pPr>
            <w:r>
              <w:rPr>
                <w:rFonts w:ascii="Arial" w:cs="Arial" w:eastAsia="Arial" w:hAnsi="Arial"/>
                <w:sz w:val="10"/>
                <w:szCs w:val="10"/>
                <w:color w:val="auto"/>
              </w:rPr>
              <w:t>Fair Value</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05"/>
        </w:trPr>
        <w:tc>
          <w:tcPr>
            <w:tcW w:w="960" w:type="dxa"/>
            <w:vAlign w:val="bottom"/>
          </w:tcPr>
          <w:p>
            <w:pPr>
              <w:ind w:left="20"/>
              <w:spacing w:after="0" w:line="105" w:lineRule="exact"/>
              <w:rPr>
                <w:sz w:val="20"/>
                <w:szCs w:val="20"/>
                <w:color w:val="auto"/>
              </w:rPr>
            </w:pPr>
            <w:r>
              <w:rPr>
                <w:rFonts w:ascii="Arial" w:cs="Arial" w:eastAsia="Arial" w:hAnsi="Arial"/>
                <w:sz w:val="10"/>
                <w:szCs w:val="10"/>
                <w:color w:val="auto"/>
              </w:rPr>
              <w:t>Marketable</w:t>
            </w:r>
          </w:p>
        </w:tc>
        <w:tc>
          <w:tcPr>
            <w:tcW w:w="380" w:type="dxa"/>
            <w:vAlign w:val="bottom"/>
          </w:tcPr>
          <w:p>
            <w:pPr>
              <w:ind w:left="20"/>
              <w:spacing w:after="0" w:line="105" w:lineRule="exact"/>
              <w:rPr>
                <w:sz w:val="20"/>
                <w:szCs w:val="20"/>
                <w:color w:val="auto"/>
              </w:rPr>
            </w:pPr>
            <w:r>
              <w:rPr>
                <w:rFonts w:ascii="Arial" w:cs="Arial" w:eastAsia="Arial" w:hAnsi="Arial"/>
                <w:sz w:val="10"/>
                <w:szCs w:val="10"/>
                <w:color w:val="auto"/>
              </w:rPr>
              <w:t>4.4</w:t>
            </w: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691A6B"/>
              </w:rPr>
              <w:t>—</w:t>
            </w:r>
          </w:p>
        </w:tc>
        <w:tc>
          <w:tcPr>
            <w:tcW w:w="460" w:type="dxa"/>
            <w:vAlign w:val="bottom"/>
          </w:tcPr>
          <w:p>
            <w:pPr>
              <w:jc w:val="right"/>
              <w:ind w:right="9"/>
              <w:spacing w:after="0" w:line="105" w:lineRule="exact"/>
              <w:rPr>
                <w:sz w:val="20"/>
                <w:szCs w:val="20"/>
                <w:color w:val="auto"/>
              </w:rPr>
            </w:pPr>
            <w:r>
              <w:rPr>
                <w:rFonts w:ascii="Arial" w:cs="Arial" w:eastAsia="Arial" w:hAnsi="Arial"/>
                <w:sz w:val="10"/>
                <w:szCs w:val="10"/>
                <w:color w:val="691A6B"/>
              </w:rPr>
              <w:t>—</w:t>
            </w:r>
          </w:p>
        </w:tc>
        <w:tc>
          <w:tcPr>
            <w:tcW w:w="720" w:type="dxa"/>
            <w:vAlign w:val="bottom"/>
          </w:tcPr>
          <w:p>
            <w:pPr>
              <w:jc w:val="center"/>
              <w:spacing w:after="0" w:line="105" w:lineRule="exact"/>
              <w:rPr>
                <w:sz w:val="20"/>
                <w:szCs w:val="20"/>
                <w:color w:val="auto"/>
              </w:rPr>
            </w:pPr>
            <w:r>
              <w:rPr>
                <w:rFonts w:ascii="Arial" w:cs="Arial" w:eastAsia="Arial" w:hAnsi="Arial"/>
                <w:sz w:val="10"/>
                <w:szCs w:val="10"/>
                <w:color w:val="691A6B"/>
              </w:rPr>
              <w:t>—</w:t>
            </w:r>
          </w:p>
        </w:tc>
        <w:tc>
          <w:tcPr>
            <w:tcW w:w="160" w:type="dxa"/>
            <w:vAlign w:val="bottom"/>
          </w:tcPr>
          <w:p>
            <w:pPr>
              <w:jc w:val="right"/>
              <w:spacing w:after="0" w:line="105" w:lineRule="exact"/>
              <w:rPr>
                <w:sz w:val="20"/>
                <w:szCs w:val="20"/>
                <w:color w:val="auto"/>
              </w:rPr>
            </w:pPr>
            <w:r>
              <w:rPr>
                <w:rFonts w:ascii="Arial" w:cs="Arial" w:eastAsia="Arial" w:hAnsi="Arial"/>
                <w:sz w:val="10"/>
                <w:szCs w:val="10"/>
                <w:color w:val="691A6B"/>
                <w:w w:val="99"/>
              </w:rPr>
              <w:t>—</w:t>
            </w: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1,574</w:t>
            </w: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1,574</w:t>
            </w:r>
          </w:p>
        </w:tc>
      </w:tr>
      <w:tr>
        <w:trPr>
          <w:trHeight w:val="137"/>
        </w:trPr>
        <w:tc>
          <w:tcPr>
            <w:tcW w:w="960" w:type="dxa"/>
            <w:vAlign w:val="bottom"/>
          </w:tcPr>
          <w:p>
            <w:pPr>
              <w:ind w:left="20"/>
              <w:spacing w:after="0"/>
              <w:rPr>
                <w:sz w:val="20"/>
                <w:szCs w:val="20"/>
                <w:color w:val="auto"/>
              </w:rPr>
            </w:pPr>
            <w:r>
              <w:rPr>
                <w:rFonts w:ascii="Arial" w:cs="Arial" w:eastAsia="Arial" w:hAnsi="Arial"/>
                <w:sz w:val="10"/>
                <w:szCs w:val="10"/>
                <w:color w:val="auto"/>
              </w:rPr>
              <w:t>securities</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0"/>
                <w:szCs w:val="10"/>
                <w:color w:val="auto"/>
              </w:rPr>
              <w:t>Other investments</w:t>
            </w:r>
          </w:p>
        </w:tc>
        <w:tc>
          <w:tcPr>
            <w:tcW w:w="380" w:type="dxa"/>
            <w:vAlign w:val="bottom"/>
          </w:tcPr>
          <w:p>
            <w:pPr>
              <w:ind w:left="20"/>
              <w:spacing w:after="0"/>
              <w:rPr>
                <w:sz w:val="20"/>
                <w:szCs w:val="20"/>
                <w:color w:val="auto"/>
              </w:rPr>
            </w:pPr>
            <w:r>
              <w:rPr>
                <w:rFonts w:ascii="Arial" w:cs="Arial" w:eastAsia="Arial" w:hAnsi="Arial"/>
                <w:sz w:val="10"/>
                <w:szCs w:val="10"/>
                <w:color w:val="auto"/>
              </w:rPr>
              <w:t>3.4</w:t>
            </w:r>
          </w:p>
        </w:tc>
        <w:tc>
          <w:tcPr>
            <w:tcW w:w="480" w:type="dxa"/>
            <w:vAlign w:val="bottom"/>
          </w:tcPr>
          <w:p>
            <w:pPr>
              <w:jc w:val="right"/>
              <w:spacing w:after="0"/>
              <w:rPr>
                <w:sz w:val="20"/>
                <w:szCs w:val="20"/>
                <w:color w:val="auto"/>
              </w:rPr>
            </w:pPr>
            <w:r>
              <w:rPr>
                <w:rFonts w:ascii="Arial" w:cs="Arial" w:eastAsia="Arial" w:hAnsi="Arial"/>
                <w:sz w:val="10"/>
                <w:szCs w:val="10"/>
                <w:color w:val="691A6B"/>
              </w:rPr>
              <w:t>9</w:t>
            </w:r>
          </w:p>
        </w:tc>
        <w:tc>
          <w:tcPr>
            <w:tcW w:w="460" w:type="dxa"/>
            <w:vAlign w:val="bottom"/>
          </w:tcPr>
          <w:p>
            <w:pPr>
              <w:jc w:val="right"/>
              <w:ind w:right="9"/>
              <w:spacing w:after="0"/>
              <w:rPr>
                <w:sz w:val="20"/>
                <w:szCs w:val="20"/>
                <w:color w:val="auto"/>
              </w:rPr>
            </w:pPr>
            <w:r>
              <w:rPr>
                <w:rFonts w:ascii="Arial" w:cs="Arial" w:eastAsia="Arial" w:hAnsi="Arial"/>
                <w:sz w:val="10"/>
                <w:szCs w:val="10"/>
                <w:color w:val="691A6B"/>
              </w:rPr>
              <w:t>2</w:t>
            </w:r>
          </w:p>
        </w:tc>
        <w:tc>
          <w:tcPr>
            <w:tcW w:w="720" w:type="dxa"/>
            <w:vAlign w:val="bottom"/>
          </w:tcPr>
          <w:p>
            <w:pPr>
              <w:jc w:val="center"/>
              <w:spacing w:after="0"/>
              <w:rPr>
                <w:sz w:val="20"/>
                <w:szCs w:val="20"/>
                <w:color w:val="auto"/>
              </w:rPr>
            </w:pPr>
            <w:r>
              <w:rPr>
                <w:rFonts w:ascii="Arial" w:cs="Arial" w:eastAsia="Arial" w:hAnsi="Arial"/>
                <w:sz w:val="10"/>
                <w:szCs w:val="10"/>
                <w:color w:val="691A6B"/>
              </w:rPr>
              <w:t>26</w:t>
            </w:r>
          </w:p>
        </w:tc>
        <w:tc>
          <w:tcPr>
            <w:tcW w:w="160" w:type="dxa"/>
            <w:vAlign w:val="bottom"/>
          </w:tcPr>
          <w:p>
            <w:pPr>
              <w:jc w:val="right"/>
              <w:spacing w:after="0"/>
              <w:rPr>
                <w:sz w:val="20"/>
                <w:szCs w:val="20"/>
                <w:color w:val="auto"/>
              </w:rPr>
            </w:pPr>
            <w:r>
              <w:rPr>
                <w:rFonts w:ascii="Arial" w:cs="Arial" w:eastAsia="Arial" w:hAnsi="Arial"/>
                <w:sz w:val="10"/>
                <w:szCs w:val="10"/>
                <w:color w:val="691A6B"/>
                <w:w w:val="89"/>
              </w:rPr>
              <w:t>37</w:t>
            </w:r>
          </w:p>
        </w:tc>
        <w:tc>
          <w:tcPr>
            <w:tcW w:w="420" w:type="dxa"/>
            <w:vAlign w:val="bottom"/>
          </w:tcPr>
          <w:p>
            <w:pPr>
              <w:jc w:val="right"/>
              <w:spacing w:after="0"/>
              <w:rPr>
                <w:sz w:val="20"/>
                <w:szCs w:val="20"/>
                <w:color w:val="auto"/>
              </w:rPr>
            </w:pPr>
            <w:r>
              <w:rPr>
                <w:rFonts w:ascii="Arial" w:cs="Arial" w:eastAsia="Arial" w:hAnsi="Arial"/>
                <w:sz w:val="10"/>
                <w:szCs w:val="10"/>
                <w:color w:val="auto"/>
              </w:rPr>
              <w:t>5</w:t>
            </w:r>
          </w:p>
        </w:tc>
        <w:tc>
          <w:tcPr>
            <w:tcW w:w="480" w:type="dxa"/>
            <w:vAlign w:val="bottom"/>
          </w:tcPr>
          <w:p>
            <w:pPr>
              <w:jc w:val="right"/>
              <w:spacing w:after="0"/>
              <w:rPr>
                <w:sz w:val="20"/>
                <w:szCs w:val="20"/>
                <w:color w:val="auto"/>
              </w:rPr>
            </w:pPr>
            <w:r>
              <w:rPr>
                <w:rFonts w:ascii="Arial" w:cs="Arial" w:eastAsia="Arial" w:hAnsi="Arial"/>
                <w:sz w:val="10"/>
                <w:szCs w:val="10"/>
                <w:color w:val="auto"/>
              </w:rPr>
              <w:t>2</w:t>
            </w:r>
          </w:p>
        </w:tc>
        <w:tc>
          <w:tcPr>
            <w:tcW w:w="440" w:type="dxa"/>
            <w:vAlign w:val="bottom"/>
          </w:tcPr>
          <w:p>
            <w:pPr>
              <w:jc w:val="right"/>
              <w:spacing w:after="0"/>
              <w:rPr>
                <w:sz w:val="20"/>
                <w:szCs w:val="20"/>
                <w:color w:val="auto"/>
              </w:rPr>
            </w:pPr>
            <w:r>
              <w:rPr>
                <w:rFonts w:ascii="Arial" w:cs="Arial" w:eastAsia="Arial" w:hAnsi="Arial"/>
                <w:sz w:val="10"/>
                <w:szCs w:val="10"/>
                <w:color w:val="auto"/>
              </w:rPr>
              <w:t>25</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32</w:t>
            </w:r>
          </w:p>
        </w:tc>
      </w:tr>
    </w:tbl>
    <w:p>
      <w:pPr>
        <w:spacing w:after="0" w:line="226" w:lineRule="auto"/>
        <w:rPr>
          <w:sz w:val="20"/>
          <w:szCs w:val="20"/>
          <w:color w:val="auto"/>
        </w:rPr>
      </w:pPr>
      <w:r>
        <w:rPr>
          <w:rFonts w:ascii="Arial" w:cs="Arial" w:eastAsia="Arial" w:hAnsi="Arial"/>
          <w:sz w:val="12"/>
          <w:szCs w:val="12"/>
          <w:b w:val="1"/>
          <w:bCs w:val="1"/>
          <w:color w:val="auto"/>
        </w:rPr>
        <w:t>Marketable Securities</w:t>
      </w:r>
    </w:p>
    <w:p>
      <w:pPr>
        <w:spacing w:after="0" w:line="199" w:lineRule="auto"/>
        <w:rPr>
          <w:sz w:val="20"/>
          <w:szCs w:val="20"/>
          <w:color w:val="auto"/>
        </w:rPr>
      </w:pPr>
      <w:r>
        <w:rPr>
          <w:rFonts w:ascii="Arial" w:cs="Arial" w:eastAsia="Arial" w:hAnsi="Arial"/>
          <w:sz w:val="10"/>
          <w:szCs w:val="10"/>
          <w:color w:val="auto"/>
        </w:rPr>
        <w:t>Substantially all fair market values are determined by reference to external sources using unadjusted</w:t>
      </w:r>
    </w:p>
    <w:p>
      <w:pPr>
        <w:spacing w:after="0" w:line="202" w:lineRule="auto"/>
        <w:rPr>
          <w:sz w:val="20"/>
          <w:szCs w:val="20"/>
          <w:color w:val="auto"/>
        </w:rPr>
      </w:pPr>
      <w:r>
        <w:rPr>
          <w:rFonts w:ascii="Arial" w:cs="Arial" w:eastAsia="Arial" w:hAnsi="Arial"/>
          <w:sz w:val="10"/>
          <w:szCs w:val="10"/>
          <w:color w:val="auto"/>
        </w:rPr>
        <w:t>quoted prices in established markets for our marketable securities (Level 1).</w:t>
      </w:r>
    </w:p>
    <w:p>
      <w:pPr>
        <w:spacing w:after="0" w:line="196" w:lineRule="auto"/>
        <w:rPr>
          <w:sz w:val="20"/>
          <w:szCs w:val="20"/>
          <w:color w:val="auto"/>
        </w:rPr>
      </w:pPr>
      <w:r>
        <w:rPr>
          <w:rFonts w:ascii="Arial" w:cs="Arial" w:eastAsia="Arial" w:hAnsi="Arial"/>
          <w:sz w:val="12"/>
          <w:szCs w:val="12"/>
          <w:b w:val="1"/>
          <w:bCs w:val="1"/>
          <w:color w:val="auto"/>
        </w:rPr>
        <w:t>Other Investments</w:t>
      </w:r>
    </w:p>
    <w:p>
      <w:pPr>
        <w:ind w:right="4860"/>
        <w:spacing w:after="0" w:line="200" w:lineRule="auto"/>
        <w:rPr>
          <w:sz w:val="20"/>
          <w:szCs w:val="20"/>
          <w:color w:val="auto"/>
        </w:rPr>
      </w:pPr>
      <w:r>
        <w:rPr>
          <w:rFonts w:ascii="Arial" w:cs="Arial" w:eastAsia="Arial" w:hAnsi="Arial"/>
          <w:sz w:val="10"/>
          <w:szCs w:val="10"/>
          <w:color w:val="auto"/>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at the most recent sale price or official closing price reported on the exchange or over -the -counter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not entirely based on observable market data. There were no transfers into or out of Level 3 during 2025 or 2024. Acquisitions (capital calls), fair value changes and foreign currency changes on Level 3 investments in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80" w:type="dxa"/>
            <w:vAlign w:val="bottom"/>
            <w:tcBorders>
              <w:top w:val="single" w:sz="8" w:color="691A6B"/>
            </w:tcBorders>
          </w:tcPr>
          <w:p>
            <w:pPr>
              <w:spacing w:after="0"/>
              <w:rPr>
                <w:sz w:val="10"/>
                <w:szCs w:val="10"/>
                <w:color w:val="auto"/>
              </w:rPr>
            </w:pPr>
          </w:p>
        </w:tc>
        <w:tc>
          <w:tcPr>
            <w:tcW w:w="2020" w:type="dxa"/>
            <w:vAlign w:val="bottom"/>
            <w:tcBorders>
              <w:top w:val="single" w:sz="8" w:color="691A6B"/>
            </w:tcBorders>
          </w:tcPr>
          <w:p>
            <w:pPr>
              <w:ind w:left="1100"/>
              <w:spacing w:after="0"/>
              <w:rPr>
                <w:sz w:val="20"/>
                <w:szCs w:val="20"/>
                <w:color w:val="auto"/>
              </w:rPr>
            </w:pPr>
            <w:r>
              <w:rPr>
                <w:rFonts w:ascii="Arial" w:cs="Arial" w:eastAsia="Arial" w:hAnsi="Arial"/>
                <w:sz w:val="10"/>
                <w:szCs w:val="10"/>
                <w:b w:val="1"/>
                <w:bCs w:val="1"/>
                <w:color w:val="auto"/>
              </w:rPr>
              <w:t>Other Investments</w:t>
            </w:r>
          </w:p>
        </w:tc>
      </w:tr>
      <w:tr>
        <w:trPr>
          <w:trHeight w:val="143"/>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Fair value at December 31, 2023</w:t>
            </w:r>
          </w:p>
        </w:tc>
        <w:tc>
          <w:tcPr>
            <w:tcW w:w="2020" w:type="dxa"/>
            <w:vAlign w:val="bottom"/>
          </w:tcPr>
          <w:p>
            <w:pPr>
              <w:ind w:left="1100"/>
              <w:spacing w:after="0"/>
              <w:rPr>
                <w:sz w:val="20"/>
                <w:szCs w:val="20"/>
                <w:color w:val="auto"/>
              </w:rPr>
            </w:pPr>
            <w:r>
              <w:rPr>
                <w:rFonts w:ascii="Arial" w:cs="Arial" w:eastAsia="Arial" w:hAnsi="Arial"/>
                <w:sz w:val="10"/>
                <w:szCs w:val="10"/>
                <w:b w:val="1"/>
                <w:bCs w:val="1"/>
                <w:color w:val="auto"/>
              </w:rPr>
              <w:t>13</w:t>
            </w:r>
          </w:p>
        </w:tc>
      </w:tr>
      <w:tr>
        <w:trPr>
          <w:trHeight w:val="146"/>
        </w:trPr>
        <w:tc>
          <w:tcPr>
            <w:tcW w:w="2680" w:type="dxa"/>
            <w:vAlign w:val="bottom"/>
          </w:tcPr>
          <w:p>
            <w:pPr>
              <w:ind w:left="20"/>
              <w:spacing w:after="0"/>
              <w:rPr>
                <w:sz w:val="20"/>
                <w:szCs w:val="20"/>
                <w:color w:val="auto"/>
              </w:rPr>
            </w:pPr>
            <w:r>
              <w:rPr>
                <w:rFonts w:ascii="Arial" w:cs="Arial" w:eastAsia="Arial" w:hAnsi="Arial"/>
                <w:sz w:val="10"/>
                <w:szCs w:val="10"/>
                <w:color w:val="auto"/>
              </w:rPr>
              <w:t>Acquisitions</w:t>
            </w:r>
          </w:p>
        </w:tc>
        <w:tc>
          <w:tcPr>
            <w:tcW w:w="2020" w:type="dxa"/>
            <w:vAlign w:val="bottom"/>
          </w:tcPr>
          <w:p>
            <w:pPr>
              <w:ind w:left="1100"/>
              <w:spacing w:after="0"/>
              <w:rPr>
                <w:sz w:val="20"/>
                <w:szCs w:val="20"/>
                <w:color w:val="auto"/>
              </w:rPr>
            </w:pPr>
            <w:r>
              <w:rPr>
                <w:rFonts w:ascii="Arial" w:cs="Arial" w:eastAsia="Arial" w:hAnsi="Arial"/>
                <w:sz w:val="10"/>
                <w:szCs w:val="10"/>
                <w:color w:val="auto"/>
              </w:rPr>
              <w:t>6</w:t>
            </w:r>
          </w:p>
        </w:tc>
      </w:tr>
      <w:tr>
        <w:trPr>
          <w:trHeight w:val="152"/>
        </w:trPr>
        <w:tc>
          <w:tcPr>
            <w:tcW w:w="2680" w:type="dxa"/>
            <w:vAlign w:val="bottom"/>
          </w:tcPr>
          <w:p>
            <w:pPr>
              <w:ind w:left="20"/>
              <w:spacing w:after="0"/>
              <w:rPr>
                <w:sz w:val="20"/>
                <w:szCs w:val="20"/>
                <w:color w:val="auto"/>
              </w:rPr>
            </w:pPr>
            <w:r>
              <w:rPr>
                <w:rFonts w:ascii="Arial" w:cs="Arial" w:eastAsia="Arial" w:hAnsi="Arial"/>
                <w:sz w:val="10"/>
                <w:szCs w:val="10"/>
                <w:color w:val="auto"/>
              </w:rPr>
              <w:t>Fair value changes</w:t>
            </w:r>
          </w:p>
        </w:tc>
        <w:tc>
          <w:tcPr>
            <w:tcW w:w="2020" w:type="dxa"/>
            <w:vAlign w:val="bottom"/>
          </w:tcPr>
          <w:p>
            <w:pPr>
              <w:ind w:left="1100"/>
              <w:spacing w:after="0"/>
              <w:rPr>
                <w:sz w:val="20"/>
                <w:szCs w:val="20"/>
                <w:color w:val="auto"/>
              </w:rPr>
            </w:pPr>
            <w:r>
              <w:rPr>
                <w:rFonts w:ascii="Arial" w:cs="Arial" w:eastAsia="Arial" w:hAnsi="Arial"/>
                <w:sz w:val="10"/>
                <w:szCs w:val="10"/>
                <w:color w:val="auto"/>
              </w:rPr>
              <w:t>6</w:t>
            </w:r>
          </w:p>
        </w:tc>
      </w:tr>
      <w:tr>
        <w:trPr>
          <w:trHeight w:val="158"/>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Fair value at December 31, 2024</w:t>
            </w:r>
          </w:p>
        </w:tc>
        <w:tc>
          <w:tcPr>
            <w:tcW w:w="2020" w:type="dxa"/>
            <w:vAlign w:val="bottom"/>
          </w:tcPr>
          <w:p>
            <w:pPr>
              <w:ind w:left="1100"/>
              <w:spacing w:after="0"/>
              <w:rPr>
                <w:sz w:val="20"/>
                <w:szCs w:val="20"/>
                <w:color w:val="auto"/>
              </w:rPr>
            </w:pPr>
            <w:r>
              <w:rPr>
                <w:rFonts w:ascii="Arial" w:cs="Arial" w:eastAsia="Arial" w:hAnsi="Arial"/>
                <w:sz w:val="10"/>
                <w:szCs w:val="10"/>
                <w:b w:val="1"/>
                <w:bCs w:val="1"/>
                <w:color w:val="auto"/>
              </w:rPr>
              <w:t>25</w:t>
            </w:r>
          </w:p>
        </w:tc>
      </w:tr>
      <w:tr>
        <w:trPr>
          <w:trHeight w:val="146"/>
        </w:trPr>
        <w:tc>
          <w:tcPr>
            <w:tcW w:w="2680" w:type="dxa"/>
            <w:vAlign w:val="bottom"/>
          </w:tcPr>
          <w:p>
            <w:pPr>
              <w:ind w:left="20"/>
              <w:spacing w:after="0"/>
              <w:rPr>
                <w:sz w:val="20"/>
                <w:szCs w:val="20"/>
                <w:color w:val="auto"/>
              </w:rPr>
            </w:pPr>
            <w:r>
              <w:rPr>
                <w:rFonts w:ascii="Arial" w:cs="Arial" w:eastAsia="Arial" w:hAnsi="Arial"/>
                <w:sz w:val="10"/>
                <w:szCs w:val="10"/>
                <w:color w:val="auto"/>
              </w:rPr>
              <w:t>Acquisitions</w:t>
            </w:r>
          </w:p>
        </w:tc>
        <w:tc>
          <w:tcPr>
            <w:tcW w:w="2020" w:type="dxa"/>
            <w:vAlign w:val="bottom"/>
          </w:tcPr>
          <w:p>
            <w:pPr>
              <w:ind w:left="1100"/>
              <w:spacing w:after="0"/>
              <w:rPr>
                <w:sz w:val="20"/>
                <w:szCs w:val="20"/>
                <w:color w:val="auto"/>
              </w:rPr>
            </w:pPr>
            <w:r>
              <w:rPr>
                <w:rFonts w:ascii="Arial" w:cs="Arial" w:eastAsia="Arial" w:hAnsi="Arial"/>
                <w:sz w:val="10"/>
                <w:szCs w:val="10"/>
                <w:color w:val="auto"/>
              </w:rPr>
              <w:t>4</w:t>
            </w:r>
          </w:p>
        </w:tc>
      </w:tr>
      <w:tr>
        <w:trPr>
          <w:trHeight w:val="152"/>
        </w:trPr>
        <w:tc>
          <w:tcPr>
            <w:tcW w:w="2680" w:type="dxa"/>
            <w:vAlign w:val="bottom"/>
          </w:tcPr>
          <w:p>
            <w:pPr>
              <w:ind w:left="20"/>
              <w:spacing w:after="0"/>
              <w:rPr>
                <w:sz w:val="20"/>
                <w:szCs w:val="20"/>
                <w:color w:val="auto"/>
              </w:rPr>
            </w:pPr>
            <w:r>
              <w:rPr>
                <w:rFonts w:ascii="Arial" w:cs="Arial" w:eastAsia="Arial" w:hAnsi="Arial"/>
                <w:sz w:val="10"/>
                <w:szCs w:val="10"/>
                <w:color w:val="auto"/>
              </w:rPr>
              <w:t>Fair value changes</w:t>
            </w:r>
          </w:p>
        </w:tc>
        <w:tc>
          <w:tcPr>
            <w:tcW w:w="2020" w:type="dxa"/>
            <w:vAlign w:val="bottom"/>
          </w:tcPr>
          <w:p>
            <w:pPr>
              <w:jc w:val="right"/>
              <w:ind w:right="8"/>
              <w:spacing w:after="0"/>
              <w:rPr>
                <w:sz w:val="20"/>
                <w:szCs w:val="20"/>
                <w:color w:val="auto"/>
              </w:rPr>
            </w:pPr>
            <w:r>
              <w:rPr>
                <w:rFonts w:ascii="Arial" w:cs="Arial" w:eastAsia="Arial" w:hAnsi="Arial"/>
                <w:sz w:val="10"/>
                <w:szCs w:val="10"/>
                <w:color w:val="auto"/>
              </w:rPr>
              <w:t>(3)</w:t>
            </w:r>
          </w:p>
        </w:tc>
      </w:tr>
      <w:tr>
        <w:trPr>
          <w:trHeight w:val="158"/>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Fair value at December 31, 2025</w:t>
            </w:r>
          </w:p>
        </w:tc>
        <w:tc>
          <w:tcPr>
            <w:tcW w:w="2020" w:type="dxa"/>
            <w:vAlign w:val="bottom"/>
          </w:tcPr>
          <w:p>
            <w:pPr>
              <w:jc w:val="right"/>
              <w:ind w:right="28"/>
              <w:spacing w:after="0"/>
              <w:rPr>
                <w:sz w:val="20"/>
                <w:szCs w:val="20"/>
                <w:color w:val="auto"/>
              </w:rPr>
            </w:pPr>
            <w:r>
              <w:rPr>
                <w:rFonts w:ascii="Arial" w:cs="Arial" w:eastAsia="Arial" w:hAnsi="Arial"/>
                <w:sz w:val="10"/>
                <w:szCs w:val="10"/>
                <w:b w:val="1"/>
                <w:bCs w:val="1"/>
                <w:color w:val="auto"/>
              </w:rPr>
              <w:t>26</w:t>
            </w:r>
          </w:p>
        </w:tc>
      </w:tr>
    </w:tbl>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90805" cy="908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Classification of categories of financial assets and liabilities</w:t>
      </w:r>
    </w:p>
    <w:p>
      <w:pPr>
        <w:sectPr>
          <w:pgSz w:w="11900" w:h="16840" w:orient="portrait"/>
          <w:cols w:equalWidth="0" w:num="1">
            <w:col w:w="9820"/>
          </w:cols>
          <w:pgMar w:left="640" w:top="571" w:right="1440" w:bottom="457" w:gutter="0" w:footer="0" w:header="0"/>
        </w:sectPr>
      </w:pPr>
    </w:p>
    <w:p>
      <w:pPr>
        <w:spacing w:after="0" w:line="198" w:lineRule="auto"/>
        <w:rPr>
          <w:sz w:val="20"/>
          <w:szCs w:val="20"/>
          <w:color w:val="auto"/>
        </w:rPr>
      </w:pPr>
      <w:r>
        <w:rPr>
          <w:rFonts w:ascii="Arial" w:cs="Arial" w:eastAsia="Arial" w:hAnsi="Arial"/>
          <w:sz w:val="10"/>
          <w:szCs w:val="10"/>
          <w:color w:val="auto"/>
        </w:rPr>
        <w:t>Genmab classifies its financial assets and liabilities held into the following measurement categories:</w:t>
      </w:r>
    </w:p>
    <w:p>
      <w:pPr>
        <w:spacing w:after="0"/>
        <w:rPr>
          <w:sz w:val="20"/>
          <w:szCs w:val="20"/>
          <w:color w:val="auto"/>
        </w:rPr>
      </w:pPr>
      <w:r>
        <w:rPr>
          <w:rFonts w:ascii="Arial" w:cs="Arial" w:eastAsia="Arial" w:hAnsi="Arial"/>
          <w:sz w:val="10"/>
          <w:szCs w:val="10"/>
          <w:color w:val="auto"/>
        </w:rPr>
        <w:t>•those to be measured subsequently at fair value (either through other comprehensive income, or</w:t>
      </w:r>
    </w:p>
    <w:p>
      <w:pPr>
        <w:sectPr>
          <w:pgSz w:w="11900" w:h="16840" w:orient="portrait"/>
          <w:cols w:equalWidth="0" w:num="1">
            <w:col w:w="9820"/>
          </w:cols>
          <w:pgMar w:left="640" w:top="571" w:right="1440" w:bottom="457" w:gutter="0" w:footer="0" w:header="0"/>
          <w:type w:val="continuous"/>
        </w:sectPr>
      </w:pPr>
    </w:p>
    <w:bookmarkStart w:id="148" w:name="page149"/>
    <w:bookmarkEnd w:id="148"/>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3"/>
          <w:szCs w:val="13"/>
          <w:b w:val="1"/>
          <w:bCs w:val="1"/>
          <w:color w:val="691A6B"/>
        </w:rPr>
        <w:t>Fair value measurement</w:t>
      </w:r>
    </w:p>
    <w:p>
      <w:pPr>
        <w:ind w:right="2480"/>
        <w:spacing w:after="0" w:line="198" w:lineRule="auto"/>
        <w:rPr>
          <w:sz w:val="20"/>
          <w:szCs w:val="20"/>
          <w:color w:val="auto"/>
        </w:rPr>
      </w:pPr>
      <w:r>
        <w:rPr>
          <w:rFonts w:ascii="Arial" w:cs="Arial" w:eastAsia="Arial" w:hAnsi="Arial"/>
          <w:sz w:val="10"/>
          <w:szCs w:val="10"/>
          <w:color w:val="auto"/>
        </w:rPr>
        <w:t>Genmab measures financial instruments, such as marketable securities, at fair value at each balance sheet date. Management assessed that the fair value of financial assets and liabilities measured at amortized cost such as bank deposits, receivables and other payables approximate their carrying amounts largely due to the short- term maturities of these instruments.</w:t>
      </w:r>
    </w:p>
    <w:p>
      <w:pPr>
        <w:spacing w:after="0" w:line="1" w:lineRule="exact"/>
        <w:rPr>
          <w:rFonts w:ascii="Arial" w:cs="Arial" w:eastAsia="Arial" w:hAnsi="Arial"/>
          <w:sz w:val="10"/>
          <w:szCs w:val="10"/>
          <w:color w:val="auto"/>
        </w:rPr>
      </w:pPr>
    </w:p>
    <w:p>
      <w:pPr>
        <w:ind w:right="2580"/>
        <w:spacing w:after="0" w:line="198" w:lineRule="auto"/>
        <w:rPr>
          <w:sz w:val="20"/>
          <w:szCs w:val="20"/>
          <w:color w:val="auto"/>
        </w:rPr>
      </w:pPr>
      <w:r>
        <w:rPr>
          <w:rFonts w:ascii="Arial" w:cs="Arial" w:eastAsia="Arial" w:hAnsi="Arial"/>
          <w:sz w:val="10"/>
          <w:szCs w:val="10"/>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w:t>
      </w:r>
    </w:p>
    <w:p>
      <w:pPr>
        <w:spacing w:after="0" w:line="201" w:lineRule="auto"/>
        <w:rPr>
          <w:sz w:val="20"/>
          <w:szCs w:val="20"/>
          <w:color w:val="auto"/>
        </w:rPr>
      </w:pPr>
      <w:r>
        <w:rPr>
          <w:rFonts w:ascii="Arial" w:cs="Arial" w:eastAsia="Arial" w:hAnsi="Arial"/>
          <w:sz w:val="10"/>
          <w:szCs w:val="10"/>
          <w:color w:val="auto"/>
        </w:rPr>
        <w:t>•In the absence of a principal market, in the most advantageous market for the asset or liability.</w:t>
      </w:r>
    </w:p>
    <w:p>
      <w:pPr>
        <w:spacing w:after="0" w:line="198" w:lineRule="auto"/>
        <w:rPr>
          <w:sz w:val="20"/>
          <w:szCs w:val="20"/>
          <w:color w:val="auto"/>
        </w:rPr>
      </w:pPr>
      <w:r>
        <w:rPr>
          <w:rFonts w:ascii="Arial" w:cs="Arial" w:eastAsia="Arial" w:hAnsi="Arial"/>
          <w:sz w:val="10"/>
          <w:szCs w:val="10"/>
          <w:color w:val="auto"/>
        </w:rPr>
        <w:t>The principal or the most advantageous market must be accessible by Genmab.</w:t>
      </w:r>
    </w:p>
    <w:p>
      <w:pPr>
        <w:ind w:right="2460"/>
        <w:spacing w:after="0" w:line="198" w:lineRule="auto"/>
        <w:rPr>
          <w:sz w:val="20"/>
          <w:szCs w:val="20"/>
          <w:color w:val="auto"/>
        </w:rPr>
      </w:pPr>
      <w:r>
        <w:rPr>
          <w:rFonts w:ascii="Arial" w:cs="Arial" w:eastAsia="Arial" w:hAnsi="Arial"/>
          <w:sz w:val="10"/>
          <w:szCs w:val="10"/>
          <w:color w:val="auto"/>
        </w:rPr>
        <w:t>The fair value of an asset or a liability is measured using the assumptions that market participants would use when pricing the asset or liability, assuming that market participants act in their economic best interest. Genmab uses valuation techniques that are appropriate in the circumstances and for which sufficient data are available to measure fair value, maximizing the use of relevant observable inputs and minimizing the use of unobservable inputs.</w:t>
      </w:r>
    </w:p>
    <w:p>
      <w:pPr>
        <w:spacing w:after="0" w:line="2" w:lineRule="exact"/>
        <w:rPr>
          <w:rFonts w:ascii="Arial" w:cs="Arial" w:eastAsia="Arial" w:hAnsi="Arial"/>
          <w:sz w:val="10"/>
          <w:szCs w:val="10"/>
          <w:color w:val="auto"/>
        </w:rPr>
      </w:pPr>
    </w:p>
    <w:p>
      <w:pPr>
        <w:ind w:right="2500"/>
        <w:spacing w:after="0" w:line="228" w:lineRule="auto"/>
        <w:rPr>
          <w:sz w:val="20"/>
          <w:szCs w:val="20"/>
          <w:color w:val="auto"/>
        </w:rPr>
      </w:pPr>
      <w:r>
        <w:rPr>
          <w:rFonts w:ascii="Arial" w:cs="Arial" w:eastAsia="Arial" w:hAnsi="Arial"/>
          <w:sz w:val="10"/>
          <w:szCs w:val="10"/>
          <w:color w:val="auto"/>
        </w:rPr>
        <w:t>For financial instruments that are measured in the balance sheet at fair value, IFRS 13 requires disclosure of fair value measurements by level of the following fair value measurement hierarchy:</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058160" cy="120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3058160" cy="12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0"/>
          <w:szCs w:val="10"/>
          <w:color w:val="auto"/>
        </w:rPr>
        <w:t>•Level 1 - Quoted prices (unadjusted) in active markets for identical assets or liabilities</w:t>
      </w:r>
    </w:p>
    <w:p>
      <w:pPr>
        <w:spacing w:after="0" w:line="18" w:lineRule="exact"/>
        <w:rPr>
          <w:rFonts w:ascii="Arial" w:cs="Arial" w:eastAsia="Arial" w:hAnsi="Arial"/>
          <w:sz w:val="10"/>
          <w:szCs w:val="10"/>
          <w:color w:val="auto"/>
        </w:rPr>
      </w:pPr>
    </w:p>
    <w:p>
      <w:pPr>
        <w:ind w:left="20" w:right="2740"/>
        <w:spacing w:after="0" w:line="244" w:lineRule="auto"/>
        <w:rPr>
          <w:sz w:val="20"/>
          <w:szCs w:val="20"/>
          <w:color w:val="auto"/>
        </w:rPr>
      </w:pPr>
      <w:r>
        <w:rPr>
          <w:rFonts w:ascii="Arial" w:cs="Arial" w:eastAsia="Arial" w:hAnsi="Arial"/>
          <w:sz w:val="10"/>
          <w:szCs w:val="10"/>
          <w:color w:val="auto"/>
        </w:rPr>
        <w:t>•Level 2 - Inputs other than quoted prices included within Level 1 that are observable for the asset or liability, either directly (that is, as prices) or indirectly (that is, derived from prices)</w:t>
      </w:r>
    </w:p>
    <w:p>
      <w:pPr>
        <w:spacing w:after="0" w:line="33" w:lineRule="exact"/>
        <w:rPr>
          <w:rFonts w:ascii="Arial" w:cs="Arial" w:eastAsia="Arial" w:hAnsi="Arial"/>
          <w:sz w:val="10"/>
          <w:szCs w:val="10"/>
          <w:color w:val="auto"/>
        </w:rPr>
      </w:pPr>
    </w:p>
    <w:p>
      <w:pPr>
        <w:ind w:left="20" w:right="3060"/>
        <w:spacing w:after="0" w:line="244" w:lineRule="auto"/>
        <w:rPr>
          <w:sz w:val="20"/>
          <w:szCs w:val="20"/>
          <w:color w:val="auto"/>
        </w:rPr>
      </w:pPr>
      <w:r>
        <w:rPr>
          <w:rFonts w:ascii="Arial" w:cs="Arial" w:eastAsia="Arial" w:hAnsi="Arial"/>
          <w:sz w:val="10"/>
          <w:szCs w:val="10"/>
          <w:color w:val="auto"/>
        </w:rPr>
        <w:t>•Level 3 - Inputs for the asset or liability that are not based on observable market data (that is, unobservable inputs).</w:t>
      </w:r>
    </w:p>
    <w:p>
      <w:pPr>
        <w:spacing w:after="0" w:line="23" w:lineRule="exact"/>
        <w:rPr>
          <w:rFonts w:ascii="Arial" w:cs="Arial" w:eastAsia="Arial" w:hAnsi="Arial"/>
          <w:sz w:val="10"/>
          <w:szCs w:val="10"/>
          <w:color w:val="auto"/>
        </w:rPr>
      </w:pPr>
    </w:p>
    <w:p>
      <w:pPr>
        <w:ind w:right="2480"/>
        <w:spacing w:after="0" w:line="204" w:lineRule="auto"/>
        <w:rPr>
          <w:sz w:val="20"/>
          <w:szCs w:val="20"/>
          <w:color w:val="auto"/>
        </w:rPr>
      </w:pPr>
      <w:r>
        <w:rPr>
          <w:rFonts w:ascii="Arial" w:cs="Arial" w:eastAsia="Arial" w:hAnsi="Arial"/>
          <w:sz w:val="10"/>
          <w:szCs w:val="10"/>
          <w:color w:val="auto"/>
        </w:rPr>
        <w:t>For assets and liabilities that are recognized in the financial statements at fair value on a recurring basis, Genmab determines whether transfers have occurred between levels in the hierarchy by reassessing categorization (based on the lowest level input that is significant to the fair value measurement as a whole) at the end of each reporting period. Any transfers between the different levels are carried out at the end of the reporting period.</w:t>
      </w:r>
    </w:p>
    <w:p>
      <w:pPr>
        <w:spacing w:after="0" w:line="220" w:lineRule="auto"/>
        <w:rPr>
          <w:sz w:val="20"/>
          <w:szCs w:val="20"/>
          <w:color w:val="auto"/>
        </w:rPr>
      </w:pPr>
      <w:r>
        <w:rPr>
          <w:rFonts w:ascii="Arial" w:cs="Arial" w:eastAsia="Arial" w:hAnsi="Arial"/>
          <w:sz w:val="15"/>
          <w:szCs w:val="15"/>
          <w:b w:val="1"/>
          <w:bCs w:val="1"/>
          <w:color w:val="691A6B"/>
        </w:rPr>
        <w:t>4.4 - Marketable Securities</w:t>
      </w:r>
    </w:p>
    <w:tbl>
      <w:tblPr>
        <w:tblLayout w:type="fixed"/>
        <w:tblInd w:w="0" w:type="dxa"/>
        <w:tblCellMar>
          <w:top w:w="0" w:type="dxa"/>
          <w:left w:w="0" w:type="dxa"/>
          <w:bottom w:w="0" w:type="dxa"/>
          <w:right w:w="0" w:type="dxa"/>
        </w:tblCellMar>
      </w:tblPr>
      <w:tr>
        <w:trPr>
          <w:trHeight w:val="128"/>
        </w:trPr>
        <w:tc>
          <w:tcPr>
            <w:tcW w:w="1140" w:type="dxa"/>
            <w:vAlign w:val="bottom"/>
            <w:tcBorders>
              <w:top w:val="single" w:sz="8" w:color="691A6B"/>
            </w:tcBorders>
          </w:tcPr>
          <w:p>
            <w:pPr>
              <w:spacing w:after="0"/>
              <w:rPr>
                <w:sz w:val="11"/>
                <w:szCs w:val="11"/>
                <w:color w:val="auto"/>
              </w:rPr>
            </w:pPr>
          </w:p>
        </w:tc>
        <w:tc>
          <w:tcPr>
            <w:tcW w:w="66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691A6B"/>
                <w:w w:val="98"/>
              </w:rPr>
              <w:t>Market value</w:t>
            </w:r>
          </w:p>
        </w:tc>
        <w:tc>
          <w:tcPr>
            <w:tcW w:w="46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691A6B"/>
              </w:rPr>
              <w:t>Share</w:t>
            </w:r>
          </w:p>
        </w:tc>
        <w:tc>
          <w:tcPr>
            <w:tcW w:w="780" w:type="dxa"/>
            <w:vAlign w:val="bottom"/>
            <w:tcBorders>
              <w:top w:val="single" w:sz="8" w:color="691A6B"/>
            </w:tcBorders>
          </w:tcPr>
          <w:p>
            <w:pPr>
              <w:ind w:left="160"/>
              <w:spacing w:after="0"/>
              <w:rPr>
                <w:sz w:val="20"/>
                <w:szCs w:val="20"/>
                <w:color w:val="auto"/>
              </w:rPr>
            </w:pPr>
            <w:r>
              <w:rPr>
                <w:rFonts w:ascii="Arial" w:cs="Arial" w:eastAsia="Arial" w:hAnsi="Arial"/>
                <w:sz w:val="10"/>
                <w:szCs w:val="10"/>
                <w:b w:val="1"/>
                <w:bCs w:val="1"/>
                <w:color w:val="auto"/>
                <w:w w:val="98"/>
              </w:rPr>
              <w:t>Market value</w:t>
            </w:r>
          </w:p>
        </w:tc>
        <w:tc>
          <w:tcPr>
            <w:tcW w:w="48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Share</w:t>
            </w:r>
          </w:p>
        </w:tc>
        <w:tc>
          <w:tcPr>
            <w:tcW w:w="780" w:type="dxa"/>
            <w:vAlign w:val="bottom"/>
            <w:tcBorders>
              <w:top w:val="single" w:sz="8" w:color="691A6B"/>
            </w:tcBorders>
          </w:tcPr>
          <w:p>
            <w:pPr>
              <w:ind w:left="160"/>
              <w:spacing w:after="0"/>
              <w:rPr>
                <w:sz w:val="20"/>
                <w:szCs w:val="20"/>
                <w:color w:val="auto"/>
              </w:rPr>
            </w:pPr>
            <w:r>
              <w:rPr>
                <w:rFonts w:ascii="Arial" w:cs="Arial" w:eastAsia="Arial" w:hAnsi="Arial"/>
                <w:sz w:val="10"/>
                <w:szCs w:val="10"/>
                <w:b w:val="1"/>
                <w:bCs w:val="1"/>
                <w:color w:val="auto"/>
                <w:w w:val="98"/>
              </w:rPr>
              <w:t>Market value</w:t>
            </w:r>
          </w:p>
        </w:tc>
        <w:tc>
          <w:tcPr>
            <w:tcW w:w="60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Share</w:t>
            </w:r>
          </w:p>
        </w:tc>
      </w:tr>
      <w:tr>
        <w:trPr>
          <w:trHeight w:val="100"/>
        </w:trPr>
        <w:tc>
          <w:tcPr>
            <w:tcW w:w="114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10"/>
                <w:szCs w:val="10"/>
                <w:b w:val="1"/>
                <w:bCs w:val="1"/>
                <w:color w:val="691A6B"/>
              </w:rPr>
              <w:t>December</w:t>
            </w:r>
          </w:p>
        </w:tc>
        <w:tc>
          <w:tcPr>
            <w:tcW w:w="460" w:type="dxa"/>
            <w:vAlign w:val="bottom"/>
          </w:tcPr>
          <w:p>
            <w:pPr>
              <w:ind w:left="40"/>
              <w:spacing w:after="0" w:line="101" w:lineRule="exact"/>
              <w:rPr>
                <w:sz w:val="20"/>
                <w:szCs w:val="20"/>
                <w:color w:val="auto"/>
              </w:rPr>
            </w:pPr>
            <w:r>
              <w:rPr>
                <w:rFonts w:ascii="Arial" w:cs="Arial" w:eastAsia="Arial" w:hAnsi="Arial"/>
                <w:sz w:val="10"/>
                <w:szCs w:val="10"/>
                <w:b w:val="1"/>
                <w:bCs w:val="1"/>
                <w:color w:val="691A6B"/>
              </w:rPr>
              <w:t>%</w:t>
            </w:r>
          </w:p>
        </w:tc>
        <w:tc>
          <w:tcPr>
            <w:tcW w:w="780" w:type="dxa"/>
            <w:vAlign w:val="bottom"/>
          </w:tcPr>
          <w:p>
            <w:pPr>
              <w:ind w:left="160"/>
              <w:spacing w:after="0" w:line="101" w:lineRule="exact"/>
              <w:rPr>
                <w:sz w:val="20"/>
                <w:szCs w:val="20"/>
                <w:color w:val="auto"/>
              </w:rPr>
            </w:pPr>
            <w:r>
              <w:rPr>
                <w:rFonts w:ascii="Arial" w:cs="Arial" w:eastAsia="Arial" w:hAnsi="Arial"/>
                <w:sz w:val="10"/>
                <w:szCs w:val="10"/>
                <w:b w:val="1"/>
                <w:bCs w:val="1"/>
                <w:color w:val="auto"/>
              </w:rPr>
              <w:t>December</w:t>
            </w:r>
          </w:p>
        </w:tc>
        <w:tc>
          <w:tcPr>
            <w:tcW w:w="480" w:type="dxa"/>
            <w:vAlign w:val="bottom"/>
          </w:tcPr>
          <w:p>
            <w:pPr>
              <w:ind w:left="40"/>
              <w:spacing w:after="0" w:line="101" w:lineRule="exact"/>
              <w:rPr>
                <w:sz w:val="20"/>
                <w:szCs w:val="20"/>
                <w:color w:val="auto"/>
              </w:rPr>
            </w:pPr>
            <w:r>
              <w:rPr>
                <w:rFonts w:ascii="Arial" w:cs="Arial" w:eastAsia="Arial" w:hAnsi="Arial"/>
                <w:sz w:val="10"/>
                <w:szCs w:val="10"/>
                <w:b w:val="1"/>
                <w:bCs w:val="1"/>
                <w:color w:val="auto"/>
              </w:rPr>
              <w:t>%</w:t>
            </w:r>
          </w:p>
        </w:tc>
        <w:tc>
          <w:tcPr>
            <w:tcW w:w="780" w:type="dxa"/>
            <w:vAlign w:val="bottom"/>
          </w:tcPr>
          <w:p>
            <w:pPr>
              <w:ind w:left="160"/>
              <w:spacing w:after="0" w:line="101" w:lineRule="exact"/>
              <w:rPr>
                <w:sz w:val="20"/>
                <w:szCs w:val="20"/>
                <w:color w:val="auto"/>
              </w:rPr>
            </w:pPr>
            <w:r>
              <w:rPr>
                <w:rFonts w:ascii="Arial" w:cs="Arial" w:eastAsia="Arial" w:hAnsi="Arial"/>
                <w:sz w:val="10"/>
                <w:szCs w:val="10"/>
                <w:b w:val="1"/>
                <w:bCs w:val="1"/>
                <w:color w:val="auto"/>
              </w:rPr>
              <w:t>January 1,</w:t>
            </w:r>
          </w:p>
        </w:tc>
        <w:tc>
          <w:tcPr>
            <w:tcW w:w="600" w:type="dxa"/>
            <w:vAlign w:val="bottom"/>
          </w:tcPr>
          <w:p>
            <w:pPr>
              <w:ind w:left="40"/>
              <w:spacing w:after="0" w:line="101" w:lineRule="exact"/>
              <w:rPr>
                <w:sz w:val="20"/>
                <w:szCs w:val="20"/>
                <w:color w:val="auto"/>
              </w:rPr>
            </w:pPr>
            <w:r>
              <w:rPr>
                <w:rFonts w:ascii="Arial" w:cs="Arial" w:eastAsia="Arial" w:hAnsi="Arial"/>
                <w:sz w:val="10"/>
                <w:szCs w:val="10"/>
                <w:b w:val="1"/>
                <w:bCs w:val="1"/>
                <w:color w:val="auto"/>
              </w:rPr>
              <w:t>%</w:t>
            </w:r>
          </w:p>
        </w:tc>
      </w:tr>
      <w:tr>
        <w:trPr>
          <w:trHeight w:val="128"/>
        </w:trPr>
        <w:tc>
          <w:tcPr>
            <w:tcW w:w="11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691A6B"/>
              </w:rPr>
              <w:t>31, 2025</w:t>
            </w:r>
          </w:p>
        </w:tc>
        <w:tc>
          <w:tcPr>
            <w:tcW w:w="46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31, 2024</w:t>
            </w:r>
          </w:p>
        </w:tc>
        <w:tc>
          <w:tcPr>
            <w:tcW w:w="48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2024</w:t>
            </w:r>
          </w:p>
        </w:tc>
        <w:tc>
          <w:tcPr>
            <w:tcW w:w="600" w:type="dxa"/>
            <w:vAlign w:val="bottom"/>
          </w:tcPr>
          <w:p>
            <w:pPr>
              <w:spacing w:after="0"/>
              <w:rPr>
                <w:sz w:val="11"/>
                <w:szCs w:val="11"/>
                <w:color w:val="auto"/>
              </w:rPr>
            </w:pPr>
          </w:p>
        </w:tc>
      </w:tr>
      <w:tr>
        <w:trPr>
          <w:trHeight w:val="360"/>
        </w:trPr>
        <w:tc>
          <w:tcPr>
            <w:tcW w:w="1140" w:type="dxa"/>
            <w:vAlign w:val="bottom"/>
          </w:tcPr>
          <w:p>
            <w:pPr>
              <w:ind w:left="20"/>
              <w:spacing w:after="0"/>
              <w:rPr>
                <w:sz w:val="20"/>
                <w:szCs w:val="20"/>
                <w:color w:val="auto"/>
              </w:rPr>
            </w:pPr>
            <w:r>
              <w:rPr>
                <w:rFonts w:ascii="Arial" w:cs="Arial" w:eastAsia="Arial" w:hAnsi="Arial"/>
                <w:sz w:val="10"/>
                <w:szCs w:val="10"/>
                <w:color w:val="auto"/>
              </w:rPr>
              <w:t>USD portfolio</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2"/>
        </w:trPr>
        <w:tc>
          <w:tcPr>
            <w:tcW w:w="1140" w:type="dxa"/>
            <w:vAlign w:val="bottom"/>
          </w:tcPr>
          <w:p>
            <w:pPr>
              <w:ind w:left="20"/>
              <w:spacing w:after="0"/>
              <w:rPr>
                <w:sz w:val="20"/>
                <w:szCs w:val="20"/>
                <w:color w:val="auto"/>
              </w:rPr>
            </w:pPr>
            <w:r>
              <w:rPr>
                <w:rFonts w:ascii="Arial" w:cs="Arial" w:eastAsia="Arial" w:hAnsi="Arial"/>
                <w:sz w:val="10"/>
                <w:szCs w:val="10"/>
                <w:color w:val="auto"/>
              </w:rPr>
              <w:t>Corporate bonds</w:t>
            </w:r>
          </w:p>
        </w:tc>
        <w:tc>
          <w:tcPr>
            <w:tcW w:w="660" w:type="dxa"/>
            <w:vAlign w:val="bottom"/>
          </w:tcPr>
          <w:p>
            <w:pPr>
              <w:ind w:left="40"/>
              <w:spacing w:after="0"/>
              <w:rPr>
                <w:sz w:val="20"/>
                <w:szCs w:val="20"/>
                <w:color w:val="auto"/>
              </w:rPr>
            </w:pPr>
            <w:r>
              <w:rPr>
                <w:rFonts w:ascii="Arial" w:cs="Arial" w:eastAsia="Arial" w:hAnsi="Arial"/>
                <w:sz w:val="10"/>
                <w:szCs w:val="10"/>
                <w:color w:val="691A6B"/>
              </w:rPr>
              <w:t>—</w:t>
            </w:r>
          </w:p>
        </w:tc>
        <w:tc>
          <w:tcPr>
            <w:tcW w:w="460" w:type="dxa"/>
            <w:vAlign w:val="bottom"/>
          </w:tcPr>
          <w:p>
            <w:pPr>
              <w:ind w:left="40"/>
              <w:spacing w:after="0"/>
              <w:rPr>
                <w:sz w:val="20"/>
                <w:szCs w:val="20"/>
                <w:color w:val="auto"/>
              </w:rPr>
            </w:pPr>
            <w:r>
              <w:rPr>
                <w:rFonts w:ascii="Arial" w:cs="Arial" w:eastAsia="Arial" w:hAnsi="Arial"/>
                <w:sz w:val="10"/>
                <w:szCs w:val="10"/>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711</w:t>
            </w:r>
          </w:p>
        </w:tc>
        <w:tc>
          <w:tcPr>
            <w:tcW w:w="480" w:type="dxa"/>
            <w:vAlign w:val="bottom"/>
          </w:tcPr>
          <w:p>
            <w:pPr>
              <w:ind w:left="40"/>
              <w:spacing w:after="0"/>
              <w:rPr>
                <w:sz w:val="20"/>
                <w:szCs w:val="20"/>
                <w:color w:val="auto"/>
              </w:rPr>
            </w:pPr>
            <w:r>
              <w:rPr>
                <w:rFonts w:ascii="Arial" w:cs="Arial" w:eastAsia="Arial" w:hAnsi="Arial"/>
                <w:sz w:val="10"/>
                <w:szCs w:val="10"/>
                <w:color w:val="auto"/>
              </w:rPr>
              <w:t>45 %</w:t>
            </w:r>
          </w:p>
        </w:tc>
        <w:tc>
          <w:tcPr>
            <w:tcW w:w="780" w:type="dxa"/>
            <w:vAlign w:val="bottom"/>
          </w:tcPr>
          <w:p>
            <w:pPr>
              <w:ind w:left="160"/>
              <w:spacing w:after="0"/>
              <w:rPr>
                <w:sz w:val="20"/>
                <w:szCs w:val="20"/>
                <w:color w:val="auto"/>
              </w:rPr>
            </w:pPr>
            <w:r>
              <w:rPr>
                <w:rFonts w:ascii="Arial" w:cs="Arial" w:eastAsia="Arial" w:hAnsi="Arial"/>
                <w:sz w:val="10"/>
                <w:szCs w:val="10"/>
                <w:color w:val="auto"/>
              </w:rPr>
              <w:t>895</w:t>
            </w:r>
          </w:p>
        </w:tc>
        <w:tc>
          <w:tcPr>
            <w:tcW w:w="600" w:type="dxa"/>
            <w:vAlign w:val="bottom"/>
          </w:tcPr>
          <w:p>
            <w:pPr>
              <w:ind w:left="40"/>
              <w:spacing w:after="0"/>
              <w:rPr>
                <w:sz w:val="20"/>
                <w:szCs w:val="20"/>
                <w:color w:val="auto"/>
              </w:rPr>
            </w:pPr>
            <w:r>
              <w:rPr>
                <w:rFonts w:ascii="Arial" w:cs="Arial" w:eastAsia="Arial" w:hAnsi="Arial"/>
                <w:sz w:val="10"/>
                <w:szCs w:val="10"/>
                <w:color w:val="auto"/>
              </w:rPr>
              <w:t>46 %</w:t>
            </w:r>
          </w:p>
        </w:tc>
      </w:tr>
      <w:tr>
        <w:trPr>
          <w:trHeight w:val="120"/>
        </w:trPr>
        <w:tc>
          <w:tcPr>
            <w:tcW w:w="1140" w:type="dxa"/>
            <w:vAlign w:val="bottom"/>
          </w:tcPr>
          <w:p>
            <w:pPr>
              <w:ind w:left="20"/>
              <w:spacing w:after="0"/>
              <w:rPr>
                <w:sz w:val="20"/>
                <w:szCs w:val="20"/>
                <w:color w:val="auto"/>
              </w:rPr>
            </w:pPr>
            <w:r>
              <w:rPr>
                <w:rFonts w:ascii="Arial" w:cs="Arial" w:eastAsia="Arial" w:hAnsi="Arial"/>
                <w:sz w:val="10"/>
                <w:szCs w:val="10"/>
                <w:color w:val="auto"/>
              </w:rPr>
              <w:t>US government bonds</w:t>
            </w:r>
          </w:p>
        </w:tc>
        <w:tc>
          <w:tcPr>
            <w:tcW w:w="660" w:type="dxa"/>
            <w:vAlign w:val="bottom"/>
          </w:tcPr>
          <w:p>
            <w:pPr>
              <w:ind w:left="40"/>
              <w:spacing w:after="0"/>
              <w:rPr>
                <w:sz w:val="20"/>
                <w:szCs w:val="20"/>
                <w:color w:val="auto"/>
              </w:rPr>
            </w:pPr>
            <w:r>
              <w:rPr>
                <w:rFonts w:ascii="Arial" w:cs="Arial" w:eastAsia="Arial" w:hAnsi="Arial"/>
                <w:sz w:val="10"/>
                <w:szCs w:val="10"/>
                <w:color w:val="691A6B"/>
              </w:rPr>
              <w:t>—</w:t>
            </w:r>
          </w:p>
        </w:tc>
        <w:tc>
          <w:tcPr>
            <w:tcW w:w="460" w:type="dxa"/>
            <w:vAlign w:val="bottom"/>
          </w:tcPr>
          <w:p>
            <w:pPr>
              <w:ind w:left="40"/>
              <w:spacing w:after="0"/>
              <w:rPr>
                <w:sz w:val="20"/>
                <w:szCs w:val="20"/>
                <w:color w:val="auto"/>
              </w:rPr>
            </w:pPr>
            <w:r>
              <w:rPr>
                <w:rFonts w:ascii="Arial" w:cs="Arial" w:eastAsia="Arial" w:hAnsi="Arial"/>
                <w:sz w:val="10"/>
                <w:szCs w:val="10"/>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355</w:t>
            </w:r>
          </w:p>
        </w:tc>
        <w:tc>
          <w:tcPr>
            <w:tcW w:w="480" w:type="dxa"/>
            <w:vAlign w:val="bottom"/>
          </w:tcPr>
          <w:p>
            <w:pPr>
              <w:ind w:left="40"/>
              <w:spacing w:after="0"/>
              <w:rPr>
                <w:sz w:val="20"/>
                <w:szCs w:val="20"/>
                <w:color w:val="auto"/>
              </w:rPr>
            </w:pPr>
            <w:r>
              <w:rPr>
                <w:rFonts w:ascii="Arial" w:cs="Arial" w:eastAsia="Arial" w:hAnsi="Arial"/>
                <w:sz w:val="10"/>
                <w:szCs w:val="10"/>
                <w:color w:val="auto"/>
              </w:rPr>
              <w:t>22 %</w:t>
            </w:r>
          </w:p>
        </w:tc>
        <w:tc>
          <w:tcPr>
            <w:tcW w:w="780" w:type="dxa"/>
            <w:vAlign w:val="bottom"/>
          </w:tcPr>
          <w:p>
            <w:pPr>
              <w:ind w:left="160"/>
              <w:spacing w:after="0"/>
              <w:rPr>
                <w:sz w:val="20"/>
                <w:szCs w:val="20"/>
                <w:color w:val="auto"/>
              </w:rPr>
            </w:pPr>
            <w:r>
              <w:rPr>
                <w:rFonts w:ascii="Arial" w:cs="Arial" w:eastAsia="Arial" w:hAnsi="Arial"/>
                <w:sz w:val="10"/>
                <w:szCs w:val="10"/>
                <w:color w:val="auto"/>
              </w:rPr>
              <w:t>481</w:t>
            </w:r>
          </w:p>
        </w:tc>
        <w:tc>
          <w:tcPr>
            <w:tcW w:w="600" w:type="dxa"/>
            <w:vAlign w:val="bottom"/>
          </w:tcPr>
          <w:p>
            <w:pPr>
              <w:ind w:left="40"/>
              <w:spacing w:after="0"/>
              <w:rPr>
                <w:sz w:val="20"/>
                <w:szCs w:val="20"/>
                <w:color w:val="auto"/>
              </w:rPr>
            </w:pPr>
            <w:r>
              <w:rPr>
                <w:rFonts w:ascii="Arial" w:cs="Arial" w:eastAsia="Arial" w:hAnsi="Arial"/>
                <w:sz w:val="10"/>
                <w:szCs w:val="10"/>
                <w:color w:val="auto"/>
              </w:rPr>
              <w:t>24 %</w:t>
            </w: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and treasury bills</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0"/>
                <w:szCs w:val="10"/>
                <w:color w:val="auto"/>
              </w:rPr>
              <w:t>Commercial paper</w:t>
            </w:r>
          </w:p>
        </w:tc>
        <w:tc>
          <w:tcPr>
            <w:tcW w:w="660" w:type="dxa"/>
            <w:vAlign w:val="bottom"/>
          </w:tcPr>
          <w:p>
            <w:pPr>
              <w:ind w:left="40"/>
              <w:spacing w:after="0"/>
              <w:rPr>
                <w:sz w:val="20"/>
                <w:szCs w:val="20"/>
                <w:color w:val="auto"/>
              </w:rPr>
            </w:pPr>
            <w:r>
              <w:rPr>
                <w:rFonts w:ascii="Arial" w:cs="Arial" w:eastAsia="Arial" w:hAnsi="Arial"/>
                <w:sz w:val="10"/>
                <w:szCs w:val="10"/>
                <w:color w:val="691A6B"/>
              </w:rPr>
              <w:t>—</w:t>
            </w:r>
          </w:p>
        </w:tc>
        <w:tc>
          <w:tcPr>
            <w:tcW w:w="460" w:type="dxa"/>
            <w:vAlign w:val="bottom"/>
          </w:tcPr>
          <w:p>
            <w:pPr>
              <w:ind w:left="40"/>
              <w:spacing w:after="0"/>
              <w:rPr>
                <w:sz w:val="20"/>
                <w:szCs w:val="20"/>
                <w:color w:val="auto"/>
              </w:rPr>
            </w:pPr>
            <w:r>
              <w:rPr>
                <w:rFonts w:ascii="Arial" w:cs="Arial" w:eastAsia="Arial" w:hAnsi="Arial"/>
                <w:sz w:val="10"/>
                <w:szCs w:val="10"/>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27</w:t>
            </w:r>
          </w:p>
        </w:tc>
        <w:tc>
          <w:tcPr>
            <w:tcW w:w="480" w:type="dxa"/>
            <w:vAlign w:val="bottom"/>
          </w:tcPr>
          <w:p>
            <w:pPr>
              <w:ind w:left="40"/>
              <w:spacing w:after="0"/>
              <w:rPr>
                <w:sz w:val="20"/>
                <w:szCs w:val="20"/>
                <w:color w:val="auto"/>
              </w:rPr>
            </w:pPr>
            <w:r>
              <w:rPr>
                <w:rFonts w:ascii="Arial" w:cs="Arial" w:eastAsia="Arial" w:hAnsi="Arial"/>
                <w:sz w:val="10"/>
                <w:szCs w:val="10"/>
                <w:color w:val="auto"/>
              </w:rPr>
              <w:t>2 %</w:t>
            </w:r>
          </w:p>
        </w:tc>
        <w:tc>
          <w:tcPr>
            <w:tcW w:w="780" w:type="dxa"/>
            <w:vAlign w:val="bottom"/>
          </w:tcPr>
          <w:p>
            <w:pPr>
              <w:ind w:left="160"/>
              <w:spacing w:after="0"/>
              <w:rPr>
                <w:sz w:val="20"/>
                <w:szCs w:val="20"/>
                <w:color w:val="auto"/>
              </w:rPr>
            </w:pPr>
            <w:r>
              <w:rPr>
                <w:rFonts w:ascii="Arial" w:cs="Arial" w:eastAsia="Arial" w:hAnsi="Arial"/>
                <w:sz w:val="10"/>
                <w:szCs w:val="10"/>
                <w:color w:val="auto"/>
              </w:rPr>
              <w:t>67</w:t>
            </w:r>
          </w:p>
        </w:tc>
        <w:tc>
          <w:tcPr>
            <w:tcW w:w="600" w:type="dxa"/>
            <w:vAlign w:val="bottom"/>
          </w:tcPr>
          <w:p>
            <w:pPr>
              <w:ind w:left="40"/>
              <w:spacing w:after="0"/>
              <w:rPr>
                <w:sz w:val="20"/>
                <w:szCs w:val="20"/>
                <w:color w:val="auto"/>
              </w:rPr>
            </w:pPr>
            <w:r>
              <w:rPr>
                <w:rFonts w:ascii="Arial" w:cs="Arial" w:eastAsia="Arial" w:hAnsi="Arial"/>
                <w:sz w:val="10"/>
                <w:szCs w:val="10"/>
                <w:color w:val="auto"/>
              </w:rPr>
              <w:t>3 %</w:t>
            </w:r>
          </w:p>
        </w:tc>
      </w:tr>
      <w:tr>
        <w:trPr>
          <w:trHeight w:val="152"/>
        </w:trPr>
        <w:tc>
          <w:tcPr>
            <w:tcW w:w="1140" w:type="dxa"/>
            <w:vAlign w:val="bottom"/>
          </w:tcPr>
          <w:p>
            <w:pPr>
              <w:ind w:left="20"/>
              <w:spacing w:after="0"/>
              <w:rPr>
                <w:sz w:val="20"/>
                <w:szCs w:val="20"/>
                <w:color w:val="auto"/>
              </w:rPr>
            </w:pPr>
            <w:r>
              <w:rPr>
                <w:rFonts w:ascii="Arial" w:cs="Arial" w:eastAsia="Arial" w:hAnsi="Arial"/>
                <w:sz w:val="10"/>
                <w:szCs w:val="10"/>
                <w:color w:val="auto"/>
              </w:rPr>
              <w:t>Other</w:t>
            </w:r>
          </w:p>
        </w:tc>
        <w:tc>
          <w:tcPr>
            <w:tcW w:w="660" w:type="dxa"/>
            <w:vAlign w:val="bottom"/>
          </w:tcPr>
          <w:p>
            <w:pPr>
              <w:ind w:left="40"/>
              <w:spacing w:after="0"/>
              <w:rPr>
                <w:sz w:val="20"/>
                <w:szCs w:val="20"/>
                <w:color w:val="auto"/>
              </w:rPr>
            </w:pPr>
            <w:r>
              <w:rPr>
                <w:rFonts w:ascii="Arial" w:cs="Arial" w:eastAsia="Arial" w:hAnsi="Arial"/>
                <w:sz w:val="10"/>
                <w:szCs w:val="10"/>
                <w:color w:val="691A6B"/>
              </w:rPr>
              <w:t>—</w:t>
            </w:r>
          </w:p>
        </w:tc>
        <w:tc>
          <w:tcPr>
            <w:tcW w:w="460" w:type="dxa"/>
            <w:vAlign w:val="bottom"/>
          </w:tcPr>
          <w:p>
            <w:pPr>
              <w:ind w:left="40"/>
              <w:spacing w:after="0"/>
              <w:rPr>
                <w:sz w:val="20"/>
                <w:szCs w:val="20"/>
                <w:color w:val="auto"/>
              </w:rPr>
            </w:pPr>
            <w:r>
              <w:rPr>
                <w:rFonts w:ascii="Arial" w:cs="Arial" w:eastAsia="Arial" w:hAnsi="Arial"/>
                <w:sz w:val="10"/>
                <w:szCs w:val="10"/>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114</w:t>
            </w:r>
          </w:p>
        </w:tc>
        <w:tc>
          <w:tcPr>
            <w:tcW w:w="480" w:type="dxa"/>
            <w:vAlign w:val="bottom"/>
          </w:tcPr>
          <w:p>
            <w:pPr>
              <w:ind w:left="40"/>
              <w:spacing w:after="0"/>
              <w:rPr>
                <w:sz w:val="20"/>
                <w:szCs w:val="20"/>
                <w:color w:val="auto"/>
              </w:rPr>
            </w:pPr>
            <w:r>
              <w:rPr>
                <w:rFonts w:ascii="Arial" w:cs="Arial" w:eastAsia="Arial" w:hAnsi="Arial"/>
                <w:sz w:val="10"/>
                <w:szCs w:val="10"/>
                <w:color w:val="auto"/>
              </w:rPr>
              <w:t>7 %</w:t>
            </w:r>
          </w:p>
        </w:tc>
        <w:tc>
          <w:tcPr>
            <w:tcW w:w="780" w:type="dxa"/>
            <w:vAlign w:val="bottom"/>
          </w:tcPr>
          <w:p>
            <w:pPr>
              <w:ind w:left="160"/>
              <w:spacing w:after="0"/>
              <w:rPr>
                <w:sz w:val="20"/>
                <w:szCs w:val="20"/>
                <w:color w:val="auto"/>
              </w:rPr>
            </w:pPr>
            <w:r>
              <w:rPr>
                <w:rFonts w:ascii="Arial" w:cs="Arial" w:eastAsia="Arial" w:hAnsi="Arial"/>
                <w:sz w:val="10"/>
                <w:szCs w:val="10"/>
                <w:color w:val="auto"/>
              </w:rPr>
              <w:t>149</w:t>
            </w:r>
          </w:p>
        </w:tc>
        <w:tc>
          <w:tcPr>
            <w:tcW w:w="600" w:type="dxa"/>
            <w:vAlign w:val="bottom"/>
          </w:tcPr>
          <w:p>
            <w:pPr>
              <w:ind w:left="40"/>
              <w:spacing w:after="0"/>
              <w:rPr>
                <w:sz w:val="20"/>
                <w:szCs w:val="20"/>
                <w:color w:val="auto"/>
              </w:rPr>
            </w:pPr>
            <w:r>
              <w:rPr>
                <w:rFonts w:ascii="Arial" w:cs="Arial" w:eastAsia="Arial" w:hAnsi="Arial"/>
                <w:sz w:val="10"/>
                <w:szCs w:val="10"/>
                <w:color w:val="auto"/>
              </w:rPr>
              <w:t>8 %</w:t>
            </w:r>
          </w:p>
        </w:tc>
      </w:tr>
      <w:tr>
        <w:trPr>
          <w:trHeight w:val="15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Total USD portfolio</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691A6B"/>
              </w:rPr>
              <w:t>—</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1,207</w:t>
            </w:r>
          </w:p>
        </w:tc>
        <w:tc>
          <w:tcPr>
            <w:tcW w:w="480" w:type="dxa"/>
            <w:vAlign w:val="bottom"/>
          </w:tcPr>
          <w:p>
            <w:pPr>
              <w:ind w:left="40"/>
              <w:spacing w:after="0"/>
              <w:rPr>
                <w:sz w:val="20"/>
                <w:szCs w:val="20"/>
                <w:color w:val="auto"/>
              </w:rPr>
            </w:pPr>
            <w:r>
              <w:rPr>
                <w:rFonts w:ascii="Arial" w:cs="Arial" w:eastAsia="Arial" w:hAnsi="Arial"/>
                <w:sz w:val="10"/>
                <w:szCs w:val="10"/>
                <w:b w:val="1"/>
                <w:bCs w:val="1"/>
                <w:color w:val="auto"/>
              </w:rPr>
              <w:t>76 %</w:t>
            </w: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1,592</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81 %</w:t>
            </w:r>
          </w:p>
        </w:tc>
      </w:tr>
      <w:tr>
        <w:trPr>
          <w:trHeight w:val="152"/>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DKK portfolio</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14"/>
        </w:trPr>
        <w:tc>
          <w:tcPr>
            <w:tcW w:w="1140" w:type="dxa"/>
            <w:vAlign w:val="bottom"/>
          </w:tcPr>
          <w:p>
            <w:pPr>
              <w:ind w:left="20"/>
              <w:spacing w:after="0"/>
              <w:rPr>
                <w:sz w:val="20"/>
                <w:szCs w:val="20"/>
                <w:color w:val="auto"/>
              </w:rPr>
            </w:pPr>
            <w:r>
              <w:rPr>
                <w:rFonts w:ascii="Arial" w:cs="Arial" w:eastAsia="Arial" w:hAnsi="Arial"/>
                <w:sz w:val="10"/>
                <w:szCs w:val="10"/>
                <w:color w:val="auto"/>
              </w:rPr>
              <w:t>Kingdom of Denmark</w:t>
            </w:r>
          </w:p>
        </w:tc>
        <w:tc>
          <w:tcPr>
            <w:tcW w:w="660" w:type="dxa"/>
            <w:vAlign w:val="bottom"/>
          </w:tcPr>
          <w:p>
            <w:pPr>
              <w:ind w:left="40"/>
              <w:spacing w:after="0"/>
              <w:rPr>
                <w:sz w:val="20"/>
                <w:szCs w:val="20"/>
                <w:color w:val="auto"/>
              </w:rPr>
            </w:pPr>
            <w:r>
              <w:rPr>
                <w:rFonts w:ascii="Arial" w:cs="Arial" w:eastAsia="Arial" w:hAnsi="Arial"/>
                <w:sz w:val="10"/>
                <w:szCs w:val="10"/>
                <w:color w:val="691A6B"/>
              </w:rPr>
              <w:t>—</w:t>
            </w:r>
          </w:p>
        </w:tc>
        <w:tc>
          <w:tcPr>
            <w:tcW w:w="460" w:type="dxa"/>
            <w:vAlign w:val="bottom"/>
          </w:tcPr>
          <w:p>
            <w:pPr>
              <w:ind w:left="40"/>
              <w:spacing w:after="0"/>
              <w:rPr>
                <w:sz w:val="20"/>
                <w:szCs w:val="20"/>
                <w:color w:val="auto"/>
              </w:rPr>
            </w:pPr>
            <w:r>
              <w:rPr>
                <w:rFonts w:ascii="Arial" w:cs="Arial" w:eastAsia="Arial" w:hAnsi="Arial"/>
                <w:sz w:val="10"/>
                <w:szCs w:val="10"/>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60</w:t>
            </w:r>
          </w:p>
        </w:tc>
        <w:tc>
          <w:tcPr>
            <w:tcW w:w="480" w:type="dxa"/>
            <w:vAlign w:val="bottom"/>
          </w:tcPr>
          <w:p>
            <w:pPr>
              <w:ind w:left="40"/>
              <w:spacing w:after="0"/>
              <w:rPr>
                <w:sz w:val="20"/>
                <w:szCs w:val="20"/>
                <w:color w:val="auto"/>
              </w:rPr>
            </w:pPr>
            <w:r>
              <w:rPr>
                <w:rFonts w:ascii="Arial" w:cs="Arial" w:eastAsia="Arial" w:hAnsi="Arial"/>
                <w:sz w:val="10"/>
                <w:szCs w:val="10"/>
                <w:color w:val="auto"/>
              </w:rPr>
              <w:t>4 %</w:t>
            </w:r>
          </w:p>
        </w:tc>
        <w:tc>
          <w:tcPr>
            <w:tcW w:w="780" w:type="dxa"/>
            <w:vAlign w:val="bottom"/>
          </w:tcPr>
          <w:p>
            <w:pPr>
              <w:ind w:left="160"/>
              <w:spacing w:after="0"/>
              <w:rPr>
                <w:sz w:val="20"/>
                <w:szCs w:val="20"/>
                <w:color w:val="auto"/>
              </w:rPr>
            </w:pPr>
            <w:r>
              <w:rPr>
                <w:rFonts w:ascii="Arial" w:cs="Arial" w:eastAsia="Arial" w:hAnsi="Arial"/>
                <w:sz w:val="10"/>
                <w:szCs w:val="10"/>
                <w:color w:val="auto"/>
              </w:rPr>
              <w:t>62</w:t>
            </w:r>
          </w:p>
        </w:tc>
        <w:tc>
          <w:tcPr>
            <w:tcW w:w="600" w:type="dxa"/>
            <w:vAlign w:val="bottom"/>
          </w:tcPr>
          <w:p>
            <w:pPr>
              <w:ind w:left="40"/>
              <w:spacing w:after="0"/>
              <w:rPr>
                <w:sz w:val="20"/>
                <w:szCs w:val="20"/>
                <w:color w:val="auto"/>
              </w:rPr>
            </w:pPr>
            <w:r>
              <w:rPr>
                <w:rFonts w:ascii="Arial" w:cs="Arial" w:eastAsia="Arial" w:hAnsi="Arial"/>
                <w:sz w:val="10"/>
                <w:szCs w:val="10"/>
                <w:color w:val="auto"/>
              </w:rPr>
              <w:t>3 %</w:t>
            </w: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bonds and treasury bills</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0"/>
        </w:trPr>
        <w:tc>
          <w:tcPr>
            <w:tcW w:w="1140" w:type="dxa"/>
            <w:vAlign w:val="bottom"/>
          </w:tcPr>
          <w:p>
            <w:pPr>
              <w:ind w:left="20"/>
              <w:spacing w:after="0"/>
              <w:rPr>
                <w:sz w:val="20"/>
                <w:szCs w:val="20"/>
                <w:color w:val="auto"/>
              </w:rPr>
            </w:pPr>
            <w:r>
              <w:rPr>
                <w:rFonts w:ascii="Arial" w:cs="Arial" w:eastAsia="Arial" w:hAnsi="Arial"/>
                <w:sz w:val="10"/>
                <w:szCs w:val="10"/>
                <w:color w:val="auto"/>
              </w:rPr>
              <w:t>Danish mortgage-</w:t>
            </w:r>
          </w:p>
        </w:tc>
        <w:tc>
          <w:tcPr>
            <w:tcW w:w="660" w:type="dxa"/>
            <w:vAlign w:val="bottom"/>
          </w:tcPr>
          <w:p>
            <w:pPr>
              <w:ind w:left="40"/>
              <w:spacing w:after="0"/>
              <w:rPr>
                <w:sz w:val="20"/>
                <w:szCs w:val="20"/>
                <w:color w:val="auto"/>
              </w:rPr>
            </w:pPr>
            <w:r>
              <w:rPr>
                <w:rFonts w:ascii="Arial" w:cs="Arial" w:eastAsia="Arial" w:hAnsi="Arial"/>
                <w:sz w:val="10"/>
                <w:szCs w:val="10"/>
                <w:color w:val="691A6B"/>
              </w:rPr>
              <w:t>—</w:t>
            </w:r>
          </w:p>
        </w:tc>
        <w:tc>
          <w:tcPr>
            <w:tcW w:w="460" w:type="dxa"/>
            <w:vAlign w:val="bottom"/>
          </w:tcPr>
          <w:p>
            <w:pPr>
              <w:ind w:left="40"/>
              <w:spacing w:after="0"/>
              <w:rPr>
                <w:sz w:val="20"/>
                <w:szCs w:val="20"/>
                <w:color w:val="auto"/>
              </w:rPr>
            </w:pPr>
            <w:r>
              <w:rPr>
                <w:rFonts w:ascii="Arial" w:cs="Arial" w:eastAsia="Arial" w:hAnsi="Arial"/>
                <w:sz w:val="10"/>
                <w:szCs w:val="10"/>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170</w:t>
            </w:r>
          </w:p>
        </w:tc>
        <w:tc>
          <w:tcPr>
            <w:tcW w:w="480" w:type="dxa"/>
            <w:vAlign w:val="bottom"/>
          </w:tcPr>
          <w:p>
            <w:pPr>
              <w:ind w:left="40"/>
              <w:spacing w:after="0"/>
              <w:rPr>
                <w:sz w:val="20"/>
                <w:szCs w:val="20"/>
                <w:color w:val="auto"/>
              </w:rPr>
            </w:pPr>
            <w:r>
              <w:rPr>
                <w:rFonts w:ascii="Arial" w:cs="Arial" w:eastAsia="Arial" w:hAnsi="Arial"/>
                <w:sz w:val="10"/>
                <w:szCs w:val="10"/>
                <w:color w:val="auto"/>
              </w:rPr>
              <w:t>11 %</w:t>
            </w:r>
          </w:p>
        </w:tc>
        <w:tc>
          <w:tcPr>
            <w:tcW w:w="780" w:type="dxa"/>
            <w:vAlign w:val="bottom"/>
          </w:tcPr>
          <w:p>
            <w:pPr>
              <w:ind w:left="160"/>
              <w:spacing w:after="0"/>
              <w:rPr>
                <w:sz w:val="20"/>
                <w:szCs w:val="20"/>
                <w:color w:val="auto"/>
              </w:rPr>
            </w:pPr>
            <w:r>
              <w:rPr>
                <w:rFonts w:ascii="Arial" w:cs="Arial" w:eastAsia="Arial" w:hAnsi="Arial"/>
                <w:sz w:val="10"/>
                <w:szCs w:val="10"/>
                <w:color w:val="auto"/>
              </w:rPr>
              <w:t>174</w:t>
            </w:r>
          </w:p>
        </w:tc>
        <w:tc>
          <w:tcPr>
            <w:tcW w:w="600" w:type="dxa"/>
            <w:vAlign w:val="bottom"/>
          </w:tcPr>
          <w:p>
            <w:pPr>
              <w:ind w:left="40"/>
              <w:spacing w:after="0"/>
              <w:rPr>
                <w:sz w:val="20"/>
                <w:szCs w:val="20"/>
                <w:color w:val="auto"/>
              </w:rPr>
            </w:pPr>
            <w:r>
              <w:rPr>
                <w:rFonts w:ascii="Arial" w:cs="Arial" w:eastAsia="Arial" w:hAnsi="Arial"/>
                <w:sz w:val="10"/>
                <w:szCs w:val="10"/>
                <w:color w:val="auto"/>
              </w:rPr>
              <w:t>9 %</w:t>
            </w: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backed securities</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Total DKK portfolio</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691A6B"/>
              </w:rPr>
              <w:t>—</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230</w:t>
            </w:r>
          </w:p>
        </w:tc>
        <w:tc>
          <w:tcPr>
            <w:tcW w:w="480" w:type="dxa"/>
            <w:vAlign w:val="bottom"/>
          </w:tcPr>
          <w:p>
            <w:pPr>
              <w:ind w:left="40"/>
              <w:spacing w:after="0"/>
              <w:rPr>
                <w:sz w:val="20"/>
                <w:szCs w:val="20"/>
                <w:color w:val="auto"/>
              </w:rPr>
            </w:pPr>
            <w:r>
              <w:rPr>
                <w:rFonts w:ascii="Arial" w:cs="Arial" w:eastAsia="Arial" w:hAnsi="Arial"/>
                <w:sz w:val="10"/>
                <w:szCs w:val="10"/>
                <w:b w:val="1"/>
                <w:bCs w:val="1"/>
                <w:color w:val="auto"/>
              </w:rPr>
              <w:t>15 %</w:t>
            </w: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236</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12 %</w:t>
            </w:r>
          </w:p>
        </w:tc>
      </w:tr>
      <w:tr>
        <w:trPr>
          <w:trHeight w:val="152"/>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EUR portfolio</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14"/>
        </w:trPr>
        <w:tc>
          <w:tcPr>
            <w:tcW w:w="1140" w:type="dxa"/>
            <w:vAlign w:val="bottom"/>
          </w:tcPr>
          <w:p>
            <w:pPr>
              <w:ind w:left="20"/>
              <w:spacing w:after="0"/>
              <w:rPr>
                <w:sz w:val="20"/>
                <w:szCs w:val="20"/>
                <w:color w:val="auto"/>
              </w:rPr>
            </w:pPr>
            <w:r>
              <w:rPr>
                <w:rFonts w:ascii="Arial" w:cs="Arial" w:eastAsia="Arial" w:hAnsi="Arial"/>
                <w:sz w:val="10"/>
                <w:szCs w:val="10"/>
                <w:color w:val="auto"/>
              </w:rPr>
              <w:t>European government</w:t>
            </w:r>
          </w:p>
        </w:tc>
        <w:tc>
          <w:tcPr>
            <w:tcW w:w="660" w:type="dxa"/>
            <w:vAlign w:val="bottom"/>
          </w:tcPr>
          <w:p>
            <w:pPr>
              <w:ind w:left="40"/>
              <w:spacing w:after="0"/>
              <w:rPr>
                <w:sz w:val="20"/>
                <w:szCs w:val="20"/>
                <w:color w:val="auto"/>
              </w:rPr>
            </w:pPr>
            <w:r>
              <w:rPr>
                <w:rFonts w:ascii="Arial" w:cs="Arial" w:eastAsia="Arial" w:hAnsi="Arial"/>
                <w:sz w:val="10"/>
                <w:szCs w:val="10"/>
                <w:color w:val="691A6B"/>
              </w:rPr>
              <w:t>—</w:t>
            </w:r>
          </w:p>
        </w:tc>
        <w:tc>
          <w:tcPr>
            <w:tcW w:w="460" w:type="dxa"/>
            <w:vAlign w:val="bottom"/>
          </w:tcPr>
          <w:p>
            <w:pPr>
              <w:ind w:left="40"/>
              <w:spacing w:after="0"/>
              <w:rPr>
                <w:sz w:val="20"/>
                <w:szCs w:val="20"/>
                <w:color w:val="auto"/>
              </w:rPr>
            </w:pPr>
            <w:r>
              <w:rPr>
                <w:rFonts w:ascii="Arial" w:cs="Arial" w:eastAsia="Arial" w:hAnsi="Arial"/>
                <w:sz w:val="10"/>
                <w:szCs w:val="10"/>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124</w:t>
            </w:r>
          </w:p>
        </w:tc>
        <w:tc>
          <w:tcPr>
            <w:tcW w:w="480" w:type="dxa"/>
            <w:vAlign w:val="bottom"/>
          </w:tcPr>
          <w:p>
            <w:pPr>
              <w:ind w:left="40"/>
              <w:spacing w:after="0"/>
              <w:rPr>
                <w:sz w:val="20"/>
                <w:szCs w:val="20"/>
                <w:color w:val="auto"/>
              </w:rPr>
            </w:pPr>
            <w:r>
              <w:rPr>
                <w:rFonts w:ascii="Arial" w:cs="Arial" w:eastAsia="Arial" w:hAnsi="Arial"/>
                <w:sz w:val="10"/>
                <w:szCs w:val="10"/>
                <w:color w:val="auto"/>
              </w:rPr>
              <w:t>8 %</w:t>
            </w:r>
          </w:p>
        </w:tc>
        <w:tc>
          <w:tcPr>
            <w:tcW w:w="780" w:type="dxa"/>
            <w:vAlign w:val="bottom"/>
          </w:tcPr>
          <w:p>
            <w:pPr>
              <w:ind w:left="160"/>
              <w:spacing w:after="0"/>
              <w:rPr>
                <w:sz w:val="20"/>
                <w:szCs w:val="20"/>
                <w:color w:val="auto"/>
              </w:rPr>
            </w:pPr>
            <w:r>
              <w:rPr>
                <w:rFonts w:ascii="Arial" w:cs="Arial" w:eastAsia="Arial" w:hAnsi="Arial"/>
                <w:sz w:val="10"/>
                <w:szCs w:val="10"/>
                <w:color w:val="auto"/>
              </w:rPr>
              <w:t>127</w:t>
            </w:r>
          </w:p>
        </w:tc>
        <w:tc>
          <w:tcPr>
            <w:tcW w:w="600" w:type="dxa"/>
            <w:vAlign w:val="bottom"/>
          </w:tcPr>
          <w:p>
            <w:pPr>
              <w:ind w:left="40"/>
              <w:spacing w:after="0"/>
              <w:rPr>
                <w:sz w:val="20"/>
                <w:szCs w:val="20"/>
                <w:color w:val="auto"/>
              </w:rPr>
            </w:pPr>
            <w:r>
              <w:rPr>
                <w:rFonts w:ascii="Arial" w:cs="Arial" w:eastAsia="Arial" w:hAnsi="Arial"/>
                <w:sz w:val="10"/>
                <w:szCs w:val="10"/>
                <w:color w:val="auto"/>
              </w:rPr>
              <w:t>6 %</w:t>
            </w: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bonds and treasury bills</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GBP portfolio</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14"/>
        </w:trPr>
        <w:tc>
          <w:tcPr>
            <w:tcW w:w="1140" w:type="dxa"/>
            <w:vAlign w:val="bottom"/>
          </w:tcPr>
          <w:p>
            <w:pPr>
              <w:ind w:left="20"/>
              <w:spacing w:after="0"/>
              <w:rPr>
                <w:sz w:val="20"/>
                <w:szCs w:val="20"/>
                <w:color w:val="auto"/>
              </w:rPr>
            </w:pPr>
            <w:r>
              <w:rPr>
                <w:rFonts w:ascii="Arial" w:cs="Arial" w:eastAsia="Arial" w:hAnsi="Arial"/>
                <w:sz w:val="10"/>
                <w:szCs w:val="10"/>
                <w:color w:val="auto"/>
              </w:rPr>
              <w:t>UK government bonds</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691A6B"/>
              </w:rPr>
              <w:t>—</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780" w:type="dxa"/>
            <w:vAlign w:val="bottom"/>
          </w:tcPr>
          <w:p>
            <w:pPr>
              <w:ind w:left="160"/>
              <w:spacing w:after="0"/>
              <w:rPr>
                <w:sz w:val="20"/>
                <w:szCs w:val="20"/>
                <w:color w:val="auto"/>
              </w:rPr>
            </w:pPr>
            <w:r>
              <w:rPr>
                <w:rFonts w:ascii="Arial" w:cs="Arial" w:eastAsia="Arial" w:hAnsi="Arial"/>
                <w:sz w:val="10"/>
                <w:szCs w:val="10"/>
                <w:color w:val="auto"/>
              </w:rPr>
              <w:t>13</w:t>
            </w:r>
          </w:p>
        </w:tc>
        <w:tc>
          <w:tcPr>
            <w:tcW w:w="480" w:type="dxa"/>
            <w:vAlign w:val="bottom"/>
          </w:tcPr>
          <w:p>
            <w:pPr>
              <w:ind w:left="40"/>
              <w:spacing w:after="0"/>
              <w:rPr>
                <w:sz w:val="20"/>
                <w:szCs w:val="20"/>
                <w:color w:val="auto"/>
              </w:rPr>
            </w:pPr>
            <w:r>
              <w:rPr>
                <w:rFonts w:ascii="Arial" w:cs="Arial" w:eastAsia="Arial" w:hAnsi="Arial"/>
                <w:sz w:val="10"/>
                <w:szCs w:val="10"/>
                <w:color w:val="auto"/>
              </w:rPr>
              <w:t>1 %</w:t>
            </w:r>
          </w:p>
        </w:tc>
        <w:tc>
          <w:tcPr>
            <w:tcW w:w="780" w:type="dxa"/>
            <w:vAlign w:val="bottom"/>
          </w:tcPr>
          <w:p>
            <w:pPr>
              <w:ind w:left="160"/>
              <w:spacing w:after="0"/>
              <w:rPr>
                <w:sz w:val="20"/>
                <w:szCs w:val="20"/>
                <w:color w:val="auto"/>
              </w:rPr>
            </w:pPr>
            <w:r>
              <w:rPr>
                <w:rFonts w:ascii="Arial" w:cs="Arial" w:eastAsia="Arial" w:hAnsi="Arial"/>
                <w:sz w:val="10"/>
                <w:szCs w:val="10"/>
                <w:color w:val="auto"/>
              </w:rPr>
              <w:t>12</w:t>
            </w:r>
          </w:p>
        </w:tc>
        <w:tc>
          <w:tcPr>
            <w:tcW w:w="600" w:type="dxa"/>
            <w:vAlign w:val="bottom"/>
          </w:tcPr>
          <w:p>
            <w:pPr>
              <w:ind w:left="40"/>
              <w:spacing w:after="0"/>
              <w:rPr>
                <w:sz w:val="20"/>
                <w:szCs w:val="20"/>
                <w:color w:val="auto"/>
              </w:rPr>
            </w:pPr>
            <w:r>
              <w:rPr>
                <w:rFonts w:ascii="Arial" w:cs="Arial" w:eastAsia="Arial" w:hAnsi="Arial"/>
                <w:sz w:val="10"/>
                <w:szCs w:val="10"/>
                <w:color w:val="auto"/>
              </w:rPr>
              <w:t>1 %</w:t>
            </w: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and treasury bills</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Total portfolio</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691A6B"/>
              </w:rPr>
              <w:t>—</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 %</w:t>
            </w: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1,574</w:t>
            </w:r>
          </w:p>
        </w:tc>
        <w:tc>
          <w:tcPr>
            <w:tcW w:w="480" w:type="dxa"/>
            <w:vAlign w:val="bottom"/>
          </w:tcPr>
          <w:p>
            <w:pPr>
              <w:ind w:left="40"/>
              <w:spacing w:after="0"/>
              <w:rPr>
                <w:sz w:val="20"/>
                <w:szCs w:val="20"/>
                <w:color w:val="auto"/>
              </w:rPr>
            </w:pPr>
            <w:r>
              <w:rPr>
                <w:rFonts w:ascii="Arial" w:cs="Arial" w:eastAsia="Arial" w:hAnsi="Arial"/>
                <w:sz w:val="10"/>
                <w:szCs w:val="10"/>
                <w:b w:val="1"/>
                <w:bCs w:val="1"/>
                <w:color w:val="auto"/>
              </w:rPr>
              <w:t>100 %</w:t>
            </w: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1,967</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100 %</w:t>
            </w:r>
          </w:p>
        </w:tc>
      </w:tr>
      <w:tr>
        <w:trPr>
          <w:trHeight w:val="152"/>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Marketable securities</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691A6B"/>
              </w:rPr>
              <w:t>—</w:t>
            </w:r>
          </w:p>
        </w:tc>
        <w:tc>
          <w:tcPr>
            <w:tcW w:w="46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1,574</w:t>
            </w:r>
          </w:p>
        </w:tc>
        <w:tc>
          <w:tcPr>
            <w:tcW w:w="48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1,967</w:t>
            </w:r>
          </w:p>
        </w:tc>
        <w:tc>
          <w:tcPr>
            <w:tcW w:w="600" w:type="dxa"/>
            <w:vAlign w:val="bottom"/>
          </w:tcPr>
          <w:p>
            <w:pPr>
              <w:spacing w:after="0"/>
              <w:rPr>
                <w:sz w:val="13"/>
                <w:szCs w:val="13"/>
                <w:color w:val="auto"/>
              </w:rPr>
            </w:pPr>
          </w:p>
        </w:tc>
      </w:tr>
    </w:tbl>
    <w:p>
      <w:pPr>
        <w:spacing w:after="0"/>
        <w:rPr>
          <w:sz w:val="20"/>
          <w:szCs w:val="20"/>
          <w:color w:val="auto"/>
        </w:rPr>
      </w:pPr>
      <w:r>
        <w:rPr>
          <w:rFonts w:ascii="Arial" w:cs="Arial" w:eastAsia="Arial" w:hAnsi="Arial"/>
          <w:sz w:val="10"/>
          <w:szCs w:val="10"/>
          <w:color w:val="auto"/>
        </w:rPr>
        <w:t>Genmab liquidated all marketable securities during December 2025 to contribute to the financing of the</w:t>
      </w:r>
    </w:p>
    <w:p>
      <w:pPr>
        <w:spacing w:after="0" w:line="95" w:lineRule="exact"/>
        <w:rPr>
          <w:rFonts w:ascii="Arial" w:cs="Arial" w:eastAsia="Arial" w:hAnsi="Arial"/>
          <w:sz w:val="10"/>
          <w:szCs w:val="1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6" w:lineRule="exact"/>
        <w:rPr>
          <w:rFonts w:ascii="Arial" w:cs="Arial" w:eastAsia="Arial" w:hAnsi="Arial"/>
          <w:sz w:val="10"/>
          <w:szCs w:val="10"/>
          <w:color w:val="auto"/>
        </w:rPr>
      </w:pPr>
    </w:p>
    <w:p>
      <w:pPr>
        <w:ind w:right="2520"/>
        <w:spacing w:after="0" w:line="203" w:lineRule="auto"/>
        <w:rPr>
          <w:sz w:val="20"/>
          <w:szCs w:val="20"/>
          <w:color w:val="auto"/>
        </w:rPr>
      </w:pPr>
      <w:r>
        <w:rPr>
          <w:rFonts w:ascii="Arial" w:cs="Arial" w:eastAsia="Arial" w:hAnsi="Arial"/>
          <w:sz w:val="10"/>
          <w:szCs w:val="10"/>
          <w:color w:val="auto"/>
        </w:rPr>
        <w:t>Marketable securities are debt instruments that consist of investments in securities with a maturity of 90 days or greater at the time of acquisition. Measurement of marketable securities depends on the business model for managing the asset and the cash flow characteristics of the asset. Genmab assesses its debt instruments to determine classification based on the following measurement categories:</w:t>
      </w:r>
    </w:p>
    <w:p>
      <w:pPr>
        <w:spacing w:after="0" w:line="2" w:lineRule="exact"/>
        <w:rPr>
          <w:rFonts w:ascii="Arial" w:cs="Arial" w:eastAsia="Arial" w:hAnsi="Arial"/>
          <w:sz w:val="10"/>
          <w:szCs w:val="10"/>
          <w:color w:val="auto"/>
        </w:rPr>
      </w:pPr>
    </w:p>
    <w:p>
      <w:pPr>
        <w:ind w:right="2600"/>
        <w:spacing w:after="0" w:line="231" w:lineRule="auto"/>
        <w:rPr>
          <w:sz w:val="20"/>
          <w:szCs w:val="20"/>
          <w:color w:val="auto"/>
        </w:rPr>
      </w:pPr>
      <w:r>
        <w:rPr>
          <w:rFonts w:ascii="Arial" w:cs="Arial" w:eastAsia="Arial" w:hAnsi="Arial"/>
          <w:sz w:val="10"/>
          <w:szCs w:val="10"/>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financial income or expenses, together with foreign exchange gains and losses. Impairment losses, when material, are presented as a separate line item in the Consolidated Statements of Comprehensive Income.</w:t>
      </w:r>
    </w:p>
    <w:p>
      <w:pPr>
        <w:spacing w:after="0" w:line="2" w:lineRule="exact"/>
        <w:rPr>
          <w:rFonts w:ascii="Arial" w:cs="Arial" w:eastAsia="Arial" w:hAnsi="Arial"/>
          <w:sz w:val="10"/>
          <w:szCs w:val="10"/>
          <w:color w:val="auto"/>
        </w:rPr>
      </w:pPr>
    </w:p>
    <w:p>
      <w:pPr>
        <w:ind w:right="2620"/>
        <w:spacing w:after="0" w:line="198" w:lineRule="auto"/>
        <w:rPr>
          <w:sz w:val="20"/>
          <w:szCs w:val="20"/>
          <w:color w:val="auto"/>
        </w:rPr>
      </w:pPr>
      <w:r>
        <w:rPr>
          <w:rFonts w:ascii="Arial" w:cs="Arial" w:eastAsia="Arial" w:hAnsi="Arial"/>
          <w:sz w:val="10"/>
          <w:szCs w:val="10"/>
          <w:color w:val="auto"/>
        </w:rPr>
        <w:t>•Fair value through other comprehensive income (FVOCI): Assets that are held to achieve an objective by both collecting contractual cash flows as well as selling financial assets and where those cash flows represent solely payments of principal and interest, are measured at FVOCI. Changes in fair value on a debt investment that is subsequently measured at FVOCI are recognized in other comprehensive income. Impairment gains and losses, interest income and foreign exchange gains and losses are recognized in the Consolidated Statements of Comprehensive Income and presented within financial income or expenses in the period in which they arise.</w:t>
      </w:r>
    </w:p>
    <w:p>
      <w:pPr>
        <w:spacing w:after="0" w:line="2" w:lineRule="exact"/>
        <w:rPr>
          <w:rFonts w:ascii="Arial" w:cs="Arial" w:eastAsia="Arial" w:hAnsi="Arial"/>
          <w:sz w:val="10"/>
          <w:szCs w:val="10"/>
          <w:color w:val="auto"/>
        </w:rPr>
      </w:pPr>
    </w:p>
    <w:p>
      <w:pPr>
        <w:ind w:right="2580"/>
        <w:spacing w:after="0" w:line="198" w:lineRule="auto"/>
        <w:rPr>
          <w:sz w:val="20"/>
          <w:szCs w:val="20"/>
          <w:color w:val="auto"/>
        </w:rPr>
      </w:pPr>
      <w:r>
        <w:rPr>
          <w:rFonts w:ascii="Arial" w:cs="Arial" w:eastAsia="Arial" w:hAnsi="Arial"/>
          <w:sz w:val="10"/>
          <w:szCs w:val="10"/>
          <w:color w:val="auto"/>
        </w:rPr>
        <w:t>•Fair value through profit and loss (FVPL): Assets that do not meet the criteria for amortized cost or FVOCI are measured at FVPL. A gain or loss on a debt investment that is subsequently measured at FVPL is recognized in the Consolidated Statements of Comprehensive Income and presented net within financial income or expenses in the period in which it arises.</w:t>
      </w:r>
    </w:p>
    <w:p>
      <w:pPr>
        <w:spacing w:after="0" w:line="1" w:lineRule="exact"/>
        <w:rPr>
          <w:rFonts w:ascii="Arial" w:cs="Arial" w:eastAsia="Arial" w:hAnsi="Arial"/>
          <w:sz w:val="10"/>
          <w:szCs w:val="10"/>
          <w:color w:val="auto"/>
        </w:rPr>
      </w:pPr>
    </w:p>
    <w:p>
      <w:pPr>
        <w:ind w:right="2560"/>
        <w:spacing w:after="0" w:line="198" w:lineRule="auto"/>
        <w:rPr>
          <w:sz w:val="20"/>
          <w:szCs w:val="20"/>
          <w:color w:val="auto"/>
        </w:rPr>
      </w:pPr>
      <w:r>
        <w:rPr>
          <w:rFonts w:ascii="Arial" w:cs="Arial" w:eastAsia="Arial" w:hAnsi="Arial"/>
          <w:sz w:val="10"/>
          <w:szCs w:val="10"/>
          <w:color w:val="auto"/>
        </w:rPr>
        <w:t>Genmab’s portfolio is managed and evaluated on a fair value basis in accordance with its stated investment guidelines and the information provided internally to Management. This business model does not meet the criteria for amortized cost or FVOCI and as a result marketable securities are measured at FVPL. This classification is consistent with the prior year’s classification.</w:t>
      </w:r>
    </w:p>
    <w:p>
      <w:pPr>
        <w:spacing w:after="0" w:line="1" w:lineRule="exact"/>
        <w:rPr>
          <w:rFonts w:ascii="Arial" w:cs="Arial" w:eastAsia="Arial" w:hAnsi="Arial"/>
          <w:sz w:val="10"/>
          <w:szCs w:val="10"/>
          <w:color w:val="auto"/>
        </w:rPr>
      </w:pPr>
    </w:p>
    <w:p>
      <w:pPr>
        <w:ind w:right="2500"/>
        <w:spacing w:after="0" w:line="200" w:lineRule="auto"/>
        <w:rPr>
          <w:sz w:val="20"/>
          <w:szCs w:val="20"/>
          <w:color w:val="auto"/>
        </w:rPr>
      </w:pPr>
      <w:r>
        <w:rPr>
          <w:rFonts w:ascii="Arial" w:cs="Arial" w:eastAsia="Arial" w:hAnsi="Arial"/>
          <w:sz w:val="10"/>
          <w:szCs w:val="10"/>
          <w:color w:val="auto"/>
        </w:rPr>
        <w:t>Genmab invests its cash in deposits with major financial institutions, in AAA rated money market funds, Danish mortgage bonds, investment grade rated corporate debt, commercial paper, certificates of deposit, certain types of AAA rated asset backed securities, U.S. Agency bonds, and notes issued by the Danish, European and U.S. governments. The securities can be purchased and sold using established markets. Transactions are recognized at the trade date.</w:t>
      </w:r>
    </w:p>
    <w:p>
      <w:pPr>
        <w:spacing w:after="0" w:line="220" w:lineRule="auto"/>
        <w:rPr>
          <w:sz w:val="20"/>
          <w:szCs w:val="20"/>
          <w:color w:val="auto"/>
        </w:rPr>
      </w:pPr>
      <w:r>
        <w:rPr>
          <w:rFonts w:ascii="Arial" w:cs="Arial" w:eastAsia="Arial" w:hAnsi="Arial"/>
          <w:sz w:val="15"/>
          <w:szCs w:val="15"/>
          <w:b w:val="1"/>
          <w:bCs w:val="1"/>
          <w:color w:val="691A6B"/>
        </w:rPr>
        <w:t>4.5 - Financial Income and Expenses</w:t>
      </w:r>
    </w:p>
    <w:tbl>
      <w:tblPr>
        <w:tblLayout w:type="fixed"/>
        <w:tblInd w:w="0" w:type="dxa"/>
        <w:tblCellMar>
          <w:top w:w="0" w:type="dxa"/>
          <w:left w:w="0" w:type="dxa"/>
          <w:bottom w:w="0" w:type="dxa"/>
          <w:right w:w="0" w:type="dxa"/>
        </w:tblCellMar>
      </w:tblPr>
      <w:tr>
        <w:trPr>
          <w:trHeight w:val="123"/>
        </w:trPr>
        <w:tc>
          <w:tcPr>
            <w:tcW w:w="2520" w:type="dxa"/>
            <w:vAlign w:val="bottom"/>
            <w:tcBorders>
              <w:top w:val="single" w:sz="8" w:color="691A6B"/>
            </w:tcBorders>
          </w:tcPr>
          <w:p>
            <w:pPr>
              <w:ind w:left="2100"/>
              <w:spacing w:after="0"/>
              <w:rPr>
                <w:sz w:val="20"/>
                <w:szCs w:val="20"/>
                <w:color w:val="auto"/>
              </w:rPr>
            </w:pPr>
            <w:r>
              <w:rPr>
                <w:rFonts w:ascii="Arial" w:cs="Arial" w:eastAsia="Arial" w:hAnsi="Arial"/>
                <w:sz w:val="10"/>
                <w:szCs w:val="10"/>
                <w:b w:val="1"/>
                <w:bCs w:val="1"/>
                <w:color w:val="691A6B"/>
              </w:rPr>
              <w:t>2025</w:t>
            </w:r>
          </w:p>
        </w:tc>
        <w:tc>
          <w:tcPr>
            <w:tcW w:w="480" w:type="dxa"/>
            <w:vAlign w:val="bottom"/>
            <w:tcBorders>
              <w:top w:val="single" w:sz="8" w:color="691A6B"/>
            </w:tcBorders>
          </w:tcPr>
          <w:p>
            <w:pPr>
              <w:spacing w:after="0"/>
              <w:rPr>
                <w:sz w:val="10"/>
                <w:szCs w:val="10"/>
                <w:color w:val="auto"/>
              </w:rPr>
            </w:pPr>
          </w:p>
        </w:tc>
        <w:tc>
          <w:tcPr>
            <w:tcW w:w="920" w:type="dxa"/>
            <w:vAlign w:val="bottom"/>
            <w:tcBorders>
              <w:top w:val="single" w:sz="8" w:color="691A6B"/>
            </w:tcBorders>
          </w:tcPr>
          <w:p>
            <w:pPr>
              <w:jc w:val="right"/>
              <w:ind w:right="608"/>
              <w:spacing w:after="0"/>
              <w:rPr>
                <w:sz w:val="20"/>
                <w:szCs w:val="20"/>
                <w:color w:val="auto"/>
              </w:rPr>
            </w:pPr>
            <w:r>
              <w:rPr>
                <w:rFonts w:ascii="Arial" w:cs="Arial" w:eastAsia="Arial" w:hAnsi="Arial"/>
                <w:sz w:val="10"/>
                <w:szCs w:val="10"/>
                <w:b w:val="1"/>
                <w:bCs w:val="1"/>
                <w:color w:val="auto"/>
                <w:w w:val="93"/>
              </w:rPr>
              <w:t>2024¹</w:t>
            </w:r>
          </w:p>
        </w:tc>
        <w:tc>
          <w:tcPr>
            <w:tcW w:w="960" w:type="dxa"/>
            <w:vAlign w:val="bottom"/>
            <w:tcBorders>
              <w:top w:val="single" w:sz="8" w:color="691A6B"/>
            </w:tcBorders>
          </w:tcPr>
          <w:p>
            <w:pPr>
              <w:jc w:val="right"/>
              <w:ind w:right="628"/>
              <w:spacing w:after="0"/>
              <w:rPr>
                <w:sz w:val="20"/>
                <w:szCs w:val="20"/>
                <w:color w:val="auto"/>
              </w:rPr>
            </w:pPr>
            <w:r>
              <w:rPr>
                <w:rFonts w:ascii="Arial" w:cs="Arial" w:eastAsia="Arial" w:hAnsi="Arial"/>
                <w:sz w:val="10"/>
                <w:szCs w:val="10"/>
                <w:b w:val="1"/>
                <w:bCs w:val="1"/>
                <w:color w:val="auto"/>
              </w:rPr>
              <w:t>2023¹</w:t>
            </w:r>
          </w:p>
        </w:tc>
      </w:tr>
      <w:tr>
        <w:trPr>
          <w:trHeight w:val="137"/>
        </w:trPr>
        <w:tc>
          <w:tcPr>
            <w:tcW w:w="2520" w:type="dxa"/>
            <w:vAlign w:val="bottom"/>
          </w:tcPr>
          <w:p>
            <w:pPr>
              <w:ind w:left="20"/>
              <w:spacing w:after="0"/>
              <w:rPr>
                <w:sz w:val="20"/>
                <w:szCs w:val="20"/>
                <w:color w:val="auto"/>
              </w:rPr>
            </w:pPr>
            <w:r>
              <w:rPr>
                <w:rFonts w:ascii="Arial" w:cs="Arial" w:eastAsia="Arial" w:hAnsi="Arial"/>
                <w:sz w:val="10"/>
                <w:szCs w:val="10"/>
                <w:color w:val="auto"/>
              </w:rPr>
              <w:t>Financial income:</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Interest and other financial income</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138</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144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142</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Gain on marketable securities</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112</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237</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157</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Gain on other investments, net</w:t>
            </w:r>
          </w:p>
        </w:tc>
        <w:tc>
          <w:tcPr>
            <w:tcW w:w="480" w:type="dxa"/>
            <w:vAlign w:val="bottom"/>
          </w:tcPr>
          <w:p>
            <w:pPr>
              <w:jc w:val="right"/>
              <w:ind w:right="28"/>
              <w:spacing w:after="0"/>
              <w:rPr>
                <w:sz w:val="20"/>
                <w:szCs w:val="20"/>
                <w:color w:val="auto"/>
              </w:rPr>
            </w:pPr>
            <w:r>
              <w:rPr>
                <w:rFonts w:ascii="Arial" w:cs="Arial" w:eastAsia="Arial" w:hAnsi="Arial"/>
                <w:sz w:val="10"/>
                <w:szCs w:val="10"/>
                <w:color w:val="691A6B"/>
              </w:rPr>
              <w:t>—</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6</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Foreign exchange rate gain</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158</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258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8"/>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Total financial income</w:t>
            </w:r>
          </w:p>
        </w:tc>
        <w:tc>
          <w:tcPr>
            <w:tcW w:w="480" w:type="dxa"/>
            <w:vAlign w:val="bottom"/>
          </w:tcPr>
          <w:p>
            <w:pPr>
              <w:jc w:val="right"/>
              <w:ind w:right="8"/>
              <w:spacing w:after="0"/>
              <w:rPr>
                <w:sz w:val="20"/>
                <w:szCs w:val="20"/>
                <w:color w:val="auto"/>
              </w:rPr>
            </w:pPr>
            <w:r>
              <w:rPr>
                <w:rFonts w:ascii="Arial" w:cs="Arial" w:eastAsia="Arial" w:hAnsi="Arial"/>
                <w:sz w:val="10"/>
                <w:szCs w:val="10"/>
                <w:b w:val="1"/>
                <w:bCs w:val="1"/>
                <w:color w:val="691A6B"/>
              </w:rPr>
              <w:t>408</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645</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299</w:t>
            </w:r>
          </w:p>
        </w:tc>
      </w:tr>
      <w:tr>
        <w:trPr>
          <w:trHeight w:val="146"/>
        </w:trPr>
        <w:tc>
          <w:tcPr>
            <w:tcW w:w="2520" w:type="dxa"/>
            <w:vAlign w:val="bottom"/>
          </w:tcPr>
          <w:p>
            <w:pPr>
              <w:ind w:left="20"/>
              <w:spacing w:after="0"/>
              <w:rPr>
                <w:sz w:val="20"/>
                <w:szCs w:val="20"/>
                <w:color w:val="auto"/>
              </w:rPr>
            </w:pPr>
            <w:r>
              <w:rPr>
                <w:rFonts w:ascii="Arial" w:cs="Arial" w:eastAsia="Arial" w:hAnsi="Arial"/>
                <w:sz w:val="10"/>
                <w:szCs w:val="10"/>
                <w:color w:val="auto"/>
              </w:rPr>
              <w:t>Financial expenses:</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Other interest expense</w:t>
            </w:r>
          </w:p>
        </w:tc>
        <w:tc>
          <w:tcPr>
            <w:tcW w:w="480" w:type="dxa"/>
            <w:vAlign w:val="bottom"/>
          </w:tcPr>
          <w:p>
            <w:pPr>
              <w:jc w:val="right"/>
              <w:spacing w:after="0"/>
              <w:rPr>
                <w:sz w:val="20"/>
                <w:szCs w:val="20"/>
                <w:color w:val="auto"/>
              </w:rPr>
            </w:pPr>
            <w:r>
              <w:rPr>
                <w:rFonts w:ascii="Arial" w:cs="Arial" w:eastAsia="Arial" w:hAnsi="Arial"/>
                <w:sz w:val="10"/>
                <w:szCs w:val="10"/>
                <w:color w:val="691A6B"/>
              </w:rPr>
              <w:t>(34)</w:t>
            </w:r>
          </w:p>
        </w:tc>
        <w:tc>
          <w:tcPr>
            <w:tcW w:w="920" w:type="dxa"/>
            <w:vAlign w:val="bottom"/>
          </w:tcPr>
          <w:p>
            <w:pPr>
              <w:jc w:val="right"/>
              <w:spacing w:after="0"/>
              <w:rPr>
                <w:sz w:val="20"/>
                <w:szCs w:val="20"/>
                <w:color w:val="auto"/>
              </w:rPr>
            </w:pPr>
            <w:r>
              <w:rPr>
                <w:rFonts w:ascii="Arial" w:cs="Arial" w:eastAsia="Arial" w:hAnsi="Arial"/>
                <w:sz w:val="10"/>
                <w:szCs w:val="10"/>
                <w:color w:val="auto"/>
              </w:rPr>
              <w:t>(18)</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(10)</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Interest expense on borrowings</w:t>
            </w:r>
          </w:p>
        </w:tc>
        <w:tc>
          <w:tcPr>
            <w:tcW w:w="480" w:type="dxa"/>
            <w:vAlign w:val="bottom"/>
          </w:tcPr>
          <w:p>
            <w:pPr>
              <w:jc w:val="right"/>
              <w:spacing w:after="0"/>
              <w:rPr>
                <w:sz w:val="20"/>
                <w:szCs w:val="20"/>
                <w:color w:val="auto"/>
              </w:rPr>
            </w:pPr>
            <w:r>
              <w:rPr>
                <w:rFonts w:ascii="Arial" w:cs="Arial" w:eastAsia="Arial" w:hAnsi="Arial"/>
                <w:sz w:val="10"/>
                <w:szCs w:val="10"/>
                <w:color w:val="691A6B"/>
              </w:rPr>
              <w:t>(27)</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Loss on marketable securities</w:t>
            </w:r>
          </w:p>
        </w:tc>
        <w:tc>
          <w:tcPr>
            <w:tcW w:w="480" w:type="dxa"/>
            <w:vAlign w:val="bottom"/>
          </w:tcPr>
          <w:p>
            <w:pPr>
              <w:jc w:val="right"/>
              <w:spacing w:after="0"/>
              <w:rPr>
                <w:sz w:val="20"/>
                <w:szCs w:val="20"/>
                <w:color w:val="auto"/>
              </w:rPr>
            </w:pPr>
            <w:r>
              <w:rPr>
                <w:rFonts w:ascii="Arial" w:cs="Arial" w:eastAsia="Arial" w:hAnsi="Arial"/>
                <w:sz w:val="10"/>
                <w:szCs w:val="10"/>
                <w:color w:val="691A6B"/>
              </w:rPr>
              <w:t>(46)</w:t>
            </w:r>
          </w:p>
        </w:tc>
        <w:tc>
          <w:tcPr>
            <w:tcW w:w="920" w:type="dxa"/>
            <w:vAlign w:val="bottom"/>
          </w:tcPr>
          <w:p>
            <w:pPr>
              <w:jc w:val="right"/>
              <w:spacing w:after="0"/>
              <w:rPr>
                <w:sz w:val="20"/>
                <w:szCs w:val="20"/>
                <w:color w:val="auto"/>
              </w:rPr>
            </w:pPr>
            <w:r>
              <w:rPr>
                <w:rFonts w:ascii="Arial" w:cs="Arial" w:eastAsia="Arial" w:hAnsi="Arial"/>
                <w:sz w:val="10"/>
                <w:szCs w:val="10"/>
                <w:color w:val="auto"/>
              </w:rPr>
              <w:t>(107)</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(174)</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Loss on other investments, net</w:t>
            </w:r>
          </w:p>
        </w:tc>
        <w:tc>
          <w:tcPr>
            <w:tcW w:w="480" w:type="dxa"/>
            <w:vAlign w:val="bottom"/>
          </w:tcPr>
          <w:p>
            <w:pPr>
              <w:jc w:val="right"/>
              <w:spacing w:after="0"/>
              <w:rPr>
                <w:sz w:val="20"/>
                <w:szCs w:val="20"/>
                <w:color w:val="auto"/>
              </w:rPr>
            </w:pPr>
            <w:r>
              <w:rPr>
                <w:rFonts w:ascii="Arial" w:cs="Arial" w:eastAsia="Arial" w:hAnsi="Arial"/>
                <w:sz w:val="10"/>
                <w:szCs w:val="10"/>
                <w:color w:val="691A6B"/>
              </w:rPr>
              <w:t>(1)</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(4)</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color w:val="auto"/>
              </w:rPr>
              <w:t>Foreign exchange rate loss</w:t>
            </w:r>
          </w:p>
        </w:tc>
        <w:tc>
          <w:tcPr>
            <w:tcW w:w="480" w:type="dxa"/>
            <w:vAlign w:val="bottom"/>
          </w:tcPr>
          <w:p>
            <w:pPr>
              <w:jc w:val="right"/>
              <w:spacing w:after="0"/>
              <w:rPr>
                <w:sz w:val="20"/>
                <w:szCs w:val="20"/>
                <w:color w:val="auto"/>
              </w:rPr>
            </w:pPr>
            <w:r>
              <w:rPr>
                <w:rFonts w:ascii="Arial" w:cs="Arial" w:eastAsia="Arial" w:hAnsi="Arial"/>
                <w:sz w:val="10"/>
                <w:szCs w:val="10"/>
                <w:color w:val="691A6B"/>
              </w:rPr>
              <w:t>(161)</w:t>
            </w:r>
          </w:p>
        </w:tc>
        <w:tc>
          <w:tcPr>
            <w:tcW w:w="920" w:type="dxa"/>
            <w:vAlign w:val="bottom"/>
          </w:tcPr>
          <w:p>
            <w:pPr>
              <w:jc w:val="right"/>
              <w:spacing w:after="0"/>
              <w:rPr>
                <w:sz w:val="20"/>
                <w:szCs w:val="20"/>
                <w:color w:val="auto"/>
              </w:rPr>
            </w:pPr>
            <w:r>
              <w:rPr>
                <w:rFonts w:ascii="Arial" w:cs="Arial" w:eastAsia="Arial" w:hAnsi="Arial"/>
                <w:sz w:val="10"/>
                <w:szCs w:val="10"/>
                <w:color w:val="auto"/>
              </w:rPr>
              <w:t>(166)</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(66)</w:t>
            </w:r>
          </w:p>
        </w:tc>
      </w:tr>
      <w:tr>
        <w:trPr>
          <w:trHeight w:val="158"/>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Total financial expenses</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691A6B"/>
              </w:rPr>
              <w:t>(269)</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(291)</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(254)</w:t>
            </w:r>
          </w:p>
        </w:tc>
      </w:tr>
      <w:tr>
        <w:trPr>
          <w:trHeight w:val="152"/>
        </w:trPr>
        <w:tc>
          <w:tcPr>
            <w:tcW w:w="2520" w:type="dxa"/>
            <w:vAlign w:val="bottom"/>
          </w:tcPr>
          <w:p>
            <w:pPr>
              <w:ind w:left="20"/>
              <w:spacing w:after="0"/>
              <w:rPr>
                <w:sz w:val="20"/>
                <w:szCs w:val="20"/>
                <w:color w:val="auto"/>
              </w:rPr>
            </w:pPr>
            <w:r>
              <w:rPr>
                <w:rFonts w:ascii="Arial" w:cs="Arial" w:eastAsia="Arial" w:hAnsi="Arial"/>
                <w:sz w:val="10"/>
                <w:szCs w:val="10"/>
                <w:b w:val="1"/>
                <w:bCs w:val="1"/>
                <w:color w:val="auto"/>
              </w:rPr>
              <w:t>Net financial items</w:t>
            </w:r>
          </w:p>
        </w:tc>
        <w:tc>
          <w:tcPr>
            <w:tcW w:w="480" w:type="dxa"/>
            <w:vAlign w:val="bottom"/>
          </w:tcPr>
          <w:p>
            <w:pPr>
              <w:jc w:val="right"/>
              <w:ind w:right="8"/>
              <w:spacing w:after="0"/>
              <w:rPr>
                <w:sz w:val="20"/>
                <w:szCs w:val="20"/>
                <w:color w:val="auto"/>
              </w:rPr>
            </w:pPr>
            <w:r>
              <w:rPr>
                <w:rFonts w:ascii="Arial" w:cs="Arial" w:eastAsia="Arial" w:hAnsi="Arial"/>
                <w:sz w:val="10"/>
                <w:szCs w:val="10"/>
                <w:b w:val="1"/>
                <w:bCs w:val="1"/>
                <w:color w:val="691A6B"/>
              </w:rPr>
              <w:t>139</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354</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45</w:t>
            </w:r>
          </w:p>
        </w:tc>
      </w:tr>
    </w:tbl>
    <w:p>
      <w:pPr>
        <w:spacing w:after="0" w:line="10" w:lineRule="exact"/>
        <w:rPr>
          <w:rFonts w:ascii="Arial" w:cs="Arial" w:eastAsia="Arial" w:hAnsi="Arial"/>
          <w:sz w:val="10"/>
          <w:szCs w:val="10"/>
          <w:color w:val="auto"/>
        </w:rPr>
      </w:pPr>
    </w:p>
    <w:p>
      <w:pPr>
        <w:ind w:right="2940" w:firstLine="6"/>
        <w:spacing w:after="0" w:line="259" w:lineRule="auto"/>
        <w:tabs>
          <w:tab w:leader="none" w:pos="76" w:val="left"/>
        </w:tabs>
        <w:numPr>
          <w:ilvl w:val="0"/>
          <w:numId w:val="34"/>
        </w:numPr>
        <w:rPr>
          <w:rFonts w:ascii="Arial" w:cs="Arial" w:eastAsia="Arial" w:hAnsi="Arial"/>
          <w:sz w:val="7"/>
          <w:szCs w:val="7"/>
          <w:b w:val="1"/>
          <w:bCs w:val="1"/>
          <w:color w:val="691A6B"/>
        </w:rPr>
      </w:pPr>
      <w:r>
        <w:rPr>
          <w:rFonts w:ascii="Arial" w:cs="Arial" w:eastAsia="Arial" w:hAnsi="Arial"/>
          <w:sz w:val="7"/>
          <w:szCs w:val="7"/>
          <w:color w:val="auto"/>
        </w:rPr>
        <w:t xml:space="preserve">Certain reclassifications have been made between financial income and expenses for all periods presented. Refer to </w:t>
      </w:r>
      <w:hyperlink w:anchor="page140">
        <w:r>
          <w:rPr>
            <w:rFonts w:ascii="Arial" w:cs="Arial" w:eastAsia="Arial" w:hAnsi="Arial"/>
            <w:sz w:val="7"/>
            <w:szCs w:val="7"/>
            <w:b w:val="1"/>
            <w:bCs w:val="1"/>
            <w:color w:val="691A6B"/>
          </w:rPr>
          <w:t xml:space="preserve">Note 1.4 </w:t>
        </w:r>
      </w:hyperlink>
      <w:r>
        <w:rPr>
          <w:rFonts w:ascii="Arial" w:cs="Arial" w:eastAsia="Arial" w:hAnsi="Arial"/>
          <w:sz w:val="7"/>
          <w:szCs w:val="7"/>
          <w:color w:val="000000"/>
        </w:rPr>
        <w:t>for</w:t>
      </w:r>
      <w:r>
        <w:rPr>
          <w:rFonts w:ascii="Arial" w:cs="Arial" w:eastAsia="Arial" w:hAnsi="Arial"/>
          <w:sz w:val="7"/>
          <w:szCs w:val="7"/>
          <w:b w:val="1"/>
          <w:bCs w:val="1"/>
          <w:color w:val="691A6B"/>
        </w:rPr>
        <w:t xml:space="preserve"> </w:t>
      </w:r>
      <w:r>
        <w:rPr>
          <w:rFonts w:ascii="Arial" w:cs="Arial" w:eastAsia="Arial" w:hAnsi="Arial"/>
          <w:sz w:val="7"/>
          <w:szCs w:val="7"/>
          <w:color w:val="000000"/>
        </w:rPr>
        <w:t>more information.</w:t>
      </w:r>
    </w:p>
    <w:p>
      <w:pPr>
        <w:spacing w:after="0" w:line="210" w:lineRule="auto"/>
        <w:rPr>
          <w:sz w:val="20"/>
          <w:szCs w:val="20"/>
          <w:color w:val="auto"/>
        </w:rPr>
      </w:pPr>
      <w:r>
        <w:rPr>
          <w:rFonts w:ascii="Arial" w:cs="Arial" w:eastAsia="Arial" w:hAnsi="Arial"/>
          <w:sz w:val="13"/>
          <w:szCs w:val="13"/>
          <w:b w:val="1"/>
          <w:bCs w:val="1"/>
          <w:color w:val="691A6B"/>
        </w:rPr>
        <w:t>Interest Income</w:t>
      </w:r>
    </w:p>
    <w:p>
      <w:pPr>
        <w:ind w:right="2440"/>
        <w:spacing w:after="0" w:line="205" w:lineRule="auto"/>
        <w:rPr>
          <w:sz w:val="20"/>
          <w:szCs w:val="20"/>
          <w:color w:val="auto"/>
        </w:rPr>
      </w:pPr>
      <w:r>
        <w:rPr>
          <w:rFonts w:ascii="Arial" w:cs="Arial" w:eastAsia="Arial" w:hAnsi="Arial"/>
          <w:sz w:val="10"/>
          <w:szCs w:val="10"/>
          <w:color w:val="auto"/>
        </w:rPr>
        <w:t>Interest income was $138 million in 2025 compared to $144 million in 2024 and $142 million in 2023. The decrease of $6 million, or 4% from 2024 to 2025 was primarily driven by the lower average cash and cash equivalents and marketable securities as a result of the ProfoundBio acquisition in the second quarter of 2024, as well as lower interest rates of USD denominated marketable securities in 2025 compared to 2024. Additionally, Genmab liquidated its entire marketable security portfolio in December 2025 to contribute to the financing of the Merus acquisition. The increase of $2 million, or 1% from 2023 to 2024, was primarily driven by the higher cash and cash equivalents and marketable securities in the first half of 2024 compared to 2023, almost entirely offset by lower cash and cash equivalents and marketable securities in the second half of 2024 compared to 2023 as a result of liquidating marketable securities and using cash to purchase</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135</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136</w:t>
      </w:r>
    </w:p>
    <w:p>
      <w:pPr>
        <w:sectPr>
          <w:pgSz w:w="11900" w:h="16840" w:orient="portrait"/>
          <w:cols w:equalWidth="0" w:num="2">
            <w:col w:w="7400" w:space="720"/>
            <w:col w:w="1700"/>
          </w:cols>
          <w:pgMar w:left="640" w:top="571" w:right="1440" w:bottom="497" w:gutter="0" w:footer="0" w:header="0"/>
        </w:sectPr>
      </w:pPr>
    </w:p>
    <w:bookmarkStart w:id="149" w:name="page150"/>
    <w:bookmarkEnd w:id="149"/>
    <w:p>
      <w:pPr>
        <w:spacing w:after="0" w:line="198" w:lineRule="auto"/>
        <w:tabs>
          <w:tab w:leader="none" w:pos="1340" w:val="left"/>
        </w:tabs>
        <w:framePr w:w="1960" w:h="190" w:wrap="auto" w:vAnchor="page" w:hAnchor="page" w:x="6420" w:y="11402"/>
        <w:rPr>
          <w:rFonts w:ascii="Arial" w:cs="Arial" w:eastAsia="Arial" w:hAnsi="Arial"/>
          <w:sz w:val="10"/>
          <w:szCs w:val="10"/>
          <w:color w:val="auto"/>
        </w:rPr>
      </w:pPr>
      <w:r>
        <w:rPr>
          <w:rFonts w:ascii="Arial" w:cs="Arial" w:eastAsia="Arial" w:hAnsi="Arial"/>
          <w:sz w:val="10"/>
          <w:szCs w:val="10"/>
          <w:color w:val="auto"/>
        </w:rPr>
        <w:t>Death – Forfeit all unvested RSUs. Voluntary leavers forfeit unvested RSUs.</w:t>
      </w: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137</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3"/>
          <w:szCs w:val="13"/>
          <w:b w:val="1"/>
          <w:bCs w:val="1"/>
          <w:color w:val="691A6B"/>
        </w:rPr>
        <w:t>Foreign Exchange Rate Gains and Losses</w:t>
      </w:r>
    </w:p>
    <w:p>
      <w:pPr>
        <w:ind w:right="4940"/>
        <w:spacing w:after="0" w:line="198" w:lineRule="auto"/>
        <w:rPr>
          <w:sz w:val="20"/>
          <w:szCs w:val="20"/>
          <w:color w:val="auto"/>
        </w:rPr>
      </w:pPr>
      <w:r>
        <w:rPr>
          <w:rFonts w:ascii="Arial" w:cs="Arial" w:eastAsia="Arial" w:hAnsi="Arial"/>
          <w:sz w:val="10"/>
          <w:szCs w:val="10"/>
          <w:color w:val="auto"/>
        </w:rPr>
        <w:t>Foreign exchange rate loss, net, which excludes foreign exchange rate movements on marketable securities, was $3 million in 2025 compared to foreign exchange rate gains net of $92 million in 2024 and foreign exchange rate loss, net of $66 million in 2023. The change from 2024 to 2025 is primarily driven by a lower exchange rate impact due to the change in functional currency of Genmab A/S from DKK to USD on January 1, 2025. The change from 2023 to 2024 was primarily driven by foreign exchange rate movements impacting Genmab’s USD denominated assets (excluding marketable securities) and liabilities, noting Genmab A/S functional currency was DKK during 2023 and 2024.</w:t>
      </w:r>
    </w:p>
    <w:p>
      <w:pPr>
        <w:spacing w:after="0" w:line="208" w:lineRule="auto"/>
        <w:rPr>
          <w:rFonts w:ascii="Arial" w:cs="Arial" w:eastAsia="Arial" w:hAnsi="Arial"/>
          <w:sz w:val="10"/>
          <w:szCs w:val="10"/>
          <w:color w:val="691A6B"/>
        </w:rPr>
      </w:pPr>
      <w:hyperlink w:anchor="page147">
        <w:r>
          <w:rPr>
            <w:rFonts w:ascii="Arial" w:cs="Arial" w:eastAsia="Arial" w:hAnsi="Arial"/>
            <w:sz w:val="10"/>
            <w:szCs w:val="10"/>
            <w:color w:val="691A6B"/>
          </w:rPr>
          <w:t xml:space="preserve">Refer to </w:t>
        </w:r>
        <w:r>
          <w:rPr>
            <w:rFonts w:ascii="Arial" w:cs="Arial" w:eastAsia="Arial" w:hAnsi="Arial"/>
            <w:sz w:val="10"/>
            <w:szCs w:val="10"/>
            <w:b w:val="1"/>
            <w:bCs w:val="1"/>
            <w:color w:val="691A6B"/>
          </w:rPr>
          <w:t>Note 4.2</w:t>
        </w:r>
        <w:r>
          <w:rPr>
            <w:rFonts w:ascii="Arial" w:cs="Arial" w:eastAsia="Arial" w:hAnsi="Arial"/>
            <w:sz w:val="10"/>
            <w:szCs w:val="10"/>
            <w:color w:val="691A6B"/>
          </w:rPr>
          <w:t xml:space="preserve"> for additional information on foreign currency risk.</w:t>
        </w:r>
      </w:hyperlink>
    </w:p>
    <w:p>
      <w:pPr>
        <w:spacing w:after="0" w:line="210" w:lineRule="auto"/>
        <w:rPr>
          <w:sz w:val="20"/>
          <w:szCs w:val="20"/>
          <w:color w:val="auto"/>
        </w:rPr>
      </w:pPr>
      <w:r>
        <w:rPr>
          <w:rFonts w:ascii="Arial" w:cs="Arial" w:eastAsia="Arial" w:hAnsi="Arial"/>
          <w:sz w:val="13"/>
          <w:szCs w:val="13"/>
          <w:b w:val="1"/>
          <w:bCs w:val="1"/>
          <w:color w:val="691A6B"/>
        </w:rPr>
        <w:t>Marketable Securities Gains and Losses</w:t>
      </w:r>
    </w:p>
    <w:p>
      <w:pPr>
        <w:spacing w:after="0" w:line="198" w:lineRule="auto"/>
        <w:rPr>
          <w:sz w:val="20"/>
          <w:szCs w:val="20"/>
          <w:color w:val="auto"/>
        </w:rPr>
      </w:pPr>
      <w:r>
        <w:rPr>
          <w:rFonts w:ascii="Arial" w:cs="Arial" w:eastAsia="Arial" w:hAnsi="Arial"/>
          <w:sz w:val="10"/>
          <w:szCs w:val="10"/>
          <w:color w:val="auto"/>
        </w:rPr>
        <w:t>Gain on marketable securities, net, which includes the impact of foreign exchange rate movements,</w:t>
      </w:r>
    </w:p>
    <w:p>
      <w:pPr>
        <w:spacing w:after="0" w:line="199" w:lineRule="auto"/>
        <w:rPr>
          <w:sz w:val="20"/>
          <w:szCs w:val="20"/>
          <w:color w:val="auto"/>
        </w:rPr>
      </w:pPr>
      <w:r>
        <w:rPr>
          <w:rFonts w:ascii="Arial" w:cs="Arial" w:eastAsia="Arial" w:hAnsi="Arial"/>
          <w:sz w:val="10"/>
          <w:szCs w:val="10"/>
          <w:color w:val="auto"/>
        </w:rPr>
        <w:t>was $66 million in 2025 compared to gain on marketable securities, net of $130 in 2024 and loss on</w:t>
      </w:r>
    </w:p>
    <w:p>
      <w:pPr>
        <w:spacing w:after="0" w:line="199" w:lineRule="auto"/>
        <w:rPr>
          <w:sz w:val="20"/>
          <w:szCs w:val="20"/>
          <w:color w:val="auto"/>
        </w:rPr>
      </w:pPr>
      <w:r>
        <w:rPr>
          <w:rFonts w:ascii="Arial" w:cs="Arial" w:eastAsia="Arial" w:hAnsi="Arial"/>
          <w:sz w:val="10"/>
          <w:szCs w:val="10"/>
          <w:color w:val="auto"/>
        </w:rPr>
        <w:t>marketable securities, net $17 million in 2023. The decrease in gain, net of $64 million, or 49%, from 2024</w:t>
      </w:r>
    </w:p>
    <w:p>
      <w:pPr>
        <w:spacing w:after="0" w:line="198" w:lineRule="auto"/>
        <w:rPr>
          <w:sz w:val="20"/>
          <w:szCs w:val="20"/>
          <w:color w:val="auto"/>
        </w:rPr>
      </w:pPr>
      <w:r>
        <w:rPr>
          <w:rFonts w:ascii="Arial" w:cs="Arial" w:eastAsia="Arial" w:hAnsi="Arial"/>
          <w:sz w:val="10"/>
          <w:szCs w:val="10"/>
          <w:color w:val="auto"/>
        </w:rPr>
        <w:t>to 2025 was primarily driven by the change in the functional currency of Genmab A/S effective January 1,</w:t>
      </w:r>
    </w:p>
    <w:p>
      <w:pPr>
        <w:spacing w:after="0" w:line="199" w:lineRule="auto"/>
        <w:rPr>
          <w:sz w:val="20"/>
          <w:szCs w:val="20"/>
          <w:color w:val="auto"/>
        </w:rPr>
      </w:pPr>
      <w:r>
        <w:rPr>
          <w:rFonts w:ascii="Arial" w:cs="Arial" w:eastAsia="Arial" w:hAnsi="Arial"/>
          <w:sz w:val="10"/>
          <w:szCs w:val="10"/>
          <w:color w:val="auto"/>
        </w:rPr>
        <w:t>2025. As the majority of Genmab’s investment portfolio is denominated in U.S. dollars, these securities</w:t>
      </w:r>
    </w:p>
    <w:p>
      <w:pPr>
        <w:spacing w:after="0" w:line="199" w:lineRule="auto"/>
        <w:rPr>
          <w:sz w:val="20"/>
          <w:szCs w:val="20"/>
          <w:color w:val="auto"/>
        </w:rPr>
      </w:pPr>
      <w:r>
        <w:rPr>
          <w:rFonts w:ascii="Arial" w:cs="Arial" w:eastAsia="Arial" w:hAnsi="Arial"/>
          <w:sz w:val="10"/>
          <w:szCs w:val="10"/>
          <w:color w:val="auto"/>
        </w:rPr>
        <w:t>benefited from the strengthening of the USD against the DKK in 2024. In 2025, Genmab’s DKK and EUR</w:t>
      </w:r>
    </w:p>
    <w:p>
      <w:pPr>
        <w:spacing w:after="0" w:line="198" w:lineRule="auto"/>
        <w:rPr>
          <w:sz w:val="20"/>
          <w:szCs w:val="20"/>
          <w:color w:val="auto"/>
        </w:rPr>
      </w:pPr>
      <w:r>
        <w:rPr>
          <w:rFonts w:ascii="Arial" w:cs="Arial" w:eastAsia="Arial" w:hAnsi="Arial"/>
          <w:sz w:val="10"/>
          <w:szCs w:val="10"/>
          <w:color w:val="auto"/>
        </w:rPr>
        <w:t>denominated currencies strengthened against the USD, but to a lesser extent than the USD strengthening</w:t>
      </w:r>
    </w:p>
    <w:p>
      <w:pPr>
        <w:spacing w:after="0" w:line="199" w:lineRule="auto"/>
        <w:rPr>
          <w:sz w:val="20"/>
          <w:szCs w:val="20"/>
          <w:color w:val="auto"/>
        </w:rPr>
      </w:pPr>
      <w:r>
        <w:rPr>
          <w:rFonts w:ascii="Arial" w:cs="Arial" w:eastAsia="Arial" w:hAnsi="Arial"/>
          <w:sz w:val="10"/>
          <w:szCs w:val="10"/>
          <w:color w:val="auto"/>
        </w:rPr>
        <w:t>against the DKK in 2024. Additionally, Genmab liquidated its marketable security portfolio in December</w:t>
      </w:r>
    </w:p>
    <w:p>
      <w:pPr>
        <w:spacing w:after="0" w:line="198" w:lineRule="auto"/>
        <w:rPr>
          <w:sz w:val="20"/>
          <w:szCs w:val="20"/>
          <w:color w:val="auto"/>
        </w:rPr>
      </w:pPr>
      <w:r>
        <w:rPr>
          <w:rFonts w:ascii="Arial" w:cs="Arial" w:eastAsia="Arial" w:hAnsi="Arial"/>
          <w:sz w:val="10"/>
          <w:szCs w:val="10"/>
          <w:color w:val="auto"/>
        </w:rPr>
        <w:t>2025 to contribute to the financing of the Merus acquisition. The increase in gain of $147 million, or 865%</w:t>
      </w:r>
    </w:p>
    <w:p>
      <w:pPr>
        <w:spacing w:after="0" w:line="199" w:lineRule="auto"/>
        <w:rPr>
          <w:sz w:val="20"/>
          <w:szCs w:val="20"/>
          <w:color w:val="auto"/>
        </w:rPr>
      </w:pPr>
      <w:r>
        <w:rPr>
          <w:rFonts w:ascii="Arial" w:cs="Arial" w:eastAsia="Arial" w:hAnsi="Arial"/>
          <w:sz w:val="10"/>
          <w:szCs w:val="10"/>
          <w:color w:val="auto"/>
        </w:rPr>
        <w:t>from 2023 to 2024 was primarily driven by foreign exchange rate movements impacting Genmab’s USD</w:t>
      </w:r>
    </w:p>
    <w:p>
      <w:pPr>
        <w:spacing w:after="0" w:line="199" w:lineRule="auto"/>
        <w:rPr>
          <w:sz w:val="20"/>
          <w:szCs w:val="20"/>
          <w:color w:val="auto"/>
        </w:rPr>
      </w:pPr>
      <w:r>
        <w:rPr>
          <w:rFonts w:ascii="Arial" w:cs="Arial" w:eastAsia="Arial" w:hAnsi="Arial"/>
          <w:sz w:val="10"/>
          <w:szCs w:val="10"/>
          <w:color w:val="auto"/>
        </w:rPr>
        <w:t>denominated marketable securities. As the majority of Genmab’s investment portfolio is denominated in</w:t>
      </w:r>
    </w:p>
    <w:p>
      <w:pPr>
        <w:spacing w:after="0" w:line="198" w:lineRule="auto"/>
        <w:rPr>
          <w:sz w:val="20"/>
          <w:szCs w:val="20"/>
          <w:color w:val="auto"/>
        </w:rPr>
      </w:pPr>
      <w:r>
        <w:rPr>
          <w:rFonts w:ascii="Arial" w:cs="Arial" w:eastAsia="Arial" w:hAnsi="Arial"/>
          <w:sz w:val="10"/>
          <w:szCs w:val="10"/>
          <w:color w:val="auto"/>
        </w:rPr>
        <w:t>U.S. dollars, these securities benefited from the strengthening of the USD against the DKK in 2024, as</w:t>
      </w:r>
    </w:p>
    <w:p>
      <w:pPr>
        <w:spacing w:after="0" w:line="225" w:lineRule="auto"/>
        <w:rPr>
          <w:sz w:val="20"/>
          <w:szCs w:val="20"/>
          <w:color w:val="auto"/>
        </w:rPr>
      </w:pPr>
      <w:r>
        <w:rPr>
          <w:rFonts w:ascii="Arial" w:cs="Arial" w:eastAsia="Arial" w:hAnsi="Arial"/>
          <w:sz w:val="10"/>
          <w:szCs w:val="10"/>
          <w:color w:val="auto"/>
        </w:rPr>
        <w:t>compared to the USD weakening against the DKK in 2023.</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0"/>
          <w:szCs w:val="10"/>
          <w:color w:val="auto"/>
        </w:rPr>
        <w:t>Financial income and expenses include interest as well as foreign exchange rate adjustments and gains</w:t>
      </w:r>
    </w:p>
    <w:p>
      <w:pPr>
        <w:spacing w:after="0" w:line="198" w:lineRule="auto"/>
        <w:rPr>
          <w:sz w:val="20"/>
          <w:szCs w:val="20"/>
          <w:color w:val="auto"/>
        </w:rPr>
      </w:pPr>
      <w:r>
        <w:rPr>
          <w:rFonts w:ascii="Arial" w:cs="Arial" w:eastAsia="Arial" w:hAnsi="Arial"/>
          <w:sz w:val="10"/>
          <w:szCs w:val="10"/>
          <w:color w:val="auto"/>
        </w:rPr>
        <w:t>and losses on marketable securities (designated as FVPL) and realized gains and losses and write-downs</w:t>
      </w:r>
    </w:p>
    <w:p>
      <w:pPr>
        <w:spacing w:after="0" w:line="199" w:lineRule="auto"/>
        <w:rPr>
          <w:sz w:val="20"/>
          <w:szCs w:val="20"/>
          <w:color w:val="auto"/>
        </w:rPr>
      </w:pPr>
      <w:r>
        <w:rPr>
          <w:rFonts w:ascii="Arial" w:cs="Arial" w:eastAsia="Arial" w:hAnsi="Arial"/>
          <w:sz w:val="10"/>
          <w:szCs w:val="10"/>
          <w:color w:val="auto"/>
        </w:rPr>
        <w:t>of other securities and equity interests.</w:t>
      </w:r>
    </w:p>
    <w:p>
      <w:pPr>
        <w:spacing w:after="0" w:line="198" w:lineRule="auto"/>
        <w:rPr>
          <w:sz w:val="20"/>
          <w:szCs w:val="20"/>
          <w:color w:val="auto"/>
        </w:rPr>
      </w:pPr>
      <w:r>
        <w:rPr>
          <w:rFonts w:ascii="Arial" w:cs="Arial" w:eastAsia="Arial" w:hAnsi="Arial"/>
          <w:sz w:val="10"/>
          <w:szCs w:val="10"/>
          <w:color w:val="auto"/>
        </w:rPr>
        <w:t>Interest income is shown separately from gains and losses on marketable securities and other securities</w:t>
      </w:r>
    </w:p>
    <w:p>
      <w:pPr>
        <w:spacing w:after="0"/>
        <w:rPr>
          <w:sz w:val="20"/>
          <w:szCs w:val="20"/>
          <w:color w:val="auto"/>
        </w:rPr>
      </w:pPr>
      <w:r>
        <w:rPr>
          <w:rFonts w:ascii="Arial" w:cs="Arial" w:eastAsia="Arial" w:hAnsi="Arial"/>
          <w:sz w:val="10"/>
          <w:szCs w:val="10"/>
          <w:color w:val="auto"/>
        </w:rPr>
        <w:t>and equity interests.</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93" w:lineRule="exact"/>
        <w:rPr>
          <w:rFonts w:ascii="Arial" w:cs="Arial" w:eastAsia="Arial" w:hAnsi="Arial"/>
          <w:sz w:val="10"/>
          <w:szCs w:val="1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138</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5"/>
          <w:szCs w:val="15"/>
          <w:b w:val="1"/>
          <w:bCs w:val="1"/>
          <w:color w:val="691A6B"/>
        </w:rPr>
        <w:t>4.6 - Share-Based Instruments</w:t>
      </w:r>
    </w:p>
    <w:p>
      <w:pPr>
        <w:spacing w:after="0" w:line="209" w:lineRule="auto"/>
        <w:rPr>
          <w:sz w:val="20"/>
          <w:szCs w:val="20"/>
          <w:color w:val="auto"/>
        </w:rPr>
      </w:pPr>
      <w:r>
        <w:rPr>
          <w:rFonts w:ascii="Arial" w:cs="Arial" w:eastAsia="Arial" w:hAnsi="Arial"/>
          <w:sz w:val="13"/>
          <w:szCs w:val="13"/>
          <w:b w:val="1"/>
          <w:bCs w:val="1"/>
          <w:color w:val="691A6B"/>
        </w:rPr>
        <w:t>Restricted Stock Unit Program</w:t>
      </w:r>
    </w:p>
    <w:p>
      <w:pPr>
        <w:spacing w:after="0" w:line="1" w:lineRule="exact"/>
        <w:rPr>
          <w:rFonts w:ascii="Arial" w:cs="Arial" w:eastAsia="Arial" w:hAnsi="Arial"/>
          <w:sz w:val="10"/>
          <w:szCs w:val="10"/>
          <w:color w:val="auto"/>
        </w:rPr>
      </w:pPr>
    </w:p>
    <w:p>
      <w:pPr>
        <w:ind w:right="140"/>
        <w:spacing w:after="0" w:line="207" w:lineRule="auto"/>
        <w:rPr>
          <w:sz w:val="20"/>
          <w:szCs w:val="20"/>
          <w:color w:val="auto"/>
        </w:rPr>
      </w:pPr>
      <w:r>
        <w:rPr>
          <w:rFonts w:ascii="Arial" w:cs="Arial" w:eastAsia="Arial" w:hAnsi="Arial"/>
          <w:sz w:val="10"/>
          <w:szCs w:val="10"/>
          <w:color w:val="auto"/>
        </w:rPr>
        <w:t>Genmab A/S has established an RSU program (equity-settled share-based payment transactions) as an incentive for Genmab’s employees, members of the Executive Management, and members of the Board of Directors. RSUs granted to Executive Management are performance-based (PSUs)</w:t>
      </w:r>
      <w:r>
        <w:rPr>
          <w:rFonts w:ascii="Arial" w:cs="Arial" w:eastAsia="Arial" w:hAnsi="Arial"/>
          <w:sz w:val="13"/>
          <w:szCs w:val="13"/>
          <w:color w:val="auto"/>
          <w:vertAlign w:val="superscript"/>
        </w:rPr>
        <w:t>1</w:t>
      </w:r>
      <w:r>
        <w:rPr>
          <w:rFonts w:ascii="Arial" w:cs="Arial" w:eastAsia="Arial" w:hAnsi="Arial"/>
          <w:sz w:val="10"/>
          <w:szCs w:val="10"/>
          <w:color w:val="auto"/>
        </w:rPr>
        <w:t>.</w:t>
      </w:r>
    </w:p>
    <w:p>
      <w:pPr>
        <w:ind w:right="80"/>
        <w:spacing w:after="0" w:line="198" w:lineRule="auto"/>
        <w:rPr>
          <w:sz w:val="20"/>
          <w:szCs w:val="20"/>
          <w:color w:val="auto"/>
        </w:rPr>
      </w:pPr>
      <w:r>
        <w:rPr>
          <w:rFonts w:ascii="Arial" w:cs="Arial" w:eastAsia="Arial" w:hAnsi="Arial"/>
          <w:sz w:val="10"/>
          <w:szCs w:val="10"/>
          <w:color w:val="auto"/>
        </w:rPr>
        <w:t>RSUs are granted by the Board of Directors. RSU grants to members of the Board of Directors and members of the registered Executive Management are subject to the Remuneration Policy adopted at the Annual General Meeting.</w:t>
      </w:r>
    </w:p>
    <w:p>
      <w:pPr>
        <w:spacing w:after="0" w:line="218" w:lineRule="auto"/>
        <w:rPr>
          <w:sz w:val="20"/>
          <w:szCs w:val="20"/>
          <w:color w:val="auto"/>
        </w:rPr>
      </w:pPr>
      <w:r>
        <w:rPr>
          <w:rFonts w:ascii="Arial" w:cs="Arial" w:eastAsia="Arial" w:hAnsi="Arial"/>
          <w:sz w:val="10"/>
          <w:szCs w:val="10"/>
          <w:color w:val="auto"/>
        </w:rPr>
        <w:t>See the table below for a summary of key terms of Genmab’s RSU programs:</w:t>
      </w:r>
    </w:p>
    <w:tbl>
      <w:tblPr>
        <w:tblLayout w:type="fixed"/>
        <w:tblInd w:w="0" w:type="dxa"/>
        <w:tblCellMar>
          <w:top w:w="0" w:type="dxa"/>
          <w:left w:w="0" w:type="dxa"/>
          <w:bottom w:w="0" w:type="dxa"/>
          <w:right w:w="0" w:type="dxa"/>
        </w:tblCellMar>
      </w:tblPr>
      <w:tr>
        <w:trPr>
          <w:trHeight w:val="128"/>
        </w:trPr>
        <w:tc>
          <w:tcPr>
            <w:tcW w:w="1440" w:type="dxa"/>
            <w:vAlign w:val="bottom"/>
            <w:tcBorders>
              <w:top w:val="single" w:sz="8" w:color="691A6B"/>
            </w:tcBorders>
          </w:tcPr>
          <w:p>
            <w:pPr>
              <w:spacing w:after="0"/>
              <w:rPr>
                <w:sz w:val="11"/>
                <w:szCs w:val="11"/>
                <w:color w:val="auto"/>
              </w:rPr>
            </w:pPr>
          </w:p>
        </w:tc>
        <w:tc>
          <w:tcPr>
            <w:tcW w:w="4300" w:type="dxa"/>
            <w:vAlign w:val="bottom"/>
            <w:tcBorders>
              <w:top w:val="single" w:sz="8" w:color="691A6B"/>
            </w:tcBorders>
          </w:tcPr>
          <w:p>
            <w:pPr>
              <w:ind w:left="400"/>
              <w:spacing w:after="0"/>
              <w:rPr>
                <w:sz w:val="20"/>
                <w:szCs w:val="20"/>
                <w:color w:val="auto"/>
              </w:rPr>
            </w:pPr>
            <w:r>
              <w:rPr>
                <w:rFonts w:ascii="Arial" w:cs="Arial" w:eastAsia="Arial" w:hAnsi="Arial"/>
                <w:sz w:val="10"/>
                <w:szCs w:val="10"/>
                <w:b w:val="1"/>
                <w:bCs w:val="1"/>
                <w:color w:val="auto"/>
              </w:rPr>
              <w:t>RSUs Granted in Periods</w:t>
            </w:r>
          </w:p>
        </w:tc>
        <w:tc>
          <w:tcPr>
            <w:tcW w:w="4060" w:type="dxa"/>
            <w:vAlign w:val="bottom"/>
            <w:tcBorders>
              <w:top w:val="single" w:sz="8" w:color="691A6B"/>
            </w:tcBorders>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1440" w:type="dxa"/>
            <w:vAlign w:val="bottom"/>
          </w:tcPr>
          <w:p>
            <w:pPr>
              <w:ind w:left="20"/>
              <w:spacing w:after="0"/>
              <w:rPr>
                <w:sz w:val="20"/>
                <w:szCs w:val="20"/>
                <w:color w:val="auto"/>
              </w:rPr>
            </w:pPr>
            <w:r>
              <w:rPr>
                <w:rFonts w:ascii="Arial" w:cs="Arial" w:eastAsia="Arial" w:hAnsi="Arial"/>
                <w:sz w:val="10"/>
                <w:szCs w:val="10"/>
                <w:b w:val="1"/>
                <w:bCs w:val="1"/>
                <w:color w:val="auto"/>
              </w:rPr>
              <w:t>Key Terms</w:t>
            </w:r>
          </w:p>
        </w:tc>
        <w:tc>
          <w:tcPr>
            <w:tcW w:w="4300" w:type="dxa"/>
            <w:vAlign w:val="bottom"/>
          </w:tcPr>
          <w:p>
            <w:pPr>
              <w:ind w:left="400"/>
              <w:spacing w:after="0"/>
              <w:rPr>
                <w:sz w:val="20"/>
                <w:szCs w:val="20"/>
                <w:color w:val="auto"/>
              </w:rPr>
            </w:pPr>
            <w:r>
              <w:rPr>
                <w:rFonts w:ascii="Arial" w:cs="Arial" w:eastAsia="Arial" w:hAnsi="Arial"/>
                <w:sz w:val="10"/>
                <w:szCs w:val="10"/>
                <w:b w:val="1"/>
                <w:bCs w:val="1"/>
                <w:color w:val="auto"/>
              </w:rPr>
              <w:t>December 2019 - February 2021</w:t>
            </w:r>
          </w:p>
        </w:tc>
        <w:tc>
          <w:tcPr>
            <w:tcW w:w="4100" w:type="dxa"/>
            <w:vAlign w:val="bottom"/>
            <w:gridSpan w:val="2"/>
          </w:tcPr>
          <w:p>
            <w:pPr>
              <w:ind w:left="80"/>
              <w:spacing w:after="0"/>
              <w:rPr>
                <w:sz w:val="20"/>
                <w:szCs w:val="20"/>
                <w:color w:val="auto"/>
              </w:rPr>
            </w:pPr>
            <w:r>
              <w:rPr>
                <w:rFonts w:ascii="Arial" w:cs="Arial" w:eastAsia="Arial" w:hAnsi="Arial"/>
                <w:sz w:val="10"/>
                <w:szCs w:val="10"/>
                <w:b w:val="1"/>
                <w:bCs w:val="1"/>
                <w:color w:val="auto"/>
              </w:rPr>
              <w:t>From February 2021</w:t>
            </w:r>
          </w:p>
        </w:tc>
      </w:tr>
      <w:tr>
        <w:trPr>
          <w:trHeight w:val="147"/>
        </w:trPr>
        <w:tc>
          <w:tcPr>
            <w:tcW w:w="1440" w:type="dxa"/>
            <w:vAlign w:val="bottom"/>
          </w:tcPr>
          <w:p>
            <w:pPr>
              <w:ind w:left="20"/>
              <w:spacing w:after="0"/>
              <w:rPr>
                <w:sz w:val="20"/>
                <w:szCs w:val="20"/>
                <w:color w:val="auto"/>
              </w:rPr>
            </w:pPr>
            <w:r>
              <w:rPr>
                <w:rFonts w:ascii="Arial" w:cs="Arial" w:eastAsia="Arial" w:hAnsi="Arial"/>
                <w:sz w:val="10"/>
                <w:szCs w:val="10"/>
                <w:b w:val="1"/>
                <w:bCs w:val="1"/>
                <w:color w:val="auto"/>
              </w:rPr>
              <w:t>Grants</w:t>
            </w:r>
          </w:p>
        </w:tc>
        <w:tc>
          <w:tcPr>
            <w:tcW w:w="8400" w:type="dxa"/>
            <w:vAlign w:val="bottom"/>
            <w:gridSpan w:val="3"/>
          </w:tcPr>
          <w:p>
            <w:pPr>
              <w:ind w:left="400"/>
              <w:spacing w:after="0"/>
              <w:rPr>
                <w:sz w:val="20"/>
                <w:szCs w:val="20"/>
                <w:color w:val="auto"/>
              </w:rPr>
            </w:pPr>
            <w:r>
              <w:rPr>
                <w:rFonts w:ascii="Arial" w:cs="Arial" w:eastAsia="Arial" w:hAnsi="Arial"/>
                <w:sz w:val="10"/>
                <w:szCs w:val="10"/>
                <w:color w:val="auto"/>
              </w:rPr>
              <w:t>RSUs are granted at no cost to employees. Number of shares granted is determined based on closing share price on the grant date.</w:t>
            </w:r>
          </w:p>
        </w:tc>
      </w:tr>
      <w:tr>
        <w:trPr>
          <w:trHeight w:val="114"/>
        </w:trPr>
        <w:tc>
          <w:tcPr>
            <w:tcW w:w="1440" w:type="dxa"/>
            <w:vAlign w:val="bottom"/>
          </w:tcPr>
          <w:p>
            <w:pPr>
              <w:ind w:left="20"/>
              <w:spacing w:after="0"/>
              <w:rPr>
                <w:sz w:val="20"/>
                <w:szCs w:val="20"/>
                <w:color w:val="auto"/>
              </w:rPr>
            </w:pPr>
            <w:r>
              <w:rPr>
                <w:rFonts w:ascii="Arial" w:cs="Arial" w:eastAsia="Arial" w:hAnsi="Arial"/>
                <w:sz w:val="10"/>
                <w:szCs w:val="10"/>
                <w:b w:val="1"/>
                <w:bCs w:val="1"/>
                <w:color w:val="auto"/>
              </w:rPr>
              <w:t>Vesting (Settlement)</w:t>
            </w:r>
          </w:p>
        </w:tc>
        <w:tc>
          <w:tcPr>
            <w:tcW w:w="8400" w:type="dxa"/>
            <w:vAlign w:val="bottom"/>
            <w:gridSpan w:val="3"/>
          </w:tcPr>
          <w:p>
            <w:pPr>
              <w:ind w:left="400"/>
              <w:spacing w:after="0"/>
              <w:rPr>
                <w:sz w:val="20"/>
                <w:szCs w:val="20"/>
                <w:color w:val="auto"/>
              </w:rPr>
            </w:pPr>
            <w:r>
              <w:rPr>
                <w:rFonts w:ascii="Arial" w:cs="Arial" w:eastAsia="Arial" w:hAnsi="Arial"/>
                <w:sz w:val="10"/>
                <w:szCs w:val="10"/>
                <w:color w:val="auto"/>
              </w:rPr>
              <w:t>Cliff vesting – RSUs become fully vested on the first banking day of the month following a period of three years from the grant date. The three years cliff vesting also applie</w:t>
            </w:r>
          </w:p>
        </w:tc>
      </w:tr>
      <w:tr>
        <w:trPr>
          <w:trHeight w:val="95"/>
        </w:trPr>
        <w:tc>
          <w:tcPr>
            <w:tcW w:w="1440" w:type="dxa"/>
            <w:vAlign w:val="bottom"/>
          </w:tcPr>
          <w:p>
            <w:pPr>
              <w:spacing w:after="0"/>
              <w:rPr>
                <w:sz w:val="8"/>
                <w:szCs w:val="8"/>
                <w:color w:val="auto"/>
              </w:rPr>
            </w:pPr>
          </w:p>
        </w:tc>
        <w:tc>
          <w:tcPr>
            <w:tcW w:w="4300" w:type="dxa"/>
            <w:vAlign w:val="bottom"/>
          </w:tcPr>
          <w:p>
            <w:pPr>
              <w:ind w:left="400"/>
              <w:spacing w:after="0" w:line="95" w:lineRule="exact"/>
              <w:rPr>
                <w:sz w:val="20"/>
                <w:szCs w:val="20"/>
                <w:color w:val="auto"/>
              </w:rPr>
            </w:pPr>
            <w:r>
              <w:rPr>
                <w:rFonts w:ascii="Arial" w:cs="Arial" w:eastAsia="Arial" w:hAnsi="Arial"/>
                <w:sz w:val="10"/>
                <w:szCs w:val="10"/>
                <w:color w:val="auto"/>
              </w:rPr>
              <w:t>s to PSUs,</w:t>
            </w:r>
          </w:p>
        </w:tc>
        <w:tc>
          <w:tcPr>
            <w:tcW w:w="40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5"/>
        </w:trPr>
        <w:tc>
          <w:tcPr>
            <w:tcW w:w="1440" w:type="dxa"/>
            <w:vAlign w:val="bottom"/>
          </w:tcPr>
          <w:p>
            <w:pPr>
              <w:spacing w:after="0"/>
              <w:rPr>
                <w:sz w:val="8"/>
                <w:szCs w:val="8"/>
                <w:color w:val="auto"/>
              </w:rPr>
            </w:pPr>
          </w:p>
        </w:tc>
        <w:tc>
          <w:tcPr>
            <w:tcW w:w="4300" w:type="dxa"/>
            <w:vAlign w:val="bottom"/>
          </w:tcPr>
          <w:p>
            <w:pPr>
              <w:ind w:left="400"/>
              <w:spacing w:after="0" w:line="95" w:lineRule="exact"/>
              <w:rPr>
                <w:sz w:val="20"/>
                <w:szCs w:val="20"/>
                <w:color w:val="auto"/>
              </w:rPr>
            </w:pPr>
            <w:r>
              <w:rPr>
                <w:rFonts w:ascii="Arial" w:cs="Arial" w:eastAsia="Arial" w:hAnsi="Arial"/>
                <w:sz w:val="10"/>
                <w:szCs w:val="10"/>
                <w:color w:val="auto"/>
              </w:rPr>
              <w:t>while also subject to the degree of fulfilment of the applicable performance criteria.</w:t>
            </w:r>
          </w:p>
        </w:tc>
        <w:tc>
          <w:tcPr>
            <w:tcW w:w="40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5"/>
        </w:trPr>
        <w:tc>
          <w:tcPr>
            <w:tcW w:w="1440" w:type="dxa"/>
            <w:vAlign w:val="bottom"/>
          </w:tcPr>
          <w:p>
            <w:pPr>
              <w:spacing w:after="0"/>
              <w:rPr>
                <w:sz w:val="8"/>
                <w:szCs w:val="8"/>
                <w:color w:val="auto"/>
              </w:rPr>
            </w:pPr>
          </w:p>
        </w:tc>
        <w:tc>
          <w:tcPr>
            <w:tcW w:w="8400" w:type="dxa"/>
            <w:vAlign w:val="bottom"/>
            <w:gridSpan w:val="3"/>
          </w:tcPr>
          <w:p>
            <w:pPr>
              <w:ind w:left="400"/>
              <w:spacing w:after="0" w:line="95" w:lineRule="exact"/>
              <w:rPr>
                <w:sz w:val="20"/>
                <w:szCs w:val="20"/>
                <w:color w:val="auto"/>
              </w:rPr>
            </w:pPr>
            <w:r>
              <w:rPr>
                <w:rFonts w:ascii="Arial" w:cs="Arial" w:eastAsia="Arial" w:hAnsi="Arial"/>
                <w:sz w:val="10"/>
                <w:szCs w:val="10"/>
                <w:color w:val="auto"/>
              </w:rPr>
              <w:t>After RSUs vest, the holder receives one share in Genmab A/S for each RSU granted. In jurisdictions in which Genmab as an employer is required to withhold tax and settle</w:t>
            </w:r>
          </w:p>
        </w:tc>
      </w:tr>
      <w:tr>
        <w:trPr>
          <w:trHeight w:val="95"/>
        </w:trPr>
        <w:tc>
          <w:tcPr>
            <w:tcW w:w="1440" w:type="dxa"/>
            <w:vAlign w:val="bottom"/>
          </w:tcPr>
          <w:p>
            <w:pPr>
              <w:spacing w:after="0"/>
              <w:rPr>
                <w:sz w:val="8"/>
                <w:szCs w:val="8"/>
                <w:color w:val="auto"/>
              </w:rPr>
            </w:pPr>
          </w:p>
        </w:tc>
        <w:tc>
          <w:tcPr>
            <w:tcW w:w="4300" w:type="dxa"/>
            <w:vAlign w:val="bottom"/>
          </w:tcPr>
          <w:p>
            <w:pPr>
              <w:ind w:left="440"/>
              <w:spacing w:after="0" w:line="95" w:lineRule="exact"/>
              <w:rPr>
                <w:sz w:val="20"/>
                <w:szCs w:val="20"/>
                <w:color w:val="auto"/>
              </w:rPr>
            </w:pPr>
            <w:r>
              <w:rPr>
                <w:rFonts w:ascii="Arial" w:cs="Arial" w:eastAsia="Arial" w:hAnsi="Arial"/>
                <w:sz w:val="10"/>
                <w:szCs w:val="10"/>
                <w:color w:val="auto"/>
              </w:rPr>
              <w:t>with the</w:t>
            </w:r>
          </w:p>
        </w:tc>
        <w:tc>
          <w:tcPr>
            <w:tcW w:w="40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5"/>
        </w:trPr>
        <w:tc>
          <w:tcPr>
            <w:tcW w:w="1440" w:type="dxa"/>
            <w:vAlign w:val="bottom"/>
          </w:tcPr>
          <w:p>
            <w:pPr>
              <w:spacing w:after="0"/>
              <w:rPr>
                <w:sz w:val="8"/>
                <w:szCs w:val="8"/>
                <w:color w:val="auto"/>
              </w:rPr>
            </w:pPr>
          </w:p>
        </w:tc>
        <w:tc>
          <w:tcPr>
            <w:tcW w:w="8400" w:type="dxa"/>
            <w:vAlign w:val="bottom"/>
            <w:gridSpan w:val="3"/>
          </w:tcPr>
          <w:p>
            <w:pPr>
              <w:ind w:left="400"/>
              <w:spacing w:after="0" w:line="95" w:lineRule="exact"/>
              <w:rPr>
                <w:sz w:val="20"/>
                <w:szCs w:val="20"/>
                <w:color w:val="auto"/>
              </w:rPr>
            </w:pPr>
            <w:r>
              <w:rPr>
                <w:rFonts w:ascii="Arial" w:cs="Arial" w:eastAsia="Arial" w:hAnsi="Arial"/>
                <w:sz w:val="10"/>
                <w:szCs w:val="10"/>
                <w:color w:val="auto"/>
              </w:rPr>
              <w:t>tax authority on behalf of the employee, Genmab withholds the number of RSUs that are equal to the monetary value of the employee’s tax obligation from the total number o</w:t>
            </w:r>
          </w:p>
        </w:tc>
      </w:tr>
      <w:tr>
        <w:trPr>
          <w:trHeight w:val="95"/>
        </w:trPr>
        <w:tc>
          <w:tcPr>
            <w:tcW w:w="1440" w:type="dxa"/>
            <w:vAlign w:val="bottom"/>
          </w:tcPr>
          <w:p>
            <w:pPr>
              <w:spacing w:after="0"/>
              <w:rPr>
                <w:sz w:val="8"/>
                <w:szCs w:val="8"/>
                <w:color w:val="auto"/>
              </w:rPr>
            </w:pPr>
          </w:p>
        </w:tc>
        <w:tc>
          <w:tcPr>
            <w:tcW w:w="4300" w:type="dxa"/>
            <w:vAlign w:val="bottom"/>
          </w:tcPr>
          <w:p>
            <w:pPr>
              <w:ind w:left="400"/>
              <w:spacing w:after="0" w:line="95" w:lineRule="exact"/>
              <w:rPr>
                <w:sz w:val="20"/>
                <w:szCs w:val="20"/>
                <w:color w:val="auto"/>
              </w:rPr>
            </w:pPr>
            <w:r>
              <w:rPr>
                <w:rFonts w:ascii="Arial" w:cs="Arial" w:eastAsia="Arial" w:hAnsi="Arial"/>
                <w:sz w:val="10"/>
                <w:szCs w:val="10"/>
                <w:color w:val="auto"/>
              </w:rPr>
              <w:t>f RSUs</w:t>
            </w:r>
          </w:p>
        </w:tc>
        <w:tc>
          <w:tcPr>
            <w:tcW w:w="40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5"/>
        </w:trPr>
        <w:tc>
          <w:tcPr>
            <w:tcW w:w="1440" w:type="dxa"/>
            <w:vAlign w:val="bottom"/>
          </w:tcPr>
          <w:p>
            <w:pPr>
              <w:spacing w:after="0"/>
              <w:rPr>
                <w:sz w:val="8"/>
                <w:szCs w:val="8"/>
                <w:color w:val="auto"/>
              </w:rPr>
            </w:pPr>
          </w:p>
        </w:tc>
        <w:tc>
          <w:tcPr>
            <w:tcW w:w="8400" w:type="dxa"/>
            <w:vAlign w:val="bottom"/>
            <w:gridSpan w:val="3"/>
          </w:tcPr>
          <w:p>
            <w:pPr>
              <w:ind w:left="400"/>
              <w:spacing w:after="0" w:line="95" w:lineRule="exact"/>
              <w:rPr>
                <w:sz w:val="20"/>
                <w:szCs w:val="20"/>
                <w:color w:val="auto"/>
              </w:rPr>
            </w:pPr>
            <w:r>
              <w:rPr>
                <w:rFonts w:ascii="Arial" w:cs="Arial" w:eastAsia="Arial" w:hAnsi="Arial"/>
                <w:sz w:val="10"/>
                <w:szCs w:val="10"/>
                <w:color w:val="auto"/>
              </w:rPr>
              <w:t>that otherwise would have been issued to the employee upon vesting (“net settlement”). Genmab A/S may at its sole discretion in extraordinary circumstances choose to m</w:t>
            </w:r>
          </w:p>
        </w:tc>
      </w:tr>
      <w:tr>
        <w:trPr>
          <w:trHeight w:val="95"/>
        </w:trPr>
        <w:tc>
          <w:tcPr>
            <w:tcW w:w="1440" w:type="dxa"/>
            <w:vAlign w:val="bottom"/>
          </w:tcPr>
          <w:p>
            <w:pPr>
              <w:spacing w:after="0"/>
              <w:rPr>
                <w:sz w:val="8"/>
                <w:szCs w:val="8"/>
                <w:color w:val="auto"/>
              </w:rPr>
            </w:pPr>
          </w:p>
        </w:tc>
        <w:tc>
          <w:tcPr>
            <w:tcW w:w="4300" w:type="dxa"/>
            <w:vAlign w:val="bottom"/>
          </w:tcPr>
          <w:p>
            <w:pPr>
              <w:ind w:left="400"/>
              <w:spacing w:after="0" w:line="95" w:lineRule="exact"/>
              <w:rPr>
                <w:sz w:val="20"/>
                <w:szCs w:val="20"/>
                <w:color w:val="auto"/>
              </w:rPr>
            </w:pPr>
            <w:r>
              <w:rPr>
                <w:rFonts w:ascii="Arial" w:cs="Arial" w:eastAsia="Arial" w:hAnsi="Arial"/>
                <w:sz w:val="10"/>
                <w:szCs w:val="10"/>
                <w:color w:val="auto"/>
              </w:rPr>
              <w:t>ake a</w:t>
            </w:r>
          </w:p>
        </w:tc>
        <w:tc>
          <w:tcPr>
            <w:tcW w:w="40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5"/>
        </w:trPr>
        <w:tc>
          <w:tcPr>
            <w:tcW w:w="1440" w:type="dxa"/>
            <w:vAlign w:val="bottom"/>
          </w:tcPr>
          <w:p>
            <w:pPr>
              <w:spacing w:after="0"/>
              <w:rPr>
                <w:sz w:val="9"/>
                <w:szCs w:val="9"/>
                <w:color w:val="auto"/>
              </w:rPr>
            </w:pPr>
          </w:p>
        </w:tc>
        <w:tc>
          <w:tcPr>
            <w:tcW w:w="4300" w:type="dxa"/>
            <w:vAlign w:val="bottom"/>
          </w:tcPr>
          <w:p>
            <w:pPr>
              <w:ind w:left="400"/>
              <w:spacing w:after="0" w:line="105" w:lineRule="exact"/>
              <w:rPr>
                <w:sz w:val="20"/>
                <w:szCs w:val="20"/>
                <w:color w:val="auto"/>
              </w:rPr>
            </w:pPr>
            <w:r>
              <w:rPr>
                <w:rFonts w:ascii="Arial" w:cs="Arial" w:eastAsia="Arial" w:hAnsi="Arial"/>
                <w:sz w:val="10"/>
                <w:szCs w:val="10"/>
                <w:color w:val="auto"/>
              </w:rPr>
              <w:t>cash settlement instead of delivering shares.</w:t>
            </w:r>
          </w:p>
        </w:tc>
        <w:tc>
          <w:tcPr>
            <w:tcW w:w="4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144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Leaver</w:t>
            </w:r>
          </w:p>
        </w:tc>
        <w:tc>
          <w:tcPr>
            <w:tcW w:w="4300" w:type="dxa"/>
            <w:vAlign w:val="bottom"/>
          </w:tcPr>
          <w:p>
            <w:pPr>
              <w:ind w:left="400"/>
              <w:spacing w:after="0" w:line="105" w:lineRule="exact"/>
              <w:rPr>
                <w:sz w:val="20"/>
                <w:szCs w:val="20"/>
                <w:color w:val="auto"/>
              </w:rPr>
            </w:pPr>
            <w:r>
              <w:rPr>
                <w:rFonts w:ascii="Arial" w:cs="Arial" w:eastAsia="Arial" w:hAnsi="Arial"/>
                <w:sz w:val="10"/>
                <w:szCs w:val="10"/>
                <w:color w:val="auto"/>
              </w:rPr>
              <w:t>Leavers – Forfeit all unvested RSUs except when due to retirement, death, serious</w:t>
            </w:r>
          </w:p>
        </w:tc>
        <w:tc>
          <w:tcPr>
            <w:tcW w:w="4100" w:type="dxa"/>
            <w:vAlign w:val="bottom"/>
            <w:gridSpan w:val="2"/>
          </w:tcPr>
          <w:p>
            <w:pPr>
              <w:ind w:left="80"/>
              <w:spacing w:after="0" w:line="105" w:lineRule="exact"/>
              <w:rPr>
                <w:sz w:val="20"/>
                <w:szCs w:val="20"/>
                <w:color w:val="auto"/>
              </w:rPr>
            </w:pPr>
            <w:r>
              <w:rPr>
                <w:rFonts w:ascii="Arial" w:cs="Arial" w:eastAsia="Arial" w:hAnsi="Arial"/>
                <w:sz w:val="10"/>
                <w:szCs w:val="10"/>
                <w:color w:val="auto"/>
              </w:rPr>
              <w:t>Good-Leavers</w:t>
            </w:r>
            <w:r>
              <w:rPr>
                <w:rFonts w:ascii="Arial" w:cs="Arial" w:eastAsia="Arial" w:hAnsi="Arial"/>
                <w:sz w:val="6"/>
                <w:szCs w:val="6"/>
                <w:color w:val="auto"/>
              </w:rPr>
              <w:t>2</w:t>
            </w:r>
            <w:r>
              <w:rPr>
                <w:rFonts w:ascii="Arial" w:cs="Arial" w:eastAsia="Arial" w:hAnsi="Arial"/>
                <w:sz w:val="10"/>
                <w:szCs w:val="10"/>
                <w:color w:val="auto"/>
              </w:rPr>
              <w:t xml:space="preserve"> – May maintain a pro-rata portion of unvested RSUs.</w:t>
            </w:r>
          </w:p>
        </w:tc>
      </w:tr>
    </w:tbl>
    <w:p>
      <w:pPr>
        <w:ind w:left="1840"/>
        <w:spacing w:after="0" w:line="218" w:lineRule="auto"/>
        <w:rPr>
          <w:sz w:val="20"/>
          <w:szCs w:val="20"/>
          <w:color w:val="auto"/>
        </w:rPr>
      </w:pPr>
      <w:r>
        <w:rPr>
          <w:rFonts w:ascii="Arial" w:cs="Arial" w:eastAsia="Arial" w:hAnsi="Arial"/>
          <w:sz w:val="9"/>
          <w:szCs w:val="9"/>
          <w:color w:val="auto"/>
        </w:rPr>
        <w:t>sickness, or serious injury, in which case granted but not yet vested RSUs shall remai Bad-Leavers</w:t>
      </w:r>
      <w:r>
        <w:rPr>
          <w:rFonts w:ascii="Arial" w:cs="Arial" w:eastAsia="Arial" w:hAnsi="Arial"/>
          <w:sz w:val="6"/>
          <w:szCs w:val="6"/>
          <w:color w:val="auto"/>
        </w:rPr>
        <w:t>3</w:t>
      </w:r>
      <w:r>
        <w:rPr>
          <w:rFonts w:ascii="Arial" w:cs="Arial" w:eastAsia="Arial" w:hAnsi="Arial"/>
          <w:sz w:val="9"/>
          <w:szCs w:val="9"/>
          <w:color w:val="auto"/>
        </w:rPr>
        <w:t xml:space="preserve"> – Forfeit all unvested RSUs.</w:t>
      </w:r>
    </w:p>
    <w:p>
      <w:pPr>
        <w:ind w:left="1840"/>
        <w:spacing w:after="0" w:line="201" w:lineRule="auto"/>
        <w:rPr>
          <w:sz w:val="20"/>
          <w:szCs w:val="20"/>
          <w:color w:val="auto"/>
        </w:rPr>
      </w:pPr>
      <w:r>
        <w:rPr>
          <w:rFonts w:ascii="Arial" w:cs="Arial" w:eastAsia="Arial" w:hAnsi="Arial"/>
          <w:sz w:val="10"/>
          <w:szCs w:val="10"/>
          <w:color w:val="auto"/>
        </w:rPr>
        <w:t>n</w:t>
      </w:r>
    </w:p>
    <w:p>
      <w:pPr>
        <w:ind w:left="1840"/>
        <w:spacing w:after="0" w:line="198" w:lineRule="auto"/>
        <w:rPr>
          <w:sz w:val="20"/>
          <w:szCs w:val="20"/>
          <w:color w:val="auto"/>
        </w:rPr>
      </w:pPr>
      <w:r>
        <w:rPr>
          <w:rFonts w:ascii="Arial" w:cs="Arial" w:eastAsia="Arial" w:hAnsi="Arial"/>
          <w:sz w:val="10"/>
          <w:szCs w:val="10"/>
          <w:color w:val="auto"/>
        </w:rPr>
        <w:t>outstanding and will be settled in accordance with their terms.</w:t>
      </w:r>
    </w:p>
    <w:p>
      <w:pPr>
        <w:ind w:left="1840" w:right="4160"/>
        <w:spacing w:after="0" w:line="198" w:lineRule="auto"/>
        <w:rPr>
          <w:sz w:val="20"/>
          <w:szCs w:val="20"/>
          <w:color w:val="auto"/>
        </w:rPr>
      </w:pPr>
      <w:r>
        <w:rPr>
          <w:rFonts w:ascii="Arial" w:cs="Arial" w:eastAsia="Arial" w:hAnsi="Arial"/>
          <w:sz w:val="10"/>
          <w:szCs w:val="10"/>
          <w:color w:val="auto"/>
        </w:rPr>
        <w:t>Notwithstanding the above, the December 2020 RSU grant to members of the Board was</w:t>
      </w:r>
    </w:p>
    <w:p>
      <w:pPr>
        <w:ind w:left="1840"/>
        <w:spacing w:after="0" w:line="199" w:lineRule="auto"/>
        <w:rPr>
          <w:sz w:val="20"/>
          <w:szCs w:val="20"/>
          <w:color w:val="auto"/>
        </w:rPr>
      </w:pPr>
      <w:r>
        <w:rPr>
          <w:rFonts w:ascii="Arial" w:cs="Arial" w:eastAsia="Arial" w:hAnsi="Arial"/>
          <w:sz w:val="10"/>
          <w:szCs w:val="10"/>
          <w:color w:val="auto"/>
        </w:rPr>
        <w:t>made subject to pro-rata vesting upon termination of board services.</w:t>
      </w:r>
    </w:p>
    <w:p>
      <w:pPr>
        <w:ind w:left="1840"/>
        <w:spacing w:after="0" w:line="199" w:lineRule="auto"/>
        <w:rPr>
          <w:sz w:val="20"/>
          <w:szCs w:val="20"/>
          <w:color w:val="auto"/>
        </w:rPr>
      </w:pPr>
      <w:r>
        <w:rPr>
          <w:rFonts w:ascii="Arial" w:cs="Arial" w:eastAsia="Arial" w:hAnsi="Arial"/>
          <w:sz w:val="10"/>
          <w:szCs w:val="10"/>
          <w:color w:val="auto"/>
        </w:rPr>
        <w:t>Employees and Executive Management – RSUs remain outstanding and vest accordi</w:t>
      </w:r>
    </w:p>
    <w:p>
      <w:pPr>
        <w:ind w:left="1840"/>
        <w:spacing w:after="0" w:line="199" w:lineRule="auto"/>
        <w:rPr>
          <w:sz w:val="20"/>
          <w:szCs w:val="20"/>
          <w:color w:val="auto"/>
        </w:rPr>
      </w:pPr>
      <w:r>
        <w:rPr>
          <w:rFonts w:ascii="Arial" w:cs="Arial" w:eastAsia="Arial" w:hAnsi="Arial"/>
          <w:sz w:val="10"/>
          <w:szCs w:val="10"/>
          <w:color w:val="auto"/>
        </w:rPr>
        <w:t>ngly</w:t>
      </w:r>
    </w:p>
    <w:p>
      <w:pPr>
        <w:ind w:left="1840"/>
        <w:spacing w:after="0" w:line="234" w:lineRule="auto"/>
        <w:rPr>
          <w:sz w:val="20"/>
          <w:szCs w:val="20"/>
          <w:color w:val="auto"/>
        </w:rPr>
      </w:pPr>
      <w:r>
        <w:rPr>
          <w:rFonts w:ascii="Arial" w:cs="Arial" w:eastAsia="Arial" w:hAnsi="Arial"/>
          <w:sz w:val="10"/>
          <w:szCs w:val="10"/>
          <w:color w:val="auto"/>
        </w:rPr>
        <w:t>when the employment relationship is terminated by Genmab without cause.</w:t>
      </w:r>
    </w:p>
    <w:p>
      <w:pPr>
        <w:ind w:right="640" w:firstLine="6"/>
        <w:spacing w:after="0" w:line="255" w:lineRule="auto"/>
        <w:tabs>
          <w:tab w:leader="none" w:pos="76" w:val="left"/>
        </w:tabs>
        <w:numPr>
          <w:ilvl w:val="0"/>
          <w:numId w:val="35"/>
        </w:numPr>
        <w:rPr>
          <w:rFonts w:ascii="Arial" w:cs="Arial" w:eastAsia="Arial" w:hAnsi="Arial"/>
          <w:sz w:val="7"/>
          <w:szCs w:val="7"/>
          <w:color w:val="auto"/>
        </w:rPr>
      </w:pPr>
      <w:r>
        <w:rPr>
          <w:rFonts w:ascii="Arial" w:cs="Arial" w:eastAsia="Arial" w:hAnsi="Arial"/>
          <w:sz w:val="7"/>
          <w:szCs w:val="7"/>
          <w:color w:val="auto"/>
        </w:rPr>
        <w:t>Annual bonuses are paid in cash, with a portion convertible into deferred RSUs, following the determination of achievement against performance goals and KPIs. The vesting of deferred RSUs is not contingent upon continued service and is not subject to any forward-looking performance criteria.</w:t>
      </w:r>
    </w:p>
    <w:p>
      <w:pPr>
        <w:spacing w:after="0" w:line="85" w:lineRule="exact"/>
        <w:rPr>
          <w:rFonts w:ascii="Arial" w:cs="Arial" w:eastAsia="Arial" w:hAnsi="Arial"/>
          <w:sz w:val="7"/>
          <w:szCs w:val="7"/>
          <w:color w:val="auto"/>
        </w:rPr>
      </w:pPr>
    </w:p>
    <w:p>
      <w:pPr>
        <w:ind w:right="560" w:firstLine="6"/>
        <w:spacing w:after="0" w:line="255" w:lineRule="auto"/>
        <w:tabs>
          <w:tab w:leader="none" w:pos="76" w:val="left"/>
        </w:tabs>
        <w:numPr>
          <w:ilvl w:val="0"/>
          <w:numId w:val="35"/>
        </w:numPr>
        <w:rPr>
          <w:rFonts w:ascii="Arial" w:cs="Arial" w:eastAsia="Arial" w:hAnsi="Arial"/>
          <w:sz w:val="7"/>
          <w:szCs w:val="7"/>
          <w:color w:val="auto"/>
        </w:rPr>
      </w:pPr>
      <w:r>
        <w:rPr>
          <w:rFonts w:ascii="Arial" w:cs="Arial" w:eastAsia="Arial" w:hAnsi="Arial"/>
          <w:sz w:val="7"/>
          <w:szCs w:val="7"/>
          <w:color w:val="auto"/>
        </w:rPr>
        <w:t>“Good-Leaver” - Dismissal without cause or termination of employment due to Genmab’s material breach of the RSU or Warrant holder’s employment terms, or if the participant is a member of the Board, if the membership of the Board ceases for any other reason than as a result of the participant’s death.</w:t>
      </w:r>
    </w:p>
    <w:p>
      <w:pPr>
        <w:ind w:left="80" w:hanging="74"/>
        <w:spacing w:after="0" w:line="232" w:lineRule="auto"/>
        <w:tabs>
          <w:tab w:leader="none" w:pos="80" w:val="left"/>
        </w:tabs>
        <w:numPr>
          <w:ilvl w:val="0"/>
          <w:numId w:val="35"/>
        </w:numPr>
        <w:rPr>
          <w:rFonts w:ascii="Arial" w:cs="Arial" w:eastAsia="Arial" w:hAnsi="Arial"/>
          <w:sz w:val="7"/>
          <w:szCs w:val="7"/>
          <w:color w:val="auto"/>
        </w:rPr>
      </w:pPr>
      <w:r>
        <w:rPr>
          <w:rFonts w:ascii="Arial" w:cs="Arial" w:eastAsia="Arial" w:hAnsi="Arial"/>
          <w:sz w:val="7"/>
          <w:szCs w:val="7"/>
          <w:color w:val="auto"/>
        </w:rPr>
        <w:t>“Bad-leaver” - Dismissed for cause or during the employment probationary period.</w:t>
      </w:r>
    </w:p>
    <w:p>
      <w:pPr>
        <w:spacing w:after="0" w:line="231" w:lineRule="auto"/>
        <w:rPr>
          <w:sz w:val="20"/>
          <w:szCs w:val="20"/>
          <w:color w:val="auto"/>
        </w:rPr>
      </w:pPr>
      <w:r>
        <w:rPr>
          <w:rFonts w:ascii="Arial" w:cs="Arial" w:eastAsia="Arial" w:hAnsi="Arial"/>
          <w:sz w:val="10"/>
          <w:szCs w:val="10"/>
          <w:color w:val="auto"/>
        </w:rPr>
        <w:t>The RSU program contains anti-dilution provisions if changes occur in Genmab’s share capital prior to the vesting date and provisions to accelerate vesting of RSUs in the event of change of control as defined in the RSU program.</w:t>
      </w:r>
    </w:p>
    <w:p>
      <w:pPr>
        <w:sectPr>
          <w:pgSz w:w="11900" w:h="16840" w:orient="portrait"/>
          <w:cols w:equalWidth="0" w:num="1">
            <w:col w:w="9900"/>
          </w:cols>
          <w:pgMar w:left="640" w:top="571" w:right="1360" w:bottom="1440" w:gutter="0" w:footer="0" w:header="0"/>
        </w:sectPr>
      </w:pPr>
    </w:p>
    <w:bookmarkStart w:id="150" w:name="page151"/>
    <w:bookmarkEnd w:id="150"/>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139</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24" w:lineRule="auto"/>
        <w:rPr>
          <w:sz w:val="20"/>
          <w:szCs w:val="20"/>
          <w:color w:val="auto"/>
        </w:rPr>
      </w:pPr>
      <w:r>
        <w:rPr>
          <w:rFonts w:ascii="Arial" w:cs="Arial" w:eastAsia="Arial" w:hAnsi="Arial"/>
          <w:sz w:val="13"/>
          <w:szCs w:val="13"/>
          <w:b w:val="1"/>
          <w:bCs w:val="1"/>
          <w:color w:val="691A6B"/>
        </w:rPr>
        <w:t>RSU Activity in 2025, 2024 and 2023</w:t>
      </w:r>
    </w:p>
    <w:tbl>
      <w:tblPr>
        <w:tblLayout w:type="fixed"/>
        <w:tblInd w:w="0" w:type="dxa"/>
        <w:tblCellMar>
          <w:top w:w="0" w:type="dxa"/>
          <w:left w:w="0" w:type="dxa"/>
          <w:bottom w:w="0" w:type="dxa"/>
          <w:right w:w="0" w:type="dxa"/>
        </w:tblCellMar>
      </w:tblPr>
      <w:tr>
        <w:trPr>
          <w:trHeight w:val="95"/>
        </w:trPr>
        <w:tc>
          <w:tcPr>
            <w:tcW w:w="2540" w:type="dxa"/>
            <w:vAlign w:val="bottom"/>
            <w:tcBorders>
              <w:top w:val="single" w:sz="8" w:color="691A6B"/>
            </w:tcBorders>
          </w:tcPr>
          <w:p>
            <w:pPr>
              <w:spacing w:after="0"/>
              <w:rPr>
                <w:sz w:val="8"/>
                <w:szCs w:val="8"/>
                <w:color w:val="auto"/>
              </w:rPr>
            </w:pPr>
          </w:p>
        </w:tc>
        <w:tc>
          <w:tcPr>
            <w:tcW w:w="1740" w:type="dxa"/>
            <w:vAlign w:val="bottom"/>
            <w:tcBorders>
              <w:top w:val="single" w:sz="8" w:color="691A6B"/>
            </w:tcBorders>
          </w:tcPr>
          <w:p>
            <w:pPr>
              <w:ind w:left="840"/>
              <w:spacing w:after="0" w:line="95" w:lineRule="exact"/>
              <w:rPr>
                <w:sz w:val="20"/>
                <w:szCs w:val="20"/>
                <w:color w:val="auto"/>
              </w:rPr>
            </w:pPr>
            <w:r>
              <w:rPr>
                <w:rFonts w:ascii="Arial" w:cs="Arial" w:eastAsia="Arial" w:hAnsi="Arial"/>
                <w:sz w:val="10"/>
                <w:szCs w:val="10"/>
                <w:b w:val="1"/>
                <w:bCs w:val="1"/>
                <w:color w:val="auto"/>
              </w:rPr>
              <w:t>Number of RSUs</w:t>
            </w:r>
          </w:p>
        </w:tc>
        <w:tc>
          <w:tcPr>
            <w:tcW w:w="94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Number of RSUs</w:t>
            </w:r>
          </w:p>
        </w:tc>
        <w:tc>
          <w:tcPr>
            <w:tcW w:w="9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Number of RSUs</w:t>
            </w:r>
          </w:p>
        </w:tc>
        <w:tc>
          <w:tcPr>
            <w:tcW w:w="94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Number of RSUs</w:t>
            </w:r>
          </w:p>
        </w:tc>
        <w:tc>
          <w:tcPr>
            <w:tcW w:w="940" w:type="dxa"/>
            <w:vAlign w:val="bottom"/>
            <w:tcBorders>
              <w:top w:val="single" w:sz="8" w:color="691A6B"/>
            </w:tcBorders>
          </w:tcPr>
          <w:p>
            <w:pPr>
              <w:jc w:val="right"/>
              <w:ind w:right="348"/>
              <w:spacing w:after="0" w:line="95" w:lineRule="exact"/>
              <w:rPr>
                <w:sz w:val="20"/>
                <w:szCs w:val="20"/>
                <w:color w:val="auto"/>
              </w:rPr>
            </w:pPr>
            <w:r>
              <w:rPr>
                <w:rFonts w:ascii="Arial" w:cs="Arial" w:eastAsia="Arial" w:hAnsi="Arial"/>
                <w:sz w:val="10"/>
                <w:szCs w:val="10"/>
                <w:b w:val="1"/>
                <w:bCs w:val="1"/>
                <w:color w:val="auto"/>
                <w:w w:val="97"/>
              </w:rPr>
              <w:t>Total RSUs</w:t>
            </w:r>
          </w:p>
        </w:tc>
        <w:tc>
          <w:tcPr>
            <w:tcW w:w="90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w w:val="98"/>
              </w:rPr>
              <w:t>Weighted Average</w:t>
            </w:r>
          </w:p>
        </w:tc>
        <w:tc>
          <w:tcPr>
            <w:tcW w:w="980" w:type="dxa"/>
            <w:vAlign w:val="bottom"/>
            <w:tcBorders>
              <w:top w:val="single" w:sz="8" w:color="691A6B"/>
            </w:tcBorders>
          </w:tcPr>
          <w:p>
            <w:pPr>
              <w:ind w:left="60"/>
              <w:spacing w:after="0" w:line="95" w:lineRule="exact"/>
              <w:rPr>
                <w:sz w:val="20"/>
                <w:szCs w:val="20"/>
                <w:color w:val="auto"/>
              </w:rPr>
            </w:pPr>
            <w:r>
              <w:rPr>
                <w:rFonts w:ascii="Arial" w:cs="Arial" w:eastAsia="Arial" w:hAnsi="Arial"/>
                <w:sz w:val="10"/>
                <w:szCs w:val="10"/>
                <w:b w:val="1"/>
                <w:bCs w:val="1"/>
                <w:color w:val="auto"/>
              </w:rPr>
              <w:t>Total Fair Value of</w:t>
            </w:r>
          </w:p>
        </w:tc>
      </w:tr>
      <w:tr>
        <w:trPr>
          <w:trHeight w:val="95"/>
        </w:trPr>
        <w:tc>
          <w:tcPr>
            <w:tcW w:w="2540" w:type="dxa"/>
            <w:vAlign w:val="bottom"/>
          </w:tcPr>
          <w:p>
            <w:pPr>
              <w:spacing w:after="0"/>
              <w:rPr>
                <w:sz w:val="8"/>
                <w:szCs w:val="8"/>
                <w:color w:val="auto"/>
              </w:rPr>
            </w:pPr>
          </w:p>
        </w:tc>
        <w:tc>
          <w:tcPr>
            <w:tcW w:w="1740" w:type="dxa"/>
            <w:vAlign w:val="bottom"/>
          </w:tcPr>
          <w:p>
            <w:pPr>
              <w:ind w:left="840"/>
              <w:spacing w:after="0" w:line="95" w:lineRule="exact"/>
              <w:rPr>
                <w:sz w:val="20"/>
                <w:szCs w:val="20"/>
                <w:color w:val="auto"/>
              </w:rPr>
            </w:pPr>
            <w:r>
              <w:rPr>
                <w:rFonts w:ascii="Arial" w:cs="Arial" w:eastAsia="Arial" w:hAnsi="Arial"/>
                <w:sz w:val="10"/>
                <w:szCs w:val="10"/>
                <w:b w:val="1"/>
                <w:bCs w:val="1"/>
                <w:color w:val="auto"/>
              </w:rPr>
              <w:t>held by the Board</w:t>
            </w: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held by the</w:t>
            </w: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held by</w:t>
            </w:r>
          </w:p>
        </w:tc>
        <w:tc>
          <w:tcPr>
            <w:tcW w:w="94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held by former</w:t>
            </w:r>
          </w:p>
        </w:tc>
        <w:tc>
          <w:tcPr>
            <w:tcW w:w="940" w:type="dxa"/>
            <w:vAlign w:val="bottom"/>
          </w:tcPr>
          <w:p>
            <w:pPr>
              <w:spacing w:after="0"/>
              <w:rPr>
                <w:sz w:val="8"/>
                <w:szCs w:val="8"/>
                <w:color w:val="auto"/>
              </w:rPr>
            </w:pPr>
          </w:p>
        </w:tc>
        <w:tc>
          <w:tcPr>
            <w:tcW w:w="9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Fair Value - RSUs</w:t>
            </w: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RSUs Granted -</w:t>
            </w:r>
          </w:p>
        </w:tc>
      </w:tr>
      <w:tr>
        <w:trPr>
          <w:trHeight w:val="95"/>
        </w:trPr>
        <w:tc>
          <w:tcPr>
            <w:tcW w:w="2540" w:type="dxa"/>
            <w:vAlign w:val="bottom"/>
          </w:tcPr>
          <w:p>
            <w:pPr>
              <w:spacing w:after="0"/>
              <w:rPr>
                <w:sz w:val="8"/>
                <w:szCs w:val="8"/>
                <w:color w:val="auto"/>
              </w:rPr>
            </w:pPr>
          </w:p>
        </w:tc>
        <w:tc>
          <w:tcPr>
            <w:tcW w:w="1740" w:type="dxa"/>
            <w:vAlign w:val="bottom"/>
          </w:tcPr>
          <w:p>
            <w:pPr>
              <w:ind w:left="840"/>
              <w:spacing w:after="0" w:line="95" w:lineRule="exact"/>
              <w:rPr>
                <w:sz w:val="20"/>
                <w:szCs w:val="20"/>
                <w:color w:val="auto"/>
              </w:rPr>
            </w:pPr>
            <w:r>
              <w:rPr>
                <w:rFonts w:ascii="Arial" w:cs="Arial" w:eastAsia="Arial" w:hAnsi="Arial"/>
                <w:sz w:val="10"/>
                <w:szCs w:val="10"/>
                <w:b w:val="1"/>
                <w:bCs w:val="1"/>
                <w:color w:val="auto"/>
              </w:rPr>
              <w:t>of Directors</w:t>
            </w: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Executive</w:t>
            </w: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employees</w:t>
            </w:r>
          </w:p>
        </w:tc>
        <w:tc>
          <w:tcPr>
            <w:tcW w:w="94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members of the</w:t>
            </w:r>
          </w:p>
        </w:tc>
        <w:tc>
          <w:tcPr>
            <w:tcW w:w="940" w:type="dxa"/>
            <w:vAlign w:val="bottom"/>
          </w:tcPr>
          <w:p>
            <w:pPr>
              <w:spacing w:after="0"/>
              <w:rPr>
                <w:sz w:val="8"/>
                <w:szCs w:val="8"/>
                <w:color w:val="auto"/>
              </w:rPr>
            </w:pPr>
          </w:p>
        </w:tc>
        <w:tc>
          <w:tcPr>
            <w:tcW w:w="90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Granted - DKK</w:t>
            </w: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DKK million</w:t>
            </w:r>
          </w:p>
        </w:tc>
      </w:tr>
      <w:tr>
        <w:trPr>
          <w:trHeight w:val="95"/>
        </w:trPr>
        <w:tc>
          <w:tcPr>
            <w:tcW w:w="2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Management</w:t>
            </w:r>
          </w:p>
        </w:tc>
        <w:tc>
          <w:tcPr>
            <w:tcW w:w="920" w:type="dxa"/>
            <w:vAlign w:val="bottom"/>
          </w:tcPr>
          <w:p>
            <w:pPr>
              <w:spacing w:after="0"/>
              <w:rPr>
                <w:sz w:val="8"/>
                <w:szCs w:val="8"/>
                <w:color w:val="auto"/>
              </w:rPr>
            </w:pPr>
          </w:p>
        </w:tc>
        <w:tc>
          <w:tcPr>
            <w:tcW w:w="94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Executive</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95"/>
        </w:trPr>
        <w:tc>
          <w:tcPr>
            <w:tcW w:w="2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Management,</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95"/>
        </w:trPr>
        <w:tc>
          <w:tcPr>
            <w:tcW w:w="2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Board of Directors</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28"/>
        </w:trPr>
        <w:tc>
          <w:tcPr>
            <w:tcW w:w="25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and employees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Outstanding at January 1, 2023</w:t>
            </w:r>
          </w:p>
        </w:tc>
        <w:tc>
          <w:tcPr>
            <w:tcW w:w="1740" w:type="dxa"/>
            <w:vAlign w:val="bottom"/>
          </w:tcPr>
          <w:p>
            <w:pPr>
              <w:jc w:val="right"/>
              <w:ind w:right="8"/>
              <w:spacing w:after="0"/>
              <w:rPr>
                <w:sz w:val="20"/>
                <w:szCs w:val="20"/>
                <w:color w:val="auto"/>
              </w:rPr>
            </w:pPr>
            <w:r>
              <w:rPr>
                <w:rFonts w:ascii="Arial" w:cs="Arial" w:eastAsia="Arial" w:hAnsi="Arial"/>
                <w:sz w:val="10"/>
                <w:szCs w:val="10"/>
                <w:b w:val="1"/>
                <w:bCs w:val="1"/>
                <w:color w:val="auto"/>
              </w:rPr>
              <w:t>8,819</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112,331</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423,142</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3,846</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548,138</w:t>
            </w: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46"/>
        </w:trPr>
        <w:tc>
          <w:tcPr>
            <w:tcW w:w="2540" w:type="dxa"/>
            <w:vAlign w:val="bottom"/>
          </w:tcPr>
          <w:p>
            <w:pPr>
              <w:ind w:left="20"/>
              <w:spacing w:after="0"/>
              <w:rPr>
                <w:sz w:val="20"/>
                <w:szCs w:val="20"/>
                <w:color w:val="auto"/>
              </w:rPr>
            </w:pPr>
            <w:r>
              <w:rPr>
                <w:rFonts w:ascii="Arial" w:cs="Arial" w:eastAsia="Arial" w:hAnsi="Arial"/>
                <w:sz w:val="10"/>
                <w:szCs w:val="10"/>
                <w:color w:val="auto"/>
              </w:rPr>
              <w:t>Granted¹</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3,361</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75,854</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208,353</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11,643</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299,211</w:t>
            </w:r>
          </w:p>
        </w:tc>
        <w:tc>
          <w:tcPr>
            <w:tcW w:w="900" w:type="dxa"/>
            <w:vAlign w:val="bottom"/>
          </w:tcPr>
          <w:p>
            <w:pPr>
              <w:jc w:val="right"/>
              <w:spacing w:after="0"/>
              <w:rPr>
                <w:sz w:val="20"/>
                <w:szCs w:val="20"/>
                <w:color w:val="auto"/>
              </w:rPr>
            </w:pPr>
            <w:r>
              <w:rPr>
                <w:rFonts w:ascii="Arial" w:cs="Arial" w:eastAsia="Arial" w:hAnsi="Arial"/>
                <w:sz w:val="10"/>
                <w:szCs w:val="10"/>
                <w:color w:val="auto"/>
              </w:rPr>
              <w:t>2,619.35</w:t>
            </w:r>
          </w:p>
        </w:tc>
        <w:tc>
          <w:tcPr>
            <w:tcW w:w="980" w:type="dxa"/>
            <w:vAlign w:val="bottom"/>
          </w:tcPr>
          <w:p>
            <w:pPr>
              <w:jc w:val="right"/>
              <w:ind w:right="30"/>
              <w:spacing w:after="0"/>
              <w:rPr>
                <w:sz w:val="20"/>
                <w:szCs w:val="20"/>
                <w:color w:val="auto"/>
              </w:rPr>
            </w:pPr>
            <w:r>
              <w:rPr>
                <w:rFonts w:ascii="Arial" w:cs="Arial" w:eastAsia="Arial" w:hAnsi="Arial"/>
                <w:sz w:val="10"/>
                <w:szCs w:val="10"/>
                <w:color w:val="auto"/>
              </w:rPr>
              <w:t>784</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Settled</w:t>
            </w:r>
          </w:p>
        </w:tc>
        <w:tc>
          <w:tcPr>
            <w:tcW w:w="1740" w:type="dxa"/>
            <w:vAlign w:val="bottom"/>
          </w:tcPr>
          <w:p>
            <w:pPr>
              <w:jc w:val="right"/>
              <w:spacing w:after="0"/>
              <w:rPr>
                <w:sz w:val="20"/>
                <w:szCs w:val="20"/>
                <w:color w:val="auto"/>
              </w:rPr>
            </w:pPr>
            <w:r>
              <w:rPr>
                <w:rFonts w:ascii="Arial" w:cs="Arial" w:eastAsia="Arial" w:hAnsi="Arial"/>
                <w:sz w:val="10"/>
                <w:szCs w:val="10"/>
                <w:color w:val="auto"/>
              </w:rPr>
              <w:t>(1,880)</w:t>
            </w:r>
          </w:p>
        </w:tc>
        <w:tc>
          <w:tcPr>
            <w:tcW w:w="940" w:type="dxa"/>
            <w:vAlign w:val="bottom"/>
          </w:tcPr>
          <w:p>
            <w:pPr>
              <w:jc w:val="right"/>
              <w:spacing w:after="0"/>
              <w:rPr>
                <w:sz w:val="20"/>
                <w:szCs w:val="20"/>
                <w:color w:val="auto"/>
              </w:rPr>
            </w:pPr>
            <w:r>
              <w:rPr>
                <w:rFonts w:ascii="Arial" w:cs="Arial" w:eastAsia="Arial" w:hAnsi="Arial"/>
                <w:sz w:val="10"/>
                <w:szCs w:val="10"/>
                <w:color w:val="auto"/>
              </w:rPr>
              <w:t>(35,773)</w:t>
            </w:r>
          </w:p>
        </w:tc>
        <w:tc>
          <w:tcPr>
            <w:tcW w:w="920" w:type="dxa"/>
            <w:vAlign w:val="bottom"/>
          </w:tcPr>
          <w:p>
            <w:pPr>
              <w:jc w:val="right"/>
              <w:spacing w:after="0"/>
              <w:rPr>
                <w:sz w:val="20"/>
                <w:szCs w:val="20"/>
                <w:color w:val="auto"/>
              </w:rPr>
            </w:pPr>
            <w:r>
              <w:rPr>
                <w:rFonts w:ascii="Arial" w:cs="Arial" w:eastAsia="Arial" w:hAnsi="Arial"/>
                <w:sz w:val="10"/>
                <w:szCs w:val="10"/>
                <w:color w:val="auto"/>
              </w:rPr>
              <w:t>(54,871)</w:t>
            </w:r>
          </w:p>
        </w:tc>
        <w:tc>
          <w:tcPr>
            <w:tcW w:w="940" w:type="dxa"/>
            <w:vAlign w:val="bottom"/>
          </w:tcPr>
          <w:p>
            <w:pPr>
              <w:jc w:val="right"/>
              <w:spacing w:after="0"/>
              <w:rPr>
                <w:sz w:val="20"/>
                <w:szCs w:val="20"/>
                <w:color w:val="auto"/>
              </w:rPr>
            </w:pPr>
            <w:r>
              <w:rPr>
                <w:rFonts w:ascii="Arial" w:cs="Arial" w:eastAsia="Arial" w:hAnsi="Arial"/>
                <w:sz w:val="10"/>
                <w:szCs w:val="10"/>
                <w:color w:val="auto"/>
              </w:rPr>
              <w:t>(9,805)</w:t>
            </w:r>
          </w:p>
        </w:tc>
        <w:tc>
          <w:tcPr>
            <w:tcW w:w="940" w:type="dxa"/>
            <w:vAlign w:val="bottom"/>
          </w:tcPr>
          <w:p>
            <w:pPr>
              <w:jc w:val="right"/>
              <w:spacing w:after="0"/>
              <w:rPr>
                <w:sz w:val="20"/>
                <w:szCs w:val="20"/>
                <w:color w:val="auto"/>
              </w:rPr>
            </w:pPr>
            <w:r>
              <w:rPr>
                <w:rFonts w:ascii="Arial" w:cs="Arial" w:eastAsia="Arial" w:hAnsi="Arial"/>
                <w:sz w:val="10"/>
                <w:szCs w:val="10"/>
                <w:color w:val="auto"/>
              </w:rPr>
              <w:t>(102,329)</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Transferred</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12,918</w:t>
            </w:r>
          </w:p>
        </w:tc>
        <w:tc>
          <w:tcPr>
            <w:tcW w:w="920" w:type="dxa"/>
            <w:vAlign w:val="bottom"/>
          </w:tcPr>
          <w:p>
            <w:pPr>
              <w:jc w:val="right"/>
              <w:spacing w:after="0"/>
              <w:rPr>
                <w:sz w:val="20"/>
                <w:szCs w:val="20"/>
                <w:color w:val="auto"/>
              </w:rPr>
            </w:pPr>
            <w:r>
              <w:rPr>
                <w:rFonts w:ascii="Arial" w:cs="Arial" w:eastAsia="Arial" w:hAnsi="Arial"/>
                <w:sz w:val="10"/>
                <w:szCs w:val="10"/>
                <w:color w:val="auto"/>
              </w:rPr>
              <w:t>(55,103)</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42,185</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Forfeited</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(4,357)</w:t>
            </w:r>
          </w:p>
        </w:tc>
        <w:tc>
          <w:tcPr>
            <w:tcW w:w="920" w:type="dxa"/>
            <w:vAlign w:val="bottom"/>
          </w:tcPr>
          <w:p>
            <w:pPr>
              <w:jc w:val="right"/>
              <w:spacing w:after="0"/>
              <w:rPr>
                <w:sz w:val="20"/>
                <w:szCs w:val="20"/>
                <w:color w:val="auto"/>
              </w:rPr>
            </w:pPr>
            <w:r>
              <w:rPr>
                <w:rFonts w:ascii="Arial" w:cs="Arial" w:eastAsia="Arial" w:hAnsi="Arial"/>
                <w:sz w:val="10"/>
                <w:szCs w:val="10"/>
                <w:color w:val="auto"/>
              </w:rPr>
              <w:t>(35)</w:t>
            </w:r>
          </w:p>
        </w:tc>
        <w:tc>
          <w:tcPr>
            <w:tcW w:w="940" w:type="dxa"/>
            <w:vAlign w:val="bottom"/>
          </w:tcPr>
          <w:p>
            <w:pPr>
              <w:jc w:val="right"/>
              <w:spacing w:after="0"/>
              <w:rPr>
                <w:sz w:val="20"/>
                <w:szCs w:val="20"/>
                <w:color w:val="auto"/>
              </w:rPr>
            </w:pPr>
            <w:r>
              <w:rPr>
                <w:rFonts w:ascii="Arial" w:cs="Arial" w:eastAsia="Arial" w:hAnsi="Arial"/>
                <w:sz w:val="10"/>
                <w:szCs w:val="10"/>
                <w:color w:val="auto"/>
              </w:rPr>
              <w:t>(37,984)</w:t>
            </w:r>
          </w:p>
        </w:tc>
        <w:tc>
          <w:tcPr>
            <w:tcW w:w="940" w:type="dxa"/>
            <w:vAlign w:val="bottom"/>
          </w:tcPr>
          <w:p>
            <w:pPr>
              <w:jc w:val="right"/>
              <w:spacing w:after="0"/>
              <w:rPr>
                <w:sz w:val="20"/>
                <w:szCs w:val="20"/>
                <w:color w:val="auto"/>
              </w:rPr>
            </w:pPr>
            <w:r>
              <w:rPr>
                <w:rFonts w:ascii="Arial" w:cs="Arial" w:eastAsia="Arial" w:hAnsi="Arial"/>
                <w:sz w:val="10"/>
                <w:szCs w:val="10"/>
                <w:color w:val="auto"/>
              </w:rPr>
              <w:t>(42,376)</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8"/>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Outstanding at December 31, 2023</w:t>
            </w:r>
          </w:p>
        </w:tc>
        <w:tc>
          <w:tcPr>
            <w:tcW w:w="1740" w:type="dxa"/>
            <w:vAlign w:val="bottom"/>
          </w:tcPr>
          <w:p>
            <w:pPr>
              <w:jc w:val="right"/>
              <w:ind w:right="8"/>
              <w:spacing w:after="0"/>
              <w:rPr>
                <w:sz w:val="20"/>
                <w:szCs w:val="20"/>
                <w:color w:val="auto"/>
              </w:rPr>
            </w:pPr>
            <w:r>
              <w:rPr>
                <w:rFonts w:ascii="Arial" w:cs="Arial" w:eastAsia="Arial" w:hAnsi="Arial"/>
                <w:sz w:val="10"/>
                <w:szCs w:val="10"/>
                <w:b w:val="1"/>
                <w:bCs w:val="1"/>
                <w:color w:val="auto"/>
              </w:rPr>
              <w:t>10,300</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160,973</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521,486</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9,885</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702,644</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52"/>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Outstanding at January 1, 2024</w:t>
            </w:r>
          </w:p>
        </w:tc>
        <w:tc>
          <w:tcPr>
            <w:tcW w:w="1740" w:type="dxa"/>
            <w:vAlign w:val="bottom"/>
          </w:tcPr>
          <w:p>
            <w:pPr>
              <w:jc w:val="right"/>
              <w:ind w:right="8"/>
              <w:spacing w:after="0"/>
              <w:rPr>
                <w:sz w:val="20"/>
                <w:szCs w:val="20"/>
                <w:color w:val="auto"/>
              </w:rPr>
            </w:pPr>
            <w:r>
              <w:rPr>
                <w:rFonts w:ascii="Arial" w:cs="Arial" w:eastAsia="Arial" w:hAnsi="Arial"/>
                <w:sz w:val="10"/>
                <w:szCs w:val="10"/>
                <w:b w:val="1"/>
                <w:bCs w:val="1"/>
                <w:color w:val="auto"/>
              </w:rPr>
              <w:t>10,300</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160,973</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521,486</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9,885</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702,644</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6"/>
        </w:trPr>
        <w:tc>
          <w:tcPr>
            <w:tcW w:w="2540" w:type="dxa"/>
            <w:vAlign w:val="bottom"/>
          </w:tcPr>
          <w:p>
            <w:pPr>
              <w:ind w:left="20"/>
              <w:spacing w:after="0"/>
              <w:rPr>
                <w:sz w:val="20"/>
                <w:szCs w:val="20"/>
                <w:color w:val="auto"/>
              </w:rPr>
            </w:pPr>
            <w:r>
              <w:rPr>
                <w:rFonts w:ascii="Arial" w:cs="Arial" w:eastAsia="Arial" w:hAnsi="Arial"/>
                <w:sz w:val="10"/>
                <w:szCs w:val="10"/>
                <w:color w:val="auto"/>
              </w:rPr>
              <w:t>Granted¹</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7,097</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121,063</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344,068</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14,484</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486,712</w:t>
            </w:r>
          </w:p>
        </w:tc>
        <w:tc>
          <w:tcPr>
            <w:tcW w:w="900" w:type="dxa"/>
            <w:vAlign w:val="bottom"/>
          </w:tcPr>
          <w:p>
            <w:pPr>
              <w:jc w:val="right"/>
              <w:spacing w:after="0"/>
              <w:rPr>
                <w:sz w:val="20"/>
                <w:szCs w:val="20"/>
                <w:color w:val="auto"/>
              </w:rPr>
            </w:pPr>
            <w:r>
              <w:rPr>
                <w:rFonts w:ascii="Arial" w:cs="Arial" w:eastAsia="Arial" w:hAnsi="Arial"/>
                <w:sz w:val="10"/>
                <w:szCs w:val="10"/>
                <w:color w:val="auto"/>
              </w:rPr>
              <w:t>1,977.87</w:t>
            </w:r>
          </w:p>
        </w:tc>
        <w:tc>
          <w:tcPr>
            <w:tcW w:w="980" w:type="dxa"/>
            <w:vAlign w:val="bottom"/>
          </w:tcPr>
          <w:p>
            <w:pPr>
              <w:jc w:val="right"/>
              <w:ind w:right="30"/>
              <w:spacing w:after="0"/>
              <w:rPr>
                <w:sz w:val="20"/>
                <w:szCs w:val="20"/>
                <w:color w:val="auto"/>
              </w:rPr>
            </w:pPr>
            <w:r>
              <w:rPr>
                <w:rFonts w:ascii="Arial" w:cs="Arial" w:eastAsia="Arial" w:hAnsi="Arial"/>
                <w:sz w:val="10"/>
                <w:szCs w:val="10"/>
                <w:color w:val="auto"/>
              </w:rPr>
              <w:t>963</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Settled</w:t>
            </w:r>
          </w:p>
        </w:tc>
        <w:tc>
          <w:tcPr>
            <w:tcW w:w="1740" w:type="dxa"/>
            <w:vAlign w:val="bottom"/>
          </w:tcPr>
          <w:p>
            <w:pPr>
              <w:jc w:val="right"/>
              <w:spacing w:after="0"/>
              <w:rPr>
                <w:sz w:val="20"/>
                <w:szCs w:val="20"/>
                <w:color w:val="auto"/>
              </w:rPr>
            </w:pPr>
            <w:r>
              <w:rPr>
                <w:rFonts w:ascii="Arial" w:cs="Arial" w:eastAsia="Arial" w:hAnsi="Arial"/>
                <w:sz w:val="10"/>
                <w:szCs w:val="10"/>
                <w:color w:val="auto"/>
              </w:rPr>
              <w:t>(3,367)</w:t>
            </w:r>
          </w:p>
        </w:tc>
        <w:tc>
          <w:tcPr>
            <w:tcW w:w="940" w:type="dxa"/>
            <w:vAlign w:val="bottom"/>
          </w:tcPr>
          <w:p>
            <w:pPr>
              <w:jc w:val="right"/>
              <w:spacing w:after="0"/>
              <w:rPr>
                <w:sz w:val="20"/>
                <w:szCs w:val="20"/>
                <w:color w:val="auto"/>
              </w:rPr>
            </w:pPr>
            <w:r>
              <w:rPr>
                <w:rFonts w:ascii="Arial" w:cs="Arial" w:eastAsia="Arial" w:hAnsi="Arial"/>
                <w:sz w:val="10"/>
                <w:szCs w:val="10"/>
                <w:color w:val="auto"/>
              </w:rPr>
              <w:t>(35,320)</w:t>
            </w:r>
          </w:p>
        </w:tc>
        <w:tc>
          <w:tcPr>
            <w:tcW w:w="920" w:type="dxa"/>
            <w:vAlign w:val="bottom"/>
          </w:tcPr>
          <w:p>
            <w:pPr>
              <w:jc w:val="right"/>
              <w:spacing w:after="0"/>
              <w:rPr>
                <w:sz w:val="20"/>
                <w:szCs w:val="20"/>
                <w:color w:val="auto"/>
              </w:rPr>
            </w:pPr>
            <w:r>
              <w:rPr>
                <w:rFonts w:ascii="Arial" w:cs="Arial" w:eastAsia="Arial" w:hAnsi="Arial"/>
                <w:sz w:val="10"/>
                <w:szCs w:val="10"/>
                <w:color w:val="auto"/>
              </w:rPr>
              <w:t>(112,663)</w:t>
            </w:r>
          </w:p>
        </w:tc>
        <w:tc>
          <w:tcPr>
            <w:tcW w:w="940" w:type="dxa"/>
            <w:vAlign w:val="bottom"/>
          </w:tcPr>
          <w:p>
            <w:pPr>
              <w:jc w:val="right"/>
              <w:spacing w:after="0"/>
              <w:rPr>
                <w:sz w:val="20"/>
                <w:szCs w:val="20"/>
                <w:color w:val="auto"/>
              </w:rPr>
            </w:pPr>
            <w:r>
              <w:rPr>
                <w:rFonts w:ascii="Arial" w:cs="Arial" w:eastAsia="Arial" w:hAnsi="Arial"/>
                <w:sz w:val="10"/>
                <w:szCs w:val="10"/>
                <w:color w:val="auto"/>
              </w:rPr>
              <w:t>(12,465)</w:t>
            </w:r>
          </w:p>
        </w:tc>
        <w:tc>
          <w:tcPr>
            <w:tcW w:w="940" w:type="dxa"/>
            <w:vAlign w:val="bottom"/>
          </w:tcPr>
          <w:p>
            <w:pPr>
              <w:jc w:val="right"/>
              <w:spacing w:after="0"/>
              <w:rPr>
                <w:sz w:val="20"/>
                <w:szCs w:val="20"/>
                <w:color w:val="auto"/>
              </w:rPr>
            </w:pPr>
            <w:r>
              <w:rPr>
                <w:rFonts w:ascii="Arial" w:cs="Arial" w:eastAsia="Arial" w:hAnsi="Arial"/>
                <w:sz w:val="10"/>
                <w:szCs w:val="10"/>
                <w:color w:val="auto"/>
              </w:rPr>
              <w:t>(163,815)</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Transferred</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(19,924)</w:t>
            </w:r>
          </w:p>
        </w:tc>
        <w:tc>
          <w:tcPr>
            <w:tcW w:w="920" w:type="dxa"/>
            <w:vAlign w:val="bottom"/>
          </w:tcPr>
          <w:p>
            <w:pPr>
              <w:jc w:val="right"/>
              <w:spacing w:after="0"/>
              <w:rPr>
                <w:sz w:val="20"/>
                <w:szCs w:val="20"/>
                <w:color w:val="auto"/>
              </w:rPr>
            </w:pPr>
            <w:r>
              <w:rPr>
                <w:rFonts w:ascii="Arial" w:cs="Arial" w:eastAsia="Arial" w:hAnsi="Arial"/>
                <w:sz w:val="10"/>
                <w:szCs w:val="10"/>
                <w:color w:val="auto"/>
              </w:rPr>
              <w:t>(37,348)</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57,272</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Forfeited</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(11,667)</w:t>
            </w:r>
          </w:p>
        </w:tc>
        <w:tc>
          <w:tcPr>
            <w:tcW w:w="920" w:type="dxa"/>
            <w:vAlign w:val="bottom"/>
          </w:tcPr>
          <w:p>
            <w:pPr>
              <w:jc w:val="right"/>
              <w:spacing w:after="0"/>
              <w:rPr>
                <w:sz w:val="20"/>
                <w:szCs w:val="20"/>
                <w:color w:val="auto"/>
              </w:rPr>
            </w:pPr>
            <w:r>
              <w:rPr>
                <w:rFonts w:ascii="Arial" w:cs="Arial" w:eastAsia="Arial" w:hAnsi="Arial"/>
                <w:sz w:val="10"/>
                <w:szCs w:val="10"/>
                <w:color w:val="auto"/>
              </w:rPr>
              <w:t>(71)</w:t>
            </w:r>
          </w:p>
        </w:tc>
        <w:tc>
          <w:tcPr>
            <w:tcW w:w="940" w:type="dxa"/>
            <w:vAlign w:val="bottom"/>
          </w:tcPr>
          <w:p>
            <w:pPr>
              <w:jc w:val="right"/>
              <w:spacing w:after="0"/>
              <w:rPr>
                <w:sz w:val="20"/>
                <w:szCs w:val="20"/>
                <w:color w:val="auto"/>
              </w:rPr>
            </w:pPr>
            <w:r>
              <w:rPr>
                <w:rFonts w:ascii="Arial" w:cs="Arial" w:eastAsia="Arial" w:hAnsi="Arial"/>
                <w:sz w:val="10"/>
                <w:szCs w:val="10"/>
                <w:color w:val="auto"/>
              </w:rPr>
              <w:t>(38,178)</w:t>
            </w:r>
          </w:p>
        </w:tc>
        <w:tc>
          <w:tcPr>
            <w:tcW w:w="940" w:type="dxa"/>
            <w:vAlign w:val="bottom"/>
          </w:tcPr>
          <w:p>
            <w:pPr>
              <w:jc w:val="right"/>
              <w:spacing w:after="0"/>
              <w:rPr>
                <w:sz w:val="20"/>
                <w:szCs w:val="20"/>
                <w:color w:val="auto"/>
              </w:rPr>
            </w:pPr>
            <w:r>
              <w:rPr>
                <w:rFonts w:ascii="Arial" w:cs="Arial" w:eastAsia="Arial" w:hAnsi="Arial"/>
                <w:sz w:val="10"/>
                <w:szCs w:val="10"/>
                <w:color w:val="auto"/>
              </w:rPr>
              <w:t>(49,916)</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8"/>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Outstanding at December 31, 2024</w:t>
            </w:r>
          </w:p>
        </w:tc>
        <w:tc>
          <w:tcPr>
            <w:tcW w:w="1740" w:type="dxa"/>
            <w:vAlign w:val="bottom"/>
          </w:tcPr>
          <w:p>
            <w:pPr>
              <w:jc w:val="right"/>
              <w:ind w:right="8"/>
              <w:spacing w:after="0"/>
              <w:rPr>
                <w:sz w:val="20"/>
                <w:szCs w:val="20"/>
                <w:color w:val="auto"/>
              </w:rPr>
            </w:pPr>
            <w:r>
              <w:rPr>
                <w:rFonts w:ascii="Arial" w:cs="Arial" w:eastAsia="Arial" w:hAnsi="Arial"/>
                <w:sz w:val="10"/>
                <w:szCs w:val="10"/>
                <w:b w:val="1"/>
                <w:bCs w:val="1"/>
                <w:color w:val="auto"/>
              </w:rPr>
              <w:t>14,030</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215,125</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715,472</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30,998</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975,625</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52"/>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Outstanding at January 1, 2025</w:t>
            </w:r>
          </w:p>
        </w:tc>
        <w:tc>
          <w:tcPr>
            <w:tcW w:w="1740" w:type="dxa"/>
            <w:vAlign w:val="bottom"/>
          </w:tcPr>
          <w:p>
            <w:pPr>
              <w:jc w:val="right"/>
              <w:ind w:right="8"/>
              <w:spacing w:after="0"/>
              <w:rPr>
                <w:sz w:val="20"/>
                <w:szCs w:val="20"/>
                <w:color w:val="auto"/>
              </w:rPr>
            </w:pPr>
            <w:r>
              <w:rPr>
                <w:rFonts w:ascii="Arial" w:cs="Arial" w:eastAsia="Arial" w:hAnsi="Arial"/>
                <w:sz w:val="10"/>
                <w:szCs w:val="10"/>
                <w:b w:val="1"/>
                <w:bCs w:val="1"/>
                <w:color w:val="auto"/>
              </w:rPr>
              <w:t>14,030</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215,125</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715,472</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30,998</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975,625</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6"/>
        </w:trPr>
        <w:tc>
          <w:tcPr>
            <w:tcW w:w="2540" w:type="dxa"/>
            <w:vAlign w:val="bottom"/>
          </w:tcPr>
          <w:p>
            <w:pPr>
              <w:ind w:left="20"/>
              <w:spacing w:after="0"/>
              <w:rPr>
                <w:sz w:val="20"/>
                <w:szCs w:val="20"/>
                <w:color w:val="auto"/>
              </w:rPr>
            </w:pPr>
            <w:r>
              <w:rPr>
                <w:rFonts w:ascii="Arial" w:cs="Arial" w:eastAsia="Arial" w:hAnsi="Arial"/>
                <w:sz w:val="10"/>
                <w:szCs w:val="10"/>
                <w:color w:val="auto"/>
              </w:rPr>
              <w:t>Granted¹</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10,828</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136,205</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471,443</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39,635</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658,111</w:t>
            </w:r>
          </w:p>
        </w:tc>
        <w:tc>
          <w:tcPr>
            <w:tcW w:w="900" w:type="dxa"/>
            <w:vAlign w:val="bottom"/>
          </w:tcPr>
          <w:p>
            <w:pPr>
              <w:jc w:val="right"/>
              <w:spacing w:after="0"/>
              <w:rPr>
                <w:sz w:val="20"/>
                <w:szCs w:val="20"/>
                <w:color w:val="auto"/>
              </w:rPr>
            </w:pPr>
            <w:r>
              <w:rPr>
                <w:rFonts w:ascii="Arial" w:cs="Arial" w:eastAsia="Arial" w:hAnsi="Arial"/>
                <w:sz w:val="10"/>
                <w:szCs w:val="10"/>
                <w:color w:val="auto"/>
              </w:rPr>
              <w:t>1,611.15</w:t>
            </w:r>
          </w:p>
        </w:tc>
        <w:tc>
          <w:tcPr>
            <w:tcW w:w="980" w:type="dxa"/>
            <w:vAlign w:val="bottom"/>
          </w:tcPr>
          <w:p>
            <w:pPr>
              <w:jc w:val="right"/>
              <w:ind w:right="30"/>
              <w:spacing w:after="0"/>
              <w:rPr>
                <w:sz w:val="20"/>
                <w:szCs w:val="20"/>
                <w:color w:val="auto"/>
              </w:rPr>
            </w:pPr>
            <w:r>
              <w:rPr>
                <w:rFonts w:ascii="Arial" w:cs="Arial" w:eastAsia="Arial" w:hAnsi="Arial"/>
                <w:sz w:val="10"/>
                <w:szCs w:val="10"/>
                <w:color w:val="auto"/>
              </w:rPr>
              <w:t>1,060</w:t>
            </w: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Settled</w:t>
            </w:r>
          </w:p>
        </w:tc>
        <w:tc>
          <w:tcPr>
            <w:tcW w:w="1740" w:type="dxa"/>
            <w:vAlign w:val="bottom"/>
          </w:tcPr>
          <w:p>
            <w:pPr>
              <w:jc w:val="right"/>
              <w:spacing w:after="0"/>
              <w:rPr>
                <w:sz w:val="20"/>
                <w:szCs w:val="20"/>
                <w:color w:val="auto"/>
              </w:rPr>
            </w:pPr>
            <w:r>
              <w:rPr>
                <w:rFonts w:ascii="Arial" w:cs="Arial" w:eastAsia="Arial" w:hAnsi="Arial"/>
                <w:sz w:val="10"/>
                <w:szCs w:val="10"/>
                <w:color w:val="auto"/>
              </w:rPr>
              <w:t>(3,383)</w:t>
            </w:r>
          </w:p>
        </w:tc>
        <w:tc>
          <w:tcPr>
            <w:tcW w:w="940" w:type="dxa"/>
            <w:vAlign w:val="bottom"/>
          </w:tcPr>
          <w:p>
            <w:pPr>
              <w:jc w:val="right"/>
              <w:spacing w:after="0"/>
              <w:rPr>
                <w:sz w:val="20"/>
                <w:szCs w:val="20"/>
                <w:color w:val="auto"/>
              </w:rPr>
            </w:pPr>
            <w:r>
              <w:rPr>
                <w:rFonts w:ascii="Arial" w:cs="Arial" w:eastAsia="Arial" w:hAnsi="Arial"/>
                <w:sz w:val="10"/>
                <w:szCs w:val="10"/>
                <w:color w:val="auto"/>
              </w:rPr>
              <w:t>(33,690)</w:t>
            </w:r>
          </w:p>
        </w:tc>
        <w:tc>
          <w:tcPr>
            <w:tcW w:w="920" w:type="dxa"/>
            <w:vAlign w:val="bottom"/>
          </w:tcPr>
          <w:p>
            <w:pPr>
              <w:jc w:val="right"/>
              <w:spacing w:after="0"/>
              <w:rPr>
                <w:sz w:val="20"/>
                <w:szCs w:val="20"/>
                <w:color w:val="auto"/>
              </w:rPr>
            </w:pPr>
            <w:r>
              <w:rPr>
                <w:rFonts w:ascii="Arial" w:cs="Arial" w:eastAsia="Arial" w:hAnsi="Arial"/>
                <w:sz w:val="10"/>
                <w:szCs w:val="10"/>
                <w:color w:val="auto"/>
              </w:rPr>
              <w:t>(157,268)</w:t>
            </w:r>
          </w:p>
        </w:tc>
        <w:tc>
          <w:tcPr>
            <w:tcW w:w="940" w:type="dxa"/>
            <w:vAlign w:val="bottom"/>
          </w:tcPr>
          <w:p>
            <w:pPr>
              <w:jc w:val="right"/>
              <w:spacing w:after="0"/>
              <w:rPr>
                <w:sz w:val="20"/>
                <w:szCs w:val="20"/>
                <w:color w:val="auto"/>
              </w:rPr>
            </w:pPr>
            <w:r>
              <w:rPr>
                <w:rFonts w:ascii="Arial" w:cs="Arial" w:eastAsia="Arial" w:hAnsi="Arial"/>
                <w:sz w:val="10"/>
                <w:szCs w:val="10"/>
                <w:color w:val="auto"/>
              </w:rPr>
              <w:t>(31,781)</w:t>
            </w:r>
          </w:p>
        </w:tc>
        <w:tc>
          <w:tcPr>
            <w:tcW w:w="940" w:type="dxa"/>
            <w:vAlign w:val="bottom"/>
          </w:tcPr>
          <w:p>
            <w:pPr>
              <w:jc w:val="right"/>
              <w:spacing w:after="0"/>
              <w:rPr>
                <w:sz w:val="20"/>
                <w:szCs w:val="20"/>
                <w:color w:val="auto"/>
              </w:rPr>
            </w:pPr>
            <w:r>
              <w:rPr>
                <w:rFonts w:ascii="Arial" w:cs="Arial" w:eastAsia="Arial" w:hAnsi="Arial"/>
                <w:sz w:val="10"/>
                <w:szCs w:val="10"/>
                <w:color w:val="auto"/>
              </w:rPr>
              <w:t>(226,122)</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Transferred</w:t>
            </w:r>
          </w:p>
        </w:tc>
        <w:tc>
          <w:tcPr>
            <w:tcW w:w="1740" w:type="dxa"/>
            <w:vAlign w:val="bottom"/>
          </w:tcPr>
          <w:p>
            <w:pPr>
              <w:jc w:val="right"/>
              <w:ind w:right="8"/>
              <w:spacing w:after="0"/>
              <w:rPr>
                <w:sz w:val="20"/>
                <w:szCs w:val="20"/>
                <w:color w:val="auto"/>
              </w:rPr>
            </w:pPr>
            <w:r>
              <w:rPr>
                <w:rFonts w:ascii="Arial" w:cs="Arial" w:eastAsia="Arial" w:hAnsi="Arial"/>
                <w:sz w:val="10"/>
                <w:szCs w:val="10"/>
                <w:color w:val="auto"/>
              </w:rPr>
              <w:t>997</w:t>
            </w:r>
          </w:p>
        </w:tc>
        <w:tc>
          <w:tcPr>
            <w:tcW w:w="940" w:type="dxa"/>
            <w:vAlign w:val="bottom"/>
          </w:tcPr>
          <w:p>
            <w:pPr>
              <w:jc w:val="right"/>
              <w:spacing w:after="0"/>
              <w:rPr>
                <w:sz w:val="20"/>
                <w:szCs w:val="20"/>
                <w:color w:val="auto"/>
              </w:rPr>
            </w:pPr>
            <w:r>
              <w:rPr>
                <w:rFonts w:ascii="Arial" w:cs="Arial" w:eastAsia="Arial" w:hAnsi="Arial"/>
                <w:sz w:val="10"/>
                <w:szCs w:val="10"/>
                <w:color w:val="auto"/>
              </w:rPr>
              <w:t>(12,482)</w:t>
            </w:r>
          </w:p>
        </w:tc>
        <w:tc>
          <w:tcPr>
            <w:tcW w:w="920" w:type="dxa"/>
            <w:vAlign w:val="bottom"/>
          </w:tcPr>
          <w:p>
            <w:pPr>
              <w:jc w:val="right"/>
              <w:spacing w:after="0"/>
              <w:rPr>
                <w:sz w:val="20"/>
                <w:szCs w:val="20"/>
                <w:color w:val="auto"/>
              </w:rPr>
            </w:pPr>
            <w:r>
              <w:rPr>
                <w:rFonts w:ascii="Arial" w:cs="Arial" w:eastAsia="Arial" w:hAnsi="Arial"/>
                <w:sz w:val="10"/>
                <w:szCs w:val="10"/>
                <w:color w:val="auto"/>
              </w:rPr>
              <w:t>(89,642)</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101,127</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540" w:type="dxa"/>
            <w:vAlign w:val="bottom"/>
          </w:tcPr>
          <w:p>
            <w:pPr>
              <w:ind w:left="20"/>
              <w:spacing w:after="0"/>
              <w:rPr>
                <w:sz w:val="20"/>
                <w:szCs w:val="20"/>
                <w:color w:val="auto"/>
              </w:rPr>
            </w:pPr>
            <w:r>
              <w:rPr>
                <w:rFonts w:ascii="Arial" w:cs="Arial" w:eastAsia="Arial" w:hAnsi="Arial"/>
                <w:sz w:val="10"/>
                <w:szCs w:val="10"/>
                <w:color w:val="auto"/>
              </w:rPr>
              <w:t>Forfeited</w:t>
            </w:r>
          </w:p>
        </w:tc>
        <w:tc>
          <w:tcPr>
            <w:tcW w:w="1740" w:type="dxa"/>
            <w:vAlign w:val="bottom"/>
          </w:tcPr>
          <w:p>
            <w:pPr>
              <w:jc w:val="right"/>
              <w:spacing w:after="0"/>
              <w:rPr>
                <w:sz w:val="20"/>
                <w:szCs w:val="20"/>
                <w:color w:val="auto"/>
              </w:rPr>
            </w:pPr>
            <w:r>
              <w:rPr>
                <w:rFonts w:ascii="Arial" w:cs="Arial" w:eastAsia="Arial" w:hAnsi="Arial"/>
                <w:sz w:val="10"/>
                <w:szCs w:val="10"/>
                <w:color w:val="auto"/>
              </w:rPr>
              <w:t>(672)</w:t>
            </w:r>
          </w:p>
        </w:tc>
        <w:tc>
          <w:tcPr>
            <w:tcW w:w="940" w:type="dxa"/>
            <w:vAlign w:val="bottom"/>
          </w:tcPr>
          <w:p>
            <w:pPr>
              <w:jc w:val="right"/>
              <w:spacing w:after="0"/>
              <w:rPr>
                <w:sz w:val="20"/>
                <w:szCs w:val="20"/>
                <w:color w:val="auto"/>
              </w:rPr>
            </w:pPr>
            <w:r>
              <w:rPr>
                <w:rFonts w:ascii="Arial" w:cs="Arial" w:eastAsia="Arial" w:hAnsi="Arial"/>
                <w:sz w:val="10"/>
                <w:szCs w:val="10"/>
                <w:color w:val="auto"/>
              </w:rPr>
              <w:t>(6,449)</w:t>
            </w:r>
          </w:p>
        </w:tc>
        <w:tc>
          <w:tcPr>
            <w:tcW w:w="920" w:type="dxa"/>
            <w:vAlign w:val="bottom"/>
          </w:tcPr>
          <w:p>
            <w:pPr>
              <w:jc w:val="right"/>
              <w:spacing w:after="0"/>
              <w:rPr>
                <w:sz w:val="20"/>
                <w:szCs w:val="20"/>
                <w:color w:val="auto"/>
              </w:rPr>
            </w:pPr>
            <w:r>
              <w:rPr>
                <w:rFonts w:ascii="Arial" w:cs="Arial" w:eastAsia="Arial" w:hAnsi="Arial"/>
                <w:sz w:val="10"/>
                <w:szCs w:val="10"/>
                <w:color w:val="auto"/>
              </w:rPr>
              <w:t>(14)</w:t>
            </w:r>
          </w:p>
        </w:tc>
        <w:tc>
          <w:tcPr>
            <w:tcW w:w="940" w:type="dxa"/>
            <w:vAlign w:val="bottom"/>
          </w:tcPr>
          <w:p>
            <w:pPr>
              <w:jc w:val="right"/>
              <w:spacing w:after="0"/>
              <w:rPr>
                <w:sz w:val="20"/>
                <w:szCs w:val="20"/>
                <w:color w:val="auto"/>
              </w:rPr>
            </w:pPr>
            <w:r>
              <w:rPr>
                <w:rFonts w:ascii="Arial" w:cs="Arial" w:eastAsia="Arial" w:hAnsi="Arial"/>
                <w:sz w:val="10"/>
                <w:szCs w:val="10"/>
                <w:color w:val="auto"/>
              </w:rPr>
              <w:t>(91,693)</w:t>
            </w:r>
          </w:p>
        </w:tc>
        <w:tc>
          <w:tcPr>
            <w:tcW w:w="940" w:type="dxa"/>
            <w:vAlign w:val="bottom"/>
          </w:tcPr>
          <w:p>
            <w:pPr>
              <w:jc w:val="right"/>
              <w:spacing w:after="0"/>
              <w:rPr>
                <w:sz w:val="20"/>
                <w:szCs w:val="20"/>
                <w:color w:val="auto"/>
              </w:rPr>
            </w:pPr>
            <w:r>
              <w:rPr>
                <w:rFonts w:ascii="Arial" w:cs="Arial" w:eastAsia="Arial" w:hAnsi="Arial"/>
                <w:sz w:val="10"/>
                <w:szCs w:val="10"/>
                <w:color w:val="auto"/>
              </w:rPr>
              <w:t>(98,828)</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8"/>
        </w:trPr>
        <w:tc>
          <w:tcPr>
            <w:tcW w:w="2540" w:type="dxa"/>
            <w:vAlign w:val="bottom"/>
          </w:tcPr>
          <w:p>
            <w:pPr>
              <w:ind w:left="20"/>
              <w:spacing w:after="0"/>
              <w:rPr>
                <w:sz w:val="20"/>
                <w:szCs w:val="20"/>
                <w:color w:val="auto"/>
              </w:rPr>
            </w:pPr>
            <w:r>
              <w:rPr>
                <w:rFonts w:ascii="Arial" w:cs="Arial" w:eastAsia="Arial" w:hAnsi="Arial"/>
                <w:sz w:val="10"/>
                <w:szCs w:val="10"/>
                <w:b w:val="1"/>
                <w:bCs w:val="1"/>
                <w:color w:val="auto"/>
              </w:rPr>
              <w:t>Outstanding at December 31, 2025</w:t>
            </w:r>
          </w:p>
        </w:tc>
        <w:tc>
          <w:tcPr>
            <w:tcW w:w="1740" w:type="dxa"/>
            <w:vAlign w:val="bottom"/>
          </w:tcPr>
          <w:p>
            <w:pPr>
              <w:jc w:val="right"/>
              <w:ind w:right="8"/>
              <w:spacing w:after="0"/>
              <w:rPr>
                <w:sz w:val="20"/>
                <w:szCs w:val="20"/>
                <w:color w:val="auto"/>
              </w:rPr>
            </w:pPr>
            <w:r>
              <w:rPr>
                <w:rFonts w:ascii="Arial" w:cs="Arial" w:eastAsia="Arial" w:hAnsi="Arial"/>
                <w:sz w:val="10"/>
                <w:szCs w:val="10"/>
                <w:b w:val="1"/>
                <w:bCs w:val="1"/>
                <w:color w:val="auto"/>
              </w:rPr>
              <w:t>21,800</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298,709</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939,991</w:t>
            </w:r>
          </w:p>
        </w:tc>
        <w:tc>
          <w:tcPr>
            <w:tcW w:w="940" w:type="dxa"/>
            <w:vAlign w:val="bottom"/>
          </w:tcPr>
          <w:p>
            <w:pPr>
              <w:jc w:val="right"/>
              <w:ind w:right="9"/>
              <w:spacing w:after="0"/>
              <w:rPr>
                <w:sz w:val="20"/>
                <w:szCs w:val="20"/>
                <w:color w:val="auto"/>
              </w:rPr>
            </w:pPr>
            <w:r>
              <w:rPr>
                <w:rFonts w:ascii="Arial" w:cs="Arial" w:eastAsia="Arial" w:hAnsi="Arial"/>
                <w:sz w:val="10"/>
                <w:szCs w:val="10"/>
                <w:b w:val="1"/>
                <w:bCs w:val="1"/>
                <w:color w:val="auto"/>
              </w:rPr>
              <w:t>48,286</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1,308,786</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221" w:lineRule="auto"/>
        <w:rPr>
          <w:sz w:val="20"/>
          <w:szCs w:val="20"/>
          <w:color w:val="auto"/>
        </w:rPr>
      </w:pPr>
      <w:r>
        <w:rPr>
          <w:rFonts w:ascii="Arial" w:cs="Arial" w:eastAsia="Arial" w:hAnsi="Arial"/>
          <w:sz w:val="9"/>
          <w:szCs w:val="9"/>
          <w:color w:val="auto"/>
        </w:rPr>
        <w:t>1.RSUs held by the Board of Directors include RSUs granted to employee-elected Board Members as employees of Genmab A/S or its subsidiaries.</w:t>
      </w:r>
    </w:p>
    <w:p>
      <w:pPr>
        <w:spacing w:after="0"/>
        <w:rPr>
          <w:rFonts w:ascii="Arial" w:cs="Arial" w:eastAsia="Arial" w:hAnsi="Arial"/>
          <w:sz w:val="10"/>
          <w:szCs w:val="10"/>
          <w:color w:val="691A6B"/>
        </w:rPr>
      </w:pPr>
      <w:hyperlink w:anchor="page154">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5.1 </w:t>
      </w:r>
      <w:hyperlink w:anchor="page154">
        <w:r>
          <w:rPr>
            <w:rFonts w:ascii="Arial" w:cs="Arial" w:eastAsia="Arial" w:hAnsi="Arial"/>
            <w:sz w:val="10"/>
            <w:szCs w:val="10"/>
            <w:color w:val="691A6B"/>
          </w:rPr>
          <w:t>for additional information regarding compensation of the Executive Management and the Board of Directors.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140</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3"/>
          <w:szCs w:val="13"/>
          <w:b w:val="1"/>
          <w:bCs w:val="1"/>
          <w:color w:val="691A6B"/>
        </w:rPr>
        <w:t>Warrant Program</w:t>
      </w:r>
    </w:p>
    <w:p>
      <w:pPr>
        <w:spacing w:after="0" w:line="199" w:lineRule="auto"/>
        <w:rPr>
          <w:sz w:val="20"/>
          <w:szCs w:val="20"/>
          <w:color w:val="auto"/>
        </w:rPr>
      </w:pPr>
      <w:r>
        <w:rPr>
          <w:rFonts w:ascii="Arial" w:cs="Arial" w:eastAsia="Arial" w:hAnsi="Arial"/>
          <w:sz w:val="10"/>
          <w:szCs w:val="10"/>
          <w:color w:val="auto"/>
        </w:rPr>
        <w:t>Genmab A/S has established a warrant program (equity-settled share-based payment transactions) as an incentive for all the Genmab Group’s employees.</w:t>
      </w:r>
    </w:p>
    <w:p>
      <w:pPr>
        <w:spacing w:after="0" w:line="199" w:lineRule="auto"/>
        <w:rPr>
          <w:sz w:val="20"/>
          <w:szCs w:val="20"/>
          <w:color w:val="auto"/>
        </w:rPr>
      </w:pPr>
      <w:r>
        <w:rPr>
          <w:rFonts w:ascii="Arial" w:cs="Arial" w:eastAsia="Arial" w:hAnsi="Arial"/>
          <w:sz w:val="10"/>
          <w:szCs w:val="10"/>
          <w:color w:val="auto"/>
        </w:rPr>
        <w:t>Warrants are granted by the Board of Directors in accordance with authorizations given to it by Genmab A/S’s shareholders.</w:t>
      </w:r>
    </w:p>
    <w:p>
      <w:pPr>
        <w:spacing w:after="0" w:line="198" w:lineRule="auto"/>
        <w:rPr>
          <w:sz w:val="20"/>
          <w:szCs w:val="20"/>
          <w:color w:val="auto"/>
        </w:rPr>
      </w:pPr>
      <w:r>
        <w:rPr>
          <w:rFonts w:ascii="Arial" w:cs="Arial" w:eastAsia="Arial" w:hAnsi="Arial"/>
          <w:sz w:val="10"/>
          <w:szCs w:val="10"/>
          <w:color w:val="auto"/>
        </w:rPr>
        <w:t>Following Genmab’s Annual General Meeting on March 29, 2023, members of the registered Executive Management and members of the Board of Directors may only be granted RSUs.</w:t>
      </w:r>
    </w:p>
    <w:p>
      <w:pPr>
        <w:spacing w:after="0" w:line="218" w:lineRule="auto"/>
        <w:rPr>
          <w:sz w:val="20"/>
          <w:szCs w:val="20"/>
          <w:color w:val="auto"/>
        </w:rPr>
      </w:pPr>
      <w:r>
        <w:rPr>
          <w:rFonts w:ascii="Arial" w:cs="Arial" w:eastAsia="Arial" w:hAnsi="Arial"/>
          <w:sz w:val="10"/>
          <w:szCs w:val="10"/>
          <w:color w:val="auto"/>
        </w:rPr>
        <w:t>See the table below for a summary of key terms of Genmab’s warrant programs:</w:t>
      </w:r>
    </w:p>
    <w:tbl>
      <w:tblPr>
        <w:tblLayout w:type="fixed"/>
        <w:tblInd w:w="0" w:type="dxa"/>
        <w:tblCellMar>
          <w:top w:w="0" w:type="dxa"/>
          <w:left w:w="0" w:type="dxa"/>
          <w:bottom w:w="0" w:type="dxa"/>
          <w:right w:w="0" w:type="dxa"/>
        </w:tblCellMar>
      </w:tblPr>
      <w:tr>
        <w:trPr>
          <w:trHeight w:val="128"/>
        </w:trPr>
        <w:tc>
          <w:tcPr>
            <w:tcW w:w="1420" w:type="dxa"/>
            <w:vAlign w:val="bottom"/>
            <w:tcBorders>
              <w:top w:val="single" w:sz="8" w:color="691A6B"/>
            </w:tcBorders>
          </w:tcPr>
          <w:p>
            <w:pPr>
              <w:spacing w:after="0"/>
              <w:rPr>
                <w:sz w:val="11"/>
                <w:szCs w:val="11"/>
                <w:color w:val="auto"/>
              </w:rPr>
            </w:pPr>
          </w:p>
        </w:tc>
        <w:tc>
          <w:tcPr>
            <w:tcW w:w="4380" w:type="dxa"/>
            <w:vAlign w:val="bottom"/>
            <w:tcBorders>
              <w:top w:val="single" w:sz="8" w:color="691A6B"/>
            </w:tcBorders>
          </w:tcPr>
          <w:p>
            <w:pPr>
              <w:ind w:left="440"/>
              <w:spacing w:after="0"/>
              <w:rPr>
                <w:sz w:val="20"/>
                <w:szCs w:val="20"/>
                <w:color w:val="auto"/>
              </w:rPr>
            </w:pPr>
            <w:r>
              <w:rPr>
                <w:rFonts w:ascii="Arial" w:cs="Arial" w:eastAsia="Arial" w:hAnsi="Arial"/>
                <w:sz w:val="10"/>
                <w:szCs w:val="10"/>
                <w:b w:val="1"/>
                <w:bCs w:val="1"/>
                <w:color w:val="auto"/>
              </w:rPr>
              <w:t>Warrants Granted in Periods</w:t>
            </w:r>
          </w:p>
        </w:tc>
        <w:tc>
          <w:tcPr>
            <w:tcW w:w="4000" w:type="dxa"/>
            <w:vAlign w:val="bottom"/>
            <w:tcBorders>
              <w:top w:val="single" w:sz="8" w:color="691A6B"/>
            </w:tcBorders>
          </w:tcPr>
          <w:p>
            <w:pPr>
              <w:spacing w:after="0"/>
              <w:rPr>
                <w:sz w:val="11"/>
                <w:szCs w:val="11"/>
                <w:color w:val="auto"/>
              </w:rPr>
            </w:pPr>
          </w:p>
        </w:tc>
      </w:tr>
      <w:tr>
        <w:trPr>
          <w:trHeight w:val="133"/>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Key Terms</w:t>
            </w:r>
          </w:p>
        </w:tc>
        <w:tc>
          <w:tcPr>
            <w:tcW w:w="4380" w:type="dxa"/>
            <w:vAlign w:val="bottom"/>
          </w:tcPr>
          <w:p>
            <w:pPr>
              <w:ind w:left="440"/>
              <w:spacing w:after="0"/>
              <w:rPr>
                <w:sz w:val="20"/>
                <w:szCs w:val="20"/>
                <w:color w:val="auto"/>
              </w:rPr>
            </w:pPr>
            <w:r>
              <w:rPr>
                <w:rFonts w:ascii="Arial" w:cs="Arial" w:eastAsia="Arial" w:hAnsi="Arial"/>
                <w:sz w:val="10"/>
                <w:szCs w:val="10"/>
                <w:b w:val="1"/>
                <w:bCs w:val="1"/>
                <w:color w:val="auto"/>
              </w:rPr>
              <w:t>March 2017 - February 2021</w:t>
            </w:r>
          </w:p>
        </w:tc>
        <w:tc>
          <w:tcPr>
            <w:tcW w:w="4000" w:type="dxa"/>
            <w:vAlign w:val="bottom"/>
          </w:tcPr>
          <w:p>
            <w:pPr>
              <w:ind w:left="60"/>
              <w:spacing w:after="0"/>
              <w:rPr>
                <w:sz w:val="20"/>
                <w:szCs w:val="20"/>
                <w:color w:val="auto"/>
              </w:rPr>
            </w:pPr>
            <w:r>
              <w:rPr>
                <w:rFonts w:ascii="Arial" w:cs="Arial" w:eastAsia="Arial" w:hAnsi="Arial"/>
                <w:sz w:val="10"/>
                <w:szCs w:val="10"/>
                <w:b w:val="1"/>
                <w:bCs w:val="1"/>
                <w:color w:val="auto"/>
              </w:rPr>
              <w:t>From February 2021</w:t>
            </w:r>
          </w:p>
        </w:tc>
      </w:tr>
      <w:tr>
        <w:trPr>
          <w:trHeight w:val="143"/>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Grants</w:t>
            </w:r>
          </w:p>
        </w:tc>
        <w:tc>
          <w:tcPr>
            <w:tcW w:w="8380" w:type="dxa"/>
            <w:vAlign w:val="bottom"/>
            <w:gridSpan w:val="2"/>
          </w:tcPr>
          <w:p>
            <w:pPr>
              <w:ind w:left="440"/>
              <w:spacing w:after="0"/>
              <w:rPr>
                <w:sz w:val="20"/>
                <w:szCs w:val="20"/>
                <w:color w:val="auto"/>
              </w:rPr>
            </w:pPr>
            <w:r>
              <w:rPr>
                <w:rFonts w:ascii="Arial" w:cs="Arial" w:eastAsia="Arial" w:hAnsi="Arial"/>
                <w:sz w:val="10"/>
                <w:szCs w:val="10"/>
                <w:color w:val="auto"/>
              </w:rPr>
              <w:t>Warrants are granted at no cost to employees. Granted at an exercise price equal to the closing share price on the grant date.</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Vesting (Exercisable)</w:t>
            </w:r>
          </w:p>
        </w:tc>
        <w:tc>
          <w:tcPr>
            <w:tcW w:w="4380" w:type="dxa"/>
            <w:vAlign w:val="bottom"/>
          </w:tcPr>
          <w:p>
            <w:pPr>
              <w:ind w:left="440"/>
              <w:spacing w:after="0"/>
              <w:rPr>
                <w:sz w:val="20"/>
                <w:szCs w:val="20"/>
                <w:color w:val="auto"/>
              </w:rPr>
            </w:pPr>
            <w:r>
              <w:rPr>
                <w:rFonts w:ascii="Arial" w:cs="Arial" w:eastAsia="Arial" w:hAnsi="Arial"/>
                <w:sz w:val="10"/>
                <w:szCs w:val="10"/>
                <w:color w:val="auto"/>
              </w:rPr>
              <w:t>Cliff vesting over 3-year period (100% after three years)</w:t>
            </w:r>
          </w:p>
        </w:tc>
        <w:tc>
          <w:tcPr>
            <w:tcW w:w="4000" w:type="dxa"/>
            <w:vAlign w:val="bottom"/>
          </w:tcPr>
          <w:p>
            <w:pPr>
              <w:spacing w:after="0"/>
              <w:rPr>
                <w:sz w:val="13"/>
                <w:szCs w:val="13"/>
                <w:color w:val="auto"/>
              </w:rPr>
            </w:pPr>
          </w:p>
        </w:tc>
      </w:tr>
      <w:tr>
        <w:trPr>
          <w:trHeight w:val="118"/>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Leaver</w:t>
            </w:r>
          </w:p>
        </w:tc>
        <w:tc>
          <w:tcPr>
            <w:tcW w:w="8380" w:type="dxa"/>
            <w:vAlign w:val="bottom"/>
            <w:gridSpan w:val="2"/>
          </w:tcPr>
          <w:p>
            <w:pPr>
              <w:ind w:left="440"/>
              <w:spacing w:after="0"/>
              <w:rPr>
                <w:sz w:val="20"/>
                <w:szCs w:val="20"/>
                <w:color w:val="auto"/>
              </w:rPr>
            </w:pPr>
            <w:r>
              <w:rPr>
                <w:rFonts w:ascii="Arial" w:cs="Arial" w:eastAsia="Arial" w:hAnsi="Arial"/>
                <w:sz w:val="10"/>
                <w:szCs w:val="10"/>
                <w:color w:val="auto"/>
              </w:rPr>
              <w:t>Leavers - Forfeit all unvested warrants; however, will be able to exercise pro-rata porti Good-Leavers - May maintain a pro-rata portion of unvested warrants.</w:t>
            </w:r>
          </w:p>
        </w:tc>
      </w:tr>
      <w:tr>
        <w:trPr>
          <w:trHeight w:val="95"/>
        </w:trPr>
        <w:tc>
          <w:tcPr>
            <w:tcW w:w="1420" w:type="dxa"/>
            <w:vAlign w:val="bottom"/>
          </w:tcPr>
          <w:p>
            <w:pPr>
              <w:spacing w:after="0"/>
              <w:rPr>
                <w:sz w:val="8"/>
                <w:szCs w:val="8"/>
                <w:color w:val="auto"/>
              </w:rPr>
            </w:pPr>
          </w:p>
        </w:tc>
        <w:tc>
          <w:tcPr>
            <w:tcW w:w="4380" w:type="dxa"/>
            <w:vAlign w:val="bottom"/>
          </w:tcPr>
          <w:p>
            <w:pPr>
              <w:ind w:left="440"/>
              <w:spacing w:after="0" w:line="95" w:lineRule="exact"/>
              <w:rPr>
                <w:sz w:val="20"/>
                <w:szCs w:val="20"/>
                <w:color w:val="auto"/>
              </w:rPr>
            </w:pPr>
            <w:r>
              <w:rPr>
                <w:rFonts w:ascii="Arial" w:cs="Arial" w:eastAsia="Arial" w:hAnsi="Arial"/>
                <w:sz w:val="10"/>
                <w:szCs w:val="10"/>
                <w:color w:val="auto"/>
              </w:rPr>
              <w:t>on</w:t>
            </w:r>
          </w:p>
        </w:tc>
        <w:tc>
          <w:tcPr>
            <w:tcW w:w="4000" w:type="dxa"/>
            <w:vAlign w:val="bottom"/>
          </w:tcPr>
          <w:p>
            <w:pPr>
              <w:ind w:left="60"/>
              <w:spacing w:after="0" w:line="95" w:lineRule="exact"/>
              <w:rPr>
                <w:sz w:val="20"/>
                <w:szCs w:val="20"/>
                <w:color w:val="auto"/>
              </w:rPr>
            </w:pPr>
            <w:r>
              <w:rPr>
                <w:rFonts w:ascii="Arial" w:cs="Arial" w:eastAsia="Arial" w:hAnsi="Arial"/>
                <w:sz w:val="10"/>
                <w:szCs w:val="10"/>
                <w:color w:val="auto"/>
              </w:rPr>
              <w:t>Bad-Leavers - Forfeit all unvested warrants.</w:t>
            </w:r>
          </w:p>
        </w:tc>
      </w:tr>
      <w:tr>
        <w:trPr>
          <w:trHeight w:val="95"/>
        </w:trPr>
        <w:tc>
          <w:tcPr>
            <w:tcW w:w="1420" w:type="dxa"/>
            <w:vAlign w:val="bottom"/>
          </w:tcPr>
          <w:p>
            <w:pPr>
              <w:spacing w:after="0"/>
              <w:rPr>
                <w:sz w:val="8"/>
                <w:szCs w:val="8"/>
                <w:color w:val="auto"/>
              </w:rPr>
            </w:pPr>
          </w:p>
        </w:tc>
        <w:tc>
          <w:tcPr>
            <w:tcW w:w="4380" w:type="dxa"/>
            <w:vAlign w:val="bottom"/>
          </w:tcPr>
          <w:p>
            <w:pPr>
              <w:ind w:left="440"/>
              <w:spacing w:after="0" w:line="95" w:lineRule="exact"/>
              <w:rPr>
                <w:sz w:val="20"/>
                <w:szCs w:val="20"/>
                <w:color w:val="auto"/>
              </w:rPr>
            </w:pPr>
            <w:r>
              <w:rPr>
                <w:rFonts w:ascii="Arial" w:cs="Arial" w:eastAsia="Arial" w:hAnsi="Arial"/>
                <w:sz w:val="10"/>
                <w:szCs w:val="10"/>
                <w:color w:val="auto"/>
              </w:rPr>
              <w:t>of warrants on a regular schedule in instances where the employment relationship is</w:t>
            </w:r>
          </w:p>
        </w:tc>
        <w:tc>
          <w:tcPr>
            <w:tcW w:w="4000" w:type="dxa"/>
            <w:vAlign w:val="bottom"/>
          </w:tcPr>
          <w:p>
            <w:pPr>
              <w:ind w:left="60"/>
              <w:spacing w:after="0" w:line="95" w:lineRule="exact"/>
              <w:rPr>
                <w:sz w:val="20"/>
                <w:szCs w:val="20"/>
                <w:color w:val="auto"/>
              </w:rPr>
            </w:pPr>
            <w:r>
              <w:rPr>
                <w:rFonts w:ascii="Arial" w:cs="Arial" w:eastAsia="Arial" w:hAnsi="Arial"/>
                <w:sz w:val="10"/>
                <w:szCs w:val="10"/>
                <w:color w:val="auto"/>
              </w:rPr>
              <w:t>Death - Forfeit all unvested warrants.</w:t>
            </w:r>
          </w:p>
        </w:tc>
      </w:tr>
      <w:tr>
        <w:trPr>
          <w:trHeight w:val="137"/>
        </w:trPr>
        <w:tc>
          <w:tcPr>
            <w:tcW w:w="1420" w:type="dxa"/>
            <w:vAlign w:val="bottom"/>
          </w:tcPr>
          <w:p>
            <w:pPr>
              <w:spacing w:after="0"/>
              <w:rPr>
                <w:sz w:val="11"/>
                <w:szCs w:val="11"/>
                <w:color w:val="auto"/>
              </w:rPr>
            </w:pPr>
          </w:p>
        </w:tc>
        <w:tc>
          <w:tcPr>
            <w:tcW w:w="4380" w:type="dxa"/>
            <w:vAlign w:val="bottom"/>
          </w:tcPr>
          <w:p>
            <w:pPr>
              <w:ind w:left="440"/>
              <w:spacing w:after="0"/>
              <w:rPr>
                <w:sz w:val="20"/>
                <w:szCs w:val="20"/>
                <w:color w:val="auto"/>
              </w:rPr>
            </w:pPr>
            <w:r>
              <w:rPr>
                <w:rFonts w:ascii="Arial" w:cs="Arial" w:eastAsia="Arial" w:hAnsi="Arial"/>
                <w:sz w:val="10"/>
                <w:szCs w:val="10"/>
                <w:color w:val="auto"/>
              </w:rPr>
              <w:t>terminated by Genmab without cause.</w:t>
            </w:r>
          </w:p>
        </w:tc>
        <w:tc>
          <w:tcPr>
            <w:tcW w:w="4000" w:type="dxa"/>
            <w:vAlign w:val="bottom"/>
          </w:tcPr>
          <w:p>
            <w:pPr>
              <w:ind w:left="60"/>
              <w:spacing w:after="0"/>
              <w:rPr>
                <w:sz w:val="20"/>
                <w:szCs w:val="20"/>
                <w:color w:val="auto"/>
              </w:rPr>
            </w:pPr>
            <w:r>
              <w:rPr>
                <w:rFonts w:ascii="Arial" w:cs="Arial" w:eastAsia="Arial" w:hAnsi="Arial"/>
                <w:sz w:val="10"/>
                <w:szCs w:val="10"/>
                <w:color w:val="auto"/>
              </w:rPr>
              <w:t>Voluntary leavers forfeit all unvested warrants.</w:t>
            </w:r>
          </w:p>
        </w:tc>
      </w:tr>
      <w:tr>
        <w:trPr>
          <w:trHeight w:val="354"/>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Lapse</w:t>
            </w:r>
          </w:p>
        </w:tc>
        <w:tc>
          <w:tcPr>
            <w:tcW w:w="4380" w:type="dxa"/>
            <w:vAlign w:val="bottom"/>
          </w:tcPr>
          <w:p>
            <w:pPr>
              <w:ind w:left="440"/>
              <w:spacing w:after="0"/>
              <w:rPr>
                <w:sz w:val="20"/>
                <w:szCs w:val="20"/>
                <w:color w:val="auto"/>
              </w:rPr>
            </w:pPr>
            <w:r>
              <w:rPr>
                <w:rFonts w:ascii="Arial" w:cs="Arial" w:eastAsia="Arial" w:hAnsi="Arial"/>
                <w:sz w:val="10"/>
                <w:szCs w:val="10"/>
                <w:color w:val="auto"/>
              </w:rPr>
              <w:t>7th anniversary of grant date</w:t>
            </w:r>
          </w:p>
        </w:tc>
        <w:tc>
          <w:tcPr>
            <w:tcW w:w="4000" w:type="dxa"/>
            <w:vAlign w:val="bottom"/>
          </w:tcPr>
          <w:p>
            <w:pPr>
              <w:spacing w:after="0"/>
              <w:rPr>
                <w:sz w:val="24"/>
                <w:szCs w:val="24"/>
                <w:color w:val="auto"/>
              </w:rPr>
            </w:pPr>
          </w:p>
        </w:tc>
      </w:tr>
    </w:tbl>
    <w:p>
      <w:pPr>
        <w:spacing w:after="0" w:line="4" w:lineRule="exact"/>
        <w:rPr>
          <w:rFonts w:ascii="Arial" w:cs="Arial" w:eastAsia="Arial" w:hAnsi="Arial"/>
          <w:sz w:val="10"/>
          <w:szCs w:val="10"/>
          <w:color w:val="auto"/>
        </w:rPr>
      </w:pPr>
    </w:p>
    <w:p>
      <w:pPr>
        <w:spacing w:after="0" w:line="244" w:lineRule="auto"/>
        <w:rPr>
          <w:sz w:val="20"/>
          <w:szCs w:val="20"/>
          <w:color w:val="auto"/>
        </w:rPr>
      </w:pPr>
      <w:r>
        <w:rPr>
          <w:rFonts w:ascii="Arial" w:cs="Arial" w:eastAsia="Arial" w:hAnsi="Arial"/>
          <w:sz w:val="10"/>
          <w:szCs w:val="10"/>
          <w:color w:val="auto"/>
        </w:rPr>
        <w:t>The warrant program contains anti-dilution provisions if changes occur in Genmab’s share capital prior to the warrants being exercised and provisions to accelerate vesting of warrants in the event of change of control or certain other extraordinary transactions as defined in the warrant program.</w:t>
      </w:r>
    </w:p>
    <w:p>
      <w:pPr>
        <w:sectPr>
          <w:pgSz w:w="11900" w:h="16840" w:orient="portrait"/>
          <w:cols w:equalWidth="0" w:num="1">
            <w:col w:w="9960"/>
          </w:cols>
          <w:pgMar w:left="640" w:top="571" w:right="1300" w:bottom="1440" w:gutter="0" w:footer="0" w:header="0"/>
        </w:sectPr>
      </w:pPr>
    </w:p>
    <w:bookmarkStart w:id="151" w:name="page152"/>
    <w:bookmarkEnd w:id="151"/>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141</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24" w:lineRule="auto"/>
        <w:rPr>
          <w:sz w:val="20"/>
          <w:szCs w:val="20"/>
          <w:color w:val="auto"/>
        </w:rPr>
      </w:pPr>
      <w:r>
        <w:rPr>
          <w:rFonts w:ascii="Arial" w:cs="Arial" w:eastAsia="Arial" w:hAnsi="Arial"/>
          <w:sz w:val="13"/>
          <w:szCs w:val="13"/>
          <w:b w:val="1"/>
          <w:bCs w:val="1"/>
          <w:color w:val="691A6B"/>
        </w:rPr>
        <w:t>Warrant Activity in 2025, 2024 and 2023</w:t>
      </w:r>
    </w:p>
    <w:tbl>
      <w:tblPr>
        <w:tblLayout w:type="fixed"/>
        <w:tblInd w:w="0" w:type="dxa"/>
        <w:tblCellMar>
          <w:top w:w="0" w:type="dxa"/>
          <w:left w:w="0" w:type="dxa"/>
          <w:bottom w:w="0" w:type="dxa"/>
          <w:right w:w="0" w:type="dxa"/>
        </w:tblCellMar>
      </w:tblPr>
      <w:tr>
        <w:trPr>
          <w:trHeight w:val="95"/>
        </w:trPr>
        <w:tc>
          <w:tcPr>
            <w:tcW w:w="2320" w:type="dxa"/>
            <w:vAlign w:val="bottom"/>
            <w:tcBorders>
              <w:top w:val="single" w:sz="8" w:color="691A6B"/>
            </w:tcBorders>
          </w:tcPr>
          <w:p>
            <w:pPr>
              <w:spacing w:after="0"/>
              <w:rPr>
                <w:sz w:val="8"/>
                <w:szCs w:val="8"/>
                <w:color w:val="auto"/>
              </w:rPr>
            </w:pPr>
          </w:p>
        </w:tc>
        <w:tc>
          <w:tcPr>
            <w:tcW w:w="1020" w:type="dxa"/>
            <w:vAlign w:val="bottom"/>
            <w:tcBorders>
              <w:top w:val="single" w:sz="8" w:color="691A6B"/>
            </w:tcBorders>
          </w:tcPr>
          <w:p>
            <w:pPr>
              <w:ind w:left="140"/>
              <w:spacing w:after="0" w:line="95" w:lineRule="exact"/>
              <w:rPr>
                <w:sz w:val="20"/>
                <w:szCs w:val="20"/>
                <w:color w:val="auto"/>
              </w:rPr>
            </w:pPr>
            <w:r>
              <w:rPr>
                <w:rFonts w:ascii="Arial" w:cs="Arial" w:eastAsia="Arial" w:hAnsi="Arial"/>
                <w:sz w:val="10"/>
                <w:szCs w:val="10"/>
                <w:b w:val="1"/>
                <w:bCs w:val="1"/>
                <w:color w:val="auto"/>
              </w:rPr>
              <w:t>Number of</w:t>
            </w:r>
          </w:p>
        </w:tc>
        <w:tc>
          <w:tcPr>
            <w:tcW w:w="960" w:type="dxa"/>
            <w:vAlign w:val="bottom"/>
            <w:tcBorders>
              <w:top w:val="single" w:sz="8" w:color="691A6B"/>
            </w:tcBorders>
          </w:tcPr>
          <w:p>
            <w:pPr>
              <w:ind w:left="60"/>
              <w:spacing w:after="0" w:line="95" w:lineRule="exact"/>
              <w:rPr>
                <w:sz w:val="20"/>
                <w:szCs w:val="20"/>
                <w:color w:val="auto"/>
              </w:rPr>
            </w:pPr>
            <w:r>
              <w:rPr>
                <w:rFonts w:ascii="Arial" w:cs="Arial" w:eastAsia="Arial" w:hAnsi="Arial"/>
                <w:sz w:val="10"/>
                <w:szCs w:val="10"/>
                <w:b w:val="1"/>
                <w:bCs w:val="1"/>
                <w:color w:val="auto"/>
              </w:rPr>
              <w:t>Number of</w:t>
            </w:r>
          </w:p>
        </w:tc>
        <w:tc>
          <w:tcPr>
            <w:tcW w:w="94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Number of</w:t>
            </w:r>
          </w:p>
        </w:tc>
        <w:tc>
          <w:tcPr>
            <w:tcW w:w="9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Number of</w:t>
            </w:r>
          </w:p>
        </w:tc>
        <w:tc>
          <w:tcPr>
            <w:tcW w:w="940" w:type="dxa"/>
            <w:vAlign w:val="bottom"/>
            <w:tcBorders>
              <w:top w:val="single" w:sz="8" w:color="691A6B"/>
            </w:tcBorders>
          </w:tcPr>
          <w:p>
            <w:pPr>
              <w:jc w:val="right"/>
              <w:ind w:right="208"/>
              <w:spacing w:after="0" w:line="95" w:lineRule="exact"/>
              <w:rPr>
                <w:sz w:val="20"/>
                <w:szCs w:val="20"/>
                <w:color w:val="auto"/>
              </w:rPr>
            </w:pPr>
            <w:r>
              <w:rPr>
                <w:rFonts w:ascii="Arial" w:cs="Arial" w:eastAsia="Arial" w:hAnsi="Arial"/>
                <w:sz w:val="10"/>
                <w:szCs w:val="10"/>
                <w:b w:val="1"/>
                <w:bCs w:val="1"/>
                <w:color w:val="auto"/>
                <w:w w:val="96"/>
              </w:rPr>
              <w:t>Total warrants</w:t>
            </w:r>
          </w:p>
        </w:tc>
        <w:tc>
          <w:tcPr>
            <w:tcW w:w="9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Weighted average</w:t>
            </w:r>
          </w:p>
        </w:tc>
        <w:tc>
          <w:tcPr>
            <w:tcW w:w="92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Weighted average</w:t>
            </w:r>
          </w:p>
        </w:tc>
        <w:tc>
          <w:tcPr>
            <w:tcW w:w="980" w:type="dxa"/>
            <w:vAlign w:val="bottom"/>
            <w:tcBorders>
              <w:top w:val="single" w:sz="8" w:color="691A6B"/>
            </w:tcBorders>
          </w:tcPr>
          <w:p>
            <w:pPr>
              <w:ind w:left="60"/>
              <w:spacing w:after="0" w:line="95" w:lineRule="exact"/>
              <w:rPr>
                <w:sz w:val="20"/>
                <w:szCs w:val="20"/>
                <w:color w:val="auto"/>
              </w:rPr>
            </w:pPr>
            <w:r>
              <w:rPr>
                <w:rFonts w:ascii="Arial" w:cs="Arial" w:eastAsia="Arial" w:hAnsi="Arial"/>
                <w:sz w:val="10"/>
                <w:szCs w:val="10"/>
                <w:b w:val="1"/>
                <w:bCs w:val="1"/>
                <w:color w:val="auto"/>
              </w:rPr>
              <w:t>Outstanding</w:t>
            </w:r>
          </w:p>
        </w:tc>
      </w:tr>
      <w:tr>
        <w:trPr>
          <w:trHeight w:val="95"/>
        </w:trPr>
        <w:tc>
          <w:tcPr>
            <w:tcW w:w="2320" w:type="dxa"/>
            <w:vAlign w:val="bottom"/>
          </w:tcPr>
          <w:p>
            <w:pPr>
              <w:spacing w:after="0"/>
              <w:rPr>
                <w:sz w:val="8"/>
                <w:szCs w:val="8"/>
                <w:color w:val="auto"/>
              </w:rPr>
            </w:pPr>
          </w:p>
        </w:tc>
        <w:tc>
          <w:tcPr>
            <w:tcW w:w="1020" w:type="dxa"/>
            <w:vAlign w:val="bottom"/>
          </w:tcPr>
          <w:p>
            <w:pPr>
              <w:ind w:left="140"/>
              <w:spacing w:after="0" w:line="95" w:lineRule="exact"/>
              <w:rPr>
                <w:sz w:val="20"/>
                <w:szCs w:val="20"/>
                <w:color w:val="auto"/>
              </w:rPr>
            </w:pPr>
            <w:r>
              <w:rPr>
                <w:rFonts w:ascii="Arial" w:cs="Arial" w:eastAsia="Arial" w:hAnsi="Arial"/>
                <w:sz w:val="10"/>
                <w:szCs w:val="10"/>
                <w:b w:val="1"/>
                <w:bCs w:val="1"/>
                <w:color w:val="auto"/>
              </w:rPr>
              <w:t>warrants held by</w:t>
            </w:r>
          </w:p>
        </w:tc>
        <w:tc>
          <w:tcPr>
            <w:tcW w:w="9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warrants held by</w:t>
            </w: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warrants held by</w:t>
            </w: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warrants held by</w:t>
            </w:r>
          </w:p>
        </w:tc>
        <w:tc>
          <w:tcPr>
            <w:tcW w:w="940" w:type="dxa"/>
            <w:vAlign w:val="bottom"/>
          </w:tcPr>
          <w:p>
            <w:pPr>
              <w:spacing w:after="0"/>
              <w:rPr>
                <w:sz w:val="8"/>
                <w:szCs w:val="8"/>
                <w:color w:val="auto"/>
              </w:rPr>
            </w:pP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exercise price -</w:t>
            </w:r>
          </w:p>
        </w:tc>
        <w:tc>
          <w:tcPr>
            <w:tcW w:w="92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share price at</w:t>
            </w: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Warrants - % of</w:t>
            </w:r>
          </w:p>
        </w:tc>
      </w:tr>
      <w:tr>
        <w:trPr>
          <w:trHeight w:val="95"/>
        </w:trPr>
        <w:tc>
          <w:tcPr>
            <w:tcW w:w="2320" w:type="dxa"/>
            <w:vAlign w:val="bottom"/>
          </w:tcPr>
          <w:p>
            <w:pPr>
              <w:spacing w:after="0"/>
              <w:rPr>
                <w:sz w:val="8"/>
                <w:szCs w:val="8"/>
                <w:color w:val="auto"/>
              </w:rPr>
            </w:pPr>
          </w:p>
        </w:tc>
        <w:tc>
          <w:tcPr>
            <w:tcW w:w="1020" w:type="dxa"/>
            <w:vAlign w:val="bottom"/>
          </w:tcPr>
          <w:p>
            <w:pPr>
              <w:ind w:left="140"/>
              <w:spacing w:after="0" w:line="95" w:lineRule="exact"/>
              <w:rPr>
                <w:sz w:val="20"/>
                <w:szCs w:val="20"/>
                <w:color w:val="auto"/>
              </w:rPr>
            </w:pPr>
            <w:r>
              <w:rPr>
                <w:rFonts w:ascii="Arial" w:cs="Arial" w:eastAsia="Arial" w:hAnsi="Arial"/>
                <w:sz w:val="10"/>
                <w:szCs w:val="10"/>
                <w:b w:val="1"/>
                <w:bCs w:val="1"/>
                <w:color w:val="auto"/>
              </w:rPr>
              <w:t>the Board of</w:t>
            </w:r>
          </w:p>
        </w:tc>
        <w:tc>
          <w:tcPr>
            <w:tcW w:w="9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the Executive</w:t>
            </w: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employees</w:t>
            </w: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former members</w:t>
            </w:r>
          </w:p>
        </w:tc>
        <w:tc>
          <w:tcPr>
            <w:tcW w:w="940" w:type="dxa"/>
            <w:vAlign w:val="bottom"/>
          </w:tcPr>
          <w:p>
            <w:pPr>
              <w:spacing w:after="0"/>
              <w:rPr>
                <w:sz w:val="8"/>
                <w:szCs w:val="8"/>
                <w:color w:val="auto"/>
              </w:rPr>
            </w:pP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DKK</w:t>
            </w:r>
          </w:p>
        </w:tc>
        <w:tc>
          <w:tcPr>
            <w:tcW w:w="92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exercise date -</w:t>
            </w: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Share Capital</w:t>
            </w:r>
          </w:p>
        </w:tc>
      </w:tr>
      <w:tr>
        <w:trPr>
          <w:trHeight w:val="95"/>
        </w:trPr>
        <w:tc>
          <w:tcPr>
            <w:tcW w:w="2320" w:type="dxa"/>
            <w:vAlign w:val="bottom"/>
          </w:tcPr>
          <w:p>
            <w:pPr>
              <w:spacing w:after="0"/>
              <w:rPr>
                <w:sz w:val="8"/>
                <w:szCs w:val="8"/>
                <w:color w:val="auto"/>
              </w:rPr>
            </w:pPr>
          </w:p>
        </w:tc>
        <w:tc>
          <w:tcPr>
            <w:tcW w:w="1020" w:type="dxa"/>
            <w:vAlign w:val="bottom"/>
          </w:tcPr>
          <w:p>
            <w:pPr>
              <w:ind w:left="140"/>
              <w:spacing w:after="0" w:line="95" w:lineRule="exact"/>
              <w:rPr>
                <w:sz w:val="20"/>
                <w:szCs w:val="20"/>
                <w:color w:val="auto"/>
              </w:rPr>
            </w:pPr>
            <w:r>
              <w:rPr>
                <w:rFonts w:ascii="Arial" w:cs="Arial" w:eastAsia="Arial" w:hAnsi="Arial"/>
                <w:sz w:val="10"/>
                <w:szCs w:val="10"/>
                <w:b w:val="1"/>
                <w:bCs w:val="1"/>
                <w:color w:val="auto"/>
              </w:rPr>
              <w:t>Directors</w:t>
            </w:r>
          </w:p>
        </w:tc>
        <w:tc>
          <w:tcPr>
            <w:tcW w:w="9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Management</w:t>
            </w:r>
          </w:p>
        </w:tc>
        <w:tc>
          <w:tcPr>
            <w:tcW w:w="940" w:type="dxa"/>
            <w:vAlign w:val="bottom"/>
          </w:tcPr>
          <w:p>
            <w:pPr>
              <w:spacing w:after="0"/>
              <w:rPr>
                <w:sz w:val="8"/>
                <w:szCs w:val="8"/>
                <w:color w:val="auto"/>
              </w:rPr>
            </w:pP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of the Executive</w:t>
            </w: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ind w:left="40"/>
              <w:spacing w:after="0" w:line="95" w:lineRule="exact"/>
              <w:rPr>
                <w:sz w:val="20"/>
                <w:szCs w:val="20"/>
                <w:color w:val="auto"/>
              </w:rPr>
            </w:pPr>
            <w:r>
              <w:rPr>
                <w:rFonts w:ascii="Arial" w:cs="Arial" w:eastAsia="Arial" w:hAnsi="Arial"/>
                <w:sz w:val="10"/>
                <w:szCs w:val="10"/>
                <w:b w:val="1"/>
                <w:bCs w:val="1"/>
                <w:color w:val="auto"/>
              </w:rPr>
              <w:t>DKK</w:t>
            </w:r>
          </w:p>
        </w:tc>
        <w:tc>
          <w:tcPr>
            <w:tcW w:w="980" w:type="dxa"/>
            <w:vAlign w:val="bottom"/>
          </w:tcPr>
          <w:p>
            <w:pPr>
              <w:spacing w:after="0"/>
              <w:rPr>
                <w:sz w:val="8"/>
                <w:szCs w:val="8"/>
                <w:color w:val="auto"/>
              </w:rPr>
            </w:pPr>
          </w:p>
        </w:tc>
      </w:tr>
      <w:tr>
        <w:trPr>
          <w:trHeight w:val="95"/>
        </w:trPr>
        <w:tc>
          <w:tcPr>
            <w:tcW w:w="2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Management,</w:t>
            </w: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95"/>
        </w:trPr>
        <w:tc>
          <w:tcPr>
            <w:tcW w:w="2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Board of Directors</w:t>
            </w: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28"/>
        </w:trPr>
        <w:tc>
          <w:tcPr>
            <w:tcW w:w="2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and employees</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1"/>
        </w:trPr>
        <w:tc>
          <w:tcPr>
            <w:tcW w:w="2320" w:type="dxa"/>
            <w:vAlign w:val="bottom"/>
          </w:tcPr>
          <w:p>
            <w:pPr>
              <w:ind w:left="20"/>
              <w:spacing w:after="0"/>
              <w:rPr>
                <w:sz w:val="20"/>
                <w:szCs w:val="20"/>
                <w:color w:val="auto"/>
              </w:rPr>
            </w:pPr>
            <w:r>
              <w:rPr>
                <w:rFonts w:ascii="Arial" w:cs="Arial" w:eastAsia="Arial" w:hAnsi="Arial"/>
                <w:sz w:val="10"/>
                <w:szCs w:val="10"/>
                <w:b w:val="1"/>
                <w:bCs w:val="1"/>
                <w:color w:val="auto"/>
              </w:rPr>
              <w:t>Outstanding at January 1, 2023</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1,920</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129,798</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773,014</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33,236</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937,968</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1,770.31</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46"/>
        </w:trPr>
        <w:tc>
          <w:tcPr>
            <w:tcW w:w="2320" w:type="dxa"/>
            <w:vAlign w:val="bottom"/>
          </w:tcPr>
          <w:p>
            <w:pPr>
              <w:ind w:left="20"/>
              <w:spacing w:after="0"/>
              <w:rPr>
                <w:sz w:val="20"/>
                <w:szCs w:val="20"/>
                <w:color w:val="auto"/>
              </w:rPr>
            </w:pPr>
            <w:r>
              <w:rPr>
                <w:rFonts w:ascii="Arial" w:cs="Arial" w:eastAsia="Arial" w:hAnsi="Arial"/>
                <w:sz w:val="10"/>
                <w:szCs w:val="10"/>
                <w:color w:val="auto"/>
              </w:rPr>
              <w:t>Granted¹</w:t>
            </w:r>
          </w:p>
        </w:tc>
        <w:tc>
          <w:tcPr>
            <w:tcW w:w="1020" w:type="dxa"/>
            <w:vAlign w:val="bottom"/>
          </w:tcPr>
          <w:p>
            <w:pPr>
              <w:jc w:val="right"/>
              <w:spacing w:after="0"/>
              <w:rPr>
                <w:sz w:val="20"/>
                <w:szCs w:val="20"/>
                <w:color w:val="auto"/>
              </w:rPr>
            </w:pPr>
            <w:r>
              <w:rPr>
                <w:rFonts w:ascii="Arial" w:cs="Arial" w:eastAsia="Arial" w:hAnsi="Arial"/>
                <w:sz w:val="10"/>
                <w:szCs w:val="10"/>
                <w:color w:val="auto"/>
              </w:rPr>
              <w:t>403</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198,001</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10,973</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209,377</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2,632.02</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Exercised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(11,900)</w:t>
            </w:r>
          </w:p>
        </w:tc>
        <w:tc>
          <w:tcPr>
            <w:tcW w:w="940" w:type="dxa"/>
            <w:vAlign w:val="bottom"/>
          </w:tcPr>
          <w:p>
            <w:pPr>
              <w:jc w:val="right"/>
              <w:spacing w:after="0"/>
              <w:rPr>
                <w:sz w:val="20"/>
                <w:szCs w:val="20"/>
                <w:color w:val="auto"/>
              </w:rPr>
            </w:pPr>
            <w:r>
              <w:rPr>
                <w:rFonts w:ascii="Arial" w:cs="Arial" w:eastAsia="Arial" w:hAnsi="Arial"/>
                <w:sz w:val="10"/>
                <w:szCs w:val="10"/>
                <w:color w:val="auto"/>
              </w:rPr>
              <w:t>(74,672)</w:t>
            </w:r>
          </w:p>
        </w:tc>
        <w:tc>
          <w:tcPr>
            <w:tcW w:w="920" w:type="dxa"/>
            <w:vAlign w:val="bottom"/>
          </w:tcPr>
          <w:p>
            <w:pPr>
              <w:jc w:val="right"/>
              <w:spacing w:after="0"/>
              <w:rPr>
                <w:sz w:val="20"/>
                <w:szCs w:val="20"/>
                <w:color w:val="auto"/>
              </w:rPr>
            </w:pPr>
            <w:r>
              <w:rPr>
                <w:rFonts w:ascii="Arial" w:cs="Arial" w:eastAsia="Arial" w:hAnsi="Arial"/>
                <w:sz w:val="10"/>
                <w:szCs w:val="10"/>
                <w:color w:val="auto"/>
              </w:rPr>
              <w:t>(26,390)</w:t>
            </w:r>
          </w:p>
        </w:tc>
        <w:tc>
          <w:tcPr>
            <w:tcW w:w="940" w:type="dxa"/>
            <w:vAlign w:val="bottom"/>
          </w:tcPr>
          <w:p>
            <w:pPr>
              <w:jc w:val="right"/>
              <w:spacing w:after="0"/>
              <w:rPr>
                <w:sz w:val="20"/>
                <w:szCs w:val="20"/>
                <w:color w:val="auto"/>
              </w:rPr>
            </w:pPr>
            <w:r>
              <w:rPr>
                <w:rFonts w:ascii="Arial" w:cs="Arial" w:eastAsia="Arial" w:hAnsi="Arial"/>
                <w:sz w:val="10"/>
                <w:szCs w:val="10"/>
                <w:color w:val="auto"/>
              </w:rPr>
              <w:t>(112,962)</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1,341.40</w:t>
            </w:r>
          </w:p>
        </w:tc>
        <w:tc>
          <w:tcPr>
            <w:tcW w:w="920" w:type="dxa"/>
            <w:vAlign w:val="bottom"/>
          </w:tcPr>
          <w:p>
            <w:pPr>
              <w:ind w:left="480"/>
              <w:spacing w:after="0"/>
              <w:rPr>
                <w:sz w:val="20"/>
                <w:szCs w:val="20"/>
                <w:color w:val="auto"/>
              </w:rPr>
            </w:pPr>
            <w:r>
              <w:rPr>
                <w:rFonts w:ascii="Arial" w:cs="Arial" w:eastAsia="Arial" w:hAnsi="Arial"/>
                <w:sz w:val="10"/>
                <w:szCs w:val="10"/>
                <w:color w:val="auto"/>
              </w:rPr>
              <w:t>2,657.76</w:t>
            </w: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Expired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(1,200)</w:t>
            </w:r>
          </w:p>
        </w:tc>
        <w:tc>
          <w:tcPr>
            <w:tcW w:w="920" w:type="dxa"/>
            <w:vAlign w:val="bottom"/>
          </w:tcPr>
          <w:p>
            <w:pPr>
              <w:jc w:val="right"/>
              <w:spacing w:after="0"/>
              <w:rPr>
                <w:sz w:val="20"/>
                <w:szCs w:val="20"/>
                <w:color w:val="auto"/>
              </w:rPr>
            </w:pPr>
            <w:r>
              <w:rPr>
                <w:rFonts w:ascii="Arial" w:cs="Arial" w:eastAsia="Arial" w:hAnsi="Arial"/>
                <w:sz w:val="10"/>
                <w:szCs w:val="10"/>
                <w:color w:val="auto"/>
              </w:rPr>
              <w:t>(117)</w:t>
            </w:r>
          </w:p>
        </w:tc>
        <w:tc>
          <w:tcPr>
            <w:tcW w:w="940" w:type="dxa"/>
            <w:vAlign w:val="bottom"/>
          </w:tcPr>
          <w:p>
            <w:pPr>
              <w:jc w:val="right"/>
              <w:spacing w:after="0"/>
              <w:rPr>
                <w:sz w:val="20"/>
                <w:szCs w:val="20"/>
                <w:color w:val="auto"/>
              </w:rPr>
            </w:pPr>
            <w:r>
              <w:rPr>
                <w:rFonts w:ascii="Arial" w:cs="Arial" w:eastAsia="Arial" w:hAnsi="Arial"/>
                <w:sz w:val="10"/>
                <w:szCs w:val="10"/>
                <w:color w:val="auto"/>
              </w:rPr>
              <w:t>(1,317)</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1,225.18</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Forfeited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(32)</w:t>
            </w:r>
          </w:p>
        </w:tc>
        <w:tc>
          <w:tcPr>
            <w:tcW w:w="920" w:type="dxa"/>
            <w:vAlign w:val="bottom"/>
          </w:tcPr>
          <w:p>
            <w:pPr>
              <w:jc w:val="right"/>
              <w:spacing w:after="0"/>
              <w:rPr>
                <w:sz w:val="20"/>
                <w:szCs w:val="20"/>
                <w:color w:val="auto"/>
              </w:rPr>
            </w:pPr>
            <w:r>
              <w:rPr>
                <w:rFonts w:ascii="Arial" w:cs="Arial" w:eastAsia="Arial" w:hAnsi="Arial"/>
                <w:sz w:val="10"/>
                <w:szCs w:val="10"/>
                <w:color w:val="auto"/>
              </w:rPr>
              <w:t>(43,143)</w:t>
            </w:r>
          </w:p>
        </w:tc>
        <w:tc>
          <w:tcPr>
            <w:tcW w:w="940" w:type="dxa"/>
            <w:vAlign w:val="bottom"/>
          </w:tcPr>
          <w:p>
            <w:pPr>
              <w:jc w:val="right"/>
              <w:spacing w:after="0"/>
              <w:rPr>
                <w:sz w:val="20"/>
                <w:szCs w:val="20"/>
                <w:color w:val="auto"/>
              </w:rPr>
            </w:pPr>
            <w:r>
              <w:rPr>
                <w:rFonts w:ascii="Arial" w:cs="Arial" w:eastAsia="Arial" w:hAnsi="Arial"/>
                <w:sz w:val="10"/>
                <w:szCs w:val="10"/>
                <w:color w:val="auto"/>
              </w:rPr>
              <w:t>(43,175)</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2,274.50</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Transfers</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21,295</w:t>
            </w:r>
          </w:p>
        </w:tc>
        <w:tc>
          <w:tcPr>
            <w:tcW w:w="940" w:type="dxa"/>
            <w:vAlign w:val="bottom"/>
          </w:tcPr>
          <w:p>
            <w:pPr>
              <w:jc w:val="right"/>
              <w:spacing w:after="0"/>
              <w:rPr>
                <w:sz w:val="20"/>
                <w:szCs w:val="20"/>
                <w:color w:val="auto"/>
              </w:rPr>
            </w:pPr>
            <w:r>
              <w:rPr>
                <w:rFonts w:ascii="Arial" w:cs="Arial" w:eastAsia="Arial" w:hAnsi="Arial"/>
                <w:sz w:val="10"/>
                <w:szCs w:val="10"/>
                <w:color w:val="auto"/>
              </w:rPr>
              <w:t>(103,396)</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82,101</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8"/>
        </w:trPr>
        <w:tc>
          <w:tcPr>
            <w:tcW w:w="2320" w:type="dxa"/>
            <w:vAlign w:val="bottom"/>
          </w:tcPr>
          <w:p>
            <w:pPr>
              <w:ind w:left="20"/>
              <w:spacing w:after="0"/>
              <w:rPr>
                <w:sz w:val="20"/>
                <w:szCs w:val="20"/>
                <w:color w:val="auto"/>
              </w:rPr>
            </w:pPr>
            <w:r>
              <w:rPr>
                <w:rFonts w:ascii="Arial" w:cs="Arial" w:eastAsia="Arial" w:hAnsi="Arial"/>
                <w:sz w:val="10"/>
                <w:szCs w:val="10"/>
                <w:b w:val="1"/>
                <w:bCs w:val="1"/>
                <w:color w:val="auto"/>
              </w:rPr>
              <w:t>Outstanding at December 31, 2023</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2,323</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139,193</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791,715</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56,660</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989,891</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1,980.25</w:t>
            </w:r>
          </w:p>
        </w:tc>
        <w:tc>
          <w:tcPr>
            <w:tcW w:w="9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1 %</w:t>
            </w:r>
          </w:p>
        </w:tc>
      </w:tr>
      <w:tr>
        <w:trPr>
          <w:trHeight w:val="146"/>
        </w:trPr>
        <w:tc>
          <w:tcPr>
            <w:tcW w:w="2320" w:type="dxa"/>
            <w:vAlign w:val="bottom"/>
          </w:tcPr>
          <w:p>
            <w:pPr>
              <w:ind w:left="20"/>
              <w:spacing w:after="0"/>
              <w:rPr>
                <w:sz w:val="20"/>
                <w:szCs w:val="20"/>
                <w:color w:val="auto"/>
              </w:rPr>
            </w:pPr>
            <w:r>
              <w:rPr>
                <w:rFonts w:ascii="Arial" w:cs="Arial" w:eastAsia="Arial" w:hAnsi="Arial"/>
                <w:sz w:val="10"/>
                <w:szCs w:val="10"/>
                <w:color w:val="auto"/>
              </w:rPr>
              <w:t>Exercisable at year end</w:t>
            </w:r>
          </w:p>
        </w:tc>
        <w:tc>
          <w:tcPr>
            <w:tcW w:w="1020" w:type="dxa"/>
            <w:vAlign w:val="bottom"/>
          </w:tcPr>
          <w:p>
            <w:pPr>
              <w:jc w:val="right"/>
              <w:spacing w:after="0"/>
              <w:rPr>
                <w:sz w:val="20"/>
                <w:szCs w:val="20"/>
                <w:color w:val="auto"/>
              </w:rPr>
            </w:pPr>
            <w:r>
              <w:rPr>
                <w:rFonts w:ascii="Arial" w:cs="Arial" w:eastAsia="Arial" w:hAnsi="Arial"/>
                <w:sz w:val="10"/>
                <w:szCs w:val="10"/>
                <w:color w:val="auto"/>
              </w:rPr>
              <w:t>875</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123,345</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246,635</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45,686</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416,541</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1,416.25</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Exercisable warrants in the money at year end</w:t>
            </w:r>
          </w:p>
        </w:tc>
        <w:tc>
          <w:tcPr>
            <w:tcW w:w="1020" w:type="dxa"/>
            <w:vAlign w:val="bottom"/>
          </w:tcPr>
          <w:p>
            <w:pPr>
              <w:jc w:val="right"/>
              <w:spacing w:after="0"/>
              <w:rPr>
                <w:sz w:val="20"/>
                <w:szCs w:val="20"/>
                <w:color w:val="auto"/>
              </w:rPr>
            </w:pPr>
            <w:r>
              <w:rPr>
                <w:rFonts w:ascii="Arial" w:cs="Arial" w:eastAsia="Arial" w:hAnsi="Arial"/>
                <w:sz w:val="10"/>
                <w:szCs w:val="10"/>
                <w:color w:val="auto"/>
              </w:rPr>
              <w:t>617</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123,345</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192,945</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43,632</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360,539</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1,272.37</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
        </w:trPr>
        <w:tc>
          <w:tcPr>
            <w:tcW w:w="2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23"/>
        </w:trPr>
        <w:tc>
          <w:tcPr>
            <w:tcW w:w="2320" w:type="dxa"/>
            <w:vAlign w:val="bottom"/>
          </w:tcPr>
          <w:p>
            <w:pPr>
              <w:ind w:left="20"/>
              <w:spacing w:after="0"/>
              <w:rPr>
                <w:sz w:val="20"/>
                <w:szCs w:val="20"/>
                <w:color w:val="auto"/>
              </w:rPr>
            </w:pPr>
            <w:r>
              <w:rPr>
                <w:rFonts w:ascii="Arial" w:cs="Arial" w:eastAsia="Arial" w:hAnsi="Arial"/>
                <w:sz w:val="10"/>
                <w:szCs w:val="10"/>
                <w:b w:val="1"/>
                <w:bCs w:val="1"/>
                <w:color w:val="auto"/>
              </w:rPr>
              <w:t>Outstanding at January 1, 2024</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2,323</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139,193</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791,715</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56,660</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989,891</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1,980.25</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7"/>
        </w:trPr>
        <w:tc>
          <w:tcPr>
            <w:tcW w:w="2320" w:type="dxa"/>
            <w:vAlign w:val="bottom"/>
          </w:tcPr>
          <w:p>
            <w:pPr>
              <w:ind w:left="20"/>
              <w:spacing w:after="0"/>
              <w:rPr>
                <w:sz w:val="20"/>
                <w:szCs w:val="20"/>
                <w:color w:val="auto"/>
              </w:rPr>
            </w:pPr>
            <w:r>
              <w:rPr>
                <w:rFonts w:ascii="Arial" w:cs="Arial" w:eastAsia="Arial" w:hAnsi="Arial"/>
                <w:sz w:val="10"/>
                <w:szCs w:val="10"/>
                <w:color w:val="auto"/>
              </w:rPr>
              <w:t>Granted¹</w:t>
            </w:r>
          </w:p>
        </w:tc>
        <w:tc>
          <w:tcPr>
            <w:tcW w:w="1020" w:type="dxa"/>
            <w:vAlign w:val="bottom"/>
          </w:tcPr>
          <w:p>
            <w:pPr>
              <w:jc w:val="right"/>
              <w:spacing w:after="0"/>
              <w:rPr>
                <w:sz w:val="20"/>
                <w:szCs w:val="20"/>
                <w:color w:val="auto"/>
              </w:rPr>
            </w:pPr>
            <w:r>
              <w:rPr>
                <w:rFonts w:ascii="Arial" w:cs="Arial" w:eastAsia="Arial" w:hAnsi="Arial"/>
                <w:sz w:val="10"/>
                <w:szCs w:val="10"/>
                <w:color w:val="auto"/>
              </w:rPr>
              <w:t>694</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354,255</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14,898</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369,847</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1,974.71</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Exercised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(63,811)</w:t>
            </w:r>
          </w:p>
        </w:tc>
        <w:tc>
          <w:tcPr>
            <w:tcW w:w="940" w:type="dxa"/>
            <w:vAlign w:val="bottom"/>
          </w:tcPr>
          <w:p>
            <w:pPr>
              <w:jc w:val="right"/>
              <w:spacing w:after="0"/>
              <w:rPr>
                <w:sz w:val="20"/>
                <w:szCs w:val="20"/>
                <w:color w:val="auto"/>
              </w:rPr>
            </w:pPr>
            <w:r>
              <w:rPr>
                <w:rFonts w:ascii="Arial" w:cs="Arial" w:eastAsia="Arial" w:hAnsi="Arial"/>
                <w:sz w:val="10"/>
                <w:szCs w:val="10"/>
                <w:color w:val="auto"/>
              </w:rPr>
              <w:t>(31,721)</w:t>
            </w:r>
          </w:p>
        </w:tc>
        <w:tc>
          <w:tcPr>
            <w:tcW w:w="920" w:type="dxa"/>
            <w:vAlign w:val="bottom"/>
          </w:tcPr>
          <w:p>
            <w:pPr>
              <w:jc w:val="right"/>
              <w:spacing w:after="0"/>
              <w:rPr>
                <w:sz w:val="20"/>
                <w:szCs w:val="20"/>
                <w:color w:val="auto"/>
              </w:rPr>
            </w:pPr>
            <w:r>
              <w:rPr>
                <w:rFonts w:ascii="Arial" w:cs="Arial" w:eastAsia="Arial" w:hAnsi="Arial"/>
                <w:sz w:val="10"/>
                <w:szCs w:val="10"/>
                <w:color w:val="auto"/>
              </w:rPr>
              <w:t>(17,119)</w:t>
            </w:r>
          </w:p>
        </w:tc>
        <w:tc>
          <w:tcPr>
            <w:tcW w:w="940" w:type="dxa"/>
            <w:vAlign w:val="bottom"/>
          </w:tcPr>
          <w:p>
            <w:pPr>
              <w:jc w:val="right"/>
              <w:spacing w:after="0"/>
              <w:rPr>
                <w:sz w:val="20"/>
                <w:szCs w:val="20"/>
                <w:color w:val="auto"/>
              </w:rPr>
            </w:pPr>
            <w:r>
              <w:rPr>
                <w:rFonts w:ascii="Arial" w:cs="Arial" w:eastAsia="Arial" w:hAnsi="Arial"/>
                <w:sz w:val="10"/>
                <w:szCs w:val="10"/>
                <w:color w:val="auto"/>
              </w:rPr>
              <w:t>(112,651)</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1,143.29</w:t>
            </w:r>
          </w:p>
        </w:tc>
        <w:tc>
          <w:tcPr>
            <w:tcW w:w="920" w:type="dxa"/>
            <w:vAlign w:val="bottom"/>
          </w:tcPr>
          <w:p>
            <w:pPr>
              <w:ind w:left="480"/>
              <w:spacing w:after="0"/>
              <w:rPr>
                <w:sz w:val="20"/>
                <w:szCs w:val="20"/>
                <w:color w:val="auto"/>
              </w:rPr>
            </w:pPr>
            <w:r>
              <w:rPr>
                <w:rFonts w:ascii="Arial" w:cs="Arial" w:eastAsia="Arial" w:hAnsi="Arial"/>
                <w:sz w:val="10"/>
                <w:szCs w:val="10"/>
                <w:color w:val="auto"/>
              </w:rPr>
              <w:t>1,877.19</w:t>
            </w: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Expired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(155)</w:t>
            </w:r>
          </w:p>
        </w:tc>
        <w:tc>
          <w:tcPr>
            <w:tcW w:w="920" w:type="dxa"/>
            <w:vAlign w:val="bottom"/>
          </w:tcPr>
          <w:p>
            <w:pPr>
              <w:jc w:val="right"/>
              <w:spacing w:after="0"/>
              <w:rPr>
                <w:sz w:val="20"/>
                <w:szCs w:val="20"/>
                <w:color w:val="auto"/>
              </w:rPr>
            </w:pPr>
            <w:r>
              <w:rPr>
                <w:rFonts w:ascii="Arial" w:cs="Arial" w:eastAsia="Arial" w:hAnsi="Arial"/>
                <w:sz w:val="10"/>
                <w:szCs w:val="10"/>
                <w:color w:val="auto"/>
              </w:rPr>
              <w:t>(132)</w:t>
            </w:r>
          </w:p>
        </w:tc>
        <w:tc>
          <w:tcPr>
            <w:tcW w:w="940" w:type="dxa"/>
            <w:vAlign w:val="bottom"/>
          </w:tcPr>
          <w:p>
            <w:pPr>
              <w:jc w:val="right"/>
              <w:spacing w:after="0"/>
              <w:rPr>
                <w:sz w:val="20"/>
                <w:szCs w:val="20"/>
                <w:color w:val="auto"/>
              </w:rPr>
            </w:pPr>
            <w:r>
              <w:rPr>
                <w:rFonts w:ascii="Arial" w:cs="Arial" w:eastAsia="Arial" w:hAnsi="Arial"/>
                <w:sz w:val="10"/>
                <w:szCs w:val="10"/>
                <w:color w:val="auto"/>
              </w:rPr>
              <w:t>(287)</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1,032.00</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Forfeited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(73)</w:t>
            </w:r>
          </w:p>
        </w:tc>
        <w:tc>
          <w:tcPr>
            <w:tcW w:w="920" w:type="dxa"/>
            <w:vAlign w:val="bottom"/>
          </w:tcPr>
          <w:p>
            <w:pPr>
              <w:jc w:val="right"/>
              <w:spacing w:after="0"/>
              <w:rPr>
                <w:sz w:val="20"/>
                <w:szCs w:val="20"/>
                <w:color w:val="auto"/>
              </w:rPr>
            </w:pPr>
            <w:r>
              <w:rPr>
                <w:rFonts w:ascii="Arial" w:cs="Arial" w:eastAsia="Arial" w:hAnsi="Arial"/>
                <w:sz w:val="10"/>
                <w:szCs w:val="10"/>
                <w:color w:val="auto"/>
              </w:rPr>
              <w:t>(39,564)</w:t>
            </w:r>
          </w:p>
        </w:tc>
        <w:tc>
          <w:tcPr>
            <w:tcW w:w="940" w:type="dxa"/>
            <w:vAlign w:val="bottom"/>
          </w:tcPr>
          <w:p>
            <w:pPr>
              <w:jc w:val="right"/>
              <w:spacing w:after="0"/>
              <w:rPr>
                <w:sz w:val="20"/>
                <w:szCs w:val="20"/>
                <w:color w:val="auto"/>
              </w:rPr>
            </w:pPr>
            <w:r>
              <w:rPr>
                <w:rFonts w:ascii="Arial" w:cs="Arial" w:eastAsia="Arial" w:hAnsi="Arial"/>
                <w:sz w:val="10"/>
                <w:szCs w:val="10"/>
                <w:color w:val="auto"/>
              </w:rPr>
              <w:t>(39,637)</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2,300.10</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Transfers</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555</w:t>
            </w:r>
          </w:p>
        </w:tc>
        <w:tc>
          <w:tcPr>
            <w:tcW w:w="940" w:type="dxa"/>
            <w:vAlign w:val="bottom"/>
          </w:tcPr>
          <w:p>
            <w:pPr>
              <w:jc w:val="right"/>
              <w:spacing w:after="0"/>
              <w:rPr>
                <w:sz w:val="20"/>
                <w:szCs w:val="20"/>
                <w:color w:val="auto"/>
              </w:rPr>
            </w:pPr>
            <w:r>
              <w:rPr>
                <w:rFonts w:ascii="Arial" w:cs="Arial" w:eastAsia="Arial" w:hAnsi="Arial"/>
                <w:sz w:val="10"/>
                <w:szCs w:val="10"/>
                <w:color w:val="auto"/>
              </w:rPr>
              <w:t>(53,903)</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53,348</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8"/>
        </w:trPr>
        <w:tc>
          <w:tcPr>
            <w:tcW w:w="2320" w:type="dxa"/>
            <w:vAlign w:val="bottom"/>
          </w:tcPr>
          <w:p>
            <w:pPr>
              <w:ind w:left="20"/>
              <w:spacing w:after="0"/>
              <w:rPr>
                <w:sz w:val="20"/>
                <w:szCs w:val="20"/>
                <w:color w:val="auto"/>
              </w:rPr>
            </w:pPr>
            <w:r>
              <w:rPr>
                <w:rFonts w:ascii="Arial" w:cs="Arial" w:eastAsia="Arial" w:hAnsi="Arial"/>
                <w:sz w:val="10"/>
                <w:szCs w:val="10"/>
                <w:b w:val="1"/>
                <w:bCs w:val="1"/>
                <w:color w:val="auto"/>
              </w:rPr>
              <w:t>Outstanding at December 31, 2024</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3,017</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75,937</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1,060,118</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68,091</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1,207,163</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2,046.38</w:t>
            </w:r>
          </w:p>
        </w:tc>
        <w:tc>
          <w:tcPr>
            <w:tcW w:w="9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2 %</w:t>
            </w:r>
          </w:p>
        </w:tc>
      </w:tr>
      <w:tr>
        <w:trPr>
          <w:trHeight w:val="146"/>
        </w:trPr>
        <w:tc>
          <w:tcPr>
            <w:tcW w:w="2320" w:type="dxa"/>
            <w:vAlign w:val="bottom"/>
          </w:tcPr>
          <w:p>
            <w:pPr>
              <w:ind w:left="20"/>
              <w:spacing w:after="0"/>
              <w:rPr>
                <w:sz w:val="20"/>
                <w:szCs w:val="20"/>
                <w:color w:val="auto"/>
              </w:rPr>
            </w:pPr>
            <w:r>
              <w:rPr>
                <w:rFonts w:ascii="Arial" w:cs="Arial" w:eastAsia="Arial" w:hAnsi="Arial"/>
                <w:sz w:val="10"/>
                <w:szCs w:val="10"/>
                <w:color w:val="auto"/>
              </w:rPr>
              <w:t>Exercisable at year end</w:t>
            </w:r>
          </w:p>
        </w:tc>
        <w:tc>
          <w:tcPr>
            <w:tcW w:w="1020" w:type="dxa"/>
            <w:vAlign w:val="bottom"/>
          </w:tcPr>
          <w:p>
            <w:pPr>
              <w:jc w:val="right"/>
              <w:spacing w:after="0"/>
              <w:rPr>
                <w:sz w:val="20"/>
                <w:szCs w:val="20"/>
                <w:color w:val="auto"/>
              </w:rPr>
            </w:pPr>
            <w:r>
              <w:rPr>
                <w:rFonts w:ascii="Arial" w:cs="Arial" w:eastAsia="Arial" w:hAnsi="Arial"/>
                <w:sz w:val="10"/>
                <w:szCs w:val="10"/>
                <w:color w:val="auto"/>
              </w:rPr>
              <w:t>1,226</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63,405</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321,099</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60,686</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446,416</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1,759.86</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Exercisable warrants in the money at year end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46,166</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77,669</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25,477</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149,312</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1,131.68</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
        </w:trPr>
        <w:tc>
          <w:tcPr>
            <w:tcW w:w="2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23"/>
        </w:trPr>
        <w:tc>
          <w:tcPr>
            <w:tcW w:w="2320" w:type="dxa"/>
            <w:vAlign w:val="bottom"/>
          </w:tcPr>
          <w:p>
            <w:pPr>
              <w:ind w:left="20"/>
              <w:spacing w:after="0"/>
              <w:rPr>
                <w:sz w:val="20"/>
                <w:szCs w:val="20"/>
                <w:color w:val="auto"/>
              </w:rPr>
            </w:pPr>
            <w:r>
              <w:rPr>
                <w:rFonts w:ascii="Arial" w:cs="Arial" w:eastAsia="Arial" w:hAnsi="Arial"/>
                <w:sz w:val="10"/>
                <w:szCs w:val="10"/>
                <w:b w:val="1"/>
                <w:bCs w:val="1"/>
                <w:color w:val="auto"/>
              </w:rPr>
              <w:t>Outstanding at January 1, 2025</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3,017</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75,937</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1,060,118</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68,091</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1,207,163</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2,046.38</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7"/>
        </w:trPr>
        <w:tc>
          <w:tcPr>
            <w:tcW w:w="2320" w:type="dxa"/>
            <w:vAlign w:val="bottom"/>
          </w:tcPr>
          <w:p>
            <w:pPr>
              <w:ind w:left="20"/>
              <w:spacing w:after="0"/>
              <w:rPr>
                <w:sz w:val="20"/>
                <w:szCs w:val="20"/>
                <w:color w:val="auto"/>
              </w:rPr>
            </w:pPr>
            <w:r>
              <w:rPr>
                <w:rFonts w:ascii="Arial" w:cs="Arial" w:eastAsia="Arial" w:hAnsi="Arial"/>
                <w:sz w:val="10"/>
                <w:szCs w:val="10"/>
                <w:color w:val="auto"/>
              </w:rPr>
              <w:t>Granted¹</w:t>
            </w:r>
          </w:p>
        </w:tc>
        <w:tc>
          <w:tcPr>
            <w:tcW w:w="1020" w:type="dxa"/>
            <w:vAlign w:val="bottom"/>
          </w:tcPr>
          <w:p>
            <w:pPr>
              <w:jc w:val="right"/>
              <w:spacing w:after="0"/>
              <w:rPr>
                <w:sz w:val="20"/>
                <w:szCs w:val="20"/>
                <w:color w:val="auto"/>
              </w:rPr>
            </w:pPr>
            <w:r>
              <w:rPr>
                <w:rFonts w:ascii="Arial" w:cs="Arial" w:eastAsia="Arial" w:hAnsi="Arial"/>
                <w:sz w:val="10"/>
                <w:szCs w:val="10"/>
                <w:color w:val="auto"/>
              </w:rPr>
              <w:t>835</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504,180</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42,373</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547,388</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1,613.94</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Exercised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(46,166)</w:t>
            </w:r>
          </w:p>
        </w:tc>
        <w:tc>
          <w:tcPr>
            <w:tcW w:w="940" w:type="dxa"/>
            <w:vAlign w:val="bottom"/>
          </w:tcPr>
          <w:p>
            <w:pPr>
              <w:jc w:val="right"/>
              <w:spacing w:after="0"/>
              <w:rPr>
                <w:sz w:val="20"/>
                <w:szCs w:val="20"/>
                <w:color w:val="auto"/>
              </w:rPr>
            </w:pPr>
            <w:r>
              <w:rPr>
                <w:rFonts w:ascii="Arial" w:cs="Arial" w:eastAsia="Arial" w:hAnsi="Arial"/>
                <w:sz w:val="10"/>
                <w:szCs w:val="10"/>
                <w:color w:val="auto"/>
              </w:rPr>
              <w:t>(51,271)</w:t>
            </w:r>
          </w:p>
        </w:tc>
        <w:tc>
          <w:tcPr>
            <w:tcW w:w="920" w:type="dxa"/>
            <w:vAlign w:val="bottom"/>
          </w:tcPr>
          <w:p>
            <w:pPr>
              <w:jc w:val="right"/>
              <w:spacing w:after="0"/>
              <w:rPr>
                <w:sz w:val="20"/>
                <w:szCs w:val="20"/>
                <w:color w:val="auto"/>
              </w:rPr>
            </w:pPr>
            <w:r>
              <w:rPr>
                <w:rFonts w:ascii="Arial" w:cs="Arial" w:eastAsia="Arial" w:hAnsi="Arial"/>
                <w:sz w:val="10"/>
                <w:szCs w:val="10"/>
                <w:color w:val="auto"/>
              </w:rPr>
              <w:t>(30,638)</w:t>
            </w:r>
          </w:p>
        </w:tc>
        <w:tc>
          <w:tcPr>
            <w:tcW w:w="940" w:type="dxa"/>
            <w:vAlign w:val="bottom"/>
          </w:tcPr>
          <w:p>
            <w:pPr>
              <w:jc w:val="right"/>
              <w:spacing w:after="0"/>
              <w:rPr>
                <w:sz w:val="20"/>
                <w:szCs w:val="20"/>
                <w:color w:val="auto"/>
              </w:rPr>
            </w:pPr>
            <w:r>
              <w:rPr>
                <w:rFonts w:ascii="Arial" w:cs="Arial" w:eastAsia="Arial" w:hAnsi="Arial"/>
                <w:sz w:val="10"/>
                <w:szCs w:val="10"/>
                <w:color w:val="auto"/>
              </w:rPr>
              <w:t>(128,075)</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1,139.53</w:t>
            </w:r>
          </w:p>
        </w:tc>
        <w:tc>
          <w:tcPr>
            <w:tcW w:w="920" w:type="dxa"/>
            <w:vAlign w:val="bottom"/>
          </w:tcPr>
          <w:p>
            <w:pPr>
              <w:ind w:left="480"/>
              <w:spacing w:after="0"/>
              <w:rPr>
                <w:sz w:val="20"/>
                <w:szCs w:val="20"/>
                <w:color w:val="auto"/>
              </w:rPr>
            </w:pPr>
            <w:r>
              <w:rPr>
                <w:rFonts w:ascii="Arial" w:cs="Arial" w:eastAsia="Arial" w:hAnsi="Arial"/>
                <w:sz w:val="10"/>
                <w:szCs w:val="10"/>
                <w:color w:val="auto"/>
              </w:rPr>
              <w:t>1,689.89</w:t>
            </w: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Expired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(468)</w:t>
            </w:r>
          </w:p>
        </w:tc>
        <w:tc>
          <w:tcPr>
            <w:tcW w:w="920" w:type="dxa"/>
            <w:vAlign w:val="bottom"/>
          </w:tcPr>
          <w:p>
            <w:pPr>
              <w:jc w:val="right"/>
              <w:spacing w:after="0"/>
              <w:rPr>
                <w:sz w:val="20"/>
                <w:szCs w:val="20"/>
                <w:color w:val="auto"/>
              </w:rPr>
            </w:pPr>
            <w:r>
              <w:rPr>
                <w:rFonts w:ascii="Arial" w:cs="Arial" w:eastAsia="Arial" w:hAnsi="Arial"/>
                <w:sz w:val="10"/>
                <w:szCs w:val="10"/>
                <w:color w:val="auto"/>
              </w:rPr>
              <w:t>(1,605)</w:t>
            </w:r>
          </w:p>
        </w:tc>
        <w:tc>
          <w:tcPr>
            <w:tcW w:w="940" w:type="dxa"/>
            <w:vAlign w:val="bottom"/>
          </w:tcPr>
          <w:p>
            <w:pPr>
              <w:jc w:val="right"/>
              <w:spacing w:after="0"/>
              <w:rPr>
                <w:sz w:val="20"/>
                <w:szCs w:val="20"/>
                <w:color w:val="auto"/>
              </w:rPr>
            </w:pPr>
            <w:r>
              <w:rPr>
                <w:rFonts w:ascii="Arial" w:cs="Arial" w:eastAsia="Arial" w:hAnsi="Arial"/>
                <w:sz w:val="10"/>
                <w:szCs w:val="10"/>
                <w:color w:val="auto"/>
              </w:rPr>
              <w:t>(2,073)</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989.32</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Forfeited</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(14)</w:t>
            </w:r>
          </w:p>
        </w:tc>
        <w:tc>
          <w:tcPr>
            <w:tcW w:w="920" w:type="dxa"/>
            <w:vAlign w:val="bottom"/>
          </w:tcPr>
          <w:p>
            <w:pPr>
              <w:jc w:val="right"/>
              <w:spacing w:after="0"/>
              <w:rPr>
                <w:sz w:val="20"/>
                <w:szCs w:val="20"/>
                <w:color w:val="auto"/>
              </w:rPr>
            </w:pPr>
            <w:r>
              <w:rPr>
                <w:rFonts w:ascii="Arial" w:cs="Arial" w:eastAsia="Arial" w:hAnsi="Arial"/>
                <w:sz w:val="10"/>
                <w:szCs w:val="10"/>
                <w:color w:val="auto"/>
              </w:rPr>
              <w:t>(92,764)</w:t>
            </w:r>
          </w:p>
        </w:tc>
        <w:tc>
          <w:tcPr>
            <w:tcW w:w="940" w:type="dxa"/>
            <w:vAlign w:val="bottom"/>
          </w:tcPr>
          <w:p>
            <w:pPr>
              <w:jc w:val="right"/>
              <w:spacing w:after="0"/>
              <w:rPr>
                <w:sz w:val="20"/>
                <w:szCs w:val="20"/>
                <w:color w:val="auto"/>
              </w:rPr>
            </w:pPr>
            <w:r>
              <w:rPr>
                <w:rFonts w:ascii="Arial" w:cs="Arial" w:eastAsia="Arial" w:hAnsi="Arial"/>
                <w:sz w:val="10"/>
                <w:szCs w:val="10"/>
                <w:color w:val="auto"/>
              </w:rPr>
              <w:t>(92,778)</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1,936.81</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Transfers</w:t>
            </w:r>
          </w:p>
        </w:tc>
        <w:tc>
          <w:tcPr>
            <w:tcW w:w="1020" w:type="dxa"/>
            <w:vAlign w:val="bottom"/>
          </w:tcPr>
          <w:p>
            <w:pPr>
              <w:jc w:val="right"/>
              <w:spacing w:after="0"/>
              <w:rPr>
                <w:sz w:val="20"/>
                <w:szCs w:val="20"/>
                <w:color w:val="auto"/>
              </w:rPr>
            </w:pPr>
            <w:r>
              <w:rPr>
                <w:rFonts w:ascii="Arial" w:cs="Arial" w:eastAsia="Arial" w:hAnsi="Arial"/>
                <w:sz w:val="10"/>
                <w:szCs w:val="10"/>
                <w:color w:val="auto"/>
              </w:rPr>
              <w:t>1,934</w:t>
            </w:r>
          </w:p>
        </w:tc>
        <w:tc>
          <w:tcPr>
            <w:tcW w:w="960" w:type="dxa"/>
            <w:vAlign w:val="bottom"/>
          </w:tcPr>
          <w:p>
            <w:pPr>
              <w:jc w:val="right"/>
              <w:spacing w:after="0"/>
              <w:rPr>
                <w:sz w:val="20"/>
                <w:szCs w:val="20"/>
                <w:color w:val="auto"/>
              </w:rPr>
            </w:pPr>
            <w:r>
              <w:rPr>
                <w:rFonts w:ascii="Arial" w:cs="Arial" w:eastAsia="Arial" w:hAnsi="Arial"/>
                <w:sz w:val="10"/>
                <w:szCs w:val="10"/>
                <w:color w:val="auto"/>
              </w:rPr>
              <w:t>(3,556)</w:t>
            </w:r>
          </w:p>
        </w:tc>
        <w:tc>
          <w:tcPr>
            <w:tcW w:w="940" w:type="dxa"/>
            <w:vAlign w:val="bottom"/>
          </w:tcPr>
          <w:p>
            <w:pPr>
              <w:jc w:val="right"/>
              <w:spacing w:after="0"/>
              <w:rPr>
                <w:sz w:val="20"/>
                <w:szCs w:val="20"/>
                <w:color w:val="auto"/>
              </w:rPr>
            </w:pPr>
            <w:r>
              <w:rPr>
                <w:rFonts w:ascii="Arial" w:cs="Arial" w:eastAsia="Arial" w:hAnsi="Arial"/>
                <w:sz w:val="10"/>
                <w:szCs w:val="10"/>
                <w:color w:val="auto"/>
              </w:rPr>
              <w:t>(128,054)</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129,676</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8"/>
        </w:trPr>
        <w:tc>
          <w:tcPr>
            <w:tcW w:w="2320" w:type="dxa"/>
            <w:vAlign w:val="bottom"/>
          </w:tcPr>
          <w:p>
            <w:pPr>
              <w:ind w:left="20"/>
              <w:spacing w:after="0"/>
              <w:rPr>
                <w:sz w:val="20"/>
                <w:szCs w:val="20"/>
                <w:color w:val="auto"/>
              </w:rPr>
            </w:pPr>
            <w:r>
              <w:rPr>
                <w:rFonts w:ascii="Arial" w:cs="Arial" w:eastAsia="Arial" w:hAnsi="Arial"/>
                <w:sz w:val="10"/>
                <w:szCs w:val="10"/>
                <w:b w:val="1"/>
                <w:bCs w:val="1"/>
                <w:color w:val="auto"/>
              </w:rPr>
              <w:t>Outstanding at December 31, 2025</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5,786</w:t>
            </w:r>
          </w:p>
        </w:tc>
        <w:tc>
          <w:tcPr>
            <w:tcW w:w="960" w:type="dxa"/>
            <w:vAlign w:val="bottom"/>
          </w:tcPr>
          <w:p>
            <w:pPr>
              <w:jc w:val="right"/>
              <w:ind w:right="8"/>
              <w:spacing w:after="0"/>
              <w:rPr>
                <w:sz w:val="20"/>
                <w:szCs w:val="20"/>
                <w:color w:val="auto"/>
              </w:rPr>
            </w:pPr>
            <w:r>
              <w:rPr>
                <w:rFonts w:ascii="Arial" w:cs="Arial" w:eastAsia="Arial" w:hAnsi="Arial"/>
                <w:sz w:val="10"/>
                <w:szCs w:val="10"/>
                <w:b w:val="1"/>
                <w:bCs w:val="1"/>
                <w:color w:val="auto"/>
              </w:rPr>
              <w:t>26,215</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1,384,491</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115,133</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1,531,625</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1,975.81</w:t>
            </w:r>
          </w:p>
        </w:tc>
        <w:tc>
          <w:tcPr>
            <w:tcW w:w="9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2 %</w:t>
            </w:r>
          </w:p>
        </w:tc>
      </w:tr>
      <w:tr>
        <w:trPr>
          <w:trHeight w:val="146"/>
        </w:trPr>
        <w:tc>
          <w:tcPr>
            <w:tcW w:w="2320" w:type="dxa"/>
            <w:vAlign w:val="bottom"/>
          </w:tcPr>
          <w:p>
            <w:pPr>
              <w:ind w:left="20"/>
              <w:spacing w:after="0"/>
              <w:rPr>
                <w:sz w:val="20"/>
                <w:szCs w:val="20"/>
                <w:color w:val="auto"/>
              </w:rPr>
            </w:pPr>
            <w:r>
              <w:rPr>
                <w:rFonts w:ascii="Arial" w:cs="Arial" w:eastAsia="Arial" w:hAnsi="Arial"/>
                <w:sz w:val="10"/>
                <w:szCs w:val="10"/>
                <w:color w:val="auto"/>
              </w:rPr>
              <w:t>Exercisable at year end</w:t>
            </w:r>
          </w:p>
        </w:tc>
        <w:tc>
          <w:tcPr>
            <w:tcW w:w="1020" w:type="dxa"/>
            <w:vAlign w:val="bottom"/>
          </w:tcPr>
          <w:p>
            <w:pPr>
              <w:jc w:val="right"/>
              <w:spacing w:after="0"/>
              <w:rPr>
                <w:sz w:val="20"/>
                <w:szCs w:val="20"/>
                <w:color w:val="auto"/>
              </w:rPr>
            </w:pPr>
            <w:r>
              <w:rPr>
                <w:rFonts w:ascii="Arial" w:cs="Arial" w:eastAsia="Arial" w:hAnsi="Arial"/>
                <w:sz w:val="10"/>
                <w:szCs w:val="10"/>
                <w:color w:val="auto"/>
              </w:rPr>
              <w:t>2,325</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22,442</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411,526</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96,028</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532,321</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2,109.73</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52"/>
        </w:trPr>
        <w:tc>
          <w:tcPr>
            <w:tcW w:w="2320" w:type="dxa"/>
            <w:vAlign w:val="bottom"/>
          </w:tcPr>
          <w:p>
            <w:pPr>
              <w:ind w:left="20"/>
              <w:spacing w:after="0"/>
              <w:rPr>
                <w:sz w:val="20"/>
                <w:szCs w:val="20"/>
                <w:color w:val="auto"/>
              </w:rPr>
            </w:pPr>
            <w:r>
              <w:rPr>
                <w:rFonts w:ascii="Arial" w:cs="Arial" w:eastAsia="Arial" w:hAnsi="Arial"/>
                <w:sz w:val="10"/>
                <w:szCs w:val="10"/>
                <w:color w:val="auto"/>
              </w:rPr>
              <w:t>Exercisable warrants in the money at year end</w:t>
            </w:r>
          </w:p>
        </w:tc>
        <w:tc>
          <w:tcPr>
            <w:tcW w:w="1020" w:type="dxa"/>
            <w:vAlign w:val="bottom"/>
          </w:tcPr>
          <w:p>
            <w:pPr>
              <w:jc w:val="right"/>
              <w:spacing w:after="0"/>
              <w:rPr>
                <w:sz w:val="20"/>
                <w:szCs w:val="20"/>
                <w:color w:val="auto"/>
              </w:rPr>
            </w:pPr>
            <w:r>
              <w:rPr>
                <w:rFonts w:ascii="Arial" w:cs="Arial" w:eastAsia="Arial" w:hAnsi="Arial"/>
                <w:sz w:val="10"/>
                <w:szCs w:val="10"/>
                <w:color w:val="auto"/>
              </w:rPr>
              <w:t>617</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5,597</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88,025</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23,214</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117,453</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1,546.60</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235" w:lineRule="auto"/>
        <w:rPr>
          <w:sz w:val="20"/>
          <w:szCs w:val="20"/>
          <w:color w:val="auto"/>
        </w:rPr>
      </w:pPr>
      <w:r>
        <w:rPr>
          <w:rFonts w:ascii="Arial" w:cs="Arial" w:eastAsia="Arial" w:hAnsi="Arial"/>
          <w:sz w:val="9"/>
          <w:szCs w:val="9"/>
          <w:color w:val="auto"/>
        </w:rPr>
        <w:t>1.Warrants held by the Board include warrants granted to employee-elected Board Members as employees of Genmab A/S or its subsidiaries.</w:t>
      </w:r>
    </w:p>
    <w:p>
      <w:pPr>
        <w:spacing w:after="0"/>
        <w:rPr>
          <w:rFonts w:ascii="Arial" w:cs="Arial" w:eastAsia="Arial" w:hAnsi="Arial"/>
          <w:sz w:val="10"/>
          <w:szCs w:val="10"/>
          <w:color w:val="691A6B"/>
        </w:rPr>
      </w:pPr>
      <w:hyperlink w:anchor="page154">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5.1 </w:t>
      </w:r>
      <w:hyperlink w:anchor="page154">
        <w:r>
          <w:rPr>
            <w:rFonts w:ascii="Arial" w:cs="Arial" w:eastAsia="Arial" w:hAnsi="Arial"/>
            <w:sz w:val="10"/>
            <w:szCs w:val="10"/>
            <w:color w:val="691A6B"/>
          </w:rPr>
          <w:t>for additional information regarding compensation of the Executive Management and the Board of Directors.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142</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3"/>
          <w:szCs w:val="13"/>
          <w:b w:val="1"/>
          <w:bCs w:val="1"/>
          <w:color w:val="691A6B"/>
        </w:rPr>
        <w:t>Weighted Average Outstanding Warrants at December 31, 2025</w:t>
      </w:r>
    </w:p>
    <w:p>
      <w:pPr>
        <w:spacing w:after="0" w:line="199" w:lineRule="auto"/>
        <w:rPr>
          <w:sz w:val="20"/>
          <w:szCs w:val="20"/>
          <w:color w:val="auto"/>
        </w:rPr>
      </w:pPr>
      <w:r>
        <w:rPr>
          <w:rFonts w:ascii="Arial" w:cs="Arial" w:eastAsia="Arial" w:hAnsi="Arial"/>
          <w:sz w:val="10"/>
          <w:szCs w:val="10"/>
          <w:color w:val="auto"/>
        </w:rPr>
        <w:t>As of December 31, 2025, the range of exercise prices for outstanding warrants was DKK 962 to DKK</w:t>
      </w:r>
    </w:p>
    <w:p>
      <w:pPr>
        <w:spacing w:after="0" w:line="199" w:lineRule="auto"/>
        <w:rPr>
          <w:sz w:val="20"/>
          <w:szCs w:val="20"/>
          <w:color w:val="auto"/>
        </w:rPr>
      </w:pPr>
      <w:r>
        <w:rPr>
          <w:rFonts w:ascii="Arial" w:cs="Arial" w:eastAsia="Arial" w:hAnsi="Arial"/>
          <w:sz w:val="10"/>
          <w:szCs w:val="10"/>
          <w:color w:val="auto"/>
        </w:rPr>
        <w:t>3,172 with a weighted average remaining contractual life of 4.42 years. As of December 31, 2024, the</w:t>
      </w:r>
    </w:p>
    <w:p>
      <w:pPr>
        <w:spacing w:after="0" w:line="198" w:lineRule="auto"/>
        <w:rPr>
          <w:sz w:val="20"/>
          <w:szCs w:val="20"/>
          <w:color w:val="auto"/>
        </w:rPr>
      </w:pPr>
      <w:r>
        <w:rPr>
          <w:rFonts w:ascii="Arial" w:cs="Arial" w:eastAsia="Arial" w:hAnsi="Arial"/>
          <w:sz w:val="10"/>
          <w:szCs w:val="10"/>
          <w:color w:val="auto"/>
        </w:rPr>
        <w:t>range of exercise prices for outstanding warrants was DKK 962 to DKK 3,172 with a weighted average</w:t>
      </w:r>
    </w:p>
    <w:p>
      <w:pPr>
        <w:spacing w:after="0" w:line="224" w:lineRule="auto"/>
        <w:rPr>
          <w:sz w:val="20"/>
          <w:szCs w:val="20"/>
          <w:color w:val="auto"/>
        </w:rPr>
      </w:pPr>
      <w:r>
        <w:rPr>
          <w:rFonts w:ascii="Arial" w:cs="Arial" w:eastAsia="Arial" w:hAnsi="Arial"/>
          <w:sz w:val="10"/>
          <w:szCs w:val="10"/>
          <w:color w:val="auto"/>
        </w:rPr>
        <w:t>remaining contractual life of 4.24 years.</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Share-Based Compensation Expenses</w:t>
      </w:r>
    </w:p>
    <w:p>
      <w:pPr>
        <w:spacing w:after="0" w:line="198" w:lineRule="auto"/>
        <w:rPr>
          <w:sz w:val="20"/>
          <w:szCs w:val="20"/>
          <w:color w:val="auto"/>
        </w:rPr>
      </w:pPr>
      <w:r>
        <w:rPr>
          <w:rFonts w:ascii="Arial" w:cs="Arial" w:eastAsia="Arial" w:hAnsi="Arial"/>
          <w:sz w:val="10"/>
          <w:szCs w:val="10"/>
          <w:color w:val="auto"/>
        </w:rPr>
        <w:t>Share-based compensation expense is recognized in the Consolidated Statements of Comprehensive</w:t>
      </w:r>
    </w:p>
    <w:p>
      <w:pPr>
        <w:spacing w:after="0" w:line="199" w:lineRule="auto"/>
        <w:rPr>
          <w:sz w:val="20"/>
          <w:szCs w:val="20"/>
          <w:color w:val="auto"/>
        </w:rPr>
      </w:pPr>
      <w:r>
        <w:rPr>
          <w:rFonts w:ascii="Arial" w:cs="Arial" w:eastAsia="Arial" w:hAnsi="Arial"/>
          <w:sz w:val="10"/>
          <w:szCs w:val="10"/>
          <w:color w:val="auto"/>
        </w:rPr>
        <w:t>Income based on the estimated fair value of the awards at grant date. Subsequently, the fair value is</w:t>
      </w:r>
    </w:p>
    <w:p>
      <w:pPr>
        <w:spacing w:after="0" w:line="198" w:lineRule="auto"/>
        <w:rPr>
          <w:sz w:val="20"/>
          <w:szCs w:val="20"/>
          <w:color w:val="auto"/>
        </w:rPr>
      </w:pPr>
      <w:r>
        <w:rPr>
          <w:rFonts w:ascii="Arial" w:cs="Arial" w:eastAsia="Arial" w:hAnsi="Arial"/>
          <w:sz w:val="10"/>
          <w:szCs w:val="10"/>
          <w:color w:val="auto"/>
        </w:rPr>
        <w:t>not remeasured. The expense recognized reflects an estimate of the number of awards expected to vest</w:t>
      </w:r>
    </w:p>
    <w:p>
      <w:pPr>
        <w:spacing w:after="0" w:line="199" w:lineRule="auto"/>
        <w:rPr>
          <w:sz w:val="20"/>
          <w:szCs w:val="20"/>
          <w:color w:val="auto"/>
        </w:rPr>
      </w:pPr>
      <w:r>
        <w:rPr>
          <w:rFonts w:ascii="Arial" w:cs="Arial" w:eastAsia="Arial" w:hAnsi="Arial"/>
          <w:sz w:val="10"/>
          <w:szCs w:val="10"/>
          <w:color w:val="auto"/>
        </w:rPr>
        <w:t>after taking into consideration an estimate of award forfeitures based on historical experience and is</w:t>
      </w:r>
    </w:p>
    <w:p>
      <w:pPr>
        <w:spacing w:after="0" w:line="199" w:lineRule="auto"/>
        <w:rPr>
          <w:sz w:val="20"/>
          <w:szCs w:val="20"/>
          <w:color w:val="auto"/>
        </w:rPr>
      </w:pPr>
      <w:r>
        <w:rPr>
          <w:rFonts w:ascii="Arial" w:cs="Arial" w:eastAsia="Arial" w:hAnsi="Arial"/>
          <w:sz w:val="10"/>
          <w:szCs w:val="10"/>
          <w:color w:val="auto"/>
        </w:rPr>
        <w:t>recognized on a straight-line basis over the requisite service period, which is the vesting period.</w:t>
      </w:r>
    </w:p>
    <w:p>
      <w:pPr>
        <w:spacing w:after="0" w:line="198" w:lineRule="auto"/>
        <w:rPr>
          <w:sz w:val="20"/>
          <w:szCs w:val="20"/>
          <w:color w:val="auto"/>
        </w:rPr>
      </w:pPr>
      <w:r>
        <w:rPr>
          <w:rFonts w:ascii="Arial" w:cs="Arial" w:eastAsia="Arial" w:hAnsi="Arial"/>
          <w:sz w:val="10"/>
          <w:szCs w:val="10"/>
          <w:color w:val="auto"/>
        </w:rPr>
        <w:t>Genmab reassesses its estimate of the number of shares expected to vest periodically.</w:t>
      </w:r>
    </w:p>
    <w:p>
      <w:pPr>
        <w:spacing w:after="0" w:line="199" w:lineRule="auto"/>
        <w:rPr>
          <w:sz w:val="20"/>
          <w:szCs w:val="20"/>
          <w:color w:val="auto"/>
        </w:rPr>
      </w:pPr>
      <w:r>
        <w:rPr>
          <w:rFonts w:ascii="Arial" w:cs="Arial" w:eastAsia="Arial" w:hAnsi="Arial"/>
          <w:sz w:val="10"/>
          <w:szCs w:val="10"/>
          <w:color w:val="auto"/>
        </w:rPr>
        <w:t>Management expectations related to the achievement of performance goals associated with performance-</w:t>
      </w:r>
    </w:p>
    <w:p>
      <w:pPr>
        <w:spacing w:after="0" w:line="199" w:lineRule="auto"/>
        <w:rPr>
          <w:sz w:val="20"/>
          <w:szCs w:val="20"/>
          <w:color w:val="auto"/>
        </w:rPr>
      </w:pPr>
      <w:r>
        <w:rPr>
          <w:rFonts w:ascii="Arial" w:cs="Arial" w:eastAsia="Arial" w:hAnsi="Arial"/>
          <w:sz w:val="10"/>
          <w:szCs w:val="10"/>
          <w:color w:val="auto"/>
        </w:rPr>
        <w:t>based RSU grants are assessed periodically, and that assessment is used to determine whether such</w:t>
      </w:r>
    </w:p>
    <w:p>
      <w:pPr>
        <w:spacing w:after="0" w:line="198" w:lineRule="auto"/>
        <w:rPr>
          <w:sz w:val="20"/>
          <w:szCs w:val="20"/>
          <w:color w:val="auto"/>
        </w:rPr>
      </w:pPr>
      <w:r>
        <w:rPr>
          <w:rFonts w:ascii="Arial" w:cs="Arial" w:eastAsia="Arial" w:hAnsi="Arial"/>
          <w:sz w:val="10"/>
          <w:szCs w:val="10"/>
          <w:color w:val="auto"/>
        </w:rPr>
        <w:t>grants are expected to vest or if any revision to the current estimate is required. Genmab recognizes the</w:t>
      </w:r>
    </w:p>
    <w:p>
      <w:pPr>
        <w:spacing w:after="0" w:line="199" w:lineRule="auto"/>
        <w:rPr>
          <w:sz w:val="20"/>
          <w:szCs w:val="20"/>
          <w:color w:val="auto"/>
        </w:rPr>
      </w:pPr>
      <w:r>
        <w:rPr>
          <w:rFonts w:ascii="Arial" w:cs="Arial" w:eastAsia="Arial" w:hAnsi="Arial"/>
          <w:sz w:val="10"/>
          <w:szCs w:val="10"/>
          <w:color w:val="auto"/>
        </w:rPr>
        <w:t>impact of the revised estimate of the number of awards expected to vest, if any, as an adjustment to the</w:t>
      </w:r>
    </w:p>
    <w:p>
      <w:pPr>
        <w:spacing w:after="0" w:line="199" w:lineRule="auto"/>
        <w:rPr>
          <w:sz w:val="20"/>
          <w:szCs w:val="20"/>
          <w:color w:val="auto"/>
        </w:rPr>
      </w:pPr>
      <w:r>
        <w:rPr>
          <w:rFonts w:ascii="Arial" w:cs="Arial" w:eastAsia="Arial" w:hAnsi="Arial"/>
          <w:sz w:val="10"/>
          <w:szCs w:val="10"/>
          <w:color w:val="auto"/>
        </w:rPr>
        <w:t>income statement over the remaining vesting period. If performance-based milestones related to</w:t>
      </w:r>
    </w:p>
    <w:p>
      <w:pPr>
        <w:spacing w:after="0" w:line="198" w:lineRule="auto"/>
        <w:rPr>
          <w:sz w:val="20"/>
          <w:szCs w:val="20"/>
          <w:color w:val="auto"/>
        </w:rPr>
      </w:pPr>
      <w:r>
        <w:rPr>
          <w:rFonts w:ascii="Arial" w:cs="Arial" w:eastAsia="Arial" w:hAnsi="Arial"/>
          <w:sz w:val="10"/>
          <w:szCs w:val="10"/>
          <w:color w:val="auto"/>
        </w:rPr>
        <w:t>performance-based RSU grants are not met or not expected to be met, any share-based compensation</w:t>
      </w:r>
    </w:p>
    <w:p>
      <w:pPr>
        <w:spacing w:after="0" w:line="199" w:lineRule="auto"/>
        <w:rPr>
          <w:sz w:val="20"/>
          <w:szCs w:val="20"/>
          <w:color w:val="auto"/>
        </w:rPr>
      </w:pPr>
      <w:r>
        <w:rPr>
          <w:rFonts w:ascii="Arial" w:cs="Arial" w:eastAsia="Arial" w:hAnsi="Arial"/>
          <w:sz w:val="10"/>
          <w:szCs w:val="10"/>
          <w:color w:val="auto"/>
        </w:rPr>
        <w:t>expense recognized to date associated with grants that are not expected to vest will be reversed.</w:t>
      </w:r>
    </w:p>
    <w:p>
      <w:pPr>
        <w:spacing w:after="0" w:line="198" w:lineRule="auto"/>
        <w:rPr>
          <w:sz w:val="20"/>
          <w:szCs w:val="20"/>
          <w:color w:val="auto"/>
        </w:rPr>
      </w:pPr>
      <w:r>
        <w:rPr>
          <w:rFonts w:ascii="Arial" w:cs="Arial" w:eastAsia="Arial" w:hAnsi="Arial"/>
          <w:sz w:val="10"/>
          <w:szCs w:val="10"/>
          <w:color w:val="auto"/>
        </w:rPr>
        <w:t>Share-based compensation expenses represent calculated values of warrants, RSUs and performance-</w:t>
      </w:r>
    </w:p>
    <w:p>
      <w:pPr>
        <w:spacing w:after="0" w:line="199" w:lineRule="auto"/>
        <w:rPr>
          <w:sz w:val="20"/>
          <w:szCs w:val="20"/>
          <w:color w:val="auto"/>
        </w:rPr>
      </w:pPr>
      <w:r>
        <w:rPr>
          <w:rFonts w:ascii="Arial" w:cs="Arial" w:eastAsia="Arial" w:hAnsi="Arial"/>
          <w:sz w:val="10"/>
          <w:szCs w:val="10"/>
          <w:color w:val="auto"/>
        </w:rPr>
        <w:t>based RSUs granted and do not represent actual cash expenditures. A corresponding amount is</w:t>
      </w:r>
    </w:p>
    <w:p>
      <w:pPr>
        <w:spacing w:after="0" w:line="199" w:lineRule="auto"/>
        <w:rPr>
          <w:sz w:val="20"/>
          <w:szCs w:val="20"/>
          <w:color w:val="auto"/>
        </w:rPr>
      </w:pPr>
      <w:r>
        <w:rPr>
          <w:rFonts w:ascii="Arial" w:cs="Arial" w:eastAsia="Arial" w:hAnsi="Arial"/>
          <w:sz w:val="10"/>
          <w:szCs w:val="10"/>
          <w:color w:val="auto"/>
        </w:rPr>
        <w:t>recognized in shareholders’ equity as the warrant, RSU and performance-based RSU programs are</w:t>
      </w:r>
    </w:p>
    <w:p>
      <w:pPr>
        <w:spacing w:after="0" w:line="198" w:lineRule="auto"/>
        <w:rPr>
          <w:sz w:val="20"/>
          <w:szCs w:val="20"/>
          <w:color w:val="auto"/>
        </w:rPr>
      </w:pPr>
      <w:r>
        <w:rPr>
          <w:rFonts w:ascii="Arial" w:cs="Arial" w:eastAsia="Arial" w:hAnsi="Arial"/>
          <w:sz w:val="10"/>
          <w:szCs w:val="10"/>
          <w:color w:val="auto"/>
        </w:rPr>
        <w:t>designated as equity-settled share-based payment transactions.</w:t>
      </w:r>
    </w:p>
    <w:p>
      <w:pPr>
        <w:spacing w:after="0" w:line="199" w:lineRule="auto"/>
        <w:rPr>
          <w:sz w:val="20"/>
          <w:szCs w:val="20"/>
          <w:color w:val="auto"/>
        </w:rPr>
      </w:pPr>
      <w:r>
        <w:rPr>
          <w:rFonts w:ascii="Arial" w:cs="Arial" w:eastAsia="Arial" w:hAnsi="Arial"/>
          <w:sz w:val="10"/>
          <w:szCs w:val="10"/>
          <w:color w:val="auto"/>
        </w:rPr>
        <w:t>The fair value of each RSU and performance-based RSU granted during the year is calculated using</w:t>
      </w:r>
    </w:p>
    <w:p>
      <w:pPr>
        <w:spacing w:after="0" w:line="199" w:lineRule="auto"/>
        <w:rPr>
          <w:sz w:val="20"/>
          <w:szCs w:val="20"/>
          <w:color w:val="auto"/>
        </w:rPr>
      </w:pPr>
      <w:r>
        <w:rPr>
          <w:rFonts w:ascii="Arial" w:cs="Arial" w:eastAsia="Arial" w:hAnsi="Arial"/>
          <w:sz w:val="10"/>
          <w:szCs w:val="10"/>
          <w:color w:val="auto"/>
        </w:rPr>
        <w:t>the closing share price on the grant date. Below is a description of how the fair value of warrants is</w:t>
      </w:r>
    </w:p>
    <w:p>
      <w:pPr>
        <w:spacing w:after="0" w:line="224" w:lineRule="auto"/>
        <w:rPr>
          <w:sz w:val="20"/>
          <w:szCs w:val="20"/>
          <w:color w:val="auto"/>
        </w:rPr>
      </w:pPr>
      <w:r>
        <w:rPr>
          <w:rFonts w:ascii="Arial" w:cs="Arial" w:eastAsia="Arial" w:hAnsi="Arial"/>
          <w:sz w:val="10"/>
          <w:szCs w:val="10"/>
          <w:color w:val="auto"/>
        </w:rPr>
        <w:t>measured and the estimates involved.</w:t>
      </w:r>
    </w:p>
    <w:p>
      <w:pPr>
        <w:ind w:left="260"/>
        <w:spacing w:after="0"/>
        <w:rPr>
          <w:sz w:val="20"/>
          <w:szCs w:val="20"/>
          <w:color w:val="auto"/>
        </w:rPr>
      </w:pPr>
      <w:r>
        <w:rPr>
          <w:rFonts w:ascii="Arial" w:cs="Arial" w:eastAsia="Arial" w:hAnsi="Arial"/>
          <w:sz w:val="13"/>
          <w:szCs w:val="13"/>
          <w:b w:val="1"/>
          <w:bCs w:val="1"/>
          <w:color w:val="691A6B"/>
        </w:rPr>
        <w:t>Management’s Judgements and Estimates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Share-Based Compensation Expenses</w:t>
      </w:r>
    </w:p>
    <w:p>
      <w:pPr>
        <w:spacing w:after="0" w:line="198" w:lineRule="auto"/>
        <w:rPr>
          <w:sz w:val="20"/>
          <w:szCs w:val="20"/>
          <w:color w:val="auto"/>
        </w:rPr>
      </w:pPr>
      <w:r>
        <w:rPr>
          <w:rFonts w:ascii="Arial" w:cs="Arial" w:eastAsia="Arial" w:hAnsi="Arial"/>
          <w:sz w:val="10"/>
          <w:szCs w:val="10"/>
          <w:color w:val="auto"/>
        </w:rPr>
        <w:t>The fair value of each warrant granted during the year is calculated using the Black-Scholes pricing model.</w:t>
      </w:r>
    </w:p>
    <w:p>
      <w:pPr>
        <w:spacing w:after="0" w:line="199" w:lineRule="auto"/>
        <w:rPr>
          <w:sz w:val="20"/>
          <w:szCs w:val="20"/>
          <w:color w:val="auto"/>
        </w:rPr>
      </w:pPr>
      <w:r>
        <w:rPr>
          <w:rFonts w:ascii="Arial" w:cs="Arial" w:eastAsia="Arial" w:hAnsi="Arial"/>
          <w:sz w:val="10"/>
          <w:szCs w:val="10"/>
          <w:color w:val="auto"/>
        </w:rPr>
        <w:t>This pricing model requires the input of subjective assumptions such as:</w:t>
      </w:r>
    </w:p>
    <w:p>
      <w:pPr>
        <w:spacing w:after="0" w:line="198" w:lineRule="auto"/>
        <w:rPr>
          <w:sz w:val="20"/>
          <w:szCs w:val="20"/>
          <w:color w:val="auto"/>
        </w:rPr>
      </w:pPr>
      <w:r>
        <w:rPr>
          <w:rFonts w:ascii="Arial" w:cs="Arial" w:eastAsia="Arial" w:hAnsi="Arial"/>
          <w:sz w:val="10"/>
          <w:szCs w:val="10"/>
          <w:color w:val="auto"/>
        </w:rPr>
        <w:t xml:space="preserve">•The </w:t>
      </w:r>
      <w:r>
        <w:rPr>
          <w:rFonts w:ascii="Arial" w:cs="Arial" w:eastAsia="Arial" w:hAnsi="Arial"/>
          <w:sz w:val="10"/>
          <w:szCs w:val="10"/>
          <w:b w:val="1"/>
          <w:bCs w:val="1"/>
          <w:color w:val="auto"/>
        </w:rPr>
        <w:t>expected stock price volatility</w:t>
      </w:r>
      <w:r>
        <w:rPr>
          <w:rFonts w:ascii="Arial" w:cs="Arial" w:eastAsia="Arial" w:hAnsi="Arial"/>
          <w:sz w:val="10"/>
          <w:szCs w:val="10"/>
          <w:color w:val="auto"/>
        </w:rPr>
        <w:t>, which is based upon the historical volatility of Genmab’s</w:t>
      </w:r>
    </w:p>
    <w:p>
      <w:pPr>
        <w:spacing w:after="0" w:line="199" w:lineRule="auto"/>
        <w:rPr>
          <w:sz w:val="20"/>
          <w:szCs w:val="20"/>
          <w:color w:val="auto"/>
        </w:rPr>
      </w:pPr>
      <w:r>
        <w:rPr>
          <w:rFonts w:ascii="Arial" w:cs="Arial" w:eastAsia="Arial" w:hAnsi="Arial"/>
          <w:sz w:val="10"/>
          <w:szCs w:val="10"/>
          <w:color w:val="auto"/>
        </w:rPr>
        <w:t>stock price;</w:t>
      </w:r>
    </w:p>
    <w:p>
      <w:pPr>
        <w:spacing w:after="0" w:line="199" w:lineRule="auto"/>
        <w:rPr>
          <w:sz w:val="20"/>
          <w:szCs w:val="20"/>
          <w:color w:val="auto"/>
        </w:rPr>
      </w:pPr>
      <w:r>
        <w:rPr>
          <w:rFonts w:ascii="Arial" w:cs="Arial" w:eastAsia="Arial" w:hAnsi="Arial"/>
          <w:sz w:val="10"/>
          <w:szCs w:val="10"/>
          <w:color w:val="auto"/>
        </w:rPr>
        <w:t xml:space="preserve">•The </w:t>
      </w:r>
      <w:r>
        <w:rPr>
          <w:rFonts w:ascii="Arial" w:cs="Arial" w:eastAsia="Arial" w:hAnsi="Arial"/>
          <w:sz w:val="10"/>
          <w:szCs w:val="10"/>
          <w:b w:val="1"/>
          <w:bCs w:val="1"/>
          <w:color w:val="auto"/>
        </w:rPr>
        <w:t>risk-free interest rate</w:t>
      </w:r>
      <w:r>
        <w:rPr>
          <w:rFonts w:ascii="Arial" w:cs="Arial" w:eastAsia="Arial" w:hAnsi="Arial"/>
          <w:sz w:val="10"/>
          <w:szCs w:val="10"/>
          <w:color w:val="auto"/>
        </w:rPr>
        <w:t>, which is determined as the interest rate on Danish government bonds</w:t>
      </w:r>
    </w:p>
    <w:p>
      <w:pPr>
        <w:spacing w:after="0" w:line="200" w:lineRule="auto"/>
        <w:rPr>
          <w:sz w:val="20"/>
          <w:szCs w:val="20"/>
          <w:color w:val="auto"/>
        </w:rPr>
      </w:pPr>
      <w:r>
        <w:rPr>
          <w:rFonts w:ascii="Arial" w:cs="Arial" w:eastAsia="Arial" w:hAnsi="Arial"/>
          <w:sz w:val="10"/>
          <w:szCs w:val="10"/>
          <w:color w:val="auto"/>
        </w:rPr>
        <w:t>(bullet issues) with an average maturity of five years;</w:t>
      </w:r>
    </w:p>
    <w:p>
      <w:pPr>
        <w:spacing w:after="0" w:line="215" w:lineRule="auto"/>
        <w:rPr>
          <w:sz w:val="20"/>
          <w:szCs w:val="20"/>
          <w:color w:val="auto"/>
        </w:rPr>
      </w:pPr>
      <w:r>
        <w:rPr>
          <w:rFonts w:ascii="Arial" w:cs="Arial" w:eastAsia="Arial" w:hAnsi="Arial"/>
          <w:sz w:val="10"/>
          <w:szCs w:val="10"/>
          <w:color w:val="auto"/>
        </w:rPr>
        <w:t xml:space="preserve">•The </w:t>
      </w:r>
      <w:r>
        <w:rPr>
          <w:rFonts w:ascii="Arial" w:cs="Arial" w:eastAsia="Arial" w:hAnsi="Arial"/>
          <w:sz w:val="11"/>
          <w:szCs w:val="11"/>
          <w:b w:val="1"/>
          <w:bCs w:val="1"/>
          <w:color w:val="auto"/>
        </w:rPr>
        <w:t>expected life of warrants</w:t>
      </w:r>
      <w:r>
        <w:rPr>
          <w:rFonts w:ascii="Arial" w:cs="Arial" w:eastAsia="Arial" w:hAnsi="Arial"/>
          <w:sz w:val="10"/>
          <w:szCs w:val="10"/>
          <w:color w:val="auto"/>
        </w:rPr>
        <w:t>, which is based on vesting terms, expected rate of exercise and life</w:t>
      </w:r>
    </w:p>
    <w:p>
      <w:pPr>
        <w:spacing w:after="0" w:line="199" w:lineRule="auto"/>
        <w:rPr>
          <w:sz w:val="20"/>
          <w:szCs w:val="20"/>
          <w:color w:val="auto"/>
        </w:rPr>
      </w:pPr>
      <w:r>
        <w:rPr>
          <w:rFonts w:ascii="Arial" w:cs="Arial" w:eastAsia="Arial" w:hAnsi="Arial"/>
          <w:sz w:val="10"/>
          <w:szCs w:val="10"/>
          <w:color w:val="auto"/>
        </w:rPr>
        <w:t>terms in the current warrant program.</w:t>
      </w:r>
    </w:p>
    <w:p>
      <w:pPr>
        <w:spacing w:after="0" w:line="204" w:lineRule="auto"/>
        <w:rPr>
          <w:sz w:val="20"/>
          <w:szCs w:val="20"/>
          <w:color w:val="auto"/>
        </w:rPr>
      </w:pPr>
      <w:r>
        <w:rPr>
          <w:rFonts w:ascii="Arial" w:cs="Arial" w:eastAsia="Arial" w:hAnsi="Arial"/>
          <w:sz w:val="10"/>
          <w:szCs w:val="10"/>
          <w:color w:val="auto"/>
        </w:rPr>
        <w:t>These assumptions can vary over time and can change the fair value of future warrants granted.</w:t>
      </w:r>
    </w:p>
    <w:p>
      <w:pPr>
        <w:spacing w:after="0" w:line="210" w:lineRule="auto"/>
        <w:rPr>
          <w:sz w:val="20"/>
          <w:szCs w:val="20"/>
          <w:color w:val="auto"/>
        </w:rPr>
      </w:pPr>
      <w:r>
        <w:rPr>
          <w:rFonts w:ascii="Arial" w:cs="Arial" w:eastAsia="Arial" w:hAnsi="Arial"/>
          <w:sz w:val="13"/>
          <w:szCs w:val="13"/>
          <w:b w:val="1"/>
          <w:bCs w:val="1"/>
          <w:color w:val="691A6B"/>
        </w:rPr>
        <w:t>Valuation Assumptions for Warrants Granted in 2025, 2024 and 2023</w:t>
      </w:r>
    </w:p>
    <w:p>
      <w:pPr>
        <w:spacing w:after="0" w:line="198" w:lineRule="auto"/>
        <w:rPr>
          <w:sz w:val="20"/>
          <w:szCs w:val="20"/>
          <w:color w:val="auto"/>
        </w:rPr>
      </w:pPr>
      <w:r>
        <w:rPr>
          <w:rFonts w:ascii="Arial" w:cs="Arial" w:eastAsia="Arial" w:hAnsi="Arial"/>
          <w:sz w:val="10"/>
          <w:szCs w:val="10"/>
          <w:color w:val="auto"/>
        </w:rPr>
        <w:t>The fair value of each warrant granted during the year is calculated using the Black-Scholes pricing model</w:t>
      </w:r>
    </w:p>
    <w:p>
      <w:pPr>
        <w:spacing w:after="0" w:line="218" w:lineRule="auto"/>
        <w:rPr>
          <w:sz w:val="20"/>
          <w:szCs w:val="20"/>
          <w:color w:val="auto"/>
        </w:rPr>
      </w:pPr>
      <w:r>
        <w:rPr>
          <w:rFonts w:ascii="Arial" w:cs="Arial" w:eastAsia="Arial" w:hAnsi="Arial"/>
          <w:sz w:val="10"/>
          <w:szCs w:val="10"/>
          <w:color w:val="auto"/>
        </w:rPr>
        <w:t>with the following assumptions:</w:t>
      </w:r>
    </w:p>
    <w:tbl>
      <w:tblPr>
        <w:tblLayout w:type="fixed"/>
        <w:tblInd w:w="0" w:type="dxa"/>
        <w:tblCellMar>
          <w:top w:w="0" w:type="dxa"/>
          <w:left w:w="0" w:type="dxa"/>
          <w:bottom w:w="0" w:type="dxa"/>
          <w:right w:w="0" w:type="dxa"/>
        </w:tblCellMar>
      </w:tblPr>
      <w:tr>
        <w:trPr>
          <w:trHeight w:val="123"/>
        </w:trPr>
        <w:tc>
          <w:tcPr>
            <w:tcW w:w="1880" w:type="dxa"/>
            <w:vAlign w:val="bottom"/>
            <w:tcBorders>
              <w:top w:val="single" w:sz="8" w:color="691A6B"/>
            </w:tcBorders>
          </w:tcPr>
          <w:p>
            <w:pPr>
              <w:ind w:left="20"/>
              <w:spacing w:after="0"/>
              <w:rPr>
                <w:sz w:val="20"/>
                <w:szCs w:val="20"/>
                <w:color w:val="auto"/>
              </w:rPr>
            </w:pPr>
            <w:r>
              <w:rPr>
                <w:rFonts w:ascii="Arial" w:cs="Arial" w:eastAsia="Arial" w:hAnsi="Arial"/>
                <w:sz w:val="10"/>
                <w:szCs w:val="10"/>
                <w:color w:val="auto"/>
              </w:rPr>
              <w:t>Weighted average</w:t>
            </w:r>
          </w:p>
        </w:tc>
        <w:tc>
          <w:tcPr>
            <w:tcW w:w="1060" w:type="dxa"/>
            <w:vAlign w:val="bottom"/>
            <w:tcBorders>
              <w:top w:val="single" w:sz="8" w:color="691A6B"/>
            </w:tcBorders>
          </w:tcPr>
          <w:p>
            <w:pPr>
              <w:ind w:left="220"/>
              <w:spacing w:after="0"/>
              <w:rPr>
                <w:sz w:val="20"/>
                <w:szCs w:val="20"/>
                <w:color w:val="auto"/>
              </w:rPr>
            </w:pPr>
            <w:r>
              <w:rPr>
                <w:rFonts w:ascii="Arial" w:cs="Arial" w:eastAsia="Arial" w:hAnsi="Arial"/>
                <w:sz w:val="10"/>
                <w:szCs w:val="10"/>
                <w:b w:val="1"/>
                <w:bCs w:val="1"/>
                <w:color w:val="691A6B"/>
              </w:rPr>
              <w:t>2025</w:t>
            </w:r>
          </w:p>
        </w:tc>
        <w:tc>
          <w:tcPr>
            <w:tcW w:w="920" w:type="dxa"/>
            <w:vAlign w:val="bottom"/>
            <w:tcBorders>
              <w:top w:val="single" w:sz="8" w:color="691A6B"/>
            </w:tcBorders>
          </w:tcPr>
          <w:p>
            <w:pPr>
              <w:ind w:left="80"/>
              <w:spacing w:after="0"/>
              <w:rPr>
                <w:sz w:val="20"/>
                <w:szCs w:val="20"/>
                <w:color w:val="auto"/>
              </w:rPr>
            </w:pPr>
            <w:r>
              <w:rPr>
                <w:rFonts w:ascii="Arial" w:cs="Arial" w:eastAsia="Arial" w:hAnsi="Arial"/>
                <w:sz w:val="10"/>
                <w:szCs w:val="10"/>
                <w:b w:val="1"/>
                <w:bCs w:val="1"/>
                <w:color w:val="auto"/>
              </w:rPr>
              <w:t>2024</w:t>
            </w:r>
          </w:p>
        </w:tc>
        <w:tc>
          <w:tcPr>
            <w:tcW w:w="1020" w:type="dxa"/>
            <w:vAlign w:val="bottom"/>
            <w:tcBorders>
              <w:top w:val="single" w:sz="8" w:color="691A6B"/>
            </w:tcBorders>
          </w:tcPr>
          <w:p>
            <w:pPr>
              <w:ind w:left="100"/>
              <w:spacing w:after="0"/>
              <w:rPr>
                <w:sz w:val="20"/>
                <w:szCs w:val="20"/>
                <w:color w:val="auto"/>
              </w:rPr>
            </w:pPr>
            <w:r>
              <w:rPr>
                <w:rFonts w:ascii="Arial" w:cs="Arial" w:eastAsia="Arial" w:hAnsi="Arial"/>
                <w:sz w:val="10"/>
                <w:szCs w:val="10"/>
                <w:b w:val="1"/>
                <w:bCs w:val="1"/>
                <w:color w:val="auto"/>
              </w:rPr>
              <w:t>2023</w:t>
            </w:r>
          </w:p>
        </w:tc>
      </w:tr>
      <w:tr>
        <w:trPr>
          <w:trHeight w:val="137"/>
        </w:trPr>
        <w:tc>
          <w:tcPr>
            <w:tcW w:w="1880" w:type="dxa"/>
            <w:vAlign w:val="bottom"/>
          </w:tcPr>
          <w:p>
            <w:pPr>
              <w:ind w:left="20"/>
              <w:spacing w:after="0"/>
              <w:rPr>
                <w:sz w:val="20"/>
                <w:szCs w:val="20"/>
                <w:color w:val="auto"/>
              </w:rPr>
            </w:pPr>
            <w:r>
              <w:rPr>
                <w:rFonts w:ascii="Arial" w:cs="Arial" w:eastAsia="Arial" w:hAnsi="Arial"/>
                <w:sz w:val="10"/>
                <w:szCs w:val="10"/>
                <w:color w:val="auto"/>
              </w:rPr>
              <w:t>Fair value per warrant on grant date</w:t>
            </w:r>
          </w:p>
        </w:tc>
        <w:tc>
          <w:tcPr>
            <w:tcW w:w="1060" w:type="dxa"/>
            <w:vAlign w:val="bottom"/>
          </w:tcPr>
          <w:p>
            <w:pPr>
              <w:ind w:left="640"/>
              <w:spacing w:after="0"/>
              <w:rPr>
                <w:sz w:val="20"/>
                <w:szCs w:val="20"/>
                <w:color w:val="auto"/>
              </w:rPr>
            </w:pPr>
            <w:r>
              <w:rPr>
                <w:rFonts w:ascii="Arial" w:cs="Arial" w:eastAsia="Arial" w:hAnsi="Arial"/>
                <w:sz w:val="10"/>
                <w:szCs w:val="10"/>
                <w:color w:val="691A6B"/>
              </w:rPr>
              <w:t>503.09</w:t>
            </w:r>
          </w:p>
        </w:tc>
        <w:tc>
          <w:tcPr>
            <w:tcW w:w="920" w:type="dxa"/>
            <w:vAlign w:val="bottom"/>
          </w:tcPr>
          <w:p>
            <w:pPr>
              <w:ind w:left="520"/>
              <w:spacing w:after="0"/>
              <w:rPr>
                <w:sz w:val="20"/>
                <w:szCs w:val="20"/>
                <w:color w:val="auto"/>
              </w:rPr>
            </w:pPr>
            <w:r>
              <w:rPr>
                <w:rFonts w:ascii="Arial" w:cs="Arial" w:eastAsia="Arial" w:hAnsi="Arial"/>
                <w:sz w:val="10"/>
                <w:szCs w:val="10"/>
                <w:color w:val="auto"/>
              </w:rPr>
              <w:t>639.67</w:t>
            </w:r>
          </w:p>
        </w:tc>
        <w:tc>
          <w:tcPr>
            <w:tcW w:w="1020" w:type="dxa"/>
            <w:vAlign w:val="bottom"/>
          </w:tcPr>
          <w:p>
            <w:pPr>
              <w:ind w:left="520"/>
              <w:spacing w:after="0"/>
              <w:rPr>
                <w:sz w:val="20"/>
                <w:szCs w:val="20"/>
                <w:color w:val="auto"/>
              </w:rPr>
            </w:pPr>
            <w:r>
              <w:rPr>
                <w:rFonts w:ascii="Arial" w:cs="Arial" w:eastAsia="Arial" w:hAnsi="Arial"/>
                <w:sz w:val="10"/>
                <w:szCs w:val="10"/>
                <w:color w:val="auto"/>
              </w:rPr>
              <w:t>924.10</w:t>
            </w:r>
          </w:p>
        </w:tc>
      </w:tr>
      <w:tr>
        <w:trPr>
          <w:trHeight w:val="152"/>
        </w:trPr>
        <w:tc>
          <w:tcPr>
            <w:tcW w:w="1880" w:type="dxa"/>
            <w:vAlign w:val="bottom"/>
          </w:tcPr>
          <w:p>
            <w:pPr>
              <w:ind w:left="20"/>
              <w:spacing w:after="0"/>
              <w:rPr>
                <w:sz w:val="20"/>
                <w:szCs w:val="20"/>
                <w:color w:val="auto"/>
              </w:rPr>
            </w:pPr>
            <w:r>
              <w:rPr>
                <w:rFonts w:ascii="Arial" w:cs="Arial" w:eastAsia="Arial" w:hAnsi="Arial"/>
                <w:sz w:val="10"/>
                <w:szCs w:val="10"/>
                <w:color w:val="auto"/>
              </w:rPr>
              <w:t>Share price</w:t>
            </w:r>
          </w:p>
        </w:tc>
        <w:tc>
          <w:tcPr>
            <w:tcW w:w="1060" w:type="dxa"/>
            <w:vAlign w:val="bottom"/>
          </w:tcPr>
          <w:p>
            <w:pPr>
              <w:ind w:left="560"/>
              <w:spacing w:after="0"/>
              <w:rPr>
                <w:sz w:val="20"/>
                <w:szCs w:val="20"/>
                <w:color w:val="auto"/>
              </w:rPr>
            </w:pPr>
            <w:r>
              <w:rPr>
                <w:rFonts w:ascii="Arial" w:cs="Arial" w:eastAsia="Arial" w:hAnsi="Arial"/>
                <w:sz w:val="10"/>
                <w:szCs w:val="10"/>
                <w:color w:val="691A6B"/>
              </w:rPr>
              <w:t>1,613.94</w:t>
            </w:r>
          </w:p>
        </w:tc>
        <w:tc>
          <w:tcPr>
            <w:tcW w:w="920" w:type="dxa"/>
            <w:vAlign w:val="bottom"/>
          </w:tcPr>
          <w:p>
            <w:pPr>
              <w:ind w:left="440"/>
              <w:spacing w:after="0"/>
              <w:rPr>
                <w:sz w:val="20"/>
                <w:szCs w:val="20"/>
                <w:color w:val="auto"/>
              </w:rPr>
            </w:pPr>
            <w:r>
              <w:rPr>
                <w:rFonts w:ascii="Arial" w:cs="Arial" w:eastAsia="Arial" w:hAnsi="Arial"/>
                <w:sz w:val="10"/>
                <w:szCs w:val="10"/>
                <w:color w:val="auto"/>
              </w:rPr>
              <w:t>1,974.71</w:t>
            </w:r>
          </w:p>
        </w:tc>
        <w:tc>
          <w:tcPr>
            <w:tcW w:w="1020" w:type="dxa"/>
            <w:vAlign w:val="bottom"/>
          </w:tcPr>
          <w:p>
            <w:pPr>
              <w:ind w:left="440"/>
              <w:spacing w:after="0"/>
              <w:rPr>
                <w:sz w:val="20"/>
                <w:szCs w:val="20"/>
                <w:color w:val="auto"/>
              </w:rPr>
            </w:pPr>
            <w:r>
              <w:rPr>
                <w:rFonts w:ascii="Arial" w:cs="Arial" w:eastAsia="Arial" w:hAnsi="Arial"/>
                <w:sz w:val="10"/>
                <w:szCs w:val="10"/>
                <w:color w:val="auto"/>
              </w:rPr>
              <w:t>2,632.02</w:t>
            </w:r>
          </w:p>
        </w:tc>
      </w:tr>
      <w:tr>
        <w:trPr>
          <w:trHeight w:val="152"/>
        </w:trPr>
        <w:tc>
          <w:tcPr>
            <w:tcW w:w="1880" w:type="dxa"/>
            <w:vAlign w:val="bottom"/>
          </w:tcPr>
          <w:p>
            <w:pPr>
              <w:ind w:left="20"/>
              <w:spacing w:after="0"/>
              <w:rPr>
                <w:sz w:val="20"/>
                <w:szCs w:val="20"/>
                <w:color w:val="auto"/>
              </w:rPr>
            </w:pPr>
            <w:r>
              <w:rPr>
                <w:rFonts w:ascii="Arial" w:cs="Arial" w:eastAsia="Arial" w:hAnsi="Arial"/>
                <w:sz w:val="10"/>
                <w:szCs w:val="10"/>
                <w:color w:val="auto"/>
              </w:rPr>
              <w:t>Exercise price</w:t>
            </w:r>
          </w:p>
        </w:tc>
        <w:tc>
          <w:tcPr>
            <w:tcW w:w="1060" w:type="dxa"/>
            <w:vAlign w:val="bottom"/>
          </w:tcPr>
          <w:p>
            <w:pPr>
              <w:ind w:left="560"/>
              <w:spacing w:after="0"/>
              <w:rPr>
                <w:sz w:val="20"/>
                <w:szCs w:val="20"/>
                <w:color w:val="auto"/>
              </w:rPr>
            </w:pPr>
            <w:r>
              <w:rPr>
                <w:rFonts w:ascii="Arial" w:cs="Arial" w:eastAsia="Arial" w:hAnsi="Arial"/>
                <w:sz w:val="10"/>
                <w:szCs w:val="10"/>
                <w:color w:val="691A6B"/>
              </w:rPr>
              <w:t>1,613.94</w:t>
            </w:r>
          </w:p>
        </w:tc>
        <w:tc>
          <w:tcPr>
            <w:tcW w:w="920" w:type="dxa"/>
            <w:vAlign w:val="bottom"/>
          </w:tcPr>
          <w:p>
            <w:pPr>
              <w:ind w:left="440"/>
              <w:spacing w:after="0"/>
              <w:rPr>
                <w:sz w:val="20"/>
                <w:szCs w:val="20"/>
                <w:color w:val="auto"/>
              </w:rPr>
            </w:pPr>
            <w:r>
              <w:rPr>
                <w:rFonts w:ascii="Arial" w:cs="Arial" w:eastAsia="Arial" w:hAnsi="Arial"/>
                <w:sz w:val="10"/>
                <w:szCs w:val="10"/>
                <w:color w:val="auto"/>
              </w:rPr>
              <w:t>1,974.71</w:t>
            </w:r>
          </w:p>
        </w:tc>
        <w:tc>
          <w:tcPr>
            <w:tcW w:w="1020" w:type="dxa"/>
            <w:vAlign w:val="bottom"/>
          </w:tcPr>
          <w:p>
            <w:pPr>
              <w:ind w:left="440"/>
              <w:spacing w:after="0"/>
              <w:rPr>
                <w:sz w:val="20"/>
                <w:szCs w:val="20"/>
                <w:color w:val="auto"/>
              </w:rPr>
            </w:pPr>
            <w:r>
              <w:rPr>
                <w:rFonts w:ascii="Arial" w:cs="Arial" w:eastAsia="Arial" w:hAnsi="Arial"/>
                <w:sz w:val="10"/>
                <w:szCs w:val="10"/>
                <w:color w:val="auto"/>
              </w:rPr>
              <w:t>2,632.02</w:t>
            </w:r>
          </w:p>
        </w:tc>
      </w:tr>
      <w:tr>
        <w:trPr>
          <w:trHeight w:val="152"/>
        </w:trPr>
        <w:tc>
          <w:tcPr>
            <w:tcW w:w="1880" w:type="dxa"/>
            <w:vAlign w:val="bottom"/>
          </w:tcPr>
          <w:p>
            <w:pPr>
              <w:ind w:left="20"/>
              <w:spacing w:after="0"/>
              <w:rPr>
                <w:sz w:val="20"/>
                <w:szCs w:val="20"/>
                <w:color w:val="auto"/>
              </w:rPr>
            </w:pPr>
            <w:r>
              <w:rPr>
                <w:rFonts w:ascii="Arial" w:cs="Arial" w:eastAsia="Arial" w:hAnsi="Arial"/>
                <w:sz w:val="10"/>
                <w:szCs w:val="10"/>
                <w:color w:val="auto"/>
              </w:rPr>
              <w:t>Expected dividend yield</w:t>
            </w:r>
          </w:p>
        </w:tc>
        <w:tc>
          <w:tcPr>
            <w:tcW w:w="1060" w:type="dxa"/>
            <w:vAlign w:val="bottom"/>
          </w:tcPr>
          <w:p>
            <w:pPr>
              <w:ind w:left="220"/>
              <w:spacing w:after="0"/>
              <w:rPr>
                <w:sz w:val="20"/>
                <w:szCs w:val="20"/>
                <w:color w:val="auto"/>
              </w:rPr>
            </w:pPr>
            <w:r>
              <w:rPr>
                <w:rFonts w:ascii="Arial" w:cs="Arial" w:eastAsia="Arial" w:hAnsi="Arial"/>
                <w:sz w:val="10"/>
                <w:szCs w:val="10"/>
                <w:color w:val="691A6B"/>
              </w:rPr>
              <w:t>— %</w:t>
            </w:r>
          </w:p>
        </w:tc>
        <w:tc>
          <w:tcPr>
            <w:tcW w:w="920" w:type="dxa"/>
            <w:vAlign w:val="bottom"/>
          </w:tcPr>
          <w:p>
            <w:pPr>
              <w:ind w:left="80"/>
              <w:spacing w:after="0"/>
              <w:rPr>
                <w:sz w:val="20"/>
                <w:szCs w:val="20"/>
                <w:color w:val="auto"/>
              </w:rPr>
            </w:pPr>
            <w:r>
              <w:rPr>
                <w:rFonts w:ascii="Arial" w:cs="Arial" w:eastAsia="Arial" w:hAnsi="Arial"/>
                <w:sz w:val="10"/>
                <w:szCs w:val="10"/>
                <w:color w:val="auto"/>
              </w:rPr>
              <w:t>— %</w:t>
            </w:r>
          </w:p>
        </w:tc>
        <w:tc>
          <w:tcPr>
            <w:tcW w:w="1020" w:type="dxa"/>
            <w:vAlign w:val="bottom"/>
          </w:tcPr>
          <w:p>
            <w:pPr>
              <w:ind w:left="100"/>
              <w:spacing w:after="0"/>
              <w:rPr>
                <w:sz w:val="20"/>
                <w:szCs w:val="20"/>
                <w:color w:val="auto"/>
              </w:rPr>
            </w:pPr>
            <w:r>
              <w:rPr>
                <w:rFonts w:ascii="Arial" w:cs="Arial" w:eastAsia="Arial" w:hAnsi="Arial"/>
                <w:sz w:val="10"/>
                <w:szCs w:val="10"/>
                <w:color w:val="auto"/>
              </w:rPr>
              <w:t>— %</w:t>
            </w:r>
          </w:p>
        </w:tc>
      </w:tr>
      <w:tr>
        <w:trPr>
          <w:trHeight w:val="152"/>
        </w:trPr>
        <w:tc>
          <w:tcPr>
            <w:tcW w:w="1880" w:type="dxa"/>
            <w:vAlign w:val="bottom"/>
          </w:tcPr>
          <w:p>
            <w:pPr>
              <w:ind w:left="20"/>
              <w:spacing w:after="0"/>
              <w:rPr>
                <w:sz w:val="20"/>
                <w:szCs w:val="20"/>
                <w:color w:val="auto"/>
              </w:rPr>
            </w:pPr>
            <w:r>
              <w:rPr>
                <w:rFonts w:ascii="Arial" w:cs="Arial" w:eastAsia="Arial" w:hAnsi="Arial"/>
                <w:sz w:val="10"/>
                <w:szCs w:val="10"/>
                <w:color w:val="auto"/>
              </w:rPr>
              <w:t>Expected stock price volatility</w:t>
            </w:r>
          </w:p>
        </w:tc>
        <w:tc>
          <w:tcPr>
            <w:tcW w:w="1060" w:type="dxa"/>
            <w:vAlign w:val="bottom"/>
          </w:tcPr>
          <w:p>
            <w:pPr>
              <w:ind w:left="220"/>
              <w:spacing w:after="0"/>
              <w:rPr>
                <w:sz w:val="20"/>
                <w:szCs w:val="20"/>
                <w:color w:val="auto"/>
              </w:rPr>
            </w:pPr>
            <w:r>
              <w:rPr>
                <w:rFonts w:ascii="Arial" w:cs="Arial" w:eastAsia="Arial" w:hAnsi="Arial"/>
                <w:sz w:val="10"/>
                <w:szCs w:val="10"/>
                <w:color w:val="691A6B"/>
              </w:rPr>
              <w:t>31.3 %</w:t>
            </w:r>
          </w:p>
        </w:tc>
        <w:tc>
          <w:tcPr>
            <w:tcW w:w="920" w:type="dxa"/>
            <w:vAlign w:val="bottom"/>
          </w:tcPr>
          <w:p>
            <w:pPr>
              <w:ind w:left="80"/>
              <w:spacing w:after="0"/>
              <w:rPr>
                <w:sz w:val="20"/>
                <w:szCs w:val="20"/>
                <w:color w:val="auto"/>
              </w:rPr>
            </w:pPr>
            <w:r>
              <w:rPr>
                <w:rFonts w:ascii="Arial" w:cs="Arial" w:eastAsia="Arial" w:hAnsi="Arial"/>
                <w:sz w:val="10"/>
                <w:szCs w:val="10"/>
                <w:color w:val="auto"/>
              </w:rPr>
              <w:t>32.3 %</w:t>
            </w:r>
          </w:p>
        </w:tc>
        <w:tc>
          <w:tcPr>
            <w:tcW w:w="1020" w:type="dxa"/>
            <w:vAlign w:val="bottom"/>
          </w:tcPr>
          <w:p>
            <w:pPr>
              <w:ind w:left="100"/>
              <w:spacing w:after="0"/>
              <w:rPr>
                <w:sz w:val="20"/>
                <w:szCs w:val="20"/>
                <w:color w:val="auto"/>
              </w:rPr>
            </w:pPr>
            <w:r>
              <w:rPr>
                <w:rFonts w:ascii="Arial" w:cs="Arial" w:eastAsia="Arial" w:hAnsi="Arial"/>
                <w:sz w:val="10"/>
                <w:szCs w:val="10"/>
                <w:color w:val="auto"/>
              </w:rPr>
              <w:t>35.3 %</w:t>
            </w:r>
          </w:p>
        </w:tc>
      </w:tr>
      <w:tr>
        <w:trPr>
          <w:trHeight w:val="152"/>
        </w:trPr>
        <w:tc>
          <w:tcPr>
            <w:tcW w:w="1880" w:type="dxa"/>
            <w:vAlign w:val="bottom"/>
          </w:tcPr>
          <w:p>
            <w:pPr>
              <w:ind w:left="20"/>
              <w:spacing w:after="0"/>
              <w:rPr>
                <w:sz w:val="20"/>
                <w:szCs w:val="20"/>
                <w:color w:val="auto"/>
              </w:rPr>
            </w:pPr>
            <w:r>
              <w:rPr>
                <w:rFonts w:ascii="Arial" w:cs="Arial" w:eastAsia="Arial" w:hAnsi="Arial"/>
                <w:sz w:val="10"/>
                <w:szCs w:val="10"/>
                <w:color w:val="auto"/>
              </w:rPr>
              <w:t>Risk-free interest rate</w:t>
            </w:r>
          </w:p>
        </w:tc>
        <w:tc>
          <w:tcPr>
            <w:tcW w:w="1060" w:type="dxa"/>
            <w:vAlign w:val="bottom"/>
          </w:tcPr>
          <w:p>
            <w:pPr>
              <w:ind w:left="220"/>
              <w:spacing w:after="0"/>
              <w:rPr>
                <w:sz w:val="20"/>
                <w:szCs w:val="20"/>
                <w:color w:val="auto"/>
              </w:rPr>
            </w:pPr>
            <w:r>
              <w:rPr>
                <w:rFonts w:ascii="Arial" w:cs="Arial" w:eastAsia="Arial" w:hAnsi="Arial"/>
                <w:sz w:val="10"/>
                <w:szCs w:val="10"/>
                <w:color w:val="691A6B"/>
              </w:rPr>
              <w:t>2.05 %</w:t>
            </w:r>
          </w:p>
        </w:tc>
        <w:tc>
          <w:tcPr>
            <w:tcW w:w="920" w:type="dxa"/>
            <w:vAlign w:val="bottom"/>
          </w:tcPr>
          <w:p>
            <w:pPr>
              <w:ind w:left="80"/>
              <w:spacing w:after="0"/>
              <w:rPr>
                <w:sz w:val="20"/>
                <w:szCs w:val="20"/>
                <w:color w:val="auto"/>
              </w:rPr>
            </w:pPr>
            <w:r>
              <w:rPr>
                <w:rFonts w:ascii="Arial" w:cs="Arial" w:eastAsia="Arial" w:hAnsi="Arial"/>
                <w:sz w:val="10"/>
                <w:szCs w:val="10"/>
                <w:color w:val="auto"/>
              </w:rPr>
              <w:t>2.26 %</w:t>
            </w:r>
          </w:p>
        </w:tc>
        <w:tc>
          <w:tcPr>
            <w:tcW w:w="1020" w:type="dxa"/>
            <w:vAlign w:val="bottom"/>
          </w:tcPr>
          <w:p>
            <w:pPr>
              <w:ind w:left="100"/>
              <w:spacing w:after="0"/>
              <w:rPr>
                <w:sz w:val="20"/>
                <w:szCs w:val="20"/>
                <w:color w:val="auto"/>
              </w:rPr>
            </w:pPr>
            <w:r>
              <w:rPr>
                <w:rFonts w:ascii="Arial" w:cs="Arial" w:eastAsia="Arial" w:hAnsi="Arial"/>
                <w:sz w:val="10"/>
                <w:szCs w:val="10"/>
                <w:color w:val="auto"/>
              </w:rPr>
              <w:t>2.48 %</w:t>
            </w:r>
          </w:p>
        </w:tc>
      </w:tr>
      <w:tr>
        <w:trPr>
          <w:trHeight w:val="152"/>
        </w:trPr>
        <w:tc>
          <w:tcPr>
            <w:tcW w:w="1880" w:type="dxa"/>
            <w:vAlign w:val="bottom"/>
          </w:tcPr>
          <w:p>
            <w:pPr>
              <w:ind w:left="20"/>
              <w:spacing w:after="0"/>
              <w:rPr>
                <w:sz w:val="20"/>
                <w:szCs w:val="20"/>
                <w:color w:val="auto"/>
              </w:rPr>
            </w:pPr>
            <w:r>
              <w:rPr>
                <w:rFonts w:ascii="Arial" w:cs="Arial" w:eastAsia="Arial" w:hAnsi="Arial"/>
                <w:sz w:val="10"/>
                <w:szCs w:val="10"/>
                <w:color w:val="auto"/>
              </w:rPr>
              <w:t>Expected life of warrants</w:t>
            </w:r>
          </w:p>
        </w:tc>
        <w:tc>
          <w:tcPr>
            <w:tcW w:w="1060" w:type="dxa"/>
            <w:vAlign w:val="bottom"/>
          </w:tcPr>
          <w:p>
            <w:pPr>
              <w:ind w:left="220"/>
              <w:spacing w:after="0"/>
              <w:rPr>
                <w:sz w:val="20"/>
                <w:szCs w:val="20"/>
                <w:color w:val="auto"/>
              </w:rPr>
            </w:pPr>
            <w:r>
              <w:rPr>
                <w:rFonts w:ascii="Arial" w:cs="Arial" w:eastAsia="Arial" w:hAnsi="Arial"/>
                <w:sz w:val="10"/>
                <w:szCs w:val="10"/>
                <w:color w:val="691A6B"/>
              </w:rPr>
              <w:t>5 years</w:t>
            </w:r>
          </w:p>
        </w:tc>
        <w:tc>
          <w:tcPr>
            <w:tcW w:w="920" w:type="dxa"/>
            <w:vAlign w:val="bottom"/>
          </w:tcPr>
          <w:p>
            <w:pPr>
              <w:ind w:left="80"/>
              <w:spacing w:after="0"/>
              <w:rPr>
                <w:sz w:val="20"/>
                <w:szCs w:val="20"/>
                <w:color w:val="auto"/>
              </w:rPr>
            </w:pPr>
            <w:r>
              <w:rPr>
                <w:rFonts w:ascii="Arial" w:cs="Arial" w:eastAsia="Arial" w:hAnsi="Arial"/>
                <w:sz w:val="10"/>
                <w:szCs w:val="10"/>
                <w:color w:val="auto"/>
              </w:rPr>
              <w:t>5 years</w:t>
            </w:r>
          </w:p>
        </w:tc>
        <w:tc>
          <w:tcPr>
            <w:tcW w:w="1020" w:type="dxa"/>
            <w:vAlign w:val="bottom"/>
          </w:tcPr>
          <w:p>
            <w:pPr>
              <w:ind w:left="100"/>
              <w:spacing w:after="0"/>
              <w:rPr>
                <w:sz w:val="20"/>
                <w:szCs w:val="20"/>
                <w:color w:val="auto"/>
              </w:rPr>
            </w:pPr>
            <w:r>
              <w:rPr>
                <w:rFonts w:ascii="Arial" w:cs="Arial" w:eastAsia="Arial" w:hAnsi="Arial"/>
                <w:sz w:val="10"/>
                <w:szCs w:val="10"/>
                <w:color w:val="auto"/>
              </w:rPr>
              <w:t>5 years</w:t>
            </w:r>
          </w:p>
        </w:tc>
      </w:tr>
      <w:tr>
        <w:trPr>
          <w:trHeight w:val="25"/>
        </w:trPr>
        <w:tc>
          <w:tcPr>
            <w:tcW w:w="1880" w:type="dxa"/>
            <w:vAlign w:val="bottom"/>
            <w:tcBorders>
              <w:bottom w:val="single" w:sz="8" w:color="691A6B"/>
            </w:tcBorders>
          </w:tcPr>
          <w:p>
            <w:pPr>
              <w:spacing w:after="0"/>
              <w:rPr>
                <w:sz w:val="2"/>
                <w:szCs w:val="2"/>
                <w:color w:val="auto"/>
              </w:rPr>
            </w:pPr>
          </w:p>
        </w:tc>
        <w:tc>
          <w:tcPr>
            <w:tcW w:w="1060" w:type="dxa"/>
            <w:vAlign w:val="bottom"/>
            <w:tcBorders>
              <w:bottom w:val="single" w:sz="8" w:color="691A6B"/>
            </w:tcBorders>
          </w:tcPr>
          <w:p>
            <w:pPr>
              <w:spacing w:after="0"/>
              <w:rPr>
                <w:sz w:val="2"/>
                <w:szCs w:val="2"/>
                <w:color w:val="auto"/>
              </w:rPr>
            </w:pPr>
          </w:p>
        </w:tc>
        <w:tc>
          <w:tcPr>
            <w:tcW w:w="920" w:type="dxa"/>
            <w:vAlign w:val="bottom"/>
            <w:tcBorders>
              <w:bottom w:val="single" w:sz="8" w:color="691A6B"/>
            </w:tcBorders>
          </w:tcPr>
          <w:p>
            <w:pPr>
              <w:spacing w:after="0"/>
              <w:rPr>
                <w:sz w:val="2"/>
                <w:szCs w:val="2"/>
                <w:color w:val="auto"/>
              </w:rPr>
            </w:pPr>
          </w:p>
        </w:tc>
        <w:tc>
          <w:tcPr>
            <w:tcW w:w="1020" w:type="dxa"/>
            <w:vAlign w:val="bottom"/>
            <w:tcBorders>
              <w:bottom w:val="single" w:sz="8" w:color="691A6B"/>
            </w:tcBorders>
          </w:tcPr>
          <w:p>
            <w:pPr>
              <w:spacing w:after="0"/>
              <w:rPr>
                <w:sz w:val="2"/>
                <w:szCs w:val="2"/>
                <w:color w:val="auto"/>
              </w:rPr>
            </w:pPr>
          </w:p>
        </w:tc>
      </w:tr>
      <w:tr>
        <w:trPr>
          <w:trHeight w:val="123"/>
        </w:trPr>
        <w:tc>
          <w:tcPr>
            <w:tcW w:w="1880" w:type="dxa"/>
            <w:vAlign w:val="bottom"/>
          </w:tcPr>
          <w:p>
            <w:pPr>
              <w:ind w:left="20"/>
              <w:spacing w:after="0"/>
              <w:rPr>
                <w:sz w:val="20"/>
                <w:szCs w:val="20"/>
                <w:color w:val="auto"/>
              </w:rPr>
            </w:pPr>
            <w:r>
              <w:rPr>
                <w:rFonts w:ascii="Arial" w:cs="Arial" w:eastAsia="Arial" w:hAnsi="Arial"/>
                <w:sz w:val="10"/>
                <w:szCs w:val="10"/>
                <w:color w:val="auto"/>
              </w:rPr>
              <w:t>Total Fair Value of Amounts Granted</w:t>
            </w:r>
          </w:p>
        </w:tc>
        <w:tc>
          <w:tcPr>
            <w:tcW w:w="1060" w:type="dxa"/>
            <w:vAlign w:val="bottom"/>
          </w:tcPr>
          <w:p>
            <w:pPr>
              <w:ind w:left="220"/>
              <w:spacing w:after="0"/>
              <w:rPr>
                <w:sz w:val="20"/>
                <w:szCs w:val="20"/>
                <w:color w:val="auto"/>
              </w:rPr>
            </w:pPr>
            <w:r>
              <w:rPr>
                <w:rFonts w:ascii="Arial" w:cs="Arial" w:eastAsia="Arial" w:hAnsi="Arial"/>
                <w:sz w:val="10"/>
                <w:szCs w:val="10"/>
                <w:b w:val="1"/>
                <w:bCs w:val="1"/>
                <w:color w:val="691A6B"/>
              </w:rPr>
              <w:t>2025</w:t>
            </w:r>
          </w:p>
        </w:tc>
        <w:tc>
          <w:tcPr>
            <w:tcW w:w="920" w:type="dxa"/>
            <w:vAlign w:val="bottom"/>
          </w:tcPr>
          <w:p>
            <w:pPr>
              <w:ind w:left="80"/>
              <w:spacing w:after="0"/>
              <w:rPr>
                <w:sz w:val="20"/>
                <w:szCs w:val="20"/>
                <w:color w:val="auto"/>
              </w:rPr>
            </w:pPr>
            <w:r>
              <w:rPr>
                <w:rFonts w:ascii="Arial" w:cs="Arial" w:eastAsia="Arial" w:hAnsi="Arial"/>
                <w:sz w:val="10"/>
                <w:szCs w:val="10"/>
                <w:b w:val="1"/>
                <w:bCs w:val="1"/>
                <w:color w:val="auto"/>
              </w:rPr>
              <w:t>2024</w:t>
            </w:r>
          </w:p>
        </w:tc>
        <w:tc>
          <w:tcPr>
            <w:tcW w:w="1020" w:type="dxa"/>
            <w:vAlign w:val="bottom"/>
          </w:tcPr>
          <w:p>
            <w:pPr>
              <w:ind w:left="100"/>
              <w:spacing w:after="0"/>
              <w:rPr>
                <w:sz w:val="20"/>
                <w:szCs w:val="20"/>
                <w:color w:val="auto"/>
              </w:rPr>
            </w:pPr>
            <w:r>
              <w:rPr>
                <w:rFonts w:ascii="Arial" w:cs="Arial" w:eastAsia="Arial" w:hAnsi="Arial"/>
                <w:sz w:val="10"/>
                <w:szCs w:val="10"/>
                <w:b w:val="1"/>
                <w:bCs w:val="1"/>
                <w:color w:val="auto"/>
              </w:rPr>
              <w:t>2023</w:t>
            </w:r>
          </w:p>
        </w:tc>
      </w:tr>
      <w:tr>
        <w:trPr>
          <w:trHeight w:val="137"/>
        </w:trPr>
        <w:tc>
          <w:tcPr>
            <w:tcW w:w="1880" w:type="dxa"/>
            <w:vAlign w:val="bottom"/>
          </w:tcPr>
          <w:p>
            <w:pPr>
              <w:ind w:left="20"/>
              <w:spacing w:after="0"/>
              <w:rPr>
                <w:sz w:val="20"/>
                <w:szCs w:val="20"/>
                <w:color w:val="auto"/>
              </w:rPr>
            </w:pPr>
            <w:r>
              <w:rPr>
                <w:rFonts w:ascii="Arial" w:cs="Arial" w:eastAsia="Arial" w:hAnsi="Arial"/>
                <w:sz w:val="10"/>
                <w:szCs w:val="10"/>
                <w:color w:val="auto"/>
              </w:rPr>
              <w:t>Total fair value of warrants granted</w:t>
            </w:r>
          </w:p>
        </w:tc>
        <w:tc>
          <w:tcPr>
            <w:tcW w:w="1060" w:type="dxa"/>
            <w:vAlign w:val="bottom"/>
          </w:tcPr>
          <w:p>
            <w:pPr>
              <w:ind w:left="220"/>
              <w:spacing w:after="0"/>
              <w:rPr>
                <w:sz w:val="20"/>
                <w:szCs w:val="20"/>
                <w:color w:val="auto"/>
              </w:rPr>
            </w:pPr>
            <w:r>
              <w:rPr>
                <w:rFonts w:ascii="Arial" w:cs="Arial" w:eastAsia="Arial" w:hAnsi="Arial"/>
                <w:sz w:val="10"/>
                <w:szCs w:val="10"/>
                <w:color w:val="691A6B"/>
              </w:rPr>
              <w:t>DKK 275 million</w:t>
            </w:r>
          </w:p>
        </w:tc>
        <w:tc>
          <w:tcPr>
            <w:tcW w:w="920" w:type="dxa"/>
            <w:vAlign w:val="bottom"/>
          </w:tcPr>
          <w:p>
            <w:pPr>
              <w:ind w:left="80"/>
              <w:spacing w:after="0"/>
              <w:rPr>
                <w:sz w:val="20"/>
                <w:szCs w:val="20"/>
                <w:color w:val="auto"/>
              </w:rPr>
            </w:pPr>
            <w:r>
              <w:rPr>
                <w:rFonts w:ascii="Arial" w:cs="Arial" w:eastAsia="Arial" w:hAnsi="Arial"/>
                <w:sz w:val="10"/>
                <w:szCs w:val="10"/>
                <w:color w:val="auto"/>
              </w:rPr>
              <w:t>DKK 237 million</w:t>
            </w:r>
          </w:p>
        </w:tc>
        <w:tc>
          <w:tcPr>
            <w:tcW w:w="1020" w:type="dxa"/>
            <w:vAlign w:val="bottom"/>
          </w:tcPr>
          <w:p>
            <w:pPr>
              <w:ind w:left="100"/>
              <w:spacing w:after="0"/>
              <w:rPr>
                <w:sz w:val="20"/>
                <w:szCs w:val="20"/>
                <w:color w:val="auto"/>
              </w:rPr>
            </w:pPr>
            <w:r>
              <w:rPr>
                <w:rFonts w:ascii="Arial" w:cs="Arial" w:eastAsia="Arial" w:hAnsi="Arial"/>
                <w:sz w:val="10"/>
                <w:szCs w:val="10"/>
                <w:color w:val="auto"/>
              </w:rPr>
              <w:t>DKK 193 million</w:t>
            </w:r>
          </w:p>
        </w:tc>
      </w:tr>
    </w:tbl>
    <w:p>
      <w:pPr>
        <w:sectPr>
          <w:pgSz w:w="11900" w:h="16840" w:orient="portrait"/>
          <w:cols w:equalWidth="0" w:num="1">
            <w:col w:w="9920"/>
          </w:cols>
          <w:pgMar w:left="640" w:top="571" w:right="1340" w:bottom="1440" w:gutter="0" w:footer="0" w:header="0"/>
        </w:sectPr>
      </w:pPr>
    </w:p>
    <w:bookmarkStart w:id="152" w:name="page153"/>
    <w:bookmarkEnd w:id="152"/>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143</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5"/>
          <w:szCs w:val="15"/>
          <w:b w:val="1"/>
          <w:bCs w:val="1"/>
          <w:color w:val="691A6B"/>
        </w:rPr>
        <w:t>4.7 - Share Capital</w:t>
      </w:r>
    </w:p>
    <w:p>
      <w:pPr>
        <w:spacing w:after="0" w:line="209" w:lineRule="auto"/>
        <w:rPr>
          <w:sz w:val="20"/>
          <w:szCs w:val="20"/>
          <w:color w:val="auto"/>
        </w:rPr>
      </w:pPr>
      <w:r>
        <w:rPr>
          <w:rFonts w:ascii="Arial" w:cs="Arial" w:eastAsia="Arial" w:hAnsi="Arial"/>
          <w:sz w:val="13"/>
          <w:szCs w:val="13"/>
          <w:b w:val="1"/>
          <w:bCs w:val="1"/>
          <w:color w:val="691A6B"/>
        </w:rPr>
        <w:t>Share Capital</w:t>
      </w:r>
    </w:p>
    <w:p>
      <w:pPr>
        <w:spacing w:after="0" w:line="1" w:lineRule="exact"/>
        <w:rPr>
          <w:rFonts w:ascii="Arial" w:cs="Arial" w:eastAsia="Arial" w:hAnsi="Arial"/>
          <w:sz w:val="10"/>
          <w:szCs w:val="10"/>
          <w:color w:val="auto"/>
        </w:rPr>
      </w:pPr>
    </w:p>
    <w:p>
      <w:pPr>
        <w:ind w:right="4900"/>
        <w:spacing w:after="0" w:line="198" w:lineRule="auto"/>
        <w:rPr>
          <w:sz w:val="20"/>
          <w:szCs w:val="20"/>
          <w:color w:val="auto"/>
        </w:rPr>
      </w:pPr>
      <w:r>
        <w:rPr>
          <w:rFonts w:ascii="Arial" w:cs="Arial" w:eastAsia="Arial" w:hAnsi="Arial"/>
          <w:sz w:val="10"/>
          <w:szCs w:val="10"/>
          <w:color w:val="auto"/>
        </w:rPr>
        <w:t>The share capital comprises the nominal amount of Genmab A/S ordinary shares, each at a nominal value of DKK 1. All shares are fully paid.</w:t>
      </w:r>
    </w:p>
    <w:p>
      <w:pPr>
        <w:spacing w:after="0" w:line="199" w:lineRule="auto"/>
        <w:rPr>
          <w:sz w:val="20"/>
          <w:szCs w:val="20"/>
          <w:color w:val="auto"/>
        </w:rPr>
      </w:pPr>
      <w:r>
        <w:rPr>
          <w:rFonts w:ascii="Arial" w:cs="Arial" w:eastAsia="Arial" w:hAnsi="Arial"/>
          <w:sz w:val="10"/>
          <w:szCs w:val="10"/>
          <w:color w:val="auto"/>
        </w:rPr>
        <w:t>As of December 31, 2025, the share capital of Genmab A/S comprised 64,238,408 shares of DKK 1</w:t>
      </w:r>
    </w:p>
    <w:p>
      <w:pPr>
        <w:spacing w:after="0" w:line="199" w:lineRule="auto"/>
        <w:rPr>
          <w:sz w:val="20"/>
          <w:szCs w:val="20"/>
          <w:color w:val="auto"/>
        </w:rPr>
      </w:pPr>
      <w:r>
        <w:rPr>
          <w:rFonts w:ascii="Arial" w:cs="Arial" w:eastAsia="Arial" w:hAnsi="Arial"/>
          <w:sz w:val="10"/>
          <w:szCs w:val="10"/>
          <w:color w:val="auto"/>
        </w:rPr>
        <w:t>each with one vote. There are no restrictions related to the transferability of the shares. All shares</w:t>
      </w:r>
    </w:p>
    <w:p>
      <w:pPr>
        <w:spacing w:after="0" w:line="199" w:lineRule="auto"/>
        <w:rPr>
          <w:sz w:val="20"/>
          <w:szCs w:val="20"/>
          <w:color w:val="auto"/>
        </w:rPr>
      </w:pPr>
      <w:r>
        <w:rPr>
          <w:rFonts w:ascii="Arial" w:cs="Arial" w:eastAsia="Arial" w:hAnsi="Arial"/>
          <w:sz w:val="10"/>
          <w:szCs w:val="10"/>
          <w:color w:val="auto"/>
        </w:rPr>
        <w:t>are regarded as negotiable instruments and do not confer any special rights upon the holder, and</w:t>
      </w:r>
    </w:p>
    <w:p>
      <w:pPr>
        <w:spacing w:after="0" w:line="198" w:lineRule="auto"/>
        <w:rPr>
          <w:sz w:val="20"/>
          <w:szCs w:val="20"/>
          <w:color w:val="auto"/>
        </w:rPr>
      </w:pPr>
      <w:r>
        <w:rPr>
          <w:rFonts w:ascii="Arial" w:cs="Arial" w:eastAsia="Arial" w:hAnsi="Arial"/>
          <w:sz w:val="10"/>
          <w:szCs w:val="10"/>
          <w:color w:val="auto"/>
        </w:rPr>
        <w:t>no shareholder shall be under an obligation to allow his/her shares to be redeemed.</w:t>
      </w:r>
    </w:p>
    <w:p>
      <w:pPr>
        <w:ind w:right="4860"/>
        <w:spacing w:after="0"/>
        <w:rPr>
          <w:sz w:val="20"/>
          <w:szCs w:val="20"/>
          <w:color w:val="auto"/>
        </w:rPr>
      </w:pPr>
      <w:r>
        <w:rPr>
          <w:rFonts w:ascii="Arial" w:cs="Arial" w:eastAsia="Arial" w:hAnsi="Arial"/>
          <w:sz w:val="10"/>
          <w:szCs w:val="10"/>
          <w:color w:val="auto"/>
        </w:rPr>
        <w:t>Genmab’s Board is authorized to increase the share capital by subscription of new shares, issue warrants to subscribe for shares and raise loans against bonds as well as other financial instruments of Genmab A/S as set out in articles 4A -5B of Genmab A/S’s articles of association. Further, Genmab’s share capital is in compliance with the capital requirements of the Danish Companies Act and the rules of Nasdaq Copenhagen.</w:t>
      </w:r>
    </w:p>
    <w:p>
      <w:pPr>
        <w:spacing w:after="0" w:line="231" w:lineRule="auto"/>
        <w:rPr>
          <w:sz w:val="20"/>
          <w:szCs w:val="20"/>
          <w:color w:val="auto"/>
        </w:rPr>
      </w:pPr>
      <w:r>
        <w:rPr>
          <w:rFonts w:ascii="Arial" w:cs="Arial" w:eastAsia="Arial" w:hAnsi="Arial"/>
          <w:sz w:val="10"/>
          <w:szCs w:val="10"/>
          <w:color w:val="auto"/>
        </w:rPr>
        <w:t>See table below for warrants issued and reissued and warrants available for reissue under active</w:t>
      </w:r>
    </w:p>
    <w:p>
      <w:pPr>
        <w:spacing w:after="0" w:line="218" w:lineRule="auto"/>
        <w:rPr>
          <w:sz w:val="20"/>
          <w:szCs w:val="20"/>
          <w:color w:val="auto"/>
        </w:rPr>
      </w:pPr>
      <w:r>
        <w:rPr>
          <w:rFonts w:ascii="Arial" w:cs="Arial" w:eastAsia="Arial" w:hAnsi="Arial"/>
          <w:sz w:val="10"/>
          <w:szCs w:val="10"/>
          <w:color w:val="auto"/>
        </w:rPr>
        <w:t>authorizations as of December 31, 2025:</w:t>
      </w:r>
    </w:p>
    <w:tbl>
      <w:tblPr>
        <w:tblLayout w:type="fixed"/>
        <w:tblInd w:w="0" w:type="dxa"/>
        <w:tblCellMar>
          <w:top w:w="0" w:type="dxa"/>
          <w:left w:w="0" w:type="dxa"/>
          <w:bottom w:w="0" w:type="dxa"/>
          <w:right w:w="0" w:type="dxa"/>
        </w:tblCellMar>
      </w:tblPr>
      <w:tr>
        <w:trPr>
          <w:trHeight w:val="128"/>
        </w:trPr>
        <w:tc>
          <w:tcPr>
            <w:tcW w:w="1740" w:type="dxa"/>
            <w:vAlign w:val="bottom"/>
            <w:tcBorders>
              <w:top w:val="single" w:sz="8" w:color="691A6B"/>
            </w:tcBorders>
          </w:tcPr>
          <w:p>
            <w:pPr>
              <w:spacing w:after="0"/>
              <w:rPr>
                <w:sz w:val="11"/>
                <w:szCs w:val="11"/>
                <w:color w:val="auto"/>
              </w:rPr>
            </w:pPr>
          </w:p>
        </w:tc>
        <w:tc>
          <w:tcPr>
            <w:tcW w:w="1240" w:type="dxa"/>
            <w:vAlign w:val="bottom"/>
            <w:tcBorders>
              <w:top w:val="single" w:sz="8" w:color="691A6B"/>
            </w:tcBorders>
          </w:tcPr>
          <w:p>
            <w:pPr>
              <w:ind w:left="360"/>
              <w:spacing w:after="0"/>
              <w:rPr>
                <w:sz w:val="20"/>
                <w:szCs w:val="20"/>
                <w:color w:val="auto"/>
              </w:rPr>
            </w:pPr>
            <w:r>
              <w:rPr>
                <w:rFonts w:ascii="Arial" w:cs="Arial" w:eastAsia="Arial" w:hAnsi="Arial"/>
                <w:sz w:val="10"/>
                <w:szCs w:val="10"/>
                <w:b w:val="1"/>
                <w:bCs w:val="1"/>
                <w:color w:val="auto"/>
              </w:rPr>
              <w:t>March 12, 2025</w:t>
            </w:r>
          </w:p>
        </w:tc>
        <w:tc>
          <w:tcPr>
            <w:tcW w:w="94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March 13, 2024</w:t>
            </w:r>
          </w:p>
        </w:tc>
        <w:tc>
          <w:tcPr>
            <w:tcW w:w="960" w:type="dxa"/>
            <w:vAlign w:val="bottom"/>
            <w:tcBorders>
              <w:top w:val="single" w:sz="8" w:color="691A6B"/>
            </w:tcBorders>
          </w:tcPr>
          <w:p>
            <w:pPr>
              <w:jc w:val="right"/>
              <w:ind w:right="269"/>
              <w:spacing w:after="0"/>
              <w:rPr>
                <w:sz w:val="20"/>
                <w:szCs w:val="20"/>
                <w:color w:val="auto"/>
              </w:rPr>
            </w:pPr>
            <w:r>
              <w:rPr>
                <w:rFonts w:ascii="Arial" w:cs="Arial" w:eastAsia="Arial" w:hAnsi="Arial"/>
                <w:sz w:val="10"/>
                <w:szCs w:val="10"/>
                <w:b w:val="1"/>
                <w:bCs w:val="1"/>
                <w:color w:val="auto"/>
                <w:w w:val="96"/>
              </w:rPr>
              <w:t>April 13, 2021</w:t>
            </w:r>
          </w:p>
        </w:tc>
      </w:tr>
      <w:tr>
        <w:trPr>
          <w:trHeight w:val="133"/>
        </w:trPr>
        <w:tc>
          <w:tcPr>
            <w:tcW w:w="1740" w:type="dxa"/>
            <w:vAlign w:val="bottom"/>
          </w:tcPr>
          <w:p>
            <w:pPr>
              <w:spacing w:after="0"/>
              <w:rPr>
                <w:sz w:val="11"/>
                <w:szCs w:val="11"/>
                <w:color w:val="auto"/>
              </w:rPr>
            </w:pPr>
          </w:p>
        </w:tc>
        <w:tc>
          <w:tcPr>
            <w:tcW w:w="1240" w:type="dxa"/>
            <w:vAlign w:val="bottom"/>
          </w:tcPr>
          <w:p>
            <w:pPr>
              <w:ind w:left="360"/>
              <w:spacing w:after="0"/>
              <w:rPr>
                <w:sz w:val="20"/>
                <w:szCs w:val="20"/>
                <w:color w:val="auto"/>
              </w:rPr>
            </w:pPr>
            <w:r>
              <w:rPr>
                <w:rFonts w:ascii="Arial" w:cs="Arial" w:eastAsia="Arial" w:hAnsi="Arial"/>
                <w:sz w:val="10"/>
                <w:szCs w:val="10"/>
                <w:b w:val="1"/>
                <w:bCs w:val="1"/>
                <w:color w:val="auto"/>
              </w:rPr>
              <w:t>Authorization</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Authorization</w:t>
            </w:r>
          </w:p>
        </w:tc>
        <w:tc>
          <w:tcPr>
            <w:tcW w:w="960" w:type="dxa"/>
            <w:vAlign w:val="bottom"/>
          </w:tcPr>
          <w:p>
            <w:pPr>
              <w:jc w:val="right"/>
              <w:ind w:right="269"/>
              <w:spacing w:after="0"/>
              <w:rPr>
                <w:sz w:val="20"/>
                <w:szCs w:val="20"/>
                <w:color w:val="auto"/>
              </w:rPr>
            </w:pPr>
            <w:r>
              <w:rPr>
                <w:rFonts w:ascii="Arial" w:cs="Arial" w:eastAsia="Arial" w:hAnsi="Arial"/>
                <w:sz w:val="10"/>
                <w:szCs w:val="10"/>
                <w:b w:val="1"/>
                <w:bCs w:val="1"/>
                <w:color w:val="auto"/>
                <w:w w:val="96"/>
              </w:rPr>
              <w:t>Authorization</w:t>
            </w:r>
          </w:p>
        </w:tc>
      </w:tr>
      <w:tr>
        <w:trPr>
          <w:trHeight w:val="141"/>
        </w:trPr>
        <w:tc>
          <w:tcPr>
            <w:tcW w:w="1740" w:type="dxa"/>
            <w:vAlign w:val="bottom"/>
          </w:tcPr>
          <w:p>
            <w:pPr>
              <w:ind w:left="20"/>
              <w:spacing w:after="0"/>
              <w:rPr>
                <w:sz w:val="20"/>
                <w:szCs w:val="20"/>
                <w:color w:val="auto"/>
              </w:rPr>
            </w:pPr>
            <w:r>
              <w:rPr>
                <w:rFonts w:ascii="Arial" w:cs="Arial" w:eastAsia="Arial" w:hAnsi="Arial"/>
                <w:sz w:val="10"/>
                <w:szCs w:val="10"/>
                <w:color w:val="auto"/>
              </w:rPr>
              <w:t>Warrants issued</w:t>
            </w: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358,760</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750,000</w:t>
            </w:r>
          </w:p>
        </w:tc>
      </w:tr>
      <w:tr>
        <w:trPr>
          <w:trHeight w:val="152"/>
        </w:trPr>
        <w:tc>
          <w:tcPr>
            <w:tcW w:w="1740" w:type="dxa"/>
            <w:vAlign w:val="bottom"/>
          </w:tcPr>
          <w:p>
            <w:pPr>
              <w:ind w:left="20"/>
              <w:spacing w:after="0"/>
              <w:rPr>
                <w:sz w:val="20"/>
                <w:szCs w:val="20"/>
                <w:color w:val="auto"/>
              </w:rPr>
            </w:pPr>
            <w:r>
              <w:rPr>
                <w:rFonts w:ascii="Arial" w:cs="Arial" w:eastAsia="Arial" w:hAnsi="Arial"/>
                <w:sz w:val="10"/>
                <w:szCs w:val="10"/>
                <w:color w:val="auto"/>
              </w:rPr>
              <w:t>Warrants reissued</w:t>
            </w: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65,463</w:t>
            </w:r>
          </w:p>
        </w:tc>
      </w:tr>
      <w:tr>
        <w:trPr>
          <w:trHeight w:val="152"/>
        </w:trPr>
        <w:tc>
          <w:tcPr>
            <w:tcW w:w="1740" w:type="dxa"/>
            <w:vAlign w:val="bottom"/>
          </w:tcPr>
          <w:p>
            <w:pPr>
              <w:ind w:left="20"/>
              <w:spacing w:after="0"/>
              <w:rPr>
                <w:sz w:val="20"/>
                <w:szCs w:val="20"/>
                <w:color w:val="auto"/>
              </w:rPr>
            </w:pPr>
            <w:r>
              <w:rPr>
                <w:rFonts w:ascii="Arial" w:cs="Arial" w:eastAsia="Arial" w:hAnsi="Arial"/>
                <w:sz w:val="10"/>
                <w:szCs w:val="10"/>
                <w:color w:val="auto"/>
              </w:rPr>
              <w:t>Warrants available for issue</w:t>
            </w:r>
          </w:p>
        </w:tc>
        <w:tc>
          <w:tcPr>
            <w:tcW w:w="1240" w:type="dxa"/>
            <w:vAlign w:val="bottom"/>
          </w:tcPr>
          <w:p>
            <w:pPr>
              <w:jc w:val="right"/>
              <w:spacing w:after="0"/>
              <w:rPr>
                <w:sz w:val="20"/>
                <w:szCs w:val="20"/>
                <w:color w:val="auto"/>
              </w:rPr>
            </w:pPr>
            <w:r>
              <w:rPr>
                <w:rFonts w:ascii="Arial" w:cs="Arial" w:eastAsia="Arial" w:hAnsi="Arial"/>
                <w:sz w:val="10"/>
                <w:szCs w:val="10"/>
                <w:color w:val="auto"/>
              </w:rPr>
              <w:t>750,000</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391,240</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w:t>
            </w:r>
          </w:p>
        </w:tc>
      </w:tr>
      <w:tr>
        <w:trPr>
          <w:trHeight w:val="152"/>
        </w:trPr>
        <w:tc>
          <w:tcPr>
            <w:tcW w:w="1740" w:type="dxa"/>
            <w:vAlign w:val="bottom"/>
          </w:tcPr>
          <w:p>
            <w:pPr>
              <w:ind w:left="20"/>
              <w:spacing w:after="0"/>
              <w:rPr>
                <w:sz w:val="20"/>
                <w:szCs w:val="20"/>
                <w:color w:val="auto"/>
              </w:rPr>
            </w:pPr>
            <w:r>
              <w:rPr>
                <w:rFonts w:ascii="Arial" w:cs="Arial" w:eastAsia="Arial" w:hAnsi="Arial"/>
                <w:sz w:val="10"/>
                <w:szCs w:val="10"/>
                <w:color w:val="auto"/>
              </w:rPr>
              <w:t>Warrants available for reissue</w:t>
            </w:r>
          </w:p>
        </w:tc>
        <w:tc>
          <w:tcPr>
            <w:tcW w:w="12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30,310</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38,731</w:t>
            </w:r>
          </w:p>
        </w:tc>
      </w:tr>
    </w:tbl>
    <w:p>
      <w:pPr>
        <w:spacing w:after="0"/>
        <w:rPr>
          <w:sz w:val="20"/>
          <w:szCs w:val="20"/>
          <w:color w:val="auto"/>
        </w:rPr>
      </w:pPr>
      <w:r>
        <w:rPr>
          <w:rFonts w:ascii="Arial" w:cs="Arial" w:eastAsia="Arial" w:hAnsi="Arial"/>
          <w:sz w:val="13"/>
          <w:szCs w:val="13"/>
          <w:b w:val="1"/>
          <w:bCs w:val="1"/>
          <w:color w:val="691A6B"/>
        </w:rPr>
        <w:t>Share Premium</w:t>
      </w:r>
    </w:p>
    <w:p>
      <w:pPr>
        <w:spacing w:after="0" w:line="198" w:lineRule="auto"/>
        <w:rPr>
          <w:sz w:val="20"/>
          <w:szCs w:val="20"/>
          <w:color w:val="auto"/>
        </w:rPr>
      </w:pPr>
      <w:r>
        <w:rPr>
          <w:rFonts w:ascii="Arial" w:cs="Arial" w:eastAsia="Arial" w:hAnsi="Arial"/>
          <w:sz w:val="10"/>
          <w:szCs w:val="10"/>
          <w:color w:val="auto"/>
        </w:rPr>
        <w:t>The share premium reserve is comprised of the amount received, attributable to shareholders’ equity,</w:t>
      </w:r>
    </w:p>
    <w:p>
      <w:pPr>
        <w:spacing w:after="0" w:line="199" w:lineRule="auto"/>
        <w:rPr>
          <w:sz w:val="20"/>
          <w:szCs w:val="20"/>
          <w:color w:val="auto"/>
        </w:rPr>
      </w:pPr>
      <w:r>
        <w:rPr>
          <w:rFonts w:ascii="Arial" w:cs="Arial" w:eastAsia="Arial" w:hAnsi="Arial"/>
          <w:sz w:val="10"/>
          <w:szCs w:val="10"/>
          <w:color w:val="auto"/>
        </w:rPr>
        <w:t>in excess of the nominal amount of the shares issued at the parent company’s offerings, reduced by any</w:t>
      </w:r>
    </w:p>
    <w:p>
      <w:pPr>
        <w:spacing w:after="0" w:line="204" w:lineRule="auto"/>
        <w:rPr>
          <w:sz w:val="20"/>
          <w:szCs w:val="20"/>
          <w:color w:val="auto"/>
        </w:rPr>
      </w:pPr>
      <w:r>
        <w:rPr>
          <w:rFonts w:ascii="Arial" w:cs="Arial" w:eastAsia="Arial" w:hAnsi="Arial"/>
          <w:sz w:val="10"/>
          <w:szCs w:val="10"/>
          <w:color w:val="auto"/>
        </w:rPr>
        <w:t>external expenses directly attributable to the offerings. The share premium reserve can be distributed.</w:t>
      </w:r>
    </w:p>
    <w:p>
      <w:pPr>
        <w:spacing w:after="0" w:line="210" w:lineRule="auto"/>
        <w:rPr>
          <w:sz w:val="20"/>
          <w:szCs w:val="20"/>
          <w:color w:val="auto"/>
        </w:rPr>
      </w:pPr>
      <w:r>
        <w:rPr>
          <w:rFonts w:ascii="Arial" w:cs="Arial" w:eastAsia="Arial" w:hAnsi="Arial"/>
          <w:sz w:val="13"/>
          <w:szCs w:val="13"/>
          <w:b w:val="1"/>
          <w:bCs w:val="1"/>
          <w:color w:val="691A6B"/>
        </w:rPr>
        <w:t>Changes in Share Capital During 2023 to 2025</w:t>
      </w:r>
    </w:p>
    <w:p>
      <w:pPr>
        <w:spacing w:after="0" w:line="198" w:lineRule="auto"/>
        <w:rPr>
          <w:sz w:val="20"/>
          <w:szCs w:val="20"/>
          <w:color w:val="auto"/>
        </w:rPr>
      </w:pPr>
      <w:r>
        <w:rPr>
          <w:rFonts w:ascii="Arial" w:cs="Arial" w:eastAsia="Arial" w:hAnsi="Arial"/>
          <w:sz w:val="10"/>
          <w:szCs w:val="10"/>
          <w:color w:val="auto"/>
        </w:rPr>
        <w:t>The share capital of DKK 64 million at December 31, 2025, is divided into 64,238,408 shares at a nominal</w:t>
      </w:r>
    </w:p>
    <w:p>
      <w:pPr>
        <w:spacing w:after="0" w:line="218" w:lineRule="auto"/>
        <w:rPr>
          <w:sz w:val="20"/>
          <w:szCs w:val="20"/>
          <w:color w:val="auto"/>
        </w:rPr>
      </w:pPr>
      <w:r>
        <w:rPr>
          <w:rFonts w:ascii="Arial" w:cs="Arial" w:eastAsia="Arial" w:hAnsi="Arial"/>
          <w:sz w:val="10"/>
          <w:szCs w:val="10"/>
          <w:color w:val="auto"/>
        </w:rPr>
        <w:t>value of DKK 1 each.</w:t>
      </w:r>
    </w:p>
    <w:tbl>
      <w:tblPr>
        <w:tblLayout w:type="fixed"/>
        <w:tblInd w:w="0" w:type="dxa"/>
        <w:tblCellMar>
          <w:top w:w="0" w:type="dxa"/>
          <w:left w:w="0" w:type="dxa"/>
          <w:bottom w:w="0" w:type="dxa"/>
          <w:right w:w="0" w:type="dxa"/>
        </w:tblCellMar>
      </w:tblPr>
      <w:tr>
        <w:trPr>
          <w:trHeight w:val="95"/>
        </w:trPr>
        <w:tc>
          <w:tcPr>
            <w:tcW w:w="1140" w:type="dxa"/>
            <w:vAlign w:val="bottom"/>
            <w:tcBorders>
              <w:top w:val="single" w:sz="8" w:color="691A6B"/>
            </w:tcBorders>
          </w:tcPr>
          <w:p>
            <w:pPr>
              <w:spacing w:after="0"/>
              <w:rPr>
                <w:sz w:val="8"/>
                <w:szCs w:val="8"/>
                <w:color w:val="auto"/>
              </w:rPr>
            </w:pPr>
          </w:p>
        </w:tc>
        <w:tc>
          <w:tcPr>
            <w:tcW w:w="900" w:type="dxa"/>
            <w:vAlign w:val="bottom"/>
            <w:tcBorders>
              <w:top w:val="single" w:sz="8" w:color="691A6B"/>
            </w:tcBorders>
            <w:gridSpan w:val="3"/>
          </w:tcPr>
          <w:p>
            <w:pPr>
              <w:ind w:left="80"/>
              <w:spacing w:after="0" w:line="95" w:lineRule="exact"/>
              <w:rPr>
                <w:sz w:val="20"/>
                <w:szCs w:val="20"/>
                <w:color w:val="auto"/>
              </w:rPr>
            </w:pPr>
            <w:r>
              <w:rPr>
                <w:rFonts w:ascii="Arial" w:cs="Arial" w:eastAsia="Arial" w:hAnsi="Arial"/>
                <w:sz w:val="10"/>
                <w:szCs w:val="10"/>
                <w:b w:val="1"/>
                <w:bCs w:val="1"/>
                <w:color w:val="auto"/>
              </w:rPr>
              <w:t>Number of</w:t>
            </w:r>
          </w:p>
        </w:tc>
        <w:tc>
          <w:tcPr>
            <w:tcW w:w="7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Share capital</w:t>
            </w:r>
          </w:p>
        </w:tc>
        <w:tc>
          <w:tcPr>
            <w:tcW w:w="680" w:type="dxa"/>
            <w:vAlign w:val="bottom"/>
            <w:tcBorders>
              <w:top w:val="single" w:sz="8" w:color="691A6B"/>
            </w:tcBorders>
            <w:gridSpan w:val="3"/>
          </w:tcPr>
          <w:p>
            <w:pPr>
              <w:ind w:left="40"/>
              <w:spacing w:after="0" w:line="95" w:lineRule="exact"/>
              <w:rPr>
                <w:sz w:val="20"/>
                <w:szCs w:val="20"/>
                <w:color w:val="auto"/>
              </w:rPr>
            </w:pPr>
            <w:r>
              <w:rPr>
                <w:rFonts w:ascii="Arial" w:cs="Arial" w:eastAsia="Arial" w:hAnsi="Arial"/>
                <w:sz w:val="10"/>
                <w:szCs w:val="10"/>
                <w:b w:val="1"/>
                <w:bCs w:val="1"/>
                <w:color w:val="auto"/>
                <w:w w:val="99"/>
              </w:rPr>
              <w:t>Share capital</w:t>
            </w:r>
          </w:p>
        </w:tc>
        <w:tc>
          <w:tcPr>
            <w:tcW w:w="1460" w:type="dxa"/>
            <w:vAlign w:val="bottom"/>
            <w:tcBorders>
              <w:top w:val="single" w:sz="8" w:color="691A6B"/>
            </w:tcBorders>
            <w:gridSpan w:val="2"/>
          </w:tcPr>
          <w:p>
            <w:pPr>
              <w:ind w:left="40"/>
              <w:spacing w:after="0" w:line="95" w:lineRule="exact"/>
              <w:rPr>
                <w:sz w:val="20"/>
                <w:szCs w:val="20"/>
                <w:color w:val="auto"/>
              </w:rPr>
            </w:pPr>
            <w:r>
              <w:rPr>
                <w:rFonts w:ascii="Arial" w:cs="Arial" w:eastAsia="Arial" w:hAnsi="Arial"/>
                <w:sz w:val="10"/>
                <w:szCs w:val="10"/>
                <w:b w:val="1"/>
                <w:bCs w:val="1"/>
                <w:color w:val="auto"/>
              </w:rPr>
              <w:t>Share Price Ranges</w:t>
            </w:r>
            <w:r>
              <w:rPr>
                <w:rFonts w:ascii="Arial" w:cs="Arial" w:eastAsia="Arial" w:hAnsi="Arial"/>
                <w:sz w:val="6"/>
                <w:szCs w:val="6"/>
                <w:b w:val="1"/>
                <w:bCs w:val="1"/>
                <w:color w:val="auto"/>
              </w:rPr>
              <w:t>1</w:t>
            </w:r>
          </w:p>
        </w:tc>
        <w:tc>
          <w:tcPr>
            <w:tcW w:w="4740" w:type="dxa"/>
            <w:vAlign w:val="bottom"/>
          </w:tcPr>
          <w:p>
            <w:pPr>
              <w:spacing w:after="0"/>
              <w:rPr>
                <w:sz w:val="8"/>
                <w:szCs w:val="8"/>
                <w:color w:val="auto"/>
              </w:rPr>
            </w:pPr>
          </w:p>
        </w:tc>
      </w:tr>
      <w:tr>
        <w:trPr>
          <w:trHeight w:val="133"/>
        </w:trPr>
        <w:tc>
          <w:tcPr>
            <w:tcW w:w="1140" w:type="dxa"/>
            <w:vAlign w:val="bottom"/>
          </w:tcPr>
          <w:p>
            <w:pPr>
              <w:spacing w:after="0"/>
              <w:rPr>
                <w:sz w:val="11"/>
                <w:szCs w:val="11"/>
                <w:color w:val="auto"/>
              </w:rPr>
            </w:pPr>
          </w:p>
        </w:tc>
        <w:tc>
          <w:tcPr>
            <w:tcW w:w="900" w:type="dxa"/>
            <w:vAlign w:val="bottom"/>
            <w:gridSpan w:val="3"/>
          </w:tcPr>
          <w:p>
            <w:pPr>
              <w:ind w:left="8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(DKK million)</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89"/>
              </w:rPr>
              <w:t>(USD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28"/>
        </w:trPr>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rPr>
                <w:sz w:val="20"/>
                <w:szCs w:val="20"/>
                <w:color w:val="auto"/>
              </w:rPr>
            </w:pPr>
            <w:r>
              <w:rPr>
                <w:rFonts w:ascii="Arial" w:cs="Arial" w:eastAsia="Arial" w:hAnsi="Arial"/>
                <w:sz w:val="10"/>
                <w:szCs w:val="10"/>
                <w:b w:val="1"/>
                <w:bCs w:val="1"/>
                <w:color w:val="auto"/>
              </w:rPr>
              <w:t>million)</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94"/>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December 31, 2022</w:t>
            </w:r>
          </w:p>
        </w:tc>
        <w:tc>
          <w:tcPr>
            <w:tcW w:w="280" w:type="dxa"/>
            <w:vAlign w:val="bottom"/>
          </w:tcPr>
          <w:p>
            <w:pPr>
              <w:spacing w:after="0"/>
              <w:rPr>
                <w:sz w:val="16"/>
                <w:szCs w:val="16"/>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0"/>
                <w:szCs w:val="10"/>
                <w:color w:val="auto"/>
              </w:rPr>
              <w:t>65,961,573</w:t>
            </w:r>
          </w:p>
        </w:tc>
        <w:tc>
          <w:tcPr>
            <w:tcW w:w="720" w:type="dxa"/>
            <w:vAlign w:val="bottom"/>
          </w:tcPr>
          <w:p>
            <w:pPr>
              <w:ind w:left="20"/>
              <w:spacing w:after="0"/>
              <w:rPr>
                <w:sz w:val="20"/>
                <w:szCs w:val="20"/>
                <w:color w:val="auto"/>
              </w:rPr>
            </w:pPr>
            <w:r>
              <w:rPr>
                <w:rFonts w:ascii="Arial" w:cs="Arial" w:eastAsia="Arial" w:hAnsi="Arial"/>
                <w:sz w:val="10"/>
                <w:szCs w:val="10"/>
                <w:color w:val="auto"/>
              </w:rPr>
              <w:t>66</w:t>
            </w:r>
          </w:p>
        </w:tc>
        <w:tc>
          <w:tcPr>
            <w:tcW w:w="280" w:type="dxa"/>
            <w:vAlign w:val="bottom"/>
          </w:tcPr>
          <w:p>
            <w:pPr>
              <w:ind w:left="40"/>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740" w:type="dxa"/>
            <w:vAlign w:val="bottom"/>
          </w:tcPr>
          <w:p>
            <w:pPr>
              <w:spacing w:after="0"/>
              <w:rPr>
                <w:sz w:val="16"/>
                <w:szCs w:val="16"/>
                <w:color w:val="auto"/>
              </w:rPr>
            </w:pPr>
          </w:p>
        </w:tc>
      </w:tr>
      <w:tr>
        <w:trPr>
          <w:trHeight w:val="146"/>
        </w:trPr>
        <w:tc>
          <w:tcPr>
            <w:tcW w:w="1140" w:type="dxa"/>
            <w:vAlign w:val="bottom"/>
          </w:tcPr>
          <w:p>
            <w:pPr>
              <w:ind w:left="20"/>
              <w:spacing w:after="0"/>
              <w:rPr>
                <w:sz w:val="20"/>
                <w:szCs w:val="20"/>
                <w:color w:val="auto"/>
              </w:rPr>
            </w:pPr>
            <w:r>
              <w:rPr>
                <w:rFonts w:ascii="Arial" w:cs="Arial" w:eastAsia="Arial" w:hAnsi="Arial"/>
                <w:sz w:val="10"/>
                <w:szCs w:val="10"/>
                <w:color w:val="auto"/>
              </w:rPr>
              <w:t>Exercise of warrants</w:t>
            </w:r>
          </w:p>
        </w:tc>
        <w:tc>
          <w:tcPr>
            <w:tcW w:w="280" w:type="dxa"/>
            <w:vAlign w:val="bottom"/>
          </w:tcPr>
          <w:p>
            <w:pPr>
              <w:spacing w:after="0"/>
              <w:rPr>
                <w:sz w:val="12"/>
                <w:szCs w:val="12"/>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0"/>
                <w:szCs w:val="10"/>
                <w:color w:val="auto"/>
              </w:rPr>
              <w:t>112,962</w:t>
            </w:r>
          </w:p>
        </w:tc>
        <w:tc>
          <w:tcPr>
            <w:tcW w:w="720" w:type="dxa"/>
            <w:vAlign w:val="bottom"/>
          </w:tcPr>
          <w:p>
            <w:pPr>
              <w:ind w:left="20"/>
              <w:spacing w:after="0"/>
              <w:rPr>
                <w:sz w:val="20"/>
                <w:szCs w:val="20"/>
                <w:color w:val="auto"/>
              </w:rPr>
            </w:pPr>
            <w:r>
              <w:rPr>
                <w:rFonts w:ascii="Arial" w:cs="Arial" w:eastAsia="Arial" w:hAnsi="Arial"/>
                <w:sz w:val="10"/>
                <w:szCs w:val="10"/>
                <w:color w:val="auto"/>
              </w:rPr>
              <w:t>—</w:t>
            </w:r>
          </w:p>
        </w:tc>
        <w:tc>
          <w:tcPr>
            <w:tcW w:w="280" w:type="dxa"/>
            <w:vAlign w:val="bottom"/>
          </w:tcPr>
          <w:p>
            <w:pPr>
              <w:ind w:lef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0" w:type="dxa"/>
            <w:vAlign w:val="bottom"/>
            <w:gridSpan w:val="3"/>
          </w:tcPr>
          <w:p>
            <w:pPr>
              <w:ind w:left="40"/>
              <w:spacing w:after="0"/>
              <w:rPr>
                <w:sz w:val="20"/>
                <w:szCs w:val="20"/>
                <w:color w:val="auto"/>
              </w:rPr>
            </w:pPr>
            <w:r>
              <w:rPr>
                <w:rFonts w:ascii="Arial" w:cs="Arial" w:eastAsia="Arial" w:hAnsi="Arial"/>
                <w:sz w:val="10"/>
                <w:szCs w:val="10"/>
                <w:color w:val="auto"/>
              </w:rPr>
              <w:t>DKK 815.50 to DKK 1,948.00</w:t>
            </w:r>
          </w:p>
        </w:tc>
      </w:tr>
      <w:tr>
        <w:trPr>
          <w:trHeight w:val="15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December 31, 2023</w:t>
            </w:r>
          </w:p>
        </w:tc>
        <w:tc>
          <w:tcPr>
            <w:tcW w:w="280" w:type="dxa"/>
            <w:vAlign w:val="bottom"/>
          </w:tcPr>
          <w:p>
            <w:pPr>
              <w:spacing w:after="0"/>
              <w:rPr>
                <w:sz w:val="13"/>
                <w:szCs w:val="13"/>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0"/>
                <w:szCs w:val="10"/>
                <w:color w:val="auto"/>
              </w:rPr>
              <w:t>66,074,535</w:t>
            </w:r>
          </w:p>
        </w:tc>
        <w:tc>
          <w:tcPr>
            <w:tcW w:w="720" w:type="dxa"/>
            <w:vAlign w:val="bottom"/>
          </w:tcPr>
          <w:p>
            <w:pPr>
              <w:ind w:left="20"/>
              <w:spacing w:after="0"/>
              <w:rPr>
                <w:sz w:val="20"/>
                <w:szCs w:val="20"/>
                <w:color w:val="auto"/>
              </w:rPr>
            </w:pPr>
            <w:r>
              <w:rPr>
                <w:rFonts w:ascii="Arial" w:cs="Arial" w:eastAsia="Arial" w:hAnsi="Arial"/>
                <w:sz w:val="10"/>
                <w:szCs w:val="10"/>
                <w:color w:val="auto"/>
              </w:rPr>
              <w:t>66</w:t>
            </w:r>
          </w:p>
        </w:tc>
        <w:tc>
          <w:tcPr>
            <w:tcW w:w="280" w:type="dxa"/>
            <w:vAlign w:val="bottom"/>
          </w:tcPr>
          <w:p>
            <w:pPr>
              <w:ind w:left="40"/>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46"/>
        </w:trPr>
        <w:tc>
          <w:tcPr>
            <w:tcW w:w="1140" w:type="dxa"/>
            <w:vAlign w:val="bottom"/>
          </w:tcPr>
          <w:p>
            <w:pPr>
              <w:ind w:left="20"/>
              <w:spacing w:after="0"/>
              <w:rPr>
                <w:sz w:val="20"/>
                <w:szCs w:val="20"/>
                <w:color w:val="auto"/>
              </w:rPr>
            </w:pPr>
            <w:r>
              <w:rPr>
                <w:rFonts w:ascii="Arial" w:cs="Arial" w:eastAsia="Arial" w:hAnsi="Arial"/>
                <w:sz w:val="10"/>
                <w:szCs w:val="10"/>
                <w:color w:val="auto"/>
              </w:rPr>
              <w:t>Exercise of warrants</w:t>
            </w:r>
          </w:p>
        </w:tc>
        <w:tc>
          <w:tcPr>
            <w:tcW w:w="280" w:type="dxa"/>
            <w:vAlign w:val="bottom"/>
          </w:tcPr>
          <w:p>
            <w:pPr>
              <w:spacing w:after="0"/>
              <w:rPr>
                <w:sz w:val="12"/>
                <w:szCs w:val="12"/>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0"/>
                <w:szCs w:val="10"/>
                <w:color w:val="auto"/>
              </w:rPr>
              <w:t>112,651</w:t>
            </w:r>
          </w:p>
        </w:tc>
        <w:tc>
          <w:tcPr>
            <w:tcW w:w="720" w:type="dxa"/>
            <w:vAlign w:val="bottom"/>
          </w:tcPr>
          <w:p>
            <w:pPr>
              <w:ind w:left="20"/>
              <w:spacing w:after="0"/>
              <w:rPr>
                <w:sz w:val="20"/>
                <w:szCs w:val="20"/>
                <w:color w:val="auto"/>
              </w:rPr>
            </w:pPr>
            <w:r>
              <w:rPr>
                <w:rFonts w:ascii="Arial" w:cs="Arial" w:eastAsia="Arial" w:hAnsi="Arial"/>
                <w:sz w:val="10"/>
                <w:szCs w:val="10"/>
                <w:color w:val="auto"/>
              </w:rPr>
              <w:t>—</w:t>
            </w:r>
          </w:p>
        </w:tc>
        <w:tc>
          <w:tcPr>
            <w:tcW w:w="280" w:type="dxa"/>
            <w:vAlign w:val="bottom"/>
          </w:tcPr>
          <w:p>
            <w:pPr>
              <w:ind w:lef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0" w:type="dxa"/>
            <w:vAlign w:val="bottom"/>
            <w:gridSpan w:val="3"/>
          </w:tcPr>
          <w:p>
            <w:pPr>
              <w:ind w:left="40"/>
              <w:spacing w:after="0"/>
              <w:rPr>
                <w:sz w:val="20"/>
                <w:szCs w:val="20"/>
                <w:color w:val="auto"/>
              </w:rPr>
            </w:pPr>
            <w:r>
              <w:rPr>
                <w:rFonts w:ascii="Arial" w:cs="Arial" w:eastAsia="Arial" w:hAnsi="Arial"/>
                <w:sz w:val="10"/>
                <w:szCs w:val="10"/>
                <w:color w:val="auto"/>
              </w:rPr>
              <w:t>DKK 962.00 to DKK 1,615.00</w:t>
            </w:r>
          </w:p>
        </w:tc>
      </w:tr>
      <w:tr>
        <w:trPr>
          <w:trHeight w:val="15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December 31, 2024</w:t>
            </w:r>
          </w:p>
        </w:tc>
        <w:tc>
          <w:tcPr>
            <w:tcW w:w="280" w:type="dxa"/>
            <w:vAlign w:val="bottom"/>
          </w:tcPr>
          <w:p>
            <w:pPr>
              <w:spacing w:after="0"/>
              <w:rPr>
                <w:sz w:val="13"/>
                <w:szCs w:val="13"/>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0"/>
                <w:szCs w:val="10"/>
                <w:color w:val="auto"/>
              </w:rPr>
              <w:t>66,187,186</w:t>
            </w:r>
          </w:p>
        </w:tc>
        <w:tc>
          <w:tcPr>
            <w:tcW w:w="720" w:type="dxa"/>
            <w:vAlign w:val="bottom"/>
          </w:tcPr>
          <w:p>
            <w:pPr>
              <w:ind w:left="20"/>
              <w:spacing w:after="0"/>
              <w:rPr>
                <w:sz w:val="20"/>
                <w:szCs w:val="20"/>
                <w:color w:val="auto"/>
              </w:rPr>
            </w:pPr>
            <w:r>
              <w:rPr>
                <w:rFonts w:ascii="Arial" w:cs="Arial" w:eastAsia="Arial" w:hAnsi="Arial"/>
                <w:sz w:val="10"/>
                <w:szCs w:val="10"/>
                <w:color w:val="auto"/>
              </w:rPr>
              <w:t>66</w:t>
            </w:r>
          </w:p>
        </w:tc>
        <w:tc>
          <w:tcPr>
            <w:tcW w:w="280" w:type="dxa"/>
            <w:vAlign w:val="bottom"/>
          </w:tcPr>
          <w:p>
            <w:pPr>
              <w:ind w:left="40"/>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46"/>
        </w:trPr>
        <w:tc>
          <w:tcPr>
            <w:tcW w:w="1140" w:type="dxa"/>
            <w:vAlign w:val="bottom"/>
          </w:tcPr>
          <w:p>
            <w:pPr>
              <w:ind w:left="20"/>
              <w:spacing w:after="0"/>
              <w:rPr>
                <w:sz w:val="20"/>
                <w:szCs w:val="20"/>
                <w:color w:val="auto"/>
              </w:rPr>
            </w:pPr>
            <w:r>
              <w:rPr>
                <w:rFonts w:ascii="Arial" w:cs="Arial" w:eastAsia="Arial" w:hAnsi="Arial"/>
                <w:sz w:val="10"/>
                <w:szCs w:val="10"/>
                <w:color w:val="auto"/>
              </w:rPr>
              <w:t>Exercise of warrants</w:t>
            </w:r>
          </w:p>
        </w:tc>
        <w:tc>
          <w:tcPr>
            <w:tcW w:w="280" w:type="dxa"/>
            <w:vAlign w:val="bottom"/>
          </w:tcPr>
          <w:p>
            <w:pPr>
              <w:spacing w:after="0"/>
              <w:rPr>
                <w:sz w:val="12"/>
                <w:szCs w:val="12"/>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0"/>
                <w:szCs w:val="10"/>
                <w:color w:val="auto"/>
              </w:rPr>
              <w:t>128,075</w:t>
            </w:r>
          </w:p>
        </w:tc>
        <w:tc>
          <w:tcPr>
            <w:tcW w:w="720" w:type="dxa"/>
            <w:vAlign w:val="bottom"/>
          </w:tcPr>
          <w:p>
            <w:pPr>
              <w:ind w:left="20"/>
              <w:spacing w:after="0"/>
              <w:rPr>
                <w:sz w:val="20"/>
                <w:szCs w:val="20"/>
                <w:color w:val="auto"/>
              </w:rPr>
            </w:pPr>
            <w:r>
              <w:rPr>
                <w:rFonts w:ascii="Arial" w:cs="Arial" w:eastAsia="Arial" w:hAnsi="Arial"/>
                <w:sz w:val="10"/>
                <w:szCs w:val="10"/>
                <w:color w:val="auto"/>
              </w:rPr>
              <w:t>—</w:t>
            </w:r>
          </w:p>
        </w:tc>
        <w:tc>
          <w:tcPr>
            <w:tcW w:w="280" w:type="dxa"/>
            <w:vAlign w:val="bottom"/>
          </w:tcPr>
          <w:p>
            <w:pPr>
              <w:ind w:lef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0" w:type="dxa"/>
            <w:vAlign w:val="bottom"/>
            <w:gridSpan w:val="3"/>
          </w:tcPr>
          <w:p>
            <w:pPr>
              <w:ind w:left="40"/>
              <w:spacing w:after="0"/>
              <w:rPr>
                <w:sz w:val="20"/>
                <w:szCs w:val="20"/>
                <w:color w:val="auto"/>
              </w:rPr>
            </w:pPr>
            <w:r>
              <w:rPr>
                <w:rFonts w:ascii="Arial" w:cs="Arial" w:eastAsia="Arial" w:hAnsi="Arial"/>
                <w:sz w:val="10"/>
                <w:szCs w:val="10"/>
                <w:color w:val="auto"/>
              </w:rPr>
              <w:t>DKK 962.00 to DKK 1,615.00</w:t>
            </w:r>
          </w:p>
        </w:tc>
      </w:tr>
      <w:tr>
        <w:trPr>
          <w:trHeight w:val="152"/>
        </w:trPr>
        <w:tc>
          <w:tcPr>
            <w:tcW w:w="1140" w:type="dxa"/>
            <w:vAlign w:val="bottom"/>
          </w:tcPr>
          <w:p>
            <w:pPr>
              <w:ind w:left="20"/>
              <w:spacing w:after="0"/>
              <w:rPr>
                <w:sz w:val="20"/>
                <w:szCs w:val="20"/>
                <w:color w:val="auto"/>
              </w:rPr>
            </w:pPr>
            <w:r>
              <w:rPr>
                <w:rFonts w:ascii="Arial" w:cs="Arial" w:eastAsia="Arial" w:hAnsi="Arial"/>
                <w:sz w:val="10"/>
                <w:szCs w:val="10"/>
                <w:color w:val="auto"/>
              </w:rPr>
              <w:t>Share capital reduction</w:t>
            </w: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(2,076,853)</w:t>
            </w:r>
          </w:p>
        </w:tc>
        <w:tc>
          <w:tcPr>
            <w:tcW w:w="720" w:type="dxa"/>
            <w:vAlign w:val="bottom"/>
          </w:tcPr>
          <w:p>
            <w:pPr>
              <w:ind w:left="20"/>
              <w:spacing w:after="0"/>
              <w:rPr>
                <w:sz w:val="20"/>
                <w:szCs w:val="20"/>
                <w:color w:val="auto"/>
              </w:rPr>
            </w:pPr>
            <w:r>
              <w:rPr>
                <w:rFonts w:ascii="Arial" w:cs="Arial" w:eastAsia="Arial" w:hAnsi="Arial"/>
                <w:sz w:val="10"/>
                <w:szCs w:val="10"/>
                <w:color w:val="auto"/>
              </w:rPr>
              <w:t>(2)</w:t>
            </w:r>
          </w:p>
        </w:tc>
        <w:tc>
          <w:tcPr>
            <w:tcW w:w="280" w:type="dxa"/>
            <w:vAlign w:val="bottom"/>
          </w:tcPr>
          <w:p>
            <w:pPr>
              <w:ind w:lef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5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December 31, 2025</w:t>
            </w:r>
          </w:p>
        </w:tc>
        <w:tc>
          <w:tcPr>
            <w:tcW w:w="280" w:type="dxa"/>
            <w:vAlign w:val="bottom"/>
          </w:tcPr>
          <w:p>
            <w:pPr>
              <w:spacing w:after="0"/>
              <w:rPr>
                <w:sz w:val="13"/>
                <w:szCs w:val="13"/>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0"/>
                <w:szCs w:val="10"/>
                <w:color w:val="auto"/>
              </w:rPr>
              <w:t>64,238,408</w:t>
            </w:r>
          </w:p>
        </w:tc>
        <w:tc>
          <w:tcPr>
            <w:tcW w:w="720" w:type="dxa"/>
            <w:vAlign w:val="bottom"/>
          </w:tcPr>
          <w:p>
            <w:pPr>
              <w:ind w:left="20"/>
              <w:spacing w:after="0"/>
              <w:rPr>
                <w:sz w:val="20"/>
                <w:szCs w:val="20"/>
                <w:color w:val="auto"/>
              </w:rPr>
            </w:pPr>
            <w:r>
              <w:rPr>
                <w:rFonts w:ascii="Arial" w:cs="Arial" w:eastAsia="Arial" w:hAnsi="Arial"/>
                <w:sz w:val="10"/>
                <w:szCs w:val="10"/>
                <w:color w:val="auto"/>
              </w:rPr>
              <w:t>64</w:t>
            </w:r>
          </w:p>
        </w:tc>
        <w:tc>
          <w:tcPr>
            <w:tcW w:w="280" w:type="dxa"/>
            <w:vAlign w:val="bottom"/>
          </w:tcPr>
          <w:p>
            <w:pPr>
              <w:ind w:left="40"/>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95"/>
        </w:trPr>
        <w:tc>
          <w:tcPr>
            <w:tcW w:w="9640" w:type="dxa"/>
            <w:vAlign w:val="bottom"/>
            <w:gridSpan w:val="11"/>
          </w:tcPr>
          <w:p>
            <w:pPr>
              <w:spacing w:after="0" w:line="96" w:lineRule="exact"/>
              <w:rPr>
                <w:sz w:val="20"/>
                <w:szCs w:val="20"/>
                <w:color w:val="auto"/>
              </w:rPr>
            </w:pPr>
            <w:r>
              <w:rPr>
                <w:rFonts w:ascii="Arial" w:cs="Arial" w:eastAsia="Arial" w:hAnsi="Arial"/>
                <w:sz w:val="9"/>
                <w:szCs w:val="9"/>
                <w:color w:val="auto"/>
              </w:rPr>
              <w:t>1.New shares were subscribed at share prices in connection with the exercise of warrants under Genmab’s warrant</w:t>
            </w:r>
          </w:p>
        </w:tc>
      </w:tr>
      <w:tr>
        <w:trPr>
          <w:trHeight w:val="86"/>
        </w:trPr>
        <w:tc>
          <w:tcPr>
            <w:tcW w:w="1140" w:type="dxa"/>
            <w:vAlign w:val="bottom"/>
          </w:tcPr>
          <w:p>
            <w:pPr>
              <w:spacing w:after="0" w:line="86" w:lineRule="exact"/>
              <w:rPr>
                <w:sz w:val="20"/>
                <w:szCs w:val="20"/>
                <w:color w:val="auto"/>
              </w:rPr>
            </w:pPr>
            <w:r>
              <w:rPr>
                <w:rFonts w:ascii="Arial" w:cs="Arial" w:eastAsia="Arial" w:hAnsi="Arial"/>
                <w:sz w:val="9"/>
                <w:szCs w:val="9"/>
                <w:color w:val="auto"/>
              </w:rPr>
              <w:t>program.</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740" w:type="dxa"/>
            <w:vAlign w:val="bottom"/>
          </w:tcPr>
          <w:p>
            <w:pPr>
              <w:spacing w:after="0"/>
              <w:rPr>
                <w:sz w:val="7"/>
                <w:szCs w:val="7"/>
                <w:color w:val="auto"/>
              </w:rPr>
            </w:pPr>
          </w:p>
        </w:tc>
      </w:tr>
      <w:tr>
        <w:trPr>
          <w:trHeight w:val="143"/>
        </w:trPr>
        <w:tc>
          <w:tcPr>
            <w:tcW w:w="1140" w:type="dxa"/>
            <w:vAlign w:val="bottom"/>
            <w:tcBorders>
              <w:bottom w:val="single" w:sz="8" w:color="691A6B"/>
            </w:tcBorders>
          </w:tcPr>
          <w:p>
            <w:pPr>
              <w:spacing w:after="0" w:line="143" w:lineRule="exact"/>
              <w:rPr>
                <w:sz w:val="20"/>
                <w:szCs w:val="20"/>
                <w:color w:val="auto"/>
              </w:rPr>
            </w:pPr>
            <w:r>
              <w:rPr>
                <w:rFonts w:ascii="Arial" w:cs="Arial" w:eastAsia="Arial" w:hAnsi="Arial"/>
                <w:sz w:val="13"/>
                <w:szCs w:val="13"/>
                <w:b w:val="1"/>
                <w:bCs w:val="1"/>
                <w:color w:val="691A6B"/>
              </w:rPr>
              <w:t>Treasury Shares</w:t>
            </w:r>
          </w:p>
        </w:tc>
        <w:tc>
          <w:tcPr>
            <w:tcW w:w="280" w:type="dxa"/>
            <w:vAlign w:val="bottom"/>
            <w:tcBorders>
              <w:bottom w:val="single" w:sz="8" w:color="691A6B"/>
            </w:tcBorders>
          </w:tcPr>
          <w:p>
            <w:pPr>
              <w:spacing w:after="0"/>
              <w:rPr>
                <w:sz w:val="12"/>
                <w:szCs w:val="12"/>
                <w:color w:val="auto"/>
              </w:rPr>
            </w:pPr>
          </w:p>
        </w:tc>
        <w:tc>
          <w:tcPr>
            <w:tcW w:w="340" w:type="dxa"/>
            <w:vAlign w:val="bottom"/>
            <w:tcBorders>
              <w:bottom w:val="single" w:sz="8" w:color="691A6B"/>
            </w:tcBorders>
          </w:tcPr>
          <w:p>
            <w:pPr>
              <w:spacing w:after="0"/>
              <w:rPr>
                <w:sz w:val="12"/>
                <w:szCs w:val="12"/>
                <w:color w:val="auto"/>
              </w:rPr>
            </w:pPr>
          </w:p>
        </w:tc>
        <w:tc>
          <w:tcPr>
            <w:tcW w:w="280" w:type="dxa"/>
            <w:vAlign w:val="bottom"/>
            <w:tcBorders>
              <w:bottom w:val="single" w:sz="8" w:color="691A6B"/>
            </w:tcBorders>
          </w:tcPr>
          <w:p>
            <w:pPr>
              <w:spacing w:after="0"/>
              <w:rPr>
                <w:sz w:val="12"/>
                <w:szCs w:val="12"/>
                <w:color w:val="auto"/>
              </w:rPr>
            </w:pPr>
          </w:p>
        </w:tc>
        <w:tc>
          <w:tcPr>
            <w:tcW w:w="720" w:type="dxa"/>
            <w:vAlign w:val="bottom"/>
            <w:tcBorders>
              <w:bottom w:val="single" w:sz="8" w:color="691A6B"/>
            </w:tcBorders>
          </w:tcPr>
          <w:p>
            <w:pPr>
              <w:spacing w:after="0"/>
              <w:rPr>
                <w:sz w:val="12"/>
                <w:szCs w:val="12"/>
                <w:color w:val="auto"/>
              </w:rPr>
            </w:pPr>
          </w:p>
        </w:tc>
        <w:tc>
          <w:tcPr>
            <w:tcW w:w="280" w:type="dxa"/>
            <w:vAlign w:val="bottom"/>
            <w:tcBorders>
              <w:bottom w:val="single" w:sz="8" w:color="691A6B"/>
            </w:tcBorders>
          </w:tcPr>
          <w:p>
            <w:pPr>
              <w:spacing w:after="0"/>
              <w:rPr>
                <w:sz w:val="12"/>
                <w:szCs w:val="12"/>
                <w:color w:val="auto"/>
              </w:rPr>
            </w:pPr>
          </w:p>
        </w:tc>
        <w:tc>
          <w:tcPr>
            <w:tcW w:w="80" w:type="dxa"/>
            <w:vAlign w:val="bottom"/>
            <w:tcBorders>
              <w:bottom w:val="single" w:sz="8" w:color="691A6B"/>
            </w:tcBorders>
          </w:tcPr>
          <w:p>
            <w:pPr>
              <w:spacing w:after="0"/>
              <w:rPr>
                <w:sz w:val="12"/>
                <w:szCs w:val="12"/>
                <w:color w:val="auto"/>
              </w:rPr>
            </w:pPr>
          </w:p>
        </w:tc>
        <w:tc>
          <w:tcPr>
            <w:tcW w:w="320" w:type="dxa"/>
            <w:vAlign w:val="bottom"/>
            <w:tcBorders>
              <w:bottom w:val="single" w:sz="8" w:color="691A6B"/>
            </w:tcBorders>
          </w:tcPr>
          <w:p>
            <w:pPr>
              <w:spacing w:after="0"/>
              <w:rPr>
                <w:sz w:val="12"/>
                <w:szCs w:val="12"/>
                <w:color w:val="auto"/>
              </w:rPr>
            </w:pPr>
          </w:p>
        </w:tc>
        <w:tc>
          <w:tcPr>
            <w:tcW w:w="480" w:type="dxa"/>
            <w:vAlign w:val="bottom"/>
            <w:tcBorders>
              <w:bottom w:val="single" w:sz="8" w:color="691A6B"/>
            </w:tcBorders>
          </w:tcPr>
          <w:p>
            <w:pPr>
              <w:spacing w:after="0"/>
              <w:rPr>
                <w:sz w:val="12"/>
                <w:szCs w:val="12"/>
                <w:color w:val="auto"/>
              </w:rPr>
            </w:pPr>
          </w:p>
        </w:tc>
        <w:tc>
          <w:tcPr>
            <w:tcW w:w="980" w:type="dxa"/>
            <w:vAlign w:val="bottom"/>
            <w:tcBorders>
              <w:bottom w:val="single" w:sz="8" w:color="691A6B"/>
            </w:tcBorders>
          </w:tcPr>
          <w:p>
            <w:pPr>
              <w:spacing w:after="0"/>
              <w:rPr>
                <w:sz w:val="12"/>
                <w:szCs w:val="12"/>
                <w:color w:val="auto"/>
              </w:rPr>
            </w:pPr>
          </w:p>
        </w:tc>
        <w:tc>
          <w:tcPr>
            <w:tcW w:w="4740" w:type="dxa"/>
            <w:vAlign w:val="bottom"/>
          </w:tcPr>
          <w:p>
            <w:pPr>
              <w:spacing w:after="0"/>
              <w:rPr>
                <w:sz w:val="12"/>
                <w:szCs w:val="12"/>
                <w:color w:val="auto"/>
              </w:rPr>
            </w:pPr>
          </w:p>
        </w:tc>
      </w:tr>
      <w:tr>
        <w:trPr>
          <w:trHeight w:val="95"/>
        </w:trPr>
        <w:tc>
          <w:tcPr>
            <w:tcW w:w="1140" w:type="dxa"/>
            <w:vAlign w:val="bottom"/>
          </w:tcPr>
          <w:p>
            <w:pPr>
              <w:spacing w:after="0"/>
              <w:rPr>
                <w:sz w:val="8"/>
                <w:szCs w:val="8"/>
                <w:color w:val="auto"/>
              </w:rPr>
            </w:pPr>
          </w:p>
        </w:tc>
        <w:tc>
          <w:tcPr>
            <w:tcW w:w="900" w:type="dxa"/>
            <w:vAlign w:val="bottom"/>
            <w:gridSpan w:val="3"/>
          </w:tcPr>
          <w:p>
            <w:pPr>
              <w:jc w:val="right"/>
              <w:ind w:right="12"/>
              <w:spacing w:after="0" w:line="95" w:lineRule="exact"/>
              <w:rPr>
                <w:sz w:val="20"/>
                <w:szCs w:val="20"/>
                <w:color w:val="auto"/>
              </w:rPr>
            </w:pPr>
            <w:r>
              <w:rPr>
                <w:rFonts w:ascii="Arial" w:cs="Arial" w:eastAsia="Arial" w:hAnsi="Arial"/>
                <w:sz w:val="10"/>
                <w:szCs w:val="10"/>
                <w:b w:val="1"/>
                <w:bCs w:val="1"/>
                <w:color w:val="auto"/>
                <w:w w:val="96"/>
              </w:rPr>
              <w:t>Number of shares</w:t>
            </w:r>
          </w:p>
        </w:tc>
        <w:tc>
          <w:tcPr>
            <w:tcW w:w="72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Share capital</w:t>
            </w:r>
          </w:p>
        </w:tc>
        <w:tc>
          <w:tcPr>
            <w:tcW w:w="280" w:type="dxa"/>
            <w:vAlign w:val="bottom"/>
          </w:tcPr>
          <w:p>
            <w:pPr>
              <w:spacing w:after="0"/>
              <w:rPr>
                <w:sz w:val="8"/>
                <w:szCs w:val="8"/>
                <w:color w:val="auto"/>
              </w:rPr>
            </w:pPr>
          </w:p>
        </w:tc>
        <w:tc>
          <w:tcPr>
            <w:tcW w:w="8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Proportion of</w:t>
            </w:r>
          </w:p>
        </w:tc>
        <w:tc>
          <w:tcPr>
            <w:tcW w:w="5720" w:type="dxa"/>
            <w:vAlign w:val="bottom"/>
            <w:gridSpan w:val="2"/>
          </w:tcPr>
          <w:p>
            <w:pPr>
              <w:ind w:left="60"/>
              <w:spacing w:after="0" w:line="95" w:lineRule="exact"/>
              <w:rPr>
                <w:sz w:val="20"/>
                <w:szCs w:val="20"/>
                <w:color w:val="auto"/>
              </w:rPr>
            </w:pPr>
            <w:r>
              <w:rPr>
                <w:rFonts w:ascii="Arial" w:cs="Arial" w:eastAsia="Arial" w:hAnsi="Arial"/>
                <w:sz w:val="10"/>
                <w:szCs w:val="10"/>
                <w:b w:val="1"/>
                <w:bCs w:val="1"/>
                <w:color w:val="auto"/>
              </w:rPr>
              <w:t>Cost</w:t>
            </w:r>
          </w:p>
        </w:tc>
      </w:tr>
      <w:tr>
        <w:trPr>
          <w:trHeight w:val="128"/>
        </w:trPr>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(USD million)</w:t>
            </w:r>
          </w:p>
        </w:tc>
        <w:tc>
          <w:tcPr>
            <w:tcW w:w="280" w:type="dxa"/>
            <w:vAlign w:val="bottom"/>
          </w:tcPr>
          <w:p>
            <w:pPr>
              <w:spacing w:after="0"/>
              <w:rPr>
                <w:sz w:val="11"/>
                <w:szCs w:val="11"/>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share capital %</w:t>
            </w:r>
          </w:p>
        </w:tc>
        <w:tc>
          <w:tcPr>
            <w:tcW w:w="5720" w:type="dxa"/>
            <w:vAlign w:val="bottom"/>
            <w:gridSpan w:val="2"/>
          </w:tcPr>
          <w:p>
            <w:pPr>
              <w:ind w:left="60"/>
              <w:spacing w:after="0"/>
              <w:rPr>
                <w:sz w:val="20"/>
                <w:szCs w:val="20"/>
                <w:color w:val="auto"/>
              </w:rPr>
            </w:pPr>
            <w:r>
              <w:rPr>
                <w:rFonts w:ascii="Arial" w:cs="Arial" w:eastAsia="Arial" w:hAnsi="Arial"/>
                <w:sz w:val="10"/>
                <w:szCs w:val="10"/>
                <w:b w:val="1"/>
                <w:bCs w:val="1"/>
                <w:color w:val="auto"/>
              </w:rPr>
              <w:t>(USD million)</w:t>
            </w:r>
          </w:p>
        </w:tc>
      </w:tr>
      <w:tr>
        <w:trPr>
          <w:trHeight w:val="118"/>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Shareholding at</w:t>
            </w: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589,948</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rPr>
              <w:t>0.1</w:t>
            </w:r>
          </w:p>
        </w:tc>
        <w:tc>
          <w:tcPr>
            <w:tcW w:w="400" w:type="dxa"/>
            <w:vAlign w:val="bottom"/>
            <w:gridSpan w:val="2"/>
          </w:tcPr>
          <w:p>
            <w:pPr>
              <w:spacing w:after="0"/>
              <w:rPr>
                <w:sz w:val="20"/>
                <w:szCs w:val="20"/>
                <w:color w:val="auto"/>
              </w:rPr>
            </w:pPr>
            <w:r>
              <w:rPr>
                <w:rFonts w:ascii="Arial" w:cs="Arial" w:eastAsia="Arial" w:hAnsi="Arial"/>
                <w:sz w:val="10"/>
                <w:szCs w:val="10"/>
                <w:color w:val="auto"/>
              </w:rPr>
              <w:t>0.9 %</w:t>
            </w:r>
          </w:p>
        </w:tc>
        <w:tc>
          <w:tcPr>
            <w:tcW w:w="48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201</w:t>
            </w:r>
          </w:p>
        </w:tc>
        <w:tc>
          <w:tcPr>
            <w:tcW w:w="4740" w:type="dxa"/>
            <w:vAlign w:val="bottom"/>
          </w:tcPr>
          <w:p>
            <w:pPr>
              <w:spacing w:after="0"/>
              <w:rPr>
                <w:sz w:val="10"/>
                <w:szCs w:val="10"/>
                <w:color w:val="auto"/>
              </w:rPr>
            </w:pPr>
          </w:p>
        </w:tc>
      </w:tr>
      <w:tr>
        <w:trPr>
          <w:trHeight w:val="143"/>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December 31, 2022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740" w:type="dxa"/>
            <w:vAlign w:val="bottom"/>
          </w:tcPr>
          <w:p>
            <w:pPr>
              <w:spacing w:after="0"/>
              <w:rPr>
                <w:sz w:val="12"/>
                <w:szCs w:val="12"/>
                <w:color w:val="auto"/>
              </w:rPr>
            </w:pPr>
          </w:p>
        </w:tc>
      </w:tr>
      <w:tr>
        <w:trPr>
          <w:trHeight w:val="124"/>
        </w:trPr>
        <w:tc>
          <w:tcPr>
            <w:tcW w:w="1140" w:type="dxa"/>
            <w:vAlign w:val="bottom"/>
          </w:tcPr>
          <w:p>
            <w:pPr>
              <w:ind w:left="20"/>
              <w:spacing w:after="0"/>
              <w:rPr>
                <w:sz w:val="20"/>
                <w:szCs w:val="20"/>
                <w:color w:val="auto"/>
              </w:rPr>
            </w:pPr>
            <w:r>
              <w:rPr>
                <w:rFonts w:ascii="Arial" w:cs="Arial" w:eastAsia="Arial" w:hAnsi="Arial"/>
                <w:sz w:val="10"/>
                <w:szCs w:val="10"/>
                <w:color w:val="auto"/>
              </w:rPr>
              <w:t>Purchase of treasury</w:t>
            </w:r>
          </w:p>
        </w:tc>
        <w:tc>
          <w:tcPr>
            <w:tcW w:w="620" w:type="dxa"/>
            <w:vAlign w:val="bottom"/>
            <w:gridSpan w:val="2"/>
          </w:tcPr>
          <w:p>
            <w:pPr>
              <w:ind w:left="40"/>
              <w:spacing w:after="0"/>
              <w:rPr>
                <w:sz w:val="20"/>
                <w:szCs w:val="20"/>
                <w:color w:val="auto"/>
              </w:rPr>
            </w:pPr>
            <w:r>
              <w:rPr>
                <w:rFonts w:ascii="Arial" w:cs="Arial" w:eastAsia="Arial" w:hAnsi="Arial"/>
                <w:sz w:val="10"/>
                <w:szCs w:val="10"/>
                <w:color w:val="auto"/>
              </w:rPr>
              <w:t>220,000</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2"/>
          </w:tcPr>
          <w:p>
            <w:pPr>
              <w:spacing w:after="0"/>
              <w:rPr>
                <w:sz w:val="20"/>
                <w:szCs w:val="20"/>
                <w:color w:val="auto"/>
              </w:rPr>
            </w:pPr>
            <w:r>
              <w:rPr>
                <w:rFonts w:ascii="Arial" w:cs="Arial" w:eastAsia="Arial" w:hAnsi="Arial"/>
                <w:sz w:val="10"/>
                <w:szCs w:val="10"/>
                <w:color w:val="auto"/>
              </w:rPr>
              <w:t>0.3 %</w:t>
            </w:r>
          </w:p>
        </w:tc>
        <w:tc>
          <w:tcPr>
            <w:tcW w:w="48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color w:val="auto"/>
              </w:rPr>
              <w:t>81</w:t>
            </w:r>
          </w:p>
        </w:tc>
        <w:tc>
          <w:tcPr>
            <w:tcW w:w="4740" w:type="dxa"/>
            <w:vAlign w:val="bottom"/>
          </w:tcPr>
          <w:p>
            <w:pPr>
              <w:spacing w:after="0"/>
              <w:rPr>
                <w:sz w:val="10"/>
                <w:szCs w:val="10"/>
                <w:color w:val="auto"/>
              </w:rPr>
            </w:pP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shares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30"/>
        </w:trPr>
        <w:tc>
          <w:tcPr>
            <w:tcW w:w="2040" w:type="dxa"/>
            <w:vAlign w:val="bottom"/>
            <w:gridSpan w:val="4"/>
          </w:tcPr>
          <w:p>
            <w:pPr>
              <w:ind w:left="20"/>
              <w:spacing w:after="0"/>
              <w:rPr>
                <w:sz w:val="20"/>
                <w:szCs w:val="20"/>
                <w:color w:val="auto"/>
              </w:rPr>
            </w:pPr>
            <w:r>
              <w:rPr>
                <w:rFonts w:ascii="Arial" w:cs="Arial" w:eastAsia="Arial" w:hAnsi="Arial"/>
                <w:sz w:val="10"/>
                <w:szCs w:val="10"/>
                <w:color w:val="auto"/>
              </w:rPr>
              <w:t>Shares used for funding (65,778)</w:t>
            </w:r>
          </w:p>
        </w:tc>
        <w:tc>
          <w:tcPr>
            <w:tcW w:w="720" w:type="dxa"/>
            <w:vAlign w:val="bottom"/>
          </w:tcPr>
          <w:p>
            <w:pPr>
              <w:spacing w:after="0"/>
              <w:rPr>
                <w:sz w:val="11"/>
                <w:szCs w:val="11"/>
                <w:color w:val="auto"/>
              </w:rPr>
            </w:pPr>
          </w:p>
        </w:tc>
        <w:tc>
          <w:tcPr>
            <w:tcW w:w="280" w:type="dxa"/>
            <w:vAlign w:val="bottom"/>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2"/>
          </w:tcPr>
          <w:p>
            <w:pPr>
              <w:spacing w:after="0"/>
              <w:rPr>
                <w:sz w:val="20"/>
                <w:szCs w:val="20"/>
                <w:color w:val="auto"/>
              </w:rPr>
            </w:pPr>
            <w:r>
              <w:rPr>
                <w:rFonts w:ascii="Arial" w:cs="Arial" w:eastAsia="Arial" w:hAnsi="Arial"/>
                <w:sz w:val="10"/>
                <w:szCs w:val="10"/>
                <w:color w:val="auto"/>
              </w:rPr>
              <w:t>(0.1)%</w:t>
            </w:r>
          </w:p>
        </w:tc>
        <w:tc>
          <w:tcPr>
            <w:tcW w:w="48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0"/>
                <w:szCs w:val="10"/>
                <w:color w:val="auto"/>
              </w:rPr>
              <w:t>(18)</w:t>
            </w:r>
          </w:p>
        </w:tc>
        <w:tc>
          <w:tcPr>
            <w:tcW w:w="4740" w:type="dxa"/>
            <w:vAlign w:val="bottom"/>
          </w:tcPr>
          <w:p>
            <w:pPr>
              <w:spacing w:after="0"/>
              <w:rPr>
                <w:sz w:val="11"/>
                <w:szCs w:val="11"/>
                <w:color w:val="auto"/>
              </w:rPr>
            </w:pP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RSU program</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30"/>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Shareholding at</w:t>
            </w: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744,170</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rPr>
              <w:t>0.1</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rPr>
              <w:t>1.1 %</w:t>
            </w:r>
          </w:p>
        </w:tc>
        <w:tc>
          <w:tcPr>
            <w:tcW w:w="48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263</w:t>
            </w:r>
          </w:p>
        </w:tc>
        <w:tc>
          <w:tcPr>
            <w:tcW w:w="4740" w:type="dxa"/>
            <w:vAlign w:val="bottom"/>
          </w:tcPr>
          <w:p>
            <w:pPr>
              <w:spacing w:after="0"/>
              <w:rPr>
                <w:sz w:val="11"/>
                <w:szCs w:val="11"/>
                <w:color w:val="auto"/>
              </w:rPr>
            </w:pPr>
          </w:p>
        </w:tc>
      </w:tr>
      <w:tr>
        <w:trPr>
          <w:trHeight w:val="143"/>
        </w:trPr>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December 31, 2023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740" w:type="dxa"/>
            <w:vAlign w:val="bottom"/>
          </w:tcPr>
          <w:p>
            <w:pPr>
              <w:spacing w:after="0"/>
              <w:rPr>
                <w:sz w:val="12"/>
                <w:szCs w:val="12"/>
                <w:color w:val="auto"/>
              </w:rPr>
            </w:pPr>
          </w:p>
        </w:tc>
      </w:tr>
      <w:tr>
        <w:trPr>
          <w:trHeight w:val="124"/>
        </w:trPr>
        <w:tc>
          <w:tcPr>
            <w:tcW w:w="1140" w:type="dxa"/>
            <w:vAlign w:val="bottom"/>
          </w:tcPr>
          <w:p>
            <w:pPr>
              <w:ind w:left="20"/>
              <w:spacing w:after="0"/>
              <w:rPr>
                <w:sz w:val="20"/>
                <w:szCs w:val="20"/>
                <w:color w:val="auto"/>
              </w:rPr>
            </w:pPr>
            <w:r>
              <w:rPr>
                <w:rFonts w:ascii="Arial" w:cs="Arial" w:eastAsia="Arial" w:hAnsi="Arial"/>
                <w:sz w:val="10"/>
                <w:szCs w:val="10"/>
                <w:color w:val="auto"/>
              </w:rPr>
              <w:t>Purchase of treasury</w:t>
            </w:r>
          </w:p>
        </w:tc>
        <w:tc>
          <w:tcPr>
            <w:tcW w:w="620" w:type="dxa"/>
            <w:vAlign w:val="bottom"/>
            <w:gridSpan w:val="2"/>
          </w:tcPr>
          <w:p>
            <w:pPr>
              <w:ind w:left="40"/>
              <w:spacing w:after="0"/>
              <w:rPr>
                <w:sz w:val="20"/>
                <w:szCs w:val="20"/>
                <w:color w:val="auto"/>
              </w:rPr>
            </w:pPr>
            <w:r>
              <w:rPr>
                <w:rFonts w:ascii="Arial" w:cs="Arial" w:eastAsia="Arial" w:hAnsi="Arial"/>
                <w:sz w:val="10"/>
                <w:szCs w:val="10"/>
                <w:color w:val="auto"/>
              </w:rPr>
              <w:t>2,011,853</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Arial" w:cs="Arial" w:eastAsia="Arial" w:hAnsi="Arial"/>
                <w:sz w:val="10"/>
                <w:szCs w:val="10"/>
                <w:color w:val="auto"/>
              </w:rPr>
              <w:t>0.3</w:t>
            </w:r>
          </w:p>
        </w:tc>
        <w:tc>
          <w:tcPr>
            <w:tcW w:w="400" w:type="dxa"/>
            <w:vAlign w:val="bottom"/>
            <w:gridSpan w:val="2"/>
          </w:tcPr>
          <w:p>
            <w:pPr>
              <w:spacing w:after="0"/>
              <w:rPr>
                <w:sz w:val="20"/>
                <w:szCs w:val="20"/>
                <w:color w:val="auto"/>
              </w:rPr>
            </w:pPr>
            <w:r>
              <w:rPr>
                <w:rFonts w:ascii="Arial" w:cs="Arial" w:eastAsia="Arial" w:hAnsi="Arial"/>
                <w:sz w:val="10"/>
                <w:szCs w:val="10"/>
                <w:color w:val="auto"/>
              </w:rPr>
              <w:t>3.0 %</w:t>
            </w:r>
          </w:p>
        </w:tc>
        <w:tc>
          <w:tcPr>
            <w:tcW w:w="48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color w:val="auto"/>
              </w:rPr>
              <w:t>560</w:t>
            </w:r>
          </w:p>
        </w:tc>
        <w:tc>
          <w:tcPr>
            <w:tcW w:w="4740" w:type="dxa"/>
            <w:vAlign w:val="bottom"/>
          </w:tcPr>
          <w:p>
            <w:pPr>
              <w:spacing w:after="0"/>
              <w:rPr>
                <w:sz w:val="10"/>
                <w:szCs w:val="10"/>
                <w:color w:val="auto"/>
              </w:rPr>
            </w:pPr>
          </w:p>
        </w:tc>
      </w:tr>
      <w:tr>
        <w:trPr>
          <w:trHeight w:val="137"/>
        </w:trPr>
        <w:tc>
          <w:tcPr>
            <w:tcW w:w="1140" w:type="dxa"/>
            <w:vAlign w:val="bottom"/>
          </w:tcPr>
          <w:p>
            <w:pPr>
              <w:ind w:left="20"/>
              <w:spacing w:after="0"/>
              <w:rPr>
                <w:sz w:val="20"/>
                <w:szCs w:val="20"/>
                <w:color w:val="auto"/>
              </w:rPr>
            </w:pPr>
            <w:r>
              <w:rPr>
                <w:rFonts w:ascii="Arial" w:cs="Arial" w:eastAsia="Arial" w:hAnsi="Arial"/>
                <w:sz w:val="10"/>
                <w:szCs w:val="10"/>
                <w:color w:val="auto"/>
              </w:rPr>
              <w:t>shares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62"/>
        </w:trPr>
        <w:tc>
          <w:tcPr>
            <w:tcW w:w="2040" w:type="dxa"/>
            <w:vAlign w:val="bottom"/>
            <w:gridSpan w:val="4"/>
          </w:tcPr>
          <w:p>
            <w:pPr>
              <w:ind w:left="20"/>
              <w:spacing w:after="0"/>
              <w:rPr>
                <w:sz w:val="20"/>
                <w:szCs w:val="20"/>
                <w:color w:val="auto"/>
              </w:rPr>
            </w:pPr>
            <w:r>
              <w:rPr>
                <w:rFonts w:ascii="Arial" w:cs="Arial" w:eastAsia="Arial" w:hAnsi="Arial"/>
                <w:sz w:val="10"/>
                <w:szCs w:val="10"/>
                <w:color w:val="auto"/>
              </w:rPr>
              <w:t>Shares used for funding (109,016)</w:t>
            </w:r>
          </w:p>
        </w:tc>
        <w:tc>
          <w:tcPr>
            <w:tcW w:w="72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2"/>
          </w:tcPr>
          <w:p>
            <w:pPr>
              <w:spacing w:after="0"/>
              <w:rPr>
                <w:sz w:val="20"/>
                <w:szCs w:val="20"/>
                <w:color w:val="auto"/>
              </w:rPr>
            </w:pPr>
            <w:r>
              <w:rPr>
                <w:rFonts w:ascii="Arial" w:cs="Arial" w:eastAsia="Arial" w:hAnsi="Arial"/>
                <w:sz w:val="10"/>
                <w:szCs w:val="10"/>
                <w:color w:val="auto"/>
              </w:rPr>
              <w:t>(0.1)%</w:t>
            </w:r>
          </w:p>
        </w:tc>
        <w:tc>
          <w:tcPr>
            <w:tcW w:w="48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0"/>
                <w:szCs w:val="10"/>
                <w:color w:val="auto"/>
              </w:rPr>
              <w:t>(36)</w:t>
            </w:r>
          </w:p>
        </w:tc>
        <w:tc>
          <w:tcPr>
            <w:tcW w:w="4740" w:type="dxa"/>
            <w:vAlign w:val="bottom"/>
          </w:tcPr>
          <w:p>
            <w:pPr>
              <w:spacing w:after="0"/>
              <w:rPr>
                <w:sz w:val="14"/>
                <w:szCs w:val="14"/>
                <w:color w:val="auto"/>
              </w:rPr>
            </w:pPr>
          </w:p>
        </w:tc>
      </w:tr>
      <w:tr>
        <w:trPr>
          <w:trHeight w:val="154"/>
        </w:trPr>
        <w:tc>
          <w:tcPr>
            <w:tcW w:w="1420" w:type="dxa"/>
            <w:vAlign w:val="bottom"/>
            <w:gridSpan w:val="2"/>
          </w:tcPr>
          <w:p>
            <w:pPr>
              <w:ind w:left="420"/>
              <w:spacing w:after="0"/>
              <w:rPr>
                <w:rFonts w:ascii="Arial" w:cs="Arial" w:eastAsia="Arial" w:hAnsi="Arial"/>
                <w:sz w:val="10"/>
                <w:szCs w:val="10"/>
                <w:color w:val="auto"/>
                <w:w w:val="96"/>
              </w:rPr>
            </w:pPr>
            <w:hyperlink w:anchor="page83">
              <w:r>
                <w:rPr>
                  <w:rFonts w:ascii="Arial" w:cs="Arial" w:eastAsia="Arial" w:hAnsi="Arial"/>
                  <w:sz w:val="10"/>
                  <w:szCs w:val="10"/>
                  <w:color w:val="auto"/>
                  <w:w w:val="96"/>
                </w:rPr>
                <w:t>Management’s Review</w:t>
              </w:r>
            </w:hyperlink>
          </w:p>
        </w:tc>
        <w:tc>
          <w:tcPr>
            <w:tcW w:w="340" w:type="dxa"/>
            <w:vAlign w:val="bottom"/>
          </w:tcPr>
          <w:p>
            <w:pPr>
              <w:spacing w:after="0"/>
              <w:rPr>
                <w:sz w:val="13"/>
                <w:szCs w:val="13"/>
                <w:color w:val="auto"/>
              </w:rPr>
            </w:pPr>
          </w:p>
        </w:tc>
        <w:tc>
          <w:tcPr>
            <w:tcW w:w="1000" w:type="dxa"/>
            <w:vAlign w:val="bottom"/>
            <w:gridSpan w:val="2"/>
          </w:tcPr>
          <w:p>
            <w:pPr>
              <w:jc w:val="right"/>
              <w:spacing w:after="0"/>
              <w:rPr>
                <w:rFonts w:ascii="Arial" w:cs="Arial" w:eastAsia="Arial" w:hAnsi="Arial"/>
                <w:sz w:val="10"/>
                <w:szCs w:val="10"/>
                <w:b w:val="1"/>
                <w:bCs w:val="1"/>
                <w:color w:val="auto"/>
                <w:w w:val="93"/>
              </w:rPr>
            </w:pPr>
            <w:hyperlink w:anchor="page134">
              <w:r>
                <w:rPr>
                  <w:rFonts w:ascii="Arial" w:cs="Arial" w:eastAsia="Arial" w:hAnsi="Arial"/>
                  <w:sz w:val="10"/>
                  <w:szCs w:val="10"/>
                  <w:b w:val="1"/>
                  <w:bCs w:val="1"/>
                  <w:color w:val="auto"/>
                  <w:w w:val="93"/>
                </w:rPr>
                <w:t>Financial Statements</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rPr>
                <w:rFonts w:ascii="Arial" w:cs="Arial" w:eastAsia="Arial" w:hAnsi="Arial"/>
                <w:sz w:val="10"/>
                <w:szCs w:val="10"/>
                <w:color w:val="auto"/>
                <w:w w:val="97"/>
              </w:rPr>
            </w:pPr>
            <w:hyperlink w:anchor="page171">
              <w:r>
                <w:rPr>
                  <w:rFonts w:ascii="Arial" w:cs="Arial" w:eastAsia="Arial" w:hAnsi="Arial"/>
                  <w:sz w:val="10"/>
                  <w:szCs w:val="10"/>
                  <w:color w:val="auto"/>
                  <w:w w:val="97"/>
                </w:rPr>
                <w:t>Other Information</w:t>
              </w:r>
            </w:hyperlink>
          </w:p>
        </w:tc>
        <w:tc>
          <w:tcPr>
            <w:tcW w:w="980" w:type="dxa"/>
            <w:vAlign w:val="bottom"/>
          </w:tcPr>
          <w:p>
            <w:pPr>
              <w:spacing w:after="0"/>
              <w:rPr>
                <w:sz w:val="13"/>
                <w:szCs w:val="13"/>
                <w:color w:val="auto"/>
              </w:rPr>
            </w:pPr>
          </w:p>
        </w:tc>
        <w:tc>
          <w:tcPr>
            <w:tcW w:w="4740" w:type="dxa"/>
            <w:vAlign w:val="bottom"/>
          </w:tcPr>
          <w:p>
            <w:pPr>
              <w:ind w:left="3220"/>
              <w:spacing w:after="0"/>
              <w:rPr>
                <w:sz w:val="20"/>
                <w:szCs w:val="20"/>
                <w:color w:val="auto"/>
              </w:rPr>
            </w:pPr>
            <w:r>
              <w:rPr>
                <w:rFonts w:ascii="Arial" w:cs="Arial" w:eastAsia="Arial" w:hAnsi="Arial"/>
                <w:sz w:val="10"/>
                <w:szCs w:val="10"/>
                <w:color w:val="auto"/>
                <w:w w:val="96"/>
              </w:rPr>
              <w:t>Genmab 2025 Annual Report   144</w:t>
            </w:r>
          </w:p>
        </w:tc>
      </w:tr>
      <w:tr>
        <w:trPr>
          <w:trHeight w:val="156"/>
        </w:trPr>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67"/>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shd w:val="clear" w:color="auto" w:fill="691A6B"/>
          </w:tcPr>
          <w:p>
            <w:pPr>
              <w:spacing w:after="0"/>
              <w:rPr>
                <w:sz w:val="5"/>
                <w:szCs w:val="5"/>
                <w:color w:val="auto"/>
              </w:rPr>
            </w:pPr>
          </w:p>
        </w:tc>
        <w:tc>
          <w:tcPr>
            <w:tcW w:w="720" w:type="dxa"/>
            <w:vAlign w:val="bottom"/>
            <w:shd w:val="clear" w:color="auto" w:fill="691A6B"/>
          </w:tcPr>
          <w:p>
            <w:pPr>
              <w:spacing w:after="0"/>
              <w:rPr>
                <w:sz w:val="5"/>
                <w:szCs w:val="5"/>
                <w:color w:val="auto"/>
              </w:rPr>
            </w:pPr>
          </w:p>
        </w:tc>
        <w:tc>
          <w:tcPr>
            <w:tcW w:w="280" w:type="dxa"/>
            <w:vAlign w:val="bottom"/>
            <w:shd w:val="clear" w:color="auto" w:fill="691A6B"/>
          </w:tcPr>
          <w:p>
            <w:pPr>
              <w:spacing w:after="0"/>
              <w:rPr>
                <w:sz w:val="5"/>
                <w:szCs w:val="5"/>
                <w:color w:val="auto"/>
              </w:rPr>
            </w:pPr>
          </w:p>
        </w:tc>
        <w:tc>
          <w:tcPr>
            <w:tcW w:w="80" w:type="dxa"/>
            <w:vAlign w:val="bottom"/>
            <w:shd w:val="clear" w:color="auto" w:fill="691A6B"/>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7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90805" cy="965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3"/>
          <w:szCs w:val="13"/>
          <w:b w:val="1"/>
          <w:bCs w:val="1"/>
          <w:color w:val="691A6B"/>
        </w:rPr>
        <w:t>Share Repurchases</w:t>
      </w:r>
    </w:p>
    <w:p>
      <w:pPr>
        <w:spacing w:after="0" w:line="199" w:lineRule="auto"/>
        <w:rPr>
          <w:sz w:val="20"/>
          <w:szCs w:val="20"/>
          <w:color w:val="auto"/>
        </w:rPr>
      </w:pPr>
      <w:r>
        <w:rPr>
          <w:rFonts w:ascii="Arial" w:cs="Arial" w:eastAsia="Arial" w:hAnsi="Arial"/>
          <w:sz w:val="10"/>
          <w:szCs w:val="10"/>
          <w:color w:val="auto"/>
        </w:rPr>
        <w:t>At Genmab’s Annual General Meeting on March 12, 2025, the Board of Directors was authorized to allow</w:t>
      </w:r>
    </w:p>
    <w:p>
      <w:pPr>
        <w:spacing w:after="0" w:line="199" w:lineRule="auto"/>
        <w:rPr>
          <w:sz w:val="20"/>
          <w:szCs w:val="20"/>
          <w:color w:val="auto"/>
        </w:rPr>
      </w:pPr>
      <w:r>
        <w:rPr>
          <w:rFonts w:ascii="Arial" w:cs="Arial" w:eastAsia="Arial" w:hAnsi="Arial"/>
          <w:sz w:val="10"/>
          <w:szCs w:val="10"/>
          <w:color w:val="auto"/>
        </w:rPr>
        <w:t>Genmab to acquire treasury shares with a total nominal value of up to 10% of the share capital in the</w:t>
      </w:r>
    </w:p>
    <w:p>
      <w:pPr>
        <w:spacing w:after="0" w:line="198" w:lineRule="auto"/>
        <w:rPr>
          <w:sz w:val="20"/>
          <w:szCs w:val="20"/>
          <w:color w:val="auto"/>
        </w:rPr>
      </w:pPr>
      <w:r>
        <w:rPr>
          <w:rFonts w:ascii="Arial" w:cs="Arial" w:eastAsia="Arial" w:hAnsi="Arial"/>
          <w:sz w:val="10"/>
          <w:szCs w:val="10"/>
          <w:color w:val="auto"/>
        </w:rPr>
        <w:t>period until and including March 11, 2030. The purchase price for the relevant shares may not deviate by</w:t>
      </w:r>
    </w:p>
    <w:p>
      <w:pPr>
        <w:spacing w:after="0" w:line="199" w:lineRule="auto"/>
        <w:rPr>
          <w:sz w:val="20"/>
          <w:szCs w:val="20"/>
          <w:color w:val="auto"/>
        </w:rPr>
      </w:pPr>
      <w:r>
        <w:rPr>
          <w:rFonts w:ascii="Arial" w:cs="Arial" w:eastAsia="Arial" w:hAnsi="Arial"/>
          <w:sz w:val="10"/>
          <w:szCs w:val="10"/>
          <w:color w:val="auto"/>
        </w:rPr>
        <w:t>more than 10% from the price quoted on Nasdaq Copenhagen at the time of the acquisition. Such shares</w:t>
      </w:r>
    </w:p>
    <w:p>
      <w:pPr>
        <w:spacing w:after="0" w:line="198" w:lineRule="auto"/>
        <w:rPr>
          <w:sz w:val="20"/>
          <w:szCs w:val="20"/>
          <w:color w:val="auto"/>
        </w:rPr>
      </w:pPr>
      <w:r>
        <w:rPr>
          <w:rFonts w:ascii="Arial" w:cs="Arial" w:eastAsia="Arial" w:hAnsi="Arial"/>
          <w:sz w:val="10"/>
          <w:szCs w:val="10"/>
          <w:color w:val="auto"/>
        </w:rPr>
        <w:t>may only be acquired to the extent that the Company’s total holding of treasury shares does not at any</w:t>
      </w:r>
    </w:p>
    <w:p>
      <w:pPr>
        <w:spacing w:after="0" w:line="199" w:lineRule="auto"/>
        <w:rPr>
          <w:sz w:val="20"/>
          <w:szCs w:val="20"/>
          <w:color w:val="auto"/>
        </w:rPr>
      </w:pPr>
      <w:r>
        <w:rPr>
          <w:rFonts w:ascii="Arial" w:cs="Arial" w:eastAsia="Arial" w:hAnsi="Arial"/>
          <w:sz w:val="10"/>
          <w:szCs w:val="10"/>
          <w:color w:val="auto"/>
        </w:rPr>
        <w:t>time exceed a nominal value of 10% of the share capital. The authorization replaced existing previously</w:t>
      </w:r>
    </w:p>
    <w:p>
      <w:pPr>
        <w:spacing w:after="0" w:line="199" w:lineRule="auto"/>
        <w:rPr>
          <w:sz w:val="20"/>
          <w:szCs w:val="20"/>
          <w:color w:val="auto"/>
        </w:rPr>
      </w:pPr>
      <w:r>
        <w:rPr>
          <w:rFonts w:ascii="Arial" w:cs="Arial" w:eastAsia="Arial" w:hAnsi="Arial"/>
          <w:sz w:val="10"/>
          <w:szCs w:val="10"/>
          <w:color w:val="auto"/>
        </w:rPr>
        <w:t>provided authorizations to purchase treasury shares.</w:t>
      </w:r>
    </w:p>
    <w:p>
      <w:pPr>
        <w:ind w:right="4880"/>
        <w:spacing w:after="0" w:line="198" w:lineRule="auto"/>
        <w:rPr>
          <w:sz w:val="20"/>
          <w:szCs w:val="20"/>
          <w:color w:val="auto"/>
        </w:rPr>
      </w:pPr>
      <w:r>
        <w:rPr>
          <w:rFonts w:ascii="Arial" w:cs="Arial" w:eastAsia="Arial" w:hAnsi="Arial"/>
          <w:sz w:val="10"/>
          <w:szCs w:val="10"/>
          <w:color w:val="auto"/>
        </w:rPr>
        <w:t>As announced on March 25, 2025, Genmab initiated a share buy-back program to reduce capital and to honor our commitments under the RSU program. During 2025, Genmab acquired 2,200,000 of its own shares under the program, representing approximately 3.3% of share capital as of December 31, 2024. The total amount incurred to acquire the shares, including directly attributable costs, was $430 million and was recognized as a deduction to shareholders’ equity. During 2024, Genmab acquired 2,011,853 of its own shares, representing approximately 3.0% of share capital as of December 31, 2023. The total amount paid to acquire the shares, including directly attributable costs, was $560 million and was recognized as a deduction to shareholders’ equity. These shares are classified as treasury shares and are presented within retained earnings on the Consolidated Balance Sheets as of December 31, 2025.</w:t>
      </w:r>
    </w:p>
    <w:p>
      <w:pPr>
        <w:spacing w:after="0" w:line="204" w:lineRule="auto"/>
        <w:rPr>
          <w:sz w:val="20"/>
          <w:szCs w:val="20"/>
          <w:color w:val="auto"/>
        </w:rPr>
      </w:pPr>
      <w:r>
        <w:rPr>
          <w:rFonts w:ascii="Arial" w:cs="Arial" w:eastAsia="Arial" w:hAnsi="Arial"/>
          <w:sz w:val="10"/>
          <w:szCs w:val="10"/>
          <w:color w:val="auto"/>
        </w:rPr>
        <w:t>As of December 31, 2025, 3,804,436 shares were available for repurchase and 2,619,405 treasury shares</w:t>
      </w:r>
    </w:p>
    <w:p>
      <w:pPr>
        <w:spacing w:after="0" w:line="204" w:lineRule="auto"/>
        <w:rPr>
          <w:sz w:val="20"/>
          <w:szCs w:val="20"/>
          <w:color w:val="auto"/>
        </w:rPr>
      </w:pPr>
      <w:r>
        <w:rPr>
          <w:rFonts w:ascii="Arial" w:cs="Arial" w:eastAsia="Arial" w:hAnsi="Arial"/>
          <w:sz w:val="10"/>
          <w:szCs w:val="10"/>
          <w:color w:val="auto"/>
        </w:rPr>
        <w:t>were held by Genmab.</w:t>
      </w:r>
    </w:p>
    <w:p>
      <w:pPr>
        <w:spacing w:after="0" w:line="210" w:lineRule="auto"/>
        <w:rPr>
          <w:sz w:val="20"/>
          <w:szCs w:val="20"/>
          <w:color w:val="auto"/>
        </w:rPr>
      </w:pPr>
      <w:r>
        <w:rPr>
          <w:rFonts w:ascii="Arial" w:cs="Arial" w:eastAsia="Arial" w:hAnsi="Arial"/>
          <w:sz w:val="13"/>
          <w:szCs w:val="13"/>
          <w:b w:val="1"/>
          <w:bCs w:val="1"/>
          <w:color w:val="691A6B"/>
        </w:rPr>
        <w:t>Share Capital Reduction</w:t>
      </w:r>
    </w:p>
    <w:p>
      <w:pPr>
        <w:ind w:right="4880"/>
        <w:spacing w:after="0"/>
        <w:rPr>
          <w:sz w:val="20"/>
          <w:szCs w:val="20"/>
          <w:color w:val="auto"/>
        </w:rPr>
      </w:pPr>
      <w:r>
        <w:rPr>
          <w:rFonts w:ascii="Arial" w:cs="Arial" w:eastAsia="Arial" w:hAnsi="Arial"/>
          <w:sz w:val="10"/>
          <w:szCs w:val="10"/>
          <w:color w:val="auto"/>
        </w:rPr>
        <w:t>At Genmab’s Annual General Meeting on March 12, 2025, the decision was made to reduce the share capital of nominally DKK 2,076,853 by cancellation of 2,076,853 of the Company’s holding of shares with a nominal value of DKK 1 each. On April 10, 2025, the capital reduction was registered with the Danish Business Authority.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691A6B"/>
        </w:rPr>
        <w:t>4.8 - Borrowings</w:t>
      </w:r>
    </w:p>
    <w:tbl>
      <w:tblPr>
        <w:tblLayout w:type="fixed"/>
        <w:tblInd w:w="0" w:type="dxa"/>
        <w:tblCellMar>
          <w:top w:w="0" w:type="dxa"/>
          <w:left w:w="0" w:type="dxa"/>
          <w:bottom w:w="0" w:type="dxa"/>
          <w:right w:w="0" w:type="dxa"/>
        </w:tblCellMar>
      </w:tblPr>
      <w:tr>
        <w:trPr>
          <w:trHeight w:val="128"/>
        </w:trPr>
        <w:tc>
          <w:tcPr>
            <w:tcW w:w="1740" w:type="dxa"/>
            <w:vAlign w:val="bottom"/>
            <w:tcBorders>
              <w:top w:val="single" w:sz="8" w:color="691A6B"/>
            </w:tcBorders>
          </w:tcPr>
          <w:p>
            <w:pPr>
              <w:ind w:left="1200"/>
              <w:spacing w:after="0"/>
              <w:rPr>
                <w:sz w:val="20"/>
                <w:szCs w:val="20"/>
                <w:color w:val="auto"/>
              </w:rPr>
            </w:pPr>
            <w:r>
              <w:rPr>
                <w:rFonts w:ascii="Arial" w:cs="Arial" w:eastAsia="Arial" w:hAnsi="Arial"/>
                <w:sz w:val="10"/>
                <w:szCs w:val="10"/>
                <w:b w:val="1"/>
                <w:bCs w:val="1"/>
                <w:color w:val="auto"/>
              </w:rPr>
              <w:t>Current</w:t>
            </w:r>
          </w:p>
        </w:tc>
        <w:tc>
          <w:tcPr>
            <w:tcW w:w="620" w:type="dxa"/>
            <w:vAlign w:val="bottom"/>
            <w:tcBorders>
              <w:top w:val="single" w:sz="8" w:color="691A6B"/>
            </w:tcBorders>
          </w:tcPr>
          <w:p>
            <w:pPr>
              <w:spacing w:after="0"/>
              <w:rPr>
                <w:sz w:val="11"/>
                <w:szCs w:val="11"/>
                <w:color w:val="auto"/>
              </w:rPr>
            </w:pPr>
          </w:p>
        </w:tc>
        <w:tc>
          <w:tcPr>
            <w:tcW w:w="620" w:type="dxa"/>
            <w:vAlign w:val="bottom"/>
            <w:tcBorders>
              <w:top w:val="single" w:sz="8" w:color="691A6B"/>
            </w:tcBorders>
          </w:tcPr>
          <w:p>
            <w:pPr>
              <w:spacing w:after="0"/>
              <w:rPr>
                <w:sz w:val="11"/>
                <w:szCs w:val="11"/>
                <w:color w:val="auto"/>
              </w:rPr>
            </w:pPr>
          </w:p>
        </w:tc>
        <w:tc>
          <w:tcPr>
            <w:tcW w:w="680" w:type="dxa"/>
            <w:vAlign w:val="bottom"/>
            <w:tcBorders>
              <w:top w:val="single" w:sz="8" w:color="691A6B"/>
            </w:tcBorders>
          </w:tcPr>
          <w:p>
            <w:pPr>
              <w:ind w:left="100"/>
              <w:spacing w:after="0"/>
              <w:rPr>
                <w:sz w:val="20"/>
                <w:szCs w:val="20"/>
                <w:color w:val="auto"/>
              </w:rPr>
            </w:pPr>
            <w:r>
              <w:rPr>
                <w:rFonts w:ascii="Arial" w:cs="Arial" w:eastAsia="Arial" w:hAnsi="Arial"/>
                <w:sz w:val="10"/>
                <w:szCs w:val="10"/>
                <w:b w:val="1"/>
                <w:bCs w:val="1"/>
                <w:color w:val="auto"/>
                <w:w w:val="95"/>
              </w:rPr>
              <w:t>Non-Current</w:t>
            </w:r>
          </w:p>
        </w:tc>
        <w:tc>
          <w:tcPr>
            <w:tcW w:w="560" w:type="dxa"/>
            <w:vAlign w:val="bottom"/>
            <w:tcBorders>
              <w:top w:val="single" w:sz="8" w:color="691A6B"/>
            </w:tcBorders>
          </w:tcPr>
          <w:p>
            <w:pPr>
              <w:spacing w:after="0"/>
              <w:rPr>
                <w:sz w:val="11"/>
                <w:szCs w:val="11"/>
                <w:color w:val="auto"/>
              </w:rPr>
            </w:pPr>
          </w:p>
        </w:tc>
        <w:tc>
          <w:tcPr>
            <w:tcW w:w="700" w:type="dxa"/>
            <w:vAlign w:val="bottom"/>
            <w:tcBorders>
              <w:top w:val="single" w:sz="8" w:color="691A6B"/>
            </w:tcBorders>
          </w:tcPr>
          <w:p>
            <w:pPr>
              <w:spacing w:after="0"/>
              <w:rPr>
                <w:sz w:val="11"/>
                <w:szCs w:val="11"/>
                <w:color w:val="auto"/>
              </w:rPr>
            </w:pPr>
          </w:p>
        </w:tc>
      </w:tr>
      <w:tr>
        <w:trPr>
          <w:trHeight w:val="100"/>
        </w:trPr>
        <w:tc>
          <w:tcPr>
            <w:tcW w:w="1740" w:type="dxa"/>
            <w:vAlign w:val="bottom"/>
          </w:tcPr>
          <w:p>
            <w:pPr>
              <w:ind w:left="1200"/>
              <w:spacing w:after="0" w:line="101" w:lineRule="exact"/>
              <w:rPr>
                <w:sz w:val="20"/>
                <w:szCs w:val="20"/>
                <w:color w:val="auto"/>
              </w:rPr>
            </w:pPr>
            <w:r>
              <w:rPr>
                <w:rFonts w:ascii="Arial" w:cs="Arial" w:eastAsia="Arial" w:hAnsi="Arial"/>
                <w:sz w:val="10"/>
                <w:szCs w:val="10"/>
                <w:b w:val="1"/>
                <w:bCs w:val="1"/>
                <w:color w:val="691A6B"/>
              </w:rPr>
              <w:t>December</w:t>
            </w:r>
          </w:p>
        </w:tc>
        <w:tc>
          <w:tcPr>
            <w:tcW w:w="620" w:type="dxa"/>
            <w:vAlign w:val="bottom"/>
          </w:tcPr>
          <w:p>
            <w:pPr>
              <w:ind w:left="80"/>
              <w:spacing w:after="0" w:line="101" w:lineRule="exact"/>
              <w:rPr>
                <w:sz w:val="20"/>
                <w:szCs w:val="20"/>
                <w:color w:val="auto"/>
              </w:rPr>
            </w:pPr>
            <w:r>
              <w:rPr>
                <w:rFonts w:ascii="Arial" w:cs="Arial" w:eastAsia="Arial" w:hAnsi="Arial"/>
                <w:sz w:val="10"/>
                <w:szCs w:val="10"/>
                <w:b w:val="1"/>
                <w:bCs w:val="1"/>
                <w:color w:val="auto"/>
              </w:rPr>
              <w:t>December</w:t>
            </w:r>
          </w:p>
        </w:tc>
        <w:tc>
          <w:tcPr>
            <w:tcW w:w="620" w:type="dxa"/>
            <w:vAlign w:val="bottom"/>
          </w:tcPr>
          <w:p>
            <w:pPr>
              <w:ind w:left="80"/>
              <w:spacing w:after="0" w:line="101" w:lineRule="exact"/>
              <w:rPr>
                <w:sz w:val="20"/>
                <w:szCs w:val="20"/>
                <w:color w:val="auto"/>
              </w:rPr>
            </w:pPr>
            <w:r>
              <w:rPr>
                <w:rFonts w:ascii="Arial" w:cs="Arial" w:eastAsia="Arial" w:hAnsi="Arial"/>
                <w:sz w:val="10"/>
                <w:szCs w:val="10"/>
                <w:b w:val="1"/>
                <w:bCs w:val="1"/>
                <w:color w:val="auto"/>
              </w:rPr>
              <w:t>January 1,</w:t>
            </w:r>
          </w:p>
        </w:tc>
        <w:tc>
          <w:tcPr>
            <w:tcW w:w="680" w:type="dxa"/>
            <w:vAlign w:val="bottom"/>
          </w:tcPr>
          <w:p>
            <w:pPr>
              <w:ind w:left="100"/>
              <w:spacing w:after="0" w:line="101" w:lineRule="exact"/>
              <w:rPr>
                <w:sz w:val="20"/>
                <w:szCs w:val="20"/>
                <w:color w:val="auto"/>
              </w:rPr>
            </w:pPr>
            <w:r>
              <w:rPr>
                <w:rFonts w:ascii="Arial" w:cs="Arial" w:eastAsia="Arial" w:hAnsi="Arial"/>
                <w:sz w:val="10"/>
                <w:szCs w:val="10"/>
                <w:b w:val="1"/>
                <w:bCs w:val="1"/>
                <w:color w:val="691A6B"/>
              </w:rPr>
              <w:t>December</w:t>
            </w:r>
          </w:p>
        </w:tc>
        <w:tc>
          <w:tcPr>
            <w:tcW w:w="560" w:type="dxa"/>
            <w:vAlign w:val="bottom"/>
          </w:tcPr>
          <w:p>
            <w:pPr>
              <w:ind w:left="20"/>
              <w:spacing w:after="0" w:line="101" w:lineRule="exact"/>
              <w:rPr>
                <w:sz w:val="20"/>
                <w:szCs w:val="20"/>
                <w:color w:val="auto"/>
              </w:rPr>
            </w:pPr>
            <w:r>
              <w:rPr>
                <w:rFonts w:ascii="Arial" w:cs="Arial" w:eastAsia="Arial" w:hAnsi="Arial"/>
                <w:sz w:val="10"/>
                <w:szCs w:val="10"/>
                <w:b w:val="1"/>
                <w:bCs w:val="1"/>
                <w:color w:val="auto"/>
              </w:rPr>
              <w:t>December</w:t>
            </w:r>
          </w:p>
        </w:tc>
        <w:tc>
          <w:tcPr>
            <w:tcW w:w="700" w:type="dxa"/>
            <w:vAlign w:val="bottom"/>
          </w:tcPr>
          <w:p>
            <w:pPr>
              <w:ind w:left="80"/>
              <w:spacing w:after="0" w:line="101" w:lineRule="exact"/>
              <w:rPr>
                <w:sz w:val="20"/>
                <w:szCs w:val="20"/>
                <w:color w:val="auto"/>
              </w:rPr>
            </w:pPr>
            <w:r>
              <w:rPr>
                <w:rFonts w:ascii="Arial" w:cs="Arial" w:eastAsia="Arial" w:hAnsi="Arial"/>
                <w:sz w:val="10"/>
                <w:szCs w:val="10"/>
                <w:b w:val="1"/>
                <w:bCs w:val="1"/>
                <w:color w:val="auto"/>
              </w:rPr>
              <w:t>January 1,</w:t>
            </w:r>
          </w:p>
        </w:tc>
      </w:tr>
      <w:tr>
        <w:trPr>
          <w:trHeight w:val="128"/>
        </w:trPr>
        <w:tc>
          <w:tcPr>
            <w:tcW w:w="1740" w:type="dxa"/>
            <w:vAlign w:val="bottom"/>
          </w:tcPr>
          <w:p>
            <w:pPr>
              <w:ind w:left="1200"/>
              <w:spacing w:after="0"/>
              <w:rPr>
                <w:sz w:val="20"/>
                <w:szCs w:val="20"/>
                <w:color w:val="auto"/>
              </w:rPr>
            </w:pPr>
            <w:r>
              <w:rPr>
                <w:rFonts w:ascii="Arial" w:cs="Arial" w:eastAsia="Arial" w:hAnsi="Arial"/>
                <w:sz w:val="10"/>
                <w:szCs w:val="10"/>
                <w:b w:val="1"/>
                <w:bCs w:val="1"/>
                <w:color w:val="691A6B"/>
              </w:rPr>
              <w:t>31,</w:t>
            </w:r>
          </w:p>
        </w:tc>
        <w:tc>
          <w:tcPr>
            <w:tcW w:w="620" w:type="dxa"/>
            <w:vAlign w:val="bottom"/>
          </w:tcPr>
          <w:p>
            <w:pPr>
              <w:ind w:left="80"/>
              <w:spacing w:after="0"/>
              <w:rPr>
                <w:sz w:val="20"/>
                <w:szCs w:val="20"/>
                <w:color w:val="auto"/>
              </w:rPr>
            </w:pPr>
            <w:r>
              <w:rPr>
                <w:rFonts w:ascii="Arial" w:cs="Arial" w:eastAsia="Arial" w:hAnsi="Arial"/>
                <w:sz w:val="10"/>
                <w:szCs w:val="10"/>
                <w:b w:val="1"/>
                <w:bCs w:val="1"/>
                <w:color w:val="auto"/>
              </w:rPr>
              <w:t>31,</w:t>
            </w:r>
          </w:p>
        </w:tc>
        <w:tc>
          <w:tcPr>
            <w:tcW w:w="62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0"/>
                <w:szCs w:val="10"/>
                <w:b w:val="1"/>
                <w:bCs w:val="1"/>
                <w:color w:val="691A6B"/>
              </w:rPr>
              <w:t>31,</w:t>
            </w:r>
          </w:p>
        </w:tc>
        <w:tc>
          <w:tcPr>
            <w:tcW w:w="560" w:type="dxa"/>
            <w:vAlign w:val="bottom"/>
          </w:tcPr>
          <w:p>
            <w:pPr>
              <w:ind w:left="20"/>
              <w:spacing w:after="0"/>
              <w:rPr>
                <w:sz w:val="20"/>
                <w:szCs w:val="20"/>
                <w:color w:val="auto"/>
              </w:rPr>
            </w:pPr>
            <w:r>
              <w:rPr>
                <w:rFonts w:ascii="Arial" w:cs="Arial" w:eastAsia="Arial" w:hAnsi="Arial"/>
                <w:sz w:val="10"/>
                <w:szCs w:val="10"/>
                <w:b w:val="1"/>
                <w:bCs w:val="1"/>
                <w:color w:val="auto"/>
              </w:rPr>
              <w:t>31,</w:t>
            </w:r>
          </w:p>
        </w:tc>
        <w:tc>
          <w:tcPr>
            <w:tcW w:w="700" w:type="dxa"/>
            <w:vAlign w:val="bottom"/>
          </w:tcPr>
          <w:p>
            <w:pPr>
              <w:spacing w:after="0"/>
              <w:rPr>
                <w:sz w:val="11"/>
                <w:szCs w:val="11"/>
                <w:color w:val="auto"/>
              </w:rPr>
            </w:pPr>
          </w:p>
        </w:tc>
      </w:tr>
      <w:tr>
        <w:trPr>
          <w:trHeight w:val="162"/>
        </w:trPr>
        <w:tc>
          <w:tcPr>
            <w:tcW w:w="1740" w:type="dxa"/>
            <w:vAlign w:val="bottom"/>
          </w:tcPr>
          <w:p>
            <w:pPr>
              <w:ind w:left="1200"/>
              <w:spacing w:after="0"/>
              <w:rPr>
                <w:sz w:val="20"/>
                <w:szCs w:val="20"/>
                <w:color w:val="auto"/>
              </w:rPr>
            </w:pPr>
            <w:r>
              <w:rPr>
                <w:rFonts w:ascii="Arial" w:cs="Arial" w:eastAsia="Arial" w:hAnsi="Arial"/>
                <w:sz w:val="10"/>
                <w:szCs w:val="10"/>
                <w:b w:val="1"/>
                <w:bCs w:val="1"/>
                <w:color w:val="691A6B"/>
              </w:rPr>
              <w:t>2025</w:t>
            </w:r>
          </w:p>
        </w:tc>
        <w:tc>
          <w:tcPr>
            <w:tcW w:w="620" w:type="dxa"/>
            <w:vAlign w:val="bottom"/>
          </w:tcPr>
          <w:p>
            <w:pPr>
              <w:ind w:left="80"/>
              <w:spacing w:after="0"/>
              <w:rPr>
                <w:sz w:val="20"/>
                <w:szCs w:val="20"/>
                <w:color w:val="auto"/>
              </w:rPr>
            </w:pPr>
            <w:r>
              <w:rPr>
                <w:rFonts w:ascii="Arial" w:cs="Arial" w:eastAsia="Arial" w:hAnsi="Arial"/>
                <w:sz w:val="10"/>
                <w:szCs w:val="10"/>
                <w:b w:val="1"/>
                <w:bCs w:val="1"/>
                <w:color w:val="auto"/>
              </w:rPr>
              <w:t>2024</w:t>
            </w:r>
          </w:p>
        </w:tc>
        <w:tc>
          <w:tcPr>
            <w:tcW w:w="620" w:type="dxa"/>
            <w:vAlign w:val="bottom"/>
          </w:tcPr>
          <w:p>
            <w:pPr>
              <w:ind w:left="80"/>
              <w:spacing w:after="0"/>
              <w:rPr>
                <w:sz w:val="20"/>
                <w:szCs w:val="20"/>
                <w:color w:val="auto"/>
              </w:rPr>
            </w:pPr>
            <w:r>
              <w:rPr>
                <w:rFonts w:ascii="Arial" w:cs="Arial" w:eastAsia="Arial" w:hAnsi="Arial"/>
                <w:sz w:val="10"/>
                <w:szCs w:val="10"/>
                <w:b w:val="1"/>
                <w:bCs w:val="1"/>
                <w:color w:val="auto"/>
              </w:rPr>
              <w:t>2024</w:t>
            </w:r>
          </w:p>
        </w:tc>
        <w:tc>
          <w:tcPr>
            <w:tcW w:w="680" w:type="dxa"/>
            <w:vAlign w:val="bottom"/>
          </w:tcPr>
          <w:p>
            <w:pPr>
              <w:ind w:left="100"/>
              <w:spacing w:after="0"/>
              <w:rPr>
                <w:sz w:val="20"/>
                <w:szCs w:val="20"/>
                <w:color w:val="auto"/>
              </w:rPr>
            </w:pPr>
            <w:r>
              <w:rPr>
                <w:rFonts w:ascii="Arial" w:cs="Arial" w:eastAsia="Arial" w:hAnsi="Arial"/>
                <w:sz w:val="10"/>
                <w:szCs w:val="10"/>
                <w:b w:val="1"/>
                <w:bCs w:val="1"/>
                <w:color w:val="691A6B"/>
              </w:rPr>
              <w:t>2025</w:t>
            </w:r>
          </w:p>
        </w:tc>
        <w:tc>
          <w:tcPr>
            <w:tcW w:w="560" w:type="dxa"/>
            <w:vAlign w:val="bottom"/>
          </w:tcPr>
          <w:p>
            <w:pPr>
              <w:ind w:left="20"/>
              <w:spacing w:after="0"/>
              <w:rPr>
                <w:sz w:val="20"/>
                <w:szCs w:val="20"/>
                <w:color w:val="auto"/>
              </w:rPr>
            </w:pPr>
            <w:r>
              <w:rPr>
                <w:rFonts w:ascii="Arial" w:cs="Arial" w:eastAsia="Arial" w:hAnsi="Arial"/>
                <w:sz w:val="10"/>
                <w:szCs w:val="10"/>
                <w:b w:val="1"/>
                <w:bCs w:val="1"/>
                <w:color w:val="auto"/>
              </w:rPr>
              <w:t>2024</w:t>
            </w:r>
          </w:p>
        </w:tc>
        <w:tc>
          <w:tcPr>
            <w:tcW w:w="700" w:type="dxa"/>
            <w:vAlign w:val="bottom"/>
          </w:tcPr>
          <w:p>
            <w:pPr>
              <w:ind w:left="80"/>
              <w:spacing w:after="0"/>
              <w:rPr>
                <w:sz w:val="20"/>
                <w:szCs w:val="20"/>
                <w:color w:val="auto"/>
              </w:rPr>
            </w:pPr>
            <w:r>
              <w:rPr>
                <w:rFonts w:ascii="Arial" w:cs="Arial" w:eastAsia="Arial" w:hAnsi="Arial"/>
                <w:sz w:val="10"/>
                <w:szCs w:val="10"/>
                <w:b w:val="1"/>
                <w:bCs w:val="1"/>
                <w:color w:val="auto"/>
              </w:rPr>
              <w:t>2024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20" w:type="dxa"/>
            <w:vAlign w:val="bottom"/>
          </w:tcPr>
          <w:p>
            <w:pPr>
              <w:ind w:left="20"/>
              <w:spacing w:after="0"/>
              <w:rPr>
                <w:sz w:val="20"/>
                <w:szCs w:val="20"/>
                <w:color w:val="auto"/>
              </w:rPr>
            </w:pPr>
            <w:r>
              <w:rPr>
                <w:rFonts w:ascii="Arial" w:cs="Arial" w:eastAsia="Arial" w:hAnsi="Arial"/>
                <w:sz w:val="10"/>
                <w:szCs w:val="10"/>
                <w:color w:val="auto"/>
              </w:rPr>
              <w:t>Term Loan A (Secured)</w:t>
            </w:r>
          </w:p>
        </w:tc>
        <w:tc>
          <w:tcPr>
            <w:tcW w:w="580" w:type="dxa"/>
            <w:vAlign w:val="bottom"/>
          </w:tcPr>
          <w:p>
            <w:pPr>
              <w:jc w:val="right"/>
              <w:ind w:right="128"/>
              <w:spacing w:after="0"/>
              <w:rPr>
                <w:sz w:val="20"/>
                <w:szCs w:val="20"/>
                <w:color w:val="auto"/>
              </w:rPr>
            </w:pPr>
            <w:r>
              <w:rPr>
                <w:rFonts w:ascii="Arial" w:cs="Arial" w:eastAsia="Arial" w:hAnsi="Arial"/>
                <w:sz w:val="10"/>
                <w:szCs w:val="10"/>
                <w:color w:val="691A6B"/>
              </w:rPr>
              <w:t>53</w:t>
            </w:r>
          </w:p>
        </w:tc>
        <w:tc>
          <w:tcPr>
            <w:tcW w:w="860" w:type="dxa"/>
            <w:vAlign w:val="bottom"/>
          </w:tcPr>
          <w:p>
            <w:pPr>
              <w:ind w:left="340"/>
              <w:spacing w:after="0"/>
              <w:rPr>
                <w:sz w:val="20"/>
                <w:szCs w:val="20"/>
                <w:color w:val="auto"/>
              </w:rPr>
            </w:pPr>
            <w:r>
              <w:rPr>
                <w:rFonts w:ascii="Arial" w:cs="Arial" w:eastAsia="Arial" w:hAnsi="Arial"/>
                <w:sz w:val="10"/>
                <w:szCs w:val="10"/>
                <w:color w:val="auto"/>
              </w:rPr>
              <w:t>—</w:t>
            </w:r>
          </w:p>
        </w:tc>
        <w:tc>
          <w:tcPr>
            <w:tcW w:w="220" w:type="dxa"/>
            <w:vAlign w:val="bottom"/>
          </w:tcPr>
          <w:p>
            <w:pPr>
              <w:ind w:left="100"/>
              <w:spacing w:after="0"/>
              <w:rPr>
                <w:sz w:val="20"/>
                <w:szCs w:val="20"/>
                <w:color w:val="auto"/>
              </w:rPr>
            </w:pPr>
            <w:r>
              <w:rPr>
                <w:rFonts w:ascii="Arial" w:cs="Arial" w:eastAsia="Arial" w:hAnsi="Arial"/>
                <w:sz w:val="10"/>
                <w:szCs w:val="10"/>
                <w:color w:val="auto"/>
                <w:w w:val="99"/>
              </w:rPr>
              <w:t>—</w:t>
            </w:r>
          </w:p>
        </w:tc>
        <w:tc>
          <w:tcPr>
            <w:tcW w:w="880" w:type="dxa"/>
            <w:vAlign w:val="bottom"/>
          </w:tcPr>
          <w:p>
            <w:pPr>
              <w:jc w:val="right"/>
              <w:ind w:right="208"/>
              <w:spacing w:after="0"/>
              <w:rPr>
                <w:sz w:val="20"/>
                <w:szCs w:val="20"/>
                <w:color w:val="auto"/>
              </w:rPr>
            </w:pPr>
            <w:r>
              <w:rPr>
                <w:rFonts w:ascii="Arial" w:cs="Arial" w:eastAsia="Arial" w:hAnsi="Arial"/>
                <w:sz w:val="10"/>
                <w:szCs w:val="10"/>
                <w:color w:val="691A6B"/>
              </w:rPr>
              <w:t>909</w:t>
            </w:r>
          </w:p>
        </w:tc>
        <w:tc>
          <w:tcPr>
            <w:tcW w:w="520" w:type="dxa"/>
            <w:vAlign w:val="bottom"/>
          </w:tcPr>
          <w:p>
            <w:pPr>
              <w:ind w:left="24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2"/>
        </w:trPr>
        <w:tc>
          <w:tcPr>
            <w:tcW w:w="1320" w:type="dxa"/>
            <w:vAlign w:val="bottom"/>
          </w:tcPr>
          <w:p>
            <w:pPr>
              <w:ind w:left="20"/>
              <w:spacing w:after="0"/>
              <w:rPr>
                <w:sz w:val="20"/>
                <w:szCs w:val="20"/>
                <w:color w:val="auto"/>
              </w:rPr>
            </w:pPr>
            <w:r>
              <w:rPr>
                <w:rFonts w:ascii="Arial" w:cs="Arial" w:eastAsia="Arial" w:hAnsi="Arial"/>
                <w:sz w:val="10"/>
                <w:szCs w:val="10"/>
                <w:color w:val="auto"/>
              </w:rPr>
              <w:t>Term Loan B (Secured)</w:t>
            </w:r>
          </w:p>
        </w:tc>
        <w:tc>
          <w:tcPr>
            <w:tcW w:w="580" w:type="dxa"/>
            <w:vAlign w:val="bottom"/>
          </w:tcPr>
          <w:p>
            <w:pPr>
              <w:jc w:val="right"/>
              <w:ind w:right="128"/>
              <w:spacing w:after="0"/>
              <w:rPr>
                <w:sz w:val="20"/>
                <w:szCs w:val="20"/>
                <w:color w:val="auto"/>
              </w:rPr>
            </w:pPr>
            <w:r>
              <w:rPr>
                <w:rFonts w:ascii="Arial" w:cs="Arial" w:eastAsia="Arial" w:hAnsi="Arial"/>
                <w:sz w:val="10"/>
                <w:szCs w:val="10"/>
                <w:color w:val="691A6B"/>
              </w:rPr>
              <w:t>207</w:t>
            </w:r>
          </w:p>
        </w:tc>
        <w:tc>
          <w:tcPr>
            <w:tcW w:w="860" w:type="dxa"/>
            <w:vAlign w:val="bottom"/>
          </w:tcPr>
          <w:p>
            <w:pPr>
              <w:ind w:left="340"/>
              <w:spacing w:after="0"/>
              <w:rPr>
                <w:sz w:val="20"/>
                <w:szCs w:val="20"/>
                <w:color w:val="auto"/>
              </w:rPr>
            </w:pPr>
            <w:r>
              <w:rPr>
                <w:rFonts w:ascii="Arial" w:cs="Arial" w:eastAsia="Arial" w:hAnsi="Arial"/>
                <w:sz w:val="10"/>
                <w:szCs w:val="10"/>
                <w:color w:val="auto"/>
              </w:rPr>
              <w:t>—</w:t>
            </w:r>
          </w:p>
        </w:tc>
        <w:tc>
          <w:tcPr>
            <w:tcW w:w="220" w:type="dxa"/>
            <w:vAlign w:val="bottom"/>
          </w:tcPr>
          <w:p>
            <w:pPr>
              <w:ind w:left="100"/>
              <w:spacing w:after="0"/>
              <w:rPr>
                <w:sz w:val="20"/>
                <w:szCs w:val="20"/>
                <w:color w:val="auto"/>
              </w:rPr>
            </w:pPr>
            <w:r>
              <w:rPr>
                <w:rFonts w:ascii="Arial" w:cs="Arial" w:eastAsia="Arial" w:hAnsi="Arial"/>
                <w:sz w:val="10"/>
                <w:szCs w:val="10"/>
                <w:color w:val="auto"/>
                <w:w w:val="99"/>
              </w:rPr>
              <w:t>—</w:t>
            </w:r>
          </w:p>
        </w:tc>
        <w:tc>
          <w:tcPr>
            <w:tcW w:w="880" w:type="dxa"/>
            <w:vAlign w:val="bottom"/>
          </w:tcPr>
          <w:p>
            <w:pPr>
              <w:jc w:val="right"/>
              <w:ind w:right="208"/>
              <w:spacing w:after="0"/>
              <w:rPr>
                <w:sz w:val="20"/>
                <w:szCs w:val="20"/>
                <w:color w:val="auto"/>
              </w:rPr>
            </w:pPr>
            <w:r>
              <w:rPr>
                <w:rFonts w:ascii="Arial" w:cs="Arial" w:eastAsia="Arial" w:hAnsi="Arial"/>
                <w:sz w:val="10"/>
                <w:szCs w:val="10"/>
                <w:color w:val="691A6B"/>
              </w:rPr>
              <w:t>1,707</w:t>
            </w:r>
          </w:p>
        </w:tc>
        <w:tc>
          <w:tcPr>
            <w:tcW w:w="520" w:type="dxa"/>
            <w:vAlign w:val="bottom"/>
          </w:tcPr>
          <w:p>
            <w:pPr>
              <w:ind w:left="24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2"/>
        </w:trPr>
        <w:tc>
          <w:tcPr>
            <w:tcW w:w="1320" w:type="dxa"/>
            <w:vAlign w:val="bottom"/>
          </w:tcPr>
          <w:p>
            <w:pPr>
              <w:ind w:left="20"/>
              <w:spacing w:after="0"/>
              <w:rPr>
                <w:sz w:val="20"/>
                <w:szCs w:val="20"/>
                <w:color w:val="auto"/>
              </w:rPr>
            </w:pPr>
            <w:r>
              <w:rPr>
                <w:rFonts w:ascii="Arial" w:cs="Arial" w:eastAsia="Arial" w:hAnsi="Arial"/>
                <w:sz w:val="10"/>
                <w:szCs w:val="10"/>
                <w:color w:val="auto"/>
              </w:rPr>
              <w:t>Secured Notes</w:t>
            </w:r>
          </w:p>
        </w:tc>
        <w:tc>
          <w:tcPr>
            <w:tcW w:w="580" w:type="dxa"/>
            <w:vAlign w:val="bottom"/>
          </w:tcPr>
          <w:p>
            <w:pPr>
              <w:jc w:val="right"/>
              <w:ind w:right="128"/>
              <w:spacing w:after="0"/>
              <w:rPr>
                <w:sz w:val="20"/>
                <w:szCs w:val="20"/>
                <w:color w:val="auto"/>
              </w:rPr>
            </w:pPr>
            <w:r>
              <w:rPr>
                <w:rFonts w:ascii="Arial" w:cs="Arial" w:eastAsia="Arial" w:hAnsi="Arial"/>
                <w:sz w:val="10"/>
                <w:szCs w:val="10"/>
                <w:color w:val="691A6B"/>
              </w:rPr>
              <w:t>7</w:t>
            </w:r>
          </w:p>
        </w:tc>
        <w:tc>
          <w:tcPr>
            <w:tcW w:w="860" w:type="dxa"/>
            <w:vAlign w:val="bottom"/>
          </w:tcPr>
          <w:p>
            <w:pPr>
              <w:ind w:left="340"/>
              <w:spacing w:after="0"/>
              <w:rPr>
                <w:sz w:val="20"/>
                <w:szCs w:val="20"/>
                <w:color w:val="auto"/>
              </w:rPr>
            </w:pPr>
            <w:r>
              <w:rPr>
                <w:rFonts w:ascii="Arial" w:cs="Arial" w:eastAsia="Arial" w:hAnsi="Arial"/>
                <w:sz w:val="10"/>
                <w:szCs w:val="10"/>
                <w:color w:val="auto"/>
              </w:rPr>
              <w:t>—</w:t>
            </w:r>
          </w:p>
        </w:tc>
        <w:tc>
          <w:tcPr>
            <w:tcW w:w="220" w:type="dxa"/>
            <w:vAlign w:val="bottom"/>
          </w:tcPr>
          <w:p>
            <w:pPr>
              <w:ind w:left="100"/>
              <w:spacing w:after="0"/>
              <w:rPr>
                <w:sz w:val="20"/>
                <w:szCs w:val="20"/>
                <w:color w:val="auto"/>
              </w:rPr>
            </w:pPr>
            <w:r>
              <w:rPr>
                <w:rFonts w:ascii="Arial" w:cs="Arial" w:eastAsia="Arial" w:hAnsi="Arial"/>
                <w:sz w:val="10"/>
                <w:szCs w:val="10"/>
                <w:color w:val="auto"/>
                <w:w w:val="99"/>
              </w:rPr>
              <w:t>—</w:t>
            </w:r>
          </w:p>
        </w:tc>
        <w:tc>
          <w:tcPr>
            <w:tcW w:w="880" w:type="dxa"/>
            <w:vAlign w:val="bottom"/>
          </w:tcPr>
          <w:p>
            <w:pPr>
              <w:jc w:val="right"/>
              <w:ind w:right="208"/>
              <w:spacing w:after="0"/>
              <w:rPr>
                <w:sz w:val="20"/>
                <w:szCs w:val="20"/>
                <w:color w:val="auto"/>
              </w:rPr>
            </w:pPr>
            <w:r>
              <w:rPr>
                <w:rFonts w:ascii="Arial" w:cs="Arial" w:eastAsia="Arial" w:hAnsi="Arial"/>
                <w:sz w:val="10"/>
                <w:szCs w:val="10"/>
                <w:color w:val="691A6B"/>
              </w:rPr>
              <w:t>1,434</w:t>
            </w:r>
          </w:p>
        </w:tc>
        <w:tc>
          <w:tcPr>
            <w:tcW w:w="520" w:type="dxa"/>
            <w:vAlign w:val="bottom"/>
          </w:tcPr>
          <w:p>
            <w:pPr>
              <w:ind w:left="24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2"/>
        </w:trPr>
        <w:tc>
          <w:tcPr>
            <w:tcW w:w="1320" w:type="dxa"/>
            <w:vAlign w:val="bottom"/>
          </w:tcPr>
          <w:p>
            <w:pPr>
              <w:ind w:left="20"/>
              <w:spacing w:after="0"/>
              <w:rPr>
                <w:sz w:val="20"/>
                <w:szCs w:val="20"/>
                <w:color w:val="auto"/>
              </w:rPr>
            </w:pPr>
            <w:r>
              <w:rPr>
                <w:rFonts w:ascii="Arial" w:cs="Arial" w:eastAsia="Arial" w:hAnsi="Arial"/>
                <w:sz w:val="10"/>
                <w:szCs w:val="10"/>
                <w:color w:val="auto"/>
              </w:rPr>
              <w:t>Unsecured Notes</w:t>
            </w:r>
          </w:p>
        </w:tc>
        <w:tc>
          <w:tcPr>
            <w:tcW w:w="580" w:type="dxa"/>
            <w:vAlign w:val="bottom"/>
          </w:tcPr>
          <w:p>
            <w:pPr>
              <w:jc w:val="right"/>
              <w:ind w:right="128"/>
              <w:spacing w:after="0"/>
              <w:rPr>
                <w:sz w:val="20"/>
                <w:szCs w:val="20"/>
                <w:color w:val="auto"/>
              </w:rPr>
            </w:pPr>
            <w:r>
              <w:rPr>
                <w:rFonts w:ascii="Arial" w:cs="Arial" w:eastAsia="Arial" w:hAnsi="Arial"/>
                <w:sz w:val="10"/>
                <w:szCs w:val="10"/>
                <w:color w:val="691A6B"/>
              </w:rPr>
              <w:t>6</w:t>
            </w:r>
          </w:p>
        </w:tc>
        <w:tc>
          <w:tcPr>
            <w:tcW w:w="860" w:type="dxa"/>
            <w:vAlign w:val="bottom"/>
          </w:tcPr>
          <w:p>
            <w:pPr>
              <w:ind w:left="340"/>
              <w:spacing w:after="0"/>
              <w:rPr>
                <w:sz w:val="20"/>
                <w:szCs w:val="20"/>
                <w:color w:val="auto"/>
              </w:rPr>
            </w:pPr>
            <w:r>
              <w:rPr>
                <w:rFonts w:ascii="Arial" w:cs="Arial" w:eastAsia="Arial" w:hAnsi="Arial"/>
                <w:sz w:val="10"/>
                <w:szCs w:val="10"/>
                <w:color w:val="auto"/>
              </w:rPr>
              <w:t>—</w:t>
            </w:r>
          </w:p>
        </w:tc>
        <w:tc>
          <w:tcPr>
            <w:tcW w:w="220" w:type="dxa"/>
            <w:vAlign w:val="bottom"/>
          </w:tcPr>
          <w:p>
            <w:pPr>
              <w:ind w:left="100"/>
              <w:spacing w:after="0"/>
              <w:rPr>
                <w:sz w:val="20"/>
                <w:szCs w:val="20"/>
                <w:color w:val="auto"/>
              </w:rPr>
            </w:pPr>
            <w:r>
              <w:rPr>
                <w:rFonts w:ascii="Arial" w:cs="Arial" w:eastAsia="Arial" w:hAnsi="Arial"/>
                <w:sz w:val="10"/>
                <w:szCs w:val="10"/>
                <w:color w:val="auto"/>
                <w:w w:val="99"/>
              </w:rPr>
              <w:t>—</w:t>
            </w:r>
          </w:p>
        </w:tc>
        <w:tc>
          <w:tcPr>
            <w:tcW w:w="880" w:type="dxa"/>
            <w:vAlign w:val="bottom"/>
          </w:tcPr>
          <w:p>
            <w:pPr>
              <w:jc w:val="right"/>
              <w:ind w:right="208"/>
              <w:spacing w:after="0"/>
              <w:rPr>
                <w:sz w:val="20"/>
                <w:szCs w:val="20"/>
                <w:color w:val="auto"/>
              </w:rPr>
            </w:pPr>
            <w:r>
              <w:rPr>
                <w:rFonts w:ascii="Arial" w:cs="Arial" w:eastAsia="Arial" w:hAnsi="Arial"/>
                <w:sz w:val="10"/>
                <w:szCs w:val="10"/>
                <w:color w:val="691A6B"/>
              </w:rPr>
              <w:t>951</w:t>
            </w:r>
          </w:p>
        </w:tc>
        <w:tc>
          <w:tcPr>
            <w:tcW w:w="520" w:type="dxa"/>
            <w:vAlign w:val="bottom"/>
          </w:tcPr>
          <w:p>
            <w:pPr>
              <w:ind w:left="24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8"/>
        </w:trPr>
        <w:tc>
          <w:tcPr>
            <w:tcW w:w="1320" w:type="dxa"/>
            <w:vAlign w:val="bottom"/>
          </w:tcPr>
          <w:p>
            <w:pPr>
              <w:ind w:left="20"/>
              <w:spacing w:after="0"/>
              <w:rPr>
                <w:sz w:val="20"/>
                <w:szCs w:val="20"/>
                <w:color w:val="auto"/>
              </w:rPr>
            </w:pPr>
            <w:r>
              <w:rPr>
                <w:rFonts w:ascii="Arial" w:cs="Arial" w:eastAsia="Arial" w:hAnsi="Arial"/>
                <w:sz w:val="10"/>
                <w:szCs w:val="10"/>
                <w:b w:val="1"/>
                <w:bCs w:val="1"/>
                <w:color w:val="auto"/>
              </w:rPr>
              <w:t>Total Borrowings</w:t>
            </w:r>
          </w:p>
        </w:tc>
        <w:tc>
          <w:tcPr>
            <w:tcW w:w="580" w:type="dxa"/>
            <w:vAlign w:val="bottom"/>
          </w:tcPr>
          <w:p>
            <w:pPr>
              <w:jc w:val="right"/>
              <w:ind w:right="128"/>
              <w:spacing w:after="0"/>
              <w:rPr>
                <w:sz w:val="20"/>
                <w:szCs w:val="20"/>
                <w:color w:val="auto"/>
              </w:rPr>
            </w:pPr>
            <w:r>
              <w:rPr>
                <w:rFonts w:ascii="Arial" w:cs="Arial" w:eastAsia="Arial" w:hAnsi="Arial"/>
                <w:sz w:val="10"/>
                <w:szCs w:val="10"/>
                <w:b w:val="1"/>
                <w:bCs w:val="1"/>
                <w:color w:val="691A6B"/>
              </w:rPr>
              <w:t>273</w:t>
            </w:r>
          </w:p>
        </w:tc>
        <w:tc>
          <w:tcPr>
            <w:tcW w:w="860" w:type="dxa"/>
            <w:vAlign w:val="bottom"/>
          </w:tcPr>
          <w:p>
            <w:pPr>
              <w:ind w:left="340"/>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ind w:left="100"/>
              <w:spacing w:after="0"/>
              <w:rPr>
                <w:sz w:val="20"/>
                <w:szCs w:val="20"/>
                <w:color w:val="auto"/>
              </w:rPr>
            </w:pPr>
            <w:r>
              <w:rPr>
                <w:rFonts w:ascii="Arial" w:cs="Arial" w:eastAsia="Arial" w:hAnsi="Arial"/>
                <w:sz w:val="10"/>
                <w:szCs w:val="10"/>
                <w:b w:val="1"/>
                <w:bCs w:val="1"/>
                <w:color w:val="auto"/>
                <w:w w:val="99"/>
              </w:rPr>
              <w:t>—</w:t>
            </w:r>
          </w:p>
        </w:tc>
        <w:tc>
          <w:tcPr>
            <w:tcW w:w="880" w:type="dxa"/>
            <w:vAlign w:val="bottom"/>
          </w:tcPr>
          <w:p>
            <w:pPr>
              <w:jc w:val="right"/>
              <w:ind w:right="208"/>
              <w:spacing w:after="0"/>
              <w:rPr>
                <w:sz w:val="20"/>
                <w:szCs w:val="20"/>
                <w:color w:val="auto"/>
              </w:rPr>
            </w:pPr>
            <w:r>
              <w:rPr>
                <w:rFonts w:ascii="Arial" w:cs="Arial" w:eastAsia="Arial" w:hAnsi="Arial"/>
                <w:sz w:val="10"/>
                <w:szCs w:val="10"/>
                <w:b w:val="1"/>
                <w:bCs w:val="1"/>
                <w:color w:val="691A6B"/>
              </w:rPr>
              <w:t>5,001</w:t>
            </w:r>
          </w:p>
        </w:tc>
        <w:tc>
          <w:tcPr>
            <w:tcW w:w="520" w:type="dxa"/>
            <w:vAlign w:val="bottom"/>
          </w:tcPr>
          <w:p>
            <w:pPr>
              <w:ind w:left="240"/>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52"/>
        </w:trPr>
        <w:tc>
          <w:tcPr>
            <w:tcW w:w="2760" w:type="dxa"/>
            <w:vAlign w:val="bottom"/>
            <w:tcBorders>
              <w:bottom w:val="single" w:sz="8" w:color="691A6B"/>
            </w:tcBorders>
            <w:gridSpan w:val="3"/>
          </w:tcPr>
          <w:p>
            <w:pPr>
              <w:spacing w:after="0"/>
              <w:rPr>
                <w:sz w:val="20"/>
                <w:szCs w:val="20"/>
                <w:color w:val="auto"/>
              </w:rPr>
            </w:pPr>
            <w:r>
              <w:rPr>
                <w:rFonts w:ascii="Arial" w:cs="Arial" w:eastAsia="Arial" w:hAnsi="Arial"/>
                <w:sz w:val="13"/>
                <w:szCs w:val="13"/>
                <w:b w:val="1"/>
                <w:bCs w:val="1"/>
                <w:color w:val="691A6B"/>
              </w:rPr>
              <w:t>Terms and conditions of borrowings</w:t>
            </w:r>
          </w:p>
        </w:tc>
        <w:tc>
          <w:tcPr>
            <w:tcW w:w="220" w:type="dxa"/>
            <w:vAlign w:val="bottom"/>
            <w:tcBorders>
              <w:bottom w:val="single" w:sz="8" w:color="691A6B"/>
            </w:tcBorders>
          </w:tcPr>
          <w:p>
            <w:pPr>
              <w:spacing w:after="0"/>
              <w:rPr>
                <w:sz w:val="13"/>
                <w:szCs w:val="13"/>
                <w:color w:val="auto"/>
              </w:rPr>
            </w:pPr>
          </w:p>
        </w:tc>
        <w:tc>
          <w:tcPr>
            <w:tcW w:w="880" w:type="dxa"/>
            <w:vAlign w:val="bottom"/>
            <w:tcBorders>
              <w:bottom w:val="single" w:sz="8" w:color="691A6B"/>
            </w:tcBorders>
          </w:tcPr>
          <w:p>
            <w:pPr>
              <w:spacing w:after="0"/>
              <w:rPr>
                <w:sz w:val="13"/>
                <w:szCs w:val="13"/>
                <w:color w:val="auto"/>
              </w:rPr>
            </w:pPr>
          </w:p>
        </w:tc>
        <w:tc>
          <w:tcPr>
            <w:tcW w:w="520" w:type="dxa"/>
            <w:vAlign w:val="bottom"/>
            <w:tcBorders>
              <w:bottom w:val="single" w:sz="8" w:color="691A6B"/>
            </w:tcBorders>
          </w:tcPr>
          <w:p>
            <w:pPr>
              <w:spacing w:after="0"/>
              <w:rPr>
                <w:sz w:val="13"/>
                <w:szCs w:val="13"/>
                <w:color w:val="auto"/>
              </w:rPr>
            </w:pPr>
          </w:p>
        </w:tc>
        <w:tc>
          <w:tcPr>
            <w:tcW w:w="500" w:type="dxa"/>
            <w:vAlign w:val="bottom"/>
            <w:tcBorders>
              <w:bottom w:val="single" w:sz="8" w:color="691A6B"/>
            </w:tcBorders>
          </w:tcPr>
          <w:p>
            <w:pPr>
              <w:spacing w:after="0"/>
              <w:rPr>
                <w:sz w:val="13"/>
                <w:szCs w:val="13"/>
                <w:color w:val="auto"/>
              </w:rPr>
            </w:pPr>
          </w:p>
        </w:tc>
      </w:tr>
      <w:tr>
        <w:trPr>
          <w:trHeight w:val="123"/>
        </w:trPr>
        <w:tc>
          <w:tcPr>
            <w:tcW w:w="1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ind w:left="200"/>
              <w:spacing w:after="0"/>
              <w:rPr>
                <w:sz w:val="20"/>
                <w:szCs w:val="20"/>
                <w:color w:val="auto"/>
              </w:rPr>
            </w:pPr>
            <w:r>
              <w:rPr>
                <w:rFonts w:ascii="Arial" w:cs="Arial" w:eastAsia="Arial" w:hAnsi="Arial"/>
                <w:sz w:val="10"/>
                <w:szCs w:val="10"/>
                <w:b w:val="1"/>
                <w:bCs w:val="1"/>
                <w:color w:val="auto"/>
              </w:rPr>
              <w:t>Interest</w:t>
            </w:r>
          </w:p>
        </w:tc>
        <w:tc>
          <w:tcPr>
            <w:tcW w:w="220" w:type="dxa"/>
            <w:vAlign w:val="bottom"/>
          </w:tcPr>
          <w:p>
            <w:pPr>
              <w:spacing w:after="0"/>
              <w:rPr>
                <w:sz w:val="10"/>
                <w:szCs w:val="10"/>
                <w:color w:val="auto"/>
              </w:rPr>
            </w:pPr>
          </w:p>
        </w:tc>
        <w:tc>
          <w:tcPr>
            <w:tcW w:w="880" w:type="dxa"/>
            <w:vAlign w:val="bottom"/>
          </w:tcPr>
          <w:p>
            <w:pPr>
              <w:ind w:left="40"/>
              <w:spacing w:after="0"/>
              <w:rPr>
                <w:sz w:val="20"/>
                <w:szCs w:val="20"/>
                <w:color w:val="auto"/>
              </w:rPr>
            </w:pPr>
            <w:r>
              <w:rPr>
                <w:rFonts w:ascii="Arial" w:cs="Arial" w:eastAsia="Arial" w:hAnsi="Arial"/>
                <w:sz w:val="10"/>
                <w:szCs w:val="10"/>
                <w:b w:val="1"/>
                <w:bCs w:val="1"/>
                <w:color w:val="auto"/>
              </w:rPr>
              <w:t>Maturity Date</w:t>
            </w:r>
          </w:p>
        </w:tc>
        <w:tc>
          <w:tcPr>
            <w:tcW w:w="1020" w:type="dxa"/>
            <w:vAlign w:val="bottom"/>
            <w:gridSpan w:val="2"/>
          </w:tcPr>
          <w:p>
            <w:pPr>
              <w:jc w:val="right"/>
              <w:ind w:right="208"/>
              <w:spacing w:after="0"/>
              <w:rPr>
                <w:sz w:val="20"/>
                <w:szCs w:val="20"/>
                <w:color w:val="auto"/>
              </w:rPr>
            </w:pPr>
            <w:r>
              <w:rPr>
                <w:rFonts w:ascii="Arial" w:cs="Arial" w:eastAsia="Arial" w:hAnsi="Arial"/>
                <w:sz w:val="10"/>
                <w:szCs w:val="10"/>
                <w:b w:val="1"/>
                <w:bCs w:val="1"/>
                <w:color w:val="auto"/>
              </w:rPr>
              <w:t>Nominal Value</w:t>
            </w:r>
          </w:p>
        </w:tc>
      </w:tr>
      <w:tr>
        <w:trPr>
          <w:trHeight w:val="137"/>
        </w:trPr>
        <w:tc>
          <w:tcPr>
            <w:tcW w:w="1320" w:type="dxa"/>
            <w:vAlign w:val="bottom"/>
          </w:tcPr>
          <w:p>
            <w:pPr>
              <w:ind w:left="20"/>
              <w:spacing w:after="0"/>
              <w:rPr>
                <w:sz w:val="20"/>
                <w:szCs w:val="20"/>
                <w:color w:val="auto"/>
              </w:rPr>
            </w:pPr>
            <w:r>
              <w:rPr>
                <w:rFonts w:ascii="Arial" w:cs="Arial" w:eastAsia="Arial" w:hAnsi="Arial"/>
                <w:sz w:val="10"/>
                <w:szCs w:val="10"/>
                <w:color w:val="auto"/>
              </w:rPr>
              <w:t>Term Loan A (Secured)</w:t>
            </w:r>
          </w:p>
        </w:tc>
        <w:tc>
          <w:tcPr>
            <w:tcW w:w="580" w:type="dxa"/>
            <w:vAlign w:val="bottom"/>
          </w:tcPr>
          <w:p>
            <w:pPr>
              <w:spacing w:after="0"/>
              <w:rPr>
                <w:sz w:val="11"/>
                <w:szCs w:val="11"/>
                <w:color w:val="auto"/>
              </w:rPr>
            </w:pPr>
          </w:p>
        </w:tc>
        <w:tc>
          <w:tcPr>
            <w:tcW w:w="860" w:type="dxa"/>
            <w:vAlign w:val="bottom"/>
          </w:tcPr>
          <w:p>
            <w:pPr>
              <w:ind w:left="200"/>
              <w:spacing w:after="0"/>
              <w:rPr>
                <w:sz w:val="20"/>
                <w:szCs w:val="20"/>
                <w:color w:val="auto"/>
              </w:rPr>
            </w:pPr>
            <w:r>
              <w:rPr>
                <w:rFonts w:ascii="Arial" w:cs="Arial" w:eastAsia="Arial" w:hAnsi="Arial"/>
                <w:sz w:val="10"/>
                <w:szCs w:val="10"/>
                <w:color w:val="auto"/>
              </w:rPr>
              <w:t>5.48% Float</w:t>
            </w:r>
          </w:p>
        </w:tc>
        <w:tc>
          <w:tcPr>
            <w:tcW w:w="220" w:type="dxa"/>
            <w:vAlign w:val="bottom"/>
          </w:tcPr>
          <w:p>
            <w:pPr>
              <w:spacing w:after="0"/>
              <w:rPr>
                <w:sz w:val="11"/>
                <w:szCs w:val="11"/>
                <w:color w:val="auto"/>
              </w:rPr>
            </w:pPr>
          </w:p>
        </w:tc>
        <w:tc>
          <w:tcPr>
            <w:tcW w:w="880" w:type="dxa"/>
            <w:vAlign w:val="bottom"/>
          </w:tcPr>
          <w:p>
            <w:pPr>
              <w:ind w:left="40"/>
              <w:spacing w:after="0"/>
              <w:rPr>
                <w:sz w:val="20"/>
                <w:szCs w:val="20"/>
                <w:color w:val="auto"/>
              </w:rPr>
            </w:pPr>
            <w:r>
              <w:rPr>
                <w:rFonts w:ascii="Arial" w:cs="Arial" w:eastAsia="Arial" w:hAnsi="Arial"/>
                <w:sz w:val="10"/>
                <w:szCs w:val="10"/>
                <w:color w:val="auto"/>
              </w:rPr>
              <w:t>December 2030</w:t>
            </w:r>
          </w:p>
        </w:tc>
        <w:tc>
          <w:tcPr>
            <w:tcW w:w="520" w:type="dxa"/>
            <w:vAlign w:val="bottom"/>
          </w:tcPr>
          <w:p>
            <w:pPr>
              <w:spacing w:after="0"/>
              <w:rPr>
                <w:sz w:val="11"/>
                <w:szCs w:val="11"/>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1,000</w:t>
            </w:r>
          </w:p>
        </w:tc>
      </w:tr>
      <w:tr>
        <w:trPr>
          <w:trHeight w:val="152"/>
        </w:trPr>
        <w:tc>
          <w:tcPr>
            <w:tcW w:w="1320" w:type="dxa"/>
            <w:vAlign w:val="bottom"/>
          </w:tcPr>
          <w:p>
            <w:pPr>
              <w:ind w:left="20"/>
              <w:spacing w:after="0"/>
              <w:rPr>
                <w:sz w:val="20"/>
                <w:szCs w:val="20"/>
                <w:color w:val="auto"/>
              </w:rPr>
            </w:pPr>
            <w:r>
              <w:rPr>
                <w:rFonts w:ascii="Arial" w:cs="Arial" w:eastAsia="Arial" w:hAnsi="Arial"/>
                <w:sz w:val="10"/>
                <w:szCs w:val="10"/>
                <w:color w:val="auto"/>
              </w:rPr>
              <w:t>Term Loan B (Secured)</w:t>
            </w:r>
          </w:p>
        </w:tc>
        <w:tc>
          <w:tcPr>
            <w:tcW w:w="580" w:type="dxa"/>
            <w:vAlign w:val="bottom"/>
          </w:tcPr>
          <w:p>
            <w:pPr>
              <w:spacing w:after="0"/>
              <w:rPr>
                <w:sz w:val="13"/>
                <w:szCs w:val="13"/>
                <w:color w:val="auto"/>
              </w:rPr>
            </w:pPr>
          </w:p>
        </w:tc>
        <w:tc>
          <w:tcPr>
            <w:tcW w:w="860" w:type="dxa"/>
            <w:vAlign w:val="bottom"/>
          </w:tcPr>
          <w:p>
            <w:pPr>
              <w:ind w:left="200"/>
              <w:spacing w:after="0"/>
              <w:rPr>
                <w:sz w:val="20"/>
                <w:szCs w:val="20"/>
                <w:color w:val="auto"/>
              </w:rPr>
            </w:pPr>
            <w:r>
              <w:rPr>
                <w:rFonts w:ascii="Arial" w:cs="Arial" w:eastAsia="Arial" w:hAnsi="Arial"/>
                <w:sz w:val="10"/>
                <w:szCs w:val="10"/>
                <w:color w:val="auto"/>
              </w:rPr>
              <w:t>6.73% Float</w:t>
            </w:r>
          </w:p>
        </w:tc>
        <w:tc>
          <w:tcPr>
            <w:tcW w:w="220" w:type="dxa"/>
            <w:vAlign w:val="bottom"/>
          </w:tcPr>
          <w:p>
            <w:pPr>
              <w:spacing w:after="0"/>
              <w:rPr>
                <w:sz w:val="13"/>
                <w:szCs w:val="13"/>
                <w:color w:val="auto"/>
              </w:rPr>
            </w:pPr>
          </w:p>
        </w:tc>
        <w:tc>
          <w:tcPr>
            <w:tcW w:w="880" w:type="dxa"/>
            <w:vAlign w:val="bottom"/>
          </w:tcPr>
          <w:p>
            <w:pPr>
              <w:ind w:left="40"/>
              <w:spacing w:after="0"/>
              <w:rPr>
                <w:sz w:val="20"/>
                <w:szCs w:val="20"/>
                <w:color w:val="auto"/>
              </w:rPr>
            </w:pPr>
            <w:r>
              <w:rPr>
                <w:rFonts w:ascii="Arial" w:cs="Arial" w:eastAsia="Arial" w:hAnsi="Arial"/>
                <w:sz w:val="10"/>
                <w:szCs w:val="10"/>
                <w:color w:val="auto"/>
              </w:rPr>
              <w:t>December 2032</w:t>
            </w:r>
          </w:p>
        </w:tc>
        <w:tc>
          <w:tcPr>
            <w:tcW w:w="520" w:type="dxa"/>
            <w:vAlign w:val="bottom"/>
          </w:tcPr>
          <w:p>
            <w:pPr>
              <w:spacing w:after="0"/>
              <w:rPr>
                <w:sz w:val="13"/>
                <w:szCs w:val="13"/>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2,000</w:t>
            </w:r>
          </w:p>
        </w:tc>
      </w:tr>
      <w:tr>
        <w:trPr>
          <w:trHeight w:val="152"/>
        </w:trPr>
        <w:tc>
          <w:tcPr>
            <w:tcW w:w="1320" w:type="dxa"/>
            <w:vAlign w:val="bottom"/>
          </w:tcPr>
          <w:p>
            <w:pPr>
              <w:ind w:left="20"/>
              <w:spacing w:after="0"/>
              <w:rPr>
                <w:sz w:val="20"/>
                <w:szCs w:val="20"/>
                <w:color w:val="auto"/>
              </w:rPr>
            </w:pPr>
            <w:r>
              <w:rPr>
                <w:rFonts w:ascii="Arial" w:cs="Arial" w:eastAsia="Arial" w:hAnsi="Arial"/>
                <w:sz w:val="10"/>
                <w:szCs w:val="10"/>
                <w:color w:val="auto"/>
              </w:rPr>
              <w:t>Secured Notes</w:t>
            </w:r>
          </w:p>
        </w:tc>
        <w:tc>
          <w:tcPr>
            <w:tcW w:w="580" w:type="dxa"/>
            <w:vAlign w:val="bottom"/>
          </w:tcPr>
          <w:p>
            <w:pPr>
              <w:spacing w:after="0"/>
              <w:rPr>
                <w:sz w:val="13"/>
                <w:szCs w:val="13"/>
                <w:color w:val="auto"/>
              </w:rPr>
            </w:pPr>
          </w:p>
        </w:tc>
        <w:tc>
          <w:tcPr>
            <w:tcW w:w="860" w:type="dxa"/>
            <w:vAlign w:val="bottom"/>
          </w:tcPr>
          <w:p>
            <w:pPr>
              <w:ind w:left="200"/>
              <w:spacing w:after="0"/>
              <w:rPr>
                <w:sz w:val="20"/>
                <w:szCs w:val="20"/>
                <w:color w:val="auto"/>
              </w:rPr>
            </w:pPr>
            <w:r>
              <w:rPr>
                <w:rFonts w:ascii="Arial" w:cs="Arial" w:eastAsia="Arial" w:hAnsi="Arial"/>
                <w:sz w:val="10"/>
                <w:szCs w:val="10"/>
                <w:color w:val="auto"/>
              </w:rPr>
              <w:t>6.25% Fixed</w:t>
            </w:r>
          </w:p>
        </w:tc>
        <w:tc>
          <w:tcPr>
            <w:tcW w:w="220" w:type="dxa"/>
            <w:vAlign w:val="bottom"/>
          </w:tcPr>
          <w:p>
            <w:pPr>
              <w:spacing w:after="0"/>
              <w:rPr>
                <w:sz w:val="13"/>
                <w:szCs w:val="13"/>
                <w:color w:val="auto"/>
              </w:rPr>
            </w:pPr>
          </w:p>
        </w:tc>
        <w:tc>
          <w:tcPr>
            <w:tcW w:w="880" w:type="dxa"/>
            <w:vAlign w:val="bottom"/>
          </w:tcPr>
          <w:p>
            <w:pPr>
              <w:ind w:left="40"/>
              <w:spacing w:after="0"/>
              <w:rPr>
                <w:sz w:val="20"/>
                <w:szCs w:val="20"/>
                <w:color w:val="auto"/>
              </w:rPr>
            </w:pPr>
            <w:r>
              <w:rPr>
                <w:rFonts w:ascii="Arial" w:cs="Arial" w:eastAsia="Arial" w:hAnsi="Arial"/>
                <w:sz w:val="10"/>
                <w:szCs w:val="10"/>
                <w:color w:val="auto"/>
              </w:rPr>
              <w:t>December 2032</w:t>
            </w:r>
          </w:p>
        </w:tc>
        <w:tc>
          <w:tcPr>
            <w:tcW w:w="520" w:type="dxa"/>
            <w:vAlign w:val="bottom"/>
          </w:tcPr>
          <w:p>
            <w:pPr>
              <w:spacing w:after="0"/>
              <w:rPr>
                <w:sz w:val="13"/>
                <w:szCs w:val="13"/>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1,500</w:t>
            </w:r>
          </w:p>
        </w:tc>
      </w:tr>
      <w:tr>
        <w:trPr>
          <w:trHeight w:val="152"/>
        </w:trPr>
        <w:tc>
          <w:tcPr>
            <w:tcW w:w="1320" w:type="dxa"/>
            <w:vAlign w:val="bottom"/>
          </w:tcPr>
          <w:p>
            <w:pPr>
              <w:ind w:left="20"/>
              <w:spacing w:after="0"/>
              <w:rPr>
                <w:sz w:val="20"/>
                <w:szCs w:val="20"/>
                <w:color w:val="auto"/>
              </w:rPr>
            </w:pPr>
            <w:r>
              <w:rPr>
                <w:rFonts w:ascii="Arial" w:cs="Arial" w:eastAsia="Arial" w:hAnsi="Arial"/>
                <w:sz w:val="10"/>
                <w:szCs w:val="10"/>
                <w:color w:val="auto"/>
              </w:rPr>
              <w:t>Unsecured Notes</w:t>
            </w:r>
          </w:p>
        </w:tc>
        <w:tc>
          <w:tcPr>
            <w:tcW w:w="580" w:type="dxa"/>
            <w:vAlign w:val="bottom"/>
          </w:tcPr>
          <w:p>
            <w:pPr>
              <w:spacing w:after="0"/>
              <w:rPr>
                <w:sz w:val="13"/>
                <w:szCs w:val="13"/>
                <w:color w:val="auto"/>
              </w:rPr>
            </w:pPr>
          </w:p>
        </w:tc>
        <w:tc>
          <w:tcPr>
            <w:tcW w:w="860" w:type="dxa"/>
            <w:vAlign w:val="bottom"/>
          </w:tcPr>
          <w:p>
            <w:pPr>
              <w:ind w:left="200"/>
              <w:spacing w:after="0"/>
              <w:rPr>
                <w:sz w:val="20"/>
                <w:szCs w:val="20"/>
                <w:color w:val="auto"/>
              </w:rPr>
            </w:pPr>
            <w:r>
              <w:rPr>
                <w:rFonts w:ascii="Arial" w:cs="Arial" w:eastAsia="Arial" w:hAnsi="Arial"/>
                <w:sz w:val="10"/>
                <w:szCs w:val="10"/>
                <w:color w:val="auto"/>
              </w:rPr>
              <w:t>7.25% Fixed</w:t>
            </w:r>
          </w:p>
        </w:tc>
        <w:tc>
          <w:tcPr>
            <w:tcW w:w="220" w:type="dxa"/>
            <w:vAlign w:val="bottom"/>
          </w:tcPr>
          <w:p>
            <w:pPr>
              <w:spacing w:after="0"/>
              <w:rPr>
                <w:sz w:val="13"/>
                <w:szCs w:val="13"/>
                <w:color w:val="auto"/>
              </w:rPr>
            </w:pPr>
          </w:p>
        </w:tc>
        <w:tc>
          <w:tcPr>
            <w:tcW w:w="880" w:type="dxa"/>
            <w:vAlign w:val="bottom"/>
          </w:tcPr>
          <w:p>
            <w:pPr>
              <w:ind w:left="40"/>
              <w:spacing w:after="0"/>
              <w:rPr>
                <w:sz w:val="20"/>
                <w:szCs w:val="20"/>
                <w:color w:val="auto"/>
              </w:rPr>
            </w:pPr>
            <w:r>
              <w:rPr>
                <w:rFonts w:ascii="Arial" w:cs="Arial" w:eastAsia="Arial" w:hAnsi="Arial"/>
                <w:sz w:val="10"/>
                <w:szCs w:val="10"/>
                <w:color w:val="auto"/>
              </w:rPr>
              <w:t>December 2033</w:t>
            </w:r>
          </w:p>
        </w:tc>
        <w:tc>
          <w:tcPr>
            <w:tcW w:w="520" w:type="dxa"/>
            <w:vAlign w:val="bottom"/>
          </w:tcPr>
          <w:p>
            <w:pPr>
              <w:spacing w:after="0"/>
              <w:rPr>
                <w:sz w:val="13"/>
                <w:szCs w:val="13"/>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1,000</w:t>
            </w:r>
          </w:p>
        </w:tc>
      </w:tr>
      <w:tr>
        <w:trPr>
          <w:trHeight w:val="158"/>
        </w:trPr>
        <w:tc>
          <w:tcPr>
            <w:tcW w:w="132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b w:val="1"/>
                <w:bCs w:val="1"/>
                <w:color w:val="auto"/>
              </w:rPr>
              <w:t>5,500</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9"/>
          <w:szCs w:val="9"/>
          <w:color w:val="auto"/>
        </w:rPr>
        <w:t>1.The interest rate listed is the current percentage as of December 31, 2025, and is subject to change.</w:t>
      </w:r>
    </w:p>
    <w:p>
      <w:pPr>
        <w:spacing w:after="0" w:line="226" w:lineRule="auto"/>
        <w:rPr>
          <w:sz w:val="20"/>
          <w:szCs w:val="20"/>
          <w:color w:val="auto"/>
        </w:rPr>
      </w:pPr>
      <w:r>
        <w:rPr>
          <w:rFonts w:ascii="Arial" w:cs="Arial" w:eastAsia="Arial" w:hAnsi="Arial"/>
          <w:sz w:val="13"/>
          <w:szCs w:val="13"/>
          <w:b w:val="1"/>
          <w:bCs w:val="1"/>
          <w:color w:val="691A6B"/>
        </w:rPr>
        <w:t>Contractual undiscounted cash flows</w:t>
      </w:r>
      <w:r>
        <w:rPr>
          <w:rFonts w:ascii="Arial" w:cs="Arial" w:eastAsia="Arial" w:hAnsi="Arial"/>
          <w:sz w:val="15"/>
          <w:szCs w:val="15"/>
          <w:color w:val="000000"/>
          <w:vertAlign w:val="superscript"/>
        </w:rPr>
        <w:t>1</w:t>
      </w:r>
    </w:p>
    <w:tbl>
      <w:tblPr>
        <w:tblLayout w:type="fixed"/>
        <w:tblInd w:w="0" w:type="dxa"/>
        <w:tblCellMar>
          <w:top w:w="0" w:type="dxa"/>
          <w:left w:w="0" w:type="dxa"/>
          <w:bottom w:w="0" w:type="dxa"/>
          <w:right w:w="0" w:type="dxa"/>
        </w:tblCellMar>
      </w:tblPr>
      <w:tr>
        <w:trPr>
          <w:trHeight w:val="95"/>
        </w:trPr>
        <w:tc>
          <w:tcPr>
            <w:tcW w:w="1260" w:type="dxa"/>
            <w:vAlign w:val="bottom"/>
            <w:tcBorders>
              <w:top w:val="single" w:sz="8" w:color="691A6B"/>
            </w:tcBorders>
          </w:tcPr>
          <w:p>
            <w:pPr>
              <w:spacing w:after="0"/>
              <w:rPr>
                <w:sz w:val="8"/>
                <w:szCs w:val="8"/>
                <w:color w:val="auto"/>
              </w:rPr>
            </w:pPr>
          </w:p>
        </w:tc>
        <w:tc>
          <w:tcPr>
            <w:tcW w:w="1000" w:type="dxa"/>
            <w:vAlign w:val="bottom"/>
            <w:tcBorders>
              <w:top w:val="single" w:sz="8" w:color="691A6B"/>
            </w:tcBorders>
          </w:tcPr>
          <w:p>
            <w:pPr>
              <w:ind w:left="380"/>
              <w:spacing w:after="0" w:line="95" w:lineRule="exact"/>
              <w:rPr>
                <w:sz w:val="20"/>
                <w:szCs w:val="20"/>
                <w:color w:val="auto"/>
              </w:rPr>
            </w:pPr>
            <w:r>
              <w:rPr>
                <w:rFonts w:ascii="Arial" w:cs="Arial" w:eastAsia="Arial" w:hAnsi="Arial"/>
                <w:sz w:val="10"/>
                <w:szCs w:val="10"/>
                <w:b w:val="1"/>
                <w:bCs w:val="1"/>
                <w:color w:val="auto"/>
              </w:rPr>
              <w:t>Term Loan</w:t>
            </w:r>
          </w:p>
        </w:tc>
        <w:tc>
          <w:tcPr>
            <w:tcW w:w="6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Term Loan</w:t>
            </w:r>
          </w:p>
        </w:tc>
        <w:tc>
          <w:tcPr>
            <w:tcW w:w="64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Secured</w:t>
            </w:r>
          </w:p>
        </w:tc>
        <w:tc>
          <w:tcPr>
            <w:tcW w:w="660" w:type="dxa"/>
            <w:vAlign w:val="bottom"/>
            <w:tcBorders>
              <w:top w:val="single" w:sz="8" w:color="691A6B"/>
            </w:tcBorders>
          </w:tcPr>
          <w:p>
            <w:pPr>
              <w:ind w:left="60"/>
              <w:spacing w:after="0" w:line="95" w:lineRule="exact"/>
              <w:rPr>
                <w:sz w:val="20"/>
                <w:szCs w:val="20"/>
                <w:color w:val="auto"/>
              </w:rPr>
            </w:pPr>
            <w:r>
              <w:rPr>
                <w:rFonts w:ascii="Arial" w:cs="Arial" w:eastAsia="Arial" w:hAnsi="Arial"/>
                <w:sz w:val="10"/>
                <w:szCs w:val="10"/>
                <w:b w:val="1"/>
                <w:bCs w:val="1"/>
                <w:color w:val="auto"/>
              </w:rPr>
              <w:t>Unsecured</w:t>
            </w:r>
          </w:p>
        </w:tc>
        <w:tc>
          <w:tcPr>
            <w:tcW w:w="700" w:type="dxa"/>
            <w:vAlign w:val="bottom"/>
            <w:tcBorders>
              <w:top w:val="single" w:sz="8" w:color="691A6B"/>
            </w:tcBorders>
          </w:tcPr>
          <w:p>
            <w:pPr>
              <w:jc w:val="right"/>
              <w:ind w:right="368"/>
              <w:spacing w:after="0" w:line="95" w:lineRule="exact"/>
              <w:rPr>
                <w:sz w:val="20"/>
                <w:szCs w:val="20"/>
                <w:color w:val="auto"/>
              </w:rPr>
            </w:pPr>
            <w:r>
              <w:rPr>
                <w:rFonts w:ascii="Arial" w:cs="Arial" w:eastAsia="Arial" w:hAnsi="Arial"/>
                <w:sz w:val="10"/>
                <w:szCs w:val="10"/>
                <w:b w:val="1"/>
                <w:bCs w:val="1"/>
                <w:color w:val="auto"/>
              </w:rPr>
              <w:t>Total</w:t>
            </w:r>
          </w:p>
        </w:tc>
      </w:tr>
      <w:tr>
        <w:trPr>
          <w:trHeight w:val="128"/>
        </w:trPr>
        <w:tc>
          <w:tcPr>
            <w:tcW w:w="1260" w:type="dxa"/>
            <w:vAlign w:val="bottom"/>
          </w:tcPr>
          <w:p>
            <w:pPr>
              <w:spacing w:after="0"/>
              <w:rPr>
                <w:sz w:val="11"/>
                <w:szCs w:val="11"/>
                <w:color w:val="auto"/>
              </w:rPr>
            </w:pPr>
          </w:p>
        </w:tc>
        <w:tc>
          <w:tcPr>
            <w:tcW w:w="1000" w:type="dxa"/>
            <w:vAlign w:val="bottom"/>
          </w:tcPr>
          <w:p>
            <w:pPr>
              <w:ind w:left="380"/>
              <w:spacing w:after="0"/>
              <w:rPr>
                <w:sz w:val="20"/>
                <w:szCs w:val="20"/>
                <w:color w:val="auto"/>
              </w:rPr>
            </w:pPr>
            <w:r>
              <w:rPr>
                <w:rFonts w:ascii="Arial" w:cs="Arial" w:eastAsia="Arial" w:hAnsi="Arial"/>
                <w:sz w:val="10"/>
                <w:szCs w:val="10"/>
                <w:b w:val="1"/>
                <w:bCs w:val="1"/>
                <w:color w:val="auto"/>
              </w:rPr>
              <w:t>A (Secured)</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B (Secured)</w:t>
            </w: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Notes</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Notes</w:t>
            </w:r>
          </w:p>
        </w:tc>
        <w:tc>
          <w:tcPr>
            <w:tcW w:w="700" w:type="dxa"/>
            <w:vAlign w:val="bottom"/>
          </w:tcPr>
          <w:p>
            <w:pPr>
              <w:spacing w:after="0"/>
              <w:rPr>
                <w:sz w:val="11"/>
                <w:szCs w:val="11"/>
                <w:color w:val="auto"/>
              </w:rPr>
            </w:pPr>
          </w:p>
        </w:tc>
      </w:tr>
      <w:tr>
        <w:trPr>
          <w:trHeight w:val="150"/>
        </w:trPr>
        <w:tc>
          <w:tcPr>
            <w:tcW w:w="1260" w:type="dxa"/>
            <w:vAlign w:val="bottom"/>
          </w:tcPr>
          <w:p>
            <w:pPr>
              <w:ind w:left="20"/>
              <w:spacing w:after="0"/>
              <w:rPr>
                <w:sz w:val="20"/>
                <w:szCs w:val="20"/>
                <w:color w:val="auto"/>
              </w:rPr>
            </w:pPr>
            <w:r>
              <w:rPr>
                <w:rFonts w:ascii="Arial" w:cs="Arial" w:eastAsia="Arial" w:hAnsi="Arial"/>
                <w:sz w:val="10"/>
                <w:szCs w:val="10"/>
                <w:color w:val="auto"/>
              </w:rPr>
              <w:t>Payments due</w:t>
            </w: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1260" w:type="dxa"/>
            <w:vAlign w:val="bottom"/>
          </w:tcPr>
          <w:p>
            <w:pPr>
              <w:ind w:left="20"/>
              <w:spacing w:after="0"/>
              <w:rPr>
                <w:sz w:val="20"/>
                <w:szCs w:val="20"/>
                <w:color w:val="auto"/>
              </w:rPr>
            </w:pPr>
            <w:r>
              <w:rPr>
                <w:rFonts w:ascii="Arial" w:cs="Arial" w:eastAsia="Arial" w:hAnsi="Arial"/>
                <w:sz w:val="10"/>
                <w:szCs w:val="10"/>
                <w:color w:val="auto"/>
              </w:rPr>
              <w:t>Within 1 year</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105</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331</w:t>
            </w:r>
          </w:p>
        </w:tc>
        <w:tc>
          <w:tcPr>
            <w:tcW w:w="640" w:type="dxa"/>
            <w:vAlign w:val="bottom"/>
          </w:tcPr>
          <w:p>
            <w:pPr>
              <w:jc w:val="right"/>
              <w:spacing w:after="0"/>
              <w:rPr>
                <w:sz w:val="20"/>
                <w:szCs w:val="20"/>
                <w:color w:val="auto"/>
              </w:rPr>
            </w:pPr>
            <w:r>
              <w:rPr>
                <w:rFonts w:ascii="Arial" w:cs="Arial" w:eastAsia="Arial" w:hAnsi="Arial"/>
                <w:sz w:val="10"/>
                <w:szCs w:val="10"/>
                <w:color w:val="auto"/>
              </w:rPr>
              <w:t>90</w:t>
            </w:r>
          </w:p>
        </w:tc>
        <w:tc>
          <w:tcPr>
            <w:tcW w:w="660" w:type="dxa"/>
            <w:vAlign w:val="bottom"/>
          </w:tcPr>
          <w:p>
            <w:pPr>
              <w:jc w:val="right"/>
              <w:spacing w:after="0"/>
              <w:rPr>
                <w:sz w:val="20"/>
                <w:szCs w:val="20"/>
                <w:color w:val="auto"/>
              </w:rPr>
            </w:pPr>
            <w:r>
              <w:rPr>
                <w:rFonts w:ascii="Arial" w:cs="Arial" w:eastAsia="Arial" w:hAnsi="Arial"/>
                <w:sz w:val="10"/>
                <w:szCs w:val="10"/>
                <w:color w:val="auto"/>
              </w:rPr>
              <w:t>69</w:t>
            </w:r>
          </w:p>
        </w:tc>
        <w:tc>
          <w:tcPr>
            <w:tcW w:w="700" w:type="dxa"/>
            <w:vAlign w:val="bottom"/>
          </w:tcPr>
          <w:p>
            <w:pPr>
              <w:jc w:val="right"/>
              <w:ind w:right="28"/>
              <w:spacing w:after="0"/>
              <w:rPr>
                <w:sz w:val="20"/>
                <w:szCs w:val="20"/>
                <w:color w:val="auto"/>
              </w:rPr>
            </w:pPr>
            <w:r>
              <w:rPr>
                <w:rFonts w:ascii="Arial" w:cs="Arial" w:eastAsia="Arial" w:hAnsi="Arial"/>
                <w:sz w:val="10"/>
                <w:szCs w:val="10"/>
                <w:color w:val="auto"/>
              </w:rPr>
              <w:t>595</w:t>
            </w:r>
          </w:p>
        </w:tc>
      </w:tr>
      <w:tr>
        <w:trPr>
          <w:trHeight w:val="152"/>
        </w:trPr>
        <w:tc>
          <w:tcPr>
            <w:tcW w:w="1260" w:type="dxa"/>
            <w:vAlign w:val="bottom"/>
          </w:tcPr>
          <w:p>
            <w:pPr>
              <w:ind w:left="20"/>
              <w:spacing w:after="0"/>
              <w:rPr>
                <w:sz w:val="20"/>
                <w:szCs w:val="20"/>
                <w:color w:val="auto"/>
              </w:rPr>
            </w:pPr>
            <w:r>
              <w:rPr>
                <w:rFonts w:ascii="Arial" w:cs="Arial" w:eastAsia="Arial" w:hAnsi="Arial"/>
                <w:sz w:val="10"/>
                <w:szCs w:val="10"/>
                <w:color w:val="auto"/>
              </w:rPr>
              <w:t>1 – 3 years</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201</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810</w:t>
            </w:r>
          </w:p>
        </w:tc>
        <w:tc>
          <w:tcPr>
            <w:tcW w:w="640" w:type="dxa"/>
            <w:vAlign w:val="bottom"/>
          </w:tcPr>
          <w:p>
            <w:pPr>
              <w:jc w:val="right"/>
              <w:spacing w:after="0"/>
              <w:rPr>
                <w:sz w:val="20"/>
                <w:szCs w:val="20"/>
                <w:color w:val="auto"/>
              </w:rPr>
            </w:pPr>
            <w:r>
              <w:rPr>
                <w:rFonts w:ascii="Arial" w:cs="Arial" w:eastAsia="Arial" w:hAnsi="Arial"/>
                <w:sz w:val="10"/>
                <w:szCs w:val="10"/>
                <w:color w:val="auto"/>
              </w:rPr>
              <w:t>188</w:t>
            </w:r>
          </w:p>
        </w:tc>
        <w:tc>
          <w:tcPr>
            <w:tcW w:w="660" w:type="dxa"/>
            <w:vAlign w:val="bottom"/>
          </w:tcPr>
          <w:p>
            <w:pPr>
              <w:jc w:val="right"/>
              <w:spacing w:after="0"/>
              <w:rPr>
                <w:sz w:val="20"/>
                <w:szCs w:val="20"/>
                <w:color w:val="auto"/>
              </w:rPr>
            </w:pPr>
            <w:r>
              <w:rPr>
                <w:rFonts w:ascii="Arial" w:cs="Arial" w:eastAsia="Arial" w:hAnsi="Arial"/>
                <w:sz w:val="10"/>
                <w:szCs w:val="10"/>
                <w:color w:val="auto"/>
              </w:rPr>
              <w:t>145</w:t>
            </w:r>
          </w:p>
        </w:tc>
        <w:tc>
          <w:tcPr>
            <w:tcW w:w="700" w:type="dxa"/>
            <w:vAlign w:val="bottom"/>
          </w:tcPr>
          <w:p>
            <w:pPr>
              <w:jc w:val="right"/>
              <w:ind w:right="28"/>
              <w:spacing w:after="0"/>
              <w:rPr>
                <w:sz w:val="20"/>
                <w:szCs w:val="20"/>
                <w:color w:val="auto"/>
              </w:rPr>
            </w:pPr>
            <w:r>
              <w:rPr>
                <w:rFonts w:ascii="Arial" w:cs="Arial" w:eastAsia="Arial" w:hAnsi="Arial"/>
                <w:sz w:val="10"/>
                <w:szCs w:val="10"/>
                <w:color w:val="auto"/>
              </w:rPr>
              <w:t>1,344</w:t>
            </w:r>
          </w:p>
        </w:tc>
      </w:tr>
      <w:tr>
        <w:trPr>
          <w:trHeight w:val="152"/>
        </w:trPr>
        <w:tc>
          <w:tcPr>
            <w:tcW w:w="1260" w:type="dxa"/>
            <w:vAlign w:val="bottom"/>
          </w:tcPr>
          <w:p>
            <w:pPr>
              <w:ind w:left="20"/>
              <w:spacing w:after="0"/>
              <w:rPr>
                <w:sz w:val="20"/>
                <w:szCs w:val="20"/>
                <w:color w:val="auto"/>
              </w:rPr>
            </w:pPr>
            <w:r>
              <w:rPr>
                <w:rFonts w:ascii="Arial" w:cs="Arial" w:eastAsia="Arial" w:hAnsi="Arial"/>
                <w:sz w:val="10"/>
                <w:szCs w:val="10"/>
                <w:color w:val="auto"/>
              </w:rPr>
              <w:t>3 – 5 years</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937</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442</w:t>
            </w:r>
          </w:p>
        </w:tc>
        <w:tc>
          <w:tcPr>
            <w:tcW w:w="640" w:type="dxa"/>
            <w:vAlign w:val="bottom"/>
          </w:tcPr>
          <w:p>
            <w:pPr>
              <w:jc w:val="right"/>
              <w:spacing w:after="0"/>
              <w:rPr>
                <w:sz w:val="20"/>
                <w:szCs w:val="20"/>
                <w:color w:val="auto"/>
              </w:rPr>
            </w:pPr>
            <w:r>
              <w:rPr>
                <w:rFonts w:ascii="Arial" w:cs="Arial" w:eastAsia="Arial" w:hAnsi="Arial"/>
                <w:sz w:val="10"/>
                <w:szCs w:val="10"/>
                <w:color w:val="auto"/>
              </w:rPr>
              <w:t>188</w:t>
            </w:r>
          </w:p>
        </w:tc>
        <w:tc>
          <w:tcPr>
            <w:tcW w:w="660" w:type="dxa"/>
            <w:vAlign w:val="bottom"/>
          </w:tcPr>
          <w:p>
            <w:pPr>
              <w:jc w:val="right"/>
              <w:spacing w:after="0"/>
              <w:rPr>
                <w:sz w:val="20"/>
                <w:szCs w:val="20"/>
                <w:color w:val="auto"/>
              </w:rPr>
            </w:pPr>
            <w:r>
              <w:rPr>
                <w:rFonts w:ascii="Arial" w:cs="Arial" w:eastAsia="Arial" w:hAnsi="Arial"/>
                <w:sz w:val="10"/>
                <w:szCs w:val="10"/>
                <w:color w:val="auto"/>
              </w:rPr>
              <w:t>145</w:t>
            </w:r>
          </w:p>
        </w:tc>
        <w:tc>
          <w:tcPr>
            <w:tcW w:w="700" w:type="dxa"/>
            <w:vAlign w:val="bottom"/>
          </w:tcPr>
          <w:p>
            <w:pPr>
              <w:jc w:val="right"/>
              <w:ind w:right="28"/>
              <w:spacing w:after="0"/>
              <w:rPr>
                <w:sz w:val="20"/>
                <w:szCs w:val="20"/>
                <w:color w:val="auto"/>
              </w:rPr>
            </w:pPr>
            <w:r>
              <w:rPr>
                <w:rFonts w:ascii="Arial" w:cs="Arial" w:eastAsia="Arial" w:hAnsi="Arial"/>
                <w:sz w:val="10"/>
                <w:szCs w:val="10"/>
                <w:color w:val="auto"/>
              </w:rPr>
              <w:t>1,712</w:t>
            </w:r>
          </w:p>
        </w:tc>
      </w:tr>
      <w:tr>
        <w:trPr>
          <w:trHeight w:val="152"/>
        </w:trPr>
        <w:tc>
          <w:tcPr>
            <w:tcW w:w="1260" w:type="dxa"/>
            <w:vAlign w:val="bottom"/>
          </w:tcPr>
          <w:p>
            <w:pPr>
              <w:ind w:left="20"/>
              <w:spacing w:after="0"/>
              <w:rPr>
                <w:sz w:val="20"/>
                <w:szCs w:val="20"/>
                <w:color w:val="auto"/>
              </w:rPr>
            </w:pPr>
            <w:r>
              <w:rPr>
                <w:rFonts w:ascii="Arial" w:cs="Arial" w:eastAsia="Arial" w:hAnsi="Arial"/>
                <w:sz w:val="10"/>
                <w:szCs w:val="10"/>
                <w:color w:val="auto"/>
              </w:rPr>
              <w:t>More than 5 years</w:t>
            </w: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1,008</w:t>
            </w:r>
          </w:p>
        </w:tc>
        <w:tc>
          <w:tcPr>
            <w:tcW w:w="640" w:type="dxa"/>
            <w:vAlign w:val="bottom"/>
          </w:tcPr>
          <w:p>
            <w:pPr>
              <w:jc w:val="right"/>
              <w:spacing w:after="0"/>
              <w:rPr>
                <w:sz w:val="20"/>
                <w:szCs w:val="20"/>
                <w:color w:val="auto"/>
              </w:rPr>
            </w:pPr>
            <w:r>
              <w:rPr>
                <w:rFonts w:ascii="Arial" w:cs="Arial" w:eastAsia="Arial" w:hAnsi="Arial"/>
                <w:sz w:val="10"/>
                <w:szCs w:val="10"/>
                <w:color w:val="auto"/>
              </w:rPr>
              <w:t>1,688</w:t>
            </w:r>
          </w:p>
        </w:tc>
        <w:tc>
          <w:tcPr>
            <w:tcW w:w="660" w:type="dxa"/>
            <w:vAlign w:val="bottom"/>
          </w:tcPr>
          <w:p>
            <w:pPr>
              <w:jc w:val="right"/>
              <w:spacing w:after="0"/>
              <w:rPr>
                <w:sz w:val="20"/>
                <w:szCs w:val="20"/>
                <w:color w:val="auto"/>
              </w:rPr>
            </w:pPr>
            <w:r>
              <w:rPr>
                <w:rFonts w:ascii="Arial" w:cs="Arial" w:eastAsia="Arial" w:hAnsi="Arial"/>
                <w:sz w:val="10"/>
                <w:szCs w:val="10"/>
                <w:color w:val="auto"/>
              </w:rPr>
              <w:t>1,218</w:t>
            </w:r>
          </w:p>
        </w:tc>
        <w:tc>
          <w:tcPr>
            <w:tcW w:w="700" w:type="dxa"/>
            <w:vAlign w:val="bottom"/>
          </w:tcPr>
          <w:p>
            <w:pPr>
              <w:jc w:val="right"/>
              <w:ind w:right="28"/>
              <w:spacing w:after="0"/>
              <w:rPr>
                <w:sz w:val="20"/>
                <w:szCs w:val="20"/>
                <w:color w:val="auto"/>
              </w:rPr>
            </w:pPr>
            <w:r>
              <w:rPr>
                <w:rFonts w:ascii="Arial" w:cs="Arial" w:eastAsia="Arial" w:hAnsi="Arial"/>
                <w:sz w:val="10"/>
                <w:szCs w:val="10"/>
                <w:color w:val="auto"/>
              </w:rPr>
              <w:t>3,914</w:t>
            </w:r>
          </w:p>
        </w:tc>
      </w:tr>
      <w:tr>
        <w:trPr>
          <w:trHeight w:val="158"/>
        </w:trPr>
        <w:tc>
          <w:tcPr>
            <w:tcW w:w="126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000" w:type="dxa"/>
            <w:vAlign w:val="bottom"/>
          </w:tcPr>
          <w:p>
            <w:pPr>
              <w:jc w:val="right"/>
              <w:ind w:right="9"/>
              <w:spacing w:after="0"/>
              <w:rPr>
                <w:sz w:val="20"/>
                <w:szCs w:val="20"/>
                <w:color w:val="auto"/>
              </w:rPr>
            </w:pPr>
            <w:r>
              <w:rPr>
                <w:rFonts w:ascii="Arial" w:cs="Arial" w:eastAsia="Arial" w:hAnsi="Arial"/>
                <w:sz w:val="10"/>
                <w:szCs w:val="10"/>
                <w:b w:val="1"/>
                <w:bCs w:val="1"/>
                <w:color w:val="auto"/>
              </w:rPr>
              <w:t>1,243</w:t>
            </w:r>
          </w:p>
        </w:tc>
        <w:tc>
          <w:tcPr>
            <w:tcW w:w="660" w:type="dxa"/>
            <w:vAlign w:val="bottom"/>
          </w:tcPr>
          <w:p>
            <w:pPr>
              <w:jc w:val="right"/>
              <w:ind w:right="9"/>
              <w:spacing w:after="0"/>
              <w:rPr>
                <w:sz w:val="20"/>
                <w:szCs w:val="20"/>
                <w:color w:val="auto"/>
              </w:rPr>
            </w:pPr>
            <w:r>
              <w:rPr>
                <w:rFonts w:ascii="Arial" w:cs="Arial" w:eastAsia="Arial" w:hAnsi="Arial"/>
                <w:sz w:val="10"/>
                <w:szCs w:val="10"/>
                <w:b w:val="1"/>
                <w:bCs w:val="1"/>
                <w:color w:val="auto"/>
              </w:rPr>
              <w:t>2,591</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2,154</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1,577</w:t>
            </w:r>
          </w:p>
        </w:tc>
        <w:tc>
          <w:tcPr>
            <w:tcW w:w="700" w:type="dxa"/>
            <w:vAlign w:val="bottom"/>
          </w:tcPr>
          <w:p>
            <w:pPr>
              <w:jc w:val="right"/>
              <w:ind w:right="28"/>
              <w:spacing w:after="0"/>
              <w:rPr>
                <w:sz w:val="20"/>
                <w:szCs w:val="20"/>
                <w:color w:val="auto"/>
              </w:rPr>
            </w:pPr>
            <w:r>
              <w:rPr>
                <w:rFonts w:ascii="Arial" w:cs="Arial" w:eastAsia="Arial" w:hAnsi="Arial"/>
                <w:sz w:val="10"/>
                <w:szCs w:val="10"/>
                <w:b w:val="1"/>
                <w:bCs w:val="1"/>
                <w:color w:val="auto"/>
              </w:rPr>
              <w:t>7,565</w:t>
            </w:r>
          </w:p>
        </w:tc>
      </w:tr>
    </w:tbl>
    <w:p>
      <w:pPr>
        <w:spacing w:after="0" w:line="10" w:lineRule="exact"/>
        <w:rPr>
          <w:sz w:val="20"/>
          <w:szCs w:val="20"/>
          <w:color w:val="auto"/>
        </w:rPr>
      </w:pPr>
    </w:p>
    <w:p>
      <w:pPr>
        <w:ind w:right="5340" w:firstLine="6"/>
        <w:spacing w:after="0" w:line="259" w:lineRule="auto"/>
        <w:tabs>
          <w:tab w:leader="none" w:pos="76" w:val="left"/>
        </w:tabs>
        <w:numPr>
          <w:ilvl w:val="0"/>
          <w:numId w:val="36"/>
        </w:numPr>
        <w:rPr>
          <w:rFonts w:ascii="Arial" w:cs="Arial" w:eastAsia="Arial" w:hAnsi="Arial"/>
          <w:sz w:val="7"/>
          <w:szCs w:val="7"/>
          <w:color w:val="auto"/>
        </w:rPr>
      </w:pPr>
      <w:r>
        <w:rPr>
          <w:rFonts w:ascii="Arial" w:cs="Arial" w:eastAsia="Arial" w:hAnsi="Arial"/>
          <w:sz w:val="7"/>
          <w:szCs w:val="7"/>
          <w:color w:val="auto"/>
        </w:rPr>
        <w:t>With respect to debt, the amounts below combine interest and scheduled amortization payments. Interest on floating rate debt was calculated based on the interest rate in effect on December 31, 2025.</w:t>
      </w:r>
    </w:p>
    <w:p>
      <w:pPr>
        <w:spacing w:after="0" w:line="210" w:lineRule="auto"/>
        <w:rPr>
          <w:sz w:val="20"/>
          <w:szCs w:val="20"/>
          <w:color w:val="auto"/>
        </w:rPr>
      </w:pPr>
      <w:r>
        <w:rPr>
          <w:rFonts w:ascii="Arial" w:cs="Arial" w:eastAsia="Arial" w:hAnsi="Arial"/>
          <w:sz w:val="13"/>
          <w:szCs w:val="13"/>
          <w:b w:val="1"/>
          <w:bCs w:val="1"/>
          <w:color w:val="691A6B"/>
        </w:rPr>
        <w:t>Term Loans</w:t>
      </w:r>
    </w:p>
    <w:p>
      <w:pPr>
        <w:sectPr>
          <w:pgSz w:w="11900" w:h="16840" w:orient="portrait"/>
          <w:cols w:equalWidth="0" w:num="1">
            <w:col w:w="9820"/>
          </w:cols>
          <w:pgMar w:left="640" w:top="571" w:right="1440" w:bottom="485" w:gutter="0" w:footer="0" w:header="0"/>
        </w:sectPr>
      </w:pPr>
    </w:p>
    <w:p>
      <w:pPr>
        <w:spacing w:after="0" w:line="199" w:lineRule="auto"/>
        <w:rPr>
          <w:sz w:val="20"/>
          <w:szCs w:val="20"/>
          <w:color w:val="auto"/>
        </w:rPr>
      </w:pPr>
      <w:r>
        <w:rPr>
          <w:rFonts w:ascii="Arial" w:cs="Arial" w:eastAsia="Arial" w:hAnsi="Arial"/>
          <w:sz w:val="10"/>
          <w:szCs w:val="10"/>
          <w:color w:val="auto"/>
        </w:rPr>
        <w:t>In December 2025, Genmab entered into a credit agreement (the “Credit Agreement”) consisting of a</w:t>
      </w:r>
    </w:p>
    <w:p>
      <w:pPr>
        <w:spacing w:after="0"/>
        <w:rPr>
          <w:sz w:val="20"/>
          <w:szCs w:val="20"/>
          <w:color w:val="auto"/>
        </w:rPr>
      </w:pPr>
      <w:r>
        <w:rPr>
          <w:rFonts w:ascii="Arial" w:cs="Arial" w:eastAsia="Arial" w:hAnsi="Arial"/>
          <w:sz w:val="10"/>
          <w:szCs w:val="10"/>
          <w:color w:val="auto"/>
        </w:rPr>
        <w:t>$1 billion senior secured term A loan facility (the loans thereunder, the “Term A Loans”) and a $2 billion</w:t>
      </w:r>
    </w:p>
    <w:p>
      <w:pPr>
        <w:sectPr>
          <w:pgSz w:w="11900" w:h="16840" w:orient="portrait"/>
          <w:cols w:equalWidth="0" w:num="1">
            <w:col w:w="9820"/>
          </w:cols>
          <w:pgMar w:left="640" w:top="571" w:right="1440" w:bottom="485" w:gutter="0" w:footer="0" w:header="0"/>
          <w:type w:val="continuous"/>
        </w:sectPr>
      </w:pPr>
    </w:p>
    <w:bookmarkStart w:id="153" w:name="page154"/>
    <w:bookmarkEnd w:id="153"/>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440"/>
        <w:spacing w:after="0" w:line="198" w:lineRule="auto"/>
        <w:rPr>
          <w:sz w:val="20"/>
          <w:szCs w:val="20"/>
          <w:color w:val="auto"/>
        </w:rPr>
      </w:pPr>
      <w:r>
        <w:rPr>
          <w:rFonts w:ascii="Arial" w:cs="Arial" w:eastAsia="Arial" w:hAnsi="Arial"/>
          <w:sz w:val="10"/>
          <w:szCs w:val="10"/>
          <w:color w:val="auto"/>
        </w:rPr>
        <w:t>from the quarter ending June 30, 2027 through September 30, 2027, and 3.00:1.00 from the quarter ending December 31, 2027, and thereafter.</w:t>
      </w:r>
    </w:p>
    <w:p>
      <w:pPr>
        <w:spacing w:after="0" w:line="199" w:lineRule="auto"/>
        <w:rPr>
          <w:sz w:val="20"/>
          <w:szCs w:val="20"/>
          <w:color w:val="auto"/>
        </w:rPr>
      </w:pPr>
      <w:r>
        <w:rPr>
          <w:rFonts w:ascii="Arial" w:cs="Arial" w:eastAsia="Arial" w:hAnsi="Arial"/>
          <w:sz w:val="10"/>
          <w:szCs w:val="10"/>
          <w:color w:val="auto"/>
        </w:rPr>
        <w:t>Loans are subject to principal amortization which is reflected in the table above and to mandatory</w:t>
      </w:r>
    </w:p>
    <w:p>
      <w:pPr>
        <w:spacing w:after="0" w:line="199" w:lineRule="auto"/>
        <w:rPr>
          <w:sz w:val="20"/>
          <w:szCs w:val="20"/>
          <w:color w:val="auto"/>
        </w:rPr>
      </w:pPr>
      <w:r>
        <w:rPr>
          <w:rFonts w:ascii="Arial" w:cs="Arial" w:eastAsia="Arial" w:hAnsi="Arial"/>
          <w:sz w:val="10"/>
          <w:szCs w:val="10"/>
          <w:color w:val="auto"/>
        </w:rPr>
        <w:t>prepayment in certain circumstances including for asset sales and excess cash flow (as defined in the</w:t>
      </w:r>
    </w:p>
    <w:p>
      <w:pPr>
        <w:spacing w:after="0" w:line="199" w:lineRule="auto"/>
        <w:rPr>
          <w:sz w:val="20"/>
          <w:szCs w:val="20"/>
          <w:color w:val="auto"/>
        </w:rPr>
      </w:pPr>
      <w:r>
        <w:rPr>
          <w:rFonts w:ascii="Arial" w:cs="Arial" w:eastAsia="Arial" w:hAnsi="Arial"/>
          <w:sz w:val="10"/>
          <w:szCs w:val="10"/>
          <w:color w:val="auto"/>
        </w:rPr>
        <w:t>Credit Agreement).The Loans are also subject to a mandatory prepayment provision beginning in fiscal</w:t>
      </w:r>
    </w:p>
    <w:p>
      <w:pPr>
        <w:spacing w:after="0" w:line="198" w:lineRule="auto"/>
        <w:rPr>
          <w:sz w:val="20"/>
          <w:szCs w:val="20"/>
          <w:color w:val="auto"/>
        </w:rPr>
      </w:pPr>
      <w:r>
        <w:rPr>
          <w:rFonts w:ascii="Arial" w:cs="Arial" w:eastAsia="Arial" w:hAnsi="Arial"/>
          <w:sz w:val="10"/>
          <w:szCs w:val="10"/>
          <w:color w:val="auto"/>
        </w:rPr>
        <w:t>year 2026. After each fiscal year end, if Genmab’s excess cash flow (as defined in the Credit Agreement)</w:t>
      </w:r>
    </w:p>
    <w:p>
      <w:pPr>
        <w:spacing w:after="0" w:line="199" w:lineRule="auto"/>
        <w:rPr>
          <w:sz w:val="20"/>
          <w:szCs w:val="20"/>
          <w:color w:val="auto"/>
        </w:rPr>
      </w:pPr>
      <w:r>
        <w:rPr>
          <w:rFonts w:ascii="Arial" w:cs="Arial" w:eastAsia="Arial" w:hAnsi="Arial"/>
          <w:sz w:val="10"/>
          <w:szCs w:val="10"/>
          <w:color w:val="auto"/>
        </w:rPr>
        <w:t>exceeds $150 million, 50% of the excess amount is required to be applied to prepay the Loans. The</w:t>
      </w:r>
    </w:p>
    <w:p>
      <w:pPr>
        <w:spacing w:after="0" w:line="199" w:lineRule="auto"/>
        <w:rPr>
          <w:sz w:val="20"/>
          <w:szCs w:val="20"/>
          <w:color w:val="auto"/>
        </w:rPr>
      </w:pPr>
      <w:r>
        <w:rPr>
          <w:rFonts w:ascii="Arial" w:cs="Arial" w:eastAsia="Arial" w:hAnsi="Arial"/>
          <w:sz w:val="10"/>
          <w:szCs w:val="10"/>
          <w:color w:val="auto"/>
        </w:rPr>
        <w:t>required prepayment percentage is reduced to 25% if the net leverage ratio is at or below 2.15 :1.00</w:t>
      </w:r>
    </w:p>
    <w:p>
      <w:pPr>
        <w:spacing w:after="0" w:line="198" w:lineRule="auto"/>
        <w:rPr>
          <w:sz w:val="20"/>
          <w:szCs w:val="20"/>
          <w:color w:val="auto"/>
        </w:rPr>
      </w:pPr>
      <w:r>
        <w:rPr>
          <w:rFonts w:ascii="Arial" w:cs="Arial" w:eastAsia="Arial" w:hAnsi="Arial"/>
          <w:sz w:val="10"/>
          <w:szCs w:val="10"/>
          <w:color w:val="auto"/>
        </w:rPr>
        <w:t>but above 1.65:1.00, and no excess cash flow prepayment is required if the ratio is at or below 1.65:1.00.</w:t>
      </w:r>
    </w:p>
    <w:p>
      <w:pPr>
        <w:spacing w:after="0" w:line="199" w:lineRule="auto"/>
        <w:rPr>
          <w:sz w:val="20"/>
          <w:szCs w:val="20"/>
          <w:color w:val="auto"/>
        </w:rPr>
      </w:pPr>
      <w:r>
        <w:rPr>
          <w:rFonts w:ascii="Arial" w:cs="Arial" w:eastAsia="Arial" w:hAnsi="Arial"/>
          <w:sz w:val="10"/>
          <w:szCs w:val="10"/>
          <w:color w:val="auto"/>
        </w:rPr>
        <w:t>In additional to financial covenants, the Loans contain customary covenants that, among other things,</w:t>
      </w:r>
    </w:p>
    <w:p>
      <w:pPr>
        <w:spacing w:after="0" w:line="199" w:lineRule="auto"/>
        <w:rPr>
          <w:sz w:val="20"/>
          <w:szCs w:val="20"/>
          <w:color w:val="auto"/>
        </w:rPr>
      </w:pPr>
      <w:r>
        <w:rPr>
          <w:rFonts w:ascii="Arial" w:cs="Arial" w:eastAsia="Arial" w:hAnsi="Arial"/>
          <w:sz w:val="10"/>
          <w:szCs w:val="10"/>
          <w:color w:val="auto"/>
        </w:rPr>
        <w:t>restrict, with certain exceptions, the ability of each of Genmab and its subsidiaries to incur additional debt,</w:t>
      </w:r>
    </w:p>
    <w:p>
      <w:pPr>
        <w:spacing w:after="0" w:line="198" w:lineRule="auto"/>
        <w:rPr>
          <w:sz w:val="20"/>
          <w:szCs w:val="20"/>
          <w:color w:val="auto"/>
        </w:rPr>
      </w:pPr>
      <w:r>
        <w:rPr>
          <w:rFonts w:ascii="Arial" w:cs="Arial" w:eastAsia="Arial" w:hAnsi="Arial"/>
          <w:sz w:val="10"/>
          <w:szCs w:val="10"/>
          <w:color w:val="auto"/>
        </w:rPr>
        <w:t>pay dividends, make certain other restricted payments, incur debt secured by liens, dispose of assets,</w:t>
      </w:r>
    </w:p>
    <w:p>
      <w:pPr>
        <w:spacing w:after="0" w:line="199" w:lineRule="auto"/>
        <w:rPr>
          <w:sz w:val="20"/>
          <w:szCs w:val="20"/>
          <w:color w:val="auto"/>
        </w:rPr>
      </w:pPr>
      <w:r>
        <w:rPr>
          <w:rFonts w:ascii="Arial" w:cs="Arial" w:eastAsia="Arial" w:hAnsi="Arial"/>
          <w:sz w:val="10"/>
          <w:szCs w:val="10"/>
          <w:color w:val="auto"/>
        </w:rPr>
        <w:t>engage in consolidations and mergers or sell or transfer all or substantially all of its assets. The Loans also</w:t>
      </w:r>
    </w:p>
    <w:p>
      <w:pPr>
        <w:spacing w:after="0" w:line="198" w:lineRule="auto"/>
        <w:rPr>
          <w:sz w:val="20"/>
          <w:szCs w:val="20"/>
          <w:color w:val="auto"/>
        </w:rPr>
      </w:pPr>
      <w:r>
        <w:rPr>
          <w:rFonts w:ascii="Arial" w:cs="Arial" w:eastAsia="Arial" w:hAnsi="Arial"/>
          <w:sz w:val="10"/>
          <w:szCs w:val="10"/>
          <w:color w:val="auto"/>
        </w:rPr>
        <w:t>contain customary events of default, including cross-default provisions relating to other material</w:t>
      </w:r>
    </w:p>
    <w:p>
      <w:pPr>
        <w:spacing w:after="0" w:line="199" w:lineRule="auto"/>
        <w:rPr>
          <w:sz w:val="20"/>
          <w:szCs w:val="20"/>
          <w:color w:val="auto"/>
        </w:rPr>
      </w:pPr>
      <w:r>
        <w:rPr>
          <w:rFonts w:ascii="Arial" w:cs="Arial" w:eastAsia="Arial" w:hAnsi="Arial"/>
          <w:sz w:val="10"/>
          <w:szCs w:val="10"/>
          <w:color w:val="auto"/>
        </w:rPr>
        <w:t>indebtedness.</w:t>
      </w:r>
    </w:p>
    <w:p>
      <w:pPr>
        <w:ind w:right="2440"/>
        <w:spacing w:after="0" w:line="198" w:lineRule="auto"/>
        <w:rPr>
          <w:sz w:val="20"/>
          <w:szCs w:val="20"/>
          <w:color w:val="auto"/>
        </w:rPr>
      </w:pPr>
      <w:r>
        <w:rPr>
          <w:rFonts w:ascii="Arial" w:cs="Arial" w:eastAsia="Arial" w:hAnsi="Arial"/>
          <w:sz w:val="10"/>
          <w:szCs w:val="10"/>
          <w:color w:val="auto"/>
        </w:rPr>
        <w:t>The Loans are secured by a first-priority lien on substantially all assets of Genmab. As of December 31, 2025, Genmab retains ownership and control of the pledged assets, which continue to be recognized in the Consolidated Balance Sheets. The carrying amount of assets, including goodwill and other intangible assets, corporate tax receivable, inventory, financial assets, and property and equipment pledged as collateral for the Loans is $11.1 billion.</w:t>
      </w:r>
    </w:p>
    <w:p>
      <w:pPr>
        <w:spacing w:after="0" w:line="205" w:lineRule="auto"/>
        <w:rPr>
          <w:rFonts w:ascii="Arial" w:cs="Arial" w:eastAsia="Arial" w:hAnsi="Arial"/>
          <w:sz w:val="10"/>
          <w:szCs w:val="10"/>
          <w:color w:val="691A6B"/>
        </w:rPr>
      </w:pPr>
      <w:hyperlink w:anchor="page15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5.5 </w:t>
      </w:r>
      <w:hyperlink w:anchor="page156">
        <w:r>
          <w:rPr>
            <w:rFonts w:ascii="Arial" w:cs="Arial" w:eastAsia="Arial" w:hAnsi="Arial"/>
            <w:sz w:val="10"/>
            <w:szCs w:val="10"/>
            <w:color w:val="691A6B"/>
          </w:rPr>
          <w:t>for detailed information regarding Genmab’s acquisition of Merus.</w:t>
        </w:r>
      </w:hyperlink>
    </w:p>
    <w:p>
      <w:pPr>
        <w:spacing w:after="0" w:line="196" w:lineRule="auto"/>
        <w:rPr>
          <w:sz w:val="20"/>
          <w:szCs w:val="20"/>
          <w:color w:val="auto"/>
        </w:rPr>
      </w:pPr>
      <w:r>
        <w:rPr>
          <w:rFonts w:ascii="Arial" w:cs="Arial" w:eastAsia="Arial" w:hAnsi="Arial"/>
          <w:sz w:val="12"/>
          <w:szCs w:val="12"/>
          <w:b w:val="1"/>
          <w:bCs w:val="1"/>
          <w:color w:val="auto"/>
        </w:rPr>
        <w:t>Notes</w:t>
      </w:r>
    </w:p>
    <w:p>
      <w:pPr>
        <w:ind w:right="2460"/>
        <w:spacing w:after="0" w:line="199" w:lineRule="auto"/>
        <w:rPr>
          <w:sz w:val="20"/>
          <w:szCs w:val="20"/>
          <w:color w:val="auto"/>
        </w:rPr>
      </w:pPr>
      <w:r>
        <w:rPr>
          <w:rFonts w:ascii="Arial" w:cs="Arial" w:eastAsia="Arial" w:hAnsi="Arial"/>
          <w:sz w:val="10"/>
          <w:szCs w:val="10"/>
          <w:color w:val="auto"/>
        </w:rPr>
        <w:t>In December 2025, Genmab entered into Senior Secured Notes of $1.5 billion and Senior Unsecured Notes of $1.0 billion (together, the “Notes”). The proceeds were also used to finance the Merus acquisition. The Senior Secured Notes are backed by the same collateral package as the Loans, while the Senior Unsecured Notes are not collateralized. The Notes contain customary events of default, including cross-default provisions relating to other material indebtedness.</w:t>
      </w:r>
    </w:p>
    <w:p>
      <w:pPr>
        <w:spacing w:after="0" w:line="212" w:lineRule="auto"/>
        <w:rPr>
          <w:sz w:val="20"/>
          <w:szCs w:val="20"/>
          <w:color w:val="auto"/>
        </w:rPr>
      </w:pPr>
      <w:r>
        <w:rPr>
          <w:rFonts w:ascii="Arial" w:cs="Arial" w:eastAsia="Arial" w:hAnsi="Arial"/>
          <w:sz w:val="13"/>
          <w:szCs w:val="13"/>
          <w:b w:val="1"/>
          <w:bCs w:val="1"/>
          <w:color w:val="691A6B"/>
        </w:rPr>
        <w:t>Revolving Credit Facilities</w:t>
      </w:r>
    </w:p>
    <w:p>
      <w:pPr>
        <w:ind w:right="2440"/>
        <w:spacing w:after="0" w:line="198" w:lineRule="auto"/>
        <w:rPr>
          <w:sz w:val="20"/>
          <w:szCs w:val="20"/>
          <w:color w:val="auto"/>
        </w:rPr>
      </w:pPr>
      <w:r>
        <w:rPr>
          <w:rFonts w:ascii="Arial" w:cs="Arial" w:eastAsia="Arial" w:hAnsi="Arial"/>
          <w:sz w:val="10"/>
          <w:szCs w:val="10"/>
          <w:color w:val="auto"/>
        </w:rPr>
        <w:t>During the fourth quarter of 2024, Genmab entered into an unsecured three-year revolving credit facility (“2024 Revolving Credit Facility”) of up to $ 300 million with a syndicate of lenders. During the fourth quarter of 2025, Genmab terminated the 2024 Revolving Credit Facility. The 2024 Revolving Credit Facility was undrawn at the date of termination, and no penalties or additional costs were incurred. The termination reflects Genmab’s updated financing strategy and does not impact its liquidity position, as alternative sources of funding remain available.</w:t>
      </w:r>
    </w:p>
    <w:p>
      <w:pPr>
        <w:spacing w:after="0" w:line="2" w:lineRule="exact"/>
        <w:rPr>
          <w:sz w:val="20"/>
          <w:szCs w:val="20"/>
          <w:color w:val="auto"/>
        </w:rPr>
      </w:pPr>
    </w:p>
    <w:p>
      <w:pPr>
        <w:jc w:val="both"/>
        <w:ind w:right="2480"/>
        <w:spacing w:after="0" w:line="198" w:lineRule="auto"/>
        <w:rPr>
          <w:sz w:val="20"/>
          <w:szCs w:val="20"/>
          <w:color w:val="auto"/>
        </w:rPr>
      </w:pPr>
      <w:r>
        <w:rPr>
          <w:rFonts w:ascii="Arial" w:cs="Arial" w:eastAsia="Arial" w:hAnsi="Arial"/>
          <w:sz w:val="10"/>
          <w:szCs w:val="10"/>
          <w:color w:val="auto"/>
        </w:rPr>
        <w:t>During the fourth quarter of 2025, Genmab entered into the Credit Agreement described in the Term Loan section, which includes a senior secured five-year revolving credit facility (“2025 Revolving Credit Facility”) of up to $500 million with a syndicate of lenders.</w:t>
      </w:r>
    </w:p>
    <w:p>
      <w:pPr>
        <w:spacing w:after="0" w:line="1" w:lineRule="exact"/>
        <w:rPr>
          <w:sz w:val="20"/>
          <w:szCs w:val="20"/>
          <w:color w:val="auto"/>
        </w:rPr>
      </w:pPr>
    </w:p>
    <w:p>
      <w:pPr>
        <w:ind w:right="2600"/>
        <w:spacing w:after="0" w:line="198" w:lineRule="auto"/>
        <w:rPr>
          <w:sz w:val="20"/>
          <w:szCs w:val="20"/>
          <w:color w:val="auto"/>
        </w:rPr>
      </w:pPr>
      <w:r>
        <w:rPr>
          <w:rFonts w:ascii="Arial" w:cs="Arial" w:eastAsia="Arial" w:hAnsi="Arial"/>
          <w:sz w:val="10"/>
          <w:szCs w:val="10"/>
          <w:color w:val="auto"/>
        </w:rPr>
        <w:t>The 2025 Revolving Credit Facility is subject to the same financial covenants and collateral described in the Term Loans section.</w:t>
      </w:r>
    </w:p>
    <w:p>
      <w:pPr>
        <w:spacing w:after="0" w:line="1" w:lineRule="exact"/>
        <w:rPr>
          <w:sz w:val="20"/>
          <w:szCs w:val="20"/>
          <w:color w:val="auto"/>
        </w:rPr>
      </w:pPr>
    </w:p>
    <w:p>
      <w:pPr>
        <w:ind w:right="2860"/>
        <w:spacing w:after="0" w:line="198" w:lineRule="auto"/>
        <w:rPr>
          <w:sz w:val="20"/>
          <w:szCs w:val="20"/>
          <w:color w:val="auto"/>
        </w:rPr>
      </w:pPr>
      <w:r>
        <w:rPr>
          <w:rFonts w:ascii="Arial" w:cs="Arial" w:eastAsia="Arial" w:hAnsi="Arial"/>
          <w:sz w:val="10"/>
          <w:szCs w:val="10"/>
          <w:color w:val="auto"/>
        </w:rPr>
        <w:t>As of December 31, 2025, there were no outstanding amounts due on, nor any usage of, the 2025 Revolving Credit Facility.</w:t>
      </w:r>
    </w:p>
    <w:p>
      <w:pPr>
        <w:spacing w:after="0" w:line="1" w:lineRule="exact"/>
        <w:rPr>
          <w:sz w:val="20"/>
          <w:szCs w:val="20"/>
          <w:color w:val="auto"/>
        </w:rPr>
      </w:pPr>
    </w:p>
    <w:p>
      <w:pPr>
        <w:ind w:right="2440"/>
        <w:spacing w:after="0" w:line="201" w:lineRule="auto"/>
        <w:rPr>
          <w:sz w:val="20"/>
          <w:szCs w:val="20"/>
          <w:color w:val="auto"/>
        </w:rPr>
      </w:pPr>
      <w:r>
        <w:rPr>
          <w:rFonts w:ascii="Arial" w:cs="Arial" w:eastAsia="Arial" w:hAnsi="Arial"/>
          <w:sz w:val="10"/>
          <w:szCs w:val="10"/>
          <w:color w:val="auto"/>
        </w:rPr>
        <w:t>Genmab intends to use the 2025 Revolving Credit Facility to finance working capital needs, and for general corporate purposes, of Genmab A/S and its subsidiaries.</w:t>
      </w:r>
    </w:p>
    <w:p>
      <w:pPr>
        <w:spacing w:after="0" w:line="210" w:lineRule="auto"/>
        <w:rPr>
          <w:sz w:val="20"/>
          <w:szCs w:val="20"/>
          <w:color w:val="auto"/>
        </w:rPr>
      </w:pPr>
      <w:r>
        <w:rPr>
          <w:rFonts w:ascii="Arial" w:cs="Arial" w:eastAsia="Arial" w:hAnsi="Arial"/>
          <w:sz w:val="13"/>
          <w:szCs w:val="13"/>
          <w:b w:val="1"/>
          <w:bCs w:val="1"/>
          <w:color w:val="691A6B"/>
        </w:rPr>
        <w:t>Reconciliation of borrowings arising from financing activities</w:t>
      </w:r>
    </w:p>
    <w:p>
      <w:pPr>
        <w:ind w:right="2440"/>
        <w:spacing w:after="0" w:line="198" w:lineRule="auto"/>
        <w:rPr>
          <w:sz w:val="20"/>
          <w:szCs w:val="20"/>
          <w:color w:val="auto"/>
        </w:rPr>
      </w:pPr>
      <w:r>
        <w:rPr>
          <w:rFonts w:ascii="Arial" w:cs="Arial" w:eastAsia="Arial" w:hAnsi="Arial"/>
          <w:sz w:val="10"/>
          <w:szCs w:val="10"/>
          <w:color w:val="auto"/>
        </w:rPr>
        <w:t>There were no borrowings as of December 31, 2024. Borrowings, net of transaction costs, of $5,247 million were issued in December 2025 in connection with financing the Merus acquisition. Other than</w:t>
      </w:r>
    </w:p>
    <w:p>
      <w:pPr>
        <w:spacing w:after="0" w:line="1" w:lineRule="exact"/>
        <w:rPr>
          <w:sz w:val="20"/>
          <w:szCs w:val="20"/>
          <w:color w:val="auto"/>
        </w:rPr>
      </w:pPr>
    </w:p>
    <w:p>
      <w:pPr>
        <w:ind w:right="2540"/>
        <w:spacing w:after="0" w:line="207" w:lineRule="auto"/>
        <w:rPr>
          <w:sz w:val="20"/>
          <w:szCs w:val="20"/>
          <w:color w:val="auto"/>
        </w:rPr>
      </w:pPr>
      <w:r>
        <w:rPr>
          <w:rFonts w:ascii="Arial" w:cs="Arial" w:eastAsia="Arial" w:hAnsi="Arial"/>
          <w:sz w:val="10"/>
          <w:szCs w:val="10"/>
          <w:color w:val="auto"/>
        </w:rPr>
        <w:t>the recognition of accrued interest expense of $27 million, which represents a non- cash movement, there were no cash or non -cash movements of borrowings for the year ended December 31, 2025. As of December 31, 2025, borrowings were $5,274 million.</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46" w:lineRule="exact"/>
        <w:rPr>
          <w:sz w:val="20"/>
          <w:szCs w:val="20"/>
          <w:color w:val="auto"/>
        </w:rPr>
      </w:pPr>
    </w:p>
    <w:p>
      <w:pPr>
        <w:ind w:right="2460"/>
        <w:spacing w:after="0" w:line="209" w:lineRule="auto"/>
        <w:rPr>
          <w:sz w:val="20"/>
          <w:szCs w:val="20"/>
          <w:color w:val="auto"/>
        </w:rPr>
      </w:pPr>
      <w:r>
        <w:rPr>
          <w:rFonts w:ascii="Arial" w:cs="Arial" w:eastAsia="Arial" w:hAnsi="Arial"/>
          <w:sz w:val="10"/>
          <w:szCs w:val="10"/>
          <w:color w:val="auto"/>
        </w:rPr>
        <w:t>Borrowings are financial liabilities that are initially recognized at the fair value of the proceeds received less transaction costs in the Consolidated Balance Sheets. In subsequent periods these are measured</w:t>
      </w:r>
    </w:p>
    <w:p>
      <w:pPr>
        <w:ind w:right="2640"/>
        <w:spacing w:after="0" w:line="215" w:lineRule="auto"/>
        <w:rPr>
          <w:sz w:val="20"/>
          <w:szCs w:val="20"/>
          <w:color w:val="auto"/>
        </w:rPr>
      </w:pPr>
      <w:r>
        <w:rPr>
          <w:rFonts w:ascii="Arial" w:cs="Arial" w:eastAsia="Arial" w:hAnsi="Arial"/>
          <w:sz w:val="10"/>
          <w:szCs w:val="10"/>
          <w:color w:val="auto"/>
        </w:rPr>
        <w:t>at amortized cost using the effective interest method. Interest expense, including the amortization of transaction costs and any difference between the initial carrying amount and the redemption amount, is recognized in financial expenses in the Consolidated Statements of Comprehensive Income over the term of the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819785</wp:posOffset>
            </wp:positionV>
            <wp:extent cx="6781165" cy="4792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145</w:t>
      </w:r>
    </w:p>
    <w:p>
      <w:pPr>
        <w:sectPr>
          <w:pgSz w:w="11900" w:h="16840" w:orient="portrait"/>
          <w:cols w:equalWidth="0" w:num="2">
            <w:col w:w="7400" w:space="720"/>
            <w:col w:w="1700"/>
          </w:cols>
          <w:pgMar w:left="640" w:top="571" w:right="1440" w:bottom="1440" w:gutter="0" w:footer="0" w:header="0"/>
        </w:sectPr>
      </w:pPr>
    </w:p>
    <w:bookmarkStart w:id="154" w:name="page155"/>
    <w:bookmarkEnd w:id="154"/>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147</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24" w:lineRule="auto"/>
        <w:rPr>
          <w:sz w:val="20"/>
          <w:szCs w:val="20"/>
          <w:color w:val="auto"/>
        </w:rPr>
      </w:pPr>
      <w:r>
        <w:rPr>
          <w:rFonts w:ascii="Arial" w:cs="Arial" w:eastAsia="Arial" w:hAnsi="Arial"/>
          <w:sz w:val="13"/>
          <w:szCs w:val="13"/>
          <w:b w:val="1"/>
          <w:bCs w:val="1"/>
          <w:color w:val="691A6B"/>
        </w:rPr>
        <w:t>Remuneration To The Board Of Directors</w:t>
      </w:r>
    </w:p>
    <w:tbl>
      <w:tblPr>
        <w:tblLayout w:type="fixed"/>
        <w:tblInd w:w="0" w:type="dxa"/>
        <w:tblCellMar>
          <w:top w:w="0" w:type="dxa"/>
          <w:left w:w="0" w:type="dxa"/>
          <w:bottom w:w="0" w:type="dxa"/>
          <w:right w:w="0" w:type="dxa"/>
        </w:tblCellMar>
      </w:tblPr>
      <w:tr>
        <w:trPr>
          <w:trHeight w:val="95"/>
        </w:trPr>
        <w:tc>
          <w:tcPr>
            <w:tcW w:w="1420" w:type="dxa"/>
            <w:vAlign w:val="bottom"/>
            <w:tcBorders>
              <w:top w:val="single" w:sz="8" w:color="691A6B"/>
            </w:tcBorders>
          </w:tcPr>
          <w:p>
            <w:pPr>
              <w:spacing w:after="0"/>
              <w:rPr>
                <w:sz w:val="8"/>
                <w:szCs w:val="8"/>
                <w:color w:val="auto"/>
              </w:rPr>
            </w:pPr>
          </w:p>
        </w:tc>
        <w:tc>
          <w:tcPr>
            <w:tcW w:w="1360" w:type="dxa"/>
            <w:vAlign w:val="bottom"/>
            <w:tcBorders>
              <w:top w:val="single" w:sz="8" w:color="691A6B"/>
            </w:tcBorders>
            <w:gridSpan w:val="2"/>
          </w:tcPr>
          <w:p>
            <w:pPr>
              <w:ind w:left="240"/>
              <w:spacing w:after="0" w:line="95" w:lineRule="exact"/>
              <w:rPr>
                <w:sz w:val="20"/>
                <w:szCs w:val="20"/>
                <w:color w:val="auto"/>
              </w:rPr>
            </w:pPr>
            <w:r>
              <w:rPr>
                <w:rFonts w:ascii="Arial" w:cs="Arial" w:eastAsia="Arial" w:hAnsi="Arial"/>
                <w:sz w:val="10"/>
                <w:szCs w:val="10"/>
                <w:b w:val="1"/>
                <w:bCs w:val="1"/>
                <w:color w:val="auto"/>
              </w:rPr>
              <w:t>Base Board Fee</w:t>
            </w:r>
          </w:p>
        </w:tc>
        <w:tc>
          <w:tcPr>
            <w:tcW w:w="680" w:type="dxa"/>
            <w:vAlign w:val="bottom"/>
            <w:tcBorders>
              <w:top w:val="single" w:sz="8" w:color="691A6B"/>
            </w:tcBorders>
          </w:tcPr>
          <w:p>
            <w:pPr>
              <w:spacing w:after="0"/>
              <w:rPr>
                <w:sz w:val="8"/>
                <w:szCs w:val="8"/>
                <w:color w:val="auto"/>
              </w:rPr>
            </w:pPr>
          </w:p>
        </w:tc>
        <w:tc>
          <w:tcPr>
            <w:tcW w:w="840" w:type="dxa"/>
            <w:vAlign w:val="bottom"/>
            <w:tcBorders>
              <w:top w:val="single" w:sz="8" w:color="691A6B"/>
            </w:tcBorders>
          </w:tcPr>
          <w:p>
            <w:pPr>
              <w:ind w:left="240"/>
              <w:spacing w:after="0" w:line="95" w:lineRule="exact"/>
              <w:rPr>
                <w:sz w:val="20"/>
                <w:szCs w:val="20"/>
                <w:color w:val="auto"/>
              </w:rPr>
            </w:pPr>
            <w:r>
              <w:rPr>
                <w:rFonts w:ascii="Arial" w:cs="Arial" w:eastAsia="Arial" w:hAnsi="Arial"/>
                <w:sz w:val="10"/>
                <w:szCs w:val="10"/>
                <w:b w:val="1"/>
                <w:bCs w:val="1"/>
                <w:color w:val="auto"/>
              </w:rPr>
              <w:t>Committee</w:t>
            </w:r>
          </w:p>
        </w:tc>
        <w:tc>
          <w:tcPr>
            <w:tcW w:w="520" w:type="dxa"/>
            <w:vAlign w:val="bottom"/>
            <w:tcBorders>
              <w:top w:val="single" w:sz="8" w:color="691A6B"/>
            </w:tcBorders>
          </w:tcPr>
          <w:p>
            <w:pPr>
              <w:spacing w:after="0"/>
              <w:rPr>
                <w:sz w:val="8"/>
                <w:szCs w:val="8"/>
                <w:color w:val="auto"/>
              </w:rPr>
            </w:pPr>
          </w:p>
        </w:tc>
        <w:tc>
          <w:tcPr>
            <w:tcW w:w="700" w:type="dxa"/>
            <w:vAlign w:val="bottom"/>
            <w:tcBorders>
              <w:top w:val="single" w:sz="8" w:color="691A6B"/>
            </w:tcBorders>
          </w:tcPr>
          <w:p>
            <w:pPr>
              <w:spacing w:after="0"/>
              <w:rPr>
                <w:sz w:val="8"/>
                <w:szCs w:val="8"/>
                <w:color w:val="auto"/>
              </w:rPr>
            </w:pPr>
          </w:p>
        </w:tc>
        <w:tc>
          <w:tcPr>
            <w:tcW w:w="2120" w:type="dxa"/>
            <w:vAlign w:val="bottom"/>
            <w:tcBorders>
              <w:top w:val="single" w:sz="8" w:color="691A6B"/>
            </w:tcBorders>
            <w:gridSpan w:val="3"/>
          </w:tcPr>
          <w:p>
            <w:pPr>
              <w:ind w:left="240"/>
              <w:spacing w:after="0" w:line="95" w:lineRule="exact"/>
              <w:rPr>
                <w:sz w:val="20"/>
                <w:szCs w:val="20"/>
                <w:color w:val="auto"/>
              </w:rPr>
            </w:pPr>
            <w:r>
              <w:rPr>
                <w:rFonts w:ascii="Arial" w:cs="Arial" w:eastAsia="Arial" w:hAnsi="Arial"/>
                <w:sz w:val="10"/>
                <w:szCs w:val="10"/>
                <w:b w:val="1"/>
                <w:bCs w:val="1"/>
                <w:color w:val="auto"/>
              </w:rPr>
              <w:t>Share-Based Compensation Expenses</w:t>
            </w:r>
          </w:p>
        </w:tc>
        <w:tc>
          <w:tcPr>
            <w:tcW w:w="620" w:type="dxa"/>
            <w:vAlign w:val="bottom"/>
            <w:tcBorders>
              <w:top w:val="single" w:sz="8" w:color="691A6B"/>
            </w:tcBorders>
          </w:tcPr>
          <w:p>
            <w:pPr>
              <w:ind w:left="160"/>
              <w:spacing w:after="0" w:line="95" w:lineRule="exact"/>
              <w:rPr>
                <w:sz w:val="20"/>
                <w:szCs w:val="20"/>
                <w:color w:val="auto"/>
              </w:rPr>
            </w:pPr>
            <w:r>
              <w:rPr>
                <w:rFonts w:ascii="Arial" w:cs="Arial" w:eastAsia="Arial" w:hAnsi="Arial"/>
                <w:sz w:val="10"/>
                <w:szCs w:val="10"/>
                <w:b w:val="1"/>
                <w:bCs w:val="1"/>
                <w:color w:val="auto"/>
              </w:rPr>
              <w:t>Total</w:t>
            </w:r>
          </w:p>
        </w:tc>
        <w:tc>
          <w:tcPr>
            <w:tcW w:w="660" w:type="dxa"/>
            <w:vAlign w:val="bottom"/>
            <w:tcBorders>
              <w:top w:val="single" w:sz="8" w:color="691A6B"/>
            </w:tcBorders>
          </w:tcPr>
          <w:p>
            <w:pPr>
              <w:spacing w:after="0"/>
              <w:rPr>
                <w:sz w:val="8"/>
                <w:szCs w:val="8"/>
                <w:color w:val="auto"/>
              </w:rPr>
            </w:pPr>
          </w:p>
        </w:tc>
        <w:tc>
          <w:tcPr>
            <w:tcW w:w="900" w:type="dxa"/>
            <w:vAlign w:val="bottom"/>
            <w:tcBorders>
              <w:top w:val="single" w:sz="8" w:color="691A6B"/>
            </w:tcBorders>
          </w:tcPr>
          <w:p>
            <w:pPr>
              <w:spacing w:after="0"/>
              <w:rPr>
                <w:sz w:val="8"/>
                <w:szCs w:val="8"/>
                <w:color w:val="auto"/>
              </w:rPr>
            </w:pPr>
          </w:p>
        </w:tc>
      </w:tr>
      <w:tr>
        <w:trPr>
          <w:trHeight w:val="128"/>
        </w:trPr>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240"/>
              <w:spacing w:after="0"/>
              <w:rPr>
                <w:sz w:val="20"/>
                <w:szCs w:val="20"/>
                <w:color w:val="auto"/>
              </w:rPr>
            </w:pPr>
            <w:r>
              <w:rPr>
                <w:rFonts w:ascii="Arial" w:cs="Arial" w:eastAsia="Arial" w:hAnsi="Arial"/>
                <w:sz w:val="10"/>
                <w:szCs w:val="10"/>
                <w:b w:val="1"/>
                <w:bCs w:val="1"/>
                <w:color w:val="auto"/>
              </w:rPr>
              <w:t>Fees</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2"/>
        </w:trPr>
        <w:tc>
          <w:tcPr>
            <w:tcW w:w="142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0"/>
                <w:szCs w:val="10"/>
                <w:b w:val="1"/>
                <w:bCs w:val="1"/>
                <w:color w:val="691A6B"/>
              </w:rPr>
              <w:t>2025</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auto"/>
              </w:rPr>
              <w:t>2024</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auto"/>
              </w:rPr>
              <w:t>2023</w:t>
            </w:r>
          </w:p>
        </w:tc>
        <w:tc>
          <w:tcPr>
            <w:tcW w:w="840" w:type="dxa"/>
            <w:vAlign w:val="bottom"/>
          </w:tcPr>
          <w:p>
            <w:pPr>
              <w:ind w:left="240"/>
              <w:spacing w:after="0"/>
              <w:rPr>
                <w:sz w:val="20"/>
                <w:szCs w:val="20"/>
                <w:color w:val="auto"/>
              </w:rPr>
            </w:pPr>
            <w:r>
              <w:rPr>
                <w:rFonts w:ascii="Arial" w:cs="Arial" w:eastAsia="Arial" w:hAnsi="Arial"/>
                <w:sz w:val="10"/>
                <w:szCs w:val="10"/>
                <w:b w:val="1"/>
                <w:bCs w:val="1"/>
                <w:color w:val="691A6B"/>
              </w:rPr>
              <w:t>2025</w:t>
            </w:r>
          </w:p>
        </w:tc>
        <w:tc>
          <w:tcPr>
            <w:tcW w:w="520" w:type="dxa"/>
            <w:vAlign w:val="bottom"/>
          </w:tcPr>
          <w:p>
            <w:pPr>
              <w:ind w:left="80"/>
              <w:spacing w:after="0"/>
              <w:rPr>
                <w:sz w:val="20"/>
                <w:szCs w:val="20"/>
                <w:color w:val="auto"/>
              </w:rPr>
            </w:pPr>
            <w:r>
              <w:rPr>
                <w:rFonts w:ascii="Arial" w:cs="Arial" w:eastAsia="Arial" w:hAnsi="Arial"/>
                <w:sz w:val="10"/>
                <w:szCs w:val="10"/>
                <w:b w:val="1"/>
                <w:bCs w:val="1"/>
                <w:color w:val="auto"/>
              </w:rPr>
              <w:t>2024</w:t>
            </w:r>
          </w:p>
        </w:tc>
        <w:tc>
          <w:tcPr>
            <w:tcW w:w="700" w:type="dxa"/>
            <w:vAlign w:val="bottom"/>
          </w:tcPr>
          <w:p>
            <w:pPr>
              <w:ind w:left="240"/>
              <w:spacing w:after="0"/>
              <w:rPr>
                <w:sz w:val="20"/>
                <w:szCs w:val="20"/>
                <w:color w:val="auto"/>
              </w:rPr>
            </w:pPr>
            <w:r>
              <w:rPr>
                <w:rFonts w:ascii="Arial" w:cs="Arial" w:eastAsia="Arial" w:hAnsi="Arial"/>
                <w:sz w:val="10"/>
                <w:szCs w:val="10"/>
                <w:b w:val="1"/>
                <w:bCs w:val="1"/>
                <w:color w:val="auto"/>
              </w:rPr>
              <w:t>2023</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691A6B"/>
              </w:rPr>
              <w:t>2025</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auto"/>
              </w:rPr>
              <w:t>2024</w:t>
            </w:r>
          </w:p>
        </w:tc>
        <w:tc>
          <w:tcPr>
            <w:tcW w:w="760" w:type="dxa"/>
            <w:vAlign w:val="bottom"/>
          </w:tcPr>
          <w:p>
            <w:pPr>
              <w:ind w:left="220"/>
              <w:spacing w:after="0"/>
              <w:rPr>
                <w:sz w:val="20"/>
                <w:szCs w:val="20"/>
                <w:color w:val="auto"/>
              </w:rPr>
            </w:pPr>
            <w:r>
              <w:rPr>
                <w:rFonts w:ascii="Arial" w:cs="Arial" w:eastAsia="Arial" w:hAnsi="Arial"/>
                <w:sz w:val="10"/>
                <w:szCs w:val="10"/>
                <w:b w:val="1"/>
                <w:bCs w:val="1"/>
                <w:color w:val="auto"/>
              </w:rPr>
              <w:t>2023</w:t>
            </w:r>
          </w:p>
        </w:tc>
        <w:tc>
          <w:tcPr>
            <w:tcW w:w="620" w:type="dxa"/>
            <w:vAlign w:val="bottom"/>
          </w:tcPr>
          <w:p>
            <w:pPr>
              <w:ind w:left="160"/>
              <w:spacing w:after="0"/>
              <w:rPr>
                <w:sz w:val="20"/>
                <w:szCs w:val="20"/>
                <w:color w:val="auto"/>
              </w:rPr>
            </w:pPr>
            <w:r>
              <w:rPr>
                <w:rFonts w:ascii="Arial" w:cs="Arial" w:eastAsia="Arial" w:hAnsi="Arial"/>
                <w:sz w:val="10"/>
                <w:szCs w:val="10"/>
                <w:b w:val="1"/>
                <w:bCs w:val="1"/>
                <w:color w:val="691A6B"/>
              </w:rPr>
              <w:t>2025</w:t>
            </w:r>
          </w:p>
        </w:tc>
        <w:tc>
          <w:tcPr>
            <w:tcW w:w="660" w:type="dxa"/>
            <w:vAlign w:val="bottom"/>
          </w:tcPr>
          <w:p>
            <w:pPr>
              <w:ind w:left="220"/>
              <w:spacing w:after="0"/>
              <w:rPr>
                <w:sz w:val="20"/>
                <w:szCs w:val="20"/>
                <w:color w:val="auto"/>
              </w:rPr>
            </w:pPr>
            <w:r>
              <w:rPr>
                <w:rFonts w:ascii="Arial" w:cs="Arial" w:eastAsia="Arial" w:hAnsi="Arial"/>
                <w:sz w:val="10"/>
                <w:szCs w:val="10"/>
                <w:b w:val="1"/>
                <w:bCs w:val="1"/>
                <w:color w:val="auto"/>
              </w:rPr>
              <w:t>2024</w:t>
            </w:r>
          </w:p>
        </w:tc>
        <w:tc>
          <w:tcPr>
            <w:tcW w:w="900" w:type="dxa"/>
            <w:vAlign w:val="bottom"/>
          </w:tcPr>
          <w:p>
            <w:pPr>
              <w:ind w:left="240"/>
              <w:spacing w:after="0"/>
              <w:rPr>
                <w:sz w:val="20"/>
                <w:szCs w:val="20"/>
                <w:color w:val="auto"/>
              </w:rPr>
            </w:pPr>
            <w:r>
              <w:rPr>
                <w:rFonts w:ascii="Arial" w:cs="Arial" w:eastAsia="Arial" w:hAnsi="Arial"/>
                <w:sz w:val="10"/>
                <w:szCs w:val="10"/>
                <w:b w:val="1"/>
                <w:bCs w:val="1"/>
                <w:color w:val="auto"/>
              </w:rPr>
              <w:t>2023</w:t>
            </w:r>
          </w:p>
        </w:tc>
      </w:tr>
      <w:tr>
        <w:trPr>
          <w:trHeight w:val="141"/>
        </w:trPr>
        <w:tc>
          <w:tcPr>
            <w:tcW w:w="1420" w:type="dxa"/>
            <w:vAlign w:val="bottom"/>
          </w:tcPr>
          <w:p>
            <w:pPr>
              <w:ind w:left="20"/>
              <w:spacing w:after="0"/>
              <w:rPr>
                <w:sz w:val="20"/>
                <w:szCs w:val="20"/>
                <w:color w:val="auto"/>
              </w:rPr>
            </w:pPr>
            <w:r>
              <w:rPr>
                <w:rFonts w:ascii="Arial" w:cs="Arial" w:eastAsia="Arial" w:hAnsi="Arial"/>
                <w:sz w:val="10"/>
                <w:szCs w:val="10"/>
                <w:color w:val="auto"/>
              </w:rPr>
              <w:t>Deirdre P. Connelly</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840" w:type="dxa"/>
            <w:vAlign w:val="bottom"/>
          </w:tcPr>
          <w:p>
            <w:pPr>
              <w:ind w:left="240"/>
              <w:spacing w:after="0"/>
              <w:rPr>
                <w:sz w:val="20"/>
                <w:szCs w:val="20"/>
                <w:color w:val="auto"/>
              </w:rPr>
            </w:pPr>
            <w:r>
              <w:rPr>
                <w:rFonts w:ascii="Arial" w:cs="Arial" w:eastAsia="Arial" w:hAnsi="Arial"/>
                <w:sz w:val="10"/>
                <w:szCs w:val="10"/>
                <w:color w:val="auto"/>
              </w:rPr>
              <w:t>0.1</w:t>
            </w:r>
          </w:p>
        </w:tc>
        <w:tc>
          <w:tcPr>
            <w:tcW w:w="520" w:type="dxa"/>
            <w:vAlign w:val="bottom"/>
          </w:tcPr>
          <w:p>
            <w:pPr>
              <w:ind w:left="80"/>
              <w:spacing w:after="0"/>
              <w:rPr>
                <w:sz w:val="20"/>
                <w:szCs w:val="20"/>
                <w:color w:val="auto"/>
              </w:rPr>
            </w:pPr>
            <w:r>
              <w:rPr>
                <w:rFonts w:ascii="Arial" w:cs="Arial" w:eastAsia="Arial" w:hAnsi="Arial"/>
                <w:sz w:val="10"/>
                <w:szCs w:val="10"/>
                <w:color w:val="auto"/>
              </w:rPr>
              <w:t>0.1</w:t>
            </w:r>
          </w:p>
        </w:tc>
        <w:tc>
          <w:tcPr>
            <w:tcW w:w="70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0.3</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760" w:type="dxa"/>
            <w:vAlign w:val="bottom"/>
          </w:tcPr>
          <w:p>
            <w:pPr>
              <w:ind w:left="220"/>
              <w:spacing w:after="0"/>
              <w:rPr>
                <w:sz w:val="20"/>
                <w:szCs w:val="20"/>
                <w:color w:val="auto"/>
              </w:rPr>
            </w:pPr>
            <w:r>
              <w:rPr>
                <w:rFonts w:ascii="Arial" w:cs="Arial" w:eastAsia="Arial" w:hAnsi="Arial"/>
                <w:sz w:val="10"/>
                <w:szCs w:val="10"/>
                <w:color w:val="auto"/>
              </w:rPr>
              <w:t>0.2</w:t>
            </w:r>
          </w:p>
        </w:tc>
        <w:tc>
          <w:tcPr>
            <w:tcW w:w="620" w:type="dxa"/>
            <w:vAlign w:val="bottom"/>
          </w:tcPr>
          <w:p>
            <w:pPr>
              <w:ind w:left="160"/>
              <w:spacing w:after="0"/>
              <w:rPr>
                <w:sz w:val="20"/>
                <w:szCs w:val="20"/>
                <w:color w:val="auto"/>
              </w:rPr>
            </w:pPr>
            <w:r>
              <w:rPr>
                <w:rFonts w:ascii="Arial" w:cs="Arial" w:eastAsia="Arial" w:hAnsi="Arial"/>
                <w:sz w:val="10"/>
                <w:szCs w:val="10"/>
                <w:color w:val="auto"/>
              </w:rPr>
              <w:t>0.6</w:t>
            </w:r>
          </w:p>
        </w:tc>
        <w:tc>
          <w:tcPr>
            <w:tcW w:w="660" w:type="dxa"/>
            <w:vAlign w:val="bottom"/>
          </w:tcPr>
          <w:p>
            <w:pPr>
              <w:ind w:left="220"/>
              <w:spacing w:after="0"/>
              <w:rPr>
                <w:sz w:val="20"/>
                <w:szCs w:val="20"/>
                <w:color w:val="auto"/>
              </w:rPr>
            </w:pPr>
            <w:r>
              <w:rPr>
                <w:rFonts w:ascii="Arial" w:cs="Arial" w:eastAsia="Arial" w:hAnsi="Arial"/>
                <w:sz w:val="10"/>
                <w:szCs w:val="10"/>
                <w:color w:val="auto"/>
              </w:rPr>
              <w:t>0.5</w:t>
            </w:r>
          </w:p>
        </w:tc>
        <w:tc>
          <w:tcPr>
            <w:tcW w:w="900" w:type="dxa"/>
            <w:vAlign w:val="bottom"/>
          </w:tcPr>
          <w:p>
            <w:pPr>
              <w:ind w:left="240"/>
              <w:spacing w:after="0"/>
              <w:rPr>
                <w:sz w:val="20"/>
                <w:szCs w:val="20"/>
                <w:color w:val="auto"/>
              </w:rPr>
            </w:pPr>
            <w:r>
              <w:rPr>
                <w:rFonts w:ascii="Arial" w:cs="Arial" w:eastAsia="Arial" w:hAnsi="Arial"/>
                <w:sz w:val="10"/>
                <w:szCs w:val="10"/>
                <w:color w:val="auto"/>
              </w:rPr>
              <w:t>0.5</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Pernille Erenbjerg</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0.1</w:t>
            </w:r>
          </w:p>
        </w:tc>
        <w:tc>
          <w:tcPr>
            <w:tcW w:w="520" w:type="dxa"/>
            <w:vAlign w:val="bottom"/>
          </w:tcPr>
          <w:p>
            <w:pPr>
              <w:ind w:left="80"/>
              <w:spacing w:after="0"/>
              <w:rPr>
                <w:sz w:val="20"/>
                <w:szCs w:val="20"/>
                <w:color w:val="auto"/>
              </w:rPr>
            </w:pPr>
            <w:r>
              <w:rPr>
                <w:rFonts w:ascii="Arial" w:cs="Arial" w:eastAsia="Arial" w:hAnsi="Arial"/>
                <w:sz w:val="10"/>
                <w:szCs w:val="10"/>
                <w:color w:val="auto"/>
              </w:rPr>
              <w:t>0.1</w:t>
            </w:r>
          </w:p>
        </w:tc>
        <w:tc>
          <w:tcPr>
            <w:tcW w:w="70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760" w:type="dxa"/>
            <w:vAlign w:val="bottom"/>
          </w:tcPr>
          <w:p>
            <w:pPr>
              <w:ind w:left="220"/>
              <w:spacing w:after="0"/>
              <w:rPr>
                <w:sz w:val="20"/>
                <w:szCs w:val="20"/>
                <w:color w:val="auto"/>
              </w:rPr>
            </w:pPr>
            <w:r>
              <w:rPr>
                <w:rFonts w:ascii="Arial" w:cs="Arial" w:eastAsia="Arial" w:hAnsi="Arial"/>
                <w:sz w:val="10"/>
                <w:szCs w:val="10"/>
                <w:color w:val="auto"/>
              </w:rPr>
              <w:t>0.1</w:t>
            </w:r>
          </w:p>
        </w:tc>
        <w:tc>
          <w:tcPr>
            <w:tcW w:w="620" w:type="dxa"/>
            <w:vAlign w:val="bottom"/>
          </w:tcPr>
          <w:p>
            <w:pPr>
              <w:ind w:left="160"/>
              <w:spacing w:after="0"/>
              <w:rPr>
                <w:sz w:val="20"/>
                <w:szCs w:val="20"/>
                <w:color w:val="auto"/>
              </w:rPr>
            </w:pPr>
            <w:r>
              <w:rPr>
                <w:rFonts w:ascii="Arial" w:cs="Arial" w:eastAsia="Arial" w:hAnsi="Arial"/>
                <w:sz w:val="10"/>
                <w:szCs w:val="10"/>
                <w:color w:val="auto"/>
              </w:rPr>
              <w:t>0.4</w:t>
            </w:r>
          </w:p>
        </w:tc>
        <w:tc>
          <w:tcPr>
            <w:tcW w:w="660" w:type="dxa"/>
            <w:vAlign w:val="bottom"/>
          </w:tcPr>
          <w:p>
            <w:pPr>
              <w:ind w:left="220"/>
              <w:spacing w:after="0"/>
              <w:rPr>
                <w:sz w:val="20"/>
                <w:szCs w:val="20"/>
                <w:color w:val="auto"/>
              </w:rPr>
            </w:pPr>
            <w:r>
              <w:rPr>
                <w:rFonts w:ascii="Arial" w:cs="Arial" w:eastAsia="Arial" w:hAnsi="Arial"/>
                <w:sz w:val="10"/>
                <w:szCs w:val="10"/>
                <w:color w:val="auto"/>
              </w:rPr>
              <w:t>0.4</w:t>
            </w:r>
          </w:p>
        </w:tc>
        <w:tc>
          <w:tcPr>
            <w:tcW w:w="900" w:type="dxa"/>
            <w:vAlign w:val="bottom"/>
          </w:tcPr>
          <w:p>
            <w:pPr>
              <w:ind w:left="240"/>
              <w:spacing w:after="0"/>
              <w:rPr>
                <w:sz w:val="20"/>
                <w:szCs w:val="20"/>
                <w:color w:val="auto"/>
              </w:rPr>
            </w:pPr>
            <w:r>
              <w:rPr>
                <w:rFonts w:ascii="Arial" w:cs="Arial" w:eastAsia="Arial" w:hAnsi="Arial"/>
                <w:sz w:val="10"/>
                <w:szCs w:val="10"/>
                <w:color w:val="auto"/>
              </w:rPr>
              <w:t>0.3</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Anders Gersel Pedersen</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0.1</w:t>
            </w:r>
          </w:p>
        </w:tc>
        <w:tc>
          <w:tcPr>
            <w:tcW w:w="520" w:type="dxa"/>
            <w:vAlign w:val="bottom"/>
          </w:tcPr>
          <w:p>
            <w:pPr>
              <w:ind w:left="80"/>
              <w:spacing w:after="0"/>
              <w:rPr>
                <w:sz w:val="20"/>
                <w:szCs w:val="20"/>
                <w:color w:val="auto"/>
              </w:rPr>
            </w:pPr>
            <w:r>
              <w:rPr>
                <w:rFonts w:ascii="Arial" w:cs="Arial" w:eastAsia="Arial" w:hAnsi="Arial"/>
                <w:sz w:val="10"/>
                <w:szCs w:val="10"/>
                <w:color w:val="auto"/>
              </w:rPr>
              <w:t>0.1</w:t>
            </w:r>
          </w:p>
        </w:tc>
        <w:tc>
          <w:tcPr>
            <w:tcW w:w="70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760" w:type="dxa"/>
            <w:vAlign w:val="bottom"/>
          </w:tcPr>
          <w:p>
            <w:pPr>
              <w:ind w:left="220"/>
              <w:spacing w:after="0"/>
              <w:rPr>
                <w:sz w:val="20"/>
                <w:szCs w:val="20"/>
                <w:color w:val="auto"/>
              </w:rPr>
            </w:pPr>
            <w:r>
              <w:rPr>
                <w:rFonts w:ascii="Arial" w:cs="Arial" w:eastAsia="Arial" w:hAnsi="Arial"/>
                <w:sz w:val="10"/>
                <w:szCs w:val="10"/>
                <w:color w:val="auto"/>
              </w:rPr>
              <w:t>0.1</w:t>
            </w:r>
          </w:p>
        </w:tc>
        <w:tc>
          <w:tcPr>
            <w:tcW w:w="620" w:type="dxa"/>
            <w:vAlign w:val="bottom"/>
          </w:tcPr>
          <w:p>
            <w:pPr>
              <w:ind w:left="160"/>
              <w:spacing w:after="0"/>
              <w:rPr>
                <w:sz w:val="20"/>
                <w:szCs w:val="20"/>
                <w:color w:val="auto"/>
              </w:rPr>
            </w:pPr>
            <w:r>
              <w:rPr>
                <w:rFonts w:ascii="Arial" w:cs="Arial" w:eastAsia="Arial" w:hAnsi="Arial"/>
                <w:sz w:val="10"/>
                <w:szCs w:val="10"/>
                <w:color w:val="auto"/>
              </w:rPr>
              <w:t>0.4</w:t>
            </w:r>
          </w:p>
        </w:tc>
        <w:tc>
          <w:tcPr>
            <w:tcW w:w="660" w:type="dxa"/>
            <w:vAlign w:val="bottom"/>
          </w:tcPr>
          <w:p>
            <w:pPr>
              <w:ind w:left="220"/>
              <w:spacing w:after="0"/>
              <w:rPr>
                <w:sz w:val="20"/>
                <w:szCs w:val="20"/>
                <w:color w:val="auto"/>
              </w:rPr>
            </w:pPr>
            <w:r>
              <w:rPr>
                <w:rFonts w:ascii="Arial" w:cs="Arial" w:eastAsia="Arial" w:hAnsi="Arial"/>
                <w:sz w:val="10"/>
                <w:szCs w:val="10"/>
                <w:color w:val="auto"/>
              </w:rPr>
              <w:t>0.3</w:t>
            </w:r>
          </w:p>
        </w:tc>
        <w:tc>
          <w:tcPr>
            <w:tcW w:w="900" w:type="dxa"/>
            <w:vAlign w:val="bottom"/>
          </w:tcPr>
          <w:p>
            <w:pPr>
              <w:ind w:left="240"/>
              <w:spacing w:after="0"/>
              <w:rPr>
                <w:sz w:val="20"/>
                <w:szCs w:val="20"/>
                <w:color w:val="auto"/>
              </w:rPr>
            </w:pPr>
            <w:r>
              <w:rPr>
                <w:rFonts w:ascii="Arial" w:cs="Arial" w:eastAsia="Arial" w:hAnsi="Arial"/>
                <w:sz w:val="10"/>
                <w:szCs w:val="10"/>
                <w:color w:val="auto"/>
              </w:rPr>
              <w:t>0.3</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Paolo Paoletti</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w:t>
            </w:r>
          </w:p>
        </w:tc>
        <w:tc>
          <w:tcPr>
            <w:tcW w:w="520" w:type="dxa"/>
            <w:vAlign w:val="bottom"/>
          </w:tcPr>
          <w:p>
            <w:pPr>
              <w:ind w:left="80"/>
              <w:spacing w:after="0"/>
              <w:rPr>
                <w:sz w:val="20"/>
                <w:szCs w:val="20"/>
                <w:color w:val="auto"/>
              </w:rPr>
            </w:pPr>
            <w:r>
              <w:rPr>
                <w:rFonts w:ascii="Arial" w:cs="Arial" w:eastAsia="Arial" w:hAnsi="Arial"/>
                <w:sz w:val="10"/>
                <w:szCs w:val="10"/>
                <w:color w:val="auto"/>
              </w:rPr>
              <w:t>—</w:t>
            </w:r>
          </w:p>
        </w:tc>
        <w:tc>
          <w:tcPr>
            <w:tcW w:w="70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760" w:type="dxa"/>
            <w:vAlign w:val="bottom"/>
          </w:tcPr>
          <w:p>
            <w:pPr>
              <w:ind w:left="220"/>
              <w:spacing w:after="0"/>
              <w:rPr>
                <w:sz w:val="20"/>
                <w:szCs w:val="20"/>
                <w:color w:val="auto"/>
              </w:rPr>
            </w:pPr>
            <w:r>
              <w:rPr>
                <w:rFonts w:ascii="Arial" w:cs="Arial" w:eastAsia="Arial" w:hAnsi="Arial"/>
                <w:sz w:val="10"/>
                <w:szCs w:val="10"/>
                <w:color w:val="auto"/>
              </w:rPr>
              <w:t>0.1</w:t>
            </w:r>
          </w:p>
        </w:tc>
        <w:tc>
          <w:tcPr>
            <w:tcW w:w="620" w:type="dxa"/>
            <w:vAlign w:val="bottom"/>
          </w:tcPr>
          <w:p>
            <w:pPr>
              <w:ind w:left="160"/>
              <w:spacing w:after="0"/>
              <w:rPr>
                <w:sz w:val="20"/>
                <w:szCs w:val="20"/>
                <w:color w:val="auto"/>
              </w:rPr>
            </w:pPr>
            <w:r>
              <w:rPr>
                <w:rFonts w:ascii="Arial" w:cs="Arial" w:eastAsia="Arial" w:hAnsi="Arial"/>
                <w:sz w:val="10"/>
                <w:szCs w:val="10"/>
                <w:color w:val="auto"/>
              </w:rPr>
              <w:t>0.3</w:t>
            </w:r>
          </w:p>
        </w:tc>
        <w:tc>
          <w:tcPr>
            <w:tcW w:w="660" w:type="dxa"/>
            <w:vAlign w:val="bottom"/>
          </w:tcPr>
          <w:p>
            <w:pPr>
              <w:ind w:left="220"/>
              <w:spacing w:after="0"/>
              <w:rPr>
                <w:sz w:val="20"/>
                <w:szCs w:val="20"/>
                <w:color w:val="auto"/>
              </w:rPr>
            </w:pPr>
            <w:r>
              <w:rPr>
                <w:rFonts w:ascii="Arial" w:cs="Arial" w:eastAsia="Arial" w:hAnsi="Arial"/>
                <w:sz w:val="10"/>
                <w:szCs w:val="10"/>
                <w:color w:val="auto"/>
              </w:rPr>
              <w:t>0.2</w:t>
            </w:r>
          </w:p>
        </w:tc>
        <w:tc>
          <w:tcPr>
            <w:tcW w:w="900" w:type="dxa"/>
            <w:vAlign w:val="bottom"/>
          </w:tcPr>
          <w:p>
            <w:pPr>
              <w:ind w:left="240"/>
              <w:spacing w:after="0"/>
              <w:rPr>
                <w:sz w:val="20"/>
                <w:szCs w:val="20"/>
                <w:color w:val="auto"/>
              </w:rPr>
            </w:pPr>
            <w:r>
              <w:rPr>
                <w:rFonts w:ascii="Arial" w:cs="Arial" w:eastAsia="Arial" w:hAnsi="Arial"/>
                <w:sz w:val="10"/>
                <w:szCs w:val="10"/>
                <w:color w:val="auto"/>
              </w:rPr>
              <w:t>0.2</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Rolf Hoffmann</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0.1</w:t>
            </w:r>
          </w:p>
        </w:tc>
        <w:tc>
          <w:tcPr>
            <w:tcW w:w="520" w:type="dxa"/>
            <w:vAlign w:val="bottom"/>
          </w:tcPr>
          <w:p>
            <w:pPr>
              <w:ind w:left="80"/>
              <w:spacing w:after="0"/>
              <w:rPr>
                <w:sz w:val="20"/>
                <w:szCs w:val="20"/>
                <w:color w:val="auto"/>
              </w:rPr>
            </w:pPr>
            <w:r>
              <w:rPr>
                <w:rFonts w:ascii="Arial" w:cs="Arial" w:eastAsia="Arial" w:hAnsi="Arial"/>
                <w:sz w:val="10"/>
                <w:szCs w:val="10"/>
                <w:color w:val="auto"/>
              </w:rPr>
              <w:t>0.1</w:t>
            </w:r>
          </w:p>
        </w:tc>
        <w:tc>
          <w:tcPr>
            <w:tcW w:w="70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760" w:type="dxa"/>
            <w:vAlign w:val="bottom"/>
          </w:tcPr>
          <w:p>
            <w:pPr>
              <w:ind w:left="220"/>
              <w:spacing w:after="0"/>
              <w:rPr>
                <w:sz w:val="20"/>
                <w:szCs w:val="20"/>
                <w:color w:val="auto"/>
              </w:rPr>
            </w:pPr>
            <w:r>
              <w:rPr>
                <w:rFonts w:ascii="Arial" w:cs="Arial" w:eastAsia="Arial" w:hAnsi="Arial"/>
                <w:sz w:val="10"/>
                <w:szCs w:val="10"/>
                <w:color w:val="auto"/>
              </w:rPr>
              <w:t>0.1</w:t>
            </w:r>
          </w:p>
        </w:tc>
        <w:tc>
          <w:tcPr>
            <w:tcW w:w="620" w:type="dxa"/>
            <w:vAlign w:val="bottom"/>
          </w:tcPr>
          <w:p>
            <w:pPr>
              <w:ind w:left="160"/>
              <w:spacing w:after="0"/>
              <w:rPr>
                <w:sz w:val="20"/>
                <w:szCs w:val="20"/>
                <w:color w:val="auto"/>
              </w:rPr>
            </w:pPr>
            <w:r>
              <w:rPr>
                <w:rFonts w:ascii="Arial" w:cs="Arial" w:eastAsia="Arial" w:hAnsi="Arial"/>
                <w:sz w:val="10"/>
                <w:szCs w:val="10"/>
                <w:color w:val="auto"/>
              </w:rPr>
              <w:t>0.4</w:t>
            </w:r>
          </w:p>
        </w:tc>
        <w:tc>
          <w:tcPr>
            <w:tcW w:w="660" w:type="dxa"/>
            <w:vAlign w:val="bottom"/>
          </w:tcPr>
          <w:p>
            <w:pPr>
              <w:ind w:left="220"/>
              <w:spacing w:after="0"/>
              <w:rPr>
                <w:sz w:val="20"/>
                <w:szCs w:val="20"/>
                <w:color w:val="auto"/>
              </w:rPr>
            </w:pPr>
            <w:r>
              <w:rPr>
                <w:rFonts w:ascii="Arial" w:cs="Arial" w:eastAsia="Arial" w:hAnsi="Arial"/>
                <w:sz w:val="10"/>
                <w:szCs w:val="10"/>
                <w:color w:val="auto"/>
              </w:rPr>
              <w:t>0.3</w:t>
            </w:r>
          </w:p>
        </w:tc>
        <w:tc>
          <w:tcPr>
            <w:tcW w:w="900" w:type="dxa"/>
            <w:vAlign w:val="bottom"/>
          </w:tcPr>
          <w:p>
            <w:pPr>
              <w:ind w:left="240"/>
              <w:spacing w:after="0"/>
              <w:rPr>
                <w:sz w:val="20"/>
                <w:szCs w:val="20"/>
                <w:color w:val="auto"/>
              </w:rPr>
            </w:pPr>
            <w:r>
              <w:rPr>
                <w:rFonts w:ascii="Arial" w:cs="Arial" w:eastAsia="Arial" w:hAnsi="Arial"/>
                <w:sz w:val="10"/>
                <w:szCs w:val="10"/>
                <w:color w:val="auto"/>
              </w:rPr>
              <w:t>0.2</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Elizabeth O’Farrell</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0.1</w:t>
            </w:r>
          </w:p>
        </w:tc>
        <w:tc>
          <w:tcPr>
            <w:tcW w:w="520" w:type="dxa"/>
            <w:vAlign w:val="bottom"/>
          </w:tcPr>
          <w:p>
            <w:pPr>
              <w:ind w:left="80"/>
              <w:spacing w:after="0"/>
              <w:rPr>
                <w:sz w:val="20"/>
                <w:szCs w:val="20"/>
                <w:color w:val="auto"/>
              </w:rPr>
            </w:pPr>
            <w:r>
              <w:rPr>
                <w:rFonts w:ascii="Arial" w:cs="Arial" w:eastAsia="Arial" w:hAnsi="Arial"/>
                <w:sz w:val="10"/>
                <w:szCs w:val="10"/>
                <w:color w:val="auto"/>
              </w:rPr>
              <w:t>0.1</w:t>
            </w:r>
          </w:p>
        </w:tc>
        <w:tc>
          <w:tcPr>
            <w:tcW w:w="70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760" w:type="dxa"/>
            <w:vAlign w:val="bottom"/>
          </w:tcPr>
          <w:p>
            <w:pPr>
              <w:ind w:left="220"/>
              <w:spacing w:after="0"/>
              <w:rPr>
                <w:sz w:val="20"/>
                <w:szCs w:val="20"/>
                <w:color w:val="auto"/>
              </w:rPr>
            </w:pPr>
            <w:r>
              <w:rPr>
                <w:rFonts w:ascii="Arial" w:cs="Arial" w:eastAsia="Arial" w:hAnsi="Arial"/>
                <w:sz w:val="10"/>
                <w:szCs w:val="10"/>
                <w:color w:val="auto"/>
              </w:rPr>
              <w:t>0.1</w:t>
            </w:r>
          </w:p>
        </w:tc>
        <w:tc>
          <w:tcPr>
            <w:tcW w:w="620" w:type="dxa"/>
            <w:vAlign w:val="bottom"/>
          </w:tcPr>
          <w:p>
            <w:pPr>
              <w:ind w:left="160"/>
              <w:spacing w:after="0"/>
              <w:rPr>
                <w:sz w:val="20"/>
                <w:szCs w:val="20"/>
                <w:color w:val="auto"/>
              </w:rPr>
            </w:pPr>
            <w:r>
              <w:rPr>
                <w:rFonts w:ascii="Arial" w:cs="Arial" w:eastAsia="Arial" w:hAnsi="Arial"/>
                <w:sz w:val="10"/>
                <w:szCs w:val="10"/>
                <w:color w:val="auto"/>
              </w:rPr>
              <w:t>0.4</w:t>
            </w:r>
          </w:p>
        </w:tc>
        <w:tc>
          <w:tcPr>
            <w:tcW w:w="660" w:type="dxa"/>
            <w:vAlign w:val="bottom"/>
          </w:tcPr>
          <w:p>
            <w:pPr>
              <w:ind w:left="220"/>
              <w:spacing w:after="0"/>
              <w:rPr>
                <w:sz w:val="20"/>
                <w:szCs w:val="20"/>
                <w:color w:val="auto"/>
              </w:rPr>
            </w:pPr>
            <w:r>
              <w:rPr>
                <w:rFonts w:ascii="Arial" w:cs="Arial" w:eastAsia="Arial" w:hAnsi="Arial"/>
                <w:sz w:val="10"/>
                <w:szCs w:val="10"/>
                <w:color w:val="auto"/>
              </w:rPr>
              <w:t>0.4</w:t>
            </w:r>
          </w:p>
        </w:tc>
        <w:tc>
          <w:tcPr>
            <w:tcW w:w="900" w:type="dxa"/>
            <w:vAlign w:val="bottom"/>
          </w:tcPr>
          <w:p>
            <w:pPr>
              <w:ind w:left="240"/>
              <w:spacing w:after="0"/>
              <w:rPr>
                <w:sz w:val="20"/>
                <w:szCs w:val="20"/>
                <w:color w:val="auto"/>
              </w:rPr>
            </w:pPr>
            <w:r>
              <w:rPr>
                <w:rFonts w:ascii="Arial" w:cs="Arial" w:eastAsia="Arial" w:hAnsi="Arial"/>
                <w:sz w:val="10"/>
                <w:szCs w:val="10"/>
                <w:color w:val="auto"/>
              </w:rPr>
              <w:t>0.2</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Mijke Zachariasse</w:t>
            </w:r>
            <w:r>
              <w:rPr>
                <w:rFonts w:ascii="Arial" w:cs="Arial" w:eastAsia="Arial" w:hAnsi="Arial"/>
                <w:sz w:val="6"/>
                <w:szCs w:val="6"/>
                <w:color w:val="auto"/>
              </w:rPr>
              <w:t>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w:t>
            </w:r>
          </w:p>
        </w:tc>
        <w:tc>
          <w:tcPr>
            <w:tcW w:w="520" w:type="dxa"/>
            <w:vAlign w:val="bottom"/>
          </w:tcPr>
          <w:p>
            <w:pPr>
              <w:ind w:left="80"/>
              <w:spacing w:after="0"/>
              <w:rPr>
                <w:sz w:val="20"/>
                <w:szCs w:val="20"/>
                <w:color w:val="auto"/>
              </w:rPr>
            </w:pPr>
            <w:r>
              <w:rPr>
                <w:rFonts w:ascii="Arial" w:cs="Arial" w:eastAsia="Arial" w:hAnsi="Arial"/>
                <w:sz w:val="10"/>
                <w:szCs w:val="10"/>
                <w:color w:val="auto"/>
              </w:rPr>
              <w:t>—</w:t>
            </w:r>
          </w:p>
        </w:tc>
        <w:tc>
          <w:tcPr>
            <w:tcW w:w="70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760" w:type="dxa"/>
            <w:vAlign w:val="bottom"/>
          </w:tcPr>
          <w:p>
            <w:pPr>
              <w:ind w:left="220"/>
              <w:spacing w:after="0"/>
              <w:rPr>
                <w:sz w:val="20"/>
                <w:szCs w:val="20"/>
                <w:color w:val="auto"/>
              </w:rPr>
            </w:pPr>
            <w:r>
              <w:rPr>
                <w:rFonts w:ascii="Arial" w:cs="Arial" w:eastAsia="Arial" w:hAnsi="Arial"/>
                <w:sz w:val="10"/>
                <w:szCs w:val="10"/>
                <w:color w:val="auto"/>
              </w:rPr>
              <w:t>0.1</w:t>
            </w:r>
          </w:p>
        </w:tc>
        <w:tc>
          <w:tcPr>
            <w:tcW w:w="620" w:type="dxa"/>
            <w:vAlign w:val="bottom"/>
          </w:tcPr>
          <w:p>
            <w:pPr>
              <w:ind w:left="160"/>
              <w:spacing w:after="0"/>
              <w:rPr>
                <w:sz w:val="20"/>
                <w:szCs w:val="20"/>
                <w:color w:val="auto"/>
              </w:rPr>
            </w:pPr>
            <w:r>
              <w:rPr>
                <w:rFonts w:ascii="Arial" w:cs="Arial" w:eastAsia="Arial" w:hAnsi="Arial"/>
                <w:sz w:val="10"/>
                <w:szCs w:val="10"/>
                <w:color w:val="auto"/>
              </w:rPr>
              <w:t>0.3</w:t>
            </w:r>
          </w:p>
        </w:tc>
        <w:tc>
          <w:tcPr>
            <w:tcW w:w="660" w:type="dxa"/>
            <w:vAlign w:val="bottom"/>
          </w:tcPr>
          <w:p>
            <w:pPr>
              <w:ind w:left="220"/>
              <w:spacing w:after="0"/>
              <w:rPr>
                <w:sz w:val="20"/>
                <w:szCs w:val="20"/>
                <w:color w:val="auto"/>
              </w:rPr>
            </w:pPr>
            <w:r>
              <w:rPr>
                <w:rFonts w:ascii="Arial" w:cs="Arial" w:eastAsia="Arial" w:hAnsi="Arial"/>
                <w:sz w:val="10"/>
                <w:szCs w:val="10"/>
                <w:color w:val="auto"/>
              </w:rPr>
              <w:t>0.2</w:t>
            </w:r>
          </w:p>
        </w:tc>
        <w:tc>
          <w:tcPr>
            <w:tcW w:w="900" w:type="dxa"/>
            <w:vAlign w:val="bottom"/>
          </w:tcPr>
          <w:p>
            <w:pPr>
              <w:ind w:left="240"/>
              <w:spacing w:after="0"/>
              <w:rPr>
                <w:sz w:val="20"/>
                <w:szCs w:val="20"/>
                <w:color w:val="auto"/>
              </w:rPr>
            </w:pPr>
            <w:r>
              <w:rPr>
                <w:rFonts w:ascii="Arial" w:cs="Arial" w:eastAsia="Arial" w:hAnsi="Arial"/>
                <w:sz w:val="10"/>
                <w:szCs w:val="10"/>
                <w:color w:val="auto"/>
              </w:rPr>
              <w:t>0.2</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Martin Schultz</w:t>
            </w:r>
            <w:r>
              <w:rPr>
                <w:rFonts w:ascii="Arial" w:cs="Arial" w:eastAsia="Arial" w:hAnsi="Arial"/>
                <w:sz w:val="6"/>
                <w:szCs w:val="6"/>
                <w:color w:val="auto"/>
              </w:rPr>
              <w:t>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w:t>
            </w:r>
          </w:p>
        </w:tc>
        <w:tc>
          <w:tcPr>
            <w:tcW w:w="520" w:type="dxa"/>
            <w:vAlign w:val="bottom"/>
          </w:tcPr>
          <w:p>
            <w:pPr>
              <w:ind w:left="80"/>
              <w:spacing w:after="0"/>
              <w:rPr>
                <w:sz w:val="20"/>
                <w:szCs w:val="20"/>
                <w:color w:val="auto"/>
              </w:rPr>
            </w:pPr>
            <w:r>
              <w:rPr>
                <w:rFonts w:ascii="Arial" w:cs="Arial" w:eastAsia="Arial" w:hAnsi="Arial"/>
                <w:sz w:val="10"/>
                <w:szCs w:val="10"/>
                <w:color w:val="auto"/>
              </w:rPr>
              <w:t>—</w:t>
            </w:r>
          </w:p>
        </w:tc>
        <w:tc>
          <w:tcPr>
            <w:tcW w:w="70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0.2</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760" w:type="dxa"/>
            <w:vAlign w:val="bottom"/>
          </w:tcPr>
          <w:p>
            <w:pPr>
              <w:ind w:left="220"/>
              <w:spacing w:after="0"/>
              <w:rPr>
                <w:sz w:val="20"/>
                <w:szCs w:val="20"/>
                <w:color w:val="auto"/>
              </w:rPr>
            </w:pPr>
            <w:r>
              <w:rPr>
                <w:rFonts w:ascii="Arial" w:cs="Arial" w:eastAsia="Arial" w:hAnsi="Arial"/>
                <w:sz w:val="10"/>
                <w:szCs w:val="10"/>
                <w:color w:val="auto"/>
              </w:rPr>
              <w:t>—</w:t>
            </w:r>
          </w:p>
        </w:tc>
        <w:tc>
          <w:tcPr>
            <w:tcW w:w="620" w:type="dxa"/>
            <w:vAlign w:val="bottom"/>
          </w:tcPr>
          <w:p>
            <w:pPr>
              <w:ind w:left="160"/>
              <w:spacing w:after="0"/>
              <w:rPr>
                <w:sz w:val="20"/>
                <w:szCs w:val="20"/>
                <w:color w:val="auto"/>
              </w:rPr>
            </w:pPr>
            <w:r>
              <w:rPr>
                <w:rFonts w:ascii="Arial" w:cs="Arial" w:eastAsia="Arial" w:hAnsi="Arial"/>
                <w:sz w:val="10"/>
                <w:szCs w:val="10"/>
                <w:color w:val="auto"/>
              </w:rPr>
              <w:t>0.3</w:t>
            </w:r>
          </w:p>
        </w:tc>
        <w:tc>
          <w:tcPr>
            <w:tcW w:w="660" w:type="dxa"/>
            <w:vAlign w:val="bottom"/>
          </w:tcPr>
          <w:p>
            <w:pPr>
              <w:ind w:left="220"/>
              <w:spacing w:after="0"/>
              <w:rPr>
                <w:sz w:val="20"/>
                <w:szCs w:val="20"/>
                <w:color w:val="auto"/>
              </w:rPr>
            </w:pPr>
            <w:r>
              <w:rPr>
                <w:rFonts w:ascii="Arial" w:cs="Arial" w:eastAsia="Arial" w:hAnsi="Arial"/>
                <w:sz w:val="10"/>
                <w:szCs w:val="10"/>
                <w:color w:val="auto"/>
              </w:rPr>
              <w:t>0.2</w:t>
            </w:r>
          </w:p>
        </w:tc>
        <w:tc>
          <w:tcPr>
            <w:tcW w:w="900" w:type="dxa"/>
            <w:vAlign w:val="bottom"/>
          </w:tcPr>
          <w:p>
            <w:pPr>
              <w:ind w:left="240"/>
              <w:spacing w:after="0"/>
              <w:rPr>
                <w:sz w:val="20"/>
                <w:szCs w:val="20"/>
                <w:color w:val="auto"/>
              </w:rPr>
            </w:pPr>
            <w:r>
              <w:rPr>
                <w:rFonts w:ascii="Arial" w:cs="Arial" w:eastAsia="Arial" w:hAnsi="Arial"/>
                <w:sz w:val="10"/>
                <w:szCs w:val="10"/>
                <w:color w:val="auto"/>
              </w:rPr>
              <w:t>0.1</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Takahiro Hamatani</w:t>
            </w:r>
            <w:r>
              <w:rPr>
                <w:rFonts w:ascii="Arial" w:cs="Arial" w:eastAsia="Arial" w:hAnsi="Arial"/>
                <w:sz w:val="6"/>
                <w:szCs w:val="6"/>
                <w:color w:val="auto"/>
              </w:rPr>
              <w:t>2</w:t>
            </w:r>
          </w:p>
        </w:tc>
        <w:tc>
          <w:tcPr>
            <w:tcW w:w="68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840" w:type="dxa"/>
            <w:vAlign w:val="bottom"/>
          </w:tcPr>
          <w:p>
            <w:pPr>
              <w:ind w:left="240"/>
              <w:spacing w:after="0"/>
              <w:rPr>
                <w:sz w:val="20"/>
                <w:szCs w:val="20"/>
                <w:color w:val="auto"/>
              </w:rPr>
            </w:pPr>
            <w:r>
              <w:rPr>
                <w:rFonts w:ascii="Arial" w:cs="Arial" w:eastAsia="Arial" w:hAnsi="Arial"/>
                <w:sz w:val="10"/>
                <w:szCs w:val="10"/>
                <w:color w:val="auto"/>
              </w:rPr>
              <w:t>—</w:t>
            </w:r>
          </w:p>
        </w:tc>
        <w:tc>
          <w:tcPr>
            <w:tcW w:w="520" w:type="dxa"/>
            <w:vAlign w:val="bottom"/>
          </w:tcPr>
          <w:p>
            <w:pPr>
              <w:ind w:left="80"/>
              <w:spacing w:after="0"/>
              <w:rPr>
                <w:sz w:val="20"/>
                <w:szCs w:val="20"/>
                <w:color w:val="auto"/>
              </w:rPr>
            </w:pPr>
            <w:r>
              <w:rPr>
                <w:rFonts w:ascii="Arial" w:cs="Arial" w:eastAsia="Arial" w:hAnsi="Arial"/>
                <w:sz w:val="10"/>
                <w:szCs w:val="10"/>
                <w:color w:val="auto"/>
              </w:rPr>
              <w:t>—</w:t>
            </w:r>
          </w:p>
        </w:tc>
        <w:tc>
          <w:tcPr>
            <w:tcW w:w="70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760" w:type="dxa"/>
            <w:vAlign w:val="bottom"/>
          </w:tcPr>
          <w:p>
            <w:pPr>
              <w:ind w:left="220"/>
              <w:spacing w:after="0"/>
              <w:rPr>
                <w:sz w:val="20"/>
                <w:szCs w:val="20"/>
                <w:color w:val="auto"/>
              </w:rPr>
            </w:pPr>
            <w:r>
              <w:rPr>
                <w:rFonts w:ascii="Arial" w:cs="Arial" w:eastAsia="Arial" w:hAnsi="Arial"/>
                <w:sz w:val="10"/>
                <w:szCs w:val="10"/>
                <w:color w:val="auto"/>
              </w:rPr>
              <w:t>—</w:t>
            </w:r>
          </w:p>
        </w:tc>
        <w:tc>
          <w:tcPr>
            <w:tcW w:w="620" w:type="dxa"/>
            <w:vAlign w:val="bottom"/>
          </w:tcPr>
          <w:p>
            <w:pPr>
              <w:ind w:left="160"/>
              <w:spacing w:after="0"/>
              <w:rPr>
                <w:sz w:val="20"/>
                <w:szCs w:val="20"/>
                <w:color w:val="auto"/>
              </w:rPr>
            </w:pPr>
            <w:r>
              <w:rPr>
                <w:rFonts w:ascii="Arial" w:cs="Arial" w:eastAsia="Arial" w:hAnsi="Arial"/>
                <w:sz w:val="10"/>
                <w:szCs w:val="10"/>
                <w:color w:val="auto"/>
              </w:rPr>
              <w:t>0.1</w:t>
            </w:r>
          </w:p>
        </w:tc>
        <w:tc>
          <w:tcPr>
            <w:tcW w:w="660" w:type="dxa"/>
            <w:vAlign w:val="bottom"/>
          </w:tcPr>
          <w:p>
            <w:pPr>
              <w:ind w:left="220"/>
              <w:spacing w:after="0"/>
              <w:rPr>
                <w:sz w:val="20"/>
                <w:szCs w:val="20"/>
                <w:color w:val="auto"/>
              </w:rPr>
            </w:pPr>
            <w:r>
              <w:rPr>
                <w:rFonts w:ascii="Arial" w:cs="Arial" w:eastAsia="Arial" w:hAnsi="Arial"/>
                <w:sz w:val="10"/>
                <w:szCs w:val="10"/>
                <w:color w:val="auto"/>
              </w:rPr>
              <w:t>0.2</w:t>
            </w:r>
          </w:p>
        </w:tc>
        <w:tc>
          <w:tcPr>
            <w:tcW w:w="900" w:type="dxa"/>
            <w:vAlign w:val="bottom"/>
          </w:tcPr>
          <w:p>
            <w:pPr>
              <w:ind w:left="240"/>
              <w:spacing w:after="0"/>
              <w:rPr>
                <w:sz w:val="20"/>
                <w:szCs w:val="20"/>
                <w:color w:val="auto"/>
              </w:rPr>
            </w:pPr>
            <w:r>
              <w:rPr>
                <w:rFonts w:ascii="Arial" w:cs="Arial" w:eastAsia="Arial" w:hAnsi="Arial"/>
                <w:sz w:val="10"/>
                <w:szCs w:val="10"/>
                <w:color w:val="auto"/>
              </w:rPr>
              <w:t>0.1</w:t>
            </w:r>
          </w:p>
        </w:tc>
      </w:tr>
      <w:tr>
        <w:trPr>
          <w:trHeight w:val="152"/>
        </w:trPr>
        <w:tc>
          <w:tcPr>
            <w:tcW w:w="1420" w:type="dxa"/>
            <w:vAlign w:val="bottom"/>
          </w:tcPr>
          <w:p>
            <w:pPr>
              <w:ind w:left="20"/>
              <w:spacing w:after="0"/>
              <w:rPr>
                <w:sz w:val="20"/>
                <w:szCs w:val="20"/>
                <w:color w:val="auto"/>
              </w:rPr>
            </w:pPr>
            <w:r>
              <w:rPr>
                <w:rFonts w:ascii="Arial" w:cs="Arial" w:eastAsia="Arial" w:hAnsi="Arial"/>
                <w:sz w:val="10"/>
                <w:szCs w:val="10"/>
                <w:color w:val="auto"/>
              </w:rPr>
              <w:t>Michael Kavanagh</w:t>
            </w:r>
            <w:r>
              <w:rPr>
                <w:rFonts w:ascii="Arial" w:cs="Arial" w:eastAsia="Arial" w:hAnsi="Arial"/>
                <w:sz w:val="6"/>
                <w:szCs w:val="6"/>
                <w:color w:val="auto"/>
              </w:rPr>
              <w:t>1</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w:t>
            </w:r>
          </w:p>
        </w:tc>
        <w:tc>
          <w:tcPr>
            <w:tcW w:w="840" w:type="dxa"/>
            <w:vAlign w:val="bottom"/>
          </w:tcPr>
          <w:p>
            <w:pPr>
              <w:ind w:left="240"/>
              <w:spacing w:after="0"/>
              <w:rPr>
                <w:sz w:val="20"/>
                <w:szCs w:val="20"/>
                <w:color w:val="auto"/>
              </w:rPr>
            </w:pPr>
            <w:r>
              <w:rPr>
                <w:rFonts w:ascii="Arial" w:cs="Arial" w:eastAsia="Arial" w:hAnsi="Arial"/>
                <w:sz w:val="10"/>
                <w:szCs w:val="10"/>
                <w:color w:val="auto"/>
              </w:rPr>
              <w:t>—</w:t>
            </w:r>
          </w:p>
        </w:tc>
        <w:tc>
          <w:tcPr>
            <w:tcW w:w="520" w:type="dxa"/>
            <w:vAlign w:val="bottom"/>
          </w:tcPr>
          <w:p>
            <w:pPr>
              <w:ind w:left="80"/>
              <w:spacing w:after="0"/>
              <w:rPr>
                <w:sz w:val="20"/>
                <w:szCs w:val="20"/>
                <w:color w:val="auto"/>
              </w:rPr>
            </w:pPr>
            <w:r>
              <w:rPr>
                <w:rFonts w:ascii="Arial" w:cs="Arial" w:eastAsia="Arial" w:hAnsi="Arial"/>
                <w:sz w:val="10"/>
                <w:szCs w:val="10"/>
                <w:color w:val="auto"/>
              </w:rPr>
              <w:t>—</w:t>
            </w:r>
          </w:p>
        </w:tc>
        <w:tc>
          <w:tcPr>
            <w:tcW w:w="700" w:type="dxa"/>
            <w:vAlign w:val="bottom"/>
          </w:tcPr>
          <w:p>
            <w:pPr>
              <w:ind w:left="240"/>
              <w:spacing w:after="0"/>
              <w:rPr>
                <w:sz w:val="20"/>
                <w:szCs w:val="20"/>
                <w:color w:val="auto"/>
              </w:rPr>
            </w:pPr>
            <w:r>
              <w:rPr>
                <w:rFonts w:ascii="Arial" w:cs="Arial" w:eastAsia="Arial" w:hAnsi="Arial"/>
                <w:sz w:val="10"/>
                <w:szCs w:val="10"/>
                <w:color w:val="auto"/>
              </w:rPr>
              <w:t>—</w:t>
            </w:r>
          </w:p>
        </w:tc>
        <w:tc>
          <w:tcPr>
            <w:tcW w:w="680" w:type="dxa"/>
            <w:vAlign w:val="bottom"/>
          </w:tcPr>
          <w:p>
            <w:pPr>
              <w:ind w:left="240"/>
              <w:spacing w:after="0"/>
              <w:rPr>
                <w:sz w:val="20"/>
                <w:szCs w:val="20"/>
                <w:color w:val="auto"/>
              </w:rPr>
            </w:pPr>
            <w:r>
              <w:rPr>
                <w:rFonts w:ascii="Arial" w:cs="Arial" w:eastAsia="Arial" w:hAnsi="Arial"/>
                <w:sz w:val="10"/>
                <w:szCs w:val="10"/>
                <w:color w:val="auto"/>
              </w:rPr>
              <w:t>0.1</w:t>
            </w:r>
          </w:p>
        </w:tc>
        <w:tc>
          <w:tcPr>
            <w:tcW w:w="680" w:type="dxa"/>
            <w:vAlign w:val="bottom"/>
          </w:tcPr>
          <w:p>
            <w:pPr>
              <w:ind w:left="240"/>
              <w:spacing w:after="0"/>
              <w:rPr>
                <w:sz w:val="20"/>
                <w:szCs w:val="20"/>
                <w:color w:val="auto"/>
              </w:rPr>
            </w:pPr>
            <w:r>
              <w:rPr>
                <w:rFonts w:ascii="Arial" w:cs="Arial" w:eastAsia="Arial" w:hAnsi="Arial"/>
                <w:sz w:val="10"/>
                <w:szCs w:val="10"/>
                <w:color w:val="auto"/>
              </w:rPr>
              <w:t>—</w:t>
            </w:r>
          </w:p>
        </w:tc>
        <w:tc>
          <w:tcPr>
            <w:tcW w:w="760" w:type="dxa"/>
            <w:vAlign w:val="bottom"/>
          </w:tcPr>
          <w:p>
            <w:pPr>
              <w:ind w:left="220"/>
              <w:spacing w:after="0"/>
              <w:rPr>
                <w:sz w:val="20"/>
                <w:szCs w:val="20"/>
                <w:color w:val="auto"/>
              </w:rPr>
            </w:pPr>
            <w:r>
              <w:rPr>
                <w:rFonts w:ascii="Arial" w:cs="Arial" w:eastAsia="Arial" w:hAnsi="Arial"/>
                <w:sz w:val="10"/>
                <w:szCs w:val="10"/>
                <w:color w:val="auto"/>
              </w:rPr>
              <w:t>—</w:t>
            </w:r>
          </w:p>
        </w:tc>
        <w:tc>
          <w:tcPr>
            <w:tcW w:w="620" w:type="dxa"/>
            <w:vAlign w:val="bottom"/>
          </w:tcPr>
          <w:p>
            <w:pPr>
              <w:ind w:left="160"/>
              <w:spacing w:after="0"/>
              <w:rPr>
                <w:sz w:val="20"/>
                <w:szCs w:val="20"/>
                <w:color w:val="auto"/>
              </w:rPr>
            </w:pPr>
            <w:r>
              <w:rPr>
                <w:rFonts w:ascii="Arial" w:cs="Arial" w:eastAsia="Arial" w:hAnsi="Arial"/>
                <w:sz w:val="10"/>
                <w:szCs w:val="10"/>
                <w:color w:val="auto"/>
              </w:rPr>
              <w:t>0.2</w:t>
            </w:r>
          </w:p>
        </w:tc>
        <w:tc>
          <w:tcPr>
            <w:tcW w:w="660" w:type="dxa"/>
            <w:vAlign w:val="bottom"/>
          </w:tcPr>
          <w:p>
            <w:pPr>
              <w:ind w:left="220"/>
              <w:spacing w:after="0"/>
              <w:rPr>
                <w:sz w:val="20"/>
                <w:szCs w:val="20"/>
                <w:color w:val="auto"/>
              </w:rPr>
            </w:pPr>
            <w:r>
              <w:rPr>
                <w:rFonts w:ascii="Arial" w:cs="Arial" w:eastAsia="Arial" w:hAnsi="Arial"/>
                <w:sz w:val="10"/>
                <w:szCs w:val="10"/>
                <w:color w:val="auto"/>
              </w:rPr>
              <w:t>—</w:t>
            </w:r>
          </w:p>
        </w:tc>
        <w:tc>
          <w:tcPr>
            <w:tcW w:w="900" w:type="dxa"/>
            <w:vAlign w:val="bottom"/>
          </w:tcPr>
          <w:p>
            <w:pPr>
              <w:ind w:left="240"/>
              <w:spacing w:after="0"/>
              <w:rPr>
                <w:sz w:val="20"/>
                <w:szCs w:val="20"/>
                <w:color w:val="auto"/>
              </w:rPr>
            </w:pPr>
            <w:r>
              <w:rPr>
                <w:rFonts w:ascii="Arial" w:cs="Arial" w:eastAsia="Arial" w:hAnsi="Arial"/>
                <w:sz w:val="10"/>
                <w:szCs w:val="10"/>
                <w:color w:val="auto"/>
              </w:rPr>
              <w:t>—</w:t>
            </w:r>
          </w:p>
        </w:tc>
      </w:tr>
      <w:tr>
        <w:trPr>
          <w:trHeight w:val="158"/>
        </w:trPr>
        <w:tc>
          <w:tcPr>
            <w:tcW w:w="142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691A6B"/>
              </w:rPr>
              <w:t>1.0</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auto"/>
              </w:rPr>
              <w:t>1.0</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auto"/>
              </w:rPr>
              <w:t>1.0</w:t>
            </w:r>
          </w:p>
        </w:tc>
        <w:tc>
          <w:tcPr>
            <w:tcW w:w="840" w:type="dxa"/>
            <w:vAlign w:val="bottom"/>
          </w:tcPr>
          <w:p>
            <w:pPr>
              <w:ind w:left="240"/>
              <w:spacing w:after="0"/>
              <w:rPr>
                <w:sz w:val="20"/>
                <w:szCs w:val="20"/>
                <w:color w:val="auto"/>
              </w:rPr>
            </w:pPr>
            <w:r>
              <w:rPr>
                <w:rFonts w:ascii="Arial" w:cs="Arial" w:eastAsia="Arial" w:hAnsi="Arial"/>
                <w:sz w:val="10"/>
                <w:szCs w:val="10"/>
                <w:b w:val="1"/>
                <w:bCs w:val="1"/>
                <w:color w:val="691A6B"/>
              </w:rPr>
              <w:t>0.5</w:t>
            </w:r>
          </w:p>
        </w:tc>
        <w:tc>
          <w:tcPr>
            <w:tcW w:w="520" w:type="dxa"/>
            <w:vAlign w:val="bottom"/>
          </w:tcPr>
          <w:p>
            <w:pPr>
              <w:ind w:left="80"/>
              <w:spacing w:after="0"/>
              <w:rPr>
                <w:sz w:val="20"/>
                <w:szCs w:val="20"/>
                <w:color w:val="auto"/>
              </w:rPr>
            </w:pPr>
            <w:r>
              <w:rPr>
                <w:rFonts w:ascii="Arial" w:cs="Arial" w:eastAsia="Arial" w:hAnsi="Arial"/>
                <w:sz w:val="10"/>
                <w:szCs w:val="10"/>
                <w:b w:val="1"/>
                <w:bCs w:val="1"/>
                <w:color w:val="auto"/>
              </w:rPr>
              <w:t>0.5</w:t>
            </w:r>
          </w:p>
        </w:tc>
        <w:tc>
          <w:tcPr>
            <w:tcW w:w="700" w:type="dxa"/>
            <w:vAlign w:val="bottom"/>
          </w:tcPr>
          <w:p>
            <w:pPr>
              <w:ind w:left="240"/>
              <w:spacing w:after="0"/>
              <w:rPr>
                <w:sz w:val="20"/>
                <w:szCs w:val="20"/>
                <w:color w:val="auto"/>
              </w:rPr>
            </w:pPr>
            <w:r>
              <w:rPr>
                <w:rFonts w:ascii="Arial" w:cs="Arial" w:eastAsia="Arial" w:hAnsi="Arial"/>
                <w:sz w:val="10"/>
                <w:szCs w:val="10"/>
                <w:b w:val="1"/>
                <w:bCs w:val="1"/>
                <w:color w:val="auto"/>
              </w:rPr>
              <w:t>0.3</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691A6B"/>
              </w:rPr>
              <w:t>1.9</w:t>
            </w:r>
          </w:p>
        </w:tc>
        <w:tc>
          <w:tcPr>
            <w:tcW w:w="680" w:type="dxa"/>
            <w:vAlign w:val="bottom"/>
          </w:tcPr>
          <w:p>
            <w:pPr>
              <w:ind w:left="240"/>
              <w:spacing w:after="0"/>
              <w:rPr>
                <w:sz w:val="20"/>
                <w:szCs w:val="20"/>
                <w:color w:val="auto"/>
              </w:rPr>
            </w:pPr>
            <w:r>
              <w:rPr>
                <w:rFonts w:ascii="Arial" w:cs="Arial" w:eastAsia="Arial" w:hAnsi="Arial"/>
                <w:sz w:val="10"/>
                <w:szCs w:val="10"/>
                <w:b w:val="1"/>
                <w:bCs w:val="1"/>
                <w:color w:val="auto"/>
              </w:rPr>
              <w:t>1.2</w:t>
            </w:r>
          </w:p>
        </w:tc>
        <w:tc>
          <w:tcPr>
            <w:tcW w:w="760" w:type="dxa"/>
            <w:vAlign w:val="bottom"/>
          </w:tcPr>
          <w:p>
            <w:pPr>
              <w:ind w:left="220"/>
              <w:spacing w:after="0"/>
              <w:rPr>
                <w:sz w:val="20"/>
                <w:szCs w:val="20"/>
                <w:color w:val="auto"/>
              </w:rPr>
            </w:pPr>
            <w:r>
              <w:rPr>
                <w:rFonts w:ascii="Arial" w:cs="Arial" w:eastAsia="Arial" w:hAnsi="Arial"/>
                <w:sz w:val="10"/>
                <w:szCs w:val="10"/>
                <w:b w:val="1"/>
                <w:bCs w:val="1"/>
                <w:color w:val="auto"/>
              </w:rPr>
              <w:t>0.8</w:t>
            </w:r>
          </w:p>
        </w:tc>
        <w:tc>
          <w:tcPr>
            <w:tcW w:w="620" w:type="dxa"/>
            <w:vAlign w:val="bottom"/>
          </w:tcPr>
          <w:p>
            <w:pPr>
              <w:ind w:left="160"/>
              <w:spacing w:after="0"/>
              <w:rPr>
                <w:sz w:val="20"/>
                <w:szCs w:val="20"/>
                <w:color w:val="auto"/>
              </w:rPr>
            </w:pPr>
            <w:r>
              <w:rPr>
                <w:rFonts w:ascii="Arial" w:cs="Arial" w:eastAsia="Arial" w:hAnsi="Arial"/>
                <w:sz w:val="10"/>
                <w:szCs w:val="10"/>
                <w:b w:val="1"/>
                <w:bCs w:val="1"/>
                <w:color w:val="691A6B"/>
              </w:rPr>
              <w:t>3.4</w:t>
            </w:r>
          </w:p>
        </w:tc>
        <w:tc>
          <w:tcPr>
            <w:tcW w:w="660" w:type="dxa"/>
            <w:vAlign w:val="bottom"/>
          </w:tcPr>
          <w:p>
            <w:pPr>
              <w:ind w:left="220"/>
              <w:spacing w:after="0"/>
              <w:rPr>
                <w:sz w:val="20"/>
                <w:szCs w:val="20"/>
                <w:color w:val="auto"/>
              </w:rPr>
            </w:pPr>
            <w:r>
              <w:rPr>
                <w:rFonts w:ascii="Arial" w:cs="Arial" w:eastAsia="Arial" w:hAnsi="Arial"/>
                <w:sz w:val="10"/>
                <w:szCs w:val="10"/>
                <w:b w:val="1"/>
                <w:bCs w:val="1"/>
                <w:color w:val="auto"/>
              </w:rPr>
              <w:t>2.7</w:t>
            </w:r>
          </w:p>
        </w:tc>
        <w:tc>
          <w:tcPr>
            <w:tcW w:w="900" w:type="dxa"/>
            <w:vAlign w:val="bottom"/>
          </w:tcPr>
          <w:p>
            <w:pPr>
              <w:ind w:left="240"/>
              <w:spacing w:after="0"/>
              <w:rPr>
                <w:sz w:val="20"/>
                <w:szCs w:val="20"/>
                <w:color w:val="auto"/>
              </w:rPr>
            </w:pPr>
            <w:r>
              <w:rPr>
                <w:rFonts w:ascii="Arial" w:cs="Arial" w:eastAsia="Arial" w:hAnsi="Arial"/>
                <w:sz w:val="10"/>
                <w:szCs w:val="10"/>
                <w:b w:val="1"/>
                <w:bCs w:val="1"/>
                <w:color w:val="auto"/>
              </w:rPr>
              <w:t>2.1</w:t>
            </w:r>
          </w:p>
        </w:tc>
      </w:tr>
    </w:tbl>
    <w:p>
      <w:pPr>
        <w:spacing w:after="0" w:line="10" w:lineRule="exact"/>
        <w:rPr>
          <w:rFonts w:ascii="Arial" w:cs="Arial" w:eastAsia="Arial" w:hAnsi="Arial"/>
          <w:sz w:val="10"/>
          <w:szCs w:val="10"/>
          <w:color w:val="auto"/>
        </w:rPr>
      </w:pPr>
    </w:p>
    <w:p>
      <w:pPr>
        <w:ind w:left="80" w:hanging="74"/>
        <w:spacing w:after="0"/>
        <w:tabs>
          <w:tab w:leader="none" w:pos="80" w:val="left"/>
        </w:tabs>
        <w:numPr>
          <w:ilvl w:val="0"/>
          <w:numId w:val="37"/>
        </w:numPr>
        <w:rPr>
          <w:rFonts w:ascii="Arial" w:cs="Arial" w:eastAsia="Arial" w:hAnsi="Arial"/>
          <w:sz w:val="7"/>
          <w:szCs w:val="7"/>
          <w:color w:val="auto"/>
        </w:rPr>
      </w:pPr>
      <w:r>
        <w:rPr>
          <w:rFonts w:ascii="Arial" w:cs="Arial" w:eastAsia="Arial" w:hAnsi="Arial"/>
          <w:sz w:val="7"/>
          <w:szCs w:val="7"/>
          <w:color w:val="auto"/>
        </w:rPr>
        <w:t>Employee elected board members were elected at the Annual General Meeting in March 2025.</w:t>
      </w:r>
    </w:p>
    <w:p>
      <w:pPr>
        <w:spacing w:after="0" w:line="13" w:lineRule="exact"/>
        <w:rPr>
          <w:rFonts w:ascii="Arial" w:cs="Arial" w:eastAsia="Arial" w:hAnsi="Arial"/>
          <w:sz w:val="7"/>
          <w:szCs w:val="7"/>
          <w:color w:val="auto"/>
        </w:rPr>
      </w:pPr>
    </w:p>
    <w:p>
      <w:pPr>
        <w:ind w:left="80" w:hanging="74"/>
        <w:spacing w:after="0" w:line="232" w:lineRule="auto"/>
        <w:tabs>
          <w:tab w:leader="none" w:pos="80" w:val="left"/>
        </w:tabs>
        <w:numPr>
          <w:ilvl w:val="0"/>
          <w:numId w:val="37"/>
        </w:numPr>
        <w:rPr>
          <w:rFonts w:ascii="Arial" w:cs="Arial" w:eastAsia="Arial" w:hAnsi="Arial"/>
          <w:sz w:val="7"/>
          <w:szCs w:val="7"/>
          <w:color w:val="auto"/>
        </w:rPr>
      </w:pPr>
      <w:r>
        <w:rPr>
          <w:rFonts w:ascii="Arial" w:cs="Arial" w:eastAsia="Arial" w:hAnsi="Arial"/>
          <w:sz w:val="7"/>
          <w:szCs w:val="7"/>
          <w:color w:val="auto"/>
        </w:rPr>
        <w:t>Takahiro Hamatani was replaced by Michael Kavanagh as an employee elected board members at the Annual General Meeting in March 2025.</w:t>
      </w:r>
    </w:p>
    <w:p>
      <w:pPr>
        <w:spacing w:after="0"/>
        <w:rPr>
          <w:rFonts w:ascii="Arial" w:cs="Arial" w:eastAsia="Arial" w:hAnsi="Arial"/>
          <w:sz w:val="10"/>
          <w:szCs w:val="10"/>
          <w:color w:val="691A6B"/>
        </w:rPr>
      </w:pPr>
      <w:hyperlink w:anchor="page110">
        <w:r>
          <w:rPr>
            <w:rFonts w:ascii="Arial" w:cs="Arial" w:eastAsia="Arial" w:hAnsi="Arial"/>
            <w:sz w:val="10"/>
            <w:szCs w:val="10"/>
            <w:color w:val="691A6B"/>
          </w:rPr>
          <w:t>Refer to the section “</w:t>
        </w:r>
        <w:r>
          <w:rPr>
            <w:rFonts w:ascii="Arial" w:cs="Arial" w:eastAsia="Arial" w:hAnsi="Arial"/>
            <w:sz w:val="10"/>
            <w:szCs w:val="10"/>
            <w:b w:val="1"/>
            <w:bCs w:val="1"/>
            <w:color w:val="691A6B"/>
          </w:rPr>
          <w:t>Board of Directors</w:t>
        </w:r>
        <w:r>
          <w:rPr>
            <w:rFonts w:ascii="Arial" w:cs="Arial" w:eastAsia="Arial" w:hAnsi="Arial"/>
            <w:sz w:val="10"/>
            <w:szCs w:val="10"/>
            <w:color w:val="691A6B"/>
          </w:rPr>
          <w:t>” in Management’s Review for additional information regarding the Board of Directors.</w:t>
        </w:r>
      </w:hyperlink>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87" w:lineRule="exact"/>
        <w:rPr>
          <w:rFonts w:ascii="Arial" w:cs="Arial" w:eastAsia="Arial" w:hAnsi="Arial"/>
          <w:sz w:val="10"/>
          <w:szCs w:val="1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148</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24" w:lineRule="auto"/>
        <w:rPr>
          <w:sz w:val="20"/>
          <w:szCs w:val="20"/>
          <w:color w:val="auto"/>
        </w:rPr>
      </w:pPr>
      <w:r>
        <w:rPr>
          <w:rFonts w:ascii="Arial" w:cs="Arial" w:eastAsia="Arial" w:hAnsi="Arial"/>
          <w:sz w:val="13"/>
          <w:szCs w:val="13"/>
          <w:b w:val="1"/>
          <w:bCs w:val="1"/>
          <w:color w:val="691A6B"/>
        </w:rPr>
        <w:t>Remuneration To The Executive Management</w:t>
      </w:r>
    </w:p>
    <w:tbl>
      <w:tblPr>
        <w:tblLayout w:type="fixed"/>
        <w:tblInd w:w="0" w:type="dxa"/>
        <w:tblCellMar>
          <w:top w:w="0" w:type="dxa"/>
          <w:left w:w="0" w:type="dxa"/>
          <w:bottom w:w="0" w:type="dxa"/>
          <w:right w:w="0" w:type="dxa"/>
        </w:tblCellMar>
      </w:tblPr>
      <w:tr>
        <w:trPr>
          <w:trHeight w:val="95"/>
        </w:trPr>
        <w:tc>
          <w:tcPr>
            <w:tcW w:w="1060" w:type="dxa"/>
            <w:vAlign w:val="bottom"/>
            <w:tcBorders>
              <w:top w:val="single" w:sz="8" w:color="691A6B"/>
            </w:tcBorders>
          </w:tcPr>
          <w:p>
            <w:pPr>
              <w:spacing w:after="0"/>
              <w:rPr>
                <w:sz w:val="8"/>
                <w:szCs w:val="8"/>
                <w:color w:val="auto"/>
              </w:rPr>
            </w:pPr>
          </w:p>
        </w:tc>
        <w:tc>
          <w:tcPr>
            <w:tcW w:w="920" w:type="dxa"/>
            <w:vAlign w:val="bottom"/>
            <w:tcBorders>
              <w:top w:val="single" w:sz="8" w:color="691A6B"/>
            </w:tcBorders>
            <w:gridSpan w:val="2"/>
          </w:tcPr>
          <w:p>
            <w:pPr>
              <w:ind w:left="100"/>
              <w:spacing w:after="0" w:line="95" w:lineRule="exact"/>
              <w:rPr>
                <w:sz w:val="20"/>
                <w:szCs w:val="20"/>
                <w:color w:val="auto"/>
              </w:rPr>
            </w:pPr>
            <w:r>
              <w:rPr>
                <w:rFonts w:ascii="Arial" w:cs="Arial" w:eastAsia="Arial" w:hAnsi="Arial"/>
                <w:sz w:val="10"/>
                <w:szCs w:val="10"/>
                <w:b w:val="1"/>
                <w:bCs w:val="1"/>
                <w:color w:val="auto"/>
              </w:rPr>
              <w:t>Base Salary</w:t>
            </w:r>
          </w:p>
        </w:tc>
        <w:tc>
          <w:tcPr>
            <w:tcW w:w="500" w:type="dxa"/>
            <w:vAlign w:val="bottom"/>
            <w:tcBorders>
              <w:top w:val="single" w:sz="8" w:color="691A6B"/>
            </w:tcBorders>
          </w:tcPr>
          <w:p>
            <w:pPr>
              <w:spacing w:after="0"/>
              <w:rPr>
                <w:sz w:val="8"/>
                <w:szCs w:val="8"/>
                <w:color w:val="auto"/>
              </w:rPr>
            </w:pPr>
          </w:p>
        </w:tc>
        <w:tc>
          <w:tcPr>
            <w:tcW w:w="1460" w:type="dxa"/>
            <w:vAlign w:val="bottom"/>
            <w:tcBorders>
              <w:top w:val="single" w:sz="8" w:color="691A6B"/>
            </w:tcBorders>
            <w:gridSpan w:val="3"/>
          </w:tcPr>
          <w:p>
            <w:pPr>
              <w:ind w:left="140"/>
              <w:spacing w:after="0" w:line="95" w:lineRule="exact"/>
              <w:rPr>
                <w:sz w:val="20"/>
                <w:szCs w:val="20"/>
                <w:color w:val="auto"/>
              </w:rPr>
            </w:pPr>
            <w:r>
              <w:rPr>
                <w:rFonts w:ascii="Arial" w:cs="Arial" w:eastAsia="Arial" w:hAnsi="Arial"/>
                <w:sz w:val="10"/>
                <w:szCs w:val="10"/>
                <w:b w:val="1"/>
                <w:bCs w:val="1"/>
                <w:color w:val="auto"/>
              </w:rPr>
              <w:t>Defined Contribution Plans</w:t>
            </w:r>
          </w:p>
        </w:tc>
        <w:tc>
          <w:tcPr>
            <w:tcW w:w="940" w:type="dxa"/>
            <w:vAlign w:val="bottom"/>
            <w:tcBorders>
              <w:top w:val="single" w:sz="8" w:color="691A6B"/>
            </w:tcBorders>
            <w:gridSpan w:val="2"/>
          </w:tcPr>
          <w:p>
            <w:pPr>
              <w:ind w:left="120"/>
              <w:spacing w:after="0" w:line="95" w:lineRule="exact"/>
              <w:rPr>
                <w:sz w:val="20"/>
                <w:szCs w:val="20"/>
                <w:color w:val="auto"/>
              </w:rPr>
            </w:pPr>
            <w:r>
              <w:rPr>
                <w:rFonts w:ascii="Arial" w:cs="Arial" w:eastAsia="Arial" w:hAnsi="Arial"/>
                <w:sz w:val="10"/>
                <w:szCs w:val="10"/>
                <w:b w:val="1"/>
                <w:bCs w:val="1"/>
                <w:color w:val="auto"/>
              </w:rPr>
              <w:t>Other Benefits</w:t>
            </w:r>
          </w:p>
        </w:tc>
        <w:tc>
          <w:tcPr>
            <w:tcW w:w="480" w:type="dxa"/>
            <w:vAlign w:val="bottom"/>
            <w:tcBorders>
              <w:top w:val="single" w:sz="8" w:color="691A6B"/>
            </w:tcBorders>
          </w:tcPr>
          <w:p>
            <w:pPr>
              <w:spacing w:after="0"/>
              <w:rPr>
                <w:sz w:val="8"/>
                <w:szCs w:val="8"/>
                <w:color w:val="auto"/>
              </w:rPr>
            </w:pPr>
          </w:p>
        </w:tc>
        <w:tc>
          <w:tcPr>
            <w:tcW w:w="1080" w:type="dxa"/>
            <w:vAlign w:val="bottom"/>
            <w:tcBorders>
              <w:top w:val="single" w:sz="8" w:color="691A6B"/>
            </w:tcBorders>
            <w:gridSpan w:val="2"/>
          </w:tcPr>
          <w:p>
            <w:pPr>
              <w:ind w:left="140"/>
              <w:spacing w:after="0" w:line="95" w:lineRule="exact"/>
              <w:rPr>
                <w:sz w:val="20"/>
                <w:szCs w:val="20"/>
                <w:color w:val="auto"/>
              </w:rPr>
            </w:pPr>
            <w:r>
              <w:rPr>
                <w:rFonts w:ascii="Arial" w:cs="Arial" w:eastAsia="Arial" w:hAnsi="Arial"/>
                <w:sz w:val="10"/>
                <w:szCs w:val="10"/>
                <w:b w:val="1"/>
                <w:bCs w:val="1"/>
                <w:color w:val="auto"/>
                <w:w w:val="96"/>
              </w:rPr>
              <w:t>Annual Cash Bonus</w:t>
            </w:r>
          </w:p>
        </w:tc>
        <w:tc>
          <w:tcPr>
            <w:tcW w:w="500" w:type="dxa"/>
            <w:vAlign w:val="bottom"/>
            <w:tcBorders>
              <w:top w:val="single" w:sz="8" w:color="691A6B"/>
            </w:tcBorders>
          </w:tcPr>
          <w:p>
            <w:pPr>
              <w:spacing w:after="0"/>
              <w:rPr>
                <w:sz w:val="8"/>
                <w:szCs w:val="8"/>
                <w:color w:val="auto"/>
              </w:rPr>
            </w:pPr>
          </w:p>
        </w:tc>
        <w:tc>
          <w:tcPr>
            <w:tcW w:w="1380" w:type="dxa"/>
            <w:vAlign w:val="bottom"/>
            <w:tcBorders>
              <w:top w:val="single" w:sz="8" w:color="691A6B"/>
            </w:tcBorders>
            <w:gridSpan w:val="3"/>
          </w:tcPr>
          <w:p>
            <w:pPr>
              <w:ind w:left="20"/>
              <w:spacing w:after="0" w:line="95" w:lineRule="exact"/>
              <w:rPr>
                <w:sz w:val="20"/>
                <w:szCs w:val="20"/>
                <w:color w:val="auto"/>
              </w:rPr>
            </w:pPr>
            <w:r>
              <w:rPr>
                <w:rFonts w:ascii="Arial" w:cs="Arial" w:eastAsia="Arial" w:hAnsi="Arial"/>
                <w:sz w:val="10"/>
                <w:szCs w:val="10"/>
                <w:b w:val="1"/>
                <w:bCs w:val="1"/>
                <w:color w:val="auto"/>
              </w:rPr>
              <w:t>Share-Based Compensation</w:t>
            </w:r>
          </w:p>
        </w:tc>
        <w:tc>
          <w:tcPr>
            <w:tcW w:w="440" w:type="dxa"/>
            <w:vAlign w:val="bottom"/>
            <w:tcBorders>
              <w:top w:val="single" w:sz="8" w:color="691A6B"/>
            </w:tcBorders>
          </w:tcPr>
          <w:p>
            <w:pPr>
              <w:ind w:left="80"/>
              <w:spacing w:after="0" w:line="95" w:lineRule="exact"/>
              <w:rPr>
                <w:sz w:val="20"/>
                <w:szCs w:val="20"/>
                <w:color w:val="auto"/>
              </w:rPr>
            </w:pPr>
            <w:r>
              <w:rPr>
                <w:rFonts w:ascii="Arial" w:cs="Arial" w:eastAsia="Arial" w:hAnsi="Arial"/>
                <w:sz w:val="10"/>
                <w:szCs w:val="10"/>
                <w:b w:val="1"/>
                <w:bCs w:val="1"/>
                <w:color w:val="auto"/>
              </w:rPr>
              <w:t>Total</w:t>
            </w:r>
          </w:p>
        </w:tc>
        <w:tc>
          <w:tcPr>
            <w:tcW w:w="460" w:type="dxa"/>
            <w:vAlign w:val="bottom"/>
            <w:tcBorders>
              <w:top w:val="single" w:sz="8" w:color="691A6B"/>
            </w:tcBorders>
          </w:tcPr>
          <w:p>
            <w:pPr>
              <w:spacing w:after="0"/>
              <w:rPr>
                <w:sz w:val="8"/>
                <w:szCs w:val="8"/>
                <w:color w:val="auto"/>
              </w:rPr>
            </w:pPr>
          </w:p>
        </w:tc>
        <w:tc>
          <w:tcPr>
            <w:tcW w:w="600" w:type="dxa"/>
            <w:vAlign w:val="bottom"/>
            <w:tcBorders>
              <w:top w:val="single" w:sz="8" w:color="691A6B"/>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0"/>
                <w:szCs w:val="10"/>
                <w:b w:val="1"/>
                <w:bCs w:val="1"/>
                <w:color w:val="auto"/>
                <w:w w:val="94"/>
              </w:rPr>
              <w:t>Expenses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0"/>
                <w:szCs w:val="10"/>
                <w:b w:val="1"/>
                <w:bCs w:val="1"/>
                <w:color w:val="691A6B"/>
              </w:rPr>
              <w:t>2025</w:t>
            </w:r>
          </w:p>
        </w:tc>
        <w:tc>
          <w:tcPr>
            <w:tcW w:w="460" w:type="dxa"/>
            <w:vAlign w:val="bottom"/>
          </w:tcPr>
          <w:p>
            <w:pPr>
              <w:ind w:left="120"/>
              <w:spacing w:after="0"/>
              <w:rPr>
                <w:sz w:val="20"/>
                <w:szCs w:val="20"/>
                <w:color w:val="auto"/>
              </w:rPr>
            </w:pPr>
            <w:r>
              <w:rPr>
                <w:rFonts w:ascii="Arial" w:cs="Arial" w:eastAsia="Arial" w:hAnsi="Arial"/>
                <w:sz w:val="10"/>
                <w:szCs w:val="10"/>
                <w:b w:val="1"/>
                <w:bCs w:val="1"/>
                <w:color w:val="auto"/>
              </w:rPr>
              <w:t>2024</w:t>
            </w:r>
          </w:p>
        </w:tc>
        <w:tc>
          <w:tcPr>
            <w:tcW w:w="500" w:type="dxa"/>
            <w:vAlign w:val="bottom"/>
          </w:tcPr>
          <w:p>
            <w:pPr>
              <w:ind w:left="140"/>
              <w:spacing w:after="0"/>
              <w:rPr>
                <w:sz w:val="20"/>
                <w:szCs w:val="20"/>
                <w:color w:val="auto"/>
              </w:rPr>
            </w:pPr>
            <w:r>
              <w:rPr>
                <w:rFonts w:ascii="Arial" w:cs="Arial" w:eastAsia="Arial" w:hAnsi="Arial"/>
                <w:sz w:val="10"/>
                <w:szCs w:val="10"/>
                <w:b w:val="1"/>
                <w:bCs w:val="1"/>
                <w:color w:val="auto"/>
              </w:rPr>
              <w:t>2023</w:t>
            </w:r>
          </w:p>
        </w:tc>
        <w:tc>
          <w:tcPr>
            <w:tcW w:w="480" w:type="dxa"/>
            <w:vAlign w:val="bottom"/>
          </w:tcPr>
          <w:p>
            <w:pPr>
              <w:ind w:left="140"/>
              <w:spacing w:after="0"/>
              <w:rPr>
                <w:sz w:val="20"/>
                <w:szCs w:val="20"/>
                <w:color w:val="auto"/>
              </w:rPr>
            </w:pPr>
            <w:r>
              <w:rPr>
                <w:rFonts w:ascii="Arial" w:cs="Arial" w:eastAsia="Arial" w:hAnsi="Arial"/>
                <w:sz w:val="10"/>
                <w:szCs w:val="10"/>
                <w:b w:val="1"/>
                <w:bCs w:val="1"/>
                <w:color w:val="691A6B"/>
              </w:rPr>
              <w:t>2025</w:t>
            </w:r>
          </w:p>
        </w:tc>
        <w:tc>
          <w:tcPr>
            <w:tcW w:w="480" w:type="dxa"/>
            <w:vAlign w:val="bottom"/>
          </w:tcPr>
          <w:p>
            <w:pPr>
              <w:ind w:left="120"/>
              <w:spacing w:after="0"/>
              <w:rPr>
                <w:sz w:val="20"/>
                <w:szCs w:val="20"/>
                <w:color w:val="auto"/>
              </w:rPr>
            </w:pPr>
            <w:r>
              <w:rPr>
                <w:rFonts w:ascii="Arial" w:cs="Arial" w:eastAsia="Arial" w:hAnsi="Arial"/>
                <w:sz w:val="10"/>
                <w:szCs w:val="10"/>
                <w:b w:val="1"/>
                <w:bCs w:val="1"/>
                <w:color w:val="auto"/>
              </w:rPr>
              <w:t>2024</w:t>
            </w:r>
          </w:p>
        </w:tc>
        <w:tc>
          <w:tcPr>
            <w:tcW w:w="500" w:type="dxa"/>
            <w:vAlign w:val="bottom"/>
          </w:tcPr>
          <w:p>
            <w:pPr>
              <w:ind w:left="120"/>
              <w:spacing w:after="0"/>
              <w:rPr>
                <w:sz w:val="20"/>
                <w:szCs w:val="20"/>
                <w:color w:val="auto"/>
              </w:rPr>
            </w:pPr>
            <w:r>
              <w:rPr>
                <w:rFonts w:ascii="Arial" w:cs="Arial" w:eastAsia="Arial" w:hAnsi="Arial"/>
                <w:sz w:val="10"/>
                <w:szCs w:val="10"/>
                <w:b w:val="1"/>
                <w:bCs w:val="1"/>
                <w:color w:val="auto"/>
              </w:rPr>
              <w:t>2023</w:t>
            </w:r>
          </w:p>
        </w:tc>
        <w:tc>
          <w:tcPr>
            <w:tcW w:w="460" w:type="dxa"/>
            <w:vAlign w:val="bottom"/>
          </w:tcPr>
          <w:p>
            <w:pPr>
              <w:ind w:left="120"/>
              <w:spacing w:after="0"/>
              <w:rPr>
                <w:sz w:val="20"/>
                <w:szCs w:val="20"/>
                <w:color w:val="auto"/>
              </w:rPr>
            </w:pPr>
            <w:r>
              <w:rPr>
                <w:rFonts w:ascii="Arial" w:cs="Arial" w:eastAsia="Arial" w:hAnsi="Arial"/>
                <w:sz w:val="10"/>
                <w:szCs w:val="10"/>
                <w:b w:val="1"/>
                <w:bCs w:val="1"/>
                <w:color w:val="691A6B"/>
              </w:rPr>
              <w:t>2025</w:t>
            </w:r>
          </w:p>
        </w:tc>
        <w:tc>
          <w:tcPr>
            <w:tcW w:w="480" w:type="dxa"/>
            <w:vAlign w:val="bottom"/>
          </w:tcPr>
          <w:p>
            <w:pPr>
              <w:ind w:left="140"/>
              <w:spacing w:after="0"/>
              <w:rPr>
                <w:sz w:val="20"/>
                <w:szCs w:val="20"/>
                <w:color w:val="auto"/>
              </w:rPr>
            </w:pPr>
            <w:r>
              <w:rPr>
                <w:rFonts w:ascii="Arial" w:cs="Arial" w:eastAsia="Arial" w:hAnsi="Arial"/>
                <w:sz w:val="10"/>
                <w:szCs w:val="10"/>
                <w:b w:val="1"/>
                <w:bCs w:val="1"/>
                <w:color w:val="auto"/>
              </w:rPr>
              <w:t>2024</w:t>
            </w:r>
          </w:p>
        </w:tc>
        <w:tc>
          <w:tcPr>
            <w:tcW w:w="480" w:type="dxa"/>
            <w:vAlign w:val="bottom"/>
          </w:tcPr>
          <w:p>
            <w:pPr>
              <w:ind w:left="140"/>
              <w:spacing w:after="0"/>
              <w:rPr>
                <w:sz w:val="20"/>
                <w:szCs w:val="20"/>
                <w:color w:val="auto"/>
              </w:rPr>
            </w:pPr>
            <w:r>
              <w:rPr>
                <w:rFonts w:ascii="Arial" w:cs="Arial" w:eastAsia="Arial" w:hAnsi="Arial"/>
                <w:sz w:val="10"/>
                <w:szCs w:val="10"/>
                <w:b w:val="1"/>
                <w:bCs w:val="1"/>
                <w:color w:val="auto"/>
              </w:rPr>
              <w:t>2023</w:t>
            </w:r>
          </w:p>
        </w:tc>
        <w:tc>
          <w:tcPr>
            <w:tcW w:w="500" w:type="dxa"/>
            <w:vAlign w:val="bottom"/>
          </w:tcPr>
          <w:p>
            <w:pPr>
              <w:ind w:left="140"/>
              <w:spacing w:after="0"/>
              <w:rPr>
                <w:sz w:val="20"/>
                <w:szCs w:val="20"/>
                <w:color w:val="auto"/>
              </w:rPr>
            </w:pPr>
            <w:r>
              <w:rPr>
                <w:rFonts w:ascii="Arial" w:cs="Arial" w:eastAsia="Arial" w:hAnsi="Arial"/>
                <w:sz w:val="10"/>
                <w:szCs w:val="10"/>
                <w:b w:val="1"/>
                <w:bCs w:val="1"/>
                <w:color w:val="691A6B"/>
              </w:rPr>
              <w:t>2025</w:t>
            </w:r>
          </w:p>
        </w:tc>
        <w:tc>
          <w:tcPr>
            <w:tcW w:w="580" w:type="dxa"/>
            <w:vAlign w:val="bottom"/>
          </w:tcPr>
          <w:p>
            <w:pPr>
              <w:ind w:left="120"/>
              <w:spacing w:after="0"/>
              <w:rPr>
                <w:sz w:val="20"/>
                <w:szCs w:val="20"/>
                <w:color w:val="auto"/>
              </w:rPr>
            </w:pPr>
            <w:r>
              <w:rPr>
                <w:rFonts w:ascii="Arial" w:cs="Arial" w:eastAsia="Arial" w:hAnsi="Arial"/>
                <w:sz w:val="10"/>
                <w:szCs w:val="10"/>
                <w:b w:val="1"/>
                <w:bCs w:val="1"/>
                <w:color w:val="auto"/>
              </w:rPr>
              <w:t>2024</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2023</w:t>
            </w:r>
          </w:p>
        </w:tc>
        <w:tc>
          <w:tcPr>
            <w:tcW w:w="480" w:type="dxa"/>
            <w:vAlign w:val="bottom"/>
          </w:tcPr>
          <w:p>
            <w:pPr>
              <w:ind w:left="20"/>
              <w:spacing w:after="0"/>
              <w:rPr>
                <w:sz w:val="20"/>
                <w:szCs w:val="20"/>
                <w:color w:val="auto"/>
              </w:rPr>
            </w:pPr>
            <w:r>
              <w:rPr>
                <w:rFonts w:ascii="Arial" w:cs="Arial" w:eastAsia="Arial" w:hAnsi="Arial"/>
                <w:sz w:val="10"/>
                <w:szCs w:val="10"/>
                <w:b w:val="1"/>
                <w:bCs w:val="1"/>
                <w:color w:val="691A6B"/>
              </w:rPr>
              <w:t>2025</w:t>
            </w:r>
          </w:p>
        </w:tc>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2024</w:t>
            </w:r>
          </w:p>
        </w:tc>
        <w:tc>
          <w:tcPr>
            <w:tcW w:w="540" w:type="dxa"/>
            <w:vAlign w:val="bottom"/>
          </w:tcPr>
          <w:p>
            <w:pPr>
              <w:ind w:left="120"/>
              <w:spacing w:after="0"/>
              <w:rPr>
                <w:sz w:val="20"/>
                <w:szCs w:val="20"/>
                <w:color w:val="auto"/>
              </w:rPr>
            </w:pPr>
            <w:r>
              <w:rPr>
                <w:rFonts w:ascii="Arial" w:cs="Arial" w:eastAsia="Arial" w:hAnsi="Arial"/>
                <w:sz w:val="10"/>
                <w:szCs w:val="10"/>
                <w:b w:val="1"/>
                <w:bCs w:val="1"/>
                <w:color w:val="auto"/>
              </w:rPr>
              <w:t>2023</w:t>
            </w:r>
          </w:p>
        </w:tc>
        <w:tc>
          <w:tcPr>
            <w:tcW w:w="440" w:type="dxa"/>
            <w:vAlign w:val="bottom"/>
          </w:tcPr>
          <w:p>
            <w:pPr>
              <w:ind w:left="80"/>
              <w:spacing w:after="0"/>
              <w:rPr>
                <w:sz w:val="20"/>
                <w:szCs w:val="20"/>
                <w:color w:val="auto"/>
              </w:rPr>
            </w:pPr>
            <w:r>
              <w:rPr>
                <w:rFonts w:ascii="Arial" w:cs="Arial" w:eastAsia="Arial" w:hAnsi="Arial"/>
                <w:sz w:val="10"/>
                <w:szCs w:val="10"/>
                <w:b w:val="1"/>
                <w:bCs w:val="1"/>
                <w:color w:val="691A6B"/>
              </w:rPr>
              <w:t>2025</w:t>
            </w:r>
          </w:p>
        </w:tc>
        <w:tc>
          <w:tcPr>
            <w:tcW w:w="460" w:type="dxa"/>
            <w:vAlign w:val="bottom"/>
          </w:tcPr>
          <w:p>
            <w:pPr>
              <w:ind w:left="120"/>
              <w:spacing w:after="0"/>
              <w:rPr>
                <w:sz w:val="20"/>
                <w:szCs w:val="20"/>
                <w:color w:val="auto"/>
              </w:rPr>
            </w:pPr>
            <w:r>
              <w:rPr>
                <w:rFonts w:ascii="Arial" w:cs="Arial" w:eastAsia="Arial" w:hAnsi="Arial"/>
                <w:sz w:val="10"/>
                <w:szCs w:val="10"/>
                <w:b w:val="1"/>
                <w:bCs w:val="1"/>
                <w:color w:val="auto"/>
              </w:rPr>
              <w:t>2024</w:t>
            </w:r>
          </w:p>
        </w:tc>
        <w:tc>
          <w:tcPr>
            <w:tcW w:w="600" w:type="dxa"/>
            <w:vAlign w:val="bottom"/>
          </w:tcPr>
          <w:p>
            <w:pPr>
              <w:ind w:left="140"/>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41"/>
        </w:trPr>
        <w:tc>
          <w:tcPr>
            <w:tcW w:w="1060" w:type="dxa"/>
            <w:vAlign w:val="bottom"/>
          </w:tcPr>
          <w:p>
            <w:pPr>
              <w:ind w:left="20"/>
              <w:spacing w:after="0"/>
              <w:rPr>
                <w:sz w:val="20"/>
                <w:szCs w:val="20"/>
                <w:color w:val="auto"/>
              </w:rPr>
            </w:pPr>
            <w:r>
              <w:rPr>
                <w:rFonts w:ascii="Arial" w:cs="Arial" w:eastAsia="Arial" w:hAnsi="Arial"/>
                <w:sz w:val="10"/>
                <w:szCs w:val="10"/>
                <w:color w:val="auto"/>
              </w:rPr>
              <w:t>Jan van de Winkel</w:t>
            </w:r>
          </w:p>
        </w:tc>
        <w:tc>
          <w:tcPr>
            <w:tcW w:w="460" w:type="dxa"/>
            <w:vAlign w:val="bottom"/>
          </w:tcPr>
          <w:p>
            <w:pPr>
              <w:ind w:left="100"/>
              <w:spacing w:after="0"/>
              <w:rPr>
                <w:sz w:val="20"/>
                <w:szCs w:val="20"/>
                <w:color w:val="auto"/>
              </w:rPr>
            </w:pPr>
            <w:r>
              <w:rPr>
                <w:rFonts w:ascii="Arial" w:cs="Arial" w:eastAsia="Arial" w:hAnsi="Arial"/>
                <w:sz w:val="10"/>
                <w:szCs w:val="10"/>
                <w:color w:val="691A6B"/>
              </w:rPr>
              <w:t>1.5</w:t>
            </w:r>
          </w:p>
        </w:tc>
        <w:tc>
          <w:tcPr>
            <w:tcW w:w="460" w:type="dxa"/>
            <w:vAlign w:val="bottom"/>
          </w:tcPr>
          <w:p>
            <w:pPr>
              <w:ind w:left="120"/>
              <w:spacing w:after="0"/>
              <w:rPr>
                <w:sz w:val="20"/>
                <w:szCs w:val="20"/>
                <w:color w:val="auto"/>
              </w:rPr>
            </w:pPr>
            <w:r>
              <w:rPr>
                <w:rFonts w:ascii="Arial" w:cs="Arial" w:eastAsia="Arial" w:hAnsi="Arial"/>
                <w:sz w:val="10"/>
                <w:szCs w:val="10"/>
                <w:color w:val="auto"/>
              </w:rPr>
              <w:t>1.4</w:t>
            </w:r>
          </w:p>
        </w:tc>
        <w:tc>
          <w:tcPr>
            <w:tcW w:w="500" w:type="dxa"/>
            <w:vAlign w:val="bottom"/>
          </w:tcPr>
          <w:p>
            <w:pPr>
              <w:ind w:left="140"/>
              <w:spacing w:after="0"/>
              <w:rPr>
                <w:sz w:val="20"/>
                <w:szCs w:val="20"/>
                <w:color w:val="auto"/>
              </w:rPr>
            </w:pPr>
            <w:r>
              <w:rPr>
                <w:rFonts w:ascii="Arial" w:cs="Arial" w:eastAsia="Arial" w:hAnsi="Arial"/>
                <w:sz w:val="10"/>
                <w:szCs w:val="10"/>
                <w:color w:val="auto"/>
              </w:rPr>
              <w:t>1.3</w:t>
            </w:r>
          </w:p>
        </w:tc>
        <w:tc>
          <w:tcPr>
            <w:tcW w:w="480" w:type="dxa"/>
            <w:vAlign w:val="bottom"/>
          </w:tcPr>
          <w:p>
            <w:pPr>
              <w:ind w:left="140"/>
              <w:spacing w:after="0"/>
              <w:rPr>
                <w:sz w:val="20"/>
                <w:szCs w:val="20"/>
                <w:color w:val="auto"/>
              </w:rPr>
            </w:pPr>
            <w:r>
              <w:rPr>
                <w:rFonts w:ascii="Arial" w:cs="Arial" w:eastAsia="Arial" w:hAnsi="Arial"/>
                <w:sz w:val="10"/>
                <w:szCs w:val="10"/>
                <w:color w:val="auto"/>
              </w:rPr>
              <w:t>0.3</w:t>
            </w:r>
          </w:p>
        </w:tc>
        <w:tc>
          <w:tcPr>
            <w:tcW w:w="480" w:type="dxa"/>
            <w:vAlign w:val="bottom"/>
          </w:tcPr>
          <w:p>
            <w:pPr>
              <w:ind w:left="120"/>
              <w:spacing w:after="0"/>
              <w:rPr>
                <w:sz w:val="20"/>
                <w:szCs w:val="20"/>
                <w:color w:val="auto"/>
              </w:rPr>
            </w:pPr>
            <w:r>
              <w:rPr>
                <w:rFonts w:ascii="Arial" w:cs="Arial" w:eastAsia="Arial" w:hAnsi="Arial"/>
                <w:sz w:val="10"/>
                <w:szCs w:val="10"/>
                <w:color w:val="auto"/>
              </w:rPr>
              <w:t>0.2</w:t>
            </w:r>
          </w:p>
        </w:tc>
        <w:tc>
          <w:tcPr>
            <w:tcW w:w="500" w:type="dxa"/>
            <w:vAlign w:val="bottom"/>
          </w:tcPr>
          <w:p>
            <w:pPr>
              <w:ind w:left="120"/>
              <w:spacing w:after="0"/>
              <w:rPr>
                <w:sz w:val="20"/>
                <w:szCs w:val="20"/>
                <w:color w:val="auto"/>
              </w:rPr>
            </w:pPr>
            <w:r>
              <w:rPr>
                <w:rFonts w:ascii="Arial" w:cs="Arial" w:eastAsia="Arial" w:hAnsi="Arial"/>
                <w:sz w:val="10"/>
                <w:szCs w:val="10"/>
                <w:color w:val="auto"/>
              </w:rPr>
              <w:t>0.2</w:t>
            </w:r>
          </w:p>
        </w:tc>
        <w:tc>
          <w:tcPr>
            <w:tcW w:w="460" w:type="dxa"/>
            <w:vAlign w:val="bottom"/>
          </w:tcPr>
          <w:p>
            <w:pPr>
              <w:ind w:left="120"/>
              <w:spacing w:after="0"/>
              <w:rPr>
                <w:sz w:val="20"/>
                <w:szCs w:val="20"/>
                <w:color w:val="auto"/>
              </w:rPr>
            </w:pPr>
            <w:r>
              <w:rPr>
                <w:rFonts w:ascii="Arial" w:cs="Arial" w:eastAsia="Arial" w:hAnsi="Arial"/>
                <w:sz w:val="10"/>
                <w:szCs w:val="10"/>
                <w:color w:val="691A6B"/>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1.5</w:t>
            </w:r>
          </w:p>
        </w:tc>
        <w:tc>
          <w:tcPr>
            <w:tcW w:w="580" w:type="dxa"/>
            <w:vAlign w:val="bottom"/>
          </w:tcPr>
          <w:p>
            <w:pPr>
              <w:ind w:left="120"/>
              <w:spacing w:after="0"/>
              <w:rPr>
                <w:sz w:val="20"/>
                <w:szCs w:val="20"/>
                <w:color w:val="auto"/>
              </w:rPr>
            </w:pPr>
            <w:r>
              <w:rPr>
                <w:rFonts w:ascii="Arial" w:cs="Arial" w:eastAsia="Arial" w:hAnsi="Arial"/>
                <w:sz w:val="10"/>
                <w:szCs w:val="10"/>
                <w:color w:val="auto"/>
              </w:rPr>
              <w:t>1.3</w:t>
            </w:r>
          </w:p>
        </w:tc>
        <w:tc>
          <w:tcPr>
            <w:tcW w:w="500" w:type="dxa"/>
            <w:vAlign w:val="bottom"/>
          </w:tcPr>
          <w:p>
            <w:pPr>
              <w:ind w:left="20"/>
              <w:spacing w:after="0"/>
              <w:rPr>
                <w:sz w:val="20"/>
                <w:szCs w:val="20"/>
                <w:color w:val="auto"/>
              </w:rPr>
            </w:pPr>
            <w:r>
              <w:rPr>
                <w:rFonts w:ascii="Arial" w:cs="Arial" w:eastAsia="Arial" w:hAnsi="Arial"/>
                <w:sz w:val="10"/>
                <w:szCs w:val="10"/>
                <w:color w:val="auto"/>
              </w:rPr>
              <w:t>1.3</w:t>
            </w:r>
          </w:p>
        </w:tc>
        <w:tc>
          <w:tcPr>
            <w:tcW w:w="480" w:type="dxa"/>
            <w:vAlign w:val="bottom"/>
          </w:tcPr>
          <w:p>
            <w:pPr>
              <w:ind w:left="20"/>
              <w:spacing w:after="0"/>
              <w:rPr>
                <w:sz w:val="20"/>
                <w:szCs w:val="20"/>
                <w:color w:val="auto"/>
              </w:rPr>
            </w:pPr>
            <w:r>
              <w:rPr>
                <w:rFonts w:ascii="Arial" w:cs="Arial" w:eastAsia="Arial" w:hAnsi="Arial"/>
                <w:sz w:val="10"/>
                <w:szCs w:val="10"/>
                <w:color w:val="691A6B"/>
              </w:rPr>
              <w:t>7.4</w:t>
            </w:r>
          </w:p>
        </w:tc>
        <w:tc>
          <w:tcPr>
            <w:tcW w:w="360" w:type="dxa"/>
            <w:vAlign w:val="bottom"/>
          </w:tcPr>
          <w:p>
            <w:pPr>
              <w:ind w:left="20"/>
              <w:spacing w:after="0"/>
              <w:rPr>
                <w:sz w:val="20"/>
                <w:szCs w:val="20"/>
                <w:color w:val="auto"/>
              </w:rPr>
            </w:pPr>
            <w:r>
              <w:rPr>
                <w:rFonts w:ascii="Arial" w:cs="Arial" w:eastAsia="Arial" w:hAnsi="Arial"/>
                <w:sz w:val="10"/>
                <w:szCs w:val="10"/>
                <w:color w:val="auto"/>
              </w:rPr>
              <w:t>5.0</w:t>
            </w:r>
          </w:p>
        </w:tc>
        <w:tc>
          <w:tcPr>
            <w:tcW w:w="540" w:type="dxa"/>
            <w:vAlign w:val="bottom"/>
          </w:tcPr>
          <w:p>
            <w:pPr>
              <w:ind w:left="120"/>
              <w:spacing w:after="0"/>
              <w:rPr>
                <w:sz w:val="20"/>
                <w:szCs w:val="20"/>
                <w:color w:val="auto"/>
              </w:rPr>
            </w:pPr>
            <w:r>
              <w:rPr>
                <w:rFonts w:ascii="Arial" w:cs="Arial" w:eastAsia="Arial" w:hAnsi="Arial"/>
                <w:sz w:val="10"/>
                <w:szCs w:val="10"/>
                <w:color w:val="auto"/>
              </w:rPr>
              <w:t>3.5</w:t>
            </w:r>
          </w:p>
        </w:tc>
        <w:tc>
          <w:tcPr>
            <w:tcW w:w="440" w:type="dxa"/>
            <w:vAlign w:val="bottom"/>
          </w:tcPr>
          <w:p>
            <w:pPr>
              <w:ind w:left="80"/>
              <w:spacing w:after="0"/>
              <w:rPr>
                <w:sz w:val="20"/>
                <w:szCs w:val="20"/>
                <w:color w:val="auto"/>
              </w:rPr>
            </w:pPr>
            <w:r>
              <w:rPr>
                <w:rFonts w:ascii="Arial" w:cs="Arial" w:eastAsia="Arial" w:hAnsi="Arial"/>
                <w:sz w:val="10"/>
                <w:szCs w:val="10"/>
                <w:color w:val="691A6B"/>
              </w:rPr>
              <w:t>10.7</w:t>
            </w:r>
          </w:p>
        </w:tc>
        <w:tc>
          <w:tcPr>
            <w:tcW w:w="460" w:type="dxa"/>
            <w:vAlign w:val="bottom"/>
          </w:tcPr>
          <w:p>
            <w:pPr>
              <w:ind w:left="120"/>
              <w:spacing w:after="0"/>
              <w:rPr>
                <w:sz w:val="20"/>
                <w:szCs w:val="20"/>
                <w:color w:val="auto"/>
              </w:rPr>
            </w:pPr>
            <w:r>
              <w:rPr>
                <w:rFonts w:ascii="Arial" w:cs="Arial" w:eastAsia="Arial" w:hAnsi="Arial"/>
                <w:sz w:val="10"/>
                <w:szCs w:val="10"/>
                <w:color w:val="auto"/>
              </w:rPr>
              <w:t>7.9</w:t>
            </w:r>
          </w:p>
        </w:tc>
        <w:tc>
          <w:tcPr>
            <w:tcW w:w="600" w:type="dxa"/>
            <w:vAlign w:val="bottom"/>
          </w:tcPr>
          <w:p>
            <w:pPr>
              <w:ind w:left="140"/>
              <w:spacing w:after="0"/>
              <w:rPr>
                <w:sz w:val="20"/>
                <w:szCs w:val="20"/>
                <w:color w:val="auto"/>
              </w:rPr>
            </w:pPr>
            <w:r>
              <w:rPr>
                <w:rFonts w:ascii="Arial" w:cs="Arial" w:eastAsia="Arial" w:hAnsi="Arial"/>
                <w:sz w:val="10"/>
                <w:szCs w:val="10"/>
                <w:color w:val="auto"/>
              </w:rPr>
              <w:t>6.3</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Anthony Pagano</w:t>
            </w:r>
          </w:p>
        </w:tc>
        <w:tc>
          <w:tcPr>
            <w:tcW w:w="460" w:type="dxa"/>
            <w:vAlign w:val="bottom"/>
          </w:tcPr>
          <w:p>
            <w:pPr>
              <w:ind w:left="100"/>
              <w:spacing w:after="0"/>
              <w:rPr>
                <w:sz w:val="20"/>
                <w:szCs w:val="20"/>
                <w:color w:val="auto"/>
              </w:rPr>
            </w:pPr>
            <w:r>
              <w:rPr>
                <w:rFonts w:ascii="Arial" w:cs="Arial" w:eastAsia="Arial" w:hAnsi="Arial"/>
                <w:sz w:val="10"/>
                <w:szCs w:val="10"/>
                <w:color w:val="691A6B"/>
              </w:rPr>
              <w:t>0.7</w:t>
            </w:r>
          </w:p>
        </w:tc>
        <w:tc>
          <w:tcPr>
            <w:tcW w:w="460" w:type="dxa"/>
            <w:vAlign w:val="bottom"/>
          </w:tcPr>
          <w:p>
            <w:pPr>
              <w:ind w:left="120"/>
              <w:spacing w:after="0"/>
              <w:rPr>
                <w:sz w:val="20"/>
                <w:szCs w:val="20"/>
                <w:color w:val="auto"/>
              </w:rPr>
            </w:pPr>
            <w:r>
              <w:rPr>
                <w:rFonts w:ascii="Arial" w:cs="Arial" w:eastAsia="Arial" w:hAnsi="Arial"/>
                <w:sz w:val="10"/>
                <w:szCs w:val="10"/>
                <w:color w:val="auto"/>
              </w:rPr>
              <w:t>0.7</w:t>
            </w:r>
          </w:p>
        </w:tc>
        <w:tc>
          <w:tcPr>
            <w:tcW w:w="500" w:type="dxa"/>
            <w:vAlign w:val="bottom"/>
          </w:tcPr>
          <w:p>
            <w:pPr>
              <w:ind w:left="140"/>
              <w:spacing w:after="0"/>
              <w:rPr>
                <w:sz w:val="20"/>
                <w:szCs w:val="20"/>
                <w:color w:val="auto"/>
              </w:rPr>
            </w:pPr>
            <w:r>
              <w:rPr>
                <w:rFonts w:ascii="Arial" w:cs="Arial" w:eastAsia="Arial" w:hAnsi="Arial"/>
                <w:sz w:val="10"/>
                <w:szCs w:val="10"/>
                <w:color w:val="auto"/>
              </w:rPr>
              <w:t>0.6</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0.4</w:t>
            </w:r>
          </w:p>
        </w:tc>
        <w:tc>
          <w:tcPr>
            <w:tcW w:w="580" w:type="dxa"/>
            <w:vAlign w:val="bottom"/>
          </w:tcPr>
          <w:p>
            <w:pPr>
              <w:ind w:left="120"/>
              <w:spacing w:after="0"/>
              <w:rPr>
                <w:sz w:val="20"/>
                <w:szCs w:val="20"/>
                <w:color w:val="auto"/>
              </w:rPr>
            </w:pPr>
            <w:r>
              <w:rPr>
                <w:rFonts w:ascii="Arial" w:cs="Arial" w:eastAsia="Arial" w:hAnsi="Arial"/>
                <w:sz w:val="10"/>
                <w:szCs w:val="10"/>
                <w:color w:val="auto"/>
              </w:rPr>
              <w:t>0.4</w:t>
            </w:r>
          </w:p>
        </w:tc>
        <w:tc>
          <w:tcPr>
            <w:tcW w:w="500" w:type="dxa"/>
            <w:vAlign w:val="bottom"/>
          </w:tcPr>
          <w:p>
            <w:pPr>
              <w:ind w:left="20"/>
              <w:spacing w:after="0"/>
              <w:rPr>
                <w:sz w:val="20"/>
                <w:szCs w:val="20"/>
                <w:color w:val="auto"/>
              </w:rPr>
            </w:pPr>
            <w:r>
              <w:rPr>
                <w:rFonts w:ascii="Arial" w:cs="Arial" w:eastAsia="Arial" w:hAnsi="Arial"/>
                <w:sz w:val="10"/>
                <w:szCs w:val="10"/>
                <w:color w:val="auto"/>
              </w:rPr>
              <w:t>0.4</w:t>
            </w:r>
          </w:p>
        </w:tc>
        <w:tc>
          <w:tcPr>
            <w:tcW w:w="480" w:type="dxa"/>
            <w:vAlign w:val="bottom"/>
          </w:tcPr>
          <w:p>
            <w:pPr>
              <w:ind w:left="20"/>
              <w:spacing w:after="0"/>
              <w:rPr>
                <w:sz w:val="20"/>
                <w:szCs w:val="20"/>
                <w:color w:val="auto"/>
              </w:rPr>
            </w:pPr>
            <w:r>
              <w:rPr>
                <w:rFonts w:ascii="Arial" w:cs="Arial" w:eastAsia="Arial" w:hAnsi="Arial"/>
                <w:sz w:val="10"/>
                <w:szCs w:val="10"/>
                <w:color w:val="691A6B"/>
              </w:rPr>
              <w:t>3.6</w:t>
            </w:r>
          </w:p>
        </w:tc>
        <w:tc>
          <w:tcPr>
            <w:tcW w:w="360" w:type="dxa"/>
            <w:vAlign w:val="bottom"/>
          </w:tcPr>
          <w:p>
            <w:pPr>
              <w:ind w:left="20"/>
              <w:spacing w:after="0"/>
              <w:rPr>
                <w:sz w:val="20"/>
                <w:szCs w:val="20"/>
                <w:color w:val="auto"/>
              </w:rPr>
            </w:pPr>
            <w:r>
              <w:rPr>
                <w:rFonts w:ascii="Arial" w:cs="Arial" w:eastAsia="Arial" w:hAnsi="Arial"/>
                <w:sz w:val="10"/>
                <w:szCs w:val="10"/>
                <w:color w:val="auto"/>
              </w:rPr>
              <w:t>2.4</w:t>
            </w:r>
          </w:p>
        </w:tc>
        <w:tc>
          <w:tcPr>
            <w:tcW w:w="540" w:type="dxa"/>
            <w:vAlign w:val="bottom"/>
          </w:tcPr>
          <w:p>
            <w:pPr>
              <w:ind w:left="120"/>
              <w:spacing w:after="0"/>
              <w:rPr>
                <w:sz w:val="20"/>
                <w:szCs w:val="20"/>
                <w:color w:val="auto"/>
              </w:rPr>
            </w:pPr>
            <w:r>
              <w:rPr>
                <w:rFonts w:ascii="Arial" w:cs="Arial" w:eastAsia="Arial" w:hAnsi="Arial"/>
                <w:sz w:val="10"/>
                <w:szCs w:val="10"/>
                <w:color w:val="auto"/>
              </w:rPr>
              <w:t>1.8</w:t>
            </w:r>
          </w:p>
        </w:tc>
        <w:tc>
          <w:tcPr>
            <w:tcW w:w="440" w:type="dxa"/>
            <w:vAlign w:val="bottom"/>
          </w:tcPr>
          <w:p>
            <w:pPr>
              <w:ind w:left="80"/>
              <w:spacing w:after="0"/>
              <w:rPr>
                <w:sz w:val="20"/>
                <w:szCs w:val="20"/>
                <w:color w:val="auto"/>
              </w:rPr>
            </w:pPr>
            <w:r>
              <w:rPr>
                <w:rFonts w:ascii="Arial" w:cs="Arial" w:eastAsia="Arial" w:hAnsi="Arial"/>
                <w:sz w:val="10"/>
                <w:szCs w:val="10"/>
                <w:color w:val="691A6B"/>
              </w:rPr>
              <w:t>4.7</w:t>
            </w:r>
          </w:p>
        </w:tc>
        <w:tc>
          <w:tcPr>
            <w:tcW w:w="460" w:type="dxa"/>
            <w:vAlign w:val="bottom"/>
          </w:tcPr>
          <w:p>
            <w:pPr>
              <w:ind w:left="120"/>
              <w:spacing w:after="0"/>
              <w:rPr>
                <w:sz w:val="20"/>
                <w:szCs w:val="20"/>
                <w:color w:val="auto"/>
              </w:rPr>
            </w:pPr>
            <w:r>
              <w:rPr>
                <w:rFonts w:ascii="Arial" w:cs="Arial" w:eastAsia="Arial" w:hAnsi="Arial"/>
                <w:sz w:val="10"/>
                <w:szCs w:val="10"/>
                <w:color w:val="auto"/>
              </w:rPr>
              <w:t>3.5</w:t>
            </w:r>
          </w:p>
        </w:tc>
        <w:tc>
          <w:tcPr>
            <w:tcW w:w="600" w:type="dxa"/>
            <w:vAlign w:val="bottom"/>
          </w:tcPr>
          <w:p>
            <w:pPr>
              <w:ind w:left="140"/>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Anthony Mancini</w:t>
            </w:r>
            <w:r>
              <w:rPr>
                <w:rFonts w:ascii="Arial" w:cs="Arial" w:eastAsia="Arial" w:hAnsi="Arial"/>
                <w:sz w:val="6"/>
                <w:szCs w:val="6"/>
                <w:color w:val="auto"/>
              </w:rPr>
              <w:t>3</w:t>
            </w:r>
          </w:p>
        </w:tc>
        <w:tc>
          <w:tcPr>
            <w:tcW w:w="460" w:type="dxa"/>
            <w:vAlign w:val="bottom"/>
          </w:tcPr>
          <w:p>
            <w:pPr>
              <w:ind w:left="100"/>
              <w:spacing w:after="0"/>
              <w:rPr>
                <w:sz w:val="20"/>
                <w:szCs w:val="20"/>
                <w:color w:val="auto"/>
              </w:rPr>
            </w:pPr>
            <w:r>
              <w:rPr>
                <w:rFonts w:ascii="Arial" w:cs="Arial" w:eastAsia="Arial" w:hAnsi="Arial"/>
                <w:sz w:val="10"/>
                <w:szCs w:val="10"/>
                <w:color w:val="691A6B"/>
              </w:rPr>
              <w:t>—</w:t>
            </w:r>
          </w:p>
        </w:tc>
        <w:tc>
          <w:tcPr>
            <w:tcW w:w="460" w:type="dxa"/>
            <w:vAlign w:val="bottom"/>
          </w:tcPr>
          <w:p>
            <w:pPr>
              <w:ind w:left="120"/>
              <w:spacing w:after="0"/>
              <w:rPr>
                <w:sz w:val="20"/>
                <w:szCs w:val="20"/>
                <w:color w:val="auto"/>
              </w:rPr>
            </w:pPr>
            <w:r>
              <w:rPr>
                <w:rFonts w:ascii="Arial" w:cs="Arial" w:eastAsia="Arial" w:hAnsi="Arial"/>
                <w:sz w:val="10"/>
                <w:szCs w:val="10"/>
                <w:color w:val="auto"/>
              </w:rPr>
              <w:t>0.4</w:t>
            </w:r>
          </w:p>
        </w:tc>
        <w:tc>
          <w:tcPr>
            <w:tcW w:w="500" w:type="dxa"/>
            <w:vAlign w:val="bottom"/>
          </w:tcPr>
          <w:p>
            <w:pPr>
              <w:ind w:left="140"/>
              <w:spacing w:after="0"/>
              <w:rPr>
                <w:sz w:val="20"/>
                <w:szCs w:val="20"/>
                <w:color w:val="auto"/>
              </w:rPr>
            </w:pPr>
            <w:r>
              <w:rPr>
                <w:rFonts w:ascii="Arial" w:cs="Arial" w:eastAsia="Arial" w:hAnsi="Arial"/>
                <w:sz w:val="10"/>
                <w:szCs w:val="10"/>
                <w:color w:val="auto"/>
              </w:rPr>
              <w:t>0.7</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2.4</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w:t>
            </w:r>
          </w:p>
        </w:tc>
        <w:tc>
          <w:tcPr>
            <w:tcW w:w="580" w:type="dxa"/>
            <w:vAlign w:val="bottom"/>
          </w:tcPr>
          <w:p>
            <w:pPr>
              <w:ind w:left="120"/>
              <w:spacing w:after="0"/>
              <w:rPr>
                <w:sz w:val="20"/>
                <w:szCs w:val="20"/>
                <w:color w:val="auto"/>
              </w:rPr>
            </w:pPr>
            <w:r>
              <w:rPr>
                <w:rFonts w:ascii="Arial" w:cs="Arial" w:eastAsia="Arial" w:hAnsi="Arial"/>
                <w:sz w:val="10"/>
                <w:szCs w:val="10"/>
                <w:color w:val="auto"/>
              </w:rPr>
              <w:t>0.4</w:t>
            </w:r>
          </w:p>
        </w:tc>
        <w:tc>
          <w:tcPr>
            <w:tcW w:w="500" w:type="dxa"/>
            <w:vAlign w:val="bottom"/>
          </w:tcPr>
          <w:p>
            <w:pPr>
              <w:ind w:left="20"/>
              <w:spacing w:after="0"/>
              <w:rPr>
                <w:sz w:val="20"/>
                <w:szCs w:val="20"/>
                <w:color w:val="auto"/>
              </w:rPr>
            </w:pPr>
            <w:r>
              <w:rPr>
                <w:rFonts w:ascii="Arial" w:cs="Arial" w:eastAsia="Arial" w:hAnsi="Arial"/>
                <w:sz w:val="10"/>
                <w:szCs w:val="10"/>
                <w:color w:val="auto"/>
              </w:rPr>
              <w:t>0.4</w:t>
            </w:r>
          </w:p>
        </w:tc>
        <w:tc>
          <w:tcPr>
            <w:tcW w:w="480" w:type="dxa"/>
            <w:vAlign w:val="bottom"/>
          </w:tcPr>
          <w:p>
            <w:pPr>
              <w:ind w:left="20"/>
              <w:spacing w:after="0"/>
              <w:rPr>
                <w:sz w:val="20"/>
                <w:szCs w:val="20"/>
                <w:color w:val="auto"/>
              </w:rPr>
            </w:pPr>
            <w:r>
              <w:rPr>
                <w:rFonts w:ascii="Arial" w:cs="Arial" w:eastAsia="Arial" w:hAnsi="Arial"/>
                <w:sz w:val="10"/>
                <w:szCs w:val="10"/>
                <w:color w:val="691A6B"/>
              </w:rPr>
              <w:t>0.6</w:t>
            </w:r>
          </w:p>
        </w:tc>
        <w:tc>
          <w:tcPr>
            <w:tcW w:w="360" w:type="dxa"/>
            <w:vAlign w:val="bottom"/>
          </w:tcPr>
          <w:p>
            <w:pPr>
              <w:ind w:left="20"/>
              <w:spacing w:after="0"/>
              <w:rPr>
                <w:sz w:val="20"/>
                <w:szCs w:val="20"/>
                <w:color w:val="auto"/>
              </w:rPr>
            </w:pPr>
            <w:r>
              <w:rPr>
                <w:rFonts w:ascii="Arial" w:cs="Arial" w:eastAsia="Arial" w:hAnsi="Arial"/>
                <w:sz w:val="10"/>
                <w:szCs w:val="10"/>
                <w:color w:val="auto"/>
              </w:rPr>
              <w:t>4.2</w:t>
            </w:r>
          </w:p>
        </w:tc>
        <w:tc>
          <w:tcPr>
            <w:tcW w:w="540" w:type="dxa"/>
            <w:vAlign w:val="bottom"/>
          </w:tcPr>
          <w:p>
            <w:pPr>
              <w:ind w:left="120"/>
              <w:spacing w:after="0"/>
              <w:rPr>
                <w:sz w:val="20"/>
                <w:szCs w:val="20"/>
                <w:color w:val="auto"/>
              </w:rPr>
            </w:pPr>
            <w:r>
              <w:rPr>
                <w:rFonts w:ascii="Arial" w:cs="Arial" w:eastAsia="Arial" w:hAnsi="Arial"/>
                <w:sz w:val="10"/>
                <w:szCs w:val="10"/>
                <w:color w:val="auto"/>
              </w:rPr>
              <w:t>2.0</w:t>
            </w:r>
          </w:p>
        </w:tc>
        <w:tc>
          <w:tcPr>
            <w:tcW w:w="440" w:type="dxa"/>
            <w:vAlign w:val="bottom"/>
          </w:tcPr>
          <w:p>
            <w:pPr>
              <w:ind w:left="80"/>
              <w:spacing w:after="0"/>
              <w:rPr>
                <w:sz w:val="20"/>
                <w:szCs w:val="20"/>
                <w:color w:val="auto"/>
              </w:rPr>
            </w:pPr>
            <w:r>
              <w:rPr>
                <w:rFonts w:ascii="Arial" w:cs="Arial" w:eastAsia="Arial" w:hAnsi="Arial"/>
                <w:sz w:val="10"/>
                <w:szCs w:val="10"/>
                <w:color w:val="691A6B"/>
              </w:rPr>
              <w:t>0.6</w:t>
            </w:r>
          </w:p>
        </w:tc>
        <w:tc>
          <w:tcPr>
            <w:tcW w:w="460" w:type="dxa"/>
            <w:vAlign w:val="bottom"/>
          </w:tcPr>
          <w:p>
            <w:pPr>
              <w:ind w:left="120"/>
              <w:spacing w:after="0"/>
              <w:rPr>
                <w:sz w:val="20"/>
                <w:szCs w:val="20"/>
                <w:color w:val="auto"/>
              </w:rPr>
            </w:pPr>
            <w:r>
              <w:rPr>
                <w:rFonts w:ascii="Arial" w:cs="Arial" w:eastAsia="Arial" w:hAnsi="Arial"/>
                <w:sz w:val="10"/>
                <w:szCs w:val="10"/>
                <w:color w:val="auto"/>
              </w:rPr>
              <w:t>7.4</w:t>
            </w:r>
          </w:p>
        </w:tc>
        <w:tc>
          <w:tcPr>
            <w:tcW w:w="600" w:type="dxa"/>
            <w:vAlign w:val="bottom"/>
          </w:tcPr>
          <w:p>
            <w:pPr>
              <w:ind w:left="140"/>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Judith Klimovsky</w:t>
            </w:r>
          </w:p>
        </w:tc>
        <w:tc>
          <w:tcPr>
            <w:tcW w:w="460" w:type="dxa"/>
            <w:vAlign w:val="bottom"/>
          </w:tcPr>
          <w:p>
            <w:pPr>
              <w:ind w:left="100"/>
              <w:spacing w:after="0"/>
              <w:rPr>
                <w:sz w:val="20"/>
                <w:szCs w:val="20"/>
                <w:color w:val="auto"/>
              </w:rPr>
            </w:pPr>
            <w:r>
              <w:rPr>
                <w:rFonts w:ascii="Arial" w:cs="Arial" w:eastAsia="Arial" w:hAnsi="Arial"/>
                <w:sz w:val="10"/>
                <w:szCs w:val="10"/>
                <w:color w:val="691A6B"/>
              </w:rPr>
              <w:t>0.8</w:t>
            </w:r>
          </w:p>
        </w:tc>
        <w:tc>
          <w:tcPr>
            <w:tcW w:w="460" w:type="dxa"/>
            <w:vAlign w:val="bottom"/>
          </w:tcPr>
          <w:p>
            <w:pPr>
              <w:ind w:left="120"/>
              <w:spacing w:after="0"/>
              <w:rPr>
                <w:sz w:val="20"/>
                <w:szCs w:val="20"/>
                <w:color w:val="auto"/>
              </w:rPr>
            </w:pPr>
            <w:r>
              <w:rPr>
                <w:rFonts w:ascii="Arial" w:cs="Arial" w:eastAsia="Arial" w:hAnsi="Arial"/>
                <w:sz w:val="10"/>
                <w:szCs w:val="10"/>
                <w:color w:val="auto"/>
              </w:rPr>
              <w:t>0.8</w:t>
            </w:r>
          </w:p>
        </w:tc>
        <w:tc>
          <w:tcPr>
            <w:tcW w:w="500" w:type="dxa"/>
            <w:vAlign w:val="bottom"/>
          </w:tcPr>
          <w:p>
            <w:pPr>
              <w:ind w:left="140"/>
              <w:spacing w:after="0"/>
              <w:rPr>
                <w:sz w:val="20"/>
                <w:szCs w:val="20"/>
                <w:color w:val="auto"/>
              </w:rPr>
            </w:pPr>
            <w:r>
              <w:rPr>
                <w:rFonts w:ascii="Arial" w:cs="Arial" w:eastAsia="Arial" w:hAnsi="Arial"/>
                <w:sz w:val="10"/>
                <w:szCs w:val="10"/>
                <w:color w:val="auto"/>
              </w:rPr>
              <w:t>0.7</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0.5</w:t>
            </w:r>
          </w:p>
        </w:tc>
        <w:tc>
          <w:tcPr>
            <w:tcW w:w="580" w:type="dxa"/>
            <w:vAlign w:val="bottom"/>
          </w:tcPr>
          <w:p>
            <w:pPr>
              <w:ind w:left="120"/>
              <w:spacing w:after="0"/>
              <w:rPr>
                <w:sz w:val="20"/>
                <w:szCs w:val="20"/>
                <w:color w:val="auto"/>
              </w:rPr>
            </w:pPr>
            <w:r>
              <w:rPr>
                <w:rFonts w:ascii="Arial" w:cs="Arial" w:eastAsia="Arial" w:hAnsi="Arial"/>
                <w:sz w:val="10"/>
                <w:szCs w:val="10"/>
                <w:color w:val="auto"/>
              </w:rPr>
              <w:t>0.4</w:t>
            </w:r>
          </w:p>
        </w:tc>
        <w:tc>
          <w:tcPr>
            <w:tcW w:w="500" w:type="dxa"/>
            <w:vAlign w:val="bottom"/>
          </w:tcPr>
          <w:p>
            <w:pPr>
              <w:ind w:left="20"/>
              <w:spacing w:after="0"/>
              <w:rPr>
                <w:sz w:val="20"/>
                <w:szCs w:val="20"/>
                <w:color w:val="auto"/>
              </w:rPr>
            </w:pPr>
            <w:r>
              <w:rPr>
                <w:rFonts w:ascii="Arial" w:cs="Arial" w:eastAsia="Arial" w:hAnsi="Arial"/>
                <w:sz w:val="10"/>
                <w:szCs w:val="10"/>
                <w:color w:val="auto"/>
              </w:rPr>
              <w:t>0.4</w:t>
            </w:r>
          </w:p>
        </w:tc>
        <w:tc>
          <w:tcPr>
            <w:tcW w:w="480" w:type="dxa"/>
            <w:vAlign w:val="bottom"/>
          </w:tcPr>
          <w:p>
            <w:pPr>
              <w:ind w:left="20"/>
              <w:spacing w:after="0"/>
              <w:rPr>
                <w:sz w:val="20"/>
                <w:szCs w:val="20"/>
                <w:color w:val="auto"/>
              </w:rPr>
            </w:pPr>
            <w:r>
              <w:rPr>
                <w:rFonts w:ascii="Arial" w:cs="Arial" w:eastAsia="Arial" w:hAnsi="Arial"/>
                <w:sz w:val="10"/>
                <w:szCs w:val="10"/>
                <w:color w:val="691A6B"/>
              </w:rPr>
              <w:t>4.1</w:t>
            </w:r>
          </w:p>
        </w:tc>
        <w:tc>
          <w:tcPr>
            <w:tcW w:w="360" w:type="dxa"/>
            <w:vAlign w:val="bottom"/>
          </w:tcPr>
          <w:p>
            <w:pPr>
              <w:ind w:left="20"/>
              <w:spacing w:after="0"/>
              <w:rPr>
                <w:sz w:val="20"/>
                <w:szCs w:val="20"/>
                <w:color w:val="auto"/>
              </w:rPr>
            </w:pPr>
            <w:r>
              <w:rPr>
                <w:rFonts w:ascii="Arial" w:cs="Arial" w:eastAsia="Arial" w:hAnsi="Arial"/>
                <w:sz w:val="10"/>
                <w:szCs w:val="10"/>
                <w:color w:val="auto"/>
              </w:rPr>
              <w:t>2.8</w:t>
            </w:r>
          </w:p>
        </w:tc>
        <w:tc>
          <w:tcPr>
            <w:tcW w:w="540" w:type="dxa"/>
            <w:vAlign w:val="bottom"/>
          </w:tcPr>
          <w:p>
            <w:pPr>
              <w:ind w:left="120"/>
              <w:spacing w:after="0"/>
              <w:rPr>
                <w:sz w:val="20"/>
                <w:szCs w:val="20"/>
                <w:color w:val="auto"/>
              </w:rPr>
            </w:pPr>
            <w:r>
              <w:rPr>
                <w:rFonts w:ascii="Arial" w:cs="Arial" w:eastAsia="Arial" w:hAnsi="Arial"/>
                <w:sz w:val="10"/>
                <w:szCs w:val="10"/>
                <w:color w:val="auto"/>
              </w:rPr>
              <w:t>2.0</w:t>
            </w:r>
          </w:p>
        </w:tc>
        <w:tc>
          <w:tcPr>
            <w:tcW w:w="440" w:type="dxa"/>
            <w:vAlign w:val="bottom"/>
          </w:tcPr>
          <w:p>
            <w:pPr>
              <w:ind w:left="80"/>
              <w:spacing w:after="0"/>
              <w:rPr>
                <w:sz w:val="20"/>
                <w:szCs w:val="20"/>
                <w:color w:val="auto"/>
              </w:rPr>
            </w:pPr>
            <w:r>
              <w:rPr>
                <w:rFonts w:ascii="Arial" w:cs="Arial" w:eastAsia="Arial" w:hAnsi="Arial"/>
                <w:sz w:val="10"/>
                <w:szCs w:val="10"/>
                <w:color w:val="691A6B"/>
              </w:rPr>
              <w:t>5.4</w:t>
            </w:r>
          </w:p>
        </w:tc>
        <w:tc>
          <w:tcPr>
            <w:tcW w:w="460" w:type="dxa"/>
            <w:vAlign w:val="bottom"/>
          </w:tcPr>
          <w:p>
            <w:pPr>
              <w:ind w:left="120"/>
              <w:spacing w:after="0"/>
              <w:rPr>
                <w:sz w:val="20"/>
                <w:szCs w:val="20"/>
                <w:color w:val="auto"/>
              </w:rPr>
            </w:pPr>
            <w:r>
              <w:rPr>
                <w:rFonts w:ascii="Arial" w:cs="Arial" w:eastAsia="Arial" w:hAnsi="Arial"/>
                <w:sz w:val="10"/>
                <w:szCs w:val="10"/>
                <w:color w:val="auto"/>
              </w:rPr>
              <w:t>4.0</w:t>
            </w:r>
          </w:p>
        </w:tc>
        <w:tc>
          <w:tcPr>
            <w:tcW w:w="600" w:type="dxa"/>
            <w:vAlign w:val="bottom"/>
          </w:tcPr>
          <w:p>
            <w:pPr>
              <w:ind w:left="140"/>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Tahamtan Ahmadi</w:t>
            </w:r>
          </w:p>
        </w:tc>
        <w:tc>
          <w:tcPr>
            <w:tcW w:w="460" w:type="dxa"/>
            <w:vAlign w:val="bottom"/>
          </w:tcPr>
          <w:p>
            <w:pPr>
              <w:ind w:left="100"/>
              <w:spacing w:after="0"/>
              <w:rPr>
                <w:sz w:val="20"/>
                <w:szCs w:val="20"/>
                <w:color w:val="auto"/>
              </w:rPr>
            </w:pPr>
            <w:r>
              <w:rPr>
                <w:rFonts w:ascii="Arial" w:cs="Arial" w:eastAsia="Arial" w:hAnsi="Arial"/>
                <w:sz w:val="10"/>
                <w:szCs w:val="10"/>
                <w:color w:val="691A6B"/>
              </w:rPr>
              <w:t>0.8</w:t>
            </w:r>
          </w:p>
        </w:tc>
        <w:tc>
          <w:tcPr>
            <w:tcW w:w="460" w:type="dxa"/>
            <w:vAlign w:val="bottom"/>
          </w:tcPr>
          <w:p>
            <w:pPr>
              <w:ind w:left="120"/>
              <w:spacing w:after="0"/>
              <w:rPr>
                <w:sz w:val="20"/>
                <w:szCs w:val="20"/>
                <w:color w:val="auto"/>
              </w:rPr>
            </w:pPr>
            <w:r>
              <w:rPr>
                <w:rFonts w:ascii="Arial" w:cs="Arial" w:eastAsia="Arial" w:hAnsi="Arial"/>
                <w:sz w:val="10"/>
                <w:szCs w:val="10"/>
                <w:color w:val="auto"/>
              </w:rPr>
              <w:t>0.7</w:t>
            </w:r>
          </w:p>
        </w:tc>
        <w:tc>
          <w:tcPr>
            <w:tcW w:w="500" w:type="dxa"/>
            <w:vAlign w:val="bottom"/>
          </w:tcPr>
          <w:p>
            <w:pPr>
              <w:ind w:left="140"/>
              <w:spacing w:after="0"/>
              <w:rPr>
                <w:sz w:val="20"/>
                <w:szCs w:val="20"/>
                <w:color w:val="auto"/>
              </w:rPr>
            </w:pPr>
            <w:r>
              <w:rPr>
                <w:rFonts w:ascii="Arial" w:cs="Arial" w:eastAsia="Arial" w:hAnsi="Arial"/>
                <w:sz w:val="10"/>
                <w:szCs w:val="10"/>
                <w:color w:val="auto"/>
              </w:rPr>
              <w:t>0.7</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0.5</w:t>
            </w:r>
          </w:p>
        </w:tc>
        <w:tc>
          <w:tcPr>
            <w:tcW w:w="580" w:type="dxa"/>
            <w:vAlign w:val="bottom"/>
          </w:tcPr>
          <w:p>
            <w:pPr>
              <w:ind w:left="120"/>
              <w:spacing w:after="0"/>
              <w:rPr>
                <w:sz w:val="20"/>
                <w:szCs w:val="20"/>
                <w:color w:val="auto"/>
              </w:rPr>
            </w:pPr>
            <w:r>
              <w:rPr>
                <w:rFonts w:ascii="Arial" w:cs="Arial" w:eastAsia="Arial" w:hAnsi="Arial"/>
                <w:sz w:val="10"/>
                <w:szCs w:val="10"/>
                <w:color w:val="auto"/>
              </w:rPr>
              <w:t>0.4</w:t>
            </w:r>
          </w:p>
        </w:tc>
        <w:tc>
          <w:tcPr>
            <w:tcW w:w="500" w:type="dxa"/>
            <w:vAlign w:val="bottom"/>
          </w:tcPr>
          <w:p>
            <w:pPr>
              <w:ind w:left="20"/>
              <w:spacing w:after="0"/>
              <w:rPr>
                <w:sz w:val="20"/>
                <w:szCs w:val="20"/>
                <w:color w:val="auto"/>
              </w:rPr>
            </w:pPr>
            <w:r>
              <w:rPr>
                <w:rFonts w:ascii="Arial" w:cs="Arial" w:eastAsia="Arial" w:hAnsi="Arial"/>
                <w:sz w:val="10"/>
                <w:szCs w:val="10"/>
                <w:color w:val="auto"/>
              </w:rPr>
              <w:t>0.4</w:t>
            </w:r>
          </w:p>
        </w:tc>
        <w:tc>
          <w:tcPr>
            <w:tcW w:w="480" w:type="dxa"/>
            <w:vAlign w:val="bottom"/>
          </w:tcPr>
          <w:p>
            <w:pPr>
              <w:ind w:left="20"/>
              <w:spacing w:after="0"/>
              <w:rPr>
                <w:sz w:val="20"/>
                <w:szCs w:val="20"/>
                <w:color w:val="auto"/>
              </w:rPr>
            </w:pPr>
            <w:r>
              <w:rPr>
                <w:rFonts w:ascii="Arial" w:cs="Arial" w:eastAsia="Arial" w:hAnsi="Arial"/>
                <w:sz w:val="10"/>
                <w:szCs w:val="10"/>
                <w:color w:val="691A6B"/>
              </w:rPr>
              <w:t>3.9</w:t>
            </w:r>
          </w:p>
        </w:tc>
        <w:tc>
          <w:tcPr>
            <w:tcW w:w="360" w:type="dxa"/>
            <w:vAlign w:val="bottom"/>
          </w:tcPr>
          <w:p>
            <w:pPr>
              <w:ind w:left="20"/>
              <w:spacing w:after="0"/>
              <w:rPr>
                <w:sz w:val="20"/>
                <w:szCs w:val="20"/>
                <w:color w:val="auto"/>
              </w:rPr>
            </w:pPr>
            <w:r>
              <w:rPr>
                <w:rFonts w:ascii="Arial" w:cs="Arial" w:eastAsia="Arial" w:hAnsi="Arial"/>
                <w:sz w:val="10"/>
                <w:szCs w:val="10"/>
                <w:color w:val="auto"/>
              </w:rPr>
              <w:t>2.6</w:t>
            </w:r>
          </w:p>
        </w:tc>
        <w:tc>
          <w:tcPr>
            <w:tcW w:w="540" w:type="dxa"/>
            <w:vAlign w:val="bottom"/>
          </w:tcPr>
          <w:p>
            <w:pPr>
              <w:ind w:left="120"/>
              <w:spacing w:after="0"/>
              <w:rPr>
                <w:sz w:val="20"/>
                <w:szCs w:val="20"/>
                <w:color w:val="auto"/>
              </w:rPr>
            </w:pPr>
            <w:r>
              <w:rPr>
                <w:rFonts w:ascii="Arial" w:cs="Arial" w:eastAsia="Arial" w:hAnsi="Arial"/>
                <w:sz w:val="10"/>
                <w:szCs w:val="10"/>
                <w:color w:val="auto"/>
              </w:rPr>
              <w:t>1.8</w:t>
            </w:r>
          </w:p>
        </w:tc>
        <w:tc>
          <w:tcPr>
            <w:tcW w:w="440" w:type="dxa"/>
            <w:vAlign w:val="bottom"/>
          </w:tcPr>
          <w:p>
            <w:pPr>
              <w:ind w:left="80"/>
              <w:spacing w:after="0"/>
              <w:rPr>
                <w:sz w:val="20"/>
                <w:szCs w:val="20"/>
                <w:color w:val="auto"/>
              </w:rPr>
            </w:pPr>
            <w:r>
              <w:rPr>
                <w:rFonts w:ascii="Arial" w:cs="Arial" w:eastAsia="Arial" w:hAnsi="Arial"/>
                <w:sz w:val="10"/>
                <w:szCs w:val="10"/>
                <w:color w:val="691A6B"/>
              </w:rPr>
              <w:t>5.2</w:t>
            </w:r>
          </w:p>
        </w:tc>
        <w:tc>
          <w:tcPr>
            <w:tcW w:w="460" w:type="dxa"/>
            <w:vAlign w:val="bottom"/>
          </w:tcPr>
          <w:p>
            <w:pPr>
              <w:ind w:left="120"/>
              <w:spacing w:after="0"/>
              <w:rPr>
                <w:sz w:val="20"/>
                <w:szCs w:val="20"/>
                <w:color w:val="auto"/>
              </w:rPr>
            </w:pPr>
            <w:r>
              <w:rPr>
                <w:rFonts w:ascii="Arial" w:cs="Arial" w:eastAsia="Arial" w:hAnsi="Arial"/>
                <w:sz w:val="10"/>
                <w:szCs w:val="10"/>
                <w:color w:val="auto"/>
              </w:rPr>
              <w:t>3.7</w:t>
            </w:r>
          </w:p>
        </w:tc>
        <w:tc>
          <w:tcPr>
            <w:tcW w:w="600" w:type="dxa"/>
            <w:vAlign w:val="bottom"/>
          </w:tcPr>
          <w:p>
            <w:pPr>
              <w:ind w:left="140"/>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Birgitte Stephensen</w:t>
            </w:r>
            <w:r>
              <w:rPr>
                <w:rFonts w:ascii="Arial" w:cs="Arial" w:eastAsia="Arial" w:hAnsi="Arial"/>
                <w:sz w:val="6"/>
                <w:szCs w:val="6"/>
                <w:color w:val="auto"/>
              </w:rPr>
              <w:t>1</w:t>
            </w:r>
          </w:p>
        </w:tc>
        <w:tc>
          <w:tcPr>
            <w:tcW w:w="460" w:type="dxa"/>
            <w:vAlign w:val="bottom"/>
          </w:tcPr>
          <w:p>
            <w:pPr>
              <w:ind w:left="100"/>
              <w:spacing w:after="0"/>
              <w:rPr>
                <w:sz w:val="20"/>
                <w:szCs w:val="20"/>
                <w:color w:val="auto"/>
              </w:rPr>
            </w:pPr>
            <w:r>
              <w:rPr>
                <w:rFonts w:ascii="Arial" w:cs="Arial" w:eastAsia="Arial" w:hAnsi="Arial"/>
                <w:sz w:val="10"/>
                <w:szCs w:val="10"/>
                <w:color w:val="691A6B"/>
              </w:rPr>
              <w:t>0.3</w:t>
            </w:r>
          </w:p>
        </w:tc>
        <w:tc>
          <w:tcPr>
            <w:tcW w:w="460" w:type="dxa"/>
            <w:vAlign w:val="bottom"/>
          </w:tcPr>
          <w:p>
            <w:pPr>
              <w:ind w:left="120"/>
              <w:spacing w:after="0"/>
              <w:rPr>
                <w:sz w:val="20"/>
                <w:szCs w:val="20"/>
                <w:color w:val="auto"/>
              </w:rPr>
            </w:pPr>
            <w:r>
              <w:rPr>
                <w:rFonts w:ascii="Arial" w:cs="Arial" w:eastAsia="Arial" w:hAnsi="Arial"/>
                <w:sz w:val="10"/>
                <w:szCs w:val="10"/>
                <w:color w:val="auto"/>
              </w:rPr>
              <w:t>0.4</w:t>
            </w:r>
          </w:p>
        </w:tc>
        <w:tc>
          <w:tcPr>
            <w:tcW w:w="500" w:type="dxa"/>
            <w:vAlign w:val="bottom"/>
          </w:tcPr>
          <w:p>
            <w:pPr>
              <w:ind w:left="140"/>
              <w:spacing w:after="0"/>
              <w:rPr>
                <w:sz w:val="20"/>
                <w:szCs w:val="20"/>
                <w:color w:val="auto"/>
              </w:rPr>
            </w:pPr>
            <w:r>
              <w:rPr>
                <w:rFonts w:ascii="Arial" w:cs="Arial" w:eastAsia="Arial" w:hAnsi="Arial"/>
                <w:sz w:val="10"/>
                <w:szCs w:val="10"/>
                <w:color w:val="auto"/>
              </w:rPr>
              <w:t>0.4</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1.7</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w:t>
            </w:r>
          </w:p>
        </w:tc>
        <w:tc>
          <w:tcPr>
            <w:tcW w:w="580" w:type="dxa"/>
            <w:vAlign w:val="bottom"/>
          </w:tcPr>
          <w:p>
            <w:pPr>
              <w:ind w:left="120"/>
              <w:spacing w:after="0"/>
              <w:rPr>
                <w:sz w:val="20"/>
                <w:szCs w:val="20"/>
                <w:color w:val="auto"/>
              </w:rPr>
            </w:pPr>
            <w:r>
              <w:rPr>
                <w:rFonts w:ascii="Arial" w:cs="Arial" w:eastAsia="Arial" w:hAnsi="Arial"/>
                <w:sz w:val="10"/>
                <w:szCs w:val="10"/>
                <w:color w:val="auto"/>
              </w:rPr>
              <w:t>0.2</w:t>
            </w:r>
          </w:p>
        </w:tc>
        <w:tc>
          <w:tcPr>
            <w:tcW w:w="500" w:type="dxa"/>
            <w:vAlign w:val="bottom"/>
          </w:tcPr>
          <w:p>
            <w:pPr>
              <w:ind w:left="20"/>
              <w:spacing w:after="0"/>
              <w:rPr>
                <w:sz w:val="20"/>
                <w:szCs w:val="20"/>
                <w:color w:val="auto"/>
              </w:rPr>
            </w:pPr>
            <w:r>
              <w:rPr>
                <w:rFonts w:ascii="Arial" w:cs="Arial" w:eastAsia="Arial" w:hAnsi="Arial"/>
                <w:sz w:val="10"/>
                <w:szCs w:val="10"/>
                <w:color w:val="auto"/>
              </w:rPr>
              <w:t>0.2</w:t>
            </w:r>
          </w:p>
        </w:tc>
        <w:tc>
          <w:tcPr>
            <w:tcW w:w="480" w:type="dxa"/>
            <w:vAlign w:val="bottom"/>
          </w:tcPr>
          <w:p>
            <w:pPr>
              <w:ind w:left="20"/>
              <w:spacing w:after="0"/>
              <w:rPr>
                <w:sz w:val="20"/>
                <w:szCs w:val="20"/>
                <w:color w:val="auto"/>
              </w:rPr>
            </w:pPr>
            <w:r>
              <w:rPr>
                <w:rFonts w:ascii="Arial" w:cs="Arial" w:eastAsia="Arial" w:hAnsi="Arial"/>
                <w:sz w:val="10"/>
                <w:szCs w:val="10"/>
                <w:color w:val="691A6B"/>
              </w:rPr>
              <w:t>2.3</w:t>
            </w:r>
          </w:p>
        </w:tc>
        <w:tc>
          <w:tcPr>
            <w:tcW w:w="360" w:type="dxa"/>
            <w:vAlign w:val="bottom"/>
          </w:tcPr>
          <w:p>
            <w:pPr>
              <w:ind w:left="20"/>
              <w:spacing w:after="0"/>
              <w:rPr>
                <w:sz w:val="20"/>
                <w:szCs w:val="20"/>
                <w:color w:val="auto"/>
              </w:rPr>
            </w:pPr>
            <w:r>
              <w:rPr>
                <w:rFonts w:ascii="Arial" w:cs="Arial" w:eastAsia="Arial" w:hAnsi="Arial"/>
                <w:sz w:val="10"/>
                <w:szCs w:val="10"/>
                <w:color w:val="auto"/>
              </w:rPr>
              <w:t>1.2</w:t>
            </w:r>
          </w:p>
        </w:tc>
        <w:tc>
          <w:tcPr>
            <w:tcW w:w="540" w:type="dxa"/>
            <w:vAlign w:val="bottom"/>
          </w:tcPr>
          <w:p>
            <w:pPr>
              <w:ind w:left="120"/>
              <w:spacing w:after="0"/>
              <w:rPr>
                <w:sz w:val="20"/>
                <w:szCs w:val="20"/>
                <w:color w:val="auto"/>
              </w:rPr>
            </w:pPr>
            <w:r>
              <w:rPr>
                <w:rFonts w:ascii="Arial" w:cs="Arial" w:eastAsia="Arial" w:hAnsi="Arial"/>
                <w:sz w:val="10"/>
                <w:szCs w:val="10"/>
                <w:color w:val="auto"/>
              </w:rPr>
              <w:t>0.8</w:t>
            </w:r>
          </w:p>
        </w:tc>
        <w:tc>
          <w:tcPr>
            <w:tcW w:w="440" w:type="dxa"/>
            <w:vAlign w:val="bottom"/>
          </w:tcPr>
          <w:p>
            <w:pPr>
              <w:ind w:left="80"/>
              <w:spacing w:after="0"/>
              <w:rPr>
                <w:sz w:val="20"/>
                <w:szCs w:val="20"/>
                <w:color w:val="auto"/>
              </w:rPr>
            </w:pPr>
            <w:r>
              <w:rPr>
                <w:rFonts w:ascii="Arial" w:cs="Arial" w:eastAsia="Arial" w:hAnsi="Arial"/>
                <w:sz w:val="10"/>
                <w:szCs w:val="10"/>
                <w:color w:val="691A6B"/>
              </w:rPr>
              <w:t>4.3</w:t>
            </w:r>
          </w:p>
        </w:tc>
        <w:tc>
          <w:tcPr>
            <w:tcW w:w="460" w:type="dxa"/>
            <w:vAlign w:val="bottom"/>
          </w:tcPr>
          <w:p>
            <w:pPr>
              <w:ind w:left="120"/>
              <w:spacing w:after="0"/>
              <w:rPr>
                <w:sz w:val="20"/>
                <w:szCs w:val="20"/>
                <w:color w:val="auto"/>
              </w:rPr>
            </w:pPr>
            <w:r>
              <w:rPr>
                <w:rFonts w:ascii="Arial" w:cs="Arial" w:eastAsia="Arial" w:hAnsi="Arial"/>
                <w:sz w:val="10"/>
                <w:szCs w:val="10"/>
                <w:color w:val="auto"/>
              </w:rPr>
              <w:t>1.8</w:t>
            </w:r>
          </w:p>
        </w:tc>
        <w:tc>
          <w:tcPr>
            <w:tcW w:w="600" w:type="dxa"/>
            <w:vAlign w:val="bottom"/>
          </w:tcPr>
          <w:p>
            <w:pPr>
              <w:ind w:left="140"/>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Christopher Cozic</w:t>
            </w:r>
            <w:r>
              <w:rPr>
                <w:rFonts w:ascii="Arial" w:cs="Arial" w:eastAsia="Arial" w:hAnsi="Arial"/>
                <w:sz w:val="6"/>
                <w:szCs w:val="6"/>
                <w:color w:val="auto"/>
              </w:rPr>
              <w:t>1</w:t>
            </w:r>
          </w:p>
        </w:tc>
        <w:tc>
          <w:tcPr>
            <w:tcW w:w="460" w:type="dxa"/>
            <w:vAlign w:val="bottom"/>
          </w:tcPr>
          <w:p>
            <w:pPr>
              <w:ind w:left="100"/>
              <w:spacing w:after="0"/>
              <w:rPr>
                <w:sz w:val="20"/>
                <w:szCs w:val="20"/>
                <w:color w:val="auto"/>
              </w:rPr>
            </w:pPr>
            <w:r>
              <w:rPr>
                <w:rFonts w:ascii="Arial" w:cs="Arial" w:eastAsia="Arial" w:hAnsi="Arial"/>
                <w:sz w:val="10"/>
                <w:szCs w:val="10"/>
                <w:color w:val="691A6B"/>
              </w:rPr>
              <w:t>0.5</w:t>
            </w:r>
          </w:p>
        </w:tc>
        <w:tc>
          <w:tcPr>
            <w:tcW w:w="460" w:type="dxa"/>
            <w:vAlign w:val="bottom"/>
          </w:tcPr>
          <w:p>
            <w:pPr>
              <w:ind w:left="120"/>
              <w:spacing w:after="0"/>
              <w:rPr>
                <w:sz w:val="20"/>
                <w:szCs w:val="20"/>
                <w:color w:val="auto"/>
              </w:rPr>
            </w:pPr>
            <w:r>
              <w:rPr>
                <w:rFonts w:ascii="Arial" w:cs="Arial" w:eastAsia="Arial" w:hAnsi="Arial"/>
                <w:sz w:val="10"/>
                <w:szCs w:val="10"/>
                <w:color w:val="auto"/>
              </w:rPr>
              <w:t>0.5</w:t>
            </w:r>
          </w:p>
        </w:tc>
        <w:tc>
          <w:tcPr>
            <w:tcW w:w="500" w:type="dxa"/>
            <w:vAlign w:val="bottom"/>
          </w:tcPr>
          <w:p>
            <w:pPr>
              <w:ind w:left="140"/>
              <w:spacing w:after="0"/>
              <w:rPr>
                <w:sz w:val="20"/>
                <w:szCs w:val="20"/>
                <w:color w:val="auto"/>
              </w:rPr>
            </w:pPr>
            <w:r>
              <w:rPr>
                <w:rFonts w:ascii="Arial" w:cs="Arial" w:eastAsia="Arial" w:hAnsi="Arial"/>
                <w:sz w:val="10"/>
                <w:szCs w:val="10"/>
                <w:color w:val="auto"/>
              </w:rPr>
              <w:t>0.5</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0.3</w:t>
            </w:r>
          </w:p>
        </w:tc>
        <w:tc>
          <w:tcPr>
            <w:tcW w:w="580" w:type="dxa"/>
            <w:vAlign w:val="bottom"/>
          </w:tcPr>
          <w:p>
            <w:pPr>
              <w:ind w:left="120"/>
              <w:spacing w:after="0"/>
              <w:rPr>
                <w:sz w:val="20"/>
                <w:szCs w:val="20"/>
                <w:color w:val="auto"/>
              </w:rPr>
            </w:pPr>
            <w:r>
              <w:rPr>
                <w:rFonts w:ascii="Arial" w:cs="Arial" w:eastAsia="Arial" w:hAnsi="Arial"/>
                <w:sz w:val="10"/>
                <w:szCs w:val="10"/>
                <w:color w:val="auto"/>
              </w:rPr>
              <w:t>0.3</w:t>
            </w:r>
          </w:p>
        </w:tc>
        <w:tc>
          <w:tcPr>
            <w:tcW w:w="500" w:type="dxa"/>
            <w:vAlign w:val="bottom"/>
          </w:tcPr>
          <w:p>
            <w:pPr>
              <w:ind w:left="20"/>
              <w:spacing w:after="0"/>
              <w:rPr>
                <w:sz w:val="20"/>
                <w:szCs w:val="20"/>
                <w:color w:val="auto"/>
              </w:rPr>
            </w:pPr>
            <w:r>
              <w:rPr>
                <w:rFonts w:ascii="Arial" w:cs="Arial" w:eastAsia="Arial" w:hAnsi="Arial"/>
                <w:sz w:val="10"/>
                <w:szCs w:val="10"/>
                <w:color w:val="auto"/>
              </w:rPr>
              <w:t>0.3</w:t>
            </w:r>
          </w:p>
        </w:tc>
        <w:tc>
          <w:tcPr>
            <w:tcW w:w="480" w:type="dxa"/>
            <w:vAlign w:val="bottom"/>
          </w:tcPr>
          <w:p>
            <w:pPr>
              <w:ind w:left="20"/>
              <w:spacing w:after="0"/>
              <w:rPr>
                <w:sz w:val="20"/>
                <w:szCs w:val="20"/>
                <w:color w:val="auto"/>
              </w:rPr>
            </w:pPr>
            <w:r>
              <w:rPr>
                <w:rFonts w:ascii="Arial" w:cs="Arial" w:eastAsia="Arial" w:hAnsi="Arial"/>
                <w:sz w:val="10"/>
                <w:szCs w:val="10"/>
                <w:color w:val="691A6B"/>
              </w:rPr>
              <w:t>2.6</w:t>
            </w:r>
          </w:p>
        </w:tc>
        <w:tc>
          <w:tcPr>
            <w:tcW w:w="360" w:type="dxa"/>
            <w:vAlign w:val="bottom"/>
          </w:tcPr>
          <w:p>
            <w:pPr>
              <w:ind w:left="20"/>
              <w:spacing w:after="0"/>
              <w:rPr>
                <w:sz w:val="20"/>
                <w:szCs w:val="20"/>
                <w:color w:val="auto"/>
              </w:rPr>
            </w:pPr>
            <w:r>
              <w:rPr>
                <w:rFonts w:ascii="Arial" w:cs="Arial" w:eastAsia="Arial" w:hAnsi="Arial"/>
                <w:sz w:val="10"/>
                <w:szCs w:val="10"/>
                <w:color w:val="auto"/>
              </w:rPr>
              <w:t>1.6</w:t>
            </w:r>
          </w:p>
        </w:tc>
        <w:tc>
          <w:tcPr>
            <w:tcW w:w="540" w:type="dxa"/>
            <w:vAlign w:val="bottom"/>
          </w:tcPr>
          <w:p>
            <w:pPr>
              <w:ind w:left="120"/>
              <w:spacing w:after="0"/>
              <w:rPr>
                <w:sz w:val="20"/>
                <w:szCs w:val="20"/>
                <w:color w:val="auto"/>
              </w:rPr>
            </w:pPr>
            <w:r>
              <w:rPr>
                <w:rFonts w:ascii="Arial" w:cs="Arial" w:eastAsia="Arial" w:hAnsi="Arial"/>
                <w:sz w:val="10"/>
                <w:szCs w:val="10"/>
                <w:color w:val="auto"/>
              </w:rPr>
              <w:t>1.1</w:t>
            </w:r>
          </w:p>
        </w:tc>
        <w:tc>
          <w:tcPr>
            <w:tcW w:w="440" w:type="dxa"/>
            <w:vAlign w:val="bottom"/>
          </w:tcPr>
          <w:p>
            <w:pPr>
              <w:ind w:left="80"/>
              <w:spacing w:after="0"/>
              <w:rPr>
                <w:sz w:val="20"/>
                <w:szCs w:val="20"/>
                <w:color w:val="auto"/>
              </w:rPr>
            </w:pPr>
            <w:r>
              <w:rPr>
                <w:rFonts w:ascii="Arial" w:cs="Arial" w:eastAsia="Arial" w:hAnsi="Arial"/>
                <w:sz w:val="10"/>
                <w:szCs w:val="10"/>
                <w:color w:val="691A6B"/>
              </w:rPr>
              <w:t>3.4</w:t>
            </w:r>
          </w:p>
        </w:tc>
        <w:tc>
          <w:tcPr>
            <w:tcW w:w="460" w:type="dxa"/>
            <w:vAlign w:val="bottom"/>
          </w:tcPr>
          <w:p>
            <w:pPr>
              <w:ind w:left="120"/>
              <w:spacing w:after="0"/>
              <w:rPr>
                <w:sz w:val="20"/>
                <w:szCs w:val="20"/>
                <w:color w:val="auto"/>
              </w:rPr>
            </w:pPr>
            <w:r>
              <w:rPr>
                <w:rFonts w:ascii="Arial" w:cs="Arial" w:eastAsia="Arial" w:hAnsi="Arial"/>
                <w:sz w:val="10"/>
                <w:szCs w:val="10"/>
                <w:color w:val="auto"/>
              </w:rPr>
              <w:t>2.4</w:t>
            </w:r>
          </w:p>
        </w:tc>
        <w:tc>
          <w:tcPr>
            <w:tcW w:w="600" w:type="dxa"/>
            <w:vAlign w:val="bottom"/>
          </w:tcPr>
          <w:p>
            <w:pPr>
              <w:ind w:left="140"/>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Martine van Vugt</w:t>
            </w:r>
            <w:r>
              <w:rPr>
                <w:rFonts w:ascii="Arial" w:cs="Arial" w:eastAsia="Arial" w:hAnsi="Arial"/>
                <w:sz w:val="6"/>
                <w:szCs w:val="6"/>
                <w:color w:val="auto"/>
              </w:rPr>
              <w:t>2</w:t>
            </w:r>
          </w:p>
        </w:tc>
        <w:tc>
          <w:tcPr>
            <w:tcW w:w="460" w:type="dxa"/>
            <w:vAlign w:val="bottom"/>
          </w:tcPr>
          <w:p>
            <w:pPr>
              <w:ind w:left="100"/>
              <w:spacing w:after="0"/>
              <w:rPr>
                <w:sz w:val="20"/>
                <w:szCs w:val="20"/>
                <w:color w:val="auto"/>
              </w:rPr>
            </w:pPr>
            <w:r>
              <w:rPr>
                <w:rFonts w:ascii="Arial" w:cs="Arial" w:eastAsia="Arial" w:hAnsi="Arial"/>
                <w:sz w:val="10"/>
                <w:szCs w:val="10"/>
                <w:color w:val="691A6B"/>
              </w:rPr>
              <w:t>0.5</w:t>
            </w:r>
          </w:p>
        </w:tc>
        <w:tc>
          <w:tcPr>
            <w:tcW w:w="460" w:type="dxa"/>
            <w:vAlign w:val="bottom"/>
          </w:tcPr>
          <w:p>
            <w:pPr>
              <w:ind w:left="120"/>
              <w:spacing w:after="0"/>
              <w:rPr>
                <w:sz w:val="20"/>
                <w:szCs w:val="20"/>
                <w:color w:val="auto"/>
              </w:rPr>
            </w:pPr>
            <w:r>
              <w:rPr>
                <w:rFonts w:ascii="Arial" w:cs="Arial" w:eastAsia="Arial" w:hAnsi="Arial"/>
                <w:sz w:val="10"/>
                <w:szCs w:val="10"/>
                <w:color w:val="auto"/>
              </w:rPr>
              <w:t>0.4</w:t>
            </w:r>
          </w:p>
        </w:tc>
        <w:tc>
          <w:tcPr>
            <w:tcW w:w="500" w:type="dxa"/>
            <w:vAlign w:val="bottom"/>
          </w:tcPr>
          <w:p>
            <w:pPr>
              <w:ind w:left="140"/>
              <w:spacing w:after="0"/>
              <w:rPr>
                <w:sz w:val="20"/>
                <w:szCs w:val="20"/>
                <w:color w:val="auto"/>
              </w:rPr>
            </w:pPr>
            <w:r>
              <w:rPr>
                <w:rFonts w:ascii="Arial" w:cs="Arial" w:eastAsia="Arial" w:hAnsi="Arial"/>
                <w:sz w:val="10"/>
                <w:szCs w:val="10"/>
                <w:color w:val="auto"/>
              </w:rPr>
              <w:t>0.4</w:t>
            </w:r>
          </w:p>
        </w:tc>
        <w:tc>
          <w:tcPr>
            <w:tcW w:w="480" w:type="dxa"/>
            <w:vAlign w:val="bottom"/>
          </w:tcPr>
          <w:p>
            <w:pPr>
              <w:ind w:left="140"/>
              <w:spacing w:after="0"/>
              <w:rPr>
                <w:sz w:val="20"/>
                <w:szCs w:val="20"/>
                <w:color w:val="auto"/>
              </w:rPr>
            </w:pPr>
            <w:r>
              <w:rPr>
                <w:rFonts w:ascii="Arial" w:cs="Arial" w:eastAsia="Arial" w:hAnsi="Arial"/>
                <w:sz w:val="10"/>
                <w:szCs w:val="10"/>
                <w:color w:val="auto"/>
              </w:rPr>
              <w:t>0.1</w:t>
            </w:r>
          </w:p>
        </w:tc>
        <w:tc>
          <w:tcPr>
            <w:tcW w:w="480" w:type="dxa"/>
            <w:vAlign w:val="bottom"/>
          </w:tcPr>
          <w:p>
            <w:pPr>
              <w:ind w:left="120"/>
              <w:spacing w:after="0"/>
              <w:rPr>
                <w:sz w:val="20"/>
                <w:szCs w:val="20"/>
                <w:color w:val="auto"/>
              </w:rPr>
            </w:pPr>
            <w:r>
              <w:rPr>
                <w:rFonts w:ascii="Arial" w:cs="Arial" w:eastAsia="Arial" w:hAnsi="Arial"/>
                <w:sz w:val="10"/>
                <w:szCs w:val="10"/>
                <w:color w:val="auto"/>
              </w:rPr>
              <w:t>0.1</w:t>
            </w:r>
          </w:p>
        </w:tc>
        <w:tc>
          <w:tcPr>
            <w:tcW w:w="500" w:type="dxa"/>
            <w:vAlign w:val="bottom"/>
          </w:tcPr>
          <w:p>
            <w:pPr>
              <w:ind w:left="120"/>
              <w:spacing w:after="0"/>
              <w:rPr>
                <w:sz w:val="20"/>
                <w:szCs w:val="20"/>
                <w:color w:val="auto"/>
              </w:rPr>
            </w:pPr>
            <w:r>
              <w:rPr>
                <w:rFonts w:ascii="Arial" w:cs="Arial" w:eastAsia="Arial" w:hAnsi="Arial"/>
                <w:sz w:val="10"/>
                <w:szCs w:val="10"/>
                <w:color w:val="auto"/>
              </w:rPr>
              <w:t>0.1</w:t>
            </w:r>
          </w:p>
        </w:tc>
        <w:tc>
          <w:tcPr>
            <w:tcW w:w="460" w:type="dxa"/>
            <w:vAlign w:val="bottom"/>
          </w:tcPr>
          <w:p>
            <w:pPr>
              <w:ind w:left="120"/>
              <w:spacing w:after="0"/>
              <w:rPr>
                <w:sz w:val="20"/>
                <w:szCs w:val="20"/>
                <w:color w:val="auto"/>
              </w:rPr>
            </w:pPr>
            <w:r>
              <w:rPr>
                <w:rFonts w:ascii="Arial" w:cs="Arial" w:eastAsia="Arial" w:hAnsi="Arial"/>
                <w:sz w:val="10"/>
                <w:szCs w:val="10"/>
                <w:color w:val="691A6B"/>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0.3</w:t>
            </w:r>
          </w:p>
        </w:tc>
        <w:tc>
          <w:tcPr>
            <w:tcW w:w="580" w:type="dxa"/>
            <w:vAlign w:val="bottom"/>
          </w:tcPr>
          <w:p>
            <w:pPr>
              <w:ind w:left="120"/>
              <w:spacing w:after="0"/>
              <w:rPr>
                <w:sz w:val="20"/>
                <w:szCs w:val="20"/>
                <w:color w:val="auto"/>
              </w:rPr>
            </w:pPr>
            <w:r>
              <w:rPr>
                <w:rFonts w:ascii="Arial" w:cs="Arial" w:eastAsia="Arial" w:hAnsi="Arial"/>
                <w:sz w:val="10"/>
                <w:szCs w:val="10"/>
                <w:color w:val="auto"/>
              </w:rPr>
              <w:t>0.2</w:t>
            </w:r>
          </w:p>
        </w:tc>
        <w:tc>
          <w:tcPr>
            <w:tcW w:w="500" w:type="dxa"/>
            <w:vAlign w:val="bottom"/>
          </w:tcPr>
          <w:p>
            <w:pPr>
              <w:ind w:left="20"/>
              <w:spacing w:after="0"/>
              <w:rPr>
                <w:sz w:val="20"/>
                <w:szCs w:val="20"/>
                <w:color w:val="auto"/>
              </w:rPr>
            </w:pPr>
            <w:r>
              <w:rPr>
                <w:rFonts w:ascii="Arial" w:cs="Arial" w:eastAsia="Arial" w:hAnsi="Arial"/>
                <w:sz w:val="10"/>
                <w:szCs w:val="10"/>
                <w:color w:val="auto"/>
              </w:rPr>
              <w:t>0.2</w:t>
            </w:r>
          </w:p>
        </w:tc>
        <w:tc>
          <w:tcPr>
            <w:tcW w:w="480" w:type="dxa"/>
            <w:vAlign w:val="bottom"/>
          </w:tcPr>
          <w:p>
            <w:pPr>
              <w:ind w:left="20"/>
              <w:spacing w:after="0"/>
              <w:rPr>
                <w:sz w:val="20"/>
                <w:szCs w:val="20"/>
                <w:color w:val="auto"/>
              </w:rPr>
            </w:pPr>
            <w:r>
              <w:rPr>
                <w:rFonts w:ascii="Arial" w:cs="Arial" w:eastAsia="Arial" w:hAnsi="Arial"/>
                <w:sz w:val="10"/>
                <w:szCs w:val="10"/>
                <w:color w:val="691A6B"/>
              </w:rPr>
              <w:t>1.5</w:t>
            </w:r>
          </w:p>
        </w:tc>
        <w:tc>
          <w:tcPr>
            <w:tcW w:w="360" w:type="dxa"/>
            <w:vAlign w:val="bottom"/>
          </w:tcPr>
          <w:p>
            <w:pPr>
              <w:ind w:left="20"/>
              <w:spacing w:after="0"/>
              <w:rPr>
                <w:sz w:val="20"/>
                <w:szCs w:val="20"/>
                <w:color w:val="auto"/>
              </w:rPr>
            </w:pPr>
            <w:r>
              <w:rPr>
                <w:rFonts w:ascii="Arial" w:cs="Arial" w:eastAsia="Arial" w:hAnsi="Arial"/>
                <w:sz w:val="10"/>
                <w:szCs w:val="10"/>
                <w:color w:val="auto"/>
              </w:rPr>
              <w:t>0.8</w:t>
            </w:r>
          </w:p>
        </w:tc>
        <w:tc>
          <w:tcPr>
            <w:tcW w:w="540" w:type="dxa"/>
            <w:vAlign w:val="bottom"/>
          </w:tcPr>
          <w:p>
            <w:pPr>
              <w:ind w:left="120"/>
              <w:spacing w:after="0"/>
              <w:rPr>
                <w:sz w:val="20"/>
                <w:szCs w:val="20"/>
                <w:color w:val="auto"/>
              </w:rPr>
            </w:pPr>
            <w:r>
              <w:rPr>
                <w:rFonts w:ascii="Arial" w:cs="Arial" w:eastAsia="Arial" w:hAnsi="Arial"/>
                <w:sz w:val="10"/>
                <w:szCs w:val="10"/>
                <w:color w:val="auto"/>
              </w:rPr>
              <w:t>0.6</w:t>
            </w:r>
          </w:p>
        </w:tc>
        <w:tc>
          <w:tcPr>
            <w:tcW w:w="440" w:type="dxa"/>
            <w:vAlign w:val="bottom"/>
          </w:tcPr>
          <w:p>
            <w:pPr>
              <w:ind w:left="80"/>
              <w:spacing w:after="0"/>
              <w:rPr>
                <w:sz w:val="20"/>
                <w:szCs w:val="20"/>
                <w:color w:val="auto"/>
              </w:rPr>
            </w:pPr>
            <w:r>
              <w:rPr>
                <w:rFonts w:ascii="Arial" w:cs="Arial" w:eastAsia="Arial" w:hAnsi="Arial"/>
                <w:sz w:val="10"/>
                <w:szCs w:val="10"/>
                <w:color w:val="691A6B"/>
              </w:rPr>
              <w:t>2.4</w:t>
            </w:r>
          </w:p>
        </w:tc>
        <w:tc>
          <w:tcPr>
            <w:tcW w:w="460" w:type="dxa"/>
            <w:vAlign w:val="bottom"/>
          </w:tcPr>
          <w:p>
            <w:pPr>
              <w:ind w:left="120"/>
              <w:spacing w:after="0"/>
              <w:rPr>
                <w:sz w:val="20"/>
                <w:szCs w:val="20"/>
                <w:color w:val="auto"/>
              </w:rPr>
            </w:pPr>
            <w:r>
              <w:rPr>
                <w:rFonts w:ascii="Arial" w:cs="Arial" w:eastAsia="Arial" w:hAnsi="Arial"/>
                <w:sz w:val="10"/>
                <w:szCs w:val="10"/>
                <w:color w:val="auto"/>
              </w:rPr>
              <w:t>1.5</w:t>
            </w:r>
          </w:p>
        </w:tc>
        <w:tc>
          <w:tcPr>
            <w:tcW w:w="600" w:type="dxa"/>
            <w:vAlign w:val="bottom"/>
          </w:tcPr>
          <w:p>
            <w:pPr>
              <w:ind w:left="140"/>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Brad Bailey</w:t>
            </w:r>
            <w:r>
              <w:rPr>
                <w:rFonts w:ascii="Arial" w:cs="Arial" w:eastAsia="Arial" w:hAnsi="Arial"/>
                <w:sz w:val="6"/>
                <w:szCs w:val="6"/>
                <w:color w:val="auto"/>
              </w:rPr>
              <w:t>4</w:t>
            </w:r>
          </w:p>
        </w:tc>
        <w:tc>
          <w:tcPr>
            <w:tcW w:w="460" w:type="dxa"/>
            <w:vAlign w:val="bottom"/>
          </w:tcPr>
          <w:p>
            <w:pPr>
              <w:ind w:left="100"/>
              <w:spacing w:after="0"/>
              <w:rPr>
                <w:sz w:val="20"/>
                <w:szCs w:val="20"/>
                <w:color w:val="auto"/>
              </w:rPr>
            </w:pPr>
            <w:r>
              <w:rPr>
                <w:rFonts w:ascii="Arial" w:cs="Arial" w:eastAsia="Arial" w:hAnsi="Arial"/>
                <w:sz w:val="10"/>
                <w:szCs w:val="10"/>
                <w:color w:val="691A6B"/>
              </w:rPr>
              <w:t>0.6</w:t>
            </w:r>
          </w:p>
        </w:tc>
        <w:tc>
          <w:tcPr>
            <w:tcW w:w="460" w:type="dxa"/>
            <w:vAlign w:val="bottom"/>
          </w:tcPr>
          <w:p>
            <w:pPr>
              <w:ind w:left="120"/>
              <w:spacing w:after="0"/>
              <w:rPr>
                <w:sz w:val="20"/>
                <w:szCs w:val="20"/>
                <w:color w:val="auto"/>
              </w:rPr>
            </w:pPr>
            <w:r>
              <w:rPr>
                <w:rFonts w:ascii="Arial" w:cs="Arial" w:eastAsia="Arial" w:hAnsi="Arial"/>
                <w:sz w:val="10"/>
                <w:szCs w:val="10"/>
                <w:color w:val="auto"/>
              </w:rPr>
              <w:t>0.6</w:t>
            </w:r>
          </w:p>
        </w:tc>
        <w:tc>
          <w:tcPr>
            <w:tcW w:w="50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0.2</w:t>
            </w:r>
          </w:p>
        </w:tc>
        <w:tc>
          <w:tcPr>
            <w:tcW w:w="480" w:type="dxa"/>
            <w:vAlign w:val="bottom"/>
          </w:tcPr>
          <w:p>
            <w:pPr>
              <w:ind w:left="140"/>
              <w:spacing w:after="0"/>
              <w:rPr>
                <w:sz w:val="20"/>
                <w:szCs w:val="20"/>
                <w:color w:val="auto"/>
              </w:rPr>
            </w:pPr>
            <w:r>
              <w:rPr>
                <w:rFonts w:ascii="Arial" w:cs="Arial" w:eastAsia="Arial" w:hAnsi="Arial"/>
                <w:sz w:val="10"/>
                <w:szCs w:val="10"/>
                <w:color w:val="auto"/>
              </w:rPr>
              <w:t>0.1</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0.4</w:t>
            </w:r>
          </w:p>
        </w:tc>
        <w:tc>
          <w:tcPr>
            <w:tcW w:w="580" w:type="dxa"/>
            <w:vAlign w:val="bottom"/>
          </w:tcPr>
          <w:p>
            <w:pPr>
              <w:ind w:left="120"/>
              <w:spacing w:after="0"/>
              <w:rPr>
                <w:sz w:val="20"/>
                <w:szCs w:val="20"/>
                <w:color w:val="auto"/>
              </w:rPr>
            </w:pPr>
            <w:r>
              <w:rPr>
                <w:rFonts w:ascii="Arial" w:cs="Arial" w:eastAsia="Arial" w:hAnsi="Arial"/>
                <w:sz w:val="10"/>
                <w:szCs w:val="10"/>
                <w:color w:val="auto"/>
              </w:rPr>
              <w:t>0.3</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480" w:type="dxa"/>
            <w:vAlign w:val="bottom"/>
          </w:tcPr>
          <w:p>
            <w:pPr>
              <w:ind w:left="20"/>
              <w:spacing w:after="0"/>
              <w:rPr>
                <w:sz w:val="20"/>
                <w:szCs w:val="20"/>
                <w:color w:val="auto"/>
              </w:rPr>
            </w:pPr>
            <w:r>
              <w:rPr>
                <w:rFonts w:ascii="Arial" w:cs="Arial" w:eastAsia="Arial" w:hAnsi="Arial"/>
                <w:sz w:val="10"/>
                <w:szCs w:val="10"/>
                <w:color w:val="691A6B"/>
              </w:rPr>
              <w:t>0.9</w:t>
            </w:r>
          </w:p>
        </w:tc>
        <w:tc>
          <w:tcPr>
            <w:tcW w:w="360" w:type="dxa"/>
            <w:vAlign w:val="bottom"/>
          </w:tcPr>
          <w:p>
            <w:pPr>
              <w:ind w:left="20"/>
              <w:spacing w:after="0"/>
              <w:rPr>
                <w:sz w:val="20"/>
                <w:szCs w:val="20"/>
                <w:color w:val="auto"/>
              </w:rPr>
            </w:pPr>
            <w:r>
              <w:rPr>
                <w:rFonts w:ascii="Arial" w:cs="Arial" w:eastAsia="Arial" w:hAnsi="Arial"/>
                <w:sz w:val="10"/>
                <w:szCs w:val="10"/>
                <w:color w:val="auto"/>
              </w:rPr>
              <w:t>0.6</w:t>
            </w:r>
          </w:p>
        </w:tc>
        <w:tc>
          <w:tcPr>
            <w:tcW w:w="540" w:type="dxa"/>
            <w:vAlign w:val="bottom"/>
          </w:tcPr>
          <w:p>
            <w:pPr>
              <w:ind w:left="120"/>
              <w:spacing w:after="0"/>
              <w:rPr>
                <w:sz w:val="20"/>
                <w:szCs w:val="20"/>
                <w:color w:val="auto"/>
              </w:rPr>
            </w:pPr>
            <w:r>
              <w:rPr>
                <w:rFonts w:ascii="Arial" w:cs="Arial" w:eastAsia="Arial" w:hAnsi="Arial"/>
                <w:sz w:val="10"/>
                <w:szCs w:val="10"/>
                <w:color w:val="auto"/>
              </w:rPr>
              <w:t>—</w:t>
            </w:r>
          </w:p>
        </w:tc>
        <w:tc>
          <w:tcPr>
            <w:tcW w:w="440" w:type="dxa"/>
            <w:vAlign w:val="bottom"/>
          </w:tcPr>
          <w:p>
            <w:pPr>
              <w:ind w:left="80"/>
              <w:spacing w:after="0"/>
              <w:rPr>
                <w:sz w:val="20"/>
                <w:szCs w:val="20"/>
                <w:color w:val="auto"/>
              </w:rPr>
            </w:pPr>
            <w:r>
              <w:rPr>
                <w:rFonts w:ascii="Arial" w:cs="Arial" w:eastAsia="Arial" w:hAnsi="Arial"/>
                <w:sz w:val="10"/>
                <w:szCs w:val="10"/>
                <w:color w:val="691A6B"/>
              </w:rPr>
              <w:t>2.1</w:t>
            </w:r>
          </w:p>
        </w:tc>
        <w:tc>
          <w:tcPr>
            <w:tcW w:w="460" w:type="dxa"/>
            <w:vAlign w:val="bottom"/>
          </w:tcPr>
          <w:p>
            <w:pPr>
              <w:ind w:left="120"/>
              <w:spacing w:after="0"/>
              <w:rPr>
                <w:sz w:val="20"/>
                <w:szCs w:val="20"/>
                <w:color w:val="auto"/>
              </w:rPr>
            </w:pPr>
            <w:r>
              <w:rPr>
                <w:rFonts w:ascii="Arial" w:cs="Arial" w:eastAsia="Arial" w:hAnsi="Arial"/>
                <w:sz w:val="10"/>
                <w:szCs w:val="10"/>
                <w:color w:val="auto"/>
              </w:rPr>
              <w:t>1.6</w:t>
            </w:r>
          </w:p>
        </w:tc>
        <w:tc>
          <w:tcPr>
            <w:tcW w:w="600" w:type="dxa"/>
            <w:vAlign w:val="bottom"/>
          </w:tcPr>
          <w:p>
            <w:pPr>
              <w:ind w:left="1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1060" w:type="dxa"/>
            <w:vAlign w:val="bottom"/>
          </w:tcPr>
          <w:p>
            <w:pPr>
              <w:ind w:left="20"/>
              <w:spacing w:after="0"/>
              <w:rPr>
                <w:sz w:val="20"/>
                <w:szCs w:val="20"/>
                <w:color w:val="auto"/>
              </w:rPr>
            </w:pPr>
            <w:r>
              <w:rPr>
                <w:rFonts w:ascii="Arial" w:cs="Arial" w:eastAsia="Arial" w:hAnsi="Arial"/>
                <w:sz w:val="10"/>
                <w:szCs w:val="10"/>
                <w:color w:val="auto"/>
              </w:rPr>
              <w:t>Rayne Waller</w:t>
            </w:r>
            <w:r>
              <w:rPr>
                <w:rFonts w:ascii="Arial" w:cs="Arial" w:eastAsia="Arial" w:hAnsi="Arial"/>
                <w:sz w:val="6"/>
                <w:szCs w:val="6"/>
                <w:color w:val="auto"/>
              </w:rPr>
              <w:t>4</w:t>
            </w:r>
          </w:p>
        </w:tc>
        <w:tc>
          <w:tcPr>
            <w:tcW w:w="460" w:type="dxa"/>
            <w:vAlign w:val="bottom"/>
          </w:tcPr>
          <w:p>
            <w:pPr>
              <w:ind w:left="100"/>
              <w:spacing w:after="0"/>
              <w:rPr>
                <w:sz w:val="20"/>
                <w:szCs w:val="20"/>
                <w:color w:val="auto"/>
              </w:rPr>
            </w:pPr>
            <w:r>
              <w:rPr>
                <w:rFonts w:ascii="Arial" w:cs="Arial" w:eastAsia="Arial" w:hAnsi="Arial"/>
                <w:sz w:val="10"/>
                <w:szCs w:val="10"/>
                <w:color w:val="691A6B"/>
              </w:rPr>
              <w:t>0.7</w:t>
            </w:r>
          </w:p>
        </w:tc>
        <w:tc>
          <w:tcPr>
            <w:tcW w:w="460" w:type="dxa"/>
            <w:vAlign w:val="bottom"/>
          </w:tcPr>
          <w:p>
            <w:pPr>
              <w:ind w:left="120"/>
              <w:spacing w:after="0"/>
              <w:rPr>
                <w:sz w:val="20"/>
                <w:szCs w:val="20"/>
                <w:color w:val="auto"/>
              </w:rPr>
            </w:pPr>
            <w:r>
              <w:rPr>
                <w:rFonts w:ascii="Arial" w:cs="Arial" w:eastAsia="Arial" w:hAnsi="Arial"/>
                <w:sz w:val="10"/>
                <w:szCs w:val="10"/>
                <w:color w:val="auto"/>
              </w:rPr>
              <w:t>0.2</w:t>
            </w:r>
          </w:p>
        </w:tc>
        <w:tc>
          <w:tcPr>
            <w:tcW w:w="50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480" w:type="dxa"/>
            <w:vAlign w:val="bottom"/>
          </w:tcPr>
          <w:p>
            <w:pPr>
              <w:ind w:left="120"/>
              <w:spacing w:after="0"/>
              <w:rPr>
                <w:sz w:val="20"/>
                <w:szCs w:val="20"/>
                <w:color w:val="auto"/>
              </w:rPr>
            </w:pPr>
            <w:r>
              <w:rPr>
                <w:rFonts w:ascii="Arial" w:cs="Arial" w:eastAsia="Arial" w:hAnsi="Arial"/>
                <w:sz w:val="10"/>
                <w:szCs w:val="10"/>
                <w:color w:val="auto"/>
              </w:rPr>
              <w:t>—</w:t>
            </w:r>
          </w:p>
        </w:tc>
        <w:tc>
          <w:tcPr>
            <w:tcW w:w="500" w:type="dxa"/>
            <w:vAlign w:val="bottom"/>
          </w:tcPr>
          <w:p>
            <w:pPr>
              <w:ind w:left="120"/>
              <w:spacing w:after="0"/>
              <w:rPr>
                <w:sz w:val="20"/>
                <w:szCs w:val="20"/>
                <w:color w:val="auto"/>
              </w:rPr>
            </w:pPr>
            <w:r>
              <w:rPr>
                <w:rFonts w:ascii="Arial" w:cs="Arial" w:eastAsia="Arial" w:hAnsi="Arial"/>
                <w:sz w:val="10"/>
                <w:szCs w:val="10"/>
                <w:color w:val="auto"/>
              </w:rPr>
              <w:t>—</w:t>
            </w:r>
          </w:p>
        </w:tc>
        <w:tc>
          <w:tcPr>
            <w:tcW w:w="460" w:type="dxa"/>
            <w:vAlign w:val="bottom"/>
          </w:tcPr>
          <w:p>
            <w:pPr>
              <w:ind w:left="120"/>
              <w:spacing w:after="0"/>
              <w:rPr>
                <w:sz w:val="20"/>
                <w:szCs w:val="20"/>
                <w:color w:val="auto"/>
              </w:rPr>
            </w:pPr>
            <w:r>
              <w:rPr>
                <w:rFonts w:ascii="Arial" w:cs="Arial" w:eastAsia="Arial" w:hAnsi="Arial"/>
                <w:sz w:val="10"/>
                <w:szCs w:val="10"/>
                <w:color w:val="691A6B"/>
              </w:rPr>
              <w:t>0.7</w:t>
            </w:r>
          </w:p>
        </w:tc>
        <w:tc>
          <w:tcPr>
            <w:tcW w:w="480" w:type="dxa"/>
            <w:vAlign w:val="bottom"/>
          </w:tcPr>
          <w:p>
            <w:pPr>
              <w:ind w:left="140"/>
              <w:spacing w:after="0"/>
              <w:rPr>
                <w:sz w:val="20"/>
                <w:szCs w:val="20"/>
                <w:color w:val="auto"/>
              </w:rPr>
            </w:pPr>
            <w:r>
              <w:rPr>
                <w:rFonts w:ascii="Arial" w:cs="Arial" w:eastAsia="Arial" w:hAnsi="Arial"/>
                <w:sz w:val="10"/>
                <w:szCs w:val="10"/>
                <w:color w:val="auto"/>
              </w:rPr>
              <w:t>0.6</w:t>
            </w:r>
          </w:p>
        </w:tc>
        <w:tc>
          <w:tcPr>
            <w:tcW w:w="480" w:type="dxa"/>
            <w:vAlign w:val="bottom"/>
          </w:tcPr>
          <w:p>
            <w:pPr>
              <w:ind w:left="140"/>
              <w:spacing w:after="0"/>
              <w:rPr>
                <w:sz w:val="20"/>
                <w:szCs w:val="20"/>
                <w:color w:val="auto"/>
              </w:rPr>
            </w:pPr>
            <w:r>
              <w:rPr>
                <w:rFonts w:ascii="Arial" w:cs="Arial" w:eastAsia="Arial" w:hAnsi="Arial"/>
                <w:sz w:val="10"/>
                <w:szCs w:val="10"/>
                <w:color w:val="auto"/>
              </w:rPr>
              <w:t>—</w:t>
            </w:r>
          </w:p>
        </w:tc>
        <w:tc>
          <w:tcPr>
            <w:tcW w:w="500" w:type="dxa"/>
            <w:vAlign w:val="bottom"/>
          </w:tcPr>
          <w:p>
            <w:pPr>
              <w:ind w:left="140"/>
              <w:spacing w:after="0"/>
              <w:rPr>
                <w:sz w:val="20"/>
                <w:szCs w:val="20"/>
                <w:color w:val="auto"/>
              </w:rPr>
            </w:pPr>
            <w:r>
              <w:rPr>
                <w:rFonts w:ascii="Arial" w:cs="Arial" w:eastAsia="Arial" w:hAnsi="Arial"/>
                <w:sz w:val="10"/>
                <w:szCs w:val="10"/>
                <w:color w:val="691A6B"/>
              </w:rPr>
              <w:t>0.4</w:t>
            </w:r>
          </w:p>
        </w:tc>
        <w:tc>
          <w:tcPr>
            <w:tcW w:w="580" w:type="dxa"/>
            <w:vAlign w:val="bottom"/>
          </w:tcPr>
          <w:p>
            <w:pPr>
              <w:ind w:left="120"/>
              <w:spacing w:after="0"/>
              <w:rPr>
                <w:sz w:val="20"/>
                <w:szCs w:val="20"/>
                <w:color w:val="auto"/>
              </w:rPr>
            </w:pPr>
            <w:r>
              <w:rPr>
                <w:rFonts w:ascii="Arial" w:cs="Arial" w:eastAsia="Arial" w:hAnsi="Arial"/>
                <w:sz w:val="10"/>
                <w:szCs w:val="10"/>
                <w:color w:val="auto"/>
              </w:rPr>
              <w:t>0.1</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480" w:type="dxa"/>
            <w:vAlign w:val="bottom"/>
          </w:tcPr>
          <w:p>
            <w:pPr>
              <w:ind w:left="20"/>
              <w:spacing w:after="0"/>
              <w:rPr>
                <w:sz w:val="20"/>
                <w:szCs w:val="20"/>
                <w:color w:val="auto"/>
              </w:rPr>
            </w:pPr>
            <w:r>
              <w:rPr>
                <w:rFonts w:ascii="Arial" w:cs="Arial" w:eastAsia="Arial" w:hAnsi="Arial"/>
                <w:sz w:val="10"/>
                <w:szCs w:val="10"/>
                <w:color w:val="691A6B"/>
              </w:rPr>
              <w:t>0.9</w:t>
            </w:r>
          </w:p>
        </w:tc>
        <w:tc>
          <w:tcPr>
            <w:tcW w:w="360" w:type="dxa"/>
            <w:vAlign w:val="bottom"/>
          </w:tcPr>
          <w:p>
            <w:pPr>
              <w:ind w:left="20"/>
              <w:spacing w:after="0"/>
              <w:rPr>
                <w:sz w:val="20"/>
                <w:szCs w:val="20"/>
                <w:color w:val="auto"/>
              </w:rPr>
            </w:pPr>
            <w:r>
              <w:rPr>
                <w:rFonts w:ascii="Arial" w:cs="Arial" w:eastAsia="Arial" w:hAnsi="Arial"/>
                <w:sz w:val="10"/>
                <w:szCs w:val="10"/>
                <w:color w:val="auto"/>
              </w:rPr>
              <w:t>0.1</w:t>
            </w:r>
          </w:p>
        </w:tc>
        <w:tc>
          <w:tcPr>
            <w:tcW w:w="540" w:type="dxa"/>
            <w:vAlign w:val="bottom"/>
          </w:tcPr>
          <w:p>
            <w:pPr>
              <w:ind w:left="120"/>
              <w:spacing w:after="0"/>
              <w:rPr>
                <w:sz w:val="20"/>
                <w:szCs w:val="20"/>
                <w:color w:val="auto"/>
              </w:rPr>
            </w:pPr>
            <w:r>
              <w:rPr>
                <w:rFonts w:ascii="Arial" w:cs="Arial" w:eastAsia="Arial" w:hAnsi="Arial"/>
                <w:sz w:val="10"/>
                <w:szCs w:val="10"/>
                <w:color w:val="auto"/>
              </w:rPr>
              <w:t>—</w:t>
            </w:r>
          </w:p>
        </w:tc>
        <w:tc>
          <w:tcPr>
            <w:tcW w:w="440" w:type="dxa"/>
            <w:vAlign w:val="bottom"/>
          </w:tcPr>
          <w:p>
            <w:pPr>
              <w:ind w:left="80"/>
              <w:spacing w:after="0"/>
              <w:rPr>
                <w:sz w:val="20"/>
                <w:szCs w:val="20"/>
                <w:color w:val="auto"/>
              </w:rPr>
            </w:pPr>
            <w:r>
              <w:rPr>
                <w:rFonts w:ascii="Arial" w:cs="Arial" w:eastAsia="Arial" w:hAnsi="Arial"/>
                <w:sz w:val="10"/>
                <w:szCs w:val="10"/>
                <w:color w:val="691A6B"/>
              </w:rPr>
              <w:t>2.7</w:t>
            </w:r>
          </w:p>
        </w:tc>
        <w:tc>
          <w:tcPr>
            <w:tcW w:w="460" w:type="dxa"/>
            <w:vAlign w:val="bottom"/>
          </w:tcPr>
          <w:p>
            <w:pPr>
              <w:ind w:left="120"/>
              <w:spacing w:after="0"/>
              <w:rPr>
                <w:sz w:val="20"/>
                <w:szCs w:val="20"/>
                <w:color w:val="auto"/>
              </w:rPr>
            </w:pPr>
            <w:r>
              <w:rPr>
                <w:rFonts w:ascii="Arial" w:cs="Arial" w:eastAsia="Arial" w:hAnsi="Arial"/>
                <w:sz w:val="10"/>
                <w:szCs w:val="10"/>
                <w:color w:val="auto"/>
              </w:rPr>
              <w:t>1.0</w:t>
            </w:r>
          </w:p>
        </w:tc>
        <w:tc>
          <w:tcPr>
            <w:tcW w:w="600" w:type="dxa"/>
            <w:vAlign w:val="bottom"/>
          </w:tcPr>
          <w:p>
            <w:pPr>
              <w:ind w:left="1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
        </w:trPr>
        <w:tc>
          <w:tcPr>
            <w:tcW w:w="1060" w:type="dxa"/>
            <w:vAlign w:val="bottom"/>
            <w:vMerge w:val="restart"/>
          </w:tcPr>
          <w:p>
            <w:pPr>
              <w:ind w:left="20"/>
              <w:spacing w:after="0"/>
              <w:rPr>
                <w:sz w:val="20"/>
                <w:szCs w:val="20"/>
                <w:color w:val="auto"/>
              </w:rPr>
            </w:pPr>
            <w:r>
              <w:rPr>
                <w:rFonts w:ascii="Arial" w:cs="Arial" w:eastAsia="Arial" w:hAnsi="Arial"/>
                <w:sz w:val="10"/>
                <w:szCs w:val="10"/>
                <w:color w:val="auto"/>
              </w:rPr>
              <w:t>Greg Mueller</w:t>
            </w:r>
          </w:p>
        </w:tc>
        <w:tc>
          <w:tcPr>
            <w:tcW w:w="460" w:type="dxa"/>
            <w:vAlign w:val="bottom"/>
            <w:vMerge w:val="restart"/>
          </w:tcPr>
          <w:p>
            <w:pPr>
              <w:ind w:left="100"/>
              <w:spacing w:after="0"/>
              <w:rPr>
                <w:sz w:val="20"/>
                <w:szCs w:val="20"/>
                <w:color w:val="auto"/>
              </w:rPr>
            </w:pPr>
            <w:r>
              <w:rPr>
                <w:rFonts w:ascii="Arial" w:cs="Arial" w:eastAsia="Arial" w:hAnsi="Arial"/>
                <w:sz w:val="10"/>
                <w:szCs w:val="10"/>
                <w:color w:val="691A6B"/>
              </w:rPr>
              <w:t>0.3</w:t>
            </w:r>
          </w:p>
        </w:tc>
        <w:tc>
          <w:tcPr>
            <w:tcW w:w="460" w:type="dxa"/>
            <w:vAlign w:val="bottom"/>
            <w:vMerge w:val="restart"/>
          </w:tcPr>
          <w:p>
            <w:pPr>
              <w:ind w:left="120"/>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ind w:left="14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ind w:left="14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ind w:left="120"/>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ind w:left="120"/>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ind w:left="120"/>
              <w:spacing w:after="0"/>
              <w:rPr>
                <w:sz w:val="20"/>
                <w:szCs w:val="20"/>
                <w:color w:val="auto"/>
              </w:rPr>
            </w:pPr>
            <w:r>
              <w:rPr>
                <w:rFonts w:ascii="Arial" w:cs="Arial" w:eastAsia="Arial" w:hAnsi="Arial"/>
                <w:sz w:val="10"/>
                <w:szCs w:val="10"/>
                <w:color w:val="691A6B"/>
              </w:rPr>
              <w:t>0.9</w:t>
            </w:r>
          </w:p>
        </w:tc>
        <w:tc>
          <w:tcPr>
            <w:tcW w:w="480" w:type="dxa"/>
            <w:vAlign w:val="bottom"/>
            <w:vMerge w:val="restart"/>
          </w:tcPr>
          <w:p>
            <w:pPr>
              <w:ind w:left="14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ind w:left="140"/>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ind w:left="140"/>
              <w:spacing w:after="0"/>
              <w:rPr>
                <w:sz w:val="20"/>
                <w:szCs w:val="20"/>
                <w:color w:val="auto"/>
              </w:rPr>
            </w:pPr>
            <w:r>
              <w:rPr>
                <w:rFonts w:ascii="Arial" w:cs="Arial" w:eastAsia="Arial" w:hAnsi="Arial"/>
                <w:sz w:val="10"/>
                <w:szCs w:val="10"/>
                <w:color w:val="691A6B"/>
              </w:rPr>
              <w:t>0.2</w:t>
            </w:r>
          </w:p>
        </w:tc>
        <w:tc>
          <w:tcPr>
            <w:tcW w:w="580" w:type="dxa"/>
            <w:vAlign w:val="bottom"/>
            <w:vMerge w:val="restart"/>
          </w:tcPr>
          <w:p>
            <w:pPr>
              <w:ind w:left="120"/>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
                <w:szCs w:val="2"/>
                <w:color w:val="auto"/>
              </w:rPr>
            </w:pPr>
          </w:p>
        </w:tc>
        <w:tc>
          <w:tcPr>
            <w:tcW w:w="36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ind w:left="12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ind w:left="80"/>
              <w:spacing w:after="0"/>
              <w:rPr>
                <w:sz w:val="20"/>
                <w:szCs w:val="20"/>
                <w:color w:val="auto"/>
              </w:rPr>
            </w:pPr>
            <w:r>
              <w:rPr>
                <w:rFonts w:ascii="Arial" w:cs="Arial" w:eastAsia="Arial" w:hAnsi="Arial"/>
                <w:sz w:val="10"/>
                <w:szCs w:val="10"/>
                <w:color w:val="691A6B"/>
              </w:rPr>
              <w:t>1.5</w:t>
            </w:r>
          </w:p>
        </w:tc>
        <w:tc>
          <w:tcPr>
            <w:tcW w:w="460" w:type="dxa"/>
            <w:vAlign w:val="bottom"/>
            <w:vMerge w:val="restart"/>
          </w:tcPr>
          <w:p>
            <w:pPr>
              <w:ind w:left="12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ind w:left="140"/>
              <w:spacing w:after="0"/>
              <w:rPr>
                <w:sz w:val="20"/>
                <w:szCs w:val="20"/>
                <w:color w:val="auto"/>
              </w:rPr>
            </w:pPr>
            <w:r>
              <w:rPr>
                <w:rFonts w:ascii="Arial" w:cs="Arial" w:eastAsia="Arial" w:hAnsi="Arial"/>
                <w:sz w:val="10"/>
                <w:szCs w:val="10"/>
                <w:color w:val="auto"/>
              </w:rPr>
              <w:t>—</w:t>
            </w:r>
          </w:p>
        </w:tc>
        <w:tc>
          <w:tcPr>
            <w:tcW w:w="0" w:type="dxa"/>
            <w:vAlign w:val="bottom"/>
          </w:tcPr>
          <w:p>
            <w:pPr>
              <w:spacing w:after="0" w:line="20" w:lineRule="exact"/>
              <w:rPr>
                <w:sz w:val="1"/>
                <w:szCs w:val="1"/>
                <w:color w:val="auto"/>
              </w:rPr>
            </w:pPr>
          </w:p>
        </w:tc>
      </w:tr>
      <w:tr>
        <w:trPr>
          <w:trHeight w:val="152"/>
        </w:trPr>
        <w:tc>
          <w:tcPr>
            <w:tcW w:w="10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80" w:type="dxa"/>
            <w:vAlign w:val="bottom"/>
            <w:shd w:val="clear" w:color="auto" w:fill="F3F3F3"/>
          </w:tcPr>
          <w:p>
            <w:pPr>
              <w:ind w:left="20"/>
              <w:spacing w:after="0"/>
              <w:rPr>
                <w:sz w:val="20"/>
                <w:szCs w:val="20"/>
                <w:color w:val="auto"/>
              </w:rPr>
            </w:pPr>
            <w:r>
              <w:rPr>
                <w:rFonts w:ascii="Arial" w:cs="Arial" w:eastAsia="Arial" w:hAnsi="Arial"/>
                <w:sz w:val="10"/>
                <w:szCs w:val="10"/>
                <w:color w:val="691A6B"/>
              </w:rPr>
              <w:t>0.1</w:t>
            </w:r>
          </w:p>
        </w:tc>
        <w:tc>
          <w:tcPr>
            <w:tcW w:w="3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460" w:type="dxa"/>
            <w:vAlign w:val="bottom"/>
          </w:tcPr>
          <w:p>
            <w:pPr>
              <w:ind w:left="100"/>
              <w:spacing w:after="0"/>
              <w:rPr>
                <w:sz w:val="20"/>
                <w:szCs w:val="20"/>
                <w:color w:val="auto"/>
              </w:rPr>
            </w:pPr>
            <w:r>
              <w:rPr>
                <w:rFonts w:ascii="Arial" w:cs="Arial" w:eastAsia="Arial" w:hAnsi="Arial"/>
                <w:sz w:val="10"/>
                <w:szCs w:val="10"/>
                <w:b w:val="1"/>
                <w:bCs w:val="1"/>
                <w:color w:val="691A6B"/>
              </w:rPr>
              <w:t>6.7</w:t>
            </w:r>
          </w:p>
        </w:tc>
        <w:tc>
          <w:tcPr>
            <w:tcW w:w="460" w:type="dxa"/>
            <w:vAlign w:val="bottom"/>
          </w:tcPr>
          <w:p>
            <w:pPr>
              <w:ind w:left="120"/>
              <w:spacing w:after="0"/>
              <w:rPr>
                <w:sz w:val="20"/>
                <w:szCs w:val="20"/>
                <w:color w:val="auto"/>
              </w:rPr>
            </w:pPr>
            <w:r>
              <w:rPr>
                <w:rFonts w:ascii="Arial" w:cs="Arial" w:eastAsia="Arial" w:hAnsi="Arial"/>
                <w:sz w:val="10"/>
                <w:szCs w:val="10"/>
                <w:b w:val="1"/>
                <w:bCs w:val="1"/>
                <w:color w:val="auto"/>
              </w:rPr>
              <w:t>6.1</w:t>
            </w:r>
          </w:p>
        </w:tc>
        <w:tc>
          <w:tcPr>
            <w:tcW w:w="500" w:type="dxa"/>
            <w:vAlign w:val="bottom"/>
          </w:tcPr>
          <w:p>
            <w:pPr>
              <w:ind w:left="140"/>
              <w:spacing w:after="0"/>
              <w:rPr>
                <w:sz w:val="20"/>
                <w:szCs w:val="20"/>
                <w:color w:val="auto"/>
              </w:rPr>
            </w:pPr>
            <w:r>
              <w:rPr>
                <w:rFonts w:ascii="Arial" w:cs="Arial" w:eastAsia="Arial" w:hAnsi="Arial"/>
                <w:sz w:val="10"/>
                <w:szCs w:val="10"/>
                <w:b w:val="1"/>
                <w:bCs w:val="1"/>
                <w:color w:val="auto"/>
              </w:rPr>
              <w:t>5.3</w:t>
            </w:r>
          </w:p>
        </w:tc>
        <w:tc>
          <w:tcPr>
            <w:tcW w:w="480" w:type="dxa"/>
            <w:vAlign w:val="bottom"/>
          </w:tcPr>
          <w:p>
            <w:pPr>
              <w:ind w:left="140"/>
              <w:spacing w:after="0"/>
              <w:rPr>
                <w:sz w:val="20"/>
                <w:szCs w:val="20"/>
                <w:color w:val="auto"/>
              </w:rPr>
            </w:pPr>
            <w:r>
              <w:rPr>
                <w:rFonts w:ascii="Arial" w:cs="Arial" w:eastAsia="Arial" w:hAnsi="Arial"/>
                <w:sz w:val="10"/>
                <w:szCs w:val="10"/>
                <w:b w:val="1"/>
                <w:bCs w:val="1"/>
                <w:color w:val="691A6B"/>
              </w:rPr>
              <w:t>0.4</w:t>
            </w:r>
          </w:p>
        </w:tc>
        <w:tc>
          <w:tcPr>
            <w:tcW w:w="480" w:type="dxa"/>
            <w:vAlign w:val="bottom"/>
          </w:tcPr>
          <w:p>
            <w:pPr>
              <w:ind w:left="120"/>
              <w:spacing w:after="0"/>
              <w:rPr>
                <w:sz w:val="20"/>
                <w:szCs w:val="20"/>
                <w:color w:val="auto"/>
              </w:rPr>
            </w:pPr>
            <w:r>
              <w:rPr>
                <w:rFonts w:ascii="Arial" w:cs="Arial" w:eastAsia="Arial" w:hAnsi="Arial"/>
                <w:sz w:val="10"/>
                <w:szCs w:val="10"/>
                <w:b w:val="1"/>
                <w:bCs w:val="1"/>
                <w:color w:val="auto"/>
              </w:rPr>
              <w:t>0.3</w:t>
            </w:r>
          </w:p>
        </w:tc>
        <w:tc>
          <w:tcPr>
            <w:tcW w:w="500" w:type="dxa"/>
            <w:vAlign w:val="bottom"/>
          </w:tcPr>
          <w:p>
            <w:pPr>
              <w:ind w:left="120"/>
              <w:spacing w:after="0"/>
              <w:rPr>
                <w:sz w:val="20"/>
                <w:szCs w:val="20"/>
                <w:color w:val="auto"/>
              </w:rPr>
            </w:pPr>
            <w:r>
              <w:rPr>
                <w:rFonts w:ascii="Arial" w:cs="Arial" w:eastAsia="Arial" w:hAnsi="Arial"/>
                <w:sz w:val="10"/>
                <w:szCs w:val="10"/>
                <w:b w:val="1"/>
                <w:bCs w:val="1"/>
                <w:color w:val="auto"/>
              </w:rPr>
              <w:t>0.3</w:t>
            </w:r>
          </w:p>
        </w:tc>
        <w:tc>
          <w:tcPr>
            <w:tcW w:w="460" w:type="dxa"/>
            <w:vAlign w:val="bottom"/>
          </w:tcPr>
          <w:p>
            <w:pPr>
              <w:ind w:left="120"/>
              <w:spacing w:after="0"/>
              <w:rPr>
                <w:sz w:val="20"/>
                <w:szCs w:val="20"/>
                <w:color w:val="auto"/>
              </w:rPr>
            </w:pPr>
            <w:r>
              <w:rPr>
                <w:rFonts w:ascii="Arial" w:cs="Arial" w:eastAsia="Arial" w:hAnsi="Arial"/>
                <w:sz w:val="10"/>
                <w:szCs w:val="10"/>
                <w:b w:val="1"/>
                <w:bCs w:val="1"/>
                <w:color w:val="691A6B"/>
              </w:rPr>
              <w:t>3.5</w:t>
            </w:r>
          </w:p>
        </w:tc>
        <w:tc>
          <w:tcPr>
            <w:tcW w:w="480" w:type="dxa"/>
            <w:vAlign w:val="bottom"/>
          </w:tcPr>
          <w:p>
            <w:pPr>
              <w:ind w:left="140"/>
              <w:spacing w:after="0"/>
              <w:rPr>
                <w:sz w:val="20"/>
                <w:szCs w:val="20"/>
                <w:color w:val="auto"/>
              </w:rPr>
            </w:pPr>
            <w:r>
              <w:rPr>
                <w:rFonts w:ascii="Arial" w:cs="Arial" w:eastAsia="Arial" w:hAnsi="Arial"/>
                <w:sz w:val="10"/>
                <w:szCs w:val="10"/>
                <w:b w:val="1"/>
                <w:bCs w:val="1"/>
                <w:color w:val="auto"/>
              </w:rPr>
              <w:t>3.1</w:t>
            </w:r>
          </w:p>
        </w:tc>
        <w:tc>
          <w:tcPr>
            <w:tcW w:w="480" w:type="dxa"/>
            <w:vAlign w:val="bottom"/>
          </w:tcPr>
          <w:p>
            <w:pPr>
              <w:ind w:left="140"/>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140"/>
              <w:spacing w:after="0"/>
              <w:rPr>
                <w:sz w:val="20"/>
                <w:szCs w:val="20"/>
                <w:color w:val="auto"/>
              </w:rPr>
            </w:pPr>
            <w:r>
              <w:rPr>
                <w:rFonts w:ascii="Arial" w:cs="Arial" w:eastAsia="Arial" w:hAnsi="Arial"/>
                <w:sz w:val="10"/>
                <w:szCs w:val="10"/>
                <w:b w:val="1"/>
                <w:bCs w:val="1"/>
                <w:color w:val="691A6B"/>
              </w:rPr>
              <w:t>4.5</w:t>
            </w:r>
          </w:p>
        </w:tc>
        <w:tc>
          <w:tcPr>
            <w:tcW w:w="580" w:type="dxa"/>
            <w:vAlign w:val="bottom"/>
          </w:tcPr>
          <w:p>
            <w:pPr>
              <w:ind w:left="120"/>
              <w:spacing w:after="0"/>
              <w:rPr>
                <w:sz w:val="20"/>
                <w:szCs w:val="20"/>
                <w:color w:val="auto"/>
              </w:rPr>
            </w:pPr>
            <w:r>
              <w:rPr>
                <w:rFonts w:ascii="Arial" w:cs="Arial" w:eastAsia="Arial" w:hAnsi="Arial"/>
                <w:sz w:val="10"/>
                <w:szCs w:val="10"/>
                <w:b w:val="1"/>
                <w:bCs w:val="1"/>
                <w:color w:val="auto"/>
              </w:rPr>
              <w:t>4.0</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3.6</w:t>
            </w:r>
          </w:p>
        </w:tc>
        <w:tc>
          <w:tcPr>
            <w:tcW w:w="480" w:type="dxa"/>
            <w:vAlign w:val="bottom"/>
          </w:tcPr>
          <w:p>
            <w:pPr>
              <w:ind w:left="20"/>
              <w:spacing w:after="0"/>
              <w:rPr>
                <w:sz w:val="20"/>
                <w:szCs w:val="20"/>
                <w:color w:val="auto"/>
              </w:rPr>
            </w:pPr>
            <w:r>
              <w:rPr>
                <w:rFonts w:ascii="Arial" w:cs="Arial" w:eastAsia="Arial" w:hAnsi="Arial"/>
                <w:sz w:val="10"/>
                <w:szCs w:val="10"/>
                <w:b w:val="1"/>
                <w:bCs w:val="1"/>
                <w:color w:val="691A6B"/>
              </w:rPr>
              <w:t>27.9</w:t>
            </w:r>
          </w:p>
        </w:tc>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21.3</w:t>
            </w:r>
          </w:p>
        </w:tc>
        <w:tc>
          <w:tcPr>
            <w:tcW w:w="540" w:type="dxa"/>
            <w:vAlign w:val="bottom"/>
          </w:tcPr>
          <w:p>
            <w:pPr>
              <w:ind w:left="120"/>
              <w:spacing w:after="0"/>
              <w:rPr>
                <w:sz w:val="20"/>
                <w:szCs w:val="20"/>
                <w:color w:val="auto"/>
              </w:rPr>
            </w:pPr>
            <w:r>
              <w:rPr>
                <w:rFonts w:ascii="Arial" w:cs="Arial" w:eastAsia="Arial" w:hAnsi="Arial"/>
                <w:sz w:val="10"/>
                <w:szCs w:val="10"/>
                <w:b w:val="1"/>
                <w:bCs w:val="1"/>
                <w:color w:val="auto"/>
              </w:rPr>
              <w:t>13.6</w:t>
            </w:r>
          </w:p>
        </w:tc>
        <w:tc>
          <w:tcPr>
            <w:tcW w:w="440" w:type="dxa"/>
            <w:vAlign w:val="bottom"/>
          </w:tcPr>
          <w:p>
            <w:pPr>
              <w:ind w:left="80"/>
              <w:spacing w:after="0"/>
              <w:rPr>
                <w:sz w:val="20"/>
                <w:szCs w:val="20"/>
                <w:color w:val="auto"/>
              </w:rPr>
            </w:pPr>
            <w:r>
              <w:rPr>
                <w:rFonts w:ascii="Arial" w:cs="Arial" w:eastAsia="Arial" w:hAnsi="Arial"/>
                <w:sz w:val="10"/>
                <w:szCs w:val="10"/>
                <w:b w:val="1"/>
                <w:bCs w:val="1"/>
                <w:color w:val="691A6B"/>
              </w:rPr>
              <w:t>43.0</w:t>
            </w:r>
          </w:p>
        </w:tc>
        <w:tc>
          <w:tcPr>
            <w:tcW w:w="460" w:type="dxa"/>
            <w:vAlign w:val="bottom"/>
          </w:tcPr>
          <w:p>
            <w:pPr>
              <w:ind w:left="120"/>
              <w:spacing w:after="0"/>
              <w:rPr>
                <w:sz w:val="20"/>
                <w:szCs w:val="20"/>
                <w:color w:val="auto"/>
              </w:rPr>
            </w:pPr>
            <w:r>
              <w:rPr>
                <w:rFonts w:ascii="Arial" w:cs="Arial" w:eastAsia="Arial" w:hAnsi="Arial"/>
                <w:sz w:val="10"/>
                <w:szCs w:val="10"/>
                <w:b w:val="1"/>
                <w:bCs w:val="1"/>
                <w:color w:val="auto"/>
              </w:rPr>
              <w:t>34.8</w:t>
            </w:r>
          </w:p>
        </w:tc>
        <w:tc>
          <w:tcPr>
            <w:tcW w:w="600" w:type="dxa"/>
            <w:vAlign w:val="bottom"/>
          </w:tcPr>
          <w:p>
            <w:pPr>
              <w:ind w:left="140"/>
              <w:spacing w:after="0"/>
              <w:rPr>
                <w:sz w:val="20"/>
                <w:szCs w:val="20"/>
                <w:color w:val="auto"/>
              </w:rPr>
            </w:pPr>
            <w:r>
              <w:rPr>
                <w:rFonts w:ascii="Arial" w:cs="Arial" w:eastAsia="Arial" w:hAnsi="Arial"/>
                <w:sz w:val="10"/>
                <w:szCs w:val="10"/>
                <w:b w:val="1"/>
                <w:bCs w:val="1"/>
                <w:color w:val="auto"/>
              </w:rPr>
              <w:t>22.8</w:t>
            </w:r>
          </w:p>
        </w:tc>
        <w:tc>
          <w:tcPr>
            <w:tcW w:w="0" w:type="dxa"/>
            <w:vAlign w:val="bottom"/>
          </w:tcPr>
          <w:p>
            <w:pPr>
              <w:spacing w:after="0"/>
              <w:rPr>
                <w:sz w:val="1"/>
                <w:szCs w:val="1"/>
                <w:color w:val="auto"/>
              </w:rPr>
            </w:pPr>
          </w:p>
        </w:tc>
      </w:tr>
    </w:tbl>
    <w:p>
      <w:pPr>
        <w:ind w:left="80" w:hanging="74"/>
        <w:spacing w:after="0"/>
        <w:tabs>
          <w:tab w:leader="none" w:pos="80" w:val="left"/>
        </w:tabs>
        <w:numPr>
          <w:ilvl w:val="0"/>
          <w:numId w:val="38"/>
        </w:numPr>
        <w:rPr>
          <w:rFonts w:ascii="Arial" w:cs="Arial" w:eastAsia="Arial" w:hAnsi="Arial"/>
          <w:sz w:val="7"/>
          <w:szCs w:val="7"/>
          <w:color w:val="auto"/>
        </w:rPr>
      </w:pPr>
      <w:r>
        <w:rPr>
          <w:rFonts w:ascii="Arial" w:cs="Arial" w:eastAsia="Arial" w:hAnsi="Arial"/>
          <w:sz w:val="7"/>
          <w:szCs w:val="7"/>
          <w:color w:val="auto"/>
        </w:rPr>
        <w:t>Birgitte Stephensen and Christopher Cozic were appointed Chief Legal Officer and Chief People Officer, respectively, and members of the Executive Management in March 2022.</w:t>
      </w:r>
    </w:p>
    <w:p>
      <w:pPr>
        <w:spacing w:after="0" w:line="13" w:lineRule="exact"/>
        <w:rPr>
          <w:rFonts w:ascii="Arial" w:cs="Arial" w:eastAsia="Arial" w:hAnsi="Arial"/>
          <w:sz w:val="7"/>
          <w:szCs w:val="7"/>
          <w:color w:val="auto"/>
        </w:rPr>
      </w:pPr>
    </w:p>
    <w:p>
      <w:pPr>
        <w:ind w:left="80" w:hanging="74"/>
        <w:spacing w:after="0"/>
        <w:tabs>
          <w:tab w:leader="none" w:pos="80" w:val="left"/>
        </w:tabs>
        <w:numPr>
          <w:ilvl w:val="0"/>
          <w:numId w:val="38"/>
        </w:numPr>
        <w:rPr>
          <w:rFonts w:ascii="Arial" w:cs="Arial" w:eastAsia="Arial" w:hAnsi="Arial"/>
          <w:sz w:val="7"/>
          <w:szCs w:val="7"/>
          <w:color w:val="auto"/>
        </w:rPr>
      </w:pPr>
      <w:r>
        <w:rPr>
          <w:rFonts w:ascii="Arial" w:cs="Arial" w:eastAsia="Arial" w:hAnsi="Arial"/>
          <w:sz w:val="7"/>
          <w:szCs w:val="7"/>
          <w:color w:val="auto"/>
        </w:rPr>
        <w:t>Martine van Vugt was appointed Chief Strategy Officer and member of the Executive Management in March 2023.</w:t>
      </w:r>
    </w:p>
    <w:p>
      <w:pPr>
        <w:spacing w:after="0" w:line="5" w:lineRule="exact"/>
        <w:rPr>
          <w:rFonts w:ascii="Arial" w:cs="Arial" w:eastAsia="Arial" w:hAnsi="Arial"/>
          <w:sz w:val="7"/>
          <w:szCs w:val="7"/>
          <w:color w:val="auto"/>
        </w:rPr>
      </w:pPr>
    </w:p>
    <w:p>
      <w:pPr>
        <w:ind w:left="80" w:hanging="74"/>
        <w:spacing w:after="0"/>
        <w:tabs>
          <w:tab w:leader="none" w:pos="80" w:val="left"/>
        </w:tabs>
        <w:numPr>
          <w:ilvl w:val="0"/>
          <w:numId w:val="38"/>
        </w:numPr>
        <w:rPr>
          <w:rFonts w:ascii="Arial" w:cs="Arial" w:eastAsia="Arial" w:hAnsi="Arial"/>
          <w:sz w:val="7"/>
          <w:szCs w:val="7"/>
          <w:color w:val="auto"/>
        </w:rPr>
      </w:pPr>
      <w:r>
        <w:rPr>
          <w:rFonts w:ascii="Arial" w:cs="Arial" w:eastAsia="Arial" w:hAnsi="Arial"/>
          <w:sz w:val="7"/>
          <w:szCs w:val="7"/>
          <w:color w:val="auto"/>
        </w:rPr>
        <w:t>Anthony Mancini stepped down as Executive Vice President and Chief Operating Officer in September 2024.</w:t>
      </w:r>
    </w:p>
    <w:p>
      <w:pPr>
        <w:spacing w:after="0" w:line="5" w:lineRule="exact"/>
        <w:rPr>
          <w:rFonts w:ascii="Arial" w:cs="Arial" w:eastAsia="Arial" w:hAnsi="Arial"/>
          <w:sz w:val="7"/>
          <w:szCs w:val="7"/>
          <w:color w:val="auto"/>
        </w:rPr>
      </w:pPr>
    </w:p>
    <w:p>
      <w:pPr>
        <w:ind w:right="820" w:firstLine="6"/>
        <w:spacing w:after="0" w:line="243" w:lineRule="auto"/>
        <w:tabs>
          <w:tab w:leader="none" w:pos="76" w:val="left"/>
        </w:tabs>
        <w:numPr>
          <w:ilvl w:val="0"/>
          <w:numId w:val="38"/>
        </w:numPr>
        <w:rPr>
          <w:rFonts w:ascii="Arial" w:cs="Arial" w:eastAsia="Arial" w:hAnsi="Arial"/>
          <w:sz w:val="7"/>
          <w:szCs w:val="7"/>
          <w:color w:val="auto"/>
        </w:rPr>
      </w:pPr>
      <w:r>
        <w:rPr>
          <w:rFonts w:ascii="Arial" w:cs="Arial" w:eastAsia="Arial" w:hAnsi="Arial"/>
          <w:sz w:val="7"/>
          <w:szCs w:val="7"/>
          <w:color w:val="auto"/>
        </w:rPr>
        <w:t>Brad Bailey and Rayne Waller were appointed Executive Vice President and Chief Commercial Officer, and Executive Vice President and Chief Technical Operations Officer, respectively, and members of the Executive Management in August 2024.</w:t>
      </w:r>
    </w:p>
    <w:p>
      <w:pPr>
        <w:spacing w:after="0" w:line="82" w:lineRule="exact"/>
        <w:rPr>
          <w:rFonts w:ascii="Arial" w:cs="Arial" w:eastAsia="Arial" w:hAnsi="Arial"/>
          <w:sz w:val="7"/>
          <w:szCs w:val="7"/>
          <w:color w:val="auto"/>
        </w:rPr>
      </w:pPr>
    </w:p>
    <w:p>
      <w:pPr>
        <w:spacing w:after="0" w:line="237" w:lineRule="auto"/>
        <w:rPr>
          <w:rFonts w:ascii="Arial" w:cs="Arial" w:eastAsia="Arial" w:hAnsi="Arial"/>
          <w:sz w:val="10"/>
          <w:szCs w:val="10"/>
          <w:color w:val="691A6B"/>
        </w:rPr>
      </w:pPr>
      <w:r>
        <w:rPr>
          <w:rFonts w:ascii="Arial" w:cs="Arial" w:eastAsia="Arial" w:hAnsi="Arial"/>
          <w:sz w:val="10"/>
          <w:szCs w:val="10"/>
          <w:color w:val="auto"/>
        </w:rPr>
        <w:t xml:space="preserve">Jan van de Winkel, President and Chief Executive Officer, and Anthony Pagano, Executive Vice President and Chief Financial Officer, are formally registered as executive managers with the Danish Business Authority. </w:t>
      </w:r>
      <w:hyperlink w:anchor="page109">
        <w:r>
          <w:rPr>
            <w:rFonts w:ascii="Arial" w:cs="Arial" w:eastAsia="Arial" w:hAnsi="Arial"/>
            <w:sz w:val="10"/>
            <w:szCs w:val="10"/>
            <w:color w:val="691A6B"/>
          </w:rPr>
          <w:t xml:space="preserve">Refer to the section </w:t>
        </w:r>
      </w:hyperlink>
      <w:r>
        <w:rPr>
          <w:rFonts w:ascii="Arial" w:cs="Arial" w:eastAsia="Arial" w:hAnsi="Arial"/>
          <w:sz w:val="10"/>
          <w:szCs w:val="10"/>
          <w:color w:val="691A6B"/>
        </w:rPr>
        <w:t>“</w:t>
      </w:r>
      <w:hyperlink w:anchor="page109">
        <w:r>
          <w:rPr>
            <w:rFonts w:ascii="Arial" w:cs="Arial" w:eastAsia="Arial" w:hAnsi="Arial"/>
            <w:sz w:val="10"/>
            <w:szCs w:val="10"/>
            <w:b w:val="1"/>
            <w:bCs w:val="1"/>
            <w:color w:val="691A6B"/>
          </w:rPr>
          <w:t>Executive Management</w:t>
        </w:r>
        <w:r>
          <w:rPr>
            <w:rFonts w:ascii="Arial" w:cs="Arial" w:eastAsia="Arial" w:hAnsi="Arial"/>
            <w:sz w:val="10"/>
            <w:szCs w:val="10"/>
            <w:color w:val="691A6B"/>
          </w:rPr>
          <w:t>” in Management’s Review for additional information regarding the Executive Management.</w:t>
        </w:r>
      </w:hyperlink>
    </w:p>
    <w:p>
      <w:pPr>
        <w:sectPr>
          <w:pgSz w:w="11900" w:h="16840" w:orient="portrait"/>
          <w:cols w:equalWidth="0" w:num="1">
            <w:col w:w="10040"/>
          </w:cols>
          <w:pgMar w:left="640" w:top="571" w:right="1220" w:bottom="1440" w:gutter="0" w:footer="0" w:header="0"/>
        </w:sectPr>
      </w:pPr>
    </w:p>
    <w:bookmarkStart w:id="155" w:name="page156"/>
    <w:bookmarkEnd w:id="155"/>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3"/>
          <w:szCs w:val="13"/>
          <w:b w:val="1"/>
          <w:bCs w:val="1"/>
          <w:color w:val="691A6B"/>
        </w:rPr>
        <w:t>Severance Payments</w:t>
      </w:r>
    </w:p>
    <w:p>
      <w:pPr>
        <w:ind w:right="2480"/>
        <w:spacing w:after="0" w:line="199" w:lineRule="auto"/>
        <w:rPr>
          <w:sz w:val="20"/>
          <w:szCs w:val="20"/>
          <w:color w:val="auto"/>
        </w:rPr>
      </w:pPr>
      <w:r>
        <w:rPr>
          <w:rFonts w:ascii="Arial" w:cs="Arial" w:eastAsia="Arial" w:hAnsi="Arial"/>
          <w:sz w:val="10"/>
          <w:szCs w:val="10"/>
          <w:color w:val="auto"/>
        </w:rPr>
        <w:t>In the event Genmab terminates the service agreements with any member of the Executive Management team without cause, Genmab is obliged to pay his/her existing salary for one or two years after the end of the one-year notice period. However, in the event of termination by Genmab (unless for cause) or by any member of Executive Management as a result of a change of control of Genmab, Genmab is obliged to pay compensation equal to his/her existing total salary (including benefits) for up to two years in addition to the notice period. The total value of remuneration relating to the notice period for new members of Executive Management cannot exceed two years of remuneration, including all components of the remuneration. In case of the termination of the service agreements of the Executive Management without cause, the total impact on Genmab’s financial position is estimated to be approximately $19 million as of December 31, 2025 (2024: $ 17 million, 2023: $15 million).</w:t>
      </w:r>
    </w:p>
    <w:p>
      <w:pPr>
        <w:spacing w:after="0" w:line="209" w:lineRule="auto"/>
        <w:rPr>
          <w:sz w:val="20"/>
          <w:szCs w:val="20"/>
          <w:color w:val="auto"/>
        </w:rPr>
      </w:pPr>
      <w:r>
        <w:rPr>
          <w:rFonts w:ascii="Arial" w:cs="Arial" w:eastAsia="Arial" w:hAnsi="Arial"/>
          <w:sz w:val="15"/>
          <w:szCs w:val="15"/>
          <w:b w:val="1"/>
          <w:bCs w:val="1"/>
          <w:color w:val="691A6B"/>
        </w:rPr>
        <w:t>5.2 - Related Party Disclosures</w:t>
      </w:r>
    </w:p>
    <w:p>
      <w:pPr>
        <w:ind w:right="3200"/>
        <w:spacing w:after="0" w:line="198" w:lineRule="auto"/>
        <w:rPr>
          <w:sz w:val="20"/>
          <w:szCs w:val="20"/>
          <w:color w:val="auto"/>
        </w:rPr>
      </w:pPr>
      <w:r>
        <w:rPr>
          <w:rFonts w:ascii="Arial" w:cs="Arial" w:eastAsia="Arial" w:hAnsi="Arial"/>
          <w:sz w:val="10"/>
          <w:szCs w:val="10"/>
          <w:color w:val="auto"/>
        </w:rPr>
        <w:t>Genmab’s related parties are its Board, Executive Management, and close members of the family of these persons.</w:t>
      </w:r>
    </w:p>
    <w:p>
      <w:pPr>
        <w:spacing w:after="0" w:line="1" w:lineRule="exact"/>
        <w:rPr>
          <w:rFonts w:ascii="Arial" w:cs="Arial" w:eastAsia="Arial" w:hAnsi="Arial"/>
          <w:sz w:val="10"/>
          <w:szCs w:val="10"/>
          <w:color w:val="auto"/>
        </w:rPr>
      </w:pPr>
    </w:p>
    <w:p>
      <w:pPr>
        <w:ind w:right="2840"/>
        <w:spacing w:after="0" w:line="198" w:lineRule="auto"/>
        <w:rPr>
          <w:sz w:val="20"/>
          <w:szCs w:val="20"/>
          <w:color w:val="auto"/>
        </w:rPr>
      </w:pPr>
      <w:r>
        <w:rPr>
          <w:rFonts w:ascii="Arial" w:cs="Arial" w:eastAsia="Arial" w:hAnsi="Arial"/>
          <w:sz w:val="10"/>
          <w:szCs w:val="10"/>
          <w:color w:val="auto"/>
        </w:rPr>
        <w:t>Genmab has not granted any loans, guarantees or other commitments to or on behalf of any of the members of the Board or members of the Executive Management.</w:t>
      </w:r>
    </w:p>
    <w:p>
      <w:pPr>
        <w:spacing w:after="0" w:line="1" w:lineRule="exact"/>
        <w:rPr>
          <w:rFonts w:ascii="Arial" w:cs="Arial" w:eastAsia="Arial" w:hAnsi="Arial"/>
          <w:sz w:val="10"/>
          <w:szCs w:val="10"/>
          <w:color w:val="auto"/>
        </w:rPr>
      </w:pPr>
    </w:p>
    <w:p>
      <w:pPr>
        <w:jc w:val="both"/>
        <w:ind w:right="2600"/>
        <w:spacing w:after="0" w:line="201" w:lineRule="auto"/>
        <w:rPr>
          <w:rFonts w:ascii="Arial" w:cs="Arial" w:eastAsia="Arial" w:hAnsi="Arial"/>
          <w:sz w:val="10"/>
          <w:szCs w:val="10"/>
          <w:color w:val="auto"/>
        </w:rPr>
      </w:pPr>
      <w:r>
        <w:rPr>
          <w:rFonts w:ascii="Arial" w:cs="Arial" w:eastAsia="Arial" w:hAnsi="Arial"/>
          <w:sz w:val="10"/>
          <w:szCs w:val="10"/>
          <w:color w:val="auto"/>
        </w:rPr>
        <w:t xml:space="preserve">Other than the remuneration and other transactions relating to the Board of Directors and the Executive Management described in </w:t>
      </w:r>
      <w:hyperlink w:anchor="page154">
        <w:r>
          <w:rPr>
            <w:rFonts w:ascii="Arial" w:cs="Arial" w:eastAsia="Arial" w:hAnsi="Arial"/>
            <w:sz w:val="10"/>
            <w:szCs w:val="10"/>
            <w:b w:val="1"/>
            <w:bCs w:val="1"/>
            <w:color w:val="691A6B"/>
          </w:rPr>
          <w:t xml:space="preserve">Note </w:t>
        </w:r>
      </w:hyperlink>
      <w:r>
        <w:rPr>
          <w:rFonts w:ascii="Arial" w:cs="Arial" w:eastAsia="Arial" w:hAnsi="Arial"/>
          <w:sz w:val="10"/>
          <w:szCs w:val="10"/>
          <w:color w:val="auto"/>
        </w:rPr>
        <w:t>5.1, there were no material related party transactions during 2025, 2024 and 2023.</w:t>
      </w:r>
    </w:p>
    <w:p>
      <w:pPr>
        <w:spacing w:after="0" w:line="210" w:lineRule="auto"/>
        <w:rPr>
          <w:sz w:val="20"/>
          <w:szCs w:val="20"/>
          <w:color w:val="auto"/>
        </w:rPr>
      </w:pPr>
      <w:r>
        <w:rPr>
          <w:rFonts w:ascii="Arial" w:cs="Arial" w:eastAsia="Arial" w:hAnsi="Arial"/>
          <w:sz w:val="15"/>
          <w:szCs w:val="15"/>
          <w:b w:val="1"/>
          <w:bCs w:val="1"/>
          <w:color w:val="691A6B"/>
        </w:rPr>
        <w:t>5.3 - Commitments</w:t>
      </w:r>
    </w:p>
    <w:p>
      <w:pPr>
        <w:spacing w:after="0" w:line="210" w:lineRule="auto"/>
        <w:rPr>
          <w:sz w:val="20"/>
          <w:szCs w:val="20"/>
          <w:color w:val="auto"/>
        </w:rPr>
      </w:pPr>
      <w:r>
        <w:rPr>
          <w:rFonts w:ascii="Arial" w:cs="Arial" w:eastAsia="Arial" w:hAnsi="Arial"/>
          <w:sz w:val="13"/>
          <w:szCs w:val="13"/>
          <w:b w:val="1"/>
          <w:bCs w:val="1"/>
          <w:color w:val="691A6B"/>
        </w:rPr>
        <w:t>Purchase Obligations</w:t>
      </w:r>
    </w:p>
    <w:p>
      <w:pPr>
        <w:ind w:right="2600"/>
        <w:spacing w:after="0" w:line="198" w:lineRule="auto"/>
        <w:rPr>
          <w:sz w:val="20"/>
          <w:szCs w:val="20"/>
          <w:color w:val="auto"/>
        </w:rPr>
      </w:pPr>
      <w:r>
        <w:rPr>
          <w:rFonts w:ascii="Arial" w:cs="Arial" w:eastAsia="Arial" w:hAnsi="Arial"/>
          <w:sz w:val="10"/>
          <w:szCs w:val="10"/>
          <w:color w:val="auto"/>
        </w:rPr>
        <w:t>Genmab has entered into a number of agreements related to research and development activities that contain various obligations. These contractual obligations amounted to approximately $608 million as of December 31, 2025 (2024: approximately $403 million).</w:t>
      </w:r>
    </w:p>
    <w:p>
      <w:pPr>
        <w:spacing w:after="0" w:line="1" w:lineRule="exact"/>
        <w:rPr>
          <w:rFonts w:ascii="Arial" w:cs="Arial" w:eastAsia="Arial" w:hAnsi="Arial"/>
          <w:sz w:val="10"/>
          <w:szCs w:val="10"/>
          <w:color w:val="auto"/>
        </w:rPr>
      </w:pPr>
    </w:p>
    <w:p>
      <w:pPr>
        <w:ind w:right="2500"/>
        <w:spacing w:after="0" w:line="198" w:lineRule="auto"/>
        <w:rPr>
          <w:sz w:val="20"/>
          <w:szCs w:val="20"/>
          <w:color w:val="auto"/>
        </w:rPr>
      </w:pPr>
      <w:r>
        <w:rPr>
          <w:rFonts w:ascii="Arial" w:cs="Arial" w:eastAsia="Arial" w:hAnsi="Arial"/>
          <w:sz w:val="10"/>
          <w:szCs w:val="10"/>
          <w:color w:val="auto"/>
        </w:rPr>
        <w:t>Genmab also has certain contingent commitments under license and collaboration agreements that may become due in the future. As of December 31, 2025, these contingent commitments amounted to approximately $2.7 billion in potential future development, regulatory and commercial milestone payments to third parties under license and collaboration agreements for our preclinical and clinical stage development programs as compared to approximately $2.2 billion as of December 31, 2024.</w:t>
      </w:r>
    </w:p>
    <w:p>
      <w:pPr>
        <w:spacing w:after="0" w:line="2" w:lineRule="exact"/>
        <w:rPr>
          <w:rFonts w:ascii="Arial" w:cs="Arial" w:eastAsia="Arial" w:hAnsi="Arial"/>
          <w:sz w:val="10"/>
          <w:szCs w:val="10"/>
          <w:color w:val="auto"/>
        </w:rPr>
      </w:pPr>
    </w:p>
    <w:p>
      <w:pPr>
        <w:jc w:val="both"/>
        <w:ind w:right="2760"/>
        <w:spacing w:after="0" w:line="198" w:lineRule="auto"/>
        <w:rPr>
          <w:sz w:val="20"/>
          <w:szCs w:val="20"/>
          <w:color w:val="auto"/>
        </w:rPr>
      </w:pPr>
      <w:r>
        <w:rPr>
          <w:rFonts w:ascii="Arial" w:cs="Arial" w:eastAsia="Arial" w:hAnsi="Arial"/>
          <w:sz w:val="10"/>
          <w:szCs w:val="10"/>
          <w:color w:val="auto"/>
        </w:rPr>
        <w:t>These milestone payments generally become due and payable only upon the achievement of certain development, clinical, regulatory or commercial milestones. The events triggering such payments or obligations have not yet occurred.</w:t>
      </w:r>
    </w:p>
    <w:p>
      <w:pPr>
        <w:spacing w:after="0" w:line="1" w:lineRule="exact"/>
        <w:rPr>
          <w:rFonts w:ascii="Arial" w:cs="Arial" w:eastAsia="Arial" w:hAnsi="Arial"/>
          <w:sz w:val="10"/>
          <w:szCs w:val="10"/>
          <w:color w:val="auto"/>
        </w:rPr>
      </w:pPr>
    </w:p>
    <w:p>
      <w:pPr>
        <w:ind w:right="2600"/>
        <w:spacing w:after="0" w:line="200" w:lineRule="auto"/>
        <w:rPr>
          <w:sz w:val="20"/>
          <w:szCs w:val="20"/>
          <w:color w:val="auto"/>
        </w:rPr>
      </w:pPr>
      <w:r>
        <w:rPr>
          <w:rFonts w:ascii="Arial" w:cs="Arial" w:eastAsia="Arial" w:hAnsi="Arial"/>
          <w:sz w:val="10"/>
          <w:szCs w:val="10"/>
          <w:color w:val="auto"/>
        </w:rPr>
        <w:t>In addition to the above obligations, Genmab enters into a variety of agreements and financial commitments in the normal course of business. The terms generally allow Genmab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219" w:lineRule="auto"/>
        <w:rPr>
          <w:sz w:val="20"/>
          <w:szCs w:val="20"/>
          <w:color w:val="auto"/>
        </w:rPr>
      </w:pPr>
      <w:r>
        <w:rPr>
          <w:rFonts w:ascii="Arial" w:cs="Arial" w:eastAsia="Arial" w:hAnsi="Arial"/>
          <w:sz w:val="15"/>
          <w:szCs w:val="15"/>
          <w:b w:val="1"/>
          <w:bCs w:val="1"/>
          <w:color w:val="691A6B"/>
        </w:rPr>
        <w:t>5.4 - Fees to Auditors Appointed at the Annual General Meeting</w:t>
      </w:r>
    </w:p>
    <w:tbl>
      <w:tblPr>
        <w:tblLayout w:type="fixed"/>
        <w:tblInd w:w="0" w:type="dxa"/>
        <w:tblCellMar>
          <w:top w:w="0" w:type="dxa"/>
          <w:left w:w="0" w:type="dxa"/>
          <w:bottom w:w="0" w:type="dxa"/>
          <w:right w:w="0" w:type="dxa"/>
        </w:tblCellMar>
      </w:tblPr>
      <w:tr>
        <w:trPr>
          <w:trHeight w:val="123"/>
        </w:trPr>
        <w:tc>
          <w:tcPr>
            <w:tcW w:w="1460" w:type="dxa"/>
            <w:vAlign w:val="bottom"/>
            <w:tcBorders>
              <w:top w:val="single" w:sz="8" w:color="691A6B"/>
            </w:tcBorders>
          </w:tcPr>
          <w:p>
            <w:pPr>
              <w:spacing w:after="0"/>
              <w:rPr>
                <w:sz w:val="10"/>
                <w:szCs w:val="10"/>
                <w:color w:val="auto"/>
              </w:rPr>
            </w:pPr>
          </w:p>
        </w:tc>
        <w:tc>
          <w:tcPr>
            <w:tcW w:w="1200" w:type="dxa"/>
            <w:vAlign w:val="bottom"/>
            <w:tcBorders>
              <w:top w:val="single" w:sz="8" w:color="691A6B"/>
            </w:tcBorders>
          </w:tcPr>
          <w:p>
            <w:pPr>
              <w:ind w:left="640"/>
              <w:spacing w:after="0"/>
              <w:rPr>
                <w:sz w:val="20"/>
                <w:szCs w:val="20"/>
                <w:color w:val="auto"/>
              </w:rPr>
            </w:pPr>
            <w:r>
              <w:rPr>
                <w:rFonts w:ascii="Arial" w:cs="Arial" w:eastAsia="Arial" w:hAnsi="Arial"/>
                <w:sz w:val="10"/>
                <w:szCs w:val="10"/>
                <w:b w:val="1"/>
                <w:bCs w:val="1"/>
                <w:color w:val="691A6B"/>
              </w:rPr>
              <w:t>2025</w:t>
            </w:r>
          </w:p>
        </w:tc>
        <w:tc>
          <w:tcPr>
            <w:tcW w:w="940" w:type="dxa"/>
            <w:vAlign w:val="bottom"/>
            <w:tcBorders>
              <w:top w:val="single" w:sz="8" w:color="691A6B"/>
            </w:tcBorders>
          </w:tcPr>
          <w:p>
            <w:pPr>
              <w:ind w:left="360"/>
              <w:spacing w:after="0"/>
              <w:rPr>
                <w:sz w:val="20"/>
                <w:szCs w:val="20"/>
                <w:color w:val="auto"/>
              </w:rPr>
            </w:pPr>
            <w:r>
              <w:rPr>
                <w:rFonts w:ascii="Arial" w:cs="Arial" w:eastAsia="Arial" w:hAnsi="Arial"/>
                <w:sz w:val="10"/>
                <w:szCs w:val="10"/>
                <w:b w:val="1"/>
                <w:bCs w:val="1"/>
                <w:color w:val="auto"/>
              </w:rPr>
              <w:t>2024</w:t>
            </w:r>
          </w:p>
        </w:tc>
        <w:tc>
          <w:tcPr>
            <w:tcW w:w="1280" w:type="dxa"/>
            <w:vAlign w:val="bottom"/>
            <w:tcBorders>
              <w:top w:val="single" w:sz="8" w:color="691A6B"/>
            </w:tcBorders>
          </w:tcPr>
          <w:p>
            <w:pPr>
              <w:ind w:left="360"/>
              <w:spacing w:after="0"/>
              <w:rPr>
                <w:sz w:val="20"/>
                <w:szCs w:val="20"/>
                <w:color w:val="auto"/>
              </w:rPr>
            </w:pPr>
            <w:r>
              <w:rPr>
                <w:rFonts w:ascii="Arial" w:cs="Arial" w:eastAsia="Arial" w:hAnsi="Arial"/>
                <w:sz w:val="10"/>
                <w:szCs w:val="10"/>
                <w:b w:val="1"/>
                <w:bCs w:val="1"/>
                <w:color w:val="auto"/>
              </w:rPr>
              <w:t>2023</w:t>
            </w:r>
          </w:p>
        </w:tc>
      </w:tr>
      <w:tr>
        <w:trPr>
          <w:trHeight w:val="137"/>
        </w:trPr>
        <w:tc>
          <w:tcPr>
            <w:tcW w:w="1460" w:type="dxa"/>
            <w:vAlign w:val="bottom"/>
          </w:tcPr>
          <w:p>
            <w:pPr>
              <w:ind w:left="20"/>
              <w:spacing w:after="0"/>
              <w:rPr>
                <w:sz w:val="20"/>
                <w:szCs w:val="20"/>
                <w:color w:val="auto"/>
              </w:rPr>
            </w:pPr>
            <w:r>
              <w:rPr>
                <w:rFonts w:ascii="Arial" w:cs="Arial" w:eastAsia="Arial" w:hAnsi="Arial"/>
                <w:sz w:val="10"/>
                <w:szCs w:val="10"/>
                <w:color w:val="auto"/>
              </w:rPr>
              <w:t>Audit fees</w:t>
            </w:r>
          </w:p>
        </w:tc>
        <w:tc>
          <w:tcPr>
            <w:tcW w:w="1200" w:type="dxa"/>
            <w:vAlign w:val="bottom"/>
          </w:tcPr>
          <w:p>
            <w:pPr>
              <w:ind w:left="640"/>
              <w:spacing w:after="0"/>
              <w:rPr>
                <w:sz w:val="20"/>
                <w:szCs w:val="20"/>
                <w:color w:val="auto"/>
              </w:rPr>
            </w:pPr>
            <w:r>
              <w:rPr>
                <w:rFonts w:ascii="Arial" w:cs="Arial" w:eastAsia="Arial" w:hAnsi="Arial"/>
                <w:sz w:val="10"/>
                <w:szCs w:val="10"/>
                <w:color w:val="691A6B"/>
              </w:rPr>
              <w:t>1.7</w:t>
            </w:r>
          </w:p>
        </w:tc>
        <w:tc>
          <w:tcPr>
            <w:tcW w:w="940" w:type="dxa"/>
            <w:vAlign w:val="bottom"/>
          </w:tcPr>
          <w:p>
            <w:pPr>
              <w:ind w:left="360"/>
              <w:spacing w:after="0"/>
              <w:rPr>
                <w:sz w:val="20"/>
                <w:szCs w:val="20"/>
                <w:color w:val="auto"/>
              </w:rPr>
            </w:pPr>
            <w:r>
              <w:rPr>
                <w:rFonts w:ascii="Arial" w:cs="Arial" w:eastAsia="Arial" w:hAnsi="Arial"/>
                <w:sz w:val="10"/>
                <w:szCs w:val="10"/>
                <w:color w:val="auto"/>
              </w:rPr>
              <w:t>1.5</w:t>
            </w:r>
          </w:p>
        </w:tc>
        <w:tc>
          <w:tcPr>
            <w:tcW w:w="1280" w:type="dxa"/>
            <w:vAlign w:val="bottom"/>
          </w:tcPr>
          <w:p>
            <w:pPr>
              <w:ind w:left="360"/>
              <w:spacing w:after="0"/>
              <w:rPr>
                <w:sz w:val="20"/>
                <w:szCs w:val="20"/>
                <w:color w:val="auto"/>
              </w:rPr>
            </w:pPr>
            <w:r>
              <w:rPr>
                <w:rFonts w:ascii="Arial" w:cs="Arial" w:eastAsia="Arial" w:hAnsi="Arial"/>
                <w:sz w:val="10"/>
                <w:szCs w:val="10"/>
                <w:color w:val="auto"/>
              </w:rPr>
              <w:t>0.9</w:t>
            </w:r>
          </w:p>
        </w:tc>
      </w:tr>
      <w:tr>
        <w:trPr>
          <w:trHeight w:val="152"/>
        </w:trPr>
        <w:tc>
          <w:tcPr>
            <w:tcW w:w="1460" w:type="dxa"/>
            <w:vAlign w:val="bottom"/>
          </w:tcPr>
          <w:p>
            <w:pPr>
              <w:ind w:left="20"/>
              <w:spacing w:after="0"/>
              <w:rPr>
                <w:sz w:val="20"/>
                <w:szCs w:val="20"/>
                <w:color w:val="auto"/>
              </w:rPr>
            </w:pPr>
            <w:r>
              <w:rPr>
                <w:rFonts w:ascii="Arial" w:cs="Arial" w:eastAsia="Arial" w:hAnsi="Arial"/>
                <w:sz w:val="10"/>
                <w:szCs w:val="10"/>
                <w:color w:val="auto"/>
              </w:rPr>
              <w:t>Audit-related fees</w:t>
            </w:r>
          </w:p>
        </w:tc>
        <w:tc>
          <w:tcPr>
            <w:tcW w:w="1200" w:type="dxa"/>
            <w:vAlign w:val="bottom"/>
          </w:tcPr>
          <w:p>
            <w:pPr>
              <w:ind w:left="640"/>
              <w:spacing w:after="0"/>
              <w:rPr>
                <w:sz w:val="20"/>
                <w:szCs w:val="20"/>
                <w:color w:val="auto"/>
              </w:rPr>
            </w:pPr>
            <w:r>
              <w:rPr>
                <w:rFonts w:ascii="Arial" w:cs="Arial" w:eastAsia="Arial" w:hAnsi="Arial"/>
                <w:sz w:val="10"/>
                <w:szCs w:val="10"/>
                <w:color w:val="691A6B"/>
              </w:rPr>
              <w:t>0.8</w:t>
            </w:r>
          </w:p>
        </w:tc>
        <w:tc>
          <w:tcPr>
            <w:tcW w:w="940" w:type="dxa"/>
            <w:vAlign w:val="bottom"/>
          </w:tcPr>
          <w:p>
            <w:pPr>
              <w:ind w:left="360"/>
              <w:spacing w:after="0"/>
              <w:rPr>
                <w:sz w:val="20"/>
                <w:szCs w:val="20"/>
                <w:color w:val="auto"/>
              </w:rPr>
            </w:pPr>
            <w:r>
              <w:rPr>
                <w:rFonts w:ascii="Arial" w:cs="Arial" w:eastAsia="Arial" w:hAnsi="Arial"/>
                <w:sz w:val="10"/>
                <w:szCs w:val="10"/>
                <w:color w:val="auto"/>
              </w:rPr>
              <w:t>0.3</w:t>
            </w:r>
          </w:p>
        </w:tc>
        <w:tc>
          <w:tcPr>
            <w:tcW w:w="1280" w:type="dxa"/>
            <w:vAlign w:val="bottom"/>
          </w:tcPr>
          <w:p>
            <w:pPr>
              <w:ind w:left="360"/>
              <w:spacing w:after="0"/>
              <w:rPr>
                <w:sz w:val="20"/>
                <w:szCs w:val="20"/>
                <w:color w:val="auto"/>
              </w:rPr>
            </w:pPr>
            <w:r>
              <w:rPr>
                <w:rFonts w:ascii="Arial" w:cs="Arial" w:eastAsia="Arial" w:hAnsi="Arial"/>
                <w:sz w:val="10"/>
                <w:szCs w:val="10"/>
                <w:color w:val="auto"/>
              </w:rPr>
              <w:t>0.5</w:t>
            </w:r>
          </w:p>
        </w:tc>
      </w:tr>
      <w:tr>
        <w:trPr>
          <w:trHeight w:val="158"/>
        </w:trPr>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200" w:type="dxa"/>
            <w:vAlign w:val="bottom"/>
          </w:tcPr>
          <w:p>
            <w:pPr>
              <w:ind w:left="640"/>
              <w:spacing w:after="0"/>
              <w:rPr>
                <w:sz w:val="20"/>
                <w:szCs w:val="20"/>
                <w:color w:val="auto"/>
              </w:rPr>
            </w:pPr>
            <w:r>
              <w:rPr>
                <w:rFonts w:ascii="Arial" w:cs="Arial" w:eastAsia="Arial" w:hAnsi="Arial"/>
                <w:sz w:val="10"/>
                <w:szCs w:val="10"/>
                <w:b w:val="1"/>
                <w:bCs w:val="1"/>
                <w:color w:val="691A6B"/>
              </w:rPr>
              <w:t>2.5</w:t>
            </w:r>
          </w:p>
        </w:tc>
        <w:tc>
          <w:tcPr>
            <w:tcW w:w="940" w:type="dxa"/>
            <w:vAlign w:val="bottom"/>
          </w:tcPr>
          <w:p>
            <w:pPr>
              <w:ind w:left="360"/>
              <w:spacing w:after="0"/>
              <w:rPr>
                <w:sz w:val="20"/>
                <w:szCs w:val="20"/>
                <w:color w:val="auto"/>
              </w:rPr>
            </w:pPr>
            <w:r>
              <w:rPr>
                <w:rFonts w:ascii="Arial" w:cs="Arial" w:eastAsia="Arial" w:hAnsi="Arial"/>
                <w:sz w:val="10"/>
                <w:szCs w:val="10"/>
                <w:b w:val="1"/>
                <w:bCs w:val="1"/>
                <w:color w:val="auto"/>
              </w:rPr>
              <w:t>1.8</w:t>
            </w:r>
          </w:p>
        </w:tc>
        <w:tc>
          <w:tcPr>
            <w:tcW w:w="1280" w:type="dxa"/>
            <w:vAlign w:val="bottom"/>
          </w:tcPr>
          <w:p>
            <w:pPr>
              <w:ind w:left="360"/>
              <w:spacing w:after="0"/>
              <w:rPr>
                <w:sz w:val="20"/>
                <w:szCs w:val="20"/>
                <w:color w:val="auto"/>
              </w:rPr>
            </w:pPr>
            <w:r>
              <w:rPr>
                <w:rFonts w:ascii="Arial" w:cs="Arial" w:eastAsia="Arial" w:hAnsi="Arial"/>
                <w:sz w:val="10"/>
                <w:szCs w:val="10"/>
                <w:b w:val="1"/>
                <w:bCs w:val="1"/>
                <w:color w:val="auto"/>
              </w:rPr>
              <w:t>1.4</w:t>
            </w:r>
          </w:p>
        </w:tc>
      </w:tr>
    </w:tbl>
    <w:p>
      <w:pPr>
        <w:ind w:right="2480"/>
        <w:spacing w:after="0"/>
        <w:rPr>
          <w:sz w:val="20"/>
          <w:szCs w:val="20"/>
          <w:color w:val="auto"/>
        </w:rPr>
      </w:pPr>
      <w:r>
        <w:rPr>
          <w:rFonts w:ascii="Arial" w:cs="Arial" w:eastAsia="Arial" w:hAnsi="Arial"/>
          <w:sz w:val="10"/>
          <w:szCs w:val="10"/>
          <w:color w:val="auto"/>
        </w:rPr>
        <w:t>Genmab changed auditors from PricewaterhouseCoopers Statsautoriseret Revisionspartnerselskab (PwC) to Deloitte Statsautoriseret Revisionspartnerselskab (Deloitte) as Genmab’s new statutory auditor and independent registered public accounting firm for the fiscal year beginning January 1, 2024, replacing PwC. As such, fees in the table above reflect those incurred by Deloitte in 2025 and 2024 and by PwC in 2023.</w:t>
      </w:r>
    </w:p>
    <w:p>
      <w:pPr>
        <w:spacing w:after="0" w:line="26" w:lineRule="exact"/>
        <w:rPr>
          <w:rFonts w:ascii="Arial" w:cs="Arial" w:eastAsia="Arial" w:hAnsi="Arial"/>
          <w:sz w:val="10"/>
          <w:szCs w:val="10"/>
          <w:color w:val="auto"/>
        </w:rPr>
      </w:pPr>
    </w:p>
    <w:p>
      <w:pPr>
        <w:ind w:right="2600"/>
        <w:spacing w:after="0" w:line="200" w:lineRule="auto"/>
        <w:rPr>
          <w:sz w:val="20"/>
          <w:szCs w:val="20"/>
          <w:color w:val="auto"/>
        </w:rPr>
      </w:pPr>
      <w:r>
        <w:rPr>
          <w:rFonts w:ascii="Arial" w:cs="Arial" w:eastAsia="Arial" w:hAnsi="Arial"/>
          <w:sz w:val="10"/>
          <w:szCs w:val="10"/>
          <w:color w:val="auto"/>
        </w:rPr>
        <w:t>Fees for other services than statutory audit of the financial statements provided by Deloitte amounted to $0.8 million in 2025, $0.3 million in 2024, and $0.5 million in 2023, provided by PwC. These services primarily include agreed-upon procedures, other assurance assessments and reports, and accounting advice.</w:t>
      </w:r>
    </w:p>
    <w:p>
      <w:pPr>
        <w:spacing w:after="0" w:line="212" w:lineRule="auto"/>
        <w:rPr>
          <w:sz w:val="20"/>
          <w:szCs w:val="20"/>
          <w:color w:val="auto"/>
        </w:rPr>
      </w:pPr>
      <w:r>
        <w:rPr>
          <w:rFonts w:ascii="Arial" w:cs="Arial" w:eastAsia="Arial" w:hAnsi="Arial"/>
          <w:sz w:val="15"/>
          <w:szCs w:val="15"/>
          <w:b w:val="1"/>
          <w:bCs w:val="1"/>
          <w:color w:val="691A6B"/>
        </w:rPr>
        <w:t>5.5 - Acquisitions</w:t>
      </w:r>
    </w:p>
    <w:p>
      <w:pPr>
        <w:spacing w:after="0" w:line="209" w:lineRule="auto"/>
        <w:rPr>
          <w:sz w:val="20"/>
          <w:szCs w:val="20"/>
          <w:color w:val="auto"/>
        </w:rPr>
      </w:pPr>
      <w:r>
        <w:rPr>
          <w:rFonts w:ascii="Arial" w:cs="Arial" w:eastAsia="Arial" w:hAnsi="Arial"/>
          <w:sz w:val="13"/>
          <w:szCs w:val="13"/>
          <w:b w:val="1"/>
          <w:bCs w:val="1"/>
          <w:color w:val="691A6B"/>
        </w:rPr>
        <w:t>Merus N.V.</w:t>
      </w:r>
    </w:p>
    <w:p>
      <w:pPr>
        <w:spacing w:after="0" w:line="199" w:lineRule="auto"/>
        <w:rPr>
          <w:sz w:val="20"/>
          <w:szCs w:val="20"/>
          <w:color w:val="auto"/>
        </w:rPr>
      </w:pPr>
      <w:r>
        <w:rPr>
          <w:rFonts w:ascii="Arial" w:cs="Arial" w:eastAsia="Arial" w:hAnsi="Arial"/>
          <w:sz w:val="10"/>
          <w:szCs w:val="10"/>
          <w:color w:val="auto"/>
        </w:rPr>
        <w:t>On December 12, 2025 Genmab completed the acquisition of 100% of the common shares of Merus,</w:t>
      </w:r>
    </w:p>
    <w:p>
      <w:pPr>
        <w:ind w:right="2460" w:firstLine="6"/>
        <w:spacing w:after="0" w:line="198" w:lineRule="auto"/>
        <w:tabs>
          <w:tab w:leader="none" w:pos="86" w:val="left"/>
        </w:tabs>
        <w:numPr>
          <w:ilvl w:val="0"/>
          <w:numId w:val="39"/>
        </w:numPr>
        <w:rPr>
          <w:rFonts w:ascii="Arial" w:cs="Arial" w:eastAsia="Arial" w:hAnsi="Arial"/>
          <w:sz w:val="10"/>
          <w:szCs w:val="10"/>
          <w:color w:val="auto"/>
        </w:rPr>
      </w:pPr>
      <w:r>
        <w:rPr>
          <w:rFonts w:ascii="Arial" w:cs="Arial" w:eastAsia="Arial" w:hAnsi="Arial"/>
          <w:sz w:val="10"/>
          <w:szCs w:val="10"/>
          <w:color w:val="auto"/>
        </w:rPr>
        <w:t xml:space="preserve">clinical-stage biotechnology company with its late-stage breakthrough therapy asset petosemtamab (Peto), which is in Phase 3 development, for $97 per share in an all-cash transaction with a total purchase price of $8,017 million. The transaction was funded through a combination of cash on hand and $5.5 billion of non-convertible debt financing (Borrowings). </w:t>
      </w:r>
      <w:r>
        <w:rPr>
          <w:rFonts w:ascii="Arial" w:cs="Arial" w:eastAsia="Arial" w:hAnsi="Arial"/>
          <w:sz w:val="10"/>
          <w:szCs w:val="10"/>
          <w:color w:val="691A6B"/>
        </w:rPr>
        <w:t>Refer to</w:t>
      </w:r>
      <w:r>
        <w:rPr>
          <w:rFonts w:ascii="Arial" w:cs="Arial" w:eastAsia="Arial" w:hAnsi="Arial"/>
          <w:sz w:val="10"/>
          <w:szCs w:val="10"/>
          <w:color w:val="auto"/>
        </w:rPr>
        <w:t xml:space="preserve"> </w:t>
      </w:r>
      <w:hyperlink w:anchor="page153">
        <w:r>
          <w:rPr>
            <w:rFonts w:ascii="Arial" w:cs="Arial" w:eastAsia="Arial" w:hAnsi="Arial"/>
            <w:sz w:val="10"/>
            <w:szCs w:val="10"/>
            <w:b w:val="1"/>
            <w:bCs w:val="1"/>
            <w:color w:val="691A6B"/>
          </w:rPr>
          <w:t xml:space="preserve">Note </w:t>
        </w:r>
      </w:hyperlink>
      <w:r>
        <w:rPr>
          <w:rFonts w:ascii="Arial" w:cs="Arial" w:eastAsia="Arial" w:hAnsi="Arial"/>
          <w:sz w:val="10"/>
          <w:szCs w:val="10"/>
          <w:color w:val="auto"/>
        </w:rPr>
        <w:t xml:space="preserve">4.8 </w:t>
      </w:r>
      <w:r>
        <w:rPr>
          <w:rFonts w:ascii="Arial" w:cs="Arial" w:eastAsia="Arial" w:hAnsi="Arial"/>
          <w:sz w:val="10"/>
          <w:szCs w:val="10"/>
          <w:color w:val="691A6B"/>
        </w:rPr>
        <w:t>for detailed information regarding</w:t>
      </w:r>
      <w:r>
        <w:rPr>
          <w:rFonts w:ascii="Arial" w:cs="Arial" w:eastAsia="Arial" w:hAnsi="Arial"/>
          <w:sz w:val="10"/>
          <w:szCs w:val="10"/>
          <w:color w:val="auto"/>
        </w:rPr>
        <w:t xml:space="preserve"> </w:t>
      </w:r>
      <w:r>
        <w:rPr>
          <w:rFonts w:ascii="Arial" w:cs="Arial" w:eastAsia="Arial" w:hAnsi="Arial"/>
          <w:sz w:val="10"/>
          <w:szCs w:val="10"/>
          <w:color w:val="691A6B"/>
        </w:rPr>
        <w:t>Genmab’s Borrowings.</w:t>
      </w:r>
    </w:p>
    <w:p>
      <w:pPr>
        <w:spacing w:after="0" w:line="1" w:lineRule="exact"/>
        <w:rPr>
          <w:rFonts w:ascii="Arial" w:cs="Arial" w:eastAsia="Arial" w:hAnsi="Arial"/>
          <w:sz w:val="10"/>
          <w:szCs w:val="10"/>
          <w:color w:val="auto"/>
        </w:rPr>
      </w:pPr>
    </w:p>
    <w:p>
      <w:pPr>
        <w:ind w:right="2460"/>
        <w:spacing w:after="0" w:line="215" w:lineRule="auto"/>
        <w:rPr>
          <w:rFonts w:ascii="Arial" w:cs="Arial" w:eastAsia="Arial" w:hAnsi="Arial"/>
          <w:sz w:val="10"/>
          <w:szCs w:val="10"/>
          <w:color w:val="auto"/>
        </w:rPr>
      </w:pPr>
      <w:r>
        <w:rPr>
          <w:rFonts w:ascii="Arial" w:cs="Arial" w:eastAsia="Arial" w:hAnsi="Arial"/>
          <w:sz w:val="10"/>
          <w:szCs w:val="10"/>
          <w:color w:val="auto"/>
        </w:rPr>
        <w:t>The acquisition of Merus does not meet the definition of a business in accordance with IFRS 3 Business Combinations, therefore, this transaction is accounted for as an asset acquisition since substantially all of the fair value of the acquired set of assets is concentrated in a single identifiable asset (i.e. Peto). The total consideration of $8,017 million is allocated to net identifiable assets acquired on a relative fair value basis.</w:t>
      </w:r>
    </w:p>
    <w:p>
      <w:pPr>
        <w:spacing w:after="0" w:line="198" w:lineRule="exact"/>
        <w:rPr>
          <w:rFonts w:ascii="Arial" w:cs="Arial" w:eastAsia="Arial" w:hAnsi="Arial"/>
          <w:sz w:val="10"/>
          <w:szCs w:val="1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7" w:lineRule="auto"/>
        <w:rPr>
          <w:sz w:val="20"/>
          <w:szCs w:val="20"/>
          <w:color w:val="auto"/>
        </w:rPr>
      </w:pPr>
      <w:r>
        <w:rPr>
          <w:rFonts w:ascii="Arial" w:cs="Arial" w:eastAsia="Arial" w:hAnsi="Arial"/>
          <w:sz w:val="10"/>
          <w:szCs w:val="10"/>
          <w:color w:val="auto"/>
        </w:rPr>
        <w:t>The total consideration for the acquisition of Merus is summarized as follows:</w:t>
      </w:r>
    </w:p>
    <w:tbl>
      <w:tblPr>
        <w:tblLayout w:type="fixed"/>
        <w:tblInd w:w="0" w:type="dxa"/>
        <w:tblCellMar>
          <w:top w:w="0" w:type="dxa"/>
          <w:left w:w="0" w:type="dxa"/>
          <w:bottom w:w="0" w:type="dxa"/>
          <w:right w:w="0" w:type="dxa"/>
        </w:tblCellMar>
      </w:tblPr>
      <w:tr>
        <w:trPr>
          <w:trHeight w:val="95"/>
        </w:trPr>
        <w:tc>
          <w:tcPr>
            <w:tcW w:w="3780" w:type="dxa"/>
            <w:vAlign w:val="bottom"/>
            <w:tcBorders>
              <w:top w:val="single" w:sz="8" w:color="691A6B"/>
            </w:tcBorders>
          </w:tcPr>
          <w:p>
            <w:pPr>
              <w:spacing w:after="0"/>
              <w:rPr>
                <w:sz w:val="8"/>
                <w:szCs w:val="8"/>
                <w:color w:val="auto"/>
              </w:rPr>
            </w:pPr>
          </w:p>
        </w:tc>
        <w:tc>
          <w:tcPr>
            <w:tcW w:w="1060" w:type="dxa"/>
            <w:vAlign w:val="bottom"/>
            <w:tcBorders>
              <w:top w:val="single" w:sz="8" w:color="691A6B"/>
            </w:tcBorders>
          </w:tcPr>
          <w:p>
            <w:pPr>
              <w:ind w:left="140"/>
              <w:spacing w:after="0" w:line="95" w:lineRule="exact"/>
              <w:rPr>
                <w:sz w:val="20"/>
                <w:szCs w:val="20"/>
                <w:color w:val="auto"/>
              </w:rPr>
            </w:pPr>
            <w:r>
              <w:rPr>
                <w:rFonts w:ascii="Arial" w:cs="Arial" w:eastAsia="Arial" w:hAnsi="Arial"/>
                <w:sz w:val="10"/>
                <w:szCs w:val="10"/>
                <w:b w:val="1"/>
                <w:bCs w:val="1"/>
                <w:color w:val="auto"/>
              </w:rPr>
              <w:t>Total</w:t>
            </w:r>
          </w:p>
        </w:tc>
      </w:tr>
      <w:tr>
        <w:trPr>
          <w:trHeight w:val="128"/>
        </w:trPr>
        <w:tc>
          <w:tcPr>
            <w:tcW w:w="3780" w:type="dxa"/>
            <w:vAlign w:val="bottom"/>
          </w:tcPr>
          <w:p>
            <w:pPr>
              <w:spacing w:after="0"/>
              <w:rPr>
                <w:sz w:val="11"/>
                <w:szCs w:val="11"/>
                <w:color w:val="auto"/>
              </w:rPr>
            </w:pPr>
          </w:p>
        </w:tc>
        <w:tc>
          <w:tcPr>
            <w:tcW w:w="1060" w:type="dxa"/>
            <w:vAlign w:val="bottom"/>
          </w:tcPr>
          <w:p>
            <w:pPr>
              <w:ind w:left="140"/>
              <w:spacing w:after="0"/>
              <w:rPr>
                <w:sz w:val="20"/>
                <w:szCs w:val="20"/>
                <w:color w:val="auto"/>
              </w:rPr>
            </w:pPr>
            <w:r>
              <w:rPr>
                <w:rFonts w:ascii="Arial" w:cs="Arial" w:eastAsia="Arial" w:hAnsi="Arial"/>
                <w:sz w:val="10"/>
                <w:szCs w:val="10"/>
                <w:b w:val="1"/>
                <w:bCs w:val="1"/>
                <w:color w:val="auto"/>
              </w:rPr>
              <w:t>Consideration</w:t>
            </w:r>
          </w:p>
        </w:tc>
      </w:tr>
      <w:tr>
        <w:trPr>
          <w:trHeight w:val="150"/>
        </w:trPr>
        <w:tc>
          <w:tcPr>
            <w:tcW w:w="3780" w:type="dxa"/>
            <w:vAlign w:val="bottom"/>
          </w:tcPr>
          <w:p>
            <w:pPr>
              <w:ind w:left="20"/>
              <w:spacing w:after="0"/>
              <w:rPr>
                <w:sz w:val="20"/>
                <w:szCs w:val="20"/>
                <w:color w:val="auto"/>
              </w:rPr>
            </w:pPr>
            <w:r>
              <w:rPr>
                <w:rFonts w:ascii="Arial" w:cs="Arial" w:eastAsia="Arial" w:hAnsi="Arial"/>
                <w:sz w:val="10"/>
                <w:szCs w:val="10"/>
                <w:color w:val="auto"/>
              </w:rPr>
              <w:t>Cash paid for outstanding shares</w:t>
            </w:r>
          </w:p>
        </w:tc>
        <w:tc>
          <w:tcPr>
            <w:tcW w:w="1060" w:type="dxa"/>
            <w:vAlign w:val="bottom"/>
          </w:tcPr>
          <w:p>
            <w:pPr>
              <w:jc w:val="right"/>
              <w:ind w:right="29"/>
              <w:spacing w:after="0"/>
              <w:rPr>
                <w:sz w:val="20"/>
                <w:szCs w:val="20"/>
                <w:color w:val="auto"/>
              </w:rPr>
            </w:pPr>
            <w:r>
              <w:rPr>
                <w:rFonts w:ascii="Arial" w:cs="Arial" w:eastAsia="Arial" w:hAnsi="Arial"/>
                <w:sz w:val="10"/>
                <w:szCs w:val="10"/>
                <w:color w:val="auto"/>
              </w:rPr>
              <w:t>7,359</w:t>
            </w:r>
          </w:p>
        </w:tc>
      </w:tr>
      <w:tr>
        <w:trPr>
          <w:trHeight w:val="152"/>
        </w:trPr>
        <w:tc>
          <w:tcPr>
            <w:tcW w:w="3780" w:type="dxa"/>
            <w:vAlign w:val="bottom"/>
          </w:tcPr>
          <w:p>
            <w:pPr>
              <w:ind w:left="20"/>
              <w:spacing w:after="0"/>
              <w:rPr>
                <w:sz w:val="20"/>
                <w:szCs w:val="20"/>
                <w:color w:val="auto"/>
              </w:rPr>
            </w:pPr>
            <w:r>
              <w:rPr>
                <w:rFonts w:ascii="Arial" w:cs="Arial" w:eastAsia="Arial" w:hAnsi="Arial"/>
                <w:sz w:val="10"/>
                <w:szCs w:val="10"/>
                <w:color w:val="auto"/>
              </w:rPr>
              <w:t>Cash for equity compensation attributable to pre-modification of equity awards</w:t>
            </w:r>
            <w:r>
              <w:rPr>
                <w:rFonts w:ascii="Arial" w:cs="Arial" w:eastAsia="Arial" w:hAnsi="Arial"/>
                <w:sz w:val="6"/>
                <w:szCs w:val="6"/>
                <w:color w:val="auto"/>
              </w:rPr>
              <w:t>1</w:t>
            </w:r>
          </w:p>
        </w:tc>
        <w:tc>
          <w:tcPr>
            <w:tcW w:w="1060" w:type="dxa"/>
            <w:vAlign w:val="bottom"/>
          </w:tcPr>
          <w:p>
            <w:pPr>
              <w:jc w:val="right"/>
              <w:ind w:right="29"/>
              <w:spacing w:after="0"/>
              <w:rPr>
                <w:sz w:val="20"/>
                <w:szCs w:val="20"/>
                <w:color w:val="auto"/>
              </w:rPr>
            </w:pPr>
            <w:r>
              <w:rPr>
                <w:rFonts w:ascii="Arial" w:cs="Arial" w:eastAsia="Arial" w:hAnsi="Arial"/>
                <w:sz w:val="10"/>
                <w:szCs w:val="10"/>
                <w:color w:val="auto"/>
              </w:rPr>
              <w:t>596</w:t>
            </w:r>
          </w:p>
        </w:tc>
      </w:tr>
      <w:tr>
        <w:trPr>
          <w:trHeight w:val="152"/>
        </w:trPr>
        <w:tc>
          <w:tcPr>
            <w:tcW w:w="3780" w:type="dxa"/>
            <w:vAlign w:val="bottom"/>
          </w:tcPr>
          <w:p>
            <w:pPr>
              <w:ind w:left="20"/>
              <w:spacing w:after="0"/>
              <w:rPr>
                <w:sz w:val="20"/>
                <w:szCs w:val="20"/>
                <w:color w:val="auto"/>
              </w:rPr>
            </w:pPr>
            <w:r>
              <w:rPr>
                <w:rFonts w:ascii="Arial" w:cs="Arial" w:eastAsia="Arial" w:hAnsi="Arial"/>
                <w:sz w:val="10"/>
                <w:szCs w:val="10"/>
                <w:color w:val="auto"/>
              </w:rPr>
              <w:t>Cash paid by Genmab directly attributable acquisition related costs</w:t>
            </w:r>
            <w:r>
              <w:rPr>
                <w:rFonts w:ascii="Arial" w:cs="Arial" w:eastAsia="Arial" w:hAnsi="Arial"/>
                <w:sz w:val="6"/>
                <w:szCs w:val="6"/>
                <w:color w:val="auto"/>
              </w:rPr>
              <w:t>2</w:t>
            </w:r>
          </w:p>
        </w:tc>
        <w:tc>
          <w:tcPr>
            <w:tcW w:w="1060" w:type="dxa"/>
            <w:vAlign w:val="bottom"/>
          </w:tcPr>
          <w:p>
            <w:pPr>
              <w:jc w:val="right"/>
              <w:ind w:right="29"/>
              <w:spacing w:after="0"/>
              <w:rPr>
                <w:sz w:val="20"/>
                <w:szCs w:val="20"/>
                <w:color w:val="auto"/>
              </w:rPr>
            </w:pPr>
            <w:r>
              <w:rPr>
                <w:rFonts w:ascii="Arial" w:cs="Arial" w:eastAsia="Arial" w:hAnsi="Arial"/>
                <w:sz w:val="10"/>
                <w:szCs w:val="10"/>
                <w:color w:val="auto"/>
              </w:rPr>
              <w:t>62</w:t>
            </w:r>
          </w:p>
        </w:tc>
      </w:tr>
      <w:tr>
        <w:trPr>
          <w:trHeight w:val="158"/>
        </w:trPr>
        <w:tc>
          <w:tcPr>
            <w:tcW w:w="3780" w:type="dxa"/>
            <w:vAlign w:val="bottom"/>
          </w:tcPr>
          <w:p>
            <w:pPr>
              <w:ind w:left="20"/>
              <w:spacing w:after="0"/>
              <w:rPr>
                <w:sz w:val="20"/>
                <w:szCs w:val="20"/>
                <w:color w:val="auto"/>
              </w:rPr>
            </w:pPr>
            <w:r>
              <w:rPr>
                <w:rFonts w:ascii="Arial" w:cs="Arial" w:eastAsia="Arial" w:hAnsi="Arial"/>
                <w:sz w:val="10"/>
                <w:szCs w:val="10"/>
                <w:b w:val="1"/>
                <w:bCs w:val="1"/>
                <w:color w:val="auto"/>
              </w:rPr>
              <w:t>Total consideration</w:t>
            </w:r>
          </w:p>
        </w:tc>
        <w:tc>
          <w:tcPr>
            <w:tcW w:w="1060" w:type="dxa"/>
            <w:vAlign w:val="bottom"/>
          </w:tcPr>
          <w:p>
            <w:pPr>
              <w:jc w:val="right"/>
              <w:ind w:right="29"/>
              <w:spacing w:after="0"/>
              <w:rPr>
                <w:sz w:val="20"/>
                <w:szCs w:val="20"/>
                <w:color w:val="auto"/>
              </w:rPr>
            </w:pPr>
            <w:r>
              <w:rPr>
                <w:rFonts w:ascii="Arial" w:cs="Arial" w:eastAsia="Arial" w:hAnsi="Arial"/>
                <w:sz w:val="10"/>
                <w:szCs w:val="10"/>
                <w:b w:val="1"/>
                <w:bCs w:val="1"/>
                <w:color w:val="auto"/>
              </w:rPr>
              <w:t>8,017</w:t>
            </w:r>
          </w:p>
        </w:tc>
      </w:tr>
    </w:tbl>
    <w:p>
      <w:pPr>
        <w:spacing w:after="0" w:line="10" w:lineRule="exact"/>
        <w:rPr>
          <w:rFonts w:ascii="Arial" w:cs="Arial" w:eastAsia="Arial" w:hAnsi="Arial"/>
          <w:sz w:val="10"/>
          <w:szCs w:val="10"/>
          <w:color w:val="auto"/>
        </w:rPr>
      </w:pPr>
    </w:p>
    <w:p>
      <w:pPr>
        <w:ind w:right="2840" w:firstLine="6"/>
        <w:spacing w:after="0" w:line="267" w:lineRule="auto"/>
        <w:tabs>
          <w:tab w:leader="none" w:pos="76" w:val="left"/>
        </w:tabs>
        <w:numPr>
          <w:ilvl w:val="0"/>
          <w:numId w:val="40"/>
        </w:numPr>
        <w:rPr>
          <w:rFonts w:ascii="Arial" w:cs="Arial" w:eastAsia="Arial" w:hAnsi="Arial"/>
          <w:sz w:val="7"/>
          <w:szCs w:val="7"/>
          <w:color w:val="auto"/>
        </w:rPr>
      </w:pPr>
      <w:r>
        <w:rPr>
          <w:rFonts w:ascii="Arial" w:cs="Arial" w:eastAsia="Arial" w:hAnsi="Arial"/>
          <w:sz w:val="7"/>
          <w:szCs w:val="7"/>
          <w:color w:val="auto"/>
        </w:rPr>
        <w:t>Includes payments made to Merus option holders which were vested prior to the acquistion date, and therefore related to pre-acquistion service</w:t>
      </w:r>
    </w:p>
    <w:p>
      <w:pPr>
        <w:spacing w:after="0" w:line="89" w:lineRule="exact"/>
        <w:rPr>
          <w:rFonts w:ascii="Arial" w:cs="Arial" w:eastAsia="Arial" w:hAnsi="Arial"/>
          <w:sz w:val="7"/>
          <w:szCs w:val="7"/>
          <w:color w:val="auto"/>
        </w:rPr>
      </w:pPr>
    </w:p>
    <w:p>
      <w:pPr>
        <w:ind w:right="2880" w:firstLine="6"/>
        <w:spacing w:after="0" w:line="243" w:lineRule="auto"/>
        <w:tabs>
          <w:tab w:leader="none" w:pos="76" w:val="left"/>
        </w:tabs>
        <w:numPr>
          <w:ilvl w:val="0"/>
          <w:numId w:val="40"/>
        </w:numPr>
        <w:rPr>
          <w:rFonts w:ascii="Arial" w:cs="Arial" w:eastAsia="Arial" w:hAnsi="Arial"/>
          <w:sz w:val="7"/>
          <w:szCs w:val="7"/>
          <w:color w:val="auto"/>
        </w:rPr>
      </w:pPr>
      <w:r>
        <w:rPr>
          <w:rFonts w:ascii="Arial" w:cs="Arial" w:eastAsia="Arial" w:hAnsi="Arial"/>
          <w:sz w:val="7"/>
          <w:szCs w:val="7"/>
          <w:color w:val="auto"/>
        </w:rPr>
        <w:t>Includes professional fees related to legal, advisory and due diligence procedures that were directly attributable to the acquisition of Merus by Genmab</w:t>
      </w:r>
    </w:p>
    <w:p>
      <w:pPr>
        <w:spacing w:after="0" w:line="217" w:lineRule="auto"/>
        <w:rPr>
          <w:rFonts w:ascii="Arial" w:cs="Arial" w:eastAsia="Arial" w:hAnsi="Arial"/>
          <w:sz w:val="7"/>
          <w:szCs w:val="7"/>
          <w:color w:val="auto"/>
        </w:rPr>
      </w:pPr>
      <w:r>
        <w:rPr>
          <w:rFonts w:ascii="Arial" w:cs="Arial" w:eastAsia="Arial" w:hAnsi="Arial"/>
          <w:sz w:val="10"/>
          <w:szCs w:val="10"/>
          <w:color w:val="auto"/>
        </w:rPr>
        <w:t>The allocation to net identifiable assets is as follows:</w:t>
      </w:r>
    </w:p>
    <w:tbl>
      <w:tblPr>
        <w:tblLayout w:type="fixed"/>
        <w:tblInd w:w="0" w:type="dxa"/>
        <w:tblCellMar>
          <w:top w:w="0" w:type="dxa"/>
          <w:left w:w="0" w:type="dxa"/>
          <w:bottom w:w="0" w:type="dxa"/>
          <w:right w:w="0" w:type="dxa"/>
        </w:tblCellMar>
      </w:tblPr>
      <w:tr>
        <w:trPr>
          <w:trHeight w:val="95"/>
        </w:trPr>
        <w:tc>
          <w:tcPr>
            <w:tcW w:w="2820" w:type="dxa"/>
            <w:vAlign w:val="bottom"/>
            <w:tcBorders>
              <w:top w:val="single" w:sz="8" w:color="691A6B"/>
            </w:tcBorders>
          </w:tcPr>
          <w:p>
            <w:pPr>
              <w:spacing w:after="0"/>
              <w:rPr>
                <w:sz w:val="8"/>
                <w:szCs w:val="8"/>
                <w:color w:val="auto"/>
              </w:rPr>
            </w:pPr>
          </w:p>
        </w:tc>
        <w:tc>
          <w:tcPr>
            <w:tcW w:w="2020" w:type="dxa"/>
            <w:vAlign w:val="bottom"/>
            <w:tcBorders>
              <w:top w:val="single" w:sz="8" w:color="691A6B"/>
            </w:tcBorders>
          </w:tcPr>
          <w:p>
            <w:pPr>
              <w:ind w:left="1100"/>
              <w:spacing w:after="0" w:line="95" w:lineRule="exact"/>
              <w:rPr>
                <w:sz w:val="20"/>
                <w:szCs w:val="20"/>
                <w:color w:val="auto"/>
              </w:rPr>
            </w:pPr>
            <w:r>
              <w:rPr>
                <w:rFonts w:ascii="Arial" w:cs="Arial" w:eastAsia="Arial" w:hAnsi="Arial"/>
                <w:sz w:val="10"/>
                <w:szCs w:val="10"/>
                <w:b w:val="1"/>
                <w:bCs w:val="1"/>
                <w:color w:val="auto"/>
              </w:rPr>
              <w:t>Amounts</w:t>
            </w:r>
          </w:p>
        </w:tc>
      </w:tr>
      <w:tr>
        <w:trPr>
          <w:trHeight w:val="95"/>
        </w:trPr>
        <w:tc>
          <w:tcPr>
            <w:tcW w:w="2820" w:type="dxa"/>
            <w:vAlign w:val="bottom"/>
          </w:tcPr>
          <w:p>
            <w:pPr>
              <w:spacing w:after="0"/>
              <w:rPr>
                <w:sz w:val="8"/>
                <w:szCs w:val="8"/>
                <w:color w:val="auto"/>
              </w:rPr>
            </w:pPr>
          </w:p>
        </w:tc>
        <w:tc>
          <w:tcPr>
            <w:tcW w:w="2020" w:type="dxa"/>
            <w:vAlign w:val="bottom"/>
          </w:tcPr>
          <w:p>
            <w:pPr>
              <w:ind w:left="1100"/>
              <w:spacing w:after="0" w:line="95" w:lineRule="exact"/>
              <w:rPr>
                <w:sz w:val="20"/>
                <w:szCs w:val="20"/>
                <w:color w:val="auto"/>
              </w:rPr>
            </w:pPr>
            <w:r>
              <w:rPr>
                <w:rFonts w:ascii="Arial" w:cs="Arial" w:eastAsia="Arial" w:hAnsi="Arial"/>
                <w:sz w:val="10"/>
                <w:szCs w:val="10"/>
                <w:b w:val="1"/>
                <w:bCs w:val="1"/>
                <w:color w:val="auto"/>
              </w:rPr>
              <w:t>Recognized as of</w:t>
            </w:r>
          </w:p>
        </w:tc>
      </w:tr>
      <w:tr>
        <w:trPr>
          <w:trHeight w:val="95"/>
        </w:trPr>
        <w:tc>
          <w:tcPr>
            <w:tcW w:w="2820" w:type="dxa"/>
            <w:vAlign w:val="bottom"/>
          </w:tcPr>
          <w:p>
            <w:pPr>
              <w:spacing w:after="0"/>
              <w:rPr>
                <w:sz w:val="8"/>
                <w:szCs w:val="8"/>
                <w:color w:val="auto"/>
              </w:rPr>
            </w:pPr>
          </w:p>
        </w:tc>
        <w:tc>
          <w:tcPr>
            <w:tcW w:w="2020" w:type="dxa"/>
            <w:vAlign w:val="bottom"/>
          </w:tcPr>
          <w:p>
            <w:pPr>
              <w:ind w:left="1100"/>
              <w:spacing w:after="0" w:line="95" w:lineRule="exact"/>
              <w:rPr>
                <w:sz w:val="20"/>
                <w:szCs w:val="20"/>
                <w:color w:val="auto"/>
              </w:rPr>
            </w:pPr>
            <w:r>
              <w:rPr>
                <w:rFonts w:ascii="Arial" w:cs="Arial" w:eastAsia="Arial" w:hAnsi="Arial"/>
                <w:sz w:val="10"/>
                <w:szCs w:val="10"/>
                <w:b w:val="1"/>
                <w:bCs w:val="1"/>
                <w:color w:val="auto"/>
              </w:rPr>
              <w:t>the Acquisition</w:t>
            </w:r>
          </w:p>
        </w:tc>
      </w:tr>
      <w:tr>
        <w:trPr>
          <w:trHeight w:val="128"/>
        </w:trPr>
        <w:tc>
          <w:tcPr>
            <w:tcW w:w="2820" w:type="dxa"/>
            <w:vAlign w:val="bottom"/>
          </w:tcPr>
          <w:p>
            <w:pPr>
              <w:spacing w:after="0"/>
              <w:rPr>
                <w:sz w:val="11"/>
                <w:szCs w:val="11"/>
                <w:color w:val="auto"/>
              </w:rPr>
            </w:pPr>
          </w:p>
        </w:tc>
        <w:tc>
          <w:tcPr>
            <w:tcW w:w="2020" w:type="dxa"/>
            <w:vAlign w:val="bottom"/>
          </w:tcPr>
          <w:p>
            <w:pPr>
              <w:ind w:left="1100"/>
              <w:spacing w:after="0"/>
              <w:rPr>
                <w:sz w:val="20"/>
                <w:szCs w:val="20"/>
                <w:color w:val="auto"/>
              </w:rPr>
            </w:pPr>
            <w:r>
              <w:rPr>
                <w:rFonts w:ascii="Arial" w:cs="Arial" w:eastAsia="Arial" w:hAnsi="Arial"/>
                <w:sz w:val="10"/>
                <w:szCs w:val="10"/>
                <w:b w:val="1"/>
                <w:bCs w:val="1"/>
                <w:color w:val="auto"/>
              </w:rPr>
              <w:t>Date</w:t>
            </w:r>
          </w:p>
        </w:tc>
      </w:tr>
      <w:tr>
        <w:trPr>
          <w:trHeight w:val="188"/>
        </w:trPr>
        <w:tc>
          <w:tcPr>
            <w:tcW w:w="2820" w:type="dxa"/>
            <w:vAlign w:val="bottom"/>
          </w:tcPr>
          <w:p>
            <w:pPr>
              <w:ind w:left="20"/>
              <w:spacing w:after="0"/>
              <w:rPr>
                <w:sz w:val="20"/>
                <w:szCs w:val="20"/>
                <w:color w:val="auto"/>
              </w:rPr>
            </w:pPr>
            <w:r>
              <w:rPr>
                <w:rFonts w:ascii="Arial" w:cs="Arial" w:eastAsia="Arial" w:hAnsi="Arial"/>
                <w:sz w:val="10"/>
                <w:szCs w:val="10"/>
                <w:color w:val="auto"/>
              </w:rPr>
              <w:t>Cash and cash equivalents</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745</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Other current assets</w:t>
            </w:r>
            <w:r>
              <w:rPr>
                <w:rFonts w:ascii="Arial" w:cs="Arial" w:eastAsia="Arial" w:hAnsi="Arial"/>
                <w:sz w:val="6"/>
                <w:szCs w:val="6"/>
                <w:color w:val="auto"/>
              </w:rPr>
              <w:t>1</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52</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IPR&amp;D intangible asset</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6,927</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Technology platform intangible asset</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369</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Licenses and patents</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82</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Other non-current assets</w:t>
            </w:r>
            <w:r>
              <w:rPr>
                <w:rFonts w:ascii="Arial" w:cs="Arial" w:eastAsia="Arial" w:hAnsi="Arial"/>
                <w:sz w:val="6"/>
                <w:szCs w:val="6"/>
                <w:color w:val="auto"/>
              </w:rPr>
              <w:t>2</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29</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Non-current contract liabilities</w:t>
            </w:r>
          </w:p>
        </w:tc>
        <w:tc>
          <w:tcPr>
            <w:tcW w:w="2020" w:type="dxa"/>
            <w:vAlign w:val="bottom"/>
          </w:tcPr>
          <w:p>
            <w:pPr>
              <w:jc w:val="right"/>
              <w:ind w:right="9"/>
              <w:spacing w:after="0"/>
              <w:rPr>
                <w:sz w:val="20"/>
                <w:szCs w:val="20"/>
                <w:color w:val="auto"/>
              </w:rPr>
            </w:pPr>
            <w:r>
              <w:rPr>
                <w:rFonts w:ascii="Arial" w:cs="Arial" w:eastAsia="Arial" w:hAnsi="Arial"/>
                <w:sz w:val="10"/>
                <w:szCs w:val="10"/>
                <w:color w:val="auto"/>
              </w:rPr>
              <w:t>(30)</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Current contract liabilities</w:t>
            </w:r>
          </w:p>
        </w:tc>
        <w:tc>
          <w:tcPr>
            <w:tcW w:w="2020" w:type="dxa"/>
            <w:vAlign w:val="bottom"/>
          </w:tcPr>
          <w:p>
            <w:pPr>
              <w:jc w:val="right"/>
              <w:ind w:right="9"/>
              <w:spacing w:after="0"/>
              <w:rPr>
                <w:sz w:val="20"/>
                <w:szCs w:val="20"/>
                <w:color w:val="auto"/>
              </w:rPr>
            </w:pPr>
            <w:r>
              <w:rPr>
                <w:rFonts w:ascii="Arial" w:cs="Arial" w:eastAsia="Arial" w:hAnsi="Arial"/>
                <w:sz w:val="10"/>
                <w:szCs w:val="10"/>
                <w:color w:val="auto"/>
              </w:rPr>
              <w:t>(21)</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Other liabilities</w:t>
            </w:r>
            <w:r>
              <w:rPr>
                <w:rFonts w:ascii="Arial" w:cs="Arial" w:eastAsia="Arial" w:hAnsi="Arial"/>
                <w:sz w:val="6"/>
                <w:szCs w:val="6"/>
                <w:color w:val="auto"/>
              </w:rPr>
              <w:t>3</w:t>
            </w:r>
          </w:p>
        </w:tc>
        <w:tc>
          <w:tcPr>
            <w:tcW w:w="2020" w:type="dxa"/>
            <w:vAlign w:val="bottom"/>
          </w:tcPr>
          <w:p>
            <w:pPr>
              <w:jc w:val="right"/>
              <w:ind w:right="9"/>
              <w:spacing w:after="0"/>
              <w:rPr>
                <w:sz w:val="20"/>
                <w:szCs w:val="20"/>
                <w:color w:val="auto"/>
              </w:rPr>
            </w:pPr>
            <w:r>
              <w:rPr>
                <w:rFonts w:ascii="Arial" w:cs="Arial" w:eastAsia="Arial" w:hAnsi="Arial"/>
                <w:sz w:val="10"/>
                <w:szCs w:val="10"/>
                <w:color w:val="auto"/>
              </w:rPr>
              <w:t>(136)</w:t>
            </w:r>
          </w:p>
        </w:tc>
      </w:tr>
      <w:tr>
        <w:trPr>
          <w:trHeight w:val="158"/>
        </w:trPr>
        <w:tc>
          <w:tcPr>
            <w:tcW w:w="2820" w:type="dxa"/>
            <w:vAlign w:val="bottom"/>
          </w:tcPr>
          <w:p>
            <w:pPr>
              <w:ind w:left="100"/>
              <w:spacing w:after="0"/>
              <w:rPr>
                <w:sz w:val="20"/>
                <w:szCs w:val="20"/>
                <w:color w:val="auto"/>
              </w:rPr>
            </w:pPr>
            <w:r>
              <w:rPr>
                <w:rFonts w:ascii="Arial" w:cs="Arial" w:eastAsia="Arial" w:hAnsi="Arial"/>
                <w:sz w:val="10"/>
                <w:szCs w:val="10"/>
                <w:b w:val="1"/>
                <w:bCs w:val="1"/>
                <w:color w:val="auto"/>
              </w:rPr>
              <w:t>Total identifiable net assets</w:t>
            </w:r>
          </w:p>
        </w:tc>
        <w:tc>
          <w:tcPr>
            <w:tcW w:w="2020" w:type="dxa"/>
            <w:vAlign w:val="bottom"/>
          </w:tcPr>
          <w:p>
            <w:pPr>
              <w:jc w:val="right"/>
              <w:ind w:right="29"/>
              <w:spacing w:after="0"/>
              <w:rPr>
                <w:sz w:val="20"/>
                <w:szCs w:val="20"/>
                <w:color w:val="auto"/>
              </w:rPr>
            </w:pPr>
            <w:r>
              <w:rPr>
                <w:rFonts w:ascii="Arial" w:cs="Arial" w:eastAsia="Arial" w:hAnsi="Arial"/>
                <w:sz w:val="10"/>
                <w:szCs w:val="10"/>
                <w:b w:val="1"/>
                <w:bCs w:val="1"/>
                <w:color w:val="auto"/>
              </w:rPr>
              <w:t>8,017</w:t>
            </w:r>
          </w:p>
        </w:tc>
      </w:tr>
    </w:tbl>
    <w:p>
      <w:pPr>
        <w:spacing w:after="0" w:line="10" w:lineRule="exact"/>
        <w:rPr>
          <w:rFonts w:ascii="Arial" w:cs="Arial" w:eastAsia="Arial" w:hAnsi="Arial"/>
          <w:sz w:val="10"/>
          <w:szCs w:val="10"/>
          <w:color w:val="auto"/>
        </w:rPr>
      </w:pPr>
    </w:p>
    <w:p>
      <w:pPr>
        <w:ind w:left="80" w:hanging="74"/>
        <w:spacing w:after="0"/>
        <w:tabs>
          <w:tab w:leader="none" w:pos="80" w:val="left"/>
        </w:tabs>
        <w:numPr>
          <w:ilvl w:val="0"/>
          <w:numId w:val="41"/>
        </w:numPr>
        <w:rPr>
          <w:rFonts w:ascii="Arial" w:cs="Arial" w:eastAsia="Arial" w:hAnsi="Arial"/>
          <w:sz w:val="7"/>
          <w:szCs w:val="7"/>
          <w:color w:val="auto"/>
        </w:rPr>
      </w:pPr>
      <w:r>
        <w:rPr>
          <w:rFonts w:ascii="Arial" w:cs="Arial" w:eastAsia="Arial" w:hAnsi="Arial"/>
          <w:sz w:val="7"/>
          <w:szCs w:val="7"/>
          <w:color w:val="auto"/>
        </w:rPr>
        <w:t>Includes current receivables, marketable securities and prepaid expenses</w:t>
      </w:r>
    </w:p>
    <w:p>
      <w:pPr>
        <w:spacing w:after="0" w:line="13" w:lineRule="exact"/>
        <w:rPr>
          <w:rFonts w:ascii="Arial" w:cs="Arial" w:eastAsia="Arial" w:hAnsi="Arial"/>
          <w:sz w:val="7"/>
          <w:szCs w:val="7"/>
          <w:color w:val="auto"/>
        </w:rPr>
      </w:pPr>
    </w:p>
    <w:p>
      <w:pPr>
        <w:ind w:left="80" w:hanging="74"/>
        <w:spacing w:after="0"/>
        <w:tabs>
          <w:tab w:leader="none" w:pos="80" w:val="left"/>
        </w:tabs>
        <w:numPr>
          <w:ilvl w:val="0"/>
          <w:numId w:val="41"/>
        </w:numPr>
        <w:rPr>
          <w:rFonts w:ascii="Arial" w:cs="Arial" w:eastAsia="Arial" w:hAnsi="Arial"/>
          <w:sz w:val="7"/>
          <w:szCs w:val="7"/>
          <w:color w:val="auto"/>
        </w:rPr>
      </w:pPr>
      <w:r>
        <w:rPr>
          <w:rFonts w:ascii="Arial" w:cs="Arial" w:eastAsia="Arial" w:hAnsi="Arial"/>
          <w:sz w:val="7"/>
          <w:szCs w:val="7"/>
          <w:color w:val="auto"/>
        </w:rPr>
        <w:t>Includes right-of-use assets, property and equipment and other investments.</w:t>
      </w:r>
    </w:p>
    <w:p>
      <w:pPr>
        <w:spacing w:after="0" w:line="5" w:lineRule="exact"/>
        <w:rPr>
          <w:rFonts w:ascii="Arial" w:cs="Arial" w:eastAsia="Arial" w:hAnsi="Arial"/>
          <w:sz w:val="7"/>
          <w:szCs w:val="7"/>
          <w:color w:val="auto"/>
        </w:rPr>
      </w:pPr>
    </w:p>
    <w:p>
      <w:pPr>
        <w:ind w:right="2820" w:firstLine="6"/>
        <w:spacing w:after="0" w:line="243" w:lineRule="auto"/>
        <w:tabs>
          <w:tab w:leader="none" w:pos="76" w:val="left"/>
        </w:tabs>
        <w:numPr>
          <w:ilvl w:val="0"/>
          <w:numId w:val="41"/>
        </w:numPr>
        <w:rPr>
          <w:rFonts w:ascii="Arial" w:cs="Arial" w:eastAsia="Arial" w:hAnsi="Arial"/>
          <w:sz w:val="7"/>
          <w:szCs w:val="7"/>
          <w:color w:val="auto"/>
        </w:rPr>
      </w:pPr>
      <w:r>
        <w:rPr>
          <w:rFonts w:ascii="Arial" w:cs="Arial" w:eastAsia="Arial" w:hAnsi="Arial"/>
          <w:sz w:val="7"/>
          <w:szCs w:val="7"/>
          <w:color w:val="auto"/>
        </w:rPr>
        <w:t>Includes other current payables (primarily accrued expenses for R&amp;D and personnel costs), current lease liabilities and non-current lease liabilities</w:t>
      </w:r>
    </w:p>
    <w:p>
      <w:pPr>
        <w:ind w:right="2520"/>
        <w:spacing w:after="0" w:line="221" w:lineRule="auto"/>
        <w:rPr>
          <w:rFonts w:ascii="Arial" w:cs="Arial" w:eastAsia="Arial" w:hAnsi="Arial"/>
          <w:sz w:val="7"/>
          <w:szCs w:val="7"/>
          <w:color w:val="auto"/>
        </w:rPr>
      </w:pPr>
      <w:r>
        <w:rPr>
          <w:rFonts w:ascii="Arial" w:cs="Arial" w:eastAsia="Arial" w:hAnsi="Arial"/>
          <w:sz w:val="10"/>
          <w:szCs w:val="10"/>
          <w:color w:val="auto"/>
        </w:rPr>
        <w:t>Acquisition- and integration-related charges of $185 million incurred from the date of acquisition through December 31, 2025 are primarily related to professional fees incurred by Merus upon close of the acquisition ($109 million) and payments to Merus option holders for the portion of the equity payout attributable to the post-acquisition period ($58 million). These charges were expensed rather than capitalized as part of purchase consideration because they were not directly attributable to the acquisition of Merus by Genmab. The remaining expenses of $18 million are primarily integration related charges incurred from the Acquisition Date through December 31, 2025, which are comprised of professional fees incurred to assist with the integration of Merus into Genmab’s operations post-acquisition. Acquisition and integration related charges are presented in Genmab’s Consolidated Statements of Comprehensive Income.</w:t>
      </w:r>
    </w:p>
    <w:p>
      <w:pPr>
        <w:spacing w:after="0" w:line="211" w:lineRule="auto"/>
        <w:rPr>
          <w:sz w:val="20"/>
          <w:szCs w:val="20"/>
          <w:color w:val="auto"/>
        </w:rPr>
      </w:pPr>
      <w:r>
        <w:rPr>
          <w:rFonts w:ascii="Arial" w:cs="Arial" w:eastAsia="Arial" w:hAnsi="Arial"/>
          <w:sz w:val="13"/>
          <w:szCs w:val="13"/>
          <w:b w:val="1"/>
          <w:bCs w:val="1"/>
          <w:color w:val="691A6B"/>
        </w:rPr>
        <w:t>ProfoundBio, Inc.</w:t>
      </w:r>
    </w:p>
    <w:p>
      <w:pPr>
        <w:spacing w:after="0" w:line="1" w:lineRule="exact"/>
        <w:rPr>
          <w:rFonts w:ascii="Arial" w:cs="Arial" w:eastAsia="Arial" w:hAnsi="Arial"/>
          <w:sz w:val="10"/>
          <w:szCs w:val="10"/>
          <w:color w:val="auto"/>
        </w:rPr>
      </w:pPr>
    </w:p>
    <w:p>
      <w:pPr>
        <w:ind w:right="2440"/>
        <w:spacing w:after="0" w:line="218" w:lineRule="auto"/>
        <w:rPr>
          <w:sz w:val="20"/>
          <w:szCs w:val="20"/>
          <w:color w:val="auto"/>
        </w:rPr>
      </w:pPr>
      <w:r>
        <w:rPr>
          <w:rFonts w:ascii="Arial" w:cs="Arial" w:eastAsia="Arial" w:hAnsi="Arial"/>
          <w:sz w:val="10"/>
          <w:szCs w:val="10"/>
          <w:color w:val="auto"/>
        </w:rPr>
        <w:t>On May 21, 2024 (Acquisition Date), Genmab completed the previously announced acquisition of all of the outstanding shares of ProfoundBio, resulting in ProfoundBio becoming a wholly owned subsidiary of Genmab. The acquisition of ProfoundBio gave Genmab worldwide rights to three candidates in clinical development, including ProfoundBio’s lead drug candidate, rinatabart sesutecan (Rina-S). In addition, Genmab acquired ProfoundBio’s novel ADC technology platforms. Rina-S is a clinical-stage, FRα-targeted, TOPO1 ADC, which was in Phase 2 of a Phase 1/2 clinical trial at the time of the acquisition, for the treatment of ovarian cancer and other FRα- expressing solid tumors. Based on the data from the ongoing Phase 1/2 clinical trial Genmab intends to broaden the development plans for Rina-S within ovarian cancer and other FRαexpressing solid tumors. In January 2024, the FDA granted Fast Track designation to Rina -S for the treatment of patients with FRα-expressing high -grade serous or endometrioid platinum-resistant ovarian cancer.</w:t>
      </w:r>
    </w:p>
    <w:p>
      <w:pPr>
        <w:spacing w:after="0" w:line="2" w:lineRule="exact"/>
        <w:rPr>
          <w:rFonts w:ascii="Arial" w:cs="Arial" w:eastAsia="Arial" w:hAnsi="Arial"/>
          <w:sz w:val="10"/>
          <w:szCs w:val="10"/>
          <w:color w:val="auto"/>
        </w:rPr>
      </w:pPr>
    </w:p>
    <w:p>
      <w:pPr>
        <w:ind w:right="2460"/>
        <w:spacing w:after="0" w:line="205" w:lineRule="auto"/>
        <w:rPr>
          <w:sz w:val="20"/>
          <w:szCs w:val="20"/>
          <w:color w:val="auto"/>
        </w:rPr>
      </w:pPr>
      <w:r>
        <w:rPr>
          <w:rFonts w:ascii="Arial" w:cs="Arial" w:eastAsia="Arial" w:hAnsi="Arial"/>
          <w:sz w:val="10"/>
          <w:szCs w:val="10"/>
          <w:color w:val="auto"/>
        </w:rPr>
        <w:t>In addition to payment of $1.72 billion for all of the outstanding shares of ProfoundBio, Genmab also made a $199 million payment to holders of outstanding ProfoundBio equity awards for settlement of such vested and non-vested awards. Of the $199 million payment, $187 million related to the portion of awards where the vesting period was completed prior to the Acquisition Date. This portion of the payment was therefore determined to be attributable to the pre -combination period and included in purchase consideration. The remaining $11 million payment related to the portion of awards with future vesting conditions, and therefore is attributable to post- combination services. The amount attributable to the post-combination service does not form part of the consideration and was therefore instead recognized as Acquisition and integration related charges in Genmab’s Consolidated Statements of Comprehensive Income.</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149</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150</w:t>
      </w:r>
    </w:p>
    <w:p>
      <w:pPr>
        <w:sectPr>
          <w:pgSz w:w="11900" w:h="16840" w:orient="portrait"/>
          <w:cols w:equalWidth="0" w:num="2">
            <w:col w:w="7400" w:space="720"/>
            <w:col w:w="1700"/>
          </w:cols>
          <w:pgMar w:left="640" w:top="571" w:right="1440" w:bottom="525" w:gutter="0" w:footer="0" w:header="0"/>
        </w:sectPr>
      </w:pPr>
    </w:p>
    <w:bookmarkStart w:id="156" w:name="page157"/>
    <w:bookmarkEnd w:id="156"/>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17" w:lineRule="auto"/>
        <w:rPr>
          <w:sz w:val="20"/>
          <w:szCs w:val="20"/>
          <w:color w:val="auto"/>
        </w:rPr>
      </w:pPr>
      <w:r>
        <w:rPr>
          <w:rFonts w:ascii="Arial" w:cs="Arial" w:eastAsia="Arial" w:hAnsi="Arial"/>
          <w:sz w:val="10"/>
          <w:szCs w:val="10"/>
          <w:color w:val="auto"/>
        </w:rPr>
        <w:t>The total consideration for the acquisition of ProfoundBio is summarized as follows:</w:t>
      </w:r>
    </w:p>
    <w:tbl>
      <w:tblPr>
        <w:tblLayout w:type="fixed"/>
        <w:tblInd w:w="0" w:type="dxa"/>
        <w:tblCellMar>
          <w:top w:w="0" w:type="dxa"/>
          <w:left w:w="0" w:type="dxa"/>
          <w:bottom w:w="0" w:type="dxa"/>
          <w:right w:w="0" w:type="dxa"/>
        </w:tblCellMar>
      </w:tblPr>
      <w:tr>
        <w:trPr>
          <w:trHeight w:val="95"/>
        </w:trPr>
        <w:tc>
          <w:tcPr>
            <w:tcW w:w="3560" w:type="dxa"/>
            <w:vAlign w:val="bottom"/>
            <w:tcBorders>
              <w:top w:val="single" w:sz="8" w:color="691A6B"/>
            </w:tcBorders>
          </w:tcPr>
          <w:p>
            <w:pPr>
              <w:spacing w:after="0"/>
              <w:rPr>
                <w:sz w:val="8"/>
                <w:szCs w:val="8"/>
                <w:color w:val="auto"/>
              </w:rPr>
            </w:pPr>
          </w:p>
        </w:tc>
        <w:tc>
          <w:tcPr>
            <w:tcW w:w="1280" w:type="dxa"/>
            <w:vAlign w:val="bottom"/>
            <w:tcBorders>
              <w:top w:val="single" w:sz="8" w:color="691A6B"/>
            </w:tcBorders>
          </w:tcPr>
          <w:p>
            <w:pPr>
              <w:ind w:left="360"/>
              <w:spacing w:after="0" w:line="95" w:lineRule="exact"/>
              <w:rPr>
                <w:sz w:val="20"/>
                <w:szCs w:val="20"/>
                <w:color w:val="auto"/>
              </w:rPr>
            </w:pPr>
            <w:r>
              <w:rPr>
                <w:rFonts w:ascii="Arial" w:cs="Arial" w:eastAsia="Arial" w:hAnsi="Arial"/>
                <w:sz w:val="10"/>
                <w:szCs w:val="10"/>
                <w:b w:val="1"/>
                <w:bCs w:val="1"/>
                <w:color w:val="auto"/>
              </w:rPr>
              <w:t>Total</w:t>
            </w:r>
          </w:p>
        </w:tc>
      </w:tr>
      <w:tr>
        <w:trPr>
          <w:trHeight w:val="128"/>
        </w:trPr>
        <w:tc>
          <w:tcPr>
            <w:tcW w:w="3560" w:type="dxa"/>
            <w:vAlign w:val="bottom"/>
          </w:tcPr>
          <w:p>
            <w:pPr>
              <w:spacing w:after="0"/>
              <w:rPr>
                <w:sz w:val="11"/>
                <w:szCs w:val="11"/>
                <w:color w:val="auto"/>
              </w:rPr>
            </w:pPr>
          </w:p>
        </w:tc>
        <w:tc>
          <w:tcPr>
            <w:tcW w:w="1280" w:type="dxa"/>
            <w:vAlign w:val="bottom"/>
          </w:tcPr>
          <w:p>
            <w:pPr>
              <w:ind w:left="360"/>
              <w:spacing w:after="0"/>
              <w:rPr>
                <w:sz w:val="20"/>
                <w:szCs w:val="20"/>
                <w:color w:val="auto"/>
              </w:rPr>
            </w:pPr>
            <w:r>
              <w:rPr>
                <w:rFonts w:ascii="Arial" w:cs="Arial" w:eastAsia="Arial" w:hAnsi="Arial"/>
                <w:sz w:val="10"/>
                <w:szCs w:val="10"/>
                <w:b w:val="1"/>
                <w:bCs w:val="1"/>
                <w:color w:val="auto"/>
              </w:rPr>
              <w:t>Consideration</w:t>
            </w:r>
          </w:p>
        </w:tc>
      </w:tr>
      <w:tr>
        <w:trPr>
          <w:trHeight w:val="150"/>
        </w:trPr>
        <w:tc>
          <w:tcPr>
            <w:tcW w:w="3560" w:type="dxa"/>
            <w:vAlign w:val="bottom"/>
          </w:tcPr>
          <w:p>
            <w:pPr>
              <w:ind w:left="20"/>
              <w:spacing w:after="0"/>
              <w:rPr>
                <w:sz w:val="20"/>
                <w:szCs w:val="20"/>
                <w:color w:val="auto"/>
              </w:rPr>
            </w:pPr>
            <w:r>
              <w:rPr>
                <w:rFonts w:ascii="Arial" w:cs="Arial" w:eastAsia="Arial" w:hAnsi="Arial"/>
                <w:sz w:val="10"/>
                <w:szCs w:val="10"/>
                <w:color w:val="auto"/>
              </w:rPr>
              <w:t>Cash paid for outstanding shares</w:t>
            </w:r>
          </w:p>
        </w:tc>
        <w:tc>
          <w:tcPr>
            <w:tcW w:w="1280" w:type="dxa"/>
            <w:vAlign w:val="bottom"/>
          </w:tcPr>
          <w:p>
            <w:pPr>
              <w:jc w:val="right"/>
              <w:ind w:right="29"/>
              <w:spacing w:after="0"/>
              <w:rPr>
                <w:sz w:val="20"/>
                <w:szCs w:val="20"/>
                <w:color w:val="auto"/>
              </w:rPr>
            </w:pPr>
            <w:r>
              <w:rPr>
                <w:rFonts w:ascii="Arial" w:cs="Arial" w:eastAsia="Arial" w:hAnsi="Arial"/>
                <w:sz w:val="10"/>
                <w:szCs w:val="10"/>
                <w:color w:val="auto"/>
              </w:rPr>
              <w:t>1,718</w:t>
            </w:r>
          </w:p>
        </w:tc>
      </w:tr>
      <w:tr>
        <w:trPr>
          <w:trHeight w:val="152"/>
        </w:trPr>
        <w:tc>
          <w:tcPr>
            <w:tcW w:w="3560" w:type="dxa"/>
            <w:vAlign w:val="bottom"/>
          </w:tcPr>
          <w:p>
            <w:pPr>
              <w:ind w:left="20"/>
              <w:spacing w:after="0"/>
              <w:rPr>
                <w:sz w:val="20"/>
                <w:szCs w:val="20"/>
                <w:color w:val="auto"/>
              </w:rPr>
            </w:pPr>
            <w:r>
              <w:rPr>
                <w:rFonts w:ascii="Arial" w:cs="Arial" w:eastAsia="Arial" w:hAnsi="Arial"/>
                <w:sz w:val="10"/>
                <w:szCs w:val="10"/>
                <w:color w:val="auto"/>
              </w:rPr>
              <w:t>Cash for equity compensation attributable to pre-combination service</w:t>
            </w:r>
          </w:p>
        </w:tc>
        <w:tc>
          <w:tcPr>
            <w:tcW w:w="1280" w:type="dxa"/>
            <w:vAlign w:val="bottom"/>
          </w:tcPr>
          <w:p>
            <w:pPr>
              <w:jc w:val="right"/>
              <w:ind w:right="29"/>
              <w:spacing w:after="0"/>
              <w:rPr>
                <w:sz w:val="20"/>
                <w:szCs w:val="20"/>
                <w:color w:val="auto"/>
              </w:rPr>
            </w:pPr>
            <w:r>
              <w:rPr>
                <w:rFonts w:ascii="Arial" w:cs="Arial" w:eastAsia="Arial" w:hAnsi="Arial"/>
                <w:sz w:val="10"/>
                <w:szCs w:val="10"/>
                <w:color w:val="auto"/>
              </w:rPr>
              <w:t>187</w:t>
            </w:r>
          </w:p>
        </w:tc>
      </w:tr>
      <w:tr>
        <w:trPr>
          <w:trHeight w:val="158"/>
        </w:trPr>
        <w:tc>
          <w:tcPr>
            <w:tcW w:w="3560" w:type="dxa"/>
            <w:vAlign w:val="bottom"/>
          </w:tcPr>
          <w:p>
            <w:pPr>
              <w:ind w:left="20"/>
              <w:spacing w:after="0"/>
              <w:rPr>
                <w:sz w:val="20"/>
                <w:szCs w:val="20"/>
                <w:color w:val="auto"/>
              </w:rPr>
            </w:pPr>
            <w:r>
              <w:rPr>
                <w:rFonts w:ascii="Arial" w:cs="Arial" w:eastAsia="Arial" w:hAnsi="Arial"/>
                <w:sz w:val="10"/>
                <w:szCs w:val="10"/>
                <w:b w:val="1"/>
                <w:bCs w:val="1"/>
                <w:color w:val="auto"/>
              </w:rPr>
              <w:t>Total consideration</w:t>
            </w:r>
          </w:p>
        </w:tc>
        <w:tc>
          <w:tcPr>
            <w:tcW w:w="1280" w:type="dxa"/>
            <w:vAlign w:val="bottom"/>
          </w:tcPr>
          <w:p>
            <w:pPr>
              <w:jc w:val="right"/>
              <w:ind w:right="29"/>
              <w:spacing w:after="0"/>
              <w:rPr>
                <w:sz w:val="20"/>
                <w:szCs w:val="20"/>
                <w:color w:val="auto"/>
              </w:rPr>
            </w:pPr>
            <w:r>
              <w:rPr>
                <w:rFonts w:ascii="Arial" w:cs="Arial" w:eastAsia="Arial" w:hAnsi="Arial"/>
                <w:sz w:val="10"/>
                <w:szCs w:val="10"/>
                <w:b w:val="1"/>
                <w:bCs w:val="1"/>
                <w:color w:val="auto"/>
              </w:rPr>
              <w:t>1,905</w:t>
            </w:r>
          </w:p>
        </w:tc>
      </w:tr>
      <w:tr>
        <w:trPr>
          <w:trHeight w:val="146"/>
        </w:trPr>
        <w:tc>
          <w:tcPr>
            <w:tcW w:w="3560" w:type="dxa"/>
            <w:vAlign w:val="bottom"/>
          </w:tcPr>
          <w:p>
            <w:pPr>
              <w:ind w:left="20"/>
              <w:spacing w:after="0"/>
              <w:rPr>
                <w:sz w:val="20"/>
                <w:szCs w:val="20"/>
                <w:color w:val="auto"/>
              </w:rPr>
            </w:pPr>
            <w:r>
              <w:rPr>
                <w:rFonts w:ascii="Arial" w:cs="Arial" w:eastAsia="Arial" w:hAnsi="Arial"/>
                <w:sz w:val="10"/>
                <w:szCs w:val="10"/>
                <w:color w:val="auto"/>
              </w:rPr>
              <w:t>Cash acquired</w:t>
            </w:r>
          </w:p>
        </w:tc>
        <w:tc>
          <w:tcPr>
            <w:tcW w:w="1280" w:type="dxa"/>
            <w:vAlign w:val="bottom"/>
          </w:tcPr>
          <w:p>
            <w:pPr>
              <w:jc w:val="right"/>
              <w:ind w:right="9"/>
              <w:spacing w:after="0"/>
              <w:rPr>
                <w:sz w:val="20"/>
                <w:szCs w:val="20"/>
                <w:color w:val="auto"/>
              </w:rPr>
            </w:pPr>
            <w:r>
              <w:rPr>
                <w:rFonts w:ascii="Arial" w:cs="Arial" w:eastAsia="Arial" w:hAnsi="Arial"/>
                <w:sz w:val="10"/>
                <w:szCs w:val="10"/>
                <w:color w:val="auto"/>
              </w:rPr>
              <w:t>(122)</w:t>
            </w:r>
          </w:p>
        </w:tc>
      </w:tr>
      <w:tr>
        <w:trPr>
          <w:trHeight w:val="158"/>
        </w:trPr>
        <w:tc>
          <w:tcPr>
            <w:tcW w:w="3560" w:type="dxa"/>
            <w:vAlign w:val="bottom"/>
          </w:tcPr>
          <w:p>
            <w:pPr>
              <w:ind w:left="20"/>
              <w:spacing w:after="0"/>
              <w:rPr>
                <w:sz w:val="20"/>
                <w:szCs w:val="20"/>
                <w:color w:val="auto"/>
              </w:rPr>
            </w:pPr>
            <w:r>
              <w:rPr>
                <w:rFonts w:ascii="Arial" w:cs="Arial" w:eastAsia="Arial" w:hAnsi="Arial"/>
                <w:sz w:val="10"/>
                <w:szCs w:val="10"/>
                <w:b w:val="1"/>
                <w:bCs w:val="1"/>
                <w:color w:val="auto"/>
              </w:rPr>
              <w:t>Cash used for acquisition of asset</w:t>
            </w:r>
          </w:p>
        </w:tc>
        <w:tc>
          <w:tcPr>
            <w:tcW w:w="1280" w:type="dxa"/>
            <w:vAlign w:val="bottom"/>
          </w:tcPr>
          <w:p>
            <w:pPr>
              <w:jc w:val="right"/>
              <w:ind w:right="29"/>
              <w:spacing w:after="0"/>
              <w:rPr>
                <w:sz w:val="20"/>
                <w:szCs w:val="20"/>
                <w:color w:val="auto"/>
              </w:rPr>
            </w:pPr>
            <w:r>
              <w:rPr>
                <w:rFonts w:ascii="Arial" w:cs="Arial" w:eastAsia="Arial" w:hAnsi="Arial"/>
                <w:sz w:val="10"/>
                <w:szCs w:val="10"/>
                <w:b w:val="1"/>
                <w:bCs w:val="1"/>
                <w:color w:val="auto"/>
              </w:rPr>
              <w:t>1,783</w:t>
            </w:r>
          </w:p>
        </w:tc>
      </w:tr>
    </w:tbl>
    <w:p>
      <w:pPr>
        <w:ind w:right="2480"/>
        <w:spacing w:after="0" w:line="218" w:lineRule="auto"/>
        <w:rPr>
          <w:sz w:val="20"/>
          <w:szCs w:val="20"/>
          <w:color w:val="auto"/>
        </w:rPr>
      </w:pPr>
      <w:r>
        <w:rPr>
          <w:rFonts w:ascii="Arial" w:cs="Arial" w:eastAsia="Arial" w:hAnsi="Arial"/>
          <w:sz w:val="10"/>
          <w:szCs w:val="10"/>
          <w:color w:val="auto"/>
        </w:rPr>
        <w:t>The purchase price allocation resulted in the following amounts being allocated to the assets acquired and liabilities assumed at the Acquisition Date based upon their respective fair values summarized below:</w:t>
      </w:r>
    </w:p>
    <w:p>
      <w:pPr>
        <w:spacing w:after="0" w:line="1"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95"/>
        </w:trPr>
        <w:tc>
          <w:tcPr>
            <w:tcW w:w="2820" w:type="dxa"/>
            <w:vAlign w:val="bottom"/>
            <w:tcBorders>
              <w:top w:val="single" w:sz="8" w:color="691A6B"/>
            </w:tcBorders>
          </w:tcPr>
          <w:p>
            <w:pPr>
              <w:spacing w:after="0"/>
              <w:rPr>
                <w:sz w:val="8"/>
                <w:szCs w:val="8"/>
                <w:color w:val="auto"/>
              </w:rPr>
            </w:pPr>
          </w:p>
        </w:tc>
        <w:tc>
          <w:tcPr>
            <w:tcW w:w="2020" w:type="dxa"/>
            <w:vAlign w:val="bottom"/>
            <w:tcBorders>
              <w:top w:val="single" w:sz="8" w:color="691A6B"/>
            </w:tcBorders>
          </w:tcPr>
          <w:p>
            <w:pPr>
              <w:ind w:left="1100"/>
              <w:spacing w:after="0" w:line="95" w:lineRule="exact"/>
              <w:rPr>
                <w:sz w:val="20"/>
                <w:szCs w:val="20"/>
                <w:color w:val="auto"/>
              </w:rPr>
            </w:pPr>
            <w:r>
              <w:rPr>
                <w:rFonts w:ascii="Arial" w:cs="Arial" w:eastAsia="Arial" w:hAnsi="Arial"/>
                <w:sz w:val="10"/>
                <w:szCs w:val="10"/>
                <w:b w:val="1"/>
                <w:bCs w:val="1"/>
                <w:color w:val="auto"/>
              </w:rPr>
              <w:t>Amounts</w:t>
            </w:r>
          </w:p>
        </w:tc>
      </w:tr>
      <w:tr>
        <w:trPr>
          <w:trHeight w:val="95"/>
        </w:trPr>
        <w:tc>
          <w:tcPr>
            <w:tcW w:w="2820" w:type="dxa"/>
            <w:vAlign w:val="bottom"/>
          </w:tcPr>
          <w:p>
            <w:pPr>
              <w:spacing w:after="0"/>
              <w:rPr>
                <w:sz w:val="8"/>
                <w:szCs w:val="8"/>
                <w:color w:val="auto"/>
              </w:rPr>
            </w:pPr>
          </w:p>
        </w:tc>
        <w:tc>
          <w:tcPr>
            <w:tcW w:w="2020" w:type="dxa"/>
            <w:vAlign w:val="bottom"/>
          </w:tcPr>
          <w:p>
            <w:pPr>
              <w:ind w:left="1100"/>
              <w:spacing w:after="0" w:line="95" w:lineRule="exact"/>
              <w:rPr>
                <w:sz w:val="20"/>
                <w:szCs w:val="20"/>
                <w:color w:val="auto"/>
              </w:rPr>
            </w:pPr>
            <w:r>
              <w:rPr>
                <w:rFonts w:ascii="Arial" w:cs="Arial" w:eastAsia="Arial" w:hAnsi="Arial"/>
                <w:sz w:val="10"/>
                <w:szCs w:val="10"/>
                <w:b w:val="1"/>
                <w:bCs w:val="1"/>
                <w:color w:val="auto"/>
              </w:rPr>
              <w:t>Recognized as of</w:t>
            </w:r>
          </w:p>
        </w:tc>
      </w:tr>
      <w:tr>
        <w:trPr>
          <w:trHeight w:val="95"/>
        </w:trPr>
        <w:tc>
          <w:tcPr>
            <w:tcW w:w="2820" w:type="dxa"/>
            <w:vAlign w:val="bottom"/>
          </w:tcPr>
          <w:p>
            <w:pPr>
              <w:spacing w:after="0"/>
              <w:rPr>
                <w:sz w:val="8"/>
                <w:szCs w:val="8"/>
                <w:color w:val="auto"/>
              </w:rPr>
            </w:pPr>
          </w:p>
        </w:tc>
        <w:tc>
          <w:tcPr>
            <w:tcW w:w="2020" w:type="dxa"/>
            <w:vAlign w:val="bottom"/>
          </w:tcPr>
          <w:p>
            <w:pPr>
              <w:ind w:left="1100"/>
              <w:spacing w:after="0" w:line="95" w:lineRule="exact"/>
              <w:rPr>
                <w:sz w:val="20"/>
                <w:szCs w:val="20"/>
                <w:color w:val="auto"/>
              </w:rPr>
            </w:pPr>
            <w:r>
              <w:rPr>
                <w:rFonts w:ascii="Arial" w:cs="Arial" w:eastAsia="Arial" w:hAnsi="Arial"/>
                <w:sz w:val="10"/>
                <w:szCs w:val="10"/>
                <w:b w:val="1"/>
                <w:bCs w:val="1"/>
                <w:color w:val="auto"/>
              </w:rPr>
              <w:t>the Acquisition</w:t>
            </w:r>
          </w:p>
        </w:tc>
      </w:tr>
      <w:tr>
        <w:trPr>
          <w:trHeight w:val="128"/>
        </w:trPr>
        <w:tc>
          <w:tcPr>
            <w:tcW w:w="2820" w:type="dxa"/>
            <w:vAlign w:val="bottom"/>
          </w:tcPr>
          <w:p>
            <w:pPr>
              <w:spacing w:after="0"/>
              <w:rPr>
                <w:sz w:val="11"/>
                <w:szCs w:val="11"/>
                <w:color w:val="auto"/>
              </w:rPr>
            </w:pPr>
          </w:p>
        </w:tc>
        <w:tc>
          <w:tcPr>
            <w:tcW w:w="2020" w:type="dxa"/>
            <w:vAlign w:val="bottom"/>
          </w:tcPr>
          <w:p>
            <w:pPr>
              <w:ind w:left="1100"/>
              <w:spacing w:after="0"/>
              <w:rPr>
                <w:sz w:val="20"/>
                <w:szCs w:val="20"/>
                <w:color w:val="auto"/>
              </w:rPr>
            </w:pPr>
            <w:r>
              <w:rPr>
                <w:rFonts w:ascii="Arial" w:cs="Arial" w:eastAsia="Arial" w:hAnsi="Arial"/>
                <w:sz w:val="10"/>
                <w:szCs w:val="10"/>
                <w:b w:val="1"/>
                <w:bCs w:val="1"/>
                <w:color w:val="auto"/>
              </w:rPr>
              <w:t>Date</w:t>
            </w:r>
          </w:p>
        </w:tc>
      </w:tr>
      <w:tr>
        <w:trPr>
          <w:trHeight w:val="188"/>
        </w:trPr>
        <w:tc>
          <w:tcPr>
            <w:tcW w:w="2820" w:type="dxa"/>
            <w:vAlign w:val="bottom"/>
          </w:tcPr>
          <w:p>
            <w:pPr>
              <w:ind w:left="20"/>
              <w:spacing w:after="0"/>
              <w:rPr>
                <w:sz w:val="20"/>
                <w:szCs w:val="20"/>
                <w:color w:val="auto"/>
              </w:rPr>
            </w:pPr>
            <w:r>
              <w:rPr>
                <w:rFonts w:ascii="Arial" w:cs="Arial" w:eastAsia="Arial" w:hAnsi="Arial"/>
                <w:sz w:val="10"/>
                <w:szCs w:val="10"/>
                <w:color w:val="auto"/>
              </w:rPr>
              <w:t>Cash and cash equivalents</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122</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Other current assets</w:t>
            </w:r>
            <w:r>
              <w:rPr>
                <w:rFonts w:ascii="Arial" w:cs="Arial" w:eastAsia="Arial" w:hAnsi="Arial"/>
                <w:sz w:val="6"/>
                <w:szCs w:val="6"/>
                <w:color w:val="auto"/>
              </w:rPr>
              <w:t>1</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4</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Property and equipment</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6</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IPR&amp;D intangible asset</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1,540</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Technology platform intangible asset</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181</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Other non-current assets</w:t>
            </w:r>
            <w:r>
              <w:rPr>
                <w:rFonts w:ascii="Arial" w:cs="Arial" w:eastAsia="Arial" w:hAnsi="Arial"/>
                <w:sz w:val="6"/>
                <w:szCs w:val="6"/>
                <w:color w:val="auto"/>
              </w:rPr>
              <w:t>2</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3</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Deferred tax liability</w:t>
            </w:r>
          </w:p>
        </w:tc>
        <w:tc>
          <w:tcPr>
            <w:tcW w:w="2020" w:type="dxa"/>
            <w:vAlign w:val="bottom"/>
          </w:tcPr>
          <w:p>
            <w:pPr>
              <w:jc w:val="right"/>
              <w:ind w:right="9"/>
              <w:spacing w:after="0"/>
              <w:rPr>
                <w:sz w:val="20"/>
                <w:szCs w:val="20"/>
                <w:color w:val="auto"/>
              </w:rPr>
            </w:pPr>
            <w:r>
              <w:rPr>
                <w:rFonts w:ascii="Arial" w:cs="Arial" w:eastAsia="Arial" w:hAnsi="Arial"/>
                <w:sz w:val="10"/>
                <w:szCs w:val="10"/>
                <w:color w:val="auto"/>
              </w:rPr>
              <w:t>(292)</w:t>
            </w:r>
          </w:p>
        </w:tc>
      </w:tr>
      <w:tr>
        <w:trPr>
          <w:trHeight w:val="152"/>
        </w:trPr>
        <w:tc>
          <w:tcPr>
            <w:tcW w:w="2820" w:type="dxa"/>
            <w:vAlign w:val="bottom"/>
          </w:tcPr>
          <w:p>
            <w:pPr>
              <w:ind w:left="20"/>
              <w:spacing w:after="0"/>
              <w:rPr>
                <w:sz w:val="20"/>
                <w:szCs w:val="20"/>
                <w:color w:val="auto"/>
              </w:rPr>
            </w:pPr>
            <w:r>
              <w:rPr>
                <w:rFonts w:ascii="Arial" w:cs="Arial" w:eastAsia="Arial" w:hAnsi="Arial"/>
                <w:sz w:val="10"/>
                <w:szCs w:val="10"/>
                <w:color w:val="auto"/>
              </w:rPr>
              <w:t>Other current liabilities</w:t>
            </w:r>
            <w:r>
              <w:rPr>
                <w:rFonts w:ascii="Arial" w:cs="Arial" w:eastAsia="Arial" w:hAnsi="Arial"/>
                <w:sz w:val="6"/>
                <w:szCs w:val="6"/>
                <w:color w:val="auto"/>
              </w:rPr>
              <w:t>3</w:t>
            </w:r>
          </w:p>
        </w:tc>
        <w:tc>
          <w:tcPr>
            <w:tcW w:w="2020" w:type="dxa"/>
            <w:vAlign w:val="bottom"/>
          </w:tcPr>
          <w:p>
            <w:pPr>
              <w:jc w:val="right"/>
              <w:ind w:right="9"/>
              <w:spacing w:after="0"/>
              <w:rPr>
                <w:sz w:val="20"/>
                <w:szCs w:val="20"/>
                <w:color w:val="auto"/>
              </w:rPr>
            </w:pPr>
            <w:r>
              <w:rPr>
                <w:rFonts w:ascii="Arial" w:cs="Arial" w:eastAsia="Arial" w:hAnsi="Arial"/>
                <w:sz w:val="10"/>
                <w:szCs w:val="10"/>
                <w:color w:val="auto"/>
              </w:rPr>
              <w:t>(13)</w:t>
            </w:r>
          </w:p>
        </w:tc>
      </w:tr>
      <w:tr>
        <w:trPr>
          <w:trHeight w:val="158"/>
        </w:trPr>
        <w:tc>
          <w:tcPr>
            <w:tcW w:w="2820" w:type="dxa"/>
            <w:vAlign w:val="bottom"/>
          </w:tcPr>
          <w:p>
            <w:pPr>
              <w:ind w:left="20"/>
              <w:spacing w:after="0"/>
              <w:rPr>
                <w:sz w:val="20"/>
                <w:szCs w:val="20"/>
                <w:color w:val="auto"/>
              </w:rPr>
            </w:pPr>
            <w:r>
              <w:rPr>
                <w:rFonts w:ascii="Arial" w:cs="Arial" w:eastAsia="Arial" w:hAnsi="Arial"/>
                <w:sz w:val="10"/>
                <w:szCs w:val="10"/>
                <w:b w:val="1"/>
                <w:bCs w:val="1"/>
                <w:color w:val="auto"/>
              </w:rPr>
              <w:t>Total identifiable net assets</w:t>
            </w:r>
          </w:p>
        </w:tc>
        <w:tc>
          <w:tcPr>
            <w:tcW w:w="2020" w:type="dxa"/>
            <w:vAlign w:val="bottom"/>
          </w:tcPr>
          <w:p>
            <w:pPr>
              <w:jc w:val="right"/>
              <w:ind w:right="29"/>
              <w:spacing w:after="0"/>
              <w:rPr>
                <w:sz w:val="20"/>
                <w:szCs w:val="20"/>
                <w:color w:val="auto"/>
              </w:rPr>
            </w:pPr>
            <w:r>
              <w:rPr>
                <w:rFonts w:ascii="Arial" w:cs="Arial" w:eastAsia="Arial" w:hAnsi="Arial"/>
                <w:sz w:val="10"/>
                <w:szCs w:val="10"/>
                <w:b w:val="1"/>
                <w:bCs w:val="1"/>
                <w:color w:val="auto"/>
              </w:rPr>
              <w:t>1,551</w:t>
            </w:r>
          </w:p>
        </w:tc>
      </w:tr>
      <w:tr>
        <w:trPr>
          <w:trHeight w:val="146"/>
        </w:trPr>
        <w:tc>
          <w:tcPr>
            <w:tcW w:w="2820" w:type="dxa"/>
            <w:vAlign w:val="bottom"/>
          </w:tcPr>
          <w:p>
            <w:pPr>
              <w:ind w:left="20"/>
              <w:spacing w:after="0"/>
              <w:rPr>
                <w:sz w:val="20"/>
                <w:szCs w:val="20"/>
                <w:color w:val="auto"/>
              </w:rPr>
            </w:pPr>
            <w:r>
              <w:rPr>
                <w:rFonts w:ascii="Arial" w:cs="Arial" w:eastAsia="Arial" w:hAnsi="Arial"/>
                <w:sz w:val="10"/>
                <w:szCs w:val="10"/>
                <w:color w:val="auto"/>
              </w:rPr>
              <w:t>Goodwill</w:t>
            </w:r>
          </w:p>
        </w:tc>
        <w:tc>
          <w:tcPr>
            <w:tcW w:w="2020" w:type="dxa"/>
            <w:vAlign w:val="bottom"/>
          </w:tcPr>
          <w:p>
            <w:pPr>
              <w:jc w:val="right"/>
              <w:ind w:right="29"/>
              <w:spacing w:after="0"/>
              <w:rPr>
                <w:sz w:val="20"/>
                <w:szCs w:val="20"/>
                <w:color w:val="auto"/>
              </w:rPr>
            </w:pPr>
            <w:r>
              <w:rPr>
                <w:rFonts w:ascii="Arial" w:cs="Arial" w:eastAsia="Arial" w:hAnsi="Arial"/>
                <w:sz w:val="10"/>
                <w:szCs w:val="10"/>
                <w:color w:val="auto"/>
              </w:rPr>
              <w:t>354</w:t>
            </w:r>
          </w:p>
        </w:tc>
      </w:tr>
      <w:tr>
        <w:trPr>
          <w:trHeight w:val="158"/>
        </w:trPr>
        <w:tc>
          <w:tcPr>
            <w:tcW w:w="2820" w:type="dxa"/>
            <w:vAlign w:val="bottom"/>
          </w:tcPr>
          <w:p>
            <w:pPr>
              <w:ind w:left="20"/>
              <w:spacing w:after="0"/>
              <w:rPr>
                <w:sz w:val="20"/>
                <w:szCs w:val="20"/>
                <w:color w:val="auto"/>
              </w:rPr>
            </w:pPr>
            <w:r>
              <w:rPr>
                <w:rFonts w:ascii="Arial" w:cs="Arial" w:eastAsia="Arial" w:hAnsi="Arial"/>
                <w:sz w:val="10"/>
                <w:szCs w:val="10"/>
                <w:b w:val="1"/>
                <w:bCs w:val="1"/>
                <w:color w:val="auto"/>
              </w:rPr>
              <w:t>Total consideration</w:t>
            </w:r>
          </w:p>
        </w:tc>
        <w:tc>
          <w:tcPr>
            <w:tcW w:w="2020" w:type="dxa"/>
            <w:vAlign w:val="bottom"/>
          </w:tcPr>
          <w:p>
            <w:pPr>
              <w:jc w:val="right"/>
              <w:ind w:right="29"/>
              <w:spacing w:after="0"/>
              <w:rPr>
                <w:sz w:val="20"/>
                <w:szCs w:val="20"/>
                <w:color w:val="auto"/>
              </w:rPr>
            </w:pPr>
            <w:r>
              <w:rPr>
                <w:rFonts w:ascii="Arial" w:cs="Arial" w:eastAsia="Arial" w:hAnsi="Arial"/>
                <w:sz w:val="10"/>
                <w:szCs w:val="10"/>
                <w:b w:val="1"/>
                <w:bCs w:val="1"/>
                <w:color w:val="auto"/>
              </w:rPr>
              <w:t>1,905</w:t>
            </w:r>
          </w:p>
        </w:tc>
      </w:tr>
    </w:tbl>
    <w:p>
      <w:pPr>
        <w:spacing w:after="0" w:line="10" w:lineRule="exact"/>
        <w:rPr>
          <w:rFonts w:ascii="Arial" w:cs="Arial" w:eastAsia="Arial" w:hAnsi="Arial"/>
          <w:sz w:val="10"/>
          <w:szCs w:val="10"/>
          <w:color w:val="auto"/>
        </w:rPr>
      </w:pPr>
    </w:p>
    <w:p>
      <w:pPr>
        <w:ind w:left="80" w:hanging="74"/>
        <w:spacing w:after="0"/>
        <w:tabs>
          <w:tab w:leader="none" w:pos="80" w:val="left"/>
        </w:tabs>
        <w:numPr>
          <w:ilvl w:val="0"/>
          <w:numId w:val="42"/>
        </w:numPr>
        <w:rPr>
          <w:rFonts w:ascii="Arial" w:cs="Arial" w:eastAsia="Arial" w:hAnsi="Arial"/>
          <w:sz w:val="7"/>
          <w:szCs w:val="7"/>
          <w:color w:val="auto"/>
        </w:rPr>
      </w:pPr>
      <w:r>
        <w:rPr>
          <w:rFonts w:ascii="Arial" w:cs="Arial" w:eastAsia="Arial" w:hAnsi="Arial"/>
          <w:sz w:val="7"/>
          <w:szCs w:val="7"/>
          <w:color w:val="auto"/>
        </w:rPr>
        <w:t>Includes receivables and other investments.</w:t>
      </w:r>
    </w:p>
    <w:p>
      <w:pPr>
        <w:spacing w:after="0" w:line="13" w:lineRule="exact"/>
        <w:rPr>
          <w:rFonts w:ascii="Arial" w:cs="Arial" w:eastAsia="Arial" w:hAnsi="Arial"/>
          <w:sz w:val="7"/>
          <w:szCs w:val="7"/>
          <w:color w:val="auto"/>
        </w:rPr>
      </w:pPr>
    </w:p>
    <w:p>
      <w:pPr>
        <w:ind w:left="80" w:hanging="74"/>
        <w:spacing w:after="0"/>
        <w:tabs>
          <w:tab w:leader="none" w:pos="80" w:val="left"/>
        </w:tabs>
        <w:numPr>
          <w:ilvl w:val="0"/>
          <w:numId w:val="42"/>
        </w:numPr>
        <w:rPr>
          <w:rFonts w:ascii="Arial" w:cs="Arial" w:eastAsia="Arial" w:hAnsi="Arial"/>
          <w:sz w:val="7"/>
          <w:szCs w:val="7"/>
          <w:color w:val="auto"/>
        </w:rPr>
      </w:pPr>
      <w:r>
        <w:rPr>
          <w:rFonts w:ascii="Arial" w:cs="Arial" w:eastAsia="Arial" w:hAnsi="Arial"/>
          <w:sz w:val="7"/>
          <w:szCs w:val="7"/>
          <w:color w:val="auto"/>
        </w:rPr>
        <w:t>Includes other investments and right-of-use assets.</w:t>
      </w:r>
    </w:p>
    <w:p>
      <w:pPr>
        <w:spacing w:after="0" w:line="5" w:lineRule="exact"/>
        <w:rPr>
          <w:rFonts w:ascii="Arial" w:cs="Arial" w:eastAsia="Arial" w:hAnsi="Arial"/>
          <w:sz w:val="7"/>
          <w:szCs w:val="7"/>
          <w:color w:val="auto"/>
        </w:rPr>
      </w:pPr>
    </w:p>
    <w:p>
      <w:pPr>
        <w:ind w:left="80" w:hanging="74"/>
        <w:spacing w:after="0" w:line="232" w:lineRule="auto"/>
        <w:tabs>
          <w:tab w:leader="none" w:pos="80" w:val="left"/>
        </w:tabs>
        <w:numPr>
          <w:ilvl w:val="0"/>
          <w:numId w:val="42"/>
        </w:numPr>
        <w:rPr>
          <w:rFonts w:ascii="Arial" w:cs="Arial" w:eastAsia="Arial" w:hAnsi="Arial"/>
          <w:sz w:val="7"/>
          <w:szCs w:val="7"/>
          <w:color w:val="auto"/>
        </w:rPr>
      </w:pPr>
      <w:r>
        <w:rPr>
          <w:rFonts w:ascii="Arial" w:cs="Arial" w:eastAsia="Arial" w:hAnsi="Arial"/>
          <w:sz w:val="7"/>
          <w:szCs w:val="7"/>
          <w:color w:val="auto"/>
        </w:rPr>
        <w:t>Includes other payables, contract liabilities, lease and other liabilities.</w:t>
      </w:r>
    </w:p>
    <w:p>
      <w:pPr>
        <w:ind w:right="2580"/>
        <w:spacing w:after="0" w:line="198" w:lineRule="auto"/>
        <w:rPr>
          <w:sz w:val="20"/>
          <w:szCs w:val="20"/>
          <w:color w:val="auto"/>
        </w:rPr>
      </w:pPr>
      <w:r>
        <w:rPr>
          <w:rFonts w:ascii="Arial" w:cs="Arial" w:eastAsia="Arial" w:hAnsi="Arial"/>
          <w:sz w:val="10"/>
          <w:szCs w:val="10"/>
          <w:color w:val="auto"/>
        </w:rPr>
        <w:t>The carrying values of other current assets, property and equipment, other non-current assets and other current liabilities were determined to approximate their fair values.</w:t>
      </w:r>
    </w:p>
    <w:p>
      <w:pPr>
        <w:spacing w:after="0" w:line="1" w:lineRule="exact"/>
        <w:rPr>
          <w:rFonts w:ascii="Arial" w:cs="Arial" w:eastAsia="Arial" w:hAnsi="Arial"/>
          <w:sz w:val="10"/>
          <w:szCs w:val="10"/>
          <w:color w:val="auto"/>
        </w:rPr>
      </w:pPr>
    </w:p>
    <w:p>
      <w:pPr>
        <w:ind w:right="2480"/>
        <w:spacing w:after="0" w:line="216" w:lineRule="auto"/>
        <w:rPr>
          <w:sz w:val="20"/>
          <w:szCs w:val="20"/>
          <w:color w:val="auto"/>
        </w:rPr>
      </w:pPr>
      <w:r>
        <w:rPr>
          <w:rFonts w:ascii="Arial" w:cs="Arial" w:eastAsia="Arial" w:hAnsi="Arial"/>
          <w:sz w:val="10"/>
          <w:szCs w:val="10"/>
          <w:color w:val="auto"/>
        </w:rPr>
        <w:t>The fair value assigned to acquired IPR&amp;D, which was calculated using the multi-period excess earnings method of the income approach, was based on the present value of expected after-tax cash flows attributable to Rina-S, which was in Phase 1/2 testing. The present value of expected after-tax cash flows obtainable from Rina-S and assigned to IPR&amp;D was determined by estimating the after-tax costs to complete development of Rina- S into a commercially viable product, estimating future revenue and ongoing expenses to produce, support and sell Rina-S, on an after- tax basis, and discounting the resulting net cash flows to present value. The revenue and costs projections used were reduced based on the probability that compounds at similar stages of development will become commercially viable products. The rate utilized to discount the net cash flows to their present value reflects the risk associated with the future earnings attributable to the intangible asset. Acquired IPR&amp;D will be accounted for as an intangible asset not yet available for use until regulatory approval in a major market is received or development is discontinued.</w:t>
      </w:r>
    </w:p>
    <w:p>
      <w:pPr>
        <w:spacing w:after="0" w:line="4" w:lineRule="exact"/>
        <w:rPr>
          <w:rFonts w:ascii="Arial" w:cs="Arial" w:eastAsia="Arial" w:hAnsi="Arial"/>
          <w:sz w:val="10"/>
          <w:szCs w:val="10"/>
          <w:color w:val="auto"/>
        </w:rPr>
      </w:pPr>
    </w:p>
    <w:p>
      <w:pPr>
        <w:ind w:right="2480"/>
        <w:spacing w:after="0" w:line="198" w:lineRule="auto"/>
        <w:rPr>
          <w:sz w:val="20"/>
          <w:szCs w:val="20"/>
          <w:color w:val="auto"/>
        </w:rPr>
      </w:pPr>
      <w:r>
        <w:rPr>
          <w:rFonts w:ascii="Arial" w:cs="Arial" w:eastAsia="Arial" w:hAnsi="Arial"/>
          <w:sz w:val="10"/>
          <w:szCs w:val="10"/>
          <w:color w:val="auto"/>
        </w:rPr>
        <w:t>The fair value of the technology platform intangible asset was calculated using the relief from royalty method of the income approach. This method includes assigning value based on the economic savings from owning, rather than in-licensing, the technology platform intangible asset supported by observable market data for peer companies, then discounting the resulting probability-adjusted net post-tax cash flows using a discount rate commensurate with the risk associated with the future income or cost savings attributable to the intangible asset.</w:t>
      </w:r>
    </w:p>
    <w:p>
      <w:pPr>
        <w:spacing w:after="0" w:line="2" w:lineRule="exact"/>
        <w:rPr>
          <w:rFonts w:ascii="Arial" w:cs="Arial" w:eastAsia="Arial" w:hAnsi="Arial"/>
          <w:sz w:val="10"/>
          <w:szCs w:val="10"/>
          <w:color w:val="auto"/>
        </w:rPr>
      </w:pPr>
    </w:p>
    <w:p>
      <w:pPr>
        <w:ind w:right="2540"/>
        <w:spacing w:after="0" w:line="198" w:lineRule="auto"/>
        <w:rPr>
          <w:sz w:val="20"/>
          <w:szCs w:val="20"/>
          <w:color w:val="auto"/>
        </w:rPr>
      </w:pPr>
      <w:r>
        <w:rPr>
          <w:rFonts w:ascii="Arial" w:cs="Arial" w:eastAsia="Arial" w:hAnsi="Arial"/>
          <w:sz w:val="10"/>
          <w:szCs w:val="10"/>
          <w:color w:val="auto"/>
        </w:rPr>
        <w:t>The significant assumptions used to estimate the value of the acquired intangible assets include discount rates and certain assumptions that form the basis of future cash flows (such as probabilities of technical and regulatory success, revenue growth rates, operating margins, and royalty rates).</w:t>
      </w:r>
    </w:p>
    <w:p>
      <w:pPr>
        <w:spacing w:after="0" w:line="1" w:lineRule="exact"/>
        <w:rPr>
          <w:rFonts w:ascii="Arial" w:cs="Arial" w:eastAsia="Arial" w:hAnsi="Arial"/>
          <w:sz w:val="10"/>
          <w:szCs w:val="10"/>
          <w:color w:val="auto"/>
        </w:rPr>
      </w:pPr>
    </w:p>
    <w:p>
      <w:pPr>
        <w:ind w:right="2480"/>
        <w:spacing w:after="0" w:line="198" w:lineRule="auto"/>
        <w:rPr>
          <w:sz w:val="20"/>
          <w:szCs w:val="20"/>
          <w:color w:val="auto"/>
        </w:rPr>
      </w:pPr>
      <w:r>
        <w:rPr>
          <w:rFonts w:ascii="Arial" w:cs="Arial" w:eastAsia="Arial" w:hAnsi="Arial"/>
          <w:sz w:val="10"/>
          <w:szCs w:val="10"/>
          <w:color w:val="auto"/>
        </w:rPr>
        <w:t>The excess of purchase price over the fair value amounts assigned to identifiable assets acquired and liabilities assumed represents the goodwill amount resulting from the acquisition. The goodwill recorded as part of the acquisition is attributable to the intangible assets that do not qualify for separate recognition at the time of the acquisition, assembled workforce and deferred tax consequences of the IPR&amp;D and technology platform intangible asset recorded for financial statement purposes. Genmab does not expect any portion of this goodwill to be deductible for tax purposes. The goodwill attributable to the acquisition has been recorded as a non-current asset in Genmab’s Consolidated Balance Sheets and is not amortized, but is subject to review for impairment annually.</w:t>
      </w:r>
    </w:p>
    <w:p>
      <w:pPr>
        <w:spacing w:after="0" w:line="2" w:lineRule="exact"/>
        <w:rPr>
          <w:rFonts w:ascii="Arial" w:cs="Arial" w:eastAsia="Arial" w:hAnsi="Arial"/>
          <w:sz w:val="10"/>
          <w:szCs w:val="10"/>
          <w:color w:val="auto"/>
        </w:rPr>
      </w:pPr>
    </w:p>
    <w:p>
      <w:pPr>
        <w:spacing w:after="0"/>
        <w:rPr>
          <w:rFonts w:ascii="Arial" w:cs="Arial" w:eastAsia="Arial" w:hAnsi="Arial"/>
          <w:sz w:val="10"/>
          <w:szCs w:val="10"/>
          <w:color w:val="691A6B"/>
        </w:rPr>
      </w:pPr>
      <w:r>
        <w:rPr>
          <w:rFonts w:ascii="Arial" w:cs="Arial" w:eastAsia="Arial" w:hAnsi="Arial"/>
          <w:sz w:val="10"/>
          <w:szCs w:val="10"/>
          <w:color w:val="691A6B"/>
        </w:rPr>
        <w:t xml:space="preserve">Refer to </w:t>
      </w:r>
      <w:hyperlink w:anchor="page143">
        <w:r>
          <w:rPr>
            <w:rFonts w:ascii="Arial" w:cs="Arial" w:eastAsia="Arial" w:hAnsi="Arial"/>
            <w:sz w:val="10"/>
            <w:szCs w:val="10"/>
            <w:b w:val="1"/>
            <w:bCs w:val="1"/>
            <w:color w:val="691A6B"/>
          </w:rPr>
          <w:t>Note 3.1</w:t>
        </w:r>
        <w:r>
          <w:rPr>
            <w:rFonts w:ascii="Arial" w:cs="Arial" w:eastAsia="Arial" w:hAnsi="Arial"/>
            <w:sz w:val="10"/>
            <w:szCs w:val="10"/>
            <w:color w:val="691A6B"/>
          </w:rPr>
          <w:t xml:space="preserve"> </w:t>
        </w:r>
      </w:hyperlink>
      <w:r>
        <w:rPr>
          <w:rFonts w:ascii="Arial" w:cs="Arial" w:eastAsia="Arial" w:hAnsi="Arial"/>
          <w:sz w:val="10"/>
          <w:szCs w:val="10"/>
          <w:color w:val="691A6B"/>
        </w:rPr>
        <w:t>for further details related to the accounting for goodwill.</w:t>
      </w:r>
    </w:p>
    <w:p>
      <w:pPr>
        <w:spacing w:after="0" w:line="85" w:lineRule="exact"/>
        <w:rPr>
          <w:rFonts w:ascii="Arial" w:cs="Arial" w:eastAsia="Arial" w:hAnsi="Arial"/>
          <w:sz w:val="10"/>
          <w:szCs w:val="1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tbl>
      <w:tblPr>
        <w:tblLayout w:type="fixed"/>
        <w:tblInd w:w="0" w:type="dxa"/>
        <w:tblCellMar>
          <w:top w:w="0" w:type="dxa"/>
          <w:left w:w="0" w:type="dxa"/>
          <w:bottom w:w="0" w:type="dxa"/>
          <w:right w:w="0" w:type="dxa"/>
        </w:tblCellMar>
      </w:tblPr>
      <w:tr>
        <w:trPr>
          <w:trHeight w:val="95"/>
        </w:trPr>
        <w:tc>
          <w:tcPr>
            <w:tcW w:w="36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Consolidated Statements of Comprehensive Income (USD million):</w:t>
            </w:r>
          </w:p>
        </w:tc>
        <w:tc>
          <w:tcPr>
            <w:tcW w:w="1220" w:type="dxa"/>
            <w:vAlign w:val="bottom"/>
            <w:tcBorders>
              <w:top w:val="single" w:sz="8" w:color="691A6B"/>
            </w:tcBorders>
          </w:tcPr>
          <w:p>
            <w:pPr>
              <w:ind w:left="300"/>
              <w:spacing w:after="0" w:line="95" w:lineRule="exact"/>
              <w:rPr>
                <w:sz w:val="20"/>
                <w:szCs w:val="20"/>
                <w:color w:val="auto"/>
              </w:rPr>
            </w:pPr>
            <w:r>
              <w:rPr>
                <w:rFonts w:ascii="Arial" w:cs="Arial" w:eastAsia="Arial" w:hAnsi="Arial"/>
                <w:sz w:val="10"/>
                <w:szCs w:val="10"/>
                <w:b w:val="1"/>
                <w:bCs w:val="1"/>
                <w:color w:val="auto"/>
              </w:rPr>
              <w:t>Acquisition Date</w:t>
            </w:r>
          </w:p>
        </w:tc>
      </w:tr>
      <w:tr>
        <w:trPr>
          <w:trHeight w:val="95"/>
        </w:trPr>
        <w:tc>
          <w:tcPr>
            <w:tcW w:w="3620" w:type="dxa"/>
            <w:vAlign w:val="bottom"/>
          </w:tcPr>
          <w:p>
            <w:pPr>
              <w:spacing w:after="0"/>
              <w:rPr>
                <w:sz w:val="8"/>
                <w:szCs w:val="8"/>
                <w:color w:val="auto"/>
              </w:rPr>
            </w:pPr>
          </w:p>
        </w:tc>
        <w:tc>
          <w:tcPr>
            <w:tcW w:w="1220" w:type="dxa"/>
            <w:vAlign w:val="bottom"/>
          </w:tcPr>
          <w:p>
            <w:pPr>
              <w:ind w:left="300"/>
              <w:spacing w:after="0" w:line="95" w:lineRule="exact"/>
              <w:rPr>
                <w:sz w:val="20"/>
                <w:szCs w:val="20"/>
                <w:color w:val="auto"/>
              </w:rPr>
            </w:pPr>
            <w:r>
              <w:rPr>
                <w:rFonts w:ascii="Arial" w:cs="Arial" w:eastAsia="Arial" w:hAnsi="Arial"/>
                <w:sz w:val="10"/>
                <w:szCs w:val="10"/>
                <w:b w:val="1"/>
                <w:bCs w:val="1"/>
                <w:color w:val="auto"/>
              </w:rPr>
              <w:t>through December</w:t>
            </w:r>
          </w:p>
        </w:tc>
      </w:tr>
      <w:tr>
        <w:trPr>
          <w:trHeight w:val="128"/>
        </w:trPr>
        <w:tc>
          <w:tcPr>
            <w:tcW w:w="3620" w:type="dxa"/>
            <w:vAlign w:val="bottom"/>
          </w:tcPr>
          <w:p>
            <w:pPr>
              <w:spacing w:after="0"/>
              <w:rPr>
                <w:sz w:val="11"/>
                <w:szCs w:val="11"/>
                <w:color w:val="auto"/>
              </w:rPr>
            </w:pPr>
          </w:p>
        </w:tc>
        <w:tc>
          <w:tcPr>
            <w:tcW w:w="1220" w:type="dxa"/>
            <w:vAlign w:val="bottom"/>
          </w:tcPr>
          <w:p>
            <w:pPr>
              <w:ind w:left="300"/>
              <w:spacing w:after="0"/>
              <w:rPr>
                <w:sz w:val="20"/>
                <w:szCs w:val="20"/>
                <w:color w:val="auto"/>
              </w:rPr>
            </w:pPr>
            <w:r>
              <w:rPr>
                <w:rFonts w:ascii="Arial" w:cs="Arial" w:eastAsia="Arial" w:hAnsi="Arial"/>
                <w:sz w:val="10"/>
                <w:szCs w:val="10"/>
                <w:b w:val="1"/>
                <w:bCs w:val="1"/>
                <w:color w:val="auto"/>
              </w:rPr>
              <w:t>31, 2024</w:t>
            </w:r>
          </w:p>
        </w:tc>
      </w:tr>
      <w:tr>
        <w:trPr>
          <w:trHeight w:val="175"/>
        </w:trPr>
        <w:tc>
          <w:tcPr>
            <w:tcW w:w="3620" w:type="dxa"/>
            <w:vAlign w:val="bottom"/>
          </w:tcPr>
          <w:p>
            <w:pPr>
              <w:ind w:left="20"/>
              <w:spacing w:after="0"/>
              <w:rPr>
                <w:sz w:val="20"/>
                <w:szCs w:val="20"/>
                <w:color w:val="auto"/>
              </w:rPr>
            </w:pPr>
            <w:r>
              <w:rPr>
                <w:rFonts w:ascii="Arial" w:cs="Arial" w:eastAsia="Arial" w:hAnsi="Arial"/>
                <w:sz w:val="10"/>
                <w:szCs w:val="10"/>
                <w:b w:val="1"/>
                <w:bCs w:val="1"/>
                <w:color w:val="auto"/>
              </w:rPr>
              <w:t>Research and development expenses</w:t>
            </w:r>
          </w:p>
        </w:tc>
        <w:tc>
          <w:tcPr>
            <w:tcW w:w="1220" w:type="dxa"/>
            <w:vAlign w:val="bottom"/>
          </w:tcPr>
          <w:p>
            <w:pPr>
              <w:jc w:val="right"/>
              <w:ind w:right="30"/>
              <w:spacing w:after="0"/>
              <w:rPr>
                <w:sz w:val="20"/>
                <w:szCs w:val="20"/>
                <w:color w:val="auto"/>
              </w:rPr>
            </w:pPr>
            <w:r>
              <w:rPr>
                <w:rFonts w:ascii="Arial" w:cs="Arial" w:eastAsia="Arial" w:hAnsi="Arial"/>
                <w:sz w:val="10"/>
                <w:szCs w:val="10"/>
                <w:b w:val="1"/>
                <w:bCs w:val="1"/>
                <w:color w:val="auto"/>
              </w:rPr>
              <w:t>58</w:t>
            </w:r>
          </w:p>
        </w:tc>
      </w:tr>
      <w:tr>
        <w:trPr>
          <w:trHeight w:val="146"/>
        </w:trPr>
        <w:tc>
          <w:tcPr>
            <w:tcW w:w="3620" w:type="dxa"/>
            <w:vAlign w:val="bottom"/>
          </w:tcPr>
          <w:p>
            <w:pPr>
              <w:ind w:left="20"/>
              <w:spacing w:after="0"/>
              <w:rPr>
                <w:sz w:val="20"/>
                <w:szCs w:val="20"/>
                <w:color w:val="auto"/>
              </w:rPr>
            </w:pPr>
            <w:r>
              <w:rPr>
                <w:rFonts w:ascii="Arial" w:cs="Arial" w:eastAsia="Arial" w:hAnsi="Arial"/>
                <w:sz w:val="10"/>
                <w:szCs w:val="10"/>
                <w:color w:val="auto"/>
              </w:rPr>
              <w:t>Selling, general and administrative expenses</w:t>
            </w:r>
          </w:p>
        </w:tc>
        <w:tc>
          <w:tcPr>
            <w:tcW w:w="1220" w:type="dxa"/>
            <w:vAlign w:val="bottom"/>
          </w:tcPr>
          <w:p>
            <w:pPr>
              <w:jc w:val="right"/>
              <w:ind w:right="30"/>
              <w:spacing w:after="0"/>
              <w:rPr>
                <w:sz w:val="20"/>
                <w:szCs w:val="20"/>
                <w:color w:val="auto"/>
              </w:rPr>
            </w:pPr>
            <w:r>
              <w:rPr>
                <w:rFonts w:ascii="Arial" w:cs="Arial" w:eastAsia="Arial" w:hAnsi="Arial"/>
                <w:sz w:val="10"/>
                <w:szCs w:val="10"/>
                <w:color w:val="auto"/>
              </w:rPr>
              <w:t>4</w:t>
            </w:r>
          </w:p>
        </w:tc>
      </w:tr>
      <w:tr>
        <w:trPr>
          <w:trHeight w:val="152"/>
        </w:trPr>
        <w:tc>
          <w:tcPr>
            <w:tcW w:w="3620" w:type="dxa"/>
            <w:vAlign w:val="bottom"/>
          </w:tcPr>
          <w:p>
            <w:pPr>
              <w:ind w:left="20"/>
              <w:spacing w:after="0"/>
              <w:rPr>
                <w:sz w:val="20"/>
                <w:szCs w:val="20"/>
                <w:color w:val="auto"/>
              </w:rPr>
            </w:pPr>
            <w:r>
              <w:rPr>
                <w:rFonts w:ascii="Arial" w:cs="Arial" w:eastAsia="Arial" w:hAnsi="Arial"/>
                <w:sz w:val="10"/>
                <w:szCs w:val="10"/>
                <w:color w:val="auto"/>
              </w:rPr>
              <w:t>Acquisition and integration related charges¹</w:t>
            </w:r>
          </w:p>
        </w:tc>
        <w:tc>
          <w:tcPr>
            <w:tcW w:w="1220" w:type="dxa"/>
            <w:vAlign w:val="bottom"/>
          </w:tcPr>
          <w:p>
            <w:pPr>
              <w:jc w:val="right"/>
              <w:ind w:right="30"/>
              <w:spacing w:after="0"/>
              <w:rPr>
                <w:sz w:val="20"/>
                <w:szCs w:val="20"/>
                <w:color w:val="auto"/>
              </w:rPr>
            </w:pPr>
            <w:r>
              <w:rPr>
                <w:rFonts w:ascii="Arial" w:cs="Arial" w:eastAsia="Arial" w:hAnsi="Arial"/>
                <w:sz w:val="10"/>
                <w:szCs w:val="10"/>
                <w:color w:val="auto"/>
              </w:rPr>
              <w:t>27</w:t>
            </w:r>
          </w:p>
        </w:tc>
      </w:tr>
      <w:tr>
        <w:trPr>
          <w:trHeight w:val="158"/>
        </w:trPr>
        <w:tc>
          <w:tcPr>
            <w:tcW w:w="362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220" w:type="dxa"/>
            <w:vAlign w:val="bottom"/>
          </w:tcPr>
          <w:p>
            <w:pPr>
              <w:jc w:val="right"/>
              <w:ind w:right="30"/>
              <w:spacing w:after="0"/>
              <w:rPr>
                <w:sz w:val="20"/>
                <w:szCs w:val="20"/>
                <w:color w:val="auto"/>
              </w:rPr>
            </w:pPr>
            <w:r>
              <w:rPr>
                <w:rFonts w:ascii="Arial" w:cs="Arial" w:eastAsia="Arial" w:hAnsi="Arial"/>
                <w:sz w:val="10"/>
                <w:szCs w:val="10"/>
                <w:b w:val="1"/>
                <w:bCs w:val="1"/>
                <w:color w:val="auto"/>
              </w:rPr>
              <w:t>89</w:t>
            </w:r>
          </w:p>
        </w:tc>
      </w:tr>
    </w:tbl>
    <w:p>
      <w:pPr>
        <w:spacing w:after="0" w:line="10" w:lineRule="exact"/>
        <w:rPr>
          <w:rFonts w:ascii="Arial" w:cs="Arial" w:eastAsia="Arial" w:hAnsi="Arial"/>
          <w:sz w:val="10"/>
          <w:szCs w:val="10"/>
          <w:color w:val="auto"/>
        </w:rPr>
      </w:pPr>
    </w:p>
    <w:p>
      <w:pPr>
        <w:ind w:right="2800" w:firstLine="6"/>
        <w:spacing w:after="0" w:line="257" w:lineRule="auto"/>
        <w:tabs>
          <w:tab w:leader="none" w:pos="76" w:val="left"/>
        </w:tabs>
        <w:numPr>
          <w:ilvl w:val="0"/>
          <w:numId w:val="43"/>
        </w:numPr>
        <w:rPr>
          <w:rFonts w:ascii="Arial" w:cs="Arial" w:eastAsia="Arial" w:hAnsi="Arial"/>
          <w:sz w:val="7"/>
          <w:szCs w:val="7"/>
          <w:color w:val="auto"/>
        </w:rPr>
      </w:pPr>
      <w:r>
        <w:rPr>
          <w:rFonts w:ascii="Arial" w:cs="Arial" w:eastAsia="Arial" w:hAnsi="Arial"/>
          <w:sz w:val="7"/>
          <w:szCs w:val="7"/>
          <w:color w:val="auto"/>
        </w:rPr>
        <w:t>Acquisition-related charges incurred from the Acquisition Date through December 31, 2024, are comprised of payments to holders of outstanding ProfoundBio equity awards related to post-combination services ($11 million). The remaining expenses are integration-related charges incurred from the Acquisition Date through December 31, 2024, which are comprised of professional fees incurred to assist with the integration of ProfoundBio into Genmab’s operations post-acquisition. Additionally, prior to the Acquisition Date, Genmab recorded $16 million in Acquisition and integration-related charges in Genmab’s Consolidated Statements of Comprehensive Income related to professional due diligence procedures in connection with the acquisition of ProfoundBio. The $16 million of Acquisition- and integration-related charges incurred prior to the Acquisition Date and the $27 million of Acquisition and integration charges incurred from the Acquisition Date through December 31, 2024 total $43 million through the fourth quarter of 2024.</w:t>
      </w:r>
    </w:p>
    <w:p>
      <w:pPr>
        <w:spacing w:after="0" w:line="81" w:lineRule="exact"/>
        <w:rPr>
          <w:rFonts w:ascii="Arial" w:cs="Arial" w:eastAsia="Arial" w:hAnsi="Arial"/>
          <w:sz w:val="7"/>
          <w:szCs w:val="7"/>
          <w:color w:val="auto"/>
        </w:rPr>
      </w:pPr>
    </w:p>
    <w:p>
      <w:pPr>
        <w:ind w:right="2480"/>
        <w:spacing w:after="0" w:line="208" w:lineRule="auto"/>
        <w:rPr>
          <w:rFonts w:ascii="Arial" w:cs="Arial" w:eastAsia="Arial" w:hAnsi="Arial"/>
          <w:sz w:val="7"/>
          <w:szCs w:val="7"/>
          <w:color w:val="auto"/>
        </w:rPr>
      </w:pPr>
      <w:r>
        <w:rPr>
          <w:rFonts w:ascii="Arial" w:cs="Arial" w:eastAsia="Arial" w:hAnsi="Arial"/>
          <w:sz w:val="10"/>
          <w:szCs w:val="10"/>
          <w:color w:val="auto"/>
        </w:rPr>
        <w:t>The following table provides Genmab’s consolidated revenue and net profit for 2024 as if the acquisition of ProfoundBio had occurred on January 1, 2024:</w:t>
      </w:r>
    </w:p>
    <w:tbl>
      <w:tblPr>
        <w:tblLayout w:type="fixed"/>
        <w:tblInd w:w="0" w:type="dxa"/>
        <w:tblCellMar>
          <w:top w:w="0" w:type="dxa"/>
          <w:left w:w="0" w:type="dxa"/>
          <w:bottom w:w="0" w:type="dxa"/>
          <w:right w:w="0" w:type="dxa"/>
        </w:tblCellMar>
      </w:tblPr>
      <w:tr>
        <w:trPr>
          <w:trHeight w:val="95"/>
        </w:trPr>
        <w:tc>
          <w:tcPr>
            <w:tcW w:w="228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color w:val="691A6B"/>
              </w:rPr>
              <w:t>(USD million)</w:t>
            </w:r>
          </w:p>
        </w:tc>
        <w:tc>
          <w:tcPr>
            <w:tcW w:w="2560" w:type="dxa"/>
            <w:vAlign w:val="bottom"/>
            <w:tcBorders>
              <w:top w:val="single" w:sz="8" w:color="691A6B"/>
            </w:tcBorders>
          </w:tcPr>
          <w:p>
            <w:pPr>
              <w:ind w:left="1640"/>
              <w:spacing w:after="0" w:line="95" w:lineRule="exact"/>
              <w:rPr>
                <w:sz w:val="20"/>
                <w:szCs w:val="20"/>
                <w:color w:val="auto"/>
              </w:rPr>
            </w:pPr>
            <w:r>
              <w:rPr>
                <w:rFonts w:ascii="Arial" w:cs="Arial" w:eastAsia="Arial" w:hAnsi="Arial"/>
                <w:sz w:val="10"/>
                <w:szCs w:val="10"/>
                <w:b w:val="1"/>
                <w:bCs w:val="1"/>
                <w:color w:val="auto"/>
              </w:rPr>
              <w:t>Twelve Month</w:t>
            </w:r>
          </w:p>
        </w:tc>
      </w:tr>
      <w:tr>
        <w:trPr>
          <w:trHeight w:val="95"/>
        </w:trPr>
        <w:tc>
          <w:tcPr>
            <w:tcW w:w="2280" w:type="dxa"/>
            <w:vAlign w:val="bottom"/>
          </w:tcPr>
          <w:p>
            <w:pPr>
              <w:spacing w:after="0"/>
              <w:rPr>
                <w:sz w:val="8"/>
                <w:szCs w:val="8"/>
                <w:color w:val="auto"/>
              </w:rPr>
            </w:pPr>
          </w:p>
        </w:tc>
        <w:tc>
          <w:tcPr>
            <w:tcW w:w="2560" w:type="dxa"/>
            <w:vAlign w:val="bottom"/>
          </w:tcPr>
          <w:p>
            <w:pPr>
              <w:ind w:left="1640"/>
              <w:spacing w:after="0" w:line="95" w:lineRule="exact"/>
              <w:rPr>
                <w:sz w:val="20"/>
                <w:szCs w:val="20"/>
                <w:color w:val="auto"/>
              </w:rPr>
            </w:pPr>
            <w:r>
              <w:rPr>
                <w:rFonts w:ascii="Arial" w:cs="Arial" w:eastAsia="Arial" w:hAnsi="Arial"/>
                <w:sz w:val="10"/>
                <w:szCs w:val="10"/>
                <w:b w:val="1"/>
                <w:bCs w:val="1"/>
                <w:color w:val="auto"/>
              </w:rPr>
              <w:t>Period Ended</w:t>
            </w:r>
          </w:p>
        </w:tc>
      </w:tr>
      <w:tr>
        <w:trPr>
          <w:trHeight w:val="95"/>
        </w:trPr>
        <w:tc>
          <w:tcPr>
            <w:tcW w:w="2280" w:type="dxa"/>
            <w:vAlign w:val="bottom"/>
          </w:tcPr>
          <w:p>
            <w:pPr>
              <w:spacing w:after="0"/>
              <w:rPr>
                <w:sz w:val="8"/>
                <w:szCs w:val="8"/>
                <w:color w:val="auto"/>
              </w:rPr>
            </w:pPr>
          </w:p>
        </w:tc>
        <w:tc>
          <w:tcPr>
            <w:tcW w:w="2560" w:type="dxa"/>
            <w:vAlign w:val="bottom"/>
          </w:tcPr>
          <w:p>
            <w:pPr>
              <w:ind w:left="1640"/>
              <w:spacing w:after="0" w:line="95" w:lineRule="exact"/>
              <w:rPr>
                <w:sz w:val="20"/>
                <w:szCs w:val="20"/>
                <w:color w:val="auto"/>
              </w:rPr>
            </w:pPr>
            <w:r>
              <w:rPr>
                <w:rFonts w:ascii="Arial" w:cs="Arial" w:eastAsia="Arial" w:hAnsi="Arial"/>
                <w:sz w:val="10"/>
                <w:szCs w:val="10"/>
                <w:b w:val="1"/>
                <w:bCs w:val="1"/>
                <w:color w:val="auto"/>
              </w:rPr>
              <w:t>December 31,</w:t>
            </w:r>
          </w:p>
        </w:tc>
      </w:tr>
      <w:tr>
        <w:trPr>
          <w:trHeight w:val="128"/>
        </w:trPr>
        <w:tc>
          <w:tcPr>
            <w:tcW w:w="2280" w:type="dxa"/>
            <w:vAlign w:val="bottom"/>
          </w:tcPr>
          <w:p>
            <w:pPr>
              <w:spacing w:after="0"/>
              <w:rPr>
                <w:sz w:val="11"/>
                <w:szCs w:val="11"/>
                <w:color w:val="auto"/>
              </w:rPr>
            </w:pPr>
          </w:p>
        </w:tc>
        <w:tc>
          <w:tcPr>
            <w:tcW w:w="2560" w:type="dxa"/>
            <w:vAlign w:val="bottom"/>
          </w:tcPr>
          <w:p>
            <w:pPr>
              <w:ind w:left="1640"/>
              <w:spacing w:after="0"/>
              <w:rPr>
                <w:sz w:val="20"/>
                <w:szCs w:val="20"/>
                <w:color w:val="auto"/>
              </w:rPr>
            </w:pPr>
            <w:r>
              <w:rPr>
                <w:rFonts w:ascii="Arial" w:cs="Arial" w:eastAsia="Arial" w:hAnsi="Arial"/>
                <w:sz w:val="10"/>
                <w:szCs w:val="10"/>
                <w:b w:val="1"/>
                <w:bCs w:val="1"/>
                <w:color w:val="auto"/>
              </w:rPr>
              <w:t>2024</w:t>
            </w:r>
          </w:p>
        </w:tc>
      </w:tr>
      <w:tr>
        <w:trPr>
          <w:trHeight w:val="188"/>
        </w:trPr>
        <w:tc>
          <w:tcPr>
            <w:tcW w:w="2280" w:type="dxa"/>
            <w:vAlign w:val="bottom"/>
          </w:tcPr>
          <w:p>
            <w:pPr>
              <w:ind w:left="20"/>
              <w:spacing w:after="0"/>
              <w:rPr>
                <w:sz w:val="20"/>
                <w:szCs w:val="20"/>
                <w:color w:val="auto"/>
              </w:rPr>
            </w:pPr>
            <w:r>
              <w:rPr>
                <w:rFonts w:ascii="Arial" w:cs="Arial" w:eastAsia="Arial" w:hAnsi="Arial"/>
                <w:sz w:val="10"/>
                <w:szCs w:val="10"/>
                <w:color w:val="auto"/>
              </w:rPr>
              <w:t>Revenue</w:t>
            </w:r>
          </w:p>
        </w:tc>
        <w:tc>
          <w:tcPr>
            <w:tcW w:w="2560" w:type="dxa"/>
            <w:vAlign w:val="bottom"/>
          </w:tcPr>
          <w:p>
            <w:pPr>
              <w:ind w:left="1640"/>
              <w:spacing w:after="0"/>
              <w:rPr>
                <w:sz w:val="20"/>
                <w:szCs w:val="20"/>
                <w:color w:val="auto"/>
              </w:rPr>
            </w:pPr>
            <w:r>
              <w:rPr>
                <w:rFonts w:ascii="Arial" w:cs="Arial" w:eastAsia="Arial" w:hAnsi="Arial"/>
                <w:sz w:val="10"/>
                <w:szCs w:val="10"/>
                <w:color w:val="auto"/>
              </w:rPr>
              <w:t>3,121</w:t>
            </w:r>
          </w:p>
        </w:tc>
      </w:tr>
      <w:tr>
        <w:trPr>
          <w:trHeight w:val="152"/>
        </w:trPr>
        <w:tc>
          <w:tcPr>
            <w:tcW w:w="2280" w:type="dxa"/>
            <w:vAlign w:val="bottom"/>
          </w:tcPr>
          <w:p>
            <w:pPr>
              <w:ind w:left="20"/>
              <w:spacing w:after="0"/>
              <w:rPr>
                <w:sz w:val="20"/>
                <w:szCs w:val="20"/>
                <w:color w:val="auto"/>
              </w:rPr>
            </w:pPr>
            <w:r>
              <w:rPr>
                <w:rFonts w:ascii="Arial" w:cs="Arial" w:eastAsia="Arial" w:hAnsi="Arial"/>
                <w:sz w:val="10"/>
                <w:szCs w:val="10"/>
                <w:color w:val="auto"/>
              </w:rPr>
              <w:t>Net Profit</w:t>
            </w:r>
          </w:p>
        </w:tc>
        <w:tc>
          <w:tcPr>
            <w:tcW w:w="2560" w:type="dxa"/>
            <w:vAlign w:val="bottom"/>
          </w:tcPr>
          <w:p>
            <w:pPr>
              <w:ind w:left="1640"/>
              <w:spacing w:after="0"/>
              <w:rPr>
                <w:sz w:val="20"/>
                <w:szCs w:val="20"/>
                <w:color w:val="auto"/>
              </w:rPr>
            </w:pPr>
            <w:r>
              <w:rPr>
                <w:rFonts w:ascii="Arial" w:cs="Arial" w:eastAsia="Arial" w:hAnsi="Arial"/>
                <w:sz w:val="10"/>
                <w:szCs w:val="10"/>
                <w:color w:val="auto"/>
              </w:rPr>
              <w:t>1,102</w:t>
            </w:r>
          </w:p>
        </w:tc>
      </w:tr>
    </w:tbl>
    <w:p>
      <w:pPr>
        <w:spacing w:after="0" w:line="6" w:lineRule="exact"/>
        <w:rPr>
          <w:rFonts w:ascii="Arial" w:cs="Arial" w:eastAsia="Arial" w:hAnsi="Arial"/>
          <w:sz w:val="10"/>
          <w:szCs w:val="10"/>
          <w:color w:val="auto"/>
        </w:rPr>
      </w:pPr>
    </w:p>
    <w:p>
      <w:pPr>
        <w:ind w:right="2660"/>
        <w:spacing w:after="0" w:line="202" w:lineRule="auto"/>
        <w:rPr>
          <w:sz w:val="20"/>
          <w:szCs w:val="20"/>
          <w:color w:val="auto"/>
        </w:rPr>
      </w:pPr>
      <w:r>
        <w:rPr>
          <w:rFonts w:ascii="Arial" w:cs="Arial" w:eastAsia="Arial" w:hAnsi="Arial"/>
          <w:sz w:val="10"/>
          <w:szCs w:val="10"/>
          <w:color w:val="auto"/>
        </w:rPr>
        <w:t>The unaudited pro forma information does not necessarily reflect the actual results of operations of the combined entities that would have been achieved, nor are they necessarily indicative of future results of operations. The unaudited pro forma information reflects certain adjustments that were directly attributable to the acquisition of ProfoundBio, including additional amortization adjustments for the fair value of the technology platform intangible asset acquired.</w:t>
      </w:r>
    </w:p>
    <w:p>
      <w:pPr>
        <w:spacing w:after="0" w:line="2" w:lineRule="exact"/>
        <w:rPr>
          <w:rFonts w:ascii="Arial" w:cs="Arial" w:eastAsia="Arial" w:hAnsi="Arial"/>
          <w:sz w:val="10"/>
          <w:szCs w:val="10"/>
          <w:color w:val="auto"/>
        </w:rPr>
      </w:pPr>
    </w:p>
    <w:p>
      <w:pPr>
        <w:ind w:right="2480"/>
        <w:spacing w:after="0" w:line="211" w:lineRule="auto"/>
        <w:rPr>
          <w:sz w:val="20"/>
          <w:szCs w:val="20"/>
          <w:color w:val="auto"/>
        </w:rPr>
      </w:pPr>
      <w:r>
        <w:rPr>
          <w:rFonts w:ascii="Arial" w:cs="Arial" w:eastAsia="Arial" w:hAnsi="Arial"/>
          <w:sz w:val="10"/>
          <w:szCs w:val="10"/>
          <w:color w:val="auto"/>
        </w:rPr>
        <w:t>As of December 31, 2024, cash and cash equivalents in Genmab’s Consolidated Balance Sheets includes $30 million of restricted cash balances for funds held in escrow related to the acquisition of ProfoundBio.</w:t>
      </w:r>
    </w:p>
    <w:p>
      <w:pPr>
        <w:ind w:left="260"/>
        <w:spacing w:after="0"/>
        <w:rPr>
          <w:sz w:val="20"/>
          <w:szCs w:val="20"/>
          <w:color w:val="auto"/>
        </w:rPr>
      </w:pPr>
      <w:r>
        <w:rPr>
          <w:rFonts w:ascii="Arial" w:cs="Arial" w:eastAsia="Arial" w:hAnsi="Arial"/>
          <w:sz w:val="13"/>
          <w:szCs w:val="13"/>
          <w:b w:val="1"/>
          <w:bCs w:val="1"/>
          <w:color w:val="691A6B"/>
        </w:rPr>
        <w:t>Accounting Policies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90805" cy="908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spacing w:after="0" w:line="3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ind w:right="2440"/>
        <w:spacing w:after="0" w:line="223" w:lineRule="auto"/>
        <w:rPr>
          <w:sz w:val="20"/>
          <w:szCs w:val="20"/>
          <w:color w:val="auto"/>
        </w:rPr>
      </w:pPr>
      <w:r>
        <w:rPr>
          <w:rFonts w:ascii="Arial" w:cs="Arial" w:eastAsia="Arial" w:hAnsi="Arial"/>
          <w:sz w:val="10"/>
          <w:szCs w:val="10"/>
          <w:color w:val="auto"/>
        </w:rPr>
        <w:t>The acquisition method of accounting is used to account for all acquisitions where the target company meets the definition of a business in accordance with IFRS 3 (Business Combinations). The purchase price for a business is comprised of the fair value of the assets transferred and liabilities owned to the former owners, including option holders, of the acquired business and the fair value of any asset or liability resulting from a contingent consideration arrangement. Any amount of the purchase price which effectively comprises a settlement of a pre-existing relationship is not part of the exchange for the acquiree and is therefore not included in the consideration for the purpose of applying the acquisition method. Settlements of pre -existing relationships are accounted for as separate transactions in accordance with the relevant IFRS standards.</w:t>
      </w:r>
    </w:p>
    <w:p>
      <w:pPr>
        <w:spacing w:after="0" w:line="2" w:lineRule="exact"/>
        <w:rPr>
          <w:rFonts w:ascii="Arial" w:cs="Arial" w:eastAsia="Arial" w:hAnsi="Arial"/>
          <w:sz w:val="10"/>
          <w:szCs w:val="10"/>
          <w:color w:val="auto"/>
        </w:rPr>
      </w:pPr>
    </w:p>
    <w:p>
      <w:pPr>
        <w:ind w:right="2540"/>
        <w:spacing w:after="0" w:line="199" w:lineRule="auto"/>
        <w:rPr>
          <w:sz w:val="20"/>
          <w:szCs w:val="20"/>
          <w:color w:val="auto"/>
        </w:rPr>
      </w:pPr>
      <w:r>
        <w:rPr>
          <w:rFonts w:ascii="Arial" w:cs="Arial" w:eastAsia="Arial" w:hAnsi="Arial"/>
          <w:sz w:val="10"/>
          <w:szCs w:val="10"/>
          <w:color w:val="auto"/>
        </w:rPr>
        <w:t>Identifiable assets and liabilities and contingent liabilities assumed are measured at fair value on the date of acquisition by applying relevant valuation methods. Goodwill is recognized as the excess of purchase price over the fair value of net identifiable assets acquired and liabilities assumed. Acquisition- related charges are expensed as incurred and included within Acquisition and integration- related charges in the Consolidated Statements of Comprehensive Income.</w:t>
      </w:r>
    </w:p>
    <w:p>
      <w:pPr>
        <w:spacing w:after="0" w:line="197" w:lineRule="auto"/>
        <w:rPr>
          <w:sz w:val="20"/>
          <w:szCs w:val="20"/>
          <w:color w:val="auto"/>
        </w:rPr>
      </w:pPr>
      <w:r>
        <w:rPr>
          <w:rFonts w:ascii="Arial" w:cs="Arial" w:eastAsia="Arial" w:hAnsi="Arial"/>
          <w:sz w:val="12"/>
          <w:szCs w:val="12"/>
          <w:b w:val="1"/>
          <w:bCs w:val="1"/>
          <w:color w:val="auto"/>
        </w:rPr>
        <w:t>Asset Acquisitions</w:t>
      </w:r>
    </w:p>
    <w:p>
      <w:pPr>
        <w:ind w:right="2560"/>
        <w:spacing w:after="0" w:line="198" w:lineRule="auto"/>
        <w:rPr>
          <w:sz w:val="20"/>
          <w:szCs w:val="20"/>
          <w:color w:val="auto"/>
        </w:rPr>
      </w:pPr>
      <w:r>
        <w:rPr>
          <w:rFonts w:ascii="Arial" w:cs="Arial" w:eastAsia="Arial" w:hAnsi="Arial"/>
          <w:sz w:val="10"/>
          <w:szCs w:val="10"/>
          <w:color w:val="auto"/>
        </w:rPr>
        <w:t>The asset acquisition method is applied to account for all transactions that do not meet the definition of a business in accordance with IFRS 3 Business Combinations.</w:t>
      </w:r>
    </w:p>
    <w:p>
      <w:pPr>
        <w:spacing w:after="0" w:line="1" w:lineRule="exact"/>
        <w:rPr>
          <w:rFonts w:ascii="Arial" w:cs="Arial" w:eastAsia="Arial" w:hAnsi="Arial"/>
          <w:sz w:val="10"/>
          <w:szCs w:val="10"/>
          <w:color w:val="auto"/>
        </w:rPr>
      </w:pPr>
    </w:p>
    <w:p>
      <w:pPr>
        <w:jc w:val="both"/>
        <w:ind w:right="2700"/>
        <w:spacing w:after="0" w:line="198" w:lineRule="auto"/>
        <w:rPr>
          <w:sz w:val="20"/>
          <w:szCs w:val="20"/>
          <w:color w:val="auto"/>
        </w:rPr>
      </w:pPr>
      <w:r>
        <w:rPr>
          <w:rFonts w:ascii="Arial" w:cs="Arial" w:eastAsia="Arial" w:hAnsi="Arial"/>
          <w:sz w:val="10"/>
          <w:szCs w:val="10"/>
          <w:color w:val="auto"/>
        </w:rPr>
        <w:t>Genmab applies a ‘concentration test,’ which is a simplified assessment of whether an acquired set of activities and assets is not a business. The optional concentration test is met if substantially all of the fair value of the gross assets acquired is concentrated in a single identifiable asset or group of similar identifiable assets.</w:t>
      </w:r>
    </w:p>
    <w:p>
      <w:pPr>
        <w:spacing w:after="0" w:line="1" w:lineRule="exact"/>
        <w:rPr>
          <w:rFonts w:ascii="Arial" w:cs="Arial" w:eastAsia="Arial" w:hAnsi="Arial"/>
          <w:sz w:val="10"/>
          <w:szCs w:val="10"/>
          <w:color w:val="auto"/>
        </w:rPr>
      </w:pPr>
    </w:p>
    <w:p>
      <w:pPr>
        <w:ind w:right="2440"/>
        <w:spacing w:after="0" w:line="198" w:lineRule="auto"/>
        <w:rPr>
          <w:sz w:val="20"/>
          <w:szCs w:val="20"/>
          <w:color w:val="auto"/>
        </w:rPr>
      </w:pPr>
      <w:r>
        <w:rPr>
          <w:rFonts w:ascii="Arial" w:cs="Arial" w:eastAsia="Arial" w:hAnsi="Arial"/>
          <w:sz w:val="10"/>
          <w:szCs w:val="10"/>
          <w:color w:val="auto"/>
        </w:rPr>
        <w:t>At initial recognition, an asset acquisition is measured at cost. Cost comprises the fair value of consideration transferred plus any directly attributable acquisition-related costs. The cost price is allocated to the individual identifiable assets acquired and liabilities assumed based on their relative fair values at the acquisition date. No goodwill or deferred taxes are recognized.</w:t>
      </w:r>
    </w:p>
    <w:p>
      <w:pPr>
        <w:spacing w:after="0" w:line="1" w:lineRule="exact"/>
        <w:rPr>
          <w:rFonts w:ascii="Arial" w:cs="Arial" w:eastAsia="Arial" w:hAnsi="Arial"/>
          <w:sz w:val="10"/>
          <w:szCs w:val="10"/>
          <w:color w:val="auto"/>
        </w:rPr>
      </w:pPr>
    </w:p>
    <w:p>
      <w:pPr>
        <w:ind w:right="2480"/>
        <w:spacing w:after="0" w:line="211" w:lineRule="auto"/>
        <w:rPr>
          <w:sz w:val="20"/>
          <w:szCs w:val="20"/>
          <w:color w:val="auto"/>
        </w:rPr>
      </w:pPr>
      <w:r>
        <w:rPr>
          <w:rFonts w:ascii="Arial" w:cs="Arial" w:eastAsia="Arial" w:hAnsi="Arial"/>
          <w:sz w:val="10"/>
          <w:szCs w:val="10"/>
          <w:color w:val="auto"/>
        </w:rPr>
        <w:t>Acquisition-related costs that are directly attributable to the acquisition of assets, such as legal, advisory, and due diligence fees, are capitalized as part of the cost of the acquired assets in accordance with the relevant IFRS standards (for example, IAS 16 Property, Plant and Equipment or IAS 38 Intangible Assets). Subsequent measurement of these assets follows the requirements of the relevant IFRS standards applicable to each asset class.</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151</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152</w:t>
      </w:r>
    </w:p>
    <w:p>
      <w:pPr>
        <w:sectPr>
          <w:pgSz w:w="11900" w:h="16840" w:orient="portrait"/>
          <w:cols w:equalWidth="0" w:num="2">
            <w:col w:w="7400" w:space="720"/>
            <w:col w:w="1700"/>
          </w:cols>
          <w:pgMar w:left="640" w:top="571" w:right="1440" w:bottom="637" w:gutter="0" w:footer="0" w:header="0"/>
        </w:sectPr>
      </w:pPr>
    </w:p>
    <w:bookmarkStart w:id="157" w:name="page158"/>
    <w:bookmarkEnd w:id="157"/>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left="260"/>
        <w:spacing w:after="0" w:line="213" w:lineRule="auto"/>
        <w:rPr>
          <w:sz w:val="20"/>
          <w:szCs w:val="20"/>
          <w:color w:val="auto"/>
        </w:rPr>
      </w:pPr>
      <w:r>
        <w:rPr>
          <w:rFonts w:ascii="Arial" w:cs="Arial" w:eastAsia="Arial" w:hAnsi="Arial"/>
          <w:sz w:val="13"/>
          <w:szCs w:val="13"/>
          <w:b w:val="1"/>
          <w:bCs w:val="1"/>
          <w:color w:val="691A6B"/>
        </w:rPr>
        <w:t>Management’s Judgements and Estimates –</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-79375</wp:posOffset>
            </wp:positionV>
            <wp:extent cx="90805" cy="908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90805" cy="9080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b w:val="1"/>
          <w:bCs w:val="1"/>
          <w:color w:val="691A6B"/>
        </w:rPr>
        <w:t>Other Intangible Assets and Goodwill</w:t>
      </w:r>
    </w:p>
    <w:p>
      <w:pPr>
        <w:spacing w:after="0" w:line="3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Fair Value and Impairment Assessment of Other Intangible Assets and Goodwill</w:t>
      </w:r>
    </w:p>
    <w:p>
      <w:pPr>
        <w:ind w:right="2440"/>
        <w:spacing w:after="0" w:line="199" w:lineRule="auto"/>
        <w:rPr>
          <w:sz w:val="20"/>
          <w:szCs w:val="20"/>
          <w:color w:val="auto"/>
        </w:rPr>
      </w:pPr>
      <w:r>
        <w:rPr>
          <w:rFonts w:ascii="Arial" w:cs="Arial" w:eastAsia="Arial" w:hAnsi="Arial"/>
          <w:sz w:val="10"/>
          <w:szCs w:val="10"/>
          <w:color w:val="auto"/>
        </w:rPr>
        <w:t>The application of the acquisition method for a business combination as well as allocation of fair value through an asset acquisition involve the use of significant estimates because the identifiable net assets of the acquiree are recognized at their fair values for which observable market prices are typically not available. This is particularly relevant for intangible assets which require use of valuation techniques typically based on estimates of present value of future uncertain cash flows. The significant assumptions used to estimate the value of the acquired intangible assets include discount rates and certain assumptions that form the basis of future cash flows (such as probabilities of technical and regulatory success, revenue growth rates, operating margins, and royalty rates).</w:t>
      </w:r>
    </w:p>
    <w:p>
      <w:pPr>
        <w:spacing w:after="0" w:line="213" w:lineRule="auto"/>
        <w:rPr>
          <w:sz w:val="20"/>
          <w:szCs w:val="20"/>
          <w:color w:val="auto"/>
        </w:rPr>
      </w:pPr>
      <w:r>
        <w:rPr>
          <w:rFonts w:ascii="Arial" w:cs="Arial" w:eastAsia="Arial" w:hAnsi="Arial"/>
          <w:sz w:val="15"/>
          <w:szCs w:val="15"/>
          <w:b w:val="1"/>
          <w:bCs w:val="1"/>
          <w:color w:val="691A6B"/>
        </w:rPr>
        <w:t>5.6 - Collaborations and Licenses</w:t>
      </w:r>
    </w:p>
    <w:p>
      <w:pPr>
        <w:spacing w:after="0" w:line="210" w:lineRule="auto"/>
        <w:rPr>
          <w:sz w:val="20"/>
          <w:szCs w:val="20"/>
          <w:color w:val="auto"/>
        </w:rPr>
      </w:pPr>
      <w:r>
        <w:rPr>
          <w:rFonts w:ascii="Arial" w:cs="Arial" w:eastAsia="Arial" w:hAnsi="Arial"/>
          <w:sz w:val="13"/>
          <w:szCs w:val="13"/>
          <w:b w:val="1"/>
          <w:bCs w:val="1"/>
          <w:color w:val="691A6B"/>
        </w:rPr>
        <w:t>Collaborations</w:t>
      </w:r>
    </w:p>
    <w:p>
      <w:pPr>
        <w:ind w:right="2480"/>
        <w:spacing w:after="0" w:line="239" w:lineRule="auto"/>
        <w:rPr>
          <w:sz w:val="20"/>
          <w:szCs w:val="20"/>
          <w:color w:val="auto"/>
        </w:rPr>
      </w:pPr>
      <w:r>
        <w:rPr>
          <w:rFonts w:ascii="Arial" w:cs="Arial" w:eastAsia="Arial" w:hAnsi="Arial"/>
          <w:sz w:val="10"/>
          <w:szCs w:val="10"/>
          <w:color w:val="auto"/>
        </w:rPr>
        <w:t>Genmab enters into collaborations with biotechnology and pharmaceutical companies to advance the development and commercialization of Genmab’s product candidates and to supplement its internal pipeline. Genmab seeks collaborations that will allow Genmab to retain significant future participation in product sales through either profit-sharing or royalties paid on net sales. Below is an overview of certain of Genmab’s collaborations that have had, or are expected in the near term to have, a significant impact on financial results.</w:t>
      </w:r>
    </w:p>
    <w:p>
      <w:pPr>
        <w:spacing w:after="0" w:line="211" w:lineRule="auto"/>
        <w:rPr>
          <w:sz w:val="20"/>
          <w:szCs w:val="20"/>
          <w:color w:val="auto"/>
        </w:rPr>
      </w:pPr>
      <w:r>
        <w:rPr>
          <w:rFonts w:ascii="Arial" w:cs="Arial" w:eastAsia="Arial" w:hAnsi="Arial"/>
          <w:sz w:val="13"/>
          <w:szCs w:val="13"/>
          <w:b w:val="1"/>
          <w:bCs w:val="1"/>
          <w:color w:val="691A6B"/>
        </w:rPr>
        <w:t>Janssen (Daratumumab/DARZALEX)</w:t>
      </w:r>
    </w:p>
    <w:p>
      <w:pPr>
        <w:ind w:right="2460"/>
        <w:spacing w:after="0" w:line="198" w:lineRule="auto"/>
        <w:rPr>
          <w:sz w:val="20"/>
          <w:szCs w:val="20"/>
          <w:color w:val="auto"/>
        </w:rPr>
      </w:pPr>
      <w:r>
        <w:rPr>
          <w:rFonts w:ascii="Arial" w:cs="Arial" w:eastAsia="Arial" w:hAnsi="Arial"/>
          <w:sz w:val="10"/>
          <w:szCs w:val="10"/>
          <w:color w:val="auto"/>
        </w:rPr>
        <w:t xml:space="preserve">In 2012, Genmab entered into a global license, development and commercialization agreement with J&amp;J for daratumumab, marketed for the treatment of certain multiple myeloma indications as DARZALEX for IV administration and as DARZALEX </w:t>
      </w:r>
      <w:r>
        <w:rPr>
          <w:rFonts w:ascii="Arial" w:cs="Arial" w:eastAsia="Arial" w:hAnsi="Arial"/>
          <w:sz w:val="10"/>
          <w:szCs w:val="10"/>
          <w:i w:val="1"/>
          <w:iCs w:val="1"/>
          <w:color w:val="auto"/>
        </w:rPr>
        <w:t>FASPRO</w:t>
      </w:r>
      <w:r>
        <w:rPr>
          <w:rFonts w:ascii="Arial" w:cs="Arial" w:eastAsia="Arial" w:hAnsi="Arial"/>
          <w:sz w:val="10"/>
          <w:szCs w:val="10"/>
          <w:color w:val="auto"/>
        </w:rPr>
        <w:t xml:space="preserve"> in the US and DARZALEX SC in Europe for SC administration (“Janssen Collaboration and License Agreement”). Under the Janssen Collaboration and License Agreement, J&amp;J is fully responsible for developing and commercializing daratumumab, and all costs associated therewith. Genmab receives tiered royalty payments between 12% and 20% based on J&amp;J’s annual net product sales with J&amp;J reducing such royalty payments for Genmab’s share of J&amp;J’s royalty payments made to Halozyme. In addition, the royalties payable by J&amp;J are limited in time and subject</w:t>
      </w:r>
    </w:p>
    <w:p>
      <w:pPr>
        <w:spacing w:after="0" w:line="2" w:lineRule="exact"/>
        <w:rPr>
          <w:rFonts w:ascii="Arial" w:cs="Arial" w:eastAsia="Arial" w:hAnsi="Arial"/>
          <w:sz w:val="10"/>
          <w:szCs w:val="10"/>
          <w:color w:val="auto"/>
        </w:rPr>
      </w:pPr>
    </w:p>
    <w:p>
      <w:pPr>
        <w:ind w:right="2460"/>
        <w:spacing w:after="0" w:line="210" w:lineRule="auto"/>
        <w:rPr>
          <w:sz w:val="20"/>
          <w:szCs w:val="20"/>
          <w:color w:val="auto"/>
        </w:rPr>
      </w:pPr>
      <w:r>
        <w:rPr>
          <w:rFonts w:ascii="Arial" w:cs="Arial" w:eastAsia="Arial" w:hAnsi="Arial"/>
          <w:sz w:val="10"/>
          <w:szCs w:val="10"/>
          <w:color w:val="auto"/>
        </w:rPr>
        <w:t xml:space="preserve">to reduction on a country -by-country basis for customary reduction events, including for lack of Genmab patent coverage or upon patent expiration or invalidation in the relevant country and upon the first commercial sale of a biosimilar product in the relevant country (for as long as the biosimilar product remains for sale in that country). Pursuant to the terms of the Janssen Collaboration and License Agreement, J&amp;J’s obligation to pay royalties to us will expire on a country-by-country basis on the later of the date that is 13 years after the first commercial sale of daratumumab in such country or upon the expiration or invalidation of the last- to-expire relevant Genmab patent covering daratumumab in such country. The first US, European and Japanese sales of daratumumab occurred in 2015, 2016 and 2017, respectively. We have issued patents and pending patent applications covering daratumumab in numerous jurisdictions, including patents issued in the US, Europe and Japan. J&amp;J owns a separate patent portfolio related to the subcutaneous formulation of daratumumab used in DARZALEX </w:t>
      </w:r>
      <w:r>
        <w:rPr>
          <w:rFonts w:ascii="Arial" w:cs="Arial" w:eastAsia="Arial" w:hAnsi="Arial"/>
          <w:sz w:val="10"/>
          <w:szCs w:val="10"/>
          <w:i w:val="1"/>
          <w:iCs w:val="1"/>
          <w:color w:val="auto"/>
        </w:rPr>
        <w:t>FASPRO</w:t>
      </w:r>
      <w:r>
        <w:rPr>
          <w:rFonts w:ascii="Arial" w:cs="Arial" w:eastAsia="Arial" w:hAnsi="Arial"/>
          <w:sz w:val="10"/>
          <w:szCs w:val="10"/>
          <w:color w:val="auto"/>
        </w:rPr>
        <w:t>/DARZALEX SC, but a binding arbitration determined that we are not entitled to royalties based on these separate patents. Our issued U.S., European and Japanese patents covering daratumumab, after giving effect to issued U.S., European and Japanese patent term extensions and supplementary protection certificates, expire in 2029, 2031 and begin to expire in 2030, respectively. Assuming constant underlying sales of DARZALEX, we expect that our royalties from sales of DARZALEX will begin to decline materially in 2029 following expiration of our U.S. patent rights on daratumumab. Genmab is also eligible to receive certain additional payments in connection with development, regulatory and sales milestones.</w:t>
      </w:r>
    </w:p>
    <w:p>
      <w:pPr>
        <w:spacing w:after="0" w:line="3" w:lineRule="exact"/>
        <w:rPr>
          <w:rFonts w:ascii="Arial" w:cs="Arial" w:eastAsia="Arial" w:hAnsi="Arial"/>
          <w:sz w:val="10"/>
          <w:szCs w:val="10"/>
          <w:color w:val="auto"/>
        </w:rPr>
      </w:pPr>
    </w:p>
    <w:p>
      <w:pPr>
        <w:ind w:right="2460"/>
        <w:spacing w:after="0" w:line="198" w:lineRule="auto"/>
        <w:rPr>
          <w:sz w:val="20"/>
          <w:szCs w:val="20"/>
          <w:color w:val="auto"/>
        </w:rPr>
      </w:pPr>
      <w:r>
        <w:rPr>
          <w:rFonts w:ascii="Arial" w:cs="Arial" w:eastAsia="Arial" w:hAnsi="Arial"/>
          <w:sz w:val="10"/>
          <w:szCs w:val="10"/>
          <w:color w:val="auto"/>
        </w:rPr>
        <w:t xml:space="preserve">In September 2020, Genmab commenced arbitration against J&amp;J with respect to two different provisions of our Janssen Collaboration and License Agreement, both relating to royalties payable to Genmab on net sales of daratumumab (marketed as DARZALEX for IV administration and as DARZALEX </w:t>
      </w:r>
      <w:r>
        <w:rPr>
          <w:rFonts w:ascii="Arial" w:cs="Arial" w:eastAsia="Arial" w:hAnsi="Arial"/>
          <w:sz w:val="10"/>
          <w:szCs w:val="10"/>
          <w:i w:val="1"/>
          <w:iCs w:val="1"/>
          <w:color w:val="auto"/>
        </w:rPr>
        <w:t>FASPRO</w:t>
      </w:r>
      <w:r>
        <w:rPr>
          <w:rFonts w:ascii="Arial" w:cs="Arial" w:eastAsia="Arial" w:hAnsi="Arial"/>
          <w:sz w:val="10"/>
          <w:szCs w:val="10"/>
          <w:color w:val="auto"/>
        </w:rPr>
        <w:t xml:space="preserve"> in the US and as DARZALEX SC in Europe for SC administration). In April 2022, the arbitral tribunal issued an award in that arbitration denying both of Genmab’s claims. Genmab did not seek review of the award.</w:t>
      </w:r>
    </w:p>
    <w:p>
      <w:pPr>
        <w:spacing w:after="0" w:line="2" w:lineRule="exact"/>
        <w:rPr>
          <w:rFonts w:ascii="Arial" w:cs="Arial" w:eastAsia="Arial" w:hAnsi="Arial"/>
          <w:sz w:val="10"/>
          <w:szCs w:val="10"/>
          <w:color w:val="auto"/>
        </w:rPr>
      </w:pPr>
    </w:p>
    <w:p>
      <w:pPr>
        <w:ind w:right="2720"/>
        <w:spacing w:after="0" w:line="198" w:lineRule="auto"/>
        <w:rPr>
          <w:sz w:val="20"/>
          <w:szCs w:val="20"/>
          <w:color w:val="auto"/>
        </w:rPr>
      </w:pPr>
      <w:r>
        <w:rPr>
          <w:rFonts w:ascii="Arial" w:cs="Arial" w:eastAsia="Arial" w:hAnsi="Arial"/>
          <w:sz w:val="10"/>
          <w:szCs w:val="10"/>
          <w:color w:val="auto"/>
        </w:rPr>
        <w:t>On June 9, 2022, Genmab announced the commencement of a second arbitration under the Janssen Collaboration and License Agreement with claims for milestone payments for daratumumab SC of</w:t>
      </w:r>
    </w:p>
    <w:p>
      <w:pPr>
        <w:spacing w:after="0" w:line="1" w:lineRule="exact"/>
        <w:rPr>
          <w:rFonts w:ascii="Arial" w:cs="Arial" w:eastAsia="Arial" w:hAnsi="Arial"/>
          <w:sz w:val="10"/>
          <w:szCs w:val="10"/>
          <w:color w:val="auto"/>
        </w:rPr>
      </w:pPr>
    </w:p>
    <w:p>
      <w:pPr>
        <w:ind w:right="2460"/>
        <w:spacing w:after="0" w:line="205" w:lineRule="auto"/>
        <w:rPr>
          <w:sz w:val="20"/>
          <w:szCs w:val="20"/>
          <w:color w:val="auto"/>
        </w:rPr>
      </w:pPr>
      <w:r>
        <w:rPr>
          <w:rFonts w:ascii="Arial" w:cs="Arial" w:eastAsia="Arial" w:hAnsi="Arial"/>
          <w:sz w:val="10"/>
          <w:szCs w:val="10"/>
          <w:color w:val="auto"/>
        </w:rPr>
        <w:t xml:space="preserve">$405 million and a separate 13-year royalty term for daratumumab SC on a country- by-country basis, from the date of the first commercial sale of daratumumab SC in each such country. This second arbitration followed from the award in the prior arbitration, where the tribunal ruled in favor of Janssen on the question as to whether Genmab is required to share in Janssen’s royalty payments to Halozyme for its technology used in the daratumumab SC product. The tribunal based its ruling on the finding that DARZALEX </w:t>
      </w:r>
      <w:r>
        <w:rPr>
          <w:rFonts w:ascii="Arial" w:cs="Arial" w:eastAsia="Arial" w:hAnsi="Arial"/>
          <w:sz w:val="10"/>
          <w:szCs w:val="10"/>
          <w:i w:val="1"/>
          <w:iCs w:val="1"/>
          <w:color w:val="auto"/>
        </w:rPr>
        <w:t xml:space="preserve">FASPRO </w:t>
      </w:r>
      <w:r>
        <w:rPr>
          <w:rFonts w:ascii="Arial" w:cs="Arial" w:eastAsia="Arial" w:hAnsi="Arial"/>
          <w:sz w:val="10"/>
          <w:szCs w:val="10"/>
          <w:color w:val="auto"/>
        </w:rPr>
        <w:t>constitutes a new licensed product under the Janssen Collaboration and License Agreement.</w:t>
      </w:r>
      <w:r>
        <w:rPr>
          <w:rFonts w:ascii="Arial" w:cs="Arial" w:eastAsia="Arial" w:hAnsi="Arial"/>
          <w:sz w:val="10"/>
          <w:szCs w:val="10"/>
          <w:i w:val="1"/>
          <w:iCs w:val="1"/>
          <w:color w:val="auto"/>
        </w:rPr>
        <w:t xml:space="preserve"> </w:t>
      </w:r>
      <w:r>
        <w:rPr>
          <w:rFonts w:ascii="Arial" w:cs="Arial" w:eastAsia="Arial" w:hAnsi="Arial"/>
          <w:sz w:val="10"/>
          <w:szCs w:val="10"/>
          <w:color w:val="auto"/>
        </w:rPr>
        <w:t>On April 21, 2023, the arbitral tribunal dismissed Genmab’s claims regarding the second arbitration, on the basis that these claims should have been brought in the first arbitration. One arbitrator dissented Genmab filed a request for review of the award, which was denied on January 23, 2024. As a result, the dismissal of Genmab’s claims in the second arbitration is now final.</w:t>
      </w:r>
    </w:p>
    <w:p>
      <w:pPr>
        <w:spacing w:after="0" w:line="200" w:lineRule="exact"/>
        <w:rPr>
          <w:rFonts w:ascii="Arial" w:cs="Arial" w:eastAsia="Arial" w:hAnsi="Arial"/>
          <w:sz w:val="10"/>
          <w:szCs w:val="10"/>
          <w:color w:val="auto"/>
        </w:rPr>
      </w:pPr>
    </w:p>
    <w:p>
      <w:pPr>
        <w:spacing w:after="0" w:line="351" w:lineRule="exact"/>
        <w:rPr>
          <w:rFonts w:ascii="Arial" w:cs="Arial" w:eastAsia="Arial" w:hAnsi="Arial"/>
          <w:sz w:val="10"/>
          <w:szCs w:val="1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spacing w:after="0" w:line="209" w:lineRule="auto"/>
        <w:rPr>
          <w:sz w:val="20"/>
          <w:szCs w:val="20"/>
          <w:color w:val="auto"/>
        </w:rPr>
      </w:pPr>
      <w:r>
        <w:rPr>
          <w:rFonts w:ascii="Arial" w:cs="Arial" w:eastAsia="Arial" w:hAnsi="Arial"/>
          <w:sz w:val="13"/>
          <w:szCs w:val="13"/>
          <w:b w:val="1"/>
          <w:bCs w:val="1"/>
          <w:color w:val="691A6B"/>
        </w:rPr>
        <w:t>Novartis (Ofatumumab/Kesimpta)</w:t>
      </w:r>
    </w:p>
    <w:p>
      <w:pPr>
        <w:ind w:right="2480"/>
        <w:spacing w:after="0" w:line="198" w:lineRule="auto"/>
        <w:rPr>
          <w:sz w:val="20"/>
          <w:szCs w:val="20"/>
          <w:color w:val="auto"/>
        </w:rPr>
      </w:pPr>
      <w:r>
        <w:rPr>
          <w:rFonts w:ascii="Arial" w:cs="Arial" w:eastAsia="Arial" w:hAnsi="Arial"/>
          <w:sz w:val="10"/>
          <w:szCs w:val="10"/>
          <w:color w:val="auto"/>
        </w:rPr>
        <w:t>Genmab and GlaxoSmithKline (GSK) entered a co- development and collaboration agreement for ofatumumab (“</w:t>
      </w:r>
      <w:r>
        <w:rPr>
          <w:rFonts w:ascii="Arial" w:cs="Arial" w:eastAsia="Arial" w:hAnsi="Arial"/>
          <w:sz w:val="10"/>
          <w:szCs w:val="10"/>
          <w:b w:val="1"/>
          <w:bCs w:val="1"/>
          <w:color w:val="auto"/>
        </w:rPr>
        <w:t>Novartis Agreement</w:t>
      </w:r>
      <w:r>
        <w:rPr>
          <w:rFonts w:ascii="Arial" w:cs="Arial" w:eastAsia="Arial" w:hAnsi="Arial"/>
          <w:sz w:val="10"/>
          <w:szCs w:val="10"/>
          <w:color w:val="auto"/>
        </w:rPr>
        <w:t>”) in 2006. The full rights to ofatumumab were transferred from GSK to Novartis in 2015. Novartis is now fully responsible for the development and commercialization</w:t>
      </w:r>
    </w:p>
    <w:p>
      <w:pPr>
        <w:spacing w:after="0" w:line="1" w:lineRule="exact"/>
        <w:rPr>
          <w:rFonts w:ascii="Arial" w:cs="Arial" w:eastAsia="Arial" w:hAnsi="Arial"/>
          <w:sz w:val="10"/>
          <w:szCs w:val="10"/>
          <w:color w:val="auto"/>
        </w:rPr>
      </w:pPr>
    </w:p>
    <w:p>
      <w:pPr>
        <w:ind w:right="2440"/>
        <w:spacing w:after="0" w:line="95" w:lineRule="exact"/>
        <w:rPr>
          <w:sz w:val="20"/>
          <w:szCs w:val="20"/>
          <w:color w:val="auto"/>
        </w:rPr>
      </w:pPr>
      <w:r>
        <w:rPr>
          <w:rFonts w:ascii="Arial" w:cs="Arial" w:eastAsia="Arial" w:hAnsi="Arial"/>
          <w:sz w:val="10"/>
          <w:szCs w:val="10"/>
          <w:color w:val="auto"/>
        </w:rPr>
        <w:t>of ofatumumab in all potential indications, including autoimmune diseases. Genmab is entitled to a 10% royalty payment on net sales for non-cancer treatments. Genmab pays a royalty to Medarex based on Kesimpta net sales. Novartis’s obligation to pay royalties to Genmab under the Novartis Agreement expires on a country- by-country basis only in the event Novartis is no longer selling such product in a given country. The royalties are on a country</w:t>
      </w:r>
      <w:r>
        <w:rPr>
          <w:rFonts w:ascii="MS PGothic" w:cs="MS PGothic" w:eastAsia="MS PGothic" w:hAnsi="MS PGothic"/>
          <w:sz w:val="10"/>
          <w:szCs w:val="10"/>
          <w:color w:val="auto"/>
        </w:rPr>
        <w:t>‑</w:t>
      </w:r>
      <w:r>
        <w:rPr>
          <w:rFonts w:ascii="Arial" w:cs="Arial" w:eastAsia="Arial" w:hAnsi="Arial"/>
          <w:sz w:val="10"/>
          <w:szCs w:val="10"/>
          <w:color w:val="auto"/>
        </w:rPr>
        <w:t>by</w:t>
      </w:r>
      <w:r>
        <w:rPr>
          <w:rFonts w:ascii="MS PGothic" w:cs="MS PGothic" w:eastAsia="MS PGothic" w:hAnsi="MS PGothic"/>
          <w:sz w:val="10"/>
          <w:szCs w:val="10"/>
          <w:color w:val="auto"/>
        </w:rPr>
        <w:t>‑</w:t>
      </w:r>
      <w:r>
        <w:rPr>
          <w:rFonts w:ascii="Arial" w:cs="Arial" w:eastAsia="Arial" w:hAnsi="Arial"/>
          <w:sz w:val="10"/>
          <w:szCs w:val="10"/>
          <w:color w:val="auto"/>
        </w:rPr>
        <w:t>country basis subject to reduction in case of significant competition by competing products (as defined in the Novartis Agreement) or a joint committee determination that a license of intellectual property owned by a third-party is necessary</w:t>
      </w:r>
    </w:p>
    <w:p>
      <w:pPr>
        <w:spacing w:after="0" w:line="2" w:lineRule="exact"/>
        <w:rPr>
          <w:rFonts w:ascii="Arial" w:cs="Arial" w:eastAsia="Arial" w:hAnsi="Arial"/>
          <w:sz w:val="10"/>
          <w:szCs w:val="10"/>
          <w:color w:val="auto"/>
        </w:rPr>
      </w:pPr>
    </w:p>
    <w:p>
      <w:pPr>
        <w:ind w:right="2860"/>
        <w:spacing w:after="0" w:line="201" w:lineRule="auto"/>
        <w:rPr>
          <w:sz w:val="20"/>
          <w:szCs w:val="20"/>
          <w:color w:val="auto"/>
        </w:rPr>
      </w:pPr>
      <w:r>
        <w:rPr>
          <w:rFonts w:ascii="Arial" w:cs="Arial" w:eastAsia="Arial" w:hAnsi="Arial"/>
          <w:sz w:val="10"/>
          <w:szCs w:val="10"/>
          <w:color w:val="auto"/>
        </w:rPr>
        <w:t>for commercialization. All potential regulatory and sales milestone payments under this agreement have been achieved and no further milestone payments remain outstanding.</w:t>
      </w:r>
    </w:p>
    <w:p>
      <w:pPr>
        <w:spacing w:after="0" w:line="210" w:lineRule="auto"/>
        <w:rPr>
          <w:sz w:val="20"/>
          <w:szCs w:val="20"/>
          <w:color w:val="auto"/>
        </w:rPr>
      </w:pPr>
      <w:r>
        <w:rPr>
          <w:rFonts w:ascii="Arial" w:cs="Arial" w:eastAsia="Arial" w:hAnsi="Arial"/>
          <w:sz w:val="13"/>
          <w:szCs w:val="13"/>
          <w:b w:val="1"/>
          <w:bCs w:val="1"/>
          <w:color w:val="691A6B"/>
        </w:rPr>
        <w:t>Roche (Teprotumumab/TEPEZZA)</w:t>
      </w:r>
    </w:p>
    <w:p>
      <w:pPr>
        <w:ind w:right="2440"/>
        <w:spacing w:after="0" w:line="199" w:lineRule="auto"/>
        <w:rPr>
          <w:sz w:val="20"/>
          <w:szCs w:val="20"/>
          <w:color w:val="auto"/>
        </w:rPr>
      </w:pPr>
      <w:r>
        <w:rPr>
          <w:rFonts w:ascii="Arial" w:cs="Arial" w:eastAsia="Arial" w:hAnsi="Arial"/>
          <w:sz w:val="10"/>
          <w:szCs w:val="10"/>
          <w:color w:val="auto"/>
        </w:rPr>
        <w:t>In May 2001, Genmab entered a research collaboration with Roche to develop human antibodies to disease targets identified by Roche (“</w:t>
      </w:r>
      <w:r>
        <w:rPr>
          <w:rFonts w:ascii="Arial" w:cs="Arial" w:eastAsia="Arial" w:hAnsi="Arial"/>
          <w:sz w:val="10"/>
          <w:szCs w:val="10"/>
          <w:b w:val="1"/>
          <w:bCs w:val="1"/>
          <w:color w:val="auto"/>
        </w:rPr>
        <w:t>Roche Agreement</w:t>
      </w:r>
      <w:r>
        <w:rPr>
          <w:rFonts w:ascii="Arial" w:cs="Arial" w:eastAsia="Arial" w:hAnsi="Arial"/>
          <w:sz w:val="10"/>
          <w:szCs w:val="10"/>
          <w:color w:val="auto"/>
        </w:rPr>
        <w:t>”). In 2002, this alliance was expanded. Under the Roche Agreement, Genmab will receive milestones as well as royalty payments on successful products. Teprotumumab was initially developed in collaboration between Genmab and Roche, and later investigated under license from Roche by River Vision Development Corporation and subsequently Horizon Therapeutics for ophthalmic use. The product was approved under the brand name TEPEZZA in 2020 by the FDA for the treatment of TED, in 2024 by Japan's MHLW for the treatment of active or high clinical activity score (CAS) TED and in 2025 by the European Commission for treating moderate- to-severe TED. In October 2023, Amgen completed its acquisition of Horizon Therapeutics, including all rights to the development and commercialization of teprotumumab. Under the terms of the Roche Agreement, Genmab receives a mid-single digit royalty on net sales of TEPEZZA, on a country- by-country basis, for 10 years following the first commercial sale in such country.</w:t>
      </w:r>
    </w:p>
    <w:p>
      <w:pPr>
        <w:spacing w:after="0" w:line="210" w:lineRule="auto"/>
        <w:rPr>
          <w:sz w:val="20"/>
          <w:szCs w:val="20"/>
          <w:color w:val="auto"/>
        </w:rPr>
      </w:pPr>
      <w:r>
        <w:rPr>
          <w:rFonts w:ascii="Arial" w:cs="Arial" w:eastAsia="Arial" w:hAnsi="Arial"/>
          <w:sz w:val="13"/>
          <w:szCs w:val="13"/>
          <w:b w:val="1"/>
          <w:bCs w:val="1"/>
          <w:color w:val="691A6B"/>
        </w:rPr>
        <w:t>Pfizer (Tisotumab vedotin/Tivdak)</w:t>
      </w:r>
    </w:p>
    <w:p>
      <w:pPr>
        <w:ind w:right="2440"/>
        <w:spacing w:after="0" w:line="198" w:lineRule="auto"/>
        <w:rPr>
          <w:sz w:val="20"/>
          <w:szCs w:val="20"/>
          <w:color w:val="auto"/>
        </w:rPr>
      </w:pPr>
      <w:r>
        <w:rPr>
          <w:rFonts w:ascii="Arial" w:cs="Arial" w:eastAsia="Arial" w:hAnsi="Arial"/>
          <w:sz w:val="10"/>
          <w:szCs w:val="10"/>
          <w:color w:val="auto"/>
        </w:rPr>
        <w:t>In September 2010, Genmab and Pfizer entered into an ADC collaboration, and a commercial license and collaboration agreement (the “Pfizer License and Collaboration Agreement”) was executed in October 2011. In October 2020, Genmab and Pfizer entered into a joint commercialization agreement (“Tivdak Joint Commercialization Agreement”) where Genmab would co - promote tisotumab vedotin, marketed as Tivdak, in the US, and lead commercial operational activities and record sales in Japan, while Pfizer would lead operational commercial activities in the US, Europe and China with a 50:50 profit split in those markets. In all other markets, if any, Pfizer would be responsible for commercializing tisotumab vedotin and Genmab would receive royalties based on a percentage of aggregate net sales ranging from the mid -teens to the mid-twenties. Effective January 1, 2025, Genmab and Pfizer agreed to amend the Pfizer License and Collaboration Agreement and the Tivdak Joint Commercialization Agreement, assigning Genmab sole responsibility for the development and commercialization of Tivdak for second line plus recurrent or metastatic cervical cancer in Europe and all other regions globally, excluding the United States and China. With this amendment, Genmab will continue to co - promote Tivdak with Pfizer in the US and will record sales for Europe, Japan and rest of world markets (excluding the United States and China), once commercialized, and will provide royalties to Pfizer on net sales in the low teens. Pfizer will continue to lead commercialization activities in China, when approved. The companies will continue the practice of joint decision-making on the worldwide development and commercialization strategy for tisotumab vedotin.</w:t>
      </w:r>
    </w:p>
    <w:p>
      <w:pPr>
        <w:spacing w:after="0" w:line="222" w:lineRule="auto"/>
        <w:rPr>
          <w:sz w:val="20"/>
          <w:szCs w:val="20"/>
          <w:color w:val="auto"/>
        </w:rPr>
      </w:pPr>
      <w:r>
        <w:rPr>
          <w:rFonts w:ascii="Arial" w:cs="Arial" w:eastAsia="Arial" w:hAnsi="Arial"/>
          <w:sz w:val="13"/>
          <w:szCs w:val="13"/>
          <w:b w:val="1"/>
          <w:bCs w:val="1"/>
          <w:color w:val="691A6B"/>
        </w:rPr>
        <w:t>AbbVie (Epcoritamab/EPKINLY/TEPKINLY)</w:t>
      </w:r>
    </w:p>
    <w:p>
      <w:pPr>
        <w:ind w:right="2440"/>
        <w:spacing w:after="0" w:line="211" w:lineRule="auto"/>
        <w:rPr>
          <w:sz w:val="20"/>
          <w:szCs w:val="20"/>
          <w:color w:val="auto"/>
        </w:rPr>
      </w:pPr>
      <w:r>
        <w:rPr>
          <w:rFonts w:ascii="Arial" w:cs="Arial" w:eastAsia="Arial" w:hAnsi="Arial"/>
          <w:sz w:val="10"/>
          <w:szCs w:val="10"/>
          <w:color w:val="auto"/>
        </w:rPr>
        <w:t>On June 10, 2020, Genmab entered into a broad oncology collaboration agreement with AbbVie (“</w:t>
      </w:r>
      <w:r>
        <w:rPr>
          <w:rFonts w:ascii="Arial" w:cs="Arial" w:eastAsia="Arial" w:hAnsi="Arial"/>
          <w:sz w:val="10"/>
          <w:szCs w:val="10"/>
          <w:b w:val="1"/>
          <w:bCs w:val="1"/>
          <w:color w:val="auto"/>
        </w:rPr>
        <w:t>AbbVie Collaboration and License Agreement</w:t>
      </w:r>
      <w:r>
        <w:rPr>
          <w:rFonts w:ascii="Arial" w:cs="Arial" w:eastAsia="Arial" w:hAnsi="Arial"/>
          <w:sz w:val="10"/>
          <w:szCs w:val="10"/>
          <w:color w:val="auto"/>
        </w:rPr>
        <w:t>”) to jointly develop and commercialize products including epcoritamab, and subsequently into a discovery research collaboration for up to four future differentiated antibody therapeutics for cancer. The companies will share commercial responsibilities for epcoritamab in the US and Japan, with AbbVie responsible for further global commercialization. Genmab is the principal for net sales in the US and Japan and receives tiered royalties between 22% and 26% on remaining net sales outside of these territories, subject to certain royalty reductions. For any product candidates developed as a result of the companies’ discovery research collaboration, Genmab and AbbVie will share responsibilities for global development and commercialization in the US and Japan. Genmab retains the right to co-commercialize these products, along with AbbVie, outside of the US and Japan. Under the terms of the AbbVie Collaboration and License Agreement, Genmab received a $750 million upfront payment in June 2020 and was initially entitled to receive an aggregate of up to $3.15 billion in additional development, regulatory and sales milestone payments for all programs. Included in these potential milestones were up to $1.15 billion in payments related to clinical development and commercial success across the three bispecific antibody programs originally included in the AbbVie Collaboration and License Agreement.</w:t>
      </w:r>
    </w:p>
    <w:p>
      <w:pPr>
        <w:spacing w:after="0" w:line="6" w:lineRule="exact"/>
        <w:rPr>
          <w:rFonts w:ascii="Arial" w:cs="Arial" w:eastAsia="Arial" w:hAnsi="Arial"/>
          <w:sz w:val="10"/>
          <w:szCs w:val="10"/>
          <w:color w:val="auto"/>
        </w:rPr>
      </w:pPr>
    </w:p>
    <w:p>
      <w:pPr>
        <w:ind w:right="2480"/>
        <w:spacing w:after="0" w:line="208" w:lineRule="auto"/>
        <w:rPr>
          <w:sz w:val="20"/>
          <w:szCs w:val="20"/>
          <w:color w:val="auto"/>
        </w:rPr>
      </w:pPr>
      <w:r>
        <w:rPr>
          <w:rFonts w:ascii="Arial" w:cs="Arial" w:eastAsia="Arial" w:hAnsi="Arial"/>
          <w:sz w:val="10"/>
          <w:szCs w:val="10"/>
          <w:color w:val="auto"/>
        </w:rPr>
        <w:t>As of December 31, 2025, as a result of epcoritamab and one additional antibody product candidate being the remaining bispecific antibody programs under the original AbbVie Collaboration and License Agreement, we are instead contractually entitled to receive an aggregate of up to $1.06 billion in additional development, regulatory and sales milestone payments. In addition, and also included in these potential milestones, if the remaining next-generation antibody product candidate is developed as a result of the discovery research collaboration and is successful, we are eligible to receive up to $510 million in option exercise and success-based milestones.</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153</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154</w:t>
      </w:r>
    </w:p>
    <w:p>
      <w:pPr>
        <w:sectPr>
          <w:pgSz w:w="11900" w:h="16840" w:orient="portrait"/>
          <w:cols w:equalWidth="0" w:num="2">
            <w:col w:w="7400" w:space="720"/>
            <w:col w:w="1700"/>
          </w:cols>
          <w:pgMar w:left="640" w:top="571" w:right="1440" w:bottom="655" w:gutter="0" w:footer="0" w:header="0"/>
        </w:sectPr>
      </w:pPr>
    </w:p>
    <w:bookmarkStart w:id="158" w:name="page159"/>
    <w:bookmarkEnd w:id="158"/>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440"/>
        <w:spacing w:after="0" w:line="198" w:lineRule="auto"/>
        <w:rPr>
          <w:sz w:val="20"/>
          <w:szCs w:val="20"/>
          <w:color w:val="auto"/>
        </w:rPr>
      </w:pPr>
      <w:r>
        <w:rPr>
          <w:rFonts w:ascii="Arial" w:cs="Arial" w:eastAsia="Arial" w:hAnsi="Arial"/>
          <w:sz w:val="10"/>
          <w:szCs w:val="10"/>
          <w:color w:val="auto"/>
        </w:rPr>
        <w:t>In May 2023, epcoritamab received initial approval from the FDA and is marketed under the tradename EPKINLY. In September 2023, epcoritamab received initial approval from the EC and the Japan MHLW and is marketed under the tradenames TEPKINLY and EPKINLY, respectively. Genmab is entitled to tiered royalties between 22% and 26% on net sales for epcoritamab outside the US and Japan. Except for these royalty-bearing sales, Genmab will share with AbbVie profits from the sale of licensed products on a 50:50 basis. Genmab and AbbVie split 50:50 the development costs related to epcoritamab, while Genmab will be responsible for 100% of the costs of the discovery research programs up to opt-in.</w:t>
      </w:r>
    </w:p>
    <w:p>
      <w:pPr>
        <w:spacing w:after="0" w:line="2" w:lineRule="exact"/>
        <w:rPr>
          <w:rFonts w:ascii="Arial" w:cs="Arial" w:eastAsia="Arial" w:hAnsi="Arial"/>
          <w:sz w:val="10"/>
          <w:szCs w:val="10"/>
          <w:color w:val="auto"/>
        </w:rPr>
      </w:pPr>
    </w:p>
    <w:p>
      <w:pPr>
        <w:ind w:right="2540"/>
        <w:spacing w:after="0" w:line="198" w:lineRule="auto"/>
        <w:rPr>
          <w:sz w:val="20"/>
          <w:szCs w:val="20"/>
          <w:color w:val="auto"/>
        </w:rPr>
      </w:pPr>
      <w:r>
        <w:rPr>
          <w:rFonts w:ascii="Arial" w:cs="Arial" w:eastAsia="Arial" w:hAnsi="Arial"/>
          <w:sz w:val="10"/>
          <w:szCs w:val="10"/>
          <w:color w:val="auto"/>
        </w:rPr>
        <w:t>The total transaction price of $750 million was allocated to the four performance obligations based on the best estimate of relative stand-alone selling prices. The allocation of the transaction price to the performance obligations is summarized below:</w:t>
      </w:r>
    </w:p>
    <w:p>
      <w:pPr>
        <w:spacing w:after="0" w:line="200" w:lineRule="auto"/>
        <w:rPr>
          <w:sz w:val="20"/>
          <w:szCs w:val="20"/>
          <w:color w:val="auto"/>
        </w:rPr>
      </w:pPr>
      <w:r>
        <w:rPr>
          <w:rFonts w:ascii="Arial" w:cs="Arial" w:eastAsia="Arial" w:hAnsi="Arial"/>
          <w:sz w:val="10"/>
          <w:szCs w:val="10"/>
          <w:color w:val="auto"/>
        </w:rPr>
        <w:t>•Delivery of licenses for the three programs: $672 million</w:t>
      </w:r>
    </w:p>
    <w:p>
      <w:pPr>
        <w:spacing w:after="0" w:line="199" w:lineRule="auto"/>
        <w:rPr>
          <w:sz w:val="20"/>
          <w:szCs w:val="20"/>
          <w:color w:val="auto"/>
        </w:rPr>
      </w:pPr>
      <w:r>
        <w:rPr>
          <w:rFonts w:ascii="Arial" w:cs="Arial" w:eastAsia="Arial" w:hAnsi="Arial"/>
          <w:sz w:val="10"/>
          <w:szCs w:val="10"/>
          <w:color w:val="auto"/>
        </w:rPr>
        <w:t>•Co-development activities for the product concepts: $78 million</w:t>
      </w:r>
    </w:p>
    <w:p>
      <w:pPr>
        <w:ind w:right="2480"/>
        <w:spacing w:after="0" w:line="198" w:lineRule="auto"/>
        <w:rPr>
          <w:sz w:val="20"/>
          <w:szCs w:val="20"/>
          <w:color w:val="auto"/>
        </w:rPr>
      </w:pPr>
      <w:r>
        <w:rPr>
          <w:rFonts w:ascii="Arial" w:cs="Arial" w:eastAsia="Arial" w:hAnsi="Arial"/>
          <w:sz w:val="10"/>
          <w:szCs w:val="10"/>
          <w:color w:val="auto"/>
        </w:rPr>
        <w:t>For the license grants, Genmab based the stand- alone selling price on a discounted cash flow approach and considered several factors including, but not limited to, discount rate, development timeline, regulatory risks, estimated market demand and future revenue potential. For co -development activities related to up to four product concepts, a cost- plus margin approach was utilized.</w:t>
      </w:r>
    </w:p>
    <w:p>
      <w:pPr>
        <w:spacing w:after="0" w:line="201" w:lineRule="auto"/>
        <w:rPr>
          <w:sz w:val="20"/>
          <w:szCs w:val="20"/>
          <w:color w:val="auto"/>
        </w:rPr>
      </w:pPr>
      <w:r>
        <w:rPr>
          <w:rFonts w:ascii="Arial" w:cs="Arial" w:eastAsia="Arial" w:hAnsi="Arial"/>
          <w:sz w:val="10"/>
          <w:szCs w:val="10"/>
          <w:color w:val="auto"/>
        </w:rPr>
        <w:t>The performance obligations related to the delivery of licenses were completed at a point in time</w:t>
      </w:r>
    </w:p>
    <w:p>
      <w:pPr>
        <w:ind w:right="2500"/>
        <w:spacing w:after="0" w:line="198" w:lineRule="auto"/>
        <w:rPr>
          <w:sz w:val="20"/>
          <w:szCs w:val="20"/>
          <w:color w:val="auto"/>
        </w:rPr>
      </w:pPr>
      <w:r>
        <w:rPr>
          <w:rFonts w:ascii="Arial" w:cs="Arial" w:eastAsia="Arial" w:hAnsi="Arial"/>
          <w:sz w:val="10"/>
          <w:szCs w:val="10"/>
          <w:color w:val="auto"/>
        </w:rPr>
        <w:t>(June 2020) and Genmab recognized $672 million as license fee revenue in June 2020. After delivery of the licenses, Genmab shares further development and commercial costs equally with AbbVie. AbbVie is not assessed as a customer but as a collaboration partner, and as such this part of the collaboration is not in scope of IFRS 15.</w:t>
      </w:r>
    </w:p>
    <w:p>
      <w:pPr>
        <w:spacing w:after="0" w:line="1" w:lineRule="exact"/>
        <w:rPr>
          <w:rFonts w:ascii="Arial" w:cs="Arial" w:eastAsia="Arial" w:hAnsi="Arial"/>
          <w:sz w:val="10"/>
          <w:szCs w:val="10"/>
          <w:color w:val="auto"/>
        </w:rPr>
      </w:pPr>
    </w:p>
    <w:p>
      <w:pPr>
        <w:ind w:right="2900"/>
        <w:spacing w:after="0" w:line="201" w:lineRule="auto"/>
        <w:rPr>
          <w:rFonts w:ascii="Arial" w:cs="Arial" w:eastAsia="Arial" w:hAnsi="Arial"/>
          <w:sz w:val="10"/>
          <w:szCs w:val="10"/>
          <w:color w:val="691A6B"/>
        </w:rPr>
      </w:pPr>
      <w:hyperlink w:anchor="page14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3.7 </w:t>
      </w:r>
      <w:hyperlink w:anchor="page146">
        <w:r>
          <w:rPr>
            <w:rFonts w:ascii="Arial" w:cs="Arial" w:eastAsia="Arial" w:hAnsi="Arial"/>
            <w:sz w:val="10"/>
            <w:szCs w:val="10"/>
            <w:color w:val="691A6B"/>
          </w:rPr>
          <w:t>for information pertaining to the remaining performance obligation related to co-</w:t>
        </w:r>
      </w:hyperlink>
      <w:hyperlink w:anchor="page146">
        <w:r>
          <w:rPr>
            <w:rFonts w:ascii="Arial" w:cs="Arial" w:eastAsia="Arial" w:hAnsi="Arial"/>
            <w:sz w:val="10"/>
            <w:szCs w:val="10"/>
            <w:color w:val="691A6B"/>
          </w:rPr>
          <w:t>development activities for the product concepts.</w:t>
        </w:r>
      </w:hyperlink>
    </w:p>
    <w:p>
      <w:pPr>
        <w:spacing w:after="0" w:line="210" w:lineRule="auto"/>
        <w:rPr>
          <w:sz w:val="20"/>
          <w:szCs w:val="20"/>
          <w:color w:val="auto"/>
        </w:rPr>
      </w:pPr>
      <w:r>
        <w:rPr>
          <w:rFonts w:ascii="Arial" w:cs="Arial" w:eastAsia="Arial" w:hAnsi="Arial"/>
          <w:sz w:val="13"/>
          <w:szCs w:val="13"/>
          <w:b w:val="1"/>
          <w:bCs w:val="1"/>
          <w:color w:val="691A6B"/>
        </w:rPr>
        <w:t>BioNTech</w:t>
      </w:r>
    </w:p>
    <w:p>
      <w:pPr>
        <w:ind w:right="2540"/>
        <w:spacing w:after="0" w:line="198" w:lineRule="auto"/>
        <w:rPr>
          <w:sz w:val="20"/>
          <w:szCs w:val="20"/>
          <w:color w:val="auto"/>
        </w:rPr>
      </w:pPr>
      <w:r>
        <w:rPr>
          <w:rFonts w:ascii="Arial" w:cs="Arial" w:eastAsia="Arial" w:hAnsi="Arial"/>
          <w:sz w:val="10"/>
          <w:szCs w:val="10"/>
          <w:color w:val="auto"/>
        </w:rPr>
        <w:t>In May 2015, Genmab entered into an agreement with BioNTech to jointly research, develop and commercialize bispecific antibody products using Genmab’s DuoBody technology platform (“</w:t>
      </w:r>
      <w:r>
        <w:rPr>
          <w:rFonts w:ascii="Arial" w:cs="Arial" w:eastAsia="Arial" w:hAnsi="Arial"/>
          <w:sz w:val="10"/>
          <w:szCs w:val="10"/>
          <w:b w:val="1"/>
          <w:bCs w:val="1"/>
          <w:color w:val="auto"/>
        </w:rPr>
        <w:t>BioNTech</w:t>
      </w:r>
      <w:r>
        <w:rPr>
          <w:rFonts w:ascii="Arial" w:cs="Arial" w:eastAsia="Arial" w:hAnsi="Arial"/>
          <w:sz w:val="10"/>
          <w:szCs w:val="10"/>
          <w:color w:val="auto"/>
        </w:rPr>
        <w:t xml:space="preserve"> </w:t>
      </w:r>
      <w:r>
        <w:rPr>
          <w:rFonts w:ascii="Arial" w:cs="Arial" w:eastAsia="Arial" w:hAnsi="Arial"/>
          <w:sz w:val="10"/>
          <w:szCs w:val="10"/>
          <w:b w:val="1"/>
          <w:bCs w:val="1"/>
          <w:color w:val="auto"/>
        </w:rPr>
        <w:t>Agreement</w:t>
      </w:r>
      <w:r>
        <w:rPr>
          <w:rFonts w:ascii="Arial" w:cs="Arial" w:eastAsia="Arial" w:hAnsi="Arial"/>
          <w:sz w:val="10"/>
          <w:szCs w:val="10"/>
          <w:color w:val="auto"/>
        </w:rPr>
        <w:t>”). Under the terms of the BioNTech Agreement, BioNTech will provide proprietary antibodies</w:t>
      </w:r>
      <w:r>
        <w:rPr>
          <w:rFonts w:ascii="Arial" w:cs="Arial" w:eastAsia="Arial" w:hAnsi="Arial"/>
          <w:sz w:val="10"/>
          <w:szCs w:val="10"/>
          <w:b w:val="1"/>
          <w:bCs w:val="1"/>
          <w:color w:val="auto"/>
        </w:rPr>
        <w:t xml:space="preserve"> </w:t>
      </w:r>
      <w:r>
        <w:rPr>
          <w:rFonts w:ascii="Arial" w:cs="Arial" w:eastAsia="Arial" w:hAnsi="Arial"/>
          <w:sz w:val="10"/>
          <w:szCs w:val="10"/>
          <w:color w:val="auto"/>
        </w:rPr>
        <w:t>against key immunomodulatory targets, while Genmab provides proprietary antibodies and access to its DuoBody technology platform. Genmab paid an upfront fee of $10 million to BioNTech and an additional fee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w:t>
      </w:r>
    </w:p>
    <w:p>
      <w:pPr>
        <w:spacing w:after="0" w:line="2" w:lineRule="exact"/>
        <w:rPr>
          <w:rFonts w:ascii="Arial" w:cs="Arial" w:eastAsia="Arial" w:hAnsi="Arial"/>
          <w:sz w:val="10"/>
          <w:szCs w:val="10"/>
          <w:color w:val="691A6B"/>
        </w:rPr>
      </w:pPr>
    </w:p>
    <w:p>
      <w:pPr>
        <w:ind w:right="2820"/>
        <w:spacing w:after="0" w:line="198" w:lineRule="auto"/>
        <w:rPr>
          <w:sz w:val="20"/>
          <w:szCs w:val="20"/>
          <w:color w:val="auto"/>
        </w:rPr>
      </w:pPr>
      <w:r>
        <w:rPr>
          <w:rFonts w:ascii="Arial" w:cs="Arial" w:eastAsia="Arial" w:hAnsi="Arial"/>
          <w:sz w:val="10"/>
          <w:szCs w:val="10"/>
          <w:color w:val="auto"/>
        </w:rPr>
        <w:t>the other company is entitled to continue developing the product on predetermined licensing terms. The BioNTech Agreement also includes provisions which will allow the parties to opt out of joint development at key points. During July 2022, Genmab and BioNTech expanded this collaboration</w:t>
      </w:r>
    </w:p>
    <w:p>
      <w:pPr>
        <w:spacing w:after="0" w:line="1" w:lineRule="exact"/>
        <w:rPr>
          <w:rFonts w:ascii="Arial" w:cs="Arial" w:eastAsia="Arial" w:hAnsi="Arial"/>
          <w:sz w:val="10"/>
          <w:szCs w:val="10"/>
          <w:color w:val="691A6B"/>
        </w:rPr>
      </w:pPr>
    </w:p>
    <w:p>
      <w:pPr>
        <w:ind w:right="2680"/>
        <w:spacing w:after="0" w:line="198" w:lineRule="auto"/>
        <w:rPr>
          <w:sz w:val="20"/>
          <w:szCs w:val="20"/>
          <w:color w:val="auto"/>
        </w:rPr>
      </w:pPr>
      <w:r>
        <w:rPr>
          <w:rFonts w:ascii="Arial" w:cs="Arial" w:eastAsia="Arial" w:hAnsi="Arial"/>
          <w:sz w:val="10"/>
          <w:szCs w:val="10"/>
          <w:color w:val="auto"/>
        </w:rPr>
        <w:t>to include the joint research, development and commercialization of monospecific antibody candidates using Genmab’s HexaBody technology platform.</w:t>
      </w:r>
    </w:p>
    <w:p>
      <w:pPr>
        <w:spacing w:after="0" w:line="1" w:lineRule="exact"/>
        <w:rPr>
          <w:rFonts w:ascii="Arial" w:cs="Arial" w:eastAsia="Arial" w:hAnsi="Arial"/>
          <w:sz w:val="10"/>
          <w:szCs w:val="10"/>
          <w:color w:val="691A6B"/>
        </w:rPr>
      </w:pPr>
    </w:p>
    <w:p>
      <w:pPr>
        <w:ind w:right="2460"/>
        <w:spacing w:after="0" w:line="95" w:lineRule="exact"/>
        <w:rPr>
          <w:sz w:val="20"/>
          <w:szCs w:val="20"/>
          <w:color w:val="auto"/>
        </w:rPr>
      </w:pPr>
      <w:r>
        <w:rPr>
          <w:rFonts w:ascii="Arial" w:cs="Arial" w:eastAsia="Arial" w:hAnsi="Arial"/>
          <w:sz w:val="10"/>
          <w:szCs w:val="10"/>
          <w:color w:val="auto"/>
        </w:rPr>
        <w:t>Genmab and BioNTech have one investigational medicine currently in active clinical development: DuoBody -EpCAMx4 -1BB (GEN1059/BNT314). In August 2024, BioNTech opted not to participate in the further development of the acasunlimab (GEN1046) program under the parties’ existing License and Collaboration Agreement for reasons related to BioNTech’s portfolio strategy. Genmab assumed sole responsibility for the continued development and potential commercialization of acasunlimab. In the fourth quarter of 2025, Genmab announced the discontinuation of further clinical development for acasunlimab. This decision was made as part of Genmab’s strategic focus on the most value</w:t>
      </w:r>
      <w:r>
        <w:rPr>
          <w:rFonts w:ascii="MS PGothic" w:cs="MS PGothic" w:eastAsia="MS PGothic" w:hAnsi="MS PGothic"/>
          <w:sz w:val="10"/>
          <w:szCs w:val="10"/>
          <w:color w:val="auto"/>
        </w:rPr>
        <w:t>‑</w:t>
      </w:r>
      <w:r>
        <w:rPr>
          <w:rFonts w:ascii="Arial" w:cs="Arial" w:eastAsia="Arial" w:hAnsi="Arial"/>
          <w:sz w:val="10"/>
          <w:szCs w:val="10"/>
          <w:color w:val="auto"/>
        </w:rPr>
        <w:t>creating opportunities in its late</w:t>
      </w:r>
      <w:r>
        <w:rPr>
          <w:rFonts w:ascii="MS PGothic" w:cs="MS PGothic" w:eastAsia="MS PGothic" w:hAnsi="MS PGothic"/>
          <w:sz w:val="10"/>
          <w:szCs w:val="10"/>
          <w:color w:val="auto"/>
        </w:rPr>
        <w:t>‑</w:t>
      </w:r>
      <w:r>
        <w:rPr>
          <w:rFonts w:ascii="Arial" w:cs="Arial" w:eastAsia="Arial" w:hAnsi="Arial"/>
          <w:sz w:val="10"/>
          <w:szCs w:val="10"/>
          <w:color w:val="auto"/>
        </w:rPr>
        <w:t xml:space="preserve"> stage portfolio and following a thorough assessment of the evolving competitive landscape.</w:t>
      </w:r>
    </w:p>
    <w:p>
      <w:pPr>
        <w:spacing w:after="0" w:line="2" w:lineRule="exact"/>
        <w:rPr>
          <w:rFonts w:ascii="Arial" w:cs="Arial" w:eastAsia="Arial" w:hAnsi="Arial"/>
          <w:sz w:val="10"/>
          <w:szCs w:val="10"/>
          <w:color w:val="691A6B"/>
        </w:rPr>
      </w:pPr>
    </w:p>
    <w:p>
      <w:pPr>
        <w:ind w:right="2780"/>
        <w:spacing w:after="0" w:line="201" w:lineRule="auto"/>
        <w:rPr>
          <w:rFonts w:ascii="Arial" w:cs="Arial" w:eastAsia="Arial" w:hAnsi="Arial"/>
          <w:sz w:val="10"/>
          <w:szCs w:val="10"/>
          <w:color w:val="691A6B"/>
        </w:rPr>
      </w:pPr>
      <w:hyperlink w:anchor="page143">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3.1 </w:t>
      </w:r>
      <w:hyperlink w:anchor="page146">
        <w:r>
          <w:rPr>
            <w:rFonts w:ascii="Arial" w:cs="Arial" w:eastAsia="Arial" w:hAnsi="Arial"/>
            <w:sz w:val="10"/>
            <w:szCs w:val="10"/>
            <w:color w:val="691A6B"/>
          </w:rPr>
          <w:t xml:space="preserve">for information pertaining to </w:t>
        </w:r>
      </w:hyperlink>
      <w:r>
        <w:rPr>
          <w:rFonts w:ascii="Arial" w:cs="Arial" w:eastAsia="Arial" w:hAnsi="Arial"/>
          <w:sz w:val="10"/>
          <w:szCs w:val="10"/>
          <w:color w:val="691A6B"/>
        </w:rPr>
        <w:t>impairment loss associated with the discontinuation of GEN1046.</w:t>
      </w:r>
    </w:p>
    <w:p>
      <w:pPr>
        <w:spacing w:after="0" w:line="210" w:lineRule="auto"/>
        <w:rPr>
          <w:sz w:val="20"/>
          <w:szCs w:val="20"/>
          <w:color w:val="auto"/>
        </w:rPr>
      </w:pPr>
      <w:r>
        <w:rPr>
          <w:rFonts w:ascii="Arial" w:cs="Arial" w:eastAsia="Arial" w:hAnsi="Arial"/>
          <w:sz w:val="13"/>
          <w:szCs w:val="13"/>
          <w:b w:val="1"/>
          <w:bCs w:val="1"/>
          <w:color w:val="691A6B"/>
        </w:rPr>
        <w:t>Janssen (DuoBody)</w:t>
      </w:r>
    </w:p>
    <w:p>
      <w:pPr>
        <w:ind w:right="2500"/>
        <w:spacing w:after="0" w:line="198" w:lineRule="auto"/>
        <w:rPr>
          <w:sz w:val="20"/>
          <w:szCs w:val="20"/>
          <w:color w:val="auto"/>
        </w:rPr>
      </w:pPr>
      <w:r>
        <w:rPr>
          <w:rFonts w:ascii="Arial" w:cs="Arial" w:eastAsia="Arial" w:hAnsi="Arial"/>
          <w:sz w:val="10"/>
          <w:szCs w:val="10"/>
          <w:color w:val="auto"/>
        </w:rPr>
        <w:t>In July 2012, and as amended in December 2013, Genmab entered into a collaboration with J&amp;J to create and develop bispecific antibodies using our DuoBody technology platform.</w:t>
      </w:r>
    </w:p>
    <w:p>
      <w:pPr>
        <w:spacing w:after="0" w:line="1" w:lineRule="exact"/>
        <w:rPr>
          <w:sz w:val="20"/>
          <w:szCs w:val="20"/>
          <w:color w:val="auto"/>
        </w:rPr>
      </w:pPr>
    </w:p>
    <w:p>
      <w:pPr>
        <w:ind w:right="2800"/>
        <w:spacing w:after="0" w:line="198" w:lineRule="auto"/>
        <w:rPr>
          <w:sz w:val="20"/>
          <w:szCs w:val="20"/>
          <w:color w:val="auto"/>
        </w:rPr>
      </w:pPr>
      <w:r>
        <w:rPr>
          <w:rFonts w:ascii="Arial" w:cs="Arial" w:eastAsia="Arial" w:hAnsi="Arial"/>
          <w:sz w:val="10"/>
          <w:szCs w:val="10"/>
          <w:color w:val="auto"/>
        </w:rPr>
        <w:t>As of December 31, 2025, three DuoBody -based products created under this collaboration were in active clinical development and had been approved by regulatory authorities: RYBREVANT, and an</w:t>
      </w:r>
    </w:p>
    <w:p>
      <w:pPr>
        <w:spacing w:after="0" w:line="1" w:lineRule="exact"/>
        <w:rPr>
          <w:sz w:val="20"/>
          <w:szCs w:val="20"/>
          <w:color w:val="auto"/>
        </w:rPr>
      </w:pPr>
    </w:p>
    <w:p>
      <w:pPr>
        <w:ind w:right="2380"/>
        <w:spacing w:after="0" w:line="198" w:lineRule="auto"/>
        <w:rPr>
          <w:sz w:val="20"/>
          <w:szCs w:val="20"/>
          <w:color w:val="auto"/>
        </w:rPr>
      </w:pPr>
      <w:r>
        <w:rPr>
          <w:rFonts w:ascii="Arial" w:cs="Arial" w:eastAsia="Arial" w:hAnsi="Arial"/>
          <w:sz w:val="10"/>
          <w:szCs w:val="10"/>
          <w:color w:val="auto"/>
        </w:rPr>
        <w:t xml:space="preserve">SC formulation, RYBREVANT </w:t>
      </w:r>
      <w:r>
        <w:rPr>
          <w:rFonts w:ascii="Arial" w:cs="Arial" w:eastAsia="Arial" w:hAnsi="Arial"/>
          <w:sz w:val="10"/>
          <w:szCs w:val="10"/>
          <w:i w:val="1"/>
          <w:iCs w:val="1"/>
          <w:color w:val="auto"/>
        </w:rPr>
        <w:t>FASPRO</w:t>
      </w:r>
      <w:r>
        <w:rPr>
          <w:rFonts w:ascii="Arial" w:cs="Arial" w:eastAsia="Arial" w:hAnsi="Arial"/>
          <w:sz w:val="10"/>
          <w:szCs w:val="10"/>
          <w:color w:val="auto"/>
        </w:rPr>
        <w:t>, TECVAYLI and TALVEY. Under our DuoBody Agreement with J&amp;J, Genmab is eligible to receive milestones and receives royalties between 8% and 10% on net sales of RYBREVANT, with J&amp;J reducing such royalty payments for Genmab’s share of J&amp;J’s royalty payments made to Halozyme, a mid-single digit royalty on net sales of TECVAYLI, and a mid-single digit royalty</w:t>
      </w:r>
    </w:p>
    <w:p>
      <w:pPr>
        <w:spacing w:after="0" w:line="1" w:lineRule="exact"/>
        <w:rPr>
          <w:sz w:val="20"/>
          <w:szCs w:val="20"/>
          <w:color w:val="auto"/>
        </w:rPr>
      </w:pPr>
    </w:p>
    <w:p>
      <w:pPr>
        <w:ind w:right="2480"/>
        <w:spacing w:after="0" w:line="199" w:lineRule="auto"/>
        <w:rPr>
          <w:sz w:val="20"/>
          <w:szCs w:val="20"/>
          <w:color w:val="auto"/>
        </w:rPr>
      </w:pPr>
      <w:r>
        <w:rPr>
          <w:rFonts w:ascii="Arial" w:cs="Arial" w:eastAsia="Arial" w:hAnsi="Arial"/>
          <w:sz w:val="10"/>
          <w:szCs w:val="10"/>
          <w:color w:val="auto"/>
        </w:rPr>
        <w:t>on net sales of TALVEY, all of which are subject to a reduction of such royalty payment in countries and territories where there are no relevant patents (as defined in the DuoBody Agreement), among other reductions. Pursuant to the terms of the DuoBody Agreement, J&amp;J’s obligation to pay these royalties will expire on a country- by-country and licensed product-by-licensed product basis on the later of the date that is 10 years after the first sale of each licensed product in such country or upon the expiration of the last-to-expire relevant patent (as defined in the DuoBody Agreement) covering the licensed product in such country. Genmab pays a royalty to Medarex based on RYBREVANT net sales.</w:t>
      </w:r>
    </w:p>
    <w:p>
      <w:pPr>
        <w:spacing w:after="0" w:line="211" w:lineRule="auto"/>
        <w:rPr>
          <w:sz w:val="20"/>
          <w:szCs w:val="20"/>
          <w:color w:val="auto"/>
        </w:rPr>
      </w:pPr>
      <w:r>
        <w:rPr>
          <w:rFonts w:ascii="Arial" w:cs="Arial" w:eastAsia="Arial" w:hAnsi="Arial"/>
          <w:sz w:val="13"/>
          <w:szCs w:val="13"/>
          <w:b w:val="1"/>
          <w:bCs w:val="1"/>
          <w:color w:val="691A6B"/>
        </w:rPr>
        <w:t>Gilead</w:t>
      </w:r>
    </w:p>
    <w:p>
      <w:pPr>
        <w:spacing w:after="0" w:line="1" w:lineRule="exact"/>
        <w:rPr>
          <w:sz w:val="20"/>
          <w:szCs w:val="20"/>
          <w:color w:val="auto"/>
        </w:rPr>
      </w:pPr>
    </w:p>
    <w:p>
      <w:pPr>
        <w:ind w:right="2580"/>
        <w:spacing w:after="0"/>
        <w:rPr>
          <w:sz w:val="20"/>
          <w:szCs w:val="20"/>
          <w:color w:val="auto"/>
        </w:rPr>
      </w:pPr>
      <w:r>
        <w:rPr>
          <w:rFonts w:ascii="Arial" w:cs="Arial" w:eastAsia="Arial" w:hAnsi="Arial"/>
          <w:sz w:val="10"/>
          <w:szCs w:val="10"/>
          <w:color w:val="auto"/>
        </w:rPr>
        <w:t>In March 2024, prior to its acquisition by Genmab, Merus entered into a collaboration, option and license agreement with Gilead (Gilead Collaboration Agreement) to research and develop trispecific T-cell engaging antibody product candidates using Merus’ technology platform. Under the terms of the agreement, the collaboration included two preclinical research programs, with an option for Gilead to include a third program.</w:t>
      </w:r>
    </w:p>
    <w:p>
      <w:pPr>
        <w:spacing w:after="0" w:line="226"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for the Genmab Group</w:t>
      </w:r>
    </w:p>
    <w:p>
      <w:pPr>
        <w:ind w:right="2560"/>
        <w:spacing w:after="0" w:line="198" w:lineRule="auto"/>
        <w:rPr>
          <w:sz w:val="20"/>
          <w:szCs w:val="20"/>
          <w:color w:val="auto"/>
        </w:rPr>
      </w:pPr>
      <w:r>
        <w:rPr>
          <w:rFonts w:ascii="Arial" w:cs="Arial" w:eastAsia="Arial" w:hAnsi="Arial"/>
          <w:sz w:val="10"/>
          <w:szCs w:val="10"/>
          <w:color w:val="auto"/>
        </w:rPr>
        <w:t>Under the Gilead Collaboration Agreement, Merus granted Gilead a non-exclusive license and agreed to perform related research and collaboration activities during the research term. On a program-by-program basis, Gilead was granted an exclusive option to obtain an exclusive license for further development and commercialization of products arising from each program. At the acquisition date, no exclusive license options had been exercised by Gilead.</w:t>
      </w:r>
    </w:p>
    <w:p>
      <w:pPr>
        <w:spacing w:after="0" w:line="2" w:lineRule="exact"/>
        <w:rPr>
          <w:rFonts w:ascii="Arial" w:cs="Arial" w:eastAsia="Arial" w:hAnsi="Arial"/>
          <w:sz w:val="10"/>
          <w:szCs w:val="10"/>
          <w:color w:val="auto"/>
        </w:rPr>
      </w:pPr>
    </w:p>
    <w:p>
      <w:pPr>
        <w:ind w:right="2480"/>
        <w:spacing w:after="0" w:line="198" w:lineRule="auto"/>
        <w:rPr>
          <w:sz w:val="20"/>
          <w:szCs w:val="20"/>
          <w:color w:val="auto"/>
        </w:rPr>
      </w:pPr>
      <w:r>
        <w:rPr>
          <w:rFonts w:ascii="Arial" w:cs="Arial" w:eastAsia="Arial" w:hAnsi="Arial"/>
          <w:sz w:val="10"/>
          <w:szCs w:val="10"/>
          <w:color w:val="auto"/>
        </w:rPr>
        <w:t>Under the Gilead Collaboration Agreement, Merus received a non-refundable upfront payment and Genmab is eligible to receive additional consideration in the form of option exercise payments, development and commercialization milestone payments, and tiered royalties between 5% and 11% on net sales of any products successfully commercialized under the Gilead Collaboration Agreement.</w:t>
      </w:r>
    </w:p>
    <w:p>
      <w:pPr>
        <w:spacing w:after="0" w:line="210" w:lineRule="auto"/>
        <w:rPr>
          <w:rFonts w:ascii="Arial" w:cs="Arial" w:eastAsia="Arial" w:hAnsi="Arial"/>
          <w:sz w:val="10"/>
          <w:szCs w:val="10"/>
          <w:color w:val="691A6B"/>
        </w:rPr>
      </w:pPr>
      <w:hyperlink w:anchor="page14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3.7 </w:t>
      </w:r>
      <w:hyperlink w:anchor="page146">
        <w:r>
          <w:rPr>
            <w:rFonts w:ascii="Arial" w:cs="Arial" w:eastAsia="Arial" w:hAnsi="Arial"/>
            <w:sz w:val="10"/>
            <w:szCs w:val="10"/>
            <w:color w:val="691A6B"/>
          </w:rPr>
          <w:t>for information pertaining to the remaining performance obligation.</w:t>
        </w:r>
      </w:hyperlink>
    </w:p>
    <w:p>
      <w:pPr>
        <w:spacing w:after="0" w:line="209" w:lineRule="auto"/>
        <w:rPr>
          <w:sz w:val="20"/>
          <w:szCs w:val="20"/>
          <w:color w:val="auto"/>
        </w:rPr>
      </w:pPr>
      <w:r>
        <w:rPr>
          <w:rFonts w:ascii="Arial" w:cs="Arial" w:eastAsia="Arial" w:hAnsi="Arial"/>
          <w:sz w:val="15"/>
          <w:szCs w:val="15"/>
          <w:b w:val="1"/>
          <w:bCs w:val="1"/>
          <w:color w:val="691A6B"/>
        </w:rPr>
        <w:t>5.7 - Contingencies</w:t>
      </w:r>
    </w:p>
    <w:p>
      <w:pPr>
        <w:spacing w:after="0" w:line="213" w:lineRule="auto"/>
        <w:rPr>
          <w:sz w:val="20"/>
          <w:szCs w:val="20"/>
          <w:color w:val="auto"/>
        </w:rPr>
      </w:pPr>
      <w:r>
        <w:rPr>
          <w:rFonts w:ascii="Arial" w:cs="Arial" w:eastAsia="Arial" w:hAnsi="Arial"/>
          <w:sz w:val="13"/>
          <w:szCs w:val="13"/>
          <w:b w:val="1"/>
          <w:bCs w:val="1"/>
          <w:color w:val="691A6B"/>
        </w:rPr>
        <w:t>Legal Contingency</w:t>
      </w:r>
    </w:p>
    <w:p>
      <w:pPr>
        <w:spacing w:after="0" w:line="195" w:lineRule="auto"/>
        <w:rPr>
          <w:sz w:val="20"/>
          <w:szCs w:val="20"/>
          <w:color w:val="auto"/>
        </w:rPr>
      </w:pPr>
      <w:r>
        <w:rPr>
          <w:rFonts w:ascii="Arial" w:cs="Arial" w:eastAsia="Arial" w:hAnsi="Arial"/>
          <w:sz w:val="12"/>
          <w:szCs w:val="12"/>
          <w:b w:val="1"/>
          <w:bCs w:val="1"/>
          <w:color w:val="auto"/>
        </w:rPr>
        <w:t>Chugai Patent Infringement Complaint</w:t>
      </w:r>
    </w:p>
    <w:p>
      <w:pPr>
        <w:spacing w:after="0" w:line="1" w:lineRule="exact"/>
        <w:rPr>
          <w:sz w:val="20"/>
          <w:szCs w:val="20"/>
          <w:color w:val="auto"/>
        </w:rPr>
      </w:pPr>
    </w:p>
    <w:p>
      <w:pPr>
        <w:ind w:right="2480"/>
        <w:spacing w:after="0" w:line="199" w:lineRule="auto"/>
        <w:rPr>
          <w:sz w:val="20"/>
          <w:szCs w:val="20"/>
          <w:color w:val="auto"/>
        </w:rPr>
      </w:pPr>
      <w:r>
        <w:rPr>
          <w:rFonts w:ascii="Arial" w:cs="Arial" w:eastAsia="Arial" w:hAnsi="Arial"/>
          <w:sz w:val="10"/>
          <w:szCs w:val="10"/>
          <w:color w:val="auto"/>
        </w:rPr>
        <w:t>In 2024, Chugai filed a lawsuit in the Tokyo District Court in Japan against AbbVie’s and Genmab’s Japanese subsidiaries asserting that their activities with EPKINLY (epcoritamab) in Japan infringe two Japanese patents held by Chugai claiming damages and injunctive relief. In September 2025, Chugai filed two further lawsuits in the same court, against the same parties and with similar assertions, based on two newly granted Japanese patents held by Chugai which are similar to the patents from the original lawsuit. Genmab and AbbVie believe that the four Japanese patents are invalid and not infringed and intend to vigorously defend against the lawsuit, and thus no provision has been recognized related to this matter.</w:t>
      </w:r>
    </w:p>
    <w:p>
      <w:pPr>
        <w:spacing w:after="0" w:line="196" w:lineRule="auto"/>
        <w:rPr>
          <w:sz w:val="20"/>
          <w:szCs w:val="20"/>
          <w:color w:val="auto"/>
        </w:rPr>
      </w:pPr>
      <w:r>
        <w:rPr>
          <w:rFonts w:ascii="Arial" w:cs="Arial" w:eastAsia="Arial" w:hAnsi="Arial"/>
          <w:sz w:val="12"/>
          <w:szCs w:val="12"/>
          <w:b w:val="1"/>
          <w:bCs w:val="1"/>
          <w:color w:val="auto"/>
        </w:rPr>
        <w:t>AbbVie Rina-S Trade Secret Complaint</w:t>
      </w:r>
    </w:p>
    <w:p>
      <w:pPr>
        <w:ind w:right="2440"/>
        <w:spacing w:after="0" w:line="215" w:lineRule="auto"/>
        <w:rPr>
          <w:sz w:val="20"/>
          <w:szCs w:val="20"/>
          <w:color w:val="auto"/>
        </w:rPr>
      </w:pPr>
      <w:r>
        <w:rPr>
          <w:rFonts w:ascii="Arial" w:cs="Arial" w:eastAsia="Arial" w:hAnsi="Arial"/>
          <w:sz w:val="10"/>
          <w:szCs w:val="10"/>
          <w:color w:val="auto"/>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 injunctive relief. AbbVie is not asserting or enforcing any patent rights against the defendants, and to Genmab’s knowledge, AbbVie has not pursued any development of products incorporating their alleged trade secrets. During the fourth quarter of 2025, AbbVie filed a complaint with the U.S. International Trade Commission (ITC) under Section 337 of the Tariff Act against ProfoundBio US Co.; ProfoundBio (Suzhou) Co., Ltd.; Genmab A/S; Genmab B.V.; and Genmab US, Inc., seeking to exclude certain antibody drug conjugate products from importation into the United States. The district court action has since been stayed. The ITC complaint is based on allegations that are substantially similar to those asserted in the Washington district court action.</w:t>
      </w:r>
    </w:p>
    <w:p>
      <w:pPr>
        <w:spacing w:after="0" w:line="1" w:lineRule="exact"/>
        <w:rPr>
          <w:sz w:val="20"/>
          <w:szCs w:val="20"/>
          <w:color w:val="auto"/>
        </w:rPr>
      </w:pPr>
    </w:p>
    <w:p>
      <w:pPr>
        <w:ind w:right="2540"/>
        <w:spacing w:after="0" w:line="203" w:lineRule="auto"/>
        <w:rPr>
          <w:sz w:val="20"/>
          <w:szCs w:val="20"/>
          <w:color w:val="auto"/>
        </w:rPr>
      </w:pPr>
      <w:r>
        <w:rPr>
          <w:rFonts w:ascii="Arial" w:cs="Arial" w:eastAsia="Arial" w:hAnsi="Arial"/>
          <w:sz w:val="10"/>
          <w:szCs w:val="10"/>
          <w:color w:val="auto"/>
        </w:rPr>
        <w:t>Genmab categorically refutes these allegations and will vigorously defend the Company against AbbVie’s claims, and thus no provision has been recorded related to this matter.</w:t>
      </w:r>
    </w:p>
    <w:p>
      <w:pPr>
        <w:spacing w:after="0" w:line="206" w:lineRule="auto"/>
        <w:rPr>
          <w:sz w:val="20"/>
          <w:szCs w:val="20"/>
          <w:color w:val="auto"/>
        </w:rPr>
      </w:pPr>
      <w:r>
        <w:rPr>
          <w:rFonts w:ascii="Arial" w:cs="Arial" w:eastAsia="Arial" w:hAnsi="Arial"/>
          <w:sz w:val="15"/>
          <w:szCs w:val="15"/>
          <w:b w:val="1"/>
          <w:bCs w:val="1"/>
          <w:color w:val="691A6B"/>
        </w:rPr>
        <w:t>5.8 - Subsequent Events</w:t>
      </w:r>
    </w:p>
    <w:p>
      <w:pPr>
        <w:ind w:right="2940"/>
        <w:spacing w:after="0" w:line="231" w:lineRule="auto"/>
        <w:rPr>
          <w:sz w:val="20"/>
          <w:szCs w:val="20"/>
          <w:color w:val="auto"/>
        </w:rPr>
      </w:pPr>
      <w:r>
        <w:rPr>
          <w:rFonts w:ascii="Arial" w:cs="Arial" w:eastAsia="Arial" w:hAnsi="Arial"/>
          <w:sz w:val="10"/>
          <w:szCs w:val="10"/>
          <w:color w:val="auto"/>
        </w:rPr>
        <w:t>No events have occurred subsequent to the balance sheet date that could significantly affect the consolidated financial statements as of December 31, 2025.</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156</w:t>
      </w:r>
    </w:p>
    <w:p>
      <w:pPr>
        <w:sectPr>
          <w:pgSz w:w="11900" w:h="16840" w:orient="portrait"/>
          <w:cols w:equalWidth="0" w:num="2">
            <w:col w:w="7400" w:space="720"/>
            <w:col w:w="1700"/>
          </w:cols>
          <w:pgMar w:left="640" w:top="571" w:right="1440" w:bottom="1440" w:gutter="0" w:footer="0" w:header="0"/>
        </w:sectPr>
      </w:pPr>
    </w:p>
    <w:bookmarkStart w:id="159" w:name="page160"/>
    <w:bookmarkEnd w:id="159"/>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0" w:name="page161"/>
    <w:bookmarkEnd w:id="160"/>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4792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7"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Financial Statements of the Parent Company</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71170" cy="6832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471170" cy="683260"/>
                    </a:xfrm>
                    <a:prstGeom prst="rect">
                      <a:avLst/>
                    </a:prstGeom>
                    <a:noFill/>
                  </pic:spPr>
                </pic:pic>
              </a:graphicData>
            </a:graphic>
          </wp:anchor>
        </w:drawing>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70" w:lineRule="exact"/>
        <w:rPr>
          <w:rFonts w:ascii="Arial" w:cs="Arial" w:eastAsia="Arial" w:hAnsi="Arial"/>
          <w:sz w:val="10"/>
          <w:szCs w:val="10"/>
          <w:color w:val="auto"/>
        </w:rPr>
      </w:pPr>
    </w:p>
    <w:p>
      <w:pPr>
        <w:ind w:right="2700"/>
        <w:spacing w:after="0" w:line="235" w:lineRule="auto"/>
        <w:rPr>
          <w:sz w:val="20"/>
          <w:szCs w:val="20"/>
          <w:color w:val="auto"/>
        </w:rPr>
      </w:pPr>
      <w:r>
        <w:rPr>
          <w:rFonts w:ascii="Arial" w:cs="Arial" w:eastAsia="Arial" w:hAnsi="Arial"/>
          <w:sz w:val="31"/>
          <w:szCs w:val="31"/>
          <w:color w:val="691A6B"/>
        </w:rPr>
        <w:t>Notes to the Financial Statements of the Parent Company</w:t>
      </w:r>
    </w:p>
    <w:p>
      <w:pPr>
        <w:spacing w:after="0" w:line="208" w:lineRule="auto"/>
        <w:rPr>
          <w:sz w:val="20"/>
          <w:szCs w:val="20"/>
          <w:color w:val="auto"/>
        </w:rPr>
      </w:pPr>
      <w:r>
        <w:rPr>
          <w:rFonts w:ascii="Arial" w:cs="Arial" w:eastAsia="Arial" w:hAnsi="Arial"/>
          <w:sz w:val="15"/>
          <w:szCs w:val="15"/>
          <w:b w:val="1"/>
          <w:bCs w:val="1"/>
          <w:color w:val="691A6B"/>
        </w:rPr>
        <w:t>1.1 - Accounting Policies</w:t>
      </w:r>
    </w:p>
    <w:p>
      <w:pPr>
        <w:spacing w:after="0" w:line="199" w:lineRule="auto"/>
        <w:rPr>
          <w:sz w:val="20"/>
          <w:szCs w:val="20"/>
          <w:color w:val="auto"/>
        </w:rPr>
      </w:pPr>
      <w:r>
        <w:rPr>
          <w:rFonts w:ascii="Arial" w:cs="Arial" w:eastAsia="Arial" w:hAnsi="Arial"/>
          <w:sz w:val="10"/>
          <w:szCs w:val="10"/>
          <w:color w:val="auto"/>
        </w:rPr>
        <w:t>The financial statements of the parent company</w:t>
      </w:r>
    </w:p>
    <w:p>
      <w:pPr>
        <w:spacing w:after="0" w:line="198" w:lineRule="auto"/>
        <w:rPr>
          <w:sz w:val="20"/>
          <w:szCs w:val="20"/>
          <w:color w:val="auto"/>
        </w:rPr>
      </w:pPr>
      <w:r>
        <w:rPr>
          <w:rFonts w:ascii="Arial" w:cs="Arial" w:eastAsia="Arial" w:hAnsi="Arial"/>
          <w:sz w:val="10"/>
          <w:szCs w:val="10"/>
          <w:color w:val="auto"/>
        </w:rPr>
        <w:t>have been prepared in accordance with the</w:t>
      </w:r>
    </w:p>
    <w:p>
      <w:pPr>
        <w:spacing w:after="0" w:line="199" w:lineRule="auto"/>
        <w:rPr>
          <w:sz w:val="20"/>
          <w:szCs w:val="20"/>
          <w:color w:val="auto"/>
        </w:rPr>
      </w:pPr>
      <w:r>
        <w:rPr>
          <w:rFonts w:ascii="Arial" w:cs="Arial" w:eastAsia="Arial" w:hAnsi="Arial"/>
          <w:sz w:val="10"/>
          <w:szCs w:val="10"/>
          <w:color w:val="auto"/>
        </w:rPr>
        <w:t>IFRS Accounting Standards as issued by the</w:t>
      </w:r>
    </w:p>
    <w:p>
      <w:pPr>
        <w:spacing w:after="0" w:line="199" w:lineRule="auto"/>
        <w:rPr>
          <w:sz w:val="20"/>
          <w:szCs w:val="20"/>
          <w:color w:val="auto"/>
        </w:rPr>
      </w:pPr>
      <w:r>
        <w:rPr>
          <w:rFonts w:ascii="Arial" w:cs="Arial" w:eastAsia="Arial" w:hAnsi="Arial"/>
          <w:sz w:val="10"/>
          <w:szCs w:val="10"/>
          <w:color w:val="auto"/>
        </w:rPr>
        <w:t>International Accounting Standards Board (IASB)</w:t>
      </w:r>
    </w:p>
    <w:p>
      <w:pPr>
        <w:spacing w:after="0" w:line="198" w:lineRule="auto"/>
        <w:rPr>
          <w:sz w:val="20"/>
          <w:szCs w:val="20"/>
          <w:color w:val="auto"/>
        </w:rPr>
      </w:pPr>
      <w:r>
        <w:rPr>
          <w:rFonts w:ascii="Arial" w:cs="Arial" w:eastAsia="Arial" w:hAnsi="Arial"/>
          <w:sz w:val="10"/>
          <w:szCs w:val="10"/>
          <w:color w:val="auto"/>
        </w:rPr>
        <w:t>and in accordance with IFRS as endorsed by the</w:t>
      </w:r>
    </w:p>
    <w:p>
      <w:pPr>
        <w:spacing w:after="0" w:line="199" w:lineRule="auto"/>
        <w:rPr>
          <w:sz w:val="20"/>
          <w:szCs w:val="20"/>
          <w:color w:val="auto"/>
        </w:rPr>
      </w:pPr>
      <w:r>
        <w:rPr>
          <w:rFonts w:ascii="Arial" w:cs="Arial" w:eastAsia="Arial" w:hAnsi="Arial"/>
          <w:sz w:val="10"/>
          <w:szCs w:val="10"/>
          <w:color w:val="auto"/>
        </w:rPr>
        <w:t>EU and further disclosure requirements for listed</w:t>
      </w:r>
    </w:p>
    <w:p>
      <w:pPr>
        <w:spacing w:after="0" w:line="199" w:lineRule="auto"/>
        <w:rPr>
          <w:sz w:val="20"/>
          <w:szCs w:val="20"/>
          <w:color w:val="auto"/>
        </w:rPr>
      </w:pPr>
      <w:r>
        <w:rPr>
          <w:rFonts w:ascii="Arial" w:cs="Arial" w:eastAsia="Arial" w:hAnsi="Arial"/>
          <w:sz w:val="10"/>
          <w:szCs w:val="10"/>
          <w:color w:val="auto"/>
        </w:rPr>
        <w:t>companies in Denmark.</w:t>
      </w:r>
    </w:p>
    <w:p>
      <w:pPr>
        <w:spacing w:after="0" w:line="198" w:lineRule="auto"/>
        <w:rPr>
          <w:sz w:val="20"/>
          <w:szCs w:val="20"/>
          <w:color w:val="auto"/>
        </w:rPr>
      </w:pPr>
      <w:r>
        <w:rPr>
          <w:rFonts w:ascii="Arial" w:cs="Arial" w:eastAsia="Arial" w:hAnsi="Arial"/>
          <w:sz w:val="10"/>
          <w:szCs w:val="10"/>
          <w:color w:val="auto"/>
        </w:rPr>
        <w:t>A number of new or amended standards</w:t>
      </w:r>
    </w:p>
    <w:p>
      <w:pPr>
        <w:spacing w:after="0" w:line="199" w:lineRule="auto"/>
        <w:rPr>
          <w:sz w:val="20"/>
          <w:szCs w:val="20"/>
          <w:color w:val="auto"/>
        </w:rPr>
      </w:pPr>
      <w:r>
        <w:rPr>
          <w:rFonts w:ascii="Arial" w:cs="Arial" w:eastAsia="Arial" w:hAnsi="Arial"/>
          <w:sz w:val="10"/>
          <w:szCs w:val="10"/>
          <w:color w:val="auto"/>
        </w:rPr>
        <w:t>became applicable for the current reporting period.</w:t>
      </w:r>
    </w:p>
    <w:p>
      <w:pPr>
        <w:spacing w:after="0" w:line="198" w:lineRule="auto"/>
        <w:rPr>
          <w:sz w:val="20"/>
          <w:szCs w:val="20"/>
          <w:color w:val="auto"/>
        </w:rPr>
      </w:pPr>
      <w:r>
        <w:rPr>
          <w:rFonts w:ascii="Arial" w:cs="Arial" w:eastAsia="Arial" w:hAnsi="Arial"/>
          <w:sz w:val="10"/>
          <w:szCs w:val="10"/>
          <w:color w:val="auto"/>
        </w:rPr>
        <w:t>Genmab A/S did not have to change its accounting</w:t>
      </w:r>
    </w:p>
    <w:p>
      <w:pPr>
        <w:spacing w:after="0" w:line="199" w:lineRule="auto"/>
        <w:rPr>
          <w:sz w:val="20"/>
          <w:szCs w:val="20"/>
          <w:color w:val="auto"/>
        </w:rPr>
      </w:pPr>
      <w:r>
        <w:rPr>
          <w:rFonts w:ascii="Arial" w:cs="Arial" w:eastAsia="Arial" w:hAnsi="Arial"/>
          <w:sz w:val="10"/>
          <w:szCs w:val="10"/>
          <w:color w:val="auto"/>
        </w:rPr>
        <w:t>policies as a result of the adoption of these</w:t>
      </w:r>
    </w:p>
    <w:p>
      <w:pPr>
        <w:spacing w:after="0" w:line="199" w:lineRule="auto"/>
        <w:rPr>
          <w:sz w:val="20"/>
          <w:szCs w:val="20"/>
          <w:color w:val="auto"/>
        </w:rPr>
      </w:pPr>
      <w:r>
        <w:rPr>
          <w:rFonts w:ascii="Arial" w:cs="Arial" w:eastAsia="Arial" w:hAnsi="Arial"/>
          <w:sz w:val="10"/>
          <w:szCs w:val="10"/>
          <w:color w:val="auto"/>
        </w:rPr>
        <w:t>standards.</w:t>
      </w:r>
    </w:p>
    <w:p>
      <w:pPr>
        <w:spacing w:after="0" w:line="198" w:lineRule="auto"/>
        <w:rPr>
          <w:sz w:val="20"/>
          <w:szCs w:val="20"/>
          <w:color w:val="auto"/>
        </w:rPr>
      </w:pPr>
      <w:r>
        <w:rPr>
          <w:rFonts w:ascii="Arial" w:cs="Arial" w:eastAsia="Arial" w:hAnsi="Arial"/>
          <w:sz w:val="10"/>
          <w:szCs w:val="10"/>
          <w:color w:val="auto"/>
        </w:rPr>
        <w:t>(In all accompanying tables, amounts of dollars are</w:t>
      </w:r>
    </w:p>
    <w:p>
      <w:pPr>
        <w:spacing w:after="0" w:line="199" w:lineRule="auto"/>
        <w:rPr>
          <w:sz w:val="20"/>
          <w:szCs w:val="20"/>
          <w:color w:val="auto"/>
        </w:rPr>
      </w:pPr>
      <w:r>
        <w:rPr>
          <w:rFonts w:ascii="Arial" w:cs="Arial" w:eastAsia="Arial" w:hAnsi="Arial"/>
          <w:sz w:val="10"/>
          <w:szCs w:val="10"/>
          <w:color w:val="auto"/>
        </w:rPr>
        <w:t>expressed in millions, except per share amounts,</w:t>
      </w:r>
    </w:p>
    <w:p>
      <w:pPr>
        <w:spacing w:after="0" w:line="199" w:lineRule="auto"/>
        <w:rPr>
          <w:sz w:val="20"/>
          <w:szCs w:val="20"/>
          <w:color w:val="auto"/>
        </w:rPr>
      </w:pPr>
      <w:r>
        <w:rPr>
          <w:rFonts w:ascii="Arial" w:cs="Arial" w:eastAsia="Arial" w:hAnsi="Arial"/>
          <w:sz w:val="10"/>
          <w:szCs w:val="10"/>
          <w:color w:val="auto"/>
        </w:rPr>
        <w:t>unless otherwise noted).</w:t>
      </w:r>
    </w:p>
    <w:p>
      <w:pPr>
        <w:spacing w:after="0" w:line="198" w:lineRule="auto"/>
        <w:rPr>
          <w:rFonts w:ascii="Arial" w:cs="Arial" w:eastAsia="Arial" w:hAnsi="Arial"/>
          <w:sz w:val="10"/>
          <w:szCs w:val="10"/>
          <w:color w:val="691A6B"/>
        </w:rPr>
      </w:pPr>
      <w:hyperlink w:anchor="page139">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1.2 </w:t>
      </w:r>
      <w:hyperlink w:anchor="page139">
        <w:r>
          <w:rPr>
            <w:rFonts w:ascii="Arial" w:cs="Arial" w:eastAsia="Arial" w:hAnsi="Arial"/>
            <w:sz w:val="10"/>
            <w:szCs w:val="10"/>
            <w:color w:val="691A6B"/>
          </w:rPr>
          <w:t>in the consolidated financial</w:t>
        </w:r>
      </w:hyperlink>
    </w:p>
    <w:p>
      <w:pPr>
        <w:spacing w:after="0" w:line="199" w:lineRule="auto"/>
        <w:rPr>
          <w:rFonts w:ascii="Arial" w:cs="Arial" w:eastAsia="Arial" w:hAnsi="Arial"/>
          <w:sz w:val="10"/>
          <w:szCs w:val="10"/>
          <w:color w:val="691A6B"/>
        </w:rPr>
      </w:pPr>
      <w:hyperlink w:anchor="page139">
        <w:r>
          <w:rPr>
            <w:rFonts w:ascii="Arial" w:cs="Arial" w:eastAsia="Arial" w:hAnsi="Arial"/>
            <w:sz w:val="10"/>
            <w:szCs w:val="10"/>
            <w:color w:val="691A6B"/>
          </w:rPr>
          <w:t>statements for a description of new accounting</w:t>
        </w:r>
      </w:hyperlink>
    </w:p>
    <w:p>
      <w:pPr>
        <w:spacing w:after="0" w:line="199" w:lineRule="auto"/>
        <w:rPr>
          <w:rFonts w:ascii="Arial" w:cs="Arial" w:eastAsia="Arial" w:hAnsi="Arial"/>
          <w:sz w:val="10"/>
          <w:szCs w:val="10"/>
          <w:color w:val="691A6B"/>
        </w:rPr>
      </w:pPr>
      <w:hyperlink w:anchor="page139">
        <w:r>
          <w:rPr>
            <w:rFonts w:ascii="Arial" w:cs="Arial" w:eastAsia="Arial" w:hAnsi="Arial"/>
            <w:sz w:val="10"/>
            <w:szCs w:val="10"/>
            <w:color w:val="691A6B"/>
          </w:rPr>
          <w:t>policies and disclosures of the Group.</w:t>
        </w:r>
      </w:hyperlink>
    </w:p>
    <w:p>
      <w:pPr>
        <w:spacing w:after="0" w:line="198" w:lineRule="auto"/>
        <w:rPr>
          <w:rFonts w:ascii="Arial" w:cs="Arial" w:eastAsia="Arial" w:hAnsi="Arial"/>
          <w:sz w:val="10"/>
          <w:szCs w:val="10"/>
          <w:color w:val="691A6B"/>
        </w:rPr>
      </w:pPr>
      <w:hyperlink w:anchor="page139">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1.3 </w:t>
      </w:r>
      <w:hyperlink w:anchor="page139">
        <w:r>
          <w:rPr>
            <w:rFonts w:ascii="Arial" w:cs="Arial" w:eastAsia="Arial" w:hAnsi="Arial"/>
            <w:sz w:val="10"/>
            <w:szCs w:val="10"/>
            <w:color w:val="691A6B"/>
          </w:rPr>
          <w:t>in the consolidated financial</w:t>
        </w:r>
      </w:hyperlink>
    </w:p>
    <w:p>
      <w:pPr>
        <w:spacing w:after="0" w:line="199" w:lineRule="auto"/>
        <w:rPr>
          <w:rFonts w:ascii="Arial" w:cs="Arial" w:eastAsia="Arial" w:hAnsi="Arial"/>
          <w:sz w:val="10"/>
          <w:szCs w:val="10"/>
          <w:color w:val="691A6B"/>
        </w:rPr>
      </w:pPr>
      <w:hyperlink w:anchor="page139">
        <w:r>
          <w:rPr>
            <w:rFonts w:ascii="Arial" w:cs="Arial" w:eastAsia="Arial" w:hAnsi="Arial"/>
            <w:sz w:val="10"/>
            <w:szCs w:val="10"/>
            <w:color w:val="691A6B"/>
          </w:rPr>
          <w:t>statements for a description of Management’s</w:t>
        </w:r>
      </w:hyperlink>
    </w:p>
    <w:p>
      <w:pPr>
        <w:spacing w:after="0" w:line="199" w:lineRule="auto"/>
        <w:rPr>
          <w:rFonts w:ascii="Arial" w:cs="Arial" w:eastAsia="Arial" w:hAnsi="Arial"/>
          <w:sz w:val="10"/>
          <w:szCs w:val="10"/>
          <w:color w:val="691A6B"/>
        </w:rPr>
      </w:pPr>
      <w:hyperlink w:anchor="page139">
        <w:r>
          <w:rPr>
            <w:rFonts w:ascii="Arial" w:cs="Arial" w:eastAsia="Arial" w:hAnsi="Arial"/>
            <w:sz w:val="10"/>
            <w:szCs w:val="10"/>
            <w:color w:val="691A6B"/>
          </w:rPr>
          <w:t>judgements and estimates under IFRS.</w:t>
        </w:r>
      </w:hyperlink>
    </w:p>
    <w:p>
      <w:pPr>
        <w:spacing w:after="0" w:line="198" w:lineRule="auto"/>
        <w:rPr>
          <w:rFonts w:ascii="Arial" w:cs="Arial" w:eastAsia="Arial" w:hAnsi="Arial"/>
          <w:sz w:val="10"/>
          <w:szCs w:val="10"/>
          <w:color w:val="691A6B"/>
        </w:rPr>
      </w:pPr>
      <w:hyperlink w:anchor="page140">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1.4 </w:t>
      </w:r>
      <w:hyperlink w:anchor="page140">
        <w:r>
          <w:rPr>
            <w:rFonts w:ascii="Arial" w:cs="Arial" w:eastAsia="Arial" w:hAnsi="Arial"/>
            <w:sz w:val="10"/>
            <w:szCs w:val="10"/>
            <w:color w:val="691A6B"/>
          </w:rPr>
          <w:t>in the consolidated financial</w:t>
        </w:r>
      </w:hyperlink>
    </w:p>
    <w:p>
      <w:pPr>
        <w:spacing w:after="0" w:line="199" w:lineRule="auto"/>
        <w:rPr>
          <w:rFonts w:ascii="Arial" w:cs="Arial" w:eastAsia="Arial" w:hAnsi="Arial"/>
          <w:sz w:val="10"/>
          <w:szCs w:val="10"/>
          <w:color w:val="691A6B"/>
        </w:rPr>
      </w:pPr>
      <w:hyperlink w:anchor="page140">
        <w:r>
          <w:rPr>
            <w:rFonts w:ascii="Arial" w:cs="Arial" w:eastAsia="Arial" w:hAnsi="Arial"/>
            <w:sz w:val="10"/>
            <w:szCs w:val="10"/>
            <w:color w:val="691A6B"/>
          </w:rPr>
          <w:t>statements for additional information regarding the</w:t>
        </w:r>
      </w:hyperlink>
    </w:p>
    <w:p>
      <w:pPr>
        <w:spacing w:after="0" w:line="204" w:lineRule="auto"/>
        <w:rPr>
          <w:rFonts w:ascii="Arial" w:cs="Arial" w:eastAsia="Arial" w:hAnsi="Arial"/>
          <w:sz w:val="10"/>
          <w:szCs w:val="10"/>
          <w:color w:val="691A6B"/>
        </w:rPr>
      </w:pPr>
      <w:hyperlink w:anchor="page140">
        <w:r>
          <w:rPr>
            <w:rFonts w:ascii="Arial" w:cs="Arial" w:eastAsia="Arial" w:hAnsi="Arial"/>
            <w:sz w:val="10"/>
            <w:szCs w:val="10"/>
            <w:color w:val="691A6B"/>
          </w:rPr>
          <w:t>reclassifications of the Group financial statements.</w:t>
        </w:r>
      </w:hyperlink>
    </w:p>
    <w:p>
      <w:pPr>
        <w:spacing w:after="0" w:line="214" w:lineRule="auto"/>
        <w:rPr>
          <w:sz w:val="20"/>
          <w:szCs w:val="20"/>
          <w:color w:val="auto"/>
        </w:rPr>
      </w:pPr>
      <w:r>
        <w:rPr>
          <w:rFonts w:ascii="Arial" w:cs="Arial" w:eastAsia="Arial" w:hAnsi="Arial"/>
          <w:sz w:val="13"/>
          <w:szCs w:val="13"/>
          <w:b w:val="1"/>
          <w:bCs w:val="1"/>
          <w:color w:val="691A6B"/>
        </w:rPr>
        <w:t>Supplementary Accounting Policies</w:t>
      </w:r>
    </w:p>
    <w:p>
      <w:pPr>
        <w:spacing w:after="0" w:line="212" w:lineRule="auto"/>
        <w:rPr>
          <w:sz w:val="20"/>
          <w:szCs w:val="20"/>
          <w:color w:val="auto"/>
        </w:rPr>
      </w:pPr>
      <w:r>
        <w:rPr>
          <w:rFonts w:ascii="Arial" w:cs="Arial" w:eastAsia="Arial" w:hAnsi="Arial"/>
          <w:sz w:val="13"/>
          <w:szCs w:val="13"/>
          <w:b w:val="1"/>
          <w:bCs w:val="1"/>
          <w:color w:val="691A6B"/>
        </w:rPr>
        <w:t>for the Parent Company</w:t>
      </w:r>
    </w:p>
    <w:p>
      <w:pPr>
        <w:spacing w:after="0" w:line="196" w:lineRule="auto"/>
        <w:rPr>
          <w:sz w:val="20"/>
          <w:szCs w:val="20"/>
          <w:color w:val="auto"/>
        </w:rPr>
      </w:pPr>
      <w:r>
        <w:rPr>
          <w:rFonts w:ascii="Arial" w:cs="Arial" w:eastAsia="Arial" w:hAnsi="Arial"/>
          <w:sz w:val="12"/>
          <w:szCs w:val="12"/>
          <w:b w:val="1"/>
          <w:bCs w:val="1"/>
          <w:color w:val="auto"/>
        </w:rPr>
        <w:t>Investments in Subsidiaries</w:t>
      </w:r>
    </w:p>
    <w:p>
      <w:pPr>
        <w:spacing w:after="0" w:line="199" w:lineRule="auto"/>
        <w:rPr>
          <w:sz w:val="20"/>
          <w:szCs w:val="20"/>
          <w:color w:val="auto"/>
        </w:rPr>
      </w:pPr>
      <w:r>
        <w:rPr>
          <w:rFonts w:ascii="Arial" w:cs="Arial" w:eastAsia="Arial" w:hAnsi="Arial"/>
          <w:sz w:val="10"/>
          <w:szCs w:val="10"/>
          <w:color w:val="auto"/>
        </w:rPr>
        <w:t>The cost method is used for measuring the</w:t>
      </w:r>
    </w:p>
    <w:p>
      <w:pPr>
        <w:spacing w:after="0" w:line="198" w:lineRule="auto"/>
        <w:rPr>
          <w:sz w:val="20"/>
          <w:szCs w:val="20"/>
          <w:color w:val="auto"/>
        </w:rPr>
      </w:pPr>
      <w:r>
        <w:rPr>
          <w:rFonts w:ascii="Arial" w:cs="Arial" w:eastAsia="Arial" w:hAnsi="Arial"/>
          <w:sz w:val="10"/>
          <w:szCs w:val="10"/>
          <w:color w:val="auto"/>
        </w:rPr>
        <w:t>investments in subsidiaries. Under the cost method,</w:t>
      </w:r>
    </w:p>
    <w:p>
      <w:pPr>
        <w:spacing w:after="0" w:line="199" w:lineRule="auto"/>
        <w:rPr>
          <w:sz w:val="20"/>
          <w:szCs w:val="20"/>
          <w:color w:val="auto"/>
        </w:rPr>
      </w:pPr>
      <w:r>
        <w:rPr>
          <w:rFonts w:ascii="Arial" w:cs="Arial" w:eastAsia="Arial" w:hAnsi="Arial"/>
          <w:sz w:val="10"/>
          <w:szCs w:val="10"/>
          <w:color w:val="auto"/>
        </w:rPr>
        <w:t>investments in subsidiaries are measured at</w:t>
      </w:r>
    </w:p>
    <w:p>
      <w:pPr>
        <w:spacing w:after="0" w:line="199" w:lineRule="auto"/>
        <w:rPr>
          <w:sz w:val="20"/>
          <w:szCs w:val="20"/>
          <w:color w:val="auto"/>
        </w:rPr>
      </w:pPr>
      <w:r>
        <w:rPr>
          <w:rFonts w:ascii="Arial" w:cs="Arial" w:eastAsia="Arial" w:hAnsi="Arial"/>
          <w:sz w:val="10"/>
          <w:szCs w:val="10"/>
          <w:color w:val="auto"/>
        </w:rPr>
        <w:t>historical cost. Equity interests in foreign currencies</w:t>
      </w:r>
    </w:p>
    <w:p>
      <w:pPr>
        <w:spacing w:after="0" w:line="198" w:lineRule="auto"/>
        <w:rPr>
          <w:sz w:val="20"/>
          <w:szCs w:val="20"/>
          <w:color w:val="auto"/>
        </w:rPr>
      </w:pPr>
      <w:r>
        <w:rPr>
          <w:rFonts w:ascii="Arial" w:cs="Arial" w:eastAsia="Arial" w:hAnsi="Arial"/>
          <w:sz w:val="10"/>
          <w:szCs w:val="10"/>
          <w:color w:val="auto"/>
        </w:rPr>
        <w:t>are translated to the reporting currency by use of</w:t>
      </w:r>
    </w:p>
    <w:p>
      <w:pPr>
        <w:spacing w:after="0" w:line="199" w:lineRule="auto"/>
        <w:rPr>
          <w:sz w:val="20"/>
          <w:szCs w:val="20"/>
          <w:color w:val="auto"/>
        </w:rPr>
      </w:pPr>
      <w:r>
        <w:rPr>
          <w:rFonts w:ascii="Arial" w:cs="Arial" w:eastAsia="Arial" w:hAnsi="Arial"/>
          <w:sz w:val="10"/>
          <w:szCs w:val="10"/>
          <w:color w:val="auto"/>
        </w:rPr>
        <w:t>historical exchange rates prevailing at the time of</w:t>
      </w:r>
    </w:p>
    <w:p>
      <w:pPr>
        <w:spacing w:after="0" w:line="198" w:lineRule="auto"/>
        <w:rPr>
          <w:sz w:val="20"/>
          <w:szCs w:val="20"/>
          <w:color w:val="auto"/>
        </w:rPr>
      </w:pPr>
      <w:r>
        <w:rPr>
          <w:rFonts w:ascii="Arial" w:cs="Arial" w:eastAsia="Arial" w:hAnsi="Arial"/>
          <w:sz w:val="10"/>
          <w:szCs w:val="10"/>
          <w:color w:val="auto"/>
        </w:rPr>
        <w:t>investment.</w:t>
      </w:r>
    </w:p>
    <w:p>
      <w:pPr>
        <w:spacing w:after="0" w:line="199" w:lineRule="auto"/>
        <w:rPr>
          <w:sz w:val="20"/>
          <w:szCs w:val="20"/>
          <w:color w:val="auto"/>
        </w:rPr>
      </w:pPr>
      <w:r>
        <w:rPr>
          <w:rFonts w:ascii="Arial" w:cs="Arial" w:eastAsia="Arial" w:hAnsi="Arial"/>
          <w:sz w:val="10"/>
          <w:szCs w:val="10"/>
          <w:color w:val="auto"/>
        </w:rPr>
        <w:t>Additions to the carrying value of investment</w:t>
      </w:r>
    </w:p>
    <w:p>
      <w:pPr>
        <w:spacing w:after="0" w:line="199" w:lineRule="auto"/>
        <w:rPr>
          <w:sz w:val="20"/>
          <w:szCs w:val="20"/>
          <w:color w:val="auto"/>
        </w:rPr>
      </w:pPr>
      <w:r>
        <w:rPr>
          <w:rFonts w:ascii="Arial" w:cs="Arial" w:eastAsia="Arial" w:hAnsi="Arial"/>
          <w:sz w:val="10"/>
          <w:szCs w:val="10"/>
          <w:color w:val="auto"/>
        </w:rPr>
        <w:t>in subsidiaries include capital contributions</w:t>
      </w:r>
    </w:p>
    <w:p>
      <w:pPr>
        <w:spacing w:after="0" w:line="198" w:lineRule="auto"/>
        <w:rPr>
          <w:sz w:val="20"/>
          <w:szCs w:val="20"/>
          <w:color w:val="auto"/>
        </w:rPr>
      </w:pPr>
      <w:r>
        <w:rPr>
          <w:rFonts w:ascii="Arial" w:cs="Arial" w:eastAsia="Arial" w:hAnsi="Arial"/>
          <w:sz w:val="10"/>
          <w:szCs w:val="10"/>
          <w:color w:val="auto"/>
        </w:rPr>
        <w:t>made by the parent and share-based payment</w:t>
      </w:r>
    </w:p>
    <w:p>
      <w:pPr>
        <w:spacing w:after="0" w:line="199" w:lineRule="auto"/>
        <w:rPr>
          <w:sz w:val="20"/>
          <w:szCs w:val="20"/>
          <w:color w:val="auto"/>
        </w:rPr>
      </w:pPr>
      <w:r>
        <w:rPr>
          <w:rFonts w:ascii="Arial" w:cs="Arial" w:eastAsia="Arial" w:hAnsi="Arial"/>
          <w:sz w:val="10"/>
          <w:szCs w:val="10"/>
          <w:color w:val="auto"/>
        </w:rPr>
        <w:t>transactions related to employees of the respective</w:t>
      </w:r>
    </w:p>
    <w:p>
      <w:pPr>
        <w:spacing w:after="0" w:line="199" w:lineRule="auto"/>
        <w:rPr>
          <w:sz w:val="20"/>
          <w:szCs w:val="20"/>
          <w:color w:val="auto"/>
        </w:rPr>
      </w:pPr>
      <w:r>
        <w:rPr>
          <w:rFonts w:ascii="Arial" w:cs="Arial" w:eastAsia="Arial" w:hAnsi="Arial"/>
          <w:sz w:val="10"/>
          <w:szCs w:val="10"/>
          <w:color w:val="auto"/>
        </w:rPr>
        <w:t>subsidiaries based on where the employee has</w:t>
      </w:r>
    </w:p>
    <w:p>
      <w:pPr>
        <w:spacing w:after="0" w:line="198" w:lineRule="auto"/>
        <w:rPr>
          <w:sz w:val="20"/>
          <w:szCs w:val="20"/>
          <w:color w:val="auto"/>
        </w:rPr>
      </w:pPr>
      <w:r>
        <w:rPr>
          <w:rFonts w:ascii="Arial" w:cs="Arial" w:eastAsia="Arial" w:hAnsi="Arial"/>
          <w:sz w:val="10"/>
          <w:szCs w:val="10"/>
          <w:color w:val="auto"/>
        </w:rPr>
        <w:t>rendered service.</w:t>
      </w:r>
    </w:p>
    <w:p>
      <w:pPr>
        <w:spacing w:after="0" w:line="199" w:lineRule="auto"/>
        <w:rPr>
          <w:sz w:val="20"/>
          <w:szCs w:val="20"/>
          <w:color w:val="auto"/>
        </w:rPr>
      </w:pPr>
      <w:r>
        <w:rPr>
          <w:rFonts w:ascii="Arial" w:cs="Arial" w:eastAsia="Arial" w:hAnsi="Arial"/>
          <w:sz w:val="10"/>
          <w:szCs w:val="10"/>
          <w:color w:val="auto"/>
        </w:rPr>
        <w:t>Distributions from the investment are recognized as</w:t>
      </w:r>
    </w:p>
    <w:p>
      <w:pPr>
        <w:spacing w:after="0" w:line="199" w:lineRule="auto"/>
        <w:rPr>
          <w:sz w:val="20"/>
          <w:szCs w:val="20"/>
          <w:color w:val="auto"/>
        </w:rPr>
      </w:pPr>
      <w:r>
        <w:rPr>
          <w:rFonts w:ascii="Arial" w:cs="Arial" w:eastAsia="Arial" w:hAnsi="Arial"/>
          <w:sz w:val="10"/>
          <w:szCs w:val="10"/>
          <w:color w:val="auto"/>
        </w:rPr>
        <w:t>income when declared, if any. If the distribution</w:t>
      </w:r>
    </w:p>
    <w:p>
      <w:pPr>
        <w:spacing w:after="0" w:line="198" w:lineRule="auto"/>
        <w:rPr>
          <w:sz w:val="20"/>
          <w:szCs w:val="20"/>
          <w:color w:val="auto"/>
        </w:rPr>
      </w:pPr>
      <w:r>
        <w:rPr>
          <w:rFonts w:ascii="Arial" w:cs="Arial" w:eastAsia="Arial" w:hAnsi="Arial"/>
          <w:sz w:val="10"/>
          <w:szCs w:val="10"/>
          <w:color w:val="auto"/>
        </w:rPr>
        <w:t>exceeds the current period income or if</w:t>
      </w:r>
    </w:p>
    <w:p>
      <w:pPr>
        <w:spacing w:after="0" w:line="199" w:lineRule="auto"/>
        <w:rPr>
          <w:sz w:val="20"/>
          <w:szCs w:val="20"/>
          <w:color w:val="auto"/>
        </w:rPr>
      </w:pPr>
      <w:r>
        <w:rPr>
          <w:rFonts w:ascii="Arial" w:cs="Arial" w:eastAsia="Arial" w:hAnsi="Arial"/>
          <w:sz w:val="10"/>
          <w:szCs w:val="10"/>
          <w:color w:val="auto"/>
        </w:rPr>
        <w:t>circumstances or changes in Genmab’s operations</w:t>
      </w:r>
    </w:p>
    <w:p>
      <w:pPr>
        <w:spacing w:after="0" w:line="199" w:lineRule="auto"/>
        <w:rPr>
          <w:sz w:val="20"/>
          <w:szCs w:val="20"/>
          <w:color w:val="auto"/>
        </w:rPr>
      </w:pPr>
      <w:r>
        <w:rPr>
          <w:rFonts w:ascii="Arial" w:cs="Arial" w:eastAsia="Arial" w:hAnsi="Arial"/>
          <w:sz w:val="10"/>
          <w:szCs w:val="10"/>
          <w:color w:val="auto"/>
        </w:rPr>
        <w:t>indicate that the carrying amount of the subsidiary</w:t>
      </w:r>
    </w:p>
    <w:p>
      <w:pPr>
        <w:spacing w:after="0" w:line="198" w:lineRule="auto"/>
        <w:rPr>
          <w:sz w:val="20"/>
          <w:szCs w:val="20"/>
          <w:color w:val="auto"/>
        </w:rPr>
      </w:pPr>
      <w:r>
        <w:rPr>
          <w:rFonts w:ascii="Arial" w:cs="Arial" w:eastAsia="Arial" w:hAnsi="Arial"/>
          <w:sz w:val="10"/>
          <w:szCs w:val="10"/>
          <w:color w:val="auto"/>
        </w:rPr>
        <w:t>may not be recoverable, the carrying amount is</w:t>
      </w:r>
    </w:p>
    <w:p>
      <w:pPr>
        <w:spacing w:after="0" w:line="199" w:lineRule="auto"/>
        <w:rPr>
          <w:sz w:val="20"/>
          <w:szCs w:val="20"/>
          <w:color w:val="auto"/>
        </w:rPr>
      </w:pPr>
      <w:r>
        <w:rPr>
          <w:rFonts w:ascii="Arial" w:cs="Arial" w:eastAsia="Arial" w:hAnsi="Arial"/>
          <w:sz w:val="10"/>
          <w:szCs w:val="10"/>
          <w:color w:val="auto"/>
        </w:rPr>
        <w:t>tested for impairment. Where the recoverable</w:t>
      </w:r>
    </w:p>
    <w:p>
      <w:pPr>
        <w:spacing w:after="0" w:line="198" w:lineRule="auto"/>
        <w:rPr>
          <w:sz w:val="20"/>
          <w:szCs w:val="20"/>
          <w:color w:val="auto"/>
        </w:rPr>
      </w:pPr>
      <w:r>
        <w:rPr>
          <w:rFonts w:ascii="Arial" w:cs="Arial" w:eastAsia="Arial" w:hAnsi="Arial"/>
          <w:sz w:val="10"/>
          <w:szCs w:val="10"/>
          <w:color w:val="auto"/>
        </w:rPr>
        <w:t>amount of the investments is lower than cost, the</w:t>
      </w:r>
    </w:p>
    <w:p>
      <w:pPr>
        <w:spacing w:after="0" w:line="199" w:lineRule="auto"/>
        <w:rPr>
          <w:sz w:val="20"/>
          <w:szCs w:val="20"/>
          <w:color w:val="auto"/>
        </w:rPr>
      </w:pPr>
      <w:r>
        <w:rPr>
          <w:rFonts w:ascii="Arial" w:cs="Arial" w:eastAsia="Arial" w:hAnsi="Arial"/>
          <w:sz w:val="10"/>
          <w:szCs w:val="10"/>
          <w:color w:val="auto"/>
        </w:rPr>
        <w:t>investments are written down to this lower value.</w:t>
      </w:r>
    </w:p>
    <w:p>
      <w:pPr>
        <w:spacing w:after="0" w:line="199" w:lineRule="auto"/>
        <w:rPr>
          <w:rFonts w:ascii="Arial" w:cs="Arial" w:eastAsia="Arial" w:hAnsi="Arial"/>
          <w:sz w:val="10"/>
          <w:szCs w:val="10"/>
          <w:color w:val="691A6B"/>
        </w:rPr>
      </w:pPr>
      <w:hyperlink w:anchor="page137">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1.1 </w:t>
      </w:r>
      <w:hyperlink w:anchor="page137">
        <w:r>
          <w:rPr>
            <w:rFonts w:ascii="Arial" w:cs="Arial" w:eastAsia="Arial" w:hAnsi="Arial"/>
            <w:sz w:val="10"/>
            <w:szCs w:val="10"/>
            <w:color w:val="691A6B"/>
          </w:rPr>
          <w:t>in the consolidated financial</w:t>
        </w:r>
      </w:hyperlink>
    </w:p>
    <w:p>
      <w:pPr>
        <w:spacing w:after="0" w:line="198" w:lineRule="auto"/>
        <w:rPr>
          <w:rFonts w:ascii="Arial" w:cs="Arial" w:eastAsia="Arial" w:hAnsi="Arial"/>
          <w:sz w:val="10"/>
          <w:szCs w:val="10"/>
          <w:color w:val="691A6B"/>
        </w:rPr>
      </w:pPr>
      <w:hyperlink w:anchor="page137">
        <w:r>
          <w:rPr>
            <w:rFonts w:ascii="Arial" w:cs="Arial" w:eastAsia="Arial" w:hAnsi="Arial"/>
            <w:sz w:val="10"/>
            <w:szCs w:val="10"/>
            <w:color w:val="691A6B"/>
          </w:rPr>
          <w:t>statements for a description of the accounting</w:t>
        </w:r>
      </w:hyperlink>
    </w:p>
    <w:p>
      <w:pPr>
        <w:spacing w:after="0"/>
        <w:rPr>
          <w:rFonts w:ascii="Arial" w:cs="Arial" w:eastAsia="Arial" w:hAnsi="Arial"/>
          <w:sz w:val="10"/>
          <w:szCs w:val="10"/>
          <w:color w:val="691A6B"/>
        </w:rPr>
      </w:pPr>
      <w:hyperlink w:anchor="page137">
        <w:r>
          <w:rPr>
            <w:rFonts w:ascii="Arial" w:cs="Arial" w:eastAsia="Arial" w:hAnsi="Arial"/>
            <w:sz w:val="10"/>
            <w:szCs w:val="10"/>
            <w:color w:val="691A6B"/>
          </w:rPr>
          <w:t>policies of the Group.</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162</w:t>
      </w:r>
    </w:p>
    <w:p>
      <w:pPr>
        <w:sectPr>
          <w:pgSz w:w="11900" w:h="16840" w:orient="portrait"/>
          <w:cols w:equalWidth="0" w:num="2">
            <w:col w:w="7400" w:space="720"/>
            <w:col w:w="1700"/>
          </w:cols>
          <w:pgMar w:left="640" w:top="1440" w:right="1440" w:bottom="495" w:gutter="0" w:footer="0" w:header="0"/>
        </w:sectPr>
      </w:pPr>
    </w:p>
    <w:bookmarkStart w:id="162" w:name="page163"/>
    <w:bookmarkEnd w:id="162"/>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163</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tbl>
      <w:tblPr>
        <w:tblLayout w:type="fixed"/>
        <w:tblInd w:w="0" w:type="dxa"/>
        <w:tblCellMar>
          <w:top w:w="0" w:type="dxa"/>
          <w:left w:w="0" w:type="dxa"/>
          <w:bottom w:w="0" w:type="dxa"/>
          <w:right w:w="0" w:type="dxa"/>
        </w:tblCellMar>
      </w:tblPr>
      <w:tr>
        <w:trPr>
          <w:trHeight w:val="123"/>
        </w:trPr>
        <w:tc>
          <w:tcPr>
            <w:tcW w:w="840" w:type="dxa"/>
            <w:vAlign w:val="bottom"/>
            <w:tcBorders>
              <w:top w:val="single" w:sz="8" w:color="691A6B"/>
            </w:tcBorders>
          </w:tcPr>
          <w:p>
            <w:pPr>
              <w:spacing w:after="0"/>
              <w:rPr>
                <w:sz w:val="10"/>
                <w:szCs w:val="10"/>
                <w:color w:val="auto"/>
              </w:rPr>
            </w:pPr>
          </w:p>
        </w:tc>
        <w:tc>
          <w:tcPr>
            <w:tcW w:w="780" w:type="dxa"/>
            <w:vAlign w:val="bottom"/>
            <w:tcBorders>
              <w:top w:val="single" w:sz="8" w:color="691A6B"/>
            </w:tcBorders>
          </w:tcPr>
          <w:p>
            <w:pPr>
              <w:ind w:left="220"/>
              <w:spacing w:after="0"/>
              <w:rPr>
                <w:sz w:val="20"/>
                <w:szCs w:val="20"/>
                <w:color w:val="auto"/>
              </w:rPr>
            </w:pPr>
            <w:r>
              <w:rPr>
                <w:rFonts w:ascii="Arial" w:cs="Arial" w:eastAsia="Arial" w:hAnsi="Arial"/>
                <w:sz w:val="10"/>
                <w:szCs w:val="10"/>
                <w:b w:val="1"/>
                <w:bCs w:val="1"/>
                <w:color w:val="auto"/>
              </w:rPr>
              <w:t>Q1 2024</w:t>
            </w:r>
          </w:p>
        </w:tc>
        <w:tc>
          <w:tcPr>
            <w:tcW w:w="780" w:type="dxa"/>
            <w:vAlign w:val="bottom"/>
            <w:tcBorders>
              <w:top w:val="single" w:sz="8" w:color="691A6B"/>
            </w:tcBorders>
          </w:tcPr>
          <w:p>
            <w:pPr>
              <w:ind w:left="220"/>
              <w:spacing w:after="0"/>
              <w:rPr>
                <w:sz w:val="20"/>
                <w:szCs w:val="20"/>
                <w:color w:val="auto"/>
              </w:rPr>
            </w:pPr>
            <w:r>
              <w:rPr>
                <w:rFonts w:ascii="Arial" w:cs="Arial" w:eastAsia="Arial" w:hAnsi="Arial"/>
                <w:sz w:val="10"/>
                <w:szCs w:val="10"/>
                <w:b w:val="1"/>
                <w:bCs w:val="1"/>
                <w:color w:val="auto"/>
              </w:rPr>
              <w:t>Q2 2024</w:t>
            </w:r>
          </w:p>
        </w:tc>
        <w:tc>
          <w:tcPr>
            <w:tcW w:w="780" w:type="dxa"/>
            <w:vAlign w:val="bottom"/>
            <w:tcBorders>
              <w:top w:val="single" w:sz="8" w:color="691A6B"/>
            </w:tcBorders>
          </w:tcPr>
          <w:p>
            <w:pPr>
              <w:ind w:left="220"/>
              <w:spacing w:after="0"/>
              <w:rPr>
                <w:sz w:val="20"/>
                <w:szCs w:val="20"/>
                <w:color w:val="auto"/>
              </w:rPr>
            </w:pPr>
            <w:r>
              <w:rPr>
                <w:rFonts w:ascii="Arial" w:cs="Arial" w:eastAsia="Arial" w:hAnsi="Arial"/>
                <w:sz w:val="10"/>
                <w:szCs w:val="10"/>
                <w:b w:val="1"/>
                <w:bCs w:val="1"/>
                <w:color w:val="auto"/>
              </w:rPr>
              <w:t>Q3 2024</w:t>
            </w:r>
          </w:p>
        </w:tc>
        <w:tc>
          <w:tcPr>
            <w:tcW w:w="780" w:type="dxa"/>
            <w:vAlign w:val="bottom"/>
            <w:tcBorders>
              <w:top w:val="single" w:sz="8" w:color="691A6B"/>
            </w:tcBorders>
          </w:tcPr>
          <w:p>
            <w:pPr>
              <w:ind w:left="220"/>
              <w:spacing w:after="0"/>
              <w:rPr>
                <w:sz w:val="20"/>
                <w:szCs w:val="20"/>
                <w:color w:val="auto"/>
              </w:rPr>
            </w:pPr>
            <w:r>
              <w:rPr>
                <w:rFonts w:ascii="Arial" w:cs="Arial" w:eastAsia="Arial" w:hAnsi="Arial"/>
                <w:sz w:val="10"/>
                <w:szCs w:val="10"/>
                <w:b w:val="1"/>
                <w:bCs w:val="1"/>
                <w:color w:val="auto"/>
              </w:rPr>
              <w:t>Q4 2024</w:t>
            </w:r>
          </w:p>
        </w:tc>
        <w:tc>
          <w:tcPr>
            <w:tcW w:w="980" w:type="dxa"/>
            <w:vAlign w:val="bottom"/>
            <w:tcBorders>
              <w:top w:val="single" w:sz="8" w:color="691A6B"/>
            </w:tcBorders>
          </w:tcPr>
          <w:p>
            <w:pPr>
              <w:ind w:left="220"/>
              <w:spacing w:after="0"/>
              <w:rPr>
                <w:sz w:val="20"/>
                <w:szCs w:val="20"/>
                <w:color w:val="auto"/>
              </w:rPr>
            </w:pPr>
            <w:r>
              <w:rPr>
                <w:rFonts w:ascii="Arial" w:cs="Arial" w:eastAsia="Arial" w:hAnsi="Arial"/>
                <w:sz w:val="10"/>
                <w:szCs w:val="10"/>
                <w:b w:val="1"/>
                <w:bCs w:val="1"/>
                <w:color w:val="auto"/>
              </w:rPr>
              <w:t>YTD 2024</w:t>
            </w:r>
          </w:p>
        </w:tc>
      </w:tr>
      <w:tr>
        <w:trPr>
          <w:trHeight w:val="137"/>
        </w:trPr>
        <w:tc>
          <w:tcPr>
            <w:tcW w:w="840" w:type="dxa"/>
            <w:vAlign w:val="bottom"/>
          </w:tcPr>
          <w:p>
            <w:pPr>
              <w:ind w:left="20"/>
              <w:spacing w:after="0"/>
              <w:rPr>
                <w:sz w:val="20"/>
                <w:szCs w:val="20"/>
                <w:color w:val="auto"/>
              </w:rPr>
            </w:pPr>
            <w:r>
              <w:rPr>
                <w:rFonts w:ascii="Arial" w:cs="Arial" w:eastAsia="Arial" w:hAnsi="Arial"/>
                <w:sz w:val="10"/>
                <w:szCs w:val="10"/>
                <w:color w:val="auto"/>
              </w:rPr>
              <w:t>Average rate</w:t>
            </w:r>
          </w:p>
        </w:tc>
        <w:tc>
          <w:tcPr>
            <w:tcW w:w="780" w:type="dxa"/>
            <w:vAlign w:val="bottom"/>
          </w:tcPr>
          <w:p>
            <w:pPr>
              <w:ind w:left="220"/>
              <w:spacing w:after="0"/>
              <w:rPr>
                <w:sz w:val="20"/>
                <w:szCs w:val="20"/>
                <w:color w:val="auto"/>
              </w:rPr>
            </w:pPr>
            <w:r>
              <w:rPr>
                <w:rFonts w:ascii="Arial" w:cs="Arial" w:eastAsia="Arial" w:hAnsi="Arial"/>
                <w:sz w:val="10"/>
                <w:szCs w:val="10"/>
                <w:color w:val="auto"/>
              </w:rPr>
              <w:t>0.1456</w:t>
            </w:r>
          </w:p>
        </w:tc>
        <w:tc>
          <w:tcPr>
            <w:tcW w:w="780" w:type="dxa"/>
            <w:vAlign w:val="bottom"/>
          </w:tcPr>
          <w:p>
            <w:pPr>
              <w:ind w:left="220"/>
              <w:spacing w:after="0"/>
              <w:rPr>
                <w:sz w:val="20"/>
                <w:szCs w:val="20"/>
                <w:color w:val="auto"/>
              </w:rPr>
            </w:pPr>
            <w:r>
              <w:rPr>
                <w:rFonts w:ascii="Arial" w:cs="Arial" w:eastAsia="Arial" w:hAnsi="Arial"/>
                <w:sz w:val="10"/>
                <w:szCs w:val="10"/>
                <w:color w:val="auto"/>
              </w:rPr>
              <w:t>0.1443</w:t>
            </w:r>
          </w:p>
        </w:tc>
        <w:tc>
          <w:tcPr>
            <w:tcW w:w="780" w:type="dxa"/>
            <w:vAlign w:val="bottom"/>
          </w:tcPr>
          <w:p>
            <w:pPr>
              <w:ind w:left="220"/>
              <w:spacing w:after="0"/>
              <w:rPr>
                <w:sz w:val="20"/>
                <w:szCs w:val="20"/>
                <w:color w:val="auto"/>
              </w:rPr>
            </w:pPr>
            <w:r>
              <w:rPr>
                <w:rFonts w:ascii="Arial" w:cs="Arial" w:eastAsia="Arial" w:hAnsi="Arial"/>
                <w:sz w:val="10"/>
                <w:szCs w:val="10"/>
                <w:color w:val="auto"/>
              </w:rPr>
              <w:t>0.1472</w:t>
            </w:r>
          </w:p>
        </w:tc>
        <w:tc>
          <w:tcPr>
            <w:tcW w:w="780" w:type="dxa"/>
            <w:vAlign w:val="bottom"/>
          </w:tcPr>
          <w:p>
            <w:pPr>
              <w:ind w:left="220"/>
              <w:spacing w:after="0"/>
              <w:rPr>
                <w:sz w:val="20"/>
                <w:szCs w:val="20"/>
                <w:color w:val="auto"/>
              </w:rPr>
            </w:pPr>
            <w:r>
              <w:rPr>
                <w:rFonts w:ascii="Arial" w:cs="Arial" w:eastAsia="Arial" w:hAnsi="Arial"/>
                <w:sz w:val="10"/>
                <w:szCs w:val="10"/>
                <w:color w:val="auto"/>
              </w:rPr>
              <w:t>0.1433</w:t>
            </w:r>
          </w:p>
        </w:tc>
        <w:tc>
          <w:tcPr>
            <w:tcW w:w="980" w:type="dxa"/>
            <w:vAlign w:val="bottom"/>
          </w:tcPr>
          <w:p>
            <w:pPr>
              <w:ind w:left="220"/>
              <w:spacing w:after="0"/>
              <w:rPr>
                <w:sz w:val="20"/>
                <w:szCs w:val="20"/>
                <w:color w:val="auto"/>
              </w:rPr>
            </w:pPr>
            <w:r>
              <w:rPr>
                <w:rFonts w:ascii="Arial" w:cs="Arial" w:eastAsia="Arial" w:hAnsi="Arial"/>
                <w:sz w:val="10"/>
                <w:szCs w:val="10"/>
                <w:color w:val="auto"/>
              </w:rPr>
              <w:t>0.1452</w:t>
            </w:r>
          </w:p>
        </w:tc>
      </w:tr>
      <w:tr>
        <w:trPr>
          <w:trHeight w:val="152"/>
        </w:trPr>
        <w:tc>
          <w:tcPr>
            <w:tcW w:w="840" w:type="dxa"/>
            <w:vAlign w:val="bottom"/>
          </w:tcPr>
          <w:p>
            <w:pPr>
              <w:ind w:left="20"/>
              <w:spacing w:after="0"/>
              <w:rPr>
                <w:sz w:val="20"/>
                <w:szCs w:val="20"/>
                <w:color w:val="auto"/>
              </w:rPr>
            </w:pPr>
            <w:r>
              <w:rPr>
                <w:rFonts w:ascii="Arial" w:cs="Arial" w:eastAsia="Arial" w:hAnsi="Arial"/>
                <w:sz w:val="10"/>
                <w:szCs w:val="10"/>
                <w:color w:val="auto"/>
              </w:rPr>
              <w:t>Closing rate</w:t>
            </w:r>
          </w:p>
        </w:tc>
        <w:tc>
          <w:tcPr>
            <w:tcW w:w="780" w:type="dxa"/>
            <w:vAlign w:val="bottom"/>
          </w:tcPr>
          <w:p>
            <w:pPr>
              <w:ind w:left="220"/>
              <w:spacing w:after="0"/>
              <w:rPr>
                <w:sz w:val="20"/>
                <w:szCs w:val="20"/>
                <w:color w:val="auto"/>
              </w:rPr>
            </w:pPr>
            <w:r>
              <w:rPr>
                <w:rFonts w:ascii="Arial" w:cs="Arial" w:eastAsia="Arial" w:hAnsi="Arial"/>
                <w:sz w:val="10"/>
                <w:szCs w:val="10"/>
                <w:color w:val="auto"/>
              </w:rPr>
              <w:t>0.1450</w:t>
            </w:r>
          </w:p>
        </w:tc>
        <w:tc>
          <w:tcPr>
            <w:tcW w:w="780" w:type="dxa"/>
            <w:vAlign w:val="bottom"/>
          </w:tcPr>
          <w:p>
            <w:pPr>
              <w:ind w:left="220"/>
              <w:spacing w:after="0"/>
              <w:rPr>
                <w:sz w:val="20"/>
                <w:szCs w:val="20"/>
                <w:color w:val="auto"/>
              </w:rPr>
            </w:pPr>
            <w:r>
              <w:rPr>
                <w:rFonts w:ascii="Arial" w:cs="Arial" w:eastAsia="Arial" w:hAnsi="Arial"/>
                <w:sz w:val="10"/>
                <w:szCs w:val="10"/>
                <w:color w:val="auto"/>
              </w:rPr>
              <w:t>0.1435</w:t>
            </w:r>
          </w:p>
        </w:tc>
        <w:tc>
          <w:tcPr>
            <w:tcW w:w="780" w:type="dxa"/>
            <w:vAlign w:val="bottom"/>
          </w:tcPr>
          <w:p>
            <w:pPr>
              <w:ind w:left="220"/>
              <w:spacing w:after="0"/>
              <w:rPr>
                <w:sz w:val="20"/>
                <w:szCs w:val="20"/>
                <w:color w:val="auto"/>
              </w:rPr>
            </w:pPr>
            <w:r>
              <w:rPr>
                <w:rFonts w:ascii="Arial" w:cs="Arial" w:eastAsia="Arial" w:hAnsi="Arial"/>
                <w:sz w:val="10"/>
                <w:szCs w:val="10"/>
                <w:color w:val="auto"/>
              </w:rPr>
              <w:t>0.1502</w:t>
            </w:r>
          </w:p>
        </w:tc>
        <w:tc>
          <w:tcPr>
            <w:tcW w:w="780" w:type="dxa"/>
            <w:vAlign w:val="bottom"/>
          </w:tcPr>
          <w:p>
            <w:pPr>
              <w:ind w:left="220"/>
              <w:spacing w:after="0"/>
              <w:rPr>
                <w:sz w:val="20"/>
                <w:szCs w:val="20"/>
                <w:color w:val="auto"/>
              </w:rPr>
            </w:pPr>
            <w:r>
              <w:rPr>
                <w:rFonts w:ascii="Arial" w:cs="Arial" w:eastAsia="Arial" w:hAnsi="Arial"/>
                <w:sz w:val="10"/>
                <w:szCs w:val="10"/>
                <w:color w:val="auto"/>
              </w:rPr>
              <w:t>0.1400</w:t>
            </w:r>
          </w:p>
        </w:tc>
        <w:tc>
          <w:tcPr>
            <w:tcW w:w="980" w:type="dxa"/>
            <w:vAlign w:val="bottom"/>
          </w:tcPr>
          <w:p>
            <w:pPr>
              <w:ind w:left="220"/>
              <w:spacing w:after="0"/>
              <w:rPr>
                <w:sz w:val="20"/>
                <w:szCs w:val="20"/>
                <w:color w:val="auto"/>
              </w:rPr>
            </w:pPr>
            <w:r>
              <w:rPr>
                <w:rFonts w:ascii="Arial" w:cs="Arial" w:eastAsia="Arial" w:hAnsi="Arial"/>
                <w:sz w:val="10"/>
                <w:szCs w:val="10"/>
                <w:color w:val="auto"/>
              </w:rPr>
              <w:t>0.1400</w:t>
            </w:r>
          </w:p>
        </w:tc>
      </w:tr>
    </w:tbl>
    <w:p>
      <w:pPr>
        <w:spacing w:after="0" w:line="232" w:lineRule="auto"/>
        <w:rPr>
          <w:sz w:val="20"/>
          <w:szCs w:val="20"/>
          <w:color w:val="auto"/>
        </w:rPr>
      </w:pPr>
      <w:r>
        <w:rPr>
          <w:rFonts w:ascii="Arial" w:cs="Arial" w:eastAsia="Arial" w:hAnsi="Arial"/>
          <w:sz w:val="10"/>
          <w:szCs w:val="10"/>
          <w:color w:val="auto"/>
        </w:rPr>
        <w:t>The change in presentation currency resulted in the following impact on the December 31, 2024 parent</w:t>
      </w:r>
    </w:p>
    <w:p>
      <w:pPr>
        <w:spacing w:after="0" w:line="217" w:lineRule="auto"/>
        <w:rPr>
          <w:sz w:val="20"/>
          <w:szCs w:val="20"/>
          <w:color w:val="auto"/>
        </w:rPr>
      </w:pPr>
      <w:r>
        <w:rPr>
          <w:rFonts w:ascii="Arial" w:cs="Arial" w:eastAsia="Arial" w:hAnsi="Arial"/>
          <w:sz w:val="10"/>
          <w:szCs w:val="10"/>
          <w:color w:val="auto"/>
        </w:rPr>
        <w:t>balance sheet:</w:t>
      </w:r>
    </w:p>
    <w:tbl>
      <w:tblPr>
        <w:tblLayout w:type="fixed"/>
        <w:tblInd w:w="0" w:type="dxa"/>
        <w:tblCellMar>
          <w:top w:w="0" w:type="dxa"/>
          <w:left w:w="0" w:type="dxa"/>
          <w:bottom w:w="0" w:type="dxa"/>
          <w:right w:w="0" w:type="dxa"/>
        </w:tblCellMar>
      </w:tblPr>
      <w:tr>
        <w:trPr>
          <w:trHeight w:val="95"/>
        </w:trPr>
        <w:tc>
          <w:tcPr>
            <w:tcW w:w="1640" w:type="dxa"/>
            <w:vAlign w:val="bottom"/>
            <w:tcBorders>
              <w:top w:val="single" w:sz="8" w:color="691A6B"/>
            </w:tcBorders>
          </w:tcPr>
          <w:p>
            <w:pPr>
              <w:spacing w:after="0"/>
              <w:rPr>
                <w:sz w:val="8"/>
                <w:szCs w:val="8"/>
                <w:color w:val="auto"/>
              </w:rPr>
            </w:pPr>
          </w:p>
        </w:tc>
        <w:tc>
          <w:tcPr>
            <w:tcW w:w="1340" w:type="dxa"/>
            <w:vAlign w:val="bottom"/>
            <w:tcBorders>
              <w:top w:val="single" w:sz="8" w:color="691A6B"/>
            </w:tcBorders>
          </w:tcPr>
          <w:p>
            <w:pPr>
              <w:ind w:left="460"/>
              <w:spacing w:after="0" w:line="95" w:lineRule="exact"/>
              <w:rPr>
                <w:sz w:val="20"/>
                <w:szCs w:val="20"/>
                <w:color w:val="auto"/>
              </w:rPr>
            </w:pPr>
            <w:r>
              <w:rPr>
                <w:rFonts w:ascii="Arial" w:cs="Arial" w:eastAsia="Arial" w:hAnsi="Arial"/>
                <w:sz w:val="10"/>
                <w:szCs w:val="10"/>
                <w:b w:val="1"/>
                <w:bCs w:val="1"/>
                <w:color w:val="auto"/>
              </w:rPr>
              <w:t>Previously</w:t>
            </w:r>
          </w:p>
        </w:tc>
        <w:tc>
          <w:tcPr>
            <w:tcW w:w="94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Presentation</w:t>
            </w: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40" w:type="dxa"/>
            <w:vAlign w:val="bottom"/>
          </w:tcPr>
          <w:p>
            <w:pPr>
              <w:spacing w:after="0"/>
              <w:rPr>
                <w:sz w:val="11"/>
                <w:szCs w:val="11"/>
                <w:color w:val="auto"/>
              </w:rPr>
            </w:pPr>
          </w:p>
        </w:tc>
        <w:tc>
          <w:tcPr>
            <w:tcW w:w="1340" w:type="dxa"/>
            <w:vAlign w:val="bottom"/>
          </w:tcPr>
          <w:p>
            <w:pPr>
              <w:ind w:left="460"/>
              <w:spacing w:after="0"/>
              <w:rPr>
                <w:sz w:val="20"/>
                <w:szCs w:val="20"/>
                <w:color w:val="auto"/>
              </w:rPr>
            </w:pPr>
            <w:r>
              <w:rPr>
                <w:rFonts w:ascii="Arial" w:cs="Arial" w:eastAsia="Arial" w:hAnsi="Arial"/>
                <w:sz w:val="10"/>
                <w:szCs w:val="10"/>
                <w:b w:val="1"/>
                <w:bCs w:val="1"/>
                <w:color w:val="auto"/>
              </w:rPr>
              <w:t>reported in DKK</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spacing w:after="0"/>
              <w:rPr>
                <w:sz w:val="11"/>
                <w:szCs w:val="11"/>
                <w:color w:val="auto"/>
              </w:rPr>
            </w:pPr>
          </w:p>
        </w:tc>
      </w:tr>
      <w:tr>
        <w:trPr>
          <w:trHeight w:val="119"/>
        </w:trPr>
        <w:tc>
          <w:tcPr>
            <w:tcW w:w="1640" w:type="dxa"/>
            <w:vAlign w:val="bottom"/>
          </w:tcPr>
          <w:p>
            <w:pPr>
              <w:spacing w:after="0"/>
              <w:rPr>
                <w:sz w:val="10"/>
                <w:szCs w:val="10"/>
                <w:color w:val="auto"/>
              </w:rPr>
            </w:pPr>
          </w:p>
        </w:tc>
        <w:tc>
          <w:tcPr>
            <w:tcW w:w="1340" w:type="dxa"/>
            <w:vAlign w:val="bottom"/>
          </w:tcPr>
          <w:p>
            <w:pPr>
              <w:ind w:left="460"/>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spacing w:after="0"/>
              <w:rPr>
                <w:sz w:val="10"/>
                <w:szCs w:val="10"/>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640" w:type="dxa"/>
            <w:vAlign w:val="bottom"/>
          </w:tcPr>
          <w:p>
            <w:pPr>
              <w:spacing w:after="0"/>
              <w:rPr>
                <w:sz w:val="11"/>
                <w:szCs w:val="11"/>
                <w:color w:val="auto"/>
              </w:rPr>
            </w:pPr>
          </w:p>
        </w:tc>
        <w:tc>
          <w:tcPr>
            <w:tcW w:w="1340" w:type="dxa"/>
            <w:vAlign w:val="bottom"/>
          </w:tcPr>
          <w:p>
            <w:pPr>
              <w:ind w:left="460"/>
              <w:spacing w:after="0"/>
              <w:rPr>
                <w:sz w:val="20"/>
                <w:szCs w:val="20"/>
                <w:color w:val="auto"/>
              </w:rPr>
            </w:pPr>
            <w:r>
              <w:rPr>
                <w:rFonts w:ascii="Arial" w:cs="Arial" w:eastAsia="Arial" w:hAnsi="Arial"/>
                <w:sz w:val="10"/>
                <w:szCs w:val="10"/>
                <w:b w:val="1"/>
                <w:bCs w:val="1"/>
                <w:color w:val="auto"/>
              </w:rPr>
              <w:t>2024</w:t>
            </w:r>
          </w:p>
        </w:tc>
        <w:tc>
          <w:tcPr>
            <w:tcW w:w="94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60"/>
        </w:trPr>
        <w:tc>
          <w:tcPr>
            <w:tcW w:w="1640" w:type="dxa"/>
            <w:vAlign w:val="bottom"/>
          </w:tcPr>
          <w:p>
            <w:pPr>
              <w:ind w:left="20"/>
              <w:spacing w:after="0"/>
              <w:rPr>
                <w:sz w:val="20"/>
                <w:szCs w:val="20"/>
                <w:color w:val="auto"/>
              </w:rPr>
            </w:pPr>
            <w:r>
              <w:rPr>
                <w:rFonts w:ascii="Arial" w:cs="Arial" w:eastAsia="Arial" w:hAnsi="Arial"/>
                <w:sz w:val="10"/>
                <w:szCs w:val="10"/>
                <w:color w:val="auto"/>
              </w:rPr>
              <w:t>Total assets</w:t>
            </w:r>
          </w:p>
        </w:tc>
        <w:tc>
          <w:tcPr>
            <w:tcW w:w="1340" w:type="dxa"/>
            <w:vAlign w:val="bottom"/>
          </w:tcPr>
          <w:p>
            <w:pPr>
              <w:jc w:val="right"/>
              <w:spacing w:after="0"/>
              <w:rPr>
                <w:sz w:val="20"/>
                <w:szCs w:val="20"/>
                <w:color w:val="auto"/>
              </w:rPr>
            </w:pPr>
            <w:r>
              <w:rPr>
                <w:rFonts w:ascii="Arial" w:cs="Arial" w:eastAsia="Arial" w:hAnsi="Arial"/>
                <w:sz w:val="10"/>
                <w:szCs w:val="10"/>
                <w:color w:val="auto"/>
              </w:rPr>
              <w:t>47,069</w:t>
            </w:r>
          </w:p>
        </w:tc>
        <w:tc>
          <w:tcPr>
            <w:tcW w:w="940" w:type="dxa"/>
            <w:vAlign w:val="bottom"/>
          </w:tcPr>
          <w:p>
            <w:pPr>
              <w:jc w:val="right"/>
              <w:spacing w:after="0"/>
              <w:rPr>
                <w:sz w:val="20"/>
                <w:szCs w:val="20"/>
                <w:color w:val="auto"/>
              </w:rPr>
            </w:pPr>
            <w:r>
              <w:rPr>
                <w:rFonts w:ascii="Arial" w:cs="Arial" w:eastAsia="Arial" w:hAnsi="Arial"/>
                <w:sz w:val="10"/>
                <w:szCs w:val="10"/>
                <w:color w:val="auto"/>
              </w:rPr>
              <w:t>(40,406)</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6,663</w:t>
            </w:r>
          </w:p>
        </w:tc>
      </w:tr>
      <w:tr>
        <w:trPr>
          <w:trHeight w:val="152"/>
        </w:trPr>
        <w:tc>
          <w:tcPr>
            <w:tcW w:w="1640" w:type="dxa"/>
            <w:vAlign w:val="bottom"/>
          </w:tcPr>
          <w:p>
            <w:pPr>
              <w:ind w:left="20"/>
              <w:spacing w:after="0"/>
              <w:rPr>
                <w:sz w:val="20"/>
                <w:szCs w:val="20"/>
                <w:color w:val="auto"/>
              </w:rPr>
            </w:pPr>
            <w:r>
              <w:rPr>
                <w:rFonts w:ascii="Arial" w:cs="Arial" w:eastAsia="Arial" w:hAnsi="Arial"/>
                <w:sz w:val="10"/>
                <w:szCs w:val="10"/>
                <w:color w:val="auto"/>
              </w:rPr>
              <w:t>Total liabilities</w:t>
            </w:r>
          </w:p>
        </w:tc>
        <w:tc>
          <w:tcPr>
            <w:tcW w:w="1340" w:type="dxa"/>
            <w:vAlign w:val="bottom"/>
          </w:tcPr>
          <w:p>
            <w:pPr>
              <w:jc w:val="right"/>
              <w:spacing w:after="0"/>
              <w:rPr>
                <w:sz w:val="20"/>
                <w:szCs w:val="20"/>
                <w:color w:val="auto"/>
              </w:rPr>
            </w:pPr>
            <w:r>
              <w:rPr>
                <w:rFonts w:ascii="Arial" w:cs="Arial" w:eastAsia="Arial" w:hAnsi="Arial"/>
                <w:sz w:val="10"/>
                <w:szCs w:val="10"/>
                <w:color w:val="auto"/>
              </w:rPr>
              <w:t>5,473</w:t>
            </w:r>
          </w:p>
        </w:tc>
        <w:tc>
          <w:tcPr>
            <w:tcW w:w="940" w:type="dxa"/>
            <w:vAlign w:val="bottom"/>
          </w:tcPr>
          <w:p>
            <w:pPr>
              <w:jc w:val="right"/>
              <w:spacing w:after="0"/>
              <w:rPr>
                <w:sz w:val="20"/>
                <w:szCs w:val="20"/>
                <w:color w:val="auto"/>
              </w:rPr>
            </w:pPr>
            <w:r>
              <w:rPr>
                <w:rFonts w:ascii="Arial" w:cs="Arial" w:eastAsia="Arial" w:hAnsi="Arial"/>
                <w:sz w:val="10"/>
                <w:szCs w:val="10"/>
                <w:color w:val="auto"/>
              </w:rPr>
              <w:t>(4,624)</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849</w:t>
            </w:r>
          </w:p>
        </w:tc>
      </w:tr>
      <w:tr>
        <w:trPr>
          <w:trHeight w:val="152"/>
        </w:trPr>
        <w:tc>
          <w:tcPr>
            <w:tcW w:w="1640" w:type="dxa"/>
            <w:vAlign w:val="bottom"/>
          </w:tcPr>
          <w:p>
            <w:pPr>
              <w:ind w:left="20"/>
              <w:spacing w:after="0"/>
              <w:rPr>
                <w:sz w:val="20"/>
                <w:szCs w:val="20"/>
                <w:color w:val="auto"/>
              </w:rPr>
            </w:pPr>
            <w:r>
              <w:rPr>
                <w:rFonts w:ascii="Arial" w:cs="Arial" w:eastAsia="Arial" w:hAnsi="Arial"/>
                <w:sz w:val="10"/>
                <w:szCs w:val="10"/>
                <w:color w:val="auto"/>
              </w:rPr>
              <w:t>Total shareholders' equity</w:t>
            </w:r>
          </w:p>
        </w:tc>
        <w:tc>
          <w:tcPr>
            <w:tcW w:w="1340" w:type="dxa"/>
            <w:vAlign w:val="bottom"/>
          </w:tcPr>
          <w:p>
            <w:pPr>
              <w:jc w:val="right"/>
              <w:spacing w:after="0"/>
              <w:rPr>
                <w:sz w:val="20"/>
                <w:szCs w:val="20"/>
                <w:color w:val="auto"/>
              </w:rPr>
            </w:pPr>
            <w:r>
              <w:rPr>
                <w:rFonts w:ascii="Arial" w:cs="Arial" w:eastAsia="Arial" w:hAnsi="Arial"/>
                <w:sz w:val="10"/>
                <w:szCs w:val="10"/>
                <w:color w:val="auto"/>
              </w:rPr>
              <w:t>41,596</w:t>
            </w:r>
          </w:p>
        </w:tc>
        <w:tc>
          <w:tcPr>
            <w:tcW w:w="940" w:type="dxa"/>
            <w:vAlign w:val="bottom"/>
          </w:tcPr>
          <w:p>
            <w:pPr>
              <w:jc w:val="right"/>
              <w:spacing w:after="0"/>
              <w:rPr>
                <w:sz w:val="20"/>
                <w:szCs w:val="20"/>
                <w:color w:val="auto"/>
              </w:rPr>
            </w:pPr>
            <w:r>
              <w:rPr>
                <w:rFonts w:ascii="Arial" w:cs="Arial" w:eastAsia="Arial" w:hAnsi="Arial"/>
                <w:sz w:val="10"/>
                <w:szCs w:val="10"/>
                <w:color w:val="auto"/>
              </w:rPr>
              <w:t>(35,782)</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5,814</w:t>
            </w:r>
          </w:p>
        </w:tc>
      </w:tr>
    </w:tbl>
    <w:p>
      <w:pPr>
        <w:spacing w:after="0" w:line="232" w:lineRule="auto"/>
        <w:rPr>
          <w:sz w:val="20"/>
          <w:szCs w:val="20"/>
          <w:color w:val="auto"/>
        </w:rPr>
      </w:pPr>
      <w:r>
        <w:rPr>
          <w:rFonts w:ascii="Arial" w:cs="Arial" w:eastAsia="Arial" w:hAnsi="Arial"/>
          <w:sz w:val="10"/>
          <w:szCs w:val="10"/>
          <w:color w:val="auto"/>
        </w:rPr>
        <w:t>The change in presentation currency resulted in the following impact on the January 1, 2024 parent</w:t>
      </w:r>
    </w:p>
    <w:p>
      <w:pPr>
        <w:spacing w:after="0" w:line="217" w:lineRule="auto"/>
        <w:rPr>
          <w:sz w:val="20"/>
          <w:szCs w:val="20"/>
          <w:color w:val="auto"/>
        </w:rPr>
      </w:pPr>
      <w:r>
        <w:rPr>
          <w:rFonts w:ascii="Arial" w:cs="Arial" w:eastAsia="Arial" w:hAnsi="Arial"/>
          <w:sz w:val="10"/>
          <w:szCs w:val="10"/>
          <w:color w:val="auto"/>
        </w:rPr>
        <w:t>balance sheet:</w:t>
      </w:r>
    </w:p>
    <w:tbl>
      <w:tblPr>
        <w:tblLayout w:type="fixed"/>
        <w:tblInd w:w="0" w:type="dxa"/>
        <w:tblCellMar>
          <w:top w:w="0" w:type="dxa"/>
          <w:left w:w="0" w:type="dxa"/>
          <w:bottom w:w="0" w:type="dxa"/>
          <w:right w:w="0" w:type="dxa"/>
        </w:tblCellMar>
      </w:tblPr>
      <w:tr>
        <w:trPr>
          <w:trHeight w:val="95"/>
        </w:trPr>
        <w:tc>
          <w:tcPr>
            <w:tcW w:w="1640" w:type="dxa"/>
            <w:vAlign w:val="bottom"/>
            <w:tcBorders>
              <w:top w:val="single" w:sz="8" w:color="691A6B"/>
            </w:tcBorders>
          </w:tcPr>
          <w:p>
            <w:pPr>
              <w:spacing w:after="0"/>
              <w:rPr>
                <w:sz w:val="8"/>
                <w:szCs w:val="8"/>
                <w:color w:val="auto"/>
              </w:rPr>
            </w:pPr>
          </w:p>
        </w:tc>
        <w:tc>
          <w:tcPr>
            <w:tcW w:w="1340" w:type="dxa"/>
            <w:vAlign w:val="bottom"/>
            <w:tcBorders>
              <w:top w:val="single" w:sz="8" w:color="691A6B"/>
            </w:tcBorders>
          </w:tcPr>
          <w:p>
            <w:pPr>
              <w:ind w:left="460"/>
              <w:spacing w:after="0" w:line="95" w:lineRule="exact"/>
              <w:rPr>
                <w:sz w:val="20"/>
                <w:szCs w:val="20"/>
                <w:color w:val="auto"/>
              </w:rPr>
            </w:pPr>
            <w:r>
              <w:rPr>
                <w:rFonts w:ascii="Arial" w:cs="Arial" w:eastAsia="Arial" w:hAnsi="Arial"/>
                <w:sz w:val="10"/>
                <w:szCs w:val="10"/>
                <w:b w:val="1"/>
                <w:bCs w:val="1"/>
                <w:color w:val="auto"/>
              </w:rPr>
              <w:t>Previously</w:t>
            </w:r>
          </w:p>
        </w:tc>
        <w:tc>
          <w:tcPr>
            <w:tcW w:w="94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Presentation</w:t>
            </w: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40" w:type="dxa"/>
            <w:vAlign w:val="bottom"/>
          </w:tcPr>
          <w:p>
            <w:pPr>
              <w:spacing w:after="0"/>
              <w:rPr>
                <w:sz w:val="11"/>
                <w:szCs w:val="11"/>
                <w:color w:val="auto"/>
              </w:rPr>
            </w:pPr>
          </w:p>
        </w:tc>
        <w:tc>
          <w:tcPr>
            <w:tcW w:w="1340" w:type="dxa"/>
            <w:vAlign w:val="bottom"/>
          </w:tcPr>
          <w:p>
            <w:pPr>
              <w:ind w:left="460"/>
              <w:spacing w:after="0"/>
              <w:rPr>
                <w:sz w:val="20"/>
                <w:szCs w:val="20"/>
                <w:color w:val="auto"/>
              </w:rPr>
            </w:pPr>
            <w:r>
              <w:rPr>
                <w:rFonts w:ascii="Arial" w:cs="Arial" w:eastAsia="Arial" w:hAnsi="Arial"/>
                <w:sz w:val="10"/>
                <w:szCs w:val="10"/>
                <w:b w:val="1"/>
                <w:bCs w:val="1"/>
                <w:color w:val="auto"/>
              </w:rPr>
              <w:t>reported in DKK</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spacing w:after="0"/>
              <w:rPr>
                <w:sz w:val="11"/>
                <w:szCs w:val="11"/>
                <w:color w:val="auto"/>
              </w:rPr>
            </w:pPr>
          </w:p>
        </w:tc>
      </w:tr>
      <w:tr>
        <w:trPr>
          <w:trHeight w:val="152"/>
        </w:trPr>
        <w:tc>
          <w:tcPr>
            <w:tcW w:w="1640" w:type="dxa"/>
            <w:vAlign w:val="bottom"/>
          </w:tcPr>
          <w:p>
            <w:pPr>
              <w:spacing w:after="0"/>
              <w:rPr>
                <w:sz w:val="13"/>
                <w:szCs w:val="13"/>
                <w:color w:val="auto"/>
              </w:rPr>
            </w:pPr>
          </w:p>
        </w:tc>
        <w:tc>
          <w:tcPr>
            <w:tcW w:w="1340" w:type="dxa"/>
            <w:vAlign w:val="bottom"/>
          </w:tcPr>
          <w:p>
            <w:pPr>
              <w:ind w:left="460"/>
              <w:spacing w:after="0"/>
              <w:rPr>
                <w:sz w:val="20"/>
                <w:szCs w:val="20"/>
                <w:color w:val="auto"/>
              </w:rPr>
            </w:pPr>
            <w:r>
              <w:rPr>
                <w:rFonts w:ascii="Arial" w:cs="Arial" w:eastAsia="Arial" w:hAnsi="Arial"/>
                <w:sz w:val="10"/>
                <w:szCs w:val="10"/>
                <w:b w:val="1"/>
                <w:bCs w:val="1"/>
                <w:color w:val="auto"/>
              </w:rPr>
              <w:t>January 1, 2024</w:t>
            </w:r>
          </w:p>
        </w:tc>
        <w:tc>
          <w:tcPr>
            <w:tcW w:w="94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January 1, 2024</w:t>
            </w:r>
          </w:p>
        </w:tc>
      </w:tr>
      <w:tr>
        <w:trPr>
          <w:trHeight w:val="141"/>
        </w:trPr>
        <w:tc>
          <w:tcPr>
            <w:tcW w:w="1640" w:type="dxa"/>
            <w:vAlign w:val="bottom"/>
          </w:tcPr>
          <w:p>
            <w:pPr>
              <w:ind w:left="20"/>
              <w:spacing w:after="0"/>
              <w:rPr>
                <w:sz w:val="20"/>
                <w:szCs w:val="20"/>
                <w:color w:val="auto"/>
              </w:rPr>
            </w:pPr>
            <w:r>
              <w:rPr>
                <w:rFonts w:ascii="Arial" w:cs="Arial" w:eastAsia="Arial" w:hAnsi="Arial"/>
                <w:sz w:val="10"/>
                <w:szCs w:val="10"/>
                <w:color w:val="auto"/>
              </w:rPr>
              <w:t>Total assets</w:t>
            </w:r>
          </w:p>
        </w:tc>
        <w:tc>
          <w:tcPr>
            <w:tcW w:w="1340" w:type="dxa"/>
            <w:vAlign w:val="bottom"/>
          </w:tcPr>
          <w:p>
            <w:pPr>
              <w:jc w:val="right"/>
              <w:spacing w:after="0"/>
              <w:rPr>
                <w:sz w:val="20"/>
                <w:szCs w:val="20"/>
                <w:color w:val="auto"/>
              </w:rPr>
            </w:pPr>
            <w:r>
              <w:rPr>
                <w:rFonts w:ascii="Arial" w:cs="Arial" w:eastAsia="Arial" w:hAnsi="Arial"/>
                <w:sz w:val="10"/>
                <w:szCs w:val="10"/>
                <w:color w:val="auto"/>
              </w:rPr>
              <w:t>37,325</w:t>
            </w:r>
          </w:p>
        </w:tc>
        <w:tc>
          <w:tcPr>
            <w:tcW w:w="940" w:type="dxa"/>
            <w:vAlign w:val="bottom"/>
          </w:tcPr>
          <w:p>
            <w:pPr>
              <w:jc w:val="right"/>
              <w:spacing w:after="0"/>
              <w:rPr>
                <w:sz w:val="20"/>
                <w:szCs w:val="20"/>
                <w:color w:val="auto"/>
              </w:rPr>
            </w:pPr>
            <w:r>
              <w:rPr>
                <w:rFonts w:ascii="Arial" w:cs="Arial" w:eastAsia="Arial" w:hAnsi="Arial"/>
                <w:sz w:val="10"/>
                <w:szCs w:val="10"/>
                <w:color w:val="auto"/>
              </w:rPr>
              <w:t>(31,792)</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5,533</w:t>
            </w:r>
          </w:p>
        </w:tc>
      </w:tr>
      <w:tr>
        <w:trPr>
          <w:trHeight w:val="152"/>
        </w:trPr>
        <w:tc>
          <w:tcPr>
            <w:tcW w:w="1640" w:type="dxa"/>
            <w:vAlign w:val="bottom"/>
          </w:tcPr>
          <w:p>
            <w:pPr>
              <w:ind w:left="20"/>
              <w:spacing w:after="0"/>
              <w:rPr>
                <w:sz w:val="20"/>
                <w:szCs w:val="20"/>
                <w:color w:val="auto"/>
              </w:rPr>
            </w:pPr>
            <w:r>
              <w:rPr>
                <w:rFonts w:ascii="Arial" w:cs="Arial" w:eastAsia="Arial" w:hAnsi="Arial"/>
                <w:sz w:val="10"/>
                <w:szCs w:val="10"/>
                <w:color w:val="auto"/>
              </w:rPr>
              <w:t>Total liabilities</w:t>
            </w:r>
          </w:p>
        </w:tc>
        <w:tc>
          <w:tcPr>
            <w:tcW w:w="1340" w:type="dxa"/>
            <w:vAlign w:val="bottom"/>
          </w:tcPr>
          <w:p>
            <w:pPr>
              <w:jc w:val="right"/>
              <w:spacing w:after="0"/>
              <w:rPr>
                <w:sz w:val="20"/>
                <w:szCs w:val="20"/>
                <w:color w:val="auto"/>
              </w:rPr>
            </w:pPr>
            <w:r>
              <w:rPr>
                <w:rFonts w:ascii="Arial" w:cs="Arial" w:eastAsia="Arial" w:hAnsi="Arial"/>
                <w:sz w:val="10"/>
                <w:szCs w:val="10"/>
                <w:color w:val="auto"/>
              </w:rPr>
              <w:t>4,451</w:t>
            </w:r>
          </w:p>
        </w:tc>
        <w:tc>
          <w:tcPr>
            <w:tcW w:w="940" w:type="dxa"/>
            <w:vAlign w:val="bottom"/>
          </w:tcPr>
          <w:p>
            <w:pPr>
              <w:jc w:val="right"/>
              <w:spacing w:after="0"/>
              <w:rPr>
                <w:sz w:val="20"/>
                <w:szCs w:val="20"/>
                <w:color w:val="auto"/>
              </w:rPr>
            </w:pPr>
            <w:r>
              <w:rPr>
                <w:rFonts w:ascii="Arial" w:cs="Arial" w:eastAsia="Arial" w:hAnsi="Arial"/>
                <w:sz w:val="10"/>
                <w:szCs w:val="10"/>
                <w:color w:val="auto"/>
              </w:rPr>
              <w:t>(3,791)</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660</w:t>
            </w:r>
          </w:p>
        </w:tc>
      </w:tr>
      <w:tr>
        <w:trPr>
          <w:trHeight w:val="152"/>
        </w:trPr>
        <w:tc>
          <w:tcPr>
            <w:tcW w:w="1640" w:type="dxa"/>
            <w:vAlign w:val="bottom"/>
          </w:tcPr>
          <w:p>
            <w:pPr>
              <w:ind w:left="20"/>
              <w:spacing w:after="0"/>
              <w:rPr>
                <w:sz w:val="20"/>
                <w:szCs w:val="20"/>
                <w:color w:val="auto"/>
              </w:rPr>
            </w:pPr>
            <w:r>
              <w:rPr>
                <w:rFonts w:ascii="Arial" w:cs="Arial" w:eastAsia="Arial" w:hAnsi="Arial"/>
                <w:sz w:val="10"/>
                <w:szCs w:val="10"/>
                <w:color w:val="auto"/>
              </w:rPr>
              <w:t>Total shareholders' equity</w:t>
            </w:r>
          </w:p>
        </w:tc>
        <w:tc>
          <w:tcPr>
            <w:tcW w:w="1340" w:type="dxa"/>
            <w:vAlign w:val="bottom"/>
          </w:tcPr>
          <w:p>
            <w:pPr>
              <w:jc w:val="right"/>
              <w:spacing w:after="0"/>
              <w:rPr>
                <w:sz w:val="20"/>
                <w:szCs w:val="20"/>
                <w:color w:val="auto"/>
              </w:rPr>
            </w:pPr>
            <w:r>
              <w:rPr>
                <w:rFonts w:ascii="Arial" w:cs="Arial" w:eastAsia="Arial" w:hAnsi="Arial"/>
                <w:sz w:val="10"/>
                <w:szCs w:val="10"/>
                <w:color w:val="auto"/>
              </w:rPr>
              <w:t>32,874</w:t>
            </w:r>
          </w:p>
        </w:tc>
        <w:tc>
          <w:tcPr>
            <w:tcW w:w="940" w:type="dxa"/>
            <w:vAlign w:val="bottom"/>
          </w:tcPr>
          <w:p>
            <w:pPr>
              <w:jc w:val="right"/>
              <w:spacing w:after="0"/>
              <w:rPr>
                <w:sz w:val="20"/>
                <w:szCs w:val="20"/>
                <w:color w:val="auto"/>
              </w:rPr>
            </w:pPr>
            <w:r>
              <w:rPr>
                <w:rFonts w:ascii="Arial" w:cs="Arial" w:eastAsia="Arial" w:hAnsi="Arial"/>
                <w:sz w:val="10"/>
                <w:szCs w:val="10"/>
                <w:color w:val="auto"/>
              </w:rPr>
              <w:t>(28,001)</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4,873</w:t>
            </w:r>
          </w:p>
        </w:tc>
      </w:tr>
    </w:tbl>
    <w:p>
      <w:pPr>
        <w:spacing w:after="0" w:line="232" w:lineRule="auto"/>
        <w:rPr>
          <w:sz w:val="20"/>
          <w:szCs w:val="20"/>
          <w:color w:val="auto"/>
        </w:rPr>
      </w:pPr>
      <w:r>
        <w:rPr>
          <w:rFonts w:ascii="Arial" w:cs="Arial" w:eastAsia="Arial" w:hAnsi="Arial"/>
          <w:sz w:val="10"/>
          <w:szCs w:val="10"/>
          <w:color w:val="auto"/>
        </w:rPr>
        <w:t>The change in presentation currency resulted in the following impact on the 12 months ended December</w:t>
      </w:r>
    </w:p>
    <w:p>
      <w:pPr>
        <w:spacing w:after="0" w:line="217" w:lineRule="auto"/>
        <w:rPr>
          <w:sz w:val="20"/>
          <w:szCs w:val="20"/>
          <w:color w:val="auto"/>
        </w:rPr>
      </w:pPr>
      <w:r>
        <w:rPr>
          <w:rFonts w:ascii="Arial" w:cs="Arial" w:eastAsia="Arial" w:hAnsi="Arial"/>
          <w:sz w:val="10"/>
          <w:szCs w:val="10"/>
          <w:color w:val="auto"/>
        </w:rPr>
        <w:t>31, 2024 parent statement of comprehensive income:</w:t>
      </w:r>
    </w:p>
    <w:tbl>
      <w:tblPr>
        <w:tblLayout w:type="fixed"/>
        <w:tblInd w:w="0" w:type="dxa"/>
        <w:tblCellMar>
          <w:top w:w="0" w:type="dxa"/>
          <w:left w:w="0" w:type="dxa"/>
          <w:bottom w:w="0" w:type="dxa"/>
          <w:right w:w="0" w:type="dxa"/>
        </w:tblCellMar>
      </w:tblPr>
      <w:tr>
        <w:trPr>
          <w:trHeight w:val="95"/>
        </w:trPr>
        <w:tc>
          <w:tcPr>
            <w:tcW w:w="1600" w:type="dxa"/>
            <w:vAlign w:val="bottom"/>
            <w:tcBorders>
              <w:top w:val="single" w:sz="8" w:color="691A6B"/>
            </w:tcBorders>
          </w:tcPr>
          <w:p>
            <w:pPr>
              <w:spacing w:after="0"/>
              <w:rPr>
                <w:sz w:val="8"/>
                <w:szCs w:val="8"/>
                <w:color w:val="auto"/>
              </w:rPr>
            </w:pPr>
          </w:p>
        </w:tc>
        <w:tc>
          <w:tcPr>
            <w:tcW w:w="1380" w:type="dxa"/>
            <w:vAlign w:val="bottom"/>
            <w:tcBorders>
              <w:top w:val="single" w:sz="8" w:color="691A6B"/>
            </w:tcBorders>
          </w:tcPr>
          <w:p>
            <w:pPr>
              <w:ind w:left="500"/>
              <w:spacing w:after="0" w:line="95" w:lineRule="exact"/>
              <w:rPr>
                <w:sz w:val="20"/>
                <w:szCs w:val="20"/>
                <w:color w:val="auto"/>
              </w:rPr>
            </w:pPr>
            <w:r>
              <w:rPr>
                <w:rFonts w:ascii="Arial" w:cs="Arial" w:eastAsia="Arial" w:hAnsi="Arial"/>
                <w:sz w:val="10"/>
                <w:szCs w:val="10"/>
                <w:b w:val="1"/>
                <w:bCs w:val="1"/>
                <w:color w:val="auto"/>
              </w:rPr>
              <w:t>Previously</w:t>
            </w:r>
          </w:p>
        </w:tc>
        <w:tc>
          <w:tcPr>
            <w:tcW w:w="94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Presentation</w:t>
            </w: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00" w:type="dxa"/>
            <w:vAlign w:val="bottom"/>
          </w:tcPr>
          <w:p>
            <w:pPr>
              <w:spacing w:after="0"/>
              <w:rPr>
                <w:sz w:val="11"/>
                <w:szCs w:val="11"/>
                <w:color w:val="auto"/>
              </w:rPr>
            </w:pPr>
          </w:p>
        </w:tc>
        <w:tc>
          <w:tcPr>
            <w:tcW w:w="1380" w:type="dxa"/>
            <w:vAlign w:val="bottom"/>
          </w:tcPr>
          <w:p>
            <w:pPr>
              <w:ind w:left="500"/>
              <w:spacing w:after="0"/>
              <w:rPr>
                <w:sz w:val="20"/>
                <w:szCs w:val="20"/>
                <w:color w:val="auto"/>
              </w:rPr>
            </w:pPr>
            <w:r>
              <w:rPr>
                <w:rFonts w:ascii="Arial" w:cs="Arial" w:eastAsia="Arial" w:hAnsi="Arial"/>
                <w:sz w:val="10"/>
                <w:szCs w:val="10"/>
                <w:b w:val="1"/>
                <w:bCs w:val="1"/>
                <w:color w:val="auto"/>
              </w:rPr>
              <w:t>reported in DKK</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spacing w:after="0"/>
              <w:rPr>
                <w:sz w:val="11"/>
                <w:szCs w:val="11"/>
                <w:color w:val="auto"/>
              </w:rPr>
            </w:pPr>
          </w:p>
        </w:tc>
      </w:tr>
      <w:tr>
        <w:trPr>
          <w:trHeight w:val="119"/>
        </w:trPr>
        <w:tc>
          <w:tcPr>
            <w:tcW w:w="1600" w:type="dxa"/>
            <w:vAlign w:val="bottom"/>
          </w:tcPr>
          <w:p>
            <w:pPr>
              <w:spacing w:after="0"/>
              <w:rPr>
                <w:sz w:val="10"/>
                <w:szCs w:val="10"/>
                <w:color w:val="auto"/>
              </w:rPr>
            </w:pPr>
          </w:p>
        </w:tc>
        <w:tc>
          <w:tcPr>
            <w:tcW w:w="1380" w:type="dxa"/>
            <w:vAlign w:val="bottom"/>
          </w:tcPr>
          <w:p>
            <w:pPr>
              <w:ind w:left="500"/>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spacing w:after="0"/>
              <w:rPr>
                <w:sz w:val="10"/>
                <w:szCs w:val="10"/>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600" w:type="dxa"/>
            <w:vAlign w:val="bottom"/>
          </w:tcPr>
          <w:p>
            <w:pPr>
              <w:spacing w:after="0"/>
              <w:rPr>
                <w:sz w:val="11"/>
                <w:szCs w:val="11"/>
                <w:color w:val="auto"/>
              </w:rPr>
            </w:pPr>
          </w:p>
        </w:tc>
        <w:tc>
          <w:tcPr>
            <w:tcW w:w="1380" w:type="dxa"/>
            <w:vAlign w:val="bottom"/>
          </w:tcPr>
          <w:p>
            <w:pPr>
              <w:ind w:left="500"/>
              <w:spacing w:after="0"/>
              <w:rPr>
                <w:sz w:val="20"/>
                <w:szCs w:val="20"/>
                <w:color w:val="auto"/>
              </w:rPr>
            </w:pPr>
            <w:r>
              <w:rPr>
                <w:rFonts w:ascii="Arial" w:cs="Arial" w:eastAsia="Arial" w:hAnsi="Arial"/>
                <w:sz w:val="10"/>
                <w:szCs w:val="10"/>
                <w:b w:val="1"/>
                <w:bCs w:val="1"/>
                <w:color w:val="auto"/>
              </w:rPr>
              <w:t>2024</w:t>
            </w:r>
          </w:p>
        </w:tc>
        <w:tc>
          <w:tcPr>
            <w:tcW w:w="94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60"/>
        </w:trPr>
        <w:tc>
          <w:tcPr>
            <w:tcW w:w="1600" w:type="dxa"/>
            <w:vAlign w:val="bottom"/>
          </w:tcPr>
          <w:p>
            <w:pPr>
              <w:ind w:left="20"/>
              <w:spacing w:after="0"/>
              <w:rPr>
                <w:sz w:val="20"/>
                <w:szCs w:val="20"/>
                <w:color w:val="auto"/>
              </w:rPr>
            </w:pPr>
            <w:r>
              <w:rPr>
                <w:rFonts w:ascii="Arial" w:cs="Arial" w:eastAsia="Arial" w:hAnsi="Arial"/>
                <w:sz w:val="10"/>
                <w:szCs w:val="10"/>
                <w:color w:val="auto"/>
              </w:rPr>
              <w:t>Net profit</w:t>
            </w:r>
          </w:p>
        </w:tc>
        <w:tc>
          <w:tcPr>
            <w:tcW w:w="1380" w:type="dxa"/>
            <w:vAlign w:val="bottom"/>
          </w:tcPr>
          <w:p>
            <w:pPr>
              <w:ind w:left="1020"/>
              <w:spacing w:after="0"/>
              <w:rPr>
                <w:sz w:val="20"/>
                <w:szCs w:val="20"/>
                <w:color w:val="auto"/>
              </w:rPr>
            </w:pPr>
            <w:r>
              <w:rPr>
                <w:rFonts w:ascii="Arial" w:cs="Arial" w:eastAsia="Arial" w:hAnsi="Arial"/>
                <w:sz w:val="10"/>
                <w:szCs w:val="10"/>
                <w:color w:val="auto"/>
              </w:rPr>
              <w:t>11,867</w:t>
            </w:r>
          </w:p>
        </w:tc>
        <w:tc>
          <w:tcPr>
            <w:tcW w:w="940" w:type="dxa"/>
            <w:vAlign w:val="bottom"/>
          </w:tcPr>
          <w:p>
            <w:pPr>
              <w:jc w:val="right"/>
              <w:spacing w:after="0"/>
              <w:rPr>
                <w:sz w:val="20"/>
                <w:szCs w:val="20"/>
                <w:color w:val="auto"/>
              </w:rPr>
            </w:pPr>
            <w:r>
              <w:rPr>
                <w:rFonts w:ascii="Arial" w:cs="Arial" w:eastAsia="Arial" w:hAnsi="Arial"/>
                <w:sz w:val="10"/>
                <w:szCs w:val="10"/>
                <w:color w:val="auto"/>
              </w:rPr>
              <w:t>(10,237)</w:t>
            </w:r>
          </w:p>
        </w:tc>
        <w:tc>
          <w:tcPr>
            <w:tcW w:w="960" w:type="dxa"/>
            <w:vAlign w:val="bottom"/>
          </w:tcPr>
          <w:p>
            <w:pPr>
              <w:jc w:val="right"/>
              <w:ind w:right="31"/>
              <w:spacing w:after="0"/>
              <w:rPr>
                <w:sz w:val="20"/>
                <w:szCs w:val="20"/>
                <w:color w:val="auto"/>
              </w:rPr>
            </w:pPr>
            <w:r>
              <w:rPr>
                <w:rFonts w:ascii="Arial" w:cs="Arial" w:eastAsia="Arial" w:hAnsi="Arial"/>
                <w:sz w:val="10"/>
                <w:szCs w:val="10"/>
                <w:color w:val="auto"/>
              </w:rPr>
              <w:t>1,630</w:t>
            </w:r>
          </w:p>
        </w:tc>
      </w:tr>
      <w:tr>
        <w:trPr>
          <w:trHeight w:val="152"/>
        </w:trPr>
        <w:tc>
          <w:tcPr>
            <w:tcW w:w="1600" w:type="dxa"/>
            <w:vAlign w:val="bottom"/>
          </w:tcPr>
          <w:p>
            <w:pPr>
              <w:ind w:left="20"/>
              <w:spacing w:after="0"/>
              <w:rPr>
                <w:sz w:val="20"/>
                <w:szCs w:val="20"/>
                <w:color w:val="auto"/>
              </w:rPr>
            </w:pPr>
            <w:r>
              <w:rPr>
                <w:rFonts w:ascii="Arial" w:cs="Arial" w:eastAsia="Arial" w:hAnsi="Arial"/>
                <w:sz w:val="10"/>
                <w:szCs w:val="10"/>
                <w:color w:val="auto"/>
              </w:rPr>
              <w:t>Comprehensive income</w:t>
            </w:r>
          </w:p>
        </w:tc>
        <w:tc>
          <w:tcPr>
            <w:tcW w:w="1380" w:type="dxa"/>
            <w:vAlign w:val="bottom"/>
          </w:tcPr>
          <w:p>
            <w:pPr>
              <w:ind w:left="1020"/>
              <w:spacing w:after="0"/>
              <w:rPr>
                <w:sz w:val="20"/>
                <w:szCs w:val="20"/>
                <w:color w:val="auto"/>
              </w:rPr>
            </w:pPr>
            <w:r>
              <w:rPr>
                <w:rFonts w:ascii="Arial" w:cs="Arial" w:eastAsia="Arial" w:hAnsi="Arial"/>
                <w:sz w:val="10"/>
                <w:szCs w:val="10"/>
                <w:color w:val="auto"/>
              </w:rPr>
              <w:t>11,867</w:t>
            </w:r>
          </w:p>
        </w:tc>
        <w:tc>
          <w:tcPr>
            <w:tcW w:w="940" w:type="dxa"/>
            <w:vAlign w:val="bottom"/>
          </w:tcPr>
          <w:p>
            <w:pPr>
              <w:jc w:val="right"/>
              <w:spacing w:after="0"/>
              <w:rPr>
                <w:sz w:val="20"/>
                <w:szCs w:val="20"/>
                <w:color w:val="auto"/>
              </w:rPr>
            </w:pPr>
            <w:r>
              <w:rPr>
                <w:rFonts w:ascii="Arial" w:cs="Arial" w:eastAsia="Arial" w:hAnsi="Arial"/>
                <w:sz w:val="10"/>
                <w:szCs w:val="10"/>
                <w:color w:val="auto"/>
              </w:rPr>
              <w:t>(10,473)</w:t>
            </w:r>
          </w:p>
        </w:tc>
        <w:tc>
          <w:tcPr>
            <w:tcW w:w="960" w:type="dxa"/>
            <w:vAlign w:val="bottom"/>
          </w:tcPr>
          <w:p>
            <w:pPr>
              <w:jc w:val="right"/>
              <w:ind w:right="31"/>
              <w:spacing w:after="0"/>
              <w:rPr>
                <w:sz w:val="20"/>
                <w:szCs w:val="20"/>
                <w:color w:val="auto"/>
              </w:rPr>
            </w:pPr>
            <w:r>
              <w:rPr>
                <w:rFonts w:ascii="Arial" w:cs="Arial" w:eastAsia="Arial" w:hAnsi="Arial"/>
                <w:sz w:val="10"/>
                <w:szCs w:val="10"/>
                <w:color w:val="auto"/>
              </w:rPr>
              <w:t>1,394</w:t>
            </w:r>
          </w:p>
        </w:tc>
      </w:tr>
    </w:tbl>
    <w:p>
      <w:pPr>
        <w:spacing w:after="0" w:line="232" w:lineRule="auto"/>
        <w:rPr>
          <w:sz w:val="20"/>
          <w:szCs w:val="20"/>
          <w:color w:val="auto"/>
        </w:rPr>
      </w:pPr>
      <w:r>
        <w:rPr>
          <w:rFonts w:ascii="Arial" w:cs="Arial" w:eastAsia="Arial" w:hAnsi="Arial"/>
          <w:sz w:val="10"/>
          <w:szCs w:val="10"/>
          <w:color w:val="auto"/>
        </w:rPr>
        <w:t>The change in presentation currency resulted in the following impact on the 12 months ended December</w:t>
      </w:r>
    </w:p>
    <w:p>
      <w:pPr>
        <w:spacing w:after="0" w:line="217" w:lineRule="auto"/>
        <w:rPr>
          <w:sz w:val="20"/>
          <w:szCs w:val="20"/>
          <w:color w:val="auto"/>
        </w:rPr>
      </w:pPr>
      <w:r>
        <w:rPr>
          <w:rFonts w:ascii="Arial" w:cs="Arial" w:eastAsia="Arial" w:hAnsi="Arial"/>
          <w:sz w:val="10"/>
          <w:szCs w:val="10"/>
          <w:color w:val="auto"/>
        </w:rPr>
        <w:t>31, 2024 parent statement of cash flows:</w:t>
      </w:r>
    </w:p>
    <w:tbl>
      <w:tblPr>
        <w:tblLayout w:type="fixed"/>
        <w:tblInd w:w="0" w:type="dxa"/>
        <w:tblCellMar>
          <w:top w:w="0" w:type="dxa"/>
          <w:left w:w="0" w:type="dxa"/>
          <w:bottom w:w="0" w:type="dxa"/>
          <w:right w:w="0" w:type="dxa"/>
        </w:tblCellMar>
      </w:tblPr>
      <w:tr>
        <w:trPr>
          <w:trHeight w:val="95"/>
        </w:trPr>
        <w:tc>
          <w:tcPr>
            <w:tcW w:w="1640" w:type="dxa"/>
            <w:vAlign w:val="bottom"/>
            <w:tcBorders>
              <w:top w:val="single" w:sz="8" w:color="691A6B"/>
            </w:tcBorders>
          </w:tcPr>
          <w:p>
            <w:pPr>
              <w:spacing w:after="0"/>
              <w:rPr>
                <w:sz w:val="8"/>
                <w:szCs w:val="8"/>
                <w:color w:val="auto"/>
              </w:rPr>
            </w:pPr>
          </w:p>
        </w:tc>
        <w:tc>
          <w:tcPr>
            <w:tcW w:w="1360" w:type="dxa"/>
            <w:vAlign w:val="bottom"/>
            <w:tcBorders>
              <w:top w:val="single" w:sz="8" w:color="691A6B"/>
            </w:tcBorders>
          </w:tcPr>
          <w:p>
            <w:pPr>
              <w:ind w:left="460"/>
              <w:spacing w:after="0" w:line="95" w:lineRule="exact"/>
              <w:rPr>
                <w:sz w:val="20"/>
                <w:szCs w:val="20"/>
                <w:color w:val="auto"/>
              </w:rPr>
            </w:pPr>
            <w:r>
              <w:rPr>
                <w:rFonts w:ascii="Arial" w:cs="Arial" w:eastAsia="Arial" w:hAnsi="Arial"/>
                <w:sz w:val="10"/>
                <w:szCs w:val="10"/>
                <w:b w:val="1"/>
                <w:bCs w:val="1"/>
                <w:color w:val="auto"/>
              </w:rPr>
              <w:t>Previously</w:t>
            </w:r>
          </w:p>
        </w:tc>
        <w:tc>
          <w:tcPr>
            <w:tcW w:w="9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Presentation</w:t>
            </w:r>
          </w:p>
        </w:tc>
        <w:tc>
          <w:tcPr>
            <w:tcW w:w="96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Reported in USD</w:t>
            </w:r>
          </w:p>
        </w:tc>
      </w:tr>
      <w:tr>
        <w:trPr>
          <w:trHeight w:val="128"/>
        </w:trPr>
        <w:tc>
          <w:tcPr>
            <w:tcW w:w="1640" w:type="dxa"/>
            <w:vAlign w:val="bottom"/>
          </w:tcPr>
          <w:p>
            <w:pPr>
              <w:spacing w:after="0"/>
              <w:rPr>
                <w:sz w:val="11"/>
                <w:szCs w:val="11"/>
                <w:color w:val="auto"/>
              </w:rPr>
            </w:pPr>
          </w:p>
        </w:tc>
        <w:tc>
          <w:tcPr>
            <w:tcW w:w="1360" w:type="dxa"/>
            <w:vAlign w:val="bottom"/>
          </w:tcPr>
          <w:p>
            <w:pPr>
              <w:ind w:left="460"/>
              <w:spacing w:after="0"/>
              <w:rPr>
                <w:sz w:val="20"/>
                <w:szCs w:val="20"/>
                <w:color w:val="auto"/>
              </w:rPr>
            </w:pPr>
            <w:r>
              <w:rPr>
                <w:rFonts w:ascii="Arial" w:cs="Arial" w:eastAsia="Arial" w:hAnsi="Arial"/>
                <w:sz w:val="10"/>
                <w:szCs w:val="10"/>
                <w:b w:val="1"/>
                <w:bCs w:val="1"/>
                <w:color w:val="auto"/>
              </w:rPr>
              <w:t>reported in DKK</w:t>
            </w:r>
          </w:p>
        </w:tc>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currency change</w:t>
            </w:r>
          </w:p>
        </w:tc>
        <w:tc>
          <w:tcPr>
            <w:tcW w:w="960" w:type="dxa"/>
            <w:vAlign w:val="bottom"/>
          </w:tcPr>
          <w:p>
            <w:pPr>
              <w:spacing w:after="0"/>
              <w:rPr>
                <w:sz w:val="11"/>
                <w:szCs w:val="11"/>
                <w:color w:val="auto"/>
              </w:rPr>
            </w:pPr>
          </w:p>
        </w:tc>
      </w:tr>
      <w:tr>
        <w:trPr>
          <w:trHeight w:val="119"/>
        </w:trPr>
        <w:tc>
          <w:tcPr>
            <w:tcW w:w="1640" w:type="dxa"/>
            <w:vAlign w:val="bottom"/>
          </w:tcPr>
          <w:p>
            <w:pPr>
              <w:ind w:left="20"/>
              <w:spacing w:after="0"/>
              <w:rPr>
                <w:sz w:val="20"/>
                <w:szCs w:val="20"/>
                <w:color w:val="auto"/>
              </w:rPr>
            </w:pPr>
            <w:r>
              <w:rPr>
                <w:rFonts w:ascii="Arial" w:cs="Arial" w:eastAsia="Arial" w:hAnsi="Arial"/>
                <w:sz w:val="10"/>
                <w:szCs w:val="10"/>
                <w:color w:val="auto"/>
              </w:rPr>
              <w:t>Cash provided by (used in):</w:t>
            </w:r>
          </w:p>
        </w:tc>
        <w:tc>
          <w:tcPr>
            <w:tcW w:w="1360" w:type="dxa"/>
            <w:vAlign w:val="bottom"/>
          </w:tcPr>
          <w:p>
            <w:pPr>
              <w:ind w:left="460"/>
              <w:spacing w:after="0"/>
              <w:rPr>
                <w:sz w:val="20"/>
                <w:szCs w:val="20"/>
                <w:color w:val="auto"/>
              </w:rPr>
            </w:pPr>
            <w:r>
              <w:rPr>
                <w:rFonts w:ascii="Arial" w:cs="Arial" w:eastAsia="Arial" w:hAnsi="Arial"/>
                <w:sz w:val="10"/>
                <w:szCs w:val="10"/>
                <w:b w:val="1"/>
                <w:bCs w:val="1"/>
                <w:color w:val="auto"/>
              </w:rPr>
              <w:t>December 31,</w:t>
            </w:r>
          </w:p>
        </w:tc>
        <w:tc>
          <w:tcPr>
            <w:tcW w:w="920" w:type="dxa"/>
            <w:vAlign w:val="bottom"/>
          </w:tcPr>
          <w:p>
            <w:pPr>
              <w:spacing w:after="0"/>
              <w:rPr>
                <w:sz w:val="10"/>
                <w:szCs w:val="10"/>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1640" w:type="dxa"/>
            <w:vAlign w:val="bottom"/>
          </w:tcPr>
          <w:p>
            <w:pPr>
              <w:spacing w:after="0"/>
              <w:rPr>
                <w:sz w:val="11"/>
                <w:szCs w:val="11"/>
                <w:color w:val="auto"/>
              </w:rPr>
            </w:pPr>
          </w:p>
        </w:tc>
        <w:tc>
          <w:tcPr>
            <w:tcW w:w="1360" w:type="dxa"/>
            <w:vAlign w:val="bottom"/>
          </w:tcPr>
          <w:p>
            <w:pPr>
              <w:ind w:left="460"/>
              <w:spacing w:after="0"/>
              <w:rPr>
                <w:sz w:val="20"/>
                <w:szCs w:val="20"/>
                <w:color w:val="auto"/>
              </w:rPr>
            </w:pPr>
            <w:r>
              <w:rPr>
                <w:rFonts w:ascii="Arial" w:cs="Arial" w:eastAsia="Arial" w:hAnsi="Arial"/>
                <w:sz w:val="10"/>
                <w:szCs w:val="10"/>
                <w:b w:val="1"/>
                <w:bCs w:val="1"/>
                <w:color w:val="auto"/>
              </w:rPr>
              <w:t>2024</w:t>
            </w:r>
          </w:p>
        </w:tc>
        <w:tc>
          <w:tcPr>
            <w:tcW w:w="92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2024</w:t>
            </w:r>
          </w:p>
        </w:tc>
      </w:tr>
      <w:tr>
        <w:trPr>
          <w:trHeight w:val="160"/>
        </w:trPr>
        <w:tc>
          <w:tcPr>
            <w:tcW w:w="1640" w:type="dxa"/>
            <w:vAlign w:val="bottom"/>
          </w:tcPr>
          <w:p>
            <w:pPr>
              <w:ind w:left="20"/>
              <w:spacing w:after="0"/>
              <w:rPr>
                <w:sz w:val="20"/>
                <w:szCs w:val="20"/>
                <w:color w:val="auto"/>
              </w:rPr>
            </w:pPr>
            <w:r>
              <w:rPr>
                <w:rFonts w:ascii="Arial" w:cs="Arial" w:eastAsia="Arial" w:hAnsi="Arial"/>
                <w:sz w:val="10"/>
                <w:szCs w:val="10"/>
                <w:color w:val="auto"/>
              </w:rPr>
              <w:t>Operating activities</w:t>
            </w:r>
          </w:p>
        </w:tc>
        <w:tc>
          <w:tcPr>
            <w:tcW w:w="1360" w:type="dxa"/>
            <w:vAlign w:val="bottom"/>
          </w:tcPr>
          <w:p>
            <w:pPr>
              <w:jc w:val="right"/>
              <w:spacing w:after="0"/>
              <w:rPr>
                <w:sz w:val="20"/>
                <w:szCs w:val="20"/>
                <w:color w:val="auto"/>
              </w:rPr>
            </w:pPr>
            <w:r>
              <w:rPr>
                <w:rFonts w:ascii="Arial" w:cs="Arial" w:eastAsia="Arial" w:hAnsi="Arial"/>
                <w:sz w:val="10"/>
                <w:szCs w:val="10"/>
                <w:color w:val="auto"/>
              </w:rPr>
              <w:t>(9,553)</w:t>
            </w:r>
          </w:p>
        </w:tc>
        <w:tc>
          <w:tcPr>
            <w:tcW w:w="920" w:type="dxa"/>
            <w:vAlign w:val="bottom"/>
          </w:tcPr>
          <w:p>
            <w:pPr>
              <w:jc w:val="right"/>
              <w:ind w:right="10"/>
              <w:spacing w:after="0"/>
              <w:rPr>
                <w:sz w:val="20"/>
                <w:szCs w:val="20"/>
                <w:color w:val="auto"/>
              </w:rPr>
            </w:pPr>
            <w:r>
              <w:rPr>
                <w:rFonts w:ascii="Arial" w:cs="Arial" w:eastAsia="Arial" w:hAnsi="Arial"/>
                <w:sz w:val="10"/>
                <w:szCs w:val="10"/>
                <w:color w:val="auto"/>
              </w:rPr>
              <w:t>10,830</w:t>
            </w:r>
          </w:p>
        </w:tc>
        <w:tc>
          <w:tcPr>
            <w:tcW w:w="960" w:type="dxa"/>
            <w:vAlign w:val="bottom"/>
          </w:tcPr>
          <w:p>
            <w:pPr>
              <w:jc w:val="right"/>
              <w:ind w:right="30"/>
              <w:spacing w:after="0"/>
              <w:rPr>
                <w:sz w:val="20"/>
                <w:szCs w:val="20"/>
                <w:color w:val="auto"/>
              </w:rPr>
            </w:pPr>
            <w:r>
              <w:rPr>
                <w:rFonts w:ascii="Arial" w:cs="Arial" w:eastAsia="Arial" w:hAnsi="Arial"/>
                <w:sz w:val="10"/>
                <w:szCs w:val="10"/>
                <w:color w:val="auto"/>
              </w:rPr>
              <w:t>1,277</w:t>
            </w:r>
          </w:p>
        </w:tc>
      </w:tr>
      <w:tr>
        <w:trPr>
          <w:trHeight w:val="152"/>
        </w:trPr>
        <w:tc>
          <w:tcPr>
            <w:tcW w:w="1640" w:type="dxa"/>
            <w:vAlign w:val="bottom"/>
          </w:tcPr>
          <w:p>
            <w:pPr>
              <w:ind w:left="20"/>
              <w:spacing w:after="0"/>
              <w:rPr>
                <w:sz w:val="20"/>
                <w:szCs w:val="20"/>
                <w:color w:val="auto"/>
              </w:rPr>
            </w:pPr>
            <w:r>
              <w:rPr>
                <w:rFonts w:ascii="Arial" w:cs="Arial" w:eastAsia="Arial" w:hAnsi="Arial"/>
                <w:sz w:val="10"/>
                <w:szCs w:val="10"/>
                <w:color w:val="auto"/>
              </w:rPr>
              <w:t>Investing activities</w:t>
            </w:r>
          </w:p>
        </w:tc>
        <w:tc>
          <w:tcPr>
            <w:tcW w:w="1360" w:type="dxa"/>
            <w:vAlign w:val="bottom"/>
          </w:tcPr>
          <w:p>
            <w:pPr>
              <w:jc w:val="right"/>
              <w:spacing w:after="0"/>
              <w:rPr>
                <w:sz w:val="20"/>
                <w:szCs w:val="20"/>
                <w:color w:val="auto"/>
              </w:rPr>
            </w:pPr>
            <w:r>
              <w:rPr>
                <w:rFonts w:ascii="Arial" w:cs="Arial" w:eastAsia="Arial" w:hAnsi="Arial"/>
                <w:sz w:val="10"/>
                <w:szCs w:val="10"/>
                <w:color w:val="auto"/>
              </w:rPr>
              <w:t>(11,746)</w:t>
            </w:r>
          </w:p>
        </w:tc>
        <w:tc>
          <w:tcPr>
            <w:tcW w:w="920" w:type="dxa"/>
            <w:vAlign w:val="bottom"/>
          </w:tcPr>
          <w:p>
            <w:pPr>
              <w:jc w:val="right"/>
              <w:ind w:right="10"/>
              <w:spacing w:after="0"/>
              <w:rPr>
                <w:sz w:val="20"/>
                <w:szCs w:val="20"/>
                <w:color w:val="auto"/>
              </w:rPr>
            </w:pPr>
            <w:r>
              <w:rPr>
                <w:rFonts w:ascii="Arial" w:cs="Arial" w:eastAsia="Arial" w:hAnsi="Arial"/>
                <w:sz w:val="10"/>
                <w:szCs w:val="10"/>
                <w:color w:val="auto"/>
              </w:rPr>
              <w:t>10,134</w:t>
            </w:r>
          </w:p>
        </w:tc>
        <w:tc>
          <w:tcPr>
            <w:tcW w:w="960" w:type="dxa"/>
            <w:vAlign w:val="bottom"/>
          </w:tcPr>
          <w:p>
            <w:pPr>
              <w:jc w:val="right"/>
              <w:ind w:right="10"/>
              <w:spacing w:after="0"/>
              <w:rPr>
                <w:sz w:val="20"/>
                <w:szCs w:val="20"/>
                <w:color w:val="auto"/>
              </w:rPr>
            </w:pPr>
            <w:r>
              <w:rPr>
                <w:rFonts w:ascii="Arial" w:cs="Arial" w:eastAsia="Arial" w:hAnsi="Arial"/>
                <w:sz w:val="10"/>
                <w:szCs w:val="10"/>
                <w:color w:val="auto"/>
              </w:rPr>
              <w:t>(1,612)</w:t>
            </w:r>
          </w:p>
        </w:tc>
      </w:tr>
      <w:tr>
        <w:trPr>
          <w:trHeight w:val="152"/>
        </w:trPr>
        <w:tc>
          <w:tcPr>
            <w:tcW w:w="1640" w:type="dxa"/>
            <w:vAlign w:val="bottom"/>
          </w:tcPr>
          <w:p>
            <w:pPr>
              <w:ind w:left="20"/>
              <w:spacing w:after="0"/>
              <w:rPr>
                <w:sz w:val="20"/>
                <w:szCs w:val="20"/>
                <w:color w:val="auto"/>
              </w:rPr>
            </w:pPr>
            <w:r>
              <w:rPr>
                <w:rFonts w:ascii="Arial" w:cs="Arial" w:eastAsia="Arial" w:hAnsi="Arial"/>
                <w:sz w:val="10"/>
                <w:szCs w:val="10"/>
                <w:color w:val="auto"/>
              </w:rPr>
              <w:t>Financing activities</w:t>
            </w:r>
          </w:p>
        </w:tc>
        <w:tc>
          <w:tcPr>
            <w:tcW w:w="1360" w:type="dxa"/>
            <w:vAlign w:val="bottom"/>
          </w:tcPr>
          <w:p>
            <w:pPr>
              <w:jc w:val="right"/>
              <w:spacing w:after="0"/>
              <w:rPr>
                <w:sz w:val="20"/>
                <w:szCs w:val="20"/>
                <w:color w:val="auto"/>
              </w:rPr>
            </w:pPr>
            <w:r>
              <w:rPr>
                <w:rFonts w:ascii="Arial" w:cs="Arial" w:eastAsia="Arial" w:hAnsi="Arial"/>
                <w:sz w:val="10"/>
                <w:szCs w:val="10"/>
                <w:color w:val="auto"/>
              </w:rPr>
              <w:t>(3,872)</w:t>
            </w:r>
          </w:p>
        </w:tc>
        <w:tc>
          <w:tcPr>
            <w:tcW w:w="920" w:type="dxa"/>
            <w:vAlign w:val="bottom"/>
          </w:tcPr>
          <w:p>
            <w:pPr>
              <w:jc w:val="right"/>
              <w:ind w:right="10"/>
              <w:spacing w:after="0"/>
              <w:rPr>
                <w:sz w:val="20"/>
                <w:szCs w:val="20"/>
                <w:color w:val="auto"/>
              </w:rPr>
            </w:pPr>
            <w:r>
              <w:rPr>
                <w:rFonts w:ascii="Arial" w:cs="Arial" w:eastAsia="Arial" w:hAnsi="Arial"/>
                <w:sz w:val="10"/>
                <w:szCs w:val="10"/>
                <w:color w:val="auto"/>
              </w:rPr>
              <w:t>3,313</w:t>
            </w:r>
          </w:p>
        </w:tc>
        <w:tc>
          <w:tcPr>
            <w:tcW w:w="960" w:type="dxa"/>
            <w:vAlign w:val="bottom"/>
          </w:tcPr>
          <w:p>
            <w:pPr>
              <w:jc w:val="right"/>
              <w:ind w:right="10"/>
              <w:spacing w:after="0"/>
              <w:rPr>
                <w:sz w:val="20"/>
                <w:szCs w:val="20"/>
                <w:color w:val="auto"/>
              </w:rPr>
            </w:pPr>
            <w:r>
              <w:rPr>
                <w:rFonts w:ascii="Arial" w:cs="Arial" w:eastAsia="Arial" w:hAnsi="Arial"/>
                <w:sz w:val="10"/>
                <w:szCs w:val="10"/>
                <w:color w:val="auto"/>
              </w:rPr>
              <w:t>(559)</w:t>
            </w:r>
          </w:p>
        </w:tc>
      </w:tr>
    </w:tbl>
    <w:p>
      <w:pPr>
        <w:spacing w:after="0"/>
        <w:rPr>
          <w:sz w:val="20"/>
          <w:szCs w:val="20"/>
          <w:color w:val="auto"/>
        </w:rPr>
      </w:pPr>
      <w:r>
        <w:rPr>
          <w:rFonts w:ascii="Arial" w:cs="Arial" w:eastAsia="Arial" w:hAnsi="Arial"/>
          <w:sz w:val="13"/>
          <w:szCs w:val="13"/>
          <w:b w:val="1"/>
          <w:bCs w:val="1"/>
          <w:color w:val="691A6B"/>
        </w:rPr>
        <w:t>Foreign Currency</w:t>
      </w:r>
    </w:p>
    <w:p>
      <w:pPr>
        <w:jc w:val="both"/>
        <w:ind w:right="4900"/>
        <w:spacing w:after="0" w:line="198" w:lineRule="auto"/>
        <w:rPr>
          <w:sz w:val="20"/>
          <w:szCs w:val="20"/>
          <w:color w:val="auto"/>
        </w:rPr>
      </w:pPr>
      <w:r>
        <w:rPr>
          <w:rFonts w:ascii="Arial" w:cs="Arial" w:eastAsia="Arial" w:hAnsi="Arial"/>
          <w:sz w:val="10"/>
          <w:szCs w:val="10"/>
          <w:color w:val="auto"/>
        </w:rPr>
        <w:t>As stated above, the parent company financial statements were originally prepared in DKK, which was the presentation currency of Genmab. As such, foreign currency transactions reflect the original impacts of the DKK presentation currency.</w:t>
      </w:r>
    </w:p>
    <w:p>
      <w:pPr>
        <w:spacing w:after="0" w:line="200" w:lineRule="auto"/>
        <w:rPr>
          <w:sz w:val="20"/>
          <w:szCs w:val="20"/>
          <w:color w:val="auto"/>
        </w:rPr>
      </w:pPr>
      <w:r>
        <w:rPr>
          <w:rFonts w:ascii="Arial" w:cs="Arial" w:eastAsia="Arial" w:hAnsi="Arial"/>
          <w:sz w:val="10"/>
          <w:szCs w:val="10"/>
          <w:color w:val="auto"/>
        </w:rPr>
        <w:t>Transactions in foreign currencies are translated at the exchange rates in effect at the date of</w:t>
      </w:r>
    </w:p>
    <w:p>
      <w:pPr>
        <w:spacing w:after="0" w:line="199" w:lineRule="auto"/>
        <w:rPr>
          <w:sz w:val="20"/>
          <w:szCs w:val="20"/>
          <w:color w:val="auto"/>
        </w:rPr>
      </w:pPr>
      <w:r>
        <w:rPr>
          <w:rFonts w:ascii="Arial" w:cs="Arial" w:eastAsia="Arial" w:hAnsi="Arial"/>
          <w:sz w:val="10"/>
          <w:szCs w:val="10"/>
          <w:color w:val="auto"/>
        </w:rPr>
        <w:t>the transaction.</w:t>
      </w:r>
    </w:p>
    <w:p>
      <w:pPr>
        <w:spacing w:after="0" w:line="198" w:lineRule="auto"/>
        <w:rPr>
          <w:sz w:val="20"/>
          <w:szCs w:val="20"/>
          <w:color w:val="auto"/>
        </w:rPr>
      </w:pPr>
      <w:r>
        <w:rPr>
          <w:rFonts w:ascii="Arial" w:cs="Arial" w:eastAsia="Arial" w:hAnsi="Arial"/>
          <w:sz w:val="10"/>
          <w:szCs w:val="10"/>
          <w:color w:val="auto"/>
        </w:rPr>
        <w:t>Exchange rate gains and losses arising between the transaction date and the settlement date are</w:t>
      </w:r>
    </w:p>
    <w:p>
      <w:pPr>
        <w:spacing w:after="0" w:line="199" w:lineRule="auto"/>
        <w:rPr>
          <w:sz w:val="20"/>
          <w:szCs w:val="20"/>
          <w:color w:val="auto"/>
        </w:rPr>
      </w:pPr>
      <w:r>
        <w:rPr>
          <w:rFonts w:ascii="Arial" w:cs="Arial" w:eastAsia="Arial" w:hAnsi="Arial"/>
          <w:sz w:val="10"/>
          <w:szCs w:val="10"/>
          <w:color w:val="auto"/>
        </w:rPr>
        <w:t>recognized in the Parent Statements of Comprehensive Income as financial income or expense.</w:t>
      </w:r>
    </w:p>
    <w:p>
      <w:pPr>
        <w:ind w:right="4860"/>
        <w:spacing w:after="0"/>
        <w:rPr>
          <w:sz w:val="20"/>
          <w:szCs w:val="20"/>
          <w:color w:val="auto"/>
        </w:rPr>
      </w:pPr>
      <w:r>
        <w:rPr>
          <w:rFonts w:ascii="Arial" w:cs="Arial" w:eastAsia="Arial" w:hAnsi="Arial"/>
          <w:sz w:val="10"/>
          <w:szCs w:val="10"/>
          <w:color w:val="auto"/>
        </w:rPr>
        <w:t>Unsettled monetary assets and liabilities in foreign currencies are translated at the exchange rates in effect at the balance sheet date. Exchange rate gains and losses arising between the transaction date and the balance sheet date are recognized in the Parent Statements of Comprehensive Income as financial income or expense.</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74" w:lineRule="exact"/>
        <w:rPr>
          <w:rFonts w:ascii="Arial" w:cs="Arial" w:eastAsia="Arial" w:hAnsi="Arial"/>
          <w:sz w:val="10"/>
          <w:szCs w:val="1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164</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p>
      <w:pPr>
        <w:spacing w:after="0" w:line="211" w:lineRule="auto"/>
        <w:rPr>
          <w:sz w:val="20"/>
          <w:szCs w:val="20"/>
          <w:color w:val="auto"/>
        </w:rPr>
      </w:pPr>
      <w:r>
        <w:rPr>
          <w:rFonts w:ascii="Arial" w:cs="Arial" w:eastAsia="Arial" w:hAnsi="Arial"/>
          <w:sz w:val="15"/>
          <w:szCs w:val="15"/>
          <w:b w:val="1"/>
          <w:bCs w:val="1"/>
          <w:color w:val="691A6B"/>
        </w:rPr>
        <w:t>1.2 - Revisions and Reclassifications of Prior Period Financial</w:t>
      </w:r>
    </w:p>
    <w:p>
      <w:pPr>
        <w:spacing w:after="0" w:line="209" w:lineRule="auto"/>
        <w:rPr>
          <w:sz w:val="20"/>
          <w:szCs w:val="20"/>
          <w:color w:val="auto"/>
        </w:rPr>
      </w:pPr>
      <w:r>
        <w:rPr>
          <w:rFonts w:ascii="Arial" w:cs="Arial" w:eastAsia="Arial" w:hAnsi="Arial"/>
          <w:sz w:val="15"/>
          <w:szCs w:val="15"/>
          <w:b w:val="1"/>
          <w:bCs w:val="1"/>
          <w:color w:val="691A6B"/>
        </w:rPr>
        <w:t>Statements</w:t>
      </w:r>
    </w:p>
    <w:p>
      <w:pPr>
        <w:spacing w:after="0" w:line="195" w:lineRule="auto"/>
        <w:rPr>
          <w:sz w:val="20"/>
          <w:szCs w:val="20"/>
          <w:color w:val="auto"/>
        </w:rPr>
      </w:pPr>
      <w:r>
        <w:rPr>
          <w:rFonts w:ascii="Arial" w:cs="Arial" w:eastAsia="Arial" w:hAnsi="Arial"/>
          <w:sz w:val="12"/>
          <w:szCs w:val="12"/>
          <w:b w:val="1"/>
          <w:bCs w:val="1"/>
          <w:color w:val="auto"/>
        </w:rPr>
        <w:t>Restatement</w:t>
      </w:r>
    </w:p>
    <w:p>
      <w:pPr>
        <w:ind w:right="4880"/>
        <w:spacing w:after="0" w:line="200" w:lineRule="auto"/>
        <w:rPr>
          <w:sz w:val="20"/>
          <w:szCs w:val="20"/>
          <w:color w:val="auto"/>
        </w:rPr>
      </w:pPr>
      <w:r>
        <w:rPr>
          <w:rFonts w:ascii="Arial" w:cs="Arial" w:eastAsia="Arial" w:hAnsi="Arial"/>
          <w:sz w:val="10"/>
          <w:szCs w:val="10"/>
          <w:color w:val="auto"/>
        </w:rPr>
        <w:t>During 2025, two adjustments totaling $107 million were identified that should have been recorded in Genmab A/S’s financial statements in 2024 but were instead recorded in 2025. These adjustments, which had a $24 million impact to corporate tax expense and net deferred tax liabilities, related to the transfer pricing agreement between Genmab A/S and subsidiary, Genmab U.S. Inc for reimbursement for R&amp;D and SG&amp;A services. Genmab evaluated the error under IAS 1 “Presentation of Financial Statements”, IAS 8 “Accounting Policies, Changes in Accounting Estimates and Errors”, and determined that the related impact of this error would be material to Genmab’s financial statements of the parent company. Accordingly, Genmab has restated the 2024 financial statements and related notes included herein. The comparative figures for fiscal years 2024 have been revised accordingly</w:t>
      </w:r>
    </w:p>
    <w:p>
      <w:pPr>
        <w:spacing w:after="0" w:line="3"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28"/>
        </w:trPr>
        <w:tc>
          <w:tcPr>
            <w:tcW w:w="2460" w:type="dxa"/>
            <w:vAlign w:val="bottom"/>
            <w:tcBorders>
              <w:top w:val="single" w:sz="8" w:color="691A6B"/>
            </w:tcBorders>
          </w:tcPr>
          <w:p>
            <w:pPr>
              <w:ind w:left="2080"/>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top w:val="single" w:sz="8" w:color="691A6B"/>
            </w:tcBorders>
          </w:tcPr>
          <w:p>
            <w:pPr>
              <w:spacing w:after="0"/>
              <w:rPr>
                <w:sz w:val="11"/>
                <w:szCs w:val="11"/>
                <w:color w:val="auto"/>
              </w:rPr>
            </w:pPr>
          </w:p>
        </w:tc>
        <w:tc>
          <w:tcPr>
            <w:tcW w:w="920" w:type="dxa"/>
            <w:vAlign w:val="bottom"/>
            <w:tcBorders>
              <w:top w:val="single" w:sz="8" w:color="691A6B"/>
            </w:tcBorders>
          </w:tcPr>
          <w:p>
            <w:pPr>
              <w:spacing w:after="0"/>
              <w:rPr>
                <w:sz w:val="11"/>
                <w:szCs w:val="11"/>
                <w:color w:val="auto"/>
              </w:rPr>
            </w:pPr>
          </w:p>
        </w:tc>
        <w:tc>
          <w:tcPr>
            <w:tcW w:w="940" w:type="dxa"/>
            <w:vAlign w:val="bottom"/>
            <w:tcBorders>
              <w:top w:val="single" w:sz="8" w:color="691A6B"/>
            </w:tcBorders>
          </w:tcPr>
          <w:p>
            <w:pPr>
              <w:spacing w:after="0"/>
              <w:rPr>
                <w:sz w:val="11"/>
                <w:szCs w:val="11"/>
                <w:color w:val="auto"/>
              </w:rPr>
            </w:pPr>
          </w:p>
        </w:tc>
      </w:tr>
      <w:tr>
        <w:trPr>
          <w:trHeight w:val="100"/>
        </w:trPr>
        <w:tc>
          <w:tcPr>
            <w:tcW w:w="2980" w:type="dxa"/>
            <w:vAlign w:val="bottom"/>
            <w:gridSpan w:val="2"/>
          </w:tcPr>
          <w:p>
            <w:pPr>
              <w:ind w:left="2080"/>
              <w:spacing w:after="0" w:line="101" w:lineRule="exact"/>
              <w:rPr>
                <w:sz w:val="20"/>
                <w:szCs w:val="20"/>
                <w:color w:val="auto"/>
              </w:rPr>
            </w:pPr>
            <w:r>
              <w:rPr>
                <w:rFonts w:ascii="Arial" w:cs="Arial" w:eastAsia="Arial" w:hAnsi="Arial"/>
                <w:sz w:val="10"/>
                <w:szCs w:val="10"/>
                <w:b w:val="1"/>
                <w:bCs w:val="1"/>
                <w:color w:val="auto"/>
              </w:rPr>
              <w:t>Revised Balances</w:t>
            </w:r>
          </w:p>
        </w:tc>
        <w:tc>
          <w:tcPr>
            <w:tcW w:w="920" w:type="dxa"/>
            <w:vAlign w:val="bottom"/>
          </w:tcPr>
          <w:p>
            <w:pPr>
              <w:ind w:left="20"/>
              <w:spacing w:after="0" w:line="101" w:lineRule="exact"/>
              <w:rPr>
                <w:sz w:val="20"/>
                <w:szCs w:val="20"/>
                <w:color w:val="auto"/>
              </w:rPr>
            </w:pPr>
            <w:r>
              <w:rPr>
                <w:rFonts w:ascii="Arial" w:cs="Arial" w:eastAsia="Arial" w:hAnsi="Arial"/>
                <w:sz w:val="10"/>
                <w:szCs w:val="10"/>
                <w:b w:val="1"/>
                <w:bCs w:val="1"/>
                <w:color w:val="auto"/>
              </w:rPr>
              <w:t>Effect of Error</w:t>
            </w:r>
          </w:p>
        </w:tc>
        <w:tc>
          <w:tcPr>
            <w:tcW w:w="940" w:type="dxa"/>
            <w:vAlign w:val="bottom"/>
          </w:tcPr>
          <w:p>
            <w:pPr>
              <w:ind w:left="20"/>
              <w:spacing w:after="0" w:line="101" w:lineRule="exact"/>
              <w:rPr>
                <w:sz w:val="20"/>
                <w:szCs w:val="20"/>
                <w:color w:val="auto"/>
              </w:rPr>
            </w:pPr>
            <w:r>
              <w:rPr>
                <w:rFonts w:ascii="Arial" w:cs="Arial" w:eastAsia="Arial" w:hAnsi="Arial"/>
                <w:sz w:val="10"/>
                <w:szCs w:val="10"/>
                <w:b w:val="1"/>
                <w:bCs w:val="1"/>
                <w:color w:val="auto"/>
              </w:rPr>
              <w:t>Previously</w:t>
            </w:r>
          </w:p>
        </w:tc>
      </w:tr>
      <w:tr>
        <w:trPr>
          <w:trHeight w:val="95"/>
        </w:trPr>
        <w:tc>
          <w:tcPr>
            <w:tcW w:w="2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Correction</w:t>
            </w: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Reported</w:t>
            </w:r>
          </w:p>
        </w:tc>
      </w:tr>
      <w:tr>
        <w:trPr>
          <w:trHeight w:val="128"/>
        </w:trPr>
        <w:tc>
          <w:tcPr>
            <w:tcW w:w="2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Balances</w:t>
            </w:r>
          </w:p>
        </w:tc>
      </w:tr>
      <w:tr>
        <w:trPr>
          <w:trHeight w:val="366"/>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Income Statement:</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6"/>
        </w:trPr>
        <w:tc>
          <w:tcPr>
            <w:tcW w:w="2460" w:type="dxa"/>
            <w:vAlign w:val="bottom"/>
          </w:tcPr>
          <w:p>
            <w:pPr>
              <w:ind w:left="20"/>
              <w:spacing w:after="0"/>
              <w:rPr>
                <w:sz w:val="20"/>
                <w:szCs w:val="20"/>
                <w:color w:val="auto"/>
              </w:rPr>
            </w:pPr>
            <w:r>
              <w:rPr>
                <w:rFonts w:ascii="Arial" w:cs="Arial" w:eastAsia="Arial" w:hAnsi="Arial"/>
                <w:sz w:val="10"/>
                <w:szCs w:val="10"/>
                <w:color w:val="auto"/>
              </w:rPr>
              <w:t>Revenue</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3,213</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3,213</w:t>
            </w:r>
          </w:p>
        </w:tc>
      </w:tr>
      <w:tr>
        <w:trPr>
          <w:trHeight w:val="152"/>
        </w:trPr>
        <w:tc>
          <w:tcPr>
            <w:tcW w:w="2460" w:type="dxa"/>
            <w:vAlign w:val="bottom"/>
          </w:tcPr>
          <w:p>
            <w:pPr>
              <w:ind w:left="20"/>
              <w:spacing w:after="0"/>
              <w:rPr>
                <w:sz w:val="20"/>
                <w:szCs w:val="20"/>
                <w:color w:val="auto"/>
              </w:rPr>
            </w:pPr>
            <w:r>
              <w:rPr>
                <w:rFonts w:ascii="Arial" w:cs="Arial" w:eastAsia="Arial" w:hAnsi="Arial"/>
                <w:sz w:val="10"/>
                <w:szCs w:val="10"/>
                <w:color w:val="auto"/>
              </w:rPr>
              <w:t>Cost of product sales</w:t>
            </w:r>
          </w:p>
        </w:tc>
        <w:tc>
          <w:tcPr>
            <w:tcW w:w="520" w:type="dxa"/>
            <w:vAlign w:val="bottom"/>
          </w:tcPr>
          <w:p>
            <w:pPr>
              <w:jc w:val="right"/>
              <w:spacing w:after="0"/>
              <w:rPr>
                <w:sz w:val="20"/>
                <w:szCs w:val="20"/>
                <w:color w:val="auto"/>
              </w:rPr>
            </w:pPr>
            <w:r>
              <w:rPr>
                <w:rFonts w:ascii="Arial" w:cs="Arial" w:eastAsia="Arial" w:hAnsi="Arial"/>
                <w:sz w:val="10"/>
                <w:szCs w:val="10"/>
                <w:color w:val="auto"/>
              </w:rPr>
              <w:t>(72)</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(72)</w:t>
            </w:r>
          </w:p>
        </w:tc>
      </w:tr>
      <w:tr>
        <w:trPr>
          <w:trHeight w:val="152"/>
        </w:trPr>
        <w:tc>
          <w:tcPr>
            <w:tcW w:w="2460" w:type="dxa"/>
            <w:vAlign w:val="bottom"/>
          </w:tcPr>
          <w:p>
            <w:pPr>
              <w:ind w:left="20"/>
              <w:spacing w:after="0"/>
              <w:rPr>
                <w:sz w:val="20"/>
                <w:szCs w:val="20"/>
                <w:color w:val="auto"/>
              </w:rPr>
            </w:pPr>
            <w:r>
              <w:rPr>
                <w:rFonts w:ascii="Arial" w:cs="Arial" w:eastAsia="Arial" w:hAnsi="Arial"/>
                <w:sz w:val="10"/>
                <w:szCs w:val="10"/>
                <w:color w:val="auto"/>
              </w:rPr>
              <w:t>Research and development expenses</w:t>
            </w:r>
          </w:p>
        </w:tc>
        <w:tc>
          <w:tcPr>
            <w:tcW w:w="520" w:type="dxa"/>
            <w:vAlign w:val="bottom"/>
          </w:tcPr>
          <w:p>
            <w:pPr>
              <w:jc w:val="right"/>
              <w:spacing w:after="0"/>
              <w:rPr>
                <w:sz w:val="20"/>
                <w:szCs w:val="20"/>
                <w:color w:val="auto"/>
              </w:rPr>
            </w:pPr>
            <w:r>
              <w:rPr>
                <w:rFonts w:ascii="Arial" w:cs="Arial" w:eastAsia="Arial" w:hAnsi="Arial"/>
                <w:sz w:val="10"/>
                <w:szCs w:val="10"/>
                <w:color w:val="auto"/>
              </w:rPr>
              <w:t>(1,545)</w:t>
            </w:r>
          </w:p>
        </w:tc>
        <w:tc>
          <w:tcPr>
            <w:tcW w:w="920" w:type="dxa"/>
            <w:vAlign w:val="bottom"/>
          </w:tcPr>
          <w:p>
            <w:pPr>
              <w:jc w:val="right"/>
              <w:spacing w:after="0"/>
              <w:rPr>
                <w:sz w:val="20"/>
                <w:szCs w:val="20"/>
                <w:color w:val="auto"/>
              </w:rPr>
            </w:pPr>
            <w:r>
              <w:rPr>
                <w:rFonts w:ascii="Arial" w:cs="Arial" w:eastAsia="Arial" w:hAnsi="Arial"/>
                <w:sz w:val="10"/>
                <w:szCs w:val="10"/>
                <w:color w:val="auto"/>
              </w:rPr>
              <w:t>(43)</w:t>
            </w:r>
          </w:p>
        </w:tc>
        <w:tc>
          <w:tcPr>
            <w:tcW w:w="940" w:type="dxa"/>
            <w:vAlign w:val="bottom"/>
          </w:tcPr>
          <w:p>
            <w:pPr>
              <w:jc w:val="right"/>
              <w:spacing w:after="0"/>
              <w:rPr>
                <w:sz w:val="20"/>
                <w:szCs w:val="20"/>
                <w:color w:val="auto"/>
              </w:rPr>
            </w:pPr>
            <w:r>
              <w:rPr>
                <w:rFonts w:ascii="Arial" w:cs="Arial" w:eastAsia="Arial" w:hAnsi="Arial"/>
                <w:sz w:val="10"/>
                <w:szCs w:val="10"/>
                <w:color w:val="auto"/>
              </w:rPr>
              <w:t>(1,502)</w:t>
            </w:r>
          </w:p>
        </w:tc>
      </w:tr>
      <w:tr>
        <w:trPr>
          <w:trHeight w:val="152"/>
        </w:trPr>
        <w:tc>
          <w:tcPr>
            <w:tcW w:w="2460" w:type="dxa"/>
            <w:vAlign w:val="bottom"/>
          </w:tcPr>
          <w:p>
            <w:pPr>
              <w:ind w:left="20"/>
              <w:spacing w:after="0"/>
              <w:rPr>
                <w:sz w:val="20"/>
                <w:szCs w:val="20"/>
                <w:color w:val="auto"/>
              </w:rPr>
            </w:pPr>
            <w:r>
              <w:rPr>
                <w:rFonts w:ascii="Arial" w:cs="Arial" w:eastAsia="Arial" w:hAnsi="Arial"/>
                <w:sz w:val="10"/>
                <w:szCs w:val="10"/>
                <w:color w:val="auto"/>
              </w:rPr>
              <w:t>Selling, general and administrative expenses</w:t>
            </w:r>
          </w:p>
        </w:tc>
        <w:tc>
          <w:tcPr>
            <w:tcW w:w="520" w:type="dxa"/>
            <w:vAlign w:val="bottom"/>
          </w:tcPr>
          <w:p>
            <w:pPr>
              <w:jc w:val="right"/>
              <w:spacing w:after="0"/>
              <w:rPr>
                <w:sz w:val="20"/>
                <w:szCs w:val="20"/>
                <w:color w:val="auto"/>
              </w:rPr>
            </w:pPr>
            <w:r>
              <w:rPr>
                <w:rFonts w:ascii="Arial" w:cs="Arial" w:eastAsia="Arial" w:hAnsi="Arial"/>
                <w:sz w:val="10"/>
                <w:szCs w:val="10"/>
                <w:color w:val="auto"/>
              </w:rPr>
              <w:t>(346)</w:t>
            </w:r>
          </w:p>
        </w:tc>
        <w:tc>
          <w:tcPr>
            <w:tcW w:w="920" w:type="dxa"/>
            <w:vAlign w:val="bottom"/>
          </w:tcPr>
          <w:p>
            <w:pPr>
              <w:jc w:val="right"/>
              <w:spacing w:after="0"/>
              <w:rPr>
                <w:sz w:val="20"/>
                <w:szCs w:val="20"/>
                <w:color w:val="auto"/>
              </w:rPr>
            </w:pPr>
            <w:r>
              <w:rPr>
                <w:rFonts w:ascii="Arial" w:cs="Arial" w:eastAsia="Arial" w:hAnsi="Arial"/>
                <w:sz w:val="10"/>
                <w:szCs w:val="10"/>
                <w:color w:val="auto"/>
              </w:rPr>
              <w:t>(64)</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(282)</w:t>
            </w:r>
          </w:p>
        </w:tc>
      </w:tr>
      <w:tr>
        <w:trPr>
          <w:trHeight w:val="152"/>
        </w:trPr>
        <w:tc>
          <w:tcPr>
            <w:tcW w:w="2460" w:type="dxa"/>
            <w:vAlign w:val="bottom"/>
          </w:tcPr>
          <w:p>
            <w:pPr>
              <w:ind w:left="20"/>
              <w:spacing w:after="0"/>
              <w:rPr>
                <w:sz w:val="20"/>
                <w:szCs w:val="20"/>
                <w:color w:val="auto"/>
              </w:rPr>
            </w:pPr>
            <w:r>
              <w:rPr>
                <w:rFonts w:ascii="Arial" w:cs="Arial" w:eastAsia="Arial" w:hAnsi="Arial"/>
                <w:sz w:val="10"/>
                <w:szCs w:val="10"/>
                <w:color w:val="auto"/>
              </w:rPr>
              <w:t>Integration related charges</w:t>
            </w:r>
          </w:p>
        </w:tc>
        <w:tc>
          <w:tcPr>
            <w:tcW w:w="520" w:type="dxa"/>
            <w:vAlign w:val="bottom"/>
          </w:tcPr>
          <w:p>
            <w:pPr>
              <w:jc w:val="right"/>
              <w:spacing w:after="0"/>
              <w:rPr>
                <w:sz w:val="20"/>
                <w:szCs w:val="20"/>
                <w:color w:val="auto"/>
              </w:rPr>
            </w:pPr>
            <w:r>
              <w:rPr>
                <w:rFonts w:ascii="Arial" w:cs="Arial" w:eastAsia="Arial" w:hAnsi="Arial"/>
                <w:sz w:val="10"/>
                <w:szCs w:val="10"/>
                <w:color w:val="auto"/>
              </w:rPr>
              <w:t>(5)</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(5)</w:t>
            </w:r>
          </w:p>
        </w:tc>
      </w:tr>
      <w:tr>
        <w:trPr>
          <w:trHeight w:val="158"/>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Operating profit</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1,245</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(107)</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1,352</w:t>
            </w:r>
          </w:p>
        </w:tc>
      </w:tr>
      <w:tr>
        <w:trPr>
          <w:trHeight w:val="146"/>
        </w:trPr>
        <w:tc>
          <w:tcPr>
            <w:tcW w:w="2460" w:type="dxa"/>
            <w:vAlign w:val="bottom"/>
          </w:tcPr>
          <w:p>
            <w:pPr>
              <w:ind w:left="20"/>
              <w:spacing w:after="0"/>
              <w:rPr>
                <w:sz w:val="20"/>
                <w:szCs w:val="20"/>
                <w:color w:val="auto"/>
              </w:rPr>
            </w:pPr>
            <w:r>
              <w:rPr>
                <w:rFonts w:ascii="Arial" w:cs="Arial" w:eastAsia="Arial" w:hAnsi="Arial"/>
                <w:sz w:val="10"/>
                <w:szCs w:val="10"/>
                <w:color w:val="auto"/>
              </w:rPr>
              <w:t>Financial income/expense</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741</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741</w:t>
            </w:r>
          </w:p>
        </w:tc>
      </w:tr>
      <w:tr>
        <w:trPr>
          <w:trHeight w:val="158"/>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Net profit before tax</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1,986</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(107)</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2,093</w:t>
            </w:r>
          </w:p>
        </w:tc>
      </w:tr>
      <w:tr>
        <w:trPr>
          <w:trHeight w:val="146"/>
        </w:trPr>
        <w:tc>
          <w:tcPr>
            <w:tcW w:w="2460" w:type="dxa"/>
            <w:vAlign w:val="bottom"/>
          </w:tcPr>
          <w:p>
            <w:pPr>
              <w:ind w:left="20"/>
              <w:spacing w:after="0"/>
              <w:rPr>
                <w:sz w:val="20"/>
                <w:szCs w:val="20"/>
                <w:color w:val="auto"/>
              </w:rPr>
            </w:pPr>
            <w:r>
              <w:rPr>
                <w:rFonts w:ascii="Arial" w:cs="Arial" w:eastAsia="Arial" w:hAnsi="Arial"/>
                <w:sz w:val="10"/>
                <w:szCs w:val="10"/>
                <w:color w:val="auto"/>
              </w:rPr>
              <w:t>Corporate tax</w:t>
            </w:r>
          </w:p>
        </w:tc>
        <w:tc>
          <w:tcPr>
            <w:tcW w:w="520" w:type="dxa"/>
            <w:vAlign w:val="bottom"/>
          </w:tcPr>
          <w:p>
            <w:pPr>
              <w:jc w:val="right"/>
              <w:spacing w:after="0"/>
              <w:rPr>
                <w:sz w:val="20"/>
                <w:szCs w:val="20"/>
                <w:color w:val="auto"/>
              </w:rPr>
            </w:pPr>
            <w:r>
              <w:rPr>
                <w:rFonts w:ascii="Arial" w:cs="Arial" w:eastAsia="Arial" w:hAnsi="Arial"/>
                <w:sz w:val="10"/>
                <w:szCs w:val="10"/>
                <w:color w:val="auto"/>
              </w:rPr>
              <w:t>(356)</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24</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(380)</w:t>
            </w:r>
          </w:p>
        </w:tc>
      </w:tr>
      <w:tr>
        <w:trPr>
          <w:trHeight w:val="158"/>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Net profit</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1,630</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(83)</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1,713</w:t>
            </w:r>
          </w:p>
        </w:tc>
      </w:tr>
      <w:tr>
        <w:trPr>
          <w:trHeight w:val="352"/>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Balance Sheet:</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6"/>
        </w:trPr>
        <w:tc>
          <w:tcPr>
            <w:tcW w:w="2460" w:type="dxa"/>
            <w:vAlign w:val="bottom"/>
          </w:tcPr>
          <w:p>
            <w:pPr>
              <w:ind w:left="20"/>
              <w:spacing w:after="0"/>
              <w:rPr>
                <w:sz w:val="20"/>
                <w:szCs w:val="20"/>
                <w:color w:val="auto"/>
              </w:rPr>
            </w:pPr>
            <w:r>
              <w:rPr>
                <w:rFonts w:ascii="Arial" w:cs="Arial" w:eastAsia="Arial" w:hAnsi="Arial"/>
                <w:sz w:val="10"/>
                <w:szCs w:val="10"/>
                <w:color w:val="auto"/>
              </w:rPr>
              <w:t>Retained earnings</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4,108</w:t>
            </w:r>
          </w:p>
        </w:tc>
        <w:tc>
          <w:tcPr>
            <w:tcW w:w="920" w:type="dxa"/>
            <w:vAlign w:val="bottom"/>
          </w:tcPr>
          <w:p>
            <w:pPr>
              <w:jc w:val="right"/>
              <w:spacing w:after="0"/>
              <w:rPr>
                <w:sz w:val="20"/>
                <w:szCs w:val="20"/>
                <w:color w:val="auto"/>
              </w:rPr>
            </w:pPr>
            <w:r>
              <w:rPr>
                <w:rFonts w:ascii="Arial" w:cs="Arial" w:eastAsia="Arial" w:hAnsi="Arial"/>
                <w:sz w:val="10"/>
                <w:szCs w:val="10"/>
                <w:color w:val="auto"/>
              </w:rPr>
              <w:t>(83)</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4,191</w:t>
            </w:r>
          </w:p>
        </w:tc>
      </w:tr>
      <w:tr>
        <w:trPr>
          <w:trHeight w:val="158"/>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Total shareholders' equity</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5,814</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(83)</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5,897</w:t>
            </w:r>
          </w:p>
        </w:tc>
      </w:tr>
      <w:tr>
        <w:trPr>
          <w:trHeight w:val="146"/>
        </w:trPr>
        <w:tc>
          <w:tcPr>
            <w:tcW w:w="2460" w:type="dxa"/>
            <w:vAlign w:val="bottom"/>
          </w:tcPr>
          <w:p>
            <w:pPr>
              <w:ind w:left="20"/>
              <w:spacing w:after="0"/>
              <w:rPr>
                <w:sz w:val="20"/>
                <w:szCs w:val="20"/>
                <w:color w:val="auto"/>
              </w:rPr>
            </w:pPr>
            <w:r>
              <w:rPr>
                <w:rFonts w:ascii="Arial" w:cs="Arial" w:eastAsia="Arial" w:hAnsi="Arial"/>
                <w:sz w:val="10"/>
                <w:szCs w:val="10"/>
                <w:color w:val="auto"/>
              </w:rPr>
              <w:t>Deferred tax liabilities</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306</w:t>
            </w:r>
          </w:p>
        </w:tc>
        <w:tc>
          <w:tcPr>
            <w:tcW w:w="920" w:type="dxa"/>
            <w:vAlign w:val="bottom"/>
          </w:tcPr>
          <w:p>
            <w:pPr>
              <w:jc w:val="right"/>
              <w:spacing w:after="0"/>
              <w:rPr>
                <w:sz w:val="20"/>
                <w:szCs w:val="20"/>
                <w:color w:val="auto"/>
              </w:rPr>
            </w:pPr>
            <w:r>
              <w:rPr>
                <w:rFonts w:ascii="Arial" w:cs="Arial" w:eastAsia="Arial" w:hAnsi="Arial"/>
                <w:sz w:val="10"/>
                <w:szCs w:val="10"/>
                <w:color w:val="auto"/>
              </w:rPr>
              <w:t>(24)</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330</w:t>
            </w:r>
          </w:p>
        </w:tc>
      </w:tr>
      <w:tr>
        <w:trPr>
          <w:trHeight w:val="152"/>
        </w:trPr>
        <w:tc>
          <w:tcPr>
            <w:tcW w:w="2460" w:type="dxa"/>
            <w:vAlign w:val="bottom"/>
          </w:tcPr>
          <w:p>
            <w:pPr>
              <w:ind w:left="20"/>
              <w:spacing w:after="0"/>
              <w:rPr>
                <w:sz w:val="20"/>
                <w:szCs w:val="20"/>
                <w:color w:val="auto"/>
              </w:rPr>
            </w:pPr>
            <w:r>
              <w:rPr>
                <w:rFonts w:ascii="Arial" w:cs="Arial" w:eastAsia="Arial" w:hAnsi="Arial"/>
                <w:sz w:val="10"/>
                <w:szCs w:val="10"/>
                <w:color w:val="auto"/>
              </w:rPr>
              <w:t>Payable to subsidiaries</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231</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107</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124</w:t>
            </w:r>
          </w:p>
        </w:tc>
      </w:tr>
      <w:tr>
        <w:trPr>
          <w:trHeight w:val="158"/>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849</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83</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766</w:t>
            </w:r>
          </w:p>
        </w:tc>
      </w:tr>
      <w:tr>
        <w:trPr>
          <w:trHeight w:val="152"/>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Total shareholders' equity and liabilities</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6,663</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6,663</w:t>
            </w:r>
          </w:p>
        </w:tc>
      </w:tr>
      <w:tr>
        <w:trPr>
          <w:trHeight w:val="333"/>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Cash Flow Statement:</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6"/>
        </w:trPr>
        <w:tc>
          <w:tcPr>
            <w:tcW w:w="2460" w:type="dxa"/>
            <w:vAlign w:val="bottom"/>
          </w:tcPr>
          <w:p>
            <w:pPr>
              <w:ind w:left="20"/>
              <w:spacing w:after="0"/>
              <w:rPr>
                <w:sz w:val="20"/>
                <w:szCs w:val="20"/>
                <w:color w:val="auto"/>
              </w:rPr>
            </w:pPr>
            <w:r>
              <w:rPr>
                <w:rFonts w:ascii="Arial" w:cs="Arial" w:eastAsia="Arial" w:hAnsi="Arial"/>
                <w:sz w:val="10"/>
                <w:szCs w:val="10"/>
                <w:color w:val="auto"/>
              </w:rPr>
              <w:t>Net profit before tax</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1,986</w:t>
            </w:r>
          </w:p>
        </w:tc>
        <w:tc>
          <w:tcPr>
            <w:tcW w:w="920" w:type="dxa"/>
            <w:vAlign w:val="bottom"/>
          </w:tcPr>
          <w:p>
            <w:pPr>
              <w:jc w:val="right"/>
              <w:spacing w:after="0"/>
              <w:rPr>
                <w:sz w:val="20"/>
                <w:szCs w:val="20"/>
                <w:color w:val="auto"/>
              </w:rPr>
            </w:pPr>
            <w:r>
              <w:rPr>
                <w:rFonts w:ascii="Arial" w:cs="Arial" w:eastAsia="Arial" w:hAnsi="Arial"/>
                <w:sz w:val="10"/>
                <w:szCs w:val="10"/>
                <w:color w:val="auto"/>
              </w:rPr>
              <w:t>(107)</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2,093</w:t>
            </w:r>
          </w:p>
        </w:tc>
      </w:tr>
      <w:tr>
        <w:trPr>
          <w:trHeight w:val="120"/>
        </w:trPr>
        <w:tc>
          <w:tcPr>
            <w:tcW w:w="2460" w:type="dxa"/>
            <w:vAlign w:val="bottom"/>
          </w:tcPr>
          <w:p>
            <w:pPr>
              <w:ind w:left="20"/>
              <w:spacing w:after="0"/>
              <w:rPr>
                <w:sz w:val="20"/>
                <w:szCs w:val="20"/>
                <w:color w:val="auto"/>
              </w:rPr>
            </w:pPr>
            <w:r>
              <w:rPr>
                <w:rFonts w:ascii="Arial" w:cs="Arial" w:eastAsia="Arial" w:hAnsi="Arial"/>
                <w:sz w:val="10"/>
                <w:szCs w:val="10"/>
                <w:color w:val="auto"/>
              </w:rPr>
              <w:t>Cash flows from operating activities before</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1,193</w:t>
            </w:r>
          </w:p>
        </w:tc>
        <w:tc>
          <w:tcPr>
            <w:tcW w:w="920" w:type="dxa"/>
            <w:vAlign w:val="bottom"/>
          </w:tcPr>
          <w:p>
            <w:pPr>
              <w:jc w:val="right"/>
              <w:spacing w:after="0"/>
              <w:rPr>
                <w:sz w:val="20"/>
                <w:szCs w:val="20"/>
                <w:color w:val="auto"/>
              </w:rPr>
            </w:pPr>
            <w:r>
              <w:rPr>
                <w:rFonts w:ascii="Arial" w:cs="Arial" w:eastAsia="Arial" w:hAnsi="Arial"/>
                <w:sz w:val="10"/>
                <w:szCs w:val="10"/>
                <w:color w:val="auto"/>
              </w:rPr>
              <w:t>(107)</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1,300</w:t>
            </w:r>
          </w:p>
        </w:tc>
      </w:tr>
      <w:tr>
        <w:trPr>
          <w:trHeight w:val="137"/>
        </w:trPr>
        <w:tc>
          <w:tcPr>
            <w:tcW w:w="2460" w:type="dxa"/>
            <w:vAlign w:val="bottom"/>
          </w:tcPr>
          <w:p>
            <w:pPr>
              <w:ind w:left="20"/>
              <w:spacing w:after="0"/>
              <w:rPr>
                <w:sz w:val="20"/>
                <w:szCs w:val="20"/>
                <w:color w:val="auto"/>
              </w:rPr>
            </w:pPr>
            <w:r>
              <w:rPr>
                <w:rFonts w:ascii="Arial" w:cs="Arial" w:eastAsia="Arial" w:hAnsi="Arial"/>
                <w:sz w:val="10"/>
                <w:szCs w:val="10"/>
                <w:color w:val="auto"/>
              </w:rPr>
              <w:t>financial items</w:t>
            </w: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8"/>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operating activities</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1,277</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(107)</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1,384</w:t>
            </w:r>
          </w:p>
        </w:tc>
      </w:tr>
      <w:tr>
        <w:trPr>
          <w:trHeight w:val="146"/>
        </w:trPr>
        <w:tc>
          <w:tcPr>
            <w:tcW w:w="2460" w:type="dxa"/>
            <w:vAlign w:val="bottom"/>
          </w:tcPr>
          <w:p>
            <w:pPr>
              <w:ind w:left="20"/>
              <w:spacing w:after="0"/>
              <w:rPr>
                <w:sz w:val="20"/>
                <w:szCs w:val="20"/>
                <w:color w:val="auto"/>
              </w:rPr>
            </w:pPr>
            <w:r>
              <w:rPr>
                <w:rFonts w:ascii="Arial" w:cs="Arial" w:eastAsia="Arial" w:hAnsi="Arial"/>
                <w:sz w:val="10"/>
                <w:szCs w:val="10"/>
                <w:color w:val="auto"/>
              </w:rPr>
              <w:t>Transactions with subsidiaries</w:t>
            </w:r>
          </w:p>
        </w:tc>
        <w:tc>
          <w:tcPr>
            <w:tcW w:w="520" w:type="dxa"/>
            <w:vAlign w:val="bottom"/>
          </w:tcPr>
          <w:p>
            <w:pPr>
              <w:jc w:val="right"/>
              <w:spacing w:after="0"/>
              <w:rPr>
                <w:sz w:val="20"/>
                <w:szCs w:val="20"/>
                <w:color w:val="auto"/>
              </w:rPr>
            </w:pPr>
            <w:r>
              <w:rPr>
                <w:rFonts w:ascii="Arial" w:cs="Arial" w:eastAsia="Arial" w:hAnsi="Arial"/>
                <w:sz w:val="10"/>
                <w:szCs w:val="10"/>
                <w:color w:val="auto"/>
              </w:rPr>
              <w:t>(1,965)</w:t>
            </w:r>
          </w:p>
        </w:tc>
        <w:tc>
          <w:tcPr>
            <w:tcW w:w="920" w:type="dxa"/>
            <w:vAlign w:val="bottom"/>
          </w:tcPr>
          <w:p>
            <w:pPr>
              <w:jc w:val="right"/>
              <w:ind w:right="8"/>
              <w:spacing w:after="0"/>
              <w:rPr>
                <w:sz w:val="20"/>
                <w:szCs w:val="20"/>
                <w:color w:val="auto"/>
              </w:rPr>
            </w:pPr>
            <w:r>
              <w:rPr>
                <w:rFonts w:ascii="Arial" w:cs="Arial" w:eastAsia="Arial" w:hAnsi="Arial"/>
                <w:sz w:val="10"/>
                <w:szCs w:val="10"/>
                <w:color w:val="auto"/>
              </w:rPr>
              <w:t>107</w:t>
            </w:r>
          </w:p>
        </w:tc>
        <w:tc>
          <w:tcPr>
            <w:tcW w:w="940" w:type="dxa"/>
            <w:vAlign w:val="bottom"/>
          </w:tcPr>
          <w:p>
            <w:pPr>
              <w:jc w:val="right"/>
              <w:spacing w:after="0"/>
              <w:rPr>
                <w:sz w:val="20"/>
                <w:szCs w:val="20"/>
                <w:color w:val="auto"/>
              </w:rPr>
            </w:pPr>
            <w:r>
              <w:rPr>
                <w:rFonts w:ascii="Arial" w:cs="Arial" w:eastAsia="Arial" w:hAnsi="Arial"/>
                <w:sz w:val="10"/>
                <w:szCs w:val="10"/>
                <w:color w:val="auto"/>
              </w:rPr>
              <w:t>(2,072)</w:t>
            </w:r>
          </w:p>
        </w:tc>
      </w:tr>
      <w:tr>
        <w:trPr>
          <w:trHeight w:val="158"/>
        </w:trPr>
        <w:tc>
          <w:tcPr>
            <w:tcW w:w="2460" w:type="dxa"/>
            <w:vAlign w:val="bottom"/>
          </w:tcPr>
          <w:p>
            <w:pPr>
              <w:ind w:left="20"/>
              <w:spacing w:after="0"/>
              <w:rPr>
                <w:sz w:val="20"/>
                <w:szCs w:val="20"/>
                <w:color w:val="auto"/>
              </w:rPr>
            </w:pPr>
            <w:r>
              <w:rPr>
                <w:rFonts w:ascii="Arial" w:cs="Arial" w:eastAsia="Arial" w:hAnsi="Arial"/>
                <w:sz w:val="10"/>
                <w:szCs w:val="10"/>
                <w:b w:val="1"/>
                <w:bCs w:val="1"/>
                <w:color w:val="auto"/>
              </w:rPr>
              <w:t>Net cash (used in) investing activities</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(1,612)</w:t>
            </w:r>
          </w:p>
        </w:tc>
        <w:tc>
          <w:tcPr>
            <w:tcW w:w="920" w:type="dxa"/>
            <w:vAlign w:val="bottom"/>
          </w:tcPr>
          <w:p>
            <w:pPr>
              <w:jc w:val="right"/>
              <w:ind w:right="8"/>
              <w:spacing w:after="0"/>
              <w:rPr>
                <w:sz w:val="20"/>
                <w:szCs w:val="20"/>
                <w:color w:val="auto"/>
              </w:rPr>
            </w:pPr>
            <w:r>
              <w:rPr>
                <w:rFonts w:ascii="Arial" w:cs="Arial" w:eastAsia="Arial" w:hAnsi="Arial"/>
                <w:sz w:val="10"/>
                <w:szCs w:val="10"/>
                <w:b w:val="1"/>
                <w:bCs w:val="1"/>
                <w:color w:val="auto"/>
              </w:rPr>
              <w:t>107</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(1,719)</w:t>
            </w:r>
          </w:p>
        </w:tc>
      </w:tr>
    </w:tbl>
    <w:p>
      <w:pPr>
        <w:spacing w:after="0" w:line="216" w:lineRule="auto"/>
        <w:rPr>
          <w:sz w:val="20"/>
          <w:szCs w:val="20"/>
          <w:color w:val="auto"/>
        </w:rPr>
      </w:pPr>
      <w:r>
        <w:rPr>
          <w:rFonts w:ascii="Arial" w:cs="Arial" w:eastAsia="Arial" w:hAnsi="Arial"/>
          <w:sz w:val="12"/>
          <w:szCs w:val="12"/>
          <w:b w:val="1"/>
          <w:bCs w:val="1"/>
          <w:color w:val="auto"/>
        </w:rPr>
        <w:t>Reclassifications</w:t>
      </w:r>
    </w:p>
    <w:p>
      <w:pPr>
        <w:spacing w:after="0" w:line="198" w:lineRule="auto"/>
        <w:rPr>
          <w:sz w:val="20"/>
          <w:szCs w:val="20"/>
          <w:color w:val="auto"/>
        </w:rPr>
      </w:pPr>
      <w:r>
        <w:rPr>
          <w:rFonts w:ascii="Arial" w:cs="Arial" w:eastAsia="Arial" w:hAnsi="Arial"/>
          <w:sz w:val="10"/>
          <w:szCs w:val="10"/>
          <w:color w:val="auto"/>
        </w:rPr>
        <w:t>In order to conform to the current period gross presentation for 2025, a reclassification of net $100 million</w:t>
      </w:r>
    </w:p>
    <w:p>
      <w:pPr>
        <w:spacing w:after="0" w:line="199" w:lineRule="auto"/>
        <w:rPr>
          <w:sz w:val="20"/>
          <w:szCs w:val="20"/>
          <w:color w:val="auto"/>
        </w:rPr>
      </w:pPr>
      <w:r>
        <w:rPr>
          <w:rFonts w:ascii="Arial" w:cs="Arial" w:eastAsia="Arial" w:hAnsi="Arial"/>
          <w:sz w:val="10"/>
          <w:szCs w:val="10"/>
          <w:color w:val="auto"/>
        </w:rPr>
        <w:t>gain has been made to the gross amounts presented for 2024, to move foreign exchange rate gains and</w:t>
      </w:r>
    </w:p>
    <w:p>
      <w:pPr>
        <w:spacing w:after="0" w:line="198" w:lineRule="auto"/>
        <w:rPr>
          <w:sz w:val="20"/>
          <w:szCs w:val="20"/>
          <w:color w:val="auto"/>
        </w:rPr>
      </w:pPr>
      <w:r>
        <w:rPr>
          <w:rFonts w:ascii="Arial" w:cs="Arial" w:eastAsia="Arial" w:hAnsi="Arial"/>
          <w:sz w:val="10"/>
          <w:szCs w:val="10"/>
          <w:color w:val="auto"/>
        </w:rPr>
        <w:t>losses related to marketable securities from gains and losses on foreign exchange rates to gains and</w:t>
      </w:r>
    </w:p>
    <w:p>
      <w:pPr>
        <w:spacing w:after="0" w:line="199" w:lineRule="auto"/>
        <w:rPr>
          <w:sz w:val="20"/>
          <w:szCs w:val="20"/>
          <w:color w:val="auto"/>
        </w:rPr>
      </w:pPr>
      <w:r>
        <w:rPr>
          <w:rFonts w:ascii="Arial" w:cs="Arial" w:eastAsia="Arial" w:hAnsi="Arial"/>
          <w:sz w:val="10"/>
          <w:szCs w:val="10"/>
          <w:color w:val="auto"/>
        </w:rPr>
        <w:t>losses on marketable securities. These reclassifications have no impact on the net amounts of financial</w:t>
      </w:r>
    </w:p>
    <w:p>
      <w:pPr>
        <w:spacing w:after="0"/>
        <w:rPr>
          <w:rFonts w:ascii="Arial" w:cs="Arial" w:eastAsia="Arial" w:hAnsi="Arial"/>
          <w:sz w:val="10"/>
          <w:szCs w:val="10"/>
          <w:color w:val="auto"/>
        </w:rPr>
      </w:pPr>
      <w:r>
        <w:rPr>
          <w:rFonts w:ascii="Arial" w:cs="Arial" w:eastAsia="Arial" w:hAnsi="Arial"/>
          <w:sz w:val="10"/>
          <w:szCs w:val="10"/>
          <w:color w:val="auto"/>
        </w:rPr>
        <w:t xml:space="preserve">items as presented in </w:t>
      </w:r>
      <w:hyperlink w:anchor="page149">
        <w:r>
          <w:rPr>
            <w:rFonts w:ascii="Arial" w:cs="Arial" w:eastAsia="Arial" w:hAnsi="Arial"/>
            <w:sz w:val="10"/>
            <w:szCs w:val="10"/>
            <w:b w:val="1"/>
            <w:bCs w:val="1"/>
            <w:color w:val="691A6B"/>
          </w:rPr>
          <w:t xml:space="preserve">Note 14 </w:t>
        </w:r>
      </w:hyperlink>
      <w:r>
        <w:rPr>
          <w:rFonts w:ascii="Arial" w:cs="Arial" w:eastAsia="Arial" w:hAnsi="Arial"/>
          <w:sz w:val="10"/>
          <w:szCs w:val="10"/>
          <w:color w:val="auto"/>
        </w:rPr>
        <w:t xml:space="preserve">- </w:t>
      </w:r>
      <w:r>
        <w:rPr>
          <w:rFonts w:ascii="Arial" w:cs="Arial" w:eastAsia="Arial" w:hAnsi="Arial"/>
          <w:sz w:val="10"/>
          <w:szCs w:val="10"/>
          <w:b w:val="1"/>
          <w:bCs w:val="1"/>
          <w:color w:val="691A6B"/>
        </w:rPr>
        <w:t>Financial Income and Expenses.</w:t>
      </w:r>
    </w:p>
    <w:p>
      <w:pPr>
        <w:sectPr>
          <w:pgSz w:w="11900" w:h="16840" w:orient="portrait"/>
          <w:cols w:equalWidth="0" w:num="1">
            <w:col w:w="9820"/>
          </w:cols>
          <w:pgMar w:left="640" w:top="571" w:right="1440" w:bottom="571" w:gutter="0" w:footer="0" w:header="0"/>
        </w:sectPr>
      </w:pPr>
    </w:p>
    <w:bookmarkStart w:id="163" w:name="page164"/>
    <w:bookmarkEnd w:id="163"/>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165</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tbl>
      <w:tblPr>
        <w:tblLayout w:type="fixed"/>
        <w:tblInd w:w="0" w:type="dxa"/>
        <w:tblCellMar>
          <w:top w:w="0" w:type="dxa"/>
          <w:left w:w="0" w:type="dxa"/>
          <w:bottom w:w="0" w:type="dxa"/>
          <w:right w:w="0" w:type="dxa"/>
        </w:tblCellMar>
      </w:tblPr>
      <w:tr>
        <w:trPr>
          <w:trHeight w:val="95"/>
        </w:trPr>
        <w:tc>
          <w:tcPr>
            <w:tcW w:w="176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color w:val="691A6B"/>
              </w:rPr>
              <w:t>($ Millions)</w:t>
            </w:r>
          </w:p>
        </w:tc>
        <w:tc>
          <w:tcPr>
            <w:tcW w:w="1220" w:type="dxa"/>
            <w:vAlign w:val="bottom"/>
            <w:tcBorders>
              <w:top w:val="single" w:sz="8" w:color="691A6B"/>
            </w:tcBorders>
          </w:tcPr>
          <w:p>
            <w:pPr>
              <w:ind w:left="440"/>
              <w:spacing w:after="0" w:line="95" w:lineRule="exact"/>
              <w:rPr>
                <w:sz w:val="20"/>
                <w:szCs w:val="20"/>
                <w:color w:val="auto"/>
              </w:rPr>
            </w:pPr>
            <w:r>
              <w:rPr>
                <w:rFonts w:ascii="Arial" w:cs="Arial" w:eastAsia="Arial" w:hAnsi="Arial"/>
                <w:sz w:val="10"/>
                <w:szCs w:val="10"/>
                <w:b w:val="1"/>
                <w:bCs w:val="1"/>
                <w:color w:val="auto"/>
              </w:rPr>
              <w:t>December 31,</w:t>
            </w:r>
          </w:p>
        </w:tc>
        <w:tc>
          <w:tcPr>
            <w:tcW w:w="940" w:type="dxa"/>
            <w:vAlign w:val="bottom"/>
            <w:tcBorders>
              <w:top w:val="single" w:sz="8" w:color="691A6B"/>
            </w:tcBorders>
            <w:gridSpan w:val="2"/>
          </w:tcPr>
          <w:p>
            <w:pPr>
              <w:jc w:val="right"/>
              <w:ind w:right="490"/>
              <w:spacing w:after="0" w:line="95" w:lineRule="exact"/>
              <w:rPr>
                <w:sz w:val="20"/>
                <w:szCs w:val="20"/>
                <w:color w:val="auto"/>
              </w:rPr>
            </w:pPr>
            <w:r>
              <w:rPr>
                <w:rFonts w:ascii="Arial" w:cs="Arial" w:eastAsia="Arial" w:hAnsi="Arial"/>
                <w:sz w:val="10"/>
                <w:szCs w:val="10"/>
                <w:b w:val="1"/>
                <w:bCs w:val="1"/>
                <w:color w:val="auto"/>
              </w:rPr>
              <w:t>Reclass</w:t>
            </w:r>
          </w:p>
        </w:tc>
        <w:tc>
          <w:tcPr>
            <w:tcW w:w="960" w:type="dxa"/>
            <w:vAlign w:val="bottom"/>
            <w:tcBorders>
              <w:top w:val="single" w:sz="8" w:color="691A6B"/>
            </w:tcBorders>
            <w:gridSpan w:val="2"/>
          </w:tcPr>
          <w:p>
            <w:pPr>
              <w:ind w:left="160"/>
              <w:spacing w:after="0" w:line="95" w:lineRule="exact"/>
              <w:rPr>
                <w:sz w:val="20"/>
                <w:szCs w:val="20"/>
                <w:color w:val="auto"/>
              </w:rPr>
            </w:pPr>
            <w:r>
              <w:rPr>
                <w:rFonts w:ascii="Arial" w:cs="Arial" w:eastAsia="Arial" w:hAnsi="Arial"/>
                <w:sz w:val="10"/>
                <w:szCs w:val="10"/>
                <w:b w:val="1"/>
                <w:bCs w:val="1"/>
                <w:color w:val="auto"/>
              </w:rPr>
              <w:t>December 31,</w:t>
            </w:r>
          </w:p>
        </w:tc>
        <w:tc>
          <w:tcPr>
            <w:tcW w:w="4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1220" w:type="dxa"/>
            <w:vAlign w:val="bottom"/>
          </w:tcPr>
          <w:p>
            <w:pPr>
              <w:ind w:left="440"/>
              <w:spacing w:after="0"/>
              <w:rPr>
                <w:sz w:val="20"/>
                <w:szCs w:val="20"/>
                <w:color w:val="auto"/>
              </w:rPr>
            </w:pPr>
            <w:r>
              <w:rPr>
                <w:rFonts w:ascii="Arial" w:cs="Arial" w:eastAsia="Arial" w:hAnsi="Arial"/>
                <w:sz w:val="10"/>
                <w:szCs w:val="10"/>
                <w:b w:val="1"/>
                <w:bCs w:val="1"/>
                <w:color w:val="auto"/>
              </w:rPr>
              <w:t>2024</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160"/>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Financial income:</w:t>
            </w: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760" w:type="dxa"/>
            <w:vAlign w:val="bottom"/>
          </w:tcPr>
          <w:p>
            <w:pPr>
              <w:ind w:left="20"/>
              <w:spacing w:after="0"/>
              <w:rPr>
                <w:sz w:val="20"/>
                <w:szCs w:val="20"/>
                <w:color w:val="auto"/>
              </w:rPr>
            </w:pPr>
            <w:r>
              <w:rPr>
                <w:rFonts w:ascii="Arial" w:cs="Arial" w:eastAsia="Arial" w:hAnsi="Arial"/>
                <w:sz w:val="10"/>
                <w:szCs w:val="10"/>
                <w:color w:val="auto"/>
              </w:rPr>
              <w:t>Gain on marketable securities</w:t>
            </w:r>
          </w:p>
        </w:tc>
        <w:tc>
          <w:tcPr>
            <w:tcW w:w="1220" w:type="dxa"/>
            <w:vAlign w:val="bottom"/>
          </w:tcPr>
          <w:p>
            <w:pPr>
              <w:jc w:val="right"/>
              <w:ind w:right="9"/>
              <w:spacing w:after="0"/>
              <w:rPr>
                <w:sz w:val="20"/>
                <w:szCs w:val="20"/>
                <w:color w:val="auto"/>
              </w:rPr>
            </w:pPr>
            <w:r>
              <w:rPr>
                <w:rFonts w:ascii="Arial" w:cs="Arial" w:eastAsia="Arial" w:hAnsi="Arial"/>
                <w:sz w:val="10"/>
                <w:szCs w:val="10"/>
                <w:color w:val="auto"/>
              </w:rPr>
              <w:t>53</w:t>
            </w:r>
          </w:p>
        </w:tc>
        <w:tc>
          <w:tcPr>
            <w:tcW w:w="940" w:type="dxa"/>
            <w:vAlign w:val="bottom"/>
            <w:gridSpan w:val="2"/>
          </w:tcPr>
          <w:p>
            <w:pPr>
              <w:jc w:val="right"/>
              <w:ind w:right="10"/>
              <w:spacing w:after="0"/>
              <w:rPr>
                <w:sz w:val="20"/>
                <w:szCs w:val="20"/>
                <w:color w:val="auto"/>
              </w:rPr>
            </w:pPr>
            <w:r>
              <w:rPr>
                <w:rFonts w:ascii="Arial" w:cs="Arial" w:eastAsia="Arial" w:hAnsi="Arial"/>
                <w:sz w:val="10"/>
                <w:szCs w:val="10"/>
                <w:color w:val="auto"/>
              </w:rPr>
              <w:t>184</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237</w:t>
            </w: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Foreign exchange rate gain</w:t>
            </w:r>
          </w:p>
        </w:tc>
        <w:tc>
          <w:tcPr>
            <w:tcW w:w="1220" w:type="dxa"/>
            <w:vAlign w:val="bottom"/>
          </w:tcPr>
          <w:p>
            <w:pPr>
              <w:jc w:val="right"/>
              <w:spacing w:after="0"/>
              <w:rPr>
                <w:sz w:val="20"/>
                <w:szCs w:val="20"/>
                <w:color w:val="auto"/>
              </w:rPr>
            </w:pPr>
            <w:r>
              <w:rPr>
                <w:rFonts w:ascii="Arial" w:cs="Arial" w:eastAsia="Arial" w:hAnsi="Arial"/>
                <w:sz w:val="10"/>
                <w:szCs w:val="10"/>
                <w:color w:val="auto"/>
              </w:rPr>
              <w:t>420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(173)</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247</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Gain on other investments, net</w:t>
            </w:r>
          </w:p>
        </w:tc>
        <w:tc>
          <w:tcPr>
            <w:tcW w:w="1220" w:type="dxa"/>
            <w:vAlign w:val="bottom"/>
          </w:tcPr>
          <w:p>
            <w:pPr>
              <w:jc w:val="right"/>
              <w:ind w:right="9"/>
              <w:spacing w:after="0"/>
              <w:rPr>
                <w:sz w:val="20"/>
                <w:szCs w:val="20"/>
                <w:color w:val="auto"/>
              </w:rPr>
            </w:pPr>
            <w:r>
              <w:rPr>
                <w:rFonts w:ascii="Arial" w:cs="Arial" w:eastAsia="Arial" w:hAnsi="Arial"/>
                <w:sz w:val="10"/>
                <w:szCs w:val="10"/>
                <w:color w:val="auto"/>
              </w:rPr>
              <w:t>17</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16</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Total financial income</w:t>
            </w: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490</w:t>
            </w:r>
          </w:p>
        </w:tc>
        <w:tc>
          <w:tcPr>
            <w:tcW w:w="940" w:type="dxa"/>
            <w:vAlign w:val="bottom"/>
            <w:gridSpan w:val="2"/>
          </w:tcPr>
          <w:p>
            <w:pPr>
              <w:jc w:val="right"/>
              <w:ind w:right="10"/>
              <w:spacing w:after="0"/>
              <w:rPr>
                <w:sz w:val="20"/>
                <w:szCs w:val="20"/>
                <w:color w:val="auto"/>
              </w:rPr>
            </w:pPr>
            <w:r>
              <w:rPr>
                <w:rFonts w:ascii="Arial" w:cs="Arial" w:eastAsia="Arial" w:hAnsi="Arial"/>
                <w:sz w:val="10"/>
                <w:szCs w:val="10"/>
                <w:b w:val="1"/>
                <w:bCs w:val="1"/>
                <w:color w:val="auto"/>
              </w:rPr>
              <w:t>10</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500</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Financial expenses: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ind w:left="20"/>
              <w:spacing w:after="0"/>
              <w:rPr>
                <w:sz w:val="20"/>
                <w:szCs w:val="20"/>
                <w:color w:val="auto"/>
              </w:rPr>
            </w:pPr>
            <w:r>
              <w:rPr>
                <w:rFonts w:ascii="Arial" w:cs="Arial" w:eastAsia="Arial" w:hAnsi="Arial"/>
                <w:sz w:val="10"/>
                <w:szCs w:val="10"/>
                <w:color w:val="auto"/>
              </w:rPr>
              <w:t>Loss on marketable securities</w:t>
            </w:r>
          </w:p>
        </w:tc>
        <w:tc>
          <w:tcPr>
            <w:tcW w:w="1220" w:type="dxa"/>
            <w:vAlign w:val="bottom"/>
          </w:tcPr>
          <w:p>
            <w:pPr>
              <w:jc w:val="right"/>
              <w:spacing w:after="0"/>
              <w:rPr>
                <w:sz w:val="20"/>
                <w:szCs w:val="20"/>
                <w:color w:val="auto"/>
              </w:rPr>
            </w:pPr>
            <w:r>
              <w:rPr>
                <w:rFonts w:ascii="Arial" w:cs="Arial" w:eastAsia="Arial" w:hAnsi="Arial"/>
                <w:sz w:val="10"/>
                <w:szCs w:val="10"/>
                <w:color w:val="auto"/>
              </w:rPr>
              <w:t>(21)</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(84)</w:t>
            </w:r>
          </w:p>
        </w:tc>
        <w:tc>
          <w:tcPr>
            <w:tcW w:w="940" w:type="dxa"/>
            <w:vAlign w:val="bottom"/>
          </w:tcPr>
          <w:p>
            <w:pPr>
              <w:jc w:val="right"/>
              <w:spacing w:after="0"/>
              <w:rPr>
                <w:sz w:val="20"/>
                <w:szCs w:val="20"/>
                <w:color w:val="auto"/>
              </w:rPr>
            </w:pPr>
            <w:r>
              <w:rPr>
                <w:rFonts w:ascii="Arial" w:cs="Arial" w:eastAsia="Arial" w:hAnsi="Arial"/>
                <w:sz w:val="10"/>
                <w:szCs w:val="10"/>
                <w:color w:val="auto"/>
              </w:rPr>
              <w:t>(105)</w:t>
            </w: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Foreign exchange rate loss</w:t>
            </w:r>
          </w:p>
        </w:tc>
        <w:tc>
          <w:tcPr>
            <w:tcW w:w="1220" w:type="dxa"/>
            <w:vAlign w:val="bottom"/>
          </w:tcPr>
          <w:p>
            <w:pPr>
              <w:jc w:val="right"/>
              <w:spacing w:after="0"/>
              <w:rPr>
                <w:sz w:val="20"/>
                <w:szCs w:val="20"/>
                <w:color w:val="auto"/>
              </w:rPr>
            </w:pPr>
            <w:r>
              <w:rPr>
                <w:rFonts w:ascii="Arial" w:cs="Arial" w:eastAsia="Arial" w:hAnsi="Arial"/>
                <w:sz w:val="10"/>
                <w:szCs w:val="10"/>
                <w:color w:val="auto"/>
              </w:rPr>
              <w:t>(229)</w:t>
            </w:r>
          </w:p>
        </w:tc>
        <w:tc>
          <w:tcPr>
            <w:tcW w:w="940" w:type="dxa"/>
            <w:vAlign w:val="bottom"/>
            <w:gridSpan w:val="2"/>
          </w:tcPr>
          <w:p>
            <w:pPr>
              <w:jc w:val="right"/>
              <w:ind w:right="10"/>
              <w:spacing w:after="0"/>
              <w:rPr>
                <w:sz w:val="20"/>
                <w:szCs w:val="20"/>
                <w:color w:val="auto"/>
              </w:rPr>
            </w:pPr>
            <w:r>
              <w:rPr>
                <w:rFonts w:ascii="Arial" w:cs="Arial" w:eastAsia="Arial" w:hAnsi="Arial"/>
                <w:sz w:val="10"/>
                <w:szCs w:val="10"/>
                <w:color w:val="auto"/>
              </w:rPr>
              <w:t>73</w:t>
            </w:r>
          </w:p>
        </w:tc>
        <w:tc>
          <w:tcPr>
            <w:tcW w:w="940" w:type="dxa"/>
            <w:vAlign w:val="bottom"/>
          </w:tcPr>
          <w:p>
            <w:pPr>
              <w:jc w:val="right"/>
              <w:spacing w:after="0"/>
              <w:rPr>
                <w:sz w:val="20"/>
                <w:szCs w:val="20"/>
                <w:color w:val="auto"/>
              </w:rPr>
            </w:pPr>
            <w:r>
              <w:rPr>
                <w:rFonts w:ascii="Arial" w:cs="Arial" w:eastAsia="Arial" w:hAnsi="Arial"/>
                <w:sz w:val="10"/>
                <w:szCs w:val="10"/>
                <w:color w:val="auto"/>
              </w:rPr>
              <w:t>(156)</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Loss on other investments, net</w:t>
            </w:r>
          </w:p>
        </w:tc>
        <w:tc>
          <w:tcPr>
            <w:tcW w:w="1220" w:type="dxa"/>
            <w:vAlign w:val="bottom"/>
          </w:tcPr>
          <w:p>
            <w:pPr>
              <w:jc w:val="right"/>
              <w:spacing w:after="0"/>
              <w:rPr>
                <w:sz w:val="20"/>
                <w:szCs w:val="20"/>
                <w:color w:val="auto"/>
              </w:rPr>
            </w:pPr>
            <w:r>
              <w:rPr>
                <w:rFonts w:ascii="Arial" w:cs="Arial" w:eastAsia="Arial" w:hAnsi="Arial"/>
                <w:sz w:val="10"/>
                <w:szCs w:val="10"/>
                <w:color w:val="auto"/>
              </w:rPr>
              <w:t>(1)</w:t>
            </w:r>
          </w:p>
        </w:tc>
        <w:tc>
          <w:tcPr>
            <w:tcW w:w="940" w:type="dxa"/>
            <w:vAlign w:val="bottom"/>
            <w:gridSpan w:val="2"/>
          </w:tcPr>
          <w:p>
            <w:pPr>
              <w:jc w:val="right"/>
              <w:ind w:right="10"/>
              <w:spacing w:after="0"/>
              <w:rPr>
                <w:sz w:val="20"/>
                <w:szCs w:val="20"/>
                <w:color w:val="auto"/>
              </w:rPr>
            </w:pPr>
            <w:r>
              <w:rPr>
                <w:rFonts w:ascii="Arial" w:cs="Arial" w:eastAsia="Arial" w:hAnsi="Arial"/>
                <w:sz w:val="10"/>
                <w:szCs w:val="10"/>
                <w:color w:val="auto"/>
              </w:rPr>
              <w:t>1</w:t>
            </w:r>
          </w:p>
        </w:tc>
        <w:tc>
          <w:tcPr>
            <w:tcW w:w="5720" w:type="dxa"/>
            <w:vAlign w:val="bottom"/>
            <w:gridSpan w:val="3"/>
          </w:tcPr>
          <w:p>
            <w:pPr>
              <w:jc w:val="right"/>
              <w:ind w:right="479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Total financial expenses</w:t>
            </w: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(251)</w:t>
            </w:r>
          </w:p>
        </w:tc>
        <w:tc>
          <w:tcPr>
            <w:tcW w:w="940" w:type="dxa"/>
            <w:vAlign w:val="bottom"/>
            <w:gridSpan w:val="2"/>
          </w:tcPr>
          <w:p>
            <w:pPr>
              <w:jc w:val="right"/>
              <w:spacing w:after="0"/>
              <w:rPr>
                <w:sz w:val="20"/>
                <w:szCs w:val="20"/>
                <w:color w:val="auto"/>
              </w:rPr>
            </w:pPr>
            <w:r>
              <w:rPr>
                <w:rFonts w:ascii="Arial" w:cs="Arial" w:eastAsia="Arial" w:hAnsi="Arial"/>
                <w:sz w:val="10"/>
                <w:szCs w:val="10"/>
                <w:b w:val="1"/>
                <w:bCs w:val="1"/>
                <w:color w:val="auto"/>
              </w:rPr>
              <w:t>(10)</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(261)</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Net financial items</w:t>
            </w: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239</w:t>
            </w:r>
          </w:p>
        </w:tc>
        <w:tc>
          <w:tcPr>
            <w:tcW w:w="1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0"/>
                <w:szCs w:val="10"/>
                <w:b w:val="1"/>
                <w:bCs w:val="1"/>
                <w:color w:val="auto"/>
              </w:rPr>
              <w:t>239</w:t>
            </w: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60" w:type="dxa"/>
            <w:vAlign w:val="bottom"/>
            <w:tcBorders>
              <w:bottom w:val="single" w:sz="8" w:color="691A6B"/>
            </w:tcBorders>
          </w:tcPr>
          <w:p>
            <w:pPr>
              <w:spacing w:after="0" w:line="172" w:lineRule="exact"/>
              <w:rPr>
                <w:sz w:val="20"/>
                <w:szCs w:val="20"/>
                <w:color w:val="auto"/>
              </w:rPr>
            </w:pPr>
            <w:r>
              <w:rPr>
                <w:rFonts w:ascii="Arial" w:cs="Arial" w:eastAsia="Arial" w:hAnsi="Arial"/>
                <w:sz w:val="15"/>
                <w:szCs w:val="15"/>
                <w:b w:val="1"/>
                <w:bCs w:val="1"/>
                <w:color w:val="691A6B"/>
              </w:rPr>
              <w:t>2 - Revenue</w:t>
            </w:r>
          </w:p>
        </w:tc>
        <w:tc>
          <w:tcPr>
            <w:tcW w:w="1220" w:type="dxa"/>
            <w:vAlign w:val="bottom"/>
            <w:tcBorders>
              <w:bottom w:val="single" w:sz="8" w:color="691A6B"/>
            </w:tcBorders>
          </w:tcPr>
          <w:p>
            <w:pPr>
              <w:spacing w:after="0"/>
              <w:rPr>
                <w:sz w:val="14"/>
                <w:szCs w:val="14"/>
                <w:color w:val="auto"/>
              </w:rPr>
            </w:pPr>
          </w:p>
        </w:tc>
        <w:tc>
          <w:tcPr>
            <w:tcW w:w="140" w:type="dxa"/>
            <w:vAlign w:val="bottom"/>
            <w:tcBorders>
              <w:bottom w:val="single" w:sz="8" w:color="691A6B"/>
            </w:tcBorders>
          </w:tcPr>
          <w:p>
            <w:pPr>
              <w:spacing w:after="0"/>
              <w:rPr>
                <w:sz w:val="14"/>
                <w:szCs w:val="14"/>
                <w:color w:val="auto"/>
              </w:rPr>
            </w:pPr>
          </w:p>
        </w:tc>
        <w:tc>
          <w:tcPr>
            <w:tcW w:w="800" w:type="dxa"/>
            <w:vAlign w:val="bottom"/>
            <w:tcBorders>
              <w:bottom w:val="single" w:sz="8" w:color="691A6B"/>
            </w:tcBorders>
          </w:tcPr>
          <w:p>
            <w:pPr>
              <w:spacing w:after="0"/>
              <w:rPr>
                <w:sz w:val="14"/>
                <w:szCs w:val="14"/>
                <w:color w:val="auto"/>
              </w:rPr>
            </w:pPr>
          </w:p>
        </w:tc>
        <w:tc>
          <w:tcPr>
            <w:tcW w:w="940" w:type="dxa"/>
            <w:vAlign w:val="bottom"/>
            <w:tcBorders>
              <w:bottom w:val="single" w:sz="8" w:color="691A6B"/>
            </w:tcBorders>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Revenue by type:</w:t>
            </w:r>
          </w:p>
        </w:tc>
        <w:tc>
          <w:tcPr>
            <w:tcW w:w="1220" w:type="dxa"/>
            <w:vAlign w:val="bottom"/>
          </w:tcPr>
          <w:p>
            <w:pPr>
              <w:spacing w:after="0"/>
              <w:rPr>
                <w:sz w:val="11"/>
                <w:szCs w:val="11"/>
                <w:color w:val="auto"/>
              </w:rPr>
            </w:pPr>
          </w:p>
        </w:tc>
        <w:tc>
          <w:tcPr>
            <w:tcW w:w="940" w:type="dxa"/>
            <w:vAlign w:val="bottom"/>
            <w:gridSpan w:val="2"/>
          </w:tcPr>
          <w:p>
            <w:pPr>
              <w:jc w:val="right"/>
              <w:ind w:right="650"/>
              <w:spacing w:after="0"/>
              <w:rPr>
                <w:sz w:val="20"/>
                <w:szCs w:val="20"/>
                <w:color w:val="auto"/>
              </w:rPr>
            </w:pPr>
            <w:r>
              <w:rPr>
                <w:rFonts w:ascii="Arial" w:cs="Arial" w:eastAsia="Arial" w:hAnsi="Arial"/>
                <w:sz w:val="10"/>
                <w:szCs w:val="10"/>
                <w:b w:val="1"/>
                <w:bCs w:val="1"/>
                <w:color w:val="691A6B"/>
                <w:w w:val="98"/>
              </w:rPr>
              <w:t>2025</w:t>
            </w:r>
          </w:p>
        </w:tc>
        <w:tc>
          <w:tcPr>
            <w:tcW w:w="940" w:type="dxa"/>
            <w:vAlign w:val="bottom"/>
          </w:tcPr>
          <w:p>
            <w:pPr>
              <w:jc w:val="right"/>
              <w:ind w:right="668"/>
              <w:spacing w:after="0"/>
              <w:rPr>
                <w:sz w:val="20"/>
                <w:szCs w:val="20"/>
                <w:color w:val="auto"/>
              </w:rPr>
            </w:pPr>
            <w:r>
              <w:rPr>
                <w:rFonts w:ascii="Arial" w:cs="Arial" w:eastAsia="Arial" w:hAnsi="Arial"/>
                <w:sz w:val="10"/>
                <w:szCs w:val="10"/>
                <w:b w:val="1"/>
                <w:bCs w:val="1"/>
                <w:color w:val="auto"/>
                <w:w w:val="89"/>
              </w:rPr>
              <w:t>2024</w:t>
            </w:r>
          </w:p>
        </w:tc>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6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60" w:type="dxa"/>
            <w:vAlign w:val="bottom"/>
          </w:tcPr>
          <w:p>
            <w:pPr>
              <w:ind w:left="20"/>
              <w:spacing w:after="0"/>
              <w:rPr>
                <w:sz w:val="20"/>
                <w:szCs w:val="20"/>
                <w:color w:val="auto"/>
              </w:rPr>
            </w:pPr>
            <w:r>
              <w:rPr>
                <w:rFonts w:ascii="Arial" w:cs="Arial" w:eastAsia="Arial" w:hAnsi="Arial"/>
                <w:sz w:val="10"/>
                <w:szCs w:val="10"/>
                <w:color w:val="auto"/>
              </w:rPr>
              <w:t>Royalties</w:t>
            </w:r>
          </w:p>
        </w:tc>
        <w:tc>
          <w:tcPr>
            <w:tcW w:w="1220" w:type="dxa"/>
            <w:vAlign w:val="bottom"/>
          </w:tcPr>
          <w:p>
            <w:pPr>
              <w:spacing w:after="0"/>
              <w:rPr>
                <w:sz w:val="12"/>
                <w:szCs w:val="12"/>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3,102</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2,517</w:t>
            </w: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Net product sales - External</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5</w:t>
            </w:r>
          </w:p>
        </w:tc>
        <w:tc>
          <w:tcPr>
            <w:tcW w:w="5720" w:type="dxa"/>
            <w:vAlign w:val="bottom"/>
            <w:gridSpan w:val="3"/>
          </w:tcPr>
          <w:p>
            <w:pPr>
              <w:jc w:val="right"/>
              <w:ind w:right="48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Net product sales - Intercompany</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208</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180</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Reimbursement revenue - External</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52</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144</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Reimbursement revenue - Intercompany</w:t>
            </w: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125</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165</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Milestone revenue</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97</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145</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Collaboration revenue</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70</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62</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b w:val="1"/>
                <w:bCs w:val="1"/>
                <w:color w:val="691A6B"/>
              </w:rPr>
              <w:t>3,659</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3,213</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Revenue by collaboration partner:</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ind w:left="20"/>
              <w:spacing w:after="0"/>
              <w:rPr>
                <w:sz w:val="20"/>
                <w:szCs w:val="20"/>
                <w:color w:val="auto"/>
              </w:rPr>
            </w:pPr>
            <w:r>
              <w:rPr>
                <w:rFonts w:ascii="Arial" w:cs="Arial" w:eastAsia="Arial" w:hAnsi="Arial"/>
                <w:sz w:val="10"/>
                <w:szCs w:val="10"/>
                <w:color w:val="auto"/>
              </w:rPr>
              <w:t>Janssen</w:t>
            </w:r>
          </w:p>
        </w:tc>
        <w:tc>
          <w:tcPr>
            <w:tcW w:w="1220" w:type="dxa"/>
            <w:vAlign w:val="bottom"/>
          </w:tcPr>
          <w:p>
            <w:pPr>
              <w:spacing w:after="0"/>
              <w:rPr>
                <w:sz w:val="12"/>
                <w:szCs w:val="12"/>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2,565</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2,091</w:t>
            </w: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AbbVie</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66</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58</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Roche</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106</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107</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Novartis</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446</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408</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BioNTech</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40</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127</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Pfizer</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76</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77</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Other</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21</w:t>
            </w:r>
          </w:p>
        </w:tc>
        <w:tc>
          <w:tcPr>
            <w:tcW w:w="5720" w:type="dxa"/>
            <w:vAlign w:val="bottom"/>
            <w:gridSpan w:val="3"/>
          </w:tcPr>
          <w:p>
            <w:pPr>
              <w:jc w:val="right"/>
              <w:ind w:right="48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Total¹</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b w:val="1"/>
                <w:bCs w:val="1"/>
                <w:color w:val="691A6B"/>
              </w:rPr>
              <w:t>3,320</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2,868</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Royalties by product:</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ind w:left="20"/>
              <w:spacing w:after="0"/>
              <w:rPr>
                <w:sz w:val="20"/>
                <w:szCs w:val="20"/>
                <w:color w:val="auto"/>
              </w:rPr>
            </w:pPr>
            <w:r>
              <w:rPr>
                <w:rFonts w:ascii="Arial" w:cs="Arial" w:eastAsia="Arial" w:hAnsi="Arial"/>
                <w:sz w:val="10"/>
                <w:szCs w:val="10"/>
                <w:color w:val="auto"/>
              </w:rPr>
              <w:t>DARZALEX</w:t>
            </w:r>
          </w:p>
        </w:tc>
        <w:tc>
          <w:tcPr>
            <w:tcW w:w="1220" w:type="dxa"/>
            <w:vAlign w:val="bottom"/>
          </w:tcPr>
          <w:p>
            <w:pPr>
              <w:spacing w:after="0"/>
              <w:rPr>
                <w:sz w:val="12"/>
                <w:szCs w:val="12"/>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2,443</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2,019</w:t>
            </w: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Kesimpta</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443</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323</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TEPEZZA</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105</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106</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Other²</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color w:val="691A6B"/>
              </w:rPr>
              <w:t>111</w:t>
            </w:r>
          </w:p>
        </w:tc>
        <w:tc>
          <w:tcPr>
            <w:tcW w:w="940" w:type="dxa"/>
            <w:vAlign w:val="bottom"/>
          </w:tcPr>
          <w:p>
            <w:pPr>
              <w:jc w:val="right"/>
              <w:ind w:right="28"/>
              <w:spacing w:after="0"/>
              <w:rPr>
                <w:sz w:val="20"/>
                <w:szCs w:val="20"/>
                <w:color w:val="auto"/>
              </w:rPr>
            </w:pPr>
            <w:r>
              <w:rPr>
                <w:rFonts w:ascii="Arial" w:cs="Arial" w:eastAsia="Arial" w:hAnsi="Arial"/>
                <w:sz w:val="10"/>
                <w:szCs w:val="10"/>
                <w:color w:val="auto"/>
              </w:rPr>
              <w:t>69</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220" w:type="dxa"/>
            <w:vAlign w:val="bottom"/>
          </w:tcPr>
          <w:p>
            <w:pPr>
              <w:spacing w:after="0"/>
              <w:rPr>
                <w:sz w:val="13"/>
                <w:szCs w:val="1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0"/>
                <w:szCs w:val="10"/>
                <w:b w:val="1"/>
                <w:bCs w:val="1"/>
                <w:color w:val="691A6B"/>
              </w:rPr>
              <w:t>3,102</w:t>
            </w:r>
          </w:p>
        </w:tc>
        <w:tc>
          <w:tcPr>
            <w:tcW w:w="940" w:type="dxa"/>
            <w:vAlign w:val="bottom"/>
          </w:tcPr>
          <w:p>
            <w:pPr>
              <w:jc w:val="right"/>
              <w:ind w:right="28"/>
              <w:spacing w:after="0"/>
              <w:rPr>
                <w:sz w:val="20"/>
                <w:szCs w:val="20"/>
                <w:color w:val="auto"/>
              </w:rPr>
            </w:pPr>
            <w:r>
              <w:rPr>
                <w:rFonts w:ascii="Arial" w:cs="Arial" w:eastAsia="Arial" w:hAnsi="Arial"/>
                <w:sz w:val="10"/>
                <w:szCs w:val="10"/>
                <w:b w:val="1"/>
                <w:bCs w:val="1"/>
                <w:color w:val="auto"/>
              </w:rPr>
              <w:t>2,517</w:t>
            </w: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20"/>
                <w:szCs w:val="20"/>
                <w:color w:val="auto"/>
              </w:rPr>
            </w:pPr>
            <w:r>
              <w:rPr>
                <w:rFonts w:ascii="Arial" w:cs="Arial" w:eastAsia="Arial" w:hAnsi="Arial"/>
                <w:sz w:val="9"/>
                <w:szCs w:val="9"/>
                <w:color w:val="auto"/>
                <w:w w:val="97"/>
              </w:rPr>
              <w:t>1.Excludes Genmab’s intercompany revenue</w:t>
            </w: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420"/>
              <w:spacing w:after="0"/>
              <w:rPr>
                <w:rFonts w:ascii="Arial" w:cs="Arial" w:eastAsia="Arial" w:hAnsi="Arial"/>
                <w:sz w:val="10"/>
                <w:szCs w:val="10"/>
                <w:color w:val="auto"/>
              </w:rPr>
            </w:pPr>
            <w:hyperlink w:anchor="page83">
              <w:r>
                <w:rPr>
                  <w:rFonts w:ascii="Arial" w:cs="Arial" w:eastAsia="Arial" w:hAnsi="Arial"/>
                  <w:sz w:val="10"/>
                  <w:szCs w:val="10"/>
                  <w:color w:val="auto"/>
                </w:rPr>
                <w:t>Management’s Review</w:t>
              </w:r>
            </w:hyperlink>
          </w:p>
        </w:tc>
        <w:tc>
          <w:tcPr>
            <w:tcW w:w="1220" w:type="dxa"/>
            <w:vAlign w:val="bottom"/>
          </w:tcPr>
          <w:p>
            <w:pPr>
              <w:jc w:val="right"/>
              <w:ind w:right="209"/>
              <w:spacing w:after="0"/>
              <w:rPr>
                <w:rFonts w:ascii="Arial" w:cs="Arial" w:eastAsia="Arial" w:hAnsi="Arial"/>
                <w:sz w:val="10"/>
                <w:szCs w:val="10"/>
                <w:b w:val="1"/>
                <w:bCs w:val="1"/>
                <w:color w:val="auto"/>
                <w:w w:val="93"/>
              </w:rPr>
            </w:pPr>
            <w:hyperlink w:anchor="page134">
              <w:r>
                <w:rPr>
                  <w:rFonts w:ascii="Arial" w:cs="Arial" w:eastAsia="Arial" w:hAnsi="Arial"/>
                  <w:sz w:val="10"/>
                  <w:szCs w:val="10"/>
                  <w:b w:val="1"/>
                  <w:bCs w:val="1"/>
                  <w:color w:val="auto"/>
                  <w:w w:val="93"/>
                </w:rPr>
                <w:t>Financial Statements</w:t>
              </w:r>
            </w:hyperlink>
          </w:p>
        </w:tc>
        <w:tc>
          <w:tcPr>
            <w:tcW w:w="140" w:type="dxa"/>
            <w:vAlign w:val="bottom"/>
          </w:tcPr>
          <w:p>
            <w:pPr>
              <w:spacing w:after="0"/>
              <w:rPr>
                <w:sz w:val="18"/>
                <w:szCs w:val="18"/>
                <w:color w:val="auto"/>
              </w:rPr>
            </w:pPr>
          </w:p>
        </w:tc>
        <w:tc>
          <w:tcPr>
            <w:tcW w:w="800" w:type="dxa"/>
            <w:vAlign w:val="bottom"/>
          </w:tcPr>
          <w:p>
            <w:pPr>
              <w:jc w:val="right"/>
              <w:spacing w:after="0"/>
              <w:rPr>
                <w:rFonts w:ascii="Arial" w:cs="Arial" w:eastAsia="Arial" w:hAnsi="Arial"/>
                <w:sz w:val="10"/>
                <w:szCs w:val="10"/>
                <w:color w:val="auto"/>
                <w:w w:val="95"/>
              </w:rPr>
            </w:pPr>
            <w:hyperlink w:anchor="page171">
              <w:r>
                <w:rPr>
                  <w:rFonts w:ascii="Arial" w:cs="Arial" w:eastAsia="Arial" w:hAnsi="Arial"/>
                  <w:sz w:val="10"/>
                  <w:szCs w:val="10"/>
                  <w:color w:val="auto"/>
                  <w:w w:val="95"/>
                </w:rPr>
                <w:t>Other Information</w:t>
              </w:r>
            </w:hyperlink>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ind w:left="3240"/>
              <w:spacing w:after="0"/>
              <w:rPr>
                <w:sz w:val="20"/>
                <w:szCs w:val="20"/>
                <w:color w:val="auto"/>
              </w:rPr>
            </w:pPr>
            <w:r>
              <w:rPr>
                <w:rFonts w:ascii="Arial" w:cs="Arial" w:eastAsia="Arial" w:hAnsi="Arial"/>
                <w:sz w:val="10"/>
                <w:szCs w:val="10"/>
                <w:color w:val="auto"/>
                <w:w w:val="96"/>
              </w:rPr>
              <w:t>Genmab 2025 Annual Report   166</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60" w:type="dxa"/>
            <w:vAlign w:val="bottom"/>
          </w:tcPr>
          <w:p>
            <w:pPr>
              <w:spacing w:after="0"/>
              <w:rPr>
                <w:sz w:val="5"/>
                <w:szCs w:val="5"/>
                <w:color w:val="auto"/>
              </w:rPr>
            </w:pPr>
          </w:p>
        </w:tc>
        <w:tc>
          <w:tcPr>
            <w:tcW w:w="1220" w:type="dxa"/>
            <w:vAlign w:val="bottom"/>
            <w:shd w:val="clear" w:color="auto" w:fill="691A6B"/>
          </w:tcPr>
          <w:p>
            <w:pPr>
              <w:spacing w:after="0"/>
              <w:rPr>
                <w:sz w:val="5"/>
                <w:szCs w:val="5"/>
                <w:color w:val="auto"/>
              </w:rPr>
            </w:pPr>
          </w:p>
        </w:tc>
        <w:tc>
          <w:tcPr>
            <w:tcW w:w="140" w:type="dxa"/>
            <w:vAlign w:val="bottom"/>
            <w:shd w:val="clear" w:color="auto" w:fill="691A6B"/>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90805" cy="965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p>
      <w:pPr>
        <w:spacing w:after="0" w:line="218" w:lineRule="auto"/>
        <w:rPr>
          <w:sz w:val="20"/>
          <w:szCs w:val="20"/>
          <w:color w:val="auto"/>
        </w:rPr>
      </w:pPr>
      <w:r>
        <w:rPr>
          <w:rFonts w:ascii="Arial" w:cs="Arial" w:eastAsia="Arial" w:hAnsi="Arial"/>
          <w:sz w:val="15"/>
          <w:szCs w:val="15"/>
          <w:b w:val="1"/>
          <w:bCs w:val="1"/>
          <w:color w:val="691A6B"/>
        </w:rPr>
        <w:t>3 - Staff Costs</w:t>
      </w:r>
    </w:p>
    <w:tbl>
      <w:tblPr>
        <w:tblLayout w:type="fixed"/>
        <w:tblInd w:w="0" w:type="dxa"/>
        <w:tblCellMar>
          <w:top w:w="0" w:type="dxa"/>
          <w:left w:w="0" w:type="dxa"/>
          <w:bottom w:w="0" w:type="dxa"/>
          <w:right w:w="0" w:type="dxa"/>
        </w:tblCellMar>
      </w:tblPr>
      <w:tr>
        <w:trPr>
          <w:trHeight w:val="123"/>
        </w:trPr>
        <w:tc>
          <w:tcPr>
            <w:tcW w:w="2980" w:type="dxa"/>
            <w:vAlign w:val="bottom"/>
            <w:tcBorders>
              <w:top w:val="single" w:sz="8" w:color="691A6B"/>
            </w:tcBorders>
          </w:tcPr>
          <w:p>
            <w:pPr>
              <w:spacing w:after="0"/>
              <w:rPr>
                <w:sz w:val="10"/>
                <w:szCs w:val="10"/>
                <w:color w:val="auto"/>
              </w:rPr>
            </w:pPr>
          </w:p>
        </w:tc>
        <w:tc>
          <w:tcPr>
            <w:tcW w:w="460" w:type="dxa"/>
            <w:vAlign w:val="bottom"/>
            <w:tcBorders>
              <w:top w:val="single" w:sz="8" w:color="691A6B"/>
            </w:tcBorders>
          </w:tcPr>
          <w:p>
            <w:pPr>
              <w:ind w:left="20"/>
              <w:spacing w:after="0"/>
              <w:rPr>
                <w:sz w:val="20"/>
                <w:szCs w:val="20"/>
                <w:color w:val="auto"/>
              </w:rPr>
            </w:pPr>
            <w:r>
              <w:rPr>
                <w:rFonts w:ascii="Arial" w:cs="Arial" w:eastAsia="Arial" w:hAnsi="Arial"/>
                <w:sz w:val="10"/>
                <w:szCs w:val="10"/>
                <w:b w:val="1"/>
                <w:bCs w:val="1"/>
                <w:color w:val="691A6B"/>
              </w:rPr>
              <w:t>2025</w:t>
            </w:r>
          </w:p>
        </w:tc>
        <w:tc>
          <w:tcPr>
            <w:tcW w:w="46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auto"/>
              </w:rPr>
              <w:t>2024</w:t>
            </w:r>
          </w:p>
        </w:tc>
      </w:tr>
      <w:tr>
        <w:trPr>
          <w:trHeight w:val="137"/>
        </w:trPr>
        <w:tc>
          <w:tcPr>
            <w:tcW w:w="2980" w:type="dxa"/>
            <w:vAlign w:val="bottom"/>
          </w:tcPr>
          <w:p>
            <w:pPr>
              <w:ind w:left="20"/>
              <w:spacing w:after="0"/>
              <w:rPr>
                <w:sz w:val="20"/>
                <w:szCs w:val="20"/>
                <w:color w:val="auto"/>
              </w:rPr>
            </w:pPr>
            <w:r>
              <w:rPr>
                <w:rFonts w:ascii="Arial" w:cs="Arial" w:eastAsia="Arial" w:hAnsi="Arial"/>
                <w:sz w:val="10"/>
                <w:szCs w:val="10"/>
                <w:color w:val="auto"/>
              </w:rPr>
              <w:t>Wages and salaries</w:t>
            </w:r>
          </w:p>
        </w:tc>
        <w:tc>
          <w:tcPr>
            <w:tcW w:w="46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103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82</w:t>
            </w:r>
          </w:p>
        </w:tc>
      </w:tr>
      <w:tr>
        <w:trPr>
          <w:trHeight w:val="152"/>
        </w:trPr>
        <w:tc>
          <w:tcPr>
            <w:tcW w:w="298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460" w:type="dxa"/>
            <w:vAlign w:val="bottom"/>
          </w:tcPr>
          <w:p>
            <w:pPr>
              <w:spacing w:after="0"/>
              <w:rPr>
                <w:sz w:val="13"/>
                <w:szCs w:val="13"/>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16</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13</w:t>
            </w:r>
          </w:p>
        </w:tc>
      </w:tr>
      <w:tr>
        <w:trPr>
          <w:trHeight w:val="152"/>
        </w:trPr>
        <w:tc>
          <w:tcPr>
            <w:tcW w:w="2980" w:type="dxa"/>
            <w:vAlign w:val="bottom"/>
          </w:tcPr>
          <w:p>
            <w:pPr>
              <w:ind w:left="20"/>
              <w:spacing w:after="0"/>
              <w:rPr>
                <w:sz w:val="20"/>
                <w:szCs w:val="20"/>
                <w:color w:val="auto"/>
              </w:rPr>
            </w:pPr>
            <w:r>
              <w:rPr>
                <w:rFonts w:ascii="Arial" w:cs="Arial" w:eastAsia="Arial" w:hAnsi="Arial"/>
                <w:sz w:val="10"/>
                <w:szCs w:val="10"/>
                <w:color w:val="auto"/>
              </w:rPr>
              <w:t>Defined contribution plans</w:t>
            </w:r>
          </w:p>
        </w:tc>
        <w:tc>
          <w:tcPr>
            <w:tcW w:w="460" w:type="dxa"/>
            <w:vAlign w:val="bottom"/>
          </w:tcPr>
          <w:p>
            <w:pPr>
              <w:spacing w:after="0"/>
              <w:rPr>
                <w:sz w:val="13"/>
                <w:szCs w:val="13"/>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9</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7</w:t>
            </w:r>
          </w:p>
        </w:tc>
      </w:tr>
      <w:tr>
        <w:trPr>
          <w:trHeight w:val="152"/>
        </w:trPr>
        <w:tc>
          <w:tcPr>
            <w:tcW w:w="2980" w:type="dxa"/>
            <w:vAlign w:val="bottom"/>
          </w:tcPr>
          <w:p>
            <w:pPr>
              <w:ind w:left="20"/>
              <w:spacing w:after="0"/>
              <w:rPr>
                <w:sz w:val="20"/>
                <w:szCs w:val="20"/>
                <w:color w:val="auto"/>
              </w:rPr>
            </w:pPr>
            <w:r>
              <w:rPr>
                <w:rFonts w:ascii="Arial" w:cs="Arial" w:eastAsia="Arial" w:hAnsi="Arial"/>
                <w:sz w:val="10"/>
                <w:szCs w:val="10"/>
                <w:color w:val="auto"/>
              </w:rPr>
              <w:t>Other social security costs</w:t>
            </w:r>
          </w:p>
        </w:tc>
        <w:tc>
          <w:tcPr>
            <w:tcW w:w="460" w:type="dxa"/>
            <w:vAlign w:val="bottom"/>
          </w:tcPr>
          <w:p>
            <w:pPr>
              <w:spacing w:after="0"/>
              <w:rPr>
                <w:sz w:val="13"/>
                <w:szCs w:val="13"/>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8"/>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460" w:type="dxa"/>
            <w:vAlign w:val="bottom"/>
          </w:tcPr>
          <w:p>
            <w:pPr>
              <w:spacing w:after="0"/>
              <w:rPr>
                <w:sz w:val="13"/>
                <w:szCs w:val="13"/>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b w:val="1"/>
                <w:bCs w:val="1"/>
                <w:color w:val="691A6B"/>
              </w:rPr>
              <w:t>131</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102</w:t>
            </w:r>
          </w:p>
        </w:tc>
      </w:tr>
      <w:tr>
        <w:trPr>
          <w:trHeight w:val="314"/>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Staff costs are included in the income statement as follows</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37"/>
        </w:trPr>
        <w:tc>
          <w:tcPr>
            <w:tcW w:w="2980" w:type="dxa"/>
            <w:vAlign w:val="bottom"/>
          </w:tcPr>
          <w:p>
            <w:pPr>
              <w:ind w:left="20"/>
              <w:spacing w:after="0"/>
              <w:rPr>
                <w:sz w:val="20"/>
                <w:szCs w:val="20"/>
                <w:color w:val="auto"/>
              </w:rPr>
            </w:pPr>
            <w:r>
              <w:rPr>
                <w:rFonts w:ascii="Arial" w:cs="Arial" w:eastAsia="Arial" w:hAnsi="Arial"/>
                <w:sz w:val="10"/>
                <w:szCs w:val="10"/>
                <w:color w:val="auto"/>
              </w:rPr>
              <w:t>Research and development expenses</w:t>
            </w:r>
          </w:p>
        </w:tc>
        <w:tc>
          <w:tcPr>
            <w:tcW w:w="46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94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78</w:t>
            </w:r>
          </w:p>
        </w:tc>
      </w:tr>
      <w:tr>
        <w:trPr>
          <w:trHeight w:val="152"/>
        </w:trPr>
        <w:tc>
          <w:tcPr>
            <w:tcW w:w="2980" w:type="dxa"/>
            <w:vAlign w:val="bottom"/>
          </w:tcPr>
          <w:p>
            <w:pPr>
              <w:ind w:left="20"/>
              <w:spacing w:after="0"/>
              <w:rPr>
                <w:sz w:val="20"/>
                <w:szCs w:val="20"/>
                <w:color w:val="auto"/>
              </w:rPr>
            </w:pPr>
            <w:r>
              <w:rPr>
                <w:rFonts w:ascii="Arial" w:cs="Arial" w:eastAsia="Arial" w:hAnsi="Arial"/>
                <w:sz w:val="10"/>
                <w:szCs w:val="10"/>
                <w:color w:val="auto"/>
              </w:rPr>
              <w:t>Selling, general and administrative expenses</w:t>
            </w:r>
          </w:p>
        </w:tc>
        <w:tc>
          <w:tcPr>
            <w:tcW w:w="460" w:type="dxa"/>
            <w:vAlign w:val="bottom"/>
          </w:tcPr>
          <w:p>
            <w:pPr>
              <w:spacing w:after="0"/>
              <w:rPr>
                <w:sz w:val="13"/>
                <w:szCs w:val="13"/>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37</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24</w:t>
            </w:r>
          </w:p>
        </w:tc>
      </w:tr>
      <w:tr>
        <w:trPr>
          <w:trHeight w:val="158"/>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460" w:type="dxa"/>
            <w:vAlign w:val="bottom"/>
          </w:tcPr>
          <w:p>
            <w:pPr>
              <w:spacing w:after="0"/>
              <w:rPr>
                <w:sz w:val="13"/>
                <w:szCs w:val="13"/>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b w:val="1"/>
                <w:bCs w:val="1"/>
                <w:color w:val="691A6B"/>
              </w:rPr>
              <w:t>131</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102</w:t>
            </w:r>
          </w:p>
        </w:tc>
      </w:tr>
      <w:tr>
        <w:trPr>
          <w:trHeight w:val="346"/>
        </w:trPr>
        <w:tc>
          <w:tcPr>
            <w:tcW w:w="2980" w:type="dxa"/>
            <w:vAlign w:val="bottom"/>
          </w:tcPr>
          <w:p>
            <w:pPr>
              <w:ind w:left="20"/>
              <w:spacing w:after="0"/>
              <w:rPr>
                <w:sz w:val="20"/>
                <w:szCs w:val="20"/>
                <w:color w:val="auto"/>
              </w:rPr>
            </w:pPr>
            <w:r>
              <w:rPr>
                <w:rFonts w:ascii="Arial" w:cs="Arial" w:eastAsia="Arial" w:hAnsi="Arial"/>
                <w:sz w:val="10"/>
                <w:szCs w:val="10"/>
                <w:color w:val="auto"/>
              </w:rPr>
              <w:t>Average number of FTE</w:t>
            </w:r>
          </w:p>
        </w:tc>
        <w:tc>
          <w:tcPr>
            <w:tcW w:w="460" w:type="dxa"/>
            <w:vAlign w:val="bottom"/>
          </w:tcPr>
          <w:p>
            <w:pPr>
              <w:ind w:left="20"/>
              <w:spacing w:after="0"/>
              <w:rPr>
                <w:sz w:val="20"/>
                <w:szCs w:val="20"/>
                <w:color w:val="auto"/>
              </w:rPr>
            </w:pPr>
            <w:r>
              <w:rPr>
                <w:rFonts w:ascii="Arial" w:cs="Arial" w:eastAsia="Arial" w:hAnsi="Arial"/>
                <w:sz w:val="10"/>
                <w:szCs w:val="10"/>
                <w:color w:val="691A6B"/>
              </w:rPr>
              <w:t>521</w:t>
            </w:r>
          </w:p>
        </w:tc>
        <w:tc>
          <w:tcPr>
            <w:tcW w:w="46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0"/>
                <w:szCs w:val="10"/>
                <w:color w:val="auto"/>
              </w:rPr>
              <w:t>492</w:t>
            </w:r>
          </w:p>
        </w:tc>
      </w:tr>
      <w:tr>
        <w:trPr>
          <w:trHeight w:val="152"/>
        </w:trPr>
        <w:tc>
          <w:tcPr>
            <w:tcW w:w="2980" w:type="dxa"/>
            <w:vAlign w:val="bottom"/>
          </w:tcPr>
          <w:p>
            <w:pPr>
              <w:ind w:left="20"/>
              <w:spacing w:after="0"/>
              <w:rPr>
                <w:sz w:val="20"/>
                <w:szCs w:val="20"/>
                <w:color w:val="auto"/>
              </w:rPr>
            </w:pPr>
            <w:r>
              <w:rPr>
                <w:rFonts w:ascii="Arial" w:cs="Arial" w:eastAsia="Arial" w:hAnsi="Arial"/>
                <w:sz w:val="10"/>
                <w:szCs w:val="10"/>
                <w:color w:val="auto"/>
              </w:rPr>
              <w:t>Number of FTE at year-end</w:t>
            </w:r>
          </w:p>
        </w:tc>
        <w:tc>
          <w:tcPr>
            <w:tcW w:w="460" w:type="dxa"/>
            <w:vAlign w:val="bottom"/>
          </w:tcPr>
          <w:p>
            <w:pPr>
              <w:ind w:left="20"/>
              <w:spacing w:after="0"/>
              <w:rPr>
                <w:sz w:val="20"/>
                <w:szCs w:val="20"/>
                <w:color w:val="auto"/>
              </w:rPr>
            </w:pPr>
            <w:r>
              <w:rPr>
                <w:rFonts w:ascii="Arial" w:cs="Arial" w:eastAsia="Arial" w:hAnsi="Arial"/>
                <w:sz w:val="10"/>
                <w:szCs w:val="10"/>
                <w:color w:val="691A6B"/>
              </w:rPr>
              <w:t>556</w:t>
            </w:r>
          </w:p>
        </w:tc>
        <w:tc>
          <w:tcPr>
            <w:tcW w:w="46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0"/>
                <w:szCs w:val="10"/>
                <w:color w:val="auto"/>
              </w:rPr>
              <w:t>519</w:t>
            </w:r>
          </w:p>
        </w:tc>
      </w:tr>
    </w:tbl>
    <w:p>
      <w:pPr>
        <w:spacing w:after="0" w:line="6" w:lineRule="exact"/>
        <w:rPr>
          <w:sz w:val="20"/>
          <w:szCs w:val="20"/>
          <w:color w:val="auto"/>
        </w:rPr>
      </w:pPr>
    </w:p>
    <w:p>
      <w:pPr>
        <w:ind w:right="4900"/>
        <w:spacing w:after="0" w:line="213" w:lineRule="auto"/>
        <w:rPr>
          <w:rFonts w:ascii="Arial" w:cs="Arial" w:eastAsia="Arial" w:hAnsi="Arial"/>
          <w:sz w:val="10"/>
          <w:szCs w:val="10"/>
          <w:color w:val="691A6B"/>
        </w:rPr>
      </w:pPr>
      <w:hyperlink w:anchor="page141">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2.3 </w:t>
      </w:r>
      <w:hyperlink w:anchor="page141">
        <w:r>
          <w:rPr>
            <w:rFonts w:ascii="Arial" w:cs="Arial" w:eastAsia="Arial" w:hAnsi="Arial"/>
            <w:sz w:val="10"/>
            <w:szCs w:val="10"/>
            <w:color w:val="691A6B"/>
          </w:rPr>
          <w:t>in the consolidated financial statements for additional information regarding staff costs of</w:t>
        </w:r>
      </w:hyperlink>
      <w:r>
        <w:rPr>
          <w:rFonts w:ascii="Arial" w:cs="Arial" w:eastAsia="Arial" w:hAnsi="Arial"/>
          <w:sz w:val="10"/>
          <w:szCs w:val="10"/>
          <w:color w:val="691A6B"/>
        </w:rPr>
        <w:t xml:space="preserve"> </w:t>
      </w:r>
      <w:hyperlink w:anchor="page141">
        <w:r>
          <w:rPr>
            <w:rFonts w:ascii="Arial" w:cs="Arial" w:eastAsia="Arial" w:hAnsi="Arial"/>
            <w:sz w:val="10"/>
            <w:szCs w:val="10"/>
            <w:color w:val="691A6B"/>
          </w:rPr>
          <w:t>the Group.</w:t>
        </w:r>
      </w:hyperlink>
    </w:p>
    <w:p>
      <w:pPr>
        <w:spacing w:after="0" w:line="210" w:lineRule="auto"/>
        <w:rPr>
          <w:sz w:val="20"/>
          <w:szCs w:val="20"/>
          <w:color w:val="auto"/>
        </w:rPr>
      </w:pPr>
      <w:r>
        <w:rPr>
          <w:rFonts w:ascii="Arial" w:cs="Arial" w:eastAsia="Arial" w:hAnsi="Arial"/>
          <w:sz w:val="15"/>
          <w:szCs w:val="15"/>
          <w:b w:val="1"/>
          <w:bCs w:val="1"/>
          <w:color w:val="691A6B"/>
        </w:rPr>
        <w:t>4 - Corporate and Deferred Tax</w:t>
      </w:r>
    </w:p>
    <w:p>
      <w:pPr>
        <w:spacing w:after="0" w:line="224" w:lineRule="auto"/>
        <w:rPr>
          <w:sz w:val="20"/>
          <w:szCs w:val="20"/>
          <w:color w:val="auto"/>
        </w:rPr>
      </w:pPr>
      <w:r>
        <w:rPr>
          <w:rFonts w:ascii="Arial" w:cs="Arial" w:eastAsia="Arial" w:hAnsi="Arial"/>
          <w:sz w:val="13"/>
          <w:szCs w:val="13"/>
          <w:b w:val="1"/>
          <w:bCs w:val="1"/>
          <w:color w:val="691A6B"/>
        </w:rPr>
        <w:t>Taxation – Income Statement &amp; Shareholders’ Equity</w:t>
      </w:r>
    </w:p>
    <w:tbl>
      <w:tblPr>
        <w:tblLayout w:type="fixed"/>
        <w:tblInd w:w="0" w:type="dxa"/>
        <w:tblCellMar>
          <w:top w:w="0" w:type="dxa"/>
          <w:left w:w="0" w:type="dxa"/>
          <w:bottom w:w="0" w:type="dxa"/>
          <w:right w:w="0" w:type="dxa"/>
        </w:tblCellMar>
      </w:tblPr>
      <w:tr>
        <w:trPr>
          <w:trHeight w:val="123"/>
        </w:trPr>
        <w:tc>
          <w:tcPr>
            <w:tcW w:w="344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46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69"/>
              <w:spacing w:after="0"/>
              <w:rPr>
                <w:sz w:val="20"/>
                <w:szCs w:val="20"/>
                <w:color w:val="auto"/>
              </w:rPr>
            </w:pPr>
            <w:r>
              <w:rPr>
                <w:rFonts w:ascii="Arial" w:cs="Arial" w:eastAsia="Arial" w:hAnsi="Arial"/>
                <w:sz w:val="10"/>
                <w:szCs w:val="10"/>
                <w:b w:val="1"/>
                <w:bCs w:val="1"/>
                <w:color w:val="auto"/>
                <w:w w:val="98"/>
              </w:rPr>
              <w:t>2024</w:t>
            </w:r>
          </w:p>
        </w:tc>
      </w:tr>
      <w:tr>
        <w:trPr>
          <w:trHeight w:val="137"/>
        </w:trPr>
        <w:tc>
          <w:tcPr>
            <w:tcW w:w="3440" w:type="dxa"/>
            <w:vAlign w:val="bottom"/>
          </w:tcPr>
          <w:p>
            <w:pPr>
              <w:ind w:left="20"/>
              <w:spacing w:after="0"/>
              <w:rPr>
                <w:sz w:val="20"/>
                <w:szCs w:val="20"/>
                <w:color w:val="auto"/>
              </w:rPr>
            </w:pPr>
            <w:r>
              <w:rPr>
                <w:rFonts w:ascii="Arial" w:cs="Arial" w:eastAsia="Arial" w:hAnsi="Arial"/>
                <w:sz w:val="10"/>
                <w:szCs w:val="10"/>
                <w:color w:val="auto"/>
              </w:rPr>
              <w:t>Current tax</w:t>
            </w: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Current tax on profit</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254</w:t>
            </w:r>
          </w:p>
        </w:tc>
        <w:tc>
          <w:tcPr>
            <w:tcW w:w="960" w:type="dxa"/>
            <w:vAlign w:val="bottom"/>
          </w:tcPr>
          <w:p>
            <w:pPr>
              <w:jc w:val="right"/>
              <w:ind w:right="9"/>
              <w:spacing w:after="0"/>
              <w:rPr>
                <w:sz w:val="20"/>
                <w:szCs w:val="20"/>
                <w:color w:val="auto"/>
              </w:rPr>
            </w:pPr>
            <w:r>
              <w:rPr>
                <w:rFonts w:ascii="Arial" w:cs="Arial" w:eastAsia="Arial" w:hAnsi="Arial"/>
                <w:sz w:val="10"/>
                <w:szCs w:val="10"/>
                <w:color w:val="auto"/>
              </w:rPr>
              <w:t>(12)</w:t>
            </w: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Adjustment to deferred tax</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64</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368</w:t>
            </w: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Effect of exchange rate adjustment</w:t>
            </w:r>
          </w:p>
        </w:tc>
        <w:tc>
          <w:tcPr>
            <w:tcW w:w="460" w:type="dxa"/>
            <w:vAlign w:val="bottom"/>
          </w:tcPr>
          <w:p>
            <w:pPr>
              <w:jc w:val="right"/>
              <w:spacing w:after="0"/>
              <w:rPr>
                <w:sz w:val="20"/>
                <w:szCs w:val="20"/>
                <w:color w:val="auto"/>
              </w:rPr>
            </w:pPr>
            <w:r>
              <w:rPr>
                <w:rFonts w:ascii="Arial" w:cs="Arial" w:eastAsia="Arial" w:hAnsi="Arial"/>
                <w:sz w:val="10"/>
                <w:szCs w:val="10"/>
                <w:color w:val="691A6B"/>
              </w:rPr>
              <w:t>(7)</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w:t>
            </w:r>
          </w:p>
        </w:tc>
      </w:tr>
      <w:tr>
        <w:trPr>
          <w:trHeight w:val="158"/>
        </w:trPr>
        <w:tc>
          <w:tcPr>
            <w:tcW w:w="3440" w:type="dxa"/>
            <w:vAlign w:val="bottom"/>
          </w:tcPr>
          <w:p>
            <w:pPr>
              <w:ind w:left="20"/>
              <w:spacing w:after="0"/>
              <w:rPr>
                <w:sz w:val="20"/>
                <w:szCs w:val="20"/>
                <w:color w:val="auto"/>
              </w:rPr>
            </w:pPr>
            <w:r>
              <w:rPr>
                <w:rFonts w:ascii="Arial" w:cs="Arial" w:eastAsia="Arial" w:hAnsi="Arial"/>
                <w:sz w:val="10"/>
                <w:szCs w:val="10"/>
                <w:b w:val="1"/>
                <w:bCs w:val="1"/>
                <w:color w:val="auto"/>
              </w:rPr>
              <w:t>Total tax for the period in the income statement</w:t>
            </w:r>
          </w:p>
        </w:tc>
        <w:tc>
          <w:tcPr>
            <w:tcW w:w="460" w:type="dxa"/>
            <w:vAlign w:val="bottom"/>
          </w:tcPr>
          <w:p>
            <w:pPr>
              <w:jc w:val="right"/>
              <w:ind w:right="8"/>
              <w:spacing w:after="0"/>
              <w:rPr>
                <w:sz w:val="20"/>
                <w:szCs w:val="20"/>
                <w:color w:val="auto"/>
              </w:rPr>
            </w:pPr>
            <w:r>
              <w:rPr>
                <w:rFonts w:ascii="Arial" w:cs="Arial" w:eastAsia="Arial" w:hAnsi="Arial"/>
                <w:sz w:val="10"/>
                <w:szCs w:val="10"/>
                <w:b w:val="1"/>
                <w:bCs w:val="1"/>
                <w:color w:val="691A6B"/>
              </w:rPr>
              <w:t>311</w:t>
            </w:r>
          </w:p>
        </w:tc>
        <w:tc>
          <w:tcPr>
            <w:tcW w:w="960" w:type="dxa"/>
            <w:vAlign w:val="bottom"/>
          </w:tcPr>
          <w:p>
            <w:pPr>
              <w:jc w:val="right"/>
              <w:ind w:right="29"/>
              <w:spacing w:after="0"/>
              <w:rPr>
                <w:sz w:val="20"/>
                <w:szCs w:val="20"/>
                <w:color w:val="auto"/>
              </w:rPr>
            </w:pPr>
            <w:r>
              <w:rPr>
                <w:rFonts w:ascii="Arial" w:cs="Arial" w:eastAsia="Arial" w:hAnsi="Arial"/>
                <w:sz w:val="10"/>
                <w:szCs w:val="10"/>
                <w:b w:val="1"/>
                <w:bCs w:val="1"/>
                <w:color w:val="auto"/>
              </w:rPr>
              <w:t>356</w:t>
            </w:r>
          </w:p>
        </w:tc>
      </w:tr>
    </w:tbl>
    <w:p>
      <w:pPr>
        <w:spacing w:after="0" w:line="10" w:lineRule="exact"/>
        <w:rPr>
          <w:rFonts w:ascii="Arial" w:cs="Arial" w:eastAsia="Arial" w:hAnsi="Arial"/>
          <w:sz w:val="10"/>
          <w:szCs w:val="10"/>
          <w:color w:val="691A6B"/>
        </w:rPr>
      </w:pPr>
    </w:p>
    <w:p>
      <w:pPr>
        <w:ind w:left="20"/>
        <w:spacing w:after="0"/>
        <w:rPr>
          <w:sz w:val="20"/>
          <w:szCs w:val="20"/>
          <w:color w:val="auto"/>
        </w:rPr>
      </w:pPr>
      <w:r>
        <w:rPr>
          <w:rFonts w:ascii="Arial" w:cs="Arial" w:eastAsia="Arial" w:hAnsi="Arial"/>
          <w:sz w:val="10"/>
          <w:szCs w:val="10"/>
          <w:color w:val="auto"/>
        </w:rPr>
        <w:t>A reconciliation of Genmab's effective tax rate relative to the Danish statutory tax rate is as follows:</w:t>
      </w:r>
    </w:p>
    <w:p>
      <w:pPr>
        <w:spacing w:after="0" w:line="93" w:lineRule="exact"/>
        <w:rPr>
          <w:rFonts w:ascii="Arial" w:cs="Arial" w:eastAsia="Arial" w:hAnsi="Arial"/>
          <w:sz w:val="10"/>
          <w:szCs w:val="10"/>
          <w:color w:val="691A6B"/>
        </w:rPr>
      </w:pPr>
    </w:p>
    <w:tbl>
      <w:tblPr>
        <w:tblLayout w:type="fixed"/>
        <w:tblInd w:w="0" w:type="dxa"/>
        <w:tblCellMar>
          <w:top w:w="0" w:type="dxa"/>
          <w:left w:w="0" w:type="dxa"/>
          <w:bottom w:w="0" w:type="dxa"/>
          <w:right w:w="0" w:type="dxa"/>
        </w:tblCellMar>
      </w:tblPr>
      <w:tr>
        <w:trPr>
          <w:trHeight w:val="148"/>
        </w:trPr>
        <w:tc>
          <w:tcPr>
            <w:tcW w:w="3180" w:type="dxa"/>
            <w:vAlign w:val="bottom"/>
            <w:tcBorders>
              <w:top w:val="single" w:sz="8" w:color="691A6B"/>
            </w:tcBorders>
          </w:tcPr>
          <w:p>
            <w:pPr>
              <w:spacing w:after="0"/>
              <w:rPr>
                <w:sz w:val="12"/>
                <w:szCs w:val="12"/>
                <w:color w:val="auto"/>
              </w:rPr>
            </w:pPr>
          </w:p>
        </w:tc>
        <w:tc>
          <w:tcPr>
            <w:tcW w:w="680" w:type="dxa"/>
            <w:vAlign w:val="bottom"/>
            <w:tcBorders>
              <w:top w:val="single" w:sz="8" w:color="691A6B"/>
            </w:tcBorders>
          </w:tcPr>
          <w:p>
            <w:pPr>
              <w:ind w:left="40"/>
              <w:spacing w:after="0"/>
              <w:rPr>
                <w:sz w:val="20"/>
                <w:szCs w:val="20"/>
                <w:color w:val="auto"/>
              </w:rPr>
            </w:pPr>
            <w:r>
              <w:rPr>
                <w:rFonts w:ascii="Arial" w:cs="Arial" w:eastAsia="Arial" w:hAnsi="Arial"/>
                <w:sz w:val="10"/>
                <w:szCs w:val="10"/>
                <w:b w:val="1"/>
                <w:bCs w:val="1"/>
                <w:color w:val="691A6B"/>
              </w:rPr>
              <w:t>2025</w:t>
            </w:r>
          </w:p>
        </w:tc>
        <w:tc>
          <w:tcPr>
            <w:tcW w:w="1000" w:type="dxa"/>
            <w:vAlign w:val="bottom"/>
            <w:tcBorders>
              <w:top w:val="single" w:sz="8" w:color="691A6B"/>
            </w:tcBorders>
          </w:tcPr>
          <w:p>
            <w:pPr>
              <w:ind w:left="80"/>
              <w:spacing w:after="0"/>
              <w:rPr>
                <w:sz w:val="20"/>
                <w:szCs w:val="20"/>
                <w:color w:val="auto"/>
              </w:rPr>
            </w:pPr>
            <w:r>
              <w:rPr>
                <w:rFonts w:ascii="Arial" w:cs="Arial" w:eastAsia="Arial" w:hAnsi="Arial"/>
                <w:sz w:val="10"/>
                <w:szCs w:val="10"/>
                <w:b w:val="1"/>
                <w:bCs w:val="1"/>
                <w:color w:val="auto"/>
              </w:rPr>
              <w:t>2024</w:t>
            </w:r>
          </w:p>
        </w:tc>
      </w:tr>
      <w:tr>
        <w:trPr>
          <w:trHeight w:val="331"/>
        </w:trPr>
        <w:tc>
          <w:tcPr>
            <w:tcW w:w="3180" w:type="dxa"/>
            <w:vAlign w:val="bottom"/>
          </w:tcPr>
          <w:p>
            <w:pPr>
              <w:ind w:left="20"/>
              <w:spacing w:after="0"/>
              <w:rPr>
                <w:sz w:val="20"/>
                <w:szCs w:val="20"/>
                <w:color w:val="auto"/>
              </w:rPr>
            </w:pPr>
            <w:r>
              <w:rPr>
                <w:rFonts w:ascii="Arial" w:cs="Arial" w:eastAsia="Arial" w:hAnsi="Arial"/>
                <w:sz w:val="10"/>
                <w:szCs w:val="10"/>
                <w:color w:val="auto"/>
              </w:rPr>
              <w:t>Net profit before tax</w:t>
            </w:r>
          </w:p>
        </w:tc>
        <w:tc>
          <w:tcPr>
            <w:tcW w:w="680" w:type="dxa"/>
            <w:vAlign w:val="bottom"/>
          </w:tcPr>
          <w:p>
            <w:pPr>
              <w:jc w:val="right"/>
              <w:ind w:right="48"/>
              <w:spacing w:after="0"/>
              <w:rPr>
                <w:sz w:val="20"/>
                <w:szCs w:val="20"/>
                <w:color w:val="auto"/>
              </w:rPr>
            </w:pPr>
            <w:r>
              <w:rPr>
                <w:rFonts w:ascii="Arial" w:cs="Arial" w:eastAsia="Arial" w:hAnsi="Arial"/>
                <w:sz w:val="10"/>
                <w:szCs w:val="10"/>
                <w:color w:val="691A6B"/>
              </w:rPr>
              <w:t>1,515</w:t>
            </w:r>
          </w:p>
        </w:tc>
        <w:tc>
          <w:tcPr>
            <w:tcW w:w="1000" w:type="dxa"/>
            <w:vAlign w:val="bottom"/>
          </w:tcPr>
          <w:p>
            <w:pPr>
              <w:jc w:val="right"/>
              <w:ind w:right="128"/>
              <w:spacing w:after="0"/>
              <w:rPr>
                <w:sz w:val="20"/>
                <w:szCs w:val="20"/>
                <w:color w:val="auto"/>
              </w:rPr>
            </w:pPr>
            <w:r>
              <w:rPr>
                <w:rFonts w:ascii="Arial" w:cs="Arial" w:eastAsia="Arial" w:hAnsi="Arial"/>
                <w:sz w:val="10"/>
                <w:szCs w:val="10"/>
                <w:color w:val="auto"/>
              </w:rPr>
              <w:t>1,986</w:t>
            </w:r>
          </w:p>
        </w:tc>
      </w:tr>
      <w:tr>
        <w:trPr>
          <w:trHeight w:val="320"/>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Tax at the Danish statutory corporation tax rate of 22% for all</w:t>
            </w:r>
          </w:p>
        </w:tc>
        <w:tc>
          <w:tcPr>
            <w:tcW w:w="680" w:type="dxa"/>
            <w:vAlign w:val="bottom"/>
          </w:tcPr>
          <w:p>
            <w:pPr>
              <w:jc w:val="right"/>
              <w:ind w:right="68"/>
              <w:spacing w:after="0"/>
              <w:rPr>
                <w:sz w:val="20"/>
                <w:szCs w:val="20"/>
                <w:color w:val="auto"/>
              </w:rPr>
            </w:pPr>
            <w:r>
              <w:rPr>
                <w:rFonts w:ascii="Arial" w:cs="Arial" w:eastAsia="Arial" w:hAnsi="Arial"/>
                <w:sz w:val="10"/>
                <w:szCs w:val="10"/>
                <w:b w:val="1"/>
                <w:bCs w:val="1"/>
                <w:color w:val="691A6B"/>
              </w:rPr>
              <w:t>333</w:t>
            </w:r>
          </w:p>
        </w:tc>
        <w:tc>
          <w:tcPr>
            <w:tcW w:w="1000" w:type="dxa"/>
            <w:vAlign w:val="bottom"/>
          </w:tcPr>
          <w:p>
            <w:pPr>
              <w:jc w:val="right"/>
              <w:ind w:right="128"/>
              <w:spacing w:after="0"/>
              <w:rPr>
                <w:sz w:val="20"/>
                <w:szCs w:val="20"/>
                <w:color w:val="auto"/>
              </w:rPr>
            </w:pPr>
            <w:r>
              <w:rPr>
                <w:rFonts w:ascii="Arial" w:cs="Arial" w:eastAsia="Arial" w:hAnsi="Arial"/>
                <w:sz w:val="10"/>
                <w:szCs w:val="10"/>
                <w:b w:val="1"/>
                <w:bCs w:val="1"/>
                <w:color w:val="auto"/>
              </w:rPr>
              <w:t>437</w:t>
            </w:r>
          </w:p>
        </w:tc>
      </w:tr>
      <w:tr>
        <w:trPr>
          <w:trHeight w:val="143"/>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periods</w:t>
            </w: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62"/>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Tax effect of:</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4"/>
        </w:trPr>
        <w:tc>
          <w:tcPr>
            <w:tcW w:w="3180" w:type="dxa"/>
            <w:vAlign w:val="bottom"/>
          </w:tcPr>
          <w:p>
            <w:pPr>
              <w:ind w:left="20"/>
              <w:spacing w:after="0"/>
              <w:rPr>
                <w:sz w:val="20"/>
                <w:szCs w:val="20"/>
                <w:color w:val="auto"/>
              </w:rPr>
            </w:pPr>
            <w:r>
              <w:rPr>
                <w:rFonts w:ascii="Arial" w:cs="Arial" w:eastAsia="Arial" w:hAnsi="Arial"/>
                <w:sz w:val="10"/>
                <w:szCs w:val="10"/>
                <w:color w:val="auto"/>
              </w:rPr>
              <w:t>Non-deductible expenses/non-taxable income and other permanent</w:t>
            </w:r>
          </w:p>
        </w:tc>
        <w:tc>
          <w:tcPr>
            <w:tcW w:w="680" w:type="dxa"/>
            <w:vAlign w:val="bottom"/>
          </w:tcPr>
          <w:p>
            <w:pPr>
              <w:jc w:val="right"/>
              <w:ind w:right="28"/>
              <w:spacing w:after="0"/>
              <w:rPr>
                <w:sz w:val="20"/>
                <w:szCs w:val="20"/>
                <w:color w:val="auto"/>
              </w:rPr>
            </w:pPr>
            <w:r>
              <w:rPr>
                <w:rFonts w:ascii="Arial" w:cs="Arial" w:eastAsia="Arial" w:hAnsi="Arial"/>
                <w:sz w:val="10"/>
                <w:szCs w:val="10"/>
                <w:color w:val="691A6B"/>
              </w:rPr>
              <w:t>(12)</w:t>
            </w:r>
          </w:p>
        </w:tc>
        <w:tc>
          <w:tcPr>
            <w:tcW w:w="1000" w:type="dxa"/>
            <w:vAlign w:val="bottom"/>
          </w:tcPr>
          <w:p>
            <w:pPr>
              <w:jc w:val="right"/>
              <w:ind w:right="88"/>
              <w:spacing w:after="0"/>
              <w:rPr>
                <w:sz w:val="20"/>
                <w:szCs w:val="20"/>
                <w:color w:val="auto"/>
              </w:rPr>
            </w:pPr>
            <w:r>
              <w:rPr>
                <w:rFonts w:ascii="Arial" w:cs="Arial" w:eastAsia="Arial" w:hAnsi="Arial"/>
                <w:sz w:val="10"/>
                <w:szCs w:val="10"/>
                <w:color w:val="auto"/>
              </w:rPr>
              <w:t>(96)</w:t>
            </w:r>
          </w:p>
        </w:tc>
      </w:tr>
      <w:tr>
        <w:trPr>
          <w:trHeight w:val="137"/>
        </w:trPr>
        <w:tc>
          <w:tcPr>
            <w:tcW w:w="3180" w:type="dxa"/>
            <w:vAlign w:val="bottom"/>
          </w:tcPr>
          <w:p>
            <w:pPr>
              <w:ind w:left="20"/>
              <w:spacing w:after="0"/>
              <w:rPr>
                <w:sz w:val="20"/>
                <w:szCs w:val="20"/>
                <w:color w:val="auto"/>
              </w:rPr>
            </w:pPr>
            <w:r>
              <w:rPr>
                <w:rFonts w:ascii="Arial" w:cs="Arial" w:eastAsia="Arial" w:hAnsi="Arial"/>
                <w:sz w:val="10"/>
                <w:szCs w:val="10"/>
                <w:color w:val="auto"/>
              </w:rPr>
              <w:t>differences, net</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2"/>
        </w:trPr>
        <w:tc>
          <w:tcPr>
            <w:tcW w:w="3180" w:type="dxa"/>
            <w:vAlign w:val="bottom"/>
          </w:tcPr>
          <w:p>
            <w:pPr>
              <w:ind w:left="20"/>
              <w:spacing w:after="0"/>
              <w:rPr>
                <w:sz w:val="20"/>
                <w:szCs w:val="20"/>
                <w:color w:val="auto"/>
              </w:rPr>
            </w:pPr>
            <w:r>
              <w:rPr>
                <w:rFonts w:ascii="Arial" w:cs="Arial" w:eastAsia="Arial" w:hAnsi="Arial"/>
                <w:sz w:val="10"/>
                <w:szCs w:val="10"/>
                <w:color w:val="auto"/>
              </w:rPr>
              <w:t>All other</w:t>
            </w:r>
          </w:p>
        </w:tc>
        <w:tc>
          <w:tcPr>
            <w:tcW w:w="680" w:type="dxa"/>
            <w:vAlign w:val="bottom"/>
          </w:tcPr>
          <w:p>
            <w:pPr>
              <w:jc w:val="right"/>
              <w:ind w:right="28"/>
              <w:spacing w:after="0"/>
              <w:rPr>
                <w:sz w:val="20"/>
                <w:szCs w:val="20"/>
                <w:color w:val="auto"/>
              </w:rPr>
            </w:pPr>
            <w:r>
              <w:rPr>
                <w:rFonts w:ascii="Arial" w:cs="Arial" w:eastAsia="Arial" w:hAnsi="Arial"/>
                <w:sz w:val="10"/>
                <w:szCs w:val="10"/>
                <w:color w:val="691A6B"/>
              </w:rPr>
              <w:t>(3)</w:t>
            </w:r>
          </w:p>
        </w:tc>
        <w:tc>
          <w:tcPr>
            <w:tcW w:w="1000" w:type="dxa"/>
            <w:vAlign w:val="bottom"/>
          </w:tcPr>
          <w:p>
            <w:pPr>
              <w:jc w:val="right"/>
              <w:ind w:right="128"/>
              <w:spacing w:after="0"/>
              <w:rPr>
                <w:sz w:val="20"/>
                <w:szCs w:val="20"/>
                <w:color w:val="auto"/>
              </w:rPr>
            </w:pPr>
            <w:r>
              <w:rPr>
                <w:rFonts w:ascii="Arial" w:cs="Arial" w:eastAsia="Arial" w:hAnsi="Arial"/>
                <w:sz w:val="10"/>
                <w:szCs w:val="10"/>
                <w:color w:val="auto"/>
              </w:rPr>
              <w:t>15</w:t>
            </w:r>
          </w:p>
        </w:tc>
      </w:tr>
      <w:tr>
        <w:trPr>
          <w:trHeight w:val="152"/>
        </w:trPr>
        <w:tc>
          <w:tcPr>
            <w:tcW w:w="3180" w:type="dxa"/>
            <w:vAlign w:val="bottom"/>
          </w:tcPr>
          <w:p>
            <w:pPr>
              <w:ind w:left="20"/>
              <w:spacing w:after="0"/>
              <w:rPr>
                <w:sz w:val="20"/>
                <w:szCs w:val="20"/>
                <w:color w:val="auto"/>
              </w:rPr>
            </w:pPr>
            <w:r>
              <w:rPr>
                <w:rFonts w:ascii="Arial" w:cs="Arial" w:eastAsia="Arial" w:hAnsi="Arial"/>
                <w:sz w:val="10"/>
                <w:szCs w:val="10"/>
                <w:color w:val="auto"/>
              </w:rPr>
              <w:t>Effect of exchange rate adjustment</w:t>
            </w:r>
          </w:p>
        </w:tc>
        <w:tc>
          <w:tcPr>
            <w:tcW w:w="680" w:type="dxa"/>
            <w:vAlign w:val="bottom"/>
          </w:tcPr>
          <w:p>
            <w:pPr>
              <w:jc w:val="right"/>
              <w:ind w:right="28"/>
              <w:spacing w:after="0"/>
              <w:rPr>
                <w:sz w:val="20"/>
                <w:szCs w:val="20"/>
                <w:color w:val="auto"/>
              </w:rPr>
            </w:pPr>
            <w:r>
              <w:rPr>
                <w:rFonts w:ascii="Arial" w:cs="Arial" w:eastAsia="Arial" w:hAnsi="Arial"/>
                <w:sz w:val="10"/>
                <w:szCs w:val="10"/>
                <w:color w:val="691A6B"/>
              </w:rPr>
              <w:t>(7)</w:t>
            </w:r>
          </w:p>
        </w:tc>
        <w:tc>
          <w:tcPr>
            <w:tcW w:w="1000" w:type="dxa"/>
            <w:vAlign w:val="bottom"/>
          </w:tcPr>
          <w:p>
            <w:pPr>
              <w:jc w:val="right"/>
              <w:ind w:right="128"/>
              <w:spacing w:after="0"/>
              <w:rPr>
                <w:sz w:val="20"/>
                <w:szCs w:val="20"/>
                <w:color w:val="auto"/>
              </w:rPr>
            </w:pPr>
            <w:r>
              <w:rPr>
                <w:rFonts w:ascii="Arial" w:cs="Arial" w:eastAsia="Arial" w:hAnsi="Arial"/>
                <w:sz w:val="10"/>
                <w:szCs w:val="10"/>
                <w:color w:val="auto"/>
              </w:rPr>
              <w:t>—</w:t>
            </w:r>
          </w:p>
        </w:tc>
      </w:tr>
      <w:tr>
        <w:trPr>
          <w:trHeight w:val="158"/>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Total tax effect</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691A6B"/>
              </w:rPr>
              <w:t>(22)</w:t>
            </w:r>
          </w:p>
        </w:tc>
        <w:tc>
          <w:tcPr>
            <w:tcW w:w="1000" w:type="dxa"/>
            <w:vAlign w:val="bottom"/>
          </w:tcPr>
          <w:p>
            <w:pPr>
              <w:jc w:val="right"/>
              <w:ind w:right="88"/>
              <w:spacing w:after="0"/>
              <w:rPr>
                <w:sz w:val="20"/>
                <w:szCs w:val="20"/>
                <w:color w:val="auto"/>
              </w:rPr>
            </w:pPr>
            <w:r>
              <w:rPr>
                <w:rFonts w:ascii="Arial" w:cs="Arial" w:eastAsia="Arial" w:hAnsi="Arial"/>
                <w:sz w:val="10"/>
                <w:szCs w:val="10"/>
                <w:b w:val="1"/>
                <w:bCs w:val="1"/>
                <w:color w:val="auto"/>
              </w:rPr>
              <w:t>(81)</w:t>
            </w:r>
          </w:p>
        </w:tc>
      </w:tr>
      <w:tr>
        <w:trPr>
          <w:trHeight w:val="352"/>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Total tax for the period in the income statement</w:t>
            </w:r>
          </w:p>
        </w:tc>
        <w:tc>
          <w:tcPr>
            <w:tcW w:w="680" w:type="dxa"/>
            <w:vAlign w:val="bottom"/>
          </w:tcPr>
          <w:p>
            <w:pPr>
              <w:jc w:val="right"/>
              <w:ind w:right="68"/>
              <w:spacing w:after="0"/>
              <w:rPr>
                <w:sz w:val="20"/>
                <w:szCs w:val="20"/>
                <w:color w:val="auto"/>
              </w:rPr>
            </w:pPr>
            <w:r>
              <w:rPr>
                <w:rFonts w:ascii="Arial" w:cs="Arial" w:eastAsia="Arial" w:hAnsi="Arial"/>
                <w:sz w:val="10"/>
                <w:szCs w:val="10"/>
                <w:b w:val="1"/>
                <w:bCs w:val="1"/>
                <w:color w:val="691A6B"/>
              </w:rPr>
              <w:t>311</w:t>
            </w:r>
          </w:p>
        </w:tc>
        <w:tc>
          <w:tcPr>
            <w:tcW w:w="1000" w:type="dxa"/>
            <w:vAlign w:val="bottom"/>
          </w:tcPr>
          <w:p>
            <w:pPr>
              <w:jc w:val="right"/>
              <w:ind w:right="128"/>
              <w:spacing w:after="0"/>
              <w:rPr>
                <w:sz w:val="20"/>
                <w:szCs w:val="20"/>
                <w:color w:val="auto"/>
              </w:rPr>
            </w:pPr>
            <w:r>
              <w:rPr>
                <w:rFonts w:ascii="Arial" w:cs="Arial" w:eastAsia="Arial" w:hAnsi="Arial"/>
                <w:sz w:val="10"/>
                <w:szCs w:val="10"/>
                <w:b w:val="1"/>
                <w:bCs w:val="1"/>
                <w:color w:val="auto"/>
              </w:rPr>
              <w:t>356</w:t>
            </w:r>
          </w:p>
        </w:tc>
      </w:tr>
      <w:tr>
        <w:trPr>
          <w:trHeight w:val="152"/>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Total tax for the period in shareholders' equity</w:t>
            </w:r>
          </w:p>
        </w:tc>
        <w:tc>
          <w:tcPr>
            <w:tcW w:w="680" w:type="dxa"/>
            <w:vAlign w:val="bottom"/>
          </w:tcPr>
          <w:p>
            <w:pPr>
              <w:jc w:val="right"/>
              <w:ind w:right="28"/>
              <w:spacing w:after="0"/>
              <w:rPr>
                <w:sz w:val="20"/>
                <w:szCs w:val="20"/>
                <w:color w:val="auto"/>
              </w:rPr>
            </w:pPr>
            <w:r>
              <w:rPr>
                <w:rFonts w:ascii="Arial" w:cs="Arial" w:eastAsia="Arial" w:hAnsi="Arial"/>
                <w:sz w:val="10"/>
                <w:szCs w:val="10"/>
                <w:b w:val="1"/>
                <w:bCs w:val="1"/>
                <w:color w:val="691A6B"/>
              </w:rPr>
              <w:t>(3)</w:t>
            </w:r>
          </w:p>
        </w:tc>
        <w:tc>
          <w:tcPr>
            <w:tcW w:w="1000" w:type="dxa"/>
            <w:vAlign w:val="bottom"/>
          </w:tcPr>
          <w:p>
            <w:pPr>
              <w:jc w:val="right"/>
              <w:ind w:right="128"/>
              <w:spacing w:after="0"/>
              <w:rPr>
                <w:sz w:val="20"/>
                <w:szCs w:val="20"/>
                <w:color w:val="auto"/>
              </w:rPr>
            </w:pPr>
            <w:r>
              <w:rPr>
                <w:rFonts w:ascii="Arial" w:cs="Arial" w:eastAsia="Arial" w:hAnsi="Arial"/>
                <w:sz w:val="10"/>
                <w:szCs w:val="10"/>
                <w:b w:val="1"/>
                <w:bCs w:val="1"/>
                <w:color w:val="auto"/>
              </w:rPr>
              <w:t>1</w:t>
            </w:r>
          </w:p>
        </w:tc>
      </w:tr>
      <w:tr>
        <w:trPr>
          <w:trHeight w:val="152"/>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Effective Tax Rate</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691A6B"/>
              </w:rPr>
              <w:t>20.5 %</w:t>
            </w:r>
          </w:p>
        </w:tc>
        <w:tc>
          <w:tcPr>
            <w:tcW w:w="1000" w:type="dxa"/>
            <w:vAlign w:val="bottom"/>
          </w:tcPr>
          <w:p>
            <w:pPr>
              <w:ind w:left="80"/>
              <w:spacing w:after="0"/>
              <w:rPr>
                <w:sz w:val="20"/>
                <w:szCs w:val="20"/>
                <w:color w:val="auto"/>
              </w:rPr>
            </w:pPr>
            <w:r>
              <w:rPr>
                <w:rFonts w:ascii="Arial" w:cs="Arial" w:eastAsia="Arial" w:hAnsi="Arial"/>
                <w:sz w:val="10"/>
                <w:szCs w:val="10"/>
                <w:b w:val="1"/>
                <w:bCs w:val="1"/>
                <w:color w:val="auto"/>
              </w:rPr>
              <w:t>17.9 %</w:t>
            </w:r>
          </w:p>
        </w:tc>
      </w:tr>
    </w:tbl>
    <w:p>
      <w:pPr>
        <w:sectPr>
          <w:pgSz w:w="11900" w:h="16840" w:orient="portrait"/>
          <w:cols w:equalWidth="0" w:num="1">
            <w:col w:w="9820"/>
          </w:cols>
          <w:pgMar w:left="640" w:top="571" w:right="1440" w:bottom="572" w:gutter="0" w:footer="0" w:header="0"/>
        </w:sectPr>
      </w:pPr>
    </w:p>
    <w:bookmarkStart w:id="164" w:name="page165"/>
    <w:bookmarkEnd w:id="164"/>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167</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p>
      <w:pPr>
        <w:spacing w:after="0" w:line="218" w:lineRule="auto"/>
        <w:rPr>
          <w:sz w:val="20"/>
          <w:szCs w:val="20"/>
          <w:color w:val="auto"/>
        </w:rPr>
      </w:pPr>
      <w:r>
        <w:rPr>
          <w:rFonts w:ascii="Arial" w:cs="Arial" w:eastAsia="Arial" w:hAnsi="Arial"/>
          <w:sz w:val="15"/>
          <w:szCs w:val="15"/>
          <w:b w:val="1"/>
          <w:bCs w:val="1"/>
          <w:color w:val="691A6B"/>
        </w:rPr>
        <w:t>5 - Intangible Assets</w:t>
      </w:r>
    </w:p>
    <w:tbl>
      <w:tblPr>
        <w:tblLayout w:type="fixed"/>
        <w:tblInd w:w="0" w:type="dxa"/>
        <w:tblCellMar>
          <w:top w:w="0" w:type="dxa"/>
          <w:left w:w="0" w:type="dxa"/>
          <w:bottom w:w="0" w:type="dxa"/>
          <w:right w:w="0" w:type="dxa"/>
        </w:tblCellMar>
      </w:tblPr>
      <w:tr>
        <w:trPr>
          <w:trHeight w:val="95"/>
        </w:trPr>
        <w:tc>
          <w:tcPr>
            <w:tcW w:w="2000" w:type="dxa"/>
            <w:vAlign w:val="bottom"/>
            <w:tcBorders>
              <w:top w:val="single" w:sz="8" w:color="691A6B"/>
            </w:tcBorders>
          </w:tcPr>
          <w:p>
            <w:pPr>
              <w:spacing w:after="0"/>
              <w:rPr>
                <w:sz w:val="8"/>
                <w:szCs w:val="8"/>
                <w:color w:val="auto"/>
              </w:rPr>
            </w:pPr>
          </w:p>
        </w:tc>
        <w:tc>
          <w:tcPr>
            <w:tcW w:w="72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Licenses and</w:t>
            </w:r>
          </w:p>
        </w:tc>
        <w:tc>
          <w:tcPr>
            <w:tcW w:w="72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Technology</w:t>
            </w:r>
          </w:p>
        </w:tc>
        <w:tc>
          <w:tcPr>
            <w:tcW w:w="720" w:type="dxa"/>
            <w:vAlign w:val="bottom"/>
            <w:tcBorders>
              <w:top w:val="single" w:sz="8" w:color="691A6B"/>
            </w:tcBorders>
          </w:tcPr>
          <w:p>
            <w:pPr>
              <w:ind w:left="40"/>
              <w:spacing w:after="0" w:line="95" w:lineRule="exact"/>
              <w:rPr>
                <w:sz w:val="20"/>
                <w:szCs w:val="20"/>
                <w:color w:val="auto"/>
              </w:rPr>
            </w:pPr>
            <w:r>
              <w:rPr>
                <w:rFonts w:ascii="Arial" w:cs="Arial" w:eastAsia="Arial" w:hAnsi="Arial"/>
                <w:sz w:val="10"/>
                <w:szCs w:val="10"/>
                <w:b w:val="1"/>
                <w:bCs w:val="1"/>
                <w:color w:val="auto"/>
              </w:rPr>
              <w:t>Acquired</w:t>
            </w:r>
          </w:p>
        </w:tc>
        <w:tc>
          <w:tcPr>
            <w:tcW w:w="7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Total</w:t>
            </w:r>
          </w:p>
        </w:tc>
      </w:tr>
      <w:tr>
        <w:trPr>
          <w:trHeight w:val="95"/>
        </w:trPr>
        <w:tc>
          <w:tcPr>
            <w:tcW w:w="2000" w:type="dxa"/>
            <w:vAlign w:val="bottom"/>
          </w:tcPr>
          <w:p>
            <w:pPr>
              <w:spacing w:after="0"/>
              <w:rPr>
                <w:sz w:val="8"/>
                <w:szCs w:val="8"/>
                <w:color w:val="auto"/>
              </w:rPr>
            </w:pPr>
          </w:p>
        </w:tc>
        <w:tc>
          <w:tcPr>
            <w:tcW w:w="720" w:type="dxa"/>
            <w:vAlign w:val="bottom"/>
          </w:tcPr>
          <w:p>
            <w:pPr>
              <w:ind w:left="40"/>
              <w:spacing w:after="0" w:line="95" w:lineRule="exact"/>
              <w:rPr>
                <w:rFonts w:ascii="Arial" w:cs="Arial" w:eastAsia="Arial" w:hAnsi="Arial"/>
                <w:sz w:val="10"/>
                <w:szCs w:val="10"/>
                <w:b w:val="1"/>
                <w:bCs w:val="1"/>
                <w:color w:val="auto"/>
              </w:rPr>
            </w:pPr>
            <w:hyperlink w:anchor="page141">
              <w:r>
                <w:rPr>
                  <w:rFonts w:ascii="Arial" w:cs="Arial" w:eastAsia="Arial" w:hAnsi="Arial"/>
                  <w:sz w:val="10"/>
                  <w:szCs w:val="10"/>
                  <w:b w:val="1"/>
                  <w:bCs w:val="1"/>
                  <w:color w:val="auto"/>
                </w:rPr>
                <w:t>Patents</w:t>
              </w:r>
            </w:hyperlink>
          </w:p>
        </w:tc>
        <w:tc>
          <w:tcPr>
            <w:tcW w:w="720" w:type="dxa"/>
            <w:vAlign w:val="bottom"/>
          </w:tcPr>
          <w:p>
            <w:pPr>
              <w:ind w:left="40"/>
              <w:spacing w:after="0" w:line="95" w:lineRule="exact"/>
              <w:rPr>
                <w:rFonts w:ascii="Arial" w:cs="Arial" w:eastAsia="Arial" w:hAnsi="Arial"/>
                <w:sz w:val="10"/>
                <w:szCs w:val="10"/>
                <w:b w:val="1"/>
                <w:bCs w:val="1"/>
                <w:color w:val="auto"/>
              </w:rPr>
            </w:pPr>
            <w:hyperlink w:anchor="page141">
              <w:r>
                <w:rPr>
                  <w:rFonts w:ascii="Arial" w:cs="Arial" w:eastAsia="Arial" w:hAnsi="Arial"/>
                  <w:sz w:val="10"/>
                  <w:szCs w:val="10"/>
                  <w:b w:val="1"/>
                  <w:bCs w:val="1"/>
                  <w:color w:val="auto"/>
                </w:rPr>
                <w:t>Platform</w:t>
              </w:r>
            </w:hyperlink>
          </w:p>
        </w:tc>
        <w:tc>
          <w:tcPr>
            <w:tcW w:w="720" w:type="dxa"/>
            <w:vAlign w:val="bottom"/>
          </w:tcPr>
          <w:p>
            <w:pPr>
              <w:ind w:left="40"/>
              <w:spacing w:after="0" w:line="95" w:lineRule="exact"/>
              <w:rPr>
                <w:rFonts w:ascii="Arial" w:cs="Arial" w:eastAsia="Arial" w:hAnsi="Arial"/>
                <w:sz w:val="10"/>
                <w:szCs w:val="10"/>
                <w:b w:val="1"/>
                <w:bCs w:val="1"/>
                <w:color w:val="auto"/>
              </w:rPr>
            </w:pPr>
            <w:hyperlink w:anchor="page141">
              <w:r>
                <w:rPr>
                  <w:rFonts w:ascii="Arial" w:cs="Arial" w:eastAsia="Arial" w:hAnsi="Arial"/>
                  <w:sz w:val="10"/>
                  <w:szCs w:val="10"/>
                  <w:b w:val="1"/>
                  <w:bCs w:val="1"/>
                  <w:color w:val="auto"/>
                </w:rPr>
                <w:t>IPR&amp;D</w:t>
              </w:r>
            </w:hyperlink>
          </w:p>
        </w:tc>
        <w:tc>
          <w:tcPr>
            <w:tcW w:w="720" w:type="dxa"/>
            <w:vAlign w:val="bottom"/>
          </w:tcPr>
          <w:p>
            <w:pPr>
              <w:ind w:left="20"/>
              <w:spacing w:after="0" w:line="95" w:lineRule="exact"/>
              <w:rPr>
                <w:rFonts w:ascii="Arial" w:cs="Arial" w:eastAsia="Arial" w:hAnsi="Arial"/>
                <w:sz w:val="10"/>
                <w:szCs w:val="10"/>
                <w:b w:val="1"/>
                <w:bCs w:val="1"/>
                <w:color w:val="auto"/>
              </w:rPr>
            </w:pPr>
            <w:hyperlink w:anchor="page141">
              <w:r>
                <w:rPr>
                  <w:rFonts w:ascii="Arial" w:cs="Arial" w:eastAsia="Arial" w:hAnsi="Arial"/>
                  <w:sz w:val="10"/>
                  <w:szCs w:val="10"/>
                  <w:b w:val="1"/>
                  <w:bCs w:val="1"/>
                  <w:color w:val="auto"/>
                </w:rPr>
                <w:t>Intangible</w:t>
              </w:r>
            </w:hyperlink>
          </w:p>
        </w:tc>
      </w:tr>
      <w:tr>
        <w:trPr>
          <w:trHeight w:val="128"/>
        </w:trPr>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Assets</w:t>
            </w:r>
          </w:p>
        </w:tc>
      </w:tr>
      <w:tr>
        <w:trPr>
          <w:trHeight w:val="169"/>
        </w:trPr>
        <w:tc>
          <w:tcPr>
            <w:tcW w:w="2000" w:type="dxa"/>
            <w:vAlign w:val="bottom"/>
          </w:tcPr>
          <w:p>
            <w:pPr>
              <w:ind w:left="20"/>
              <w:spacing w:after="0"/>
              <w:rPr>
                <w:sz w:val="20"/>
                <w:szCs w:val="20"/>
                <w:color w:val="auto"/>
              </w:rPr>
            </w:pPr>
            <w:r>
              <w:rPr>
                <w:rFonts w:ascii="Arial" w:cs="Arial" w:eastAsia="Arial" w:hAnsi="Arial"/>
                <w:sz w:val="10"/>
                <w:szCs w:val="10"/>
                <w:color w:val="691A6B"/>
              </w:rPr>
              <w:t>2025</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2"/>
        </w:trPr>
        <w:tc>
          <w:tcPr>
            <w:tcW w:w="2000" w:type="dxa"/>
            <w:vAlign w:val="bottom"/>
          </w:tcPr>
          <w:p>
            <w:pPr>
              <w:ind w:left="20"/>
              <w:spacing w:after="0"/>
              <w:rPr>
                <w:sz w:val="20"/>
                <w:szCs w:val="20"/>
                <w:color w:val="auto"/>
              </w:rPr>
            </w:pPr>
            <w:r>
              <w:rPr>
                <w:rFonts w:ascii="Arial" w:cs="Arial" w:eastAsia="Arial" w:hAnsi="Arial"/>
                <w:sz w:val="10"/>
                <w:szCs w:val="10"/>
                <w:color w:val="auto"/>
              </w:rPr>
              <w:t>Cost at the beginning of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187</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173</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1,650</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2,010</w:t>
            </w:r>
          </w:p>
        </w:tc>
      </w:tr>
      <w:tr>
        <w:trPr>
          <w:trHeight w:val="152"/>
        </w:trPr>
        <w:tc>
          <w:tcPr>
            <w:tcW w:w="2000" w:type="dxa"/>
            <w:vAlign w:val="bottom"/>
          </w:tcPr>
          <w:p>
            <w:pPr>
              <w:ind w:left="20"/>
              <w:spacing w:after="0"/>
              <w:rPr>
                <w:sz w:val="20"/>
                <w:szCs w:val="20"/>
                <w:color w:val="auto"/>
              </w:rPr>
            </w:pPr>
            <w:r>
              <w:rPr>
                <w:rFonts w:ascii="Arial" w:cs="Arial" w:eastAsia="Arial" w:hAnsi="Arial"/>
                <w:sz w:val="10"/>
                <w:szCs w:val="10"/>
                <w:color w:val="auto"/>
              </w:rPr>
              <w:t>Additions for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33</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31</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64</w:t>
            </w:r>
          </w:p>
        </w:tc>
      </w:tr>
      <w:tr>
        <w:trPr>
          <w:trHeight w:val="158"/>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Cost at the end of the year</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220</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173</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1,681</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2,074</w:t>
            </w:r>
          </w:p>
        </w:tc>
      </w:tr>
      <w:tr>
        <w:trPr>
          <w:trHeight w:val="114"/>
        </w:trPr>
        <w:tc>
          <w:tcPr>
            <w:tcW w:w="2000" w:type="dxa"/>
            <w:vAlign w:val="bottom"/>
          </w:tcPr>
          <w:p>
            <w:pPr>
              <w:ind w:left="20"/>
              <w:spacing w:after="0"/>
              <w:rPr>
                <w:sz w:val="20"/>
                <w:szCs w:val="20"/>
                <w:color w:val="auto"/>
              </w:rPr>
            </w:pPr>
            <w:r>
              <w:rPr>
                <w:rFonts w:ascii="Arial" w:cs="Arial" w:eastAsia="Arial" w:hAnsi="Arial"/>
                <w:sz w:val="10"/>
                <w:szCs w:val="10"/>
                <w:color w:val="auto"/>
              </w:rPr>
              <w:t>Amortization and impairment losses at the</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138</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138</w:t>
            </w:r>
          </w:p>
        </w:tc>
      </w:tr>
      <w:tr>
        <w:trPr>
          <w:trHeight w:val="137"/>
        </w:trPr>
        <w:tc>
          <w:tcPr>
            <w:tcW w:w="2000" w:type="dxa"/>
            <w:vAlign w:val="bottom"/>
          </w:tcPr>
          <w:p>
            <w:pPr>
              <w:ind w:left="20"/>
              <w:spacing w:after="0"/>
              <w:rPr>
                <w:sz w:val="20"/>
                <w:szCs w:val="20"/>
                <w:color w:val="auto"/>
              </w:rPr>
            </w:pPr>
            <w:r>
              <w:rPr>
                <w:rFonts w:ascii="Arial" w:cs="Arial" w:eastAsia="Arial" w:hAnsi="Arial"/>
                <w:sz w:val="10"/>
                <w:szCs w:val="10"/>
                <w:color w:val="auto"/>
              </w:rPr>
              <w:t>beginning of the year</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2000" w:type="dxa"/>
            <w:vAlign w:val="bottom"/>
          </w:tcPr>
          <w:p>
            <w:pPr>
              <w:ind w:left="20"/>
              <w:spacing w:after="0"/>
              <w:rPr>
                <w:sz w:val="20"/>
                <w:szCs w:val="20"/>
                <w:color w:val="auto"/>
              </w:rPr>
            </w:pPr>
            <w:r>
              <w:rPr>
                <w:rFonts w:ascii="Arial" w:cs="Arial" w:eastAsia="Arial" w:hAnsi="Arial"/>
                <w:sz w:val="10"/>
                <w:szCs w:val="10"/>
                <w:color w:val="auto"/>
              </w:rPr>
              <w:t>Amortization for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3</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12</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15</w:t>
            </w:r>
          </w:p>
        </w:tc>
      </w:tr>
      <w:tr>
        <w:trPr>
          <w:trHeight w:val="152"/>
        </w:trPr>
        <w:tc>
          <w:tcPr>
            <w:tcW w:w="2000" w:type="dxa"/>
            <w:vAlign w:val="bottom"/>
          </w:tcPr>
          <w:p>
            <w:pPr>
              <w:ind w:left="20"/>
              <w:spacing w:after="0"/>
              <w:rPr>
                <w:sz w:val="20"/>
                <w:szCs w:val="20"/>
                <w:color w:val="auto"/>
              </w:rPr>
            </w:pPr>
            <w:r>
              <w:rPr>
                <w:rFonts w:ascii="Arial" w:cs="Arial" w:eastAsia="Arial" w:hAnsi="Arial"/>
                <w:sz w:val="10"/>
                <w:szCs w:val="10"/>
                <w:color w:val="auto"/>
              </w:rPr>
              <w:t>Impairment losses for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44</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44</w:t>
            </w:r>
          </w:p>
        </w:tc>
      </w:tr>
      <w:tr>
        <w:trPr>
          <w:trHeight w:val="120"/>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Amortization and impairment losses at</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185</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12</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197</w:t>
            </w:r>
          </w:p>
        </w:tc>
      </w:tr>
      <w:tr>
        <w:trPr>
          <w:trHeight w:val="143"/>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the end of the year</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Carrying amount at the end of the year</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35</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161</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1,681</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1,877</w:t>
            </w:r>
          </w:p>
        </w:tc>
      </w:tr>
      <w:tr>
        <w:trPr>
          <w:trHeight w:val="308"/>
        </w:trPr>
        <w:tc>
          <w:tcPr>
            <w:tcW w:w="2000" w:type="dxa"/>
            <w:vAlign w:val="bottom"/>
          </w:tcPr>
          <w:p>
            <w:pPr>
              <w:ind w:left="20"/>
              <w:spacing w:after="0"/>
              <w:rPr>
                <w:sz w:val="20"/>
                <w:szCs w:val="20"/>
                <w:color w:val="auto"/>
              </w:rPr>
            </w:pPr>
            <w:r>
              <w:rPr>
                <w:rFonts w:ascii="Arial" w:cs="Arial" w:eastAsia="Arial" w:hAnsi="Arial"/>
                <w:sz w:val="10"/>
                <w:szCs w:val="10"/>
                <w:color w:val="691A6B"/>
              </w:rPr>
              <w:t>2024</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52"/>
        </w:trPr>
        <w:tc>
          <w:tcPr>
            <w:tcW w:w="2000" w:type="dxa"/>
            <w:vAlign w:val="bottom"/>
          </w:tcPr>
          <w:p>
            <w:pPr>
              <w:ind w:left="20"/>
              <w:spacing w:after="0"/>
              <w:rPr>
                <w:sz w:val="20"/>
                <w:szCs w:val="20"/>
                <w:color w:val="auto"/>
              </w:rPr>
            </w:pPr>
            <w:r>
              <w:rPr>
                <w:rFonts w:ascii="Arial" w:cs="Arial" w:eastAsia="Arial" w:hAnsi="Arial"/>
                <w:sz w:val="10"/>
                <w:szCs w:val="10"/>
                <w:color w:val="auto"/>
              </w:rPr>
              <w:t>Cost at the beginning of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162</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162</w:t>
            </w:r>
          </w:p>
        </w:tc>
      </w:tr>
      <w:tr>
        <w:trPr>
          <w:trHeight w:val="152"/>
        </w:trPr>
        <w:tc>
          <w:tcPr>
            <w:tcW w:w="2000" w:type="dxa"/>
            <w:vAlign w:val="bottom"/>
          </w:tcPr>
          <w:p>
            <w:pPr>
              <w:ind w:left="20"/>
              <w:spacing w:after="0"/>
              <w:rPr>
                <w:sz w:val="20"/>
                <w:szCs w:val="20"/>
                <w:color w:val="auto"/>
              </w:rPr>
            </w:pPr>
            <w:r>
              <w:rPr>
                <w:rFonts w:ascii="Arial" w:cs="Arial" w:eastAsia="Arial" w:hAnsi="Arial"/>
                <w:sz w:val="10"/>
                <w:szCs w:val="10"/>
                <w:color w:val="auto"/>
              </w:rPr>
              <w:t>Additions for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35</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180</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1,712</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1,927</w:t>
            </w:r>
          </w:p>
        </w:tc>
      </w:tr>
      <w:tr>
        <w:trPr>
          <w:trHeight w:val="152"/>
        </w:trPr>
        <w:tc>
          <w:tcPr>
            <w:tcW w:w="2000" w:type="dxa"/>
            <w:vAlign w:val="bottom"/>
          </w:tcPr>
          <w:p>
            <w:pPr>
              <w:ind w:left="20"/>
              <w:spacing w:after="0"/>
              <w:rPr>
                <w:sz w:val="20"/>
                <w:szCs w:val="20"/>
                <w:color w:val="auto"/>
              </w:rPr>
            </w:pPr>
            <w:r>
              <w:rPr>
                <w:rFonts w:ascii="Arial" w:cs="Arial" w:eastAsia="Arial" w:hAnsi="Arial"/>
                <w:sz w:val="10"/>
                <w:szCs w:val="10"/>
                <w:color w:val="auto"/>
              </w:rPr>
              <w:t>Exchange Rate Adjustments</w:t>
            </w:r>
          </w:p>
        </w:tc>
        <w:tc>
          <w:tcPr>
            <w:tcW w:w="720" w:type="dxa"/>
            <w:vAlign w:val="bottom"/>
          </w:tcPr>
          <w:p>
            <w:pPr>
              <w:jc w:val="right"/>
              <w:spacing w:after="0"/>
              <w:rPr>
                <w:sz w:val="20"/>
                <w:szCs w:val="20"/>
                <w:color w:val="auto"/>
              </w:rPr>
            </w:pPr>
            <w:r>
              <w:rPr>
                <w:rFonts w:ascii="Arial" w:cs="Arial" w:eastAsia="Arial" w:hAnsi="Arial"/>
                <w:sz w:val="10"/>
                <w:szCs w:val="10"/>
                <w:color w:val="auto"/>
              </w:rPr>
              <w:t>(10)</w:t>
            </w:r>
          </w:p>
        </w:tc>
        <w:tc>
          <w:tcPr>
            <w:tcW w:w="720" w:type="dxa"/>
            <w:vAlign w:val="bottom"/>
          </w:tcPr>
          <w:p>
            <w:pPr>
              <w:jc w:val="right"/>
              <w:spacing w:after="0"/>
              <w:rPr>
                <w:sz w:val="20"/>
                <w:szCs w:val="20"/>
                <w:color w:val="auto"/>
              </w:rPr>
            </w:pPr>
            <w:r>
              <w:rPr>
                <w:rFonts w:ascii="Arial" w:cs="Arial" w:eastAsia="Arial" w:hAnsi="Arial"/>
                <w:sz w:val="10"/>
                <w:szCs w:val="10"/>
                <w:color w:val="auto"/>
              </w:rPr>
              <w:t>(7)</w:t>
            </w:r>
          </w:p>
        </w:tc>
        <w:tc>
          <w:tcPr>
            <w:tcW w:w="720" w:type="dxa"/>
            <w:vAlign w:val="bottom"/>
          </w:tcPr>
          <w:p>
            <w:pPr>
              <w:jc w:val="right"/>
              <w:spacing w:after="0"/>
              <w:rPr>
                <w:sz w:val="20"/>
                <w:szCs w:val="20"/>
                <w:color w:val="auto"/>
              </w:rPr>
            </w:pPr>
            <w:r>
              <w:rPr>
                <w:rFonts w:ascii="Arial" w:cs="Arial" w:eastAsia="Arial" w:hAnsi="Arial"/>
                <w:sz w:val="10"/>
                <w:szCs w:val="10"/>
                <w:color w:val="auto"/>
              </w:rPr>
              <w:t>(62)</w:t>
            </w:r>
          </w:p>
        </w:tc>
        <w:tc>
          <w:tcPr>
            <w:tcW w:w="720" w:type="dxa"/>
            <w:vAlign w:val="bottom"/>
          </w:tcPr>
          <w:p>
            <w:pPr>
              <w:jc w:val="right"/>
              <w:spacing w:after="0"/>
              <w:rPr>
                <w:sz w:val="20"/>
                <w:szCs w:val="20"/>
                <w:color w:val="auto"/>
              </w:rPr>
            </w:pPr>
            <w:r>
              <w:rPr>
                <w:rFonts w:ascii="Arial" w:cs="Arial" w:eastAsia="Arial" w:hAnsi="Arial"/>
                <w:sz w:val="10"/>
                <w:szCs w:val="10"/>
                <w:color w:val="auto"/>
              </w:rPr>
              <w:t>(79)</w:t>
            </w:r>
          </w:p>
        </w:tc>
      </w:tr>
      <w:tr>
        <w:trPr>
          <w:trHeight w:val="158"/>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Cost at the end of the year</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187</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173</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1,650</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2,010</w:t>
            </w:r>
          </w:p>
        </w:tc>
      </w:tr>
      <w:tr>
        <w:trPr>
          <w:trHeight w:val="114"/>
        </w:trPr>
        <w:tc>
          <w:tcPr>
            <w:tcW w:w="2000" w:type="dxa"/>
            <w:vAlign w:val="bottom"/>
          </w:tcPr>
          <w:p>
            <w:pPr>
              <w:ind w:left="20"/>
              <w:spacing w:after="0"/>
              <w:rPr>
                <w:sz w:val="20"/>
                <w:szCs w:val="20"/>
                <w:color w:val="auto"/>
              </w:rPr>
            </w:pPr>
            <w:r>
              <w:rPr>
                <w:rFonts w:ascii="Arial" w:cs="Arial" w:eastAsia="Arial" w:hAnsi="Arial"/>
                <w:sz w:val="10"/>
                <w:szCs w:val="10"/>
                <w:color w:val="auto"/>
              </w:rPr>
              <w:t>Amortization and impairment losses at the</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106</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106</w:t>
            </w:r>
          </w:p>
        </w:tc>
      </w:tr>
      <w:tr>
        <w:trPr>
          <w:trHeight w:val="137"/>
        </w:trPr>
        <w:tc>
          <w:tcPr>
            <w:tcW w:w="2000" w:type="dxa"/>
            <w:vAlign w:val="bottom"/>
          </w:tcPr>
          <w:p>
            <w:pPr>
              <w:ind w:left="20"/>
              <w:spacing w:after="0"/>
              <w:rPr>
                <w:sz w:val="20"/>
                <w:szCs w:val="20"/>
                <w:color w:val="auto"/>
              </w:rPr>
            </w:pPr>
            <w:r>
              <w:rPr>
                <w:rFonts w:ascii="Arial" w:cs="Arial" w:eastAsia="Arial" w:hAnsi="Arial"/>
                <w:sz w:val="10"/>
                <w:szCs w:val="10"/>
                <w:color w:val="auto"/>
              </w:rPr>
              <w:t>beginning of the year</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2000" w:type="dxa"/>
            <w:vAlign w:val="bottom"/>
          </w:tcPr>
          <w:p>
            <w:pPr>
              <w:ind w:left="20"/>
              <w:spacing w:after="0"/>
              <w:rPr>
                <w:sz w:val="20"/>
                <w:szCs w:val="20"/>
                <w:color w:val="auto"/>
              </w:rPr>
            </w:pPr>
            <w:r>
              <w:rPr>
                <w:rFonts w:ascii="Arial" w:cs="Arial" w:eastAsia="Arial" w:hAnsi="Arial"/>
                <w:sz w:val="10"/>
                <w:szCs w:val="10"/>
                <w:color w:val="auto"/>
              </w:rPr>
              <w:t>Amortization for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5</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5</w:t>
            </w:r>
          </w:p>
        </w:tc>
      </w:tr>
      <w:tr>
        <w:trPr>
          <w:trHeight w:val="152"/>
        </w:trPr>
        <w:tc>
          <w:tcPr>
            <w:tcW w:w="2000" w:type="dxa"/>
            <w:vAlign w:val="bottom"/>
          </w:tcPr>
          <w:p>
            <w:pPr>
              <w:ind w:left="20"/>
              <w:spacing w:after="0"/>
              <w:rPr>
                <w:sz w:val="20"/>
                <w:szCs w:val="20"/>
                <w:color w:val="auto"/>
              </w:rPr>
            </w:pPr>
            <w:r>
              <w:rPr>
                <w:rFonts w:ascii="Arial" w:cs="Arial" w:eastAsia="Arial" w:hAnsi="Arial"/>
                <w:sz w:val="10"/>
                <w:szCs w:val="10"/>
                <w:color w:val="auto"/>
              </w:rPr>
              <w:t>Impairment losses for the year</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35</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35</w:t>
            </w:r>
          </w:p>
        </w:tc>
      </w:tr>
      <w:tr>
        <w:trPr>
          <w:trHeight w:val="120"/>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Amortization and impairment losses at</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138</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138</w:t>
            </w:r>
          </w:p>
        </w:tc>
      </w:tr>
      <w:tr>
        <w:trPr>
          <w:trHeight w:val="143"/>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the end of the year</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Carrying amount at the end of the year</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49</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173</w:t>
            </w:r>
          </w:p>
        </w:tc>
        <w:tc>
          <w:tcPr>
            <w:tcW w:w="720" w:type="dxa"/>
            <w:vAlign w:val="bottom"/>
          </w:tcPr>
          <w:p>
            <w:pPr>
              <w:jc w:val="right"/>
              <w:ind w:right="8"/>
              <w:spacing w:after="0"/>
              <w:rPr>
                <w:sz w:val="20"/>
                <w:szCs w:val="20"/>
                <w:color w:val="auto"/>
              </w:rPr>
            </w:pPr>
            <w:r>
              <w:rPr>
                <w:rFonts w:ascii="Arial" w:cs="Arial" w:eastAsia="Arial" w:hAnsi="Arial"/>
                <w:sz w:val="10"/>
                <w:szCs w:val="10"/>
                <w:b w:val="1"/>
                <w:bCs w:val="1"/>
                <w:color w:val="auto"/>
              </w:rPr>
              <w:t>1,650</w:t>
            </w:r>
          </w:p>
        </w:tc>
        <w:tc>
          <w:tcPr>
            <w:tcW w:w="720" w:type="dxa"/>
            <w:vAlign w:val="bottom"/>
          </w:tcPr>
          <w:p>
            <w:pPr>
              <w:jc w:val="right"/>
              <w:ind w:right="28"/>
              <w:spacing w:after="0"/>
              <w:rPr>
                <w:sz w:val="20"/>
                <w:szCs w:val="20"/>
                <w:color w:val="auto"/>
              </w:rPr>
            </w:pPr>
            <w:r>
              <w:rPr>
                <w:rFonts w:ascii="Arial" w:cs="Arial" w:eastAsia="Arial" w:hAnsi="Arial"/>
                <w:sz w:val="10"/>
                <w:szCs w:val="10"/>
                <w:b w:val="1"/>
                <w:bCs w:val="1"/>
                <w:color w:val="auto"/>
              </w:rPr>
              <w:t>1,872</w:t>
            </w:r>
          </w:p>
        </w:tc>
      </w:tr>
    </w:tbl>
    <w:p>
      <w:pPr>
        <w:spacing w:after="0" w:line="219" w:lineRule="auto"/>
        <w:rPr>
          <w:sz w:val="20"/>
          <w:szCs w:val="20"/>
          <w:color w:val="auto"/>
        </w:rPr>
      </w:pPr>
      <w:r>
        <w:rPr>
          <w:rFonts w:ascii="Arial" w:cs="Arial" w:eastAsia="Arial" w:hAnsi="Arial"/>
          <w:sz w:val="10"/>
          <w:szCs w:val="10"/>
          <w:color w:val="auto"/>
        </w:rPr>
        <w:t>Parent Company intangible assets include IPR&amp;D, a technology platform asset and licenses and rights</w:t>
      </w:r>
    </w:p>
    <w:p>
      <w:pPr>
        <w:spacing w:after="0" w:line="199" w:lineRule="auto"/>
        <w:rPr>
          <w:sz w:val="20"/>
          <w:szCs w:val="20"/>
          <w:color w:val="auto"/>
        </w:rPr>
      </w:pPr>
      <w:r>
        <w:rPr>
          <w:rFonts w:ascii="Arial" w:cs="Arial" w:eastAsia="Arial" w:hAnsi="Arial"/>
          <w:sz w:val="10"/>
          <w:szCs w:val="10"/>
          <w:color w:val="auto"/>
        </w:rPr>
        <w:t>primarily to gain access to targets and technologies identified by third parties as well as subsidiaries.</w:t>
      </w:r>
    </w:p>
    <w:p>
      <w:pPr>
        <w:spacing w:after="0" w:line="198" w:lineRule="auto"/>
        <w:rPr>
          <w:rFonts w:ascii="Arial" w:cs="Arial" w:eastAsia="Arial" w:hAnsi="Arial"/>
          <w:sz w:val="10"/>
          <w:szCs w:val="10"/>
          <w:color w:val="691A6B"/>
        </w:rPr>
      </w:pPr>
      <w:hyperlink w:anchor="page143">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3.1 </w:t>
      </w:r>
      <w:hyperlink w:anchor="page143">
        <w:r>
          <w:rPr>
            <w:rFonts w:ascii="Arial" w:cs="Arial" w:eastAsia="Arial" w:hAnsi="Arial"/>
            <w:sz w:val="10"/>
            <w:szCs w:val="10"/>
            <w:color w:val="691A6B"/>
          </w:rPr>
          <w:t>in the consolidated financial statements for additional information regarding intangible</w:t>
        </w:r>
      </w:hyperlink>
    </w:p>
    <w:p>
      <w:pPr>
        <w:spacing w:after="0" w:line="199" w:lineRule="auto"/>
        <w:rPr>
          <w:rFonts w:ascii="Arial" w:cs="Arial" w:eastAsia="Arial" w:hAnsi="Arial"/>
          <w:sz w:val="10"/>
          <w:szCs w:val="10"/>
          <w:color w:val="691A6B"/>
        </w:rPr>
      </w:pPr>
      <w:hyperlink w:anchor="page143">
        <w:r>
          <w:rPr>
            <w:rFonts w:ascii="Arial" w:cs="Arial" w:eastAsia="Arial" w:hAnsi="Arial"/>
            <w:sz w:val="10"/>
            <w:szCs w:val="10"/>
            <w:color w:val="691A6B"/>
          </w:rPr>
          <w:t xml:space="preserve">assets of the Group. </w:t>
        </w:r>
      </w:hyperlink>
      <w:hyperlink w:anchor="page167">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18 </w:t>
      </w:r>
      <w:hyperlink w:anchor="page167">
        <w:r>
          <w:rPr>
            <w:rFonts w:ascii="Arial" w:cs="Arial" w:eastAsia="Arial" w:hAnsi="Arial"/>
            <w:sz w:val="10"/>
            <w:szCs w:val="10"/>
            <w:color w:val="691A6B"/>
          </w:rPr>
          <w:t>in the parent financial statements for additional information</w:t>
        </w:r>
      </w:hyperlink>
    </w:p>
    <w:p>
      <w:pPr>
        <w:spacing w:after="0" w:line="204" w:lineRule="auto"/>
        <w:rPr>
          <w:rFonts w:ascii="Arial" w:cs="Arial" w:eastAsia="Arial" w:hAnsi="Arial"/>
          <w:sz w:val="10"/>
          <w:szCs w:val="10"/>
          <w:color w:val="691A6B"/>
        </w:rPr>
      </w:pPr>
      <w:hyperlink w:anchor="page167">
        <w:r>
          <w:rPr>
            <w:rFonts w:ascii="Arial" w:cs="Arial" w:eastAsia="Arial" w:hAnsi="Arial"/>
            <w:sz w:val="10"/>
            <w:szCs w:val="10"/>
            <w:color w:val="691A6B"/>
          </w:rPr>
          <w:t>regarding the intangible assets and goodwill acquired through the ProfoundBio acquisition.</w:t>
        </w:r>
      </w:hyperlink>
    </w:p>
    <w:p>
      <w:pPr>
        <w:spacing w:after="0" w:line="210" w:lineRule="auto"/>
        <w:rPr>
          <w:sz w:val="20"/>
          <w:szCs w:val="20"/>
          <w:color w:val="auto"/>
        </w:rPr>
      </w:pPr>
      <w:r>
        <w:rPr>
          <w:rFonts w:ascii="Arial" w:cs="Arial" w:eastAsia="Arial" w:hAnsi="Arial"/>
          <w:sz w:val="13"/>
          <w:szCs w:val="13"/>
          <w:b w:val="1"/>
          <w:bCs w:val="1"/>
          <w:color w:val="691A6B"/>
        </w:rPr>
        <w:t>Intangible Assets</w:t>
      </w:r>
    </w:p>
    <w:p>
      <w:pPr>
        <w:ind w:right="4900"/>
        <w:spacing w:after="0" w:line="227" w:lineRule="auto"/>
        <w:rPr>
          <w:sz w:val="20"/>
          <w:szCs w:val="20"/>
          <w:color w:val="auto"/>
        </w:rPr>
      </w:pPr>
      <w:r>
        <w:rPr>
          <w:rFonts w:ascii="Arial" w:cs="Arial" w:eastAsia="Arial" w:hAnsi="Arial"/>
          <w:sz w:val="10"/>
          <w:szCs w:val="10"/>
          <w:color w:val="auto"/>
        </w:rPr>
        <w:t>The increase in the gross carrying value of intangible assets during 2025 was primarily related to milestones achieved under third party collaboration agreements, as well as intercompany milestones. The increase in the gross carrying value of intangible assets during 2024 was primarily due to the addition of approximately $1,712 million of IPR&amp;D and $180 million of a technology platform asset from the ProfoundBio acquisition. The technology platform asset is being amortized over its estimated useful life of 15 years. These intellectual property rights were transferred from ProfoundBio US to Genmab A/S during the fourth quarter of 2024. As of December 31, 2025, the technology platform asset has a remaining useful life of approximately 14 years.</w:t>
      </w:r>
    </w:p>
    <w:p>
      <w:pPr>
        <w:spacing w:after="0" w:line="198" w:lineRule="auto"/>
        <w:rPr>
          <w:sz w:val="20"/>
          <w:szCs w:val="20"/>
          <w:color w:val="auto"/>
        </w:rPr>
      </w:pPr>
      <w:r>
        <w:rPr>
          <w:rFonts w:ascii="Arial" w:cs="Arial" w:eastAsia="Arial" w:hAnsi="Arial"/>
          <w:sz w:val="10"/>
          <w:szCs w:val="10"/>
          <w:color w:val="auto"/>
        </w:rPr>
        <w:t>The impairment losses recognized during the year relate to licenses and patents and primarily reflect</w:t>
      </w:r>
    </w:p>
    <w:p>
      <w:pPr>
        <w:spacing w:after="0" w:line="199" w:lineRule="auto"/>
        <w:rPr>
          <w:sz w:val="20"/>
          <w:szCs w:val="20"/>
          <w:color w:val="auto"/>
        </w:rPr>
      </w:pPr>
      <w:r>
        <w:rPr>
          <w:rFonts w:ascii="Arial" w:cs="Arial" w:eastAsia="Arial" w:hAnsi="Arial"/>
          <w:sz w:val="10"/>
          <w:szCs w:val="10"/>
          <w:color w:val="auto"/>
        </w:rPr>
        <w:t>impairments of other intangible assets associated with the acasunlimab program, which was terminated in</w:t>
      </w:r>
    </w:p>
    <w:p>
      <w:pPr>
        <w:spacing w:after="0" w:line="199" w:lineRule="auto"/>
        <w:rPr>
          <w:sz w:val="20"/>
          <w:szCs w:val="20"/>
          <w:color w:val="auto"/>
        </w:rPr>
      </w:pPr>
      <w:r>
        <w:rPr>
          <w:rFonts w:ascii="Arial" w:cs="Arial" w:eastAsia="Arial" w:hAnsi="Arial"/>
          <w:sz w:val="10"/>
          <w:szCs w:val="10"/>
          <w:color w:val="auto"/>
        </w:rPr>
        <w:t>the fourth quarter of 2025, and the Hexabody-OX40 program, which was terminated in the second quarter</w:t>
      </w:r>
    </w:p>
    <w:p>
      <w:pPr>
        <w:spacing w:after="0" w:line="198" w:lineRule="auto"/>
        <w:rPr>
          <w:sz w:val="20"/>
          <w:szCs w:val="20"/>
          <w:color w:val="auto"/>
        </w:rPr>
      </w:pPr>
      <w:r>
        <w:rPr>
          <w:rFonts w:ascii="Arial" w:cs="Arial" w:eastAsia="Arial" w:hAnsi="Arial"/>
          <w:sz w:val="10"/>
          <w:szCs w:val="10"/>
          <w:color w:val="auto"/>
        </w:rPr>
        <w:t>of 2025. The impairment losses were recognized in research and development expenses in the Parent</w:t>
      </w:r>
    </w:p>
    <w:p>
      <w:pPr>
        <w:spacing w:after="0" w:line="199" w:lineRule="auto"/>
        <w:rPr>
          <w:sz w:val="20"/>
          <w:szCs w:val="20"/>
          <w:color w:val="auto"/>
        </w:rPr>
      </w:pPr>
      <w:r>
        <w:rPr>
          <w:rFonts w:ascii="Arial" w:cs="Arial" w:eastAsia="Arial" w:hAnsi="Arial"/>
          <w:sz w:val="10"/>
          <w:szCs w:val="10"/>
          <w:color w:val="auto"/>
        </w:rPr>
        <w:t>Company Statements of Comprehensive Income.</w:t>
      </w:r>
    </w:p>
    <w:p>
      <w:pPr>
        <w:spacing w:after="0" w:line="198" w:lineRule="auto"/>
        <w:rPr>
          <w:sz w:val="20"/>
          <w:szCs w:val="20"/>
          <w:color w:val="auto"/>
        </w:rPr>
      </w:pPr>
      <w:r>
        <w:rPr>
          <w:rFonts w:ascii="Arial" w:cs="Arial" w:eastAsia="Arial" w:hAnsi="Arial"/>
          <w:sz w:val="10"/>
          <w:szCs w:val="10"/>
          <w:color w:val="auto"/>
        </w:rPr>
        <w:t>Amortization expense was $15 million and $5 million for 2025 and 2024, respectively, which was recorded</w:t>
      </w:r>
    </w:p>
    <w:p>
      <w:pPr>
        <w:spacing w:after="0" w:line="199" w:lineRule="auto"/>
        <w:rPr>
          <w:sz w:val="20"/>
          <w:szCs w:val="20"/>
          <w:color w:val="auto"/>
        </w:rPr>
      </w:pPr>
      <w:r>
        <w:rPr>
          <w:rFonts w:ascii="Arial" w:cs="Arial" w:eastAsia="Arial" w:hAnsi="Arial"/>
          <w:sz w:val="10"/>
          <w:szCs w:val="10"/>
          <w:color w:val="auto"/>
        </w:rPr>
        <w:t>in Research and development expenses in the Statements of Comprehensive Income of the Parent</w:t>
      </w:r>
    </w:p>
    <w:p>
      <w:pPr>
        <w:spacing w:after="0" w:line="208" w:lineRule="auto"/>
        <w:rPr>
          <w:sz w:val="20"/>
          <w:szCs w:val="20"/>
          <w:color w:val="auto"/>
        </w:rPr>
      </w:pPr>
      <w:r>
        <w:rPr>
          <w:rFonts w:ascii="Arial" w:cs="Arial" w:eastAsia="Arial" w:hAnsi="Arial"/>
          <w:sz w:val="10"/>
          <w:szCs w:val="10"/>
          <w:color w:val="auto"/>
        </w:rPr>
        <w:t>Company.</w:t>
      </w:r>
    </w:p>
    <w:p>
      <w:pPr>
        <w:spacing w:after="0" w:line="218" w:lineRule="auto"/>
        <w:rPr>
          <w:sz w:val="20"/>
          <w:szCs w:val="20"/>
          <w:color w:val="auto"/>
        </w:rPr>
      </w:pPr>
      <w:r>
        <w:rPr>
          <w:rFonts w:ascii="Arial" w:cs="Arial" w:eastAsia="Arial" w:hAnsi="Arial"/>
          <w:sz w:val="15"/>
          <w:szCs w:val="15"/>
          <w:b w:val="1"/>
          <w:bCs w:val="1"/>
          <w:color w:val="691A6B"/>
        </w:rPr>
        <w:t>6 - Property and Equipment</w:t>
      </w:r>
    </w:p>
    <w:p>
      <w:pPr>
        <w:spacing w:after="0" w:line="1" w:lineRule="exact"/>
        <w:rPr>
          <w:rFonts w:ascii="Arial" w:cs="Arial" w:eastAsia="Arial" w:hAnsi="Arial"/>
          <w:sz w:val="10"/>
          <w:szCs w:val="10"/>
          <w:color w:val="691A6B"/>
        </w:rPr>
      </w:pPr>
    </w:p>
    <w:tbl>
      <w:tblPr>
        <w:tblLayout w:type="fixed"/>
        <w:tblInd w:w="0" w:type="dxa"/>
        <w:tblCellMar>
          <w:top w:w="0" w:type="dxa"/>
          <w:left w:w="0" w:type="dxa"/>
          <w:bottom w:w="0" w:type="dxa"/>
          <w:right w:w="0" w:type="dxa"/>
        </w:tblCellMar>
      </w:tblPr>
      <w:tr>
        <w:trPr>
          <w:trHeight w:val="95"/>
        </w:trPr>
        <w:tc>
          <w:tcPr>
            <w:tcW w:w="1760" w:type="dxa"/>
            <w:vAlign w:val="bottom"/>
            <w:tcBorders>
              <w:top w:val="single" w:sz="8" w:color="691A6B"/>
            </w:tcBorders>
          </w:tcPr>
          <w:p>
            <w:pPr>
              <w:spacing w:after="0"/>
              <w:rPr>
                <w:sz w:val="8"/>
                <w:szCs w:val="8"/>
                <w:color w:val="auto"/>
              </w:rPr>
            </w:pPr>
          </w:p>
        </w:tc>
        <w:tc>
          <w:tcPr>
            <w:tcW w:w="74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Leasehold</w:t>
            </w:r>
          </w:p>
        </w:tc>
        <w:tc>
          <w:tcPr>
            <w:tcW w:w="620" w:type="dxa"/>
            <w:vAlign w:val="bottom"/>
            <w:tcBorders>
              <w:top w:val="single" w:sz="8" w:color="691A6B"/>
            </w:tcBorders>
          </w:tcPr>
          <w:p>
            <w:pPr>
              <w:ind w:left="60"/>
              <w:spacing w:after="0" w:line="95" w:lineRule="exact"/>
              <w:rPr>
                <w:sz w:val="20"/>
                <w:szCs w:val="20"/>
                <w:color w:val="auto"/>
              </w:rPr>
            </w:pPr>
            <w:r>
              <w:rPr>
                <w:rFonts w:ascii="Arial" w:cs="Arial" w:eastAsia="Arial" w:hAnsi="Arial"/>
                <w:sz w:val="10"/>
                <w:szCs w:val="10"/>
                <w:b w:val="1"/>
                <w:bCs w:val="1"/>
                <w:color w:val="auto"/>
                <w:w w:val="99"/>
              </w:rPr>
              <w:t>Equipment,</w:t>
            </w:r>
          </w:p>
        </w:tc>
        <w:tc>
          <w:tcPr>
            <w:tcW w:w="120" w:type="dxa"/>
            <w:vAlign w:val="bottom"/>
            <w:tcBorders>
              <w:top w:val="single" w:sz="8" w:color="691A6B"/>
            </w:tcBorders>
          </w:tcPr>
          <w:p>
            <w:pPr>
              <w:spacing w:after="0"/>
              <w:rPr>
                <w:sz w:val="8"/>
                <w:szCs w:val="8"/>
                <w:color w:val="auto"/>
              </w:rPr>
            </w:pPr>
          </w:p>
        </w:tc>
        <w:tc>
          <w:tcPr>
            <w:tcW w:w="800" w:type="dxa"/>
            <w:vAlign w:val="bottom"/>
            <w:tcBorders>
              <w:top w:val="single" w:sz="8" w:color="691A6B"/>
            </w:tcBorders>
          </w:tcPr>
          <w:p>
            <w:pPr>
              <w:ind w:left="100"/>
              <w:spacing w:after="0" w:line="95" w:lineRule="exact"/>
              <w:rPr>
                <w:sz w:val="20"/>
                <w:szCs w:val="20"/>
                <w:color w:val="auto"/>
              </w:rPr>
            </w:pPr>
            <w:r>
              <w:rPr>
                <w:rFonts w:ascii="Arial" w:cs="Arial" w:eastAsia="Arial" w:hAnsi="Arial"/>
                <w:sz w:val="10"/>
                <w:szCs w:val="10"/>
                <w:b w:val="1"/>
                <w:bCs w:val="1"/>
                <w:color w:val="auto"/>
              </w:rPr>
              <w:t>Assets under</w:t>
            </w:r>
          </w:p>
        </w:tc>
        <w:tc>
          <w:tcPr>
            <w:tcW w:w="860" w:type="dxa"/>
            <w:vAlign w:val="bottom"/>
            <w:tcBorders>
              <w:top w:val="single" w:sz="8" w:color="691A6B"/>
            </w:tcBorders>
          </w:tcPr>
          <w:p>
            <w:pPr>
              <w:ind w:left="80"/>
              <w:spacing w:after="0" w:line="95" w:lineRule="exact"/>
              <w:rPr>
                <w:sz w:val="20"/>
                <w:szCs w:val="20"/>
                <w:color w:val="auto"/>
              </w:rPr>
            </w:pPr>
            <w:r>
              <w:rPr>
                <w:rFonts w:ascii="Arial" w:cs="Arial" w:eastAsia="Arial" w:hAnsi="Arial"/>
                <w:sz w:val="10"/>
                <w:szCs w:val="10"/>
                <w:b w:val="1"/>
                <w:bCs w:val="1"/>
                <w:color w:val="auto"/>
              </w:rPr>
              <w:t>Total property</w:t>
            </w:r>
          </w:p>
        </w:tc>
        <w:tc>
          <w:tcPr>
            <w:tcW w:w="4740" w:type="dxa"/>
            <w:vAlign w:val="bottom"/>
          </w:tcPr>
          <w:p>
            <w:pPr>
              <w:spacing w:after="0"/>
              <w:rPr>
                <w:sz w:val="8"/>
                <w:szCs w:val="8"/>
                <w:color w:val="auto"/>
              </w:rPr>
            </w:pPr>
          </w:p>
        </w:tc>
      </w:tr>
      <w:tr>
        <w:trPr>
          <w:trHeight w:val="95"/>
        </w:trPr>
        <w:tc>
          <w:tcPr>
            <w:tcW w:w="1760" w:type="dxa"/>
            <w:vAlign w:val="bottom"/>
          </w:tcPr>
          <w:p>
            <w:pPr>
              <w:spacing w:after="0"/>
              <w:rPr>
                <w:sz w:val="8"/>
                <w:szCs w:val="8"/>
                <w:color w:val="auto"/>
              </w:rPr>
            </w:pPr>
          </w:p>
        </w:tc>
        <w:tc>
          <w:tcPr>
            <w:tcW w:w="7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improvements</w:t>
            </w:r>
          </w:p>
        </w:tc>
        <w:tc>
          <w:tcPr>
            <w:tcW w:w="740" w:type="dxa"/>
            <w:vAlign w:val="bottom"/>
            <w:gridSpan w:val="2"/>
          </w:tcPr>
          <w:p>
            <w:pPr>
              <w:ind w:left="60"/>
              <w:spacing w:after="0" w:line="95" w:lineRule="exact"/>
              <w:rPr>
                <w:sz w:val="20"/>
                <w:szCs w:val="20"/>
                <w:color w:val="auto"/>
              </w:rPr>
            </w:pPr>
            <w:r>
              <w:rPr>
                <w:rFonts w:ascii="Arial" w:cs="Arial" w:eastAsia="Arial" w:hAnsi="Arial"/>
                <w:sz w:val="10"/>
                <w:szCs w:val="10"/>
                <w:b w:val="1"/>
                <w:bCs w:val="1"/>
                <w:color w:val="auto"/>
              </w:rPr>
              <w:t>furniture and</w:t>
            </w:r>
          </w:p>
        </w:tc>
        <w:tc>
          <w:tcPr>
            <w:tcW w:w="800" w:type="dxa"/>
            <w:vAlign w:val="bottom"/>
          </w:tcPr>
          <w:p>
            <w:pPr>
              <w:ind w:left="100"/>
              <w:spacing w:after="0" w:line="95" w:lineRule="exact"/>
              <w:rPr>
                <w:sz w:val="20"/>
                <w:szCs w:val="20"/>
                <w:color w:val="auto"/>
              </w:rPr>
            </w:pPr>
            <w:r>
              <w:rPr>
                <w:rFonts w:ascii="Arial" w:cs="Arial" w:eastAsia="Arial" w:hAnsi="Arial"/>
                <w:sz w:val="10"/>
                <w:szCs w:val="10"/>
                <w:b w:val="1"/>
                <w:bCs w:val="1"/>
                <w:color w:val="auto"/>
              </w:rPr>
              <w:t>construction</w:t>
            </w:r>
          </w:p>
        </w:tc>
        <w:tc>
          <w:tcPr>
            <w:tcW w:w="560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and equipment</w:t>
            </w:r>
          </w:p>
        </w:tc>
      </w:tr>
      <w:tr>
        <w:trPr>
          <w:trHeight w:val="128"/>
        </w:trPr>
        <w:tc>
          <w:tcPr>
            <w:tcW w:w="1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fixtures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70"/>
        </w:trPr>
        <w:tc>
          <w:tcPr>
            <w:tcW w:w="1760" w:type="dxa"/>
            <w:vAlign w:val="bottom"/>
          </w:tcPr>
          <w:p>
            <w:pPr>
              <w:jc w:val="right"/>
              <w:ind w:right="1470"/>
              <w:spacing w:after="0"/>
              <w:rPr>
                <w:sz w:val="20"/>
                <w:szCs w:val="20"/>
                <w:color w:val="auto"/>
              </w:rPr>
            </w:pPr>
            <w:r>
              <w:rPr>
                <w:rFonts w:ascii="Arial" w:cs="Arial" w:eastAsia="Arial" w:hAnsi="Arial"/>
                <w:sz w:val="10"/>
                <w:szCs w:val="10"/>
                <w:color w:val="691A6B"/>
                <w:w w:val="98"/>
              </w:rPr>
              <w:t>2025</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72"/>
        </w:trPr>
        <w:tc>
          <w:tcPr>
            <w:tcW w:w="1760" w:type="dxa"/>
            <w:vAlign w:val="bottom"/>
          </w:tcPr>
          <w:p>
            <w:pPr>
              <w:jc w:val="right"/>
              <w:ind w:right="330"/>
              <w:spacing w:after="0"/>
              <w:rPr>
                <w:rFonts w:ascii="Arial" w:cs="Arial" w:eastAsia="Arial" w:hAnsi="Arial"/>
                <w:sz w:val="10"/>
                <w:szCs w:val="10"/>
                <w:color w:val="auto"/>
              </w:rPr>
            </w:pPr>
            <w:hyperlink w:anchor="page83">
              <w:r>
                <w:rPr>
                  <w:rFonts w:ascii="Arial" w:cs="Arial" w:eastAsia="Arial" w:hAnsi="Arial"/>
                  <w:sz w:val="10"/>
                  <w:szCs w:val="10"/>
                  <w:color w:val="auto"/>
                </w:rPr>
                <w:t>Management’s Review</w:t>
              </w:r>
            </w:hyperlink>
          </w:p>
        </w:tc>
        <w:tc>
          <w:tcPr>
            <w:tcW w:w="1360" w:type="dxa"/>
            <w:vAlign w:val="bottom"/>
            <w:gridSpan w:val="2"/>
          </w:tcPr>
          <w:p>
            <w:pPr>
              <w:ind w:left="20"/>
              <w:spacing w:after="0"/>
              <w:rPr>
                <w:rFonts w:ascii="Arial" w:cs="Arial" w:eastAsia="Arial" w:hAnsi="Arial"/>
                <w:sz w:val="10"/>
                <w:szCs w:val="10"/>
                <w:b w:val="1"/>
                <w:bCs w:val="1"/>
                <w:color w:val="auto"/>
              </w:rPr>
            </w:pPr>
            <w:hyperlink w:anchor="page134">
              <w:r>
                <w:rPr>
                  <w:rFonts w:ascii="Arial" w:cs="Arial" w:eastAsia="Arial" w:hAnsi="Arial"/>
                  <w:sz w:val="10"/>
                  <w:szCs w:val="10"/>
                  <w:b w:val="1"/>
                  <w:bCs w:val="1"/>
                  <w:color w:val="auto"/>
                </w:rPr>
                <w:t>Financial Statements</w:t>
              </w:r>
            </w:hyperlink>
          </w:p>
        </w:tc>
        <w:tc>
          <w:tcPr>
            <w:tcW w:w="920" w:type="dxa"/>
            <w:vAlign w:val="bottom"/>
            <w:gridSpan w:val="2"/>
          </w:tcPr>
          <w:p>
            <w:pPr>
              <w:ind w:left="20"/>
              <w:spacing w:after="0"/>
              <w:rPr>
                <w:rFonts w:ascii="Arial" w:cs="Arial" w:eastAsia="Arial" w:hAnsi="Arial"/>
                <w:sz w:val="10"/>
                <w:szCs w:val="10"/>
                <w:color w:val="auto"/>
              </w:rPr>
            </w:pPr>
            <w:hyperlink w:anchor="page171">
              <w:r>
                <w:rPr>
                  <w:rFonts w:ascii="Arial" w:cs="Arial" w:eastAsia="Arial" w:hAnsi="Arial"/>
                  <w:sz w:val="10"/>
                  <w:szCs w:val="10"/>
                  <w:color w:val="auto"/>
                </w:rPr>
                <w:t>Other Information</w:t>
              </w:r>
            </w:hyperlink>
          </w:p>
        </w:tc>
        <w:tc>
          <w:tcPr>
            <w:tcW w:w="860" w:type="dxa"/>
            <w:vAlign w:val="bottom"/>
          </w:tcPr>
          <w:p>
            <w:pPr>
              <w:spacing w:after="0"/>
              <w:rPr>
                <w:sz w:val="14"/>
                <w:szCs w:val="14"/>
                <w:color w:val="auto"/>
              </w:rPr>
            </w:pPr>
          </w:p>
        </w:tc>
        <w:tc>
          <w:tcPr>
            <w:tcW w:w="4740" w:type="dxa"/>
            <w:vAlign w:val="bottom"/>
          </w:tcPr>
          <w:p>
            <w:pPr>
              <w:ind w:left="3220"/>
              <w:spacing w:after="0"/>
              <w:rPr>
                <w:sz w:val="20"/>
                <w:szCs w:val="20"/>
                <w:color w:val="auto"/>
              </w:rPr>
            </w:pPr>
            <w:r>
              <w:rPr>
                <w:rFonts w:ascii="Arial" w:cs="Arial" w:eastAsia="Arial" w:hAnsi="Arial"/>
                <w:sz w:val="10"/>
                <w:szCs w:val="10"/>
                <w:color w:val="auto"/>
                <w:w w:val="96"/>
              </w:rPr>
              <w:t>Genmab 2025 Annual Report   168</w:t>
            </w:r>
          </w:p>
        </w:tc>
      </w:tr>
      <w:tr>
        <w:trPr>
          <w:trHeight w:val="156"/>
        </w:trPr>
        <w:tc>
          <w:tcPr>
            <w:tcW w:w="1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67"/>
        </w:trPr>
        <w:tc>
          <w:tcPr>
            <w:tcW w:w="1760" w:type="dxa"/>
            <w:vAlign w:val="bottom"/>
          </w:tcPr>
          <w:p>
            <w:pPr>
              <w:spacing w:after="0"/>
              <w:rPr>
                <w:sz w:val="5"/>
                <w:szCs w:val="5"/>
                <w:color w:val="auto"/>
              </w:rPr>
            </w:pPr>
          </w:p>
        </w:tc>
        <w:tc>
          <w:tcPr>
            <w:tcW w:w="740" w:type="dxa"/>
            <w:vAlign w:val="bottom"/>
            <w:shd w:val="clear" w:color="auto" w:fill="691A6B"/>
          </w:tcPr>
          <w:p>
            <w:pPr>
              <w:spacing w:after="0"/>
              <w:rPr>
                <w:sz w:val="5"/>
                <w:szCs w:val="5"/>
                <w:color w:val="auto"/>
              </w:rPr>
            </w:pPr>
          </w:p>
        </w:tc>
        <w:tc>
          <w:tcPr>
            <w:tcW w:w="620" w:type="dxa"/>
            <w:vAlign w:val="bottom"/>
            <w:shd w:val="clear" w:color="auto" w:fill="691A6B"/>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7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90805" cy="965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tbl>
      <w:tblPr>
        <w:tblLayout w:type="fixed"/>
        <w:tblInd w:w="0" w:type="dxa"/>
        <w:tblCellMar>
          <w:top w:w="0" w:type="dxa"/>
          <w:left w:w="0" w:type="dxa"/>
          <w:bottom w:w="0" w:type="dxa"/>
          <w:right w:w="0" w:type="dxa"/>
        </w:tblCellMar>
      </w:tblPr>
      <w:tr>
        <w:trPr>
          <w:trHeight w:val="95"/>
        </w:trPr>
        <w:tc>
          <w:tcPr>
            <w:tcW w:w="1780" w:type="dxa"/>
            <w:vAlign w:val="bottom"/>
            <w:tcBorders>
              <w:top w:val="single" w:sz="8" w:color="691A6B"/>
            </w:tcBorders>
          </w:tcPr>
          <w:p>
            <w:pPr>
              <w:spacing w:after="0"/>
              <w:rPr>
                <w:sz w:val="8"/>
                <w:szCs w:val="8"/>
                <w:color w:val="auto"/>
              </w:rPr>
            </w:pPr>
          </w:p>
        </w:tc>
        <w:tc>
          <w:tcPr>
            <w:tcW w:w="760" w:type="dxa"/>
            <w:vAlign w:val="bottom"/>
            <w:tcBorders>
              <w:top w:val="single" w:sz="8" w:color="691A6B"/>
            </w:tcBorders>
          </w:tcPr>
          <w:p>
            <w:pPr>
              <w:spacing w:after="0" w:line="95" w:lineRule="exact"/>
              <w:rPr>
                <w:sz w:val="20"/>
                <w:szCs w:val="20"/>
                <w:color w:val="auto"/>
              </w:rPr>
            </w:pPr>
            <w:r>
              <w:rPr>
                <w:rFonts w:ascii="Arial" w:cs="Arial" w:eastAsia="Arial" w:hAnsi="Arial"/>
                <w:sz w:val="10"/>
                <w:szCs w:val="10"/>
                <w:b w:val="1"/>
                <w:bCs w:val="1"/>
                <w:color w:val="auto"/>
              </w:rPr>
              <w:t>Leasehold</w:t>
            </w:r>
          </w:p>
        </w:tc>
        <w:tc>
          <w:tcPr>
            <w:tcW w:w="78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Equipment,</w:t>
            </w:r>
          </w:p>
        </w:tc>
        <w:tc>
          <w:tcPr>
            <w:tcW w:w="720" w:type="dxa"/>
            <w:vAlign w:val="bottom"/>
            <w:tcBorders>
              <w:top w:val="single" w:sz="8" w:color="691A6B"/>
            </w:tcBorders>
          </w:tcPr>
          <w:p>
            <w:pPr>
              <w:ind w:left="20"/>
              <w:spacing w:after="0" w:line="95" w:lineRule="exact"/>
              <w:rPr>
                <w:sz w:val="20"/>
                <w:szCs w:val="20"/>
                <w:color w:val="auto"/>
              </w:rPr>
            </w:pPr>
            <w:r>
              <w:rPr>
                <w:rFonts w:ascii="Arial" w:cs="Arial" w:eastAsia="Arial" w:hAnsi="Arial"/>
                <w:sz w:val="10"/>
                <w:szCs w:val="10"/>
                <w:b w:val="1"/>
                <w:bCs w:val="1"/>
                <w:color w:val="auto"/>
              </w:rPr>
              <w:t>Assets under</w:t>
            </w:r>
          </w:p>
        </w:tc>
        <w:tc>
          <w:tcPr>
            <w:tcW w:w="860" w:type="dxa"/>
            <w:vAlign w:val="bottom"/>
            <w:tcBorders>
              <w:top w:val="single" w:sz="8" w:color="691A6B"/>
            </w:tcBorders>
            <w:gridSpan w:val="2"/>
          </w:tcPr>
          <w:p>
            <w:pPr>
              <w:ind w:left="80"/>
              <w:spacing w:after="0" w:line="95" w:lineRule="exact"/>
              <w:rPr>
                <w:sz w:val="20"/>
                <w:szCs w:val="20"/>
                <w:color w:val="auto"/>
              </w:rPr>
            </w:pPr>
            <w:r>
              <w:rPr>
                <w:rFonts w:ascii="Arial" w:cs="Arial" w:eastAsia="Arial" w:hAnsi="Arial"/>
                <w:sz w:val="10"/>
                <w:szCs w:val="10"/>
                <w:b w:val="1"/>
                <w:bCs w:val="1"/>
                <w:color w:val="auto"/>
              </w:rPr>
              <w:t>Total property</w:t>
            </w:r>
          </w:p>
        </w:tc>
        <w:tc>
          <w:tcPr>
            <w:tcW w:w="0" w:type="dxa"/>
            <w:vAlign w:val="bottom"/>
          </w:tcPr>
          <w:p>
            <w:pPr>
              <w:spacing w:after="0"/>
              <w:rPr>
                <w:sz w:val="1"/>
                <w:szCs w:val="1"/>
                <w:color w:val="auto"/>
              </w:rPr>
            </w:pPr>
          </w:p>
        </w:tc>
      </w:tr>
      <w:tr>
        <w:trPr>
          <w:trHeight w:val="95"/>
        </w:trPr>
        <w:tc>
          <w:tcPr>
            <w:tcW w:w="1780" w:type="dxa"/>
            <w:vAlign w:val="bottom"/>
          </w:tcPr>
          <w:p>
            <w:pPr>
              <w:spacing w:after="0"/>
              <w:rPr>
                <w:sz w:val="8"/>
                <w:szCs w:val="8"/>
                <w:color w:val="auto"/>
              </w:rPr>
            </w:pPr>
          </w:p>
        </w:tc>
        <w:tc>
          <w:tcPr>
            <w:tcW w:w="760" w:type="dxa"/>
            <w:vAlign w:val="bottom"/>
          </w:tcPr>
          <w:p>
            <w:pPr>
              <w:spacing w:after="0" w:line="95" w:lineRule="exact"/>
              <w:rPr>
                <w:sz w:val="20"/>
                <w:szCs w:val="20"/>
                <w:color w:val="auto"/>
              </w:rPr>
            </w:pPr>
            <w:r>
              <w:rPr>
                <w:rFonts w:ascii="Arial" w:cs="Arial" w:eastAsia="Arial" w:hAnsi="Arial"/>
                <w:sz w:val="10"/>
                <w:szCs w:val="10"/>
                <w:b w:val="1"/>
                <w:bCs w:val="1"/>
                <w:color w:val="auto"/>
              </w:rPr>
              <w:t>improvements</w:t>
            </w:r>
          </w:p>
        </w:tc>
        <w:tc>
          <w:tcPr>
            <w:tcW w:w="78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furniture and</w:t>
            </w:r>
          </w:p>
        </w:tc>
        <w:tc>
          <w:tcPr>
            <w:tcW w:w="72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construction</w:t>
            </w:r>
          </w:p>
        </w:tc>
        <w:tc>
          <w:tcPr>
            <w:tcW w:w="8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and equipment</w:t>
            </w: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0"/>
                <w:szCs w:val="10"/>
                <w:b w:val="1"/>
                <w:bCs w:val="1"/>
                <w:color w:val="auto"/>
              </w:rPr>
              <w:t>fixtures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0"/>
                <w:szCs w:val="10"/>
                <w:color w:val="691A6B"/>
              </w:rPr>
              <w:t>2024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780" w:type="dxa"/>
            <w:vAlign w:val="bottom"/>
          </w:tcPr>
          <w:p>
            <w:pPr>
              <w:ind w:left="20"/>
              <w:spacing w:after="0"/>
              <w:rPr>
                <w:sz w:val="20"/>
                <w:szCs w:val="20"/>
                <w:color w:val="auto"/>
              </w:rPr>
            </w:pPr>
            <w:r>
              <w:rPr>
                <w:rFonts w:ascii="Arial" w:cs="Arial" w:eastAsia="Arial" w:hAnsi="Arial"/>
                <w:sz w:val="10"/>
                <w:szCs w:val="10"/>
                <w:color w:val="auto"/>
              </w:rPr>
              <w:t>Cost at January 1</w:t>
            </w:r>
          </w:p>
        </w:tc>
        <w:tc>
          <w:tcPr>
            <w:tcW w:w="760" w:type="dxa"/>
            <w:vAlign w:val="bottom"/>
          </w:tcPr>
          <w:p>
            <w:pPr>
              <w:jc w:val="right"/>
              <w:ind w:right="8"/>
              <w:spacing w:after="0"/>
              <w:rPr>
                <w:sz w:val="20"/>
                <w:szCs w:val="20"/>
                <w:color w:val="auto"/>
              </w:rPr>
            </w:pPr>
            <w:r>
              <w:rPr>
                <w:rFonts w:ascii="Arial" w:cs="Arial" w:eastAsia="Arial" w:hAnsi="Arial"/>
                <w:sz w:val="10"/>
                <w:szCs w:val="10"/>
                <w:color w:val="auto"/>
              </w:rPr>
              <w:t>12</w:t>
            </w:r>
          </w:p>
        </w:tc>
        <w:tc>
          <w:tcPr>
            <w:tcW w:w="780" w:type="dxa"/>
            <w:vAlign w:val="bottom"/>
          </w:tcPr>
          <w:p>
            <w:pPr>
              <w:jc w:val="right"/>
              <w:ind w:right="9"/>
              <w:spacing w:after="0"/>
              <w:rPr>
                <w:sz w:val="20"/>
                <w:szCs w:val="20"/>
                <w:color w:val="auto"/>
              </w:rPr>
            </w:pPr>
            <w:r>
              <w:rPr>
                <w:rFonts w:ascii="Arial" w:cs="Arial" w:eastAsia="Arial" w:hAnsi="Arial"/>
                <w:sz w:val="10"/>
                <w:szCs w:val="10"/>
                <w:color w:val="auto"/>
              </w:rPr>
              <w:t>12</w:t>
            </w:r>
          </w:p>
        </w:tc>
        <w:tc>
          <w:tcPr>
            <w:tcW w:w="720" w:type="dxa"/>
            <w:vAlign w:val="bottom"/>
          </w:tcPr>
          <w:p>
            <w:pPr>
              <w:ind w:left="600"/>
              <w:spacing w:after="0"/>
              <w:rPr>
                <w:sz w:val="20"/>
                <w:szCs w:val="20"/>
                <w:color w:val="auto"/>
              </w:rPr>
            </w:pPr>
            <w:r>
              <w:rPr>
                <w:rFonts w:ascii="Arial" w:cs="Arial" w:eastAsia="Arial" w:hAnsi="Arial"/>
                <w:sz w:val="10"/>
                <w:szCs w:val="10"/>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52"/>
        </w:trPr>
        <w:tc>
          <w:tcPr>
            <w:tcW w:w="1780" w:type="dxa"/>
            <w:vAlign w:val="bottom"/>
          </w:tcPr>
          <w:p>
            <w:pPr>
              <w:ind w:left="20"/>
              <w:spacing w:after="0"/>
              <w:rPr>
                <w:sz w:val="20"/>
                <w:szCs w:val="20"/>
                <w:color w:val="auto"/>
              </w:rPr>
            </w:pPr>
            <w:r>
              <w:rPr>
                <w:rFonts w:ascii="Arial" w:cs="Arial" w:eastAsia="Arial" w:hAnsi="Arial"/>
                <w:sz w:val="10"/>
                <w:szCs w:val="10"/>
                <w:color w:val="auto"/>
              </w:rPr>
              <w:t>Additions for the year</w:t>
            </w:r>
          </w:p>
        </w:tc>
        <w:tc>
          <w:tcPr>
            <w:tcW w:w="7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20" w:type="dxa"/>
            <w:vAlign w:val="bottom"/>
          </w:tcPr>
          <w:p>
            <w:pPr>
              <w:ind w:left="600"/>
              <w:spacing w:after="0"/>
              <w:rPr>
                <w:sz w:val="20"/>
                <w:szCs w:val="20"/>
                <w:color w:val="auto"/>
              </w:rPr>
            </w:pPr>
            <w:r>
              <w:rPr>
                <w:rFonts w:ascii="Arial" w:cs="Arial" w:eastAsia="Arial" w:hAnsi="Arial"/>
                <w:sz w:val="10"/>
                <w:szCs w:val="10"/>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1780" w:type="dxa"/>
            <w:vAlign w:val="bottom"/>
          </w:tcPr>
          <w:p>
            <w:pPr>
              <w:ind w:left="20"/>
              <w:spacing w:after="0"/>
              <w:rPr>
                <w:sz w:val="20"/>
                <w:szCs w:val="20"/>
                <w:color w:val="auto"/>
              </w:rPr>
            </w:pPr>
            <w:r>
              <w:rPr>
                <w:rFonts w:ascii="Arial" w:cs="Arial" w:eastAsia="Arial" w:hAnsi="Arial"/>
                <w:sz w:val="10"/>
                <w:szCs w:val="10"/>
                <w:color w:val="auto"/>
              </w:rPr>
              <w:t>Transfers between the classes</w:t>
            </w:r>
          </w:p>
        </w:tc>
        <w:tc>
          <w:tcPr>
            <w:tcW w:w="7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720" w:type="dxa"/>
            <w:vAlign w:val="bottom"/>
          </w:tcPr>
          <w:p>
            <w:pPr>
              <w:ind w:left="600"/>
              <w:spacing w:after="0"/>
              <w:rPr>
                <w:sz w:val="20"/>
                <w:szCs w:val="20"/>
                <w:color w:val="auto"/>
              </w:rPr>
            </w:pPr>
            <w:r>
              <w:rPr>
                <w:rFonts w:ascii="Arial" w:cs="Arial" w:eastAsia="Arial" w:hAnsi="Arial"/>
                <w:sz w:val="10"/>
                <w:szCs w:val="10"/>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1780" w:type="dxa"/>
            <w:vAlign w:val="bottom"/>
          </w:tcPr>
          <w:p>
            <w:pPr>
              <w:ind w:left="20"/>
              <w:spacing w:after="0"/>
              <w:rPr>
                <w:sz w:val="20"/>
                <w:szCs w:val="20"/>
                <w:color w:val="auto"/>
              </w:rPr>
            </w:pPr>
            <w:r>
              <w:rPr>
                <w:rFonts w:ascii="Arial" w:cs="Arial" w:eastAsia="Arial" w:hAnsi="Arial"/>
                <w:sz w:val="10"/>
                <w:szCs w:val="10"/>
                <w:color w:val="auto"/>
              </w:rPr>
              <w:t>Disposals for the year</w:t>
            </w: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780" w:type="dxa"/>
            <w:vAlign w:val="bottom"/>
          </w:tcPr>
          <w:p>
            <w:pPr>
              <w:jc w:val="right"/>
              <w:spacing w:after="0"/>
              <w:rPr>
                <w:sz w:val="20"/>
                <w:szCs w:val="20"/>
                <w:color w:val="auto"/>
              </w:rPr>
            </w:pPr>
            <w:r>
              <w:rPr>
                <w:rFonts w:ascii="Arial" w:cs="Arial" w:eastAsia="Arial" w:hAnsi="Arial"/>
                <w:sz w:val="10"/>
                <w:szCs w:val="10"/>
                <w:color w:val="auto"/>
              </w:rPr>
              <w:t>(1)</w:t>
            </w:r>
          </w:p>
        </w:tc>
        <w:tc>
          <w:tcPr>
            <w:tcW w:w="720" w:type="dxa"/>
            <w:vAlign w:val="bottom"/>
          </w:tcPr>
          <w:p>
            <w:pPr>
              <w:ind w:left="600"/>
              <w:spacing w:after="0"/>
              <w:rPr>
                <w:sz w:val="20"/>
                <w:szCs w:val="20"/>
                <w:color w:val="auto"/>
              </w:rPr>
            </w:pPr>
            <w:r>
              <w:rPr>
                <w:rFonts w:ascii="Arial" w:cs="Arial" w:eastAsia="Arial" w:hAnsi="Arial"/>
                <w:sz w:val="10"/>
                <w:szCs w:val="10"/>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58"/>
        </w:trPr>
        <w:tc>
          <w:tcPr>
            <w:tcW w:w="1780" w:type="dxa"/>
            <w:vAlign w:val="bottom"/>
          </w:tcPr>
          <w:p>
            <w:pPr>
              <w:ind w:left="20"/>
              <w:spacing w:after="0"/>
              <w:rPr>
                <w:sz w:val="20"/>
                <w:szCs w:val="20"/>
                <w:color w:val="auto"/>
              </w:rPr>
            </w:pPr>
            <w:r>
              <w:rPr>
                <w:rFonts w:ascii="Arial" w:cs="Arial" w:eastAsia="Arial" w:hAnsi="Arial"/>
                <w:sz w:val="10"/>
                <w:szCs w:val="10"/>
                <w:b w:val="1"/>
                <w:bCs w:val="1"/>
                <w:color w:val="auto"/>
              </w:rPr>
              <w:t>Cost at December 31</w:t>
            </w:r>
          </w:p>
        </w:tc>
        <w:tc>
          <w:tcPr>
            <w:tcW w:w="760" w:type="dxa"/>
            <w:vAlign w:val="bottom"/>
          </w:tcPr>
          <w:p>
            <w:pPr>
              <w:jc w:val="right"/>
              <w:ind w:right="8"/>
              <w:spacing w:after="0"/>
              <w:rPr>
                <w:sz w:val="20"/>
                <w:szCs w:val="20"/>
                <w:color w:val="auto"/>
              </w:rPr>
            </w:pPr>
            <w:r>
              <w:rPr>
                <w:rFonts w:ascii="Arial" w:cs="Arial" w:eastAsia="Arial" w:hAnsi="Arial"/>
                <w:sz w:val="10"/>
                <w:szCs w:val="10"/>
                <w:b w:val="1"/>
                <w:bCs w:val="1"/>
                <w:color w:val="auto"/>
              </w:rPr>
              <w:t>11</w:t>
            </w:r>
          </w:p>
        </w:tc>
        <w:tc>
          <w:tcPr>
            <w:tcW w:w="780" w:type="dxa"/>
            <w:vAlign w:val="bottom"/>
          </w:tcPr>
          <w:p>
            <w:pPr>
              <w:jc w:val="right"/>
              <w:ind w:right="9"/>
              <w:spacing w:after="0"/>
              <w:rPr>
                <w:sz w:val="20"/>
                <w:szCs w:val="20"/>
                <w:color w:val="auto"/>
              </w:rPr>
            </w:pPr>
            <w:r>
              <w:rPr>
                <w:rFonts w:ascii="Arial" w:cs="Arial" w:eastAsia="Arial" w:hAnsi="Arial"/>
                <w:sz w:val="10"/>
                <w:szCs w:val="10"/>
                <w:b w:val="1"/>
                <w:bCs w:val="1"/>
                <w:color w:val="auto"/>
              </w:rPr>
              <w:t>11</w:t>
            </w:r>
          </w:p>
        </w:tc>
        <w:tc>
          <w:tcPr>
            <w:tcW w:w="720" w:type="dxa"/>
            <w:vAlign w:val="bottom"/>
          </w:tcPr>
          <w:p>
            <w:pPr>
              <w:ind w:left="600"/>
              <w:spacing w:after="0"/>
              <w:rPr>
                <w:sz w:val="20"/>
                <w:szCs w:val="20"/>
                <w:color w:val="auto"/>
              </w:rPr>
            </w:pPr>
            <w:r>
              <w:rPr>
                <w:rFonts w:ascii="Arial" w:cs="Arial" w:eastAsia="Arial" w:hAnsi="Arial"/>
                <w:sz w:val="10"/>
                <w:szCs w:val="10"/>
                <w:b w:val="1"/>
                <w:bCs w:val="1"/>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22</w:t>
            </w:r>
          </w:p>
        </w:tc>
        <w:tc>
          <w:tcPr>
            <w:tcW w:w="0" w:type="dxa"/>
            <w:vAlign w:val="bottom"/>
          </w:tcPr>
          <w:p>
            <w:pPr>
              <w:spacing w:after="0"/>
              <w:rPr>
                <w:sz w:val="1"/>
                <w:szCs w:val="1"/>
                <w:color w:val="auto"/>
              </w:rPr>
            </w:pPr>
          </w:p>
        </w:tc>
      </w:tr>
      <w:tr>
        <w:trPr>
          <w:trHeight w:val="314"/>
        </w:trPr>
        <w:tc>
          <w:tcPr>
            <w:tcW w:w="1780" w:type="dxa"/>
            <w:vAlign w:val="bottom"/>
          </w:tcPr>
          <w:p>
            <w:pPr>
              <w:ind w:left="20"/>
              <w:spacing w:after="0"/>
              <w:rPr>
                <w:sz w:val="20"/>
                <w:szCs w:val="20"/>
                <w:color w:val="auto"/>
              </w:rPr>
            </w:pPr>
            <w:r>
              <w:rPr>
                <w:rFonts w:ascii="Arial" w:cs="Arial" w:eastAsia="Arial" w:hAnsi="Arial"/>
                <w:sz w:val="10"/>
                <w:szCs w:val="10"/>
                <w:color w:val="auto"/>
              </w:rPr>
              <w:t>Accumulated depreciation and</w:t>
            </w: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780" w:type="dxa"/>
            <w:vAlign w:val="bottom"/>
          </w:tcPr>
          <w:p>
            <w:pPr>
              <w:jc w:val="right"/>
              <w:spacing w:after="0"/>
              <w:rPr>
                <w:sz w:val="20"/>
                <w:szCs w:val="20"/>
                <w:color w:val="auto"/>
              </w:rPr>
            </w:pPr>
            <w:r>
              <w:rPr>
                <w:rFonts w:ascii="Arial" w:cs="Arial" w:eastAsia="Arial" w:hAnsi="Arial"/>
                <w:sz w:val="10"/>
                <w:szCs w:val="10"/>
                <w:color w:val="auto"/>
              </w:rPr>
              <w:t>(4)</w:t>
            </w:r>
          </w:p>
        </w:tc>
        <w:tc>
          <w:tcPr>
            <w:tcW w:w="720" w:type="dxa"/>
            <w:vAlign w:val="bottom"/>
          </w:tcPr>
          <w:p>
            <w:pPr>
              <w:ind w:left="600"/>
              <w:spacing w:after="0"/>
              <w:rPr>
                <w:sz w:val="20"/>
                <w:szCs w:val="20"/>
                <w:color w:val="auto"/>
              </w:rPr>
            </w:pPr>
            <w:r>
              <w:rPr>
                <w:rFonts w:ascii="Arial" w:cs="Arial" w:eastAsia="Arial" w:hAnsi="Arial"/>
                <w:sz w:val="10"/>
                <w:szCs w:val="10"/>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7"/>
        </w:trPr>
        <w:tc>
          <w:tcPr>
            <w:tcW w:w="1780" w:type="dxa"/>
            <w:vAlign w:val="bottom"/>
          </w:tcPr>
          <w:p>
            <w:pPr>
              <w:ind w:left="20"/>
              <w:spacing w:after="0"/>
              <w:rPr>
                <w:sz w:val="20"/>
                <w:szCs w:val="20"/>
                <w:color w:val="auto"/>
              </w:rPr>
            </w:pPr>
            <w:r>
              <w:rPr>
                <w:rFonts w:ascii="Arial" w:cs="Arial" w:eastAsia="Arial" w:hAnsi="Arial"/>
                <w:sz w:val="10"/>
                <w:szCs w:val="10"/>
                <w:color w:val="auto"/>
              </w:rPr>
              <w:t>impairment at January 1</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0"/>
                <w:szCs w:val="10"/>
                <w:color w:val="auto"/>
              </w:rPr>
              <w:t>Depreciation for the year</w:t>
            </w: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780" w:type="dxa"/>
            <w:vAlign w:val="bottom"/>
          </w:tcPr>
          <w:p>
            <w:pPr>
              <w:jc w:val="right"/>
              <w:spacing w:after="0"/>
              <w:rPr>
                <w:sz w:val="20"/>
                <w:szCs w:val="20"/>
                <w:color w:val="auto"/>
              </w:rPr>
            </w:pPr>
            <w:r>
              <w:rPr>
                <w:rFonts w:ascii="Arial" w:cs="Arial" w:eastAsia="Arial" w:hAnsi="Arial"/>
                <w:sz w:val="10"/>
                <w:szCs w:val="10"/>
                <w:color w:val="auto"/>
              </w:rPr>
              <w:t>(3)</w:t>
            </w:r>
          </w:p>
        </w:tc>
        <w:tc>
          <w:tcPr>
            <w:tcW w:w="720" w:type="dxa"/>
            <w:vAlign w:val="bottom"/>
          </w:tcPr>
          <w:p>
            <w:pPr>
              <w:ind w:left="600"/>
              <w:spacing w:after="0"/>
              <w:rPr>
                <w:sz w:val="20"/>
                <w:szCs w:val="20"/>
                <w:color w:val="auto"/>
              </w:rPr>
            </w:pPr>
            <w:r>
              <w:rPr>
                <w:rFonts w:ascii="Arial" w:cs="Arial" w:eastAsia="Arial" w:hAnsi="Arial"/>
                <w:sz w:val="10"/>
                <w:szCs w:val="10"/>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52"/>
        </w:trPr>
        <w:tc>
          <w:tcPr>
            <w:tcW w:w="1780" w:type="dxa"/>
            <w:vAlign w:val="bottom"/>
          </w:tcPr>
          <w:p>
            <w:pPr>
              <w:ind w:left="20"/>
              <w:spacing w:after="0"/>
              <w:rPr>
                <w:sz w:val="20"/>
                <w:szCs w:val="20"/>
                <w:color w:val="auto"/>
              </w:rPr>
            </w:pPr>
            <w:r>
              <w:rPr>
                <w:rFonts w:ascii="Arial" w:cs="Arial" w:eastAsia="Arial" w:hAnsi="Arial"/>
                <w:sz w:val="10"/>
                <w:szCs w:val="10"/>
                <w:color w:val="auto"/>
              </w:rPr>
              <w:t>Disposals for the year</w:t>
            </w:r>
          </w:p>
        </w:tc>
        <w:tc>
          <w:tcPr>
            <w:tcW w:w="760" w:type="dxa"/>
            <w:vAlign w:val="bottom"/>
          </w:tcPr>
          <w:p>
            <w:pPr>
              <w:jc w:val="right"/>
              <w:ind w:right="8"/>
              <w:spacing w:after="0"/>
              <w:rPr>
                <w:sz w:val="20"/>
                <w:szCs w:val="20"/>
                <w:color w:val="auto"/>
              </w:rPr>
            </w:pPr>
            <w:r>
              <w:rPr>
                <w:rFonts w:ascii="Arial" w:cs="Arial" w:eastAsia="Arial" w:hAnsi="Arial"/>
                <w:sz w:val="10"/>
                <w:szCs w:val="10"/>
                <w:color w:val="auto"/>
              </w:rPr>
              <w:t>1</w:t>
            </w:r>
          </w:p>
        </w:tc>
        <w:tc>
          <w:tcPr>
            <w:tcW w:w="780" w:type="dxa"/>
            <w:vAlign w:val="bottom"/>
          </w:tcPr>
          <w:p>
            <w:pPr>
              <w:jc w:val="right"/>
              <w:ind w:right="9"/>
              <w:spacing w:after="0"/>
              <w:rPr>
                <w:sz w:val="20"/>
                <w:szCs w:val="20"/>
                <w:color w:val="auto"/>
              </w:rPr>
            </w:pPr>
            <w:r>
              <w:rPr>
                <w:rFonts w:ascii="Arial" w:cs="Arial" w:eastAsia="Arial" w:hAnsi="Arial"/>
                <w:sz w:val="10"/>
                <w:szCs w:val="10"/>
                <w:color w:val="auto"/>
              </w:rPr>
              <w:t>1</w:t>
            </w:r>
          </w:p>
        </w:tc>
        <w:tc>
          <w:tcPr>
            <w:tcW w:w="720" w:type="dxa"/>
            <w:vAlign w:val="bottom"/>
          </w:tcPr>
          <w:p>
            <w:pPr>
              <w:ind w:left="600"/>
              <w:spacing w:after="0"/>
              <w:rPr>
                <w:sz w:val="20"/>
                <w:szCs w:val="20"/>
                <w:color w:val="auto"/>
              </w:rPr>
            </w:pPr>
            <w:r>
              <w:rPr>
                <w:rFonts w:ascii="Arial" w:cs="Arial" w:eastAsia="Arial" w:hAnsi="Arial"/>
                <w:sz w:val="10"/>
                <w:szCs w:val="10"/>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0"/>
        </w:trPr>
        <w:tc>
          <w:tcPr>
            <w:tcW w:w="1780" w:type="dxa"/>
            <w:vAlign w:val="bottom"/>
          </w:tcPr>
          <w:p>
            <w:pPr>
              <w:ind w:left="20"/>
              <w:spacing w:after="0"/>
              <w:rPr>
                <w:sz w:val="20"/>
                <w:szCs w:val="20"/>
                <w:color w:val="auto"/>
              </w:rPr>
            </w:pPr>
            <w:r>
              <w:rPr>
                <w:rFonts w:ascii="Arial" w:cs="Arial" w:eastAsia="Arial" w:hAnsi="Arial"/>
                <w:sz w:val="10"/>
                <w:szCs w:val="10"/>
                <w:b w:val="1"/>
                <w:bCs w:val="1"/>
                <w:color w:val="auto"/>
              </w:rPr>
              <w:t>Accumulated depreciation and</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(6)</w:t>
            </w:r>
          </w:p>
        </w:tc>
        <w:tc>
          <w:tcPr>
            <w:tcW w:w="720" w:type="dxa"/>
            <w:vAlign w:val="bottom"/>
          </w:tcPr>
          <w:p>
            <w:pPr>
              <w:ind w:left="600"/>
              <w:spacing w:after="0"/>
              <w:rPr>
                <w:sz w:val="20"/>
                <w:szCs w:val="20"/>
                <w:color w:val="auto"/>
              </w:rPr>
            </w:pPr>
            <w:r>
              <w:rPr>
                <w:rFonts w:ascii="Arial" w:cs="Arial" w:eastAsia="Arial" w:hAnsi="Arial"/>
                <w:sz w:val="10"/>
                <w:szCs w:val="10"/>
                <w:b w:val="1"/>
                <w:bCs w:val="1"/>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(7)</w:t>
            </w:r>
          </w:p>
        </w:tc>
        <w:tc>
          <w:tcPr>
            <w:tcW w:w="0" w:type="dxa"/>
            <w:vAlign w:val="bottom"/>
          </w:tcPr>
          <w:p>
            <w:pPr>
              <w:spacing w:after="0"/>
              <w:rPr>
                <w:sz w:val="1"/>
                <w:szCs w:val="1"/>
                <w:color w:val="auto"/>
              </w:rPr>
            </w:pPr>
          </w:p>
        </w:tc>
      </w:tr>
      <w:tr>
        <w:trPr>
          <w:trHeight w:val="143"/>
        </w:trPr>
        <w:tc>
          <w:tcPr>
            <w:tcW w:w="1780" w:type="dxa"/>
            <w:vAlign w:val="bottom"/>
          </w:tcPr>
          <w:p>
            <w:pPr>
              <w:ind w:left="20"/>
              <w:spacing w:after="0"/>
              <w:rPr>
                <w:sz w:val="20"/>
                <w:szCs w:val="20"/>
                <w:color w:val="auto"/>
              </w:rPr>
            </w:pPr>
            <w:r>
              <w:rPr>
                <w:rFonts w:ascii="Arial" w:cs="Arial" w:eastAsia="Arial" w:hAnsi="Arial"/>
                <w:sz w:val="10"/>
                <w:szCs w:val="10"/>
                <w:b w:val="1"/>
                <w:bCs w:val="1"/>
                <w:color w:val="auto"/>
              </w:rPr>
              <w:t>impairment at December 31</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20"/>
              <w:spacing w:after="0"/>
              <w:rPr>
                <w:sz w:val="20"/>
                <w:szCs w:val="20"/>
                <w:color w:val="auto"/>
              </w:rPr>
            </w:pPr>
            <w:r>
              <w:rPr>
                <w:rFonts w:ascii="Arial" w:cs="Arial" w:eastAsia="Arial" w:hAnsi="Arial"/>
                <w:sz w:val="10"/>
                <w:szCs w:val="10"/>
                <w:b w:val="1"/>
                <w:bCs w:val="1"/>
                <w:color w:val="auto"/>
              </w:rPr>
              <w:t>Carrying amount at December 31</w:t>
            </w:r>
          </w:p>
        </w:tc>
        <w:tc>
          <w:tcPr>
            <w:tcW w:w="760" w:type="dxa"/>
            <w:vAlign w:val="bottom"/>
          </w:tcPr>
          <w:p>
            <w:pPr>
              <w:jc w:val="right"/>
              <w:ind w:right="8"/>
              <w:spacing w:after="0"/>
              <w:rPr>
                <w:sz w:val="20"/>
                <w:szCs w:val="20"/>
                <w:color w:val="auto"/>
              </w:rPr>
            </w:pPr>
            <w:r>
              <w:rPr>
                <w:rFonts w:ascii="Arial" w:cs="Arial" w:eastAsia="Arial" w:hAnsi="Arial"/>
                <w:sz w:val="10"/>
                <w:szCs w:val="10"/>
                <w:b w:val="1"/>
                <w:bCs w:val="1"/>
                <w:color w:val="auto"/>
              </w:rPr>
              <w:t>10</w:t>
            </w:r>
          </w:p>
        </w:tc>
        <w:tc>
          <w:tcPr>
            <w:tcW w:w="780" w:type="dxa"/>
            <w:vAlign w:val="bottom"/>
          </w:tcPr>
          <w:p>
            <w:pPr>
              <w:jc w:val="right"/>
              <w:ind w:right="9"/>
              <w:spacing w:after="0"/>
              <w:rPr>
                <w:sz w:val="20"/>
                <w:szCs w:val="20"/>
                <w:color w:val="auto"/>
              </w:rPr>
            </w:pPr>
            <w:r>
              <w:rPr>
                <w:rFonts w:ascii="Arial" w:cs="Arial" w:eastAsia="Arial" w:hAnsi="Arial"/>
                <w:sz w:val="10"/>
                <w:szCs w:val="10"/>
                <w:b w:val="1"/>
                <w:bCs w:val="1"/>
                <w:color w:val="auto"/>
              </w:rPr>
              <w:t>5</w:t>
            </w:r>
          </w:p>
        </w:tc>
        <w:tc>
          <w:tcPr>
            <w:tcW w:w="720" w:type="dxa"/>
            <w:vAlign w:val="bottom"/>
          </w:tcPr>
          <w:p>
            <w:pPr>
              <w:ind w:left="600"/>
              <w:spacing w:after="0"/>
              <w:rPr>
                <w:sz w:val="20"/>
                <w:szCs w:val="20"/>
                <w:color w:val="auto"/>
              </w:rPr>
            </w:pPr>
            <w:r>
              <w:rPr>
                <w:rFonts w:ascii="Arial" w:cs="Arial" w:eastAsia="Arial" w:hAnsi="Arial"/>
                <w:sz w:val="10"/>
                <w:szCs w:val="10"/>
                <w:b w:val="1"/>
                <w:bCs w:val="1"/>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15</w:t>
            </w:r>
          </w:p>
        </w:tc>
        <w:tc>
          <w:tcPr>
            <w:tcW w:w="0" w:type="dxa"/>
            <w:vAlign w:val="bottom"/>
          </w:tcPr>
          <w:p>
            <w:pPr>
              <w:spacing w:after="0"/>
              <w:rPr>
                <w:sz w:val="1"/>
                <w:szCs w:val="1"/>
                <w:color w:val="auto"/>
              </w:rPr>
            </w:pPr>
          </w:p>
        </w:tc>
      </w:tr>
      <w:tr>
        <w:trPr>
          <w:trHeight w:val="129"/>
        </w:trPr>
        <w:tc>
          <w:tcPr>
            <w:tcW w:w="2540" w:type="dxa"/>
            <w:vAlign w:val="bottom"/>
            <w:tcBorders>
              <w:top w:val="single" w:sz="8" w:color="691A6B"/>
            </w:tcBorders>
            <w:gridSpan w:val="2"/>
            <w:vMerge w:val="restart"/>
          </w:tcPr>
          <w:p>
            <w:pPr>
              <w:ind w:left="20"/>
              <w:spacing w:after="0"/>
              <w:rPr>
                <w:sz w:val="20"/>
                <w:szCs w:val="20"/>
                <w:color w:val="auto"/>
              </w:rPr>
            </w:pPr>
            <w:r>
              <w:rPr>
                <w:rFonts w:ascii="Arial" w:cs="Arial" w:eastAsia="Arial" w:hAnsi="Arial"/>
                <w:sz w:val="10"/>
                <w:szCs w:val="10"/>
                <w:color w:val="auto"/>
              </w:rPr>
              <w:t>Depreciation and impairment included in the income</w:t>
            </w:r>
          </w:p>
        </w:tc>
        <w:tc>
          <w:tcPr>
            <w:tcW w:w="1500" w:type="dxa"/>
            <w:vAlign w:val="bottom"/>
            <w:tcBorders>
              <w:top w:val="single" w:sz="8" w:color="691A6B"/>
            </w:tcBorders>
            <w:gridSpan w:val="2"/>
          </w:tcPr>
          <w:p>
            <w:pPr>
              <w:jc w:val="right"/>
              <w:ind w:right="528"/>
              <w:spacing w:after="0"/>
              <w:rPr>
                <w:sz w:val="20"/>
                <w:szCs w:val="20"/>
                <w:color w:val="auto"/>
              </w:rPr>
            </w:pPr>
            <w:r>
              <w:rPr>
                <w:rFonts w:ascii="Arial" w:cs="Arial" w:eastAsia="Arial" w:hAnsi="Arial"/>
                <w:sz w:val="10"/>
                <w:szCs w:val="10"/>
                <w:b w:val="1"/>
                <w:bCs w:val="1"/>
                <w:color w:val="691A6B"/>
              </w:rPr>
              <w:t>2025</w:t>
            </w:r>
          </w:p>
        </w:tc>
        <w:tc>
          <w:tcPr>
            <w:tcW w:w="760" w:type="dxa"/>
            <w:vAlign w:val="bottom"/>
            <w:tcBorders>
              <w:top w:val="single" w:sz="8" w:color="691A6B"/>
            </w:tcBorders>
          </w:tcPr>
          <w:p>
            <w:pPr>
              <w:jc w:val="right"/>
              <w:ind w:right="509"/>
              <w:spacing w:after="0"/>
              <w:rPr>
                <w:sz w:val="20"/>
                <w:szCs w:val="20"/>
                <w:color w:val="auto"/>
              </w:rPr>
            </w:pPr>
            <w:r>
              <w:rPr>
                <w:rFonts w:ascii="Arial" w:cs="Arial" w:eastAsia="Arial" w:hAnsi="Arial"/>
                <w:sz w:val="10"/>
                <w:szCs w:val="10"/>
                <w:b w:val="1"/>
                <w:bCs w:val="1"/>
                <w:color w:val="auto"/>
                <w:w w:val="80"/>
              </w:rPr>
              <w:t>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4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780" w:type="dxa"/>
            <w:vAlign w:val="bottom"/>
          </w:tcPr>
          <w:p>
            <w:pPr>
              <w:ind w:left="20"/>
              <w:spacing w:after="0"/>
              <w:rPr>
                <w:sz w:val="20"/>
                <w:szCs w:val="20"/>
                <w:color w:val="auto"/>
              </w:rPr>
            </w:pPr>
            <w:r>
              <w:rPr>
                <w:rFonts w:ascii="Arial" w:cs="Arial" w:eastAsia="Arial" w:hAnsi="Arial"/>
                <w:sz w:val="10"/>
                <w:szCs w:val="10"/>
                <w:color w:val="auto"/>
              </w:rPr>
              <w:t>statement as follows: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0"/>
                <w:szCs w:val="10"/>
                <w:color w:val="auto"/>
              </w:rPr>
              <w:t>Research and development expenses</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Arial" w:cs="Arial" w:eastAsia="Arial" w:hAnsi="Arial"/>
                <w:sz w:val="10"/>
                <w:szCs w:val="10"/>
                <w:color w:val="691A6B"/>
              </w:rPr>
              <w:t>2</w:t>
            </w:r>
          </w:p>
        </w:tc>
        <w:tc>
          <w:tcPr>
            <w:tcW w:w="760" w:type="dxa"/>
            <w:vAlign w:val="bottom"/>
          </w:tcPr>
          <w:p>
            <w:pPr>
              <w:jc w:val="right"/>
              <w:ind w:right="29"/>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40" w:type="dxa"/>
            <w:vAlign w:val="bottom"/>
            <w:gridSpan w:val="2"/>
          </w:tcPr>
          <w:p>
            <w:pPr>
              <w:ind w:left="20"/>
              <w:spacing w:after="0"/>
              <w:rPr>
                <w:sz w:val="20"/>
                <w:szCs w:val="20"/>
                <w:color w:val="auto"/>
              </w:rPr>
            </w:pPr>
            <w:r>
              <w:rPr>
                <w:rFonts w:ascii="Arial" w:cs="Arial" w:eastAsia="Arial" w:hAnsi="Arial"/>
                <w:sz w:val="10"/>
                <w:szCs w:val="10"/>
                <w:color w:val="auto"/>
              </w:rPr>
              <w:t>Selling, general and administrative expenses</w:t>
            </w:r>
          </w:p>
        </w:tc>
        <w:tc>
          <w:tcPr>
            <w:tcW w:w="78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Arial" w:cs="Arial" w:eastAsia="Arial" w:hAnsi="Arial"/>
                <w:sz w:val="10"/>
                <w:szCs w:val="10"/>
                <w:color w:val="691A6B"/>
              </w:rPr>
              <w:t>1</w:t>
            </w:r>
          </w:p>
        </w:tc>
        <w:tc>
          <w:tcPr>
            <w:tcW w:w="760" w:type="dxa"/>
            <w:vAlign w:val="bottom"/>
          </w:tcPr>
          <w:p>
            <w:pPr>
              <w:jc w:val="right"/>
              <w:ind w:right="29"/>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560"/>
              <w:spacing w:after="0"/>
              <w:rPr>
                <w:sz w:val="20"/>
                <w:szCs w:val="20"/>
                <w:color w:val="auto"/>
              </w:rPr>
            </w:pPr>
            <w:r>
              <w:rPr>
                <w:rFonts w:ascii="Arial" w:cs="Arial" w:eastAsia="Arial" w:hAnsi="Arial"/>
                <w:sz w:val="10"/>
                <w:szCs w:val="10"/>
                <w:b w:val="1"/>
                <w:bCs w:val="1"/>
                <w:color w:val="691A6B"/>
              </w:rPr>
              <w:t>3</w:t>
            </w:r>
          </w:p>
        </w:tc>
        <w:tc>
          <w:tcPr>
            <w:tcW w:w="760" w:type="dxa"/>
            <w:vAlign w:val="bottom"/>
          </w:tcPr>
          <w:p>
            <w:pPr>
              <w:jc w:val="right"/>
              <w:ind w:right="29"/>
              <w:spacing w:after="0"/>
              <w:rPr>
                <w:sz w:val="20"/>
                <w:szCs w:val="20"/>
                <w:color w:val="auto"/>
              </w:rPr>
            </w:pPr>
            <w:r>
              <w:rPr>
                <w:rFonts w:ascii="Arial" w:cs="Arial" w:eastAsia="Arial" w:hAnsi="Arial"/>
                <w:sz w:val="10"/>
                <w:szCs w:val="10"/>
                <w:b w:val="1"/>
                <w:bCs w:val="1"/>
                <w:color w:val="auto"/>
              </w:rPr>
              <w:t>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right="4900"/>
        <w:spacing w:after="0" w:line="213" w:lineRule="auto"/>
        <w:rPr>
          <w:rFonts w:ascii="Arial" w:cs="Arial" w:eastAsia="Arial" w:hAnsi="Arial"/>
          <w:sz w:val="10"/>
          <w:szCs w:val="10"/>
          <w:color w:val="691A6B"/>
        </w:rPr>
      </w:pPr>
      <w:hyperlink w:anchor="page144">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3.2 </w:t>
      </w:r>
      <w:hyperlink w:anchor="page144">
        <w:r>
          <w:rPr>
            <w:rFonts w:ascii="Arial" w:cs="Arial" w:eastAsia="Arial" w:hAnsi="Arial"/>
            <w:sz w:val="10"/>
            <w:szCs w:val="10"/>
            <w:color w:val="691A6B"/>
          </w:rPr>
          <w:t>in the consolidated financial statements for additional information regarding property and</w:t>
        </w:r>
      </w:hyperlink>
      <w:r>
        <w:rPr>
          <w:rFonts w:ascii="Arial" w:cs="Arial" w:eastAsia="Arial" w:hAnsi="Arial"/>
          <w:sz w:val="10"/>
          <w:szCs w:val="10"/>
          <w:color w:val="691A6B"/>
        </w:rPr>
        <w:t xml:space="preserve"> </w:t>
      </w:r>
      <w:hyperlink w:anchor="page144">
        <w:r>
          <w:rPr>
            <w:rFonts w:ascii="Arial" w:cs="Arial" w:eastAsia="Arial" w:hAnsi="Arial"/>
            <w:sz w:val="10"/>
            <w:szCs w:val="10"/>
            <w:color w:val="691A6B"/>
          </w:rPr>
          <w:t>equipment of the Group.</w:t>
        </w:r>
      </w:hyperlink>
    </w:p>
    <w:p>
      <w:pPr>
        <w:spacing w:after="0" w:line="206" w:lineRule="auto"/>
        <w:rPr>
          <w:sz w:val="20"/>
          <w:szCs w:val="20"/>
          <w:color w:val="auto"/>
        </w:rPr>
      </w:pPr>
      <w:r>
        <w:rPr>
          <w:rFonts w:ascii="Arial" w:cs="Arial" w:eastAsia="Arial" w:hAnsi="Arial"/>
          <w:sz w:val="15"/>
          <w:szCs w:val="15"/>
          <w:b w:val="1"/>
          <w:bCs w:val="1"/>
          <w:color w:val="691A6B"/>
        </w:rPr>
        <w:t>7 - Leases</w:t>
      </w:r>
    </w:p>
    <w:p>
      <w:pPr>
        <w:spacing w:after="0" w:line="199" w:lineRule="auto"/>
        <w:rPr>
          <w:sz w:val="20"/>
          <w:szCs w:val="20"/>
          <w:color w:val="auto"/>
        </w:rPr>
      </w:pPr>
      <w:r>
        <w:rPr>
          <w:rFonts w:ascii="Arial" w:cs="Arial" w:eastAsia="Arial" w:hAnsi="Arial"/>
          <w:sz w:val="10"/>
          <w:szCs w:val="10"/>
          <w:color w:val="auto"/>
        </w:rPr>
        <w:t>The parent company has entered into lease agreements with respect to office and laboratory space.</w:t>
      </w:r>
    </w:p>
    <w:p>
      <w:pPr>
        <w:spacing w:after="0" w:line="218" w:lineRule="auto"/>
        <w:rPr>
          <w:sz w:val="20"/>
          <w:szCs w:val="20"/>
          <w:color w:val="auto"/>
        </w:rPr>
      </w:pPr>
      <w:r>
        <w:rPr>
          <w:rFonts w:ascii="Arial" w:cs="Arial" w:eastAsia="Arial" w:hAnsi="Arial"/>
          <w:sz w:val="10"/>
          <w:szCs w:val="10"/>
          <w:color w:val="auto"/>
        </w:rPr>
        <w:t>The leases are non-cancellable over various periods through 2038.</w:t>
      </w:r>
    </w:p>
    <w:tbl>
      <w:tblPr>
        <w:tblLayout w:type="fixed"/>
        <w:tblInd w:w="0" w:type="dxa"/>
        <w:tblCellMar>
          <w:top w:w="0" w:type="dxa"/>
          <w:left w:w="0" w:type="dxa"/>
          <w:bottom w:w="0" w:type="dxa"/>
          <w:right w:w="0" w:type="dxa"/>
        </w:tblCellMar>
      </w:tblPr>
      <w:tr>
        <w:trPr>
          <w:trHeight w:val="128"/>
        </w:trPr>
        <w:tc>
          <w:tcPr>
            <w:tcW w:w="348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420" w:type="dxa"/>
            <w:vAlign w:val="bottom"/>
            <w:tcBorders>
              <w:top w:val="single" w:sz="8" w:color="691A6B"/>
            </w:tcBorders>
          </w:tcPr>
          <w:p>
            <w:pPr>
              <w:spacing w:after="0"/>
              <w:rPr>
                <w:sz w:val="11"/>
                <w:szCs w:val="11"/>
                <w:color w:val="auto"/>
              </w:rPr>
            </w:pP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2024</w:t>
            </w:r>
          </w:p>
        </w:tc>
      </w:tr>
      <w:tr>
        <w:trPr>
          <w:trHeight w:val="133"/>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Right-of-use assets</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1"/>
        </w:trPr>
        <w:tc>
          <w:tcPr>
            <w:tcW w:w="3480" w:type="dxa"/>
            <w:vAlign w:val="bottom"/>
          </w:tcPr>
          <w:p>
            <w:pPr>
              <w:ind w:left="20"/>
              <w:spacing w:after="0"/>
              <w:rPr>
                <w:sz w:val="20"/>
                <w:szCs w:val="20"/>
                <w:color w:val="auto"/>
              </w:rPr>
            </w:pPr>
            <w:r>
              <w:rPr>
                <w:rFonts w:ascii="Arial" w:cs="Arial" w:eastAsia="Arial" w:hAnsi="Arial"/>
                <w:sz w:val="10"/>
                <w:szCs w:val="10"/>
                <w:color w:val="auto"/>
              </w:rPr>
              <w:t>Balance at January 1</w:t>
            </w:r>
          </w:p>
        </w:tc>
        <w:tc>
          <w:tcPr>
            <w:tcW w:w="420" w:type="dxa"/>
            <w:vAlign w:val="bottom"/>
          </w:tcPr>
          <w:p>
            <w:pPr>
              <w:jc w:val="right"/>
              <w:ind w:right="8"/>
              <w:spacing w:after="0"/>
              <w:rPr>
                <w:sz w:val="20"/>
                <w:szCs w:val="20"/>
                <w:color w:val="auto"/>
              </w:rPr>
            </w:pPr>
            <w:r>
              <w:rPr>
                <w:rFonts w:ascii="Arial" w:cs="Arial" w:eastAsia="Arial" w:hAnsi="Arial"/>
                <w:sz w:val="10"/>
                <w:szCs w:val="10"/>
                <w:color w:val="691A6B"/>
              </w:rPr>
              <w:t>33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34</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color w:val="auto"/>
              </w:rPr>
              <w:t>Additions to right-of-use assets</w:t>
            </w:r>
            <w:r>
              <w:rPr>
                <w:rFonts w:ascii="Arial" w:cs="Arial" w:eastAsia="Arial" w:hAnsi="Arial"/>
                <w:sz w:val="6"/>
                <w:szCs w:val="6"/>
                <w:color w:val="auto"/>
              </w:rPr>
              <w:t>1</w:t>
            </w:r>
          </w:p>
        </w:tc>
        <w:tc>
          <w:tcPr>
            <w:tcW w:w="42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3</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color w:val="auto"/>
              </w:rPr>
              <w:t>Depreciation charge for the year</w:t>
            </w:r>
          </w:p>
        </w:tc>
        <w:tc>
          <w:tcPr>
            <w:tcW w:w="420" w:type="dxa"/>
            <w:vAlign w:val="bottom"/>
          </w:tcPr>
          <w:p>
            <w:pPr>
              <w:jc w:val="right"/>
              <w:spacing w:after="0"/>
              <w:rPr>
                <w:sz w:val="20"/>
                <w:szCs w:val="20"/>
                <w:color w:val="auto"/>
              </w:rPr>
            </w:pPr>
            <w:r>
              <w:rPr>
                <w:rFonts w:ascii="Arial" w:cs="Arial" w:eastAsia="Arial" w:hAnsi="Arial"/>
                <w:sz w:val="10"/>
                <w:szCs w:val="10"/>
                <w:color w:val="691A6B"/>
              </w:rPr>
              <w:t>(3)</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color w:val="auto"/>
              </w:rPr>
              <w:t>Exchange rate adjustment</w:t>
            </w:r>
          </w:p>
        </w:tc>
        <w:tc>
          <w:tcPr>
            <w:tcW w:w="42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w:t>
            </w:r>
          </w:p>
        </w:tc>
      </w:tr>
      <w:tr>
        <w:trPr>
          <w:trHeight w:val="358"/>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w:t>
            </w:r>
          </w:p>
        </w:tc>
        <w:tc>
          <w:tcPr>
            <w:tcW w:w="420" w:type="dxa"/>
            <w:vAlign w:val="bottom"/>
          </w:tcPr>
          <w:p>
            <w:pPr>
              <w:jc w:val="right"/>
              <w:ind w:right="8"/>
              <w:spacing w:after="0"/>
              <w:rPr>
                <w:sz w:val="20"/>
                <w:szCs w:val="20"/>
                <w:color w:val="auto"/>
              </w:rPr>
            </w:pPr>
            <w:r>
              <w:rPr>
                <w:rFonts w:ascii="Arial" w:cs="Arial" w:eastAsia="Arial" w:hAnsi="Arial"/>
                <w:sz w:val="10"/>
                <w:szCs w:val="10"/>
                <w:b w:val="1"/>
                <w:bCs w:val="1"/>
                <w:color w:val="691A6B"/>
              </w:rPr>
              <w:t>30</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33</w:t>
            </w:r>
          </w:p>
        </w:tc>
      </w:tr>
      <w:tr>
        <w:trPr>
          <w:trHeight w:val="348"/>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Lease liabilities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1"/>
        </w:trPr>
        <w:tc>
          <w:tcPr>
            <w:tcW w:w="3480" w:type="dxa"/>
            <w:vAlign w:val="bottom"/>
          </w:tcPr>
          <w:p>
            <w:pPr>
              <w:ind w:left="20"/>
              <w:spacing w:after="0"/>
              <w:rPr>
                <w:sz w:val="20"/>
                <w:szCs w:val="20"/>
                <w:color w:val="auto"/>
              </w:rPr>
            </w:pPr>
            <w:r>
              <w:rPr>
                <w:rFonts w:ascii="Arial" w:cs="Arial" w:eastAsia="Arial" w:hAnsi="Arial"/>
                <w:sz w:val="10"/>
                <w:szCs w:val="10"/>
                <w:color w:val="auto"/>
              </w:rPr>
              <w:t>Current</w:t>
            </w:r>
          </w:p>
        </w:tc>
        <w:tc>
          <w:tcPr>
            <w:tcW w:w="420" w:type="dxa"/>
            <w:vAlign w:val="bottom"/>
          </w:tcPr>
          <w:p>
            <w:pPr>
              <w:jc w:val="right"/>
              <w:ind w:right="8"/>
              <w:spacing w:after="0"/>
              <w:rPr>
                <w:sz w:val="20"/>
                <w:szCs w:val="20"/>
                <w:color w:val="auto"/>
              </w:rPr>
            </w:pPr>
            <w:r>
              <w:rPr>
                <w:rFonts w:ascii="Arial" w:cs="Arial" w:eastAsia="Arial" w:hAnsi="Arial"/>
                <w:sz w:val="10"/>
                <w:szCs w:val="10"/>
                <w:color w:val="691A6B"/>
              </w:rPr>
              <w:t>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color w:val="auto"/>
              </w:rPr>
              <w:t>Non-current</w:t>
            </w:r>
          </w:p>
        </w:tc>
        <w:tc>
          <w:tcPr>
            <w:tcW w:w="420" w:type="dxa"/>
            <w:vAlign w:val="bottom"/>
          </w:tcPr>
          <w:p>
            <w:pPr>
              <w:jc w:val="right"/>
              <w:ind w:right="8"/>
              <w:spacing w:after="0"/>
              <w:rPr>
                <w:sz w:val="20"/>
                <w:szCs w:val="20"/>
                <w:color w:val="auto"/>
              </w:rPr>
            </w:pPr>
            <w:r>
              <w:rPr>
                <w:rFonts w:ascii="Arial" w:cs="Arial" w:eastAsia="Arial" w:hAnsi="Arial"/>
                <w:sz w:val="10"/>
                <w:szCs w:val="10"/>
                <w:color w:val="691A6B"/>
              </w:rPr>
              <w:t>34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33</w:t>
            </w:r>
          </w:p>
        </w:tc>
      </w:tr>
      <w:tr>
        <w:trPr>
          <w:trHeight w:val="158"/>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420" w:type="dxa"/>
            <w:vAlign w:val="bottom"/>
          </w:tcPr>
          <w:p>
            <w:pPr>
              <w:jc w:val="right"/>
              <w:ind w:right="8"/>
              <w:spacing w:after="0"/>
              <w:rPr>
                <w:sz w:val="20"/>
                <w:szCs w:val="20"/>
                <w:color w:val="auto"/>
              </w:rPr>
            </w:pPr>
            <w:r>
              <w:rPr>
                <w:rFonts w:ascii="Arial" w:cs="Arial" w:eastAsia="Arial" w:hAnsi="Arial"/>
                <w:sz w:val="10"/>
                <w:szCs w:val="10"/>
                <w:b w:val="1"/>
                <w:bCs w:val="1"/>
                <w:color w:val="691A6B"/>
              </w:rPr>
              <w:t>37</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35</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Cash outflow for lease payments</w:t>
            </w:r>
          </w:p>
        </w:tc>
        <w:tc>
          <w:tcPr>
            <w:tcW w:w="420" w:type="dxa"/>
            <w:vAlign w:val="bottom"/>
          </w:tcPr>
          <w:p>
            <w:pPr>
              <w:jc w:val="right"/>
              <w:ind w:right="8"/>
              <w:spacing w:after="0"/>
              <w:rPr>
                <w:sz w:val="20"/>
                <w:szCs w:val="20"/>
                <w:color w:val="auto"/>
              </w:rPr>
            </w:pPr>
            <w:r>
              <w:rPr>
                <w:rFonts w:ascii="Arial" w:cs="Arial" w:eastAsia="Arial" w:hAnsi="Arial"/>
                <w:sz w:val="10"/>
                <w:szCs w:val="10"/>
                <w:b w:val="1"/>
                <w:bCs w:val="1"/>
                <w:color w:val="691A6B"/>
              </w:rPr>
              <w:t>3</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3</w:t>
            </w:r>
          </w:p>
        </w:tc>
      </w:tr>
    </w:tbl>
    <w:p>
      <w:pPr>
        <w:spacing w:after="0" w:line="221" w:lineRule="auto"/>
        <w:rPr>
          <w:sz w:val="20"/>
          <w:szCs w:val="20"/>
          <w:color w:val="auto"/>
        </w:rPr>
      </w:pPr>
      <w:r>
        <w:rPr>
          <w:rFonts w:ascii="Arial" w:cs="Arial" w:eastAsia="Arial" w:hAnsi="Arial"/>
          <w:sz w:val="9"/>
          <w:szCs w:val="9"/>
          <w:color w:val="auto"/>
        </w:rPr>
        <w:t>1.Additions to right-of-use assets also includes modifications to the existing leases of Genmab offices.</w:t>
      </w:r>
    </w:p>
    <w:p>
      <w:pPr>
        <w:sectPr>
          <w:pgSz w:w="11900" w:h="16840" w:orient="portrait"/>
          <w:cols w:equalWidth="0" w:num="1">
            <w:col w:w="9820"/>
          </w:cols>
          <w:pgMar w:left="640" w:top="571" w:right="1440" w:bottom="914" w:gutter="0" w:footer="0" w:header="0"/>
        </w:sectPr>
      </w:pPr>
    </w:p>
    <w:p>
      <w:pPr>
        <w:spacing w:after="0" w:line="199" w:lineRule="auto"/>
        <w:rPr>
          <w:sz w:val="20"/>
          <w:szCs w:val="20"/>
          <w:color w:val="auto"/>
        </w:rPr>
      </w:pPr>
      <w:r>
        <w:rPr>
          <w:rFonts w:ascii="Arial" w:cs="Arial" w:eastAsia="Arial" w:hAnsi="Arial"/>
          <w:sz w:val="10"/>
          <w:szCs w:val="10"/>
          <w:color w:val="auto"/>
        </w:rPr>
        <w:t>Variable lease payments, lease interest expense, and low-value assets are immaterial.</w:t>
      </w:r>
    </w:p>
    <w:p>
      <w:pPr>
        <w:spacing w:after="0"/>
        <w:rPr>
          <w:sz w:val="20"/>
          <w:szCs w:val="20"/>
          <w:color w:val="auto"/>
        </w:rPr>
      </w:pPr>
      <w:r>
        <w:rPr>
          <w:rFonts w:ascii="Arial" w:cs="Arial" w:eastAsia="Arial" w:hAnsi="Arial"/>
          <w:sz w:val="10"/>
          <w:szCs w:val="10"/>
          <w:color w:val="auto"/>
        </w:rPr>
        <w:t>Future minimum payments under leases are as follows:</w:t>
      </w:r>
    </w:p>
    <w:p>
      <w:pPr>
        <w:sectPr>
          <w:pgSz w:w="11900" w:h="16840" w:orient="portrait"/>
          <w:cols w:equalWidth="0" w:num="1">
            <w:col w:w="9820"/>
          </w:cols>
          <w:pgMar w:left="640" w:top="571" w:right="1440" w:bottom="914" w:gutter="0" w:footer="0" w:header="0"/>
          <w:type w:val="continuous"/>
        </w:sectPr>
      </w:pPr>
    </w:p>
    <w:bookmarkStart w:id="165" w:name="page166"/>
    <w:bookmarkEnd w:id="165"/>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169</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p>
      <w:pPr>
        <w:spacing w:after="0" w:line="218" w:lineRule="auto"/>
        <w:rPr>
          <w:sz w:val="20"/>
          <w:szCs w:val="20"/>
          <w:color w:val="auto"/>
        </w:rPr>
      </w:pPr>
      <w:r>
        <w:rPr>
          <w:rFonts w:ascii="Arial" w:cs="Arial" w:eastAsia="Arial" w:hAnsi="Arial"/>
          <w:sz w:val="15"/>
          <w:szCs w:val="15"/>
          <w:b w:val="1"/>
          <w:bCs w:val="1"/>
          <w:color w:val="691A6B"/>
        </w:rPr>
        <w:t>8 - Other Investments</w:t>
      </w:r>
    </w:p>
    <w:tbl>
      <w:tblPr>
        <w:tblLayout w:type="fixed"/>
        <w:tblInd w:w="0" w:type="dxa"/>
        <w:tblCellMar>
          <w:top w:w="0" w:type="dxa"/>
          <w:left w:w="0" w:type="dxa"/>
          <w:bottom w:w="0" w:type="dxa"/>
          <w:right w:w="0" w:type="dxa"/>
        </w:tblCellMar>
      </w:tblPr>
      <w:tr>
        <w:trPr>
          <w:trHeight w:val="123"/>
        </w:trPr>
        <w:tc>
          <w:tcPr>
            <w:tcW w:w="3480" w:type="dxa"/>
            <w:vAlign w:val="bottom"/>
            <w:tcBorders>
              <w:top w:val="single" w:sz="8" w:color="691A6B"/>
            </w:tcBorders>
          </w:tcPr>
          <w:p>
            <w:pPr>
              <w:jc w:val="right"/>
              <w:ind w:right="209"/>
              <w:spacing w:after="0"/>
              <w:rPr>
                <w:sz w:val="20"/>
                <w:szCs w:val="20"/>
                <w:color w:val="auto"/>
              </w:rPr>
            </w:pPr>
            <w:r>
              <w:rPr>
                <w:rFonts w:ascii="Arial" w:cs="Arial" w:eastAsia="Arial" w:hAnsi="Arial"/>
                <w:sz w:val="10"/>
                <w:szCs w:val="10"/>
                <w:b w:val="1"/>
                <w:bCs w:val="1"/>
                <w:color w:val="691A6B"/>
              </w:rPr>
              <w:t>2025</w:t>
            </w:r>
          </w:p>
        </w:tc>
        <w:tc>
          <w:tcPr>
            <w:tcW w:w="42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69"/>
              <w:spacing w:after="0"/>
              <w:rPr>
                <w:sz w:val="20"/>
                <w:szCs w:val="20"/>
                <w:color w:val="auto"/>
              </w:rPr>
            </w:pPr>
            <w:r>
              <w:rPr>
                <w:rFonts w:ascii="Arial" w:cs="Arial" w:eastAsia="Arial" w:hAnsi="Arial"/>
                <w:sz w:val="10"/>
                <w:szCs w:val="10"/>
                <w:b w:val="1"/>
                <w:bCs w:val="1"/>
                <w:color w:val="auto"/>
                <w:w w:val="98"/>
              </w:rPr>
              <w:t>2024</w:t>
            </w:r>
          </w:p>
        </w:tc>
      </w:tr>
      <w:tr>
        <w:trPr>
          <w:trHeight w:val="137"/>
        </w:trPr>
        <w:tc>
          <w:tcPr>
            <w:tcW w:w="3480" w:type="dxa"/>
            <w:vAlign w:val="bottom"/>
          </w:tcPr>
          <w:p>
            <w:pPr>
              <w:ind w:left="20"/>
              <w:spacing w:after="0"/>
              <w:rPr>
                <w:rFonts w:ascii="Arial" w:cs="Arial" w:eastAsia="Arial" w:hAnsi="Arial"/>
                <w:sz w:val="10"/>
                <w:szCs w:val="10"/>
                <w:color w:val="auto"/>
              </w:rPr>
            </w:pPr>
            <w:hyperlink w:anchor="page144">
              <w:r>
                <w:rPr>
                  <w:rFonts w:ascii="Arial" w:cs="Arial" w:eastAsia="Arial" w:hAnsi="Arial"/>
                  <w:sz w:val="10"/>
                  <w:szCs w:val="10"/>
                  <w:color w:val="auto"/>
                </w:rPr>
                <w:t>Fund Investments</w:t>
              </w:r>
            </w:hyperlink>
          </w:p>
        </w:tc>
        <w:tc>
          <w:tcPr>
            <w:tcW w:w="420" w:type="dxa"/>
            <w:vAlign w:val="bottom"/>
          </w:tcPr>
          <w:p>
            <w:pPr>
              <w:jc w:val="right"/>
              <w:ind w:right="8"/>
              <w:spacing w:after="0"/>
              <w:rPr>
                <w:rFonts w:ascii="Arial" w:cs="Arial" w:eastAsia="Arial" w:hAnsi="Arial"/>
                <w:sz w:val="10"/>
                <w:szCs w:val="10"/>
                <w:color w:val="691A6B"/>
              </w:rPr>
            </w:pPr>
            <w:hyperlink w:anchor="page144">
              <w:r>
                <w:rPr>
                  <w:rFonts w:ascii="Arial" w:cs="Arial" w:eastAsia="Arial" w:hAnsi="Arial"/>
                  <w:sz w:val="10"/>
                  <w:szCs w:val="10"/>
                  <w:color w:val="691A6B"/>
                </w:rPr>
                <w:t>23</w:t>
              </w:r>
            </w:hyperlink>
          </w:p>
        </w:tc>
        <w:tc>
          <w:tcPr>
            <w:tcW w:w="960" w:type="dxa"/>
            <w:vAlign w:val="bottom"/>
          </w:tcPr>
          <w:p>
            <w:pPr>
              <w:jc w:val="right"/>
              <w:ind w:right="29"/>
              <w:spacing w:after="0"/>
              <w:rPr>
                <w:rFonts w:ascii="Arial" w:cs="Arial" w:eastAsia="Arial" w:hAnsi="Arial"/>
                <w:sz w:val="10"/>
                <w:szCs w:val="10"/>
                <w:color w:val="auto"/>
              </w:rPr>
            </w:pPr>
            <w:hyperlink w:anchor="page144">
              <w:r>
                <w:rPr>
                  <w:rFonts w:ascii="Arial" w:cs="Arial" w:eastAsia="Arial" w:hAnsi="Arial"/>
                  <w:sz w:val="10"/>
                  <w:szCs w:val="10"/>
                  <w:color w:val="auto"/>
                </w:rPr>
                <w:t>23</w:t>
              </w:r>
            </w:hyperlink>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color w:val="auto"/>
              </w:rPr>
              <w:t>Privately held equity securities</w:t>
            </w:r>
          </w:p>
        </w:tc>
        <w:tc>
          <w:tcPr>
            <w:tcW w:w="420" w:type="dxa"/>
            <w:vAlign w:val="bottom"/>
          </w:tcPr>
          <w:p>
            <w:pPr>
              <w:jc w:val="right"/>
              <w:ind w:right="8"/>
              <w:spacing w:after="0"/>
              <w:rPr>
                <w:sz w:val="20"/>
                <w:szCs w:val="20"/>
                <w:color w:val="auto"/>
              </w:rPr>
            </w:pPr>
            <w:r>
              <w:rPr>
                <w:rFonts w:ascii="Arial" w:cs="Arial" w:eastAsia="Arial" w:hAnsi="Arial"/>
                <w:sz w:val="10"/>
                <w:szCs w:val="10"/>
                <w:color w:val="691A6B"/>
              </w:rPr>
              <w:t>2</w:t>
            </w:r>
          </w:p>
        </w:tc>
        <w:tc>
          <w:tcPr>
            <w:tcW w:w="960" w:type="dxa"/>
            <w:vAlign w:val="bottom"/>
          </w:tcPr>
          <w:p>
            <w:pPr>
              <w:jc w:val="right"/>
              <w:ind w:right="29"/>
              <w:spacing w:after="0"/>
              <w:rPr>
                <w:sz w:val="20"/>
                <w:szCs w:val="20"/>
                <w:color w:val="auto"/>
              </w:rPr>
            </w:pPr>
            <w:r>
              <w:rPr>
                <w:rFonts w:ascii="Arial" w:cs="Arial" w:eastAsia="Arial" w:hAnsi="Arial"/>
                <w:sz w:val="10"/>
                <w:szCs w:val="10"/>
                <w:color w:val="auto"/>
              </w:rPr>
              <w:t>2</w:t>
            </w:r>
          </w:p>
        </w:tc>
      </w:tr>
      <w:tr>
        <w:trPr>
          <w:trHeight w:val="158"/>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420" w:type="dxa"/>
            <w:vAlign w:val="bottom"/>
          </w:tcPr>
          <w:p>
            <w:pPr>
              <w:jc w:val="right"/>
              <w:ind w:right="8"/>
              <w:spacing w:after="0"/>
              <w:rPr>
                <w:sz w:val="20"/>
                <w:szCs w:val="20"/>
                <w:color w:val="auto"/>
              </w:rPr>
            </w:pPr>
            <w:r>
              <w:rPr>
                <w:rFonts w:ascii="Arial" w:cs="Arial" w:eastAsia="Arial" w:hAnsi="Arial"/>
                <w:sz w:val="10"/>
                <w:szCs w:val="10"/>
                <w:b w:val="1"/>
                <w:bCs w:val="1"/>
                <w:color w:val="691A6B"/>
              </w:rPr>
              <w:t>25</w:t>
            </w:r>
          </w:p>
        </w:tc>
        <w:tc>
          <w:tcPr>
            <w:tcW w:w="960" w:type="dxa"/>
            <w:vAlign w:val="bottom"/>
          </w:tcPr>
          <w:p>
            <w:pPr>
              <w:jc w:val="right"/>
              <w:ind w:right="29"/>
              <w:spacing w:after="0"/>
              <w:rPr>
                <w:sz w:val="20"/>
                <w:szCs w:val="20"/>
                <w:color w:val="auto"/>
              </w:rPr>
            </w:pPr>
            <w:r>
              <w:rPr>
                <w:rFonts w:ascii="Arial" w:cs="Arial" w:eastAsia="Arial" w:hAnsi="Arial"/>
                <w:sz w:val="10"/>
                <w:szCs w:val="10"/>
                <w:b w:val="1"/>
                <w:bCs w:val="1"/>
                <w:color w:val="auto"/>
              </w:rPr>
              <w:t>25</w:t>
            </w:r>
          </w:p>
        </w:tc>
      </w:tr>
    </w:tbl>
    <w:p>
      <w:pPr>
        <w:ind w:right="4880"/>
        <w:spacing w:after="0" w:line="213" w:lineRule="auto"/>
        <w:rPr>
          <w:rFonts w:ascii="Arial" w:cs="Arial" w:eastAsia="Arial" w:hAnsi="Arial"/>
          <w:sz w:val="10"/>
          <w:szCs w:val="10"/>
          <w:color w:val="691A6B"/>
        </w:rPr>
      </w:pPr>
      <w:hyperlink w:anchor="page145">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3.4 </w:t>
      </w:r>
      <w:hyperlink w:anchor="page145">
        <w:r>
          <w:rPr>
            <w:rFonts w:ascii="Arial" w:cs="Arial" w:eastAsia="Arial" w:hAnsi="Arial"/>
            <w:sz w:val="10"/>
            <w:szCs w:val="10"/>
            <w:color w:val="691A6B"/>
          </w:rPr>
          <w:t>in the consolidated financial statements for additional information on other investments of</w:t>
        </w:r>
      </w:hyperlink>
      <w:r>
        <w:rPr>
          <w:rFonts w:ascii="Arial" w:cs="Arial" w:eastAsia="Arial" w:hAnsi="Arial"/>
          <w:sz w:val="10"/>
          <w:szCs w:val="10"/>
          <w:color w:val="691A6B"/>
        </w:rPr>
        <w:t xml:space="preserve"> </w:t>
      </w:r>
      <w:hyperlink w:anchor="page145">
        <w:r>
          <w:rPr>
            <w:rFonts w:ascii="Arial" w:cs="Arial" w:eastAsia="Arial" w:hAnsi="Arial"/>
            <w:sz w:val="10"/>
            <w:szCs w:val="10"/>
            <w:color w:val="691A6B"/>
          </w:rPr>
          <w:t>the Group.</w:t>
        </w:r>
      </w:hyperlink>
    </w:p>
    <w:p>
      <w:pPr>
        <w:spacing w:after="0" w:line="219" w:lineRule="auto"/>
        <w:rPr>
          <w:sz w:val="20"/>
          <w:szCs w:val="20"/>
          <w:color w:val="auto"/>
        </w:rPr>
      </w:pPr>
      <w:r>
        <w:rPr>
          <w:rFonts w:ascii="Arial" w:cs="Arial" w:eastAsia="Arial" w:hAnsi="Arial"/>
          <w:sz w:val="15"/>
          <w:szCs w:val="15"/>
          <w:b w:val="1"/>
          <w:bCs w:val="1"/>
          <w:color w:val="691A6B"/>
        </w:rPr>
        <w:t>9 - Inventories</w:t>
      </w:r>
    </w:p>
    <w:tbl>
      <w:tblPr>
        <w:tblLayout w:type="fixed"/>
        <w:tblInd w:w="0" w:type="dxa"/>
        <w:tblCellMar>
          <w:top w:w="0" w:type="dxa"/>
          <w:left w:w="0" w:type="dxa"/>
          <w:bottom w:w="0" w:type="dxa"/>
          <w:right w:w="0" w:type="dxa"/>
        </w:tblCellMar>
      </w:tblPr>
      <w:tr>
        <w:trPr>
          <w:trHeight w:val="123"/>
        </w:trPr>
        <w:tc>
          <w:tcPr>
            <w:tcW w:w="348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400" w:type="dxa"/>
            <w:vAlign w:val="bottom"/>
            <w:tcBorders>
              <w:top w:val="single" w:sz="8" w:color="691A6B"/>
            </w:tcBorders>
          </w:tcPr>
          <w:p>
            <w:pPr>
              <w:spacing w:after="0"/>
              <w:rPr>
                <w:sz w:val="10"/>
                <w:szCs w:val="10"/>
                <w:color w:val="auto"/>
              </w:rPr>
            </w:pPr>
          </w:p>
        </w:tc>
        <w:tc>
          <w:tcPr>
            <w:tcW w:w="98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rPr>
              <w:t>2024</w:t>
            </w:r>
          </w:p>
        </w:tc>
      </w:tr>
      <w:tr>
        <w:trPr>
          <w:trHeight w:val="137"/>
        </w:trPr>
        <w:tc>
          <w:tcPr>
            <w:tcW w:w="3480" w:type="dxa"/>
            <w:vAlign w:val="bottom"/>
          </w:tcPr>
          <w:p>
            <w:pPr>
              <w:ind w:left="20"/>
              <w:spacing w:after="0"/>
              <w:rPr>
                <w:sz w:val="20"/>
                <w:szCs w:val="20"/>
                <w:color w:val="auto"/>
              </w:rPr>
            </w:pPr>
            <w:r>
              <w:rPr>
                <w:rFonts w:ascii="Arial" w:cs="Arial" w:eastAsia="Arial" w:hAnsi="Arial"/>
                <w:sz w:val="10"/>
                <w:szCs w:val="10"/>
                <w:color w:val="auto"/>
              </w:rPr>
              <w:t>Raw materials</w:t>
            </w:r>
          </w:p>
        </w:tc>
        <w:tc>
          <w:tcPr>
            <w:tcW w:w="400" w:type="dxa"/>
            <w:vAlign w:val="bottom"/>
          </w:tcPr>
          <w:p>
            <w:pPr>
              <w:jc w:val="right"/>
              <w:spacing w:after="0"/>
              <w:rPr>
                <w:sz w:val="20"/>
                <w:szCs w:val="20"/>
                <w:color w:val="auto"/>
              </w:rPr>
            </w:pPr>
            <w:r>
              <w:rPr>
                <w:rFonts w:ascii="Arial" w:cs="Arial" w:eastAsia="Arial" w:hAnsi="Arial"/>
                <w:sz w:val="10"/>
                <w:szCs w:val="10"/>
                <w:color w:val="691A6B"/>
              </w:rPr>
              <w:t>4</w:t>
            </w:r>
          </w:p>
        </w:tc>
        <w:tc>
          <w:tcPr>
            <w:tcW w:w="980" w:type="dxa"/>
            <w:vAlign w:val="bottom"/>
          </w:tcPr>
          <w:p>
            <w:pPr>
              <w:jc w:val="right"/>
              <w:ind w:right="28"/>
              <w:spacing w:after="0"/>
              <w:rPr>
                <w:sz w:val="20"/>
                <w:szCs w:val="20"/>
                <w:color w:val="auto"/>
              </w:rPr>
            </w:pPr>
            <w:r>
              <w:rPr>
                <w:rFonts w:ascii="Arial" w:cs="Arial" w:eastAsia="Arial" w:hAnsi="Arial"/>
                <w:sz w:val="10"/>
                <w:szCs w:val="10"/>
                <w:color w:val="auto"/>
              </w:rPr>
              <w:t>1</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color w:val="auto"/>
              </w:rPr>
              <w:t>Work in progress</w:t>
            </w:r>
          </w:p>
        </w:tc>
        <w:tc>
          <w:tcPr>
            <w:tcW w:w="400" w:type="dxa"/>
            <w:vAlign w:val="bottom"/>
          </w:tcPr>
          <w:p>
            <w:pPr>
              <w:jc w:val="right"/>
              <w:spacing w:after="0"/>
              <w:rPr>
                <w:sz w:val="20"/>
                <w:szCs w:val="20"/>
                <w:color w:val="auto"/>
              </w:rPr>
            </w:pPr>
            <w:r>
              <w:rPr>
                <w:rFonts w:ascii="Arial" w:cs="Arial" w:eastAsia="Arial" w:hAnsi="Arial"/>
                <w:sz w:val="10"/>
                <w:szCs w:val="10"/>
                <w:color w:val="691A6B"/>
              </w:rPr>
              <w:t>—</w:t>
            </w:r>
          </w:p>
        </w:tc>
        <w:tc>
          <w:tcPr>
            <w:tcW w:w="98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color w:val="auto"/>
              </w:rPr>
              <w:t>Finished goods</w:t>
            </w:r>
          </w:p>
        </w:tc>
        <w:tc>
          <w:tcPr>
            <w:tcW w:w="400" w:type="dxa"/>
            <w:vAlign w:val="bottom"/>
          </w:tcPr>
          <w:p>
            <w:pPr>
              <w:jc w:val="right"/>
              <w:spacing w:after="0"/>
              <w:rPr>
                <w:sz w:val="20"/>
                <w:szCs w:val="20"/>
                <w:color w:val="auto"/>
              </w:rPr>
            </w:pPr>
            <w:r>
              <w:rPr>
                <w:rFonts w:ascii="Arial" w:cs="Arial" w:eastAsia="Arial" w:hAnsi="Arial"/>
                <w:sz w:val="10"/>
                <w:szCs w:val="10"/>
                <w:color w:val="691A6B"/>
              </w:rPr>
              <w:t>3</w:t>
            </w:r>
          </w:p>
        </w:tc>
        <w:tc>
          <w:tcPr>
            <w:tcW w:w="980" w:type="dxa"/>
            <w:vAlign w:val="bottom"/>
          </w:tcPr>
          <w:p>
            <w:pPr>
              <w:jc w:val="right"/>
              <w:ind w:right="28"/>
              <w:spacing w:after="0"/>
              <w:rPr>
                <w:sz w:val="20"/>
                <w:szCs w:val="20"/>
                <w:color w:val="auto"/>
              </w:rPr>
            </w:pPr>
            <w:r>
              <w:rPr>
                <w:rFonts w:ascii="Arial" w:cs="Arial" w:eastAsia="Arial" w:hAnsi="Arial"/>
                <w:sz w:val="10"/>
                <w:szCs w:val="10"/>
                <w:color w:val="auto"/>
              </w:rPr>
              <w:t>1</w:t>
            </w:r>
          </w:p>
        </w:tc>
      </w:tr>
      <w:tr>
        <w:trPr>
          <w:trHeight w:val="158"/>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Total inventories (gross) at December 31</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691A6B"/>
              </w:rPr>
              <w:t>7</w:t>
            </w:r>
          </w:p>
        </w:tc>
        <w:tc>
          <w:tcPr>
            <w:tcW w:w="980" w:type="dxa"/>
            <w:vAlign w:val="bottom"/>
          </w:tcPr>
          <w:p>
            <w:pPr>
              <w:jc w:val="right"/>
              <w:ind w:right="28"/>
              <w:spacing w:after="0"/>
              <w:rPr>
                <w:sz w:val="20"/>
                <w:szCs w:val="20"/>
                <w:color w:val="auto"/>
              </w:rPr>
            </w:pPr>
            <w:r>
              <w:rPr>
                <w:rFonts w:ascii="Arial" w:cs="Arial" w:eastAsia="Arial" w:hAnsi="Arial"/>
                <w:sz w:val="10"/>
                <w:szCs w:val="10"/>
                <w:b w:val="1"/>
                <w:bCs w:val="1"/>
                <w:color w:val="auto"/>
              </w:rPr>
              <w:t>2</w:t>
            </w:r>
          </w:p>
        </w:tc>
      </w:tr>
      <w:tr>
        <w:trPr>
          <w:trHeight w:val="352"/>
        </w:trPr>
        <w:tc>
          <w:tcPr>
            <w:tcW w:w="3480" w:type="dxa"/>
            <w:vAlign w:val="bottom"/>
          </w:tcPr>
          <w:p>
            <w:pPr>
              <w:ind w:left="20"/>
              <w:spacing w:after="0"/>
              <w:rPr>
                <w:sz w:val="20"/>
                <w:szCs w:val="20"/>
                <w:color w:val="auto"/>
              </w:rPr>
            </w:pPr>
            <w:r>
              <w:rPr>
                <w:rFonts w:ascii="Arial" w:cs="Arial" w:eastAsia="Arial" w:hAnsi="Arial"/>
                <w:sz w:val="10"/>
                <w:szCs w:val="10"/>
                <w:color w:val="auto"/>
              </w:rPr>
              <w:t>Allowances at year end</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691A6B"/>
              </w:rPr>
              <w:t>—</w:t>
            </w:r>
          </w:p>
        </w:tc>
        <w:tc>
          <w:tcPr>
            <w:tcW w:w="98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3480" w:type="dxa"/>
            <w:vAlign w:val="bottom"/>
          </w:tcPr>
          <w:p>
            <w:pPr>
              <w:ind w:left="20"/>
              <w:spacing w:after="0"/>
              <w:rPr>
                <w:sz w:val="20"/>
                <w:szCs w:val="20"/>
                <w:color w:val="auto"/>
              </w:rPr>
            </w:pPr>
            <w:r>
              <w:rPr>
                <w:rFonts w:ascii="Arial" w:cs="Arial" w:eastAsia="Arial" w:hAnsi="Arial"/>
                <w:sz w:val="10"/>
                <w:szCs w:val="10"/>
                <w:b w:val="1"/>
                <w:bCs w:val="1"/>
                <w:color w:val="auto"/>
              </w:rPr>
              <w:t>Total inventories (net) at December 31</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691A6B"/>
              </w:rPr>
              <w:t>7</w:t>
            </w:r>
          </w:p>
        </w:tc>
        <w:tc>
          <w:tcPr>
            <w:tcW w:w="980" w:type="dxa"/>
            <w:vAlign w:val="bottom"/>
          </w:tcPr>
          <w:p>
            <w:pPr>
              <w:jc w:val="right"/>
              <w:ind w:right="28"/>
              <w:spacing w:after="0"/>
              <w:rPr>
                <w:sz w:val="20"/>
                <w:szCs w:val="20"/>
                <w:color w:val="auto"/>
              </w:rPr>
            </w:pPr>
            <w:r>
              <w:rPr>
                <w:rFonts w:ascii="Arial" w:cs="Arial" w:eastAsia="Arial" w:hAnsi="Arial"/>
                <w:sz w:val="10"/>
                <w:szCs w:val="10"/>
                <w:b w:val="1"/>
                <w:bCs w:val="1"/>
                <w:color w:val="auto"/>
              </w:rPr>
              <w:t>2</w:t>
            </w:r>
          </w:p>
        </w:tc>
      </w:tr>
    </w:tbl>
    <w:p>
      <w:pPr>
        <w:spacing w:after="0" w:line="219" w:lineRule="auto"/>
        <w:rPr>
          <w:rFonts w:ascii="Arial" w:cs="Arial" w:eastAsia="Arial" w:hAnsi="Arial"/>
          <w:sz w:val="10"/>
          <w:szCs w:val="10"/>
          <w:color w:val="691A6B"/>
        </w:rPr>
      </w:pPr>
      <w:hyperlink w:anchor="page145">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3.5 </w:t>
      </w:r>
      <w:hyperlink w:anchor="page145">
        <w:r>
          <w:rPr>
            <w:rFonts w:ascii="Arial" w:cs="Arial" w:eastAsia="Arial" w:hAnsi="Arial"/>
            <w:sz w:val="10"/>
            <w:szCs w:val="10"/>
            <w:color w:val="691A6B"/>
          </w:rPr>
          <w:t>in the consolidated financial statements for additional information regarding inventories</w:t>
        </w:r>
      </w:hyperlink>
    </w:p>
    <w:p>
      <w:pPr>
        <w:spacing w:after="0" w:line="208" w:lineRule="auto"/>
        <w:rPr>
          <w:rFonts w:ascii="Arial" w:cs="Arial" w:eastAsia="Arial" w:hAnsi="Arial"/>
          <w:sz w:val="10"/>
          <w:szCs w:val="10"/>
          <w:color w:val="691A6B"/>
        </w:rPr>
      </w:pPr>
      <w:hyperlink w:anchor="page145">
        <w:r>
          <w:rPr>
            <w:rFonts w:ascii="Arial" w:cs="Arial" w:eastAsia="Arial" w:hAnsi="Arial"/>
            <w:sz w:val="10"/>
            <w:szCs w:val="10"/>
            <w:color w:val="691A6B"/>
          </w:rPr>
          <w:t>of the Group.</w:t>
        </w:r>
      </w:hyperlink>
    </w:p>
    <w:p>
      <w:pPr>
        <w:spacing w:after="0" w:line="218" w:lineRule="auto"/>
        <w:rPr>
          <w:sz w:val="20"/>
          <w:szCs w:val="20"/>
          <w:color w:val="auto"/>
        </w:rPr>
      </w:pPr>
      <w:r>
        <w:rPr>
          <w:rFonts w:ascii="Arial" w:cs="Arial" w:eastAsia="Arial" w:hAnsi="Arial"/>
          <w:sz w:val="15"/>
          <w:szCs w:val="15"/>
          <w:b w:val="1"/>
          <w:bCs w:val="1"/>
          <w:color w:val="691A6B"/>
        </w:rPr>
        <w:t>10 - Receivables</w:t>
      </w:r>
    </w:p>
    <w:tbl>
      <w:tblPr>
        <w:tblLayout w:type="fixed"/>
        <w:tblInd w:w="0" w:type="dxa"/>
        <w:tblCellMar>
          <w:top w:w="0" w:type="dxa"/>
          <w:left w:w="0" w:type="dxa"/>
          <w:bottom w:w="0" w:type="dxa"/>
          <w:right w:w="0" w:type="dxa"/>
        </w:tblCellMar>
      </w:tblPr>
      <w:tr>
        <w:trPr>
          <w:trHeight w:val="123"/>
        </w:trPr>
        <w:tc>
          <w:tcPr>
            <w:tcW w:w="340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50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2024</w:t>
            </w:r>
          </w:p>
        </w:tc>
      </w:tr>
      <w:tr>
        <w:trPr>
          <w:trHeight w:val="137"/>
        </w:trPr>
        <w:tc>
          <w:tcPr>
            <w:tcW w:w="3400" w:type="dxa"/>
            <w:vAlign w:val="bottom"/>
          </w:tcPr>
          <w:p>
            <w:pPr>
              <w:ind w:left="20"/>
              <w:spacing w:after="0"/>
              <w:rPr>
                <w:sz w:val="20"/>
                <w:szCs w:val="20"/>
                <w:color w:val="auto"/>
              </w:rPr>
            </w:pPr>
            <w:r>
              <w:rPr>
                <w:rFonts w:ascii="Arial" w:cs="Arial" w:eastAsia="Arial" w:hAnsi="Arial"/>
                <w:sz w:val="10"/>
                <w:szCs w:val="10"/>
                <w:color w:val="auto"/>
              </w:rPr>
              <w:t>Receivables related to collaboration agreements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904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761</w:t>
            </w:r>
          </w:p>
        </w:tc>
      </w:tr>
      <w:tr>
        <w:trPr>
          <w:trHeight w:val="152"/>
        </w:trPr>
        <w:tc>
          <w:tcPr>
            <w:tcW w:w="3400" w:type="dxa"/>
            <w:vAlign w:val="bottom"/>
          </w:tcPr>
          <w:p>
            <w:pPr>
              <w:ind w:left="20"/>
              <w:spacing w:after="0"/>
              <w:rPr>
                <w:sz w:val="20"/>
                <w:szCs w:val="20"/>
                <w:color w:val="auto"/>
              </w:rPr>
            </w:pPr>
            <w:r>
              <w:rPr>
                <w:rFonts w:ascii="Arial" w:cs="Arial" w:eastAsia="Arial" w:hAnsi="Arial"/>
                <w:sz w:val="10"/>
                <w:szCs w:val="10"/>
                <w:color w:val="auto"/>
              </w:rPr>
              <w:t>Prepayments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14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15</w:t>
            </w:r>
          </w:p>
        </w:tc>
      </w:tr>
      <w:tr>
        <w:trPr>
          <w:trHeight w:val="152"/>
        </w:trPr>
        <w:tc>
          <w:tcPr>
            <w:tcW w:w="3400" w:type="dxa"/>
            <w:vAlign w:val="bottom"/>
          </w:tcPr>
          <w:p>
            <w:pPr>
              <w:ind w:left="20"/>
              <w:spacing w:after="0"/>
              <w:rPr>
                <w:sz w:val="20"/>
                <w:szCs w:val="20"/>
                <w:color w:val="auto"/>
              </w:rPr>
            </w:pPr>
            <w:r>
              <w:rPr>
                <w:rFonts w:ascii="Arial" w:cs="Arial" w:eastAsia="Arial" w:hAnsi="Arial"/>
                <w:sz w:val="10"/>
                <w:szCs w:val="10"/>
                <w:color w:val="auto"/>
              </w:rPr>
              <w:t>Receivables from subsidiaries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449</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135</w:t>
            </w:r>
          </w:p>
        </w:tc>
      </w:tr>
      <w:tr>
        <w:trPr>
          <w:trHeight w:val="152"/>
        </w:trPr>
        <w:tc>
          <w:tcPr>
            <w:tcW w:w="3400" w:type="dxa"/>
            <w:vAlign w:val="bottom"/>
          </w:tcPr>
          <w:p>
            <w:pPr>
              <w:ind w:left="20"/>
              <w:spacing w:after="0"/>
              <w:rPr>
                <w:sz w:val="20"/>
                <w:szCs w:val="20"/>
                <w:color w:val="auto"/>
              </w:rPr>
            </w:pPr>
            <w:r>
              <w:rPr>
                <w:rFonts w:ascii="Arial" w:cs="Arial" w:eastAsia="Arial" w:hAnsi="Arial"/>
                <w:sz w:val="10"/>
                <w:szCs w:val="10"/>
                <w:color w:val="auto"/>
              </w:rPr>
              <w:t>Loans to subsidiaries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4,337</w:t>
            </w:r>
          </w:p>
        </w:tc>
        <w:tc>
          <w:tcPr>
            <w:tcW w:w="960" w:type="dxa"/>
            <w:vAlign w:val="bottom"/>
          </w:tcPr>
          <w:p>
            <w:pPr>
              <w:jc w:val="right"/>
              <w:ind w:right="28"/>
              <w:spacing w:after="0"/>
              <w:rPr>
                <w:sz w:val="20"/>
                <w:szCs w:val="20"/>
                <w:color w:val="auto"/>
              </w:rPr>
            </w:pPr>
            <w:r>
              <w:rPr>
                <w:rFonts w:ascii="Arial" w:cs="Arial" w:eastAsia="Arial" w:hAnsi="Arial"/>
                <w:sz w:val="10"/>
                <w:szCs w:val="10"/>
                <w:color w:val="691A6B"/>
              </w:rPr>
              <w:t>—</w:t>
            </w:r>
          </w:p>
        </w:tc>
      </w:tr>
      <w:tr>
        <w:trPr>
          <w:trHeight w:val="152"/>
        </w:trPr>
        <w:tc>
          <w:tcPr>
            <w:tcW w:w="3400" w:type="dxa"/>
            <w:vAlign w:val="bottom"/>
          </w:tcPr>
          <w:p>
            <w:pPr>
              <w:ind w:left="20"/>
              <w:spacing w:after="0"/>
              <w:rPr>
                <w:sz w:val="20"/>
                <w:szCs w:val="20"/>
                <w:color w:val="auto"/>
              </w:rPr>
            </w:pPr>
            <w:r>
              <w:rPr>
                <w:rFonts w:ascii="Arial" w:cs="Arial" w:eastAsia="Arial" w:hAnsi="Arial"/>
                <w:sz w:val="10"/>
                <w:szCs w:val="10"/>
                <w:color w:val="auto"/>
              </w:rPr>
              <w:t>Interest receivables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19</w:t>
            </w:r>
          </w:p>
        </w:tc>
      </w:tr>
      <w:tr>
        <w:trPr>
          <w:trHeight w:val="152"/>
        </w:trPr>
        <w:tc>
          <w:tcPr>
            <w:tcW w:w="3400" w:type="dxa"/>
            <w:vAlign w:val="bottom"/>
          </w:tcPr>
          <w:p>
            <w:pPr>
              <w:ind w:left="20"/>
              <w:spacing w:after="0"/>
              <w:rPr>
                <w:sz w:val="20"/>
                <w:szCs w:val="20"/>
                <w:color w:val="auto"/>
              </w:rPr>
            </w:pPr>
            <w:r>
              <w:rPr>
                <w:rFonts w:ascii="Arial" w:cs="Arial" w:eastAsia="Arial" w:hAnsi="Arial"/>
                <w:sz w:val="10"/>
                <w:szCs w:val="10"/>
                <w:color w:val="auto"/>
              </w:rPr>
              <w:t>Other receivables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28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10</w:t>
            </w:r>
          </w:p>
        </w:tc>
      </w:tr>
      <w:tr>
        <w:trPr>
          <w:trHeight w:val="158"/>
        </w:trPr>
        <w:tc>
          <w:tcPr>
            <w:tcW w:w="340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500" w:type="dxa"/>
            <w:vAlign w:val="bottom"/>
          </w:tcPr>
          <w:p>
            <w:pPr>
              <w:jc w:val="right"/>
              <w:ind w:right="8"/>
              <w:spacing w:after="0"/>
              <w:rPr>
                <w:sz w:val="20"/>
                <w:szCs w:val="20"/>
                <w:color w:val="auto"/>
              </w:rPr>
            </w:pPr>
            <w:r>
              <w:rPr>
                <w:rFonts w:ascii="Arial" w:cs="Arial" w:eastAsia="Arial" w:hAnsi="Arial"/>
                <w:sz w:val="10"/>
                <w:szCs w:val="10"/>
                <w:b w:val="1"/>
                <w:bCs w:val="1"/>
                <w:color w:val="691A6B"/>
              </w:rPr>
              <w:t>5,736</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940</w:t>
            </w:r>
          </w:p>
        </w:tc>
      </w:tr>
      <w:tr>
        <w:trPr>
          <w:trHeight w:val="346"/>
        </w:trPr>
        <w:tc>
          <w:tcPr>
            <w:tcW w:w="3400" w:type="dxa"/>
            <w:vAlign w:val="bottom"/>
          </w:tcPr>
          <w:p>
            <w:pPr>
              <w:ind w:left="20"/>
              <w:spacing w:after="0"/>
              <w:rPr>
                <w:sz w:val="20"/>
                <w:szCs w:val="20"/>
                <w:color w:val="auto"/>
              </w:rPr>
            </w:pPr>
            <w:r>
              <w:rPr>
                <w:rFonts w:ascii="Arial" w:cs="Arial" w:eastAsia="Arial" w:hAnsi="Arial"/>
                <w:sz w:val="10"/>
                <w:szCs w:val="10"/>
                <w:color w:val="auto"/>
              </w:rPr>
              <w:t>Non-current receivables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4,280</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3</w:t>
            </w:r>
          </w:p>
        </w:tc>
      </w:tr>
      <w:tr>
        <w:trPr>
          <w:trHeight w:val="152"/>
        </w:trPr>
        <w:tc>
          <w:tcPr>
            <w:tcW w:w="3400" w:type="dxa"/>
            <w:vAlign w:val="bottom"/>
          </w:tcPr>
          <w:p>
            <w:pPr>
              <w:ind w:left="20"/>
              <w:spacing w:after="0"/>
              <w:rPr>
                <w:sz w:val="20"/>
                <w:szCs w:val="20"/>
                <w:color w:val="auto"/>
              </w:rPr>
            </w:pPr>
            <w:r>
              <w:rPr>
                <w:rFonts w:ascii="Arial" w:cs="Arial" w:eastAsia="Arial" w:hAnsi="Arial"/>
                <w:sz w:val="10"/>
                <w:szCs w:val="10"/>
                <w:color w:val="auto"/>
              </w:rPr>
              <w:t>Current receivables</w:t>
            </w:r>
          </w:p>
        </w:tc>
        <w:tc>
          <w:tcPr>
            <w:tcW w:w="500" w:type="dxa"/>
            <w:vAlign w:val="bottom"/>
          </w:tcPr>
          <w:p>
            <w:pPr>
              <w:jc w:val="right"/>
              <w:ind w:right="8"/>
              <w:spacing w:after="0"/>
              <w:rPr>
                <w:sz w:val="20"/>
                <w:szCs w:val="20"/>
                <w:color w:val="auto"/>
              </w:rPr>
            </w:pPr>
            <w:r>
              <w:rPr>
                <w:rFonts w:ascii="Arial" w:cs="Arial" w:eastAsia="Arial" w:hAnsi="Arial"/>
                <w:sz w:val="10"/>
                <w:szCs w:val="10"/>
                <w:color w:val="691A6B"/>
              </w:rPr>
              <w:t>1,456</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937</w:t>
            </w:r>
          </w:p>
        </w:tc>
      </w:tr>
      <w:tr>
        <w:trPr>
          <w:trHeight w:val="158"/>
        </w:trPr>
        <w:tc>
          <w:tcPr>
            <w:tcW w:w="340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500" w:type="dxa"/>
            <w:vAlign w:val="bottom"/>
          </w:tcPr>
          <w:p>
            <w:pPr>
              <w:jc w:val="right"/>
              <w:ind w:right="8"/>
              <w:spacing w:after="0"/>
              <w:rPr>
                <w:sz w:val="20"/>
                <w:szCs w:val="20"/>
                <w:color w:val="auto"/>
              </w:rPr>
            </w:pPr>
            <w:r>
              <w:rPr>
                <w:rFonts w:ascii="Arial" w:cs="Arial" w:eastAsia="Arial" w:hAnsi="Arial"/>
                <w:sz w:val="10"/>
                <w:szCs w:val="10"/>
                <w:b w:val="1"/>
                <w:bCs w:val="1"/>
                <w:color w:val="691A6B"/>
              </w:rPr>
              <w:t>5,736</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940</w:t>
            </w:r>
          </w:p>
        </w:tc>
      </w:tr>
    </w:tbl>
    <w:p>
      <w:pPr>
        <w:ind w:right="4880"/>
        <w:spacing w:after="0"/>
        <w:rPr>
          <w:sz w:val="20"/>
          <w:szCs w:val="20"/>
          <w:color w:val="auto"/>
        </w:rPr>
      </w:pPr>
      <w:r>
        <w:rPr>
          <w:rFonts w:ascii="Arial" w:cs="Arial" w:eastAsia="Arial" w:hAnsi="Arial"/>
          <w:sz w:val="10"/>
          <w:szCs w:val="10"/>
          <w:color w:val="auto"/>
        </w:rPr>
        <w:t>Receivables from subsidiaries are recognized initially at fair value and subsequently at amortized cost. The receivables primarily relate to intercompany funding and balances arising in the ordinary course of business.</w:t>
      </w:r>
    </w:p>
    <w:p>
      <w:pPr>
        <w:spacing w:after="0" w:line="46" w:lineRule="exact"/>
        <w:rPr>
          <w:sz w:val="20"/>
          <w:szCs w:val="20"/>
          <w:color w:val="auto"/>
        </w:rPr>
      </w:pPr>
    </w:p>
    <w:p>
      <w:pPr>
        <w:spacing w:after="0"/>
        <w:rPr>
          <w:sz w:val="20"/>
          <w:szCs w:val="20"/>
          <w:color w:val="auto"/>
        </w:rPr>
      </w:pPr>
      <w:r>
        <w:rPr>
          <w:rFonts w:ascii="Arial" w:cs="Arial" w:eastAsia="Arial" w:hAnsi="Arial"/>
          <w:sz w:val="10"/>
          <w:szCs w:val="10"/>
          <w:color w:val="auto"/>
        </w:rPr>
        <w:t>Expected credit losses are assessed using the simplified approach. Management considers the credit risk</w:t>
      </w:r>
    </w:p>
    <w:p>
      <w:pPr>
        <w:spacing w:after="0" w:line="198" w:lineRule="auto"/>
        <w:rPr>
          <w:sz w:val="20"/>
          <w:szCs w:val="20"/>
          <w:color w:val="auto"/>
        </w:rPr>
      </w:pPr>
      <w:r>
        <w:rPr>
          <w:rFonts w:ascii="Arial" w:cs="Arial" w:eastAsia="Arial" w:hAnsi="Arial"/>
          <w:sz w:val="10"/>
          <w:szCs w:val="10"/>
          <w:color w:val="auto"/>
        </w:rPr>
        <w:t>to be low, as the subsidiaries are wholly owned and funded by Genmab A/S, and there is no history of</w:t>
      </w:r>
    </w:p>
    <w:p>
      <w:pPr>
        <w:spacing w:after="0" w:line="199" w:lineRule="auto"/>
        <w:rPr>
          <w:sz w:val="20"/>
          <w:szCs w:val="20"/>
          <w:color w:val="auto"/>
        </w:rPr>
      </w:pPr>
      <w:r>
        <w:rPr>
          <w:rFonts w:ascii="Arial" w:cs="Arial" w:eastAsia="Arial" w:hAnsi="Arial"/>
          <w:sz w:val="10"/>
          <w:szCs w:val="10"/>
          <w:color w:val="auto"/>
        </w:rPr>
        <w:t>defaults. Accordingly, no material expected credit losses have been recognized.</w:t>
      </w:r>
    </w:p>
    <w:p>
      <w:pPr>
        <w:spacing w:after="0" w:line="198" w:lineRule="auto"/>
        <w:rPr>
          <w:rFonts w:ascii="Arial" w:cs="Arial" w:eastAsia="Arial" w:hAnsi="Arial"/>
          <w:sz w:val="10"/>
          <w:szCs w:val="10"/>
          <w:color w:val="691A6B"/>
        </w:rPr>
      </w:pPr>
      <w:r>
        <w:rPr>
          <w:rFonts w:ascii="Arial" w:cs="Arial" w:eastAsia="Arial" w:hAnsi="Arial"/>
          <w:sz w:val="10"/>
          <w:szCs w:val="10"/>
          <w:color w:val="691A6B"/>
        </w:rPr>
        <w:t xml:space="preserve">Refer to </w:t>
      </w:r>
      <w:hyperlink w:anchor="page167">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17 for additional information regarding loans to subsidiaries.</w:t>
      </w:r>
    </w:p>
    <w:p>
      <w:pPr>
        <w:spacing w:after="0" w:line="199" w:lineRule="auto"/>
        <w:rPr>
          <w:rFonts w:ascii="Arial" w:cs="Arial" w:eastAsia="Arial" w:hAnsi="Arial"/>
          <w:sz w:val="10"/>
          <w:szCs w:val="10"/>
          <w:color w:val="691A6B"/>
        </w:rPr>
      </w:pPr>
      <w:r>
        <w:rPr>
          <w:rFonts w:ascii="Arial" w:cs="Arial" w:eastAsia="Arial" w:hAnsi="Arial"/>
          <w:sz w:val="10"/>
          <w:szCs w:val="10"/>
          <w:color w:val="691A6B"/>
        </w:rPr>
        <w:t xml:space="preserve">Refer to </w:t>
      </w:r>
      <w:hyperlink w:anchor="page146">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3.6 in the consolidated financial statements for additional information regarding receivables</w:t>
      </w:r>
    </w:p>
    <w:p>
      <w:pPr>
        <w:spacing w:after="0" w:line="208" w:lineRule="auto"/>
        <w:rPr>
          <w:sz w:val="20"/>
          <w:szCs w:val="20"/>
          <w:color w:val="auto"/>
        </w:rPr>
      </w:pPr>
      <w:r>
        <w:rPr>
          <w:rFonts w:ascii="Arial" w:cs="Arial" w:eastAsia="Arial" w:hAnsi="Arial"/>
          <w:sz w:val="10"/>
          <w:szCs w:val="10"/>
          <w:color w:val="691A6B"/>
        </w:rPr>
        <w:t xml:space="preserve">and </w:t>
      </w:r>
      <w:r>
        <w:rPr>
          <w:rFonts w:ascii="Arial" w:cs="Arial" w:eastAsia="Arial" w:hAnsi="Arial"/>
          <w:sz w:val="10"/>
          <w:szCs w:val="10"/>
          <w:b w:val="1"/>
          <w:bCs w:val="1"/>
          <w:color w:val="691A6B"/>
        </w:rPr>
        <w:t>Note 4.8</w:t>
      </w:r>
      <w:r>
        <w:rPr>
          <w:rFonts w:ascii="Arial" w:cs="Arial" w:eastAsia="Arial" w:hAnsi="Arial"/>
          <w:sz w:val="10"/>
          <w:szCs w:val="10"/>
          <w:color w:val="691A6B"/>
        </w:rPr>
        <w:t xml:space="preserve"> related to borrowings of the Group.</w:t>
      </w:r>
    </w:p>
    <w:p>
      <w:pPr>
        <w:spacing w:after="0" w:line="218" w:lineRule="auto"/>
        <w:rPr>
          <w:sz w:val="20"/>
          <w:szCs w:val="20"/>
          <w:color w:val="auto"/>
        </w:rPr>
      </w:pPr>
      <w:r>
        <w:rPr>
          <w:rFonts w:ascii="Arial" w:cs="Arial" w:eastAsia="Arial" w:hAnsi="Arial"/>
          <w:sz w:val="15"/>
          <w:szCs w:val="15"/>
          <w:b w:val="1"/>
          <w:bCs w:val="1"/>
          <w:color w:val="691A6B"/>
        </w:rPr>
        <w:t>11 - Contract Liabilities</w:t>
      </w:r>
    </w:p>
    <w:tbl>
      <w:tblPr>
        <w:tblLayout w:type="fixed"/>
        <w:tblInd w:w="0" w:type="dxa"/>
        <w:tblCellMar>
          <w:top w:w="0" w:type="dxa"/>
          <w:left w:w="0" w:type="dxa"/>
          <w:bottom w:w="0" w:type="dxa"/>
          <w:right w:w="0" w:type="dxa"/>
        </w:tblCellMar>
      </w:tblPr>
      <w:tr>
        <w:trPr>
          <w:trHeight w:val="123"/>
        </w:trPr>
        <w:tc>
          <w:tcPr>
            <w:tcW w:w="1760" w:type="dxa"/>
            <w:vAlign w:val="bottom"/>
            <w:tcBorders>
              <w:top w:val="single" w:sz="8" w:color="691A6B"/>
            </w:tcBorders>
          </w:tcPr>
          <w:p>
            <w:pPr>
              <w:spacing w:after="0"/>
              <w:rPr>
                <w:sz w:val="10"/>
                <w:szCs w:val="10"/>
                <w:color w:val="auto"/>
              </w:rPr>
            </w:pPr>
          </w:p>
        </w:tc>
        <w:tc>
          <w:tcPr>
            <w:tcW w:w="1100" w:type="dxa"/>
            <w:vAlign w:val="bottom"/>
            <w:tcBorders>
              <w:top w:val="single" w:sz="8" w:color="691A6B"/>
            </w:tcBorders>
          </w:tcPr>
          <w:p>
            <w:pPr>
              <w:spacing w:after="0"/>
              <w:rPr>
                <w:sz w:val="10"/>
                <w:szCs w:val="10"/>
                <w:color w:val="auto"/>
              </w:rPr>
            </w:pPr>
          </w:p>
        </w:tc>
        <w:tc>
          <w:tcPr>
            <w:tcW w:w="1040" w:type="dxa"/>
            <w:vAlign w:val="bottom"/>
            <w:tcBorders>
              <w:top w:val="single" w:sz="8" w:color="691A6B"/>
            </w:tcBorders>
            <w:gridSpan w:val="2"/>
          </w:tcPr>
          <w:p>
            <w:pPr>
              <w:jc w:val="right"/>
              <w:ind w:right="630"/>
              <w:spacing w:after="0"/>
              <w:rPr>
                <w:sz w:val="20"/>
                <w:szCs w:val="20"/>
                <w:color w:val="auto"/>
              </w:rPr>
            </w:pPr>
            <w:r>
              <w:rPr>
                <w:rFonts w:ascii="Arial" w:cs="Arial" w:eastAsia="Arial" w:hAnsi="Arial"/>
                <w:sz w:val="10"/>
                <w:szCs w:val="10"/>
                <w:b w:val="1"/>
                <w:bCs w:val="1"/>
                <w:color w:val="691A6B"/>
              </w:rPr>
              <w:t>2025</w:t>
            </w: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2024</w:t>
            </w:r>
          </w:p>
        </w:tc>
        <w:tc>
          <w:tcPr>
            <w:tcW w:w="4780" w:type="dxa"/>
            <w:vAlign w:val="bottom"/>
          </w:tcPr>
          <w:p>
            <w:pPr>
              <w:spacing w:after="0"/>
              <w:rPr>
                <w:sz w:val="10"/>
                <w:szCs w:val="10"/>
                <w:color w:val="auto"/>
              </w:rPr>
            </w:pPr>
          </w:p>
        </w:tc>
      </w:tr>
      <w:tr>
        <w:trPr>
          <w:trHeight w:val="137"/>
        </w:trPr>
        <w:tc>
          <w:tcPr>
            <w:tcW w:w="1760" w:type="dxa"/>
            <w:vAlign w:val="bottom"/>
          </w:tcPr>
          <w:p>
            <w:pPr>
              <w:ind w:left="20"/>
              <w:spacing w:after="0"/>
              <w:rPr>
                <w:sz w:val="20"/>
                <w:szCs w:val="20"/>
                <w:color w:val="auto"/>
              </w:rPr>
            </w:pPr>
            <w:r>
              <w:rPr>
                <w:rFonts w:ascii="Arial" w:cs="Arial" w:eastAsia="Arial" w:hAnsi="Arial"/>
                <w:sz w:val="10"/>
                <w:szCs w:val="10"/>
                <w:color w:val="auto"/>
              </w:rPr>
              <w:t>Deferred revenue at January 1</w:t>
            </w:r>
          </w:p>
        </w:tc>
        <w:tc>
          <w:tcPr>
            <w:tcW w:w="1100" w:type="dxa"/>
            <w:vAlign w:val="bottom"/>
          </w:tcPr>
          <w:p>
            <w:pPr>
              <w:spacing w:after="0"/>
              <w:rPr>
                <w:sz w:val="11"/>
                <w:szCs w:val="11"/>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0"/>
                <w:szCs w:val="10"/>
                <w:color w:val="691A6B"/>
              </w:rPr>
              <w:t>70</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76</w:t>
            </w:r>
          </w:p>
        </w:tc>
        <w:tc>
          <w:tcPr>
            <w:tcW w:w="4780" w:type="dxa"/>
            <w:vAlign w:val="bottom"/>
          </w:tcPr>
          <w:p>
            <w:pPr>
              <w:spacing w:after="0"/>
              <w:rPr>
                <w:sz w:val="11"/>
                <w:szCs w:val="1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Customer payment received</w:t>
            </w:r>
          </w:p>
        </w:tc>
        <w:tc>
          <w:tcPr>
            <w:tcW w:w="1100" w:type="dxa"/>
            <w:vAlign w:val="bottom"/>
          </w:tcPr>
          <w:p>
            <w:pPr>
              <w:spacing w:after="0"/>
              <w:rPr>
                <w:sz w:val="13"/>
                <w:szCs w:val="13"/>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0"/>
                <w:szCs w:val="10"/>
                <w:color w:val="691A6B"/>
              </w:rPr>
              <w:t>14</w:t>
            </w:r>
          </w:p>
        </w:tc>
        <w:tc>
          <w:tcPr>
            <w:tcW w:w="5740" w:type="dxa"/>
            <w:vAlign w:val="bottom"/>
            <w:gridSpan w:val="2"/>
          </w:tcPr>
          <w:p>
            <w:pPr>
              <w:jc w:val="right"/>
              <w:ind w:right="4812"/>
              <w:spacing w:after="0"/>
              <w:rPr>
                <w:sz w:val="20"/>
                <w:szCs w:val="20"/>
                <w:color w:val="auto"/>
              </w:rPr>
            </w:pPr>
            <w:r>
              <w:rPr>
                <w:rFonts w:ascii="Arial" w:cs="Arial" w:eastAsia="Arial" w:hAnsi="Arial"/>
                <w:sz w:val="10"/>
                <w:szCs w:val="10"/>
                <w:color w:val="auto"/>
              </w:rPr>
              <w:t>—</w:t>
            </w: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Revenue recognized during the year</w:t>
            </w:r>
          </w:p>
        </w:tc>
        <w:tc>
          <w:tcPr>
            <w:tcW w:w="11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0"/>
                <w:szCs w:val="10"/>
                <w:color w:val="691A6B"/>
              </w:rPr>
              <w:t>(15)</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w:t>
            </w:r>
          </w:p>
        </w:tc>
        <w:tc>
          <w:tcPr>
            <w:tcW w:w="4780" w:type="dxa"/>
            <w:vAlign w:val="bottom"/>
          </w:tcPr>
          <w:p>
            <w:pPr>
              <w:spacing w:after="0"/>
              <w:rPr>
                <w:sz w:val="13"/>
                <w:szCs w:val="13"/>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0"/>
                <w:szCs w:val="10"/>
                <w:color w:val="auto"/>
              </w:rPr>
              <w:t>Exchange Rate Adjustments</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10"/>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(5)</w:t>
            </w:r>
          </w:p>
        </w:tc>
        <w:tc>
          <w:tcPr>
            <w:tcW w:w="4780" w:type="dxa"/>
            <w:vAlign w:val="bottom"/>
          </w:tcPr>
          <w:p>
            <w:pPr>
              <w:spacing w:after="0"/>
              <w:rPr>
                <w:sz w:val="13"/>
                <w:szCs w:val="13"/>
                <w:color w:val="auto"/>
              </w:rPr>
            </w:pPr>
          </w:p>
        </w:tc>
      </w:tr>
      <w:tr>
        <w:trPr>
          <w:trHeight w:val="158"/>
        </w:trPr>
        <w:tc>
          <w:tcPr>
            <w:tcW w:w="176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1100" w:type="dxa"/>
            <w:vAlign w:val="bottom"/>
          </w:tcPr>
          <w:p>
            <w:pPr>
              <w:spacing w:after="0"/>
              <w:rPr>
                <w:sz w:val="13"/>
                <w:szCs w:val="13"/>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0"/>
                <w:szCs w:val="10"/>
                <w:b w:val="1"/>
                <w:bCs w:val="1"/>
                <w:color w:val="691A6B"/>
              </w:rPr>
              <w:t>69</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70</w:t>
            </w:r>
          </w:p>
        </w:tc>
        <w:tc>
          <w:tcPr>
            <w:tcW w:w="4780" w:type="dxa"/>
            <w:vAlign w:val="bottom"/>
          </w:tcPr>
          <w:p>
            <w:pPr>
              <w:spacing w:after="0"/>
              <w:rPr>
                <w:sz w:val="13"/>
                <w:szCs w:val="13"/>
                <w:color w:val="auto"/>
              </w:rPr>
            </w:pPr>
          </w:p>
        </w:tc>
      </w:tr>
      <w:tr>
        <w:trPr>
          <w:trHeight w:val="347"/>
        </w:trPr>
        <w:tc>
          <w:tcPr>
            <w:tcW w:w="1760" w:type="dxa"/>
            <w:vAlign w:val="bottom"/>
          </w:tcPr>
          <w:p>
            <w:pPr>
              <w:ind w:left="20"/>
              <w:spacing w:after="0"/>
              <w:rPr>
                <w:sz w:val="20"/>
                <w:szCs w:val="20"/>
                <w:color w:val="auto"/>
              </w:rPr>
            </w:pPr>
            <w:r>
              <w:rPr>
                <w:rFonts w:ascii="Arial" w:cs="Arial" w:eastAsia="Arial" w:hAnsi="Arial"/>
                <w:sz w:val="10"/>
                <w:szCs w:val="10"/>
                <w:color w:val="auto"/>
              </w:rPr>
              <w:t>Non-current deferred revenue</w:t>
            </w:r>
          </w:p>
        </w:tc>
        <w:tc>
          <w:tcPr>
            <w:tcW w:w="1100" w:type="dxa"/>
            <w:vAlign w:val="bottom"/>
          </w:tcPr>
          <w:p>
            <w:pPr>
              <w:spacing w:after="0"/>
              <w:rPr>
                <w:sz w:val="24"/>
                <w:szCs w:val="24"/>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0"/>
                <w:szCs w:val="10"/>
                <w:color w:val="691A6B"/>
              </w:rPr>
              <w:t>65</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67</w:t>
            </w:r>
          </w:p>
        </w:tc>
        <w:tc>
          <w:tcPr>
            <w:tcW w:w="4780" w:type="dxa"/>
            <w:vAlign w:val="bottom"/>
          </w:tcPr>
          <w:p>
            <w:pPr>
              <w:spacing w:after="0"/>
              <w:rPr>
                <w:sz w:val="24"/>
                <w:szCs w:val="24"/>
                <w:color w:val="auto"/>
              </w:rPr>
            </w:pPr>
          </w:p>
        </w:tc>
      </w:tr>
      <w:tr>
        <w:trPr>
          <w:trHeight w:val="172"/>
        </w:trPr>
        <w:tc>
          <w:tcPr>
            <w:tcW w:w="1760" w:type="dxa"/>
            <w:vAlign w:val="bottom"/>
          </w:tcPr>
          <w:p>
            <w:pPr>
              <w:ind w:left="420"/>
              <w:spacing w:after="0"/>
              <w:rPr>
                <w:rFonts w:ascii="Arial" w:cs="Arial" w:eastAsia="Arial" w:hAnsi="Arial"/>
                <w:sz w:val="10"/>
                <w:szCs w:val="10"/>
                <w:color w:val="auto"/>
              </w:rPr>
            </w:pPr>
            <w:hyperlink w:anchor="page83">
              <w:r>
                <w:rPr>
                  <w:rFonts w:ascii="Arial" w:cs="Arial" w:eastAsia="Arial" w:hAnsi="Arial"/>
                  <w:sz w:val="10"/>
                  <w:szCs w:val="10"/>
                  <w:color w:val="auto"/>
                </w:rPr>
                <w:t>Management’s Review</w:t>
              </w:r>
            </w:hyperlink>
          </w:p>
        </w:tc>
        <w:tc>
          <w:tcPr>
            <w:tcW w:w="1100" w:type="dxa"/>
            <w:vAlign w:val="bottom"/>
          </w:tcPr>
          <w:p>
            <w:pPr>
              <w:ind w:left="20"/>
              <w:spacing w:after="0"/>
              <w:rPr>
                <w:rFonts w:ascii="Arial" w:cs="Arial" w:eastAsia="Arial" w:hAnsi="Arial"/>
                <w:sz w:val="10"/>
                <w:szCs w:val="10"/>
                <w:b w:val="1"/>
                <w:bCs w:val="1"/>
                <w:color w:val="auto"/>
              </w:rPr>
            </w:pPr>
            <w:hyperlink w:anchor="page134">
              <w:r>
                <w:rPr>
                  <w:rFonts w:ascii="Arial" w:cs="Arial" w:eastAsia="Arial" w:hAnsi="Arial"/>
                  <w:sz w:val="10"/>
                  <w:szCs w:val="10"/>
                  <w:b w:val="1"/>
                  <w:bCs w:val="1"/>
                  <w:color w:val="auto"/>
                </w:rPr>
                <w:t>Financial Statements</w:t>
              </w:r>
            </w:hyperlink>
          </w:p>
        </w:tc>
        <w:tc>
          <w:tcPr>
            <w:tcW w:w="260" w:type="dxa"/>
            <w:vAlign w:val="bottom"/>
          </w:tcPr>
          <w:p>
            <w:pPr>
              <w:spacing w:after="0"/>
              <w:rPr>
                <w:sz w:val="14"/>
                <w:szCs w:val="14"/>
                <w:color w:val="auto"/>
              </w:rPr>
            </w:pPr>
          </w:p>
        </w:tc>
        <w:tc>
          <w:tcPr>
            <w:tcW w:w="780" w:type="dxa"/>
            <w:vAlign w:val="bottom"/>
          </w:tcPr>
          <w:p>
            <w:pPr>
              <w:jc w:val="right"/>
              <w:spacing w:after="0"/>
              <w:rPr>
                <w:rFonts w:ascii="Arial" w:cs="Arial" w:eastAsia="Arial" w:hAnsi="Arial"/>
                <w:sz w:val="10"/>
                <w:szCs w:val="10"/>
                <w:color w:val="auto"/>
                <w:w w:val="95"/>
              </w:rPr>
            </w:pPr>
            <w:hyperlink w:anchor="page171">
              <w:r>
                <w:rPr>
                  <w:rFonts w:ascii="Arial" w:cs="Arial" w:eastAsia="Arial" w:hAnsi="Arial"/>
                  <w:sz w:val="10"/>
                  <w:szCs w:val="10"/>
                  <w:color w:val="auto"/>
                  <w:w w:val="95"/>
                </w:rPr>
                <w:t>Other Information</w:t>
              </w:r>
            </w:hyperlink>
          </w:p>
        </w:tc>
        <w:tc>
          <w:tcPr>
            <w:tcW w:w="960" w:type="dxa"/>
            <w:vAlign w:val="bottom"/>
          </w:tcPr>
          <w:p>
            <w:pPr>
              <w:spacing w:after="0"/>
              <w:rPr>
                <w:sz w:val="14"/>
                <w:szCs w:val="14"/>
                <w:color w:val="auto"/>
              </w:rPr>
            </w:pPr>
          </w:p>
        </w:tc>
        <w:tc>
          <w:tcPr>
            <w:tcW w:w="4780" w:type="dxa"/>
            <w:vAlign w:val="bottom"/>
          </w:tcPr>
          <w:p>
            <w:pPr>
              <w:ind w:left="3260"/>
              <w:spacing w:after="0"/>
              <w:rPr>
                <w:sz w:val="20"/>
                <w:szCs w:val="20"/>
                <w:color w:val="auto"/>
              </w:rPr>
            </w:pPr>
            <w:r>
              <w:rPr>
                <w:rFonts w:ascii="Arial" w:cs="Arial" w:eastAsia="Arial" w:hAnsi="Arial"/>
                <w:sz w:val="10"/>
                <w:szCs w:val="10"/>
                <w:color w:val="auto"/>
                <w:w w:val="96"/>
              </w:rPr>
              <w:t>Genmab 2025 Annual Report   170</w:t>
            </w:r>
          </w:p>
        </w:tc>
      </w:tr>
      <w:tr>
        <w:trPr>
          <w:trHeight w:val="156"/>
        </w:trPr>
        <w:tc>
          <w:tcPr>
            <w:tcW w:w="1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67"/>
        </w:trPr>
        <w:tc>
          <w:tcPr>
            <w:tcW w:w="1760" w:type="dxa"/>
            <w:vAlign w:val="bottom"/>
          </w:tcPr>
          <w:p>
            <w:pPr>
              <w:spacing w:after="0"/>
              <w:rPr>
                <w:sz w:val="5"/>
                <w:szCs w:val="5"/>
                <w:color w:val="auto"/>
              </w:rPr>
            </w:pPr>
          </w:p>
        </w:tc>
        <w:tc>
          <w:tcPr>
            <w:tcW w:w="1100" w:type="dxa"/>
            <w:vAlign w:val="bottom"/>
            <w:shd w:val="clear" w:color="auto" w:fill="691A6B"/>
          </w:tcPr>
          <w:p>
            <w:pPr>
              <w:spacing w:after="0"/>
              <w:rPr>
                <w:sz w:val="5"/>
                <w:szCs w:val="5"/>
                <w:color w:val="auto"/>
              </w:rPr>
            </w:pPr>
          </w:p>
        </w:tc>
        <w:tc>
          <w:tcPr>
            <w:tcW w:w="260" w:type="dxa"/>
            <w:vAlign w:val="bottom"/>
            <w:shd w:val="clear" w:color="auto" w:fill="691A6B"/>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7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90805" cy="965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691A6B"/>
        </w:rPr>
        <w:t>Notes to the Financial Statements of the Parent Company</w:t>
      </w:r>
    </w:p>
    <w:p>
      <w:pPr>
        <w:spacing w:after="0" w:line="218" w:lineRule="auto"/>
        <w:rPr>
          <w:sz w:val="20"/>
          <w:szCs w:val="20"/>
          <w:color w:val="auto"/>
        </w:rPr>
      </w:pPr>
      <w:r>
        <w:rPr>
          <w:rFonts w:ascii="Arial" w:cs="Arial" w:eastAsia="Arial" w:hAnsi="Arial"/>
          <w:sz w:val="15"/>
          <w:szCs w:val="15"/>
          <w:b w:val="1"/>
          <w:bCs w:val="1"/>
          <w:color w:val="691A6B"/>
        </w:rPr>
        <w:t>12 - Other Payables</w:t>
      </w:r>
    </w:p>
    <w:tbl>
      <w:tblPr>
        <w:tblLayout w:type="fixed"/>
        <w:tblInd w:w="0" w:type="dxa"/>
        <w:tblCellMar>
          <w:top w:w="0" w:type="dxa"/>
          <w:left w:w="0" w:type="dxa"/>
          <w:bottom w:w="0" w:type="dxa"/>
          <w:right w:w="0" w:type="dxa"/>
        </w:tblCellMar>
      </w:tblPr>
      <w:tr>
        <w:trPr>
          <w:trHeight w:val="123"/>
        </w:trPr>
        <w:tc>
          <w:tcPr>
            <w:tcW w:w="344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46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2024</w:t>
            </w:r>
          </w:p>
        </w:tc>
      </w:tr>
      <w:tr>
        <w:trPr>
          <w:trHeight w:val="137"/>
        </w:trPr>
        <w:tc>
          <w:tcPr>
            <w:tcW w:w="3440" w:type="dxa"/>
            <w:vAlign w:val="bottom"/>
          </w:tcPr>
          <w:p>
            <w:pPr>
              <w:ind w:left="20"/>
              <w:spacing w:after="0"/>
              <w:rPr>
                <w:sz w:val="20"/>
                <w:szCs w:val="20"/>
                <w:color w:val="auto"/>
              </w:rPr>
            </w:pPr>
            <w:r>
              <w:rPr>
                <w:rFonts w:ascii="Arial" w:cs="Arial" w:eastAsia="Arial" w:hAnsi="Arial"/>
                <w:sz w:val="10"/>
                <w:szCs w:val="10"/>
                <w:color w:val="auto"/>
              </w:rPr>
              <w:t>Liabilities related to collaboration agreements</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42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18</w:t>
            </w: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Staff cost liabilities</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21</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13</w:t>
            </w: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Accounts payable</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60</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26</w:t>
            </w: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Payable to subsidiaries</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358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231</w:t>
            </w: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Other liabilities</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391</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150</w:t>
            </w:r>
          </w:p>
        </w:tc>
      </w:tr>
      <w:tr>
        <w:trPr>
          <w:trHeight w:val="158"/>
        </w:trPr>
        <w:tc>
          <w:tcPr>
            <w:tcW w:w="344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460" w:type="dxa"/>
            <w:vAlign w:val="bottom"/>
          </w:tcPr>
          <w:p>
            <w:pPr>
              <w:jc w:val="right"/>
              <w:ind w:right="8"/>
              <w:spacing w:after="0"/>
              <w:rPr>
                <w:sz w:val="20"/>
                <w:szCs w:val="20"/>
                <w:color w:val="auto"/>
              </w:rPr>
            </w:pPr>
            <w:r>
              <w:rPr>
                <w:rFonts w:ascii="Arial" w:cs="Arial" w:eastAsia="Arial" w:hAnsi="Arial"/>
                <w:sz w:val="10"/>
                <w:szCs w:val="10"/>
                <w:b w:val="1"/>
                <w:bCs w:val="1"/>
                <w:color w:val="691A6B"/>
              </w:rPr>
              <w:t>872</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438</w:t>
            </w:r>
          </w:p>
        </w:tc>
      </w:tr>
      <w:tr>
        <w:trPr>
          <w:trHeight w:val="346"/>
        </w:trPr>
        <w:tc>
          <w:tcPr>
            <w:tcW w:w="3440" w:type="dxa"/>
            <w:vAlign w:val="bottom"/>
          </w:tcPr>
          <w:p>
            <w:pPr>
              <w:ind w:left="20"/>
              <w:spacing w:after="0"/>
              <w:rPr>
                <w:sz w:val="20"/>
                <w:szCs w:val="20"/>
                <w:color w:val="auto"/>
              </w:rPr>
            </w:pPr>
            <w:r>
              <w:rPr>
                <w:rFonts w:ascii="Arial" w:cs="Arial" w:eastAsia="Arial" w:hAnsi="Arial"/>
                <w:sz w:val="10"/>
                <w:szCs w:val="10"/>
                <w:color w:val="auto"/>
              </w:rPr>
              <w:t>Non-current other payables</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3</w:t>
            </w:r>
          </w:p>
        </w:tc>
      </w:tr>
      <w:tr>
        <w:trPr>
          <w:trHeight w:val="152"/>
        </w:trPr>
        <w:tc>
          <w:tcPr>
            <w:tcW w:w="3440" w:type="dxa"/>
            <w:vAlign w:val="bottom"/>
          </w:tcPr>
          <w:p>
            <w:pPr>
              <w:ind w:left="20"/>
              <w:spacing w:after="0"/>
              <w:rPr>
                <w:sz w:val="20"/>
                <w:szCs w:val="20"/>
                <w:color w:val="auto"/>
              </w:rPr>
            </w:pPr>
            <w:r>
              <w:rPr>
                <w:rFonts w:ascii="Arial" w:cs="Arial" w:eastAsia="Arial" w:hAnsi="Arial"/>
                <w:sz w:val="10"/>
                <w:szCs w:val="10"/>
                <w:color w:val="auto"/>
              </w:rPr>
              <w:t>Current other payables</w:t>
            </w:r>
          </w:p>
        </w:tc>
        <w:tc>
          <w:tcPr>
            <w:tcW w:w="460" w:type="dxa"/>
            <w:vAlign w:val="bottom"/>
          </w:tcPr>
          <w:p>
            <w:pPr>
              <w:jc w:val="right"/>
              <w:ind w:right="8"/>
              <w:spacing w:after="0"/>
              <w:rPr>
                <w:sz w:val="20"/>
                <w:szCs w:val="20"/>
                <w:color w:val="auto"/>
              </w:rPr>
            </w:pPr>
            <w:r>
              <w:rPr>
                <w:rFonts w:ascii="Arial" w:cs="Arial" w:eastAsia="Arial" w:hAnsi="Arial"/>
                <w:sz w:val="10"/>
                <w:szCs w:val="10"/>
                <w:color w:val="691A6B"/>
              </w:rPr>
              <w:t>869</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435</w:t>
            </w:r>
          </w:p>
        </w:tc>
      </w:tr>
      <w:tr>
        <w:trPr>
          <w:trHeight w:val="158"/>
        </w:trPr>
        <w:tc>
          <w:tcPr>
            <w:tcW w:w="3440" w:type="dxa"/>
            <w:vAlign w:val="bottom"/>
          </w:tcPr>
          <w:p>
            <w:pPr>
              <w:ind w:left="20"/>
              <w:spacing w:after="0"/>
              <w:rPr>
                <w:sz w:val="20"/>
                <w:szCs w:val="20"/>
                <w:color w:val="auto"/>
              </w:rPr>
            </w:pPr>
            <w:r>
              <w:rPr>
                <w:rFonts w:ascii="Arial" w:cs="Arial" w:eastAsia="Arial" w:hAnsi="Arial"/>
                <w:sz w:val="10"/>
                <w:szCs w:val="10"/>
                <w:b w:val="1"/>
                <w:bCs w:val="1"/>
                <w:color w:val="auto"/>
              </w:rPr>
              <w:t>Total at December 31</w:t>
            </w:r>
          </w:p>
        </w:tc>
        <w:tc>
          <w:tcPr>
            <w:tcW w:w="460" w:type="dxa"/>
            <w:vAlign w:val="bottom"/>
          </w:tcPr>
          <w:p>
            <w:pPr>
              <w:jc w:val="right"/>
              <w:ind w:right="8"/>
              <w:spacing w:after="0"/>
              <w:rPr>
                <w:sz w:val="20"/>
                <w:szCs w:val="20"/>
                <w:color w:val="auto"/>
              </w:rPr>
            </w:pPr>
            <w:r>
              <w:rPr>
                <w:rFonts w:ascii="Arial" w:cs="Arial" w:eastAsia="Arial" w:hAnsi="Arial"/>
                <w:sz w:val="10"/>
                <w:szCs w:val="10"/>
                <w:b w:val="1"/>
                <w:bCs w:val="1"/>
                <w:color w:val="691A6B"/>
              </w:rPr>
              <w:t>872</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438</w:t>
            </w:r>
          </w:p>
        </w:tc>
      </w:tr>
    </w:tbl>
    <w:p>
      <w:pPr>
        <w:spacing w:after="0" w:line="219" w:lineRule="auto"/>
        <w:rPr>
          <w:rFonts w:ascii="Arial" w:cs="Arial" w:eastAsia="Arial" w:hAnsi="Arial"/>
          <w:sz w:val="10"/>
          <w:szCs w:val="10"/>
          <w:color w:val="691A6B"/>
        </w:rPr>
      </w:pPr>
      <w:hyperlink w:anchor="page14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3.8 </w:t>
      </w:r>
      <w:hyperlink w:anchor="page146">
        <w:r>
          <w:rPr>
            <w:rFonts w:ascii="Arial" w:cs="Arial" w:eastAsia="Arial" w:hAnsi="Arial"/>
            <w:sz w:val="10"/>
            <w:szCs w:val="10"/>
            <w:color w:val="691A6B"/>
          </w:rPr>
          <w:t>in the consolidated financial statements for additional information regarding other</w:t>
        </w:r>
      </w:hyperlink>
    </w:p>
    <w:p>
      <w:pPr>
        <w:spacing w:after="0" w:line="208" w:lineRule="auto"/>
        <w:rPr>
          <w:rFonts w:ascii="Arial" w:cs="Arial" w:eastAsia="Arial" w:hAnsi="Arial"/>
          <w:sz w:val="10"/>
          <w:szCs w:val="10"/>
          <w:color w:val="691A6B"/>
        </w:rPr>
      </w:pPr>
      <w:hyperlink w:anchor="page146">
        <w:r>
          <w:rPr>
            <w:rFonts w:ascii="Arial" w:cs="Arial" w:eastAsia="Arial" w:hAnsi="Arial"/>
            <w:sz w:val="10"/>
            <w:szCs w:val="10"/>
            <w:color w:val="691A6B"/>
          </w:rPr>
          <w:t>payables of the Group.</w:t>
        </w:r>
      </w:hyperlink>
    </w:p>
    <w:p>
      <w:pPr>
        <w:spacing w:after="0" w:line="206" w:lineRule="auto"/>
        <w:rPr>
          <w:sz w:val="20"/>
          <w:szCs w:val="20"/>
          <w:color w:val="auto"/>
        </w:rPr>
      </w:pPr>
      <w:r>
        <w:rPr>
          <w:rFonts w:ascii="Arial" w:cs="Arial" w:eastAsia="Arial" w:hAnsi="Arial"/>
          <w:sz w:val="15"/>
          <w:szCs w:val="15"/>
          <w:b w:val="1"/>
          <w:bCs w:val="1"/>
          <w:color w:val="691A6B"/>
        </w:rPr>
        <w:t>13 - Marketable Securities</w:t>
      </w:r>
    </w:p>
    <w:p>
      <w:pPr>
        <w:spacing w:after="0" w:line="198" w:lineRule="auto"/>
        <w:rPr>
          <w:rFonts w:ascii="Arial" w:cs="Arial" w:eastAsia="Arial" w:hAnsi="Arial"/>
          <w:sz w:val="10"/>
          <w:szCs w:val="10"/>
          <w:color w:val="691A6B"/>
        </w:rPr>
      </w:pPr>
      <w:hyperlink w:anchor="page149">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4.4 </w:t>
      </w:r>
      <w:hyperlink w:anchor="page149">
        <w:r>
          <w:rPr>
            <w:rFonts w:ascii="Arial" w:cs="Arial" w:eastAsia="Arial" w:hAnsi="Arial"/>
            <w:sz w:val="10"/>
            <w:szCs w:val="10"/>
            <w:color w:val="691A6B"/>
          </w:rPr>
          <w:t>in the consolidated financial statements for additional information on marketable</w:t>
        </w:r>
      </w:hyperlink>
    </w:p>
    <w:p>
      <w:pPr>
        <w:spacing w:after="0" w:line="208" w:lineRule="auto"/>
        <w:rPr>
          <w:rFonts w:ascii="Arial" w:cs="Arial" w:eastAsia="Arial" w:hAnsi="Arial"/>
          <w:sz w:val="10"/>
          <w:szCs w:val="10"/>
          <w:color w:val="691A6B"/>
        </w:rPr>
      </w:pPr>
      <w:hyperlink w:anchor="page149">
        <w:r>
          <w:rPr>
            <w:rFonts w:ascii="Arial" w:cs="Arial" w:eastAsia="Arial" w:hAnsi="Arial"/>
            <w:sz w:val="10"/>
            <w:szCs w:val="10"/>
            <w:color w:val="691A6B"/>
          </w:rPr>
          <w:t>securities of the Group.</w:t>
        </w:r>
      </w:hyperlink>
    </w:p>
    <w:p>
      <w:pPr>
        <w:spacing w:after="0" w:line="218" w:lineRule="auto"/>
        <w:rPr>
          <w:sz w:val="20"/>
          <w:szCs w:val="20"/>
          <w:color w:val="auto"/>
        </w:rPr>
      </w:pPr>
      <w:r>
        <w:rPr>
          <w:rFonts w:ascii="Arial" w:cs="Arial" w:eastAsia="Arial" w:hAnsi="Arial"/>
          <w:sz w:val="15"/>
          <w:szCs w:val="15"/>
          <w:b w:val="1"/>
          <w:bCs w:val="1"/>
          <w:color w:val="691A6B"/>
        </w:rPr>
        <w:t>14 - Financial Income and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42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48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28"/>
              <w:spacing w:after="0"/>
              <w:rPr>
                <w:sz w:val="20"/>
                <w:szCs w:val="20"/>
                <w:color w:val="auto"/>
              </w:rPr>
            </w:pPr>
            <w:r>
              <w:rPr>
                <w:rFonts w:ascii="Arial" w:cs="Arial" w:eastAsia="Arial" w:hAnsi="Arial"/>
                <w:sz w:val="10"/>
                <w:szCs w:val="10"/>
                <w:b w:val="1"/>
                <w:bCs w:val="1"/>
                <w:color w:val="auto"/>
              </w:rPr>
              <w:t>2024¹</w:t>
            </w:r>
          </w:p>
        </w:tc>
      </w:tr>
      <w:tr>
        <w:trPr>
          <w:trHeight w:val="143"/>
        </w:trPr>
        <w:tc>
          <w:tcPr>
            <w:tcW w:w="3420" w:type="dxa"/>
            <w:vAlign w:val="bottom"/>
          </w:tcPr>
          <w:p>
            <w:pPr>
              <w:ind w:left="20"/>
              <w:spacing w:after="0"/>
              <w:rPr>
                <w:sz w:val="20"/>
                <w:szCs w:val="20"/>
                <w:color w:val="auto"/>
              </w:rPr>
            </w:pPr>
            <w:r>
              <w:rPr>
                <w:rFonts w:ascii="Arial" w:cs="Arial" w:eastAsia="Arial" w:hAnsi="Arial"/>
                <w:sz w:val="10"/>
                <w:szCs w:val="10"/>
                <w:b w:val="1"/>
                <w:bCs w:val="1"/>
                <w:color w:val="auto"/>
              </w:rPr>
              <w:t>Financial income:</w:t>
            </w: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6"/>
        </w:trPr>
        <w:tc>
          <w:tcPr>
            <w:tcW w:w="3420" w:type="dxa"/>
            <w:vAlign w:val="bottom"/>
          </w:tcPr>
          <w:p>
            <w:pPr>
              <w:ind w:left="20"/>
              <w:spacing w:after="0"/>
              <w:rPr>
                <w:sz w:val="20"/>
                <w:szCs w:val="20"/>
                <w:color w:val="auto"/>
              </w:rPr>
            </w:pPr>
            <w:r>
              <w:rPr>
                <w:rFonts w:ascii="Arial" w:cs="Arial" w:eastAsia="Arial" w:hAnsi="Arial"/>
                <w:sz w:val="10"/>
                <w:szCs w:val="10"/>
                <w:color w:val="auto"/>
              </w:rPr>
              <w:t>Dividend income from subsidiaries</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1,867</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Interest and other financial income</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134</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141</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Interest from subsidiaries</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22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Gain on marketable securities</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112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237</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Gain on other investments, net</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16</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Foreign exchange rate gain</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152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247</w:t>
            </w:r>
          </w:p>
        </w:tc>
      </w:tr>
      <w:tr>
        <w:trPr>
          <w:trHeight w:val="158"/>
        </w:trPr>
        <w:tc>
          <w:tcPr>
            <w:tcW w:w="3420" w:type="dxa"/>
            <w:vAlign w:val="bottom"/>
          </w:tcPr>
          <w:p>
            <w:pPr>
              <w:ind w:left="20"/>
              <w:spacing w:after="0"/>
              <w:rPr>
                <w:sz w:val="20"/>
                <w:szCs w:val="20"/>
                <w:color w:val="auto"/>
              </w:rPr>
            </w:pPr>
            <w:r>
              <w:rPr>
                <w:rFonts w:ascii="Arial" w:cs="Arial" w:eastAsia="Arial" w:hAnsi="Arial"/>
                <w:sz w:val="10"/>
                <w:szCs w:val="10"/>
                <w:b w:val="1"/>
                <w:bCs w:val="1"/>
                <w:color w:val="auto"/>
              </w:rPr>
              <w:t>Total financial income</w:t>
            </w:r>
          </w:p>
        </w:tc>
        <w:tc>
          <w:tcPr>
            <w:tcW w:w="480" w:type="dxa"/>
            <w:vAlign w:val="bottom"/>
          </w:tcPr>
          <w:p>
            <w:pPr>
              <w:jc w:val="right"/>
              <w:ind w:right="8"/>
              <w:spacing w:after="0"/>
              <w:rPr>
                <w:sz w:val="20"/>
                <w:szCs w:val="20"/>
                <w:color w:val="auto"/>
              </w:rPr>
            </w:pPr>
            <w:r>
              <w:rPr>
                <w:rFonts w:ascii="Arial" w:cs="Arial" w:eastAsia="Arial" w:hAnsi="Arial"/>
                <w:sz w:val="10"/>
                <w:szCs w:val="10"/>
                <w:b w:val="1"/>
                <w:bCs w:val="1"/>
                <w:color w:val="691A6B"/>
              </w:rPr>
              <w:t>420</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2,508</w:t>
            </w:r>
          </w:p>
        </w:tc>
      </w:tr>
      <w:tr>
        <w:trPr>
          <w:trHeight w:val="352"/>
        </w:trPr>
        <w:tc>
          <w:tcPr>
            <w:tcW w:w="3420" w:type="dxa"/>
            <w:vAlign w:val="bottom"/>
          </w:tcPr>
          <w:p>
            <w:pPr>
              <w:ind w:left="20"/>
              <w:spacing w:after="0"/>
              <w:rPr>
                <w:sz w:val="20"/>
                <w:szCs w:val="20"/>
                <w:color w:val="auto"/>
              </w:rPr>
            </w:pPr>
            <w:r>
              <w:rPr>
                <w:rFonts w:ascii="Arial" w:cs="Arial" w:eastAsia="Arial" w:hAnsi="Arial"/>
                <w:sz w:val="10"/>
                <w:szCs w:val="10"/>
                <w:b w:val="1"/>
                <w:bCs w:val="1"/>
                <w:color w:val="auto"/>
              </w:rPr>
              <w:t>Financial expenses: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6"/>
        </w:trPr>
        <w:tc>
          <w:tcPr>
            <w:tcW w:w="3420" w:type="dxa"/>
            <w:vAlign w:val="bottom"/>
          </w:tcPr>
          <w:p>
            <w:pPr>
              <w:ind w:left="20"/>
              <w:spacing w:after="0"/>
              <w:rPr>
                <w:sz w:val="20"/>
                <w:szCs w:val="20"/>
                <w:color w:val="auto"/>
              </w:rPr>
            </w:pPr>
            <w:r>
              <w:rPr>
                <w:rFonts w:ascii="Arial" w:cs="Arial" w:eastAsia="Arial" w:hAnsi="Arial"/>
                <w:sz w:val="10"/>
                <w:szCs w:val="10"/>
                <w:color w:val="auto"/>
              </w:rPr>
              <w:t>Impairment of investment in subsidiaries</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(1,491)</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Other interest expense</w:t>
            </w:r>
          </w:p>
        </w:tc>
        <w:tc>
          <w:tcPr>
            <w:tcW w:w="480" w:type="dxa"/>
            <w:vAlign w:val="bottom"/>
          </w:tcPr>
          <w:p>
            <w:pPr>
              <w:jc w:val="right"/>
              <w:spacing w:after="0"/>
              <w:rPr>
                <w:sz w:val="20"/>
                <w:szCs w:val="20"/>
                <w:color w:val="auto"/>
              </w:rPr>
            </w:pPr>
            <w:r>
              <w:rPr>
                <w:rFonts w:ascii="Arial" w:cs="Arial" w:eastAsia="Arial" w:hAnsi="Arial"/>
                <w:sz w:val="10"/>
                <w:szCs w:val="10"/>
                <w:color w:val="691A6B"/>
              </w:rPr>
              <w:t>(30)</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(13)</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Interest expense on borrowings</w:t>
            </w:r>
          </w:p>
        </w:tc>
        <w:tc>
          <w:tcPr>
            <w:tcW w:w="480" w:type="dxa"/>
            <w:vAlign w:val="bottom"/>
          </w:tcPr>
          <w:p>
            <w:pPr>
              <w:jc w:val="right"/>
              <w:spacing w:after="0"/>
              <w:rPr>
                <w:sz w:val="20"/>
                <w:szCs w:val="20"/>
                <w:color w:val="auto"/>
              </w:rPr>
            </w:pPr>
            <w:r>
              <w:rPr>
                <w:rFonts w:ascii="Arial" w:cs="Arial" w:eastAsia="Arial" w:hAnsi="Arial"/>
                <w:sz w:val="10"/>
                <w:szCs w:val="10"/>
                <w:color w:val="691A6B"/>
              </w:rPr>
              <w:t>(27)</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Interest to subsidiaries</w:t>
            </w:r>
          </w:p>
        </w:tc>
        <w:tc>
          <w:tcPr>
            <w:tcW w:w="48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Loss on marketable securities</w:t>
            </w:r>
          </w:p>
        </w:tc>
        <w:tc>
          <w:tcPr>
            <w:tcW w:w="480" w:type="dxa"/>
            <w:vAlign w:val="bottom"/>
          </w:tcPr>
          <w:p>
            <w:pPr>
              <w:jc w:val="right"/>
              <w:spacing w:after="0"/>
              <w:rPr>
                <w:sz w:val="20"/>
                <w:szCs w:val="20"/>
                <w:color w:val="auto"/>
              </w:rPr>
            </w:pPr>
            <w:r>
              <w:rPr>
                <w:rFonts w:ascii="Arial" w:cs="Arial" w:eastAsia="Arial" w:hAnsi="Arial"/>
                <w:sz w:val="10"/>
                <w:szCs w:val="10"/>
                <w:color w:val="691A6B"/>
              </w:rPr>
              <w:t>(46)</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(105)</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Loss on other investments, net</w:t>
            </w:r>
          </w:p>
        </w:tc>
        <w:tc>
          <w:tcPr>
            <w:tcW w:w="480" w:type="dxa"/>
            <w:vAlign w:val="bottom"/>
          </w:tcPr>
          <w:p>
            <w:pPr>
              <w:jc w:val="right"/>
              <w:spacing w:after="0"/>
              <w:rPr>
                <w:sz w:val="20"/>
                <w:szCs w:val="20"/>
                <w:color w:val="auto"/>
              </w:rPr>
            </w:pPr>
            <w:r>
              <w:rPr>
                <w:rFonts w:ascii="Arial" w:cs="Arial" w:eastAsia="Arial" w:hAnsi="Arial"/>
                <w:sz w:val="10"/>
                <w:szCs w:val="10"/>
                <w:color w:val="691A6B"/>
              </w:rPr>
              <w:t>(2)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color w:val="auto"/>
              </w:rPr>
              <w:t>Foreign exchange rate loss</w:t>
            </w:r>
          </w:p>
        </w:tc>
        <w:tc>
          <w:tcPr>
            <w:tcW w:w="480" w:type="dxa"/>
            <w:vAlign w:val="bottom"/>
          </w:tcPr>
          <w:p>
            <w:pPr>
              <w:jc w:val="right"/>
              <w:spacing w:after="0"/>
              <w:rPr>
                <w:sz w:val="20"/>
                <w:szCs w:val="20"/>
                <w:color w:val="auto"/>
              </w:rPr>
            </w:pPr>
            <w:r>
              <w:rPr>
                <w:rFonts w:ascii="Arial" w:cs="Arial" w:eastAsia="Arial" w:hAnsi="Arial"/>
                <w:sz w:val="10"/>
                <w:szCs w:val="10"/>
                <w:color w:val="691A6B"/>
              </w:rPr>
              <w:t>(152)</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(156)</w:t>
            </w:r>
          </w:p>
        </w:tc>
      </w:tr>
      <w:tr>
        <w:trPr>
          <w:trHeight w:val="158"/>
        </w:trPr>
        <w:tc>
          <w:tcPr>
            <w:tcW w:w="3420" w:type="dxa"/>
            <w:vAlign w:val="bottom"/>
          </w:tcPr>
          <w:p>
            <w:pPr>
              <w:ind w:left="20"/>
              <w:spacing w:after="0"/>
              <w:rPr>
                <w:sz w:val="20"/>
                <w:szCs w:val="20"/>
                <w:color w:val="auto"/>
              </w:rPr>
            </w:pPr>
            <w:r>
              <w:rPr>
                <w:rFonts w:ascii="Arial" w:cs="Arial" w:eastAsia="Arial" w:hAnsi="Arial"/>
                <w:sz w:val="10"/>
                <w:szCs w:val="10"/>
                <w:b w:val="1"/>
                <w:bCs w:val="1"/>
                <w:color w:val="auto"/>
              </w:rPr>
              <w:t>Total financial expenses</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691A6B"/>
              </w:rPr>
              <w:t>(257)</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(1,767)</w:t>
            </w:r>
          </w:p>
        </w:tc>
      </w:tr>
      <w:tr>
        <w:trPr>
          <w:trHeight w:val="152"/>
        </w:trPr>
        <w:tc>
          <w:tcPr>
            <w:tcW w:w="3420" w:type="dxa"/>
            <w:vAlign w:val="bottom"/>
          </w:tcPr>
          <w:p>
            <w:pPr>
              <w:ind w:left="20"/>
              <w:spacing w:after="0"/>
              <w:rPr>
                <w:sz w:val="20"/>
                <w:szCs w:val="20"/>
                <w:color w:val="auto"/>
              </w:rPr>
            </w:pPr>
            <w:r>
              <w:rPr>
                <w:rFonts w:ascii="Arial" w:cs="Arial" w:eastAsia="Arial" w:hAnsi="Arial"/>
                <w:sz w:val="10"/>
                <w:szCs w:val="10"/>
                <w:b w:val="1"/>
                <w:bCs w:val="1"/>
                <w:color w:val="auto"/>
              </w:rPr>
              <w:t>Net financial items</w:t>
            </w:r>
          </w:p>
        </w:tc>
        <w:tc>
          <w:tcPr>
            <w:tcW w:w="480" w:type="dxa"/>
            <w:vAlign w:val="bottom"/>
          </w:tcPr>
          <w:p>
            <w:pPr>
              <w:jc w:val="right"/>
              <w:ind w:right="8"/>
              <w:spacing w:after="0"/>
              <w:rPr>
                <w:sz w:val="20"/>
                <w:szCs w:val="20"/>
                <w:color w:val="auto"/>
              </w:rPr>
            </w:pPr>
            <w:r>
              <w:rPr>
                <w:rFonts w:ascii="Arial" w:cs="Arial" w:eastAsia="Arial" w:hAnsi="Arial"/>
                <w:sz w:val="10"/>
                <w:szCs w:val="10"/>
                <w:b w:val="1"/>
                <w:bCs w:val="1"/>
                <w:color w:val="691A6B"/>
              </w:rPr>
              <w:t>163</w:t>
            </w:r>
          </w:p>
        </w:tc>
        <w:tc>
          <w:tcPr>
            <w:tcW w:w="960" w:type="dxa"/>
            <w:vAlign w:val="bottom"/>
          </w:tcPr>
          <w:p>
            <w:pPr>
              <w:jc w:val="right"/>
              <w:ind w:right="28"/>
              <w:spacing w:after="0"/>
              <w:rPr>
                <w:sz w:val="20"/>
                <w:szCs w:val="20"/>
                <w:color w:val="auto"/>
              </w:rPr>
            </w:pPr>
            <w:r>
              <w:rPr>
                <w:rFonts w:ascii="Arial" w:cs="Arial" w:eastAsia="Arial" w:hAnsi="Arial"/>
                <w:sz w:val="10"/>
                <w:szCs w:val="10"/>
                <w:b w:val="1"/>
                <w:bCs w:val="1"/>
                <w:color w:val="auto"/>
              </w:rPr>
              <w:t>741</w:t>
            </w:r>
          </w:p>
        </w:tc>
      </w:tr>
    </w:tbl>
    <w:p>
      <w:pPr>
        <w:spacing w:after="0" w:line="10" w:lineRule="exact"/>
        <w:rPr>
          <w:sz w:val="20"/>
          <w:szCs w:val="20"/>
          <w:color w:val="auto"/>
        </w:rPr>
      </w:pPr>
    </w:p>
    <w:p>
      <w:pPr>
        <w:ind w:right="5340" w:firstLine="6"/>
        <w:spacing w:after="0" w:line="255" w:lineRule="auto"/>
        <w:tabs>
          <w:tab w:leader="none" w:pos="76" w:val="left"/>
        </w:tabs>
        <w:numPr>
          <w:ilvl w:val="0"/>
          <w:numId w:val="44"/>
        </w:numPr>
        <w:rPr>
          <w:rFonts w:ascii="Arial" w:cs="Arial" w:eastAsia="Arial" w:hAnsi="Arial"/>
          <w:sz w:val="7"/>
          <w:szCs w:val="7"/>
          <w:color w:val="auto"/>
        </w:rPr>
      </w:pPr>
      <w:r>
        <w:rPr>
          <w:rFonts w:ascii="Arial" w:cs="Arial" w:eastAsia="Arial" w:hAnsi="Arial"/>
          <w:sz w:val="7"/>
          <w:szCs w:val="7"/>
          <w:color w:val="auto"/>
        </w:rPr>
        <w:t xml:space="preserve">Certain reclassifications have been made between financial income and expenses for all periods presented. Refer to parent </w:t>
      </w:r>
      <w:hyperlink w:anchor="page163">
        <w:r>
          <w:rPr>
            <w:rFonts w:ascii="Arial" w:cs="Arial" w:eastAsia="Arial" w:hAnsi="Arial"/>
            <w:sz w:val="7"/>
            <w:szCs w:val="7"/>
            <w:b w:val="1"/>
            <w:bCs w:val="1"/>
            <w:color w:val="691A6B"/>
          </w:rPr>
          <w:t>Note 1.2</w:t>
        </w:r>
        <w:r>
          <w:rPr>
            <w:rFonts w:ascii="Arial" w:cs="Arial" w:eastAsia="Arial" w:hAnsi="Arial"/>
            <w:sz w:val="7"/>
            <w:szCs w:val="7"/>
            <w:color w:val="auto"/>
          </w:rPr>
          <w:t xml:space="preserve"> </w:t>
        </w:r>
      </w:hyperlink>
      <w:r>
        <w:rPr>
          <w:rFonts w:ascii="Arial" w:cs="Arial" w:eastAsia="Arial" w:hAnsi="Arial"/>
          <w:sz w:val="7"/>
          <w:szCs w:val="7"/>
          <w:color w:val="auto"/>
        </w:rPr>
        <w:t>for more information.</w:t>
      </w:r>
    </w:p>
    <w:p>
      <w:pPr>
        <w:ind w:right="5080"/>
        <w:spacing w:after="0" w:line="198" w:lineRule="auto"/>
        <w:rPr>
          <w:rFonts w:ascii="Arial" w:cs="Arial" w:eastAsia="Arial" w:hAnsi="Arial"/>
          <w:sz w:val="7"/>
          <w:szCs w:val="7"/>
          <w:color w:val="auto"/>
        </w:rPr>
      </w:pPr>
      <w:r>
        <w:rPr>
          <w:rFonts w:ascii="Arial" w:cs="Arial" w:eastAsia="Arial" w:hAnsi="Arial"/>
          <w:sz w:val="10"/>
          <w:szCs w:val="10"/>
          <w:color w:val="auto"/>
        </w:rPr>
        <w:t>During the fourth quarter of 2024, ProfoundBio US (an indirect subsidiary of Genmab A/S) sold its intangible assets to Genmab A/S. Following this transaction, Genmab A/S ultimately received dividend income. The dividend income received of $1.9 billion was recognized as Financial Income in the statements of comprehensive income of the parent company.</w:t>
      </w:r>
    </w:p>
    <w:p>
      <w:pPr>
        <w:spacing w:after="0" w:line="1" w:lineRule="exact"/>
        <w:rPr>
          <w:rFonts w:ascii="Arial" w:cs="Arial" w:eastAsia="Arial" w:hAnsi="Arial"/>
          <w:sz w:val="7"/>
          <w:szCs w:val="7"/>
          <w:color w:val="auto"/>
        </w:rPr>
      </w:pPr>
    </w:p>
    <w:p>
      <w:pPr>
        <w:ind w:right="4980"/>
        <w:spacing w:after="0" w:line="209" w:lineRule="auto"/>
        <w:rPr>
          <w:rFonts w:ascii="Arial" w:cs="Arial" w:eastAsia="Arial" w:hAnsi="Arial"/>
          <w:sz w:val="7"/>
          <w:szCs w:val="7"/>
          <w:color w:val="auto"/>
        </w:rPr>
      </w:pPr>
      <w:r>
        <w:rPr>
          <w:rFonts w:ascii="Arial" w:cs="Arial" w:eastAsia="Arial" w:hAnsi="Arial"/>
          <w:sz w:val="10"/>
          <w:szCs w:val="10"/>
          <w:color w:val="auto"/>
        </w:rPr>
        <w:t>As a result of the above, due to the significant deterioration in the value of Genmab A/S’s indirect investment in ProfoundBio US, Genmab A/S ultimately recorded a $1.5 billion loss on impairment of its investment in subsidiaries. The difference between the dividend income received by Genmab A/S in this transaction and the loss on impairment of investment in subsidiaries relates to goodwill retained at the subsidiary level. The $1.5 billion impairment loss was recognized as Financial Expense in the statements of comprehensive income of the parent company.</w:t>
      </w:r>
    </w:p>
    <w:p>
      <w:pPr>
        <w:sectPr>
          <w:pgSz w:w="11900" w:h="16840" w:orient="portrait"/>
          <w:cols w:equalWidth="0" w:num="1">
            <w:col w:w="9820"/>
          </w:cols>
          <w:pgMar w:left="640" w:top="571" w:right="1440" w:bottom="504" w:gutter="0" w:footer="0" w:header="0"/>
        </w:sectPr>
      </w:pPr>
    </w:p>
    <w:bookmarkStart w:id="166" w:name="page167"/>
    <w:bookmarkEnd w:id="166"/>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1"/>
          <w:szCs w:val="21"/>
          <w:color w:val="691A6B"/>
        </w:rPr>
        <w:t>Notes to the Financial Statements of the Parent Company</w:t>
      </w:r>
    </w:p>
    <w:p>
      <w:pPr>
        <w:jc w:val="both"/>
        <w:ind w:right="2920"/>
        <w:spacing w:after="0" w:line="201" w:lineRule="auto"/>
        <w:rPr>
          <w:rFonts w:ascii="Arial" w:cs="Arial" w:eastAsia="Arial" w:hAnsi="Arial"/>
          <w:sz w:val="10"/>
          <w:szCs w:val="10"/>
          <w:color w:val="691A6B"/>
        </w:rPr>
      </w:pPr>
      <w:hyperlink w:anchor="page15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5.5 </w:t>
      </w:r>
      <w:hyperlink w:anchor="page156">
        <w:r>
          <w:rPr>
            <w:rFonts w:ascii="Arial" w:cs="Arial" w:eastAsia="Arial" w:hAnsi="Arial"/>
            <w:sz w:val="10"/>
            <w:szCs w:val="10"/>
            <w:color w:val="691A6B"/>
          </w:rPr>
          <w:t>in the consolidated financial statements for additional information regarding the</w:t>
        </w:r>
      </w:hyperlink>
      <w:r>
        <w:rPr>
          <w:rFonts w:ascii="Arial" w:cs="Arial" w:eastAsia="Arial" w:hAnsi="Arial"/>
          <w:sz w:val="10"/>
          <w:szCs w:val="10"/>
          <w:color w:val="691A6B"/>
        </w:rPr>
        <w:t xml:space="preserve"> </w:t>
      </w:r>
      <w:hyperlink w:anchor="page156">
        <w:r>
          <w:rPr>
            <w:rFonts w:ascii="Arial" w:cs="Arial" w:eastAsia="Arial" w:hAnsi="Arial"/>
            <w:sz w:val="10"/>
            <w:szCs w:val="10"/>
            <w:color w:val="691A6B"/>
          </w:rPr>
          <w:t xml:space="preserve">acquisition of ProfoundBio </w:t>
        </w:r>
      </w:hyperlink>
      <w:r>
        <w:rPr>
          <w:rFonts w:ascii="Arial" w:cs="Arial" w:eastAsia="Arial" w:hAnsi="Arial"/>
          <w:sz w:val="10"/>
          <w:szCs w:val="10"/>
          <w:color w:val="691A6B"/>
        </w:rPr>
        <w:t xml:space="preserve">and </w:t>
      </w:r>
      <w:hyperlink w:anchor="page167">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18 </w:t>
      </w:r>
      <w:hyperlink w:anchor="page167">
        <w:r>
          <w:rPr>
            <w:rFonts w:ascii="Arial" w:cs="Arial" w:eastAsia="Arial" w:hAnsi="Arial"/>
            <w:sz w:val="10"/>
            <w:szCs w:val="10"/>
            <w:color w:val="691A6B"/>
          </w:rPr>
          <w:t>in the parent company financial statements for additional</w:t>
        </w:r>
      </w:hyperlink>
      <w:r>
        <w:rPr>
          <w:rFonts w:ascii="Arial" w:cs="Arial" w:eastAsia="Arial" w:hAnsi="Arial"/>
          <w:sz w:val="10"/>
          <w:szCs w:val="10"/>
          <w:color w:val="691A6B"/>
        </w:rPr>
        <w:t xml:space="preserve"> </w:t>
      </w:r>
      <w:hyperlink w:anchor="page167">
        <w:r>
          <w:rPr>
            <w:rFonts w:ascii="Arial" w:cs="Arial" w:eastAsia="Arial" w:hAnsi="Arial"/>
            <w:sz w:val="10"/>
            <w:szCs w:val="10"/>
            <w:color w:val="691A6B"/>
          </w:rPr>
          <w:t>information related to investment in subsidiaries.</w:t>
        </w:r>
      </w:hyperlink>
    </w:p>
    <w:p>
      <w:pPr>
        <w:spacing w:after="0" w:line="207" w:lineRule="auto"/>
        <w:rPr>
          <w:sz w:val="20"/>
          <w:szCs w:val="20"/>
          <w:color w:val="auto"/>
        </w:rPr>
      </w:pPr>
      <w:r>
        <w:rPr>
          <w:rFonts w:ascii="Arial" w:cs="Arial" w:eastAsia="Arial" w:hAnsi="Arial"/>
          <w:sz w:val="15"/>
          <w:szCs w:val="15"/>
          <w:b w:val="1"/>
          <w:bCs w:val="1"/>
          <w:color w:val="691A6B"/>
        </w:rPr>
        <w:t>15 - Borrowings</w:t>
      </w:r>
    </w:p>
    <w:p>
      <w:pPr>
        <w:ind w:right="2580"/>
        <w:spacing w:after="0" w:line="203" w:lineRule="auto"/>
        <w:rPr>
          <w:rFonts w:ascii="Arial" w:cs="Arial" w:eastAsia="Arial" w:hAnsi="Arial"/>
          <w:sz w:val="10"/>
          <w:szCs w:val="10"/>
          <w:color w:val="691A6B"/>
        </w:rPr>
      </w:pPr>
      <w:hyperlink w:anchor="page153">
        <w:r>
          <w:rPr>
            <w:rFonts w:ascii="Arial" w:cs="Arial" w:eastAsia="Arial" w:hAnsi="Arial"/>
            <w:sz w:val="10"/>
            <w:szCs w:val="10"/>
            <w:color w:val="691A6B"/>
          </w:rPr>
          <w:t xml:space="preserve">Refer to </w:t>
        </w:r>
        <w:r>
          <w:rPr>
            <w:rFonts w:ascii="Arial" w:cs="Arial" w:eastAsia="Arial" w:hAnsi="Arial"/>
            <w:sz w:val="10"/>
            <w:szCs w:val="10"/>
            <w:b w:val="1"/>
            <w:bCs w:val="1"/>
            <w:color w:val="691A6B"/>
          </w:rPr>
          <w:t>Note 4.8</w:t>
        </w:r>
        <w:r>
          <w:rPr>
            <w:rFonts w:ascii="Arial" w:cs="Arial" w:eastAsia="Arial" w:hAnsi="Arial"/>
            <w:sz w:val="10"/>
            <w:szCs w:val="10"/>
            <w:color w:val="691A6B"/>
          </w:rPr>
          <w:t xml:space="preserve"> in the consolidated financial statements for additional information on borrowings of the</w:t>
        </w:r>
      </w:hyperlink>
      <w:r>
        <w:rPr>
          <w:rFonts w:ascii="Arial" w:cs="Arial" w:eastAsia="Arial" w:hAnsi="Arial"/>
          <w:sz w:val="10"/>
          <w:szCs w:val="10"/>
          <w:color w:val="691A6B"/>
        </w:rPr>
        <w:t xml:space="preserve"> </w:t>
      </w:r>
      <w:hyperlink w:anchor="page153">
        <w:r>
          <w:rPr>
            <w:rFonts w:ascii="Arial" w:cs="Arial" w:eastAsia="Arial" w:hAnsi="Arial"/>
            <w:sz w:val="10"/>
            <w:szCs w:val="10"/>
            <w:color w:val="691A6B"/>
          </w:rPr>
          <w:t>Group.</w:t>
        </w:r>
      </w:hyperlink>
    </w:p>
    <w:p>
      <w:pPr>
        <w:ind w:right="3160"/>
        <w:spacing w:after="0" w:line="208" w:lineRule="auto"/>
        <w:rPr>
          <w:sz w:val="20"/>
          <w:szCs w:val="20"/>
          <w:color w:val="auto"/>
        </w:rPr>
      </w:pPr>
      <w:r>
        <w:rPr>
          <w:rFonts w:ascii="Arial" w:cs="Arial" w:eastAsia="Arial" w:hAnsi="Arial"/>
          <w:sz w:val="15"/>
          <w:szCs w:val="15"/>
          <w:b w:val="1"/>
          <w:bCs w:val="1"/>
          <w:color w:val="691A6B"/>
        </w:rPr>
        <w:t>16 - Remuneration of the Board of Directors and Executive Management</w:t>
      </w:r>
    </w:p>
    <w:p>
      <w:pPr>
        <w:spacing w:after="0" w:line="1" w:lineRule="exact"/>
        <w:rPr>
          <w:sz w:val="20"/>
          <w:szCs w:val="20"/>
          <w:color w:val="auto"/>
        </w:rPr>
      </w:pPr>
    </w:p>
    <w:p>
      <w:pPr>
        <w:ind w:right="2840"/>
        <w:spacing w:after="0" w:line="198" w:lineRule="auto"/>
        <w:rPr>
          <w:sz w:val="20"/>
          <w:szCs w:val="20"/>
          <w:color w:val="auto"/>
        </w:rPr>
      </w:pPr>
      <w:r>
        <w:rPr>
          <w:rFonts w:ascii="Arial" w:cs="Arial" w:eastAsia="Arial" w:hAnsi="Arial"/>
          <w:sz w:val="10"/>
          <w:szCs w:val="10"/>
          <w:color w:val="auto"/>
        </w:rPr>
        <w:t>Remuneration of the Board for the parent, excluding employee elected board members not directly employed by the parent, is the same as the Group.</w:t>
      </w:r>
    </w:p>
    <w:p>
      <w:pPr>
        <w:spacing w:after="0" w:line="1" w:lineRule="exact"/>
        <w:rPr>
          <w:sz w:val="20"/>
          <w:szCs w:val="20"/>
          <w:color w:val="auto"/>
        </w:rPr>
      </w:pPr>
    </w:p>
    <w:p>
      <w:pPr>
        <w:jc w:val="both"/>
        <w:ind w:right="2620"/>
        <w:spacing w:after="0" w:line="198" w:lineRule="auto"/>
        <w:rPr>
          <w:rFonts w:ascii="Arial" w:cs="Arial" w:eastAsia="Arial" w:hAnsi="Arial"/>
          <w:sz w:val="10"/>
          <w:szCs w:val="10"/>
          <w:b w:val="1"/>
          <w:bCs w:val="1"/>
          <w:color w:val="691A6B"/>
        </w:rPr>
      </w:pPr>
      <w:r>
        <w:rPr>
          <w:rFonts w:ascii="Arial" w:cs="Arial" w:eastAsia="Arial" w:hAnsi="Arial"/>
          <w:sz w:val="10"/>
          <w:szCs w:val="10"/>
          <w:color w:val="auto"/>
        </w:rPr>
        <w:t xml:space="preserve">Remuneration of Executive Management not directly employed by the parent company is between 10% and 20% of their total compensation, as defined in their individual service agreement and as reported in </w:t>
      </w:r>
      <w:hyperlink w:anchor="page154">
        <w:r>
          <w:rPr>
            <w:rFonts w:ascii="Arial" w:cs="Arial" w:eastAsia="Arial" w:hAnsi="Arial"/>
            <w:sz w:val="10"/>
            <w:szCs w:val="10"/>
            <w:b w:val="1"/>
            <w:bCs w:val="1"/>
            <w:color w:val="691A6B"/>
          </w:rPr>
          <w:t xml:space="preserve">Note </w:t>
        </w:r>
      </w:hyperlink>
      <w:r>
        <w:rPr>
          <w:rFonts w:ascii="Arial" w:cs="Arial" w:eastAsia="Arial" w:hAnsi="Arial"/>
          <w:sz w:val="10"/>
          <w:szCs w:val="10"/>
          <w:b w:val="1"/>
          <w:bCs w:val="1"/>
          <w:color w:val="691A6B"/>
        </w:rPr>
        <w:t xml:space="preserve">5.1 </w:t>
      </w:r>
      <w:r>
        <w:rPr>
          <w:rFonts w:ascii="Arial" w:cs="Arial" w:eastAsia="Arial" w:hAnsi="Arial"/>
          <w:sz w:val="10"/>
          <w:szCs w:val="10"/>
          <w:color w:val="000000"/>
        </w:rPr>
        <w:t>in the consolidated financial statements.</w:t>
      </w:r>
    </w:p>
    <w:p>
      <w:pPr>
        <w:spacing w:after="0" w:line="1" w:lineRule="exact"/>
        <w:rPr>
          <w:sz w:val="20"/>
          <w:szCs w:val="20"/>
          <w:color w:val="auto"/>
        </w:rPr>
      </w:pPr>
    </w:p>
    <w:p>
      <w:pPr>
        <w:ind w:right="2920"/>
        <w:spacing w:after="0" w:line="203" w:lineRule="auto"/>
        <w:rPr>
          <w:rFonts w:ascii="Arial" w:cs="Arial" w:eastAsia="Arial" w:hAnsi="Arial"/>
          <w:sz w:val="10"/>
          <w:szCs w:val="10"/>
          <w:color w:val="691A6B"/>
        </w:rPr>
      </w:pPr>
      <w:hyperlink w:anchor="page154">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5.1 </w:t>
      </w:r>
      <w:hyperlink w:anchor="page154">
        <w:r>
          <w:rPr>
            <w:rFonts w:ascii="Arial" w:cs="Arial" w:eastAsia="Arial" w:hAnsi="Arial"/>
            <w:sz w:val="10"/>
            <w:szCs w:val="10"/>
            <w:color w:val="691A6B"/>
          </w:rPr>
          <w:t>in the consolidated financial statements for additional information regarding the</w:t>
        </w:r>
      </w:hyperlink>
      <w:r>
        <w:rPr>
          <w:rFonts w:ascii="Arial" w:cs="Arial" w:eastAsia="Arial" w:hAnsi="Arial"/>
          <w:sz w:val="10"/>
          <w:szCs w:val="10"/>
          <w:color w:val="691A6B"/>
        </w:rPr>
        <w:t xml:space="preserve"> </w:t>
      </w:r>
      <w:hyperlink w:anchor="page154">
        <w:r>
          <w:rPr>
            <w:rFonts w:ascii="Arial" w:cs="Arial" w:eastAsia="Arial" w:hAnsi="Arial"/>
            <w:sz w:val="10"/>
            <w:szCs w:val="10"/>
            <w:color w:val="691A6B"/>
          </w:rPr>
          <w:t>remuneration of the Board of Directors and Executive Management.</w:t>
        </w:r>
      </w:hyperlink>
    </w:p>
    <w:p>
      <w:pPr>
        <w:spacing w:after="0" w:line="206" w:lineRule="auto"/>
        <w:rPr>
          <w:sz w:val="20"/>
          <w:szCs w:val="20"/>
          <w:color w:val="auto"/>
        </w:rPr>
      </w:pPr>
      <w:r>
        <w:rPr>
          <w:rFonts w:ascii="Arial" w:cs="Arial" w:eastAsia="Arial" w:hAnsi="Arial"/>
          <w:sz w:val="15"/>
          <w:szCs w:val="15"/>
          <w:b w:val="1"/>
          <w:bCs w:val="1"/>
          <w:color w:val="691A6B"/>
        </w:rPr>
        <w:t>17 - Related Party Disclosures</w:t>
      </w:r>
    </w:p>
    <w:p>
      <w:pPr>
        <w:ind w:right="2780"/>
        <w:spacing w:after="0" w:line="201" w:lineRule="auto"/>
        <w:rPr>
          <w:sz w:val="20"/>
          <w:szCs w:val="20"/>
          <w:color w:val="auto"/>
        </w:rPr>
      </w:pPr>
      <w:r>
        <w:rPr>
          <w:rFonts w:ascii="Arial" w:cs="Arial" w:eastAsia="Arial" w:hAnsi="Arial"/>
          <w:sz w:val="10"/>
          <w:szCs w:val="10"/>
          <w:color w:val="auto"/>
        </w:rPr>
        <w:t>Genmab A/S’ related parties are the parent company’s subsidiaries, Board, Executive Management, and close members of the family of these persons.</w:t>
      </w:r>
    </w:p>
    <w:p>
      <w:pPr>
        <w:spacing w:after="0" w:line="210" w:lineRule="auto"/>
        <w:rPr>
          <w:sz w:val="20"/>
          <w:szCs w:val="20"/>
          <w:color w:val="auto"/>
        </w:rPr>
      </w:pPr>
      <w:r>
        <w:rPr>
          <w:rFonts w:ascii="Arial" w:cs="Arial" w:eastAsia="Arial" w:hAnsi="Arial"/>
          <w:sz w:val="13"/>
          <w:szCs w:val="13"/>
          <w:b w:val="1"/>
          <w:bCs w:val="1"/>
          <w:color w:val="691A6B"/>
        </w:rPr>
        <w:t>Transactions With Subsidiaries</w:t>
      </w:r>
    </w:p>
    <w:p>
      <w:pPr>
        <w:ind w:right="2460"/>
        <w:spacing w:after="0" w:line="200" w:lineRule="auto"/>
        <w:rPr>
          <w:sz w:val="20"/>
          <w:szCs w:val="20"/>
          <w:color w:val="auto"/>
        </w:rPr>
      </w:pPr>
      <w:r>
        <w:rPr>
          <w:rFonts w:ascii="Arial" w:cs="Arial" w:eastAsia="Arial" w:hAnsi="Arial"/>
          <w:sz w:val="10"/>
          <w:szCs w:val="10"/>
          <w:color w:val="auto"/>
        </w:rPr>
        <w:t>Genmab B.V., Genmab Holding B.V., Genmab Holding II B.V., Genmab US, Inc., Genmab K.K., Genmab Germany GmbH, Genmab UK Ltd, Genmab France SAS, Genmab Finance LLC., ProfoundBio, Inc., ProfoundBio, US Co., Profound Limited, ProfoundBio co., Ltd., ProfoundBio Shanghai Branch, Co., Ltd., Beijing Puyifang Biotechnology Co., Ltd., Merus B.V. and Merus US Inc. are 100% (directly or indirectly) owned subsidiaries of Genmab A/S and are included in the consolidated financial statements. During 2025, various intercompany transactions and services between the aforementioned companies took place in the field of product sales, research and development, selling, general and administration, finance and management. All intercompany transactions have been eliminated in the consolidated financial statements of the Genmab Group.</w:t>
      </w:r>
    </w:p>
    <w:p>
      <w:pPr>
        <w:spacing w:after="0" w:line="3" w:lineRule="exact"/>
        <w:rPr>
          <w:rFonts w:ascii="Arial" w:cs="Arial" w:eastAsia="Arial" w:hAnsi="Arial"/>
          <w:sz w:val="10"/>
          <w:szCs w:val="10"/>
          <w:color w:val="691A6B"/>
        </w:rPr>
      </w:pPr>
    </w:p>
    <w:tbl>
      <w:tblPr>
        <w:tblLayout w:type="fixed"/>
        <w:tblInd w:w="0" w:type="dxa"/>
        <w:tblCellMar>
          <w:top w:w="0" w:type="dxa"/>
          <w:left w:w="0" w:type="dxa"/>
          <w:bottom w:w="0" w:type="dxa"/>
          <w:right w:w="0" w:type="dxa"/>
        </w:tblCellMar>
      </w:tblPr>
      <w:tr>
        <w:trPr>
          <w:trHeight w:val="123"/>
        </w:trPr>
        <w:tc>
          <w:tcPr>
            <w:tcW w:w="338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52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2024</w:t>
            </w:r>
          </w:p>
        </w:tc>
      </w:tr>
      <w:tr>
        <w:trPr>
          <w:trHeight w:val="143"/>
        </w:trPr>
        <w:tc>
          <w:tcPr>
            <w:tcW w:w="3380" w:type="dxa"/>
            <w:vAlign w:val="bottom"/>
          </w:tcPr>
          <w:p>
            <w:pPr>
              <w:ind w:left="20"/>
              <w:spacing w:after="0"/>
              <w:rPr>
                <w:sz w:val="20"/>
                <w:szCs w:val="20"/>
                <w:color w:val="auto"/>
              </w:rPr>
            </w:pPr>
            <w:r>
              <w:rPr>
                <w:rFonts w:ascii="Arial" w:cs="Arial" w:eastAsia="Arial" w:hAnsi="Arial"/>
                <w:sz w:val="10"/>
                <w:szCs w:val="10"/>
                <w:b w:val="1"/>
                <w:bCs w:val="1"/>
                <w:color w:val="auto"/>
              </w:rPr>
              <w:t>Transactions with subsidiaries:</w:t>
            </w: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b w:val="1"/>
                <w:bCs w:val="1"/>
                <w:color w:val="auto"/>
              </w:rPr>
              <w:t>Income statement:</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6"/>
        </w:trPr>
        <w:tc>
          <w:tcPr>
            <w:tcW w:w="3380" w:type="dxa"/>
            <w:vAlign w:val="bottom"/>
          </w:tcPr>
          <w:p>
            <w:pPr>
              <w:ind w:left="20"/>
              <w:spacing w:after="0"/>
              <w:rPr>
                <w:sz w:val="20"/>
                <w:szCs w:val="20"/>
                <w:color w:val="auto"/>
              </w:rPr>
            </w:pPr>
            <w:r>
              <w:rPr>
                <w:rFonts w:ascii="Arial" w:cs="Arial" w:eastAsia="Arial" w:hAnsi="Arial"/>
                <w:sz w:val="10"/>
                <w:szCs w:val="10"/>
                <w:color w:val="auto"/>
              </w:rPr>
              <w:t>Net product sales</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208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180</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Reimbursement revenue</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125</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165</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Cost of product sales</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7</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(4)</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Service fee costs</w:t>
            </w:r>
          </w:p>
        </w:tc>
        <w:tc>
          <w:tcPr>
            <w:tcW w:w="520" w:type="dxa"/>
            <w:vAlign w:val="bottom"/>
          </w:tcPr>
          <w:p>
            <w:pPr>
              <w:jc w:val="right"/>
              <w:spacing w:after="0"/>
              <w:rPr>
                <w:sz w:val="20"/>
                <w:szCs w:val="20"/>
                <w:color w:val="auto"/>
              </w:rPr>
            </w:pPr>
            <w:r>
              <w:rPr>
                <w:rFonts w:ascii="Arial" w:cs="Arial" w:eastAsia="Arial" w:hAnsi="Arial"/>
                <w:sz w:val="10"/>
                <w:szCs w:val="10"/>
                <w:color w:val="691A6B"/>
              </w:rPr>
              <w:t>(1,064)</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(914)</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Milestone costs</w:t>
            </w:r>
          </w:p>
        </w:tc>
        <w:tc>
          <w:tcPr>
            <w:tcW w:w="520" w:type="dxa"/>
            <w:vAlign w:val="bottom"/>
          </w:tcPr>
          <w:p>
            <w:pPr>
              <w:jc w:val="right"/>
              <w:spacing w:after="0"/>
              <w:rPr>
                <w:sz w:val="20"/>
                <w:szCs w:val="20"/>
                <w:color w:val="auto"/>
              </w:rPr>
            </w:pPr>
            <w:r>
              <w:rPr>
                <w:rFonts w:ascii="Arial" w:cs="Arial" w:eastAsia="Arial" w:hAnsi="Arial"/>
                <w:sz w:val="10"/>
                <w:szCs w:val="10"/>
                <w:color w:val="691A6B"/>
              </w:rPr>
              <w:t>(67)</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(79)</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Impairment intangible assets - Intercompany</w:t>
            </w:r>
          </w:p>
        </w:tc>
        <w:tc>
          <w:tcPr>
            <w:tcW w:w="520" w:type="dxa"/>
            <w:vAlign w:val="bottom"/>
          </w:tcPr>
          <w:p>
            <w:pPr>
              <w:jc w:val="right"/>
              <w:spacing w:after="0"/>
              <w:rPr>
                <w:sz w:val="20"/>
                <w:szCs w:val="20"/>
                <w:color w:val="auto"/>
              </w:rPr>
            </w:pPr>
            <w:r>
              <w:rPr>
                <w:rFonts w:ascii="Arial" w:cs="Arial" w:eastAsia="Arial" w:hAnsi="Arial"/>
                <w:sz w:val="10"/>
                <w:szCs w:val="10"/>
                <w:color w:val="691A6B"/>
              </w:rPr>
              <w:t>(26)</w:t>
            </w:r>
          </w:p>
        </w:tc>
        <w:tc>
          <w:tcPr>
            <w:tcW w:w="960" w:type="dxa"/>
            <w:vAlign w:val="bottom"/>
          </w:tcPr>
          <w:p>
            <w:pPr>
              <w:jc w:val="right"/>
              <w:ind w:right="28"/>
              <w:spacing w:after="0"/>
              <w:rPr>
                <w:sz w:val="20"/>
                <w:szCs w:val="20"/>
                <w:color w:val="auto"/>
              </w:rPr>
            </w:pPr>
            <w:r>
              <w:rPr>
                <w:rFonts w:ascii="Arial" w:cs="Arial" w:eastAsia="Arial" w:hAnsi="Arial"/>
                <w:sz w:val="10"/>
                <w:szCs w:val="10"/>
                <w:color w:val="691A6B"/>
              </w:rPr>
              <w:t>—</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Impairment investment in subsidiaries</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(1,491)</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Dividend income</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1,867</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Financial income</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22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Financial expense</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(1)</w:t>
            </w:r>
          </w:p>
        </w:tc>
      </w:tr>
      <w:tr>
        <w:trPr>
          <w:trHeight w:val="320"/>
        </w:trPr>
        <w:tc>
          <w:tcPr>
            <w:tcW w:w="3380" w:type="dxa"/>
            <w:vAlign w:val="bottom"/>
          </w:tcPr>
          <w:p>
            <w:pPr>
              <w:ind w:left="20"/>
              <w:spacing w:after="0"/>
              <w:rPr>
                <w:sz w:val="20"/>
                <w:szCs w:val="20"/>
                <w:color w:val="auto"/>
              </w:rPr>
            </w:pPr>
            <w:r>
              <w:rPr>
                <w:rFonts w:ascii="Arial" w:cs="Arial" w:eastAsia="Arial" w:hAnsi="Arial"/>
                <w:sz w:val="10"/>
                <w:szCs w:val="10"/>
                <w:b w:val="1"/>
                <w:bCs w:val="1"/>
                <w:color w:val="auto"/>
              </w:rPr>
              <w:t>Balance sheet:</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6"/>
        </w:trPr>
        <w:tc>
          <w:tcPr>
            <w:tcW w:w="3380" w:type="dxa"/>
            <w:vAlign w:val="bottom"/>
          </w:tcPr>
          <w:p>
            <w:pPr>
              <w:ind w:left="20"/>
              <w:spacing w:after="0"/>
              <w:rPr>
                <w:sz w:val="20"/>
                <w:szCs w:val="20"/>
                <w:color w:val="auto"/>
              </w:rPr>
            </w:pPr>
            <w:r>
              <w:rPr>
                <w:rFonts w:ascii="Arial" w:cs="Arial" w:eastAsia="Arial" w:hAnsi="Arial"/>
                <w:sz w:val="10"/>
                <w:szCs w:val="10"/>
                <w:color w:val="auto"/>
              </w:rPr>
              <w:t>Intangible assets</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148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144</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Receivables from subsidiaries - Non-Current</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3</w:t>
            </w:r>
          </w:p>
        </w:tc>
        <w:tc>
          <w:tcPr>
            <w:tcW w:w="960" w:type="dxa"/>
            <w:vAlign w:val="bottom"/>
          </w:tcPr>
          <w:p>
            <w:pPr>
              <w:jc w:val="right"/>
              <w:ind w:right="28"/>
              <w:spacing w:after="0"/>
              <w:rPr>
                <w:sz w:val="20"/>
                <w:szCs w:val="20"/>
                <w:color w:val="auto"/>
              </w:rPr>
            </w:pPr>
            <w:r>
              <w:rPr>
                <w:rFonts w:ascii="Arial" w:cs="Arial" w:eastAsia="Arial" w:hAnsi="Arial"/>
                <w:sz w:val="10"/>
                <w:szCs w:val="10"/>
                <w:color w:val="691A6B"/>
              </w:rPr>
              <w:t>—</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Loans to subsidiaries - Non-Current</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4,258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Receivables from subsidiaries - Current</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446</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135</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Loans to subsidiaries - Current</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79</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Current payables</w:t>
            </w:r>
          </w:p>
        </w:tc>
        <w:tc>
          <w:tcPr>
            <w:tcW w:w="520" w:type="dxa"/>
            <w:vAlign w:val="bottom"/>
          </w:tcPr>
          <w:p>
            <w:pPr>
              <w:jc w:val="right"/>
              <w:spacing w:after="0"/>
              <w:rPr>
                <w:sz w:val="20"/>
                <w:szCs w:val="20"/>
                <w:color w:val="auto"/>
              </w:rPr>
            </w:pPr>
            <w:r>
              <w:rPr>
                <w:rFonts w:ascii="Arial" w:cs="Arial" w:eastAsia="Arial" w:hAnsi="Arial"/>
                <w:sz w:val="10"/>
                <w:szCs w:val="10"/>
                <w:color w:val="691A6B"/>
              </w:rPr>
              <w:t>(358)</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(231)</w:t>
            </w:r>
          </w:p>
        </w:tc>
      </w:tr>
    </w:tbl>
    <w:p>
      <w:pPr>
        <w:spacing w:after="0" w:line="6" w:lineRule="exact"/>
        <w:rPr>
          <w:rFonts w:ascii="Arial" w:cs="Arial" w:eastAsia="Arial" w:hAnsi="Arial"/>
          <w:sz w:val="10"/>
          <w:szCs w:val="10"/>
          <w:color w:val="691A6B"/>
        </w:rPr>
      </w:pPr>
    </w:p>
    <w:p>
      <w:pPr>
        <w:jc w:val="both"/>
        <w:ind w:right="2520"/>
        <w:spacing w:after="0" w:line="209" w:lineRule="auto"/>
        <w:rPr>
          <w:sz w:val="20"/>
          <w:szCs w:val="20"/>
          <w:color w:val="auto"/>
        </w:rPr>
      </w:pPr>
      <w:r>
        <w:rPr>
          <w:rFonts w:ascii="Arial" w:cs="Arial" w:eastAsia="Arial" w:hAnsi="Arial"/>
          <w:sz w:val="10"/>
          <w:szCs w:val="10"/>
          <w:color w:val="auto"/>
        </w:rPr>
        <w:t>Genmab A/S has placed at each subsidiary’s disposal a credit facility (denominated in local currency) that the subsidiary may use to draw from in order to secure the necessary funding of its activities.</w:t>
      </w:r>
    </w:p>
    <w:p>
      <w:pPr>
        <w:ind w:right="2540"/>
        <w:spacing w:after="0" w:line="198" w:lineRule="auto"/>
        <w:rPr>
          <w:sz w:val="20"/>
          <w:szCs w:val="20"/>
          <w:color w:val="auto"/>
        </w:rPr>
      </w:pPr>
      <w:r>
        <w:rPr>
          <w:rFonts w:ascii="Arial" w:cs="Arial" w:eastAsia="Arial" w:hAnsi="Arial"/>
          <w:sz w:val="10"/>
          <w:szCs w:val="10"/>
          <w:color w:val="auto"/>
        </w:rPr>
        <w:t>The increase in the gross carrying value of loans to subsidiaries during 2025 was primarily due to the intercompany loan entered into between Genmab A/S and Genmab Holding II BV related to the financing of the Merus acquisition.</w:t>
      </w:r>
    </w:p>
    <w:p>
      <w:pPr>
        <w:spacing w:after="0" w:line="1" w:lineRule="exact"/>
        <w:rPr>
          <w:rFonts w:ascii="Arial" w:cs="Arial" w:eastAsia="Arial" w:hAnsi="Arial"/>
          <w:sz w:val="10"/>
          <w:szCs w:val="10"/>
          <w:color w:val="691A6B"/>
        </w:rPr>
      </w:pPr>
    </w:p>
    <w:p>
      <w:pPr>
        <w:ind w:right="2500"/>
        <w:spacing w:after="0" w:line="232" w:lineRule="auto"/>
        <w:rPr>
          <w:rFonts w:ascii="Arial" w:cs="Arial" w:eastAsia="Arial" w:hAnsi="Arial"/>
          <w:sz w:val="10"/>
          <w:szCs w:val="10"/>
          <w:color w:val="691A6B"/>
        </w:rPr>
      </w:pPr>
      <w:hyperlink w:anchor="page15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5.2 </w:t>
      </w:r>
      <w:hyperlink w:anchor="page156">
        <w:r>
          <w:rPr>
            <w:rFonts w:ascii="Arial" w:cs="Arial" w:eastAsia="Arial" w:hAnsi="Arial"/>
            <w:sz w:val="10"/>
            <w:szCs w:val="10"/>
            <w:color w:val="691A6B"/>
          </w:rPr>
          <w:t>in the consolidated financial statements for additional information regarding transactions</w:t>
        </w:r>
      </w:hyperlink>
      <w:r>
        <w:rPr>
          <w:rFonts w:ascii="Arial" w:cs="Arial" w:eastAsia="Arial" w:hAnsi="Arial"/>
          <w:sz w:val="10"/>
          <w:szCs w:val="10"/>
          <w:color w:val="691A6B"/>
        </w:rPr>
        <w:t xml:space="preserve"> </w:t>
      </w:r>
      <w:hyperlink w:anchor="page156">
        <w:r>
          <w:rPr>
            <w:rFonts w:ascii="Arial" w:cs="Arial" w:eastAsia="Arial" w:hAnsi="Arial"/>
            <w:sz w:val="10"/>
            <w:szCs w:val="10"/>
            <w:color w:val="691A6B"/>
          </w:rPr>
          <w:t>with related parties of the Group.</w:t>
        </w:r>
      </w:hyperlink>
    </w:p>
    <w:p>
      <w:pPr>
        <w:spacing w:after="0" w:line="54" w:lineRule="exact"/>
        <w:rPr>
          <w:rFonts w:ascii="Arial" w:cs="Arial" w:eastAsia="Arial" w:hAnsi="Arial"/>
          <w:sz w:val="10"/>
          <w:szCs w:val="10"/>
          <w:color w:val="691A6B"/>
        </w:rPr>
      </w:pPr>
    </w:p>
    <w:p>
      <w:pPr>
        <w:ind w:left="420"/>
        <w:spacing w:after="0"/>
        <w:tabs>
          <w:tab w:leader="none" w:pos="1760" w:val="left"/>
          <w:tab w:leader="none" w:pos="312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7"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1"/>
          <w:szCs w:val="21"/>
          <w:color w:val="691A6B"/>
        </w:rPr>
        <w:t>Notes to the Financial Statements of the Parent Company</w:t>
      </w:r>
    </w:p>
    <w:p>
      <w:pPr>
        <w:spacing w:after="0" w:line="221" w:lineRule="auto"/>
        <w:rPr>
          <w:sz w:val="20"/>
          <w:szCs w:val="20"/>
          <w:color w:val="auto"/>
        </w:rPr>
      </w:pPr>
      <w:r>
        <w:rPr>
          <w:rFonts w:ascii="Arial" w:cs="Arial" w:eastAsia="Arial" w:hAnsi="Arial"/>
          <w:sz w:val="15"/>
          <w:szCs w:val="15"/>
          <w:b w:val="1"/>
          <w:bCs w:val="1"/>
          <w:color w:val="691A6B"/>
        </w:rPr>
        <w:t>18 - Investments in Subsidiaries</w:t>
      </w:r>
    </w:p>
    <w:p>
      <w:pPr>
        <w:spacing w:after="0" w:line="1"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23"/>
        </w:trPr>
        <w:tc>
          <w:tcPr>
            <w:tcW w:w="3380" w:type="dxa"/>
            <w:vAlign w:val="bottom"/>
            <w:tcBorders>
              <w:top w:val="single" w:sz="8" w:color="691A6B"/>
            </w:tcBorders>
          </w:tcPr>
          <w:p>
            <w:pPr>
              <w:ind w:left="3000"/>
              <w:spacing w:after="0"/>
              <w:rPr>
                <w:sz w:val="20"/>
                <w:szCs w:val="20"/>
                <w:color w:val="auto"/>
              </w:rPr>
            </w:pPr>
            <w:r>
              <w:rPr>
                <w:rFonts w:ascii="Arial" w:cs="Arial" w:eastAsia="Arial" w:hAnsi="Arial"/>
                <w:sz w:val="10"/>
                <w:szCs w:val="10"/>
                <w:b w:val="1"/>
                <w:bCs w:val="1"/>
                <w:color w:val="691A6B"/>
              </w:rPr>
              <w:t>2025</w:t>
            </w:r>
          </w:p>
        </w:tc>
        <w:tc>
          <w:tcPr>
            <w:tcW w:w="520" w:type="dxa"/>
            <w:vAlign w:val="bottom"/>
            <w:tcBorders>
              <w:top w:val="single" w:sz="8" w:color="691A6B"/>
            </w:tcBorders>
          </w:tcPr>
          <w:p>
            <w:pPr>
              <w:spacing w:after="0"/>
              <w:rPr>
                <w:sz w:val="10"/>
                <w:szCs w:val="10"/>
                <w:color w:val="auto"/>
              </w:rPr>
            </w:pPr>
          </w:p>
        </w:tc>
        <w:tc>
          <w:tcPr>
            <w:tcW w:w="960" w:type="dxa"/>
            <w:vAlign w:val="bottom"/>
            <w:tcBorders>
              <w:top w:val="single" w:sz="8" w:color="691A6B"/>
            </w:tcBorders>
          </w:tcPr>
          <w:p>
            <w:pPr>
              <w:jc w:val="right"/>
              <w:ind w:right="668"/>
              <w:spacing w:after="0"/>
              <w:rPr>
                <w:sz w:val="20"/>
                <w:szCs w:val="20"/>
                <w:color w:val="auto"/>
              </w:rPr>
            </w:pPr>
            <w:r>
              <w:rPr>
                <w:rFonts w:ascii="Arial" w:cs="Arial" w:eastAsia="Arial" w:hAnsi="Arial"/>
                <w:sz w:val="10"/>
                <w:szCs w:val="10"/>
                <w:b w:val="1"/>
                <w:bCs w:val="1"/>
                <w:color w:val="auto"/>
                <w:w w:val="98"/>
              </w:rPr>
              <w:t>2024</w:t>
            </w:r>
          </w:p>
        </w:tc>
      </w:tr>
      <w:tr>
        <w:trPr>
          <w:trHeight w:val="137"/>
        </w:trPr>
        <w:tc>
          <w:tcPr>
            <w:tcW w:w="3380" w:type="dxa"/>
            <w:vAlign w:val="bottom"/>
          </w:tcPr>
          <w:p>
            <w:pPr>
              <w:ind w:left="20"/>
              <w:spacing w:after="0"/>
              <w:rPr>
                <w:sz w:val="20"/>
                <w:szCs w:val="20"/>
                <w:color w:val="auto"/>
              </w:rPr>
            </w:pPr>
            <w:r>
              <w:rPr>
                <w:rFonts w:ascii="Arial" w:cs="Arial" w:eastAsia="Arial" w:hAnsi="Arial"/>
                <w:sz w:val="10"/>
                <w:szCs w:val="10"/>
                <w:color w:val="auto"/>
              </w:rPr>
              <w:t>Cost at January 1</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2,678</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777</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Additions</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3,403</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1,901</w:t>
            </w:r>
          </w:p>
        </w:tc>
      </w:tr>
      <w:tr>
        <w:trPr>
          <w:trHeight w:val="158"/>
        </w:trPr>
        <w:tc>
          <w:tcPr>
            <w:tcW w:w="3380" w:type="dxa"/>
            <w:vAlign w:val="bottom"/>
          </w:tcPr>
          <w:p>
            <w:pPr>
              <w:ind w:left="20"/>
              <w:spacing w:after="0"/>
              <w:rPr>
                <w:sz w:val="20"/>
                <w:szCs w:val="20"/>
                <w:color w:val="auto"/>
              </w:rPr>
            </w:pPr>
            <w:r>
              <w:rPr>
                <w:rFonts w:ascii="Arial" w:cs="Arial" w:eastAsia="Arial" w:hAnsi="Arial"/>
                <w:sz w:val="10"/>
                <w:szCs w:val="10"/>
                <w:b w:val="1"/>
                <w:bCs w:val="1"/>
                <w:color w:val="auto"/>
              </w:rPr>
              <w:t>Cost at December 31</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691A6B"/>
              </w:rPr>
              <w:t>6,081</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2,678</w:t>
            </w:r>
          </w:p>
        </w:tc>
      </w:tr>
      <w:tr>
        <w:trPr>
          <w:trHeight w:val="346"/>
        </w:trPr>
        <w:tc>
          <w:tcPr>
            <w:tcW w:w="3380" w:type="dxa"/>
            <w:vAlign w:val="bottom"/>
          </w:tcPr>
          <w:p>
            <w:pPr>
              <w:ind w:left="20"/>
              <w:spacing w:after="0"/>
              <w:rPr>
                <w:sz w:val="20"/>
                <w:szCs w:val="20"/>
                <w:color w:val="auto"/>
              </w:rPr>
            </w:pPr>
            <w:r>
              <w:rPr>
                <w:rFonts w:ascii="Arial" w:cs="Arial" w:eastAsia="Arial" w:hAnsi="Arial"/>
                <w:sz w:val="10"/>
                <w:szCs w:val="10"/>
                <w:color w:val="auto"/>
              </w:rPr>
              <w:t>Impairment at January 1</w:t>
            </w:r>
          </w:p>
        </w:tc>
        <w:tc>
          <w:tcPr>
            <w:tcW w:w="520" w:type="dxa"/>
            <w:vAlign w:val="bottom"/>
          </w:tcPr>
          <w:p>
            <w:pPr>
              <w:jc w:val="right"/>
              <w:spacing w:after="0"/>
              <w:rPr>
                <w:sz w:val="20"/>
                <w:szCs w:val="20"/>
                <w:color w:val="auto"/>
              </w:rPr>
            </w:pPr>
            <w:r>
              <w:rPr>
                <w:rFonts w:ascii="Arial" w:cs="Arial" w:eastAsia="Arial" w:hAnsi="Arial"/>
                <w:sz w:val="10"/>
                <w:szCs w:val="10"/>
                <w:color w:val="691A6B"/>
              </w:rPr>
              <w:t>(1,749)</w:t>
            </w: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(286)</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color w:val="auto"/>
              </w:rPr>
              <w:t>Impairment for the year</w:t>
            </w:r>
          </w:p>
        </w:tc>
        <w:tc>
          <w:tcPr>
            <w:tcW w:w="520" w:type="dxa"/>
            <w:vAlign w:val="bottom"/>
          </w:tcPr>
          <w:p>
            <w:pPr>
              <w:jc w:val="right"/>
              <w:ind w:right="8"/>
              <w:spacing w:after="0"/>
              <w:rPr>
                <w:sz w:val="20"/>
                <w:szCs w:val="20"/>
                <w:color w:val="auto"/>
              </w:rPr>
            </w:pPr>
            <w:r>
              <w:rPr>
                <w:rFonts w:ascii="Arial" w:cs="Arial" w:eastAsia="Arial" w:hAnsi="Arial"/>
                <w:sz w:val="10"/>
                <w:szCs w:val="10"/>
                <w:color w:val="691A6B"/>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(1,463)</w:t>
            </w:r>
          </w:p>
        </w:tc>
      </w:tr>
      <w:tr>
        <w:trPr>
          <w:trHeight w:val="158"/>
        </w:trPr>
        <w:tc>
          <w:tcPr>
            <w:tcW w:w="3380" w:type="dxa"/>
            <w:vAlign w:val="bottom"/>
          </w:tcPr>
          <w:p>
            <w:pPr>
              <w:ind w:left="20"/>
              <w:spacing w:after="0"/>
              <w:rPr>
                <w:sz w:val="20"/>
                <w:szCs w:val="20"/>
                <w:color w:val="auto"/>
              </w:rPr>
            </w:pPr>
            <w:r>
              <w:rPr>
                <w:rFonts w:ascii="Arial" w:cs="Arial" w:eastAsia="Arial" w:hAnsi="Arial"/>
                <w:sz w:val="10"/>
                <w:szCs w:val="10"/>
                <w:b w:val="1"/>
                <w:bCs w:val="1"/>
                <w:color w:val="auto"/>
              </w:rPr>
              <w:t>Impairment at December 31</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691A6B"/>
              </w:rPr>
              <w:t>(1,749)</w:t>
            </w:r>
          </w:p>
        </w:tc>
        <w:tc>
          <w:tcPr>
            <w:tcW w:w="960" w:type="dxa"/>
            <w:vAlign w:val="bottom"/>
          </w:tcPr>
          <w:p>
            <w:pPr>
              <w:jc w:val="right"/>
              <w:spacing w:after="0"/>
              <w:rPr>
                <w:sz w:val="20"/>
                <w:szCs w:val="20"/>
                <w:color w:val="auto"/>
              </w:rPr>
            </w:pPr>
            <w:r>
              <w:rPr>
                <w:rFonts w:ascii="Arial" w:cs="Arial" w:eastAsia="Arial" w:hAnsi="Arial"/>
                <w:sz w:val="10"/>
                <w:szCs w:val="10"/>
                <w:color w:val="auto"/>
              </w:rPr>
              <w:t>(1,749)</w:t>
            </w:r>
          </w:p>
        </w:tc>
      </w:tr>
      <w:tr>
        <w:trPr>
          <w:trHeight w:val="152"/>
        </w:trPr>
        <w:tc>
          <w:tcPr>
            <w:tcW w:w="3380" w:type="dxa"/>
            <w:vAlign w:val="bottom"/>
          </w:tcPr>
          <w:p>
            <w:pPr>
              <w:ind w:left="20"/>
              <w:spacing w:after="0"/>
              <w:rPr>
                <w:sz w:val="20"/>
                <w:szCs w:val="20"/>
                <w:color w:val="auto"/>
              </w:rPr>
            </w:pPr>
            <w:r>
              <w:rPr>
                <w:rFonts w:ascii="Arial" w:cs="Arial" w:eastAsia="Arial" w:hAnsi="Arial"/>
                <w:sz w:val="10"/>
                <w:szCs w:val="10"/>
                <w:b w:val="1"/>
                <w:bCs w:val="1"/>
                <w:color w:val="auto"/>
              </w:rPr>
              <w:t>Carrying amount at December 31</w:t>
            </w: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691A6B"/>
              </w:rPr>
              <w:t>4,332</w:t>
            </w:r>
          </w:p>
        </w:tc>
        <w:tc>
          <w:tcPr>
            <w:tcW w:w="960" w:type="dxa"/>
            <w:vAlign w:val="bottom"/>
          </w:tcPr>
          <w:p>
            <w:pPr>
              <w:jc w:val="right"/>
              <w:ind w:right="28"/>
              <w:spacing w:after="0"/>
              <w:rPr>
                <w:sz w:val="20"/>
                <w:szCs w:val="20"/>
                <w:color w:val="auto"/>
              </w:rPr>
            </w:pPr>
            <w:r>
              <w:rPr>
                <w:rFonts w:ascii="Arial" w:cs="Arial" w:eastAsia="Arial" w:hAnsi="Arial"/>
                <w:sz w:val="10"/>
                <w:szCs w:val="10"/>
                <w:color w:val="auto"/>
              </w:rPr>
              <w:t>929</w:t>
            </w:r>
          </w:p>
        </w:tc>
      </w:tr>
    </w:tbl>
    <w:p>
      <w:pPr>
        <w:ind w:right="2480"/>
        <w:spacing w:after="0" w:line="205" w:lineRule="auto"/>
        <w:rPr>
          <w:sz w:val="20"/>
          <w:szCs w:val="20"/>
          <w:color w:val="auto"/>
        </w:rPr>
      </w:pPr>
      <w:r>
        <w:rPr>
          <w:rFonts w:ascii="Arial" w:cs="Arial" w:eastAsia="Arial" w:hAnsi="Arial"/>
          <w:sz w:val="10"/>
          <w:szCs w:val="10"/>
          <w:color w:val="auto"/>
        </w:rPr>
        <w:t>Additions primarily related to capital contributions of $3,038 million to Genmab Holding II B.V. for the acquisition of Merus in 2025 and $1,800 million to Genmab US, Inc. for the acquisition of ProfoundBio, Inc. in 2024.</w:t>
      </w:r>
    </w:p>
    <w:p>
      <w:pPr>
        <w:spacing w:after="0" w:line="1" w:lineRule="exact"/>
        <w:rPr>
          <w:rFonts w:ascii="Arial" w:cs="Arial" w:eastAsia="Arial" w:hAnsi="Arial"/>
          <w:sz w:val="10"/>
          <w:szCs w:val="10"/>
          <w:color w:val="auto"/>
        </w:rPr>
      </w:pPr>
    </w:p>
    <w:p>
      <w:pPr>
        <w:ind w:right="2860"/>
        <w:spacing w:after="0" w:line="198" w:lineRule="auto"/>
        <w:rPr>
          <w:sz w:val="20"/>
          <w:szCs w:val="20"/>
          <w:color w:val="auto"/>
        </w:rPr>
      </w:pPr>
      <w:r>
        <w:rPr>
          <w:rFonts w:ascii="Arial" w:cs="Arial" w:eastAsia="Arial" w:hAnsi="Arial"/>
          <w:sz w:val="10"/>
          <w:szCs w:val="10"/>
          <w:color w:val="auto"/>
        </w:rPr>
        <w:t>There were no impairment losses recorded in 2025. In 2024, a $1,463 million impairment loss was recorded related to Genmab A/S’s indirect investment in ProfoundBio US.</w:t>
      </w:r>
    </w:p>
    <w:p>
      <w:pPr>
        <w:spacing w:after="0" w:line="1" w:lineRule="exact"/>
        <w:rPr>
          <w:rFonts w:ascii="Arial" w:cs="Arial" w:eastAsia="Arial" w:hAnsi="Arial"/>
          <w:sz w:val="10"/>
          <w:szCs w:val="10"/>
          <w:color w:val="auto"/>
        </w:rPr>
      </w:pPr>
    </w:p>
    <w:p>
      <w:pPr>
        <w:ind w:right="2480"/>
        <w:spacing w:after="0" w:line="200" w:lineRule="auto"/>
        <w:rPr>
          <w:rFonts w:ascii="Arial" w:cs="Arial" w:eastAsia="Arial" w:hAnsi="Arial"/>
          <w:sz w:val="10"/>
          <w:szCs w:val="10"/>
          <w:color w:val="691A6B"/>
        </w:rPr>
      </w:pPr>
      <w:hyperlink w:anchor="page137">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1.1 </w:t>
      </w:r>
      <w:hyperlink w:anchor="page137">
        <w:r>
          <w:rPr>
            <w:rFonts w:ascii="Arial" w:cs="Arial" w:eastAsia="Arial" w:hAnsi="Arial"/>
            <w:sz w:val="10"/>
            <w:szCs w:val="10"/>
            <w:color w:val="691A6B"/>
          </w:rPr>
          <w:t>in the consolidated financial statements for a listing of subsidiaries owned by Genmab A/</w:t>
        </w:r>
      </w:hyperlink>
      <w:r>
        <w:rPr>
          <w:rFonts w:ascii="Arial" w:cs="Arial" w:eastAsia="Arial" w:hAnsi="Arial"/>
          <w:sz w:val="10"/>
          <w:szCs w:val="10"/>
          <w:color w:val="691A6B"/>
        </w:rPr>
        <w:t xml:space="preserve"> </w:t>
      </w:r>
      <w:hyperlink w:anchor="page137">
        <w:r>
          <w:rPr>
            <w:rFonts w:ascii="Arial" w:cs="Arial" w:eastAsia="Arial" w:hAnsi="Arial"/>
            <w:sz w:val="10"/>
            <w:szCs w:val="10"/>
            <w:color w:val="691A6B"/>
          </w:rPr>
          <w:t xml:space="preserve">S, </w:t>
        </w:r>
      </w:hyperlink>
      <w:hyperlink w:anchor="page156">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5.5 </w:t>
      </w:r>
      <w:hyperlink w:anchor="page156">
        <w:r>
          <w:rPr>
            <w:rFonts w:ascii="Arial" w:cs="Arial" w:eastAsia="Arial" w:hAnsi="Arial"/>
            <w:sz w:val="10"/>
            <w:szCs w:val="10"/>
            <w:color w:val="691A6B"/>
          </w:rPr>
          <w:t>in the consolidated financial statements of the group for additional information regarding the</w:t>
        </w:r>
      </w:hyperlink>
      <w:r>
        <w:rPr>
          <w:rFonts w:ascii="Arial" w:cs="Arial" w:eastAsia="Arial" w:hAnsi="Arial"/>
          <w:sz w:val="10"/>
          <w:szCs w:val="10"/>
          <w:color w:val="691A6B"/>
        </w:rPr>
        <w:t xml:space="preserve"> </w:t>
      </w:r>
      <w:hyperlink w:anchor="page156">
        <w:r>
          <w:rPr>
            <w:rFonts w:ascii="Arial" w:cs="Arial" w:eastAsia="Arial" w:hAnsi="Arial"/>
            <w:sz w:val="10"/>
            <w:szCs w:val="10"/>
            <w:color w:val="691A6B"/>
          </w:rPr>
          <w:t xml:space="preserve">acquisitions of Merus and ProfoundBio and </w:t>
        </w:r>
      </w:hyperlink>
      <w:hyperlink w:anchor="page166">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14 </w:t>
      </w:r>
      <w:hyperlink w:anchor="page166">
        <w:r>
          <w:rPr>
            <w:rFonts w:ascii="Arial" w:cs="Arial" w:eastAsia="Arial" w:hAnsi="Arial"/>
            <w:sz w:val="10"/>
            <w:szCs w:val="10"/>
            <w:color w:val="691A6B"/>
          </w:rPr>
          <w:t>in the parent company financial statements for further</w:t>
        </w:r>
      </w:hyperlink>
      <w:r>
        <w:rPr>
          <w:rFonts w:ascii="Arial" w:cs="Arial" w:eastAsia="Arial" w:hAnsi="Arial"/>
          <w:sz w:val="10"/>
          <w:szCs w:val="10"/>
          <w:color w:val="691A6B"/>
        </w:rPr>
        <w:t xml:space="preserve"> </w:t>
      </w:r>
      <w:hyperlink w:anchor="page166">
        <w:r>
          <w:rPr>
            <w:rFonts w:ascii="Arial" w:cs="Arial" w:eastAsia="Arial" w:hAnsi="Arial"/>
            <w:sz w:val="10"/>
            <w:szCs w:val="10"/>
            <w:color w:val="691A6B"/>
          </w:rPr>
          <w:t>details related to the transfer of ProfoundBio US intangible assets to Genmab A/S.</w:t>
        </w:r>
      </w:hyperlink>
    </w:p>
    <w:p>
      <w:pPr>
        <w:spacing w:after="0" w:line="212" w:lineRule="auto"/>
        <w:rPr>
          <w:sz w:val="20"/>
          <w:szCs w:val="20"/>
          <w:color w:val="auto"/>
        </w:rPr>
      </w:pPr>
      <w:r>
        <w:rPr>
          <w:rFonts w:ascii="Arial" w:cs="Arial" w:eastAsia="Arial" w:hAnsi="Arial"/>
          <w:sz w:val="15"/>
          <w:szCs w:val="15"/>
          <w:b w:val="1"/>
          <w:bCs w:val="1"/>
          <w:color w:val="691A6B"/>
        </w:rPr>
        <w:t>19 - Commitments</w:t>
      </w:r>
    </w:p>
    <w:p>
      <w:pPr>
        <w:spacing w:after="0" w:line="209" w:lineRule="auto"/>
        <w:rPr>
          <w:sz w:val="20"/>
          <w:szCs w:val="20"/>
          <w:color w:val="auto"/>
        </w:rPr>
      </w:pPr>
      <w:r>
        <w:rPr>
          <w:rFonts w:ascii="Arial" w:cs="Arial" w:eastAsia="Arial" w:hAnsi="Arial"/>
          <w:sz w:val="13"/>
          <w:szCs w:val="13"/>
          <w:b w:val="1"/>
          <w:bCs w:val="1"/>
          <w:color w:val="691A6B"/>
        </w:rPr>
        <w:t>Purchase Obligations</w:t>
      </w:r>
    </w:p>
    <w:p>
      <w:pPr>
        <w:ind w:right="2480"/>
        <w:spacing w:after="0" w:line="198" w:lineRule="auto"/>
        <w:rPr>
          <w:sz w:val="20"/>
          <w:szCs w:val="20"/>
          <w:color w:val="auto"/>
        </w:rPr>
      </w:pPr>
      <w:r>
        <w:rPr>
          <w:rFonts w:ascii="Arial" w:cs="Arial" w:eastAsia="Arial" w:hAnsi="Arial"/>
          <w:sz w:val="10"/>
          <w:szCs w:val="10"/>
          <w:color w:val="auto"/>
        </w:rPr>
        <w:t>Genmab A/S has entered into a number of agreements related to research and development activities that contain various obligations. These contractual obligations amounted to approximately $353 million as of December 31, 2025 (2024: approximately $401 million).</w:t>
      </w:r>
    </w:p>
    <w:p>
      <w:pPr>
        <w:spacing w:after="0" w:line="1" w:lineRule="exact"/>
        <w:rPr>
          <w:rFonts w:ascii="Arial" w:cs="Arial" w:eastAsia="Arial" w:hAnsi="Arial"/>
          <w:sz w:val="10"/>
          <w:szCs w:val="10"/>
          <w:color w:val="691A6B"/>
        </w:rPr>
      </w:pPr>
    </w:p>
    <w:p>
      <w:pPr>
        <w:ind w:right="2480"/>
        <w:spacing w:after="0" w:line="227" w:lineRule="auto"/>
        <w:rPr>
          <w:sz w:val="20"/>
          <w:szCs w:val="20"/>
          <w:color w:val="auto"/>
        </w:rPr>
      </w:pPr>
      <w:r>
        <w:rPr>
          <w:rFonts w:ascii="Arial" w:cs="Arial" w:eastAsia="Arial" w:hAnsi="Arial"/>
          <w:sz w:val="10"/>
          <w:szCs w:val="10"/>
          <w:color w:val="auto"/>
        </w:rPr>
        <w:t>Genmab A/S also has certain contingent commitments under our license and collaboration agreements that may become due in the future. As of December 31, 2025, these contingent commitments amounted to approximately $2,502 million in potential future development, regulatory and commercial milestone payments to third parties under license and collaboration agreements for our preclinical and clinical stage development programs as compared to approximately $ 1,723 million as of December 31, 2024. These milestone payments generally become due and payable only upon the achievement of certain development, clinical, regulatory or commercial milestones. The events triggering such payments or obligations have not yet occurred.</w:t>
      </w:r>
    </w:p>
    <w:p>
      <w:pPr>
        <w:ind w:right="2660"/>
        <w:spacing w:after="0" w:line="199" w:lineRule="auto"/>
        <w:rPr>
          <w:sz w:val="20"/>
          <w:szCs w:val="20"/>
          <w:color w:val="auto"/>
        </w:rPr>
      </w:pPr>
      <w:r>
        <w:rPr>
          <w:rFonts w:ascii="Arial" w:cs="Arial" w:eastAsia="Arial" w:hAnsi="Arial"/>
          <w:sz w:val="10"/>
          <w:szCs w:val="10"/>
          <w:color w:val="auto"/>
        </w:rPr>
        <w:t>In addition to the above obligations, Genmab A/S enters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212" w:lineRule="auto"/>
        <w:rPr>
          <w:sz w:val="20"/>
          <w:szCs w:val="20"/>
          <w:color w:val="auto"/>
        </w:rPr>
      </w:pPr>
      <w:r>
        <w:rPr>
          <w:rFonts w:ascii="Arial" w:cs="Arial" w:eastAsia="Arial" w:hAnsi="Arial"/>
          <w:sz w:val="13"/>
          <w:szCs w:val="13"/>
          <w:b w:val="1"/>
          <w:bCs w:val="1"/>
          <w:color w:val="691A6B"/>
        </w:rPr>
        <w:t>Financial Guarantees</w:t>
      </w:r>
    </w:p>
    <w:p>
      <w:pPr>
        <w:ind w:right="2560"/>
        <w:spacing w:after="0"/>
        <w:rPr>
          <w:sz w:val="20"/>
          <w:szCs w:val="20"/>
          <w:color w:val="auto"/>
        </w:rPr>
      </w:pPr>
      <w:r>
        <w:rPr>
          <w:rFonts w:ascii="Arial" w:cs="Arial" w:eastAsia="Arial" w:hAnsi="Arial"/>
          <w:sz w:val="10"/>
          <w:szCs w:val="10"/>
          <w:color w:val="auto"/>
        </w:rPr>
        <w:t>As of December 31, 2025 and December 31, 2024, Genmab A/S has financial bank guarantees of $2 million issued as security for lease obligations under certain lease agreements. The guarantees represent the Group’s maximum exposure under these arrangements. No losses are expected under the guarantees.</w:t>
      </w:r>
    </w:p>
    <w:p>
      <w:pPr>
        <w:spacing w:after="0" w:line="36" w:lineRule="exact"/>
        <w:rPr>
          <w:rFonts w:ascii="Arial" w:cs="Arial" w:eastAsia="Arial" w:hAnsi="Arial"/>
          <w:sz w:val="10"/>
          <w:szCs w:val="10"/>
          <w:color w:val="691A6B"/>
        </w:rPr>
      </w:pPr>
    </w:p>
    <w:p>
      <w:pPr>
        <w:ind w:right="2520"/>
        <w:spacing w:after="0" w:line="201" w:lineRule="auto"/>
        <w:rPr>
          <w:rFonts w:ascii="Arial" w:cs="Arial" w:eastAsia="Arial" w:hAnsi="Arial"/>
          <w:sz w:val="10"/>
          <w:szCs w:val="10"/>
          <w:color w:val="691A6B"/>
        </w:rPr>
      </w:pPr>
      <w:hyperlink w:anchor="page15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5.3 </w:t>
      </w:r>
      <w:hyperlink w:anchor="page156">
        <w:r>
          <w:rPr>
            <w:rFonts w:ascii="Arial" w:cs="Arial" w:eastAsia="Arial" w:hAnsi="Arial"/>
            <w:sz w:val="10"/>
            <w:szCs w:val="10"/>
            <w:color w:val="691A6B"/>
          </w:rPr>
          <w:t>in the consolidated financial statements for additional information regarding</w:t>
        </w:r>
      </w:hyperlink>
      <w:r>
        <w:rPr>
          <w:rFonts w:ascii="Arial" w:cs="Arial" w:eastAsia="Arial" w:hAnsi="Arial"/>
          <w:sz w:val="10"/>
          <w:szCs w:val="10"/>
          <w:color w:val="691A6B"/>
        </w:rPr>
        <w:t xml:space="preserve"> </w:t>
      </w:r>
      <w:hyperlink w:anchor="page156">
        <w:r>
          <w:rPr>
            <w:rFonts w:ascii="Arial" w:cs="Arial" w:eastAsia="Arial" w:hAnsi="Arial"/>
            <w:sz w:val="10"/>
            <w:szCs w:val="10"/>
            <w:color w:val="691A6B"/>
          </w:rPr>
          <w:t xml:space="preserve">commitments of the Group </w:t>
        </w:r>
      </w:hyperlink>
      <w:r>
        <w:rPr>
          <w:rFonts w:ascii="Arial" w:cs="Arial" w:eastAsia="Arial" w:hAnsi="Arial"/>
          <w:sz w:val="10"/>
          <w:szCs w:val="10"/>
          <w:color w:val="691A6B"/>
        </w:rPr>
        <w:t xml:space="preserve">and </w:t>
      </w:r>
      <w:hyperlink w:anchor="page159">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5.7 </w:t>
      </w:r>
      <w:hyperlink w:anchor="page159">
        <w:r>
          <w:rPr>
            <w:rFonts w:ascii="Arial" w:cs="Arial" w:eastAsia="Arial" w:hAnsi="Arial"/>
            <w:sz w:val="10"/>
            <w:szCs w:val="10"/>
            <w:color w:val="691A6B"/>
          </w:rPr>
          <w:t>in the consolidated financial statements for additional information</w:t>
        </w:r>
      </w:hyperlink>
      <w:r>
        <w:rPr>
          <w:rFonts w:ascii="Arial" w:cs="Arial" w:eastAsia="Arial" w:hAnsi="Arial"/>
          <w:sz w:val="10"/>
          <w:szCs w:val="10"/>
          <w:color w:val="691A6B"/>
        </w:rPr>
        <w:t xml:space="preserve"> </w:t>
      </w:r>
      <w:hyperlink w:anchor="page159">
        <w:r>
          <w:rPr>
            <w:rFonts w:ascii="Arial" w:cs="Arial" w:eastAsia="Arial" w:hAnsi="Arial"/>
            <w:sz w:val="10"/>
            <w:szCs w:val="10"/>
            <w:color w:val="691A6B"/>
          </w:rPr>
          <w:t>regarding contingencies of the Group.</w:t>
        </w:r>
      </w:hyperlink>
    </w:p>
    <w:p>
      <w:pPr>
        <w:spacing w:after="0" w:line="219" w:lineRule="auto"/>
        <w:rPr>
          <w:sz w:val="20"/>
          <w:szCs w:val="20"/>
          <w:color w:val="auto"/>
        </w:rPr>
      </w:pPr>
      <w:r>
        <w:rPr>
          <w:rFonts w:ascii="Arial" w:cs="Arial" w:eastAsia="Arial" w:hAnsi="Arial"/>
          <w:sz w:val="15"/>
          <w:szCs w:val="15"/>
          <w:b w:val="1"/>
          <w:bCs w:val="1"/>
          <w:color w:val="691A6B"/>
        </w:rPr>
        <w:t>20 - Fees to Auditors Appointed at the Annual General Meeting</w:t>
      </w:r>
    </w:p>
    <w:p>
      <w:pPr>
        <w:spacing w:after="0" w:line="1" w:lineRule="exact"/>
        <w:rPr>
          <w:rFonts w:ascii="Arial" w:cs="Arial" w:eastAsia="Arial" w:hAnsi="Arial"/>
          <w:sz w:val="10"/>
          <w:szCs w:val="10"/>
          <w:color w:val="691A6B"/>
        </w:rPr>
      </w:pPr>
    </w:p>
    <w:tbl>
      <w:tblPr>
        <w:tblLayout w:type="fixed"/>
        <w:tblInd w:w="0" w:type="dxa"/>
        <w:tblCellMar>
          <w:top w:w="0" w:type="dxa"/>
          <w:left w:w="0" w:type="dxa"/>
          <w:bottom w:w="0" w:type="dxa"/>
          <w:right w:w="0" w:type="dxa"/>
        </w:tblCellMar>
      </w:tblPr>
      <w:tr>
        <w:trPr>
          <w:trHeight w:val="123"/>
        </w:trPr>
        <w:tc>
          <w:tcPr>
            <w:tcW w:w="1920" w:type="dxa"/>
            <w:vAlign w:val="bottom"/>
            <w:tcBorders>
              <w:top w:val="single" w:sz="8" w:color="691A6B"/>
            </w:tcBorders>
          </w:tcPr>
          <w:p>
            <w:pPr>
              <w:spacing w:after="0"/>
              <w:rPr>
                <w:sz w:val="10"/>
                <w:szCs w:val="10"/>
                <w:color w:val="auto"/>
              </w:rPr>
            </w:pPr>
          </w:p>
        </w:tc>
        <w:tc>
          <w:tcPr>
            <w:tcW w:w="1660" w:type="dxa"/>
            <w:vAlign w:val="bottom"/>
            <w:tcBorders>
              <w:top w:val="single" w:sz="8" w:color="691A6B"/>
            </w:tcBorders>
          </w:tcPr>
          <w:p>
            <w:pPr>
              <w:ind w:left="1080"/>
              <w:spacing w:after="0"/>
              <w:rPr>
                <w:sz w:val="20"/>
                <w:szCs w:val="20"/>
                <w:color w:val="auto"/>
              </w:rPr>
            </w:pPr>
            <w:r>
              <w:rPr>
                <w:rFonts w:ascii="Arial" w:cs="Arial" w:eastAsia="Arial" w:hAnsi="Arial"/>
                <w:sz w:val="10"/>
                <w:szCs w:val="10"/>
                <w:b w:val="1"/>
                <w:bCs w:val="1"/>
                <w:color w:val="691A6B"/>
              </w:rPr>
              <w:t>2025</w:t>
            </w:r>
          </w:p>
        </w:tc>
        <w:tc>
          <w:tcPr>
            <w:tcW w:w="1280" w:type="dxa"/>
            <w:vAlign w:val="bottom"/>
            <w:tcBorders>
              <w:top w:val="single" w:sz="8" w:color="691A6B"/>
            </w:tcBorders>
          </w:tcPr>
          <w:p>
            <w:pPr>
              <w:ind w:left="360"/>
              <w:spacing w:after="0"/>
              <w:rPr>
                <w:sz w:val="20"/>
                <w:szCs w:val="20"/>
                <w:color w:val="auto"/>
              </w:rPr>
            </w:pPr>
            <w:r>
              <w:rPr>
                <w:rFonts w:ascii="Arial" w:cs="Arial" w:eastAsia="Arial" w:hAnsi="Arial"/>
                <w:sz w:val="10"/>
                <w:szCs w:val="10"/>
                <w:b w:val="1"/>
                <w:bCs w:val="1"/>
                <w:color w:val="auto"/>
              </w:rPr>
              <w:t>2024</w:t>
            </w:r>
          </w:p>
        </w:tc>
      </w:tr>
      <w:tr>
        <w:trPr>
          <w:trHeight w:val="137"/>
        </w:trPr>
        <w:tc>
          <w:tcPr>
            <w:tcW w:w="1920" w:type="dxa"/>
            <w:vAlign w:val="bottom"/>
          </w:tcPr>
          <w:p>
            <w:pPr>
              <w:ind w:left="20"/>
              <w:spacing w:after="0"/>
              <w:rPr>
                <w:sz w:val="20"/>
                <w:szCs w:val="20"/>
                <w:color w:val="auto"/>
              </w:rPr>
            </w:pPr>
            <w:r>
              <w:rPr>
                <w:rFonts w:ascii="Arial" w:cs="Arial" w:eastAsia="Arial" w:hAnsi="Arial"/>
                <w:sz w:val="10"/>
                <w:szCs w:val="10"/>
                <w:color w:val="auto"/>
              </w:rPr>
              <w:t>Audit fees</w:t>
            </w:r>
          </w:p>
        </w:tc>
        <w:tc>
          <w:tcPr>
            <w:tcW w:w="1660" w:type="dxa"/>
            <w:vAlign w:val="bottom"/>
          </w:tcPr>
          <w:p>
            <w:pPr>
              <w:ind w:left="1080"/>
              <w:spacing w:after="0"/>
              <w:rPr>
                <w:sz w:val="20"/>
                <w:szCs w:val="20"/>
                <w:color w:val="auto"/>
              </w:rPr>
            </w:pPr>
            <w:r>
              <w:rPr>
                <w:rFonts w:ascii="Arial" w:cs="Arial" w:eastAsia="Arial" w:hAnsi="Arial"/>
                <w:sz w:val="10"/>
                <w:szCs w:val="10"/>
                <w:color w:val="691A6B"/>
              </w:rPr>
              <w:t>1.7</w:t>
            </w:r>
          </w:p>
        </w:tc>
        <w:tc>
          <w:tcPr>
            <w:tcW w:w="1280" w:type="dxa"/>
            <w:vAlign w:val="bottom"/>
          </w:tcPr>
          <w:p>
            <w:pPr>
              <w:ind w:left="360"/>
              <w:spacing w:after="0"/>
              <w:rPr>
                <w:sz w:val="20"/>
                <w:szCs w:val="20"/>
                <w:color w:val="auto"/>
              </w:rPr>
            </w:pPr>
            <w:r>
              <w:rPr>
                <w:rFonts w:ascii="Arial" w:cs="Arial" w:eastAsia="Arial" w:hAnsi="Arial"/>
                <w:sz w:val="10"/>
                <w:szCs w:val="10"/>
                <w:color w:val="auto"/>
              </w:rPr>
              <w:t>1.5</w:t>
            </w:r>
          </w:p>
        </w:tc>
      </w:tr>
      <w:tr>
        <w:trPr>
          <w:trHeight w:val="152"/>
        </w:trPr>
        <w:tc>
          <w:tcPr>
            <w:tcW w:w="1920" w:type="dxa"/>
            <w:vAlign w:val="bottom"/>
          </w:tcPr>
          <w:p>
            <w:pPr>
              <w:ind w:left="20"/>
              <w:spacing w:after="0"/>
              <w:rPr>
                <w:sz w:val="20"/>
                <w:szCs w:val="20"/>
                <w:color w:val="auto"/>
              </w:rPr>
            </w:pPr>
            <w:r>
              <w:rPr>
                <w:rFonts w:ascii="Arial" w:cs="Arial" w:eastAsia="Arial" w:hAnsi="Arial"/>
                <w:sz w:val="10"/>
                <w:szCs w:val="10"/>
                <w:color w:val="auto"/>
              </w:rPr>
              <w:t>Audit-related fees</w:t>
            </w:r>
          </w:p>
        </w:tc>
        <w:tc>
          <w:tcPr>
            <w:tcW w:w="1660" w:type="dxa"/>
            <w:vAlign w:val="bottom"/>
          </w:tcPr>
          <w:p>
            <w:pPr>
              <w:ind w:left="1080"/>
              <w:spacing w:after="0"/>
              <w:rPr>
                <w:sz w:val="20"/>
                <w:szCs w:val="20"/>
                <w:color w:val="auto"/>
              </w:rPr>
            </w:pPr>
            <w:r>
              <w:rPr>
                <w:rFonts w:ascii="Arial" w:cs="Arial" w:eastAsia="Arial" w:hAnsi="Arial"/>
                <w:sz w:val="10"/>
                <w:szCs w:val="10"/>
                <w:color w:val="691A6B"/>
              </w:rPr>
              <w:t>0.8</w:t>
            </w:r>
          </w:p>
        </w:tc>
        <w:tc>
          <w:tcPr>
            <w:tcW w:w="1280" w:type="dxa"/>
            <w:vAlign w:val="bottom"/>
          </w:tcPr>
          <w:p>
            <w:pPr>
              <w:ind w:left="360"/>
              <w:spacing w:after="0"/>
              <w:rPr>
                <w:sz w:val="20"/>
                <w:szCs w:val="20"/>
                <w:color w:val="auto"/>
              </w:rPr>
            </w:pPr>
            <w:r>
              <w:rPr>
                <w:rFonts w:ascii="Arial" w:cs="Arial" w:eastAsia="Arial" w:hAnsi="Arial"/>
                <w:sz w:val="10"/>
                <w:szCs w:val="10"/>
                <w:color w:val="auto"/>
              </w:rPr>
              <w:t>0.3</w:t>
            </w:r>
          </w:p>
        </w:tc>
      </w:tr>
      <w:tr>
        <w:trPr>
          <w:trHeight w:val="158"/>
        </w:trPr>
        <w:tc>
          <w:tcPr>
            <w:tcW w:w="192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660" w:type="dxa"/>
            <w:vAlign w:val="bottom"/>
          </w:tcPr>
          <w:p>
            <w:pPr>
              <w:ind w:left="1080"/>
              <w:spacing w:after="0"/>
              <w:rPr>
                <w:sz w:val="20"/>
                <w:szCs w:val="20"/>
                <w:color w:val="auto"/>
              </w:rPr>
            </w:pPr>
            <w:r>
              <w:rPr>
                <w:rFonts w:ascii="Arial" w:cs="Arial" w:eastAsia="Arial" w:hAnsi="Arial"/>
                <w:sz w:val="10"/>
                <w:szCs w:val="10"/>
                <w:b w:val="1"/>
                <w:bCs w:val="1"/>
                <w:color w:val="691A6B"/>
              </w:rPr>
              <w:t>2.5</w:t>
            </w:r>
          </w:p>
        </w:tc>
        <w:tc>
          <w:tcPr>
            <w:tcW w:w="1280" w:type="dxa"/>
            <w:vAlign w:val="bottom"/>
          </w:tcPr>
          <w:p>
            <w:pPr>
              <w:ind w:left="360"/>
              <w:spacing w:after="0"/>
              <w:rPr>
                <w:sz w:val="20"/>
                <w:szCs w:val="20"/>
                <w:color w:val="auto"/>
              </w:rPr>
            </w:pPr>
            <w:r>
              <w:rPr>
                <w:rFonts w:ascii="Arial" w:cs="Arial" w:eastAsia="Arial" w:hAnsi="Arial"/>
                <w:sz w:val="10"/>
                <w:szCs w:val="10"/>
                <w:color w:val="auto"/>
              </w:rPr>
              <w:t>1.8</w:t>
            </w:r>
          </w:p>
        </w:tc>
      </w:tr>
    </w:tbl>
    <w:p>
      <w:pPr>
        <w:ind w:right="2460"/>
        <w:spacing w:after="0"/>
        <w:rPr>
          <w:sz w:val="20"/>
          <w:szCs w:val="20"/>
          <w:color w:val="auto"/>
        </w:rPr>
      </w:pPr>
      <w:r>
        <w:rPr>
          <w:rFonts w:ascii="Arial" w:cs="Arial" w:eastAsia="Arial" w:hAnsi="Arial"/>
          <w:sz w:val="10"/>
          <w:szCs w:val="10"/>
          <w:color w:val="auto"/>
        </w:rPr>
        <w:t>Fees for other services than statutory audit of the financial statements provided by Deloitte Statsautoriseret Revisionspartnerselskab amounted to $0.8 million in 2025 and $0.3 million in 2024. These services primarily include agreed- upon procedures, other assurance assessments and reports, and accounting advice.</w:t>
      </w:r>
    </w:p>
    <w:p>
      <w:pPr>
        <w:spacing w:after="0" w:line="46" w:lineRule="exact"/>
        <w:rPr>
          <w:rFonts w:ascii="Arial" w:cs="Arial" w:eastAsia="Arial" w:hAnsi="Arial"/>
          <w:sz w:val="10"/>
          <w:szCs w:val="10"/>
          <w:color w:val="691A6B"/>
        </w:rPr>
      </w:pPr>
    </w:p>
    <w:p>
      <w:pPr>
        <w:ind w:right="2760"/>
        <w:spacing w:after="0" w:line="231" w:lineRule="auto"/>
        <w:rPr>
          <w:rFonts w:ascii="Arial" w:cs="Arial" w:eastAsia="Arial" w:hAnsi="Arial"/>
          <w:sz w:val="10"/>
          <w:szCs w:val="10"/>
          <w:color w:val="691A6B"/>
        </w:rPr>
      </w:pPr>
      <w:hyperlink w:anchor="page156">
        <w:r>
          <w:rPr>
            <w:rFonts w:ascii="Arial" w:cs="Arial" w:eastAsia="Arial" w:hAnsi="Arial"/>
            <w:sz w:val="10"/>
            <w:szCs w:val="10"/>
            <w:color w:val="691A6B"/>
          </w:rPr>
          <w:t xml:space="preserve">Refer to </w:t>
        </w:r>
        <w:r>
          <w:rPr>
            <w:rFonts w:ascii="Arial" w:cs="Arial" w:eastAsia="Arial" w:hAnsi="Arial"/>
            <w:sz w:val="10"/>
            <w:szCs w:val="10"/>
            <w:b w:val="1"/>
            <w:bCs w:val="1"/>
            <w:color w:val="691A6B"/>
          </w:rPr>
          <w:t xml:space="preserve">Note </w:t>
        </w:r>
      </w:hyperlink>
      <w:r>
        <w:rPr>
          <w:rFonts w:ascii="Arial" w:cs="Arial" w:eastAsia="Arial" w:hAnsi="Arial"/>
          <w:sz w:val="10"/>
          <w:szCs w:val="10"/>
          <w:color w:val="691A6B"/>
        </w:rPr>
        <w:t xml:space="preserve">5.4 </w:t>
      </w:r>
      <w:hyperlink w:anchor="page156">
        <w:r>
          <w:rPr>
            <w:rFonts w:ascii="Arial" w:cs="Arial" w:eastAsia="Arial" w:hAnsi="Arial"/>
            <w:sz w:val="10"/>
            <w:szCs w:val="10"/>
            <w:color w:val="691A6B"/>
          </w:rPr>
          <w:t>in the consolidated financial statements for additional information regarding fees to</w:t>
        </w:r>
      </w:hyperlink>
      <w:r>
        <w:rPr>
          <w:rFonts w:ascii="Arial" w:cs="Arial" w:eastAsia="Arial" w:hAnsi="Arial"/>
          <w:sz w:val="10"/>
          <w:szCs w:val="10"/>
          <w:color w:val="691A6B"/>
        </w:rPr>
        <w:t xml:space="preserve"> </w:t>
      </w:r>
      <w:hyperlink w:anchor="page156">
        <w:r>
          <w:rPr>
            <w:rFonts w:ascii="Arial" w:cs="Arial" w:eastAsia="Arial" w:hAnsi="Arial"/>
            <w:sz w:val="10"/>
            <w:szCs w:val="10"/>
            <w:color w:val="691A6B"/>
          </w:rPr>
          <w:t>auditors of the Group.</w:t>
        </w:r>
      </w:hyperlink>
    </w:p>
    <w:p>
      <w:pPr>
        <w:spacing w:after="0" w:line="20" w:lineRule="exact"/>
        <w:rPr>
          <w:rFonts w:ascii="Arial" w:cs="Arial" w:eastAsia="Arial" w:hAnsi="Arial"/>
          <w:sz w:val="10"/>
          <w:szCs w:val="10"/>
          <w:color w:val="691A6B"/>
        </w:rPr>
      </w:pPr>
      <w:r>
        <w:rPr>
          <w:rFonts w:ascii="Arial" w:cs="Arial" w:eastAsia="Arial" w:hAnsi="Arial"/>
          <w:sz w:val="10"/>
          <w:szCs w:val="10"/>
          <w:color w:val="691A6B"/>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171</w:t>
      </w: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200" w:lineRule="exact"/>
        <w:rPr>
          <w:rFonts w:ascii="Arial" w:cs="Arial" w:eastAsia="Arial" w:hAnsi="Arial"/>
          <w:sz w:val="10"/>
          <w:szCs w:val="10"/>
          <w:color w:val="691A6B"/>
        </w:rPr>
      </w:pPr>
    </w:p>
    <w:p>
      <w:pPr>
        <w:spacing w:after="0" w:line="328" w:lineRule="exact"/>
        <w:rPr>
          <w:rFonts w:ascii="Arial" w:cs="Arial" w:eastAsia="Arial" w:hAnsi="Arial"/>
          <w:sz w:val="10"/>
          <w:szCs w:val="10"/>
          <w:color w:val="691A6B"/>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172</w:t>
      </w:r>
    </w:p>
    <w:p>
      <w:pPr>
        <w:sectPr>
          <w:pgSz w:w="11900" w:h="16840" w:orient="portrait"/>
          <w:cols w:equalWidth="0" w:num="2">
            <w:col w:w="7400" w:space="720"/>
            <w:col w:w="1700"/>
          </w:cols>
          <w:pgMar w:left="640" w:top="571" w:right="1440" w:bottom="817" w:gutter="0" w:footer="0" w:header="0"/>
        </w:sectPr>
      </w:pPr>
    </w:p>
    <w:bookmarkStart w:id="167" w:name="page168"/>
    <w:bookmarkEnd w:id="167"/>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173</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31"/>
          <w:szCs w:val="31"/>
          <w:color w:val="691A6B"/>
        </w:rPr>
        <w:t>Directors’ and Management’s Statement on the Annual Report</w:t>
      </w:r>
    </w:p>
    <w:p>
      <w:pPr>
        <w:spacing w:after="0" w:line="95" w:lineRule="exact"/>
        <w:rPr>
          <w:sz w:val="20"/>
          <w:szCs w:val="20"/>
          <w:color w:val="auto"/>
        </w:rPr>
      </w:pPr>
      <w:r>
        <w:rPr>
          <w:rFonts w:ascii="Arial Unicode MS" w:cs="Arial Unicode MS" w:eastAsia="Arial Unicode MS" w:hAnsi="Arial Unicode MS"/>
          <w:sz w:val="9"/>
          <w:szCs w:val="9"/>
          <w:color w:val="auto"/>
        </w:rPr>
        <w:t>The Board of Directors and Executive Management</w:t>
      </w:r>
    </w:p>
    <w:p>
      <w:pPr>
        <w:spacing w:after="0" w:line="95" w:lineRule="exact"/>
        <w:rPr>
          <w:sz w:val="20"/>
          <w:szCs w:val="20"/>
          <w:color w:val="auto"/>
        </w:rPr>
      </w:pPr>
      <w:r>
        <w:rPr>
          <w:rFonts w:ascii="Arial Unicode MS" w:cs="Arial Unicode MS" w:eastAsia="Arial Unicode MS" w:hAnsi="Arial Unicode MS"/>
          <w:sz w:val="9"/>
          <w:szCs w:val="9"/>
          <w:color w:val="auto"/>
        </w:rPr>
        <w:t>have today considered and adopted the Annual</w:t>
      </w:r>
    </w:p>
    <w:p>
      <w:pPr>
        <w:spacing w:after="0" w:line="96" w:lineRule="exact"/>
        <w:rPr>
          <w:sz w:val="20"/>
          <w:szCs w:val="20"/>
          <w:color w:val="auto"/>
        </w:rPr>
      </w:pPr>
      <w:r>
        <w:rPr>
          <w:rFonts w:ascii="Arial Unicode MS" w:cs="Arial Unicode MS" w:eastAsia="Arial Unicode MS" w:hAnsi="Arial Unicode MS"/>
          <w:sz w:val="9"/>
          <w:szCs w:val="9"/>
          <w:color w:val="auto"/>
        </w:rPr>
        <w:t>Report of Genmab A/S for the financial year</w:t>
      </w:r>
    </w:p>
    <w:p>
      <w:pPr>
        <w:spacing w:after="0" w:line="95" w:lineRule="exact"/>
        <w:rPr>
          <w:sz w:val="20"/>
          <w:szCs w:val="20"/>
          <w:color w:val="auto"/>
        </w:rPr>
      </w:pPr>
      <w:r>
        <w:rPr>
          <w:rFonts w:ascii="Arial Unicode MS" w:cs="Arial Unicode MS" w:eastAsia="Arial Unicode MS" w:hAnsi="Arial Unicode MS"/>
          <w:sz w:val="9"/>
          <w:szCs w:val="9"/>
          <w:color w:val="auto"/>
        </w:rPr>
        <w:t>January 1 to December 31, 2025.</w:t>
      </w:r>
    </w:p>
    <w:p>
      <w:pPr>
        <w:spacing w:after="0" w:line="96" w:lineRule="exact"/>
        <w:rPr>
          <w:sz w:val="20"/>
          <w:szCs w:val="20"/>
          <w:color w:val="auto"/>
        </w:rPr>
      </w:pPr>
      <w:r>
        <w:rPr>
          <w:rFonts w:ascii="Arial Unicode MS" w:cs="Arial Unicode MS" w:eastAsia="Arial Unicode MS" w:hAnsi="Arial Unicode MS"/>
          <w:sz w:val="9"/>
          <w:szCs w:val="9"/>
          <w:color w:val="auto"/>
        </w:rPr>
        <w:t>The Annual Report has been prepared in</w:t>
      </w:r>
    </w:p>
    <w:p>
      <w:pPr>
        <w:spacing w:after="0" w:line="95" w:lineRule="exact"/>
        <w:rPr>
          <w:sz w:val="20"/>
          <w:szCs w:val="20"/>
          <w:color w:val="auto"/>
        </w:rPr>
      </w:pPr>
      <w:r>
        <w:rPr>
          <w:rFonts w:ascii="Arial Unicode MS" w:cs="Arial Unicode MS" w:eastAsia="Arial Unicode MS" w:hAnsi="Arial Unicode MS"/>
          <w:sz w:val="9"/>
          <w:szCs w:val="9"/>
          <w:color w:val="auto"/>
        </w:rPr>
        <w:t>accordance with IFRS Accounting Standards as</w:t>
      </w:r>
    </w:p>
    <w:p>
      <w:pPr>
        <w:spacing w:after="0" w:line="96" w:lineRule="exact"/>
        <w:rPr>
          <w:sz w:val="20"/>
          <w:szCs w:val="20"/>
          <w:color w:val="auto"/>
        </w:rPr>
      </w:pPr>
      <w:r>
        <w:rPr>
          <w:rFonts w:ascii="Arial Unicode MS" w:cs="Arial Unicode MS" w:eastAsia="Arial Unicode MS" w:hAnsi="Arial Unicode MS"/>
          <w:sz w:val="9"/>
          <w:szCs w:val="9"/>
          <w:color w:val="auto"/>
        </w:rPr>
        <w:t>issued by the International Accounting Standards</w:t>
      </w:r>
    </w:p>
    <w:p>
      <w:pPr>
        <w:spacing w:after="0" w:line="95" w:lineRule="exact"/>
        <w:rPr>
          <w:sz w:val="20"/>
          <w:szCs w:val="20"/>
          <w:color w:val="auto"/>
        </w:rPr>
      </w:pPr>
      <w:r>
        <w:rPr>
          <w:rFonts w:ascii="Arial Unicode MS" w:cs="Arial Unicode MS" w:eastAsia="Arial Unicode MS" w:hAnsi="Arial Unicode MS"/>
          <w:sz w:val="9"/>
          <w:szCs w:val="9"/>
          <w:color w:val="auto"/>
        </w:rPr>
        <w:t>Board (IASB) and in accordance with IFRS</w:t>
      </w:r>
    </w:p>
    <w:p>
      <w:pPr>
        <w:spacing w:after="0" w:line="95" w:lineRule="exact"/>
        <w:rPr>
          <w:sz w:val="20"/>
          <w:szCs w:val="20"/>
          <w:color w:val="auto"/>
        </w:rPr>
      </w:pPr>
      <w:r>
        <w:rPr>
          <w:rFonts w:ascii="Arial Unicode MS" w:cs="Arial Unicode MS" w:eastAsia="Arial Unicode MS" w:hAnsi="Arial Unicode MS"/>
          <w:sz w:val="9"/>
          <w:szCs w:val="9"/>
          <w:color w:val="auto"/>
        </w:rPr>
        <w:t>Accounting Standards as endorsed by the EU</w:t>
      </w:r>
    </w:p>
    <w:p>
      <w:pPr>
        <w:spacing w:after="0" w:line="96" w:lineRule="exact"/>
        <w:rPr>
          <w:sz w:val="20"/>
          <w:szCs w:val="20"/>
          <w:color w:val="auto"/>
        </w:rPr>
      </w:pPr>
      <w:r>
        <w:rPr>
          <w:rFonts w:ascii="Arial Unicode MS" w:cs="Arial Unicode MS" w:eastAsia="Arial Unicode MS" w:hAnsi="Arial Unicode MS"/>
          <w:sz w:val="9"/>
          <w:szCs w:val="9"/>
          <w:color w:val="auto"/>
        </w:rPr>
        <w:t>and further requirements in the Danish Financial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Act.</w:t>
      </w:r>
    </w:p>
    <w:p>
      <w:pPr>
        <w:spacing w:after="0" w:line="96" w:lineRule="exact"/>
        <w:rPr>
          <w:sz w:val="20"/>
          <w:szCs w:val="20"/>
          <w:color w:val="auto"/>
        </w:rPr>
      </w:pPr>
      <w:r>
        <w:rPr>
          <w:rFonts w:ascii="Arial Unicode MS" w:cs="Arial Unicode MS" w:eastAsia="Arial Unicode MS" w:hAnsi="Arial Unicode MS"/>
          <w:sz w:val="9"/>
          <w:szCs w:val="9"/>
          <w:color w:val="auto"/>
        </w:rPr>
        <w:t>In our opinion, the Consolidated Financial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and the Parent Company Financial</w:t>
      </w:r>
    </w:p>
    <w:p>
      <w:pPr>
        <w:spacing w:after="0" w:line="96" w:lineRule="exact"/>
        <w:rPr>
          <w:sz w:val="20"/>
          <w:szCs w:val="20"/>
          <w:color w:val="auto"/>
        </w:rPr>
      </w:pPr>
      <w:r>
        <w:rPr>
          <w:rFonts w:ascii="Arial Unicode MS" w:cs="Arial Unicode MS" w:eastAsia="Arial Unicode MS" w:hAnsi="Arial Unicode MS"/>
          <w:sz w:val="9"/>
          <w:szCs w:val="9"/>
          <w:color w:val="auto"/>
        </w:rPr>
        <w:t>Statements give a true and fair view of the financial</w:t>
      </w:r>
    </w:p>
    <w:p>
      <w:pPr>
        <w:spacing w:after="0" w:line="95" w:lineRule="exact"/>
        <w:rPr>
          <w:sz w:val="20"/>
          <w:szCs w:val="20"/>
          <w:color w:val="auto"/>
        </w:rPr>
      </w:pPr>
      <w:r>
        <w:rPr>
          <w:rFonts w:ascii="Arial Unicode MS" w:cs="Arial Unicode MS" w:eastAsia="Arial Unicode MS" w:hAnsi="Arial Unicode MS"/>
          <w:sz w:val="9"/>
          <w:szCs w:val="9"/>
          <w:color w:val="auto"/>
        </w:rPr>
        <w:t>position at December 31, 2025 of the Group and</w:t>
      </w:r>
    </w:p>
    <w:p>
      <w:pPr>
        <w:spacing w:after="0" w:line="95" w:lineRule="exact"/>
        <w:rPr>
          <w:sz w:val="20"/>
          <w:szCs w:val="20"/>
          <w:color w:val="auto"/>
        </w:rPr>
      </w:pPr>
      <w:r>
        <w:rPr>
          <w:rFonts w:ascii="Arial Unicode MS" w:cs="Arial Unicode MS" w:eastAsia="Arial Unicode MS" w:hAnsi="Arial Unicode MS"/>
          <w:sz w:val="9"/>
          <w:szCs w:val="9"/>
          <w:color w:val="auto"/>
        </w:rPr>
        <w:t>the Parent Company and of the results of the</w:t>
      </w:r>
    </w:p>
    <w:p>
      <w:pPr>
        <w:spacing w:after="0" w:line="96" w:lineRule="exact"/>
        <w:rPr>
          <w:sz w:val="20"/>
          <w:szCs w:val="20"/>
          <w:color w:val="auto"/>
        </w:rPr>
      </w:pPr>
      <w:r>
        <w:rPr>
          <w:rFonts w:ascii="Arial Unicode MS" w:cs="Arial Unicode MS" w:eastAsia="Arial Unicode MS" w:hAnsi="Arial Unicode MS"/>
          <w:sz w:val="9"/>
          <w:szCs w:val="9"/>
          <w:color w:val="auto"/>
        </w:rPr>
        <w:t>Group and Parent Company operations and</w:t>
      </w:r>
    </w:p>
    <w:p>
      <w:pPr>
        <w:spacing w:after="0" w:line="95" w:lineRule="exact"/>
        <w:rPr>
          <w:sz w:val="20"/>
          <w:szCs w:val="20"/>
          <w:color w:val="auto"/>
        </w:rPr>
      </w:pPr>
      <w:r>
        <w:rPr>
          <w:rFonts w:ascii="Arial Unicode MS" w:cs="Arial Unicode MS" w:eastAsia="Arial Unicode MS" w:hAnsi="Arial Unicode MS"/>
          <w:sz w:val="9"/>
          <w:szCs w:val="9"/>
          <w:color w:val="auto"/>
        </w:rPr>
        <w:t>cash flows for 2025.</w:t>
      </w:r>
    </w:p>
    <w:p>
      <w:pPr>
        <w:spacing w:after="0" w:line="96" w:lineRule="exact"/>
        <w:rPr>
          <w:sz w:val="20"/>
          <w:szCs w:val="20"/>
          <w:color w:val="auto"/>
        </w:rPr>
      </w:pPr>
      <w:r>
        <w:rPr>
          <w:rFonts w:ascii="Arial Unicode MS" w:cs="Arial Unicode MS" w:eastAsia="Arial Unicode MS" w:hAnsi="Arial Unicode MS"/>
          <w:sz w:val="9"/>
          <w:szCs w:val="9"/>
          <w:color w:val="auto"/>
        </w:rPr>
        <w:t>In our opinion, the management commentary is</w:t>
      </w:r>
    </w:p>
    <w:p>
      <w:pPr>
        <w:spacing w:after="0" w:line="95" w:lineRule="exact"/>
        <w:rPr>
          <w:sz w:val="20"/>
          <w:szCs w:val="20"/>
          <w:color w:val="auto"/>
        </w:rPr>
      </w:pPr>
      <w:r>
        <w:rPr>
          <w:rFonts w:ascii="Arial Unicode MS" w:cs="Arial Unicode MS" w:eastAsia="Arial Unicode MS" w:hAnsi="Arial Unicode MS"/>
          <w:sz w:val="9"/>
          <w:szCs w:val="9"/>
          <w:color w:val="auto"/>
        </w:rPr>
        <w:t>prepared in accordance with relevant laws and</w:t>
      </w:r>
    </w:p>
    <w:p>
      <w:pPr>
        <w:spacing w:after="0" w:line="96" w:lineRule="exact"/>
        <w:rPr>
          <w:sz w:val="20"/>
          <w:szCs w:val="20"/>
          <w:color w:val="auto"/>
        </w:rPr>
      </w:pPr>
      <w:r>
        <w:rPr>
          <w:rFonts w:ascii="Arial Unicode MS" w:cs="Arial Unicode MS" w:eastAsia="Arial Unicode MS" w:hAnsi="Arial Unicode MS"/>
          <w:sz w:val="9"/>
          <w:szCs w:val="9"/>
          <w:color w:val="auto"/>
        </w:rPr>
        <w:t>regulations and contains a fair review of the</w:t>
      </w:r>
    </w:p>
    <w:p>
      <w:pPr>
        <w:spacing w:after="0" w:line="95" w:lineRule="exact"/>
        <w:rPr>
          <w:sz w:val="20"/>
          <w:szCs w:val="20"/>
          <w:color w:val="auto"/>
        </w:rPr>
      </w:pPr>
      <w:r>
        <w:rPr>
          <w:rFonts w:ascii="Arial Unicode MS" w:cs="Arial Unicode MS" w:eastAsia="Arial Unicode MS" w:hAnsi="Arial Unicode MS"/>
          <w:sz w:val="9"/>
          <w:szCs w:val="9"/>
          <w:color w:val="auto"/>
        </w:rPr>
        <w:t>development of the Group's and the Parent’s</w:t>
      </w:r>
    </w:p>
    <w:p>
      <w:pPr>
        <w:spacing w:after="0" w:line="95" w:lineRule="exact"/>
        <w:rPr>
          <w:sz w:val="20"/>
          <w:szCs w:val="20"/>
          <w:color w:val="auto"/>
        </w:rPr>
      </w:pPr>
      <w:r>
        <w:rPr>
          <w:rFonts w:ascii="Arial Unicode MS" w:cs="Arial Unicode MS" w:eastAsia="Arial Unicode MS" w:hAnsi="Arial Unicode MS"/>
          <w:sz w:val="9"/>
          <w:szCs w:val="9"/>
          <w:color w:val="auto"/>
        </w:rPr>
        <w:t>business and financial matters, the results for the</w:t>
      </w:r>
    </w:p>
    <w:p>
      <w:pPr>
        <w:spacing w:after="0" w:line="96" w:lineRule="exact"/>
        <w:rPr>
          <w:sz w:val="20"/>
          <w:szCs w:val="20"/>
          <w:color w:val="auto"/>
        </w:rPr>
      </w:pPr>
      <w:r>
        <w:rPr>
          <w:rFonts w:ascii="Arial Unicode MS" w:cs="Arial Unicode MS" w:eastAsia="Arial Unicode MS" w:hAnsi="Arial Unicode MS"/>
          <w:sz w:val="9"/>
          <w:szCs w:val="9"/>
          <w:color w:val="auto"/>
        </w:rPr>
        <w:t>year and of the Parent’s financial position and the</w:t>
      </w:r>
    </w:p>
    <w:p>
      <w:pPr>
        <w:spacing w:after="0" w:line="95" w:lineRule="exact"/>
        <w:rPr>
          <w:sz w:val="20"/>
          <w:szCs w:val="20"/>
          <w:color w:val="auto"/>
        </w:rPr>
      </w:pPr>
      <w:r>
        <w:rPr>
          <w:rFonts w:ascii="Arial Unicode MS" w:cs="Arial Unicode MS" w:eastAsia="Arial Unicode MS" w:hAnsi="Arial Unicode MS"/>
          <w:sz w:val="9"/>
          <w:szCs w:val="9"/>
          <w:color w:val="auto"/>
        </w:rPr>
        <w:t>financial position as a whole of the entities included</w:t>
      </w:r>
    </w:p>
    <w:p>
      <w:pPr>
        <w:spacing w:after="0" w:line="96" w:lineRule="exact"/>
        <w:rPr>
          <w:sz w:val="20"/>
          <w:szCs w:val="20"/>
          <w:color w:val="auto"/>
        </w:rPr>
      </w:pPr>
      <w:r>
        <w:rPr>
          <w:rFonts w:ascii="Arial Unicode MS" w:cs="Arial Unicode MS" w:eastAsia="Arial Unicode MS" w:hAnsi="Arial Unicode MS"/>
          <w:sz w:val="9"/>
          <w:szCs w:val="9"/>
          <w:color w:val="auto"/>
        </w:rPr>
        <w:t>in the consolidated financial statements, together</w:t>
      </w:r>
    </w:p>
    <w:p>
      <w:pPr>
        <w:spacing w:after="0" w:line="95" w:lineRule="exact"/>
        <w:rPr>
          <w:sz w:val="20"/>
          <w:szCs w:val="20"/>
          <w:color w:val="auto"/>
        </w:rPr>
      </w:pPr>
      <w:r>
        <w:rPr>
          <w:rFonts w:ascii="Arial Unicode MS" w:cs="Arial Unicode MS" w:eastAsia="Arial Unicode MS" w:hAnsi="Arial Unicode MS"/>
          <w:sz w:val="9"/>
          <w:szCs w:val="9"/>
          <w:color w:val="auto"/>
        </w:rPr>
        <w:t>with a description of the principal risks and</w:t>
      </w:r>
    </w:p>
    <w:p>
      <w:pPr>
        <w:spacing w:after="0" w:line="96" w:lineRule="exact"/>
        <w:rPr>
          <w:sz w:val="20"/>
          <w:szCs w:val="20"/>
          <w:color w:val="auto"/>
        </w:rPr>
      </w:pPr>
      <w:r>
        <w:rPr>
          <w:rFonts w:ascii="Arial Unicode MS" w:cs="Arial Unicode MS" w:eastAsia="Arial Unicode MS" w:hAnsi="Arial Unicode MS"/>
          <w:sz w:val="9"/>
          <w:szCs w:val="9"/>
          <w:color w:val="auto"/>
        </w:rPr>
        <w:t>uncertainties that the Group and the Parent face.</w:t>
      </w:r>
    </w:p>
    <w:p>
      <w:pPr>
        <w:spacing w:after="0" w:line="95" w:lineRule="exact"/>
        <w:rPr>
          <w:sz w:val="20"/>
          <w:szCs w:val="20"/>
          <w:color w:val="auto"/>
        </w:rPr>
      </w:pPr>
      <w:r>
        <w:rPr>
          <w:rFonts w:ascii="Arial Unicode MS" w:cs="Arial Unicode MS" w:eastAsia="Arial Unicode MS" w:hAnsi="Arial Unicode MS"/>
          <w:sz w:val="9"/>
          <w:szCs w:val="9"/>
          <w:color w:val="auto"/>
        </w:rPr>
        <w:t>The sustainability statement is prepared in</w:t>
      </w:r>
    </w:p>
    <w:p>
      <w:pPr>
        <w:spacing w:after="0" w:line="95" w:lineRule="exact"/>
        <w:rPr>
          <w:sz w:val="20"/>
          <w:szCs w:val="20"/>
          <w:color w:val="auto"/>
        </w:rPr>
      </w:pPr>
      <w:r>
        <w:rPr>
          <w:rFonts w:ascii="Arial Unicode MS" w:cs="Arial Unicode MS" w:eastAsia="Arial Unicode MS" w:hAnsi="Arial Unicode MS"/>
          <w:sz w:val="9"/>
          <w:szCs w:val="9"/>
          <w:color w:val="auto"/>
        </w:rPr>
        <w:t>accordance with the European Sustainability</w:t>
      </w:r>
    </w:p>
    <w:p>
      <w:pPr>
        <w:spacing w:after="0" w:line="96" w:lineRule="exact"/>
        <w:rPr>
          <w:sz w:val="20"/>
          <w:szCs w:val="20"/>
          <w:color w:val="auto"/>
        </w:rPr>
      </w:pPr>
      <w:r>
        <w:rPr>
          <w:rFonts w:ascii="Arial Unicode MS" w:cs="Arial Unicode MS" w:eastAsia="Arial Unicode MS" w:hAnsi="Arial Unicode MS"/>
          <w:sz w:val="9"/>
          <w:szCs w:val="9"/>
          <w:color w:val="auto"/>
        </w:rPr>
        <w:t>Reporting Standards (ESRS) as required by the</w:t>
      </w:r>
    </w:p>
    <w:p>
      <w:pPr>
        <w:spacing w:after="0" w:line="95" w:lineRule="exact"/>
        <w:rPr>
          <w:sz w:val="20"/>
          <w:szCs w:val="20"/>
          <w:color w:val="auto"/>
        </w:rPr>
      </w:pPr>
      <w:r>
        <w:rPr>
          <w:rFonts w:ascii="Arial Unicode MS" w:cs="Arial Unicode MS" w:eastAsia="Arial Unicode MS" w:hAnsi="Arial Unicode MS"/>
          <w:sz w:val="9"/>
          <w:szCs w:val="9"/>
          <w:color w:val="auto"/>
        </w:rPr>
        <w:t>Danish Financial Statements Act as well as article 8</w:t>
      </w:r>
    </w:p>
    <w:p>
      <w:pPr>
        <w:spacing w:after="0" w:line="96" w:lineRule="exact"/>
        <w:rPr>
          <w:sz w:val="20"/>
          <w:szCs w:val="20"/>
          <w:color w:val="auto"/>
        </w:rPr>
      </w:pPr>
      <w:r>
        <w:rPr>
          <w:rFonts w:ascii="Arial Unicode MS" w:cs="Arial Unicode MS" w:eastAsia="Arial Unicode MS" w:hAnsi="Arial Unicode MS"/>
          <w:sz w:val="9"/>
          <w:szCs w:val="9"/>
          <w:color w:val="auto"/>
        </w:rPr>
        <w:t>in the EU Taxonomy regulation.</w:t>
      </w:r>
    </w:p>
    <w:p>
      <w:pPr>
        <w:spacing w:after="0" w:line="95" w:lineRule="exact"/>
        <w:rPr>
          <w:sz w:val="20"/>
          <w:szCs w:val="20"/>
          <w:color w:val="auto"/>
        </w:rPr>
      </w:pPr>
      <w:r>
        <w:rPr>
          <w:rFonts w:ascii="Arial Unicode MS" w:cs="Arial Unicode MS" w:eastAsia="Arial Unicode MS" w:hAnsi="Arial Unicode MS"/>
          <w:sz w:val="9"/>
          <w:szCs w:val="9"/>
          <w:color w:val="auto"/>
        </w:rPr>
        <w:t>In our opinion, the Annual Report of Genmab A/S</w:t>
      </w:r>
    </w:p>
    <w:p>
      <w:pPr>
        <w:spacing w:after="0" w:line="96" w:lineRule="exact"/>
        <w:rPr>
          <w:sz w:val="20"/>
          <w:szCs w:val="20"/>
          <w:color w:val="auto"/>
        </w:rPr>
      </w:pPr>
      <w:r>
        <w:rPr>
          <w:rFonts w:ascii="Arial Unicode MS" w:cs="Arial Unicode MS" w:eastAsia="Arial Unicode MS" w:hAnsi="Arial Unicode MS"/>
          <w:sz w:val="9"/>
          <w:szCs w:val="9"/>
          <w:color w:val="auto"/>
        </w:rPr>
        <w:t>for the financial year January 1 to December 31,</w:t>
      </w:r>
    </w:p>
    <w:p>
      <w:pPr>
        <w:spacing w:after="0" w:line="95" w:lineRule="exact"/>
        <w:rPr>
          <w:sz w:val="20"/>
          <w:szCs w:val="20"/>
          <w:color w:val="auto"/>
        </w:rPr>
      </w:pPr>
      <w:r>
        <w:rPr>
          <w:rFonts w:ascii="Arial Unicode MS" w:cs="Arial Unicode MS" w:eastAsia="Arial Unicode MS" w:hAnsi="Arial Unicode MS"/>
          <w:sz w:val="9"/>
          <w:szCs w:val="9"/>
          <w:color w:val="auto"/>
        </w:rPr>
        <w:t>2025, with the file name genmab-2025-12-31-1-</w:t>
      </w:r>
    </w:p>
    <w:p>
      <w:pPr>
        <w:spacing w:after="0" w:line="95" w:lineRule="exact"/>
        <w:rPr>
          <w:sz w:val="20"/>
          <w:szCs w:val="20"/>
          <w:color w:val="auto"/>
        </w:rPr>
      </w:pPr>
      <w:r>
        <w:rPr>
          <w:rFonts w:ascii="Arial Unicode MS" w:cs="Arial Unicode MS" w:eastAsia="Arial Unicode MS" w:hAnsi="Arial Unicode MS"/>
          <w:sz w:val="9"/>
          <w:szCs w:val="9"/>
          <w:color w:val="auto"/>
        </w:rPr>
        <w:t>en.zip is prepared, in all material respects, in</w:t>
      </w:r>
    </w:p>
    <w:p>
      <w:pPr>
        <w:spacing w:after="0" w:line="96" w:lineRule="exact"/>
        <w:rPr>
          <w:sz w:val="20"/>
          <w:szCs w:val="20"/>
          <w:color w:val="auto"/>
        </w:rPr>
      </w:pPr>
      <w:r>
        <w:rPr>
          <w:rFonts w:ascii="Arial Unicode MS" w:cs="Arial Unicode MS" w:eastAsia="Arial Unicode MS" w:hAnsi="Arial Unicode MS"/>
          <w:sz w:val="9"/>
          <w:szCs w:val="9"/>
          <w:color w:val="auto"/>
        </w:rPr>
        <w:t>compliance with the ESEF Regulation.</w:t>
      </w:r>
    </w:p>
    <w:p>
      <w:pPr>
        <w:spacing w:after="0" w:line="95" w:lineRule="exact"/>
        <w:rPr>
          <w:sz w:val="20"/>
          <w:szCs w:val="20"/>
          <w:color w:val="auto"/>
        </w:rPr>
      </w:pPr>
      <w:r>
        <w:rPr>
          <w:rFonts w:ascii="Arial Unicode MS" w:cs="Arial Unicode MS" w:eastAsia="Arial Unicode MS" w:hAnsi="Arial Unicode MS"/>
          <w:sz w:val="9"/>
          <w:szCs w:val="9"/>
          <w:color w:val="auto"/>
        </w:rPr>
        <w:t>We recommend that the Annual Report be adopted</w:t>
      </w:r>
    </w:p>
    <w:p>
      <w:pPr>
        <w:spacing w:after="0" w:line="96" w:lineRule="exact"/>
        <w:rPr>
          <w:sz w:val="20"/>
          <w:szCs w:val="20"/>
          <w:color w:val="auto"/>
        </w:rPr>
      </w:pPr>
      <w:r>
        <w:rPr>
          <w:rFonts w:ascii="Arial Unicode MS" w:cs="Arial Unicode MS" w:eastAsia="Arial Unicode MS" w:hAnsi="Arial Unicode MS"/>
          <w:sz w:val="9"/>
          <w:szCs w:val="9"/>
          <w:color w:val="auto"/>
        </w:rPr>
        <w:t>at the Annual General Meeting.</w:t>
      </w:r>
    </w:p>
    <w:p>
      <w:pPr>
        <w:spacing w:after="0" w:line="108" w:lineRule="exact"/>
        <w:rPr>
          <w:sz w:val="20"/>
          <w:szCs w:val="20"/>
          <w:color w:val="auto"/>
        </w:rPr>
      </w:pPr>
      <w:r>
        <w:rPr>
          <w:rFonts w:ascii="Arial Unicode MS" w:cs="Arial Unicode MS" w:eastAsia="Arial Unicode MS" w:hAnsi="Arial Unicode MS"/>
          <w:sz w:val="10"/>
          <w:szCs w:val="10"/>
          <w:color w:val="auto"/>
        </w:rPr>
        <w:t>Copenhagen, February 17, 2026</w:t>
      </w:r>
    </w:p>
    <w:p>
      <w:pPr>
        <w:ind w:left="20"/>
        <w:spacing w:after="0"/>
        <w:rPr>
          <w:sz w:val="20"/>
          <w:szCs w:val="20"/>
          <w:color w:val="auto"/>
        </w:rPr>
      </w:pPr>
      <w:r>
        <w:rPr>
          <w:rFonts w:ascii="Arial" w:cs="Arial" w:eastAsia="Arial" w:hAnsi="Arial"/>
          <w:sz w:val="13"/>
          <w:szCs w:val="13"/>
          <w:b w:val="1"/>
          <w:bCs w:val="1"/>
          <w:color w:val="691A6B"/>
        </w:rPr>
        <w:t>Executive Management</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36195</wp:posOffset>
            </wp:positionV>
            <wp:extent cx="1656080" cy="3022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1656080" cy="302260"/>
                    </a:xfrm>
                    <a:prstGeom prst="rect">
                      <a:avLst/>
                    </a:prstGeom>
                    <a:noFill/>
                  </pic:spPr>
                </pic:pic>
              </a:graphicData>
            </a:graphic>
          </wp:anchor>
        </w:drawing>
      </w:r>
    </w:p>
    <w:p>
      <w:pPr>
        <w:sectPr>
          <w:pgSz w:w="11900" w:h="16840" w:orient="portrait"/>
          <w:cols w:equalWidth="0" w:num="1">
            <w:col w:w="9820"/>
          </w:cols>
          <w:pgMar w:left="640" w:top="571" w:right="1440" w:bottom="522" w:gutter="0" w:footer="0" w:header="0"/>
        </w:sectPr>
      </w:pPr>
    </w:p>
    <w:p>
      <w:pPr>
        <w:spacing w:after="0" w:line="200" w:lineRule="exact"/>
        <w:rPr>
          <w:rFonts w:ascii="Arial" w:cs="Arial" w:eastAsia="Arial" w:hAnsi="Arial"/>
          <w:sz w:val="10"/>
          <w:szCs w:val="10"/>
          <w:color w:val="auto"/>
        </w:rPr>
      </w:pPr>
    </w:p>
    <w:p>
      <w:pPr>
        <w:spacing w:after="0" w:line="342" w:lineRule="exact"/>
        <w:rPr>
          <w:rFonts w:ascii="Arial" w:cs="Arial" w:eastAsia="Arial" w:hAnsi="Arial"/>
          <w:sz w:val="10"/>
          <w:szCs w:val="10"/>
          <w:color w:val="auto"/>
        </w:rPr>
      </w:pPr>
    </w:p>
    <w:p>
      <w:pPr>
        <w:ind w:left="20"/>
        <w:spacing w:after="0"/>
        <w:rPr>
          <w:sz w:val="20"/>
          <w:szCs w:val="20"/>
          <w:color w:val="auto"/>
        </w:rPr>
      </w:pPr>
      <w:r>
        <w:rPr>
          <w:rFonts w:ascii="Arial" w:cs="Arial" w:eastAsia="Arial" w:hAnsi="Arial"/>
          <w:sz w:val="12"/>
          <w:szCs w:val="12"/>
          <w:b w:val="1"/>
          <w:bCs w:val="1"/>
          <w:color w:val="auto"/>
        </w:rPr>
        <w:t>Jan van de Winkel</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line="200" w:lineRule="exact"/>
        <w:rPr>
          <w:rFonts w:ascii="Arial" w:cs="Arial" w:eastAsia="Arial" w:hAnsi="Arial"/>
          <w:sz w:val="10"/>
          <w:szCs w:val="10"/>
          <w:color w:val="auto"/>
        </w:rPr>
      </w:pPr>
    </w:p>
    <w:p>
      <w:pPr>
        <w:spacing w:after="0" w:line="322"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Anthony Pagano</w:t>
      </w:r>
    </w:p>
    <w:p>
      <w:pPr>
        <w:spacing w:after="0" w:line="23" w:lineRule="exact"/>
        <w:rPr>
          <w:rFonts w:ascii="Arial" w:cs="Arial" w:eastAsia="Arial" w:hAnsi="Arial"/>
          <w:sz w:val="10"/>
          <w:szCs w:val="10"/>
          <w:color w:val="auto"/>
        </w:rPr>
      </w:pPr>
    </w:p>
    <w:p>
      <w:pPr>
        <w:sectPr>
          <w:pgSz w:w="11900" w:h="16840" w:orient="portrait"/>
          <w:cols w:equalWidth="0" w:num="2">
            <w:col w:w="1080" w:space="560"/>
            <w:col w:w="8180"/>
          </w:cols>
          <w:pgMar w:left="640" w:top="571" w:right="1440" w:bottom="522" w:gutter="0" w:footer="0" w:header="0"/>
          <w:type w:val="continuous"/>
        </w:sectPr>
      </w:pPr>
    </w:p>
    <w:p>
      <w:pPr>
        <w:spacing w:after="0" w:line="9" w:lineRule="exact"/>
        <w:rPr>
          <w:rFonts w:ascii="Arial" w:cs="Arial" w:eastAsia="Arial" w:hAnsi="Arial"/>
          <w:sz w:val="10"/>
          <w:szCs w:val="10"/>
          <w:color w:val="auto"/>
        </w:rPr>
      </w:pPr>
    </w:p>
    <w:p>
      <w:pPr>
        <w:ind w:left="20"/>
        <w:spacing w:after="0"/>
        <w:rPr>
          <w:sz w:val="20"/>
          <w:szCs w:val="20"/>
          <w:color w:val="auto"/>
        </w:rPr>
      </w:pPr>
      <w:r>
        <w:rPr>
          <w:rFonts w:ascii="Arial" w:cs="Arial" w:eastAsia="Arial" w:hAnsi="Arial"/>
          <w:sz w:val="11"/>
          <w:szCs w:val="11"/>
          <w:color w:val="auto"/>
        </w:rPr>
        <w:t>(President &amp; CEO)</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rPr>
          <w:sz w:val="20"/>
          <w:szCs w:val="20"/>
          <w:color w:val="auto"/>
        </w:rPr>
      </w:pPr>
      <w:r>
        <w:rPr>
          <w:rFonts w:ascii="Arial" w:cs="Arial" w:eastAsia="Arial" w:hAnsi="Arial"/>
          <w:sz w:val="11"/>
          <w:szCs w:val="11"/>
          <w:color w:val="auto"/>
        </w:rPr>
        <w:t>(Executive Vice President &amp;</w:t>
      </w:r>
    </w:p>
    <w:p>
      <w:pPr>
        <w:spacing w:after="0"/>
        <w:rPr>
          <w:sz w:val="20"/>
          <w:szCs w:val="20"/>
          <w:color w:val="auto"/>
        </w:rPr>
      </w:pPr>
      <w:r>
        <w:rPr>
          <w:rFonts w:ascii="Arial" w:cs="Arial" w:eastAsia="Arial" w:hAnsi="Arial"/>
          <w:sz w:val="11"/>
          <w:szCs w:val="11"/>
          <w:color w:val="auto"/>
        </w:rPr>
        <w:t>CFO)</w:t>
      </w:r>
    </w:p>
    <w:p>
      <w:pPr>
        <w:spacing w:after="0" w:line="63" w:lineRule="exact"/>
        <w:rPr>
          <w:rFonts w:ascii="Arial" w:cs="Arial" w:eastAsia="Arial" w:hAnsi="Arial"/>
          <w:sz w:val="10"/>
          <w:szCs w:val="10"/>
          <w:color w:val="auto"/>
        </w:rPr>
      </w:pPr>
    </w:p>
    <w:p>
      <w:pPr>
        <w:sectPr>
          <w:pgSz w:w="11900" w:h="16840" w:orient="portrait"/>
          <w:cols w:equalWidth="0" w:num="2">
            <w:col w:w="960" w:space="680"/>
            <w:col w:w="8180"/>
          </w:cols>
          <w:pgMar w:left="640" w:top="571" w:right="1440" w:bottom="522" w:gutter="0" w:footer="0" w:header="0"/>
          <w:type w:val="continuous"/>
        </w:sectPr>
      </w:pPr>
    </w:p>
    <w:p>
      <w:pPr>
        <w:ind w:left="20"/>
        <w:spacing w:after="0"/>
        <w:rPr>
          <w:sz w:val="20"/>
          <w:szCs w:val="20"/>
          <w:color w:val="auto"/>
        </w:rPr>
      </w:pPr>
      <w:r>
        <w:rPr>
          <w:rFonts w:ascii="Arial" w:cs="Arial" w:eastAsia="Arial" w:hAnsi="Arial"/>
          <w:sz w:val="13"/>
          <w:szCs w:val="13"/>
          <w:b w:val="1"/>
          <w:bCs w:val="1"/>
          <w:color w:val="691A6B"/>
        </w:rPr>
        <w:t>Board of Directors</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447040" cy="2298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447040" cy="22987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43815</wp:posOffset>
            </wp:positionV>
            <wp:extent cx="1915795" cy="1873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1915795" cy="187325"/>
                    </a:xfrm>
                    <a:prstGeom prst="rect">
                      <a:avLst/>
                    </a:prstGeom>
                    <a:noFill/>
                  </pic:spPr>
                </pic:pic>
              </a:graphicData>
            </a:graphic>
          </wp:anchor>
        </w:drawing>
      </w:r>
    </w:p>
    <w:p>
      <w:pPr>
        <w:sectPr>
          <w:pgSz w:w="11900" w:h="16840" w:orient="portrait"/>
          <w:cols w:equalWidth="0" w:num="1">
            <w:col w:w="9820"/>
          </w:cols>
          <w:pgMar w:left="640" w:top="571" w:right="1440" w:bottom="522" w:gutter="0" w:footer="0" w:header="0"/>
          <w:type w:val="continuous"/>
        </w:sectPr>
      </w:pPr>
    </w:p>
    <w:p>
      <w:pPr>
        <w:spacing w:after="0" w:line="200" w:lineRule="exact"/>
        <w:rPr>
          <w:rFonts w:ascii="Arial" w:cs="Arial" w:eastAsia="Arial" w:hAnsi="Arial"/>
          <w:sz w:val="10"/>
          <w:szCs w:val="10"/>
          <w:color w:val="auto"/>
        </w:rPr>
      </w:pPr>
    </w:p>
    <w:p>
      <w:pPr>
        <w:spacing w:after="0" w:line="240" w:lineRule="exact"/>
        <w:rPr>
          <w:rFonts w:ascii="Arial" w:cs="Arial" w:eastAsia="Arial" w:hAnsi="Arial"/>
          <w:sz w:val="10"/>
          <w:szCs w:val="10"/>
          <w:color w:val="auto"/>
        </w:rPr>
      </w:pPr>
    </w:p>
    <w:p>
      <w:pPr>
        <w:ind w:left="20"/>
        <w:spacing w:after="0"/>
        <w:rPr>
          <w:sz w:val="20"/>
          <w:szCs w:val="20"/>
          <w:color w:val="auto"/>
        </w:rPr>
      </w:pPr>
      <w:r>
        <w:rPr>
          <w:rFonts w:ascii="Arial" w:cs="Arial" w:eastAsia="Arial" w:hAnsi="Arial"/>
          <w:sz w:val="12"/>
          <w:szCs w:val="12"/>
          <w:b w:val="1"/>
          <w:bCs w:val="1"/>
          <w:color w:val="auto"/>
        </w:rPr>
        <w:t>Deirdre P. Connelly</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line="200" w:lineRule="exact"/>
        <w:rPr>
          <w:rFonts w:ascii="Arial" w:cs="Arial" w:eastAsia="Arial" w:hAnsi="Arial"/>
          <w:sz w:val="10"/>
          <w:szCs w:val="10"/>
          <w:color w:val="auto"/>
        </w:rPr>
      </w:pPr>
    </w:p>
    <w:p>
      <w:pPr>
        <w:spacing w:after="0" w:line="220"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Pernille Erenbjerg</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line="200" w:lineRule="exact"/>
        <w:rPr>
          <w:rFonts w:ascii="Arial" w:cs="Arial" w:eastAsia="Arial" w:hAnsi="Arial"/>
          <w:sz w:val="10"/>
          <w:szCs w:val="10"/>
          <w:color w:val="auto"/>
        </w:rPr>
      </w:pPr>
    </w:p>
    <w:p>
      <w:pPr>
        <w:spacing w:after="0" w:line="220"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2"/>
          <w:szCs w:val="12"/>
          <w:b w:val="1"/>
          <w:bCs w:val="1"/>
          <w:color w:val="auto"/>
        </w:rPr>
        <w:t>Anders Gersel Pedersen</w:t>
      </w:r>
    </w:p>
    <w:p>
      <w:pPr>
        <w:spacing w:after="0" w:line="32" w:lineRule="exact"/>
        <w:rPr>
          <w:rFonts w:ascii="Arial" w:cs="Arial" w:eastAsia="Arial" w:hAnsi="Arial"/>
          <w:sz w:val="10"/>
          <w:szCs w:val="10"/>
          <w:color w:val="auto"/>
        </w:rPr>
      </w:pPr>
    </w:p>
    <w:p>
      <w:pPr>
        <w:sectPr>
          <w:pgSz w:w="11900" w:h="16840" w:orient="portrait"/>
          <w:cols w:equalWidth="0" w:num="3">
            <w:col w:w="1160" w:space="480"/>
            <w:col w:w="1060" w:space="560"/>
            <w:col w:w="6560"/>
          </w:cols>
          <w:pgMar w:left="640" w:top="571" w:right="1440" w:bottom="522" w:gutter="0" w:footer="0" w:header="0"/>
          <w:type w:val="continuous"/>
        </w:sectPr>
      </w:pPr>
    </w:p>
    <w:p>
      <w:pPr>
        <w:ind w:left="20"/>
        <w:spacing w:after="0"/>
        <w:rPr>
          <w:sz w:val="20"/>
          <w:szCs w:val="20"/>
          <w:color w:val="auto"/>
        </w:rPr>
      </w:pPr>
      <w:r>
        <w:rPr>
          <w:rFonts w:ascii="Arial" w:cs="Arial" w:eastAsia="Arial" w:hAnsi="Arial"/>
          <w:sz w:val="11"/>
          <w:szCs w:val="11"/>
          <w:color w:val="auto"/>
        </w:rPr>
        <w:t>(Chair)</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10160</wp:posOffset>
            </wp:positionH>
            <wp:positionV relativeFrom="paragraph">
              <wp:posOffset>337820</wp:posOffset>
            </wp:positionV>
            <wp:extent cx="713105" cy="1206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713105" cy="120650"/>
                    </a:xfrm>
                    <a:prstGeom prst="rect">
                      <a:avLst/>
                    </a:prstGeom>
                    <a:noFill/>
                  </pic:spPr>
                </pic:pic>
              </a:graphicData>
            </a:graphic>
          </wp:anchor>
        </w:drawing>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rPr>
          <w:sz w:val="20"/>
          <w:szCs w:val="20"/>
          <w:color w:val="auto"/>
        </w:rPr>
      </w:pPr>
      <w:r>
        <w:rPr>
          <w:rFonts w:ascii="Arial" w:cs="Arial" w:eastAsia="Arial" w:hAnsi="Arial"/>
          <w:sz w:val="11"/>
          <w:szCs w:val="11"/>
          <w:color w:val="auto"/>
        </w:rPr>
        <w:t>(Deputy Chair)</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-1036955</wp:posOffset>
            </wp:positionH>
            <wp:positionV relativeFrom="paragraph">
              <wp:posOffset>337820</wp:posOffset>
            </wp:positionV>
            <wp:extent cx="6781165" cy="4973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6781165" cy="49739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337820</wp:posOffset>
            </wp:positionV>
            <wp:extent cx="6781165" cy="4973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6781165" cy="4973955"/>
                    </a:xfrm>
                    <a:prstGeom prst="rect">
                      <a:avLst/>
                    </a:prstGeom>
                    <a:noFill/>
                  </pic:spPr>
                </pic:pic>
              </a:graphicData>
            </a:graphic>
          </wp:anchor>
        </w:drawing>
      </w:r>
    </w:p>
    <w:p>
      <w:pPr>
        <w:spacing w:after="0" w:line="200" w:lineRule="exact"/>
        <w:rPr>
          <w:rFonts w:ascii="Arial" w:cs="Arial" w:eastAsia="Arial" w:hAnsi="Arial"/>
          <w:sz w:val="10"/>
          <w:szCs w:val="10"/>
          <w:color w:val="auto"/>
        </w:rPr>
      </w:pPr>
    </w:p>
    <w:p>
      <w:pPr>
        <w:sectPr>
          <w:pgSz w:w="11900" w:h="16840" w:orient="portrait"/>
          <w:cols w:equalWidth="0" w:num="2">
            <w:col w:w="920" w:space="720"/>
            <w:col w:w="8180"/>
          </w:cols>
          <w:pgMar w:left="640" w:top="571" w:right="1440" w:bottom="522" w:gutter="0" w:footer="0" w:header="0"/>
          <w:type w:val="continuous"/>
        </w:sect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18" w:lineRule="exact"/>
        <w:rPr>
          <w:rFonts w:ascii="Arial" w:cs="Arial" w:eastAsia="Arial" w:hAnsi="Arial"/>
          <w:sz w:val="10"/>
          <w:szCs w:val="10"/>
          <w:color w:val="auto"/>
        </w:rPr>
      </w:pPr>
    </w:p>
    <w:p>
      <w:pPr>
        <w:ind w:left="420"/>
        <w:spacing w:after="0"/>
        <w:tabs>
          <w:tab w:leader="none" w:pos="1760" w:val="left"/>
          <w:tab w:leader="none" w:pos="3120" w:val="left"/>
          <w:tab w:leader="none" w:pos="8100" w:val="left"/>
          <w:tab w:leader="none" w:pos="9460" w:val="left"/>
        </w:tabs>
        <w:rPr>
          <w:rFonts w:ascii="Arial" w:cs="Arial" w:eastAsia="Arial" w:hAnsi="Arial"/>
          <w:sz w:val="10"/>
          <w:szCs w:val="10"/>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10"/>
            <w:szCs w:val="10"/>
            <w:b w:val="1"/>
            <w:bCs w:val="1"/>
            <w:color w:val="auto"/>
          </w:rPr>
          <w:t>Other Information</w:t>
        </w:r>
      </w:hyperlink>
      <w:r>
        <w:rPr>
          <w:rFonts w:ascii="Arial" w:cs="Arial" w:eastAsia="Arial" w:hAnsi="Arial"/>
          <w:sz w:val="10"/>
          <w:szCs w:val="10"/>
          <w:b w:val="1"/>
          <w:bCs w:val="1"/>
          <w:color w:val="auto"/>
        </w:rPr>
        <w:tab/>
        <w:t>Genmab 2025 Annual Report</w:t>
        <w:tab/>
      </w:r>
      <w:r>
        <w:rPr>
          <w:rFonts w:ascii="Arial" w:cs="Arial" w:eastAsia="Arial" w:hAnsi="Arial"/>
          <w:sz w:val="8"/>
          <w:szCs w:val="8"/>
          <w:b w:val="1"/>
          <w:bCs w:val="1"/>
          <w:color w:val="auto"/>
        </w:rPr>
        <w:t>174</w:t>
      </w:r>
    </w:p>
    <w:p>
      <w:pPr>
        <w:spacing w:after="0" w:line="37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33"/>
          <w:szCs w:val="33"/>
          <w:color w:val="691A6B"/>
        </w:rPr>
        <w:t>Independent Auditor’s Reports</w:t>
      </w:r>
    </w:p>
    <w:p>
      <w:pPr>
        <w:spacing w:after="0" w:line="211" w:lineRule="auto"/>
        <w:rPr>
          <w:sz w:val="20"/>
          <w:szCs w:val="20"/>
          <w:color w:val="auto"/>
        </w:rPr>
      </w:pPr>
      <w:r>
        <w:rPr>
          <w:rFonts w:ascii="Arial" w:cs="Arial" w:eastAsia="Arial" w:hAnsi="Arial"/>
          <w:sz w:val="15"/>
          <w:szCs w:val="15"/>
          <w:color w:val="691A6B"/>
        </w:rPr>
        <w:t>To the shareholders of</w:t>
      </w:r>
    </w:p>
    <w:p>
      <w:pPr>
        <w:spacing w:after="0" w:line="212" w:lineRule="auto"/>
        <w:rPr>
          <w:sz w:val="20"/>
          <w:szCs w:val="20"/>
          <w:color w:val="auto"/>
        </w:rPr>
      </w:pPr>
      <w:r>
        <w:rPr>
          <w:rFonts w:ascii="Arial" w:cs="Arial" w:eastAsia="Arial" w:hAnsi="Arial"/>
          <w:sz w:val="15"/>
          <w:szCs w:val="15"/>
          <w:color w:val="691A6B"/>
        </w:rPr>
        <w:t>Genmab A/S</w:t>
      </w:r>
    </w:p>
    <w:p>
      <w:pPr>
        <w:spacing w:after="0" w:line="212" w:lineRule="auto"/>
        <w:rPr>
          <w:sz w:val="20"/>
          <w:szCs w:val="20"/>
          <w:color w:val="auto"/>
        </w:rPr>
      </w:pPr>
      <w:r>
        <w:rPr>
          <w:rFonts w:ascii="Arial" w:cs="Arial" w:eastAsia="Arial" w:hAnsi="Arial"/>
          <w:sz w:val="15"/>
          <w:szCs w:val="15"/>
          <w:b w:val="1"/>
          <w:bCs w:val="1"/>
          <w:color w:val="691A6B"/>
        </w:rPr>
        <w:t>Report on the consolidated</w:t>
      </w:r>
    </w:p>
    <w:p>
      <w:pPr>
        <w:spacing w:after="0" w:line="212" w:lineRule="auto"/>
        <w:rPr>
          <w:sz w:val="20"/>
          <w:szCs w:val="20"/>
          <w:color w:val="auto"/>
        </w:rPr>
      </w:pPr>
      <w:r>
        <w:rPr>
          <w:rFonts w:ascii="Arial" w:cs="Arial" w:eastAsia="Arial" w:hAnsi="Arial"/>
          <w:sz w:val="15"/>
          <w:szCs w:val="15"/>
          <w:b w:val="1"/>
          <w:bCs w:val="1"/>
          <w:color w:val="691A6B"/>
        </w:rPr>
        <w:t>financial statements and the</w:t>
      </w:r>
    </w:p>
    <w:p>
      <w:pPr>
        <w:spacing w:after="0" w:line="209" w:lineRule="auto"/>
        <w:rPr>
          <w:sz w:val="20"/>
          <w:szCs w:val="20"/>
          <w:color w:val="auto"/>
        </w:rPr>
      </w:pPr>
      <w:r>
        <w:rPr>
          <w:rFonts w:ascii="Arial" w:cs="Arial" w:eastAsia="Arial" w:hAnsi="Arial"/>
          <w:sz w:val="15"/>
          <w:szCs w:val="15"/>
          <w:b w:val="1"/>
          <w:bCs w:val="1"/>
          <w:color w:val="691A6B"/>
        </w:rPr>
        <w:t>parent financial statements</w:t>
      </w:r>
    </w:p>
    <w:p>
      <w:pPr>
        <w:spacing w:after="0" w:line="210" w:lineRule="auto"/>
        <w:rPr>
          <w:sz w:val="20"/>
          <w:szCs w:val="20"/>
          <w:color w:val="auto"/>
        </w:rPr>
      </w:pPr>
      <w:r>
        <w:rPr>
          <w:rFonts w:ascii="Arial" w:cs="Arial" w:eastAsia="Arial" w:hAnsi="Arial"/>
          <w:sz w:val="13"/>
          <w:szCs w:val="13"/>
          <w:b w:val="1"/>
          <w:bCs w:val="1"/>
          <w:color w:val="691A6B"/>
        </w:rPr>
        <w:t>Opinion</w:t>
      </w:r>
    </w:p>
    <w:p>
      <w:pPr>
        <w:spacing w:after="0" w:line="96" w:lineRule="exact"/>
        <w:rPr>
          <w:sz w:val="20"/>
          <w:szCs w:val="20"/>
          <w:color w:val="auto"/>
        </w:rPr>
      </w:pPr>
      <w:r>
        <w:rPr>
          <w:rFonts w:ascii="Arial Unicode MS" w:cs="Arial Unicode MS" w:eastAsia="Arial Unicode MS" w:hAnsi="Arial Unicode MS"/>
          <w:sz w:val="9"/>
          <w:szCs w:val="9"/>
          <w:color w:val="auto"/>
        </w:rPr>
        <w:t>We have audited the consolidated nancial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and the parent nancial statements of</w:t>
      </w:r>
    </w:p>
    <w:p>
      <w:pPr>
        <w:spacing w:after="0" w:line="96" w:lineRule="exact"/>
        <w:rPr>
          <w:sz w:val="20"/>
          <w:szCs w:val="20"/>
          <w:color w:val="auto"/>
        </w:rPr>
      </w:pPr>
      <w:r>
        <w:rPr>
          <w:rFonts w:ascii="Arial Unicode MS" w:cs="Arial Unicode MS" w:eastAsia="Arial Unicode MS" w:hAnsi="Arial Unicode MS"/>
          <w:sz w:val="9"/>
          <w:szCs w:val="9"/>
          <w:color w:val="auto"/>
        </w:rPr>
        <w:t>Genmab A/S for the nancial year January 1, 2025</w:t>
      </w:r>
    </w:p>
    <w:p>
      <w:pPr>
        <w:ind w:right="7420"/>
        <w:spacing w:after="0" w:line="102" w:lineRule="exact"/>
        <w:rPr>
          <w:rFonts w:ascii="Arial" w:cs="Arial" w:eastAsia="Arial" w:hAnsi="Arial"/>
          <w:sz w:val="10"/>
          <w:szCs w:val="10"/>
          <w:color w:val="auto"/>
        </w:rPr>
      </w:pPr>
      <w:r>
        <w:rPr>
          <w:rFonts w:ascii="Arial Unicode MS" w:cs="Arial Unicode MS" w:eastAsia="Arial Unicode MS" w:hAnsi="Arial Unicode MS"/>
          <w:sz w:val="10"/>
          <w:szCs w:val="10"/>
          <w:color w:val="auto"/>
        </w:rPr>
        <w:t>– December 31, 2025, which comprise Consolidated Statements of Comprehensive Income, Consolidated Balance Sheets, Consolidated Statements of Cash Flows, Consolidated Statements of Changes in Equity, and notes, including material accounting policy information, for the Group, and Income Statements, Balance Sheets, Statements of Cash Flows, Statements of Changes in Equity and notes, including material accounting policy information for the Parent. The consolidated nancial statements and the parent nancial statements are prepared in accordance with IFRS Accounting Standards as endorsed by the EU and further disclosure requirements for listed companies in Denmark.</w:t>
      </w:r>
    </w:p>
    <w:p>
      <w:pPr>
        <w:spacing w:after="0" w:line="5" w:lineRule="exact"/>
        <w:rPr>
          <w:rFonts w:ascii="Arial" w:cs="Arial" w:eastAsia="Arial" w:hAnsi="Arial"/>
          <w:sz w:val="10"/>
          <w:szCs w:val="10"/>
          <w:color w:val="auto"/>
        </w:rPr>
      </w:pPr>
    </w:p>
    <w:p>
      <w:pPr>
        <w:ind w:right="7420"/>
        <w:spacing w:after="0" w:line="108" w:lineRule="exact"/>
        <w:rPr>
          <w:rFonts w:ascii="Arial" w:cs="Arial" w:eastAsia="Arial" w:hAnsi="Arial"/>
          <w:sz w:val="10"/>
          <w:szCs w:val="10"/>
          <w:color w:val="auto"/>
        </w:rPr>
      </w:pPr>
      <w:r>
        <w:rPr>
          <w:rFonts w:ascii="Arial Unicode MS" w:cs="Arial Unicode MS" w:eastAsia="Arial Unicode MS" w:hAnsi="Arial Unicode MS"/>
          <w:sz w:val="9"/>
          <w:szCs w:val="9"/>
          <w:color w:val="auto"/>
        </w:rPr>
        <w:t>In our opinion, the consolidated nancial statements and the parent nancial statements give a true and fair view of the Group’s and the Parent’s nancial position at December 31, 2025 , and of the results of their operations and cash ows for the nancial year January 1, 2025 – December 31, 2025 in accordance with IFRS Accounting Standards as endorsed by the EU and further disclosure requirements for listed companies</w:t>
      </w:r>
    </w:p>
    <w:p>
      <w:pPr>
        <w:spacing w:after="0" w:line="95" w:lineRule="exact"/>
        <w:rPr>
          <w:rFonts w:ascii="Arial" w:cs="Arial" w:eastAsia="Arial" w:hAnsi="Arial"/>
          <w:sz w:val="10"/>
          <w:szCs w:val="10"/>
          <w:color w:val="auto"/>
        </w:rPr>
      </w:pPr>
      <w:r>
        <w:rPr>
          <w:rFonts w:ascii="Arial Unicode MS" w:cs="Arial Unicode MS" w:eastAsia="Arial Unicode MS" w:hAnsi="Arial Unicode MS"/>
          <w:sz w:val="9"/>
          <w:szCs w:val="9"/>
          <w:color w:val="auto"/>
        </w:rPr>
        <w:t>in Denmark.</w:t>
      </w:r>
    </w:p>
    <w:p>
      <w:pPr>
        <w:ind w:right="7480"/>
        <w:spacing w:after="0" w:line="96" w:lineRule="exact"/>
        <w:rPr>
          <w:rFonts w:ascii="Arial" w:cs="Arial" w:eastAsia="Arial" w:hAnsi="Arial"/>
          <w:sz w:val="10"/>
          <w:szCs w:val="10"/>
          <w:color w:val="auto"/>
        </w:rPr>
      </w:pPr>
      <w:r>
        <w:rPr>
          <w:rFonts w:ascii="Arial Unicode MS" w:cs="Arial Unicode MS" w:eastAsia="Arial Unicode MS" w:hAnsi="Arial Unicode MS"/>
          <w:sz w:val="9"/>
          <w:szCs w:val="9"/>
          <w:color w:val="auto"/>
        </w:rPr>
        <w:t>Our opinion is consistent with our Long Form Audit Report issued to the Audit &amp; Finance Committee and the Board of Directors.</w:t>
      </w:r>
    </w:p>
    <w:p>
      <w:pPr>
        <w:spacing w:after="0" w:line="210" w:lineRule="auto"/>
        <w:rPr>
          <w:sz w:val="20"/>
          <w:szCs w:val="20"/>
          <w:color w:val="auto"/>
        </w:rPr>
      </w:pPr>
      <w:r>
        <w:rPr>
          <w:rFonts w:ascii="Arial" w:cs="Arial" w:eastAsia="Arial" w:hAnsi="Arial"/>
          <w:sz w:val="13"/>
          <w:szCs w:val="13"/>
          <w:b w:val="1"/>
          <w:bCs w:val="1"/>
          <w:color w:val="691A6B"/>
        </w:rPr>
        <w:t>Basis for opinion</w:t>
      </w:r>
    </w:p>
    <w:p>
      <w:pPr>
        <w:spacing w:after="0" w:line="95" w:lineRule="exact"/>
        <w:rPr>
          <w:sz w:val="20"/>
          <w:szCs w:val="20"/>
          <w:color w:val="auto"/>
        </w:rPr>
      </w:pPr>
      <w:r>
        <w:rPr>
          <w:rFonts w:ascii="Arial Unicode MS" w:cs="Arial Unicode MS" w:eastAsia="Arial Unicode MS" w:hAnsi="Arial Unicode MS"/>
          <w:sz w:val="9"/>
          <w:szCs w:val="9"/>
          <w:color w:val="auto"/>
        </w:rPr>
        <w:t>We conducted our audit in accordance with</w:t>
      </w:r>
    </w:p>
    <w:p>
      <w:pPr>
        <w:spacing w:after="0" w:line="96" w:lineRule="exact"/>
        <w:rPr>
          <w:sz w:val="20"/>
          <w:szCs w:val="20"/>
          <w:color w:val="auto"/>
        </w:rPr>
      </w:pPr>
      <w:r>
        <w:rPr>
          <w:rFonts w:ascii="Arial Unicode MS" w:cs="Arial Unicode MS" w:eastAsia="Arial Unicode MS" w:hAnsi="Arial Unicode MS"/>
          <w:sz w:val="9"/>
          <w:szCs w:val="9"/>
          <w:color w:val="auto"/>
        </w:rPr>
        <w:t>International Standards on Auditing (ISAs) and the</w:t>
      </w:r>
    </w:p>
    <w:p>
      <w:pPr>
        <w:spacing w:after="0" w:line="95" w:lineRule="exact"/>
        <w:rPr>
          <w:sz w:val="20"/>
          <w:szCs w:val="20"/>
          <w:color w:val="auto"/>
        </w:rPr>
      </w:pPr>
      <w:r>
        <w:rPr>
          <w:rFonts w:ascii="Arial Unicode MS" w:cs="Arial Unicode MS" w:eastAsia="Arial Unicode MS" w:hAnsi="Arial Unicode MS"/>
          <w:sz w:val="9"/>
          <w:szCs w:val="9"/>
          <w:color w:val="auto"/>
        </w:rPr>
        <w:t>additional requirements applicable in Denmark. Our</w:t>
      </w:r>
    </w:p>
    <w:p>
      <w:pPr>
        <w:spacing w:after="0" w:line="95" w:lineRule="exact"/>
        <w:rPr>
          <w:sz w:val="20"/>
          <w:szCs w:val="20"/>
          <w:color w:val="auto"/>
        </w:rPr>
      </w:pPr>
      <w:r>
        <w:rPr>
          <w:rFonts w:ascii="Arial Unicode MS" w:cs="Arial Unicode MS" w:eastAsia="Arial Unicode MS" w:hAnsi="Arial Unicode MS"/>
          <w:sz w:val="9"/>
          <w:szCs w:val="9"/>
          <w:color w:val="auto"/>
        </w:rPr>
        <w:t>responsibilities under those standards and</w:t>
      </w:r>
    </w:p>
    <w:p>
      <w:pPr>
        <w:spacing w:after="0" w:line="96" w:lineRule="exact"/>
        <w:rPr>
          <w:sz w:val="20"/>
          <w:szCs w:val="20"/>
          <w:color w:val="auto"/>
        </w:rPr>
      </w:pPr>
      <w:r>
        <w:rPr>
          <w:rFonts w:ascii="Arial Unicode MS" w:cs="Arial Unicode MS" w:eastAsia="Arial Unicode MS" w:hAnsi="Arial Unicode MS"/>
          <w:sz w:val="9"/>
          <w:szCs w:val="9"/>
          <w:color w:val="auto"/>
        </w:rPr>
        <w:t>requirements are further described in the "Auditor’s</w:t>
      </w:r>
    </w:p>
    <w:p>
      <w:pPr>
        <w:spacing w:after="0" w:line="95" w:lineRule="exact"/>
        <w:rPr>
          <w:sz w:val="20"/>
          <w:szCs w:val="20"/>
          <w:color w:val="auto"/>
        </w:rPr>
      </w:pPr>
      <w:r>
        <w:rPr>
          <w:rFonts w:ascii="Arial Unicode MS" w:cs="Arial Unicode MS" w:eastAsia="Arial Unicode MS" w:hAnsi="Arial Unicode MS"/>
          <w:sz w:val="9"/>
          <w:szCs w:val="9"/>
          <w:color w:val="auto"/>
        </w:rPr>
        <w:t>responsibilities for the audit of the consolidated</w:t>
      </w:r>
    </w:p>
    <w:p>
      <w:pPr>
        <w:spacing w:after="0" w:line="96" w:lineRule="exact"/>
        <w:rPr>
          <w:sz w:val="20"/>
          <w:szCs w:val="20"/>
          <w:color w:val="auto"/>
        </w:rPr>
      </w:pPr>
      <w:r>
        <w:rPr>
          <w:rFonts w:ascii="Arial Unicode MS" w:cs="Arial Unicode MS" w:eastAsia="Arial Unicode MS" w:hAnsi="Arial Unicode MS"/>
          <w:sz w:val="9"/>
          <w:szCs w:val="9"/>
          <w:color w:val="auto"/>
        </w:rPr>
        <w:t>nancial statements and the parent nancial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section of this auditor’s report. We are</w:t>
      </w:r>
    </w:p>
    <w:p>
      <w:pPr>
        <w:spacing w:after="0" w:line="96" w:lineRule="exact"/>
        <w:rPr>
          <w:sz w:val="20"/>
          <w:szCs w:val="20"/>
          <w:color w:val="auto"/>
        </w:rPr>
      </w:pPr>
      <w:r>
        <w:rPr>
          <w:rFonts w:ascii="Arial Unicode MS" w:cs="Arial Unicode MS" w:eastAsia="Arial Unicode MS" w:hAnsi="Arial Unicode MS"/>
          <w:sz w:val="9"/>
          <w:szCs w:val="9"/>
          <w:color w:val="auto"/>
        </w:rPr>
        <w:t>independent of the Group in accordance with the</w:t>
      </w:r>
    </w:p>
    <w:p>
      <w:pPr>
        <w:spacing w:after="0" w:line="95" w:lineRule="exact"/>
        <w:rPr>
          <w:sz w:val="20"/>
          <w:szCs w:val="20"/>
          <w:color w:val="auto"/>
        </w:rPr>
      </w:pPr>
      <w:r>
        <w:rPr>
          <w:rFonts w:ascii="Arial Unicode MS" w:cs="Arial Unicode MS" w:eastAsia="Arial Unicode MS" w:hAnsi="Arial Unicode MS"/>
          <w:sz w:val="9"/>
          <w:szCs w:val="9"/>
          <w:color w:val="auto"/>
        </w:rPr>
        <w:t>International Ethics Standards Board for Accountants’</w:t>
      </w:r>
    </w:p>
    <w:p>
      <w:pPr>
        <w:spacing w:after="0" w:line="95" w:lineRule="exact"/>
        <w:rPr>
          <w:sz w:val="20"/>
          <w:szCs w:val="20"/>
          <w:color w:val="auto"/>
        </w:rPr>
      </w:pPr>
      <w:r>
        <w:rPr>
          <w:rFonts w:ascii="Arial Unicode MS" w:cs="Arial Unicode MS" w:eastAsia="Arial Unicode MS" w:hAnsi="Arial Unicode MS"/>
          <w:sz w:val="9"/>
          <w:szCs w:val="9"/>
          <w:color w:val="auto"/>
        </w:rPr>
        <w:t>International Code of Ethics for Professional</w:t>
      </w:r>
    </w:p>
    <w:p>
      <w:pPr>
        <w:spacing w:after="0" w:line="96" w:lineRule="exact"/>
        <w:rPr>
          <w:sz w:val="20"/>
          <w:szCs w:val="20"/>
          <w:color w:val="auto"/>
        </w:rPr>
      </w:pPr>
      <w:r>
        <w:rPr>
          <w:rFonts w:ascii="Arial Unicode MS" w:cs="Arial Unicode MS" w:eastAsia="Arial Unicode MS" w:hAnsi="Arial Unicode MS"/>
          <w:sz w:val="9"/>
          <w:szCs w:val="9"/>
          <w:color w:val="auto"/>
        </w:rPr>
        <w:t>Accountants (IESBA Code), as applicable to audits of</w:t>
      </w:r>
    </w:p>
    <w:p>
      <w:pPr>
        <w:spacing w:after="0" w:line="95" w:lineRule="exact"/>
        <w:rPr>
          <w:sz w:val="20"/>
          <w:szCs w:val="20"/>
          <w:color w:val="auto"/>
        </w:rPr>
      </w:pPr>
      <w:r>
        <w:rPr>
          <w:rFonts w:ascii="Arial Unicode MS" w:cs="Arial Unicode MS" w:eastAsia="Arial Unicode MS" w:hAnsi="Arial Unicode MS"/>
          <w:sz w:val="9"/>
          <w:szCs w:val="9"/>
          <w:color w:val="auto"/>
        </w:rPr>
        <w:t>nancial statements of public interest entities, and the</w:t>
      </w:r>
    </w:p>
    <w:p>
      <w:pPr>
        <w:spacing w:after="0" w:line="96" w:lineRule="exact"/>
        <w:rPr>
          <w:sz w:val="20"/>
          <w:szCs w:val="20"/>
          <w:color w:val="auto"/>
        </w:rPr>
      </w:pPr>
      <w:r>
        <w:rPr>
          <w:rFonts w:ascii="Arial Unicode MS" w:cs="Arial Unicode MS" w:eastAsia="Arial Unicode MS" w:hAnsi="Arial Unicode MS"/>
          <w:sz w:val="9"/>
          <w:szCs w:val="9"/>
          <w:color w:val="auto"/>
        </w:rPr>
        <w:t>additional ethical requirements applicable in Denmark</w:t>
      </w:r>
    </w:p>
    <w:p>
      <w:pPr>
        <w:spacing w:after="0" w:line="95" w:lineRule="exact"/>
        <w:rPr>
          <w:sz w:val="20"/>
          <w:szCs w:val="20"/>
          <w:color w:val="auto"/>
        </w:rPr>
      </w:pPr>
      <w:r>
        <w:rPr>
          <w:rFonts w:ascii="Arial Unicode MS" w:cs="Arial Unicode MS" w:eastAsia="Arial Unicode MS" w:hAnsi="Arial Unicode MS"/>
          <w:sz w:val="9"/>
          <w:szCs w:val="9"/>
          <w:color w:val="auto"/>
        </w:rPr>
        <w:t>to audits of nancial statements of public interest</w:t>
      </w:r>
    </w:p>
    <w:p>
      <w:pPr>
        <w:spacing w:after="0" w:line="96" w:lineRule="exact"/>
        <w:rPr>
          <w:sz w:val="20"/>
          <w:szCs w:val="20"/>
          <w:color w:val="auto"/>
        </w:rPr>
      </w:pPr>
      <w:r>
        <w:rPr>
          <w:rFonts w:ascii="Arial Unicode MS" w:cs="Arial Unicode MS" w:eastAsia="Arial Unicode MS" w:hAnsi="Arial Unicode MS"/>
          <w:sz w:val="9"/>
          <w:szCs w:val="9"/>
          <w:color w:val="auto"/>
        </w:rPr>
        <w:t>entities. We have also fullled our other ethical</w:t>
      </w:r>
    </w:p>
    <w:p>
      <w:pPr>
        <w:spacing w:after="0" w:line="95" w:lineRule="exact"/>
        <w:rPr>
          <w:sz w:val="20"/>
          <w:szCs w:val="20"/>
          <w:color w:val="auto"/>
        </w:rPr>
      </w:pPr>
      <w:r>
        <w:rPr>
          <w:rFonts w:ascii="Arial Unicode MS" w:cs="Arial Unicode MS" w:eastAsia="Arial Unicode MS" w:hAnsi="Arial Unicode MS"/>
          <w:sz w:val="9"/>
          <w:szCs w:val="9"/>
          <w:color w:val="auto"/>
        </w:rPr>
        <w:t>responsibilities in accordance with these requirements</w:t>
      </w:r>
    </w:p>
    <w:p>
      <w:pPr>
        <w:spacing w:after="0" w:line="95" w:lineRule="exact"/>
        <w:rPr>
          <w:sz w:val="20"/>
          <w:szCs w:val="20"/>
          <w:color w:val="auto"/>
        </w:rPr>
      </w:pPr>
      <w:r>
        <w:rPr>
          <w:rFonts w:ascii="Arial Unicode MS" w:cs="Arial Unicode MS" w:eastAsia="Arial Unicode MS" w:hAnsi="Arial Unicode MS"/>
          <w:sz w:val="9"/>
          <w:szCs w:val="9"/>
          <w:color w:val="auto"/>
        </w:rPr>
        <w:t>and the IESBA Code. We believe that the audit</w:t>
      </w:r>
    </w:p>
    <w:p>
      <w:pPr>
        <w:spacing w:after="0" w:line="96" w:lineRule="exact"/>
        <w:rPr>
          <w:sz w:val="20"/>
          <w:szCs w:val="20"/>
          <w:color w:val="auto"/>
        </w:rPr>
      </w:pPr>
      <w:r>
        <w:rPr>
          <w:rFonts w:ascii="Arial Unicode MS" w:cs="Arial Unicode MS" w:eastAsia="Arial Unicode MS" w:hAnsi="Arial Unicode MS"/>
          <w:sz w:val="9"/>
          <w:szCs w:val="9"/>
          <w:color w:val="auto"/>
        </w:rPr>
        <w:t>evidence we have obtained is su</w:t>
      </w:r>
      <w:r>
        <w:rPr>
          <w:rFonts w:ascii="Arial" w:cs="Arial" w:eastAsia="Arial" w:hAnsi="Arial"/>
          <w:sz w:val="9"/>
          <w:szCs w:val="9"/>
          <w:color w:val="auto"/>
        </w:rPr>
        <w:t>ﬃ</w:t>
      </w:r>
      <w:r>
        <w:rPr>
          <w:rFonts w:ascii="Arial Unicode MS" w:cs="Arial Unicode MS" w:eastAsia="Arial Unicode MS" w:hAnsi="Arial Unicode MS"/>
          <w:sz w:val="9"/>
          <w:szCs w:val="9"/>
          <w:color w:val="auto"/>
        </w:rPr>
        <w:t>cient and</w:t>
      </w:r>
    </w:p>
    <w:p>
      <w:pPr>
        <w:spacing w:after="0" w:line="95" w:lineRule="exact"/>
        <w:rPr>
          <w:sz w:val="20"/>
          <w:szCs w:val="20"/>
          <w:color w:val="auto"/>
        </w:rPr>
      </w:pPr>
      <w:r>
        <w:rPr>
          <w:rFonts w:ascii="Arial Unicode MS" w:cs="Arial Unicode MS" w:eastAsia="Arial Unicode MS" w:hAnsi="Arial Unicode MS"/>
          <w:sz w:val="9"/>
          <w:szCs w:val="9"/>
          <w:color w:val="auto"/>
        </w:rPr>
        <w:t>appropriate to provide a basis for our opinion.</w:t>
      </w:r>
    </w:p>
    <w:p>
      <w:pPr>
        <w:spacing w:after="0" w:line="96" w:lineRule="exact"/>
        <w:rPr>
          <w:sz w:val="20"/>
          <w:szCs w:val="20"/>
          <w:color w:val="auto"/>
        </w:rPr>
      </w:pPr>
      <w:r>
        <w:rPr>
          <w:rFonts w:ascii="Arial Unicode MS" w:cs="Arial Unicode MS" w:eastAsia="Arial Unicode MS" w:hAnsi="Arial Unicode MS"/>
          <w:sz w:val="9"/>
          <w:szCs w:val="9"/>
          <w:color w:val="auto"/>
        </w:rPr>
        <w:t>To the best of our knowledge and belief, we have</w:t>
      </w:r>
    </w:p>
    <w:p>
      <w:pPr>
        <w:spacing w:after="0" w:line="95" w:lineRule="exact"/>
        <w:rPr>
          <w:sz w:val="20"/>
          <w:szCs w:val="20"/>
          <w:color w:val="auto"/>
        </w:rPr>
      </w:pPr>
      <w:r>
        <w:rPr>
          <w:rFonts w:ascii="Arial Unicode MS" w:cs="Arial Unicode MS" w:eastAsia="Arial Unicode MS" w:hAnsi="Arial Unicode MS"/>
          <w:sz w:val="9"/>
          <w:szCs w:val="9"/>
          <w:color w:val="auto"/>
        </w:rPr>
        <w:t>not provided any prohibited non-audit services as</w:t>
      </w:r>
    </w:p>
    <w:p>
      <w:pPr>
        <w:spacing w:after="0" w:line="96" w:lineRule="exact"/>
        <w:rPr>
          <w:sz w:val="20"/>
          <w:szCs w:val="20"/>
          <w:color w:val="auto"/>
        </w:rPr>
      </w:pPr>
      <w:r>
        <w:rPr>
          <w:rFonts w:ascii="Arial Unicode MS" w:cs="Arial Unicode MS" w:eastAsia="Arial Unicode MS" w:hAnsi="Arial Unicode MS"/>
          <w:sz w:val="9"/>
          <w:szCs w:val="9"/>
          <w:color w:val="auto"/>
        </w:rPr>
        <w:t>referred to in Article 5(1) of Regulation (EU) No</w:t>
      </w:r>
    </w:p>
    <w:p>
      <w:pPr>
        <w:spacing w:after="0" w:line="95" w:lineRule="exact"/>
        <w:rPr>
          <w:sz w:val="20"/>
          <w:szCs w:val="20"/>
          <w:color w:val="auto"/>
        </w:rPr>
      </w:pPr>
      <w:r>
        <w:rPr>
          <w:rFonts w:ascii="Arial Unicode MS" w:cs="Arial Unicode MS" w:eastAsia="Arial Unicode MS" w:hAnsi="Arial Unicode MS"/>
          <w:sz w:val="9"/>
          <w:szCs w:val="9"/>
          <w:color w:val="auto"/>
        </w:rPr>
        <w:t>537/2014.</w:t>
      </w:r>
    </w:p>
    <w:p>
      <w:pPr>
        <w:spacing w:after="0" w:line="95" w:lineRule="exact"/>
        <w:rPr>
          <w:sz w:val="20"/>
          <w:szCs w:val="20"/>
          <w:color w:val="auto"/>
        </w:rPr>
      </w:pPr>
      <w:r>
        <w:rPr>
          <w:rFonts w:ascii="Arial Unicode MS" w:cs="Arial Unicode MS" w:eastAsia="Arial Unicode MS" w:hAnsi="Arial Unicode MS"/>
          <w:sz w:val="9"/>
          <w:szCs w:val="9"/>
          <w:color w:val="auto"/>
        </w:rPr>
        <w:t>We were appointed auditors of Genmab A/S for the</w:t>
      </w:r>
    </w:p>
    <w:p>
      <w:pPr>
        <w:spacing w:after="0" w:line="96" w:lineRule="exact"/>
        <w:rPr>
          <w:sz w:val="20"/>
          <w:szCs w:val="20"/>
          <w:color w:val="auto"/>
        </w:rPr>
      </w:pPr>
      <w:r>
        <w:rPr>
          <w:rFonts w:ascii="Arial Unicode MS" w:cs="Arial Unicode MS" w:eastAsia="Arial Unicode MS" w:hAnsi="Arial Unicode MS"/>
          <w:sz w:val="9"/>
          <w:szCs w:val="9"/>
          <w:color w:val="auto"/>
        </w:rPr>
        <w:t>rst time on March 13, 2024 for the nancial year</w:t>
      </w:r>
    </w:p>
    <w:p>
      <w:pPr>
        <w:spacing w:after="0" w:line="95" w:lineRule="exact"/>
        <w:rPr>
          <w:sz w:val="20"/>
          <w:szCs w:val="20"/>
          <w:color w:val="auto"/>
        </w:rPr>
      </w:pPr>
      <w:r>
        <w:rPr>
          <w:rFonts w:ascii="Arial Unicode MS" w:cs="Arial Unicode MS" w:eastAsia="Arial Unicode MS" w:hAnsi="Arial Unicode MS"/>
          <w:sz w:val="9"/>
          <w:szCs w:val="9"/>
          <w:color w:val="auto"/>
        </w:rPr>
        <w:t>2024. We have been reappointed annually by</w:t>
      </w:r>
    </w:p>
    <w:p>
      <w:pPr>
        <w:spacing w:after="0" w:line="127" w:lineRule="exact"/>
        <w:rPr>
          <w:sz w:val="20"/>
          <w:szCs w:val="20"/>
          <w:color w:val="auto"/>
        </w:rPr>
      </w:pPr>
      <w:r>
        <w:rPr>
          <w:rFonts w:ascii="Arial Unicode MS" w:cs="Arial Unicode MS" w:eastAsia="Arial Unicode MS" w:hAnsi="Arial Unicode MS"/>
          <w:sz w:val="10"/>
          <w:szCs w:val="10"/>
          <w:color w:val="auto"/>
        </w:rPr>
        <w:t>decision of the general meeting for a total</w:t>
      </w:r>
    </w:p>
    <w:p>
      <w:pPr>
        <w:sectPr>
          <w:pgSz w:w="11900" w:h="16840" w:orient="portrait"/>
          <w:cols w:equalWidth="0" w:num="1">
            <w:col w:w="9820"/>
          </w:cols>
          <w:pgMar w:left="640" w:top="571" w:right="1440" w:bottom="522" w:gutter="0" w:footer="0" w:header="0"/>
          <w:type w:val="continuous"/>
        </w:sectPr>
      </w:pPr>
    </w:p>
    <w:bookmarkStart w:id="168" w:name="page169"/>
    <w:bookmarkEnd w:id="168"/>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7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Independent Auditor’s Reports</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175</w:t>
      </w:r>
    </w:p>
    <w:p>
      <w:pPr>
        <w:spacing w:after="0" w:line="646" w:lineRule="exact"/>
        <w:rPr>
          <w:rFonts w:ascii="Arial" w:cs="Arial" w:eastAsia="Arial" w:hAnsi="Arial"/>
          <w:sz w:val="10"/>
          <w:szCs w:val="10"/>
          <w:color w:val="auto"/>
        </w:rPr>
      </w:pPr>
    </w:p>
    <w:p>
      <w:pPr>
        <w:sectPr>
          <w:pgSz w:w="11900" w:h="16840" w:orient="portrait"/>
          <w:cols w:equalWidth="0" w:num="2">
            <w:col w:w="7400" w:space="720"/>
            <w:col w:w="1700"/>
          </w:cols>
          <w:pgMar w:left="640" w:top="571" w:right="1440" w:bottom="476" w:gutter="0" w:footer="0" w:header="0"/>
        </w:sectPr>
      </w:pPr>
    </w:p>
    <w:p>
      <w:pPr>
        <w:ind w:left="20" w:right="380"/>
        <w:spacing w:after="0" w:line="213" w:lineRule="auto"/>
        <w:rPr>
          <w:sz w:val="20"/>
          <w:szCs w:val="20"/>
          <w:color w:val="auto"/>
        </w:rPr>
      </w:pPr>
      <w:r>
        <w:rPr>
          <w:rFonts w:ascii="Arial" w:cs="Arial" w:eastAsia="Arial" w:hAnsi="Arial"/>
          <w:sz w:val="13"/>
          <w:szCs w:val="13"/>
          <w:b w:val="1"/>
          <w:bCs w:val="1"/>
          <w:color w:val="691A6B"/>
        </w:rPr>
        <w:t>Revenue recognition of royalty revenue</w:t>
      </w:r>
    </w:p>
    <w:p>
      <w:pPr>
        <w:spacing w:after="0" w:line="1" w:lineRule="exact"/>
        <w:rPr>
          <w:rFonts w:ascii="Arial" w:cs="Arial" w:eastAsia="Arial" w:hAnsi="Arial"/>
          <w:sz w:val="10"/>
          <w:szCs w:val="10"/>
          <w:color w:val="auto"/>
        </w:rPr>
      </w:pPr>
    </w:p>
    <w:p>
      <w:pPr>
        <w:ind w:left="20" w:right="200"/>
        <w:spacing w:after="0" w:line="95" w:lineRule="exact"/>
        <w:rPr>
          <w:rFonts w:ascii="Arial" w:cs="Arial" w:eastAsia="Arial" w:hAnsi="Arial"/>
          <w:sz w:val="9"/>
          <w:szCs w:val="9"/>
          <w:b w:val="1"/>
          <w:bCs w:val="1"/>
          <w:color w:val="691A6B"/>
        </w:rPr>
      </w:pPr>
      <w:hyperlink w:anchor="page140"/>
      <w:r>
        <w:rPr>
          <w:rFonts w:ascii="Arial Unicode MS" w:cs="Arial Unicode MS" w:eastAsia="Arial Unicode MS" w:hAnsi="Arial Unicode MS"/>
          <w:sz w:val="9"/>
          <w:szCs w:val="9"/>
          <w:color w:val="691A6B"/>
        </w:rPr>
        <w:t>Refer</w:t>
      </w:r>
      <w:r>
        <w:rPr>
          <w:rFonts w:ascii="Arial" w:cs="Arial" w:eastAsia="Arial" w:hAnsi="Arial"/>
          <w:sz w:val="9"/>
          <w:szCs w:val="9"/>
          <w:b w:val="1"/>
          <w:bCs w:val="1"/>
          <w:color w:val="691A6B"/>
        </w:rPr>
        <w:t xml:space="preserve"> </w:t>
      </w:r>
      <w:r>
        <w:rPr>
          <w:rFonts w:ascii="Arial Unicode MS" w:cs="Arial Unicode MS" w:eastAsia="Arial Unicode MS" w:hAnsi="Arial Unicode MS"/>
          <w:sz w:val="9"/>
          <w:szCs w:val="9"/>
          <w:color w:val="691A6B"/>
        </w:rPr>
        <w:t>to</w:t>
      </w:r>
      <w:r>
        <w:rPr>
          <w:rFonts w:ascii="Arial" w:cs="Arial" w:eastAsia="Arial" w:hAnsi="Arial"/>
          <w:sz w:val="9"/>
          <w:szCs w:val="9"/>
          <w:b w:val="1"/>
          <w:bCs w:val="1"/>
          <w:color w:val="691A6B"/>
        </w:rPr>
        <w:t xml:space="preserve"> </w:t>
      </w:r>
      <w:hyperlink w:anchor="page140">
        <w:r>
          <w:rPr>
            <w:rFonts w:ascii="Arial" w:cs="Arial" w:eastAsia="Arial" w:hAnsi="Arial"/>
            <w:sz w:val="9"/>
            <w:szCs w:val="9"/>
            <w:b w:val="1"/>
            <w:bCs w:val="1"/>
            <w:color w:val="691A6B"/>
          </w:rPr>
          <w:t xml:space="preserve">Note 2.1 </w:t>
        </w:r>
      </w:hyperlink>
      <w:r>
        <w:rPr>
          <w:rFonts w:ascii="Arial Unicode MS" w:cs="Arial Unicode MS" w:eastAsia="Arial Unicode MS" w:hAnsi="Arial Unicode MS"/>
          <w:sz w:val="9"/>
          <w:szCs w:val="9"/>
          <w:color w:val="691A6B"/>
        </w:rPr>
        <w:t>to</w:t>
      </w:r>
      <w:r>
        <w:rPr>
          <w:rFonts w:ascii="Arial" w:cs="Arial" w:eastAsia="Arial" w:hAnsi="Arial"/>
          <w:sz w:val="9"/>
          <w:szCs w:val="9"/>
          <w:b w:val="1"/>
          <w:bCs w:val="1"/>
          <w:color w:val="691A6B"/>
        </w:rPr>
        <w:t xml:space="preserve"> </w:t>
      </w:r>
      <w:r>
        <w:rPr>
          <w:rFonts w:ascii="Arial Unicode MS" w:cs="Arial Unicode MS" w:eastAsia="Arial Unicode MS" w:hAnsi="Arial Unicode MS"/>
          <w:sz w:val="9"/>
          <w:szCs w:val="9"/>
          <w:color w:val="691A6B"/>
        </w:rPr>
        <w:t>the consolidated financial</w:t>
      </w:r>
      <w:r>
        <w:rPr>
          <w:rFonts w:ascii="Arial" w:cs="Arial" w:eastAsia="Arial" w:hAnsi="Arial"/>
          <w:sz w:val="9"/>
          <w:szCs w:val="9"/>
          <w:b w:val="1"/>
          <w:bCs w:val="1"/>
          <w:color w:val="691A6B"/>
        </w:rPr>
        <w:t xml:space="preserve"> </w:t>
      </w:r>
      <w:r>
        <w:rPr>
          <w:rFonts w:ascii="Arial Unicode MS" w:cs="Arial Unicode MS" w:eastAsia="Arial Unicode MS" w:hAnsi="Arial Unicode MS"/>
          <w:sz w:val="9"/>
          <w:szCs w:val="9"/>
          <w:color w:val="691A6B"/>
        </w:rPr>
        <w:t>statements.</w:t>
      </w:r>
    </w:p>
    <w:p>
      <w:pPr>
        <w:ind w:left="20" w:right="40"/>
        <w:spacing w:after="0" w:line="108" w:lineRule="exact"/>
        <w:rPr>
          <w:sz w:val="20"/>
          <w:szCs w:val="20"/>
          <w:color w:val="auto"/>
        </w:rPr>
      </w:pPr>
      <w:r>
        <w:rPr>
          <w:rFonts w:ascii="Arial Unicode MS" w:cs="Arial Unicode MS" w:eastAsia="Arial Unicode MS" w:hAnsi="Arial Unicode MS"/>
          <w:sz w:val="9"/>
          <w:szCs w:val="9"/>
          <w:color w:val="auto"/>
        </w:rPr>
        <w:t>The Company recognized royalty revenue, where revenue is recognized based on net sales by collaboration partners. The Company uses net sales provided by its collaboration partners as an input to its calculation of the amount of royalty revenue to recognize in each period. The preliminary net sales data provided by the collaboration partner may change once final net sales data is available.</w:t>
      </w:r>
    </w:p>
    <w:p>
      <w:pPr>
        <w:ind w:left="20"/>
        <w:spacing w:after="0" w:line="110" w:lineRule="exact"/>
        <w:rPr>
          <w:sz w:val="20"/>
          <w:szCs w:val="20"/>
          <w:color w:val="auto"/>
        </w:rPr>
      </w:pPr>
      <w:r>
        <w:rPr>
          <w:rFonts w:ascii="Arial Unicode MS" w:cs="Arial Unicode MS" w:eastAsia="Arial Unicode MS" w:hAnsi="Arial Unicode MS"/>
          <w:sz w:val="9"/>
          <w:szCs w:val="9"/>
          <w:color w:val="auto"/>
        </w:rPr>
        <w:t>We identified the revenue recognition of royalty contracts for selected products as a key audit matter because of the significant estimation uncertainty related to the net sales data provided by collaboration partners. Specifically, the collaboration partner’s estimate of net sales could change based on the final net sales impacting the royalty revenue recognized in each period. This required a high degree of auditor judgement and an increased extent of effort when performing audit procedures to evaluate the reliability of management’s estimates of the net sales. Further, the contracts with the collaboration partners are complex and contain multiple clauses that directly impact revenue recognition, which require an increased extent of audit effort to ensure accurate and complete revenue recognition.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r>
        <w:rPr>
          <w:rFonts w:ascii="Arial Unicode MS" w:cs="Arial Unicode MS" w:eastAsia="Arial Unicode MS" w:hAnsi="Arial Unicode MS"/>
          <w:sz w:val="9"/>
          <w:szCs w:val="9"/>
          <w:color w:val="auto"/>
        </w:rPr>
        <w:t>Our audit procedures related to the royalty</w:t>
      </w:r>
    </w:p>
    <w:p>
      <w:pPr>
        <w:spacing w:after="0" w:line="95" w:lineRule="exact"/>
        <w:rPr>
          <w:sz w:val="20"/>
          <w:szCs w:val="20"/>
          <w:color w:val="auto"/>
        </w:rPr>
      </w:pPr>
      <w:r>
        <w:rPr>
          <w:rFonts w:ascii="Arial Unicode MS" w:cs="Arial Unicode MS" w:eastAsia="Arial Unicode MS" w:hAnsi="Arial Unicode MS"/>
          <w:sz w:val="9"/>
          <w:szCs w:val="9"/>
          <w:color w:val="auto"/>
        </w:rPr>
        <w:t>revenue recognized based on the significant</w:t>
      </w:r>
    </w:p>
    <w:p>
      <w:pPr>
        <w:spacing w:after="0" w:line="96" w:lineRule="exact"/>
        <w:rPr>
          <w:sz w:val="20"/>
          <w:szCs w:val="20"/>
          <w:color w:val="auto"/>
        </w:rPr>
      </w:pPr>
      <w:r>
        <w:rPr>
          <w:rFonts w:ascii="Arial Unicode MS" w:cs="Arial Unicode MS" w:eastAsia="Arial Unicode MS" w:hAnsi="Arial Unicode MS"/>
          <w:sz w:val="9"/>
          <w:szCs w:val="9"/>
          <w:color w:val="auto"/>
        </w:rPr>
        <w:t>assumption of estimated net sales provided by the</w:t>
      </w:r>
    </w:p>
    <w:p>
      <w:pPr>
        <w:spacing w:after="0" w:line="95" w:lineRule="exact"/>
        <w:rPr>
          <w:sz w:val="20"/>
          <w:szCs w:val="20"/>
          <w:color w:val="auto"/>
        </w:rPr>
      </w:pPr>
      <w:r>
        <w:rPr>
          <w:rFonts w:ascii="Arial Unicode MS" w:cs="Arial Unicode MS" w:eastAsia="Arial Unicode MS" w:hAnsi="Arial Unicode MS"/>
          <w:sz w:val="9"/>
          <w:szCs w:val="9"/>
          <w:color w:val="auto"/>
        </w:rPr>
        <w:t>collaboration partners and the complex and</w:t>
      </w:r>
    </w:p>
    <w:p>
      <w:pPr>
        <w:spacing w:after="0" w:line="96" w:lineRule="exact"/>
        <w:rPr>
          <w:sz w:val="20"/>
          <w:szCs w:val="20"/>
          <w:color w:val="auto"/>
        </w:rPr>
      </w:pPr>
      <w:r>
        <w:rPr>
          <w:rFonts w:ascii="Arial Unicode MS" w:cs="Arial Unicode MS" w:eastAsia="Arial Unicode MS" w:hAnsi="Arial Unicode MS"/>
          <w:sz w:val="9"/>
          <w:szCs w:val="9"/>
          <w:color w:val="auto"/>
        </w:rPr>
        <w:t>multiple clauses in the contracts included the</w:t>
      </w:r>
    </w:p>
    <w:p>
      <w:pPr>
        <w:spacing w:after="0" w:line="95" w:lineRule="exact"/>
        <w:rPr>
          <w:sz w:val="20"/>
          <w:szCs w:val="20"/>
          <w:color w:val="auto"/>
        </w:rPr>
      </w:pPr>
      <w:r>
        <w:rPr>
          <w:rFonts w:ascii="Arial Unicode MS" w:cs="Arial Unicode MS" w:eastAsia="Arial Unicode MS" w:hAnsi="Arial Unicode MS"/>
          <w:sz w:val="9"/>
          <w:szCs w:val="9"/>
          <w:color w:val="auto"/>
        </w:rPr>
        <w:t>following, among others:</w:t>
      </w:r>
    </w:p>
    <w:p>
      <w:pPr>
        <w:spacing w:after="0" w:line="96" w:lineRule="exact"/>
        <w:rPr>
          <w:sz w:val="20"/>
          <w:szCs w:val="20"/>
          <w:color w:val="auto"/>
        </w:rPr>
      </w:pPr>
      <w:r>
        <w:rPr>
          <w:rFonts w:ascii="Arial Unicode MS" w:cs="Arial Unicode MS" w:eastAsia="Arial Unicode MS" w:hAnsi="Arial Unicode MS"/>
          <w:sz w:val="9"/>
          <w:szCs w:val="9"/>
          <w:color w:val="auto"/>
        </w:rPr>
        <w:t>•We tested the effectiveness of controls relating</w:t>
      </w:r>
    </w:p>
    <w:p>
      <w:pPr>
        <w:spacing w:after="0" w:line="95" w:lineRule="exact"/>
        <w:rPr>
          <w:sz w:val="20"/>
          <w:szCs w:val="20"/>
          <w:color w:val="auto"/>
        </w:rPr>
      </w:pPr>
      <w:r>
        <w:rPr>
          <w:rFonts w:ascii="Arial Unicode MS" w:cs="Arial Unicode MS" w:eastAsia="Arial Unicode MS" w:hAnsi="Arial Unicode MS"/>
          <w:sz w:val="9"/>
          <w:szCs w:val="9"/>
          <w:color w:val="auto"/>
        </w:rPr>
        <w:t>to management’s review of the estimated net</w:t>
      </w:r>
    </w:p>
    <w:p>
      <w:pPr>
        <w:spacing w:after="0" w:line="95" w:lineRule="exact"/>
        <w:rPr>
          <w:sz w:val="20"/>
          <w:szCs w:val="20"/>
          <w:color w:val="auto"/>
        </w:rPr>
      </w:pPr>
      <w:r>
        <w:rPr>
          <w:rFonts w:ascii="Arial Unicode MS" w:cs="Arial Unicode MS" w:eastAsia="Arial Unicode MS" w:hAnsi="Arial Unicode MS"/>
          <w:sz w:val="9"/>
          <w:szCs w:val="9"/>
          <w:color w:val="auto"/>
        </w:rPr>
        <w:t>sales used in the determination of royalty</w:t>
      </w:r>
    </w:p>
    <w:p>
      <w:pPr>
        <w:spacing w:after="0" w:line="96" w:lineRule="exact"/>
        <w:rPr>
          <w:sz w:val="20"/>
          <w:szCs w:val="20"/>
          <w:color w:val="auto"/>
        </w:rPr>
      </w:pPr>
      <w:r>
        <w:rPr>
          <w:rFonts w:ascii="Arial Unicode MS" w:cs="Arial Unicode MS" w:eastAsia="Arial Unicode MS" w:hAnsi="Arial Unicode MS"/>
          <w:sz w:val="9"/>
          <w:szCs w:val="9"/>
          <w:color w:val="auto"/>
        </w:rPr>
        <w:t>revenue recognition.</w:t>
      </w:r>
    </w:p>
    <w:p>
      <w:pPr>
        <w:spacing w:after="0" w:line="95" w:lineRule="exact"/>
        <w:rPr>
          <w:sz w:val="20"/>
          <w:szCs w:val="20"/>
          <w:color w:val="auto"/>
        </w:rPr>
      </w:pPr>
      <w:r>
        <w:rPr>
          <w:rFonts w:ascii="Arial Unicode MS" w:cs="Arial Unicode MS" w:eastAsia="Arial Unicode MS" w:hAnsi="Arial Unicode MS"/>
          <w:sz w:val="9"/>
          <w:szCs w:val="9"/>
          <w:color w:val="auto"/>
        </w:rPr>
        <w:t>•We tested the overall reliability of the estimated</w:t>
      </w:r>
    </w:p>
    <w:p>
      <w:pPr>
        <w:spacing w:after="0" w:line="96" w:lineRule="exact"/>
        <w:rPr>
          <w:sz w:val="20"/>
          <w:szCs w:val="20"/>
          <w:color w:val="auto"/>
        </w:rPr>
      </w:pPr>
      <w:r>
        <w:rPr>
          <w:rFonts w:ascii="Arial Unicode MS" w:cs="Arial Unicode MS" w:eastAsia="Arial Unicode MS" w:hAnsi="Arial Unicode MS"/>
          <w:sz w:val="9"/>
          <w:szCs w:val="9"/>
          <w:color w:val="auto"/>
        </w:rPr>
        <w:t>net sales reported by the collaboration partners</w:t>
      </w:r>
    </w:p>
    <w:p>
      <w:pPr>
        <w:spacing w:after="0" w:line="95" w:lineRule="exact"/>
        <w:rPr>
          <w:sz w:val="20"/>
          <w:szCs w:val="20"/>
          <w:color w:val="auto"/>
        </w:rPr>
      </w:pPr>
      <w:r>
        <w:rPr>
          <w:rFonts w:ascii="Arial Unicode MS" w:cs="Arial Unicode MS" w:eastAsia="Arial Unicode MS" w:hAnsi="Arial Unicode MS"/>
          <w:sz w:val="9"/>
          <w:szCs w:val="9"/>
          <w:color w:val="auto"/>
        </w:rPr>
        <w:t>by assessing the historical accuracy of the</w:t>
      </w:r>
    </w:p>
    <w:p>
      <w:pPr>
        <w:spacing w:after="0" w:line="96" w:lineRule="exact"/>
        <w:rPr>
          <w:sz w:val="20"/>
          <w:szCs w:val="20"/>
          <w:color w:val="auto"/>
        </w:rPr>
      </w:pPr>
      <w:r>
        <w:rPr>
          <w:rFonts w:ascii="Arial Unicode MS" w:cs="Arial Unicode MS" w:eastAsia="Arial Unicode MS" w:hAnsi="Arial Unicode MS"/>
          <w:sz w:val="9"/>
          <w:szCs w:val="9"/>
          <w:color w:val="auto"/>
        </w:rPr>
        <w:t>estimates.</w:t>
      </w:r>
    </w:p>
    <w:p>
      <w:pPr>
        <w:spacing w:after="0" w:line="95" w:lineRule="exact"/>
        <w:rPr>
          <w:sz w:val="20"/>
          <w:szCs w:val="20"/>
          <w:color w:val="auto"/>
        </w:rPr>
      </w:pPr>
      <w:r>
        <w:rPr>
          <w:rFonts w:ascii="Arial Unicode MS" w:cs="Arial Unicode MS" w:eastAsia="Arial Unicode MS" w:hAnsi="Arial Unicode MS"/>
          <w:sz w:val="9"/>
          <w:szCs w:val="9"/>
          <w:color w:val="auto"/>
        </w:rPr>
        <w:t>•We tested the recognition of royalty revenue by</w:t>
      </w:r>
    </w:p>
    <w:p>
      <w:pPr>
        <w:spacing w:after="0" w:line="95" w:lineRule="exact"/>
        <w:rPr>
          <w:sz w:val="20"/>
          <w:szCs w:val="20"/>
          <w:color w:val="auto"/>
        </w:rPr>
      </w:pPr>
      <w:r>
        <w:rPr>
          <w:rFonts w:ascii="Arial Unicode MS" w:cs="Arial Unicode MS" w:eastAsia="Arial Unicode MS" w:hAnsi="Arial Unicode MS"/>
          <w:sz w:val="9"/>
          <w:szCs w:val="9"/>
          <w:color w:val="auto"/>
        </w:rPr>
        <w:t>reconciling to the contract terms, cash receipts</w:t>
      </w:r>
    </w:p>
    <w:p>
      <w:pPr>
        <w:spacing w:after="0" w:line="96" w:lineRule="exact"/>
        <w:rPr>
          <w:sz w:val="20"/>
          <w:szCs w:val="20"/>
          <w:color w:val="auto"/>
        </w:rPr>
      </w:pPr>
      <w:r>
        <w:rPr>
          <w:rFonts w:ascii="Arial Unicode MS" w:cs="Arial Unicode MS" w:eastAsia="Arial Unicode MS" w:hAnsi="Arial Unicode MS"/>
          <w:sz w:val="9"/>
          <w:szCs w:val="9"/>
          <w:color w:val="auto"/>
        </w:rPr>
        <w:t>and royalty reports from collaboration partners</w:t>
      </w:r>
    </w:p>
    <w:p>
      <w:pPr>
        <w:spacing w:after="0" w:line="95" w:lineRule="exact"/>
        <w:rPr>
          <w:sz w:val="20"/>
          <w:szCs w:val="20"/>
          <w:color w:val="auto"/>
        </w:rPr>
      </w:pPr>
      <w:r>
        <w:rPr>
          <w:rFonts w:ascii="Arial Unicode MS" w:cs="Arial Unicode MS" w:eastAsia="Arial Unicode MS" w:hAnsi="Arial Unicode MS"/>
          <w:sz w:val="9"/>
          <w:szCs w:val="9"/>
          <w:color w:val="auto"/>
        </w:rPr>
        <w:t>or reported net sales.</w:t>
      </w:r>
    </w:p>
    <w:p>
      <w:pPr>
        <w:spacing w:after="0" w:line="96" w:lineRule="exact"/>
        <w:rPr>
          <w:sz w:val="20"/>
          <w:szCs w:val="20"/>
          <w:color w:val="auto"/>
        </w:rPr>
      </w:pPr>
      <w:r>
        <w:rPr>
          <w:rFonts w:ascii="Arial Unicode MS" w:cs="Arial Unicode MS" w:eastAsia="Arial Unicode MS" w:hAnsi="Arial Unicode MS"/>
          <w:sz w:val="9"/>
          <w:szCs w:val="9"/>
          <w:color w:val="auto"/>
        </w:rPr>
        <w:t>•We obtained external confirmations from</w:t>
      </w:r>
    </w:p>
    <w:p>
      <w:pPr>
        <w:spacing w:after="0" w:line="95" w:lineRule="exact"/>
        <w:rPr>
          <w:sz w:val="20"/>
          <w:szCs w:val="20"/>
          <w:color w:val="auto"/>
        </w:rPr>
      </w:pPr>
      <w:r>
        <w:rPr>
          <w:rFonts w:ascii="Arial Unicode MS" w:cs="Arial Unicode MS" w:eastAsia="Arial Unicode MS" w:hAnsi="Arial Unicode MS"/>
          <w:sz w:val="9"/>
          <w:szCs w:val="9"/>
          <w:color w:val="auto"/>
        </w:rPr>
        <w:t>collaboration partners on the estimated and</w:t>
      </w:r>
    </w:p>
    <w:p>
      <w:pPr>
        <w:spacing w:after="0" w:line="127" w:lineRule="exact"/>
        <w:rPr>
          <w:sz w:val="20"/>
          <w:szCs w:val="20"/>
          <w:color w:val="auto"/>
        </w:rPr>
      </w:pPr>
      <w:r>
        <w:rPr>
          <w:rFonts w:ascii="Arial Unicode MS" w:cs="Arial Unicode MS" w:eastAsia="Arial Unicode MS" w:hAnsi="Arial Unicode MS"/>
          <w:sz w:val="10"/>
          <w:szCs w:val="10"/>
          <w:color w:val="auto"/>
        </w:rPr>
        <w:t>actual net sales amounts reported.</w:t>
      </w:r>
    </w:p>
    <w:p>
      <w:pPr>
        <w:spacing w:after="0" w:line="1126" w:lineRule="exact"/>
        <w:rPr>
          <w:sz w:val="20"/>
          <w:szCs w:val="20"/>
          <w:color w:val="auto"/>
        </w:rPr>
      </w:pPr>
    </w:p>
    <w:p>
      <w:pPr>
        <w:sectPr>
          <w:pgSz w:w="11900" w:h="16840" w:orient="portrait"/>
          <w:cols w:equalWidth="0" w:num="2">
            <w:col w:w="2340" w:space="40"/>
            <w:col w:w="7440"/>
          </w:cols>
          <w:pgMar w:left="640" w:top="571" w:right="1440" w:bottom="47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color w:val="691A6B"/>
        </w:rPr>
        <w:t>Statement on Management’s Review</w:t>
      </w:r>
    </w:p>
    <w:p>
      <w:pPr>
        <w:spacing w:after="0" w:line="95" w:lineRule="exact"/>
        <w:rPr>
          <w:sz w:val="20"/>
          <w:szCs w:val="20"/>
          <w:color w:val="auto"/>
        </w:rPr>
      </w:pPr>
      <w:r>
        <w:rPr>
          <w:rFonts w:ascii="Arial Unicode MS" w:cs="Arial Unicode MS" w:eastAsia="Arial Unicode MS" w:hAnsi="Arial Unicode MS"/>
          <w:sz w:val="9"/>
          <w:szCs w:val="9"/>
          <w:color w:val="auto"/>
        </w:rPr>
        <w:t>Management is responsible for the</w:t>
      </w:r>
    </w:p>
    <w:p>
      <w:pPr>
        <w:spacing w:after="0" w:line="95" w:lineRule="exact"/>
        <w:rPr>
          <w:sz w:val="20"/>
          <w:szCs w:val="20"/>
          <w:color w:val="auto"/>
        </w:rPr>
      </w:pPr>
      <w:r>
        <w:rPr>
          <w:rFonts w:ascii="Arial Unicode MS" w:cs="Arial Unicode MS" w:eastAsia="Arial Unicode MS" w:hAnsi="Arial Unicode MS"/>
          <w:sz w:val="9"/>
          <w:szCs w:val="9"/>
          <w:color w:val="auto"/>
        </w:rPr>
        <w:t>Management’s Review.</w:t>
      </w:r>
    </w:p>
    <w:p>
      <w:pPr>
        <w:spacing w:after="0" w:line="96" w:lineRule="exact"/>
        <w:rPr>
          <w:sz w:val="20"/>
          <w:szCs w:val="20"/>
          <w:color w:val="auto"/>
        </w:rPr>
      </w:pPr>
      <w:r>
        <w:rPr>
          <w:rFonts w:ascii="Arial Unicode MS" w:cs="Arial Unicode MS" w:eastAsia="Arial Unicode MS" w:hAnsi="Arial Unicode MS"/>
          <w:sz w:val="9"/>
          <w:szCs w:val="9"/>
          <w:color w:val="auto"/>
        </w:rPr>
        <w:t>Our opinion on the consolidated nancial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and the parent nancial statements</w:t>
      </w:r>
    </w:p>
    <w:p>
      <w:pPr>
        <w:spacing w:after="0" w:line="96" w:lineRule="exact"/>
        <w:rPr>
          <w:sz w:val="20"/>
          <w:szCs w:val="20"/>
          <w:color w:val="auto"/>
        </w:rPr>
      </w:pPr>
      <w:r>
        <w:rPr>
          <w:rFonts w:ascii="Arial Unicode MS" w:cs="Arial Unicode MS" w:eastAsia="Arial Unicode MS" w:hAnsi="Arial Unicode MS"/>
          <w:sz w:val="9"/>
          <w:szCs w:val="9"/>
          <w:color w:val="auto"/>
        </w:rPr>
        <w:t>does not cover the Management’s Review,</w:t>
      </w:r>
    </w:p>
    <w:p>
      <w:pPr>
        <w:spacing w:after="0" w:line="95" w:lineRule="exact"/>
        <w:rPr>
          <w:sz w:val="20"/>
          <w:szCs w:val="20"/>
          <w:color w:val="auto"/>
        </w:rPr>
      </w:pPr>
      <w:r>
        <w:rPr>
          <w:rFonts w:ascii="Arial Unicode MS" w:cs="Arial Unicode MS" w:eastAsia="Arial Unicode MS" w:hAnsi="Arial Unicode MS"/>
          <w:sz w:val="9"/>
          <w:szCs w:val="9"/>
          <w:color w:val="auto"/>
        </w:rPr>
        <w:t>and we do not express any form of assurance</w:t>
      </w:r>
    </w:p>
    <w:p>
      <w:pPr>
        <w:spacing w:after="0" w:line="96" w:lineRule="exact"/>
        <w:rPr>
          <w:sz w:val="20"/>
          <w:szCs w:val="20"/>
          <w:color w:val="auto"/>
        </w:rPr>
      </w:pPr>
      <w:r>
        <w:rPr>
          <w:rFonts w:ascii="Arial Unicode MS" w:cs="Arial Unicode MS" w:eastAsia="Arial Unicode MS" w:hAnsi="Arial Unicode MS"/>
          <w:sz w:val="9"/>
          <w:szCs w:val="9"/>
          <w:color w:val="auto"/>
        </w:rPr>
        <w:t>conclusion thereon.</w:t>
      </w:r>
    </w:p>
    <w:p>
      <w:pPr>
        <w:spacing w:after="0" w:line="95" w:lineRule="exact"/>
        <w:rPr>
          <w:sz w:val="20"/>
          <w:szCs w:val="20"/>
          <w:color w:val="auto"/>
        </w:rPr>
      </w:pPr>
      <w:r>
        <w:rPr>
          <w:rFonts w:ascii="Arial Unicode MS" w:cs="Arial Unicode MS" w:eastAsia="Arial Unicode MS" w:hAnsi="Arial Unicode MS"/>
          <w:sz w:val="9"/>
          <w:szCs w:val="9"/>
          <w:color w:val="auto"/>
        </w:rPr>
        <w:t>In connection with our audit of the consolidated</w:t>
      </w:r>
    </w:p>
    <w:p>
      <w:pPr>
        <w:spacing w:after="0" w:line="95" w:lineRule="exact"/>
        <w:rPr>
          <w:sz w:val="20"/>
          <w:szCs w:val="20"/>
          <w:color w:val="auto"/>
        </w:rPr>
      </w:pPr>
      <w:r>
        <w:rPr>
          <w:rFonts w:ascii="Arial Unicode MS" w:cs="Arial Unicode MS" w:eastAsia="Arial Unicode MS" w:hAnsi="Arial Unicode MS"/>
          <w:sz w:val="9"/>
          <w:szCs w:val="9"/>
          <w:color w:val="auto"/>
        </w:rPr>
        <w:t>nancial statements and the parent nancial</w:t>
      </w:r>
    </w:p>
    <w:p>
      <w:pPr>
        <w:spacing w:after="0" w:line="96" w:lineRule="exact"/>
        <w:rPr>
          <w:sz w:val="20"/>
          <w:szCs w:val="20"/>
          <w:color w:val="auto"/>
        </w:rPr>
      </w:pPr>
      <w:r>
        <w:rPr>
          <w:rFonts w:ascii="Arial Unicode MS" w:cs="Arial Unicode MS" w:eastAsia="Arial Unicode MS" w:hAnsi="Arial Unicode MS"/>
          <w:sz w:val="9"/>
          <w:szCs w:val="9"/>
          <w:color w:val="auto"/>
        </w:rPr>
        <w:t>statements, our responsibility is to read the</w:t>
      </w:r>
    </w:p>
    <w:p>
      <w:pPr>
        <w:spacing w:after="0" w:line="95" w:lineRule="exact"/>
        <w:rPr>
          <w:sz w:val="20"/>
          <w:szCs w:val="20"/>
          <w:color w:val="auto"/>
        </w:rPr>
      </w:pPr>
      <w:r>
        <w:rPr>
          <w:rFonts w:ascii="Arial Unicode MS" w:cs="Arial Unicode MS" w:eastAsia="Arial Unicode MS" w:hAnsi="Arial Unicode MS"/>
          <w:sz w:val="9"/>
          <w:szCs w:val="9"/>
          <w:color w:val="auto"/>
        </w:rPr>
        <w:t>Management’s Review and, in doing so, consider</w:t>
      </w:r>
    </w:p>
    <w:p>
      <w:pPr>
        <w:spacing w:after="0" w:line="96" w:lineRule="exact"/>
        <w:rPr>
          <w:sz w:val="20"/>
          <w:szCs w:val="20"/>
          <w:color w:val="auto"/>
        </w:rPr>
      </w:pPr>
      <w:r>
        <w:rPr>
          <w:rFonts w:ascii="Arial Unicode MS" w:cs="Arial Unicode MS" w:eastAsia="Arial Unicode MS" w:hAnsi="Arial Unicode MS"/>
          <w:sz w:val="9"/>
          <w:szCs w:val="9"/>
          <w:color w:val="auto"/>
        </w:rPr>
        <w:t>whether the Management’s Review is materially</w:t>
      </w:r>
    </w:p>
    <w:p>
      <w:pPr>
        <w:spacing w:after="0" w:line="95" w:lineRule="exact"/>
        <w:rPr>
          <w:sz w:val="20"/>
          <w:szCs w:val="20"/>
          <w:color w:val="auto"/>
        </w:rPr>
      </w:pPr>
      <w:r>
        <w:rPr>
          <w:rFonts w:ascii="Arial Unicode MS" w:cs="Arial Unicode MS" w:eastAsia="Arial Unicode MS" w:hAnsi="Arial Unicode MS"/>
          <w:sz w:val="9"/>
          <w:szCs w:val="9"/>
          <w:color w:val="auto"/>
        </w:rPr>
        <w:t>inconsistent with the consolidated nancial</w:t>
      </w:r>
    </w:p>
    <w:p>
      <w:pPr>
        <w:spacing w:after="0" w:line="96" w:lineRule="exact"/>
        <w:rPr>
          <w:sz w:val="20"/>
          <w:szCs w:val="20"/>
          <w:color w:val="auto"/>
        </w:rPr>
      </w:pPr>
      <w:r>
        <w:rPr>
          <w:rFonts w:ascii="Arial Unicode MS" w:cs="Arial Unicode MS" w:eastAsia="Arial Unicode MS" w:hAnsi="Arial Unicode MS"/>
          <w:sz w:val="9"/>
          <w:szCs w:val="9"/>
          <w:color w:val="auto"/>
        </w:rPr>
        <w:t>statements and the parent nancial statements or</w:t>
      </w:r>
    </w:p>
    <w:p>
      <w:pPr>
        <w:spacing w:after="0" w:line="95" w:lineRule="exact"/>
        <w:rPr>
          <w:sz w:val="20"/>
          <w:szCs w:val="20"/>
          <w:color w:val="auto"/>
        </w:rPr>
      </w:pPr>
      <w:r>
        <w:rPr>
          <w:rFonts w:ascii="Arial Unicode MS" w:cs="Arial Unicode MS" w:eastAsia="Arial Unicode MS" w:hAnsi="Arial Unicode MS"/>
          <w:sz w:val="9"/>
          <w:szCs w:val="9"/>
          <w:color w:val="auto"/>
        </w:rPr>
        <w:t>our knowledge obtained in the audit or otherwise</w:t>
      </w:r>
    </w:p>
    <w:p>
      <w:pPr>
        <w:spacing w:after="0" w:line="95" w:lineRule="exact"/>
        <w:rPr>
          <w:sz w:val="20"/>
          <w:szCs w:val="20"/>
          <w:color w:val="auto"/>
        </w:rPr>
      </w:pPr>
      <w:r>
        <w:rPr>
          <w:rFonts w:ascii="Arial Unicode MS" w:cs="Arial Unicode MS" w:eastAsia="Arial Unicode MS" w:hAnsi="Arial Unicode MS"/>
          <w:sz w:val="9"/>
          <w:szCs w:val="9"/>
          <w:color w:val="auto"/>
        </w:rPr>
        <w:t>appears to be materially misstated.</w:t>
      </w:r>
    </w:p>
    <w:p>
      <w:pPr>
        <w:spacing w:after="0" w:line="96" w:lineRule="exact"/>
        <w:rPr>
          <w:sz w:val="20"/>
          <w:szCs w:val="20"/>
          <w:color w:val="auto"/>
        </w:rPr>
      </w:pPr>
      <w:r>
        <w:rPr>
          <w:rFonts w:ascii="Arial Unicode MS" w:cs="Arial Unicode MS" w:eastAsia="Arial Unicode MS" w:hAnsi="Arial Unicode MS"/>
          <w:sz w:val="9"/>
          <w:szCs w:val="9"/>
          <w:color w:val="auto"/>
        </w:rPr>
        <w:t>Moreover, we considered whether Management’s</w:t>
      </w:r>
    </w:p>
    <w:p>
      <w:pPr>
        <w:spacing w:after="0" w:line="95" w:lineRule="exact"/>
        <w:rPr>
          <w:sz w:val="20"/>
          <w:szCs w:val="20"/>
          <w:color w:val="auto"/>
        </w:rPr>
      </w:pPr>
      <w:r>
        <w:rPr>
          <w:rFonts w:ascii="Arial Unicode MS" w:cs="Arial Unicode MS" w:eastAsia="Arial Unicode MS" w:hAnsi="Arial Unicode MS"/>
          <w:sz w:val="9"/>
          <w:szCs w:val="9"/>
          <w:color w:val="auto"/>
        </w:rPr>
        <w:t>Review includes the disclosures required by the</w:t>
      </w:r>
    </w:p>
    <w:p>
      <w:pPr>
        <w:spacing w:after="0" w:line="96" w:lineRule="exact"/>
        <w:rPr>
          <w:sz w:val="20"/>
          <w:szCs w:val="20"/>
          <w:color w:val="auto"/>
        </w:rPr>
      </w:pPr>
      <w:r>
        <w:rPr>
          <w:rFonts w:ascii="Arial Unicode MS" w:cs="Arial Unicode MS" w:eastAsia="Arial Unicode MS" w:hAnsi="Arial Unicode MS"/>
          <w:sz w:val="9"/>
          <w:szCs w:val="9"/>
          <w:color w:val="auto"/>
        </w:rPr>
        <w:t>Danish Financial Statements Act. This does not</w:t>
      </w:r>
    </w:p>
    <w:p>
      <w:pPr>
        <w:spacing w:after="0" w:line="95" w:lineRule="exact"/>
        <w:rPr>
          <w:sz w:val="20"/>
          <w:szCs w:val="20"/>
          <w:color w:val="auto"/>
        </w:rPr>
      </w:pPr>
      <w:r>
        <w:rPr>
          <w:rFonts w:ascii="Arial Unicode MS" w:cs="Arial Unicode MS" w:eastAsia="Arial Unicode MS" w:hAnsi="Arial Unicode MS"/>
          <w:sz w:val="9"/>
          <w:szCs w:val="9"/>
          <w:color w:val="auto"/>
        </w:rPr>
        <w:t>include the requirements in section 99a related to</w:t>
      </w:r>
    </w:p>
    <w:p>
      <w:pPr>
        <w:spacing w:after="0" w:line="96" w:lineRule="exact"/>
        <w:rPr>
          <w:sz w:val="20"/>
          <w:szCs w:val="20"/>
          <w:color w:val="auto"/>
        </w:rPr>
      </w:pPr>
      <w:r>
        <w:rPr>
          <w:rFonts w:ascii="Arial Unicode MS" w:cs="Arial Unicode MS" w:eastAsia="Arial Unicode MS" w:hAnsi="Arial Unicode MS"/>
          <w:sz w:val="9"/>
          <w:szCs w:val="9"/>
          <w:color w:val="auto"/>
        </w:rPr>
        <w:t>the sustainability statements covered by the</w:t>
      </w:r>
    </w:p>
    <w:p>
      <w:pPr>
        <w:spacing w:after="0" w:line="95" w:lineRule="exact"/>
        <w:rPr>
          <w:sz w:val="20"/>
          <w:szCs w:val="20"/>
          <w:color w:val="auto"/>
        </w:rPr>
      </w:pPr>
      <w:r>
        <w:rPr>
          <w:rFonts w:ascii="Arial Unicode MS" w:cs="Arial Unicode MS" w:eastAsia="Arial Unicode MS" w:hAnsi="Arial Unicode MS"/>
          <w:sz w:val="9"/>
          <w:szCs w:val="9"/>
          <w:color w:val="auto"/>
        </w:rPr>
        <w:t>separate auditor’s limited assurance report hereon.</w:t>
      </w:r>
    </w:p>
    <w:p>
      <w:pPr>
        <w:spacing w:after="0" w:line="95" w:lineRule="exact"/>
        <w:rPr>
          <w:sz w:val="20"/>
          <w:szCs w:val="20"/>
          <w:color w:val="auto"/>
        </w:rPr>
      </w:pPr>
      <w:r>
        <w:rPr>
          <w:rFonts w:ascii="Arial Unicode MS" w:cs="Arial Unicode MS" w:eastAsia="Arial Unicode MS" w:hAnsi="Arial Unicode MS"/>
          <w:sz w:val="9"/>
          <w:szCs w:val="9"/>
          <w:color w:val="auto"/>
        </w:rPr>
        <w:t>Based on the work we have performed, in our view,</w:t>
      </w:r>
    </w:p>
    <w:p>
      <w:pPr>
        <w:spacing w:after="0"/>
        <w:rPr>
          <w:sz w:val="20"/>
          <w:szCs w:val="20"/>
          <w:color w:val="auto"/>
        </w:rPr>
      </w:pPr>
      <w:r>
        <w:rPr>
          <w:rFonts w:ascii="Arial" w:cs="Arial" w:eastAsia="Arial" w:hAnsi="Arial"/>
          <w:sz w:val="10"/>
          <w:szCs w:val="10"/>
          <w:color w:val="auto"/>
        </w:rPr>
        <w:t>Management’s Review is in accordance with the</w:t>
      </w:r>
    </w:p>
    <w:p>
      <w:pPr>
        <w:spacing w:after="0" w:line="47" w:lineRule="exact"/>
        <w:rPr>
          <w:sz w:val="20"/>
          <w:szCs w:val="20"/>
          <w:color w:val="auto"/>
        </w:rPr>
      </w:pPr>
    </w:p>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Independent Auditor’s Reports</w:t>
      </w:r>
    </w:p>
    <w:p>
      <w:pPr>
        <w:spacing w:after="0" w:line="213" w:lineRule="auto"/>
        <w:rPr>
          <w:sz w:val="20"/>
          <w:szCs w:val="20"/>
          <w:color w:val="auto"/>
        </w:rPr>
      </w:pPr>
      <w:r>
        <w:rPr>
          <w:rFonts w:ascii="Arial" w:cs="Arial" w:eastAsia="Arial" w:hAnsi="Arial"/>
          <w:sz w:val="13"/>
          <w:szCs w:val="13"/>
          <w:b w:val="1"/>
          <w:bCs w:val="1"/>
          <w:color w:val="691A6B"/>
        </w:rPr>
        <w:t>Auditor's responsibilities for the</w:t>
      </w:r>
    </w:p>
    <w:p>
      <w:pPr>
        <w:spacing w:after="0" w:line="214" w:lineRule="auto"/>
        <w:rPr>
          <w:sz w:val="20"/>
          <w:szCs w:val="20"/>
          <w:color w:val="auto"/>
        </w:rPr>
      </w:pPr>
      <w:r>
        <w:rPr>
          <w:rFonts w:ascii="Arial" w:cs="Arial" w:eastAsia="Arial" w:hAnsi="Arial"/>
          <w:sz w:val="13"/>
          <w:szCs w:val="13"/>
          <w:b w:val="1"/>
          <w:bCs w:val="1"/>
          <w:color w:val="691A6B"/>
        </w:rPr>
        <w:t>audit of the consolidated financial</w:t>
      </w:r>
    </w:p>
    <w:p>
      <w:pPr>
        <w:spacing w:after="0" w:line="214" w:lineRule="auto"/>
        <w:rPr>
          <w:sz w:val="20"/>
          <w:szCs w:val="20"/>
          <w:color w:val="auto"/>
        </w:rPr>
      </w:pPr>
      <w:r>
        <w:rPr>
          <w:rFonts w:ascii="Arial" w:cs="Arial" w:eastAsia="Arial" w:hAnsi="Arial"/>
          <w:sz w:val="13"/>
          <w:szCs w:val="13"/>
          <w:b w:val="1"/>
          <w:bCs w:val="1"/>
          <w:color w:val="691A6B"/>
        </w:rPr>
        <w:t>statements and the parent financial</w:t>
      </w:r>
    </w:p>
    <w:p>
      <w:pPr>
        <w:spacing w:after="0" w:line="210" w:lineRule="auto"/>
        <w:rPr>
          <w:sz w:val="20"/>
          <w:szCs w:val="20"/>
          <w:color w:val="auto"/>
        </w:rPr>
      </w:pPr>
      <w:r>
        <w:rPr>
          <w:rFonts w:ascii="Arial" w:cs="Arial" w:eastAsia="Arial" w:hAnsi="Arial"/>
          <w:sz w:val="13"/>
          <w:szCs w:val="13"/>
          <w:b w:val="1"/>
          <w:bCs w:val="1"/>
          <w:color w:val="691A6B"/>
        </w:rPr>
        <w:t>statements</w:t>
      </w:r>
    </w:p>
    <w:p>
      <w:pPr>
        <w:spacing w:after="0" w:line="95" w:lineRule="exact"/>
        <w:rPr>
          <w:sz w:val="20"/>
          <w:szCs w:val="20"/>
          <w:color w:val="auto"/>
        </w:rPr>
      </w:pPr>
      <w:r>
        <w:rPr>
          <w:rFonts w:ascii="Arial Unicode MS" w:cs="Arial Unicode MS" w:eastAsia="Arial Unicode MS" w:hAnsi="Arial Unicode MS"/>
          <w:sz w:val="9"/>
          <w:szCs w:val="9"/>
          <w:color w:val="auto"/>
        </w:rPr>
        <w:t>Our objectives are to obtain reasonable assurance</w:t>
      </w:r>
    </w:p>
    <w:p>
      <w:pPr>
        <w:spacing w:after="0" w:line="96" w:lineRule="exact"/>
        <w:rPr>
          <w:sz w:val="20"/>
          <w:szCs w:val="20"/>
          <w:color w:val="auto"/>
        </w:rPr>
      </w:pPr>
      <w:r>
        <w:rPr>
          <w:rFonts w:ascii="Arial Unicode MS" w:cs="Arial Unicode MS" w:eastAsia="Arial Unicode MS" w:hAnsi="Arial Unicode MS"/>
          <w:sz w:val="9"/>
          <w:szCs w:val="9"/>
          <w:color w:val="auto"/>
        </w:rPr>
        <w:t>about whether the consolidated nancial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and the parent nancial statements as a</w:t>
      </w:r>
    </w:p>
    <w:p>
      <w:pPr>
        <w:spacing w:after="0" w:line="96" w:lineRule="exact"/>
        <w:rPr>
          <w:sz w:val="20"/>
          <w:szCs w:val="20"/>
          <w:color w:val="auto"/>
        </w:rPr>
      </w:pPr>
      <w:r>
        <w:rPr>
          <w:rFonts w:ascii="Arial Unicode MS" w:cs="Arial Unicode MS" w:eastAsia="Arial Unicode MS" w:hAnsi="Arial Unicode MS"/>
          <w:sz w:val="9"/>
          <w:szCs w:val="9"/>
          <w:color w:val="auto"/>
        </w:rPr>
        <w:t>whole are free from material misstatement, whether</w:t>
      </w:r>
    </w:p>
    <w:p>
      <w:pPr>
        <w:spacing w:after="0" w:line="95" w:lineRule="exact"/>
        <w:rPr>
          <w:sz w:val="20"/>
          <w:szCs w:val="20"/>
          <w:color w:val="auto"/>
        </w:rPr>
      </w:pPr>
      <w:r>
        <w:rPr>
          <w:rFonts w:ascii="Arial Unicode MS" w:cs="Arial Unicode MS" w:eastAsia="Arial Unicode MS" w:hAnsi="Arial Unicode MS"/>
          <w:sz w:val="9"/>
          <w:szCs w:val="9"/>
          <w:color w:val="auto"/>
        </w:rPr>
        <w:t>due to fraud or error, and to issue an auditor’s</w:t>
      </w:r>
    </w:p>
    <w:p>
      <w:pPr>
        <w:spacing w:after="0" w:line="95" w:lineRule="exact"/>
        <w:rPr>
          <w:sz w:val="20"/>
          <w:szCs w:val="20"/>
          <w:color w:val="auto"/>
        </w:rPr>
      </w:pPr>
      <w:r>
        <w:rPr>
          <w:rFonts w:ascii="Arial Unicode MS" w:cs="Arial Unicode MS" w:eastAsia="Arial Unicode MS" w:hAnsi="Arial Unicode MS"/>
          <w:sz w:val="9"/>
          <w:szCs w:val="9"/>
          <w:color w:val="auto"/>
        </w:rPr>
        <w:t>report that includes our opinion. Reasonable</w:t>
      </w:r>
    </w:p>
    <w:p>
      <w:pPr>
        <w:spacing w:after="0" w:line="96" w:lineRule="exact"/>
        <w:rPr>
          <w:sz w:val="20"/>
          <w:szCs w:val="20"/>
          <w:color w:val="auto"/>
        </w:rPr>
      </w:pPr>
      <w:r>
        <w:rPr>
          <w:rFonts w:ascii="Arial Unicode MS" w:cs="Arial Unicode MS" w:eastAsia="Arial Unicode MS" w:hAnsi="Arial Unicode MS"/>
          <w:sz w:val="9"/>
          <w:szCs w:val="9"/>
          <w:color w:val="auto"/>
        </w:rPr>
        <w:t>assurance is a high level of assurance, but is not a</w:t>
      </w:r>
    </w:p>
    <w:p>
      <w:pPr>
        <w:spacing w:after="0" w:line="95" w:lineRule="exact"/>
        <w:rPr>
          <w:sz w:val="20"/>
          <w:szCs w:val="20"/>
          <w:color w:val="auto"/>
        </w:rPr>
      </w:pPr>
      <w:r>
        <w:rPr>
          <w:rFonts w:ascii="Arial Unicode MS" w:cs="Arial Unicode MS" w:eastAsia="Arial Unicode MS" w:hAnsi="Arial Unicode MS"/>
          <w:sz w:val="9"/>
          <w:szCs w:val="9"/>
          <w:color w:val="auto"/>
        </w:rPr>
        <w:t>guarantee that an audit conducted in accordance</w:t>
      </w:r>
    </w:p>
    <w:p>
      <w:pPr>
        <w:spacing w:after="0" w:line="96" w:lineRule="exact"/>
        <w:rPr>
          <w:sz w:val="20"/>
          <w:szCs w:val="20"/>
          <w:color w:val="auto"/>
        </w:rPr>
      </w:pPr>
      <w:r>
        <w:rPr>
          <w:rFonts w:ascii="Arial Unicode MS" w:cs="Arial Unicode MS" w:eastAsia="Arial Unicode MS" w:hAnsi="Arial Unicode MS"/>
          <w:sz w:val="9"/>
          <w:szCs w:val="9"/>
          <w:color w:val="auto"/>
        </w:rPr>
        <w:t>with ISAs and the additional requirements</w:t>
      </w:r>
    </w:p>
    <w:p>
      <w:pPr>
        <w:spacing w:after="0" w:line="95" w:lineRule="exact"/>
        <w:rPr>
          <w:sz w:val="20"/>
          <w:szCs w:val="20"/>
          <w:color w:val="auto"/>
        </w:rPr>
      </w:pPr>
      <w:r>
        <w:rPr>
          <w:rFonts w:ascii="Arial Unicode MS" w:cs="Arial Unicode MS" w:eastAsia="Arial Unicode MS" w:hAnsi="Arial Unicode MS"/>
          <w:sz w:val="9"/>
          <w:szCs w:val="9"/>
          <w:color w:val="auto"/>
        </w:rPr>
        <w:t>applicable in Denmark will always detect a material</w:t>
      </w:r>
    </w:p>
    <w:p>
      <w:pPr>
        <w:spacing w:after="0" w:line="96" w:lineRule="exact"/>
        <w:rPr>
          <w:sz w:val="20"/>
          <w:szCs w:val="20"/>
          <w:color w:val="auto"/>
        </w:rPr>
      </w:pPr>
      <w:r>
        <w:rPr>
          <w:rFonts w:ascii="Arial Unicode MS" w:cs="Arial Unicode MS" w:eastAsia="Arial Unicode MS" w:hAnsi="Arial Unicode MS"/>
          <w:sz w:val="9"/>
          <w:szCs w:val="9"/>
          <w:color w:val="auto"/>
        </w:rPr>
        <w:t>misstatement when it exists. Misstatements can</w:t>
      </w:r>
    </w:p>
    <w:p>
      <w:pPr>
        <w:spacing w:after="0" w:line="95" w:lineRule="exact"/>
        <w:rPr>
          <w:sz w:val="20"/>
          <w:szCs w:val="20"/>
          <w:color w:val="auto"/>
        </w:rPr>
      </w:pPr>
      <w:r>
        <w:rPr>
          <w:rFonts w:ascii="Arial Unicode MS" w:cs="Arial Unicode MS" w:eastAsia="Arial Unicode MS" w:hAnsi="Arial Unicode MS"/>
          <w:sz w:val="9"/>
          <w:szCs w:val="9"/>
          <w:color w:val="auto"/>
        </w:rPr>
        <w:t>arise from fraud or error and are considered</w:t>
      </w:r>
    </w:p>
    <w:p>
      <w:pPr>
        <w:spacing w:after="0" w:line="96" w:lineRule="exact"/>
        <w:rPr>
          <w:sz w:val="20"/>
          <w:szCs w:val="20"/>
          <w:color w:val="auto"/>
        </w:rPr>
      </w:pPr>
      <w:r>
        <w:rPr>
          <w:rFonts w:ascii="Arial Unicode MS" w:cs="Arial Unicode MS" w:eastAsia="Arial Unicode MS" w:hAnsi="Arial Unicode MS"/>
          <w:sz w:val="9"/>
          <w:szCs w:val="9"/>
          <w:color w:val="auto"/>
        </w:rPr>
        <w:t>material if, individually or in the aggregate, they</w:t>
      </w:r>
    </w:p>
    <w:p>
      <w:pPr>
        <w:spacing w:after="0" w:line="95" w:lineRule="exact"/>
        <w:rPr>
          <w:sz w:val="20"/>
          <w:szCs w:val="20"/>
          <w:color w:val="auto"/>
        </w:rPr>
      </w:pPr>
      <w:r>
        <w:rPr>
          <w:rFonts w:ascii="Arial Unicode MS" w:cs="Arial Unicode MS" w:eastAsia="Arial Unicode MS" w:hAnsi="Arial Unicode MS"/>
          <w:sz w:val="9"/>
          <w:szCs w:val="9"/>
          <w:color w:val="auto"/>
        </w:rPr>
        <w:t>could reasonably be expected to inuence the</w:t>
      </w:r>
    </w:p>
    <w:p>
      <w:pPr>
        <w:spacing w:after="0" w:line="95" w:lineRule="exact"/>
        <w:rPr>
          <w:sz w:val="20"/>
          <w:szCs w:val="20"/>
          <w:color w:val="auto"/>
        </w:rPr>
      </w:pPr>
      <w:r>
        <w:rPr>
          <w:rFonts w:ascii="Arial Unicode MS" w:cs="Arial Unicode MS" w:eastAsia="Arial Unicode MS" w:hAnsi="Arial Unicode MS"/>
          <w:sz w:val="9"/>
          <w:szCs w:val="9"/>
          <w:color w:val="auto"/>
        </w:rPr>
        <w:t>economic decisions of users taken on the basis of</w:t>
      </w:r>
    </w:p>
    <w:p>
      <w:pPr>
        <w:spacing w:after="0" w:line="96" w:lineRule="exact"/>
        <w:rPr>
          <w:sz w:val="20"/>
          <w:szCs w:val="20"/>
          <w:color w:val="auto"/>
        </w:rPr>
      </w:pPr>
      <w:r>
        <w:rPr>
          <w:rFonts w:ascii="Arial Unicode MS" w:cs="Arial Unicode MS" w:eastAsia="Arial Unicode MS" w:hAnsi="Arial Unicode MS"/>
          <w:sz w:val="9"/>
          <w:szCs w:val="9"/>
          <w:color w:val="auto"/>
        </w:rPr>
        <w:t>these consolidated nancial statements and these</w:t>
      </w:r>
    </w:p>
    <w:p>
      <w:pPr>
        <w:spacing w:after="0" w:line="95" w:lineRule="exact"/>
        <w:rPr>
          <w:sz w:val="20"/>
          <w:szCs w:val="20"/>
          <w:color w:val="auto"/>
        </w:rPr>
      </w:pPr>
      <w:r>
        <w:rPr>
          <w:rFonts w:ascii="Arial Unicode MS" w:cs="Arial Unicode MS" w:eastAsia="Arial Unicode MS" w:hAnsi="Arial Unicode MS"/>
          <w:sz w:val="9"/>
          <w:szCs w:val="9"/>
          <w:color w:val="auto"/>
        </w:rPr>
        <w:t>parent nancial statements.</w:t>
      </w:r>
    </w:p>
    <w:p>
      <w:pPr>
        <w:spacing w:after="0" w:line="96" w:lineRule="exact"/>
        <w:rPr>
          <w:sz w:val="20"/>
          <w:szCs w:val="20"/>
          <w:color w:val="auto"/>
        </w:rPr>
      </w:pPr>
      <w:r>
        <w:rPr>
          <w:rFonts w:ascii="Arial Unicode MS" w:cs="Arial Unicode MS" w:eastAsia="Arial Unicode MS" w:hAnsi="Arial Unicode MS"/>
          <w:sz w:val="9"/>
          <w:szCs w:val="9"/>
          <w:color w:val="auto"/>
        </w:rPr>
        <w:t>As part of an audit conducted in accordance with</w:t>
      </w:r>
    </w:p>
    <w:p>
      <w:pPr>
        <w:spacing w:after="0" w:line="95" w:lineRule="exact"/>
        <w:rPr>
          <w:sz w:val="20"/>
          <w:szCs w:val="20"/>
          <w:color w:val="auto"/>
        </w:rPr>
      </w:pPr>
      <w:r>
        <w:rPr>
          <w:rFonts w:ascii="Arial Unicode MS" w:cs="Arial Unicode MS" w:eastAsia="Arial Unicode MS" w:hAnsi="Arial Unicode MS"/>
          <w:sz w:val="9"/>
          <w:szCs w:val="9"/>
          <w:color w:val="auto"/>
        </w:rPr>
        <w:t>ISAs and the additional requirements applicable in</w:t>
      </w:r>
    </w:p>
    <w:p>
      <w:pPr>
        <w:spacing w:after="0" w:line="96" w:lineRule="exact"/>
        <w:rPr>
          <w:sz w:val="20"/>
          <w:szCs w:val="20"/>
          <w:color w:val="auto"/>
        </w:rPr>
      </w:pPr>
      <w:r>
        <w:rPr>
          <w:rFonts w:ascii="Arial Unicode MS" w:cs="Arial Unicode MS" w:eastAsia="Arial Unicode MS" w:hAnsi="Arial Unicode MS"/>
          <w:sz w:val="9"/>
          <w:szCs w:val="9"/>
          <w:color w:val="auto"/>
        </w:rPr>
        <w:t>Denmark, we exercise professional judgement and</w:t>
      </w:r>
    </w:p>
    <w:p>
      <w:pPr>
        <w:spacing w:after="0" w:line="95" w:lineRule="exact"/>
        <w:rPr>
          <w:sz w:val="20"/>
          <w:szCs w:val="20"/>
          <w:color w:val="auto"/>
        </w:rPr>
      </w:pPr>
      <w:r>
        <w:rPr>
          <w:rFonts w:ascii="Arial Unicode MS" w:cs="Arial Unicode MS" w:eastAsia="Arial Unicode MS" w:hAnsi="Arial Unicode MS"/>
          <w:sz w:val="9"/>
          <w:szCs w:val="9"/>
          <w:color w:val="auto"/>
        </w:rPr>
        <w:t>maintain professional skepticism throughout the</w:t>
      </w:r>
    </w:p>
    <w:p>
      <w:pPr>
        <w:spacing w:after="0" w:line="95" w:lineRule="exact"/>
        <w:rPr>
          <w:sz w:val="20"/>
          <w:szCs w:val="20"/>
          <w:color w:val="auto"/>
        </w:rPr>
      </w:pPr>
      <w:r>
        <w:rPr>
          <w:rFonts w:ascii="Arial Unicode MS" w:cs="Arial Unicode MS" w:eastAsia="Arial Unicode MS" w:hAnsi="Arial Unicode MS"/>
          <w:sz w:val="9"/>
          <w:szCs w:val="9"/>
          <w:color w:val="auto"/>
        </w:rPr>
        <w:t>audit. We also:</w:t>
      </w:r>
    </w:p>
    <w:p>
      <w:pPr>
        <w:spacing w:after="0" w:line="96" w:lineRule="exact"/>
        <w:rPr>
          <w:sz w:val="20"/>
          <w:szCs w:val="20"/>
          <w:color w:val="auto"/>
        </w:rPr>
      </w:pPr>
      <w:r>
        <w:rPr>
          <w:rFonts w:ascii="Arial Unicode MS" w:cs="Arial Unicode MS" w:eastAsia="Arial Unicode MS" w:hAnsi="Arial Unicode MS"/>
          <w:sz w:val="9"/>
          <w:szCs w:val="9"/>
          <w:color w:val="auto"/>
        </w:rPr>
        <w:t>•Identify and assess the risks of material</w:t>
      </w:r>
    </w:p>
    <w:p>
      <w:pPr>
        <w:spacing w:after="0" w:line="95" w:lineRule="exact"/>
        <w:rPr>
          <w:sz w:val="20"/>
          <w:szCs w:val="20"/>
          <w:color w:val="auto"/>
        </w:rPr>
      </w:pPr>
      <w:r>
        <w:rPr>
          <w:rFonts w:ascii="Arial Unicode MS" w:cs="Arial Unicode MS" w:eastAsia="Arial Unicode MS" w:hAnsi="Arial Unicode MS"/>
          <w:sz w:val="9"/>
          <w:szCs w:val="9"/>
          <w:color w:val="auto"/>
        </w:rPr>
        <w:t>misstatement of the consolidated nancial</w:t>
      </w:r>
    </w:p>
    <w:p>
      <w:pPr>
        <w:spacing w:after="0" w:line="96" w:lineRule="exact"/>
        <w:rPr>
          <w:sz w:val="20"/>
          <w:szCs w:val="20"/>
          <w:color w:val="auto"/>
        </w:rPr>
      </w:pPr>
      <w:r>
        <w:rPr>
          <w:rFonts w:ascii="Arial Unicode MS" w:cs="Arial Unicode MS" w:eastAsia="Arial Unicode MS" w:hAnsi="Arial Unicode MS"/>
          <w:sz w:val="9"/>
          <w:szCs w:val="9"/>
          <w:color w:val="auto"/>
        </w:rPr>
        <w:t>statements and the parent nancial statements,</w:t>
      </w:r>
    </w:p>
    <w:p>
      <w:pPr>
        <w:spacing w:after="0" w:line="95" w:lineRule="exact"/>
        <w:rPr>
          <w:sz w:val="20"/>
          <w:szCs w:val="20"/>
          <w:color w:val="auto"/>
        </w:rPr>
      </w:pPr>
      <w:r>
        <w:rPr>
          <w:rFonts w:ascii="Arial Unicode MS" w:cs="Arial Unicode MS" w:eastAsia="Arial Unicode MS" w:hAnsi="Arial Unicode MS"/>
          <w:sz w:val="9"/>
          <w:szCs w:val="9"/>
          <w:color w:val="auto"/>
        </w:rPr>
        <w:t>whether due to fraud or error, design and</w:t>
      </w:r>
    </w:p>
    <w:p>
      <w:pPr>
        <w:spacing w:after="0" w:line="96" w:lineRule="exact"/>
        <w:rPr>
          <w:sz w:val="20"/>
          <w:szCs w:val="20"/>
          <w:color w:val="auto"/>
        </w:rPr>
      </w:pPr>
      <w:r>
        <w:rPr>
          <w:rFonts w:ascii="Arial Unicode MS" w:cs="Arial Unicode MS" w:eastAsia="Arial Unicode MS" w:hAnsi="Arial Unicode MS"/>
          <w:sz w:val="9"/>
          <w:szCs w:val="9"/>
          <w:color w:val="auto"/>
        </w:rPr>
        <w:t>perform audit procedures responsive to those</w:t>
      </w:r>
    </w:p>
    <w:p>
      <w:pPr>
        <w:spacing w:after="0" w:line="95" w:lineRule="exact"/>
        <w:rPr>
          <w:sz w:val="20"/>
          <w:szCs w:val="20"/>
          <w:color w:val="auto"/>
        </w:rPr>
      </w:pPr>
      <w:r>
        <w:rPr>
          <w:rFonts w:ascii="Arial Unicode MS" w:cs="Arial Unicode MS" w:eastAsia="Arial Unicode MS" w:hAnsi="Arial Unicode MS"/>
          <w:sz w:val="9"/>
          <w:szCs w:val="9"/>
          <w:color w:val="auto"/>
        </w:rPr>
        <w:t>risks, and obtain audit evidence that is su</w:t>
      </w:r>
      <w:r>
        <w:rPr>
          <w:rFonts w:ascii="Arial" w:cs="Arial" w:eastAsia="Arial" w:hAnsi="Arial"/>
          <w:sz w:val="9"/>
          <w:szCs w:val="9"/>
          <w:color w:val="auto"/>
        </w:rPr>
        <w:t>ﬃ</w:t>
      </w:r>
      <w:r>
        <w:rPr>
          <w:rFonts w:ascii="Arial Unicode MS" w:cs="Arial Unicode MS" w:eastAsia="Arial Unicode MS" w:hAnsi="Arial Unicode MS"/>
          <w:sz w:val="9"/>
          <w:szCs w:val="9"/>
          <w:color w:val="auto"/>
        </w:rPr>
        <w:t>cient</w:t>
      </w:r>
    </w:p>
    <w:p>
      <w:pPr>
        <w:spacing w:after="0" w:line="95" w:lineRule="exact"/>
        <w:rPr>
          <w:sz w:val="20"/>
          <w:szCs w:val="20"/>
          <w:color w:val="auto"/>
        </w:rPr>
      </w:pPr>
      <w:r>
        <w:rPr>
          <w:rFonts w:ascii="Arial Unicode MS" w:cs="Arial Unicode MS" w:eastAsia="Arial Unicode MS" w:hAnsi="Arial Unicode MS"/>
          <w:sz w:val="9"/>
          <w:szCs w:val="9"/>
          <w:color w:val="auto"/>
        </w:rPr>
        <w:t>and appropriate to provide a basis for our</w:t>
      </w:r>
    </w:p>
    <w:p>
      <w:pPr>
        <w:spacing w:after="0" w:line="96" w:lineRule="exact"/>
        <w:rPr>
          <w:sz w:val="20"/>
          <w:szCs w:val="20"/>
          <w:color w:val="auto"/>
        </w:rPr>
      </w:pPr>
      <w:r>
        <w:rPr>
          <w:rFonts w:ascii="Arial Unicode MS" w:cs="Arial Unicode MS" w:eastAsia="Arial Unicode MS" w:hAnsi="Arial Unicode MS"/>
          <w:sz w:val="9"/>
          <w:szCs w:val="9"/>
          <w:color w:val="auto"/>
        </w:rPr>
        <w:t>opinion. The risk of not detecting a material</w:t>
      </w:r>
    </w:p>
    <w:p>
      <w:pPr>
        <w:spacing w:after="0" w:line="95" w:lineRule="exact"/>
        <w:rPr>
          <w:sz w:val="20"/>
          <w:szCs w:val="20"/>
          <w:color w:val="auto"/>
        </w:rPr>
      </w:pPr>
      <w:r>
        <w:rPr>
          <w:rFonts w:ascii="Arial Unicode MS" w:cs="Arial Unicode MS" w:eastAsia="Arial Unicode MS" w:hAnsi="Arial Unicode MS"/>
          <w:sz w:val="9"/>
          <w:szCs w:val="9"/>
          <w:color w:val="auto"/>
        </w:rPr>
        <w:t>misstatement resulting from fraud is higher</w:t>
      </w:r>
    </w:p>
    <w:p>
      <w:pPr>
        <w:spacing w:after="0" w:line="96" w:lineRule="exact"/>
        <w:rPr>
          <w:sz w:val="20"/>
          <w:szCs w:val="20"/>
          <w:color w:val="auto"/>
        </w:rPr>
      </w:pPr>
      <w:r>
        <w:rPr>
          <w:rFonts w:ascii="Arial Unicode MS" w:cs="Arial Unicode MS" w:eastAsia="Arial Unicode MS" w:hAnsi="Arial Unicode MS"/>
          <w:sz w:val="9"/>
          <w:szCs w:val="9"/>
          <w:color w:val="auto"/>
        </w:rPr>
        <w:t>than for one resulting from error, as fraud</w:t>
      </w:r>
    </w:p>
    <w:p>
      <w:pPr>
        <w:spacing w:after="0" w:line="95" w:lineRule="exact"/>
        <w:rPr>
          <w:sz w:val="20"/>
          <w:szCs w:val="20"/>
          <w:color w:val="auto"/>
        </w:rPr>
      </w:pPr>
      <w:r>
        <w:rPr>
          <w:rFonts w:ascii="Arial Unicode MS" w:cs="Arial Unicode MS" w:eastAsia="Arial Unicode MS" w:hAnsi="Arial Unicode MS"/>
          <w:sz w:val="9"/>
          <w:szCs w:val="9"/>
          <w:color w:val="auto"/>
        </w:rPr>
        <w:t>may involve collusion, forgery, intentional</w:t>
      </w:r>
    </w:p>
    <w:p>
      <w:pPr>
        <w:spacing w:after="0" w:line="96" w:lineRule="exact"/>
        <w:rPr>
          <w:sz w:val="20"/>
          <w:szCs w:val="20"/>
          <w:color w:val="auto"/>
        </w:rPr>
      </w:pPr>
      <w:r>
        <w:rPr>
          <w:rFonts w:ascii="Arial Unicode MS" w:cs="Arial Unicode MS" w:eastAsia="Arial Unicode MS" w:hAnsi="Arial Unicode MS"/>
          <w:sz w:val="9"/>
          <w:szCs w:val="9"/>
          <w:color w:val="auto"/>
        </w:rPr>
        <w:t>omissions, misrepresentations, or the override</w:t>
      </w:r>
    </w:p>
    <w:p>
      <w:pPr>
        <w:spacing w:after="0" w:line="95" w:lineRule="exact"/>
        <w:rPr>
          <w:sz w:val="20"/>
          <w:szCs w:val="20"/>
          <w:color w:val="auto"/>
        </w:rPr>
      </w:pPr>
      <w:r>
        <w:rPr>
          <w:rFonts w:ascii="Arial Unicode MS" w:cs="Arial Unicode MS" w:eastAsia="Arial Unicode MS" w:hAnsi="Arial Unicode MS"/>
          <w:sz w:val="9"/>
          <w:szCs w:val="9"/>
          <w:color w:val="auto"/>
        </w:rPr>
        <w:t>of internal control.</w:t>
      </w:r>
    </w:p>
    <w:p>
      <w:pPr>
        <w:spacing w:after="0" w:line="95" w:lineRule="exact"/>
        <w:rPr>
          <w:sz w:val="20"/>
          <w:szCs w:val="20"/>
          <w:color w:val="auto"/>
        </w:rPr>
      </w:pPr>
      <w:r>
        <w:rPr>
          <w:rFonts w:ascii="Arial Unicode MS" w:cs="Arial Unicode MS" w:eastAsia="Arial Unicode MS" w:hAnsi="Arial Unicode MS"/>
          <w:sz w:val="9"/>
          <w:szCs w:val="9"/>
          <w:color w:val="auto"/>
        </w:rPr>
        <w:t>•Obtain an understanding of internal control</w:t>
      </w:r>
    </w:p>
    <w:p>
      <w:pPr>
        <w:spacing w:after="0" w:line="96" w:lineRule="exact"/>
        <w:rPr>
          <w:sz w:val="20"/>
          <w:szCs w:val="20"/>
          <w:color w:val="auto"/>
        </w:rPr>
      </w:pPr>
      <w:r>
        <w:rPr>
          <w:rFonts w:ascii="Arial Unicode MS" w:cs="Arial Unicode MS" w:eastAsia="Arial Unicode MS" w:hAnsi="Arial Unicode MS"/>
          <w:sz w:val="9"/>
          <w:szCs w:val="9"/>
          <w:color w:val="auto"/>
        </w:rPr>
        <w:t>relevant to the audit in order to design audit</w:t>
      </w:r>
    </w:p>
    <w:p>
      <w:pPr>
        <w:spacing w:after="0" w:line="95" w:lineRule="exact"/>
        <w:rPr>
          <w:sz w:val="20"/>
          <w:szCs w:val="20"/>
          <w:color w:val="auto"/>
        </w:rPr>
      </w:pPr>
      <w:r>
        <w:rPr>
          <w:rFonts w:ascii="Arial Unicode MS" w:cs="Arial Unicode MS" w:eastAsia="Arial Unicode MS" w:hAnsi="Arial Unicode MS"/>
          <w:sz w:val="9"/>
          <w:szCs w:val="9"/>
          <w:color w:val="auto"/>
        </w:rPr>
        <w:t>procedures that are appropriate in the</w:t>
      </w:r>
    </w:p>
    <w:p>
      <w:pPr>
        <w:spacing w:after="0" w:line="96" w:lineRule="exact"/>
        <w:rPr>
          <w:sz w:val="20"/>
          <w:szCs w:val="20"/>
          <w:color w:val="auto"/>
        </w:rPr>
      </w:pPr>
      <w:r>
        <w:rPr>
          <w:rFonts w:ascii="Arial Unicode MS" w:cs="Arial Unicode MS" w:eastAsia="Arial Unicode MS" w:hAnsi="Arial Unicode MS"/>
          <w:sz w:val="9"/>
          <w:szCs w:val="9"/>
          <w:color w:val="auto"/>
        </w:rPr>
        <w:t>circumstances, but not for the purpose of</w:t>
      </w:r>
    </w:p>
    <w:p>
      <w:pPr>
        <w:spacing w:after="0" w:line="95" w:lineRule="exact"/>
        <w:rPr>
          <w:sz w:val="20"/>
          <w:szCs w:val="20"/>
          <w:color w:val="auto"/>
        </w:rPr>
      </w:pPr>
      <w:r>
        <w:rPr>
          <w:rFonts w:ascii="Arial Unicode MS" w:cs="Arial Unicode MS" w:eastAsia="Arial Unicode MS" w:hAnsi="Arial Unicode MS"/>
          <w:sz w:val="9"/>
          <w:szCs w:val="9"/>
          <w:color w:val="auto"/>
        </w:rPr>
        <w:t>expressing an opinion on the e</w:t>
      </w:r>
      <w:r>
        <w:rPr>
          <w:rFonts w:ascii="Arial" w:cs="Arial" w:eastAsia="Arial" w:hAnsi="Arial"/>
          <w:sz w:val="9"/>
          <w:szCs w:val="9"/>
          <w:color w:val="auto"/>
        </w:rPr>
        <w:t>ﬀ</w:t>
      </w:r>
      <w:r>
        <w:rPr>
          <w:rFonts w:ascii="Arial Unicode MS" w:cs="Arial Unicode MS" w:eastAsia="Arial Unicode MS" w:hAnsi="Arial Unicode MS"/>
          <w:sz w:val="9"/>
          <w:szCs w:val="9"/>
          <w:color w:val="auto"/>
        </w:rPr>
        <w:t>ectiveness of the</w:t>
      </w:r>
    </w:p>
    <w:p>
      <w:pPr>
        <w:spacing w:after="0" w:line="96" w:lineRule="exact"/>
        <w:rPr>
          <w:sz w:val="20"/>
          <w:szCs w:val="20"/>
          <w:color w:val="auto"/>
        </w:rPr>
      </w:pPr>
      <w:r>
        <w:rPr>
          <w:rFonts w:ascii="Arial Unicode MS" w:cs="Arial Unicode MS" w:eastAsia="Arial Unicode MS" w:hAnsi="Arial Unicode MS"/>
          <w:sz w:val="9"/>
          <w:szCs w:val="9"/>
          <w:color w:val="auto"/>
        </w:rPr>
        <w:t>Group’s and the Parent’s internal control.</w:t>
      </w:r>
    </w:p>
    <w:p>
      <w:pPr>
        <w:spacing w:after="0" w:line="95" w:lineRule="exact"/>
        <w:rPr>
          <w:sz w:val="20"/>
          <w:szCs w:val="20"/>
          <w:color w:val="auto"/>
        </w:rPr>
      </w:pPr>
      <w:r>
        <w:rPr>
          <w:rFonts w:ascii="Arial Unicode MS" w:cs="Arial Unicode MS" w:eastAsia="Arial Unicode MS" w:hAnsi="Arial Unicode MS"/>
          <w:sz w:val="9"/>
          <w:szCs w:val="9"/>
          <w:color w:val="auto"/>
        </w:rPr>
        <w:t>•Evaluate the appropriateness of accounting</w:t>
      </w:r>
    </w:p>
    <w:p>
      <w:pPr>
        <w:spacing w:after="0" w:line="95" w:lineRule="exact"/>
        <w:rPr>
          <w:sz w:val="20"/>
          <w:szCs w:val="20"/>
          <w:color w:val="auto"/>
        </w:rPr>
      </w:pPr>
      <w:r>
        <w:rPr>
          <w:rFonts w:ascii="Arial Unicode MS" w:cs="Arial Unicode MS" w:eastAsia="Arial Unicode MS" w:hAnsi="Arial Unicode MS"/>
          <w:sz w:val="9"/>
          <w:szCs w:val="9"/>
          <w:color w:val="auto"/>
        </w:rPr>
        <w:t>policies used and the reasonableness of</w:t>
      </w:r>
    </w:p>
    <w:p>
      <w:pPr>
        <w:spacing w:after="0" w:line="96" w:lineRule="exact"/>
        <w:rPr>
          <w:sz w:val="20"/>
          <w:szCs w:val="20"/>
          <w:color w:val="auto"/>
        </w:rPr>
      </w:pPr>
      <w:r>
        <w:rPr>
          <w:rFonts w:ascii="Arial Unicode MS" w:cs="Arial Unicode MS" w:eastAsia="Arial Unicode MS" w:hAnsi="Arial Unicode MS"/>
          <w:sz w:val="9"/>
          <w:szCs w:val="9"/>
          <w:color w:val="auto"/>
        </w:rPr>
        <w:t>accounting estimates and related disclosures</w:t>
      </w:r>
    </w:p>
    <w:p>
      <w:pPr>
        <w:spacing w:after="0" w:line="95" w:lineRule="exact"/>
        <w:rPr>
          <w:sz w:val="20"/>
          <w:szCs w:val="20"/>
          <w:color w:val="auto"/>
        </w:rPr>
      </w:pPr>
      <w:r>
        <w:rPr>
          <w:rFonts w:ascii="Arial Unicode MS" w:cs="Arial Unicode MS" w:eastAsia="Arial Unicode MS" w:hAnsi="Arial Unicode MS"/>
          <w:sz w:val="9"/>
          <w:szCs w:val="9"/>
          <w:color w:val="auto"/>
        </w:rPr>
        <w:t>made by Management.</w:t>
      </w:r>
    </w:p>
    <w:p>
      <w:pPr>
        <w:spacing w:after="0" w:line="96" w:lineRule="exact"/>
        <w:rPr>
          <w:sz w:val="20"/>
          <w:szCs w:val="20"/>
          <w:color w:val="auto"/>
        </w:rPr>
      </w:pPr>
      <w:r>
        <w:rPr>
          <w:rFonts w:ascii="Arial Unicode MS" w:cs="Arial Unicode MS" w:eastAsia="Arial Unicode MS" w:hAnsi="Arial Unicode MS"/>
          <w:sz w:val="9"/>
          <w:szCs w:val="9"/>
          <w:color w:val="auto"/>
        </w:rPr>
        <w:t>•Conclude on the appropriateness of</w:t>
      </w:r>
    </w:p>
    <w:p>
      <w:pPr>
        <w:spacing w:after="0" w:line="95" w:lineRule="exact"/>
        <w:rPr>
          <w:sz w:val="20"/>
          <w:szCs w:val="20"/>
          <w:color w:val="auto"/>
        </w:rPr>
      </w:pPr>
      <w:r>
        <w:rPr>
          <w:rFonts w:ascii="Arial Unicode MS" w:cs="Arial Unicode MS" w:eastAsia="Arial Unicode MS" w:hAnsi="Arial Unicode MS"/>
          <w:sz w:val="9"/>
          <w:szCs w:val="9"/>
          <w:color w:val="auto"/>
        </w:rPr>
        <w:t>Management’s use of the going concern basis of</w:t>
      </w:r>
    </w:p>
    <w:p>
      <w:pPr>
        <w:spacing w:after="0" w:line="96" w:lineRule="exact"/>
        <w:rPr>
          <w:sz w:val="20"/>
          <w:szCs w:val="20"/>
          <w:color w:val="auto"/>
        </w:rPr>
      </w:pPr>
      <w:r>
        <w:rPr>
          <w:rFonts w:ascii="Arial Unicode MS" w:cs="Arial Unicode MS" w:eastAsia="Arial Unicode MS" w:hAnsi="Arial Unicode MS"/>
          <w:sz w:val="9"/>
          <w:szCs w:val="9"/>
          <w:color w:val="auto"/>
        </w:rPr>
        <w:t>accounting in preparing the consolidated</w:t>
      </w:r>
    </w:p>
    <w:p>
      <w:pPr>
        <w:spacing w:after="0" w:line="95" w:lineRule="exact"/>
        <w:rPr>
          <w:sz w:val="20"/>
          <w:szCs w:val="20"/>
          <w:color w:val="auto"/>
        </w:rPr>
      </w:pPr>
      <w:r>
        <w:rPr>
          <w:rFonts w:ascii="Arial Unicode MS" w:cs="Arial Unicode MS" w:eastAsia="Arial Unicode MS" w:hAnsi="Arial Unicode MS"/>
          <w:sz w:val="9"/>
          <w:szCs w:val="9"/>
          <w:color w:val="auto"/>
        </w:rPr>
        <w:t>nancial statements and the parent nancial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and, based on the audit evidence</w:t>
      </w:r>
    </w:p>
    <w:p>
      <w:pPr>
        <w:spacing w:after="0" w:line="96" w:lineRule="exact"/>
        <w:rPr>
          <w:sz w:val="20"/>
          <w:szCs w:val="20"/>
          <w:color w:val="auto"/>
        </w:rPr>
      </w:pPr>
      <w:r>
        <w:rPr>
          <w:rFonts w:ascii="Arial Unicode MS" w:cs="Arial Unicode MS" w:eastAsia="Arial Unicode MS" w:hAnsi="Arial Unicode MS"/>
          <w:sz w:val="9"/>
          <w:szCs w:val="9"/>
          <w:color w:val="auto"/>
        </w:rPr>
        <w:t>obtained, whether a material uncertainty exists</w:t>
      </w:r>
    </w:p>
    <w:p>
      <w:pPr>
        <w:spacing w:after="0" w:line="95" w:lineRule="exact"/>
        <w:rPr>
          <w:sz w:val="20"/>
          <w:szCs w:val="20"/>
          <w:color w:val="auto"/>
        </w:rPr>
      </w:pPr>
      <w:r>
        <w:rPr>
          <w:rFonts w:ascii="Arial Unicode MS" w:cs="Arial Unicode MS" w:eastAsia="Arial Unicode MS" w:hAnsi="Arial Unicode MS"/>
          <w:sz w:val="9"/>
          <w:szCs w:val="9"/>
          <w:color w:val="auto"/>
        </w:rPr>
        <w:t>related to events or conditions that may cast</w:t>
      </w:r>
    </w:p>
    <w:p>
      <w:pPr>
        <w:spacing w:after="0" w:line="96" w:lineRule="exact"/>
        <w:rPr>
          <w:sz w:val="20"/>
          <w:szCs w:val="20"/>
          <w:color w:val="auto"/>
        </w:rPr>
      </w:pPr>
      <w:r>
        <w:rPr>
          <w:rFonts w:ascii="Arial Unicode MS" w:cs="Arial Unicode MS" w:eastAsia="Arial Unicode MS" w:hAnsi="Arial Unicode MS"/>
          <w:sz w:val="9"/>
          <w:szCs w:val="9"/>
          <w:color w:val="auto"/>
        </w:rPr>
        <w:t>signicant doubt on the Group's and the Parent’s</w:t>
      </w:r>
    </w:p>
    <w:p>
      <w:pPr>
        <w:spacing w:after="0" w:line="95" w:lineRule="exact"/>
        <w:rPr>
          <w:sz w:val="20"/>
          <w:szCs w:val="20"/>
          <w:color w:val="auto"/>
        </w:rPr>
      </w:pPr>
      <w:r>
        <w:rPr>
          <w:rFonts w:ascii="Arial Unicode MS" w:cs="Arial Unicode MS" w:eastAsia="Arial Unicode MS" w:hAnsi="Arial Unicode MS"/>
          <w:sz w:val="9"/>
          <w:szCs w:val="9"/>
          <w:color w:val="auto"/>
        </w:rPr>
        <w:t>ability to continue as a going concern. If we</w:t>
      </w:r>
    </w:p>
    <w:p>
      <w:pPr>
        <w:spacing w:after="0" w:line="96" w:lineRule="exact"/>
        <w:rPr>
          <w:sz w:val="20"/>
          <w:szCs w:val="20"/>
          <w:color w:val="auto"/>
        </w:rPr>
      </w:pPr>
      <w:r>
        <w:rPr>
          <w:rFonts w:ascii="Arial Unicode MS" w:cs="Arial Unicode MS" w:eastAsia="Arial Unicode MS" w:hAnsi="Arial Unicode MS"/>
          <w:sz w:val="9"/>
          <w:szCs w:val="9"/>
          <w:color w:val="auto"/>
        </w:rPr>
        <w:t>conclude that a material uncertainty exists, we</w:t>
      </w:r>
    </w:p>
    <w:p>
      <w:pPr>
        <w:spacing w:after="0" w:line="95" w:lineRule="exact"/>
        <w:rPr>
          <w:sz w:val="20"/>
          <w:szCs w:val="20"/>
          <w:color w:val="auto"/>
        </w:rPr>
      </w:pPr>
      <w:r>
        <w:rPr>
          <w:rFonts w:ascii="Arial Unicode MS" w:cs="Arial Unicode MS" w:eastAsia="Arial Unicode MS" w:hAnsi="Arial Unicode MS"/>
          <w:sz w:val="9"/>
          <w:szCs w:val="9"/>
          <w:color w:val="auto"/>
        </w:rPr>
        <w:t>are required to draw attention in our auditor’s</w:t>
      </w:r>
    </w:p>
    <w:p>
      <w:pPr>
        <w:spacing w:after="0" w:line="95" w:lineRule="exact"/>
        <w:rPr>
          <w:sz w:val="20"/>
          <w:szCs w:val="20"/>
          <w:color w:val="auto"/>
        </w:rPr>
      </w:pPr>
      <w:r>
        <w:rPr>
          <w:rFonts w:ascii="Arial Unicode MS" w:cs="Arial Unicode MS" w:eastAsia="Arial Unicode MS" w:hAnsi="Arial Unicode MS"/>
          <w:sz w:val="9"/>
          <w:szCs w:val="9"/>
          <w:color w:val="auto"/>
        </w:rPr>
        <w:t>report to the related disclosures in the</w:t>
      </w:r>
    </w:p>
    <w:p>
      <w:pPr>
        <w:spacing w:after="0" w:line="96" w:lineRule="exact"/>
        <w:rPr>
          <w:sz w:val="20"/>
          <w:szCs w:val="20"/>
          <w:color w:val="auto"/>
        </w:rPr>
      </w:pPr>
      <w:r>
        <w:rPr>
          <w:rFonts w:ascii="Arial Unicode MS" w:cs="Arial Unicode MS" w:eastAsia="Arial Unicode MS" w:hAnsi="Arial Unicode MS"/>
          <w:sz w:val="9"/>
          <w:szCs w:val="9"/>
          <w:color w:val="auto"/>
        </w:rPr>
        <w:t>consolidated nancial statements and the parent</w:t>
      </w:r>
    </w:p>
    <w:p>
      <w:pPr>
        <w:spacing w:after="0" w:line="95" w:lineRule="exact"/>
        <w:rPr>
          <w:sz w:val="20"/>
          <w:szCs w:val="20"/>
          <w:color w:val="auto"/>
        </w:rPr>
      </w:pPr>
      <w:r>
        <w:rPr>
          <w:rFonts w:ascii="Arial Unicode MS" w:cs="Arial Unicode MS" w:eastAsia="Arial Unicode MS" w:hAnsi="Arial Unicode MS"/>
          <w:sz w:val="9"/>
          <w:szCs w:val="9"/>
          <w:color w:val="auto"/>
        </w:rPr>
        <w:t>nancial statements or, if such disclosures are</w:t>
      </w:r>
    </w:p>
    <w:p>
      <w:pPr>
        <w:spacing w:after="0" w:line="96" w:lineRule="exact"/>
        <w:rPr>
          <w:sz w:val="20"/>
          <w:szCs w:val="20"/>
          <w:color w:val="auto"/>
        </w:rPr>
      </w:pPr>
      <w:r>
        <w:rPr>
          <w:rFonts w:ascii="Arial Unicode MS" w:cs="Arial Unicode MS" w:eastAsia="Arial Unicode MS" w:hAnsi="Arial Unicode MS"/>
          <w:sz w:val="9"/>
          <w:szCs w:val="9"/>
          <w:color w:val="auto"/>
        </w:rPr>
        <w:t>inadequate, to modify our opinion. Our</w:t>
      </w:r>
    </w:p>
    <w:p>
      <w:pPr>
        <w:spacing w:after="0" w:line="95" w:lineRule="exact"/>
        <w:rPr>
          <w:sz w:val="20"/>
          <w:szCs w:val="20"/>
          <w:color w:val="auto"/>
        </w:rPr>
      </w:pPr>
      <w:r>
        <w:rPr>
          <w:rFonts w:ascii="Arial Unicode MS" w:cs="Arial Unicode MS" w:eastAsia="Arial Unicode MS" w:hAnsi="Arial Unicode MS"/>
          <w:sz w:val="9"/>
          <w:szCs w:val="9"/>
          <w:color w:val="auto"/>
        </w:rPr>
        <w:t>conclusions are based on the audit evidence</w:t>
      </w:r>
    </w:p>
    <w:p>
      <w:pPr>
        <w:spacing w:after="0" w:line="96" w:lineRule="exact"/>
        <w:rPr>
          <w:sz w:val="20"/>
          <w:szCs w:val="20"/>
          <w:color w:val="auto"/>
        </w:rPr>
      </w:pPr>
      <w:r>
        <w:rPr>
          <w:rFonts w:ascii="Arial Unicode MS" w:cs="Arial Unicode MS" w:eastAsia="Arial Unicode MS" w:hAnsi="Arial Unicode MS"/>
          <w:sz w:val="9"/>
          <w:szCs w:val="9"/>
          <w:color w:val="auto"/>
        </w:rPr>
        <w:t>obtained up to the date of our auditor’s report.</w:t>
      </w:r>
    </w:p>
    <w:p>
      <w:pPr>
        <w:spacing w:after="0" w:line="95" w:lineRule="exact"/>
        <w:rPr>
          <w:sz w:val="20"/>
          <w:szCs w:val="20"/>
          <w:color w:val="auto"/>
        </w:rPr>
      </w:pPr>
      <w:r>
        <w:rPr>
          <w:rFonts w:ascii="Arial Unicode MS" w:cs="Arial Unicode MS" w:eastAsia="Arial Unicode MS" w:hAnsi="Arial Unicode MS"/>
          <w:sz w:val="9"/>
          <w:szCs w:val="9"/>
          <w:color w:val="auto"/>
        </w:rPr>
        <w:t>However, future events or conditions may cause</w:t>
      </w:r>
    </w:p>
    <w:p>
      <w:pPr>
        <w:spacing w:after="0" w:line="95" w:lineRule="exact"/>
        <w:rPr>
          <w:sz w:val="20"/>
          <w:szCs w:val="20"/>
          <w:color w:val="auto"/>
        </w:rPr>
      </w:pPr>
      <w:r>
        <w:rPr>
          <w:rFonts w:ascii="Arial Unicode MS" w:cs="Arial Unicode MS" w:eastAsia="Arial Unicode MS" w:hAnsi="Arial Unicode MS"/>
          <w:sz w:val="9"/>
          <w:szCs w:val="9"/>
          <w:color w:val="auto"/>
        </w:rPr>
        <w:t>the Group and the Entity to cease to continue as</w:t>
      </w:r>
    </w:p>
    <w:p>
      <w:pPr>
        <w:spacing w:after="0" w:line="96" w:lineRule="exact"/>
        <w:rPr>
          <w:sz w:val="20"/>
          <w:szCs w:val="20"/>
          <w:color w:val="auto"/>
        </w:rPr>
      </w:pPr>
      <w:r>
        <w:rPr>
          <w:rFonts w:ascii="Arial Unicode MS" w:cs="Arial Unicode MS" w:eastAsia="Arial Unicode MS" w:hAnsi="Arial Unicode MS"/>
          <w:sz w:val="9"/>
          <w:szCs w:val="9"/>
          <w:color w:val="auto"/>
        </w:rPr>
        <w:t>a going concern.</w:t>
      </w:r>
    </w:p>
    <w:p>
      <w:pPr>
        <w:spacing w:after="0"/>
        <w:rPr>
          <w:sz w:val="20"/>
          <w:szCs w:val="20"/>
          <w:color w:val="auto"/>
        </w:rPr>
      </w:pPr>
      <w:r>
        <w:rPr>
          <w:rFonts w:ascii="Arial" w:cs="Arial" w:eastAsia="Arial" w:hAnsi="Arial"/>
          <w:sz w:val="10"/>
          <w:szCs w:val="10"/>
          <w:color w:val="auto"/>
        </w:rPr>
        <w:t>•Evaluate the overall presentation, structure and</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06"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176</w:t>
      </w:r>
    </w:p>
    <w:p>
      <w:pPr>
        <w:sectPr>
          <w:pgSz w:w="11900" w:h="16840" w:orient="portrait"/>
          <w:cols w:equalWidth="0" w:num="2">
            <w:col w:w="7400" w:space="720"/>
            <w:col w:w="1700"/>
          </w:cols>
          <w:pgMar w:left="640" w:top="571" w:right="1440" w:bottom="476" w:gutter="0" w:footer="0" w:header="0"/>
          <w:type w:val="continuous"/>
        </w:sectPr>
      </w:pPr>
    </w:p>
    <w:bookmarkStart w:id="169" w:name="page170"/>
    <w:bookmarkEnd w:id="169"/>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6"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Independent Auditor’s Reports</w:t>
      </w:r>
    </w:p>
    <w:p>
      <w:pPr>
        <w:spacing w:after="0" w:line="213" w:lineRule="auto"/>
        <w:rPr>
          <w:sz w:val="20"/>
          <w:szCs w:val="20"/>
          <w:color w:val="auto"/>
        </w:rPr>
      </w:pPr>
      <w:r>
        <w:rPr>
          <w:rFonts w:ascii="Arial" w:cs="Arial" w:eastAsia="Arial" w:hAnsi="Arial"/>
          <w:sz w:val="13"/>
          <w:szCs w:val="13"/>
          <w:b w:val="1"/>
          <w:bCs w:val="1"/>
          <w:color w:val="691A6B"/>
        </w:rPr>
        <w:t>Report on compliance with the</w:t>
      </w:r>
    </w:p>
    <w:p>
      <w:pPr>
        <w:spacing w:after="0" w:line="210" w:lineRule="auto"/>
        <w:rPr>
          <w:sz w:val="20"/>
          <w:szCs w:val="20"/>
          <w:color w:val="auto"/>
        </w:rPr>
      </w:pPr>
      <w:r>
        <w:rPr>
          <w:rFonts w:ascii="Arial" w:cs="Arial" w:eastAsia="Arial" w:hAnsi="Arial"/>
          <w:sz w:val="13"/>
          <w:szCs w:val="13"/>
          <w:b w:val="1"/>
          <w:bCs w:val="1"/>
          <w:color w:val="691A6B"/>
        </w:rPr>
        <w:t>ESEF Regulation</w:t>
      </w:r>
    </w:p>
    <w:p>
      <w:pPr>
        <w:spacing w:after="0" w:line="96" w:lineRule="exact"/>
        <w:rPr>
          <w:sz w:val="20"/>
          <w:szCs w:val="20"/>
          <w:color w:val="auto"/>
        </w:rPr>
      </w:pPr>
      <w:r>
        <w:rPr>
          <w:rFonts w:ascii="Arial Unicode MS" w:cs="Arial Unicode MS" w:eastAsia="Arial Unicode MS" w:hAnsi="Arial Unicode MS"/>
          <w:sz w:val="9"/>
          <w:szCs w:val="9"/>
          <w:color w:val="auto"/>
        </w:rPr>
        <w:t>As part of our audit of the consolidated nancial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 and the parent nancial statements of</w:t>
      </w:r>
    </w:p>
    <w:p>
      <w:pPr>
        <w:spacing w:after="0" w:line="95" w:lineRule="exact"/>
        <w:rPr>
          <w:sz w:val="20"/>
          <w:szCs w:val="20"/>
          <w:color w:val="auto"/>
        </w:rPr>
      </w:pPr>
      <w:r>
        <w:rPr>
          <w:rFonts w:ascii="Arial Unicode MS" w:cs="Arial Unicode MS" w:eastAsia="Arial Unicode MS" w:hAnsi="Arial Unicode MS"/>
          <w:sz w:val="9"/>
          <w:szCs w:val="9"/>
          <w:color w:val="auto"/>
        </w:rPr>
        <w:t>Genmab A/S we performed procedures to express</w:t>
      </w:r>
    </w:p>
    <w:p>
      <w:pPr>
        <w:spacing w:after="0" w:line="96" w:lineRule="exact"/>
        <w:rPr>
          <w:sz w:val="20"/>
          <w:szCs w:val="20"/>
          <w:color w:val="auto"/>
        </w:rPr>
      </w:pPr>
      <w:r>
        <w:rPr>
          <w:rFonts w:ascii="Arial Unicode MS" w:cs="Arial Unicode MS" w:eastAsia="Arial Unicode MS" w:hAnsi="Arial Unicode MS"/>
          <w:sz w:val="9"/>
          <w:szCs w:val="9"/>
          <w:color w:val="auto"/>
        </w:rPr>
        <w:t>an opinion on whether the annual report for the</w:t>
      </w:r>
    </w:p>
    <w:p>
      <w:pPr>
        <w:spacing w:after="0" w:line="95" w:lineRule="exact"/>
        <w:rPr>
          <w:sz w:val="20"/>
          <w:szCs w:val="20"/>
          <w:color w:val="auto"/>
        </w:rPr>
      </w:pPr>
      <w:r>
        <w:rPr>
          <w:rFonts w:ascii="Arial Unicode MS" w:cs="Arial Unicode MS" w:eastAsia="Arial Unicode MS" w:hAnsi="Arial Unicode MS"/>
          <w:sz w:val="9"/>
          <w:szCs w:val="9"/>
          <w:color w:val="auto"/>
        </w:rPr>
        <w:t>nancial year January 1, 2025 – December 31,</w:t>
      </w:r>
    </w:p>
    <w:p>
      <w:pPr>
        <w:spacing w:after="0" w:line="96" w:lineRule="exact"/>
        <w:rPr>
          <w:sz w:val="20"/>
          <w:szCs w:val="20"/>
          <w:color w:val="auto"/>
        </w:rPr>
      </w:pPr>
      <w:r>
        <w:rPr>
          <w:rFonts w:ascii="Arial Unicode MS" w:cs="Arial Unicode MS" w:eastAsia="Arial Unicode MS" w:hAnsi="Arial Unicode MS"/>
          <w:sz w:val="9"/>
          <w:szCs w:val="9"/>
          <w:color w:val="auto"/>
        </w:rPr>
        <w:t>2025, genmab-2025-12-31-1-en.zip, is prepared, in</w:t>
      </w:r>
    </w:p>
    <w:p>
      <w:pPr>
        <w:spacing w:after="0" w:line="95" w:lineRule="exact"/>
        <w:rPr>
          <w:sz w:val="20"/>
          <w:szCs w:val="20"/>
          <w:color w:val="auto"/>
        </w:rPr>
      </w:pPr>
      <w:r>
        <w:rPr>
          <w:rFonts w:ascii="Arial Unicode MS" w:cs="Arial Unicode MS" w:eastAsia="Arial Unicode MS" w:hAnsi="Arial Unicode MS"/>
          <w:sz w:val="9"/>
          <w:szCs w:val="9"/>
          <w:color w:val="auto"/>
        </w:rPr>
        <w:t>all material respects, in compliance with the</w:t>
      </w:r>
    </w:p>
    <w:p>
      <w:pPr>
        <w:spacing w:after="0" w:line="96" w:lineRule="exact"/>
        <w:rPr>
          <w:sz w:val="20"/>
          <w:szCs w:val="20"/>
          <w:color w:val="auto"/>
        </w:rPr>
      </w:pPr>
      <w:r>
        <w:rPr>
          <w:rFonts w:ascii="Arial Unicode MS" w:cs="Arial Unicode MS" w:eastAsia="Arial Unicode MS" w:hAnsi="Arial Unicode MS"/>
          <w:sz w:val="9"/>
          <w:szCs w:val="9"/>
          <w:color w:val="auto"/>
        </w:rPr>
        <w:t>Commission Delegated Regulation (EU) 2019/815</w:t>
      </w:r>
    </w:p>
    <w:p>
      <w:pPr>
        <w:spacing w:after="0" w:line="95" w:lineRule="exact"/>
        <w:rPr>
          <w:sz w:val="20"/>
          <w:szCs w:val="20"/>
          <w:color w:val="auto"/>
        </w:rPr>
      </w:pPr>
      <w:r>
        <w:rPr>
          <w:rFonts w:ascii="Arial Unicode MS" w:cs="Arial Unicode MS" w:eastAsia="Arial Unicode MS" w:hAnsi="Arial Unicode MS"/>
          <w:sz w:val="9"/>
          <w:szCs w:val="9"/>
          <w:color w:val="auto"/>
        </w:rPr>
        <w:t>on the European Single Electronic Format (ESEF</w:t>
      </w:r>
    </w:p>
    <w:p>
      <w:pPr>
        <w:spacing w:after="0" w:line="95" w:lineRule="exact"/>
        <w:rPr>
          <w:sz w:val="20"/>
          <w:szCs w:val="20"/>
          <w:color w:val="auto"/>
        </w:rPr>
      </w:pPr>
      <w:r>
        <w:rPr>
          <w:rFonts w:ascii="Arial Unicode MS" w:cs="Arial Unicode MS" w:eastAsia="Arial Unicode MS" w:hAnsi="Arial Unicode MS"/>
          <w:sz w:val="9"/>
          <w:szCs w:val="9"/>
          <w:color w:val="auto"/>
        </w:rPr>
        <w:t>Regulation), which includes requirements related to</w:t>
      </w:r>
    </w:p>
    <w:p>
      <w:pPr>
        <w:spacing w:after="0" w:line="96" w:lineRule="exact"/>
        <w:rPr>
          <w:sz w:val="20"/>
          <w:szCs w:val="20"/>
          <w:color w:val="auto"/>
        </w:rPr>
      </w:pPr>
      <w:r>
        <w:rPr>
          <w:rFonts w:ascii="Arial Unicode MS" w:cs="Arial Unicode MS" w:eastAsia="Arial Unicode MS" w:hAnsi="Arial Unicode MS"/>
          <w:sz w:val="9"/>
          <w:szCs w:val="9"/>
          <w:color w:val="auto"/>
        </w:rPr>
        <w:t>the preparation of the annual report in XHTML</w:t>
      </w:r>
    </w:p>
    <w:p>
      <w:pPr>
        <w:spacing w:after="0" w:line="95" w:lineRule="exact"/>
        <w:rPr>
          <w:sz w:val="20"/>
          <w:szCs w:val="20"/>
          <w:color w:val="auto"/>
        </w:rPr>
      </w:pPr>
      <w:r>
        <w:rPr>
          <w:rFonts w:ascii="Arial Unicode MS" w:cs="Arial Unicode MS" w:eastAsia="Arial Unicode MS" w:hAnsi="Arial Unicode MS"/>
          <w:sz w:val="9"/>
          <w:szCs w:val="9"/>
          <w:color w:val="auto"/>
        </w:rPr>
        <w:t>format and iXBRL tagging of the consolidated</w:t>
      </w:r>
    </w:p>
    <w:p>
      <w:pPr>
        <w:spacing w:after="0" w:line="96" w:lineRule="exact"/>
        <w:rPr>
          <w:sz w:val="20"/>
          <w:szCs w:val="20"/>
          <w:color w:val="auto"/>
        </w:rPr>
      </w:pPr>
      <w:r>
        <w:rPr>
          <w:rFonts w:ascii="Arial Unicode MS" w:cs="Arial Unicode MS" w:eastAsia="Arial Unicode MS" w:hAnsi="Arial Unicode MS"/>
          <w:sz w:val="9"/>
          <w:szCs w:val="9"/>
          <w:color w:val="auto"/>
        </w:rPr>
        <w:t>nancial statements including notes.</w:t>
      </w:r>
    </w:p>
    <w:p>
      <w:pPr>
        <w:spacing w:after="0" w:line="95" w:lineRule="exact"/>
        <w:rPr>
          <w:sz w:val="20"/>
          <w:szCs w:val="20"/>
          <w:color w:val="auto"/>
        </w:rPr>
      </w:pPr>
      <w:r>
        <w:rPr>
          <w:rFonts w:ascii="Arial Unicode MS" w:cs="Arial Unicode MS" w:eastAsia="Arial Unicode MS" w:hAnsi="Arial Unicode MS"/>
          <w:sz w:val="9"/>
          <w:szCs w:val="9"/>
          <w:color w:val="auto"/>
        </w:rPr>
        <w:t>Management is responsible for preparing an annual</w:t>
      </w:r>
    </w:p>
    <w:p>
      <w:pPr>
        <w:spacing w:after="0" w:line="96" w:lineRule="exact"/>
        <w:rPr>
          <w:sz w:val="20"/>
          <w:szCs w:val="20"/>
          <w:color w:val="auto"/>
        </w:rPr>
      </w:pPr>
      <w:r>
        <w:rPr>
          <w:rFonts w:ascii="Arial Unicode MS" w:cs="Arial Unicode MS" w:eastAsia="Arial Unicode MS" w:hAnsi="Arial Unicode MS"/>
          <w:sz w:val="9"/>
          <w:szCs w:val="9"/>
          <w:color w:val="auto"/>
        </w:rPr>
        <w:t>report that complies with the ESEF Regulation. This</w:t>
      </w:r>
    </w:p>
    <w:p>
      <w:pPr>
        <w:spacing w:after="0" w:line="95" w:lineRule="exact"/>
        <w:rPr>
          <w:sz w:val="20"/>
          <w:szCs w:val="20"/>
          <w:color w:val="auto"/>
        </w:rPr>
      </w:pPr>
      <w:r>
        <w:rPr>
          <w:rFonts w:ascii="Arial Unicode MS" w:cs="Arial Unicode MS" w:eastAsia="Arial Unicode MS" w:hAnsi="Arial Unicode MS"/>
          <w:sz w:val="9"/>
          <w:szCs w:val="9"/>
          <w:color w:val="auto"/>
        </w:rPr>
        <w:t>responsibility includes:</w:t>
      </w:r>
    </w:p>
    <w:p>
      <w:pPr>
        <w:spacing w:after="0" w:line="95" w:lineRule="exact"/>
        <w:rPr>
          <w:sz w:val="20"/>
          <w:szCs w:val="20"/>
          <w:color w:val="auto"/>
        </w:rPr>
      </w:pPr>
      <w:r>
        <w:rPr>
          <w:rFonts w:ascii="Arial Unicode MS" w:cs="Arial Unicode MS" w:eastAsia="Arial Unicode MS" w:hAnsi="Arial Unicode MS"/>
          <w:sz w:val="9"/>
          <w:szCs w:val="9"/>
          <w:color w:val="auto"/>
        </w:rPr>
        <w:t>•The preparing of the annual report in XHTML</w:t>
      </w:r>
    </w:p>
    <w:p>
      <w:pPr>
        <w:spacing w:after="0" w:line="96" w:lineRule="exact"/>
        <w:rPr>
          <w:sz w:val="20"/>
          <w:szCs w:val="20"/>
          <w:color w:val="auto"/>
        </w:rPr>
      </w:pPr>
      <w:r>
        <w:rPr>
          <w:rFonts w:ascii="Arial Unicode MS" w:cs="Arial Unicode MS" w:eastAsia="Arial Unicode MS" w:hAnsi="Arial Unicode MS"/>
          <w:sz w:val="9"/>
          <w:szCs w:val="9"/>
          <w:color w:val="auto"/>
        </w:rPr>
        <w:t>format;</w:t>
      </w:r>
    </w:p>
    <w:p>
      <w:pPr>
        <w:spacing w:after="0" w:line="95" w:lineRule="exact"/>
        <w:rPr>
          <w:sz w:val="20"/>
          <w:szCs w:val="20"/>
          <w:color w:val="auto"/>
        </w:rPr>
      </w:pPr>
      <w:r>
        <w:rPr>
          <w:rFonts w:ascii="Arial Unicode MS" w:cs="Arial Unicode MS" w:eastAsia="Arial Unicode MS" w:hAnsi="Arial Unicode MS"/>
          <w:sz w:val="9"/>
          <w:szCs w:val="9"/>
          <w:color w:val="auto"/>
        </w:rPr>
        <w:t>•The selection and application of appropriate</w:t>
      </w:r>
    </w:p>
    <w:p>
      <w:pPr>
        <w:spacing w:after="0" w:line="96" w:lineRule="exact"/>
        <w:rPr>
          <w:sz w:val="20"/>
          <w:szCs w:val="20"/>
          <w:color w:val="auto"/>
        </w:rPr>
      </w:pPr>
      <w:r>
        <w:rPr>
          <w:rFonts w:ascii="Arial Unicode MS" w:cs="Arial Unicode MS" w:eastAsia="Arial Unicode MS" w:hAnsi="Arial Unicode MS"/>
          <w:sz w:val="9"/>
          <w:szCs w:val="9"/>
          <w:color w:val="auto"/>
        </w:rPr>
        <w:t>iXBRL tags, including extensions to the ESEF</w:t>
      </w:r>
    </w:p>
    <w:p>
      <w:pPr>
        <w:spacing w:after="0" w:line="95" w:lineRule="exact"/>
        <w:rPr>
          <w:sz w:val="20"/>
          <w:szCs w:val="20"/>
          <w:color w:val="auto"/>
        </w:rPr>
      </w:pPr>
      <w:r>
        <w:rPr>
          <w:rFonts w:ascii="Arial Unicode MS" w:cs="Arial Unicode MS" w:eastAsia="Arial Unicode MS" w:hAnsi="Arial Unicode MS"/>
          <w:sz w:val="9"/>
          <w:szCs w:val="9"/>
          <w:color w:val="auto"/>
        </w:rPr>
        <w:t>taxonomy and the anchoring thereof to elements</w:t>
      </w:r>
    </w:p>
    <w:p>
      <w:pPr>
        <w:spacing w:after="0" w:line="96" w:lineRule="exact"/>
        <w:rPr>
          <w:sz w:val="20"/>
          <w:szCs w:val="20"/>
          <w:color w:val="auto"/>
        </w:rPr>
      </w:pPr>
      <w:r>
        <w:rPr>
          <w:rFonts w:ascii="Arial Unicode MS" w:cs="Arial Unicode MS" w:eastAsia="Arial Unicode MS" w:hAnsi="Arial Unicode MS"/>
          <w:sz w:val="9"/>
          <w:szCs w:val="9"/>
          <w:color w:val="auto"/>
        </w:rPr>
        <w:t>in the taxonomy, for nancial information</w:t>
      </w:r>
    </w:p>
    <w:p>
      <w:pPr>
        <w:spacing w:after="0" w:line="95" w:lineRule="exact"/>
        <w:rPr>
          <w:sz w:val="20"/>
          <w:szCs w:val="20"/>
          <w:color w:val="auto"/>
        </w:rPr>
      </w:pPr>
      <w:r>
        <w:rPr>
          <w:rFonts w:ascii="Arial Unicode MS" w:cs="Arial Unicode MS" w:eastAsia="Arial Unicode MS" w:hAnsi="Arial Unicode MS"/>
          <w:sz w:val="9"/>
          <w:szCs w:val="9"/>
          <w:color w:val="auto"/>
        </w:rPr>
        <w:t>required to be tagged using judgement where</w:t>
      </w:r>
    </w:p>
    <w:p>
      <w:pPr>
        <w:spacing w:after="0" w:line="95" w:lineRule="exact"/>
        <w:rPr>
          <w:sz w:val="20"/>
          <w:szCs w:val="20"/>
          <w:color w:val="auto"/>
        </w:rPr>
      </w:pPr>
      <w:r>
        <w:rPr>
          <w:rFonts w:ascii="Arial Unicode MS" w:cs="Arial Unicode MS" w:eastAsia="Arial Unicode MS" w:hAnsi="Arial Unicode MS"/>
          <w:sz w:val="9"/>
          <w:szCs w:val="9"/>
          <w:color w:val="auto"/>
        </w:rPr>
        <w:t>necessary;</w:t>
      </w:r>
    </w:p>
    <w:p>
      <w:pPr>
        <w:spacing w:after="0" w:line="96" w:lineRule="exact"/>
        <w:rPr>
          <w:sz w:val="20"/>
          <w:szCs w:val="20"/>
          <w:color w:val="auto"/>
        </w:rPr>
      </w:pPr>
      <w:r>
        <w:rPr>
          <w:rFonts w:ascii="Arial Unicode MS" w:cs="Arial Unicode MS" w:eastAsia="Arial Unicode MS" w:hAnsi="Arial Unicode MS"/>
          <w:sz w:val="9"/>
          <w:szCs w:val="9"/>
          <w:color w:val="auto"/>
        </w:rPr>
        <w:t>•Ensuring consistency between iXBRL tagged</w:t>
      </w:r>
    </w:p>
    <w:p>
      <w:pPr>
        <w:spacing w:after="0" w:line="95" w:lineRule="exact"/>
        <w:rPr>
          <w:sz w:val="20"/>
          <w:szCs w:val="20"/>
          <w:color w:val="auto"/>
        </w:rPr>
      </w:pPr>
      <w:r>
        <w:rPr>
          <w:rFonts w:ascii="Arial Unicode MS" w:cs="Arial Unicode MS" w:eastAsia="Arial Unicode MS" w:hAnsi="Arial Unicode MS"/>
          <w:sz w:val="9"/>
          <w:szCs w:val="9"/>
          <w:color w:val="auto"/>
        </w:rPr>
        <w:t>data and the consolidated nancial statements</w:t>
      </w:r>
    </w:p>
    <w:p>
      <w:pPr>
        <w:spacing w:after="0" w:line="96" w:lineRule="exact"/>
        <w:rPr>
          <w:sz w:val="20"/>
          <w:szCs w:val="20"/>
          <w:color w:val="auto"/>
        </w:rPr>
      </w:pPr>
      <w:r>
        <w:rPr>
          <w:rFonts w:ascii="Arial Unicode MS" w:cs="Arial Unicode MS" w:eastAsia="Arial Unicode MS" w:hAnsi="Arial Unicode MS"/>
          <w:sz w:val="9"/>
          <w:szCs w:val="9"/>
          <w:color w:val="auto"/>
        </w:rPr>
        <w:t>presented in human readable format; and</w:t>
      </w:r>
    </w:p>
    <w:p>
      <w:pPr>
        <w:spacing w:after="0" w:line="95" w:lineRule="exact"/>
        <w:rPr>
          <w:sz w:val="20"/>
          <w:szCs w:val="20"/>
          <w:color w:val="auto"/>
        </w:rPr>
      </w:pPr>
      <w:r>
        <w:rPr>
          <w:rFonts w:ascii="Arial Unicode MS" w:cs="Arial Unicode MS" w:eastAsia="Arial Unicode MS" w:hAnsi="Arial Unicode MS"/>
          <w:sz w:val="9"/>
          <w:szCs w:val="9"/>
          <w:color w:val="auto"/>
        </w:rPr>
        <w:t>•For such internal control as Management</w:t>
      </w:r>
    </w:p>
    <w:p>
      <w:pPr>
        <w:spacing w:after="0" w:line="96" w:lineRule="exact"/>
        <w:rPr>
          <w:sz w:val="20"/>
          <w:szCs w:val="20"/>
          <w:color w:val="auto"/>
        </w:rPr>
      </w:pPr>
      <w:r>
        <w:rPr>
          <w:rFonts w:ascii="Arial Unicode MS" w:cs="Arial Unicode MS" w:eastAsia="Arial Unicode MS" w:hAnsi="Arial Unicode MS"/>
          <w:sz w:val="9"/>
          <w:szCs w:val="9"/>
          <w:color w:val="auto"/>
        </w:rPr>
        <w:t>determines necessary to enable the preparation</w:t>
      </w:r>
    </w:p>
    <w:p>
      <w:pPr>
        <w:spacing w:after="0" w:line="95" w:lineRule="exact"/>
        <w:rPr>
          <w:sz w:val="20"/>
          <w:szCs w:val="20"/>
          <w:color w:val="auto"/>
        </w:rPr>
      </w:pPr>
      <w:r>
        <w:rPr>
          <w:rFonts w:ascii="Arial Unicode MS" w:cs="Arial Unicode MS" w:eastAsia="Arial Unicode MS" w:hAnsi="Arial Unicode MS"/>
          <w:sz w:val="9"/>
          <w:szCs w:val="9"/>
          <w:color w:val="auto"/>
        </w:rPr>
        <w:t>of an annual report that is compliant with the</w:t>
      </w:r>
    </w:p>
    <w:p>
      <w:pPr>
        <w:spacing w:after="0" w:line="95" w:lineRule="exact"/>
        <w:rPr>
          <w:sz w:val="20"/>
          <w:szCs w:val="20"/>
          <w:color w:val="auto"/>
        </w:rPr>
      </w:pPr>
      <w:r>
        <w:rPr>
          <w:rFonts w:ascii="Arial Unicode MS" w:cs="Arial Unicode MS" w:eastAsia="Arial Unicode MS" w:hAnsi="Arial Unicode MS"/>
          <w:sz w:val="9"/>
          <w:szCs w:val="9"/>
          <w:color w:val="auto"/>
        </w:rPr>
        <w:t>ESEF Regulation.</w:t>
      </w:r>
    </w:p>
    <w:p>
      <w:pPr>
        <w:spacing w:after="0" w:line="96" w:lineRule="exact"/>
        <w:rPr>
          <w:sz w:val="20"/>
          <w:szCs w:val="20"/>
          <w:color w:val="auto"/>
        </w:rPr>
      </w:pPr>
      <w:r>
        <w:rPr>
          <w:rFonts w:ascii="Arial Unicode MS" w:cs="Arial Unicode MS" w:eastAsia="Arial Unicode MS" w:hAnsi="Arial Unicode MS"/>
          <w:sz w:val="9"/>
          <w:szCs w:val="9"/>
          <w:color w:val="auto"/>
        </w:rPr>
        <w:t>Our responsibility is to obtain reasonable assurance</w:t>
      </w:r>
    </w:p>
    <w:p>
      <w:pPr>
        <w:spacing w:after="0" w:line="95" w:lineRule="exact"/>
        <w:rPr>
          <w:sz w:val="20"/>
          <w:szCs w:val="20"/>
          <w:color w:val="auto"/>
        </w:rPr>
      </w:pPr>
      <w:r>
        <w:rPr>
          <w:rFonts w:ascii="Arial Unicode MS" w:cs="Arial Unicode MS" w:eastAsia="Arial Unicode MS" w:hAnsi="Arial Unicode MS"/>
          <w:sz w:val="9"/>
          <w:szCs w:val="9"/>
          <w:color w:val="auto"/>
        </w:rPr>
        <w:t>on whether the annual report is prepared, in all</w:t>
      </w:r>
    </w:p>
    <w:p>
      <w:pPr>
        <w:spacing w:after="0" w:line="96" w:lineRule="exact"/>
        <w:rPr>
          <w:sz w:val="20"/>
          <w:szCs w:val="20"/>
          <w:color w:val="auto"/>
        </w:rPr>
      </w:pPr>
      <w:r>
        <w:rPr>
          <w:rFonts w:ascii="Arial Unicode MS" w:cs="Arial Unicode MS" w:eastAsia="Arial Unicode MS" w:hAnsi="Arial Unicode MS"/>
          <w:sz w:val="9"/>
          <w:szCs w:val="9"/>
          <w:color w:val="auto"/>
        </w:rPr>
        <w:t>material respects, in compliance with the ESEF</w:t>
      </w:r>
    </w:p>
    <w:p>
      <w:pPr>
        <w:spacing w:after="0" w:line="95" w:lineRule="exact"/>
        <w:rPr>
          <w:sz w:val="20"/>
          <w:szCs w:val="20"/>
          <w:color w:val="auto"/>
        </w:rPr>
      </w:pPr>
      <w:r>
        <w:rPr>
          <w:rFonts w:ascii="Arial Unicode MS" w:cs="Arial Unicode MS" w:eastAsia="Arial Unicode MS" w:hAnsi="Arial Unicode MS"/>
          <w:sz w:val="9"/>
          <w:szCs w:val="9"/>
          <w:color w:val="auto"/>
        </w:rPr>
        <w:t>Regulation based on the evidence we have</w:t>
      </w:r>
    </w:p>
    <w:p>
      <w:pPr>
        <w:spacing w:after="0" w:line="96" w:lineRule="exact"/>
        <w:rPr>
          <w:sz w:val="20"/>
          <w:szCs w:val="20"/>
          <w:color w:val="auto"/>
        </w:rPr>
      </w:pPr>
      <w:r>
        <w:rPr>
          <w:rFonts w:ascii="Arial Unicode MS" w:cs="Arial Unicode MS" w:eastAsia="Arial Unicode MS" w:hAnsi="Arial Unicode MS"/>
          <w:sz w:val="9"/>
          <w:szCs w:val="9"/>
          <w:color w:val="auto"/>
        </w:rPr>
        <w:t>obtained, and to issue a report that includes our</w:t>
      </w:r>
    </w:p>
    <w:p>
      <w:pPr>
        <w:spacing w:after="0" w:line="95" w:lineRule="exact"/>
        <w:rPr>
          <w:sz w:val="20"/>
          <w:szCs w:val="20"/>
          <w:color w:val="auto"/>
        </w:rPr>
      </w:pPr>
      <w:r>
        <w:rPr>
          <w:rFonts w:ascii="Arial Unicode MS" w:cs="Arial Unicode MS" w:eastAsia="Arial Unicode MS" w:hAnsi="Arial Unicode MS"/>
          <w:sz w:val="9"/>
          <w:szCs w:val="9"/>
          <w:color w:val="auto"/>
        </w:rPr>
        <w:t>opinion. The nature, timing and extent of</w:t>
      </w:r>
    </w:p>
    <w:p>
      <w:pPr>
        <w:spacing w:after="0" w:line="96" w:lineRule="exact"/>
        <w:rPr>
          <w:sz w:val="20"/>
          <w:szCs w:val="20"/>
          <w:color w:val="auto"/>
        </w:rPr>
      </w:pPr>
      <w:r>
        <w:rPr>
          <w:rFonts w:ascii="Arial Unicode MS" w:cs="Arial Unicode MS" w:eastAsia="Arial Unicode MS" w:hAnsi="Arial Unicode MS"/>
          <w:sz w:val="9"/>
          <w:szCs w:val="9"/>
          <w:color w:val="auto"/>
        </w:rPr>
        <w:t>procedures selected depend on the auditor’s</w:t>
      </w:r>
    </w:p>
    <w:p>
      <w:pPr>
        <w:spacing w:after="0" w:line="95" w:lineRule="exact"/>
        <w:rPr>
          <w:sz w:val="20"/>
          <w:szCs w:val="20"/>
          <w:color w:val="auto"/>
        </w:rPr>
      </w:pPr>
      <w:r>
        <w:rPr>
          <w:rFonts w:ascii="Arial Unicode MS" w:cs="Arial Unicode MS" w:eastAsia="Arial Unicode MS" w:hAnsi="Arial Unicode MS"/>
          <w:sz w:val="9"/>
          <w:szCs w:val="9"/>
          <w:color w:val="auto"/>
        </w:rPr>
        <w:t>judgement, including the assessment of the risks of</w:t>
      </w:r>
    </w:p>
    <w:p>
      <w:pPr>
        <w:spacing w:after="0" w:line="95" w:lineRule="exact"/>
        <w:rPr>
          <w:sz w:val="20"/>
          <w:szCs w:val="20"/>
          <w:color w:val="auto"/>
        </w:rPr>
      </w:pPr>
      <w:r>
        <w:rPr>
          <w:rFonts w:ascii="Arial Unicode MS" w:cs="Arial Unicode MS" w:eastAsia="Arial Unicode MS" w:hAnsi="Arial Unicode MS"/>
          <w:sz w:val="9"/>
          <w:szCs w:val="9"/>
          <w:color w:val="auto"/>
        </w:rPr>
        <w:t>material departures from the requirements set out</w:t>
      </w:r>
    </w:p>
    <w:p>
      <w:pPr>
        <w:spacing w:after="0" w:line="96" w:lineRule="exact"/>
        <w:rPr>
          <w:sz w:val="20"/>
          <w:szCs w:val="20"/>
          <w:color w:val="auto"/>
        </w:rPr>
      </w:pPr>
      <w:r>
        <w:rPr>
          <w:rFonts w:ascii="Arial Unicode MS" w:cs="Arial Unicode MS" w:eastAsia="Arial Unicode MS" w:hAnsi="Arial Unicode MS"/>
          <w:sz w:val="9"/>
          <w:szCs w:val="9"/>
          <w:color w:val="auto"/>
        </w:rPr>
        <w:t>in the ESEF Regulation, whether due to fraud or</w:t>
      </w:r>
    </w:p>
    <w:p>
      <w:pPr>
        <w:spacing w:after="0" w:line="95" w:lineRule="exact"/>
        <w:rPr>
          <w:sz w:val="20"/>
          <w:szCs w:val="20"/>
          <w:color w:val="auto"/>
        </w:rPr>
      </w:pPr>
      <w:r>
        <w:rPr>
          <w:rFonts w:ascii="Arial Unicode MS" w:cs="Arial Unicode MS" w:eastAsia="Arial Unicode MS" w:hAnsi="Arial Unicode MS"/>
          <w:sz w:val="9"/>
          <w:szCs w:val="9"/>
          <w:color w:val="auto"/>
        </w:rPr>
        <w:t>error. The procedures include:</w:t>
      </w:r>
    </w:p>
    <w:p>
      <w:pPr>
        <w:spacing w:after="0" w:line="96" w:lineRule="exact"/>
        <w:rPr>
          <w:sz w:val="20"/>
          <w:szCs w:val="20"/>
          <w:color w:val="auto"/>
        </w:rPr>
      </w:pPr>
      <w:r>
        <w:rPr>
          <w:rFonts w:ascii="Arial Unicode MS" w:cs="Arial Unicode MS" w:eastAsia="Arial Unicode MS" w:hAnsi="Arial Unicode MS"/>
          <w:sz w:val="9"/>
          <w:szCs w:val="9"/>
          <w:color w:val="auto"/>
        </w:rPr>
        <w:t>•Testing whether the annual report is prepared</w:t>
      </w:r>
    </w:p>
    <w:p>
      <w:pPr>
        <w:spacing w:after="0" w:line="95" w:lineRule="exact"/>
        <w:rPr>
          <w:sz w:val="20"/>
          <w:szCs w:val="20"/>
          <w:color w:val="auto"/>
        </w:rPr>
      </w:pPr>
      <w:r>
        <w:rPr>
          <w:rFonts w:ascii="Arial Unicode MS" w:cs="Arial Unicode MS" w:eastAsia="Arial Unicode MS" w:hAnsi="Arial Unicode MS"/>
          <w:sz w:val="9"/>
          <w:szCs w:val="9"/>
          <w:color w:val="auto"/>
        </w:rPr>
        <w:t>in XHTML format;</w:t>
      </w:r>
    </w:p>
    <w:p>
      <w:pPr>
        <w:spacing w:after="0" w:line="96" w:lineRule="exact"/>
        <w:rPr>
          <w:sz w:val="20"/>
          <w:szCs w:val="20"/>
          <w:color w:val="auto"/>
        </w:rPr>
      </w:pPr>
      <w:r>
        <w:rPr>
          <w:rFonts w:ascii="Arial Unicode MS" w:cs="Arial Unicode MS" w:eastAsia="Arial Unicode MS" w:hAnsi="Arial Unicode MS"/>
          <w:sz w:val="9"/>
          <w:szCs w:val="9"/>
          <w:color w:val="auto"/>
        </w:rPr>
        <w:t>•Obtaining an understanding of the company’s</w:t>
      </w:r>
    </w:p>
    <w:p>
      <w:pPr>
        <w:spacing w:after="0" w:line="95" w:lineRule="exact"/>
        <w:rPr>
          <w:sz w:val="20"/>
          <w:szCs w:val="20"/>
          <w:color w:val="auto"/>
        </w:rPr>
      </w:pPr>
      <w:r>
        <w:rPr>
          <w:rFonts w:ascii="Arial Unicode MS" w:cs="Arial Unicode MS" w:eastAsia="Arial Unicode MS" w:hAnsi="Arial Unicode MS"/>
          <w:sz w:val="9"/>
          <w:szCs w:val="9"/>
          <w:color w:val="auto"/>
        </w:rPr>
        <w:t>iXBRL tagging process and of internal control</w:t>
      </w:r>
    </w:p>
    <w:p>
      <w:pPr>
        <w:spacing w:after="0" w:line="95" w:lineRule="exact"/>
        <w:rPr>
          <w:sz w:val="20"/>
          <w:szCs w:val="20"/>
          <w:color w:val="auto"/>
        </w:rPr>
      </w:pPr>
      <w:r>
        <w:rPr>
          <w:rFonts w:ascii="Arial Unicode MS" w:cs="Arial Unicode MS" w:eastAsia="Arial Unicode MS" w:hAnsi="Arial Unicode MS"/>
          <w:sz w:val="9"/>
          <w:szCs w:val="9"/>
          <w:color w:val="auto"/>
        </w:rPr>
        <w:t>over the tagging process;</w:t>
      </w:r>
    </w:p>
    <w:p>
      <w:pPr>
        <w:spacing w:after="0" w:line="96" w:lineRule="exact"/>
        <w:rPr>
          <w:sz w:val="20"/>
          <w:szCs w:val="20"/>
          <w:color w:val="auto"/>
        </w:rPr>
      </w:pPr>
      <w:r>
        <w:rPr>
          <w:rFonts w:ascii="Arial Unicode MS" w:cs="Arial Unicode MS" w:eastAsia="Arial Unicode MS" w:hAnsi="Arial Unicode MS"/>
          <w:sz w:val="9"/>
          <w:szCs w:val="9"/>
          <w:color w:val="auto"/>
        </w:rPr>
        <w:t>•Evaluating the completeness of the iXBRL</w:t>
      </w:r>
    </w:p>
    <w:p>
      <w:pPr>
        <w:spacing w:after="0" w:line="95" w:lineRule="exact"/>
        <w:rPr>
          <w:sz w:val="20"/>
          <w:szCs w:val="20"/>
          <w:color w:val="auto"/>
        </w:rPr>
      </w:pPr>
      <w:r>
        <w:rPr>
          <w:rFonts w:ascii="Arial Unicode MS" w:cs="Arial Unicode MS" w:eastAsia="Arial Unicode MS" w:hAnsi="Arial Unicode MS"/>
          <w:sz w:val="9"/>
          <w:szCs w:val="9"/>
          <w:color w:val="auto"/>
        </w:rPr>
        <w:t>tagging of the consolidated nancial statements</w:t>
      </w:r>
    </w:p>
    <w:p>
      <w:pPr>
        <w:spacing w:after="0" w:line="96" w:lineRule="exact"/>
        <w:rPr>
          <w:sz w:val="20"/>
          <w:szCs w:val="20"/>
          <w:color w:val="auto"/>
        </w:rPr>
      </w:pPr>
      <w:r>
        <w:rPr>
          <w:rFonts w:ascii="Arial Unicode MS" w:cs="Arial Unicode MS" w:eastAsia="Arial Unicode MS" w:hAnsi="Arial Unicode MS"/>
          <w:sz w:val="9"/>
          <w:szCs w:val="9"/>
          <w:color w:val="auto"/>
        </w:rPr>
        <w:t>including notes;</w:t>
      </w:r>
    </w:p>
    <w:p>
      <w:pPr>
        <w:spacing w:after="0" w:line="95" w:lineRule="exact"/>
        <w:rPr>
          <w:sz w:val="20"/>
          <w:szCs w:val="20"/>
          <w:color w:val="auto"/>
        </w:rPr>
      </w:pPr>
      <w:r>
        <w:rPr>
          <w:rFonts w:ascii="Arial Unicode MS" w:cs="Arial Unicode MS" w:eastAsia="Arial Unicode MS" w:hAnsi="Arial Unicode MS"/>
          <w:sz w:val="9"/>
          <w:szCs w:val="9"/>
          <w:color w:val="auto"/>
        </w:rPr>
        <w:t>•Evaluating the appropriateness of the company’s</w:t>
      </w:r>
    </w:p>
    <w:p>
      <w:pPr>
        <w:spacing w:after="0" w:line="96" w:lineRule="exact"/>
        <w:rPr>
          <w:sz w:val="20"/>
          <w:szCs w:val="20"/>
          <w:color w:val="auto"/>
        </w:rPr>
      </w:pPr>
      <w:r>
        <w:rPr>
          <w:rFonts w:ascii="Arial Unicode MS" w:cs="Arial Unicode MS" w:eastAsia="Arial Unicode MS" w:hAnsi="Arial Unicode MS"/>
          <w:sz w:val="9"/>
          <w:szCs w:val="9"/>
          <w:color w:val="auto"/>
        </w:rPr>
        <w:t>use of iXBRL elements selected from the ESEF</w:t>
      </w:r>
    </w:p>
    <w:p>
      <w:pPr>
        <w:spacing w:after="0" w:line="95" w:lineRule="exact"/>
        <w:rPr>
          <w:sz w:val="20"/>
          <w:szCs w:val="20"/>
          <w:color w:val="auto"/>
        </w:rPr>
      </w:pPr>
      <w:r>
        <w:rPr>
          <w:rFonts w:ascii="Arial Unicode MS" w:cs="Arial Unicode MS" w:eastAsia="Arial Unicode MS" w:hAnsi="Arial Unicode MS"/>
          <w:sz w:val="9"/>
          <w:szCs w:val="9"/>
          <w:color w:val="auto"/>
        </w:rPr>
        <w:t>taxonomy and the creation of extension</w:t>
      </w:r>
    </w:p>
    <w:p>
      <w:pPr>
        <w:spacing w:after="0" w:line="95" w:lineRule="exact"/>
        <w:rPr>
          <w:sz w:val="20"/>
          <w:szCs w:val="20"/>
          <w:color w:val="auto"/>
        </w:rPr>
      </w:pPr>
      <w:r>
        <w:rPr>
          <w:rFonts w:ascii="Arial Unicode MS" w:cs="Arial Unicode MS" w:eastAsia="Arial Unicode MS" w:hAnsi="Arial Unicode MS"/>
          <w:sz w:val="9"/>
          <w:szCs w:val="9"/>
          <w:color w:val="auto"/>
        </w:rPr>
        <w:t>elements where no suitable element in the ESEF</w:t>
      </w:r>
    </w:p>
    <w:p>
      <w:pPr>
        <w:spacing w:after="0" w:line="96" w:lineRule="exact"/>
        <w:rPr>
          <w:sz w:val="20"/>
          <w:szCs w:val="20"/>
          <w:color w:val="auto"/>
        </w:rPr>
      </w:pPr>
      <w:r>
        <w:rPr>
          <w:rFonts w:ascii="Arial Unicode MS" w:cs="Arial Unicode MS" w:eastAsia="Arial Unicode MS" w:hAnsi="Arial Unicode MS"/>
          <w:sz w:val="9"/>
          <w:szCs w:val="9"/>
          <w:color w:val="auto"/>
        </w:rPr>
        <w:t>taxonomy has been identied;</w:t>
      </w:r>
    </w:p>
    <w:p>
      <w:pPr>
        <w:spacing w:after="0" w:line="95" w:lineRule="exact"/>
        <w:rPr>
          <w:sz w:val="20"/>
          <w:szCs w:val="20"/>
          <w:color w:val="auto"/>
        </w:rPr>
      </w:pPr>
      <w:r>
        <w:rPr>
          <w:rFonts w:ascii="Arial Unicode MS" w:cs="Arial Unicode MS" w:eastAsia="Arial Unicode MS" w:hAnsi="Arial Unicode MS"/>
          <w:sz w:val="9"/>
          <w:szCs w:val="9"/>
          <w:color w:val="auto"/>
        </w:rPr>
        <w:t>•Evaluating the use of anchoring of extension</w:t>
      </w:r>
    </w:p>
    <w:p>
      <w:pPr>
        <w:spacing w:after="0" w:line="96" w:lineRule="exact"/>
        <w:rPr>
          <w:sz w:val="20"/>
          <w:szCs w:val="20"/>
          <w:color w:val="auto"/>
        </w:rPr>
      </w:pPr>
      <w:r>
        <w:rPr>
          <w:rFonts w:ascii="Arial Unicode MS" w:cs="Arial Unicode MS" w:eastAsia="Arial Unicode MS" w:hAnsi="Arial Unicode MS"/>
          <w:sz w:val="9"/>
          <w:szCs w:val="9"/>
          <w:color w:val="auto"/>
        </w:rPr>
        <w:t>elements to elements in the ESEF taxonomy;</w:t>
      </w:r>
    </w:p>
    <w:p>
      <w:pPr>
        <w:spacing w:after="0" w:line="95" w:lineRule="exact"/>
        <w:rPr>
          <w:sz w:val="20"/>
          <w:szCs w:val="20"/>
          <w:color w:val="auto"/>
        </w:rPr>
      </w:pPr>
      <w:r>
        <w:rPr>
          <w:rFonts w:ascii="Arial Unicode MS" w:cs="Arial Unicode MS" w:eastAsia="Arial Unicode MS" w:hAnsi="Arial Unicode MS"/>
          <w:sz w:val="9"/>
          <w:szCs w:val="9"/>
          <w:color w:val="auto"/>
        </w:rPr>
        <w:t>and</w:t>
      </w:r>
    </w:p>
    <w:p>
      <w:pPr>
        <w:spacing w:after="0" w:line="96" w:lineRule="exact"/>
        <w:rPr>
          <w:sz w:val="20"/>
          <w:szCs w:val="20"/>
          <w:color w:val="auto"/>
        </w:rPr>
      </w:pPr>
      <w:r>
        <w:rPr>
          <w:rFonts w:ascii="Arial Unicode MS" w:cs="Arial Unicode MS" w:eastAsia="Arial Unicode MS" w:hAnsi="Arial Unicode MS"/>
          <w:sz w:val="9"/>
          <w:szCs w:val="9"/>
          <w:color w:val="auto"/>
        </w:rPr>
        <w:t>•Reconciling the iXBRL tagged data with the</w:t>
      </w:r>
    </w:p>
    <w:p>
      <w:pPr>
        <w:spacing w:after="0" w:line="95" w:lineRule="exact"/>
        <w:rPr>
          <w:sz w:val="20"/>
          <w:szCs w:val="20"/>
          <w:color w:val="auto"/>
        </w:rPr>
      </w:pPr>
      <w:r>
        <w:rPr>
          <w:rFonts w:ascii="Arial Unicode MS" w:cs="Arial Unicode MS" w:eastAsia="Arial Unicode MS" w:hAnsi="Arial Unicode MS"/>
          <w:sz w:val="9"/>
          <w:szCs w:val="9"/>
          <w:color w:val="auto"/>
        </w:rPr>
        <w:t>audited consolidated and parent nancial</w:t>
      </w:r>
    </w:p>
    <w:p>
      <w:pPr>
        <w:spacing w:after="0" w:line="95" w:lineRule="exact"/>
        <w:rPr>
          <w:sz w:val="20"/>
          <w:szCs w:val="20"/>
          <w:color w:val="auto"/>
        </w:rPr>
      </w:pPr>
      <w:r>
        <w:rPr>
          <w:rFonts w:ascii="Arial Unicode MS" w:cs="Arial Unicode MS" w:eastAsia="Arial Unicode MS" w:hAnsi="Arial Unicode MS"/>
          <w:sz w:val="9"/>
          <w:szCs w:val="9"/>
          <w:color w:val="auto"/>
        </w:rPr>
        <w:t>statements.</w:t>
      </w:r>
    </w:p>
    <w:p>
      <w:pPr>
        <w:spacing w:after="0" w:line="96" w:lineRule="exact"/>
        <w:rPr>
          <w:sz w:val="20"/>
          <w:szCs w:val="20"/>
          <w:color w:val="auto"/>
        </w:rPr>
      </w:pPr>
      <w:r>
        <w:rPr>
          <w:rFonts w:ascii="Arial Unicode MS" w:cs="Arial Unicode MS" w:eastAsia="Arial Unicode MS" w:hAnsi="Arial Unicode MS"/>
          <w:sz w:val="9"/>
          <w:szCs w:val="9"/>
          <w:color w:val="auto"/>
        </w:rPr>
        <w:t>In our opinion, the annual report of Genmab A/S for</w:t>
      </w:r>
    </w:p>
    <w:p>
      <w:pPr>
        <w:spacing w:after="0" w:line="95" w:lineRule="exact"/>
        <w:rPr>
          <w:sz w:val="20"/>
          <w:szCs w:val="20"/>
          <w:color w:val="auto"/>
        </w:rPr>
      </w:pPr>
      <w:r>
        <w:rPr>
          <w:rFonts w:ascii="Arial Unicode MS" w:cs="Arial Unicode MS" w:eastAsia="Arial Unicode MS" w:hAnsi="Arial Unicode MS"/>
          <w:sz w:val="9"/>
          <w:szCs w:val="9"/>
          <w:color w:val="auto"/>
        </w:rPr>
        <w:t>the nancial year January 1, 2025 – December 31,</w:t>
      </w:r>
    </w:p>
    <w:p>
      <w:pPr>
        <w:spacing w:after="0" w:line="96" w:lineRule="exact"/>
        <w:rPr>
          <w:sz w:val="20"/>
          <w:szCs w:val="20"/>
          <w:color w:val="auto"/>
        </w:rPr>
      </w:pPr>
      <w:r>
        <w:rPr>
          <w:rFonts w:ascii="Arial Unicode MS" w:cs="Arial Unicode MS" w:eastAsia="Arial Unicode MS" w:hAnsi="Arial Unicode MS"/>
          <w:sz w:val="9"/>
          <w:szCs w:val="9"/>
          <w:color w:val="auto"/>
        </w:rPr>
        <w:t>2025, with the le name genmab-2025-12-31-1-</w:t>
      </w:r>
    </w:p>
    <w:p>
      <w:pPr>
        <w:spacing w:after="0" w:line="95" w:lineRule="exact"/>
        <w:rPr>
          <w:sz w:val="20"/>
          <w:szCs w:val="20"/>
          <w:color w:val="auto"/>
        </w:rPr>
      </w:pPr>
      <w:r>
        <w:rPr>
          <w:rFonts w:ascii="Arial Unicode MS" w:cs="Arial Unicode MS" w:eastAsia="Arial Unicode MS" w:hAnsi="Arial Unicode MS"/>
          <w:sz w:val="9"/>
          <w:szCs w:val="9"/>
          <w:color w:val="auto"/>
        </w:rPr>
        <w:t>en.zip, is prepared, in all material respects, in</w:t>
      </w:r>
    </w:p>
    <w:p>
      <w:pPr>
        <w:spacing w:after="0" w:line="96" w:lineRule="exact"/>
        <w:rPr>
          <w:sz w:val="20"/>
          <w:szCs w:val="20"/>
          <w:color w:val="auto"/>
        </w:rPr>
      </w:pPr>
      <w:r>
        <w:rPr>
          <w:rFonts w:ascii="Arial Unicode MS" w:cs="Arial Unicode MS" w:eastAsia="Arial Unicode MS" w:hAnsi="Arial Unicode MS"/>
          <w:sz w:val="9"/>
          <w:szCs w:val="9"/>
          <w:color w:val="auto"/>
        </w:rPr>
        <w:t>compliance with the ESEF Regulation.</w:t>
      </w:r>
    </w:p>
    <w:p>
      <w:pPr>
        <w:spacing w:after="0" w:line="95" w:lineRule="exact"/>
        <w:rPr>
          <w:sz w:val="20"/>
          <w:szCs w:val="20"/>
          <w:color w:val="auto"/>
        </w:rPr>
      </w:pPr>
      <w:r>
        <w:rPr>
          <w:rFonts w:ascii="Arial Unicode MS" w:cs="Arial Unicode MS" w:eastAsia="Arial Unicode MS" w:hAnsi="Arial Unicode MS"/>
          <w:sz w:val="9"/>
          <w:szCs w:val="9"/>
          <w:color w:val="auto"/>
        </w:rPr>
        <w:t>Copenhagen, February 17, 2026</w:t>
      </w:r>
    </w:p>
    <w:p>
      <w:pPr>
        <w:spacing w:after="0" w:line="95" w:lineRule="exact"/>
        <w:rPr>
          <w:sz w:val="20"/>
          <w:szCs w:val="20"/>
          <w:color w:val="auto"/>
        </w:rPr>
      </w:pPr>
      <w:r>
        <w:rPr>
          <w:rFonts w:ascii="Arial Unicode MS" w:cs="Arial Unicode MS" w:eastAsia="Arial Unicode MS" w:hAnsi="Arial Unicode MS"/>
          <w:sz w:val="9"/>
          <w:szCs w:val="9"/>
          <w:color w:val="auto"/>
        </w:rPr>
        <w:t>Deloitte</w:t>
      </w:r>
    </w:p>
    <w:p>
      <w:pPr>
        <w:spacing w:after="0"/>
        <w:rPr>
          <w:sz w:val="20"/>
          <w:szCs w:val="20"/>
          <w:color w:val="auto"/>
        </w:rPr>
      </w:pPr>
      <w:r>
        <w:rPr>
          <w:rFonts w:ascii="Arial" w:cs="Arial" w:eastAsia="Arial" w:hAnsi="Arial"/>
          <w:sz w:val="10"/>
          <w:szCs w:val="10"/>
          <w:color w:val="auto"/>
        </w:rPr>
        <w:t>Statsautoriseret Revisionspartnerselskab</w:t>
      </w:r>
    </w:p>
    <w:p>
      <w:pPr>
        <w:spacing w:after="0" w:line="38" w:lineRule="exact"/>
        <w:rPr>
          <w:rFonts w:ascii="Arial" w:cs="Arial" w:eastAsia="Arial" w:hAnsi="Arial"/>
          <w:sz w:val="10"/>
          <w:szCs w:val="10"/>
          <w:color w:val="auto"/>
        </w:rPr>
      </w:pPr>
    </w:p>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Independent Auditor’s Reports</w:t>
      </w:r>
    </w:p>
    <w:p>
      <w:pPr>
        <w:spacing w:after="0" w:line="211" w:lineRule="auto"/>
        <w:rPr>
          <w:sz w:val="20"/>
          <w:szCs w:val="20"/>
          <w:color w:val="auto"/>
        </w:rPr>
      </w:pPr>
      <w:r>
        <w:rPr>
          <w:rFonts w:ascii="Arial" w:cs="Arial" w:eastAsia="Arial" w:hAnsi="Arial"/>
          <w:sz w:val="15"/>
          <w:szCs w:val="15"/>
          <w:b w:val="1"/>
          <w:bCs w:val="1"/>
          <w:color w:val="691A6B"/>
        </w:rPr>
        <w:t>Independent auditor’s limited</w:t>
      </w:r>
    </w:p>
    <w:p>
      <w:pPr>
        <w:spacing w:after="0" w:line="212" w:lineRule="auto"/>
        <w:rPr>
          <w:sz w:val="20"/>
          <w:szCs w:val="20"/>
          <w:color w:val="auto"/>
        </w:rPr>
      </w:pPr>
      <w:r>
        <w:rPr>
          <w:rFonts w:ascii="Arial" w:cs="Arial" w:eastAsia="Arial" w:hAnsi="Arial"/>
          <w:sz w:val="15"/>
          <w:szCs w:val="15"/>
          <w:b w:val="1"/>
          <w:bCs w:val="1"/>
          <w:color w:val="691A6B"/>
        </w:rPr>
        <w:t>assurance report on</w:t>
      </w:r>
    </w:p>
    <w:p>
      <w:pPr>
        <w:spacing w:after="0" w:line="212" w:lineRule="auto"/>
        <w:rPr>
          <w:sz w:val="20"/>
          <w:szCs w:val="20"/>
          <w:color w:val="auto"/>
        </w:rPr>
      </w:pPr>
      <w:r>
        <w:rPr>
          <w:rFonts w:ascii="Arial" w:cs="Arial" w:eastAsia="Arial" w:hAnsi="Arial"/>
          <w:sz w:val="15"/>
          <w:szCs w:val="15"/>
          <w:b w:val="1"/>
          <w:bCs w:val="1"/>
          <w:color w:val="691A6B"/>
        </w:rPr>
        <w:t>Sustainability Statements</w:t>
      </w:r>
    </w:p>
    <w:p>
      <w:pPr>
        <w:spacing w:after="0" w:line="212" w:lineRule="auto"/>
        <w:rPr>
          <w:sz w:val="20"/>
          <w:szCs w:val="20"/>
          <w:color w:val="auto"/>
        </w:rPr>
      </w:pPr>
      <w:r>
        <w:rPr>
          <w:rFonts w:ascii="Arial" w:cs="Arial" w:eastAsia="Arial" w:hAnsi="Arial"/>
          <w:sz w:val="15"/>
          <w:szCs w:val="15"/>
          <w:color w:val="691A6B"/>
        </w:rPr>
        <w:t>To the stakeholders of</w:t>
      </w:r>
    </w:p>
    <w:p>
      <w:pPr>
        <w:spacing w:after="0" w:line="209" w:lineRule="auto"/>
        <w:rPr>
          <w:sz w:val="20"/>
          <w:szCs w:val="20"/>
          <w:color w:val="auto"/>
        </w:rPr>
      </w:pPr>
      <w:r>
        <w:rPr>
          <w:rFonts w:ascii="Arial" w:cs="Arial" w:eastAsia="Arial" w:hAnsi="Arial"/>
          <w:sz w:val="15"/>
          <w:szCs w:val="15"/>
          <w:color w:val="691A6B"/>
        </w:rPr>
        <w:t>Genmab A/S</w:t>
      </w:r>
    </w:p>
    <w:p>
      <w:pPr>
        <w:spacing w:after="0" w:line="210" w:lineRule="auto"/>
        <w:rPr>
          <w:sz w:val="20"/>
          <w:szCs w:val="20"/>
          <w:color w:val="auto"/>
        </w:rPr>
      </w:pPr>
      <w:r>
        <w:rPr>
          <w:rFonts w:ascii="Arial" w:cs="Arial" w:eastAsia="Arial" w:hAnsi="Arial"/>
          <w:sz w:val="13"/>
          <w:szCs w:val="13"/>
          <w:b w:val="1"/>
          <w:bCs w:val="1"/>
          <w:color w:val="691A6B"/>
        </w:rPr>
        <w:t>Limited assurance conclusion</w:t>
      </w:r>
    </w:p>
    <w:p>
      <w:pPr>
        <w:spacing w:after="0" w:line="96" w:lineRule="exact"/>
        <w:rPr>
          <w:sz w:val="20"/>
          <w:szCs w:val="20"/>
          <w:color w:val="auto"/>
        </w:rPr>
      </w:pPr>
      <w:r>
        <w:rPr>
          <w:rFonts w:ascii="Arial Unicode MS" w:cs="Arial Unicode MS" w:eastAsia="Arial Unicode MS" w:hAnsi="Arial Unicode MS"/>
          <w:sz w:val="9"/>
          <w:szCs w:val="9"/>
          <w:color w:val="auto"/>
        </w:rPr>
        <w:t>We have conducted a limited assurance</w:t>
      </w:r>
    </w:p>
    <w:p>
      <w:pPr>
        <w:spacing w:after="0" w:line="95" w:lineRule="exact"/>
        <w:rPr>
          <w:sz w:val="20"/>
          <w:szCs w:val="20"/>
          <w:color w:val="auto"/>
        </w:rPr>
      </w:pPr>
      <w:r>
        <w:rPr>
          <w:rFonts w:ascii="Arial Unicode MS" w:cs="Arial Unicode MS" w:eastAsia="Arial Unicode MS" w:hAnsi="Arial Unicode MS"/>
          <w:sz w:val="9"/>
          <w:szCs w:val="9"/>
          <w:color w:val="auto"/>
        </w:rPr>
        <w:t>engagement on the Sustainability Statements</w:t>
      </w:r>
    </w:p>
    <w:p>
      <w:pPr>
        <w:spacing w:after="0" w:line="96" w:lineRule="exact"/>
        <w:rPr>
          <w:sz w:val="20"/>
          <w:szCs w:val="20"/>
          <w:color w:val="auto"/>
        </w:rPr>
      </w:pPr>
      <w:r>
        <w:rPr>
          <w:rFonts w:ascii="Arial Unicode MS" w:cs="Arial Unicode MS" w:eastAsia="Arial Unicode MS" w:hAnsi="Arial Unicode MS"/>
          <w:sz w:val="9"/>
          <w:szCs w:val="9"/>
          <w:color w:val="auto"/>
        </w:rPr>
        <w:t>of Genmab A/S (the “Group”) included in the</w:t>
      </w:r>
    </w:p>
    <w:p>
      <w:pPr>
        <w:spacing w:after="0" w:line="95" w:lineRule="exact"/>
        <w:rPr>
          <w:sz w:val="20"/>
          <w:szCs w:val="20"/>
          <w:color w:val="auto"/>
        </w:rPr>
      </w:pPr>
      <w:r>
        <w:rPr>
          <w:rFonts w:ascii="Arial Unicode MS" w:cs="Arial Unicode MS" w:eastAsia="Arial Unicode MS" w:hAnsi="Arial Unicode MS"/>
          <w:sz w:val="9"/>
          <w:szCs w:val="9"/>
          <w:color w:val="auto"/>
        </w:rPr>
        <w:t>Management’s Review (the “Sustainability</w:t>
      </w:r>
    </w:p>
    <w:p>
      <w:pPr>
        <w:spacing w:after="0" w:line="95" w:lineRule="exact"/>
        <w:rPr>
          <w:sz w:val="20"/>
          <w:szCs w:val="20"/>
          <w:color w:val="auto"/>
        </w:rPr>
      </w:pPr>
      <w:r>
        <w:rPr>
          <w:rFonts w:ascii="Arial Unicode MS" w:cs="Arial Unicode MS" w:eastAsia="Arial Unicode MS" w:hAnsi="Arial Unicode MS"/>
          <w:sz w:val="9"/>
          <w:szCs w:val="9"/>
          <w:color w:val="auto"/>
        </w:rPr>
        <w:t>Statements”), for the financial year</w:t>
      </w:r>
    </w:p>
    <w:p>
      <w:pPr>
        <w:spacing w:after="0" w:line="96" w:lineRule="exact"/>
        <w:rPr>
          <w:sz w:val="20"/>
          <w:szCs w:val="20"/>
          <w:color w:val="auto"/>
        </w:rPr>
      </w:pPr>
      <w:r>
        <w:rPr>
          <w:rFonts w:ascii="Arial Unicode MS" w:cs="Arial Unicode MS" w:eastAsia="Arial Unicode MS" w:hAnsi="Arial Unicode MS"/>
          <w:sz w:val="9"/>
          <w:szCs w:val="9"/>
          <w:color w:val="auto"/>
        </w:rPr>
        <w:t>January 1 – December 31, 2025.</w:t>
      </w:r>
    </w:p>
    <w:p>
      <w:pPr>
        <w:spacing w:after="0" w:line="95" w:lineRule="exact"/>
        <w:rPr>
          <w:sz w:val="20"/>
          <w:szCs w:val="20"/>
          <w:color w:val="auto"/>
        </w:rPr>
      </w:pPr>
      <w:r>
        <w:rPr>
          <w:rFonts w:ascii="Arial Unicode MS" w:cs="Arial Unicode MS" w:eastAsia="Arial Unicode MS" w:hAnsi="Arial Unicode MS"/>
          <w:sz w:val="9"/>
          <w:szCs w:val="9"/>
          <w:color w:val="auto"/>
        </w:rPr>
        <w:t>Based on the procedures we have performed and</w:t>
      </w:r>
    </w:p>
    <w:p>
      <w:pPr>
        <w:spacing w:after="0" w:line="96" w:lineRule="exact"/>
        <w:rPr>
          <w:sz w:val="20"/>
          <w:szCs w:val="20"/>
          <w:color w:val="auto"/>
        </w:rPr>
      </w:pPr>
      <w:r>
        <w:rPr>
          <w:rFonts w:ascii="Arial Unicode MS" w:cs="Arial Unicode MS" w:eastAsia="Arial Unicode MS" w:hAnsi="Arial Unicode MS"/>
          <w:sz w:val="9"/>
          <w:szCs w:val="9"/>
          <w:color w:val="auto"/>
        </w:rPr>
        <w:t>the evidence we have obtained, nothing has come</w:t>
      </w:r>
    </w:p>
    <w:p>
      <w:pPr>
        <w:spacing w:after="0" w:line="95" w:lineRule="exact"/>
        <w:rPr>
          <w:sz w:val="20"/>
          <w:szCs w:val="20"/>
          <w:color w:val="auto"/>
        </w:rPr>
      </w:pPr>
      <w:r>
        <w:rPr>
          <w:rFonts w:ascii="Arial Unicode MS" w:cs="Arial Unicode MS" w:eastAsia="Arial Unicode MS" w:hAnsi="Arial Unicode MS"/>
          <w:sz w:val="9"/>
          <w:szCs w:val="9"/>
          <w:color w:val="auto"/>
        </w:rPr>
        <w:t>to our attention that causes us to believe that the</w:t>
      </w:r>
    </w:p>
    <w:p>
      <w:pPr>
        <w:spacing w:after="0" w:line="96" w:lineRule="exact"/>
        <w:rPr>
          <w:sz w:val="20"/>
          <w:szCs w:val="20"/>
          <w:color w:val="auto"/>
        </w:rPr>
      </w:pPr>
      <w:r>
        <w:rPr>
          <w:rFonts w:ascii="Arial Unicode MS" w:cs="Arial Unicode MS" w:eastAsia="Arial Unicode MS" w:hAnsi="Arial Unicode MS"/>
          <w:sz w:val="9"/>
          <w:szCs w:val="9"/>
          <w:color w:val="auto"/>
        </w:rPr>
        <w:t>Sustainability Statements are not prepared, in all</w:t>
      </w:r>
    </w:p>
    <w:p>
      <w:pPr>
        <w:spacing w:after="0" w:line="95" w:lineRule="exact"/>
        <w:rPr>
          <w:sz w:val="20"/>
          <w:szCs w:val="20"/>
          <w:color w:val="auto"/>
        </w:rPr>
      </w:pPr>
      <w:r>
        <w:rPr>
          <w:rFonts w:ascii="Arial Unicode MS" w:cs="Arial Unicode MS" w:eastAsia="Arial Unicode MS" w:hAnsi="Arial Unicode MS"/>
          <w:sz w:val="9"/>
          <w:szCs w:val="9"/>
          <w:color w:val="auto"/>
        </w:rPr>
        <w:t>material respects, in accordance with the Danish</w:t>
      </w:r>
    </w:p>
    <w:p>
      <w:pPr>
        <w:spacing w:after="0" w:line="95" w:lineRule="exact"/>
        <w:rPr>
          <w:sz w:val="20"/>
          <w:szCs w:val="20"/>
          <w:color w:val="auto"/>
        </w:rPr>
      </w:pPr>
      <w:r>
        <w:rPr>
          <w:rFonts w:ascii="Arial Unicode MS" w:cs="Arial Unicode MS" w:eastAsia="Arial Unicode MS" w:hAnsi="Arial Unicode MS"/>
          <w:sz w:val="9"/>
          <w:szCs w:val="9"/>
          <w:color w:val="auto"/>
        </w:rPr>
        <w:t>Financial Statements Act section 99a, including:</w:t>
      </w:r>
    </w:p>
    <w:p>
      <w:pPr>
        <w:spacing w:after="0" w:line="96" w:lineRule="exact"/>
        <w:rPr>
          <w:sz w:val="20"/>
          <w:szCs w:val="20"/>
          <w:color w:val="auto"/>
        </w:rPr>
      </w:pPr>
      <w:r>
        <w:rPr>
          <w:rFonts w:ascii="Arial Unicode MS" w:cs="Arial Unicode MS" w:eastAsia="Arial Unicode MS" w:hAnsi="Arial Unicode MS"/>
          <w:sz w:val="9"/>
          <w:szCs w:val="9"/>
          <w:color w:val="auto"/>
        </w:rPr>
        <w:t>•compliance with the European Sustainability</w:t>
      </w:r>
    </w:p>
    <w:p>
      <w:pPr>
        <w:spacing w:after="0" w:line="95" w:lineRule="exact"/>
        <w:rPr>
          <w:sz w:val="20"/>
          <w:szCs w:val="20"/>
          <w:color w:val="auto"/>
        </w:rPr>
      </w:pPr>
      <w:r>
        <w:rPr>
          <w:rFonts w:ascii="Arial Unicode MS" w:cs="Arial Unicode MS" w:eastAsia="Arial Unicode MS" w:hAnsi="Arial Unicode MS"/>
          <w:sz w:val="9"/>
          <w:szCs w:val="9"/>
          <w:color w:val="auto"/>
        </w:rPr>
        <w:t>Reporting Standards (ESRS), including that the</w:t>
      </w:r>
    </w:p>
    <w:p>
      <w:pPr>
        <w:spacing w:after="0" w:line="96" w:lineRule="exact"/>
        <w:rPr>
          <w:sz w:val="20"/>
          <w:szCs w:val="20"/>
          <w:color w:val="auto"/>
        </w:rPr>
      </w:pPr>
      <w:r>
        <w:rPr>
          <w:rFonts w:ascii="Arial Unicode MS" w:cs="Arial Unicode MS" w:eastAsia="Arial Unicode MS" w:hAnsi="Arial Unicode MS"/>
          <w:sz w:val="9"/>
          <w:szCs w:val="9"/>
          <w:color w:val="auto"/>
        </w:rPr>
        <w:t>process carried out by the Management to</w:t>
      </w:r>
    </w:p>
    <w:p>
      <w:pPr>
        <w:spacing w:after="0" w:line="95" w:lineRule="exact"/>
        <w:rPr>
          <w:sz w:val="20"/>
          <w:szCs w:val="20"/>
          <w:color w:val="auto"/>
        </w:rPr>
      </w:pPr>
      <w:r>
        <w:rPr>
          <w:rFonts w:ascii="Arial Unicode MS" w:cs="Arial Unicode MS" w:eastAsia="Arial Unicode MS" w:hAnsi="Arial Unicode MS"/>
          <w:sz w:val="9"/>
          <w:szCs w:val="9"/>
          <w:color w:val="auto"/>
        </w:rPr>
        <w:t>identify the information reported in the</w:t>
      </w:r>
    </w:p>
    <w:p>
      <w:pPr>
        <w:spacing w:after="0" w:line="96" w:lineRule="exact"/>
        <w:rPr>
          <w:sz w:val="20"/>
          <w:szCs w:val="20"/>
          <w:color w:val="auto"/>
        </w:rPr>
      </w:pPr>
      <w:r>
        <w:rPr>
          <w:rFonts w:ascii="Arial Unicode MS" w:cs="Arial Unicode MS" w:eastAsia="Arial Unicode MS" w:hAnsi="Arial Unicode MS"/>
          <w:sz w:val="9"/>
          <w:szCs w:val="9"/>
          <w:color w:val="auto"/>
        </w:rPr>
        <w:t>Sustainability Statements (the “Process”) is in</w:t>
      </w:r>
    </w:p>
    <w:p>
      <w:pPr>
        <w:spacing w:after="0" w:line="95" w:lineRule="exact"/>
        <w:rPr>
          <w:sz w:val="20"/>
          <w:szCs w:val="20"/>
          <w:color w:val="auto"/>
        </w:rPr>
      </w:pPr>
      <w:r>
        <w:rPr>
          <w:rFonts w:ascii="Arial Unicode MS" w:cs="Arial Unicode MS" w:eastAsia="Arial Unicode MS" w:hAnsi="Arial Unicode MS"/>
          <w:sz w:val="9"/>
          <w:szCs w:val="9"/>
          <w:color w:val="auto"/>
        </w:rPr>
        <w:t>accordance with the description set out in 1.4</w:t>
      </w:r>
    </w:p>
    <w:p>
      <w:pPr>
        <w:spacing w:after="0" w:line="96" w:lineRule="exact"/>
        <w:rPr>
          <w:sz w:val="20"/>
          <w:szCs w:val="20"/>
          <w:color w:val="auto"/>
        </w:rPr>
      </w:pPr>
      <w:r>
        <w:rPr>
          <w:rFonts w:ascii="Arial Unicode MS" w:cs="Arial Unicode MS" w:eastAsia="Arial Unicode MS" w:hAnsi="Arial Unicode MS"/>
          <w:sz w:val="9"/>
          <w:szCs w:val="9"/>
          <w:color w:val="auto"/>
        </w:rPr>
        <w:t>Impact, risk, and opportunity management; and</w:t>
      </w:r>
    </w:p>
    <w:p>
      <w:pPr>
        <w:spacing w:after="0" w:line="95" w:lineRule="exact"/>
        <w:rPr>
          <w:sz w:val="20"/>
          <w:szCs w:val="20"/>
          <w:color w:val="auto"/>
        </w:rPr>
      </w:pPr>
      <w:r>
        <w:rPr>
          <w:rFonts w:ascii="Arial Unicode MS" w:cs="Arial Unicode MS" w:eastAsia="Arial Unicode MS" w:hAnsi="Arial Unicode MS"/>
          <w:sz w:val="9"/>
          <w:szCs w:val="9"/>
          <w:color w:val="auto"/>
        </w:rPr>
        <w:t>•compliance of the disclosures in section 2.3 EU</w:t>
      </w:r>
    </w:p>
    <w:p>
      <w:pPr>
        <w:spacing w:after="0" w:line="95" w:lineRule="exact"/>
        <w:rPr>
          <w:sz w:val="20"/>
          <w:szCs w:val="20"/>
          <w:color w:val="auto"/>
        </w:rPr>
      </w:pPr>
      <w:r>
        <w:rPr>
          <w:rFonts w:ascii="Arial Unicode MS" w:cs="Arial Unicode MS" w:eastAsia="Arial Unicode MS" w:hAnsi="Arial Unicode MS"/>
          <w:sz w:val="9"/>
          <w:szCs w:val="9"/>
          <w:color w:val="auto"/>
        </w:rPr>
        <w:t>Taxonomy within the environmental section of</w:t>
      </w:r>
    </w:p>
    <w:p>
      <w:pPr>
        <w:spacing w:after="0" w:line="96" w:lineRule="exact"/>
        <w:rPr>
          <w:sz w:val="20"/>
          <w:szCs w:val="20"/>
          <w:color w:val="auto"/>
        </w:rPr>
      </w:pPr>
      <w:r>
        <w:rPr>
          <w:rFonts w:ascii="Arial Unicode MS" w:cs="Arial Unicode MS" w:eastAsia="Arial Unicode MS" w:hAnsi="Arial Unicode MS"/>
          <w:sz w:val="9"/>
          <w:szCs w:val="9"/>
          <w:color w:val="auto"/>
        </w:rPr>
        <w:t>the Sustainability Statements with Article 8 of EU</w:t>
      </w:r>
    </w:p>
    <w:p>
      <w:pPr>
        <w:spacing w:after="0" w:line="95" w:lineRule="exact"/>
        <w:rPr>
          <w:sz w:val="20"/>
          <w:szCs w:val="20"/>
          <w:color w:val="auto"/>
        </w:rPr>
      </w:pPr>
      <w:r>
        <w:rPr>
          <w:rFonts w:ascii="Arial Unicode MS" w:cs="Arial Unicode MS" w:eastAsia="Arial Unicode MS" w:hAnsi="Arial Unicode MS"/>
          <w:sz w:val="9"/>
          <w:szCs w:val="9"/>
          <w:color w:val="auto"/>
        </w:rPr>
        <w:t>Regulation 2020/852 (the “Taxonomy</w:t>
      </w:r>
    </w:p>
    <w:p>
      <w:pPr>
        <w:spacing w:after="0" w:line="98" w:lineRule="exact"/>
        <w:rPr>
          <w:sz w:val="20"/>
          <w:szCs w:val="20"/>
          <w:color w:val="auto"/>
        </w:rPr>
      </w:pPr>
      <w:r>
        <w:rPr>
          <w:rFonts w:ascii="Arial Unicode MS" w:cs="Arial Unicode MS" w:eastAsia="Arial Unicode MS" w:hAnsi="Arial Unicode MS"/>
          <w:sz w:val="9"/>
          <w:szCs w:val="9"/>
          <w:color w:val="auto"/>
        </w:rPr>
        <w:t>Regulation”).</w:t>
      </w:r>
    </w:p>
    <w:p>
      <w:pPr>
        <w:spacing w:after="0" w:line="210" w:lineRule="auto"/>
        <w:rPr>
          <w:sz w:val="20"/>
          <w:szCs w:val="20"/>
          <w:color w:val="auto"/>
        </w:rPr>
      </w:pPr>
      <w:r>
        <w:rPr>
          <w:rFonts w:ascii="Arial" w:cs="Arial" w:eastAsia="Arial" w:hAnsi="Arial"/>
          <w:sz w:val="13"/>
          <w:szCs w:val="13"/>
          <w:b w:val="1"/>
          <w:bCs w:val="1"/>
          <w:color w:val="691A6B"/>
        </w:rPr>
        <w:t>Basis for conclusion</w:t>
      </w:r>
    </w:p>
    <w:p>
      <w:pPr>
        <w:spacing w:after="0" w:line="95" w:lineRule="exact"/>
        <w:rPr>
          <w:sz w:val="20"/>
          <w:szCs w:val="20"/>
          <w:color w:val="auto"/>
        </w:rPr>
      </w:pPr>
      <w:r>
        <w:rPr>
          <w:rFonts w:ascii="Arial Unicode MS" w:cs="Arial Unicode MS" w:eastAsia="Arial Unicode MS" w:hAnsi="Arial Unicode MS"/>
          <w:sz w:val="9"/>
          <w:szCs w:val="9"/>
          <w:color w:val="auto"/>
        </w:rPr>
        <w:t>We conducted our limited assurance engagement</w:t>
      </w:r>
    </w:p>
    <w:p>
      <w:pPr>
        <w:spacing w:after="0" w:line="95" w:lineRule="exact"/>
        <w:rPr>
          <w:sz w:val="20"/>
          <w:szCs w:val="20"/>
          <w:color w:val="auto"/>
        </w:rPr>
      </w:pPr>
      <w:r>
        <w:rPr>
          <w:rFonts w:ascii="Arial Unicode MS" w:cs="Arial Unicode MS" w:eastAsia="Arial Unicode MS" w:hAnsi="Arial Unicode MS"/>
          <w:sz w:val="9"/>
          <w:szCs w:val="9"/>
          <w:color w:val="auto"/>
        </w:rPr>
        <w:t>in accordance with ISAE 3000 (Revised),</w:t>
      </w:r>
    </w:p>
    <w:p>
      <w:pPr>
        <w:spacing w:after="0" w:line="96" w:lineRule="exact"/>
        <w:rPr>
          <w:sz w:val="20"/>
          <w:szCs w:val="20"/>
          <w:color w:val="auto"/>
        </w:rPr>
      </w:pPr>
      <w:r>
        <w:rPr>
          <w:rFonts w:ascii="Arial Unicode MS" w:cs="Arial Unicode MS" w:eastAsia="Arial Unicode MS" w:hAnsi="Arial Unicode MS"/>
          <w:sz w:val="9"/>
          <w:szCs w:val="9"/>
          <w:color w:val="auto"/>
        </w:rPr>
        <w:t>Assurance engagements other than audits or</w:t>
      </w:r>
    </w:p>
    <w:p>
      <w:pPr>
        <w:spacing w:after="0" w:line="95" w:lineRule="exact"/>
        <w:rPr>
          <w:sz w:val="20"/>
          <w:szCs w:val="20"/>
          <w:color w:val="auto"/>
        </w:rPr>
      </w:pPr>
      <w:r>
        <w:rPr>
          <w:rFonts w:ascii="Arial Unicode MS" w:cs="Arial Unicode MS" w:eastAsia="Arial Unicode MS" w:hAnsi="Arial Unicode MS"/>
          <w:sz w:val="9"/>
          <w:szCs w:val="9"/>
          <w:color w:val="auto"/>
        </w:rPr>
        <w:t>reviews of historical financial information, and</w:t>
      </w:r>
    </w:p>
    <w:p>
      <w:pPr>
        <w:spacing w:after="0" w:line="96" w:lineRule="exact"/>
        <w:rPr>
          <w:sz w:val="20"/>
          <w:szCs w:val="20"/>
          <w:color w:val="auto"/>
        </w:rPr>
      </w:pPr>
      <w:r>
        <w:rPr>
          <w:rFonts w:ascii="Arial Unicode MS" w:cs="Arial Unicode MS" w:eastAsia="Arial Unicode MS" w:hAnsi="Arial Unicode MS"/>
          <w:sz w:val="9"/>
          <w:szCs w:val="9"/>
          <w:color w:val="auto"/>
        </w:rPr>
        <w:t>additional requirements applicable in Denmark.</w:t>
      </w:r>
    </w:p>
    <w:p>
      <w:pPr>
        <w:spacing w:after="0" w:line="95" w:lineRule="exact"/>
        <w:rPr>
          <w:sz w:val="20"/>
          <w:szCs w:val="20"/>
          <w:color w:val="auto"/>
        </w:rPr>
      </w:pPr>
      <w:r>
        <w:rPr>
          <w:rFonts w:ascii="Arial Unicode MS" w:cs="Arial Unicode MS" w:eastAsia="Arial Unicode MS" w:hAnsi="Arial Unicode MS"/>
          <w:sz w:val="9"/>
          <w:szCs w:val="9"/>
          <w:color w:val="auto"/>
        </w:rPr>
        <w:t>The procedures in a limited assurance engagement</w:t>
      </w:r>
    </w:p>
    <w:p>
      <w:pPr>
        <w:spacing w:after="0" w:line="96" w:lineRule="exact"/>
        <w:rPr>
          <w:sz w:val="20"/>
          <w:szCs w:val="20"/>
          <w:color w:val="auto"/>
        </w:rPr>
      </w:pPr>
      <w:r>
        <w:rPr>
          <w:rFonts w:ascii="Arial Unicode MS" w:cs="Arial Unicode MS" w:eastAsia="Arial Unicode MS" w:hAnsi="Arial Unicode MS"/>
          <w:sz w:val="9"/>
          <w:szCs w:val="9"/>
          <w:color w:val="auto"/>
        </w:rPr>
        <w:t>vary in nature and timing from, and are less in</w:t>
      </w:r>
    </w:p>
    <w:p>
      <w:pPr>
        <w:spacing w:after="0" w:line="95" w:lineRule="exact"/>
        <w:rPr>
          <w:sz w:val="20"/>
          <w:szCs w:val="20"/>
          <w:color w:val="auto"/>
        </w:rPr>
      </w:pPr>
      <w:r>
        <w:rPr>
          <w:rFonts w:ascii="Arial Unicode MS" w:cs="Arial Unicode MS" w:eastAsia="Arial Unicode MS" w:hAnsi="Arial Unicode MS"/>
          <w:sz w:val="9"/>
          <w:szCs w:val="9"/>
          <w:color w:val="auto"/>
        </w:rPr>
        <w:t>extent than for, a reasonable assurance</w:t>
      </w:r>
    </w:p>
    <w:p>
      <w:pPr>
        <w:spacing w:after="0" w:line="95" w:lineRule="exact"/>
        <w:rPr>
          <w:sz w:val="20"/>
          <w:szCs w:val="20"/>
          <w:color w:val="auto"/>
        </w:rPr>
      </w:pPr>
      <w:r>
        <w:rPr>
          <w:rFonts w:ascii="Arial Unicode MS" w:cs="Arial Unicode MS" w:eastAsia="Arial Unicode MS" w:hAnsi="Arial Unicode MS"/>
          <w:sz w:val="9"/>
          <w:szCs w:val="9"/>
          <w:color w:val="auto"/>
        </w:rPr>
        <w:t>engagement. Consequently, the level of assurance</w:t>
      </w:r>
    </w:p>
    <w:p>
      <w:pPr>
        <w:spacing w:after="0" w:line="96" w:lineRule="exact"/>
        <w:rPr>
          <w:sz w:val="20"/>
          <w:szCs w:val="20"/>
          <w:color w:val="auto"/>
        </w:rPr>
      </w:pPr>
      <w:r>
        <w:rPr>
          <w:rFonts w:ascii="Arial Unicode MS" w:cs="Arial Unicode MS" w:eastAsia="Arial Unicode MS" w:hAnsi="Arial Unicode MS"/>
          <w:sz w:val="9"/>
          <w:szCs w:val="9"/>
          <w:color w:val="auto"/>
        </w:rPr>
        <w:t>obtained in a limited assurance engagement is</w:t>
      </w:r>
    </w:p>
    <w:p>
      <w:pPr>
        <w:spacing w:after="0" w:line="95" w:lineRule="exact"/>
        <w:rPr>
          <w:sz w:val="20"/>
          <w:szCs w:val="20"/>
          <w:color w:val="auto"/>
        </w:rPr>
      </w:pPr>
      <w:r>
        <w:rPr>
          <w:rFonts w:ascii="Arial Unicode MS" w:cs="Arial Unicode MS" w:eastAsia="Arial Unicode MS" w:hAnsi="Arial Unicode MS"/>
          <w:sz w:val="9"/>
          <w:szCs w:val="9"/>
          <w:color w:val="auto"/>
        </w:rPr>
        <w:t>substantially lower than the assurance that would</w:t>
      </w:r>
    </w:p>
    <w:p>
      <w:pPr>
        <w:spacing w:after="0" w:line="96" w:lineRule="exact"/>
        <w:rPr>
          <w:sz w:val="20"/>
          <w:szCs w:val="20"/>
          <w:color w:val="auto"/>
        </w:rPr>
      </w:pPr>
      <w:r>
        <w:rPr>
          <w:rFonts w:ascii="Arial Unicode MS" w:cs="Arial Unicode MS" w:eastAsia="Arial Unicode MS" w:hAnsi="Arial Unicode MS"/>
          <w:sz w:val="9"/>
          <w:szCs w:val="9"/>
          <w:color w:val="auto"/>
        </w:rPr>
        <w:t>have been obtained had a reasonable assurance</w:t>
      </w:r>
    </w:p>
    <w:p>
      <w:pPr>
        <w:spacing w:after="0" w:line="95" w:lineRule="exact"/>
        <w:rPr>
          <w:sz w:val="20"/>
          <w:szCs w:val="20"/>
          <w:color w:val="auto"/>
        </w:rPr>
      </w:pPr>
      <w:r>
        <w:rPr>
          <w:rFonts w:ascii="Arial Unicode MS" w:cs="Arial Unicode MS" w:eastAsia="Arial Unicode MS" w:hAnsi="Arial Unicode MS"/>
          <w:sz w:val="9"/>
          <w:szCs w:val="9"/>
          <w:color w:val="auto"/>
        </w:rPr>
        <w:t>engagement been performed.</w:t>
      </w:r>
    </w:p>
    <w:p>
      <w:pPr>
        <w:spacing w:after="0" w:line="96" w:lineRule="exact"/>
        <w:rPr>
          <w:sz w:val="20"/>
          <w:szCs w:val="20"/>
          <w:color w:val="auto"/>
        </w:rPr>
      </w:pPr>
      <w:r>
        <w:rPr>
          <w:rFonts w:ascii="Arial Unicode MS" w:cs="Arial Unicode MS" w:eastAsia="Arial Unicode MS" w:hAnsi="Arial Unicode MS"/>
          <w:sz w:val="9"/>
          <w:szCs w:val="9"/>
          <w:color w:val="auto"/>
        </w:rPr>
        <w:t>We believe that the evidence we have obtained is</w:t>
      </w:r>
    </w:p>
    <w:p>
      <w:pPr>
        <w:spacing w:after="0" w:line="95" w:lineRule="exact"/>
        <w:rPr>
          <w:sz w:val="20"/>
          <w:szCs w:val="20"/>
          <w:color w:val="auto"/>
        </w:rPr>
      </w:pPr>
      <w:r>
        <w:rPr>
          <w:rFonts w:ascii="Arial Unicode MS" w:cs="Arial Unicode MS" w:eastAsia="Arial Unicode MS" w:hAnsi="Arial Unicode MS"/>
          <w:sz w:val="9"/>
          <w:szCs w:val="9"/>
          <w:color w:val="auto"/>
        </w:rPr>
        <w:t>sufficient and appropriate to provide a basis for our</w:t>
      </w:r>
    </w:p>
    <w:p>
      <w:pPr>
        <w:spacing w:after="0" w:line="95" w:lineRule="exact"/>
        <w:rPr>
          <w:sz w:val="20"/>
          <w:szCs w:val="20"/>
          <w:color w:val="auto"/>
        </w:rPr>
      </w:pPr>
      <w:r>
        <w:rPr>
          <w:rFonts w:ascii="Arial Unicode MS" w:cs="Arial Unicode MS" w:eastAsia="Arial Unicode MS" w:hAnsi="Arial Unicode MS"/>
          <w:sz w:val="9"/>
          <w:szCs w:val="9"/>
          <w:color w:val="auto"/>
        </w:rPr>
        <w:t>conclusion. Our responsibilities under this standard</w:t>
      </w:r>
    </w:p>
    <w:p>
      <w:pPr>
        <w:spacing w:after="0" w:line="96" w:lineRule="exact"/>
        <w:rPr>
          <w:sz w:val="20"/>
          <w:szCs w:val="20"/>
          <w:color w:val="auto"/>
        </w:rPr>
      </w:pPr>
      <w:r>
        <w:rPr>
          <w:rFonts w:ascii="Arial Unicode MS" w:cs="Arial Unicode MS" w:eastAsia="Arial Unicode MS" w:hAnsi="Arial Unicode MS"/>
          <w:sz w:val="9"/>
          <w:szCs w:val="9"/>
          <w:color w:val="auto"/>
        </w:rPr>
        <w:t>are further described in the “Auditor’s</w:t>
      </w:r>
    </w:p>
    <w:p>
      <w:pPr>
        <w:spacing w:after="0" w:line="95" w:lineRule="exact"/>
        <w:rPr>
          <w:sz w:val="20"/>
          <w:szCs w:val="20"/>
          <w:color w:val="auto"/>
        </w:rPr>
      </w:pPr>
      <w:r>
        <w:rPr>
          <w:rFonts w:ascii="Arial Unicode MS" w:cs="Arial Unicode MS" w:eastAsia="Arial Unicode MS" w:hAnsi="Arial Unicode MS"/>
          <w:sz w:val="9"/>
          <w:szCs w:val="9"/>
          <w:color w:val="auto"/>
        </w:rPr>
        <w:t>responsibilities for the assurance engagement”</w:t>
      </w:r>
    </w:p>
    <w:p>
      <w:pPr>
        <w:spacing w:after="0" w:line="98" w:lineRule="exact"/>
        <w:rPr>
          <w:sz w:val="20"/>
          <w:szCs w:val="20"/>
          <w:color w:val="auto"/>
        </w:rPr>
      </w:pPr>
      <w:r>
        <w:rPr>
          <w:rFonts w:ascii="Arial Unicode MS" w:cs="Arial Unicode MS" w:eastAsia="Arial Unicode MS" w:hAnsi="Arial Unicode MS"/>
          <w:sz w:val="9"/>
          <w:szCs w:val="9"/>
          <w:color w:val="auto"/>
        </w:rPr>
        <w:t>section of our report.</w:t>
      </w:r>
    </w:p>
    <w:p>
      <w:pPr>
        <w:spacing w:after="0" w:line="214" w:lineRule="auto"/>
        <w:rPr>
          <w:sz w:val="20"/>
          <w:szCs w:val="20"/>
          <w:color w:val="auto"/>
        </w:rPr>
      </w:pPr>
      <w:r>
        <w:rPr>
          <w:rFonts w:ascii="Arial" w:cs="Arial" w:eastAsia="Arial" w:hAnsi="Arial"/>
          <w:sz w:val="13"/>
          <w:szCs w:val="13"/>
          <w:b w:val="1"/>
          <w:bCs w:val="1"/>
          <w:color w:val="691A6B"/>
        </w:rPr>
        <w:t>Our independence and quality</w:t>
      </w:r>
    </w:p>
    <w:p>
      <w:pPr>
        <w:spacing w:after="0" w:line="209" w:lineRule="auto"/>
        <w:rPr>
          <w:sz w:val="20"/>
          <w:szCs w:val="20"/>
          <w:color w:val="auto"/>
        </w:rPr>
      </w:pPr>
      <w:r>
        <w:rPr>
          <w:rFonts w:ascii="Arial" w:cs="Arial" w:eastAsia="Arial" w:hAnsi="Arial"/>
          <w:sz w:val="13"/>
          <w:szCs w:val="13"/>
          <w:b w:val="1"/>
          <w:bCs w:val="1"/>
          <w:color w:val="691A6B"/>
        </w:rPr>
        <w:t>management</w:t>
      </w:r>
    </w:p>
    <w:p>
      <w:pPr>
        <w:spacing w:after="0" w:line="96" w:lineRule="exact"/>
        <w:rPr>
          <w:sz w:val="20"/>
          <w:szCs w:val="20"/>
          <w:color w:val="auto"/>
        </w:rPr>
      </w:pPr>
      <w:r>
        <w:rPr>
          <w:rFonts w:ascii="Arial Unicode MS" w:cs="Arial Unicode MS" w:eastAsia="Arial Unicode MS" w:hAnsi="Arial Unicode MS"/>
          <w:sz w:val="9"/>
          <w:szCs w:val="9"/>
          <w:color w:val="auto"/>
        </w:rPr>
        <w:t>We are independent of the Group in accordance</w:t>
      </w:r>
    </w:p>
    <w:p>
      <w:pPr>
        <w:spacing w:after="0" w:line="96" w:lineRule="exact"/>
        <w:rPr>
          <w:sz w:val="20"/>
          <w:szCs w:val="20"/>
          <w:color w:val="auto"/>
        </w:rPr>
      </w:pPr>
      <w:r>
        <w:rPr>
          <w:rFonts w:ascii="Arial Unicode MS" w:cs="Arial Unicode MS" w:eastAsia="Arial Unicode MS" w:hAnsi="Arial Unicode MS"/>
          <w:sz w:val="9"/>
          <w:szCs w:val="9"/>
          <w:color w:val="auto"/>
        </w:rPr>
        <w:t>with the International Ethics Standards Board for</w:t>
      </w:r>
    </w:p>
    <w:p>
      <w:pPr>
        <w:spacing w:after="0" w:line="95" w:lineRule="exact"/>
        <w:rPr>
          <w:sz w:val="20"/>
          <w:szCs w:val="20"/>
          <w:color w:val="auto"/>
        </w:rPr>
      </w:pPr>
      <w:r>
        <w:rPr>
          <w:rFonts w:ascii="Arial Unicode MS" w:cs="Arial Unicode MS" w:eastAsia="Arial Unicode MS" w:hAnsi="Arial Unicode MS"/>
          <w:sz w:val="9"/>
          <w:szCs w:val="9"/>
          <w:color w:val="auto"/>
        </w:rPr>
        <w:t>Accountants’ International Code of Ethics for</w:t>
      </w:r>
    </w:p>
    <w:p>
      <w:pPr>
        <w:spacing w:after="0" w:line="95" w:lineRule="exact"/>
        <w:rPr>
          <w:sz w:val="20"/>
          <w:szCs w:val="20"/>
          <w:color w:val="auto"/>
        </w:rPr>
      </w:pPr>
      <w:r>
        <w:rPr>
          <w:rFonts w:ascii="Arial Unicode MS" w:cs="Arial Unicode MS" w:eastAsia="Arial Unicode MS" w:hAnsi="Arial Unicode MS"/>
          <w:sz w:val="9"/>
          <w:szCs w:val="9"/>
          <w:color w:val="auto"/>
        </w:rPr>
        <w:t>Professional Accountants (IESBA Code) and the</w:t>
      </w:r>
    </w:p>
    <w:p>
      <w:pPr>
        <w:spacing w:after="0" w:line="96" w:lineRule="exact"/>
        <w:rPr>
          <w:sz w:val="20"/>
          <w:szCs w:val="20"/>
          <w:color w:val="auto"/>
        </w:rPr>
      </w:pPr>
      <w:r>
        <w:rPr>
          <w:rFonts w:ascii="Arial Unicode MS" w:cs="Arial Unicode MS" w:eastAsia="Arial Unicode MS" w:hAnsi="Arial Unicode MS"/>
          <w:sz w:val="9"/>
          <w:szCs w:val="9"/>
          <w:color w:val="auto"/>
        </w:rPr>
        <w:t>additional ethical requirements applicable in</w:t>
      </w:r>
    </w:p>
    <w:p>
      <w:pPr>
        <w:spacing w:after="0" w:line="95" w:lineRule="exact"/>
        <w:rPr>
          <w:sz w:val="20"/>
          <w:szCs w:val="20"/>
          <w:color w:val="auto"/>
        </w:rPr>
      </w:pPr>
      <w:r>
        <w:rPr>
          <w:rFonts w:ascii="Arial Unicode MS" w:cs="Arial Unicode MS" w:eastAsia="Arial Unicode MS" w:hAnsi="Arial Unicode MS"/>
          <w:sz w:val="9"/>
          <w:szCs w:val="9"/>
          <w:color w:val="auto"/>
        </w:rPr>
        <w:t>Denmark. We have also fulfilled our other ethical</w:t>
      </w:r>
    </w:p>
    <w:p>
      <w:pPr>
        <w:spacing w:after="0" w:line="96" w:lineRule="exact"/>
        <w:rPr>
          <w:sz w:val="20"/>
          <w:szCs w:val="20"/>
          <w:color w:val="auto"/>
        </w:rPr>
      </w:pPr>
      <w:r>
        <w:rPr>
          <w:rFonts w:ascii="Arial Unicode MS" w:cs="Arial Unicode MS" w:eastAsia="Arial Unicode MS" w:hAnsi="Arial Unicode MS"/>
          <w:sz w:val="9"/>
          <w:szCs w:val="9"/>
          <w:color w:val="auto"/>
        </w:rPr>
        <w:t>responsibilities in accordance with these</w:t>
      </w:r>
    </w:p>
    <w:p>
      <w:pPr>
        <w:spacing w:after="0" w:line="95" w:lineRule="exact"/>
        <w:rPr>
          <w:sz w:val="20"/>
          <w:szCs w:val="20"/>
          <w:color w:val="auto"/>
        </w:rPr>
      </w:pPr>
      <w:r>
        <w:rPr>
          <w:rFonts w:ascii="Arial Unicode MS" w:cs="Arial Unicode MS" w:eastAsia="Arial Unicode MS" w:hAnsi="Arial Unicode MS"/>
          <w:sz w:val="9"/>
          <w:szCs w:val="9"/>
          <w:color w:val="auto"/>
        </w:rPr>
        <w:t>requirements and the IESBA Code.</w:t>
      </w:r>
    </w:p>
    <w:p>
      <w:pPr>
        <w:spacing w:after="0" w:line="96" w:lineRule="exact"/>
        <w:rPr>
          <w:sz w:val="20"/>
          <w:szCs w:val="20"/>
          <w:color w:val="auto"/>
        </w:rPr>
      </w:pPr>
      <w:r>
        <w:rPr>
          <w:rFonts w:ascii="Arial Unicode MS" w:cs="Arial Unicode MS" w:eastAsia="Arial Unicode MS" w:hAnsi="Arial Unicode MS"/>
          <w:sz w:val="9"/>
          <w:szCs w:val="9"/>
          <w:color w:val="auto"/>
        </w:rPr>
        <w:t>Deloitte Statsautoriseret Revisionspartnerselskab</w:t>
      </w:r>
    </w:p>
    <w:p>
      <w:pPr>
        <w:spacing w:after="0" w:line="95" w:lineRule="exact"/>
        <w:rPr>
          <w:sz w:val="20"/>
          <w:szCs w:val="20"/>
          <w:color w:val="auto"/>
        </w:rPr>
      </w:pPr>
      <w:r>
        <w:rPr>
          <w:rFonts w:ascii="Arial Unicode MS" w:cs="Arial Unicode MS" w:eastAsia="Arial Unicode MS" w:hAnsi="Arial Unicode MS"/>
          <w:sz w:val="9"/>
          <w:szCs w:val="9"/>
          <w:color w:val="auto"/>
        </w:rPr>
        <w:t>applies International Standard on Quality</w:t>
      </w:r>
    </w:p>
    <w:p>
      <w:pPr>
        <w:spacing w:after="0" w:line="95" w:lineRule="exact"/>
        <w:rPr>
          <w:sz w:val="20"/>
          <w:szCs w:val="20"/>
          <w:color w:val="auto"/>
        </w:rPr>
      </w:pPr>
      <w:r>
        <w:rPr>
          <w:rFonts w:ascii="Arial Unicode MS" w:cs="Arial Unicode MS" w:eastAsia="Arial Unicode MS" w:hAnsi="Arial Unicode MS"/>
          <w:sz w:val="9"/>
          <w:szCs w:val="9"/>
          <w:color w:val="auto"/>
        </w:rPr>
        <w:t>Management 1, ISQM1, which requires the firm to</w:t>
      </w:r>
    </w:p>
    <w:p>
      <w:pPr>
        <w:spacing w:after="0" w:line="96" w:lineRule="exact"/>
        <w:rPr>
          <w:sz w:val="20"/>
          <w:szCs w:val="20"/>
          <w:color w:val="auto"/>
        </w:rPr>
      </w:pPr>
      <w:r>
        <w:rPr>
          <w:rFonts w:ascii="Arial Unicode MS" w:cs="Arial Unicode MS" w:eastAsia="Arial Unicode MS" w:hAnsi="Arial Unicode MS"/>
          <w:sz w:val="9"/>
          <w:szCs w:val="9"/>
          <w:color w:val="auto"/>
        </w:rPr>
        <w:t>design, implement and operate a system of quality</w:t>
      </w:r>
    </w:p>
    <w:p>
      <w:pPr>
        <w:spacing w:after="0" w:line="95" w:lineRule="exact"/>
        <w:rPr>
          <w:sz w:val="20"/>
          <w:szCs w:val="20"/>
          <w:color w:val="auto"/>
        </w:rPr>
      </w:pPr>
      <w:r>
        <w:rPr>
          <w:rFonts w:ascii="Arial Unicode MS" w:cs="Arial Unicode MS" w:eastAsia="Arial Unicode MS" w:hAnsi="Arial Unicode MS"/>
          <w:sz w:val="9"/>
          <w:szCs w:val="9"/>
          <w:color w:val="auto"/>
        </w:rPr>
        <w:t>management including policies or procedures</w:t>
      </w:r>
    </w:p>
    <w:p>
      <w:pPr>
        <w:spacing w:after="0" w:line="96" w:lineRule="exact"/>
        <w:rPr>
          <w:sz w:val="20"/>
          <w:szCs w:val="20"/>
          <w:color w:val="auto"/>
        </w:rPr>
      </w:pPr>
      <w:r>
        <w:rPr>
          <w:rFonts w:ascii="Arial Unicode MS" w:cs="Arial Unicode MS" w:eastAsia="Arial Unicode MS" w:hAnsi="Arial Unicode MS"/>
          <w:sz w:val="9"/>
          <w:szCs w:val="9"/>
          <w:color w:val="auto"/>
        </w:rPr>
        <w:t>regarding compliance with ethical requirements,</w:t>
      </w:r>
    </w:p>
    <w:p>
      <w:pPr>
        <w:spacing w:after="0"/>
        <w:rPr>
          <w:sz w:val="20"/>
          <w:szCs w:val="20"/>
          <w:color w:val="auto"/>
        </w:rPr>
      </w:pPr>
      <w:r>
        <w:rPr>
          <w:rFonts w:ascii="Arial" w:cs="Arial" w:eastAsia="Arial" w:hAnsi="Arial"/>
          <w:sz w:val="10"/>
          <w:szCs w:val="10"/>
          <w:color w:val="auto"/>
        </w:rPr>
        <w:t>professional standards and applicable legal and</w:t>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177</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28" w:lineRule="exact"/>
        <w:rPr>
          <w:rFonts w:ascii="Arial" w:cs="Arial" w:eastAsia="Arial" w:hAnsi="Arial"/>
          <w:sz w:val="10"/>
          <w:szCs w:val="10"/>
          <w:color w:val="auto"/>
        </w:rPr>
      </w:pP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178</w:t>
      </w:r>
    </w:p>
    <w:p>
      <w:pPr>
        <w:sectPr>
          <w:pgSz w:w="11900" w:h="16840" w:orient="portrait"/>
          <w:cols w:equalWidth="0" w:num="2">
            <w:col w:w="7400" w:space="720"/>
            <w:col w:w="1700"/>
          </w:cols>
          <w:pgMar w:left="640" w:top="571" w:right="1440" w:bottom="476" w:gutter="0" w:footer="0" w:header="0"/>
        </w:sectPr>
      </w:pPr>
    </w:p>
    <w:bookmarkStart w:id="170" w:name="page171"/>
    <w:bookmarkEnd w:id="170"/>
    <w:p>
      <w:pPr>
        <w:jc w:val="right"/>
        <w:ind w:right="3520"/>
        <w:spacing w:after="0"/>
        <w:tabs>
          <w:tab w:leader="none" w:pos="5600" w:val="left"/>
          <w:tab w:leader="none" w:pos="4240" w:val="left"/>
        </w:tabs>
        <w:rPr>
          <w:rFonts w:ascii="Arial" w:cs="Arial" w:eastAsia="Arial" w:hAnsi="Arial"/>
          <w:sz w:val="8"/>
          <w:szCs w:val="8"/>
          <w:b w:val="1"/>
          <w:bCs w:val="1"/>
          <w:color w:val="auto"/>
        </w:rPr>
      </w:pPr>
      <w:hyperlink w:anchor="page83">
        <w:r>
          <w:rPr>
            <w:rFonts w:ascii="Arial" w:cs="Arial" w:eastAsia="Arial" w:hAnsi="Arial"/>
            <w:sz w:val="10"/>
            <w:szCs w:val="10"/>
            <w:color w:val="auto"/>
          </w:rPr>
          <w:t>Management’s Review</w:t>
        </w:r>
      </w:hyperlink>
      <w:r>
        <w:rPr>
          <w:rFonts w:ascii="Arial" w:cs="Arial" w:eastAsia="Arial" w:hAnsi="Arial"/>
          <w:sz w:val="10"/>
          <w:szCs w:val="10"/>
          <w:color w:val="auto"/>
        </w:rPr>
        <w:tab/>
      </w:r>
      <w:hyperlink w:anchor="page134">
        <w:r>
          <w:rPr>
            <w:rFonts w:ascii="Arial" w:cs="Arial" w:eastAsia="Arial" w:hAnsi="Arial"/>
            <w:sz w:val="10"/>
            <w:szCs w:val="10"/>
            <w:b w:val="1"/>
            <w:bCs w:val="1"/>
            <w:color w:val="auto"/>
          </w:rPr>
          <w:t>Financial Statements</w:t>
        </w:r>
      </w:hyperlink>
      <w:r>
        <w:rPr>
          <w:rFonts w:ascii="Arial" w:cs="Arial" w:eastAsia="Arial" w:hAnsi="Arial"/>
          <w:sz w:val="10"/>
          <w:szCs w:val="10"/>
          <w:b w:val="1"/>
          <w:bCs w:val="1"/>
          <w:color w:val="auto"/>
        </w:rPr>
        <w:tab/>
      </w:r>
      <w:hyperlink w:anchor="page171">
        <w:r>
          <w:rPr>
            <w:rFonts w:ascii="Arial" w:cs="Arial" w:eastAsia="Arial" w:hAnsi="Arial"/>
            <w:sz w:val="8"/>
            <w:szCs w:val="8"/>
            <w:b w:val="1"/>
            <w:bCs w:val="1"/>
            <w:color w:val="auto"/>
          </w:rPr>
          <w:t>Other Information</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1122045</wp:posOffset>
            </wp:positionH>
            <wp:positionV relativeFrom="paragraph">
              <wp:posOffset>107315</wp:posOffset>
            </wp:positionV>
            <wp:extent cx="86423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864235"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-67310</wp:posOffset>
            </wp:positionV>
            <wp:extent cx="90805" cy="965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90805" cy="96520"/>
                    </a:xfrm>
                    <a:prstGeom prst="rect">
                      <a:avLst/>
                    </a:prstGeom>
                    <a:noFill/>
                  </pic:spPr>
                </pic:pic>
              </a:graphicData>
            </a:graphic>
          </wp:anchor>
        </w:drawing>
      </w:r>
    </w:p>
    <w:p>
      <w:pPr>
        <w:spacing w:after="0" w:line="3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22"/>
          <w:szCs w:val="22"/>
          <w:color w:val="691A6B"/>
        </w:rPr>
        <w:t>Independent Auditor’s Reports</w:t>
      </w:r>
    </w:p>
    <w:p>
      <w:pPr>
        <w:spacing w:after="0" w:line="198" w:lineRule="auto"/>
        <w:rPr>
          <w:sz w:val="20"/>
          <w:szCs w:val="20"/>
          <w:color w:val="auto"/>
        </w:rPr>
      </w:pPr>
      <w:r>
        <w:rPr>
          <w:rFonts w:ascii="Arial" w:cs="Arial" w:eastAsia="Arial" w:hAnsi="Arial"/>
          <w:sz w:val="10"/>
          <w:szCs w:val="10"/>
          <w:color w:val="auto"/>
        </w:rPr>
        <w:t>As part of a limited assurance engagement in</w:t>
      </w:r>
    </w:p>
    <w:p>
      <w:pPr>
        <w:spacing w:after="0" w:line="199" w:lineRule="auto"/>
        <w:rPr>
          <w:sz w:val="20"/>
          <w:szCs w:val="20"/>
          <w:color w:val="auto"/>
        </w:rPr>
      </w:pPr>
      <w:r>
        <w:rPr>
          <w:rFonts w:ascii="Arial" w:cs="Arial" w:eastAsia="Arial" w:hAnsi="Arial"/>
          <w:sz w:val="10"/>
          <w:szCs w:val="10"/>
          <w:color w:val="auto"/>
        </w:rPr>
        <w:t>accordance with ISAE 3000 (Revised), we exercise</w:t>
      </w:r>
    </w:p>
    <w:p>
      <w:pPr>
        <w:spacing w:after="0" w:line="198" w:lineRule="auto"/>
        <w:rPr>
          <w:sz w:val="20"/>
          <w:szCs w:val="20"/>
          <w:color w:val="auto"/>
        </w:rPr>
      </w:pPr>
      <w:r>
        <w:rPr>
          <w:rFonts w:ascii="Arial" w:cs="Arial" w:eastAsia="Arial" w:hAnsi="Arial"/>
          <w:sz w:val="10"/>
          <w:szCs w:val="10"/>
          <w:color w:val="auto"/>
        </w:rPr>
        <w:t>professional judgement and maintain professional</w:t>
      </w:r>
    </w:p>
    <w:p>
      <w:pPr>
        <w:spacing w:after="0" w:line="199" w:lineRule="auto"/>
        <w:rPr>
          <w:sz w:val="20"/>
          <w:szCs w:val="20"/>
          <w:color w:val="auto"/>
        </w:rPr>
      </w:pPr>
      <w:r>
        <w:rPr>
          <w:rFonts w:ascii="Arial" w:cs="Arial" w:eastAsia="Arial" w:hAnsi="Arial"/>
          <w:sz w:val="10"/>
          <w:szCs w:val="10"/>
          <w:color w:val="auto"/>
        </w:rPr>
        <w:t>scepticism throughout the engagement.</w:t>
      </w:r>
    </w:p>
    <w:p>
      <w:pPr>
        <w:spacing w:after="0" w:line="199" w:lineRule="auto"/>
        <w:rPr>
          <w:sz w:val="20"/>
          <w:szCs w:val="20"/>
          <w:color w:val="auto"/>
        </w:rPr>
      </w:pPr>
      <w:r>
        <w:rPr>
          <w:rFonts w:ascii="Arial" w:cs="Arial" w:eastAsia="Arial" w:hAnsi="Arial"/>
          <w:sz w:val="10"/>
          <w:szCs w:val="10"/>
          <w:color w:val="auto"/>
        </w:rPr>
        <w:t>Our responsibilities in respect of the Process</w:t>
      </w:r>
    </w:p>
    <w:p>
      <w:pPr>
        <w:spacing w:after="0" w:line="198" w:lineRule="auto"/>
        <w:rPr>
          <w:sz w:val="20"/>
          <w:szCs w:val="20"/>
          <w:color w:val="auto"/>
        </w:rPr>
      </w:pPr>
      <w:r>
        <w:rPr>
          <w:rFonts w:ascii="Arial" w:cs="Arial" w:eastAsia="Arial" w:hAnsi="Arial"/>
          <w:sz w:val="10"/>
          <w:szCs w:val="10"/>
          <w:color w:val="auto"/>
        </w:rPr>
        <w:t>include:</w:t>
      </w:r>
    </w:p>
    <w:p>
      <w:pPr>
        <w:spacing w:after="0" w:line="199" w:lineRule="auto"/>
        <w:rPr>
          <w:sz w:val="20"/>
          <w:szCs w:val="20"/>
          <w:color w:val="auto"/>
        </w:rPr>
      </w:pPr>
      <w:r>
        <w:rPr>
          <w:rFonts w:ascii="Arial" w:cs="Arial" w:eastAsia="Arial" w:hAnsi="Arial"/>
          <w:sz w:val="10"/>
          <w:szCs w:val="10"/>
          <w:color w:val="auto"/>
        </w:rPr>
        <w:t>•Obtaining an understanding of the Process but</w:t>
      </w:r>
    </w:p>
    <w:p>
      <w:pPr>
        <w:spacing w:after="0" w:line="199" w:lineRule="auto"/>
        <w:rPr>
          <w:sz w:val="20"/>
          <w:szCs w:val="20"/>
          <w:color w:val="auto"/>
        </w:rPr>
      </w:pPr>
      <w:r>
        <w:rPr>
          <w:rFonts w:ascii="Arial" w:cs="Arial" w:eastAsia="Arial" w:hAnsi="Arial"/>
          <w:sz w:val="10"/>
          <w:szCs w:val="10"/>
          <w:color w:val="auto"/>
        </w:rPr>
        <w:t>not for the purpose of providing a conclusion</w:t>
      </w:r>
    </w:p>
    <w:p>
      <w:pPr>
        <w:spacing w:after="0" w:line="198" w:lineRule="auto"/>
        <w:rPr>
          <w:sz w:val="20"/>
          <w:szCs w:val="20"/>
          <w:color w:val="auto"/>
        </w:rPr>
      </w:pPr>
      <w:r>
        <w:rPr>
          <w:rFonts w:ascii="Arial" w:cs="Arial" w:eastAsia="Arial" w:hAnsi="Arial"/>
          <w:sz w:val="10"/>
          <w:szCs w:val="10"/>
          <w:color w:val="auto"/>
        </w:rPr>
        <w:t>on the effectiveness of the Process, including the</w:t>
      </w:r>
    </w:p>
    <w:p>
      <w:pPr>
        <w:spacing w:after="0" w:line="199" w:lineRule="auto"/>
        <w:rPr>
          <w:sz w:val="20"/>
          <w:szCs w:val="20"/>
          <w:color w:val="auto"/>
        </w:rPr>
      </w:pPr>
      <w:r>
        <w:rPr>
          <w:rFonts w:ascii="Arial" w:cs="Arial" w:eastAsia="Arial" w:hAnsi="Arial"/>
          <w:sz w:val="10"/>
          <w:szCs w:val="10"/>
          <w:color w:val="auto"/>
        </w:rPr>
        <w:t>outcome of the Process;</w:t>
      </w:r>
    </w:p>
    <w:p>
      <w:pPr>
        <w:spacing w:after="0" w:line="199" w:lineRule="auto"/>
        <w:rPr>
          <w:sz w:val="20"/>
          <w:szCs w:val="20"/>
          <w:color w:val="auto"/>
        </w:rPr>
      </w:pPr>
      <w:r>
        <w:rPr>
          <w:rFonts w:ascii="Arial" w:cs="Arial" w:eastAsia="Arial" w:hAnsi="Arial"/>
          <w:sz w:val="10"/>
          <w:szCs w:val="10"/>
          <w:color w:val="auto"/>
        </w:rPr>
        <w:t>•Considering whether the information identified</w:t>
      </w:r>
    </w:p>
    <w:p>
      <w:pPr>
        <w:spacing w:after="0" w:line="198" w:lineRule="auto"/>
        <w:rPr>
          <w:sz w:val="20"/>
          <w:szCs w:val="20"/>
          <w:color w:val="auto"/>
        </w:rPr>
      </w:pPr>
      <w:r>
        <w:rPr>
          <w:rFonts w:ascii="Arial" w:cs="Arial" w:eastAsia="Arial" w:hAnsi="Arial"/>
          <w:sz w:val="10"/>
          <w:szCs w:val="10"/>
          <w:color w:val="auto"/>
        </w:rPr>
        <w:t>addresses the applicable disclosure</w:t>
      </w:r>
    </w:p>
    <w:p>
      <w:pPr>
        <w:spacing w:after="0" w:line="199" w:lineRule="auto"/>
        <w:rPr>
          <w:sz w:val="20"/>
          <w:szCs w:val="20"/>
          <w:color w:val="auto"/>
        </w:rPr>
      </w:pPr>
      <w:r>
        <w:rPr>
          <w:rFonts w:ascii="Arial" w:cs="Arial" w:eastAsia="Arial" w:hAnsi="Arial"/>
          <w:sz w:val="10"/>
          <w:szCs w:val="10"/>
          <w:color w:val="auto"/>
        </w:rPr>
        <w:t>requirements of the ESRS, and</w:t>
      </w:r>
    </w:p>
    <w:p>
      <w:pPr>
        <w:spacing w:after="0" w:line="198" w:lineRule="auto"/>
        <w:rPr>
          <w:sz w:val="20"/>
          <w:szCs w:val="20"/>
          <w:color w:val="auto"/>
        </w:rPr>
      </w:pPr>
      <w:r>
        <w:rPr>
          <w:rFonts w:ascii="Arial" w:cs="Arial" w:eastAsia="Arial" w:hAnsi="Arial"/>
          <w:sz w:val="10"/>
          <w:szCs w:val="10"/>
          <w:color w:val="auto"/>
        </w:rPr>
        <w:t>•Designing and performing procedures to</w:t>
      </w:r>
    </w:p>
    <w:p>
      <w:pPr>
        <w:spacing w:after="0" w:line="199" w:lineRule="auto"/>
        <w:rPr>
          <w:sz w:val="20"/>
          <w:szCs w:val="20"/>
          <w:color w:val="auto"/>
        </w:rPr>
      </w:pPr>
      <w:r>
        <w:rPr>
          <w:rFonts w:ascii="Arial" w:cs="Arial" w:eastAsia="Arial" w:hAnsi="Arial"/>
          <w:sz w:val="10"/>
          <w:szCs w:val="10"/>
          <w:color w:val="auto"/>
        </w:rPr>
        <w:t>evaluate whether the Process is consistent</w:t>
      </w:r>
    </w:p>
    <w:p>
      <w:pPr>
        <w:spacing w:after="0" w:line="199" w:lineRule="auto"/>
        <w:rPr>
          <w:sz w:val="20"/>
          <w:szCs w:val="20"/>
          <w:color w:val="auto"/>
        </w:rPr>
      </w:pPr>
      <w:r>
        <w:rPr>
          <w:rFonts w:ascii="Arial" w:cs="Arial" w:eastAsia="Arial" w:hAnsi="Arial"/>
          <w:sz w:val="10"/>
          <w:szCs w:val="10"/>
          <w:color w:val="auto"/>
        </w:rPr>
        <w:t>with the Group’s description of its Process,</w:t>
      </w:r>
    </w:p>
    <w:p>
      <w:pPr>
        <w:spacing w:after="0" w:line="198" w:lineRule="auto"/>
        <w:rPr>
          <w:sz w:val="20"/>
          <w:szCs w:val="20"/>
          <w:color w:val="auto"/>
        </w:rPr>
      </w:pPr>
      <w:r>
        <w:rPr>
          <w:rFonts w:ascii="Arial" w:cs="Arial" w:eastAsia="Arial" w:hAnsi="Arial"/>
          <w:sz w:val="10"/>
          <w:szCs w:val="10"/>
          <w:color w:val="auto"/>
        </w:rPr>
        <w:t>as disclosed in section 1.4 Impact, risk, and</w:t>
      </w:r>
    </w:p>
    <w:p>
      <w:pPr>
        <w:spacing w:after="0" w:line="199" w:lineRule="auto"/>
        <w:rPr>
          <w:sz w:val="20"/>
          <w:szCs w:val="20"/>
          <w:color w:val="auto"/>
        </w:rPr>
      </w:pPr>
      <w:r>
        <w:rPr>
          <w:rFonts w:ascii="Arial" w:cs="Arial" w:eastAsia="Arial" w:hAnsi="Arial"/>
          <w:sz w:val="10"/>
          <w:szCs w:val="10"/>
          <w:color w:val="auto"/>
        </w:rPr>
        <w:t>opportunity management.</w:t>
      </w:r>
    </w:p>
    <w:p>
      <w:pPr>
        <w:spacing w:after="0" w:line="199" w:lineRule="auto"/>
        <w:rPr>
          <w:sz w:val="20"/>
          <w:szCs w:val="20"/>
          <w:color w:val="auto"/>
        </w:rPr>
      </w:pPr>
      <w:r>
        <w:rPr>
          <w:rFonts w:ascii="Arial" w:cs="Arial" w:eastAsia="Arial" w:hAnsi="Arial"/>
          <w:sz w:val="10"/>
          <w:szCs w:val="10"/>
          <w:color w:val="auto"/>
        </w:rPr>
        <w:t>Our other responsibilities in respect of the</w:t>
      </w:r>
    </w:p>
    <w:p>
      <w:pPr>
        <w:spacing w:after="0" w:line="198" w:lineRule="auto"/>
        <w:rPr>
          <w:sz w:val="20"/>
          <w:szCs w:val="20"/>
          <w:color w:val="auto"/>
        </w:rPr>
      </w:pPr>
      <w:r>
        <w:rPr>
          <w:rFonts w:ascii="Arial" w:cs="Arial" w:eastAsia="Arial" w:hAnsi="Arial"/>
          <w:sz w:val="10"/>
          <w:szCs w:val="10"/>
          <w:color w:val="auto"/>
        </w:rPr>
        <w:t>Sustainability Statements include:</w:t>
      </w:r>
    </w:p>
    <w:p>
      <w:pPr>
        <w:spacing w:after="0" w:line="199" w:lineRule="auto"/>
        <w:rPr>
          <w:sz w:val="20"/>
          <w:szCs w:val="20"/>
          <w:color w:val="auto"/>
        </w:rPr>
      </w:pPr>
      <w:r>
        <w:rPr>
          <w:rFonts w:ascii="Arial" w:cs="Arial" w:eastAsia="Arial" w:hAnsi="Arial"/>
          <w:sz w:val="10"/>
          <w:szCs w:val="10"/>
          <w:color w:val="auto"/>
        </w:rPr>
        <w:t>•Identifying disclosures where material</w:t>
      </w:r>
    </w:p>
    <w:p>
      <w:pPr>
        <w:spacing w:after="0" w:line="199" w:lineRule="auto"/>
        <w:rPr>
          <w:sz w:val="20"/>
          <w:szCs w:val="20"/>
          <w:color w:val="auto"/>
        </w:rPr>
      </w:pPr>
      <w:r>
        <w:rPr>
          <w:rFonts w:ascii="Arial" w:cs="Arial" w:eastAsia="Arial" w:hAnsi="Arial"/>
          <w:sz w:val="10"/>
          <w:szCs w:val="10"/>
          <w:color w:val="auto"/>
        </w:rPr>
        <w:t>misstatements are likely to arise, whether</w:t>
      </w:r>
    </w:p>
    <w:p>
      <w:pPr>
        <w:spacing w:after="0" w:line="198" w:lineRule="auto"/>
        <w:rPr>
          <w:sz w:val="20"/>
          <w:szCs w:val="20"/>
          <w:color w:val="auto"/>
        </w:rPr>
      </w:pPr>
      <w:r>
        <w:rPr>
          <w:rFonts w:ascii="Arial" w:cs="Arial" w:eastAsia="Arial" w:hAnsi="Arial"/>
          <w:sz w:val="10"/>
          <w:szCs w:val="10"/>
          <w:color w:val="auto"/>
        </w:rPr>
        <w:t>due to fraud or error; and</w:t>
      </w:r>
    </w:p>
    <w:p>
      <w:pPr>
        <w:spacing w:after="0" w:line="199" w:lineRule="auto"/>
        <w:rPr>
          <w:sz w:val="20"/>
          <w:szCs w:val="20"/>
          <w:color w:val="auto"/>
        </w:rPr>
      </w:pPr>
      <w:r>
        <w:rPr>
          <w:rFonts w:ascii="Arial" w:cs="Arial" w:eastAsia="Arial" w:hAnsi="Arial"/>
          <w:sz w:val="10"/>
          <w:szCs w:val="10"/>
          <w:color w:val="auto"/>
        </w:rPr>
        <w:t>•Designing and performing procedures</w:t>
      </w:r>
    </w:p>
    <w:p>
      <w:pPr>
        <w:spacing w:after="0" w:line="199" w:lineRule="auto"/>
        <w:rPr>
          <w:sz w:val="20"/>
          <w:szCs w:val="20"/>
          <w:color w:val="auto"/>
        </w:rPr>
      </w:pPr>
      <w:r>
        <w:rPr>
          <w:rFonts w:ascii="Arial" w:cs="Arial" w:eastAsia="Arial" w:hAnsi="Arial"/>
          <w:sz w:val="10"/>
          <w:szCs w:val="10"/>
          <w:color w:val="auto"/>
        </w:rPr>
        <w:t>responsive to disclosures in the Sustainability</w:t>
      </w:r>
    </w:p>
    <w:p>
      <w:pPr>
        <w:spacing w:after="0" w:line="198" w:lineRule="auto"/>
        <w:rPr>
          <w:sz w:val="20"/>
          <w:szCs w:val="20"/>
          <w:color w:val="auto"/>
        </w:rPr>
      </w:pPr>
      <w:r>
        <w:rPr>
          <w:rFonts w:ascii="Arial" w:cs="Arial" w:eastAsia="Arial" w:hAnsi="Arial"/>
          <w:sz w:val="10"/>
          <w:szCs w:val="10"/>
          <w:color w:val="auto"/>
        </w:rPr>
        <w:t>Statements where material misstatements</w:t>
      </w:r>
    </w:p>
    <w:p>
      <w:pPr>
        <w:spacing w:after="0" w:line="199" w:lineRule="auto"/>
        <w:rPr>
          <w:sz w:val="20"/>
          <w:szCs w:val="20"/>
          <w:color w:val="auto"/>
        </w:rPr>
      </w:pPr>
      <w:r>
        <w:rPr>
          <w:rFonts w:ascii="Arial" w:cs="Arial" w:eastAsia="Arial" w:hAnsi="Arial"/>
          <w:sz w:val="10"/>
          <w:szCs w:val="10"/>
          <w:color w:val="auto"/>
        </w:rPr>
        <w:t>are likely to arise. The risk of not detecting a</w:t>
      </w:r>
    </w:p>
    <w:p>
      <w:pPr>
        <w:spacing w:after="0" w:line="198" w:lineRule="auto"/>
        <w:rPr>
          <w:sz w:val="20"/>
          <w:szCs w:val="20"/>
          <w:color w:val="auto"/>
        </w:rPr>
      </w:pPr>
      <w:r>
        <w:rPr>
          <w:rFonts w:ascii="Arial" w:cs="Arial" w:eastAsia="Arial" w:hAnsi="Arial"/>
          <w:sz w:val="10"/>
          <w:szCs w:val="10"/>
          <w:color w:val="auto"/>
        </w:rPr>
        <w:t>material misstatement resulting from fraud</w:t>
      </w:r>
    </w:p>
    <w:p>
      <w:pPr>
        <w:spacing w:after="0" w:line="199" w:lineRule="auto"/>
        <w:rPr>
          <w:sz w:val="20"/>
          <w:szCs w:val="20"/>
          <w:color w:val="auto"/>
        </w:rPr>
      </w:pPr>
      <w:r>
        <w:rPr>
          <w:rFonts w:ascii="Arial" w:cs="Arial" w:eastAsia="Arial" w:hAnsi="Arial"/>
          <w:sz w:val="10"/>
          <w:szCs w:val="10"/>
          <w:color w:val="auto"/>
        </w:rPr>
        <w:t>is higher than for one resulting from error, as</w:t>
      </w:r>
    </w:p>
    <w:p>
      <w:pPr>
        <w:spacing w:after="0" w:line="199" w:lineRule="auto"/>
        <w:rPr>
          <w:sz w:val="20"/>
          <w:szCs w:val="20"/>
          <w:color w:val="auto"/>
        </w:rPr>
      </w:pPr>
      <w:r>
        <w:rPr>
          <w:rFonts w:ascii="Arial" w:cs="Arial" w:eastAsia="Arial" w:hAnsi="Arial"/>
          <w:sz w:val="10"/>
          <w:szCs w:val="10"/>
          <w:color w:val="auto"/>
        </w:rPr>
        <w:t>fraud may involve collusion, forgery, intentional</w:t>
      </w:r>
    </w:p>
    <w:p>
      <w:pPr>
        <w:spacing w:after="0" w:line="198" w:lineRule="auto"/>
        <w:rPr>
          <w:sz w:val="20"/>
          <w:szCs w:val="20"/>
          <w:color w:val="auto"/>
        </w:rPr>
      </w:pPr>
      <w:r>
        <w:rPr>
          <w:rFonts w:ascii="Arial" w:cs="Arial" w:eastAsia="Arial" w:hAnsi="Arial"/>
          <w:sz w:val="10"/>
          <w:szCs w:val="10"/>
          <w:color w:val="auto"/>
        </w:rPr>
        <w:t>omissions, misrepresentations, or the override of</w:t>
      </w:r>
    </w:p>
    <w:p>
      <w:pPr>
        <w:spacing w:after="0" w:line="205" w:lineRule="auto"/>
        <w:rPr>
          <w:sz w:val="20"/>
          <w:szCs w:val="20"/>
          <w:color w:val="auto"/>
        </w:rPr>
      </w:pPr>
      <w:r>
        <w:rPr>
          <w:rFonts w:ascii="Arial" w:cs="Arial" w:eastAsia="Arial" w:hAnsi="Arial"/>
          <w:sz w:val="10"/>
          <w:szCs w:val="10"/>
          <w:color w:val="auto"/>
        </w:rPr>
        <w:t>internal control.</w:t>
      </w:r>
    </w:p>
    <w:p>
      <w:pPr>
        <w:spacing w:after="0" w:line="209" w:lineRule="auto"/>
        <w:rPr>
          <w:sz w:val="20"/>
          <w:szCs w:val="20"/>
          <w:color w:val="auto"/>
        </w:rPr>
      </w:pPr>
      <w:r>
        <w:rPr>
          <w:rFonts w:ascii="Arial" w:cs="Arial" w:eastAsia="Arial" w:hAnsi="Arial"/>
          <w:sz w:val="13"/>
          <w:szCs w:val="13"/>
          <w:b w:val="1"/>
          <w:bCs w:val="1"/>
          <w:color w:val="691A6B"/>
        </w:rPr>
        <w:t>Summary of the work performed</w:t>
      </w:r>
    </w:p>
    <w:p>
      <w:pPr>
        <w:spacing w:after="0" w:line="199" w:lineRule="auto"/>
        <w:rPr>
          <w:sz w:val="20"/>
          <w:szCs w:val="20"/>
          <w:color w:val="auto"/>
        </w:rPr>
      </w:pPr>
      <w:r>
        <w:rPr>
          <w:rFonts w:ascii="Arial" w:cs="Arial" w:eastAsia="Arial" w:hAnsi="Arial"/>
          <w:sz w:val="10"/>
          <w:szCs w:val="10"/>
          <w:color w:val="auto"/>
        </w:rPr>
        <w:t>A limited assurance engagement involves</w:t>
      </w:r>
    </w:p>
    <w:p>
      <w:pPr>
        <w:spacing w:after="0" w:line="199" w:lineRule="auto"/>
        <w:rPr>
          <w:sz w:val="20"/>
          <w:szCs w:val="20"/>
          <w:color w:val="auto"/>
        </w:rPr>
      </w:pPr>
      <w:r>
        <w:rPr>
          <w:rFonts w:ascii="Arial" w:cs="Arial" w:eastAsia="Arial" w:hAnsi="Arial"/>
          <w:sz w:val="10"/>
          <w:szCs w:val="10"/>
          <w:color w:val="auto"/>
        </w:rPr>
        <w:t>performing procedures to obtain evidence about the</w:t>
      </w:r>
    </w:p>
    <w:p>
      <w:pPr>
        <w:spacing w:after="0" w:line="198" w:lineRule="auto"/>
        <w:rPr>
          <w:sz w:val="20"/>
          <w:szCs w:val="20"/>
          <w:color w:val="auto"/>
        </w:rPr>
      </w:pPr>
      <w:r>
        <w:rPr>
          <w:rFonts w:ascii="Arial" w:cs="Arial" w:eastAsia="Arial" w:hAnsi="Arial"/>
          <w:sz w:val="10"/>
          <w:szCs w:val="10"/>
          <w:color w:val="auto"/>
        </w:rPr>
        <w:t>Sustainability Statements.</w:t>
      </w:r>
    </w:p>
    <w:p>
      <w:pPr>
        <w:spacing w:after="0" w:line="199" w:lineRule="auto"/>
        <w:rPr>
          <w:sz w:val="20"/>
          <w:szCs w:val="20"/>
          <w:color w:val="auto"/>
        </w:rPr>
      </w:pPr>
      <w:r>
        <w:rPr>
          <w:rFonts w:ascii="Arial" w:cs="Arial" w:eastAsia="Arial" w:hAnsi="Arial"/>
          <w:sz w:val="10"/>
          <w:szCs w:val="10"/>
          <w:color w:val="auto"/>
        </w:rPr>
        <w:t>The nature, timing and extent of procedures</w:t>
      </w:r>
    </w:p>
    <w:p>
      <w:pPr>
        <w:spacing w:after="0" w:line="199" w:lineRule="auto"/>
        <w:rPr>
          <w:sz w:val="20"/>
          <w:szCs w:val="20"/>
          <w:color w:val="auto"/>
        </w:rPr>
      </w:pPr>
      <w:r>
        <w:rPr>
          <w:rFonts w:ascii="Arial" w:cs="Arial" w:eastAsia="Arial" w:hAnsi="Arial"/>
          <w:sz w:val="10"/>
          <w:szCs w:val="10"/>
          <w:color w:val="auto"/>
        </w:rPr>
        <w:t>selected depend on professional judgement,</w:t>
      </w:r>
    </w:p>
    <w:p>
      <w:pPr>
        <w:spacing w:after="0" w:line="198" w:lineRule="auto"/>
        <w:rPr>
          <w:sz w:val="20"/>
          <w:szCs w:val="20"/>
          <w:color w:val="auto"/>
        </w:rPr>
      </w:pPr>
      <w:r>
        <w:rPr>
          <w:rFonts w:ascii="Arial" w:cs="Arial" w:eastAsia="Arial" w:hAnsi="Arial"/>
          <w:sz w:val="10"/>
          <w:szCs w:val="10"/>
          <w:color w:val="auto"/>
        </w:rPr>
        <w:t>including the identification of disclosures</w:t>
      </w:r>
    </w:p>
    <w:p>
      <w:pPr>
        <w:spacing w:after="0" w:line="199" w:lineRule="auto"/>
        <w:rPr>
          <w:sz w:val="20"/>
          <w:szCs w:val="20"/>
          <w:color w:val="auto"/>
        </w:rPr>
      </w:pPr>
      <w:r>
        <w:rPr>
          <w:rFonts w:ascii="Arial" w:cs="Arial" w:eastAsia="Arial" w:hAnsi="Arial"/>
          <w:sz w:val="10"/>
          <w:szCs w:val="10"/>
          <w:color w:val="auto"/>
        </w:rPr>
        <w:t>where material misstatements are likely to</w:t>
      </w:r>
    </w:p>
    <w:p>
      <w:pPr>
        <w:spacing w:after="0" w:line="199" w:lineRule="auto"/>
        <w:rPr>
          <w:sz w:val="20"/>
          <w:szCs w:val="20"/>
          <w:color w:val="auto"/>
        </w:rPr>
      </w:pPr>
      <w:r>
        <w:rPr>
          <w:rFonts w:ascii="Arial" w:cs="Arial" w:eastAsia="Arial" w:hAnsi="Arial"/>
          <w:sz w:val="10"/>
          <w:szCs w:val="10"/>
          <w:color w:val="auto"/>
        </w:rPr>
        <w:t>arise, whether due to fraud or error, in the</w:t>
      </w:r>
    </w:p>
    <w:p>
      <w:pPr>
        <w:spacing w:after="0" w:line="198" w:lineRule="auto"/>
        <w:rPr>
          <w:sz w:val="20"/>
          <w:szCs w:val="20"/>
          <w:color w:val="auto"/>
        </w:rPr>
      </w:pPr>
      <w:r>
        <w:rPr>
          <w:rFonts w:ascii="Arial" w:cs="Arial" w:eastAsia="Arial" w:hAnsi="Arial"/>
          <w:sz w:val="10"/>
          <w:szCs w:val="10"/>
          <w:color w:val="auto"/>
        </w:rPr>
        <w:t>Sustainability Statements.</w:t>
      </w:r>
    </w:p>
    <w:p>
      <w:pPr>
        <w:spacing w:after="0" w:line="199" w:lineRule="auto"/>
        <w:rPr>
          <w:sz w:val="20"/>
          <w:szCs w:val="20"/>
          <w:color w:val="auto"/>
        </w:rPr>
      </w:pPr>
      <w:r>
        <w:rPr>
          <w:rFonts w:ascii="Arial" w:cs="Arial" w:eastAsia="Arial" w:hAnsi="Arial"/>
          <w:sz w:val="10"/>
          <w:szCs w:val="10"/>
          <w:color w:val="auto"/>
        </w:rPr>
        <w:t>In conducting our limited assurance engagement,</w:t>
      </w:r>
    </w:p>
    <w:p>
      <w:pPr>
        <w:spacing w:after="0" w:line="198" w:lineRule="auto"/>
        <w:rPr>
          <w:sz w:val="20"/>
          <w:szCs w:val="20"/>
          <w:color w:val="auto"/>
        </w:rPr>
      </w:pPr>
      <w:r>
        <w:rPr>
          <w:rFonts w:ascii="Arial" w:cs="Arial" w:eastAsia="Arial" w:hAnsi="Arial"/>
          <w:sz w:val="10"/>
          <w:szCs w:val="10"/>
          <w:color w:val="auto"/>
        </w:rPr>
        <w:t>with respect to the Process, we:</w:t>
      </w:r>
    </w:p>
    <w:p>
      <w:pPr>
        <w:spacing w:after="0" w:line="199" w:lineRule="auto"/>
        <w:rPr>
          <w:sz w:val="20"/>
          <w:szCs w:val="20"/>
          <w:color w:val="auto"/>
        </w:rPr>
      </w:pPr>
      <w:r>
        <w:rPr>
          <w:rFonts w:ascii="Arial" w:cs="Arial" w:eastAsia="Arial" w:hAnsi="Arial"/>
          <w:sz w:val="10"/>
          <w:szCs w:val="10"/>
          <w:color w:val="auto"/>
        </w:rPr>
        <w:t>•Obtained an understanding of the Process by</w:t>
      </w:r>
    </w:p>
    <w:p>
      <w:pPr>
        <w:spacing w:after="0" w:line="199" w:lineRule="auto"/>
        <w:rPr>
          <w:sz w:val="20"/>
          <w:szCs w:val="20"/>
          <w:color w:val="auto"/>
        </w:rPr>
      </w:pPr>
      <w:r>
        <w:rPr>
          <w:rFonts w:ascii="Arial" w:cs="Arial" w:eastAsia="Arial" w:hAnsi="Arial"/>
          <w:sz w:val="10"/>
          <w:szCs w:val="10"/>
          <w:color w:val="auto"/>
        </w:rPr>
        <w:t>performing inquiries to understand the sources</w:t>
      </w:r>
    </w:p>
    <w:p>
      <w:pPr>
        <w:spacing w:after="0" w:line="198" w:lineRule="auto"/>
        <w:rPr>
          <w:sz w:val="20"/>
          <w:szCs w:val="20"/>
          <w:color w:val="auto"/>
        </w:rPr>
      </w:pPr>
      <w:r>
        <w:rPr>
          <w:rFonts w:ascii="Arial" w:cs="Arial" w:eastAsia="Arial" w:hAnsi="Arial"/>
          <w:sz w:val="10"/>
          <w:szCs w:val="10"/>
          <w:color w:val="auto"/>
        </w:rPr>
        <w:t>of the information used by Management; and</w:t>
      </w:r>
    </w:p>
    <w:p>
      <w:pPr>
        <w:spacing w:after="0" w:line="199" w:lineRule="auto"/>
        <w:rPr>
          <w:sz w:val="20"/>
          <w:szCs w:val="20"/>
          <w:color w:val="auto"/>
        </w:rPr>
      </w:pPr>
      <w:r>
        <w:rPr>
          <w:rFonts w:ascii="Arial" w:cs="Arial" w:eastAsia="Arial" w:hAnsi="Arial"/>
          <w:sz w:val="10"/>
          <w:szCs w:val="10"/>
          <w:color w:val="auto"/>
        </w:rPr>
        <w:t>reviewing the Group’s internal documentation</w:t>
      </w:r>
    </w:p>
    <w:p>
      <w:pPr>
        <w:spacing w:after="0" w:line="199" w:lineRule="auto"/>
        <w:rPr>
          <w:sz w:val="20"/>
          <w:szCs w:val="20"/>
          <w:color w:val="auto"/>
        </w:rPr>
      </w:pPr>
      <w:r>
        <w:rPr>
          <w:rFonts w:ascii="Arial" w:cs="Arial" w:eastAsia="Arial" w:hAnsi="Arial"/>
          <w:sz w:val="10"/>
          <w:szCs w:val="10"/>
          <w:color w:val="auto"/>
        </w:rPr>
        <w:t>of its Process; and</w:t>
      </w:r>
    </w:p>
    <w:p>
      <w:pPr>
        <w:spacing w:after="0" w:line="198" w:lineRule="auto"/>
        <w:rPr>
          <w:sz w:val="20"/>
          <w:szCs w:val="20"/>
          <w:color w:val="auto"/>
        </w:rPr>
      </w:pPr>
      <w:r>
        <w:rPr>
          <w:rFonts w:ascii="Arial" w:cs="Arial" w:eastAsia="Arial" w:hAnsi="Arial"/>
          <w:sz w:val="10"/>
          <w:szCs w:val="10"/>
          <w:color w:val="auto"/>
        </w:rPr>
        <w:t>•Evaluated whether the evidence obtained from</w:t>
      </w:r>
    </w:p>
    <w:p>
      <w:pPr>
        <w:spacing w:after="0" w:line="199" w:lineRule="auto"/>
        <w:rPr>
          <w:sz w:val="20"/>
          <w:szCs w:val="20"/>
          <w:color w:val="auto"/>
        </w:rPr>
      </w:pPr>
      <w:r>
        <w:rPr>
          <w:rFonts w:ascii="Arial" w:cs="Arial" w:eastAsia="Arial" w:hAnsi="Arial"/>
          <w:sz w:val="10"/>
          <w:szCs w:val="10"/>
          <w:color w:val="auto"/>
        </w:rPr>
        <w:t>our procedures about the Process implemented</w:t>
      </w:r>
    </w:p>
    <w:p>
      <w:pPr>
        <w:spacing w:after="0" w:line="199" w:lineRule="auto"/>
        <w:rPr>
          <w:sz w:val="20"/>
          <w:szCs w:val="20"/>
          <w:color w:val="auto"/>
        </w:rPr>
      </w:pPr>
      <w:r>
        <w:rPr>
          <w:rFonts w:ascii="Arial" w:cs="Arial" w:eastAsia="Arial" w:hAnsi="Arial"/>
          <w:sz w:val="10"/>
          <w:szCs w:val="10"/>
          <w:color w:val="auto"/>
        </w:rPr>
        <w:t>by the Group was consistent with the description</w:t>
      </w:r>
    </w:p>
    <w:p>
      <w:pPr>
        <w:spacing w:after="0" w:line="198" w:lineRule="auto"/>
        <w:rPr>
          <w:sz w:val="20"/>
          <w:szCs w:val="20"/>
          <w:color w:val="auto"/>
        </w:rPr>
      </w:pPr>
      <w:r>
        <w:rPr>
          <w:rFonts w:ascii="Arial" w:cs="Arial" w:eastAsia="Arial" w:hAnsi="Arial"/>
          <w:sz w:val="10"/>
          <w:szCs w:val="10"/>
          <w:color w:val="auto"/>
        </w:rPr>
        <w:t>of the Process set out in section 1.4 Impact, risk,</w:t>
      </w:r>
    </w:p>
    <w:p>
      <w:pPr>
        <w:spacing w:after="0" w:line="199" w:lineRule="auto"/>
        <w:rPr>
          <w:sz w:val="20"/>
          <w:szCs w:val="20"/>
          <w:color w:val="auto"/>
        </w:rPr>
      </w:pPr>
      <w:r>
        <w:rPr>
          <w:rFonts w:ascii="Arial" w:cs="Arial" w:eastAsia="Arial" w:hAnsi="Arial"/>
          <w:sz w:val="10"/>
          <w:szCs w:val="10"/>
          <w:color w:val="auto"/>
        </w:rPr>
        <w:t>and opportunity management.</w:t>
      </w:r>
    </w:p>
    <w:p>
      <w:pPr>
        <w:spacing w:after="0" w:line="198" w:lineRule="auto"/>
        <w:rPr>
          <w:sz w:val="20"/>
          <w:szCs w:val="20"/>
          <w:color w:val="auto"/>
        </w:rPr>
      </w:pPr>
      <w:r>
        <w:rPr>
          <w:rFonts w:ascii="Arial" w:cs="Arial" w:eastAsia="Arial" w:hAnsi="Arial"/>
          <w:sz w:val="10"/>
          <w:szCs w:val="10"/>
          <w:color w:val="auto"/>
        </w:rPr>
        <w:t>In conducting our limited assurance engagement,</w:t>
      </w:r>
    </w:p>
    <w:p>
      <w:pPr>
        <w:spacing w:after="0" w:line="199" w:lineRule="auto"/>
        <w:rPr>
          <w:sz w:val="20"/>
          <w:szCs w:val="20"/>
          <w:color w:val="auto"/>
        </w:rPr>
      </w:pPr>
      <w:r>
        <w:rPr>
          <w:rFonts w:ascii="Arial" w:cs="Arial" w:eastAsia="Arial" w:hAnsi="Arial"/>
          <w:sz w:val="10"/>
          <w:szCs w:val="10"/>
          <w:color w:val="auto"/>
        </w:rPr>
        <w:t>with respect to the Sustainability Statements, we:</w:t>
      </w:r>
    </w:p>
    <w:p>
      <w:pPr>
        <w:spacing w:after="0" w:line="199" w:lineRule="auto"/>
        <w:rPr>
          <w:sz w:val="20"/>
          <w:szCs w:val="20"/>
          <w:color w:val="auto"/>
        </w:rPr>
      </w:pPr>
      <w:r>
        <w:rPr>
          <w:rFonts w:ascii="Arial" w:cs="Arial" w:eastAsia="Arial" w:hAnsi="Arial"/>
          <w:sz w:val="10"/>
          <w:szCs w:val="10"/>
          <w:color w:val="auto"/>
        </w:rPr>
        <w:t>•Obtained an understanding of the Group’s</w:t>
      </w:r>
    </w:p>
    <w:p>
      <w:pPr>
        <w:spacing w:after="0" w:line="198" w:lineRule="auto"/>
        <w:rPr>
          <w:sz w:val="20"/>
          <w:szCs w:val="20"/>
          <w:color w:val="auto"/>
        </w:rPr>
      </w:pPr>
      <w:r>
        <w:rPr>
          <w:rFonts w:ascii="Arial" w:cs="Arial" w:eastAsia="Arial" w:hAnsi="Arial"/>
          <w:sz w:val="10"/>
          <w:szCs w:val="10"/>
          <w:color w:val="auto"/>
        </w:rPr>
        <w:t>reporting processes relevant to the preparation</w:t>
      </w:r>
    </w:p>
    <w:p>
      <w:pPr>
        <w:spacing w:after="0" w:line="199" w:lineRule="auto"/>
        <w:rPr>
          <w:sz w:val="20"/>
          <w:szCs w:val="20"/>
          <w:color w:val="auto"/>
        </w:rPr>
      </w:pPr>
      <w:r>
        <w:rPr>
          <w:rFonts w:ascii="Arial" w:cs="Arial" w:eastAsia="Arial" w:hAnsi="Arial"/>
          <w:sz w:val="10"/>
          <w:szCs w:val="10"/>
          <w:color w:val="auto"/>
        </w:rPr>
        <w:t>of its Sustainability Statements including the</w:t>
      </w:r>
    </w:p>
    <w:p>
      <w:pPr>
        <w:spacing w:after="0" w:line="199" w:lineRule="auto"/>
        <w:rPr>
          <w:sz w:val="20"/>
          <w:szCs w:val="20"/>
          <w:color w:val="auto"/>
        </w:rPr>
      </w:pPr>
      <w:r>
        <w:rPr>
          <w:rFonts w:ascii="Arial" w:cs="Arial" w:eastAsia="Arial" w:hAnsi="Arial"/>
          <w:sz w:val="10"/>
          <w:szCs w:val="10"/>
          <w:color w:val="auto"/>
        </w:rPr>
        <w:t>consolidation processes by obtaining an</w:t>
      </w:r>
    </w:p>
    <w:p>
      <w:pPr>
        <w:spacing w:after="0" w:line="198" w:lineRule="auto"/>
        <w:rPr>
          <w:sz w:val="20"/>
          <w:szCs w:val="20"/>
          <w:color w:val="auto"/>
        </w:rPr>
      </w:pPr>
      <w:r>
        <w:rPr>
          <w:rFonts w:ascii="Arial" w:cs="Arial" w:eastAsia="Arial" w:hAnsi="Arial"/>
          <w:sz w:val="10"/>
          <w:szCs w:val="10"/>
          <w:color w:val="auto"/>
        </w:rPr>
        <w:t>understanding of the Group’s control</w:t>
      </w:r>
    </w:p>
    <w:p>
      <w:pPr>
        <w:spacing w:after="0" w:line="199" w:lineRule="auto"/>
        <w:rPr>
          <w:sz w:val="20"/>
          <w:szCs w:val="20"/>
          <w:color w:val="auto"/>
        </w:rPr>
      </w:pPr>
      <w:r>
        <w:rPr>
          <w:rFonts w:ascii="Arial" w:cs="Arial" w:eastAsia="Arial" w:hAnsi="Arial"/>
          <w:sz w:val="10"/>
          <w:szCs w:val="10"/>
          <w:color w:val="auto"/>
        </w:rPr>
        <w:t>environment, processes and information</w:t>
      </w:r>
    </w:p>
    <w:p>
      <w:pPr>
        <w:spacing w:after="0" w:line="199" w:lineRule="auto"/>
        <w:rPr>
          <w:sz w:val="20"/>
          <w:szCs w:val="20"/>
          <w:color w:val="auto"/>
        </w:rPr>
      </w:pPr>
      <w:r>
        <w:rPr>
          <w:rFonts w:ascii="Arial" w:cs="Arial" w:eastAsia="Arial" w:hAnsi="Arial"/>
          <w:sz w:val="10"/>
          <w:szCs w:val="10"/>
          <w:color w:val="auto"/>
        </w:rPr>
        <w:t>systems relevant to the preparation of the</w:t>
      </w:r>
    </w:p>
    <w:p>
      <w:pPr>
        <w:spacing w:after="0" w:line="198" w:lineRule="auto"/>
        <w:rPr>
          <w:sz w:val="20"/>
          <w:szCs w:val="20"/>
          <w:color w:val="auto"/>
        </w:rPr>
      </w:pPr>
      <w:r>
        <w:rPr>
          <w:rFonts w:ascii="Arial" w:cs="Arial" w:eastAsia="Arial" w:hAnsi="Arial"/>
          <w:sz w:val="10"/>
          <w:szCs w:val="10"/>
          <w:color w:val="auto"/>
        </w:rPr>
        <w:t>Sustainability Statements but not evaluating</w:t>
      </w:r>
    </w:p>
    <w:p>
      <w:pPr>
        <w:spacing w:after="0" w:line="199" w:lineRule="auto"/>
        <w:rPr>
          <w:sz w:val="20"/>
          <w:szCs w:val="20"/>
          <w:color w:val="auto"/>
        </w:rPr>
      </w:pPr>
      <w:r>
        <w:rPr>
          <w:rFonts w:ascii="Arial" w:cs="Arial" w:eastAsia="Arial" w:hAnsi="Arial"/>
          <w:sz w:val="10"/>
          <w:szCs w:val="10"/>
          <w:color w:val="auto"/>
        </w:rPr>
        <w:t>the design of particular control activities,</w:t>
      </w:r>
    </w:p>
    <w:p>
      <w:pPr>
        <w:spacing w:after="0" w:line="199" w:lineRule="auto"/>
        <w:rPr>
          <w:sz w:val="20"/>
          <w:szCs w:val="20"/>
          <w:color w:val="auto"/>
        </w:rPr>
      </w:pPr>
      <w:r>
        <w:rPr>
          <w:rFonts w:ascii="Arial" w:cs="Arial" w:eastAsia="Arial" w:hAnsi="Arial"/>
          <w:sz w:val="10"/>
          <w:szCs w:val="10"/>
          <w:color w:val="auto"/>
        </w:rPr>
        <w:t>obtaining evidence about their implementation or</w:t>
      </w:r>
    </w:p>
    <w:p>
      <w:pPr>
        <w:spacing w:after="0" w:line="198" w:lineRule="auto"/>
        <w:rPr>
          <w:sz w:val="20"/>
          <w:szCs w:val="20"/>
          <w:color w:val="auto"/>
        </w:rPr>
      </w:pPr>
      <w:r>
        <w:rPr>
          <w:rFonts w:ascii="Arial" w:cs="Arial" w:eastAsia="Arial" w:hAnsi="Arial"/>
          <w:sz w:val="10"/>
          <w:szCs w:val="10"/>
          <w:color w:val="auto"/>
        </w:rPr>
        <w:t>testing their operating effectiveness;</w:t>
      </w:r>
    </w:p>
    <w:p>
      <w:pPr>
        <w:spacing w:after="0" w:line="199" w:lineRule="auto"/>
        <w:rPr>
          <w:sz w:val="20"/>
          <w:szCs w:val="20"/>
          <w:color w:val="auto"/>
        </w:rPr>
      </w:pPr>
      <w:r>
        <w:rPr>
          <w:rFonts w:ascii="Arial" w:cs="Arial" w:eastAsia="Arial" w:hAnsi="Arial"/>
          <w:sz w:val="10"/>
          <w:szCs w:val="10"/>
          <w:color w:val="auto"/>
        </w:rPr>
        <w:t>•Evaluated whether material information identified</w:t>
      </w:r>
    </w:p>
    <w:p>
      <w:pPr>
        <w:spacing w:after="0" w:line="198" w:lineRule="auto"/>
        <w:rPr>
          <w:sz w:val="20"/>
          <w:szCs w:val="20"/>
          <w:color w:val="auto"/>
        </w:rPr>
      </w:pPr>
      <w:r>
        <w:rPr>
          <w:rFonts w:ascii="Arial" w:cs="Arial" w:eastAsia="Arial" w:hAnsi="Arial"/>
          <w:sz w:val="10"/>
          <w:szCs w:val="10"/>
          <w:color w:val="auto"/>
        </w:rPr>
        <w:t>by the Process is included in the Sustainability</w:t>
      </w:r>
    </w:p>
    <w:p>
      <w:pPr>
        <w:spacing w:after="0" w:line="199" w:lineRule="auto"/>
        <w:rPr>
          <w:sz w:val="20"/>
          <w:szCs w:val="20"/>
          <w:color w:val="auto"/>
        </w:rPr>
      </w:pPr>
      <w:r>
        <w:rPr>
          <w:rFonts w:ascii="Arial" w:cs="Arial" w:eastAsia="Arial" w:hAnsi="Arial"/>
          <w:sz w:val="10"/>
          <w:szCs w:val="10"/>
          <w:color w:val="auto"/>
        </w:rPr>
        <w:t>Statements;</w:t>
      </w:r>
    </w:p>
    <w:p>
      <w:pPr>
        <w:spacing w:after="0"/>
        <w:rPr>
          <w:sz w:val="20"/>
          <w:szCs w:val="20"/>
          <w:color w:val="auto"/>
        </w:rPr>
      </w:pPr>
      <w:r>
        <w:rPr>
          <w:rFonts w:ascii="Arial" w:cs="Arial" w:eastAsia="Arial" w:hAnsi="Arial"/>
          <w:sz w:val="10"/>
          <w:szCs w:val="10"/>
          <w:color w:val="auto"/>
        </w:rPr>
        <w:t>•Evaluated whether the structure and the</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6781165" cy="47929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6781165" cy="4792980"/>
                    </a:xfrm>
                    <a:prstGeom prst="rect">
                      <a:avLst/>
                    </a:prstGeom>
                    <a:noFill/>
                  </pic:spPr>
                </pic:pic>
              </a:graphicData>
            </a:graphic>
          </wp:anchor>
        </w:drawing>
      </w:r>
    </w:p>
    <w:p>
      <w:pPr>
        <w:spacing w:after="0" w:line="20" w:lineRule="exact"/>
        <w:rPr>
          <w:rFonts w:ascii="Arial" w:cs="Arial" w:eastAsia="Arial" w:hAnsi="Arial"/>
          <w:sz w:val="10"/>
          <w:szCs w:val="10"/>
          <w:color w:val="auto"/>
        </w:rPr>
      </w:pPr>
      <w:r>
        <w:rPr>
          <w:rFonts w:ascii="Arial" w:cs="Arial" w:eastAsia="Arial" w:hAnsi="Arial"/>
          <w:sz w:val="10"/>
          <w:szCs w:val="10"/>
          <w:color w:val="auto"/>
        </w:rPr>
        <w:br w:type="column"/>
      </w:r>
    </w:p>
    <w:p>
      <w:pPr>
        <w:spacing w:after="0"/>
        <w:tabs>
          <w:tab w:leader="none" w:pos="1340" w:val="left"/>
        </w:tabs>
        <w:rPr>
          <w:sz w:val="20"/>
          <w:szCs w:val="20"/>
          <w:color w:val="auto"/>
        </w:rPr>
      </w:pPr>
      <w:r>
        <w:rPr>
          <w:rFonts w:ascii="Arial" w:cs="Arial" w:eastAsia="Arial" w:hAnsi="Arial"/>
          <w:sz w:val="10"/>
          <w:szCs w:val="10"/>
          <w:color w:val="auto"/>
        </w:rPr>
        <w:t>Genmab 2025 Annual Report</w:t>
      </w:r>
      <w:r>
        <w:rPr>
          <w:sz w:val="20"/>
          <w:szCs w:val="20"/>
          <w:color w:val="auto"/>
        </w:rPr>
        <w:tab/>
      </w:r>
      <w:r>
        <w:rPr>
          <w:rFonts w:ascii="Arial" w:cs="Arial" w:eastAsia="Arial" w:hAnsi="Arial"/>
          <w:sz w:val="8"/>
          <w:szCs w:val="8"/>
          <w:color w:val="auto"/>
        </w:rPr>
        <w:t>179</w:t>
      </w:r>
    </w:p>
    <w:p>
      <w:pPr>
        <w:sectPr>
          <w:pgSz w:w="11900" w:h="16840" w:orient="portrait"/>
          <w:cols w:equalWidth="0" w:num="2">
            <w:col w:w="7400" w:space="720"/>
            <w:col w:w="1700"/>
          </w:cols>
          <w:pgMar w:left="640" w:top="571" w:right="1440" w:bottom="1440" w:gutter="0" w:footer="0" w:header="0"/>
        </w:sectPr>
      </w:pPr>
    </w:p>
    <w:bookmarkStart w:id="171" w:name="page172"/>
    <w:bookmarkEnd w:id="171"/>
    <w:p>
      <w:pPr>
        <w:spacing w:after="0"/>
        <w:tabs>
          <w:tab w:leader="none" w:pos="1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81165" cy="96456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6781165" cy="96456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2"/>
          <w:szCs w:val="1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Genmab A/S</w:t>
      </w:r>
    </w:p>
    <w:p>
      <w:pPr>
        <w:spacing w:after="0" w:line="1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and</w:t>
      </w:r>
    </w:p>
    <w:p>
      <w:pPr>
        <w:spacing w:after="0" w:line="1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Genmab Finance LLC</w:t>
      </w:r>
    </w:p>
    <w:p>
      <w:pPr>
        <w:spacing w:after="0" w:line="1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color w:val="auto"/>
        </w:rPr>
        <w:t>as Issuers</w:t>
      </w:r>
    </w:p>
    <w:p>
      <w:pPr>
        <w:spacing w:after="0" w:line="1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2"/>
          <w:szCs w:val="12"/>
          <w:color w:val="auto"/>
        </w:rPr>
        <w:t>and the Guarantors party hereto from time to time</w:t>
      </w:r>
    </w:p>
    <w:p>
      <w:pPr>
        <w:spacing w:after="0" w:line="1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2"/>
          <w:szCs w:val="12"/>
          <w:color w:val="auto"/>
        </w:rPr>
        <w:t>7.250% Senior Notes due 2033</w:t>
      </w:r>
    </w:p>
    <w:p>
      <w:pPr>
        <w:spacing w:after="0" w:line="1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color w:val="auto"/>
        </w:rPr>
        <w:t>INDENTURE</w:t>
      </w:r>
    </w:p>
    <w:p>
      <w:pPr>
        <w:spacing w:after="0" w:line="1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Dated as of December 3, 2025</w:t>
      </w:r>
    </w:p>
    <w:p>
      <w:pPr>
        <w:spacing w:after="0" w:line="1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1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color w:val="auto"/>
        </w:rPr>
        <w:t>as Trustee</w:t>
      </w:r>
    </w:p>
    <w:p>
      <w:pPr>
        <w:sectPr>
          <w:pgSz w:w="11900" w:h="16840" w:orient="portrait"/>
          <w:cols w:equalWidth="0" w:num="1">
            <w:col w:w="9820"/>
          </w:cols>
          <w:pgMar w:left="1440" w:top="559" w:right="640" w:bottom="1440" w:gutter="0" w:footer="0" w:header="0"/>
        </w:sectPr>
      </w:pPr>
    </w:p>
    <w:bookmarkStart w:id="173" w:name="page174"/>
    <w:bookmarkEnd w:id="173"/>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80" w:type="dxa"/>
            <w:vAlign w:val="bottom"/>
            <w:gridSpan w:val="3"/>
          </w:tcPr>
          <w:p>
            <w:pPr>
              <w:jc w:val="center"/>
              <w:ind w:right="274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40"/>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4"/>
              </w:rPr>
              <w:t>Page</w:t>
            </w:r>
          </w:p>
        </w:tc>
      </w:tr>
      <w:tr>
        <w:trPr>
          <w:trHeight w:val="255"/>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1.01</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Definitions</w:t>
              </w:r>
            </w:hyperlink>
          </w:p>
        </w:tc>
        <w:tc>
          <w:tcPr>
            <w:tcW w:w="300" w:type="dxa"/>
            <w:vAlign w:val="bottom"/>
          </w:tcPr>
          <w:p>
            <w:pPr>
              <w:jc w:val="right"/>
              <w:ind w:right="15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1</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1.02</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Other Definitions</w:t>
              </w:r>
            </w:hyperlink>
          </w:p>
        </w:tc>
        <w:tc>
          <w:tcPr>
            <w:tcW w:w="240" w:type="dxa"/>
            <w:vAlign w:val="bottom"/>
            <w:gridSpan w:val="2"/>
          </w:tcPr>
          <w:p>
            <w:pPr>
              <w:jc w:val="right"/>
              <w:ind w:right="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33</w:t>
              </w:r>
            </w:hyperlink>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1.03</w:t>
              </w:r>
            </w:hyperlink>
          </w:p>
        </w:tc>
        <w:tc>
          <w:tcPr>
            <w:tcW w:w="114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Rules of Construction</w:t>
              </w:r>
            </w:hyperlink>
          </w:p>
        </w:tc>
        <w:tc>
          <w:tcPr>
            <w:tcW w:w="120" w:type="dxa"/>
            <w:vAlign w:val="bottom"/>
          </w:tcPr>
          <w:p>
            <w:pPr>
              <w:spacing w:after="0"/>
              <w:rPr>
                <w:sz w:val="12"/>
                <w:szCs w:val="12"/>
                <w:color w:val="auto"/>
              </w:rPr>
            </w:pPr>
          </w:p>
        </w:tc>
        <w:tc>
          <w:tcPr>
            <w:tcW w:w="280" w:type="dxa"/>
            <w:vAlign w:val="bottom"/>
          </w:tcPr>
          <w:p>
            <w:pPr>
              <w:jc w:val="right"/>
              <w:ind w:right="7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34</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1.04</w:t>
              </w:r>
            </w:hyperlink>
          </w:p>
        </w:tc>
        <w:tc>
          <w:tcPr>
            <w:tcW w:w="9780" w:type="dxa"/>
            <w:vAlign w:val="bottom"/>
            <w:gridSpan w:val="10"/>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 Incorporation by Reference of Trust Indenture Act  35</w:t>
              </w:r>
            </w:hyperlink>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1.05</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Danish Terms  35</w:t>
              </w:r>
            </w:hyperlink>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6"/>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80" w:type="dxa"/>
            <w:vAlign w:val="bottom"/>
            <w:gridSpan w:val="3"/>
          </w:tcPr>
          <w:p>
            <w:pPr>
              <w:jc w:val="center"/>
              <w:ind w:right="27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II</w:t>
              </w:r>
            </w:hyperlink>
          </w:p>
        </w:tc>
      </w:tr>
      <w:tr>
        <w:trPr>
          <w:trHeight w:val="286"/>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80" w:type="dxa"/>
            <w:vAlign w:val="bottom"/>
            <w:gridSpan w:val="3"/>
          </w:tcPr>
          <w:p>
            <w:pPr>
              <w:jc w:val="center"/>
              <w:ind w:right="27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THE NOTES</w:t>
              </w:r>
            </w:hyperlink>
          </w:p>
        </w:tc>
      </w:tr>
      <w:tr>
        <w:trPr>
          <w:trHeight w:val="249"/>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2.01</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Amount of Notes</w:t>
              </w:r>
            </w:hyperlink>
          </w:p>
        </w:tc>
        <w:tc>
          <w:tcPr>
            <w:tcW w:w="240" w:type="dxa"/>
            <w:vAlign w:val="bottom"/>
            <w:gridSpan w:val="2"/>
          </w:tcPr>
          <w:p>
            <w:pPr>
              <w:jc w:val="right"/>
              <w:ind w:right="3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36</w:t>
              </w:r>
            </w:hyperlink>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2.02</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Form and Dating</w:t>
              </w:r>
            </w:hyperlink>
          </w:p>
        </w:tc>
        <w:tc>
          <w:tcPr>
            <w:tcW w:w="120" w:type="dxa"/>
            <w:vAlign w:val="bottom"/>
          </w:tcPr>
          <w:p>
            <w:pPr>
              <w:jc w:val="right"/>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36</w:t>
              </w:r>
            </w:hyperlink>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2.03</w:t>
              </w:r>
            </w:hyperlink>
          </w:p>
        </w:tc>
        <w:tc>
          <w:tcPr>
            <w:tcW w:w="15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Execution and Authentication</w:t>
              </w:r>
            </w:hyperlink>
          </w:p>
        </w:tc>
        <w:tc>
          <w:tcPr>
            <w:tcW w:w="100" w:type="dxa"/>
            <w:vAlign w:val="bottom"/>
          </w:tcPr>
          <w:p>
            <w:pPr>
              <w:spacing w:after="0"/>
              <w:rPr>
                <w:sz w:val="12"/>
                <w:szCs w:val="12"/>
                <w:color w:val="auto"/>
              </w:rPr>
            </w:pPr>
          </w:p>
        </w:tc>
        <w:tc>
          <w:tcPr>
            <w:tcW w:w="260" w:type="dxa"/>
            <w:vAlign w:val="bottom"/>
          </w:tcPr>
          <w:p>
            <w:pPr>
              <w:jc w:val="right"/>
              <w:ind w:right="5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36</w:t>
              </w:r>
            </w:hyperlink>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2.04</w:t>
              </w:r>
            </w:hyperlink>
          </w:p>
        </w:tc>
        <w:tc>
          <w:tcPr>
            <w:tcW w:w="15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Registrar and Paying Agent</w:t>
              </w:r>
            </w:hyperlink>
          </w:p>
        </w:tc>
        <w:tc>
          <w:tcPr>
            <w:tcW w:w="360" w:type="dxa"/>
            <w:vAlign w:val="bottom"/>
            <w:gridSpan w:val="2"/>
          </w:tcPr>
          <w:p>
            <w:pPr>
              <w:jc w:val="right"/>
              <w:ind w:right="15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37</w:t>
              </w:r>
            </w:hyperlink>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2.05</w:t>
              </w:r>
            </w:hyperlink>
          </w:p>
        </w:tc>
        <w:tc>
          <w:tcPr>
            <w:tcW w:w="9780" w:type="dxa"/>
            <w:vAlign w:val="bottom"/>
            <w:gridSpan w:val="10"/>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Paying Agent to Hold Money in Trust  37</w:t>
              </w:r>
            </w:hyperlink>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2.06</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Holder Lists</w:t>
              </w:r>
            </w:hyperlink>
          </w:p>
        </w:tc>
        <w:tc>
          <w:tcPr>
            <w:tcW w:w="300" w:type="dxa"/>
            <w:vAlign w:val="bottom"/>
          </w:tcPr>
          <w:p>
            <w:pPr>
              <w:jc w:val="right"/>
              <w:ind w:right="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38</w:t>
              </w:r>
            </w:hyperlink>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2.07</w:t>
              </w:r>
            </w:hyperlink>
          </w:p>
        </w:tc>
        <w:tc>
          <w:tcPr>
            <w:tcW w:w="1260" w:type="dxa"/>
            <w:vAlign w:val="bottom"/>
            <w:gridSpan w:val="4"/>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Transfer and Exchange</w:t>
              </w:r>
            </w:hyperlink>
          </w:p>
        </w:tc>
        <w:tc>
          <w:tcPr>
            <w:tcW w:w="280" w:type="dxa"/>
            <w:vAlign w:val="bottom"/>
          </w:tcPr>
          <w:p>
            <w:pPr>
              <w:jc w:val="right"/>
              <w:ind w:right="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38</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2.08</w:t>
              </w:r>
            </w:hyperlink>
          </w:p>
        </w:tc>
        <w:tc>
          <w:tcPr>
            <w:tcW w:w="114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Replacement Notes</w:t>
              </w:r>
            </w:hyperlink>
          </w:p>
        </w:tc>
        <w:tc>
          <w:tcPr>
            <w:tcW w:w="120" w:type="dxa"/>
            <w:vAlign w:val="bottom"/>
          </w:tcPr>
          <w:p>
            <w:pPr>
              <w:jc w:val="right"/>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38</w:t>
              </w:r>
            </w:hyperlink>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2.09</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Outstanding Notes</w:t>
              </w:r>
            </w:hyperlink>
          </w:p>
        </w:tc>
        <w:tc>
          <w:tcPr>
            <w:tcW w:w="24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39</w:t>
              </w:r>
            </w:hyperlink>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2.10</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Cancellation</w:t>
              </w:r>
            </w:hyperlink>
          </w:p>
        </w:tc>
        <w:tc>
          <w:tcPr>
            <w:tcW w:w="300" w:type="dxa"/>
            <w:vAlign w:val="bottom"/>
          </w:tcPr>
          <w:p>
            <w:pPr>
              <w:jc w:val="right"/>
              <w:ind w:right="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39</w:t>
              </w:r>
            </w:hyperlink>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2.11</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Defaulted Interest</w:t>
              </w:r>
            </w:hyperlink>
          </w:p>
        </w:tc>
        <w:tc>
          <w:tcPr>
            <w:tcW w:w="24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39</w:t>
              </w:r>
            </w:hyperlink>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2.12</w:t>
              </w:r>
            </w:hyperlink>
          </w:p>
        </w:tc>
        <w:tc>
          <w:tcPr>
            <w:tcW w:w="15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CUSIP Numbers and ISINs</w:t>
              </w:r>
            </w:hyperlink>
          </w:p>
        </w:tc>
        <w:tc>
          <w:tcPr>
            <w:tcW w:w="360" w:type="dxa"/>
            <w:vAlign w:val="bottom"/>
            <w:gridSpan w:val="2"/>
          </w:tcPr>
          <w:p>
            <w:pPr>
              <w:jc w:val="right"/>
              <w:ind w:right="17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39</w:t>
              </w:r>
            </w:hyperlink>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2.13</w:t>
              </w:r>
            </w:hyperlink>
          </w:p>
        </w:tc>
        <w:tc>
          <w:tcPr>
            <w:tcW w:w="9780" w:type="dxa"/>
            <w:vAlign w:val="bottom"/>
            <w:gridSpan w:val="10"/>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Calculation of Principal Amount of Notes  39</w:t>
              </w:r>
            </w:hyperlink>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2.14</w:t>
              </w:r>
            </w:hyperlink>
          </w:p>
        </w:tc>
        <w:tc>
          <w:tcPr>
            <w:tcW w:w="114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Additional Amounts</w:t>
              </w:r>
            </w:hyperlink>
          </w:p>
        </w:tc>
        <w:tc>
          <w:tcPr>
            <w:tcW w:w="400" w:type="dxa"/>
            <w:vAlign w:val="bottom"/>
            <w:gridSpan w:val="2"/>
          </w:tcPr>
          <w:p>
            <w:pPr>
              <w:jc w:val="right"/>
              <w:ind w:right="1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40</w:t>
              </w:r>
            </w:hyperlink>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6"/>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80" w:type="dxa"/>
            <w:vAlign w:val="bottom"/>
            <w:gridSpan w:val="3"/>
          </w:tcPr>
          <w:p>
            <w:pPr>
              <w:jc w:val="center"/>
              <w:ind w:right="27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III</w:t>
              </w:r>
            </w:hyperlink>
          </w:p>
        </w:tc>
      </w:tr>
      <w:tr>
        <w:trPr>
          <w:trHeight w:val="286"/>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80" w:type="dxa"/>
            <w:vAlign w:val="bottom"/>
            <w:gridSpan w:val="3"/>
          </w:tcPr>
          <w:p>
            <w:pPr>
              <w:jc w:val="center"/>
              <w:ind w:right="27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REDEMPTION AND SECURITY IN SEGREGATED ACCOUNTS</w:t>
              </w:r>
            </w:hyperlink>
          </w:p>
        </w:tc>
      </w:tr>
      <w:tr>
        <w:trPr>
          <w:trHeight w:val="249"/>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3.01</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Redemption</w:t>
              </w:r>
            </w:hyperlink>
          </w:p>
        </w:tc>
        <w:tc>
          <w:tcPr>
            <w:tcW w:w="300" w:type="dxa"/>
            <w:vAlign w:val="bottom"/>
          </w:tcPr>
          <w:p>
            <w:pPr>
              <w:jc w:val="right"/>
              <w:ind w:right="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42</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3.02</w:t>
              </w:r>
            </w:hyperlink>
          </w:p>
        </w:tc>
        <w:tc>
          <w:tcPr>
            <w:tcW w:w="1260" w:type="dxa"/>
            <w:vAlign w:val="bottom"/>
            <w:gridSpan w:val="4"/>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Applicability of Article</w:t>
              </w:r>
            </w:hyperlink>
          </w:p>
        </w:tc>
        <w:tc>
          <w:tcPr>
            <w:tcW w:w="280" w:type="dxa"/>
            <w:vAlign w:val="bottom"/>
          </w:tcPr>
          <w:p>
            <w:pPr>
              <w:jc w:val="right"/>
              <w:ind w:right="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42</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3.03</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Notices to Trustee</w:t>
              </w:r>
            </w:hyperlink>
          </w:p>
        </w:tc>
        <w:tc>
          <w:tcPr>
            <w:tcW w:w="24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42</w:t>
              </w:r>
            </w:hyperlink>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3.04</w:t>
              </w:r>
            </w:hyperlink>
          </w:p>
        </w:tc>
        <w:tc>
          <w:tcPr>
            <w:tcW w:w="1900" w:type="dxa"/>
            <w:vAlign w:val="bottom"/>
            <w:gridSpan w:val="7"/>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Selection of Notes to Be Redeemed</w:t>
              </w:r>
            </w:hyperlink>
          </w:p>
        </w:tc>
        <w:tc>
          <w:tcPr>
            <w:tcW w:w="7640" w:type="dxa"/>
            <w:vAlign w:val="bottom"/>
          </w:tcPr>
          <w:p>
            <w:pPr>
              <w:jc w:val="right"/>
              <w:ind w:right="743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42</w:t>
              </w:r>
            </w:hyperlink>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3.05</w:t>
              </w:r>
            </w:hyperlink>
          </w:p>
        </w:tc>
        <w:tc>
          <w:tcPr>
            <w:tcW w:w="1640" w:type="dxa"/>
            <w:vAlign w:val="bottom"/>
            <w:gridSpan w:val="6"/>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Notice of Optional Redemption</w:t>
              </w:r>
            </w:hyperlink>
          </w:p>
        </w:tc>
        <w:tc>
          <w:tcPr>
            <w:tcW w:w="26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42</w:t>
              </w:r>
            </w:hyperlink>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3.06</w:t>
              </w:r>
            </w:hyperlink>
          </w:p>
        </w:tc>
        <w:tc>
          <w:tcPr>
            <w:tcW w:w="1640" w:type="dxa"/>
            <w:vAlign w:val="bottom"/>
            <w:gridSpan w:val="6"/>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Effect of Notice of Redemption</w:t>
              </w:r>
            </w:hyperlink>
          </w:p>
        </w:tc>
        <w:tc>
          <w:tcPr>
            <w:tcW w:w="26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43</w:t>
              </w:r>
            </w:hyperlink>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3.07</w:t>
              </w:r>
            </w:hyperlink>
          </w:p>
        </w:tc>
        <w:tc>
          <w:tcPr>
            <w:tcW w:w="15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Deposit of Redemption Price</w:t>
              </w:r>
            </w:hyperlink>
          </w:p>
        </w:tc>
        <w:tc>
          <w:tcPr>
            <w:tcW w:w="360" w:type="dxa"/>
            <w:vAlign w:val="bottom"/>
            <w:gridSpan w:val="2"/>
          </w:tcPr>
          <w:p>
            <w:pPr>
              <w:jc w:val="right"/>
              <w:ind w:right="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43</w:t>
              </w:r>
            </w:hyperlink>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3.08</w:t>
              </w:r>
            </w:hyperlink>
          </w:p>
        </w:tc>
        <w:tc>
          <w:tcPr>
            <w:tcW w:w="1260" w:type="dxa"/>
            <w:vAlign w:val="bottom"/>
            <w:gridSpan w:val="4"/>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Notes Redeemed in Part</w:t>
              </w:r>
            </w:hyperlink>
          </w:p>
        </w:tc>
        <w:tc>
          <w:tcPr>
            <w:tcW w:w="28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44</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3.09</w:t>
              </w:r>
            </w:hyperlink>
          </w:p>
        </w:tc>
        <w:tc>
          <w:tcPr>
            <w:tcW w:w="1640" w:type="dxa"/>
            <w:vAlign w:val="bottom"/>
            <w:gridSpan w:val="6"/>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Special Mandatory Redemption</w:t>
              </w:r>
            </w:hyperlink>
          </w:p>
        </w:tc>
        <w:tc>
          <w:tcPr>
            <w:tcW w:w="26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44</w:t>
              </w:r>
            </w:hyperlink>
          </w:p>
        </w:tc>
        <w:tc>
          <w:tcPr>
            <w:tcW w:w="7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3.10</w:t>
              </w:r>
            </w:hyperlink>
          </w:p>
        </w:tc>
        <w:tc>
          <w:tcPr>
            <w:tcW w:w="114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Segregated Accounts</w:t>
              </w:r>
            </w:hyperlink>
          </w:p>
        </w:tc>
        <w:tc>
          <w:tcPr>
            <w:tcW w:w="400" w:type="dxa"/>
            <w:vAlign w:val="bottom"/>
            <w:gridSpan w:val="2"/>
          </w:tcPr>
          <w:p>
            <w:pPr>
              <w:jc w:val="right"/>
              <w:ind w:right="1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44</w:t>
              </w:r>
            </w:hyperlink>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6"/>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80" w:type="dxa"/>
            <w:vAlign w:val="bottom"/>
            <w:gridSpan w:val="3"/>
          </w:tcPr>
          <w:p>
            <w:pPr>
              <w:jc w:val="center"/>
              <w:ind w:right="27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IV</w:t>
              </w:r>
            </w:hyperlink>
          </w:p>
        </w:tc>
      </w:tr>
      <w:tr>
        <w:trPr>
          <w:trHeight w:val="286"/>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80" w:type="dxa"/>
            <w:vAlign w:val="bottom"/>
            <w:gridSpan w:val="3"/>
          </w:tcPr>
          <w:p>
            <w:pPr>
              <w:jc w:val="center"/>
              <w:ind w:right="27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COVENANTS</w:t>
              </w:r>
            </w:hyperlink>
          </w:p>
        </w:tc>
      </w:tr>
      <w:tr>
        <w:trPr>
          <w:trHeight w:val="249"/>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4.01</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Payment of Notes</w:t>
              </w:r>
            </w:hyperlink>
          </w:p>
        </w:tc>
        <w:tc>
          <w:tcPr>
            <w:tcW w:w="240" w:type="dxa"/>
            <w:vAlign w:val="bottom"/>
            <w:gridSpan w:val="2"/>
          </w:tcPr>
          <w:p>
            <w:pPr>
              <w:jc w:val="right"/>
              <w:ind w:right="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45</w:t>
              </w:r>
            </w:hyperlink>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4.02</w:t>
              </w:r>
            </w:hyperlink>
          </w:p>
        </w:tc>
        <w:tc>
          <w:tcPr>
            <w:tcW w:w="9780" w:type="dxa"/>
            <w:vAlign w:val="bottom"/>
            <w:gridSpan w:val="10"/>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Reports and Other Information; Conference Calls  45</w:t>
              </w:r>
            </w:hyperlink>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4.03</w:t>
              </w:r>
            </w:hyperlink>
          </w:p>
        </w:tc>
        <w:tc>
          <w:tcPr>
            <w:tcW w:w="9780" w:type="dxa"/>
            <w:vAlign w:val="bottom"/>
            <w:gridSpan w:val="10"/>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Limitation on Incurrence of Indebtedness and Issuance of Disqualified Stock and Preferred Stock  46</w:t>
              </w:r>
            </w:hyperlink>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4.04</w:t>
              </w:r>
            </w:hyperlink>
          </w:p>
        </w:tc>
        <w:tc>
          <w:tcPr>
            <w:tcW w:w="1900" w:type="dxa"/>
            <w:vAlign w:val="bottom"/>
            <w:gridSpan w:val="7"/>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Limitation on Restricted Payments</w:t>
              </w:r>
            </w:hyperlink>
          </w:p>
        </w:tc>
        <w:tc>
          <w:tcPr>
            <w:tcW w:w="7640" w:type="dxa"/>
            <w:vAlign w:val="bottom"/>
          </w:tcPr>
          <w:p>
            <w:pPr>
              <w:jc w:val="right"/>
              <w:ind w:right="743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53</w:t>
              </w:r>
            </w:hyperlink>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4.05</w:t>
              </w:r>
            </w:hyperlink>
          </w:p>
        </w:tc>
        <w:tc>
          <w:tcPr>
            <w:tcW w:w="9780" w:type="dxa"/>
            <w:vAlign w:val="bottom"/>
            <w:gridSpan w:val="10"/>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Dividend and Other Payment Restrictions Affecting Subsidiaries  58</w:t>
              </w:r>
            </w:hyperlink>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4.06</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Asset Sales</w:t>
              </w:r>
            </w:hyperlink>
          </w:p>
        </w:tc>
        <w:tc>
          <w:tcPr>
            <w:tcW w:w="300" w:type="dxa"/>
            <w:vAlign w:val="bottom"/>
          </w:tcPr>
          <w:p>
            <w:pPr>
              <w:jc w:val="right"/>
              <w:ind w:right="9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59</w:t>
              </w:r>
            </w:hyperlink>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ectPr>
          <w:pgSz w:w="11900" w:h="16840" w:orient="portrait"/>
          <w:cols w:equalWidth="0" w:num="1">
            <w:col w:w="10620"/>
          </w:cols>
          <w:pgMar w:left="640" w:top="1440" w:right="640" w:bottom="1440" w:gutter="0" w:footer="0" w:header="0"/>
        </w:sectPr>
      </w:pPr>
    </w:p>
    <w:bookmarkStart w:id="174" w:name="page175"/>
    <w:bookmarkEnd w:id="174"/>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4.07</w:t>
              </w:r>
            </w:hyperlink>
          </w:p>
        </w:tc>
        <w:tc>
          <w:tcPr>
            <w:tcW w:w="14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Transactions with Affiliates</w:t>
              </w:r>
            </w:hyperlink>
          </w:p>
        </w:tc>
        <w:tc>
          <w:tcPr>
            <w:tcW w:w="100" w:type="dxa"/>
            <w:vAlign w:val="bottom"/>
          </w:tcPr>
          <w:p>
            <w:pPr>
              <w:spacing w:after="0"/>
              <w:rPr>
                <w:sz w:val="12"/>
                <w:szCs w:val="12"/>
                <w:color w:val="auto"/>
              </w:rPr>
            </w:pPr>
          </w:p>
        </w:tc>
        <w:tc>
          <w:tcPr>
            <w:tcW w:w="260" w:type="dxa"/>
            <w:vAlign w:val="bottom"/>
          </w:tcPr>
          <w:p>
            <w:pPr>
              <w:jc w:val="right"/>
              <w:ind w:right="5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62</w:t>
              </w:r>
            </w:hyperlink>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4.08</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Change of Control</w:t>
              </w:r>
            </w:hyperlink>
          </w:p>
        </w:tc>
        <w:tc>
          <w:tcPr>
            <w:tcW w:w="22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64</w:t>
              </w:r>
            </w:hyperlink>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4.09</w:t>
              </w:r>
            </w:hyperlink>
          </w:p>
        </w:tc>
        <w:tc>
          <w:tcPr>
            <w:tcW w:w="1240" w:type="dxa"/>
            <w:vAlign w:val="bottom"/>
            <w:gridSpan w:val="4"/>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Compliance Certificate</w:t>
              </w:r>
            </w:hyperlink>
          </w:p>
        </w:tc>
        <w:tc>
          <w:tcPr>
            <w:tcW w:w="300" w:type="dxa"/>
            <w:vAlign w:val="bottom"/>
            <w:gridSpan w:val="2"/>
          </w:tcPr>
          <w:p>
            <w:pPr>
              <w:jc w:val="right"/>
              <w:ind w:right="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65</w:t>
              </w:r>
            </w:hyperlink>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4.10</w:t>
              </w:r>
            </w:hyperlink>
          </w:p>
        </w:tc>
        <w:tc>
          <w:tcPr>
            <w:tcW w:w="1540" w:type="dxa"/>
            <w:vAlign w:val="bottom"/>
            <w:gridSpan w:val="6"/>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Further Instruments and Acts</w:t>
              </w:r>
            </w:hyperlink>
          </w:p>
        </w:tc>
        <w:tc>
          <w:tcPr>
            <w:tcW w:w="26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65</w:t>
              </w:r>
            </w:hyperlink>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4.11</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Future Guarantors</w:t>
              </w:r>
            </w:hyperlink>
          </w:p>
        </w:tc>
        <w:tc>
          <w:tcPr>
            <w:tcW w:w="22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65</w:t>
              </w:r>
            </w:hyperlink>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4.12</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Liens  65</w:t>
              </w:r>
            </w:hyperlink>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4.13</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[Reserved.]</w:t>
              </w:r>
            </w:hyperlink>
          </w:p>
        </w:tc>
        <w:tc>
          <w:tcPr>
            <w:tcW w:w="300" w:type="dxa"/>
            <w:vAlign w:val="bottom"/>
          </w:tcPr>
          <w:p>
            <w:pPr>
              <w:jc w:val="right"/>
              <w:ind w:right="7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66</w:t>
              </w:r>
            </w:hyperlink>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4.14</w:t>
              </w:r>
            </w:hyperlink>
          </w:p>
        </w:tc>
        <w:tc>
          <w:tcPr>
            <w:tcW w:w="1800" w:type="dxa"/>
            <w:vAlign w:val="bottom"/>
            <w:gridSpan w:val="7"/>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Maintenance of Office or Agency</w:t>
              </w:r>
            </w:hyperlink>
          </w:p>
        </w:tc>
        <w:tc>
          <w:tcPr>
            <w:tcW w:w="3920" w:type="dxa"/>
            <w:vAlign w:val="bottom"/>
          </w:tcPr>
          <w:p>
            <w:pPr>
              <w:jc w:val="right"/>
              <w:ind w:right="36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66</w:t>
              </w:r>
            </w:hyperlink>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4.15</w:t>
              </w:r>
            </w:hyperlink>
          </w:p>
        </w:tc>
        <w:tc>
          <w:tcPr>
            <w:tcW w:w="118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Covenant Suspension</w:t>
              </w:r>
            </w:hyperlink>
          </w:p>
        </w:tc>
        <w:tc>
          <w:tcPr>
            <w:tcW w:w="60" w:type="dxa"/>
            <w:vAlign w:val="bottom"/>
          </w:tcPr>
          <w:p>
            <w:pPr>
              <w:spacing w:after="0"/>
              <w:rPr>
                <w:sz w:val="13"/>
                <w:szCs w:val="13"/>
                <w:color w:val="auto"/>
              </w:rPr>
            </w:pPr>
          </w:p>
        </w:tc>
        <w:tc>
          <w:tcPr>
            <w:tcW w:w="200" w:type="dxa"/>
            <w:vAlign w:val="bottom"/>
          </w:tcPr>
          <w:p>
            <w:pPr>
              <w:jc w:val="right"/>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66</w:t>
              </w:r>
            </w:hyperlink>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66"/>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20" w:type="dxa"/>
            <w:vAlign w:val="bottom"/>
          </w:tcPr>
          <w:p>
            <w:pPr>
              <w:jc w:val="center"/>
              <w:ind w:left="13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V</w:t>
              </w:r>
            </w:hyperlink>
          </w:p>
        </w:tc>
      </w:tr>
      <w:tr>
        <w:trPr>
          <w:trHeight w:val="286"/>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tcPr>
          <w:p>
            <w:pPr>
              <w:jc w:val="center"/>
              <w:ind w:left="13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SUCCESSOR COMPANY</w:t>
              </w:r>
            </w:hyperlink>
          </w:p>
        </w:tc>
      </w:tr>
      <w:tr>
        <w:trPr>
          <w:trHeight w:val="266"/>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5.01</w:t>
              </w:r>
            </w:hyperlink>
          </w:p>
        </w:tc>
        <w:tc>
          <w:tcPr>
            <w:tcW w:w="5720" w:type="dxa"/>
            <w:vAlign w:val="bottom"/>
            <w:gridSpan w:val="8"/>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When an Issuer and a Guarantor May Merge or Transfer Assets  67</w:t>
              </w:r>
            </w:hyperlink>
          </w:p>
        </w:tc>
      </w:tr>
      <w:tr>
        <w:trPr>
          <w:trHeight w:val="266"/>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20" w:type="dxa"/>
            <w:vAlign w:val="bottom"/>
          </w:tcPr>
          <w:p>
            <w:pPr>
              <w:jc w:val="center"/>
              <w:ind w:left="13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VI</w:t>
              </w:r>
            </w:hyperlink>
          </w:p>
        </w:tc>
      </w:tr>
      <w:tr>
        <w:trPr>
          <w:trHeight w:val="286"/>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tcPr>
          <w:p>
            <w:pPr>
              <w:jc w:val="center"/>
              <w:ind w:left="13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DEFAULTS AND REMEDIES</w:t>
              </w:r>
            </w:hyperlink>
          </w:p>
        </w:tc>
      </w:tr>
      <w:tr>
        <w:trPr>
          <w:trHeight w:val="249"/>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6.01</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Events of Default</w:t>
              </w:r>
            </w:hyperlink>
          </w:p>
        </w:tc>
        <w:tc>
          <w:tcPr>
            <w:tcW w:w="16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69</w:t>
              </w:r>
            </w:hyperlink>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20" w:type="dxa"/>
            <w:vAlign w:val="bottom"/>
          </w:tcPr>
          <w:p>
            <w:pPr>
              <w:spacing w:after="0"/>
              <w:rPr>
                <w:sz w:val="21"/>
                <w:szCs w:val="21"/>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6.02</w:t>
              </w:r>
            </w:hyperlink>
          </w:p>
        </w:tc>
        <w:tc>
          <w:tcPr>
            <w:tcW w:w="72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Acceleration</w:t>
              </w:r>
            </w:hyperlink>
          </w:p>
        </w:tc>
        <w:tc>
          <w:tcPr>
            <w:tcW w:w="300" w:type="dxa"/>
            <w:vAlign w:val="bottom"/>
          </w:tcPr>
          <w:p>
            <w:pPr>
              <w:jc w:val="right"/>
              <w:ind w:right="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70</w:t>
              </w:r>
            </w:hyperlink>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6.03</w:t>
              </w:r>
            </w:hyperlink>
          </w:p>
        </w:tc>
        <w:tc>
          <w:tcPr>
            <w:tcW w:w="118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Other Remedies  71</w:t>
              </w:r>
            </w:hyperlink>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6.04</w:t>
              </w:r>
            </w:hyperlink>
          </w:p>
        </w:tc>
        <w:tc>
          <w:tcPr>
            <w:tcW w:w="1240" w:type="dxa"/>
            <w:vAlign w:val="bottom"/>
            <w:gridSpan w:val="4"/>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Waiver of Past Defaults</w:t>
              </w:r>
            </w:hyperlink>
          </w:p>
        </w:tc>
        <w:tc>
          <w:tcPr>
            <w:tcW w:w="30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71</w:t>
              </w:r>
            </w:hyperlink>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6.05</w:t>
              </w:r>
            </w:hyperlink>
          </w:p>
        </w:tc>
        <w:tc>
          <w:tcPr>
            <w:tcW w:w="118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Control by Majority</w:t>
              </w:r>
            </w:hyperlink>
          </w:p>
        </w:tc>
        <w:tc>
          <w:tcPr>
            <w:tcW w:w="260" w:type="dxa"/>
            <w:vAlign w:val="bottom"/>
            <w:gridSpan w:val="2"/>
          </w:tcPr>
          <w:p>
            <w:pPr>
              <w:jc w:val="right"/>
              <w:ind w:right="7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71</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6.06</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Limitation on Suits</w:t>
              </w:r>
            </w:hyperlink>
          </w:p>
        </w:tc>
        <w:tc>
          <w:tcPr>
            <w:tcW w:w="420" w:type="dxa"/>
            <w:vAlign w:val="bottom"/>
            <w:gridSpan w:val="3"/>
          </w:tcPr>
          <w:p>
            <w:pPr>
              <w:jc w:val="right"/>
              <w:ind w:right="1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71</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6.07</w:t>
              </w:r>
            </w:hyperlink>
          </w:p>
        </w:tc>
        <w:tc>
          <w:tcPr>
            <w:tcW w:w="5720" w:type="dxa"/>
            <w:vAlign w:val="bottom"/>
            <w:gridSpan w:val="8"/>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Rights of the Holders to Receive Payment  71</w:t>
              </w:r>
            </w:hyperlink>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6.08</w:t>
              </w:r>
            </w:hyperlink>
          </w:p>
        </w:tc>
        <w:tc>
          <w:tcPr>
            <w:tcW w:w="14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Collection Suit by Trustee</w:t>
              </w:r>
            </w:hyperlink>
          </w:p>
        </w:tc>
        <w:tc>
          <w:tcPr>
            <w:tcW w:w="360" w:type="dxa"/>
            <w:vAlign w:val="bottom"/>
            <w:gridSpan w:val="2"/>
          </w:tcPr>
          <w:p>
            <w:pPr>
              <w:jc w:val="right"/>
              <w:ind w:right="1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72</w:t>
              </w:r>
            </w:hyperlink>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6.09</w:t>
              </w:r>
            </w:hyperlink>
          </w:p>
        </w:tc>
        <w:tc>
          <w:tcPr>
            <w:tcW w:w="1800" w:type="dxa"/>
            <w:vAlign w:val="bottom"/>
            <w:gridSpan w:val="7"/>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Trustee May File Proofs of Claim</w:t>
              </w:r>
            </w:hyperlink>
          </w:p>
        </w:tc>
        <w:tc>
          <w:tcPr>
            <w:tcW w:w="3920" w:type="dxa"/>
            <w:vAlign w:val="bottom"/>
          </w:tcPr>
          <w:p>
            <w:pPr>
              <w:jc w:val="right"/>
              <w:ind w:right="367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72</w:t>
              </w:r>
            </w:hyperlink>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6.10</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Priorities  72</w:t>
              </w:r>
            </w:hyperlink>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6.11</w:t>
              </w:r>
            </w:hyperlink>
          </w:p>
        </w:tc>
        <w:tc>
          <w:tcPr>
            <w:tcW w:w="118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Undertaking for Costs</w:t>
              </w:r>
            </w:hyperlink>
          </w:p>
        </w:tc>
        <w:tc>
          <w:tcPr>
            <w:tcW w:w="60" w:type="dxa"/>
            <w:vAlign w:val="bottom"/>
          </w:tcPr>
          <w:p>
            <w:pPr>
              <w:spacing w:after="0"/>
              <w:rPr>
                <w:sz w:val="12"/>
                <w:szCs w:val="12"/>
                <w:color w:val="auto"/>
              </w:rPr>
            </w:pPr>
          </w:p>
        </w:tc>
        <w:tc>
          <w:tcPr>
            <w:tcW w:w="20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72</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6.12</w:t>
              </w:r>
            </w:hyperlink>
          </w:p>
        </w:tc>
        <w:tc>
          <w:tcPr>
            <w:tcW w:w="1800" w:type="dxa"/>
            <w:vAlign w:val="bottom"/>
            <w:gridSpan w:val="7"/>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Waiver of Stay or Extension Laws</w:t>
              </w:r>
            </w:hyperlink>
          </w:p>
        </w:tc>
        <w:tc>
          <w:tcPr>
            <w:tcW w:w="3920" w:type="dxa"/>
            <w:vAlign w:val="bottom"/>
          </w:tcPr>
          <w:p>
            <w:pPr>
              <w:jc w:val="right"/>
              <w:ind w:right="36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72</w:t>
              </w:r>
            </w:hyperlink>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6.13</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Net Short Holders</w:t>
              </w:r>
            </w:hyperlink>
          </w:p>
        </w:tc>
        <w:tc>
          <w:tcPr>
            <w:tcW w:w="22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73</w:t>
              </w:r>
            </w:hyperlink>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66"/>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20" w:type="dxa"/>
            <w:vAlign w:val="bottom"/>
          </w:tcPr>
          <w:p>
            <w:pPr>
              <w:jc w:val="center"/>
              <w:ind w:left="13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VII</w:t>
              </w:r>
            </w:hyperlink>
          </w:p>
        </w:tc>
      </w:tr>
      <w:tr>
        <w:trPr>
          <w:trHeight w:val="286"/>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tcPr>
          <w:p>
            <w:pPr>
              <w:jc w:val="center"/>
              <w:ind w:left="13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TRUSTEE</w:t>
              </w:r>
            </w:hyperlink>
          </w:p>
        </w:tc>
      </w:tr>
      <w:tr>
        <w:trPr>
          <w:trHeight w:val="249"/>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7.01</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Duties of Trustee</w:t>
              </w:r>
            </w:hyperlink>
          </w:p>
        </w:tc>
        <w:tc>
          <w:tcPr>
            <w:tcW w:w="160" w:type="dxa"/>
            <w:vAlign w:val="bottom"/>
          </w:tcPr>
          <w:p>
            <w:pPr>
              <w:jc w:val="right"/>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74</w:t>
              </w:r>
            </w:hyperlink>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20" w:type="dxa"/>
            <w:vAlign w:val="bottom"/>
          </w:tcPr>
          <w:p>
            <w:pPr>
              <w:spacing w:after="0"/>
              <w:rPr>
                <w:sz w:val="21"/>
                <w:szCs w:val="21"/>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7.02</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Rights of Trustee</w:t>
              </w:r>
            </w:hyperlink>
          </w:p>
        </w:tc>
        <w:tc>
          <w:tcPr>
            <w:tcW w:w="160" w:type="dxa"/>
            <w:vAlign w:val="bottom"/>
          </w:tcPr>
          <w:p>
            <w:pPr>
              <w:jc w:val="right"/>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75</w:t>
              </w:r>
            </w:hyperlink>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7.03</w:t>
              </w:r>
            </w:hyperlink>
          </w:p>
        </w:tc>
        <w:tc>
          <w:tcPr>
            <w:tcW w:w="1540" w:type="dxa"/>
            <w:vAlign w:val="bottom"/>
            <w:gridSpan w:val="6"/>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Individual Rights of Trustee</w:t>
              </w:r>
            </w:hyperlink>
          </w:p>
        </w:tc>
        <w:tc>
          <w:tcPr>
            <w:tcW w:w="260" w:type="dxa"/>
            <w:vAlign w:val="bottom"/>
          </w:tcPr>
          <w:p>
            <w:pPr>
              <w:jc w:val="right"/>
              <w:ind w:right="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76</w:t>
              </w:r>
            </w:hyperlink>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7.04</w:t>
              </w:r>
            </w:hyperlink>
          </w:p>
        </w:tc>
        <w:tc>
          <w:tcPr>
            <w:tcW w:w="1180" w:type="dxa"/>
            <w:vAlign w:val="bottom"/>
            <w:gridSpan w:val="3"/>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Trustee’s Disclaimer</w:t>
              </w:r>
            </w:hyperlink>
          </w:p>
        </w:tc>
        <w:tc>
          <w:tcPr>
            <w:tcW w:w="260" w:type="dxa"/>
            <w:vAlign w:val="bottom"/>
            <w:gridSpan w:val="2"/>
          </w:tcPr>
          <w:p>
            <w:pPr>
              <w:jc w:val="right"/>
              <w:ind w:right="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76</w:t>
              </w:r>
            </w:hyperlink>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7.05</w:t>
              </w:r>
            </w:hyperlink>
          </w:p>
        </w:tc>
        <w:tc>
          <w:tcPr>
            <w:tcW w:w="1020" w:type="dxa"/>
            <w:vAlign w:val="bottom"/>
            <w:gridSpan w:val="2"/>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Notice of Defaults</w:t>
              </w:r>
            </w:hyperlink>
          </w:p>
        </w:tc>
        <w:tc>
          <w:tcPr>
            <w:tcW w:w="22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77</w:t>
              </w:r>
            </w:hyperlink>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7.06</w:t>
              </w:r>
            </w:hyperlink>
          </w:p>
        </w:tc>
        <w:tc>
          <w:tcPr>
            <w:tcW w:w="1540" w:type="dxa"/>
            <w:vAlign w:val="bottom"/>
            <w:gridSpan w:val="6"/>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Compensation and Indemnity</w:t>
              </w:r>
            </w:hyperlink>
          </w:p>
        </w:tc>
        <w:tc>
          <w:tcPr>
            <w:tcW w:w="26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77</w:t>
              </w:r>
            </w:hyperlink>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7.07</w:t>
              </w:r>
            </w:hyperlink>
          </w:p>
        </w:tc>
        <w:tc>
          <w:tcPr>
            <w:tcW w:w="1240" w:type="dxa"/>
            <w:vAlign w:val="bottom"/>
            <w:gridSpan w:val="4"/>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Replacement of Trustee</w:t>
              </w:r>
            </w:hyperlink>
          </w:p>
        </w:tc>
        <w:tc>
          <w:tcPr>
            <w:tcW w:w="300" w:type="dxa"/>
            <w:vAlign w:val="bottom"/>
            <w:gridSpan w:val="2"/>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78</w:t>
              </w:r>
            </w:hyperlink>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7.08</w:t>
              </w:r>
            </w:hyperlink>
          </w:p>
        </w:tc>
        <w:tc>
          <w:tcPr>
            <w:tcW w:w="1540" w:type="dxa"/>
            <w:vAlign w:val="bottom"/>
            <w:gridSpan w:val="6"/>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Successor Trustee by Merger</w:t>
              </w:r>
            </w:hyperlink>
          </w:p>
        </w:tc>
        <w:tc>
          <w:tcPr>
            <w:tcW w:w="26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78</w:t>
              </w:r>
            </w:hyperlink>
          </w:p>
        </w:tc>
        <w:tc>
          <w:tcPr>
            <w:tcW w:w="3920" w:type="dxa"/>
            <w:vAlign w:val="bottom"/>
          </w:tcPr>
          <w:p>
            <w:pPr>
              <w:spacing w:after="0"/>
              <w:rPr>
                <w:sz w:val="12"/>
                <w:szCs w:val="12"/>
                <w:color w:val="auto"/>
              </w:rPr>
            </w:pPr>
          </w:p>
        </w:tc>
      </w:tr>
      <w:tr>
        <w:trPr>
          <w:trHeight w:val="143"/>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7.09</w:t>
              </w:r>
            </w:hyperlink>
          </w:p>
        </w:tc>
        <w:tc>
          <w:tcPr>
            <w:tcW w:w="14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Eligibility; Disqualification</w:t>
              </w:r>
            </w:hyperlink>
          </w:p>
        </w:tc>
        <w:tc>
          <w:tcPr>
            <w:tcW w:w="100" w:type="dxa"/>
            <w:vAlign w:val="bottom"/>
          </w:tcPr>
          <w:p>
            <w:pPr>
              <w:spacing w:after="0"/>
              <w:rPr>
                <w:sz w:val="12"/>
                <w:szCs w:val="12"/>
                <w:color w:val="auto"/>
              </w:rPr>
            </w:pPr>
          </w:p>
        </w:tc>
        <w:tc>
          <w:tcPr>
            <w:tcW w:w="260" w:type="dxa"/>
            <w:vAlign w:val="bottom"/>
          </w:tcPr>
          <w:p>
            <w:pPr>
              <w:jc w:val="right"/>
              <w:ind w:right="7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78</w:t>
              </w:r>
            </w:hyperlink>
          </w:p>
        </w:tc>
        <w:tc>
          <w:tcPr>
            <w:tcW w:w="3920" w:type="dxa"/>
            <w:vAlign w:val="bottom"/>
          </w:tcPr>
          <w:p>
            <w:pPr>
              <w:spacing w:after="0"/>
              <w:rPr>
                <w:sz w:val="12"/>
                <w:szCs w:val="12"/>
                <w:color w:val="auto"/>
              </w:rPr>
            </w:pPr>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7.10</w:t>
              </w:r>
            </w:hyperlink>
          </w:p>
        </w:tc>
        <w:tc>
          <w:tcPr>
            <w:tcW w:w="5720" w:type="dxa"/>
            <w:vAlign w:val="bottom"/>
            <w:gridSpan w:val="8"/>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Preferential Collection of Claims Against the Issuers  79</w:t>
              </w:r>
            </w:hyperlink>
          </w:p>
        </w:tc>
      </w:tr>
      <w:tr>
        <w:trPr>
          <w:trHeight w:val="266"/>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920" w:type="dxa"/>
            <w:vAlign w:val="bottom"/>
          </w:tcPr>
          <w:p>
            <w:pPr>
              <w:jc w:val="center"/>
              <w:ind w:left="13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VIII</w:t>
              </w:r>
            </w:hyperlink>
          </w:p>
        </w:tc>
      </w:tr>
      <w:tr>
        <w:trPr>
          <w:trHeight w:val="286"/>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tcPr>
          <w:p>
            <w:pPr>
              <w:jc w:val="center"/>
              <w:ind w:left="13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DISCHARGE OF INDENTURE; DEFEASANCE</w:t>
              </w:r>
            </w:hyperlink>
          </w:p>
        </w:tc>
      </w:tr>
      <w:tr>
        <w:trPr>
          <w:trHeight w:val="249"/>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8.01</w:t>
              </w:r>
            </w:hyperlink>
          </w:p>
        </w:tc>
        <w:tc>
          <w:tcPr>
            <w:tcW w:w="5720" w:type="dxa"/>
            <w:vAlign w:val="bottom"/>
            <w:gridSpan w:val="8"/>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Discharge of Liability on Notes; Defeasance  79</w:t>
              </w:r>
            </w:hyperlink>
          </w:p>
        </w:tc>
      </w:tr>
      <w:tr>
        <w:trPr>
          <w:trHeight w:val="160"/>
        </w:trPr>
        <w:tc>
          <w:tcPr>
            <w:tcW w:w="84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8.02</w:t>
              </w:r>
            </w:hyperlink>
          </w:p>
        </w:tc>
        <w:tc>
          <w:tcPr>
            <w:tcW w:w="1440" w:type="dxa"/>
            <w:vAlign w:val="bottom"/>
            <w:gridSpan w:val="5"/>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Conditions to Defeasance</w:t>
              </w:r>
            </w:hyperlink>
          </w:p>
        </w:tc>
        <w:tc>
          <w:tcPr>
            <w:tcW w:w="360" w:type="dxa"/>
            <w:vAlign w:val="bottom"/>
            <w:gridSpan w:val="2"/>
          </w:tcPr>
          <w:p>
            <w:pPr>
              <w:jc w:val="right"/>
              <w:ind w:right="15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80</w:t>
              </w:r>
            </w:hyperlink>
          </w:p>
        </w:tc>
        <w:tc>
          <w:tcPr>
            <w:tcW w:w="3920" w:type="dxa"/>
            <w:vAlign w:val="bottom"/>
          </w:tcPr>
          <w:p>
            <w:pPr>
              <w:spacing w:after="0"/>
              <w:rPr>
                <w:sz w:val="13"/>
                <w:szCs w:val="13"/>
                <w:color w:val="auto"/>
              </w:rPr>
            </w:pPr>
          </w:p>
        </w:tc>
      </w:tr>
    </w:tbl>
    <w:p>
      <w:pPr>
        <w:spacing w:after="0" w:line="200" w:lineRule="exact"/>
        <w:rPr>
          <w:sz w:val="20"/>
          <w:szCs w:val="20"/>
          <w:color w:val="auto"/>
        </w:rPr>
      </w:pPr>
    </w:p>
    <w:p>
      <w:pPr>
        <w:spacing w:after="0" w:line="3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ii</w:t>
      </w:r>
    </w:p>
    <w:p>
      <w:pPr>
        <w:sectPr>
          <w:pgSz w:w="11900" w:h="16840" w:orient="portrait"/>
          <w:cols w:equalWidth="0" w:num="1">
            <w:col w:w="9820"/>
          </w:cols>
          <w:pgMar w:left="640" w:top="1440" w:right="1440" w:bottom="1440" w:gutter="0" w:footer="0" w:header="0"/>
        </w:sectPr>
      </w:pPr>
    </w:p>
    <w:bookmarkStart w:id="175" w:name="page176"/>
    <w:bookmarkEnd w:id="175"/>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8.03</w:t>
              </w:r>
            </w:hyperlink>
          </w:p>
        </w:tc>
        <w:tc>
          <w:tcPr>
            <w:tcW w:w="1540" w:type="dxa"/>
            <w:vAlign w:val="bottom"/>
            <w:gridSpan w:val="5"/>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Application of Trust Money</w:t>
              </w:r>
            </w:hyperlink>
          </w:p>
        </w:tc>
        <w:tc>
          <w:tcPr>
            <w:tcW w:w="200" w:type="dxa"/>
            <w:vAlign w:val="bottom"/>
          </w:tcPr>
          <w:p>
            <w:pPr>
              <w:jc w:val="right"/>
              <w:ind w:right="1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81</w:t>
              </w:r>
            </w:hyperlink>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8.04</w:t>
              </w:r>
            </w:hyperlink>
          </w:p>
        </w:tc>
        <w:tc>
          <w:tcPr>
            <w:tcW w:w="1200" w:type="dxa"/>
            <w:vAlign w:val="bottom"/>
            <w:gridSpan w:val="3"/>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Repayment to Issuers</w:t>
              </w:r>
            </w:hyperlink>
          </w:p>
        </w:tc>
        <w:tc>
          <w:tcPr>
            <w:tcW w:w="160" w:type="dxa"/>
            <w:vAlign w:val="bottom"/>
          </w:tcPr>
          <w:p>
            <w:pPr>
              <w:jc w:val="right"/>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81</w:t>
              </w:r>
            </w:hyperlink>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8.05</w:t>
              </w:r>
            </w:hyperlink>
          </w:p>
        </w:tc>
        <w:tc>
          <w:tcPr>
            <w:tcW w:w="2480" w:type="dxa"/>
            <w:vAlign w:val="bottom"/>
            <w:gridSpan w:val="7"/>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Indemnity for U.S. Government Obligations  81</w:t>
              </w:r>
            </w:hyperlink>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60"/>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8.06</w:t>
              </w:r>
            </w:hyperlink>
          </w:p>
        </w:tc>
        <w:tc>
          <w:tcPr>
            <w:tcW w:w="760" w:type="dxa"/>
            <w:vAlign w:val="bottom"/>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Reinstatement</w:t>
              </w:r>
            </w:hyperlink>
          </w:p>
        </w:tc>
        <w:tc>
          <w:tcPr>
            <w:tcW w:w="28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81</w:t>
              </w:r>
            </w:hyperlink>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66"/>
        </w:trPr>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40" w:type="dxa"/>
            <w:vAlign w:val="bottom"/>
          </w:tcPr>
          <w:p>
            <w:pPr>
              <w:jc w:val="center"/>
              <w:ind w:left="37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IX</w:t>
              </w:r>
            </w:hyperlink>
          </w:p>
        </w:tc>
      </w:tr>
      <w:tr>
        <w:trPr>
          <w:trHeight w:val="286"/>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center"/>
              <w:ind w:left="3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AMENDMENTS AND WAIVERS</w:t>
              </w:r>
            </w:hyperlink>
          </w:p>
        </w:tc>
      </w:tr>
      <w:tr>
        <w:trPr>
          <w:trHeight w:val="249"/>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9.01</w:t>
              </w:r>
            </w:hyperlink>
          </w:p>
        </w:tc>
        <w:tc>
          <w:tcPr>
            <w:tcW w:w="1740" w:type="dxa"/>
            <w:vAlign w:val="bottom"/>
            <w:gridSpan w:val="6"/>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Without Consent of the Holders</w:t>
              </w:r>
            </w:hyperlink>
          </w:p>
        </w:tc>
        <w:tc>
          <w:tcPr>
            <w:tcW w:w="740" w:type="dxa"/>
            <w:vAlign w:val="bottom"/>
          </w:tcPr>
          <w:p>
            <w:pPr>
              <w:jc w:val="right"/>
              <w:ind w:right="55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81</w:t>
              </w:r>
            </w:hyperlink>
          </w:p>
        </w:tc>
        <w:tc>
          <w:tcPr>
            <w:tcW w:w="6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9.02</w:t>
              </w:r>
            </w:hyperlink>
          </w:p>
        </w:tc>
        <w:tc>
          <w:tcPr>
            <w:tcW w:w="1540" w:type="dxa"/>
            <w:vAlign w:val="bottom"/>
            <w:gridSpan w:val="5"/>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With Consent of the Holders</w:t>
              </w:r>
            </w:hyperlink>
          </w:p>
        </w:tc>
        <w:tc>
          <w:tcPr>
            <w:tcW w:w="20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82</w:t>
              </w:r>
            </w:hyperlink>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9.03</w:t>
              </w:r>
            </w:hyperlink>
          </w:p>
        </w:tc>
        <w:tc>
          <w:tcPr>
            <w:tcW w:w="2480" w:type="dxa"/>
            <w:vAlign w:val="bottom"/>
            <w:gridSpan w:val="7"/>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Revocation and Effect of Consents and Waivers</w:t>
              </w:r>
            </w:hyperlink>
          </w:p>
        </w:tc>
        <w:tc>
          <w:tcPr>
            <w:tcW w:w="620" w:type="dxa"/>
            <w:vAlign w:val="bottom"/>
          </w:tcPr>
          <w:p>
            <w:pPr>
              <w:jc w:val="right"/>
              <w:ind w:right="37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83</w:t>
              </w:r>
            </w:hyperlink>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9.04</w:t>
              </w:r>
            </w:hyperlink>
          </w:p>
        </w:tc>
        <w:tc>
          <w:tcPr>
            <w:tcW w:w="1740" w:type="dxa"/>
            <w:vAlign w:val="bottom"/>
            <w:gridSpan w:val="6"/>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Notation on or Exchange of Notes</w:t>
              </w:r>
            </w:hyperlink>
          </w:p>
        </w:tc>
        <w:tc>
          <w:tcPr>
            <w:tcW w:w="740" w:type="dxa"/>
            <w:vAlign w:val="bottom"/>
          </w:tcPr>
          <w:p>
            <w:pPr>
              <w:jc w:val="right"/>
              <w:ind w:right="4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83</w:t>
              </w:r>
            </w:hyperlink>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9.05</w:t>
              </w:r>
            </w:hyperlink>
          </w:p>
        </w:tc>
        <w:tc>
          <w:tcPr>
            <w:tcW w:w="1540" w:type="dxa"/>
            <w:vAlign w:val="bottom"/>
            <w:gridSpan w:val="5"/>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Trustee to Sign Amendments</w:t>
              </w:r>
            </w:hyperlink>
          </w:p>
        </w:tc>
        <w:tc>
          <w:tcPr>
            <w:tcW w:w="20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83</w:t>
              </w:r>
            </w:hyperlink>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60"/>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9.06</w:t>
              </w:r>
            </w:hyperlink>
          </w:p>
        </w:tc>
        <w:tc>
          <w:tcPr>
            <w:tcW w:w="3100" w:type="dxa"/>
            <w:vAlign w:val="bottom"/>
            <w:gridSpan w:val="8"/>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Additional Voting Terms; Calculation of Principal Amount</w:t>
              </w:r>
            </w:hyperlink>
          </w:p>
        </w:tc>
        <w:tc>
          <w:tcPr>
            <w:tcW w:w="2240" w:type="dxa"/>
            <w:vAlign w:val="bottom"/>
          </w:tcPr>
          <w:p>
            <w:pPr>
              <w:jc w:val="right"/>
              <w:ind w:right="205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83</w:t>
              </w:r>
            </w:hyperlink>
          </w:p>
        </w:tc>
      </w:tr>
      <w:tr>
        <w:trPr>
          <w:trHeight w:val="266"/>
        </w:trPr>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40" w:type="dxa"/>
            <w:vAlign w:val="bottom"/>
          </w:tcPr>
          <w:p>
            <w:pPr>
              <w:jc w:val="center"/>
              <w:ind w:left="3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X</w:t>
              </w:r>
            </w:hyperlink>
          </w:p>
        </w:tc>
      </w:tr>
      <w:tr>
        <w:trPr>
          <w:trHeight w:val="286"/>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center"/>
              <w:ind w:left="3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[INTENTIONALLY OMITTED]</w:t>
              </w:r>
            </w:hyperlink>
          </w:p>
        </w:tc>
      </w:tr>
      <w:tr>
        <w:trPr>
          <w:trHeight w:val="266"/>
        </w:trPr>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40" w:type="dxa"/>
            <w:vAlign w:val="bottom"/>
          </w:tcPr>
          <w:p>
            <w:pPr>
              <w:jc w:val="center"/>
              <w:ind w:left="37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XI</w:t>
              </w:r>
            </w:hyperlink>
          </w:p>
        </w:tc>
      </w:tr>
      <w:tr>
        <w:trPr>
          <w:trHeight w:val="286"/>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center"/>
              <w:ind w:left="3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[INTENTIONALLY OMITTED]</w:t>
              </w:r>
            </w:hyperlink>
          </w:p>
        </w:tc>
      </w:tr>
      <w:tr>
        <w:trPr>
          <w:trHeight w:val="266"/>
        </w:trPr>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40" w:type="dxa"/>
            <w:vAlign w:val="bottom"/>
          </w:tcPr>
          <w:p>
            <w:pPr>
              <w:jc w:val="center"/>
              <w:ind w:left="37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XII</w:t>
              </w:r>
            </w:hyperlink>
          </w:p>
        </w:tc>
      </w:tr>
      <w:tr>
        <w:trPr>
          <w:trHeight w:val="286"/>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center"/>
              <w:ind w:left="3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GUARANTEE</w:t>
              </w:r>
            </w:hyperlink>
          </w:p>
        </w:tc>
      </w:tr>
      <w:tr>
        <w:trPr>
          <w:trHeight w:val="249"/>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12.01</w:t>
              </w:r>
            </w:hyperlink>
          </w:p>
        </w:tc>
        <w:tc>
          <w:tcPr>
            <w:tcW w:w="1040" w:type="dxa"/>
            <w:vAlign w:val="bottom"/>
            <w:gridSpan w:val="2"/>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Guarantee  84</w:t>
              </w:r>
            </w:hyperlink>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12.02</w:t>
              </w:r>
            </w:hyperlink>
          </w:p>
        </w:tc>
        <w:tc>
          <w:tcPr>
            <w:tcW w:w="1360" w:type="dxa"/>
            <w:vAlign w:val="bottom"/>
            <w:gridSpan w:val="4"/>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Limitation on Liability</w:t>
              </w:r>
            </w:hyperlink>
          </w:p>
        </w:tc>
        <w:tc>
          <w:tcPr>
            <w:tcW w:w="180" w:type="dxa"/>
            <w:vAlign w:val="bottom"/>
          </w:tcPr>
          <w:p>
            <w:pPr>
              <w:jc w:val="right"/>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85</w:t>
              </w:r>
            </w:hyperlink>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12.03</w:t>
              </w:r>
            </w:hyperlink>
          </w:p>
        </w:tc>
        <w:tc>
          <w:tcPr>
            <w:tcW w:w="1200" w:type="dxa"/>
            <w:vAlign w:val="bottom"/>
            <w:gridSpan w:val="3"/>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Release of Guarantors</w:t>
              </w:r>
            </w:hyperlink>
          </w:p>
        </w:tc>
        <w:tc>
          <w:tcPr>
            <w:tcW w:w="340" w:type="dxa"/>
            <w:vAlign w:val="bottom"/>
            <w:gridSpan w:val="2"/>
          </w:tcPr>
          <w:p>
            <w:pPr>
              <w:jc w:val="right"/>
              <w:ind w:right="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85</w:t>
              </w:r>
            </w:hyperlink>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12.04</w:t>
              </w:r>
            </w:hyperlink>
          </w:p>
        </w:tc>
        <w:tc>
          <w:tcPr>
            <w:tcW w:w="1360" w:type="dxa"/>
            <w:vAlign w:val="bottom"/>
            <w:gridSpan w:val="4"/>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Successors and Assigns</w:t>
              </w:r>
            </w:hyperlink>
          </w:p>
        </w:tc>
        <w:tc>
          <w:tcPr>
            <w:tcW w:w="18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86</w:t>
              </w:r>
            </w:hyperlink>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12.05</w:t>
              </w:r>
            </w:hyperlink>
          </w:p>
        </w:tc>
        <w:tc>
          <w:tcPr>
            <w:tcW w:w="760" w:type="dxa"/>
            <w:vAlign w:val="bottom"/>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 Waiver</w:t>
              </w:r>
            </w:hyperlink>
          </w:p>
        </w:tc>
        <w:tc>
          <w:tcPr>
            <w:tcW w:w="280" w:type="dxa"/>
            <w:vAlign w:val="bottom"/>
          </w:tcPr>
          <w:p>
            <w:pPr>
              <w:jc w:val="right"/>
              <w:ind w:right="9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86</w:t>
              </w:r>
            </w:hyperlink>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12.06</w:t>
              </w:r>
            </w:hyperlink>
          </w:p>
        </w:tc>
        <w:tc>
          <w:tcPr>
            <w:tcW w:w="760" w:type="dxa"/>
            <w:vAlign w:val="bottom"/>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Modification</w:t>
              </w:r>
            </w:hyperlink>
          </w:p>
        </w:tc>
        <w:tc>
          <w:tcPr>
            <w:tcW w:w="280" w:type="dxa"/>
            <w:vAlign w:val="bottom"/>
          </w:tcPr>
          <w:p>
            <w:pPr>
              <w:jc w:val="right"/>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86</w:t>
              </w:r>
            </w:hyperlink>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12.07</w:t>
              </w:r>
            </w:hyperlink>
          </w:p>
        </w:tc>
        <w:tc>
          <w:tcPr>
            <w:tcW w:w="3100" w:type="dxa"/>
            <w:vAlign w:val="bottom"/>
            <w:gridSpan w:val="8"/>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Execution of Supplemental Indenture for Future Guarantors</w:t>
              </w:r>
            </w:hyperlink>
          </w:p>
        </w:tc>
        <w:tc>
          <w:tcPr>
            <w:tcW w:w="2240" w:type="dxa"/>
            <w:vAlign w:val="bottom"/>
          </w:tcPr>
          <w:p>
            <w:pPr>
              <w:jc w:val="right"/>
              <w:ind w:right="197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86</w:t>
              </w:r>
            </w:hyperlink>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12.08</w:t>
              </w:r>
            </w:hyperlink>
          </w:p>
        </w:tc>
        <w:tc>
          <w:tcPr>
            <w:tcW w:w="1040" w:type="dxa"/>
            <w:vAlign w:val="bottom"/>
            <w:gridSpan w:val="2"/>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Non-Impairment</w:t>
              </w:r>
            </w:hyperlink>
          </w:p>
        </w:tc>
        <w:tc>
          <w:tcPr>
            <w:tcW w:w="160" w:type="dxa"/>
            <w:vAlign w:val="bottom"/>
          </w:tcPr>
          <w:p>
            <w:pPr>
              <w:jc w:val="right"/>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86</w:t>
              </w:r>
            </w:hyperlink>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12.09</w:t>
              </w:r>
            </w:hyperlink>
          </w:p>
        </w:tc>
        <w:tc>
          <w:tcPr>
            <w:tcW w:w="2480" w:type="dxa"/>
            <w:vAlign w:val="bottom"/>
            <w:gridSpan w:val="7"/>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Limitations on Obligations of Dutch Guarantors</w:t>
              </w:r>
            </w:hyperlink>
          </w:p>
        </w:tc>
        <w:tc>
          <w:tcPr>
            <w:tcW w:w="620" w:type="dxa"/>
            <w:vAlign w:val="bottom"/>
          </w:tcPr>
          <w:p>
            <w:pPr>
              <w:jc w:val="right"/>
              <w:ind w:right="31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86</w:t>
              </w:r>
            </w:hyperlink>
          </w:p>
        </w:tc>
        <w:tc>
          <w:tcPr>
            <w:tcW w:w="2240" w:type="dxa"/>
            <w:vAlign w:val="bottom"/>
          </w:tcPr>
          <w:p>
            <w:pPr>
              <w:spacing w:after="0"/>
              <w:rPr>
                <w:sz w:val="12"/>
                <w:szCs w:val="12"/>
                <w:color w:val="auto"/>
              </w:rPr>
            </w:pPr>
          </w:p>
        </w:tc>
      </w:tr>
      <w:tr>
        <w:trPr>
          <w:trHeight w:val="160"/>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12.10</w:t>
              </w:r>
            </w:hyperlink>
          </w:p>
        </w:tc>
        <w:tc>
          <w:tcPr>
            <w:tcW w:w="3100" w:type="dxa"/>
            <w:vAlign w:val="bottom"/>
            <w:gridSpan w:val="8"/>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Works Council Advice Condition for Dutch Guarantors  87</w:t>
              </w:r>
            </w:hyperlink>
          </w:p>
        </w:tc>
        <w:tc>
          <w:tcPr>
            <w:tcW w:w="2240" w:type="dxa"/>
            <w:vAlign w:val="bottom"/>
          </w:tcPr>
          <w:p>
            <w:pPr>
              <w:spacing w:after="0"/>
              <w:rPr>
                <w:sz w:val="13"/>
                <w:szCs w:val="13"/>
                <w:color w:val="auto"/>
              </w:rPr>
            </w:pPr>
          </w:p>
        </w:tc>
      </w:tr>
      <w:tr>
        <w:trPr>
          <w:trHeight w:val="266"/>
        </w:trPr>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40" w:type="dxa"/>
            <w:vAlign w:val="bottom"/>
          </w:tcPr>
          <w:p>
            <w:pPr>
              <w:jc w:val="center"/>
              <w:ind w:left="3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ARTICLE XIII</w:t>
              </w:r>
            </w:hyperlink>
          </w:p>
        </w:tc>
      </w:tr>
      <w:tr>
        <w:trPr>
          <w:trHeight w:val="286"/>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center"/>
              <w:ind w:left="3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MISCELLANEOUS</w:t>
              </w:r>
            </w:hyperlink>
          </w:p>
        </w:tc>
      </w:tr>
      <w:tr>
        <w:trPr>
          <w:trHeight w:val="249"/>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13.01</w:t>
              </w:r>
            </w:hyperlink>
          </w:p>
        </w:tc>
        <w:tc>
          <w:tcPr>
            <w:tcW w:w="760" w:type="dxa"/>
            <w:vAlign w:val="bottom"/>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Notices  87</w:t>
              </w:r>
            </w:hyperlink>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13.02</w:t>
              </w:r>
            </w:hyperlink>
          </w:p>
        </w:tc>
        <w:tc>
          <w:tcPr>
            <w:tcW w:w="3100" w:type="dxa"/>
            <w:vAlign w:val="bottom"/>
            <w:gridSpan w:val="8"/>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Certificate and Opinion as to Conditions Precedent  88</w:t>
              </w:r>
            </w:hyperlink>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13.03</w:t>
              </w:r>
            </w:hyperlink>
          </w:p>
        </w:tc>
        <w:tc>
          <w:tcPr>
            <w:tcW w:w="2480" w:type="dxa"/>
            <w:vAlign w:val="bottom"/>
            <w:gridSpan w:val="7"/>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Statements Required in Certificate or Opinion</w:t>
              </w:r>
            </w:hyperlink>
          </w:p>
        </w:tc>
        <w:tc>
          <w:tcPr>
            <w:tcW w:w="620" w:type="dxa"/>
            <w:vAlign w:val="bottom"/>
          </w:tcPr>
          <w:p>
            <w:pPr>
              <w:jc w:val="right"/>
              <w:ind w:right="41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88</w:t>
              </w:r>
            </w:hyperlink>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13.04</w:t>
              </w:r>
            </w:hyperlink>
          </w:p>
        </w:tc>
        <w:tc>
          <w:tcPr>
            <w:tcW w:w="1360" w:type="dxa"/>
            <w:vAlign w:val="bottom"/>
            <w:gridSpan w:val="4"/>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When Notes Disregarded</w:t>
              </w:r>
            </w:hyperlink>
          </w:p>
        </w:tc>
        <w:tc>
          <w:tcPr>
            <w:tcW w:w="380" w:type="dxa"/>
            <w:vAlign w:val="bottom"/>
            <w:gridSpan w:val="2"/>
          </w:tcPr>
          <w:p>
            <w:pPr>
              <w:jc w:val="right"/>
              <w:ind w:right="9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88</w:t>
              </w:r>
            </w:hyperlink>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13.05</w:t>
              </w:r>
            </w:hyperlink>
          </w:p>
        </w:tc>
        <w:tc>
          <w:tcPr>
            <w:tcW w:w="2480" w:type="dxa"/>
            <w:vAlign w:val="bottom"/>
            <w:gridSpan w:val="7"/>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Rules by Trustee, Paying Agent and Registrar</w:t>
              </w:r>
            </w:hyperlink>
          </w:p>
        </w:tc>
        <w:tc>
          <w:tcPr>
            <w:tcW w:w="620" w:type="dxa"/>
            <w:vAlign w:val="bottom"/>
          </w:tcPr>
          <w:p>
            <w:pPr>
              <w:jc w:val="right"/>
              <w:ind w:right="418"/>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89</w:t>
              </w:r>
            </w:hyperlink>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13.06</w:t>
              </w:r>
            </w:hyperlink>
          </w:p>
        </w:tc>
        <w:tc>
          <w:tcPr>
            <w:tcW w:w="1200" w:type="dxa"/>
            <w:vAlign w:val="bottom"/>
            <w:gridSpan w:val="3"/>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Legal Holidays  89</w:t>
              </w:r>
            </w:hyperlink>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13.07</w:t>
              </w:r>
            </w:hyperlink>
          </w:p>
        </w:tc>
        <w:tc>
          <w:tcPr>
            <w:tcW w:w="5340" w:type="dxa"/>
            <w:vAlign w:val="bottom"/>
            <w:gridSpan w:val="9"/>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GOVERNING LAW; JURISDICTION; SERVICE OF PROCESS  89</w:t>
              </w:r>
            </w:hyperlink>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13.08</w:t>
              </w:r>
            </w:hyperlink>
          </w:p>
        </w:tc>
        <w:tc>
          <w:tcPr>
            <w:tcW w:w="1200" w:type="dxa"/>
            <w:vAlign w:val="bottom"/>
            <w:gridSpan w:val="3"/>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Waiver of Jury Trial</w:t>
              </w:r>
            </w:hyperlink>
          </w:p>
        </w:tc>
        <w:tc>
          <w:tcPr>
            <w:tcW w:w="160" w:type="dxa"/>
            <w:vAlign w:val="bottom"/>
          </w:tcPr>
          <w:p>
            <w:pPr>
              <w:jc w:val="right"/>
              <w:spacing w:after="0"/>
              <w:rPr>
                <w:rFonts w:ascii="Times New Roman" w:cs="Times New Roman" w:eastAsia="Times New Roman" w:hAnsi="Times New Roman"/>
                <w:sz w:val="12"/>
                <w:szCs w:val="12"/>
                <w:color w:val="auto"/>
                <w:w w:val="99"/>
              </w:rPr>
            </w:pPr>
            <w:hyperlink w:anchor="page177">
              <w:r>
                <w:rPr>
                  <w:rFonts w:ascii="Times New Roman" w:cs="Times New Roman" w:eastAsia="Times New Roman" w:hAnsi="Times New Roman"/>
                  <w:sz w:val="12"/>
                  <w:szCs w:val="12"/>
                  <w:color w:val="auto"/>
                  <w:w w:val="99"/>
                </w:rPr>
                <w:t>89</w:t>
              </w:r>
            </w:hyperlink>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13.09</w:t>
              </w:r>
            </w:hyperlink>
          </w:p>
        </w:tc>
        <w:tc>
          <w:tcPr>
            <w:tcW w:w="1540" w:type="dxa"/>
            <w:vAlign w:val="bottom"/>
            <w:gridSpan w:val="5"/>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No Recourse Against Others</w:t>
              </w:r>
            </w:hyperlink>
          </w:p>
        </w:tc>
        <w:tc>
          <w:tcPr>
            <w:tcW w:w="940" w:type="dxa"/>
            <w:vAlign w:val="bottom"/>
            <w:gridSpan w:val="2"/>
          </w:tcPr>
          <w:p>
            <w:pPr>
              <w:jc w:val="right"/>
              <w:ind w:right="6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89</w:t>
              </w:r>
            </w:hyperlink>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13.10</w:t>
              </w:r>
            </w:hyperlink>
          </w:p>
        </w:tc>
        <w:tc>
          <w:tcPr>
            <w:tcW w:w="760" w:type="dxa"/>
            <w:vAlign w:val="bottom"/>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Successors</w:t>
              </w:r>
            </w:hyperlink>
          </w:p>
        </w:tc>
        <w:tc>
          <w:tcPr>
            <w:tcW w:w="280" w:type="dxa"/>
            <w:vAlign w:val="bottom"/>
          </w:tcPr>
          <w:p>
            <w:pPr>
              <w:jc w:val="right"/>
              <w:ind w:right="98"/>
              <w:spacing w:after="0"/>
              <w:rPr>
                <w:rFonts w:ascii="Times New Roman" w:cs="Times New Roman" w:eastAsia="Times New Roman" w:hAnsi="Times New Roman"/>
                <w:sz w:val="12"/>
                <w:szCs w:val="12"/>
                <w:color w:val="auto"/>
                <w:w w:val="82"/>
              </w:rPr>
            </w:pPr>
            <w:hyperlink w:anchor="page177">
              <w:r>
                <w:rPr>
                  <w:rFonts w:ascii="Times New Roman" w:cs="Times New Roman" w:eastAsia="Times New Roman" w:hAnsi="Times New Roman"/>
                  <w:sz w:val="12"/>
                  <w:szCs w:val="12"/>
                  <w:color w:val="auto"/>
                  <w:w w:val="82"/>
                </w:rPr>
                <w:t>89</w:t>
              </w:r>
            </w:hyperlink>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3"/>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13.11</w:t>
              </w:r>
            </w:hyperlink>
          </w:p>
        </w:tc>
        <w:tc>
          <w:tcPr>
            <w:tcW w:w="1040" w:type="dxa"/>
            <w:vAlign w:val="bottom"/>
            <w:gridSpan w:val="2"/>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Multiple Originals</w:t>
              </w:r>
            </w:hyperlink>
          </w:p>
        </w:tc>
        <w:tc>
          <w:tcPr>
            <w:tcW w:w="320" w:type="dxa"/>
            <w:vAlign w:val="bottom"/>
            <w:gridSpan w:val="2"/>
          </w:tcPr>
          <w:p>
            <w:pPr>
              <w:jc w:val="right"/>
              <w:ind w:right="3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89</w:t>
              </w:r>
            </w:hyperlink>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60"/>
        </w:trPr>
        <w:tc>
          <w:tcPr>
            <w:tcW w:w="86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13.12</w:t>
              </w:r>
            </w:hyperlink>
          </w:p>
        </w:tc>
        <w:tc>
          <w:tcPr>
            <w:tcW w:w="1540" w:type="dxa"/>
            <w:vAlign w:val="bottom"/>
            <w:gridSpan w:val="5"/>
          </w:tcPr>
          <w:p>
            <w:pPr>
              <w:ind w:left="10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Table of Contents; Headings</w:t>
              </w:r>
            </w:hyperlink>
          </w:p>
        </w:tc>
        <w:tc>
          <w:tcPr>
            <w:tcW w:w="940" w:type="dxa"/>
            <w:vAlign w:val="bottom"/>
            <w:gridSpan w:val="2"/>
          </w:tcPr>
          <w:p>
            <w:pPr>
              <w:jc w:val="right"/>
              <w:ind w:right="658"/>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90</w:t>
              </w:r>
            </w:hyperlink>
          </w:p>
        </w:tc>
        <w:tc>
          <w:tcPr>
            <w:tcW w:w="620" w:type="dxa"/>
            <w:vAlign w:val="bottom"/>
          </w:tcPr>
          <w:p>
            <w:pPr>
              <w:spacing w:after="0"/>
              <w:rPr>
                <w:sz w:val="13"/>
                <w:szCs w:val="13"/>
                <w:color w:val="auto"/>
              </w:rPr>
            </w:pPr>
          </w:p>
        </w:tc>
        <w:tc>
          <w:tcPr>
            <w:tcW w:w="2240" w:type="dxa"/>
            <w:vAlign w:val="bottom"/>
          </w:tcPr>
          <w:p>
            <w:pPr>
              <w:spacing w:after="0"/>
              <w:rPr>
                <w:sz w:val="13"/>
                <w:szCs w:val="13"/>
                <w:color w:val="auto"/>
              </w:rPr>
            </w:pPr>
          </w:p>
        </w:tc>
      </w:tr>
    </w:tbl>
    <w:p>
      <w:pPr>
        <w:spacing w:after="0" w:line="200" w:lineRule="exact"/>
        <w:rPr>
          <w:sz w:val="20"/>
          <w:szCs w:val="20"/>
          <w:color w:val="auto"/>
        </w:rPr>
      </w:pPr>
    </w:p>
    <w:p>
      <w:pPr>
        <w:spacing w:after="0" w:line="37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iii</w:t>
      </w:r>
    </w:p>
    <w:p>
      <w:pPr>
        <w:sectPr>
          <w:pgSz w:w="11900" w:h="16840" w:orient="portrait"/>
          <w:cols w:equalWidth="0" w:num="1">
            <w:col w:w="9820"/>
          </w:cols>
          <w:pgMar w:left="640" w:top="1440" w:right="1440" w:bottom="1440" w:gutter="0" w:footer="0" w:header="0"/>
        </w:sectPr>
      </w:pPr>
    </w:p>
    <w:bookmarkStart w:id="176" w:name="page177"/>
    <w:bookmarkEnd w:id="176"/>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0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13.13</w:t>
              </w:r>
            </w:hyperlink>
          </w:p>
        </w:tc>
        <w:tc>
          <w:tcPr>
            <w:tcW w:w="108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Indenture Controls</w:t>
              </w:r>
            </w:hyperlink>
          </w:p>
        </w:tc>
        <w:tc>
          <w:tcPr>
            <w:tcW w:w="3800" w:type="dxa"/>
            <w:vAlign w:val="bottom"/>
          </w:tcPr>
          <w:p>
            <w:pPr>
              <w:ind w:left="4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90</w:t>
              </w:r>
            </w:hyperlink>
          </w:p>
        </w:tc>
      </w:tr>
      <w:tr>
        <w:trPr>
          <w:trHeight w:val="143"/>
        </w:trPr>
        <w:tc>
          <w:tcPr>
            <w:tcW w:w="90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13.14</w:t>
              </w:r>
            </w:hyperlink>
          </w:p>
        </w:tc>
        <w:tc>
          <w:tcPr>
            <w:tcW w:w="108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Severability  90</w:t>
              </w:r>
            </w:hyperlink>
          </w:p>
        </w:tc>
        <w:tc>
          <w:tcPr>
            <w:tcW w:w="3800" w:type="dxa"/>
            <w:vAlign w:val="bottom"/>
          </w:tcPr>
          <w:p>
            <w:pPr>
              <w:spacing w:after="0"/>
              <w:rPr>
                <w:sz w:val="12"/>
                <w:szCs w:val="12"/>
                <w:color w:val="auto"/>
              </w:rPr>
            </w:pPr>
          </w:p>
        </w:tc>
      </w:tr>
      <w:tr>
        <w:trPr>
          <w:trHeight w:val="160"/>
        </w:trPr>
        <w:tc>
          <w:tcPr>
            <w:tcW w:w="900" w:type="dxa"/>
            <w:vAlign w:val="bottom"/>
          </w:tcPr>
          <w:p>
            <w:pPr>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SECTION 13.15</w:t>
              </w:r>
            </w:hyperlink>
          </w:p>
        </w:tc>
        <w:tc>
          <w:tcPr>
            <w:tcW w:w="1080" w:type="dxa"/>
            <w:vAlign w:val="bottom"/>
          </w:tcPr>
          <w:p>
            <w:pPr>
              <w:ind w:left="6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USA PATRIOT Act</w:t>
              </w:r>
            </w:hyperlink>
          </w:p>
        </w:tc>
        <w:tc>
          <w:tcPr>
            <w:tcW w:w="3800" w:type="dxa"/>
            <w:vAlign w:val="bottom"/>
          </w:tcPr>
          <w:p>
            <w:pPr>
              <w:ind w:left="120"/>
              <w:spacing w:after="0"/>
              <w:rPr>
                <w:rFonts w:ascii="Times New Roman" w:cs="Times New Roman" w:eastAsia="Times New Roman" w:hAnsi="Times New Roman"/>
                <w:sz w:val="12"/>
                <w:szCs w:val="12"/>
                <w:color w:val="auto"/>
              </w:rPr>
            </w:pPr>
            <w:hyperlink w:anchor="page177">
              <w:r>
                <w:rPr>
                  <w:rFonts w:ascii="Times New Roman" w:cs="Times New Roman" w:eastAsia="Times New Roman" w:hAnsi="Times New Roman"/>
                  <w:sz w:val="12"/>
                  <w:szCs w:val="12"/>
                  <w:color w:val="auto"/>
                </w:rPr>
                <w:t>90</w:t>
              </w:r>
            </w:hyperlink>
          </w:p>
        </w:tc>
      </w:tr>
      <w:tr>
        <w:trPr>
          <w:trHeight w:val="657"/>
        </w:trPr>
        <w:tc>
          <w:tcPr>
            <w:tcW w:w="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Appendix A</w:t>
            </w:r>
          </w:p>
        </w:tc>
        <w:tc>
          <w:tcPr>
            <w:tcW w:w="1080" w:type="dxa"/>
            <w:vAlign w:val="bottom"/>
          </w:tcPr>
          <w:p>
            <w:pPr>
              <w:spacing w:after="0"/>
              <w:rPr>
                <w:sz w:val="24"/>
                <w:szCs w:val="24"/>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Provisions Relating to Initial Notes and Additional Notes</w:t>
            </w:r>
          </w:p>
        </w:tc>
      </w:tr>
      <w:tr>
        <w:trPr>
          <w:trHeight w:val="162"/>
        </w:trPr>
        <w:tc>
          <w:tcPr>
            <w:tcW w:w="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Schedule I</w:t>
            </w:r>
          </w:p>
        </w:tc>
        <w:tc>
          <w:tcPr>
            <w:tcW w:w="1080" w:type="dxa"/>
            <w:vAlign w:val="bottom"/>
          </w:tcPr>
          <w:p>
            <w:pPr>
              <w:spacing w:after="0"/>
              <w:rPr>
                <w:sz w:val="14"/>
                <w:szCs w:val="14"/>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Agreed Guarantee Principles</w:t>
            </w:r>
          </w:p>
        </w:tc>
      </w:tr>
      <w:tr>
        <w:trPr>
          <w:trHeight w:val="571"/>
        </w:trPr>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0" w:type="dxa"/>
            <w:vAlign w:val="bottom"/>
          </w:tcPr>
          <w:p>
            <w:pPr>
              <w:ind w:left="28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95"/>
        </w:trPr>
        <w:tc>
          <w:tcPr>
            <w:tcW w:w="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Exhibit A</w:t>
            </w:r>
          </w:p>
        </w:tc>
        <w:tc>
          <w:tcPr>
            <w:tcW w:w="10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Form of Note</w:t>
            </w:r>
          </w:p>
        </w:tc>
      </w:tr>
      <w:tr>
        <w:trPr>
          <w:trHeight w:val="162"/>
        </w:trPr>
        <w:tc>
          <w:tcPr>
            <w:tcW w:w="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Exhibit B</w:t>
            </w:r>
          </w:p>
        </w:tc>
        <w:tc>
          <w:tcPr>
            <w:tcW w:w="1080" w:type="dxa"/>
            <w:vAlign w:val="bottom"/>
          </w:tcPr>
          <w:p>
            <w:pPr>
              <w:spacing w:after="0"/>
              <w:rPr>
                <w:sz w:val="14"/>
                <w:szCs w:val="1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Form of Supplemental Indenture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iv</w:t>
      </w:r>
    </w:p>
    <w:p>
      <w:pPr>
        <w:sectPr>
          <w:pgSz w:w="11900" w:h="16840" w:orient="portrait"/>
          <w:cols w:equalWidth="0" w:num="1">
            <w:col w:w="9820"/>
          </w:cols>
          <w:pgMar w:left="640" w:top="1440" w:right="1440" w:bottom="1440" w:gutter="0" w:footer="0" w:header="0"/>
        </w:sectPr>
      </w:pPr>
    </w:p>
    <w:bookmarkStart w:id="177" w:name="page178"/>
    <w:bookmarkEnd w:id="177"/>
    <w:p>
      <w:pPr>
        <w:spacing w:after="0" w:line="157" w:lineRule="exact"/>
        <w:rPr>
          <w:sz w:val="20"/>
          <w:szCs w:val="20"/>
          <w:color w:val="auto"/>
        </w:rPr>
      </w:pPr>
    </w:p>
    <w:p>
      <w:pPr>
        <w:ind w:right="40" w:firstLine="914"/>
        <w:spacing w:after="0" w:line="287" w:lineRule="auto"/>
        <w:rPr>
          <w:sz w:val="20"/>
          <w:szCs w:val="20"/>
          <w:color w:val="auto"/>
        </w:rPr>
      </w:pPr>
      <w:r>
        <w:rPr>
          <w:rFonts w:ascii="Times New Roman" w:cs="Times New Roman" w:eastAsia="Times New Roman" w:hAnsi="Times New Roman"/>
          <w:sz w:val="12"/>
          <w:szCs w:val="12"/>
          <w:color w:val="auto"/>
        </w:rPr>
        <w:t>INDENTURE, dated as of December 3, 2025, by and among the Issuers (as defined below), the Guarantors (as defined below) and Wilmington Trust, National Association, as trustee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registrar and paying agent.</w:t>
      </w:r>
    </w:p>
    <w:p>
      <w:pPr>
        <w:spacing w:after="0" w:line="108" w:lineRule="exact"/>
        <w:rPr>
          <w:sz w:val="20"/>
          <w:szCs w:val="20"/>
          <w:color w:val="auto"/>
        </w:rPr>
      </w:pPr>
    </w:p>
    <w:p>
      <w:pPr>
        <w:ind w:right="20" w:firstLine="914"/>
        <w:spacing w:after="0" w:line="287" w:lineRule="auto"/>
        <w:rPr>
          <w:sz w:val="20"/>
          <w:szCs w:val="20"/>
          <w:color w:val="auto"/>
        </w:rPr>
      </w:pPr>
      <w:r>
        <w:rPr>
          <w:rFonts w:ascii="Times New Roman" w:cs="Times New Roman" w:eastAsia="Times New Roman" w:hAnsi="Times New Roman"/>
          <w:sz w:val="12"/>
          <w:szCs w:val="12"/>
          <w:color w:val="auto"/>
        </w:rPr>
        <w:t>Each party agrees as follows for the benefit of each other and for the equal and ratable benefit of the holders of (i) $1,000,000,000 aggregate principal amount of the Issuers’ 7.250% Senior Notes due 2033 issued on the date hereof (the “</w:t>
      </w:r>
      <w:r>
        <w:rPr>
          <w:rFonts w:ascii="Times New Roman" w:cs="Times New Roman" w:eastAsia="Times New Roman" w:hAnsi="Times New Roman"/>
          <w:sz w:val="12"/>
          <w:szCs w:val="12"/>
          <w:u w:val="single" w:color="auto"/>
          <w:color w:val="auto"/>
        </w:rPr>
        <w:t>Initial Notes</w:t>
      </w:r>
      <w:r>
        <w:rPr>
          <w:rFonts w:ascii="Times New Roman" w:cs="Times New Roman" w:eastAsia="Times New Roman" w:hAnsi="Times New Roman"/>
          <w:sz w:val="12"/>
          <w:szCs w:val="12"/>
          <w:color w:val="auto"/>
        </w:rPr>
        <w:t>”) and (ii) Additional Notes issued from time to time.</w:t>
      </w:r>
    </w:p>
    <w:p>
      <w:pPr>
        <w:spacing w:after="0" w:line="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0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DEFINITIONS AND INCORPORATION BY REFERENCE</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1.01</w:t>
        <w:tab/>
        <w:t>Definitions.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Acquired Indebtedness</w:t>
      </w:r>
      <w:r>
        <w:rPr>
          <w:rFonts w:ascii="Times New Roman" w:cs="Times New Roman" w:eastAsia="Times New Roman" w:hAnsi="Times New Roman"/>
          <w:sz w:val="12"/>
          <w:szCs w:val="12"/>
          <w:color w:val="auto"/>
        </w:rPr>
        <w:t>” means, with respect to any specified Person:</w:t>
      </w:r>
    </w:p>
    <w:p>
      <w:pPr>
        <w:spacing w:after="0" w:line="109" w:lineRule="exact"/>
        <w:rPr>
          <w:sz w:val="20"/>
          <w:szCs w:val="20"/>
          <w:color w:val="auto"/>
        </w:rPr>
      </w:pPr>
    </w:p>
    <w:p>
      <w:pPr>
        <w:ind w:left="1360" w:hanging="440"/>
        <w:spacing w:after="0"/>
        <w:tabs>
          <w:tab w:leader="none" w:pos="136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any other Person existing at the time such other Person is merged, consolidated or amalgamated with or into or became a Restricted Subsidiary of such specified Person,</w:t>
      </w:r>
    </w:p>
    <w:p>
      <w:pPr>
        <w:ind w:left="460"/>
        <w:spacing w:after="0"/>
        <w:rPr>
          <w:sz w:val="20"/>
          <w:szCs w:val="20"/>
          <w:color w:val="auto"/>
        </w:rPr>
      </w:pPr>
      <w:r>
        <w:rPr>
          <w:rFonts w:ascii="Times New Roman" w:cs="Times New Roman" w:eastAsia="Times New Roman" w:hAnsi="Times New Roman"/>
          <w:sz w:val="12"/>
          <w:szCs w:val="12"/>
          <w:color w:val="auto"/>
        </w:rPr>
        <w:t>and</w:t>
      </w:r>
    </w:p>
    <w:p>
      <w:pPr>
        <w:spacing w:after="0" w:line="95" w:lineRule="exact"/>
        <w:rPr>
          <w:sz w:val="20"/>
          <w:szCs w:val="20"/>
          <w:color w:val="auto"/>
        </w:rPr>
      </w:pPr>
    </w:p>
    <w:p>
      <w:pPr>
        <w:ind w:left="1360" w:hanging="440"/>
        <w:spacing w:after="0"/>
        <w:tabs>
          <w:tab w:leader="none" w:pos="136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secured by a Lien encumbering any asset acquired by such specified Person.</w:t>
      </w:r>
    </w:p>
    <w:p>
      <w:pPr>
        <w:spacing w:after="0" w:line="11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Acquired Indebtedness will be deemed to have been Incurred, with respect to clause (1) of the preceding sentence, on the date such other Person merges with or into or becomes a Restricted Subsidiary of such specified Person and, with respect to clause (2) of the preceding sentence, on the date of consummation of such acquisition of such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w:t>
      </w:r>
      <w:r>
        <w:rPr>
          <w:rFonts w:ascii="Times New Roman" w:cs="Times New Roman" w:eastAsia="Times New Roman" w:hAnsi="Times New Roman"/>
          <w:sz w:val="12"/>
          <w:szCs w:val="12"/>
          <w:color w:val="auto"/>
        </w:rPr>
        <w:t>” means the proposed acquisition by the Purchaser of all of the issued and outstanding equity interests of Merus pursuant to the Acquisition Agreement.</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Agreement</w:t>
      </w:r>
      <w:r>
        <w:rPr>
          <w:rFonts w:ascii="Times New Roman" w:cs="Times New Roman" w:eastAsia="Times New Roman" w:hAnsi="Times New Roman"/>
          <w:sz w:val="12"/>
          <w:szCs w:val="12"/>
          <w:color w:val="auto"/>
        </w:rPr>
        <w:t>” means the Transaction Agreement, dated as of September 29, 2025 (as amended, restated, supplemented or otherwise modified from time to time), by and among the Company, the Purchaser and Merus.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Date</w:t>
      </w:r>
      <w:r>
        <w:rPr>
          <w:rFonts w:ascii="Times New Roman" w:cs="Times New Roman" w:eastAsia="Times New Roman" w:hAnsi="Times New Roman"/>
          <w:sz w:val="12"/>
          <w:szCs w:val="12"/>
          <w:color w:val="auto"/>
        </w:rPr>
        <w:t>” means the date of the consummation of the Acquisition.</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Documents</w:t>
      </w:r>
      <w:r>
        <w:rPr>
          <w:rFonts w:ascii="Times New Roman" w:cs="Times New Roman" w:eastAsia="Times New Roman" w:hAnsi="Times New Roman"/>
          <w:sz w:val="12"/>
          <w:szCs w:val="12"/>
          <w:color w:val="auto"/>
        </w:rPr>
        <w:t>” means the Acquisition Agreement and any other agreements or instruments contemplated thereby, in each case, as amended, restated, supplemented or otherwise modified from time to time.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Notes</w:t>
      </w:r>
      <w:r>
        <w:rPr>
          <w:rFonts w:ascii="Times New Roman" w:cs="Times New Roman" w:eastAsia="Times New Roman" w:hAnsi="Times New Roman"/>
          <w:sz w:val="12"/>
          <w:szCs w:val="12"/>
          <w:color w:val="auto"/>
        </w:rPr>
        <w:t>” means the Notes issued under the terms of this Indenture subsequent to the Issue Date.</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Refinancing Amount</w:t>
      </w:r>
      <w:r>
        <w:rPr>
          <w:rFonts w:ascii="Times New Roman" w:cs="Times New Roman" w:eastAsia="Times New Roman" w:hAnsi="Times New Roman"/>
          <w:sz w:val="12"/>
          <w:szCs w:val="12"/>
          <w:color w:val="auto"/>
        </w:rPr>
        <w:t xml:space="preserve"> ” means, in connection with the Incurrence of any Refinancing Indebtedness, the aggregate principal amount of additional Indebtedness, Disqualified Stock or Preferred Stock Incurred to pay accrued and unpaid interest, premiums (including tender premiums), expenses, underwriting discounts, commissions, defeasance costs and fees in respect thereof.</w:t>
      </w:r>
    </w:p>
    <w:p>
      <w:pPr>
        <w:spacing w:after="0" w:line="7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(including, with correlative meanings, the terms “</w:t>
      </w:r>
      <w:r>
        <w:rPr>
          <w:rFonts w:ascii="Times New Roman" w:cs="Times New Roman" w:eastAsia="Times New Roman" w:hAnsi="Times New Roman"/>
          <w:sz w:val="12"/>
          <w:szCs w:val="12"/>
          <w:u w:val="single" w:color="auto"/>
          <w:color w:val="auto"/>
        </w:rPr>
        <w:t>controlling</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controlled by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under common control with</w:t>
      </w:r>
      <w:r>
        <w:rPr>
          <w:rFonts w:ascii="Times New Roman" w:cs="Times New Roman" w:eastAsia="Times New Roman" w:hAnsi="Times New Roman"/>
          <w:sz w:val="12"/>
          <w:szCs w:val="12"/>
          <w:color w:val="auto"/>
        </w:rPr>
        <w:t>”),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Agreed Guarantee Principles</w:t>
      </w:r>
      <w:r>
        <w:rPr>
          <w:rFonts w:ascii="Times New Roman" w:cs="Times New Roman" w:eastAsia="Times New Roman" w:hAnsi="Times New Roman"/>
          <w:sz w:val="12"/>
          <w:szCs w:val="12"/>
          <w:color w:val="auto"/>
        </w:rPr>
        <w:t>” means the agreed guarantee principles set forth in Schedule I.</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Premium</w:t>
      </w:r>
      <w:r>
        <w:rPr>
          <w:rFonts w:ascii="Times New Roman" w:cs="Times New Roman" w:eastAsia="Times New Roman" w:hAnsi="Times New Roman"/>
          <w:sz w:val="12"/>
          <w:szCs w:val="12"/>
          <w:color w:val="auto"/>
        </w:rPr>
        <w:t>” means, with respect to any Note on any applicable redemption date, as determined by the Company, the greater of:</w:t>
      </w:r>
    </w:p>
    <w:p>
      <w:pPr>
        <w:spacing w:after="0" w:line="109" w:lineRule="exact"/>
        <w:rPr>
          <w:sz w:val="20"/>
          <w:szCs w:val="20"/>
          <w:color w:val="auto"/>
        </w:rPr>
      </w:pPr>
    </w:p>
    <w:p>
      <w:pPr>
        <w:ind w:left="1360" w:hanging="440"/>
        <w:spacing w:after="0"/>
        <w:tabs>
          <w:tab w:leader="none" w:pos="13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of the then outstanding principal amount of the Note; and</w:t>
      </w:r>
    </w:p>
    <w:p>
      <w:pPr>
        <w:sectPr>
          <w:pgSz w:w="11900" w:h="16840" w:orient="portrait"/>
          <w:cols w:equalWidth="0" w:num="1">
            <w:col w:w="10620"/>
          </w:cols>
          <w:pgMar w:left="640" w:top="1440" w:right="640" w:bottom="1440" w:gutter="0" w:footer="0" w:header="0"/>
        </w:sectPr>
      </w:pPr>
    </w:p>
    <w:bookmarkStart w:id="178" w:name="page179"/>
    <w:bookmarkEnd w:id="178"/>
    <w:p>
      <w:pPr>
        <w:spacing w:after="0" w:line="148" w:lineRule="exact"/>
        <w:rPr>
          <w:sz w:val="20"/>
          <w:szCs w:val="20"/>
          <w:color w:val="auto"/>
        </w:rPr>
      </w:pPr>
    </w:p>
    <w:p>
      <w:pPr>
        <w:ind w:left="1360" w:hanging="440"/>
        <w:spacing w:after="0"/>
        <w:tabs>
          <w:tab w:leader="none" w:pos="136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excess, if any, of:</w:t>
      </w:r>
    </w:p>
    <w:p>
      <w:pPr>
        <w:spacing w:after="0" w:line="107" w:lineRule="exact"/>
        <w:rPr>
          <w:rFonts w:ascii="Times New Roman" w:cs="Times New Roman" w:eastAsia="Times New Roman" w:hAnsi="Times New Roman"/>
          <w:sz w:val="12"/>
          <w:szCs w:val="12"/>
          <w:color w:val="auto"/>
        </w:rPr>
      </w:pPr>
    </w:p>
    <w:p>
      <w:pPr>
        <w:jc w:val="both"/>
        <w:ind w:left="920" w:right="20" w:firstLine="457"/>
        <w:spacing w:after="0" w:line="237" w:lineRule="auto"/>
        <w:tabs>
          <w:tab w:leader="none" w:pos="1824"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present value at such redemption date of (i) the redemption price of the Note, at December 15, 2028 (such redemption price being set forth in Paragraph 5 of the Note)</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 all required interest payments due on the Note through December 15, 2028 (excluding accrued but unpaid interest), computed using a discount rate equal to the Treasury Rate as of such redemption date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50 basis points; </w:t>
      </w:r>
      <w:r>
        <w:rPr>
          <w:rFonts w:ascii="Times New Roman" w:cs="Times New Roman" w:eastAsia="Times New Roman" w:hAnsi="Times New Roman"/>
          <w:sz w:val="12"/>
          <w:szCs w:val="12"/>
          <w:i w:val="1"/>
          <w:iCs w:val="1"/>
          <w:color w:val="auto"/>
        </w:rPr>
        <w:t>over</w:t>
      </w:r>
    </w:p>
    <w:p>
      <w:pPr>
        <w:spacing w:after="0" w:line="88"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 outstanding principal amount of the Note.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Asset Sale</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460" w:right="20" w:firstLine="460"/>
        <w:spacing w:after="0" w:line="253" w:lineRule="auto"/>
        <w:tabs>
          <w:tab w:leader="none" w:pos="136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conveyance, transfer or other disposition (whether in a single transaction or a series of related transactions) of property or assets (including by way of Sale/Leaseback Transactions) of the Company or any Restricted Subsidiary (other than Unrestricted Margin Stock) outside the ordinary course of business (each referred to in this definition as a “disposition”); or</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or sale of Equity Interests (other than (y) Unrestricted Margin Stock or (x) directors’ qualifying shares and shares issued to foreign nationals or other third parties to the extent required by applicable law) of any Restricted Subsidiary (other than to the Company or another Restricted Subsidiary) (whether in a single transaction or a series of related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each case other than:</w:t>
      </w:r>
    </w:p>
    <w:p>
      <w:pPr>
        <w:spacing w:after="0" w:line="119" w:lineRule="exact"/>
        <w:rPr>
          <w:sz w:val="20"/>
          <w:szCs w:val="20"/>
          <w:color w:val="auto"/>
        </w:rPr>
      </w:pPr>
    </w:p>
    <w:p>
      <w:pPr>
        <w:ind w:left="1360" w:hanging="440"/>
        <w:spacing w:after="0"/>
        <w:tabs>
          <w:tab w:leader="none" w:pos="136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disposition of Cash Equivalents or Marketable Securities or surplus, obsolete, damaged or worn out equipment or other property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disposition of all or substantially all of the assets of the Company or any Guarantor in a manner permitted pursuant to Section 5.01 or any disposition that constitutes a Change of</w:t>
      </w:r>
    </w:p>
    <w:p>
      <w:pPr>
        <w:ind w:left="460"/>
        <w:spacing w:after="0"/>
        <w:rPr>
          <w:sz w:val="20"/>
          <w:szCs w:val="20"/>
          <w:color w:val="auto"/>
        </w:rPr>
      </w:pPr>
      <w:r>
        <w:rPr>
          <w:rFonts w:ascii="Times New Roman" w:cs="Times New Roman" w:eastAsia="Times New Roman" w:hAnsi="Times New Roman"/>
          <w:sz w:val="12"/>
          <w:szCs w:val="12"/>
          <w:color w:val="auto"/>
        </w:rPr>
        <w:t>Control;</w:t>
      </w:r>
    </w:p>
    <w:p>
      <w:pPr>
        <w:spacing w:after="0" w:line="95" w:lineRule="exact"/>
        <w:rPr>
          <w:sz w:val="20"/>
          <w:szCs w:val="20"/>
          <w:color w:val="auto"/>
        </w:rPr>
      </w:pPr>
    </w:p>
    <w:p>
      <w:pPr>
        <w:ind w:left="1360" w:hanging="440"/>
        <w:spacing w:after="0"/>
        <w:tabs>
          <w:tab w:leader="none" w:pos="1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Payment or Permitted Investment that is permitted to be made, and is made, under Section 4.04;</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assets of the Company or any Restricted Subsidiary or issuance or sale of Equity Interests of any Restricted Subsidiary, which assets or Equity Interests so disposed or issued in any single transaction or series of related transactions have an aggregate Fair Market Value of less than $25 million;</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property or assets, or the issuance of securities, by the Company or a Restricted Subsidiary to the Company or a Restricted Subsidiary;</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exchange of assets (including a combination of assets and Cash Equivalents) for assets related to a Similar Business of comparable or greater market value or usefulness to the business of the Company and its Restricted Subsidiaries as a whole, as determined in good faith by the Company;</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foreclosure or any similar action with respect to any property or other asset of the Company or any of the Restricted Subsidiaries;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Equity Interests in, or Indebtedness or other securities of, an Unrestricted Subsidiary, other than Unrestricted Subsidiaries the primary assets of which are cash and Cash</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Equivalents;</w:t>
      </w:r>
    </w:p>
    <w:p>
      <w:pPr>
        <w:spacing w:after="0" w:line="95"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lease, assignment or sublease of any real or personal property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of inventory or other assets in the ordinary course of business;</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grant of any license (or any similar disposition in connection with a joint development or co-commercialization agreement) of Patents, trademarks, know-how or any other Intellectual Property, in each case, in the ordinary course of business;</w:t>
      </w:r>
    </w:p>
    <w:p>
      <w:pPr>
        <w:spacing w:after="0" w:line="7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swap of assets, or lease, assignment or sublease of any real or personal property, in exchange for services (including in connection with any outsourcing arrangements) of comparable</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ectPr>
          <w:pgSz w:w="11900" w:h="16840" w:orient="portrait"/>
          <w:cols w:equalWidth="0" w:num="1">
            <w:col w:w="10620"/>
          </w:cols>
          <w:pgMar w:left="640" w:top="1440" w:right="640" w:bottom="1440" w:gutter="0" w:footer="0" w:header="0"/>
        </w:sectPr>
      </w:pPr>
    </w:p>
    <w:bookmarkStart w:id="179" w:name="page180"/>
    <w:bookmarkEnd w:id="179"/>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greater value or usefulness to the business of the Company and its Restricted Subsidiaries as a whole, as determined in good faith by the Company;</w:t>
      </w:r>
    </w:p>
    <w:p>
      <w:pPr>
        <w:spacing w:after="0" w:line="109" w:lineRule="exact"/>
        <w:rPr>
          <w:sz w:val="20"/>
          <w:szCs w:val="20"/>
          <w:color w:val="auto"/>
        </w:rPr>
      </w:pPr>
    </w:p>
    <w:p>
      <w:pPr>
        <w:ind w:left="1360" w:hanging="440"/>
        <w:spacing w:after="0"/>
        <w:tabs>
          <w:tab w:leader="none" w:pos="13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(including by capital contribution) of Permitted Receivables Facility Assets including pursuant to Qualified Receivables Facilities;</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exchange or swap of assets (other than cash and Permitted Investments) for other assets (other than cash and Permitted Investments) of comparable or greater value or usefulness to the business of the Company and its Subsidiaries as a whole, as determined in good faith by the Company;</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in connection with Permitted Liens;</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87"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surrender, expiration or waiver of contract rights or the settlement, release, recovery on or surrender of contract, tort or other claims of any kind;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by the Company or any of the Restricted Subsidiaries to charitable foundations, not-for-profits or other similar organizations with an aggregate Fair Market Value not to exceed $10 million in any calendar year;</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inventory or dispositions or abandonment of Intellectual Property of the Company or a Restricted Subsidiary, or dispositions of assets acquired by the Company or a Restricted Subsidiary in a Permitted Investment, in any such case that are determined in good faith by the management of the Company to be no longer economically practicable to maintain or useful or necessary in the operation of the business of the Company or any of its Restricted Subsidiaries;</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property subject to any casualty event;</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Investments in joint ventures to the extent required by, or made pursuant to, customary buy/sell arrangements among the joint venture parties set forth in joint venture or similar agreements or arrangements; or</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unwinding of any Hedging Agreement.</w:t>
      </w:r>
    </w:p>
    <w:p>
      <w:pPr>
        <w:spacing w:after="0" w:line="11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Attributable Debt</w:t>
      </w:r>
      <w:r>
        <w:rPr>
          <w:rFonts w:ascii="Times New Roman" w:cs="Times New Roman" w:eastAsia="Times New Roman" w:hAnsi="Times New Roman"/>
          <w:sz w:val="12"/>
          <w:szCs w:val="12"/>
          <w:color w:val="auto"/>
        </w:rPr>
        <w:t>” means, as of any date of determination, as to Sale/Leaseback Transactions, the total obligation (discounted to present value at the rate of interest implicit in the lease included in such transaction) of the lessee for rental payments (other than amounts required to be paid on account of property Taxes, maintenance, repairs, insurance, assessments, utilities, operating and labor costs and other items which do not constitute payments for property rights) during the remaining portion of the term (including extensions which are at the sole option of the lessor) of the lease included in such transaction.</w:t>
      </w:r>
    </w:p>
    <w:p>
      <w:pPr>
        <w:spacing w:after="0" w:line="91"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Attributable Receivables Indebtedness</w:t>
      </w:r>
      <w:r>
        <w:rPr>
          <w:rFonts w:ascii="Times New Roman" w:cs="Times New Roman" w:eastAsia="Times New Roman" w:hAnsi="Times New Roman"/>
          <w:sz w:val="12"/>
          <w:szCs w:val="12"/>
          <w:color w:val="auto"/>
        </w:rPr>
        <w:t>” means the principal amount of Indebtedness (other than any Indebtedness subordinated in right of payment owing by a Receivables Entity to a Receivables Seller or a Receivables Seller to another Receivables Seller in connection with the transfer, sale and/or pledge of Permitted Receivables Facility Assets) which (i) if a Qualified Receivables Facility is structured as a secured lending agreement or other similar agreement, constitutes the principal amount of such Indebtedness or (ii)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Bankruptcy Code</w:t>
      </w:r>
      <w:r>
        <w:rPr>
          <w:rFonts w:ascii="Times New Roman" w:cs="Times New Roman" w:eastAsia="Times New Roman" w:hAnsi="Times New Roman"/>
          <w:sz w:val="12"/>
          <w:szCs w:val="12"/>
          <w:color w:val="auto"/>
        </w:rPr>
        <w:t>” means Title 11 of the United States Code entitled “Bankruptcy”, as amended, as now or hereafter in effect.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ectPr>
          <w:pgSz w:w="11900" w:h="16840" w:orient="portrait"/>
          <w:cols w:equalWidth="0" w:num="1">
            <w:col w:w="10620"/>
          </w:cols>
          <w:pgMar w:left="640" w:top="1440" w:right="640" w:bottom="1440" w:gutter="0" w:footer="0" w:header="0"/>
        </w:sectPr>
      </w:pPr>
    </w:p>
    <w:bookmarkStart w:id="180" w:name="page181"/>
    <w:bookmarkEnd w:id="180"/>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Bankruptcy Law</w:t>
      </w:r>
      <w:r>
        <w:rPr>
          <w:rFonts w:ascii="Times New Roman" w:cs="Times New Roman" w:eastAsia="Times New Roman" w:hAnsi="Times New Roman"/>
          <w:sz w:val="12"/>
          <w:szCs w:val="12"/>
          <w:color w:val="auto"/>
        </w:rPr>
        <w:t>” means the Bankruptcy Code and any similar federal, state or foreign law for the relief of debtors as now or hereafter in effect.</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means, as to any Person, the board of directors or managers, as applicable, of such Person or any direct or indirect parent of such Person (or, if such Person is a partnership, the board of directors or other governing body of the general partner of such Person) or any duly authorized committee thereof.</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other than a Saturday, Sunday or other day that is a federal holiday or any day on which banking institutions or trust companies are authorized or required by law to close in New York City or the place of payment.</w:t>
      </w:r>
    </w:p>
    <w:p>
      <w:pPr>
        <w:spacing w:after="0" w:line="79"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Markets Indebtedness</w:t>
      </w:r>
      <w:r>
        <w:rPr>
          <w:rFonts w:ascii="Times New Roman" w:cs="Times New Roman" w:eastAsia="Times New Roman" w:hAnsi="Times New Roman"/>
          <w:sz w:val="12"/>
          <w:szCs w:val="12"/>
          <w:color w:val="auto"/>
        </w:rPr>
        <w:t>” means any Indebtedness consisting of bonds, debentures, notes or other similar debt securities issued in (a) a public offering registered under the Securities Act or (b) a private placement to institutional investors that is resold in accordance with Rule 144A or Regulation S of the Securities Act, whether or not it includes registration rights entitling the holders of such debt securities to registration thereof with the SEC, in each case having an aggregate principal amount outstanding greater than $50 million. The term “Capital Markets Indebtedness” shall not include the Notes (including, for the avoidance of doubt, any Additional Notes) and, for the avoidance of doubt, shall not be construed to include any Indebtedness under the Initial Credit Agreement or similar Indebtedness, Capitalized Lease Obligation or recourse transfer of any financial asset or any other type of Indebtedness incurred in a manner not customarily viewed as a “securities offering.”</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Stock</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corporation, corporate stock or shares;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association or business entity, any and all shares, interests, participations, rights or other equivalents (however designated) of corporate stock;</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partnership or limited liability company, partnership or membership interests (whether general or limited);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interest or participation that confers on a Person the right to receive a share of the profits and losses of, or distributions of assets of, the issuing Person.</w:t>
      </w:r>
    </w:p>
    <w:p>
      <w:pPr>
        <w:spacing w:after="0" w:line="11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Capitalized Lease Obligation</w:t>
      </w:r>
      <w:r>
        <w:rPr>
          <w:rFonts w:ascii="Times New Roman" w:cs="Times New Roman" w:eastAsia="Times New Roman" w:hAnsi="Times New Roman"/>
          <w:sz w:val="12"/>
          <w:szCs w:val="12"/>
          <w:color w:val="auto"/>
        </w:rPr>
        <w:t xml:space="preserve">” means, at the time any determination thereof is to be made, the amount of the liability in respect of a capital lease or a financing lease that would at such time be required to be capitalized and reflected as a liability on a balance sheet (excluding the footnotes thereto) in accordance with IFRS;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obligations in respect of leases which are of a type that would have been previously categorized as operating leases prior to the adoption of IFRS 16 shall not be categorized as Capitalized Lease Obligations for purposes of this Indenture.</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Cash Equivalents</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dollars, pounds sterling, euros or the national currency of any member state in the European Union or such local currencies held from time to time in the ordinary course of business;</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obligations of the United States, the United Kingdom, Norway, Switzerland or any member of the European Union or any agency thereof, or obligations guaranteed by the United States, the United Kingdom, Norway, Switzerland or any member of the European Union or any agency thereof, in each case with maturities not exceeding two years from the date of acquisition thereof;</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 deposit accounts, certificates of deposit, money market deposits, banker’s acceptances and other bank deposits maturing within 180 days of the date of acquisition thereof issued by a bank or trust company having capital, surplus and undivided profits in excess of $250 million and whose long-term debt, or whose parent holding company’s long-term debt, is rated at least A by S&amp;P or A2 by Moody’s (or such similar equivalent rating or higher by at least one nationally recognized statistical rating organization (as defined in Section 3(a)(62) of the Exchange Act));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ectPr>
          <w:pgSz w:w="11900" w:h="16840" w:orient="portrait"/>
          <w:cols w:equalWidth="0" w:num="1">
            <w:col w:w="10620"/>
          </w:cols>
          <w:pgMar w:left="640" w:top="1440" w:right="640" w:bottom="1440" w:gutter="0" w:footer="0" w:header="0"/>
        </w:sectPr>
      </w:pPr>
    </w:p>
    <w:bookmarkStart w:id="181" w:name="page182"/>
    <w:bookmarkEnd w:id="181"/>
    <w:p>
      <w:pPr>
        <w:spacing w:after="0" w:line="148" w:lineRule="exact"/>
        <w:rPr>
          <w:sz w:val="20"/>
          <w:szCs w:val="20"/>
          <w:color w:val="auto"/>
        </w:rPr>
      </w:pPr>
    </w:p>
    <w:p>
      <w:pPr>
        <w:ind w:left="460" w:right="20" w:firstLine="460"/>
        <w:spacing w:after="0" w:line="253" w:lineRule="auto"/>
        <w:tabs>
          <w:tab w:leader="none" w:pos="136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repurchase obligations with a term of not more than 180 days for underlying securities of the types described in clause (2) above entered into with a bank meeting the qualifications described in clause (3) above;</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commercial paper, maturing not more than one year after the date of acquisition, issued by a corporation (other than an Affiliate of the Company) with a rating at the time as of which any investment therein is made of P-1 (or higher) according to Moody’s, or A-1 (or higher) according to S&amp;P (or such similar equivalent rating or higher by at least one nationally recognized statistical rating organization (as defined in Section 3(a)(62) of the Exchange Act));</w:t>
      </w:r>
    </w:p>
    <w:p>
      <w:pPr>
        <w:spacing w:after="0" w:line="87" w:lineRule="exact"/>
        <w:rPr>
          <w:rFonts w:ascii="Times New Roman" w:cs="Times New Roman" w:eastAsia="Times New Roman" w:hAnsi="Times New Roman"/>
          <w:sz w:val="12"/>
          <w:szCs w:val="12"/>
          <w:color w:val="auto"/>
        </w:rPr>
      </w:pPr>
    </w:p>
    <w:p>
      <w:pPr>
        <w:ind w:left="460" w:firstLine="460"/>
        <w:spacing w:after="0" w:line="236" w:lineRule="auto"/>
        <w:tabs>
          <w:tab w:leader="none" w:pos="136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with maturities of two years or less from the date of acquisition, issued or fully guaranteed by any State, commonwealth or territory of the United States, or by any political subdivision or taxing authority thereof, and rated at least A by S&amp;P or A by Moody’s (or such similar equivalent rating or higher by at least one nationally recognized statistical rating organization (as defined in Section 3(a)(62) of the Exchange Act));</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mutual funds whose investment guidelines restrict 95% of such funds’ investments to those satisfying the provisions of clauses (2) through (6) above;</w:t>
      </w:r>
    </w:p>
    <w:p>
      <w:pPr>
        <w:spacing w:after="0" w:line="109" w:lineRule="exact"/>
        <w:rPr>
          <w:rFonts w:ascii="Times New Roman" w:cs="Times New Roman" w:eastAsia="Times New Roman" w:hAnsi="Times New Roman"/>
          <w:sz w:val="12"/>
          <w:szCs w:val="12"/>
          <w:color w:val="auto"/>
        </w:rPr>
      </w:pPr>
    </w:p>
    <w:p>
      <w:pPr>
        <w:ind w:left="460" w:right="60" w:firstLine="460"/>
        <w:spacing w:after="0" w:line="253" w:lineRule="auto"/>
        <w:tabs>
          <w:tab w:leader="none" w:pos="136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 market funds that (i) comply with the criteria set forth in Rule 2a-7 under the Investment Company Act of 1940, (ii) are rated AAA by S&amp;P or Aaa by Moody’s and (iii) have portfolio assets of at least $1,000 million;</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 deposit accounts, certificates of deposit, money market deposits, banker’s acceptances and other bank deposits in an aggregate face amount not in excess of 0.5% of Total Assets;</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w:t>
      </w:r>
    </w:p>
    <w:p>
      <w:pPr>
        <w:spacing w:after="0" w:line="95"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instruments equivalent to those referred to in clauses (2) through (9) above denominated in any foreign currency comparable in credit quality and tenor to those referred to above and commonly used by corporations for cash management purposes in any jurisdiction outside the United States to the extent reasonably required in connection with any business conducted by the Company or any Restricted Subsidiary organized in such jurisdiction.</w:t>
      </w:r>
    </w:p>
    <w:p>
      <w:pPr>
        <w:spacing w:after="0" w:line="9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cash management services</w:t>
      </w:r>
      <w:r>
        <w:rPr>
          <w:rFonts w:ascii="Times New Roman" w:cs="Times New Roman" w:eastAsia="Times New Roman" w:hAnsi="Times New Roman"/>
          <w:sz w:val="12"/>
          <w:szCs w:val="12"/>
          <w:color w:val="auto"/>
        </w:rPr>
        <w:t>” means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 means the occurrence of any of the following:</w:t>
      </w:r>
    </w:p>
    <w:p>
      <w:pPr>
        <w:spacing w:after="0" w:line="109" w:lineRule="exact"/>
        <w:rPr>
          <w:sz w:val="20"/>
          <w:szCs w:val="20"/>
          <w:color w:val="auto"/>
        </w:rPr>
      </w:pPr>
    </w:p>
    <w:p>
      <w:pPr>
        <w:jc w:val="both"/>
        <w:ind w:left="460" w:right="20" w:firstLine="460"/>
        <w:spacing w:after="0"/>
        <w:tabs>
          <w:tab w:leader="none" w:pos="136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lease or transfer (other than by way of merger or consolidation), in one or a series of related transactions, of all or substantially all the assets of the Company and its Subsidiaries, taken as a whole, to any Person or group (within the meaning of Section 13(d)(3) or Section 14(d)(2) of the Exchange Act, or any successor provision) other than to the Company or any of its Subsidiaries; or</w:t>
      </w:r>
    </w:p>
    <w:p>
      <w:pPr>
        <w:spacing w:after="0" w:line="218" w:lineRule="exact"/>
        <w:rPr>
          <w:rFonts w:ascii="Times New Roman" w:cs="Times New Roman" w:eastAsia="Times New Roman" w:hAnsi="Times New Roman"/>
          <w:sz w:val="12"/>
          <w:szCs w:val="12"/>
          <w:color w:val="auto"/>
        </w:rPr>
      </w:pPr>
    </w:p>
    <w:p>
      <w:pPr>
        <w:ind w:left="460" w:firstLine="460"/>
        <w:spacing w:after="0" w:line="222" w:lineRule="auto"/>
        <w:tabs>
          <w:tab w:leader="none" w:pos="136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becomes aware (by way of a report or any other filing pursuant to Section 13(d) of the Exchange Act, proxy, vote, written notice or otherwise) of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in a single transaction or in a related series of transactions, by way of merger, consolidation, amalgamation or other business combination or purchase of beneficial ownership (within the meaning of Rule 13d-3 under the Exchange Act, or any successor provision), of more than 50% of the total voting power of the Voting Stock of the Company, in each case, other than an acquisition where the holders of the Voting Stock of the Company as of immediately prior to such acquisition hold 50% or more of the Voting Stock of the ultimate parent of the Company or successor thereto immediately after such acquisition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no holder of the Voting Stock of the Company as of immediately prior to such acquisition owns, directly or indirectly, more than 50% of the voting power of the Voting Stock of the Company immediately after such acquisition (other than any Person who previously acquired Equity Interests of the Company in a transaction constituting a Change of Control as to which a Change of Control Offer was consummated)), in which case, upon the consummation of any such transaction, “Change of Control” shall thereafter include any Change of Control of such ultimate parent of the Company or successor thereto.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40" w:orient="portrait"/>
          <w:cols w:equalWidth="0" w:num="1">
            <w:col w:w="10620"/>
          </w:cols>
          <w:pgMar w:left="640" w:top="1440" w:right="640" w:bottom="1440" w:gutter="0" w:footer="0" w:header="0"/>
        </w:sectPr>
      </w:pPr>
    </w:p>
    <w:bookmarkStart w:id="182" w:name="page183"/>
    <w:bookmarkEnd w:id="182"/>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Internal Revenue Code of 1986, as amended.</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means Genmab A/S, a public limited liability company (</w:t>
      </w:r>
      <w:r>
        <w:rPr>
          <w:rFonts w:ascii="Times New Roman" w:cs="Times New Roman" w:eastAsia="Times New Roman" w:hAnsi="Times New Roman"/>
          <w:sz w:val="12"/>
          <w:szCs w:val="12"/>
          <w:i w:val="1"/>
          <w:iCs w:val="1"/>
          <w:color w:val="auto"/>
        </w:rPr>
        <w:t>Aktieselskab</w:t>
      </w:r>
      <w:r>
        <w:rPr>
          <w:rFonts w:ascii="Times New Roman" w:cs="Times New Roman" w:eastAsia="Times New Roman" w:hAnsi="Times New Roman"/>
          <w:sz w:val="12"/>
          <w:szCs w:val="12"/>
          <w:color w:val="auto"/>
        </w:rPr>
        <w:t>) organized under the laws of Denmark.</w:t>
      </w:r>
    </w:p>
    <w:p>
      <w:pPr>
        <w:spacing w:after="0" w:line="131"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w:t>
      </w:r>
      <w:r>
        <w:rPr>
          <w:rFonts w:ascii="Times New Roman" w:cs="Times New Roman" w:eastAsia="Times New Roman" w:hAnsi="Times New Roman"/>
          <w:sz w:val="12"/>
          <w:szCs w:val="12"/>
          <w:color w:val="auto"/>
        </w:rPr>
        <w:t>” means, with respect to any Person, such Person consolidated with its Restricted Subsidiaries, and shall not include any Unrestricted Subsidiary, but the interest of such Person in an Unrestricted Subsidiary will be accounted for as an Investment.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Interest Expense</w:t>
      </w:r>
      <w:r>
        <w:rPr>
          <w:rFonts w:ascii="Times New Roman" w:cs="Times New Roman" w:eastAsia="Times New Roman" w:hAnsi="Times New Roman"/>
          <w:sz w:val="12"/>
          <w:szCs w:val="12"/>
          <w:color w:val="auto"/>
        </w:rPr>
        <w:t>” means, with respect to any Person for any period, the sum, without duplication, of:</w:t>
      </w:r>
    </w:p>
    <w:p>
      <w:pPr>
        <w:spacing w:after="0" w:line="109" w:lineRule="exact"/>
        <w:rPr>
          <w:sz w:val="20"/>
          <w:szCs w:val="20"/>
          <w:color w:val="auto"/>
        </w:rPr>
      </w:pPr>
    </w:p>
    <w:p>
      <w:pPr>
        <w:jc w:val="both"/>
        <w:ind w:left="460" w:right="20" w:firstLine="460"/>
        <w:spacing w:after="0" w:line="231" w:lineRule="auto"/>
        <w:tabs>
          <w:tab w:leader="none" w:pos="136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net interest expense of such Person for such period on a consolidated basis, including (a) the amortization of debt discounts, (b) the amortization of all fees (including fees with respect to Hedging Agreements) payable in connection with the Incurrence of Indebtedness to the extent included in interest expense, (c) the portion of any payments or accruals with respect to Capitalized Lease Obligations allocable to interest expense and (d) net payments and receipts (if any) pursuant to interest rate Hedging Obligations, and excluding unrealized mark-to-market gains and losses attributable to such Hedging Obligations, amortization of deferred financing fees and expensing of any bridge or other financing fees; </w:t>
      </w:r>
      <w:r>
        <w:rPr>
          <w:rFonts w:ascii="Times New Roman" w:cs="Times New Roman" w:eastAsia="Times New Roman" w:hAnsi="Times New Roman"/>
          <w:sz w:val="12"/>
          <w:szCs w:val="12"/>
          <w:i w:val="1"/>
          <w:iCs w:val="1"/>
          <w:color w:val="auto"/>
        </w:rPr>
        <w:t>plus</w:t>
      </w:r>
    </w:p>
    <w:p>
      <w:pPr>
        <w:spacing w:after="0" w:line="85"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capitalized interest of such Person, whether paid or accrued; </w:t>
      </w:r>
      <w:r>
        <w:rPr>
          <w:rFonts w:ascii="Times New Roman" w:cs="Times New Roman" w:eastAsia="Times New Roman" w:hAnsi="Times New Roman"/>
          <w:sz w:val="12"/>
          <w:szCs w:val="12"/>
          <w:i w:val="1"/>
          <w:iCs w:val="1"/>
          <w:color w:val="auto"/>
        </w:rPr>
        <w:t>plus</w:t>
      </w:r>
    </w:p>
    <w:p>
      <w:pPr>
        <w:spacing w:after="0" w:line="111"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commissions, discounts, yield and other fees and charges incurred for such period, including any losses on sales of receivables and related assets, in connection with any receivables financing of such Person or any of its Restricted Subsidiaries that are payable to Persons other than the Company and its Restricted Subsidiaries.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Net Income</w:t>
      </w:r>
      <w:r>
        <w:rPr>
          <w:rFonts w:ascii="Times New Roman" w:cs="Times New Roman" w:eastAsia="Times New Roman" w:hAnsi="Times New Roman"/>
          <w:sz w:val="12"/>
          <w:szCs w:val="12"/>
          <w:color w:val="auto"/>
        </w:rPr>
        <w:t>” means, with respect to any Person for any period, the aggregate Net Income of such Person and its Subsidiaries for such period, on a consolidated basis, in accordance with</w:t>
      </w:r>
    </w:p>
    <w:p>
      <w:pPr>
        <w:spacing w:after="0"/>
        <w:rPr>
          <w:sz w:val="20"/>
          <w:szCs w:val="20"/>
          <w:color w:val="auto"/>
        </w:rPr>
      </w:pPr>
      <w:r>
        <w:rPr>
          <w:rFonts w:ascii="Times New Roman" w:cs="Times New Roman" w:eastAsia="Times New Roman" w:hAnsi="Times New Roman"/>
          <w:sz w:val="12"/>
          <w:szCs w:val="12"/>
          <w:color w:val="auto"/>
        </w:rPr>
        <w:t xml:space="preserve">IFRS;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without duplication:</w:t>
      </w:r>
    </w:p>
    <w:p>
      <w:pPr>
        <w:spacing w:after="0" w:line="95" w:lineRule="exact"/>
        <w:rPr>
          <w:sz w:val="20"/>
          <w:szCs w:val="20"/>
          <w:color w:val="auto"/>
        </w:rPr>
      </w:pPr>
    </w:p>
    <w:p>
      <w:pPr>
        <w:ind w:left="1360" w:hanging="440"/>
        <w:spacing w:after="0"/>
        <w:tabs>
          <w:tab w:leader="none" w:pos="1360"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net after-Tax extraordinary, nonrecurring or unusual gains or losses (less all fees and expenses relating thereto) or expenses or charges shall be excluded;</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effects of purchase (or asset acquisition method) accounting adjustments (including the effects of such adjustments pushed down to such Person and such Subsidiaries) in amounts required or permitted by IFRS, resulting from the application of purchase (or asset acquisition method) accounting in relation to any consummated acquisition or the amortization or write-off of any amounts thereof, net of Taxes, shall be excluded;</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cumulative effect of a change in accounting principles (which shall in no case include any change in the comprehensive basis of accounting) during such period shall be excluded;</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21" w:lineRule="auto"/>
        <w:tabs>
          <w:tab w:leader="none" w:pos="1364"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any net after-Tax income or loss from disposed, abandoned, transferred, closed or discontinued operations,</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to the contrary herein or in any classification under IFRS of any person, business, assets or operations in respect of which a definitive agreement for the disposition, abandonment, transfer, closure or discontinuation of operations thereof has been entered into as discontinued operations, at the Company’s option, no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w:t>
      </w:r>
    </w:p>
    <w:p>
      <w:pPr>
        <w:ind w:left="460" w:right="20" w:firstLine="3"/>
        <w:spacing w:after="0" w:line="234" w:lineRule="auto"/>
        <w:tabs>
          <w:tab w:leader="none" w:pos="63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net after-Tax gain or loss on disposal of disposed, abandoned, transferred, closed or discontinued operations and (c) any net after-Tax gains or losses (less all fees and expenses or charges relating thereto) attributable to business dispositions or asset dispositions other than in the ordinary course of business (as determined in good faith by the Company) shall be excluded;</w:t>
      </w:r>
    </w:p>
    <w:p>
      <w:pPr>
        <w:spacing w:after="0" w:line="8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net after-Tax gains or losses, or any subsequent charges or expenses (less all fees and expenses or charges relating thereto), attributable to the early extinguishment of Indebtedness, Hedging Obligations or other derivative instruments shall be excluded;</w:t>
      </w:r>
    </w:p>
    <w:p>
      <w:pPr>
        <w:spacing w:after="0" w:line="7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Income for such period of any Person that is not a Subsidiary of such Person, or is an Unrestricted Subsidiary, or that is accounted for by the equity method of accounting (other</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than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40" w:orient="portrait"/>
          <w:cols w:equalWidth="0" w:num="1">
            <w:col w:w="10620"/>
          </w:cols>
          <w:pgMar w:left="640" w:top="1440" w:right="640" w:bottom="1440" w:gutter="0" w:footer="0" w:header="0"/>
        </w:sectPr>
      </w:pPr>
    </w:p>
    <w:bookmarkStart w:id="183" w:name="page184"/>
    <w:bookmarkEnd w:id="183"/>
    <w:p>
      <w:pPr>
        <w:spacing w:after="0" w:line="148"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2"/>
          <w:szCs w:val="12"/>
          <w:color w:val="auto"/>
        </w:rPr>
        <w:t>Guarantor), shall be included only to the extent of the amount of dividends or distributions or other payments actually paid in cash or Cash Equivalents (or to the extent converted into cash or Cash Equivalents) to the referent Person or a Restricted Subsidiary thereof in respect of such period;</w:t>
      </w:r>
    </w:p>
    <w:p>
      <w:pPr>
        <w:spacing w:after="0" w:line="80" w:lineRule="exact"/>
        <w:rPr>
          <w:sz w:val="20"/>
          <w:szCs w:val="20"/>
          <w:color w:val="auto"/>
        </w:rPr>
      </w:pPr>
    </w:p>
    <w:p>
      <w:pPr>
        <w:jc w:val="both"/>
        <w:ind w:left="460" w:right="20" w:firstLine="460"/>
        <w:spacing w:after="0" w:line="225" w:lineRule="auto"/>
        <w:tabs>
          <w:tab w:leader="none" w:pos="136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solely for the purpose of calculating the Cumulative Credit, the Net Income for such period of any Subsidiary of such Person shall be excluded to the extent that the declaration or payment of dividends or similar distributions by such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clause (7)), to the extent not already included therein;</w:t>
      </w:r>
    </w:p>
    <w:p>
      <w:pPr>
        <w:spacing w:after="0" w:line="8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impairment charge or asset write-off with respect to long-term assets and amortization of intangibles, in each case pursuant to IFRS, shall be excluded;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non-cash expense realized or resulting from stock option plans, employee benefit plans or post-employment benefit plans, or grants or sales to employees, officers or directors of stock, stock appreciation or similar rights, stock options, restricted stock, Preferred Stock or other rights shall be excluded;</w:t>
      </w:r>
    </w:p>
    <w:p>
      <w:pPr>
        <w:spacing w:after="0" w:line="80"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 non-cash compensation charges or (b) non-cash costs or expenses realized in connection with or resulting from stock appreciation or similar rights, stock options or other rights of officers, directors and employees, in each case of such Person or any of its Subsidiaries, shall be excluded;</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accruals and reserves that are established or adjusted within 12 months after the Initial Tender Offer Closing Date (excluding any such accruals or reserves to the extent that they represent an accrual of or reserve for cash expenses in any future period or amortization of a prepaid cash expense that was paid in a prior period) and that are so required to be established or adjusted in accordance with IFRS or as a result of adoption or modification of accounting policies shall be excluded;</w:t>
      </w:r>
    </w:p>
    <w:p>
      <w:pPr>
        <w:spacing w:after="0" w:line="87"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Income of any person and its Subsidiaries shall be calculated by deducting the income attributable to, or adding the losses attributable to, the minority equity interests of third parties in any non-Wholly Owned Subsidiary;</w:t>
      </w:r>
    </w:p>
    <w:p>
      <w:pPr>
        <w:spacing w:after="0" w:line="80"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unrealized gains and losses related to currency remeasurements of Indebtedness, and any unrealized net loss or gain resulting from hedging transactions for interest rates, commodities or currency exchange risk, shall be excluded;</w:t>
      </w:r>
    </w:p>
    <w:p>
      <w:pPr>
        <w:spacing w:after="0" w:line="80" w:lineRule="exact"/>
        <w:rPr>
          <w:rFonts w:ascii="Times New Roman" w:cs="Times New Roman" w:eastAsia="Times New Roman" w:hAnsi="Times New Roman"/>
          <w:sz w:val="12"/>
          <w:szCs w:val="12"/>
          <w:color w:val="auto"/>
        </w:rPr>
      </w:pPr>
    </w:p>
    <w:p>
      <w:pPr>
        <w:jc w:val="both"/>
        <w:ind w:left="460" w:firstLine="460"/>
        <w:spacing w:after="0"/>
        <w:tabs>
          <w:tab w:leader="none" w:pos="1364"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covered by insurance and actually reimbursed, or, so long as such Person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204"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non-cash charges for deferred Tax asset valuation allowances shall be excluded (except to the extent reversing a previously recognized increase to Consolidated Net Income).</w:t>
      </w:r>
    </w:p>
    <w:p>
      <w:pPr>
        <w:spacing w:after="0" w:line="11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Consolidated Net Income presented in a currency other than U.S. dollars will be converted to U.S. dollars based on the average exchange rate for such currency during, and applied to, each fiscal quarter or each fiscal month (at the Company’s option) in the period for which Consolidated Net Income is being calculated.</w:t>
      </w:r>
    </w:p>
    <w:p>
      <w:pPr>
        <w:spacing w:after="0" w:line="77" w:lineRule="exact"/>
        <w:rPr>
          <w:sz w:val="20"/>
          <w:szCs w:val="20"/>
          <w:color w:val="auto"/>
        </w:rPr>
      </w:pPr>
    </w:p>
    <w:p>
      <w:pPr>
        <w:jc w:val="both"/>
        <w:ind w:firstLine="457"/>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Total Indebtedness</w:t>
      </w:r>
      <w:r>
        <w:rPr>
          <w:rFonts w:ascii="Times New Roman" w:cs="Times New Roman" w:eastAsia="Times New Roman" w:hAnsi="Times New Roman"/>
          <w:sz w:val="12"/>
          <w:szCs w:val="12"/>
          <w:color w:val="auto"/>
        </w:rPr>
        <w:t xml:space="preserve">” means, as of any date of determination,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(in each case, without duplication and determined on a consolidated basis on such date) (a) all Indebtedness of the type set forth in clauses (1), (2), (5) (solely to the extent related to any Indebtedness specified in such clauses (1) and (2) of the definition of “Indebtedness”) and (6) of the definition of “Indebtedness” of the Company and its Restricted Subsidiaries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solely for purposes of calculating the Consolidated Total Net Leverage Ratio under clause (B) of the first proviso of Section 4.03(a) and for purposes of Section 4.03(b) (xvi), (b) the aggregate amount of (i) all outstanding Disqualified Stock of the Company and its Restricted Subsidiaries and (ii) all Preferred Stock of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40" w:orient="portrait"/>
          <w:cols w:equalWidth="0" w:num="1">
            <w:col w:w="10620"/>
          </w:cols>
          <w:pgMar w:left="640" w:top="1440" w:right="640" w:bottom="1440" w:gutter="0" w:footer="0" w:header="0"/>
        </w:sectPr>
      </w:pPr>
    </w:p>
    <w:bookmarkStart w:id="184" w:name="page185"/>
    <w:bookmarkEnd w:id="184"/>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Company’s Restricted Subsidiaries (other than the U.S. Co-Issuer and any Guarantor), with the amount of such Disqualified Stock and Preferred Stock equal to the greater of their respective voluntary or involuntary liquidation preferences and maximum fixed repurchase prices on such date, in each case, determined in accordance with IFRS;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any Indebtedness with respect to which the applicable obligors have entered into currency hedging arrangements shall be calculated giving effect to such currency hedging arrangements;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Consolidated Total Indebtedness will include any convertible Indebtedness of the Company and its Restricted Subsidiaries to the extent of the aggregate principal amount thereof.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in accordance with the definition of “Fair Market Value”.</w:t>
      </w:r>
    </w:p>
    <w:p>
      <w:pPr>
        <w:spacing w:after="0" w:line="99" w:lineRule="exact"/>
        <w:rPr>
          <w:sz w:val="20"/>
          <w:szCs w:val="20"/>
          <w:color w:val="auto"/>
        </w:rPr>
      </w:pPr>
    </w:p>
    <w:p>
      <w:pPr>
        <w:jc w:val="both"/>
        <w:ind w:firstLine="457"/>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Total Net Leverage Ratio</w:t>
      </w:r>
      <w:r>
        <w:rPr>
          <w:rFonts w:ascii="Times New Roman" w:cs="Times New Roman" w:eastAsia="Times New Roman" w:hAnsi="Times New Roman"/>
          <w:sz w:val="12"/>
          <w:szCs w:val="12"/>
          <w:color w:val="auto"/>
        </w:rPr>
        <w:t>” means, at any date, the ratio of (i) the principal amount of Consolidated Total Indebtedness as of such date of calculation (determined on a consolidated basis)</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the Unrestricted Cash Amount as of such date of determination to (ii) EBITDA of the Company for the four full fiscal quarters for which financial statements are available immediately preceding such date, calculated on a Pro Forma Basis.</w:t>
      </w:r>
    </w:p>
    <w:p>
      <w:pPr>
        <w:spacing w:after="0" w:line="90"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Corporate Trust Office</w:t>
      </w:r>
      <w:r>
        <w:rPr>
          <w:rFonts w:ascii="Times New Roman" w:cs="Times New Roman" w:eastAsia="Times New Roman" w:hAnsi="Times New Roman"/>
          <w:sz w:val="12"/>
          <w:szCs w:val="12"/>
          <w:color w:val="auto"/>
        </w:rPr>
        <w:t>” means the designated office of the Trustee in the United States of America at which at any time its corporate trust business shall be administered, or such other address as the Trustee may designate from time to time by notice to the holders and the Issuers, or the designated corporate trust office of any successor Trustee (or such other address as such successor Trustee may designate from time to time by notice to the holders and the Issuers).</w:t>
      </w:r>
    </w:p>
    <w:p>
      <w:pPr>
        <w:spacing w:after="0" w:line="91" w:lineRule="exact"/>
        <w:rPr>
          <w:sz w:val="20"/>
          <w:szCs w:val="20"/>
          <w:color w:val="auto"/>
        </w:rPr>
      </w:pPr>
    </w:p>
    <w:p>
      <w:pPr>
        <w:jc w:val="both"/>
        <w:ind w:firstLine="457"/>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Credit Agreement</w:t>
      </w:r>
      <w:r>
        <w:rPr>
          <w:rFonts w:ascii="Times New Roman" w:cs="Times New Roman" w:eastAsia="Times New Roman" w:hAnsi="Times New Roman"/>
          <w:sz w:val="12"/>
          <w:szCs w:val="12"/>
          <w:color w:val="auto"/>
        </w:rPr>
        <w:t>” means (i) the Initial Credit Agreement, as replaced (whether or not upon termination, and whether with the original lenders or otherwise), restructured, repaid, refunded, refinanced or otherwise modified in whole or in part from time to time,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Company to not be included in the definition of “Credit Agreement”) and (ii) whether or not any credit agreement referred to in clause (i) remains outstanding, if designated by the Company to be included in the definition of “Credit Agreement,” one or more (A) debt facilities or commercial paper facilities, providing for revolving credit loans, term loans, securitization or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w:t>
      </w:r>
    </w:p>
    <w:p>
      <w:pPr>
        <w:spacing w:after="0" w:line="3" w:lineRule="exact"/>
        <w:rPr>
          <w:sz w:val="20"/>
          <w:szCs w:val="20"/>
          <w:color w:val="auto"/>
        </w:rPr>
      </w:pPr>
    </w:p>
    <w:p>
      <w:pPr>
        <w:ind w:right="20" w:firstLine="6"/>
        <w:spacing w:after="0" w:line="262" w:lineRule="auto"/>
        <w:tabs>
          <w:tab w:leader="none" w:pos="21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instruments or agreements evidencing any other Indebtedness, in each case, with the same or different borrowers or issuers and, in each case, as amended, supplemented, modified, waived, extended, restructured, repaid, renewed, refinanced, restated, replaced (whether or not upon termination, and whether with the original lenders or otherwise) or refunded in whole or in part from time to time.</w:t>
      </w:r>
    </w:p>
    <w:p>
      <w:pPr>
        <w:spacing w:after="0" w:line="94"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Credit Agreement Documents</w:t>
      </w:r>
      <w:r>
        <w:rPr>
          <w:rFonts w:ascii="Times New Roman" w:cs="Times New Roman" w:eastAsia="Times New Roman" w:hAnsi="Times New Roman"/>
          <w:sz w:val="12"/>
          <w:szCs w:val="12"/>
          <w:color w:val="auto"/>
        </w:rPr>
        <w:t>” means the collective reference to any Credit Agreement, any notes issued pursuant thereto and the guarantees thereof, and the collateral documents (including, without limitation, intercreditor agreements) relating thereto, as amended, supplemented, restated, renewed, refunded, replaced (whether or not upon termination, and whether with the original lenders or otherwise), restructured, repaid, refinanced or otherwise modified, in whole or in part, from time to time.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Cumulative Credit</w:t>
      </w:r>
      <w:r>
        <w:rPr>
          <w:rFonts w:ascii="Times New Roman" w:cs="Times New Roman" w:eastAsia="Times New Roman" w:hAnsi="Times New Roman"/>
          <w:sz w:val="12"/>
          <w:szCs w:val="12"/>
          <w:color w:val="auto"/>
        </w:rPr>
        <w:t xml:space="preserve">” means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(without duplication):</w:t>
      </w:r>
    </w:p>
    <w:p>
      <w:pPr>
        <w:spacing w:after="0" w:line="109" w:lineRule="exact"/>
        <w:rPr>
          <w:sz w:val="20"/>
          <w:szCs w:val="20"/>
          <w:color w:val="auto"/>
        </w:rPr>
      </w:pPr>
    </w:p>
    <w:p>
      <w:pPr>
        <w:ind w:left="460" w:firstLine="460"/>
        <w:spacing w:after="0" w:line="257" w:lineRule="auto"/>
        <w:tabs>
          <w:tab w:leader="none" w:pos="1364"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$400 million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50% of the Consolidated Net Income of the Company for the period (taken as one accounting period) from the first day of the fiscal quarter in which the Issue Date occurs to the end of the Company’s most recently ended fiscal quarter for which financial statements are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40" w:orient="portrait"/>
          <w:cols w:equalWidth="0" w:num="1">
            <w:col w:w="10620"/>
          </w:cols>
          <w:pgMar w:left="640" w:top="1440" w:right="640" w:bottom="1440" w:gutter="0" w:footer="0" w:header="0"/>
        </w:sectPr>
      </w:pPr>
    </w:p>
    <w:bookmarkStart w:id="185" w:name="page186"/>
    <w:bookmarkEnd w:id="185"/>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available at the time of measurement;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calculated pursuant to this clause (b) shall in no event be less than $0,</w:t>
      </w:r>
      <w:r>
        <w:rPr>
          <w:rFonts w:ascii="Times New Roman" w:cs="Times New Roman" w:eastAsia="Times New Roman" w:hAnsi="Times New Roman"/>
          <w:sz w:val="12"/>
          <w:szCs w:val="12"/>
          <w:i w:val="1"/>
          <w:iCs w:val="1"/>
          <w:color w:val="auto"/>
        </w:rPr>
        <w:t>plus</w:t>
      </w:r>
    </w:p>
    <w:p>
      <w:pPr>
        <w:spacing w:after="0" w:line="111" w:lineRule="exact"/>
        <w:rPr>
          <w:sz w:val="20"/>
          <w:szCs w:val="20"/>
          <w:color w:val="auto"/>
        </w:rPr>
      </w:pPr>
    </w:p>
    <w:p>
      <w:pPr>
        <w:jc w:val="both"/>
        <w:ind w:right="20" w:firstLine="460"/>
        <w:spacing w:after="0" w:line="231" w:lineRule="auto"/>
        <w:tabs>
          <w:tab w:leader="none" w:pos="904"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100% of the aggregate net proceeds, including cash and the Fair Market Value of property other than cash, received by the Company after the Issue Date (other than net proceeds to the extent such net proceeds have been used to Incur Indebtedness, Disqualified Stock or Preferred Stock pursuant to Section 4.03(b)(xiii)) from the issue or sale of Equity Interests of the Company (excluding Refunding Capital Stock, Designated Preferred Stock, Excluded Contributions and Disqualified Stock), including Equity Interests issued upon exercise of warrants or options (other than an issuance or sale to a Restricted Subsidiary),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100% of the aggregate amount of contributions to the capital of the Company received in cash and the Fair Market Value of property other than cash received by the Company after the Issue Date (other than Excluded Contributions, Refunding Capital Stock, Designated Preferred Stock and Disqualified Stock and other than contributions to the extent such contributions have been used to incur Indebtedness, Disqualified Stock or Preferred Stock pursuant to Section 4.03(b)(xiii)),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100% of the principal amount of any Indebtedness, or the liquidation preference or maximum fixed repurchase price, as the case may be, of any Disqualified Stock of the Company or any Restricted Subsidiary issued after the Issue Date (other than Indebtedness or Disqualified Stock issued to a Restricted Subsidiary) which has been converted into or exchanged for Equity Interests in the Company (other than Disqualified Stock),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aggregate amount received by the Company or any Restricted Subsidiary in cash and the Fair Market Value of property other than cash received by the Company or any Restricted Subsidiary (and 100% of the amount of the reduction in the amount of any guarantee by the Company or any Restricted Subsidiary to the extent the provision of such guarantee constituted a Restricted Payment) from:</w:t>
      </w:r>
    </w:p>
    <w:p>
      <w:pPr>
        <w:spacing w:after="0" w:line="87" w:lineRule="exact"/>
        <w:rPr>
          <w:rFonts w:ascii="Times New Roman" w:cs="Times New Roman" w:eastAsia="Times New Roman" w:hAnsi="Times New Roman"/>
          <w:sz w:val="12"/>
          <w:szCs w:val="12"/>
          <w:color w:val="auto"/>
        </w:rPr>
      </w:pPr>
    </w:p>
    <w:p>
      <w:pPr>
        <w:jc w:val="both"/>
        <w:ind w:left="460" w:firstLine="457"/>
        <w:spacing w:after="0" w:line="236" w:lineRule="auto"/>
        <w:tabs>
          <w:tab w:leader="none" w:pos="1364"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or other disposition (other than to the Company or a Restricted Subsidiary) of Restricted Investments made in reliance on the Cumulative Credit by the Company and its Restricted Subsidiaries and from repurchases and redemptions of such Restricted Investments from the Company and its Restricted Subsidiaries by any Person (other than the Company or any Restricted Subsidiary) and from repayments of loans or advances, and releases of guarantees, which constituted Restricted Investments made in reliance on the Cumulative Credit,</w:t>
      </w:r>
    </w:p>
    <w:p>
      <w:pPr>
        <w:spacing w:after="0" w:line="87" w:lineRule="exact"/>
        <w:rPr>
          <w:rFonts w:ascii="Times New Roman" w:cs="Times New Roman" w:eastAsia="Times New Roman" w:hAnsi="Times New Roman"/>
          <w:sz w:val="12"/>
          <w:szCs w:val="12"/>
          <w:color w:val="auto"/>
        </w:rPr>
      </w:pPr>
    </w:p>
    <w:p>
      <w:pPr>
        <w:ind w:left="1360" w:hanging="443"/>
        <w:spacing w:after="0"/>
        <w:tabs>
          <w:tab w:leader="none" w:pos="1360"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(other than to the Company or a Restricted Subsidiary) of the Capital Stock of an Unrestricted Subsidiary, or</w:t>
      </w:r>
    </w:p>
    <w:p>
      <w:pPr>
        <w:spacing w:after="0" w:line="109" w:lineRule="exact"/>
        <w:rPr>
          <w:rFonts w:ascii="Times New Roman" w:cs="Times New Roman" w:eastAsia="Times New Roman" w:hAnsi="Times New Roman"/>
          <w:sz w:val="12"/>
          <w:szCs w:val="12"/>
          <w:color w:val="auto"/>
        </w:rPr>
      </w:pPr>
    </w:p>
    <w:p>
      <w:pPr>
        <w:ind w:left="1360" w:hanging="443"/>
        <w:spacing w:after="0"/>
        <w:tabs>
          <w:tab w:leader="none" w:pos="1360"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distribution or dividend from an Unrestricted Subsidiary,</w:t>
      </w:r>
    </w:p>
    <w:p>
      <w:pPr>
        <w:spacing w:after="0" w:line="11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2"/>
          <w:szCs w:val="12"/>
          <w:color w:val="auto"/>
        </w:rPr>
        <w:t xml:space="preserve">in the case of each of subclauses (A), (B), and (C), other than to the extent the ability of the Company and its Restricted Subsidiaries to make Restricted Payments or Permitted Investments is otherwise increased by the receipt of such amount of cash or property or the release of such guarantee, </w:t>
      </w:r>
      <w:r>
        <w:rPr>
          <w:rFonts w:ascii="Times New Roman" w:cs="Times New Roman" w:eastAsia="Times New Roman" w:hAnsi="Times New Roman"/>
          <w:sz w:val="12"/>
          <w:szCs w:val="12"/>
          <w:i w:val="1"/>
          <w:iCs w:val="1"/>
          <w:color w:val="auto"/>
        </w:rPr>
        <w:t>plus</w:t>
      </w:r>
    </w:p>
    <w:p>
      <w:pPr>
        <w:spacing w:after="0" w:line="70" w:lineRule="exact"/>
        <w:rPr>
          <w:sz w:val="20"/>
          <w:szCs w:val="20"/>
          <w:color w:val="auto"/>
        </w:rPr>
      </w:pPr>
    </w:p>
    <w:p>
      <w:pPr>
        <w:jc w:val="both"/>
        <w:ind w:right="20" w:firstLine="460"/>
        <w:spacing w:after="0" w:line="227" w:lineRule="auto"/>
        <w:tabs>
          <w:tab w:leader="none" w:pos="904"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any Unrestricted Subsidiary has been redesignated as a Restricted Subsidiary or has been merged, consolidated or amalgamated with or into, or transfers or conveys its assets to, or is liquidated into the Company or a Restricted Subsidiary, the Fair Market Value of the Investment of the Company or the Restricted Subsidiaries in such Unrestricted Subsidiary at the time of such redesignation, combination or transfer (or of the assets transferred or conveyed, as applicable) (which, if the Fair Market Value of such Investment or assets shall exceed $75 million, shall be determined by the Board of Directors of the Company) other than to the extent the ability of the Company and its Restricted Subsidiaries to make Restricted Payments or Permitted Investments is otherwise increased as a result of such redesignation or other transaction, </w:t>
      </w:r>
      <w:r>
        <w:rPr>
          <w:rFonts w:ascii="Times New Roman" w:cs="Times New Roman" w:eastAsia="Times New Roman" w:hAnsi="Times New Roman"/>
          <w:sz w:val="12"/>
          <w:szCs w:val="12"/>
          <w:i w:val="1"/>
          <w:iCs w:val="1"/>
          <w:color w:val="auto"/>
        </w:rPr>
        <w:t>plus</w:t>
      </w:r>
    </w:p>
    <w:p>
      <w:pPr>
        <w:spacing w:after="0" w:line="8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any Declined Excess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Custodian</w:t>
      </w:r>
      <w:r>
        <w:rPr>
          <w:rFonts w:ascii="Times New Roman" w:cs="Times New Roman" w:eastAsia="Times New Roman" w:hAnsi="Times New Roman"/>
          <w:sz w:val="12"/>
          <w:szCs w:val="12"/>
          <w:color w:val="auto"/>
        </w:rPr>
        <w:t>” means any receiver, trustee, assignee, liquidator, custodian, monitor or similar official under any Bankruptcy Law.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Danish Capital Markets Act</w:t>
      </w:r>
      <w:r>
        <w:rPr>
          <w:rFonts w:ascii="Times New Roman" w:cs="Times New Roman" w:eastAsia="Times New Roman" w:hAnsi="Times New Roman"/>
          <w:sz w:val="12"/>
          <w:szCs w:val="12"/>
          <w:color w:val="auto"/>
        </w:rPr>
        <w:t>” means the consolidated act no. 652 of 10 June 2025 on capital markets (in Danish:</w:t>
      </w:r>
      <w:r>
        <w:rPr>
          <w:rFonts w:ascii="Times New Roman" w:cs="Times New Roman" w:eastAsia="Times New Roman" w:hAnsi="Times New Roman"/>
          <w:sz w:val="12"/>
          <w:szCs w:val="12"/>
          <w:i w:val="1"/>
          <w:iCs w:val="1"/>
          <w:color w:val="auto"/>
        </w:rPr>
        <w:t>kapitalmarkedsloven</w:t>
      </w:r>
      <w:r>
        <w:rPr>
          <w:rFonts w:ascii="Times New Roman" w:cs="Times New Roman" w:eastAsia="Times New Roman" w:hAnsi="Times New Roman"/>
          <w:sz w:val="12"/>
          <w:szCs w:val="12"/>
          <w:color w:val="auto"/>
        </w:rPr>
        <w:t>) as amended and/or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color w:val="auto"/>
        </w:rPr>
        <w:t>9</w:t>
      </w:r>
    </w:p>
    <w:p>
      <w:pPr>
        <w:sectPr>
          <w:pgSz w:w="11900" w:h="16840" w:orient="portrait"/>
          <w:cols w:equalWidth="0" w:num="1">
            <w:col w:w="10160"/>
          </w:cols>
          <w:pgMar w:left="1100" w:top="1440" w:right="640" w:bottom="1440" w:gutter="0" w:footer="0" w:header="0"/>
        </w:sectPr>
      </w:pPr>
    </w:p>
    <w:bookmarkStart w:id="186" w:name="page187"/>
    <w:bookmarkEnd w:id="186"/>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Default</w:t>
      </w:r>
      <w:r>
        <w:rPr>
          <w:rFonts w:ascii="Times New Roman" w:cs="Times New Roman" w:eastAsia="Times New Roman" w:hAnsi="Times New Roman"/>
          <w:sz w:val="12"/>
          <w:szCs w:val="12"/>
          <w:color w:val="auto"/>
        </w:rPr>
        <w:t>” means any event which is, or after notice or passage of time or both would be, an Event of Default.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Depository</w:t>
      </w:r>
      <w:r>
        <w:rPr>
          <w:rFonts w:ascii="Times New Roman" w:cs="Times New Roman" w:eastAsia="Times New Roman" w:hAnsi="Times New Roman"/>
          <w:sz w:val="12"/>
          <w:szCs w:val="12"/>
          <w:color w:val="auto"/>
        </w:rPr>
        <w:t>” means The Depository Trust Company, its nominees and their respective successors.</w:t>
      </w:r>
    </w:p>
    <w:p>
      <w:pPr>
        <w:spacing w:after="0" w:line="129"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Derivative Instrument</w:t>
      </w:r>
      <w:r>
        <w:rPr>
          <w:rFonts w:ascii="Times New Roman" w:cs="Times New Roman" w:eastAsia="Times New Roman" w:hAnsi="Times New Roman"/>
          <w:sz w:val="12"/>
          <w:szCs w:val="12"/>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Screened Affiliate) is a party (whether or not requiring further performance by such Person), the value and/or cash flows of which (or any material portion thereof) are materially affected by the value and/or performance of the Notes and/or the creditworthiness of any Issuer and/or any one or more of the Guarantors (the “</w:t>
      </w:r>
      <w:r>
        <w:rPr>
          <w:rFonts w:ascii="Times New Roman" w:cs="Times New Roman" w:eastAsia="Times New Roman" w:hAnsi="Times New Roman"/>
          <w:sz w:val="12"/>
          <w:szCs w:val="12"/>
          <w:u w:val="single" w:color="auto"/>
          <w:color w:val="auto"/>
        </w:rPr>
        <w:t>Performance References</w:t>
      </w:r>
      <w:r>
        <w:rPr>
          <w:rFonts w:ascii="Times New Roman" w:cs="Times New Roman" w:eastAsia="Times New Roman" w:hAnsi="Times New Roman"/>
          <w:sz w:val="12"/>
          <w:szCs w:val="12"/>
          <w:color w:val="auto"/>
        </w:rPr>
        <w:t>”). For the avoidance of doubt, the term “Derivative Instrument” shall not include the Notes.</w:t>
      </w:r>
    </w:p>
    <w:p>
      <w:pPr>
        <w:spacing w:after="0" w:line="95"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Designated Non-cash Consideration</w:t>
      </w:r>
      <w:r>
        <w:rPr>
          <w:rFonts w:ascii="Times New Roman" w:cs="Times New Roman" w:eastAsia="Times New Roman" w:hAnsi="Times New Roman"/>
          <w:sz w:val="12"/>
          <w:szCs w:val="12"/>
          <w:color w:val="auto"/>
        </w:rPr>
        <w:t xml:space="preserve">” means the Fair Market Value of non-cash consideration received by the Company or a Restricted Subsidiary in connection with an Asset Sale that is so designated as Designated Non-cash Consideration pursuant to an Officer’s Certificate of the Company, setting forth such valuation, </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the amount of cash or Cash Equivalents received in connection with a subsequent disposition of such non-cash consideration.</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Designated Preferred Stock</w:t>
      </w:r>
      <w:r>
        <w:rPr>
          <w:rFonts w:ascii="Times New Roman" w:cs="Times New Roman" w:eastAsia="Times New Roman" w:hAnsi="Times New Roman"/>
          <w:sz w:val="12"/>
          <w:szCs w:val="12"/>
          <w:color w:val="auto"/>
        </w:rPr>
        <w:t>” means Preferred Stock of the Company or any direct or indirect parent entity of the Company (in each case, other than Disqualified Stock), that is issued for cash (other than to the Company, any direct or indirect parent entity of the Company or any of their Subsidiaries or an employee stock ownership plan or trust established by the Company, any direct or indirect parent entity of the Company or any of their Subsidiaries) and is so designated as Designated Preferred Stock, pursuant to an Officer’s Certificate, on the issuance date thereof.</w:t>
      </w:r>
    </w:p>
    <w:p>
      <w:pPr>
        <w:spacing w:after="0" w:line="82"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Disqualified Stock</w:t>
      </w:r>
      <w:r>
        <w:rPr>
          <w:rFonts w:ascii="Times New Roman" w:cs="Times New Roman" w:eastAsia="Times New Roman" w:hAnsi="Times New Roman"/>
          <w:sz w:val="12"/>
          <w:szCs w:val="12"/>
          <w:color w:val="auto"/>
        </w:rPr>
        <w:t>” means, with respect to any Person, any Equity Interests of such Person that, by its terms (or by the terms of any security into which it is convertible or for which it is redeemable or exchangeable), or upon the happening of any event:</w:t>
      </w:r>
    </w:p>
    <w:p>
      <w:pPr>
        <w:spacing w:after="0" w:line="80" w:lineRule="exact"/>
        <w:rPr>
          <w:sz w:val="20"/>
          <w:szCs w:val="20"/>
          <w:color w:val="auto"/>
        </w:rPr>
      </w:pPr>
    </w:p>
    <w:p>
      <w:pPr>
        <w:ind w:left="1360" w:hanging="440"/>
        <w:spacing w:after="0"/>
        <w:tabs>
          <w:tab w:leader="none" w:pos="13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matures or is mandatorily redeemable, pursuant to a sinking fund obligation or otherwise,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convertible or exchangeable for Indebtedness or Disqualified Stock of such Person or any of its Restricted Subsidiaries,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redeemable at the option of the holder thereof, in whole or in part,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each case prior to the date that is 91 days after the earlier of the maturity date of the Notes and the date the Notes are no longer outstanding and other than as a result of a change of control or asset sale</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only the portion of Equity Interests that so matures or is mandatorily redeemable, is so convertible or exchangeable or is so redeemable at the option of the holder thereof prior to such date shall be deemed to be Disqualified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such Equity Interests are issued to any employee or to any plan for the benefit of employees of the Company or its Subsidiaries or by any such plan to such employees, such Equity Interests shall not constitute Disqualified Stock solely because they may be required to be repurchased by such Person in order to satisfy applicable statutory or regulatory obligations or as a result of such employee’s termination, death or disability;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class of Equity Interests of such Person that by its terms authorizes such Person to satisfy its obligations thereunder by delivery of Equity Interests that are not Disqualified Stock shall not be deemed to be Disqualified Stock.</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EBITDA</w:t>
      </w:r>
      <w:r>
        <w:rPr>
          <w:rFonts w:ascii="Times New Roman" w:cs="Times New Roman" w:eastAsia="Times New Roman" w:hAnsi="Times New Roman"/>
          <w:sz w:val="12"/>
          <w:szCs w:val="12"/>
          <w:color w:val="auto"/>
        </w:rPr>
        <w:t>” means, with respect to any Person for any period, the Consolidated Net Income of such Person and its Restricted Subsidiaries for such period</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1360" w:hanging="440"/>
        <w:spacing w:after="0"/>
        <w:tabs>
          <w:tab w:leader="none" w:pos="136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without duplication, in each case, to the extent deducted in calculating or otherwise reducing Consolidated Net Income of such Person for such period:</w:t>
      </w:r>
    </w:p>
    <w:p>
      <w:pPr>
        <w:spacing w:after="0" w:line="111"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provision for Taxes based on income, profits or capital of such Person and its Restricted Subsidiaries for such period, without duplication, including, without limitation, state franchise and similar Taxes, and foreign withholding Taxes; </w:t>
      </w:r>
      <w:r>
        <w:rPr>
          <w:rFonts w:ascii="Times New Roman" w:cs="Times New Roman" w:eastAsia="Times New Roman" w:hAnsi="Times New Roman"/>
          <w:sz w:val="12"/>
          <w:szCs w:val="1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40" w:orient="portrait"/>
          <w:cols w:equalWidth="0" w:num="1">
            <w:col w:w="10620"/>
          </w:cols>
          <w:pgMar w:left="640" w:top="1440" w:right="640" w:bottom="1440" w:gutter="0" w:footer="0" w:header="0"/>
        </w:sectPr>
      </w:pPr>
    </w:p>
    <w:bookmarkStart w:id="187" w:name="page188"/>
    <w:bookmarkEnd w:id="187"/>
    <w:p>
      <w:pPr>
        <w:spacing w:after="0" w:line="148" w:lineRule="exact"/>
        <w:rPr>
          <w:sz w:val="20"/>
          <w:szCs w:val="20"/>
          <w:color w:val="auto"/>
        </w:rPr>
      </w:pPr>
    </w:p>
    <w:p>
      <w:pPr>
        <w:ind w:left="120" w:right="20" w:firstLine="457"/>
        <w:spacing w:after="0" w:line="253"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(x) Consolidated Interest Expense of such Person and its Restricted Subsidiaries for such period and (y) all cash dividend payments (excluding items eliminated in consolidation) on any series of preferred stock of any Restricted Subsidiary of such Person or any Disqualified Stock of such Person and its Restricted Subsidiaries; </w:t>
      </w:r>
      <w:r>
        <w:rPr>
          <w:rFonts w:ascii="Times New Roman" w:cs="Times New Roman" w:eastAsia="Times New Roman" w:hAnsi="Times New Roman"/>
          <w:sz w:val="12"/>
          <w:szCs w:val="12"/>
          <w:i w:val="1"/>
          <w:iCs w:val="1"/>
          <w:color w:val="auto"/>
        </w:rPr>
        <w:t>plus</w:t>
      </w:r>
    </w:p>
    <w:p>
      <w:pPr>
        <w:spacing w:after="0" w:line="80" w:lineRule="exact"/>
        <w:rPr>
          <w:rFonts w:ascii="Times New Roman" w:cs="Times New Roman" w:eastAsia="Times New Roman" w:hAnsi="Times New Roman"/>
          <w:sz w:val="12"/>
          <w:szCs w:val="12"/>
          <w:color w:val="auto"/>
        </w:rPr>
      </w:pPr>
    </w:p>
    <w:p>
      <w:pPr>
        <w:jc w:val="both"/>
        <w:ind w:left="120" w:right="20" w:firstLine="457"/>
        <w:spacing w:after="0" w:line="231"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depreciation, amortization (including amortization of intangibles, deferred financing fees and actuarial gains and losses related to pensions and other post-employment benefits, but excluding amortization of prepaid cash expenses that were paid in a prior period) and other non-cash charges or expenses (excluding any such non-cash charge or expense to the extent that it represents an accrual of or reserve for cash expenses in any future period or amortization of a prepaid cash expense that was paid in a prior period) of such Person and its Restricted Subsidiaries for such period;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jc w:val="both"/>
        <w:ind w:left="120" w:right="40" w:firstLine="457"/>
        <w:spacing w:after="0" w:line="236"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costs or expenses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such Person or net cash proceeds of an issuance of Equity Interests of such Person (other than Disqualified Stock) solely to the extent that such net cash proceeds are excluded from the calculation of the Cumulative Credit;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20" w:right="20" w:firstLine="457"/>
        <w:spacing w:after="0" w:line="253"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non-cash losses related to non-operational hedging, including, without limitation, resulting from hedging transactions for interest rate or currency exchange risks associated with the Notes, the Secured Notes or the Initial Credit Agreement; </w:t>
      </w:r>
      <w:r>
        <w:rPr>
          <w:rFonts w:ascii="Times New Roman" w:cs="Times New Roman" w:eastAsia="Times New Roman" w:hAnsi="Times New Roman"/>
          <w:sz w:val="12"/>
          <w:szCs w:val="12"/>
          <w:i w:val="1"/>
          <w:iCs w:val="1"/>
          <w:color w:val="auto"/>
        </w:rPr>
        <w:t>plus</w:t>
      </w:r>
    </w:p>
    <w:p>
      <w:pPr>
        <w:spacing w:after="0" w:line="80" w:lineRule="exact"/>
        <w:rPr>
          <w:rFonts w:ascii="Times New Roman" w:cs="Times New Roman" w:eastAsia="Times New Roman" w:hAnsi="Times New Roman"/>
          <w:sz w:val="12"/>
          <w:szCs w:val="12"/>
          <w:color w:val="auto"/>
        </w:rPr>
      </w:pPr>
    </w:p>
    <w:p>
      <w:pPr>
        <w:jc w:val="both"/>
        <w:ind w:left="120" w:right="20" w:firstLine="457"/>
        <w:spacing w:after="0" w:line="236"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one-time, non-recurring expenses with respect to milestone payments, upfront payments or other similar payments made in connection with any drug or pharmaceutical product research and development, collaboration arrangements or acquisition or option of any rights in respect of any drug or pharmaceutical product (and any related property or assets) to the extent such expenses would have been capitalized but for a change in accounting policies or procedures;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20" w:right="40" w:firstLine="457"/>
        <w:spacing w:after="0" w:line="253"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one-time, non-recurring acquired in process research and development expenses in connection with the acquisition by such Person or any of its Subsidiaries of any assets to the extent such expenses would have been capitalized but for a change in accounting policies or procedures; </w:t>
      </w:r>
      <w:r>
        <w:rPr>
          <w:rFonts w:ascii="Times New Roman" w:cs="Times New Roman" w:eastAsia="Times New Roman" w:hAnsi="Times New Roman"/>
          <w:sz w:val="12"/>
          <w:szCs w:val="12"/>
          <w:i w:val="1"/>
          <w:iCs w:val="1"/>
          <w:color w:val="auto"/>
        </w:rPr>
        <w:t>plus</w:t>
      </w:r>
    </w:p>
    <w:p>
      <w:pPr>
        <w:spacing w:after="0" w:line="78" w:lineRule="exact"/>
        <w:rPr>
          <w:rFonts w:ascii="Times New Roman" w:cs="Times New Roman" w:eastAsia="Times New Roman" w:hAnsi="Times New Roman"/>
          <w:sz w:val="12"/>
          <w:szCs w:val="12"/>
          <w:color w:val="auto"/>
        </w:rPr>
      </w:pPr>
    </w:p>
    <w:p>
      <w:pPr>
        <w:ind w:left="1020" w:hanging="443"/>
        <w:spacing w:after="0"/>
        <w:tabs>
          <w:tab w:leader="none" w:pos="10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adjustments relating to purchase (or asset acquisition method) accounting;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020" w:hanging="443"/>
        <w:spacing w:after="0"/>
        <w:tabs>
          <w:tab w:leader="none" w:pos="10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costs paid and expenses incurred in connection with litigation settlements;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020" w:hanging="443"/>
        <w:spacing w:after="0"/>
        <w:tabs>
          <w:tab w:leader="none" w:pos="10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unrealized mark-to-market losses on equity and securities investments; </w:t>
      </w:r>
      <w:r>
        <w:rPr>
          <w:rFonts w:ascii="Times New Roman" w:cs="Times New Roman" w:eastAsia="Times New Roman" w:hAnsi="Times New Roman"/>
          <w:sz w:val="12"/>
          <w:szCs w:val="12"/>
          <w:i w:val="1"/>
          <w:iCs w:val="1"/>
          <w:color w:val="auto"/>
        </w:rPr>
        <w:t>plus</w:t>
      </w:r>
    </w:p>
    <w:p>
      <w:pPr>
        <w:spacing w:after="0" w:line="111" w:lineRule="exact"/>
        <w:rPr>
          <w:rFonts w:ascii="Times New Roman" w:cs="Times New Roman" w:eastAsia="Times New Roman" w:hAnsi="Times New Roman"/>
          <w:sz w:val="12"/>
          <w:szCs w:val="12"/>
          <w:color w:val="auto"/>
        </w:rPr>
      </w:pPr>
    </w:p>
    <w:p>
      <w:pPr>
        <w:jc w:val="both"/>
        <w:ind w:left="120" w:firstLine="457"/>
        <w:spacing w:after="0" w:line="225"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amount of “run-rate” cost savings, operating expense reductions and cost synergies related to the Transactions or any other acquisition, disposition, restructuring, preopening, opening, closure, integration, cost saving initiative or other initiative, in each case, that are projected by a Financial Officer of such Person in good faith to result from actions taken, committed to be taken or expected to be taken no later than 24 months after the Initial Tender Offer Closing Date, the consummation of such other transaction or the initiation of such initiative, as applicable, which amounts are expected to have a continuing impact and are factually supportable and are determined by such Financial Officer in good faith and calculated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as though such amounts had been realized on the first day of such period, net of the amount of actual benefits realized during such period from such 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amounts added back pursuant to this clause (1)(k) shall not exceed 25% of EBITDA for such period (as calculated before giving effect to this clause (1)(k)); </w:t>
      </w:r>
      <w:r>
        <w:rPr>
          <w:rFonts w:ascii="Times New Roman" w:cs="Times New Roman" w:eastAsia="Times New Roman" w:hAnsi="Times New Roman"/>
          <w:sz w:val="12"/>
          <w:szCs w:val="12"/>
          <w:i w:val="1"/>
          <w:iCs w:val="1"/>
          <w:color w:val="auto"/>
        </w:rPr>
        <w:t>plus</w:t>
      </w:r>
    </w:p>
    <w:p>
      <w:pPr>
        <w:spacing w:after="0" w:line="89" w:lineRule="exact"/>
        <w:rPr>
          <w:rFonts w:ascii="Times New Roman" w:cs="Times New Roman" w:eastAsia="Times New Roman" w:hAnsi="Times New Roman"/>
          <w:sz w:val="12"/>
          <w:szCs w:val="12"/>
          <w:color w:val="auto"/>
        </w:rPr>
      </w:pPr>
    </w:p>
    <w:p>
      <w:pPr>
        <w:jc w:val="both"/>
        <w:ind w:left="120" w:right="20" w:firstLine="457"/>
        <w:spacing w:after="0" w:line="236" w:lineRule="auto"/>
        <w:tabs>
          <w:tab w:leader="none" w:pos="102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costs and expenses incurred in connection with the Transactions and costs and expenses incurred in connection with the consummation of any transaction (or any transaction proposed and not consummated), including any issuance or offering of Equity Interests or debt securities, any dispositions, any recapitalization, merger, consolidation or amalgamation, any Incurrence, refinancing, amendment or modification of Indebtedness or any similar transaction and/or any Investment, including acquisitions;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020" w:hanging="443"/>
        <w:spacing w:after="0"/>
        <w:tabs>
          <w:tab w:leader="none" w:pos="10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costs relating to signing, retention and completion bonuses, severance, relocation expenses, recruiting expenses, costs and expenses incurred in connection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11</w:t>
      </w:r>
    </w:p>
    <w:p>
      <w:pPr>
        <w:sectPr>
          <w:pgSz w:w="11900" w:h="16840" w:orient="portrait"/>
          <w:cols w:equalWidth="0" w:num="1">
            <w:col w:w="9840"/>
          </w:cols>
          <w:pgMar w:left="1440" w:top="1440" w:right="620" w:bottom="1440" w:gutter="0" w:footer="0" w:header="0"/>
        </w:sectPr>
      </w:pPr>
    </w:p>
    <w:bookmarkStart w:id="188" w:name="page189"/>
    <w:bookmarkEnd w:id="188"/>
    <w:p>
      <w:pPr>
        <w:spacing w:after="0" w:line="148"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12"/>
          <w:szCs w:val="12"/>
          <w:color w:val="auto"/>
        </w:rPr>
        <w:t xml:space="preserve">with any strategic or new initiatives, transition costs, consolidation, integration and closing costs for facilities, information technology infrastructure and legal entities, business optimization expenses and new systems design and implementation costs; </w:t>
      </w:r>
      <w:r>
        <w:rPr>
          <w:rFonts w:ascii="Times New Roman" w:cs="Times New Roman" w:eastAsia="Times New Roman" w:hAnsi="Times New Roman"/>
          <w:sz w:val="12"/>
          <w:szCs w:val="12"/>
          <w:i w:val="1"/>
          <w:iCs w:val="1"/>
          <w:color w:val="auto"/>
        </w:rPr>
        <w:t>plus</w:t>
      </w:r>
    </w:p>
    <w:p>
      <w:pPr>
        <w:spacing w:after="0" w:line="80" w:lineRule="exact"/>
        <w:rPr>
          <w:sz w:val="20"/>
          <w:szCs w:val="20"/>
          <w:color w:val="auto"/>
        </w:rPr>
      </w:pPr>
    </w:p>
    <w:p>
      <w:pPr>
        <w:jc w:val="both"/>
        <w:ind w:left="920" w:right="20" w:firstLine="457"/>
        <w:spacing w:after="0"/>
        <w:tabs>
          <w:tab w:leader="none" w:pos="1824"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cash receipts (or netting arrangements resulting in reduced cash expenditures) not representing EBITDA of such Person or Consolidated Net Income of such Person in such period to the extent non-cash gains relating to such income were deducted in the calculation of EBITDA of such Person or Consolidated Net Income of such Person in a previous period and not added back; </w:t>
      </w:r>
      <w:r>
        <w:rPr>
          <w:rFonts w:ascii="Times New Roman" w:cs="Times New Roman" w:eastAsia="Times New Roman" w:hAnsi="Times New Roman"/>
          <w:sz w:val="12"/>
          <w:szCs w:val="12"/>
          <w:i w:val="1"/>
          <w:iCs w:val="1"/>
          <w:color w:val="auto"/>
        </w:rPr>
        <w:t>plus</w:t>
      </w:r>
    </w:p>
    <w:p>
      <w:pPr>
        <w:spacing w:after="0" w:line="218" w:lineRule="exact"/>
        <w:rPr>
          <w:rFonts w:ascii="Times New Roman" w:cs="Times New Roman" w:eastAsia="Times New Roman" w:hAnsi="Times New Roman"/>
          <w:sz w:val="12"/>
          <w:szCs w:val="12"/>
          <w:color w:val="auto"/>
        </w:rPr>
      </w:pPr>
    </w:p>
    <w:p>
      <w:pPr>
        <w:jc w:val="both"/>
        <w:ind w:left="920" w:firstLine="457"/>
        <w:spacing w:after="0" w:line="231" w:lineRule="auto"/>
        <w:tabs>
          <w:tab w:leader="none" w:pos="1824"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charges, costs, expenses, accruals or reserves in connection with the rollover, acceleration or payout of Equity Interests held by officers or employees of such Person and its Subsidiaries and all losses, charges and expenses related to payments made to holders of options or other derivative Equity Interests in the common Equity Interests of such Person in connection with, or as a result of, any distribution being made to holders of Equity Interests in such Person or any direct or indirect parent thereof, which payments are being made to compensate such option holders as though they were equity holders at the time of, and entitled to share in, such distribution;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expenses paid on behalf of any member of the Board of Directors of such Person or reimbursable to such member of the Board of Directors of such Person;</w:t>
      </w: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plus</w:t>
      </w:r>
    </w:p>
    <w:p>
      <w:pPr>
        <w:spacing w:after="0" w:line="93"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losses or discounts on any sale of Permitted Receivables Facility Assets and Permitted Receivables Related Assets in connection with any Qualified Receivables Facility;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amount of any contingent payments in connection with the licensing of Intellectual Property or other assets;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adjustments consistent with Article 11 of Regulation S-X (other than “management adjustments” referred to therein);</w:t>
      </w:r>
      <w:r>
        <w:rPr>
          <w:rFonts w:ascii="Times New Roman" w:cs="Times New Roman" w:eastAsia="Times New Roman" w:hAnsi="Times New Roman"/>
          <w:sz w:val="12"/>
          <w:szCs w:val="12"/>
          <w:i w:val="1"/>
          <w:iCs w:val="1"/>
          <w:color w:val="auto"/>
        </w:rPr>
        <w:t>minus</w:t>
      </w:r>
    </w:p>
    <w:p>
      <w:pPr>
        <w:spacing w:after="0" w:line="111"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sum of, without duplication, in each case, to the extent added back in or otherwise increasing Consolidated Net Income of such Person for such period:</w:t>
      </w:r>
    </w:p>
    <w:p>
      <w:pPr>
        <w:spacing w:after="0" w:line="109"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non-cash items increasing such Consolidated Net Income for such period (excluding the recognition of deferred revenue or any non-cash items that represent the reversal of any accrual of, or reserve for, anticipated cash charges in any prior period that reduced EBITDA in an earlier period and any items for which cash was received in any prior period); </w:t>
      </w:r>
      <w:r>
        <w:rPr>
          <w:rFonts w:ascii="Times New Roman" w:cs="Times New Roman" w:eastAsia="Times New Roman" w:hAnsi="Times New Roman"/>
          <w:sz w:val="12"/>
          <w:szCs w:val="12"/>
          <w:i w:val="1"/>
          <w:iCs w:val="1"/>
          <w:color w:val="auto"/>
        </w:rPr>
        <w:t>plus</w:t>
      </w:r>
    </w:p>
    <w:p>
      <w:pPr>
        <w:spacing w:after="0" w:line="80"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non-cash gains related to non-operational hedging, including, without limitation, resulting from hedging transactions for interest rate or currency exchange risks associated with the Notes or the Initial Credit Agreement; </w:t>
      </w:r>
      <w:r>
        <w:rPr>
          <w:rFonts w:ascii="Times New Roman" w:cs="Times New Roman" w:eastAsia="Times New Roman" w:hAnsi="Times New Roman"/>
          <w:sz w:val="12"/>
          <w:szCs w:val="12"/>
          <w:i w:val="1"/>
          <w:iCs w:val="1"/>
          <w:color w:val="auto"/>
        </w:rPr>
        <w:t>plus</w:t>
      </w:r>
    </w:p>
    <w:p>
      <w:pPr>
        <w:spacing w:after="0" w:line="78"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unrealized mark-to-market gains on equity and securities investments;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income (to the extent not netted against interest expense in the calculation of Consolidated Interest Expense);</w:t>
      </w:r>
      <w:r>
        <w:rPr>
          <w:rFonts w:ascii="Times New Roman" w:cs="Times New Roman" w:eastAsia="Times New Roman" w:hAnsi="Times New Roman"/>
          <w:sz w:val="12"/>
          <w:szCs w:val="12"/>
          <w:i w:val="1"/>
          <w:iCs w:val="1"/>
          <w:color w:val="auto"/>
        </w:rPr>
        <w:t>plus</w:t>
      </w:r>
    </w:p>
    <w:p>
      <w:pPr>
        <w:spacing w:after="0" w:line="111"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income tax credits and refunds (to the extent not netted from Tax expense), in each case on a consolidated basis and determined in accordance with IFRS.</w:t>
      </w:r>
    </w:p>
    <w:p>
      <w:pPr>
        <w:spacing w:after="0" w:line="119"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Notwithstanding the preceding, the provision for Taxes based on the income or profits of, the Consolidated Interest Expense of, the depreciation and amortization and other non-cash expenses or non-cash items of and the restructuring charges or expenses of, a Restricted Subsidiary (other than any Wholly Owned Subsidiary) of a Person will be added to (or subtracted from, in the case of non-cash items described in clause (2) above) Consolidated Net Income of such Person to compute EBITDA of such Person (A) in the same proportion that the Net Income of such Restricted Subsidiary was added to compute such Consolidated Net Income of such Person, and (B) only to the extent that a corresponding amount of the Net Income of such Restricted Subsidiary would be permitted at the date of determination to be dividended or distributed to the Company by such Restricted Subsidiary without prior governmental approval (that has not been obtained), and without direct or indirect restriction pursuant to the terms of its charter and all agreements, instruments, judgments, decrees, orders, statutes, rules and governmental regulations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40" w:orient="portrait"/>
          <w:cols w:equalWidth="0" w:num="1">
            <w:col w:w="10620"/>
          </w:cols>
          <w:pgMar w:left="640" w:top="1440" w:right="640" w:bottom="1440" w:gutter="0" w:footer="0" w:header="0"/>
        </w:sectPr>
      </w:pPr>
    </w:p>
    <w:bookmarkStart w:id="189" w:name="page190"/>
    <w:bookmarkEnd w:id="189"/>
    <w:p>
      <w:pPr>
        <w:spacing w:after="0" w:line="15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2"/>
          <w:szCs w:val="12"/>
          <w:color w:val="auto"/>
        </w:rPr>
        <w:t>applicable to that Restricted Subsidiary or its stockholders. Unless otherwise specified, any reference herein to “EBITDA” means the EBITDA of the Company and its Restricted Subsidiaries on a consolidated basis.</w:t>
      </w:r>
    </w:p>
    <w:p>
      <w:pPr>
        <w:spacing w:after="0" w:line="258"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Notwithstanding anything to the contrary herein, EBITDA shall be deemed to be $511 million for the fiscal quarter ended September 30, 2025, $409 million for the fiscal quarter ended June 30, 2025, $230 million for the fiscal quarter ended March 31, 2025, and $364 million for the fiscal quarter ended December 31, 2024.</w:t>
      </w:r>
    </w:p>
    <w:p>
      <w:pPr>
        <w:spacing w:after="0" w:line="77" w:lineRule="exact"/>
        <w:rPr>
          <w:sz w:val="20"/>
          <w:szCs w:val="20"/>
          <w:color w:val="auto"/>
        </w:rPr>
      </w:pPr>
    </w:p>
    <w:p>
      <w:pPr>
        <w:jc w:val="both"/>
        <w:ind w:firstLine="457"/>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Equal Priority Indebtedness</w:t>
      </w:r>
      <w:r>
        <w:rPr>
          <w:rFonts w:ascii="Times New Roman" w:cs="Times New Roman" w:eastAsia="Times New Roman" w:hAnsi="Times New Roman"/>
          <w:sz w:val="12"/>
          <w:szCs w:val="12"/>
          <w:color w:val="auto"/>
        </w:rPr>
        <w:t xml:space="preserve">” means: (1) with respect to the Issuers, the Notes and any Indebtedness that ranks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in right of payment with the Notes, including Indebtedness Incurred under the Secured Notes and the New Senior Secured Credit Facilities; and (2) with respect to any Guarantor, its Guarantee and any Indebtedness that ranks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in right of payment with such Guarantor’s Guarantee, including such Guarantor’s guarantee of Indebtedness Incurred under the Secured Notes and the New Senior Secured Credit Facilities.</w:t>
      </w:r>
    </w:p>
    <w:p>
      <w:pPr>
        <w:spacing w:after="0" w:line="90" w:lineRule="exact"/>
        <w:rPr>
          <w:sz w:val="20"/>
          <w:szCs w:val="20"/>
          <w:color w:val="auto"/>
        </w:rPr>
      </w:pPr>
    </w:p>
    <w:p>
      <w:pPr>
        <w:jc w:val="both"/>
        <w:ind w:firstLine="457"/>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Interests</w:t>
      </w:r>
      <w:r>
        <w:rPr>
          <w:rFonts w:ascii="Times New Roman" w:cs="Times New Roman" w:eastAsia="Times New Roman" w:hAnsi="Times New Roman"/>
          <w:sz w:val="12"/>
          <w:szCs w:val="12"/>
          <w:color w:val="auto"/>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any Indebtedness convertible into or exchangeable for such Equity Interests.</w:t>
      </w:r>
    </w:p>
    <w:p>
      <w:pPr>
        <w:spacing w:after="0" w:line="232"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Equity Offering</w:t>
      </w:r>
      <w:r>
        <w:rPr>
          <w:rFonts w:ascii="Times New Roman" w:cs="Times New Roman" w:eastAsia="Times New Roman" w:hAnsi="Times New Roman"/>
          <w:sz w:val="12"/>
          <w:szCs w:val="12"/>
          <w:color w:val="auto"/>
        </w:rPr>
        <w:t>” means any public or private sale after the Issue Date of common Capital Stock or Preferred Stock of the Company or any direct or indirect parent entity of the Company (in each case, other than Disqualified Stock), other than:</w:t>
      </w:r>
    </w:p>
    <w:p>
      <w:pPr>
        <w:spacing w:after="0" w:line="80" w:lineRule="exact"/>
        <w:rPr>
          <w:sz w:val="20"/>
          <w:szCs w:val="20"/>
          <w:color w:val="auto"/>
        </w:rPr>
      </w:pPr>
    </w:p>
    <w:p>
      <w:pPr>
        <w:ind w:left="1360" w:hanging="440"/>
        <w:spacing w:after="0"/>
        <w:tabs>
          <w:tab w:leader="none" w:pos="13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offerings with respect to the Company’s or any of its direct or indirect parent entities’ Capital Stock registered on Form F-4, S-4 or Form S-8;</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issuances to any Subsidiary of the Company or any direct or indirect parent entity of the Company;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public or private sale that constitutes an Excluded Contribution.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of the SEC promulgated thereunder.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Contributions</w:t>
      </w:r>
      <w:r>
        <w:rPr>
          <w:rFonts w:ascii="Times New Roman" w:cs="Times New Roman" w:eastAsia="Times New Roman" w:hAnsi="Times New Roman"/>
          <w:sz w:val="12"/>
          <w:szCs w:val="12"/>
          <w:color w:val="auto"/>
        </w:rPr>
        <w:t>” means the Cash Equivalents or other assets (valued at their Fair Market Value) received by the Company after the Issue Date from:</w:t>
      </w:r>
    </w:p>
    <w:p>
      <w:pPr>
        <w:spacing w:after="0" w:line="109" w:lineRule="exact"/>
        <w:rPr>
          <w:sz w:val="20"/>
          <w:szCs w:val="20"/>
          <w:color w:val="auto"/>
        </w:rPr>
      </w:pPr>
    </w:p>
    <w:p>
      <w:pPr>
        <w:ind w:left="1360" w:hanging="440"/>
        <w:spacing w:after="0"/>
        <w:tabs>
          <w:tab w:leader="none" w:pos="13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contributions to its common equity capital, and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(other than to a Subsidiary of the Company or to any Subsidiary management equity plan or stock option plan or any other management or employee benefit plan or agreement) of Capital Stock (other than Disqualified Stock and Designated Preferred Stock) of the Company, in each case designated as Excluded Contributions pursuant to an Officer’s Certificate.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Subsidiary</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Immaterial Subsidiary,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Subsidiary that is not a Wholly Owned Subsidiary (but only for so long as such Subsidiary remains a non-Wholly Owned Subsidiary),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Insurance Subsidiary,</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Foreign Subsidiary the provision of the Guarantee by which could reasonably be expected to result in a violation or breach of, or conflict with, fiduciary duties of such Foreign Subsidiary’s officers, directors or managers, but only if such Foreign Subsidiary and the Company shall have used reasonable efforts to overcome any such obstacle to the provision of such Guarantee,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ectPr>
          <w:pgSz w:w="11900" w:h="16840" w:orient="portrait"/>
          <w:cols w:equalWidth="0" w:num="1">
            <w:col w:w="10620"/>
          </w:cols>
          <w:pgMar w:left="640" w:top="1440" w:right="640" w:bottom="1440" w:gutter="0" w:footer="0" w:header="0"/>
        </w:sectPr>
      </w:pPr>
    </w:p>
    <w:bookmarkStart w:id="190" w:name="page191"/>
    <w:bookmarkEnd w:id="190"/>
    <w:p>
      <w:pPr>
        <w:spacing w:after="0" w:line="148" w:lineRule="exact"/>
        <w:rPr>
          <w:sz w:val="20"/>
          <w:szCs w:val="20"/>
          <w:color w:val="auto"/>
        </w:rPr>
      </w:pPr>
    </w:p>
    <w:p>
      <w:pPr>
        <w:ind w:left="460" w:right="20" w:firstLine="460"/>
        <w:spacing w:after="0" w:line="253" w:lineRule="auto"/>
        <w:tabs>
          <w:tab w:leader="none" w:pos="136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that is (i) prohibited from guaranteeing the Notes by any applicable law or (ii) would require consent, approval, license or authorization of a Governmental Authority to guarantee the Notes Obligations (unless such consent, approval, license or authorization has been received),</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that is prohibited by any applicable contractual requirement not prohibited under this Indenture from guaranteeing the Notes on the Issue Date or at the time such Subsidiary becomes a Subsidiary (not created in contemplation of the acquisition by the Company of such Subsidiary) from guaranteeing the Notes (and only for so long as such restriction or any replacement or renewal thereof is in effect),</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Receivables Entity,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Unrestricted Subsidiary,</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Agreed Guarantee Principles, any other Subsidiary with respect to which the Company has reasonably determined that the cost or other consequences (including Tax consequences) of providing a Guarantee of the Notes Obligations are likely to be excessive in relation to the value afforded thereby; and</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31" w:lineRule="auto"/>
        <w:tabs>
          <w:tab w:leader="none" w:pos="136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solely with respect to Notes Obligations of any Issuer or Guarantor that is resident for tax purposes in the United States or some or all of whose payments under the Notes, the Guarantees or this Indenture, as applicable, are from sources within the United States for U.S. federal income tax purposes: (i) any Foreign Subsidiary that is a “controlled foreign corporation” within the meaning of Section 957(a) of the Code (a “</w:t>
      </w:r>
      <w:r>
        <w:rPr>
          <w:rFonts w:ascii="Times New Roman" w:cs="Times New Roman" w:eastAsia="Times New Roman" w:hAnsi="Times New Roman"/>
          <w:sz w:val="12"/>
          <w:szCs w:val="12"/>
          <w:u w:val="single" w:color="auto"/>
          <w:color w:val="auto"/>
        </w:rPr>
        <w:t>CFC</w:t>
      </w:r>
      <w:r>
        <w:rPr>
          <w:rFonts w:ascii="Times New Roman" w:cs="Times New Roman" w:eastAsia="Times New Roman" w:hAnsi="Times New Roman"/>
          <w:sz w:val="12"/>
          <w:szCs w:val="12"/>
          <w:color w:val="auto"/>
        </w:rPr>
        <w:t>”) or (ii) any Subsidiary that is not a Foreign Subsidiary that owns no material assets (directly or through subsidiaries) other than Equity Interests (or Equity Interests and indebtedness) of one or more Foreign Subsidiaries that are CFCs or Equity Interests of other such Subsidiaries that are not Foreign Subsidiaries;</w:t>
      </w:r>
    </w:p>
    <w:p>
      <w:pPr>
        <w:spacing w:after="0" w:line="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as of the Issue Date, each Subsidiary of the Company other than those incorporated or organized in Denmark, the Netherlands or the United States or any state thereof will be an Excluded Subsidiary pursuant to clause (i) above;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notwithstanding the foregoing, neither the Company nor any Subsidiary that is a borrower or guarantor in respect of the Initial Credit Agreement shall be an Excluded Subsidiary.</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Credit Agreement</w:t>
      </w:r>
      <w:r>
        <w:rPr>
          <w:rFonts w:ascii="Times New Roman" w:cs="Times New Roman" w:eastAsia="Times New Roman" w:hAnsi="Times New Roman"/>
          <w:sz w:val="12"/>
          <w:szCs w:val="12"/>
          <w:color w:val="auto"/>
        </w:rPr>
        <w:t>” means that certain Facility Agreement, dated as of October 24, 2024 (as amended, restated, supplemented or otherwise modified from time to time), among the Company, the lenders party thereto, Danske Bank A/S, as agent, and the other parties referred to therein (including any refinancing, renewal, replacement, amendment, amendment and restatement or extension thereof prior to the Initial Tender Offer Closing Date).</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Fair Market Value</w:t>
      </w:r>
      <w:r>
        <w:rPr>
          <w:rFonts w:ascii="Times New Roman" w:cs="Times New Roman" w:eastAsia="Times New Roman" w:hAnsi="Times New Roman"/>
          <w:sz w:val="12"/>
          <w:szCs w:val="12"/>
          <w:color w:val="auto"/>
        </w:rPr>
        <w:t>” means, with respect to any asset or property, the price that could be negotiated in an arms’-length transaction between a willing seller and a willing buyer, neither of whom is under undue pressure or compulsion to complete the transaction, as determined in good faith by the Company.</w:t>
      </w:r>
    </w:p>
    <w:p>
      <w:pPr>
        <w:spacing w:after="0" w:line="79" w:lineRule="exact"/>
        <w:rPr>
          <w:sz w:val="20"/>
          <w:szCs w:val="20"/>
          <w:color w:val="auto"/>
        </w:rPr>
      </w:pPr>
    </w:p>
    <w:p>
      <w:pPr>
        <w:jc w:val="both"/>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Financial Officer</w:t>
      </w:r>
      <w:r>
        <w:rPr>
          <w:rFonts w:ascii="Times New Roman" w:cs="Times New Roman" w:eastAsia="Times New Roman" w:hAnsi="Times New Roman"/>
          <w:sz w:val="12"/>
          <w:szCs w:val="12"/>
          <w:color w:val="auto"/>
        </w:rPr>
        <w:t>” of any Person shall mean the chief financial officer, principal accounting officer, senior vice president of finance, treasurer, controller or other director or executive responsible for the financial affairs of such Person.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Fixed Charge Coverage Ratio</w:t>
      </w:r>
      <w:r>
        <w:rPr>
          <w:rFonts w:ascii="Times New Roman" w:cs="Times New Roman" w:eastAsia="Times New Roman" w:hAnsi="Times New Roman"/>
          <w:sz w:val="12"/>
          <w:szCs w:val="12"/>
          <w:color w:val="auto"/>
        </w:rPr>
        <w:t>” means, for any period, the ratio of EBITDA of the Company for such period to the Fixed Charges of the Company for such period, calculated on a Pro Forma Basis.</w:t>
      </w:r>
    </w:p>
    <w:p>
      <w:pPr>
        <w:spacing w:after="0" w:line="12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Fixed Charges</w:t>
      </w:r>
      <w:r>
        <w:rPr>
          <w:rFonts w:ascii="Times New Roman" w:cs="Times New Roman" w:eastAsia="Times New Roman" w:hAnsi="Times New Roman"/>
          <w:sz w:val="12"/>
          <w:szCs w:val="12"/>
          <w:color w:val="auto"/>
        </w:rPr>
        <w:t>” means, with respect to any Person for any period, the sum, without duplication, of: (1) Consolidated Interest Expense (excluding amortization or write -off of deferred financing costs) of such Person and its Restricted Subsidiaries for such period and (2) all cash dividend payments (excluding items eliminated in consolidation) on any series of Preferred Stock or Disqualified Stock of such Person and its Restricted Subsidiaries.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Foreign Subsidiary</w:t>
      </w:r>
      <w:r>
        <w:rPr>
          <w:rFonts w:ascii="Times New Roman" w:cs="Times New Roman" w:eastAsia="Times New Roman" w:hAnsi="Times New Roman"/>
          <w:sz w:val="12"/>
          <w:szCs w:val="12"/>
          <w:color w:val="auto"/>
        </w:rPr>
        <w:t>” means a Restricted Subsidiary not organized or existing under the laws of the United States of America or any state thereof or the District of Columbia.</w:t>
      </w:r>
    </w:p>
    <w:p>
      <w:pPr>
        <w:spacing w:after="0" w:line="129"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generally accepted accounting principles in the United States set forth in the opinions and pronouncements of the Accounting Principles Board of the American Institute of Certified Public Accountants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14</w:t>
      </w:r>
    </w:p>
    <w:p>
      <w:pPr>
        <w:sectPr>
          <w:pgSz w:w="11900" w:h="16840" w:orient="portrait"/>
          <w:cols w:equalWidth="0" w:num="1">
            <w:col w:w="10620"/>
          </w:cols>
          <w:pgMar w:left="640" w:top="1440" w:right="640" w:bottom="1440" w:gutter="0" w:footer="0" w:header="0"/>
        </w:sectPr>
      </w:pPr>
    </w:p>
    <w:bookmarkStart w:id="191" w:name="page192"/>
    <w:bookmarkEnd w:id="191"/>
    <w:p>
      <w:pPr>
        <w:spacing w:after="0" w:line="15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2"/>
          <w:szCs w:val="12"/>
          <w:color w:val="auto"/>
        </w:rPr>
        <w:t>statements and pronouncements of the Financial Accounting Standards Board or in such other statements by such other entity as have been approved by a significant segment of the accounting profession, which are in effect from time to time.</w:t>
      </w:r>
    </w:p>
    <w:p>
      <w:pPr>
        <w:spacing w:after="0" w:line="79"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Authority</w:t>
      </w:r>
      <w:r>
        <w:rPr>
          <w:rFonts w:ascii="Times New Roman" w:cs="Times New Roman" w:eastAsia="Times New Roman" w:hAnsi="Times New Roman"/>
          <w:sz w:val="12"/>
          <w:szCs w:val="12"/>
          <w:color w:val="auto"/>
        </w:rPr>
        <w:t>” means any federal, state, local or foreign court or governmental agency, authority, instrumentality or regulatory or legislative body (including but not limited to the Financial Conduct Authority, the Prudential Regulation Authority, and any supra-national bodies such as the European Union or the European Central Bank).</w:t>
      </w:r>
    </w:p>
    <w:p>
      <w:pPr>
        <w:spacing w:after="0" w:line="79" w:lineRule="exact"/>
        <w:rPr>
          <w:sz w:val="20"/>
          <w:szCs w:val="20"/>
          <w:color w:val="auto"/>
        </w:rPr>
      </w:pPr>
    </w:p>
    <w:p>
      <w:pPr>
        <w:jc w:val="both"/>
        <w:ind w:firstLine="457"/>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 or other obligations. The amount of any guarantee shall be deemed to be an amount equal to the stated or determinable amount of the Indebtedness in respect of which such guarantee is made or, if not stated or determinable, the maximum reasonably anticipated liability in respect thereof as determined by such person in good faith.</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means any guarantee of the obligations of the Issuers under this Indenture and the Notes by any Guarantor in accordance with the provisions of this Indenture.</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Guarantor</w:t>
      </w:r>
      <w:r>
        <w:rPr>
          <w:rFonts w:ascii="Times New Roman" w:cs="Times New Roman" w:eastAsia="Times New Roman" w:hAnsi="Times New Roman"/>
          <w:sz w:val="12"/>
          <w:szCs w:val="12"/>
          <w:color w:val="auto"/>
        </w:rPr>
        <w:t>” means (x) each Subsidiary of the Company that provides a Guarantee as of the Issue Date and (y) any Subsidiary of the Company that thereafter provides a Guarantee;</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the release or discharge of such Person from its Guarantee in accordance with this Indenture, such Person shall cease to be a Guarantor.</w:t>
      </w:r>
    </w:p>
    <w:p>
      <w:pPr>
        <w:spacing w:after="0" w:line="79"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Hedging Agreement</w:t>
      </w:r>
      <w:r>
        <w:rPr>
          <w:rFonts w:ascii="Times New Roman" w:cs="Times New Roman" w:eastAsia="Times New Roman" w:hAnsi="Times New Roman"/>
          <w:sz w:val="12"/>
          <w:szCs w:val="12"/>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phantom stock or similar plan providing for payments only on account of services provided by current or former directors, officers, employees or consultants of the Company or any of the Restricted Subsidiaries shall be a Hedging Agreement.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Hedging Obligations</w:t>
      </w:r>
      <w:r>
        <w:rPr>
          <w:rFonts w:ascii="Times New Roman" w:cs="Times New Roman" w:eastAsia="Times New Roman" w:hAnsi="Times New Roman"/>
          <w:sz w:val="12"/>
          <w:szCs w:val="12"/>
          <w:color w:val="auto"/>
        </w:rPr>
        <w:t>” means obligations in respect of any Hedging Agreement.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noteholder</w:t>
      </w:r>
      <w:r>
        <w:rPr>
          <w:rFonts w:ascii="Times New Roman" w:cs="Times New Roman" w:eastAsia="Times New Roman" w:hAnsi="Times New Roman"/>
          <w:sz w:val="12"/>
          <w:szCs w:val="12"/>
          <w:color w:val="auto"/>
        </w:rPr>
        <w:t>” means the Person in whose name a Note is registered on the Registrar’s books.</w:t>
      </w:r>
    </w:p>
    <w:p>
      <w:pPr>
        <w:spacing w:after="0" w:line="12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IFRS</w:t>
      </w:r>
      <w:r>
        <w:rPr>
          <w:rFonts w:ascii="Times New Roman" w:cs="Times New Roman" w:eastAsia="Times New Roman" w:hAnsi="Times New Roman"/>
          <w:sz w:val="12"/>
          <w:szCs w:val="12"/>
          <w:color w:val="auto"/>
        </w:rPr>
        <w:t xml:space="preserve">” shall mean the International Financial Reporting Standards (formerly International Accounting Standards) as in effect from time to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Issuers may elect, and notify the Trustee and the noteholders of such election, that IFRS shall mean GAAP (a “</w:t>
      </w:r>
      <w:r>
        <w:rPr>
          <w:rFonts w:ascii="Times New Roman" w:cs="Times New Roman" w:eastAsia="Times New Roman" w:hAnsi="Times New Roman"/>
          <w:sz w:val="12"/>
          <w:szCs w:val="12"/>
          <w:u w:val="single" w:color="auto"/>
          <w:color w:val="auto"/>
        </w:rPr>
        <w:t>GAAP Election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following such election all computations based on IFRS and IFRS concepts contained in this Indenture will be computed in conformity with GAAP and GAAP concepts. Thereafter, the Issuers shall apply GAAP and make all computations under this Indenture based on GAAP. Notwithstanding anything to the contrary in this Indenture, solely making an election (without any other action) referred to in this definition will not be treated as an Incurrence of Indebtedness.</w:t>
      </w:r>
    </w:p>
    <w:p>
      <w:pPr>
        <w:spacing w:after="0" w:line="95"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Immaterial Subsidiary</w:t>
      </w:r>
      <w:r>
        <w:rPr>
          <w:rFonts w:ascii="Times New Roman" w:cs="Times New Roman" w:eastAsia="Times New Roman" w:hAnsi="Times New Roman"/>
          <w:sz w:val="12"/>
          <w:szCs w:val="12"/>
          <w:color w:val="auto"/>
        </w:rPr>
        <w:t>” means any Subsidiary of the Company that, as of the last day of the fiscal quarter of the Company most recently ended, (a) did not have assets with a value in excess of 5.0% of Total Assets or revenues (excluding intercompany revenues) representing in excess of 5.0% of total revenues (excluding intercompany revenues) of the Company and its Restricted Subsidiaries on a consolidated basis as of such date and (b) taken together with all such Subsidiaries as of such date, did not have assets with a value in excess of 10.0% of Total Assets or revenues (excluding intercompany revenues) representing in excess of 10.0% of total revenues (excluding intercompany revenues) of the Company and its Restricted Subsidiaries on a consolidated basis as of such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15</w:t>
      </w:r>
    </w:p>
    <w:p>
      <w:pPr>
        <w:sectPr>
          <w:pgSz w:w="11900" w:h="16840" w:orient="portrait"/>
          <w:cols w:equalWidth="0" w:num="1">
            <w:col w:w="10620"/>
          </w:cols>
          <w:pgMar w:left="640" w:top="1440" w:right="640" w:bottom="1440" w:gutter="0" w:footer="0" w:header="0"/>
        </w:sectPr>
      </w:pPr>
    </w:p>
    <w:bookmarkStart w:id="192" w:name="page193"/>
    <w:bookmarkEnd w:id="192"/>
    <w:p>
      <w:pPr>
        <w:spacing w:after="0" w:line="157"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Incur</w:t>
      </w:r>
      <w:r>
        <w:rPr>
          <w:rFonts w:ascii="Times New Roman" w:cs="Times New Roman" w:eastAsia="Times New Roman" w:hAnsi="Times New Roman"/>
          <w:sz w:val="12"/>
          <w:szCs w:val="12"/>
          <w:color w:val="auto"/>
        </w:rPr>
        <w:t xml:space="preserve">” means issue, assume, guarantee, incur or otherwise become liable for;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Indebtedness or Capital Stock of a Person existing at the time such Person becomes a Subsidiary (whether by merger, amalgamation, consolidation, acquisition or otherwise) shall be deemed to be Incurred by such Person at the time it becomes a Subsidiary.</w:t>
      </w:r>
    </w:p>
    <w:p>
      <w:pPr>
        <w:spacing w:after="0" w:line="79" w:lineRule="exact"/>
        <w:rPr>
          <w:sz w:val="20"/>
          <w:szCs w:val="20"/>
          <w:color w:val="auto"/>
        </w:rPr>
      </w:pPr>
    </w:p>
    <w:p>
      <w:pPr>
        <w:jc w:val="both"/>
        <w:ind w:firstLine="457"/>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of any Person means, without duplication, (1) all obligations of such Person for borrowed money, (2)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(3)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 (4) all obligations of such Person issued or assumed as the deferred purchase price of property or services (except any such balance that (a) constitutes a trade payable or similar obligation to a trade creditor Incurred in the ordinary course of business, (b) any earn-out obligations until such obligation becomes a liability on the balance sheet of such Person in accordance with IFRS and (c) liabilities accrued in the ordinary course of business) which purchase price is due more than six months after the date of placing the property in service or taking delivery and title thereto, (5) all guarantees by such Person of Indebtedness of others, (6) all Capitalized Lease Obligations of such Person,</w:t>
      </w:r>
    </w:p>
    <w:p>
      <w:pPr>
        <w:spacing w:after="0" w:line="3" w:lineRule="exact"/>
        <w:rPr>
          <w:sz w:val="20"/>
          <w:szCs w:val="20"/>
          <w:color w:val="auto"/>
        </w:rPr>
      </w:pPr>
    </w:p>
    <w:p>
      <w:pPr>
        <w:jc w:val="both"/>
        <w:ind w:firstLine="6"/>
        <w:spacing w:after="0" w:line="250" w:lineRule="auto"/>
        <w:tabs>
          <w:tab w:leader="none" w:pos="187"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Hedging Obligations, to the extent the foregoing would appear on a balance sheet of such Person as a liability, (8) the principal component of all obligations, contingent or otherwise, of such Person as an account party in respect of letters of credit, (9) the principal component of all obligations of such Person in respect of bankers’ acceptances, (10) [reserved], (11)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 (12) all Attributable Receivables Indebtedness with respect to Qualified Receivables Facilities. The amount of Indebtedness of any Person for purposes of clause (11) above shall (unless such Indebtedness has been assumed by such Person or is otherwise recourse to such Person) be deemed to be equal to the lesser of (i) the aggregate unpaid amount of such Indebtedness and (ii) the Fair Market Value of the property encumbered thereby. Notwithstanding anything in this Indenture to the contrary, and to the extent applicable following a GAAP Election, (x)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Indenture as a result of accounting for any embedded derivatives created by the terms of such Indebtedness and (y) obligations under the Acquisition Documents shall not be deemed Indebtedness under this Indenture.</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means this Indenture as amended, supplemented or otherwise modified from time to time.</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Independent Financial Advisor</w:t>
      </w:r>
      <w:r>
        <w:rPr>
          <w:rFonts w:ascii="Times New Roman" w:cs="Times New Roman" w:eastAsia="Times New Roman" w:hAnsi="Times New Roman"/>
          <w:sz w:val="12"/>
          <w:szCs w:val="12"/>
          <w:color w:val="auto"/>
        </w:rPr>
        <w:t>” means an accounting, appraisal or investment banking firm or consultant, in each case of nationally recognized standing, that is, in the good faith determination of the Company, qualified to perform the task for which it has been engaged.</w:t>
      </w:r>
    </w:p>
    <w:p>
      <w:pPr>
        <w:spacing w:after="0" w:line="7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w:t>
      </w:r>
      <w:r>
        <w:rPr>
          <w:rFonts w:ascii="Times New Roman" w:cs="Times New Roman" w:eastAsia="Times New Roman" w:hAnsi="Times New Roman"/>
          <w:sz w:val="12"/>
          <w:szCs w:val="12"/>
          <w:color w:val="auto"/>
        </w:rPr>
        <w:t>” means the Credit Agreement governing the New Senior Secured Credit Facilities, to be entered into on the Initial Tender Offer Closing Date in connection with the Acquisition, among the Company and the U.S. Co-Issuer, as co- borrowers, the other Subsidiaries of the Company party thereto as guarantors, Morgan Stanley Senior Funding, Inc., as administrative agent, the Initial Credit Agreement Collateral Agent and the lenders or other parties party thereto from time to time, as amended, restated, amended and restated, supplemented or otherwise modified from time to time.</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 Collateral Agent</w:t>
      </w:r>
      <w:r>
        <w:rPr>
          <w:rFonts w:ascii="Times New Roman" w:cs="Times New Roman" w:eastAsia="Times New Roman" w:hAnsi="Times New Roman"/>
          <w:sz w:val="12"/>
          <w:szCs w:val="12"/>
          <w:color w:val="auto"/>
        </w:rPr>
        <w:t>” means Morgan Stanley Senior Funding, Inc., as collateral agent for the other Initial Credit Agreement Secured Parties, together with its successors and permitted assigns under the Initial Credit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 Obligations</w:t>
      </w:r>
      <w:r>
        <w:rPr>
          <w:rFonts w:ascii="Times New Roman" w:cs="Times New Roman" w:eastAsia="Times New Roman" w:hAnsi="Times New Roman"/>
          <w:sz w:val="12"/>
          <w:szCs w:val="12"/>
          <w:color w:val="auto"/>
        </w:rPr>
        <w:t>” has the meaning assigned to the term “Obligations” under the Initial Credit Agreement or any similar term.</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16</w:t>
      </w:r>
    </w:p>
    <w:p>
      <w:pPr>
        <w:sectPr>
          <w:pgSz w:w="11900" w:h="16840" w:orient="portrait"/>
          <w:cols w:equalWidth="0" w:num="1">
            <w:col w:w="10620"/>
          </w:cols>
          <w:pgMar w:left="640" w:top="1440" w:right="640" w:bottom="1440" w:gutter="0" w:footer="0" w:header="0"/>
        </w:sectPr>
      </w:pPr>
    </w:p>
    <w:bookmarkStart w:id="193" w:name="page194"/>
    <w:bookmarkEnd w:id="193"/>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 Secured Parties</w:t>
      </w:r>
      <w:r>
        <w:rPr>
          <w:rFonts w:ascii="Times New Roman" w:cs="Times New Roman" w:eastAsia="Times New Roman" w:hAnsi="Times New Roman"/>
          <w:sz w:val="12"/>
          <w:szCs w:val="12"/>
          <w:color w:val="auto"/>
        </w:rPr>
        <w:t>” means the holders of Initial Credit Agreement Obligations and the Initial Credit Agreement Collateral Agent.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Tender Offer</w:t>
      </w:r>
      <w:r>
        <w:rPr>
          <w:rFonts w:ascii="Times New Roman" w:cs="Times New Roman" w:eastAsia="Times New Roman" w:hAnsi="Times New Roman"/>
          <w:sz w:val="12"/>
          <w:szCs w:val="12"/>
          <w:color w:val="auto"/>
        </w:rPr>
        <w:t>” means the Offer (as defined in the Acquisition Agreement as in effect on November 18, 2025).</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Tender Offer Closing Date</w:t>
      </w:r>
      <w:r>
        <w:rPr>
          <w:rFonts w:ascii="Times New Roman" w:cs="Times New Roman" w:eastAsia="Times New Roman" w:hAnsi="Times New Roman"/>
          <w:sz w:val="12"/>
          <w:szCs w:val="12"/>
          <w:color w:val="auto"/>
        </w:rPr>
        <w:t>” means the date on which the Initial Tender Offer is consummated pursuant to the terms of the Acquisition Agreement.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Insurance Subsidiary</w:t>
      </w:r>
      <w:r>
        <w:rPr>
          <w:rFonts w:ascii="Times New Roman" w:cs="Times New Roman" w:eastAsia="Times New Roman" w:hAnsi="Times New Roman"/>
          <w:sz w:val="12"/>
          <w:szCs w:val="12"/>
          <w:color w:val="auto"/>
        </w:rPr>
        <w:t>” means any Subsidiary that is a so-called “captive” insurance company or insurance “cell.”</w:t>
      </w:r>
    </w:p>
    <w:p>
      <w:pPr>
        <w:spacing w:after="0" w:line="129" w:lineRule="exact"/>
        <w:rPr>
          <w:sz w:val="20"/>
          <w:szCs w:val="20"/>
          <w:color w:val="auto"/>
        </w:rPr>
      </w:pPr>
    </w:p>
    <w:p>
      <w:pPr>
        <w:jc w:val="both"/>
        <w:ind w:right="20" w:firstLine="457"/>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all U.S. and non- U.S. intellectual property, whether based on statutory or common law rights, if applicable, including: (i) copyrights, registrations and applications for registration thereof, (ii) trademarks, service marks, trade names, brand names, domain names, trade dress and registrations and applications of registrations thereof, and other identifiers of source or goodwill,</w:t>
      </w:r>
    </w:p>
    <w:p>
      <w:pPr>
        <w:spacing w:after="0" w:line="1" w:lineRule="exact"/>
        <w:rPr>
          <w:sz w:val="20"/>
          <w:szCs w:val="20"/>
          <w:color w:val="auto"/>
        </w:rPr>
      </w:pPr>
    </w:p>
    <w:p>
      <w:pPr>
        <w:jc w:val="both"/>
        <w:ind w:firstLine="6"/>
        <w:spacing w:after="0" w:line="255" w:lineRule="auto"/>
        <w:tabs>
          <w:tab w:leader="none" w:pos="23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patents and patent applications, in any jurisdiction in the world, including all provisionals, divisionals, continuations, continuations-in-part, reissues, reexaminations, renewals and extensions of any of the foregoing, and all rights to claim priority of any of the foregoing (“</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(iv) trade secrets and rights in confidential information, including rights in software, ideas, designs, concepts, compilations of information, methods, techniques, procedures, processes and other know-how, whether or not patentable and (v) any rights in databases.</w:t>
      </w:r>
    </w:p>
    <w:p>
      <w:pPr>
        <w:spacing w:after="0" w:line="98"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Investment Grade Rating</w:t>
      </w:r>
      <w:r>
        <w:rPr>
          <w:rFonts w:ascii="Times New Roman" w:cs="Times New Roman" w:eastAsia="Times New Roman" w:hAnsi="Times New Roman"/>
          <w:sz w:val="12"/>
          <w:szCs w:val="12"/>
          <w:color w:val="auto"/>
        </w:rPr>
        <w:t>” means a rating equal to or higher than “Baa3” (or the equivalent) by Moody’s or “BBB-” (or the equivalent) by S&amp;P, or an equivalent rating by any other Rating Agency in the event that either Moody’s and/or S&amp;P has not then rated the Notes.</w:t>
      </w:r>
    </w:p>
    <w:p>
      <w:pPr>
        <w:spacing w:after="0" w:line="70"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Investments</w:t>
      </w:r>
      <w:r>
        <w:rPr>
          <w:rFonts w:ascii="Times New Roman" w:cs="Times New Roman" w:eastAsia="Times New Roman" w:hAnsi="Times New Roman"/>
          <w:sz w:val="12"/>
          <w:szCs w:val="12"/>
          <w:color w:val="auto"/>
        </w:rPr>
        <w:t>” means, with respect to any Person, all investments by such Person in other Persons (including Affiliates) in the form of loans (including guarantees), advances or capital contributions (excluding accounts receivable, trade credit and advances to customers and commission, travel and similar advances to officers, employees and consultants made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purchases or other acquisitions for consideration of Indebtedness, Equity Interests or other securities issued by any other Person. For purposes of the definition of “Unrestricted Subsidiary” and Section 4.04:</w:t>
      </w:r>
    </w:p>
    <w:p>
      <w:pPr>
        <w:spacing w:after="0" w:line="90" w:lineRule="exact"/>
        <w:rPr>
          <w:sz w:val="20"/>
          <w:szCs w:val="20"/>
          <w:color w:val="auto"/>
        </w:rPr>
      </w:pPr>
    </w:p>
    <w:p>
      <w:pPr>
        <w:jc w:val="both"/>
        <w:ind w:left="460" w:right="20" w:firstLine="460"/>
        <w:spacing w:after="0" w:line="236" w:lineRule="auto"/>
        <w:tabs>
          <w:tab w:leader="none" w:pos="1364"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shall include the portion (proportionate to the Company’s equity interest in such Subsidiary) of the Fair Market Value of the net assets of such Subsidiary at the time that such Subsidiary is designated an Unrestricted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upon a redesignation of such Subsidiary as a Restricted Subsidiary, the Company shall be deemed to continue to have an “Investment” in an Unrestricted Subsidiary equal to an amount (if positive) equal to:</w:t>
      </w:r>
    </w:p>
    <w:p>
      <w:pPr>
        <w:spacing w:after="0" w:line="85"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its “Investment” in such Subsidiary at the time of such redesignation </w:t>
      </w:r>
      <w:r>
        <w:rPr>
          <w:rFonts w:ascii="Times New Roman" w:cs="Times New Roman" w:eastAsia="Times New Roman" w:hAnsi="Times New Roman"/>
          <w:sz w:val="12"/>
          <w:szCs w:val="12"/>
          <w:i w:val="1"/>
          <w:iCs w:val="1"/>
          <w:color w:val="auto"/>
        </w:rPr>
        <w:t>less</w:t>
      </w:r>
    </w:p>
    <w:p>
      <w:pPr>
        <w:spacing w:after="0" w:line="111"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(proportionate to its equity interest in such Subsidiary) of the Fair Market Value of the net assets of such Subsidiary at the time of such redesignation;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property transferred to or from an Unrestricted Subsidiary shall be valued at its Fair Market Value at the time of such transfer.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Issue Date</w:t>
      </w:r>
      <w:r>
        <w:rPr>
          <w:rFonts w:ascii="Times New Roman" w:cs="Times New Roman" w:eastAsia="Times New Roman" w:hAnsi="Times New Roman"/>
          <w:sz w:val="12"/>
          <w:szCs w:val="12"/>
          <w:color w:val="auto"/>
        </w:rPr>
        <w:t>” means the date on which the Initial Notes are issued.</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Issuers</w:t>
      </w:r>
      <w:r>
        <w:rPr>
          <w:rFonts w:ascii="Times New Roman" w:cs="Times New Roman" w:eastAsia="Times New Roman" w:hAnsi="Times New Roman"/>
          <w:sz w:val="12"/>
          <w:szCs w:val="12"/>
          <w:color w:val="auto"/>
        </w:rPr>
        <w:t>” means the Company and the U.S. Co-Issuer, until a Successor Company replaces the Company or the U.S. Co-Issuer, as applicable, in accordance with Section 5.01, and, thereafter, means the Company or the U.S. Co-Issuer, as applicable, and such Successor Company.</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xml:space="preserve">” means, with respect to any asset, any mortgage, lien, pledge, charge, security interest or similar encumbrance of any kind in respect of such asset, whether or not filed, recorded or otherwise perfected under applicable law (including any conditional sale or other title retention agreement or any lease in the nature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an operating lease or an agreement to sell be deemed to constitute a Lien.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17</w:t>
      </w:r>
    </w:p>
    <w:p>
      <w:pPr>
        <w:sectPr>
          <w:pgSz w:w="11900" w:h="16840" w:orient="portrait"/>
          <w:cols w:equalWidth="0" w:num="1">
            <w:col w:w="10620"/>
          </w:cols>
          <w:pgMar w:left="640" w:top="1440" w:right="640" w:bottom="1440" w:gutter="0" w:footer="0" w:header="0"/>
        </w:sectPr>
      </w:pPr>
    </w:p>
    <w:bookmarkStart w:id="194" w:name="page195"/>
    <w:bookmarkEnd w:id="194"/>
    <w:p>
      <w:pPr>
        <w:spacing w:after="0" w:line="15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Limited Condition Acquisition</w:t>
      </w:r>
      <w:r>
        <w:rPr>
          <w:rFonts w:ascii="Times New Roman" w:cs="Times New Roman" w:eastAsia="Times New Roman" w:hAnsi="Times New Roman"/>
          <w:sz w:val="12"/>
          <w:szCs w:val="12"/>
          <w:color w:val="auto"/>
        </w:rPr>
        <w:t>” means any acquisition, including by means of a merger, amalgamation or consolidation, by the Company or one or more of its Restricted Subsidiaries, the consummation of which is not conditioned upon the availability of, or on obtaining, third party financing or in connection with which any fee or expense would be payable by the Company or its Subsidiaries to the seller or target in the event financing to consummate the acquisition is not obtained as contemplated by the definitive acquisition agreement.</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Long Derivative Instrument</w:t>
      </w:r>
      <w:r>
        <w:rPr>
          <w:rFonts w:ascii="Times New Roman" w:cs="Times New Roman" w:eastAsia="Times New Roman" w:hAnsi="Times New Roman"/>
          <w:sz w:val="12"/>
          <w:szCs w:val="12"/>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Margin Stock</w:t>
      </w:r>
      <w:r>
        <w:rPr>
          <w:rFonts w:ascii="Times New Roman" w:cs="Times New Roman" w:eastAsia="Times New Roman" w:hAnsi="Times New Roman"/>
          <w:sz w:val="12"/>
          <w:szCs w:val="12"/>
          <w:color w:val="auto"/>
        </w:rPr>
        <w:t>” means “margin stock” as such term is defined in Regulation U.</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Marketable Securities</w:t>
      </w:r>
      <w:r>
        <w:rPr>
          <w:rFonts w:ascii="Times New Roman" w:cs="Times New Roman" w:eastAsia="Times New Roman" w:hAnsi="Times New Roman"/>
          <w:sz w:val="12"/>
          <w:szCs w:val="12"/>
          <w:color w:val="auto"/>
        </w:rPr>
        <w:t>” means securities of a type consistent with the Company’s marketable securities portfolio as described in Note 4.4 of the Financial Statements for the Genmab Group included in the Offering Memorandum.</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Intellectual Property</w:t>
      </w:r>
      <w:r>
        <w:rPr>
          <w:rFonts w:ascii="Times New Roman" w:cs="Times New Roman" w:eastAsia="Times New Roman" w:hAnsi="Times New Roman"/>
          <w:sz w:val="12"/>
          <w:szCs w:val="12"/>
          <w:color w:val="auto"/>
        </w:rPr>
        <w:t>” shall mean Intellectual Property that is material to the business of the Company and the Restricted Subsidiaries taken as a whole.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Subsidiary</w:t>
      </w:r>
      <w:r>
        <w:rPr>
          <w:rFonts w:ascii="Times New Roman" w:cs="Times New Roman" w:eastAsia="Times New Roman" w:hAnsi="Times New Roman"/>
          <w:sz w:val="12"/>
          <w:szCs w:val="12"/>
          <w:color w:val="auto"/>
        </w:rPr>
        <w:t>” means each Wholly Owned Subsidiary that is not an Immaterial Subsidiary.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Merus</w:t>
      </w:r>
      <w:r>
        <w:rPr>
          <w:rFonts w:ascii="Times New Roman" w:cs="Times New Roman" w:eastAsia="Times New Roman" w:hAnsi="Times New Roman"/>
          <w:sz w:val="12"/>
          <w:szCs w:val="12"/>
          <w:color w:val="auto"/>
        </w:rPr>
        <w:t>” means Merus N.V., a public limited liability company organized under the laws of the Netherlands, and any successors thereto.</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Moody’s</w:t>
      </w:r>
      <w:r>
        <w:rPr>
          <w:rFonts w:ascii="Times New Roman" w:cs="Times New Roman" w:eastAsia="Times New Roman" w:hAnsi="Times New Roman"/>
          <w:sz w:val="12"/>
          <w:szCs w:val="12"/>
          <w:color w:val="auto"/>
        </w:rPr>
        <w:t>” means Moody’s Investors Service, Inc. or any successor to the rating agency business thereof.</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Net Income</w:t>
      </w:r>
      <w:r>
        <w:rPr>
          <w:rFonts w:ascii="Times New Roman" w:cs="Times New Roman" w:eastAsia="Times New Roman" w:hAnsi="Times New Roman"/>
          <w:sz w:val="12"/>
          <w:szCs w:val="12"/>
          <w:color w:val="auto"/>
        </w:rPr>
        <w:t>” means, with respect to any Person, the net income (loss) of such Person, determined in accordance with IFRS and before any reduction in respect of Preferred Stock dividends.</w:t>
      </w:r>
    </w:p>
    <w:p>
      <w:pPr>
        <w:spacing w:after="0" w:line="129" w:lineRule="exact"/>
        <w:rPr>
          <w:sz w:val="20"/>
          <w:szCs w:val="20"/>
          <w:color w:val="auto"/>
        </w:rPr>
      </w:pPr>
    </w:p>
    <w:p>
      <w:pPr>
        <w:jc w:val="both"/>
        <w:ind w:firstLine="457"/>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Net Proceeds</w:t>
      </w:r>
      <w:r>
        <w:rPr>
          <w:rFonts w:ascii="Times New Roman" w:cs="Times New Roman" w:eastAsia="Times New Roman" w:hAnsi="Times New Roman"/>
          <w:sz w:val="12"/>
          <w:szCs w:val="12"/>
          <w:color w:val="auto"/>
        </w:rPr>
        <w:t>” means the aggregate cash proceeds received by the Company or any Restricted Subsidiary in respect of any Asset Sale (including, without limitation, any cash received in respect of or upon the sale or other disposition of any Designated Non-cash Consideration received in any Asset Sale and any cash payments received by way of deferred payment of principal pursuant to a note or installment receivable or otherwise, but only as and when received, but excluding the assumption by the acquiring Person of Indebtedness relating to the disposed assets or other consideration received in any other non- cash form), net of the direct costs relating to such Asset Sale or the sale or disposition of such Designated Non-cash Consideration (including, without limitation, legal, accounting and investment banking fees, and brokerage and sales commissions), and any relocation expenses Incurred as a result thereof, Taxes paid or payable as a result thereof (after taking into account any available Tax credits or deductions and any Tax sharing arrangements related solely to such disposition), amounts required to be applied to the repayment of principal, premium (if any) and interest on Equal Priority Indebtedness secured by a Lien on the assets subject to such Asset Sale required (other than pursuant to Section 4.06(b)) to be paid as a result of such transaction, and any deduction of appropriate amounts to be provided by the Company and its Restricted Subsidiaries as a reserve in accordance with IFRS against any liabilities associated with the asset disposed of in such transaction and retained by the Company and its Restricted Subsidiaries after such sale or other disposition thereof, including, without limitation, pension and other post-employment benefit liabilities and liabilities related to environmental matters or against any indemnification obligations associated with such transaction.</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Net Short</w:t>
      </w:r>
      <w:r>
        <w:rPr>
          <w:rFonts w:ascii="Times New Roman" w:cs="Times New Roman" w:eastAsia="Times New Roman" w:hAnsi="Times New Roman"/>
          <w:sz w:val="12"/>
          <w:szCs w:val="12"/>
          <w:color w:val="auto"/>
        </w:rPr>
        <w:t>” means, with respect to a holder or beneficial owner, as of a date of determination, either (i) the value of its Short Derivative Instruments exceeds the sum of the (x) the value of its Notes plus</w:t>
      </w:r>
    </w:p>
    <w:p>
      <w:pPr>
        <w:spacing w:after="0" w:line="19" w:lineRule="exact"/>
        <w:rPr>
          <w:sz w:val="20"/>
          <w:szCs w:val="20"/>
          <w:color w:val="auto"/>
        </w:rPr>
      </w:pPr>
    </w:p>
    <w:p>
      <w:pPr>
        <w:ind w:right="20" w:firstLine="6"/>
        <w:spacing w:after="0" w:line="262" w:lineRule="auto"/>
        <w:tabs>
          <w:tab w:leader="none" w:pos="179"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or any Guarantor immediately prior to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18</w:t>
      </w:r>
    </w:p>
    <w:p>
      <w:pPr>
        <w:sectPr>
          <w:pgSz w:w="11900" w:h="16840" w:orient="portrait"/>
          <w:cols w:equalWidth="0" w:num="1">
            <w:col w:w="10620"/>
          </w:cols>
          <w:pgMar w:left="640" w:top="1440" w:right="640" w:bottom="1440" w:gutter="0" w:footer="0" w:header="0"/>
        </w:sectPr>
      </w:pPr>
    </w:p>
    <w:bookmarkStart w:id="195" w:name="page196"/>
    <w:bookmarkEnd w:id="195"/>
    <w:p>
      <w:pPr>
        <w:spacing w:after="0" w:line="15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New Senior Secured Credit Facilities</w:t>
      </w:r>
      <w:r>
        <w:rPr>
          <w:rFonts w:ascii="Times New Roman" w:cs="Times New Roman" w:eastAsia="Times New Roman" w:hAnsi="Times New Roman"/>
          <w:sz w:val="12"/>
          <w:szCs w:val="12"/>
          <w:color w:val="auto"/>
        </w:rPr>
        <w:t>” means the senior secured credit facilities to be established by the Company and certain of its Subsidiaries pursuant to the Initial Credit Agreement, having the terms described in the Offering Memorandum as such terms may be modified prior to the entry into the Initial Credit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 means the (i) Initial Notes and (ii) the Additional Notes issued from time to time.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Notes Documents</w:t>
      </w:r>
      <w:r>
        <w:rPr>
          <w:rFonts w:ascii="Times New Roman" w:cs="Times New Roman" w:eastAsia="Times New Roman" w:hAnsi="Times New Roman"/>
          <w:sz w:val="12"/>
          <w:szCs w:val="12"/>
          <w:color w:val="auto"/>
        </w:rPr>
        <w:t>” means this Indenture, the Notes and the Guarantees.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Notes Obligations</w:t>
      </w:r>
      <w:r>
        <w:rPr>
          <w:rFonts w:ascii="Times New Roman" w:cs="Times New Roman" w:eastAsia="Times New Roman" w:hAnsi="Times New Roman"/>
          <w:sz w:val="12"/>
          <w:szCs w:val="12"/>
          <w:color w:val="auto"/>
        </w:rPr>
        <w:t>” means Obligations in respect of the Notes (including, if applicable, the Applicable Premium), this Indenture and the Guarantees.</w:t>
      </w:r>
    </w:p>
    <w:p>
      <w:pPr>
        <w:spacing w:after="0" w:line="12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Obligations</w:t>
      </w:r>
      <w:r>
        <w:rPr>
          <w:rFonts w:ascii="Times New Roman" w:cs="Times New Roman" w:eastAsia="Times New Roman" w:hAnsi="Times New Roman"/>
          <w:sz w:val="12"/>
          <w:szCs w:val="12"/>
          <w:color w:val="auto"/>
        </w:rPr>
        <w:t>” means any principal, interest, premium, penalties, fees, indemnifications, reimbursements (including, without limitation, reimbursement obligations with respect to letters of credit and bankers’ acceptances), damages and other liabilities payable under the documentation governing any Indebtedness (including interest, fees and expenses accruing after commencement of a bankruptcy or reorganization proceeding, whether or not a claim for interest, fees or expenses is allowed or allowable in such proceeding).</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Offering Memorandum</w:t>
      </w:r>
      <w:r>
        <w:rPr>
          <w:rFonts w:ascii="Times New Roman" w:cs="Times New Roman" w:eastAsia="Times New Roman" w:hAnsi="Times New Roman"/>
          <w:sz w:val="12"/>
          <w:szCs w:val="12"/>
          <w:color w:val="auto"/>
        </w:rPr>
        <w:t>” means the offering memorandum dated November 18, 2025, relating to the issuance of the Initial Notes and the Secured Notes.</w:t>
      </w:r>
    </w:p>
    <w:p>
      <w:pPr>
        <w:spacing w:after="0" w:line="12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w:t>
      </w:r>
      <w:r>
        <w:rPr>
          <w:rFonts w:ascii="Times New Roman" w:cs="Times New Roman" w:eastAsia="Times New Roman" w:hAnsi="Times New Roman"/>
          <w:sz w:val="12"/>
          <w:szCs w:val="12"/>
          <w:color w:val="auto"/>
        </w:rPr>
        <w:t>” means, with respect to any Person, as applicable, the chief executive officer, president, senior vice president, vice president, chief financial officer, treasurer or controller of such Person and, in the case of any Guarantor incorporated or organized outside of the United States, any duly appointed authorized signatory or any director or managing member of such person that has been designated in writing by the Company as being so authorized. Any document delivered pursuant to this Indenture or the Notes that is signed by an Officer of any Issuer or Guarantor shall be conclusively presumed to have been authorized by all necessary corporate, partnership and/or other action on the part of such Person and such Officer shall be conclusively presumed to have acted on behalf of such Person.</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Officer’s Certificate</w:t>
      </w:r>
      <w:r>
        <w:rPr>
          <w:rFonts w:ascii="Times New Roman" w:cs="Times New Roman" w:eastAsia="Times New Roman" w:hAnsi="Times New Roman"/>
          <w:sz w:val="12"/>
          <w:szCs w:val="12"/>
          <w:color w:val="auto"/>
        </w:rPr>
        <w:t>” means, with respect to any Person, a certificate signed on behalf of such Person by an Officer of such Person.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Opinion of Counsel</w:t>
      </w:r>
      <w:r>
        <w:rPr>
          <w:rFonts w:ascii="Times New Roman" w:cs="Times New Roman" w:eastAsia="Times New Roman" w:hAnsi="Times New Roman"/>
          <w:sz w:val="12"/>
          <w:szCs w:val="12"/>
          <w:color w:val="auto"/>
        </w:rPr>
        <w:t>” means, with respect to any Person, a written opinion from legal counsel who is acceptable to the Trustee. The counsel may be an employee of or counsel to such Person.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has the meaning assigned to such term in the definition of “Intellectual Property”.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Investments</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the Company or any Restricted Subsidiary;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Cash Equivalents or Marketable Securities;</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by the Company or any Restricted Subsidiary in a Person if as a result of such Investment (a) such Person becomes a Restricted Subsidiary, or (b) such Person, in one transaction or a series of related transactions, is merged, consolidated or amalgamated with or into, or transfers or conveys all or substantially all of its assets to, or is liquidated into, the Company or a Restricted Subsidiary;</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securities or other assets not constituting Cash Equivalents and received in connection with an Asset Sale made pursuant to Section 4.06 or any other disposition of assets not constituting an Asset Sale;</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31" w:lineRule="auto"/>
        <w:tabs>
          <w:tab w:leader="none" w:pos="1364"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Investment of the Company or any of its Subsidiaries existing on, or made pursuant to binding commitments existing on, the Issue Date, or of Merus and its Subsidiaries existing on, or made pursuant to binding commitments existing on, the Initial Tender Offer Closing Date, or in each case, any extension, modification or renewal of any such Investment;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any such Investment may be increased (x) as required by the terms of such Investment as in existence on the Issue Date or Initial Tender Offer Closing Date, as applicable, or (y) as otherwise permitted under this Indenture;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19</w:t>
      </w:r>
    </w:p>
    <w:p>
      <w:pPr>
        <w:sectPr>
          <w:pgSz w:w="11900" w:h="16840" w:orient="portrait"/>
          <w:cols w:equalWidth="0" w:num="1">
            <w:col w:w="10620"/>
          </w:cols>
          <w:pgMar w:left="640" w:top="1440" w:right="640" w:bottom="1440" w:gutter="0" w:footer="0" w:header="0"/>
        </w:sectPr>
      </w:pPr>
    </w:p>
    <w:bookmarkStart w:id="196" w:name="page197"/>
    <w:bookmarkEnd w:id="196"/>
    <w:p>
      <w:pPr>
        <w:spacing w:after="0" w:line="148" w:lineRule="exact"/>
        <w:rPr>
          <w:sz w:val="20"/>
          <w:szCs w:val="20"/>
          <w:color w:val="auto"/>
        </w:rPr>
      </w:pPr>
    </w:p>
    <w:p>
      <w:pPr>
        <w:jc w:val="both"/>
        <w:ind w:firstLine="460"/>
        <w:spacing w:after="0" w:line="236" w:lineRule="auto"/>
        <w:tabs>
          <w:tab w:leader="none" w:pos="90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and advances to officers, directors, employees or consultants of the Company or any of its Subsidiaries (i) in the ordinary course of business in an aggregate outstanding amount (valued at the time of the making thereof, and without giving effect to any write-downs or write-offs thereof) not to exceed $40 million at the time of Incurrence, (ii) in respect of payroll payments and expenses in the ordinary course of business and (iii) in connection with such Person’s purchase of Equity Interests of the Company or any direct or indirect parent entity of the Company;</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acquired by the Company or any Restricted Subsidiary (a) in exchange for any other Investment or accounts receivable held by the Company or such Restricted Subsidiary in connection with or as a result of a bankruptcy, workout, reorganization or recapitalization of the Company of such other Investment or accounts receivable, or (b) as a result of a foreclosure by the Company or any Restricted Subsidiary with respect to any secured Investment or other transfer of title with respect to any secured Investment in default;</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Hedging Obligations permitted under Section 4.03(b)(x);</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customary upfront milestone, marketing or other funding payment consistent with past and/or industry practice to another Person in connection with obtaining a right to receive royalty or other payments in the future;</w:t>
      </w:r>
    </w:p>
    <w:p>
      <w:pPr>
        <w:spacing w:after="0" w:line="80"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additional Investments by the Company or any Restricted Subsidiary having an aggregate Fair Market Value, taken together with all other Investments made pursuant to this clause (10) that are at that time outstanding, not to exceed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(x) the greater of $800 million and 6.4% of Total Assets as of the date of such Investment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(y)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Investment pursuant to this clause (10) is made in any Person that is not the Company or a Restricted Subsidiary at the date of the making of such Investment and such Person becomes the Company or a Restricted Subsidiary after such date, such Investment shall thereafter be deemed to have been made pursuant to clause (3) above and shall cease to have been made pursuant to this clause (10) for so long as such Person continues to be the Company or a Restricted Subsidiary;</w:t>
      </w:r>
    </w:p>
    <w:p>
      <w:pPr>
        <w:spacing w:after="0" w:line="8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and advances to officers, directors or employees for business-related travel expenses, moving expenses and other similar expenses, in each case Incurred in the ordinary course of business or consistent with past practice;</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the payment for which consists of Equity Interests of the Company or any direct or indirect parent entity of the Company (in each case, other than Disqualified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Equity Interests will not increase the amount available for Restricted Payments under clause (3) of the definition of “Cumulative Credit”;</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to the extent it constitutes an Investment that is permitted by and made in accordance with Section 4.07(b) (except transactions described in clauses (ii), (iv), (vi), (ix)(B),</w:t>
      </w:r>
    </w:p>
    <w:p>
      <w:pPr>
        <w:ind w:left="240" w:hanging="237"/>
        <w:spacing w:after="0"/>
        <w:tabs>
          <w:tab w:leader="none" w:pos="24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(xvi) of Section 4.07(b));</w:t>
      </w:r>
    </w:p>
    <w:p>
      <w:pPr>
        <w:spacing w:after="0" w:line="95" w:lineRule="exact"/>
        <w:rPr>
          <w:rFonts w:ascii="Times New Roman" w:cs="Times New Roman" w:eastAsia="Times New Roman" w:hAnsi="Times New Roman"/>
          <w:sz w:val="12"/>
          <w:szCs w:val="12"/>
          <w:color w:val="auto"/>
        </w:rPr>
      </w:pPr>
    </w:p>
    <w:p>
      <w:pPr>
        <w:jc w:val="both"/>
        <w:ind w:right="20" w:firstLine="460"/>
        <w:spacing w:after="0"/>
        <w:tabs>
          <w:tab w:leader="none" w:pos="904"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issued in accordance with Section 4.03 and Section 4.11, including, without limitation, any guarantee or other obligation issued or incurred under any Credit Agreement in connection with any letter of credit issued for the account of the Company or any of its Subsidiaries (including with respect to the issuance of, or payments in respect of drawings under, such letters of credit);</w:t>
      </w:r>
    </w:p>
    <w:p>
      <w:pPr>
        <w:spacing w:after="0" w:line="218"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consisting of or to finance purchases and acquisitions of inventory, supplies, materials, services or equipment or purchases of contract rights or licenses or leases of Intellectual Property;</w:t>
      </w:r>
    </w:p>
    <w:p>
      <w:pPr>
        <w:spacing w:after="0" w:line="80"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exclusive licenses from a Restricted Subsidiary that is not the U.S. Co-Issuer or a Guarantor to any Issuer or Guarantor of rights to a drug or other pharmaceutical products, diagnostics, delivery technologies, medical devices or biotechnology businesses;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consisting of transfers of Permitted Receivables Facility Assets or arising as a result of Qualified Receivables Facilities;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of a Restricted Subsidiary acquired after the Issue Date or of an entity merged into, amalgamated with, or consolidated with the Company or a Restricted Subsidiary in 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20</w:t>
      </w:r>
    </w:p>
    <w:p>
      <w:pPr>
        <w:sectPr>
          <w:pgSz w:w="11900" w:h="16840" w:orient="portrait"/>
          <w:cols w:equalWidth="0" w:num="1">
            <w:col w:w="10160"/>
          </w:cols>
          <w:pgMar w:left="1100" w:top="1440" w:right="640" w:bottom="1440" w:gutter="0" w:footer="0" w:header="0"/>
        </w:sectPr>
      </w:pPr>
    </w:p>
    <w:bookmarkStart w:id="197" w:name="page198"/>
    <w:bookmarkEnd w:id="197"/>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transaction that is not prohibited by Section 5.01 after the Issue Date to the extent that such Investments were not made in contemplation of such acquisition, merger, amalgamation or consolidation and were in existence on the date of such acquisition, merger, amalgamation or consolidation;</w:t>
      </w:r>
    </w:p>
    <w:p>
      <w:pPr>
        <w:spacing w:after="0" w:line="80" w:lineRule="exact"/>
        <w:rPr>
          <w:sz w:val="20"/>
          <w:szCs w:val="20"/>
          <w:color w:val="auto"/>
        </w:rPr>
      </w:pPr>
    </w:p>
    <w:p>
      <w:pPr>
        <w:ind w:right="40" w:firstLine="460"/>
        <w:spacing w:after="0" w:line="253" w:lineRule="auto"/>
        <w:tabs>
          <w:tab w:leader="none" w:pos="904"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in the ordinary course of business consisting of Uniform Commercial Code Article 3 endorsements for collection or deposit and Uniform Commercial Code Article 4 customary trade arrangements with customers;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advances in the form of a prepayment of expenses, so long as such expenses are being paid in accordance with customary trade terms of the Company or the Restricted Subsidiaries;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any Subsidiary of the Company or any joint venture in connection with intercompany cash management arrangements or related activities arising in the ordinary course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business;</w:t>
      </w:r>
    </w:p>
    <w:p>
      <w:pPr>
        <w:spacing w:after="0" w:line="95"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consisting of the licensing or contribution of Intellectual Property pursuant to joint marketing or other similar arrangements with other Persons;</w:t>
      </w:r>
    </w:p>
    <w:p>
      <w:pPr>
        <w:spacing w:after="0" w:line="107"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additional Investments in joint ventures and Unrestricted Subsidiaries not to exceed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(A) the greater of $400 million and 3.2% of Total Assets when made,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an aggregate amount equal to any returns (including dividends, interest, distributions, returns of principal, profits on sale, repayments, income and similar amounts) actually received in respect of any such Investment (with the Fair Market Value of each Investment being measured at the time such Investment is made and without giving effect to subsequent changes in value);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Investment pursuant to this clause (23) is made in any Person that is not a Restricted Subsidiary at the date of the making of such Investment and such Person becomes a Restricted Subsidiary after such date, such Investment shall thereafter be deemed to have been made pursuant to clause (3) above and shall cease to have been made pursuant to this clause (23) for so long as such Person continues to be a Restricted Subsidiary;</w:t>
      </w:r>
    </w:p>
    <w:p>
      <w:pPr>
        <w:spacing w:after="0" w:line="178"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fixed income or other assets by any Insurance Subsidiary consistent with customary practices of portfolio management;</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by the Company or any Restricted Subsidiary of any call option (or similar instrument) to purchase Equity Interests (other than Disqualified Stock) of the Company entered into contemporaneously and otherwise in connection with the issuance of convertible or exchangeable debt securities otherwise permitted to be issued under this Indenture;</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904"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Insurance Subsidiaries (a) that are required by law or applicable regulators, (b) (i) in an aggregate amount for all such Investments not to exceed the greater of $60 million and 0.5% of Total Assets when made plus (ii)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pursuant to clause (b)(i) to the extent such amounts do not increase the Cumulative Credit or (c) constituting letters of credit permitted under Section 4.03(b)(xxix);</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and</w:t>
      </w:r>
    </w:p>
    <w:p>
      <w:pPr>
        <w:spacing w:after="0" w:line="109"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in a Similar Business having an aggregate Fair Market Value, taken together with all other Investments made pursuant to this clause (28) that are at that time outstanding, not to exceed the sum of (A) the greater of $360 million and 2.9% of Total Assets as of the date of such Investment,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an aggregate amount equal to any returns (including dividends, interest, distributions, returns of principal, profits on sale, repayments, income and similar amounts) actually received in respect of any such Investment (with the Fair Market Value of each Investment being measured at the time such Investment is made and without giving effect to subsequent changes in value);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Investment pursuant to this clause (28) is made in any Person that is not a Restricted Subsidiary at the date of the making of such Investment and such Person becomes a Restricted Subsidiary after such date, such Investment shall thereafter be deemed to have been made pursuant to clause (3) above and shall cease to have been made pursuant to this clause (28) for so long as such Person continues to be a Restricted Subsidiary.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means, with respect to any Person:</w:t>
      </w:r>
    </w:p>
    <w:p>
      <w:pPr>
        <w:spacing w:after="0" w:line="109" w:lineRule="exact"/>
        <w:rPr>
          <w:sz w:val="20"/>
          <w:szCs w:val="20"/>
          <w:color w:val="auto"/>
        </w:rPr>
      </w:pPr>
    </w:p>
    <w:p>
      <w:pPr>
        <w:ind w:left="900" w:hanging="440"/>
        <w:spacing w:after="0"/>
        <w:tabs>
          <w:tab w:leader="none" w:pos="90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pledges or deposits and other Liens granted by such Person under workmens’ compensation laws, unemployment insurance laws or similar legislation, or good faith deposits in</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09" w:lineRule="exact"/>
        <w:rPr>
          <w:rFonts w:ascii="Times New Roman" w:cs="Times New Roman" w:eastAsia="Times New Roman" w:hAnsi="Times New Roman"/>
          <w:sz w:val="12"/>
          <w:szCs w:val="12"/>
          <w:color w:val="auto"/>
        </w:rPr>
      </w:pPr>
    </w:p>
    <w:p>
      <w:pPr>
        <w:ind w:left="47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w:t>
      </w:r>
    </w:p>
    <w:p>
      <w:pPr>
        <w:sectPr>
          <w:pgSz w:w="11900" w:h="16840" w:orient="portrait"/>
          <w:cols w:equalWidth="0" w:num="1">
            <w:col w:w="10160"/>
          </w:cols>
          <w:pgMar w:left="1100" w:top="1440" w:right="640" w:bottom="1440" w:gutter="0" w:footer="0" w:header="0"/>
        </w:sectPr>
      </w:pPr>
    </w:p>
    <w:bookmarkStart w:id="198" w:name="page199"/>
    <w:bookmarkEnd w:id="198"/>
    <w:p>
      <w:pPr>
        <w:spacing w:after="0" w:line="14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connection with bids, tenders, contracts (other than for the payment of Indebtedness) or leases to which such Person is a party, or deposits to secure public or statutory obligations of such Person or deposits of cash or U.S. government bonds to secure surety or appeal bonds, performance and return of money bonds, or deposits as security for contested Taxes or import duties or for the payment of rent, in each case Incurred in the ordinary course of business;</w:t>
      </w:r>
    </w:p>
    <w:p>
      <w:pPr>
        <w:spacing w:after="0" w:line="88" w:lineRule="exact"/>
        <w:rPr>
          <w:sz w:val="20"/>
          <w:szCs w:val="20"/>
          <w:color w:val="auto"/>
        </w:rPr>
      </w:pPr>
    </w:p>
    <w:p>
      <w:pPr>
        <w:ind w:firstLine="460"/>
        <w:spacing w:after="0" w:line="236" w:lineRule="auto"/>
        <w:tabs>
          <w:tab w:leader="none" w:pos="9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imposed by law, such as landlord’s, carriers’, warehousemen’s, mechanics’, materialmen’s, repairmen’s, construction or other like Liens securing obligations that are not overdue by more than 30 days or that are being contested in good faith by appropriate proceedings or other Liens arising out of judgments or awards against such Person with respect to which such Person shall then be proceeding with an appeal or other proceedings for review;</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Taxes, assessments or other governmental charges not yet overdue by more than 30 days or that are being contested in good faith by appropriate proceedings and for which the applicable Person has set aside on its books adequate reserves therefor in accordance with IFRS;</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 favor of issuers of performance and surety bonds or bid bonds or with respect to other regulatory requirements or letters of credit, bankers’ acceptances or similar obligations issued pursuant to the request of and for the account of such Person in the ordinary course of its business;</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9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minor survey exceptions, minor encumbrances, trackage rights, special assessments, easements or reservations of, or rights of others for, licenses, rights-of-way, sewers, electric lines, telegraph and telephone lines and other similar purposes, servicing agreements, development agreements, site plan agreements and other similar encumbrances incurred in the ordinary course of business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Liens on assets of a Subsidiary that is not a Guarantor securing Indebtedness of a Subsidiary that is not a Guarantor permitted to be Incurred pursuant to Section 4.03;</w:t>
      </w:r>
    </w:p>
    <w:p>
      <w:pPr>
        <w:spacing w:after="0" w:line="109" w:lineRule="exact"/>
        <w:rPr>
          <w:rFonts w:ascii="Times New Roman" w:cs="Times New Roman" w:eastAsia="Times New Roman" w:hAnsi="Times New Roman"/>
          <w:sz w:val="12"/>
          <w:szCs w:val="12"/>
          <w:color w:val="auto"/>
        </w:rPr>
      </w:pPr>
    </w:p>
    <w:p>
      <w:pPr>
        <w:jc w:val="both"/>
        <w:ind w:left="460" w:firstLine="457"/>
        <w:spacing w:after="0" w:line="236" w:lineRule="auto"/>
        <w:tabs>
          <w:tab w:leader="none" w:pos="1364"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 Liens securing Indebtedness Incurred pursuant to Section 4.03(b)(i) and (y) Liens securing Indebtedness permitted to be Incurred under this Indenture if, as of the date such Indebtedness is Incurred, the Secured Net Leverage Ratio, calculated on a Pro Forma Basis giving effect to such Indebtedness and the application of the net proceeds therefrom, does not exceed 3.15 to 1.00 or is no greater than the Secured Net Leverage Ratio immediately prior to such Incurrence; and</w:t>
      </w:r>
    </w:p>
    <w:p>
      <w:pPr>
        <w:spacing w:after="0" w:line="87"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securing Obligations in respect of Indebtedness permitted to be Incurred pursuant to Section 4.03(b)(iv) or 4.03(b)(xiv) (to the extent such guarantees are issued in respect of any Indebtedness secured or permitted to be secured by a Permitted Lien);</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existing (x) on the assets or property of the Company or any of its Subsidiaries on the Issue Date or (y) on the assets or property of Merus or any of its Subsidiaries on the Initial Tender Offer Closing Date;</w:t>
      </w:r>
    </w:p>
    <w:p>
      <w:pPr>
        <w:spacing w:after="0" w:line="80"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assets, property or Equity Interests of a Person at the time such Person becomes a Subsidiary;</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such Liens are not created or Incurred in connection with, or in contemplation of, such other Person becoming such a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Liens may not extend to any other property owned by the Company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87"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on assets or property at the time the Company or a Restricted Subsidiary acquired the assets or property, including any acquisition by means of a merger, amalgamation or consolidation with or into the Company or any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Liens are not created or Incurred in connection with, or in contemplation of, such acquisition;</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Liens may not extend to any other property owned by the Company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22</w:t>
      </w:r>
    </w:p>
    <w:p>
      <w:pPr>
        <w:sectPr>
          <w:pgSz w:w="11900" w:h="16840" w:orient="portrait"/>
          <w:cols w:equalWidth="0" w:num="1">
            <w:col w:w="10160"/>
          </w:cols>
          <w:pgMar w:left="1100" w:top="1440" w:right="640" w:bottom="1440" w:gutter="0" w:footer="0" w:header="0"/>
        </w:sectPr>
      </w:pPr>
    </w:p>
    <w:bookmarkStart w:id="199" w:name="page200"/>
    <w:bookmarkEnd w:id="199"/>
    <w:p>
      <w:pPr>
        <w:spacing w:after="0" w:line="148" w:lineRule="exact"/>
        <w:rPr>
          <w:sz w:val="20"/>
          <w:szCs w:val="20"/>
          <w:color w:val="auto"/>
        </w:rPr>
      </w:pPr>
    </w:p>
    <w:p>
      <w:pPr>
        <w:ind w:right="20" w:firstLine="460"/>
        <w:spacing w:after="0" w:line="253"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securing Indebtedness or other obligations of the Company or a Restricted Subsidiary owing to the Company or another Restricted Subsidiary permitted to be Incurred in accordance with Section 4.03;</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securing Hedging Obligations not Incurred in violation of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 respect to Hedging Obligations relating to Indebtedness, such Lien extends only to the property, if any, securing such Indebtedness, property securing other Indebtedness or cash and Cash Equivalents;</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inventory or other goods and proceeds of any Person securing such Person’s obligations in respect of documentary letters of credit, bank guarantees or bankers’ acceptances issued or created for the account of such Person to facilitate the purchase, shipment or storage of such inventory or other goods;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leases and subleases of real property that do not materially interfere with the ordinary conduct of the business of the Company or any of the Restricted Subsidiaries;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from precautionary Uniform Commercial Code financing statement filings regarding operating leases or other obligations not constituting Indebtedness;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 favor of any Issuer or Guarantor;</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 respect of Qualified Receivables Facilities entered into in reliance on Section 4.03(b)(xvii) that extend only to Permitted Receivables Facility Assets, Permitted Receivables Related Assets or the Equity Interests of any Receivables Entity;</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pledges and deposits and other Liens made in the ordinary course of business to secure liability to insurance carriers;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the Equity Interests of Unrestricted Subsidiaries;</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leases or subleases, and licenses or sublicenses (including with respect to Intellectual Property) granted to others in the ordinary course of business not interfering in any material respect with the business of the Company and its Subsidiaries, taken as a whole;</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23"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to secure any refinancing, refunding, extension, renewal or replacement (or successive refinancings, refundings, extensions, renewals or replacements) as a whole, or in part, of any Indebtedness secured by any Lien referred to in clauses (6)(B), (6)(C), (7), (8), (9), (25), (36), (37) and (38) of this definition;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(x) such new Lien shall be limited to all or part of the same property (including any after acquired property to the extent it would have been subject to the original Lien) that secured the original Lien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improvements on and accessions to such property, proceeds and products thereof, customary security deposits and any other assets pursuant to the after-acquired property clauses to the extent such assets secured (or would have secured) the Indebtedness being refinanced, refunded, extended, renewed or replaced), and (y) the Indebtedness secured by such Lien at such time is not increased to any amount greater than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(A) the outstanding principal amount (or accreted value, if applicable) or, if greater, committed amount (but only to the extent the undrawn portion of such commitment was deemed to be secured Indebtedness on such date in accordance with Section 4.03(c)(3)) of the applicable Indebtedness described under clauses (6)(B), (6)(C), (7), (8), (9), (25), (36), (37) and (38) at the time the original Lien became a Permitted Lien under this Indenture and (B) any Additional Refinancing Amount with respect thereto;</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equipment of the Company or any Restricted Subsidiary granted in the ordinary course of business to the Company’s or such Restricted Subsidiary’s client at which such equipment is located;</w:t>
      </w:r>
    </w:p>
    <w:p>
      <w:pPr>
        <w:spacing w:after="0" w:line="78" w:lineRule="exact"/>
        <w:rPr>
          <w:rFonts w:ascii="Times New Roman" w:cs="Times New Roman" w:eastAsia="Times New Roman" w:hAnsi="Times New Roman"/>
          <w:sz w:val="12"/>
          <w:szCs w:val="12"/>
          <w:color w:val="auto"/>
        </w:rPr>
      </w:pPr>
    </w:p>
    <w:p>
      <w:pPr>
        <w:ind w:firstLine="460"/>
        <w:spacing w:after="0" w:line="257" w:lineRule="auto"/>
        <w:tabs>
          <w:tab w:leader="none" w:pos="90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judgment and attachment Liens not giving rise to an Event of Default and notices of </w:t>
      </w:r>
      <w:r>
        <w:rPr>
          <w:rFonts w:ascii="Times New Roman" w:cs="Times New Roman" w:eastAsia="Times New Roman" w:hAnsi="Times New Roman"/>
          <w:sz w:val="12"/>
          <w:szCs w:val="12"/>
          <w:i w:val="1"/>
          <w:iCs w:val="1"/>
          <w:color w:val="auto"/>
        </w:rPr>
        <w:t>lis pendens</w:t>
      </w:r>
      <w:r>
        <w:rPr>
          <w:rFonts w:ascii="Times New Roman" w:cs="Times New Roman" w:eastAsia="Times New Roman" w:hAnsi="Times New Roman"/>
          <w:sz w:val="12"/>
          <w:szCs w:val="12"/>
          <w:color w:val="auto"/>
        </w:rPr>
        <w:t xml:space="preserve"> and associated rights related to litigation being contested in good faith by appropriate proceedings and for which adequate reserves have been made;</w:t>
      </w:r>
    </w:p>
    <w:p>
      <w:pPr>
        <w:spacing w:after="0" w:line="7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out of conditional sale, title retention, consignment or similar arrangements for the sale or purchase of goods entered into in the ordinary course of business;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Incurred to secure cash management services or to implement cash pooling arrangements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23</w:t>
      </w:r>
    </w:p>
    <w:p>
      <w:pPr>
        <w:sectPr>
          <w:pgSz w:w="11900" w:h="16840" w:orient="portrait"/>
          <w:cols w:equalWidth="0" w:num="1">
            <w:col w:w="10160"/>
          </w:cols>
          <w:pgMar w:left="1100" w:top="1440" w:right="640" w:bottom="1440" w:gutter="0" w:footer="0" w:header="0"/>
        </w:sectPr>
      </w:pPr>
    </w:p>
    <w:bookmarkStart w:id="200" w:name="page201"/>
    <w:bookmarkEnd w:id="200"/>
    <w:p>
      <w:pPr>
        <w:spacing w:after="0" w:line="148" w:lineRule="exact"/>
        <w:rPr>
          <w:sz w:val="20"/>
          <w:szCs w:val="20"/>
          <w:color w:val="auto"/>
        </w:rPr>
      </w:pPr>
    </w:p>
    <w:p>
      <w:pPr>
        <w:jc w:val="both"/>
        <w:ind w:firstLine="460"/>
        <w:spacing w:after="0" w:line="236"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Liens securing obligations the outstanding principal amount of which does not, taken together with the principal amount of all other obligations secured by Liens incurred under this clause (25) (or by any Liens incurred under clause (20) hereof with respect to any refinancing, refunding, extension, renewal or replacement of any obligations secured by any Lien referred to in this clause (25)) that are at that time outstanding, exceed the greater of $750 million and 6.0% of Total Assets at the time of Incurrence;</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any Subsidiary of the Company that is not a Wholly Owned Subsidiary or (b) the Equity Interests in any Person that is not a Subsidiary of the Company, any encumbrance or restriction (including put and call arrangements) with respect to Equity Interests in such Subsidiary or such other Person set forth in the organization documents of such Subsidiary or such other Person or any related joint venture, shareholders’ or similar agreement;</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any amounts or property held by a trustee (i) in the funds and accounts under an indenture securing any revenue bonds issued for the benefit of the Company or any Restricted Subsidiary, (ii) under any indenture or other debt agreement issued in escrow pursuant to customary escrow arrangements pending the release thereof, or (iii) under any indenture or other debt agreement pursuant to customary discharge, redemption or defeasance provisions;</w:t>
      </w:r>
    </w:p>
    <w:p>
      <w:pPr>
        <w:spacing w:after="0" w:line="87"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 arising by virtue of any statutory or common law provisions relating to banker’s Liens, rights of set-off or similar rights and remedies as to deposit accounts or other funds maintained with a depository or financial institution, (ii) 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or (iv) arising from the general terms and conditions (</w:t>
      </w:r>
      <w:r>
        <w:rPr>
          <w:rFonts w:ascii="Times New Roman" w:cs="Times New Roman" w:eastAsia="Times New Roman" w:hAnsi="Times New Roman"/>
          <w:sz w:val="12"/>
          <w:szCs w:val="12"/>
          <w:i w:val="1"/>
          <w:iCs w:val="1"/>
          <w:color w:val="auto"/>
        </w:rPr>
        <w:t>algemene bankvoorwaarden</w:t>
      </w:r>
      <w:r>
        <w:rPr>
          <w:rFonts w:ascii="Times New Roman" w:cs="Times New Roman" w:eastAsia="Times New Roman" w:hAnsi="Times New Roman"/>
          <w:sz w:val="12"/>
          <w:szCs w:val="12"/>
          <w:color w:val="auto"/>
        </w:rPr>
        <w:t>) of any member of the Dutch Bankers’ Association (</w:t>
      </w:r>
      <w:r>
        <w:rPr>
          <w:rFonts w:ascii="Times New Roman" w:cs="Times New Roman" w:eastAsia="Times New Roman" w:hAnsi="Times New Roman"/>
          <w:sz w:val="12"/>
          <w:szCs w:val="12"/>
          <w:i w:val="1"/>
          <w:iCs w:val="1"/>
          <w:color w:val="auto"/>
        </w:rPr>
        <w:t>Nederlandse Vereniging van Banken</w:t>
      </w:r>
      <w:r>
        <w:rPr>
          <w:rFonts w:ascii="Times New Roman" w:cs="Times New Roman" w:eastAsia="Times New Roman" w:hAnsi="Times New Roman"/>
          <w:sz w:val="12"/>
          <w:szCs w:val="12"/>
          <w:color w:val="auto"/>
        </w:rPr>
        <w:t>) or any foreign equivalent thereof;</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 in favor of credit card companies pursuant to agreements therewith and (ii) in favor of customers;</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disclosed by the title insurance policies delivered pursuant to any Credit Agreement and any replacement, extension or renewal of any such Lien;</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replacement, extension or renewal Lien shall not cover any property other than the property that was subject to such Lien prior to such replacement, extension or renewal;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Indebtedness and other obligations secured by such replacement, extension or renewal Lien are permitted under this Indenture;</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that are contractual rights of set-off relating to purchase orders and other agreements entered into with customers, suppliers or service providers of the Company or any Restricted Subsidiary in the ordinary course of business;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real property that constitutes a leasehold interest, any Lien to which the fee simple interest (or any superior leasehold interest) is subject;</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agreements to subordinate any interest of the Company or any Restricted Subsidiary in any accounts receivable or other prices arising from inventory consigned by the Company or any such Restricted Subsidiary pursuant to an agreement entered into in the ordinary course of business;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securities that are the subject of repurchase agreements constituting Cash Equivalents under clause (4) of the definition thereof;</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securing insurance premium financing arrangements;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Liens are limited to the applicable unearned insurance premiums;</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assets of a Subsidiary that is not a Guarantor securing obligations the outstanding principal amount of which does not, taken together with the principal amount of all other obligations secured by Liens incurred under this clause (36) (or by any Liens incurred under clause (20) hereof with respect to any refinancing, refunding, extension, renewal or replacement of any obligations secured by any Lien referred to in this clause (36)) that are at that time outstanding, exceed the greater of $300 million and 2.4% of Total Assets at the time of Incurrence;</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securing the Secured Notes issued on the Issue Date;</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to secure Indebtedness permitted under Section 4.03(b)(xxix);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24</w:t>
      </w:r>
    </w:p>
    <w:p>
      <w:pPr>
        <w:sectPr>
          <w:pgSz w:w="11900" w:h="16840" w:orient="portrait"/>
          <w:cols w:equalWidth="0" w:num="1">
            <w:col w:w="10160"/>
          </w:cols>
          <w:pgMar w:left="1100" w:top="1440" w:right="640" w:bottom="1440" w:gutter="0" w:footer="0" w:header="0"/>
        </w:sectPr>
      </w:pPr>
    </w:p>
    <w:bookmarkStart w:id="201" w:name="page202"/>
    <w:bookmarkEnd w:id="201"/>
    <w:p>
      <w:pPr>
        <w:spacing w:after="0" w:line="148" w:lineRule="exact"/>
        <w:rPr>
          <w:sz w:val="20"/>
          <w:szCs w:val="20"/>
          <w:color w:val="auto"/>
        </w:rPr>
      </w:pPr>
    </w:p>
    <w:p>
      <w:pPr>
        <w:jc w:val="both"/>
        <w:ind w:left="460" w:right="20" w:firstLine="460"/>
        <w:spacing w:after="0" w:line="236" w:lineRule="auto"/>
        <w:tabs>
          <w:tab w:leader="none" w:pos="1364"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in connection with any joint and several liability and any netting or set-off arrangement arising (i) in each case by operation of law as a result of the existence, establishment or expansion of an affiliated, consolidated, combined, unitary or similar group for tax purposes to the extent such group consists solely in respect of the Issuers, any Guarantors and any Restricted Subsidiaries thereof or (ii) under a declaration of joint and several liability (</w:t>
      </w:r>
      <w:r>
        <w:rPr>
          <w:rFonts w:ascii="Times New Roman" w:cs="Times New Roman" w:eastAsia="Times New Roman" w:hAnsi="Times New Roman"/>
          <w:sz w:val="12"/>
          <w:szCs w:val="12"/>
          <w:i w:val="1"/>
          <w:iCs w:val="1"/>
          <w:color w:val="auto"/>
        </w:rPr>
        <w:t>hoofdelijke aansprakelijkheid</w:t>
      </w:r>
      <w:r>
        <w:rPr>
          <w:rFonts w:ascii="Times New Roman" w:cs="Times New Roman" w:eastAsia="Times New Roman" w:hAnsi="Times New Roman"/>
          <w:sz w:val="12"/>
          <w:szCs w:val="12"/>
          <w:color w:val="auto"/>
        </w:rPr>
        <w:t>) as referred to in Section 2:403 of the Dutch Civil Code.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Notwithstanding the foregoing, the definition of “Permitted Liens” is not intended to broaden the interpretation or otherwise expand the scope of Section 4.12.</w:t>
      </w:r>
    </w:p>
    <w:p>
      <w:pPr>
        <w:spacing w:after="0" w:line="129"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Receivables Facility Assets</w:t>
      </w:r>
      <w:r>
        <w:rPr>
          <w:rFonts w:ascii="Times New Roman" w:cs="Times New Roman" w:eastAsia="Times New Roman" w:hAnsi="Times New Roman"/>
          <w:sz w:val="12"/>
          <w:szCs w:val="12"/>
          <w:color w:val="auto"/>
        </w:rPr>
        <w:t xml:space="preserve"> ” means (i) Receivables Assets (whether now existing or arising in the future) of the Company and its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 and (ii) loans to the Company and its Subsidiaries secured by Receivables Assets (whether now existing or arising in the future) and any Permitted Receivables Related Assets of the Company and its Subsidiaries which are made pursuant to a Qualified Receivables Facility.</w:t>
      </w:r>
    </w:p>
    <w:p>
      <w:pPr>
        <w:spacing w:after="0" w:line="99"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Receivables Facility Documents</w:t>
      </w:r>
      <w:r>
        <w:rPr>
          <w:rFonts w:ascii="Times New Roman" w:cs="Times New Roman" w:eastAsia="Times New Roman" w:hAnsi="Times New Roman"/>
          <w:sz w:val="12"/>
          <w:szCs w:val="12"/>
          <w:color w:val="auto"/>
        </w:rPr>
        <w:t>” shall mean each of the documents and agreements entered into in connection with any Qualified Receivables Facility, including all documents and agreements relating to the issuance, funding and/or purchase of certificates and purchased interests or the incurrence of loans, as applicable, in each case as such documents and agreements may be amended, modified, supplemented, refinanced or replaced from time to time so long as the relevant Qualified Receivables Facility would still meet the requirements of the definition thereof after giving effect to such amendment, modification, supplement, refinancing or replacement.</w:t>
      </w:r>
    </w:p>
    <w:p>
      <w:pPr>
        <w:spacing w:after="0" w:line="95"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Receivables Related Assets</w:t>
      </w:r>
      <w:r>
        <w:rPr>
          <w:rFonts w:ascii="Times New Roman" w:cs="Times New Roman" w:eastAsia="Times New Roman" w:hAnsi="Times New Roman"/>
          <w:sz w:val="12"/>
          <w:szCs w:val="12"/>
          <w:color w:val="auto"/>
        </w:rPr>
        <w:t xml:space="preserve"> ”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without limitation, lock-boxes, deposit accounts, records in respect of Receivables Assets and collections in respect of Receivables Assets).</w:t>
      </w:r>
    </w:p>
    <w:p>
      <w:pPr>
        <w:spacing w:after="0" w:line="91"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corporation, company, partnership, limited liability company, joint venture, association, joint-stock company, trust, unincorporated organization, government or any agency or political subdivision thereof or any other entity.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Preferred Stock</w:t>
      </w:r>
      <w:r>
        <w:rPr>
          <w:rFonts w:ascii="Times New Roman" w:cs="Times New Roman" w:eastAsia="Times New Roman" w:hAnsi="Times New Roman"/>
          <w:sz w:val="12"/>
          <w:szCs w:val="12"/>
          <w:color w:val="auto"/>
        </w:rPr>
        <w:t>” means any Equity Interest with a preferential right of payment of dividends or upon liquidation, dissolution, or winding up.</w:t>
      </w:r>
    </w:p>
    <w:p>
      <w:pPr>
        <w:spacing w:after="0" w:line="119"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 Forma Basis</w:t>
      </w:r>
      <w:r>
        <w:rPr>
          <w:rFonts w:ascii="Times New Roman" w:cs="Times New Roman" w:eastAsia="Times New Roman" w:hAnsi="Times New Roman"/>
          <w:sz w:val="12"/>
          <w:szCs w:val="12"/>
          <w:color w:val="auto"/>
        </w:rPr>
        <w:t xml:space="preserve">” means, for purposes of calculating the Consolidated Total Net Leverage Ratio, Secured Net Leverage Ratio or Fixed Charge Coverage Ratio (each, a </w:t>
      </w:r>
      <w:r>
        <w:rPr>
          <w:rFonts w:ascii="Times New Roman" w:cs="Times New Roman" w:eastAsia="Times New Roman" w:hAnsi="Times New Roman"/>
          <w:sz w:val="12"/>
          <w:szCs w:val="12"/>
          <w:u w:val="single" w:color="auto"/>
          <w:color w:val="auto"/>
        </w:rPr>
        <w:t>“Ratio</w:t>
      </w:r>
      <w:r>
        <w:rPr>
          <w:rFonts w:ascii="Times New Roman" w:cs="Times New Roman" w:eastAsia="Times New Roman" w:hAnsi="Times New Roman"/>
          <w:sz w:val="12"/>
          <w:szCs w:val="12"/>
          <w:color w:val="auto"/>
        </w:rPr>
        <w:t>”), calculating such Ratios with the following adjustments:</w:t>
      </w:r>
    </w:p>
    <w:p>
      <w:pPr>
        <w:spacing w:after="0" w:line="80" w:lineRule="exact"/>
        <w:rPr>
          <w:sz w:val="20"/>
          <w:szCs w:val="20"/>
          <w:color w:val="auto"/>
        </w:rPr>
      </w:pPr>
    </w:p>
    <w:p>
      <w:pPr>
        <w:jc w:val="both"/>
        <w:ind w:left="920" w:hanging="457"/>
        <w:spacing w:after="0" w:line="223" w:lineRule="auto"/>
        <w:tabs>
          <w:tab w:leader="none" w:pos="911"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Company or any Restricted Subsidiary Incurs, repays, repurchases or redeems any Indebtedness (other than, solely for purposes of calculating the Fixed Charge Coverage Ratio, in the case of any Qualified Receivables Facility, in which case interest expense attributable thereto shall be computed based upon the average daily balance of such Qualified Receivables Facility during the applicable period) or issues, repurchases or redeems any Disqualified Stock or Preferred Stock subsequent to the commencement of the period for which the applicable Ratio is being calculated but prior to the event for which the calculation of the applicable Ratio is made (the date of such event, the “</w:t>
      </w:r>
      <w:r>
        <w:rPr>
          <w:rFonts w:ascii="Times New Roman" w:cs="Times New Roman" w:eastAsia="Times New Roman" w:hAnsi="Times New Roman"/>
          <w:sz w:val="12"/>
          <w:szCs w:val="12"/>
          <w:u w:val="single" w:color="auto"/>
          <w:color w:val="auto"/>
        </w:rPr>
        <w:t>Ratio Calculation Date</w:t>
      </w:r>
      <w:r>
        <w:rPr>
          <w:rFonts w:ascii="Times New Roman" w:cs="Times New Roman" w:eastAsia="Times New Roman" w:hAnsi="Times New Roman"/>
          <w:sz w:val="12"/>
          <w:szCs w:val="12"/>
          <w:color w:val="auto"/>
        </w:rPr>
        <w:t xml:space="preserve">”), then the applicable Ratio shall be calculated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to such Incurrence, repayment, repurchase or redemption of Indebtedness, or such issuance, repurchase or redemption of Disqualified Stock or Preferred Stock, as if the same had occurred at the beginning of the applicable four-quarter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may elect pursuant to an Officer’s Certificate delivered to the Trustee to treat all or any portion of the commitment under any Indebtedness as being Incurred at such time, in which case any subsequent Incurrence of Indebtedness under such commitment shall not be deemed, for purposes of this calculation, to be an Incurrence at such subsequent time.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25</w:t>
      </w:r>
    </w:p>
    <w:p>
      <w:pPr>
        <w:sectPr>
          <w:pgSz w:w="11900" w:h="16840" w:orient="portrait"/>
          <w:cols w:equalWidth="0" w:num="1">
            <w:col w:w="10620"/>
          </w:cols>
          <w:pgMar w:left="640" w:top="1440" w:right="640" w:bottom="1440" w:gutter="0" w:footer="0" w:header="0"/>
        </w:sectPr>
      </w:pPr>
    </w:p>
    <w:bookmarkStart w:id="202" w:name="page203"/>
    <w:bookmarkEnd w:id="202"/>
    <w:p>
      <w:pPr>
        <w:spacing w:after="0" w:line="148" w:lineRule="exact"/>
        <w:rPr>
          <w:sz w:val="20"/>
          <w:szCs w:val="20"/>
          <w:color w:val="auto"/>
        </w:rPr>
      </w:pPr>
    </w:p>
    <w:p>
      <w:pPr>
        <w:jc w:val="both"/>
        <w:ind w:left="920" w:hanging="457"/>
        <w:spacing w:after="0" w:line="222" w:lineRule="auto"/>
        <w:tabs>
          <w:tab w:leader="none" w:pos="911"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(or series of related Investments) in excess of $25 million, acquisitions, dispositions, mergers, amalgamations and consolidations that the Company or any Restricted Subsidiary has determined to make and/or made during the four-quarter reference period or subsequent to such reference period and on or prior to or simultaneously with the Ratio Calculation Date (each, for purposes of this definition, a “</w:t>
      </w:r>
      <w:r>
        <w:rPr>
          <w:rFonts w:ascii="Times New Roman" w:cs="Times New Roman" w:eastAsia="Times New Roman" w:hAnsi="Times New Roman"/>
          <w:sz w:val="12"/>
          <w:szCs w:val="12"/>
          <w:u w:val="single" w:color="auto"/>
          <w:color w:val="auto"/>
        </w:rPr>
        <w:t>pro forma event</w:t>
      </w:r>
      <w:r>
        <w:rPr>
          <w:rFonts w:ascii="Times New Roman" w:cs="Times New Roman" w:eastAsia="Times New Roman" w:hAnsi="Times New Roman"/>
          <w:sz w:val="12"/>
          <w:szCs w:val="12"/>
          <w:color w:val="auto"/>
        </w:rPr>
        <w:t xml:space="preserve">”) shall be calculated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assuming that all such Investments, acquisitions, dispositions, mergers, amalgamations and consolidations (and the change of any associated fixed charge obligations and the change in EBITDA resulting therefrom) had occurred on the first day of the four-quarter reference period. If since the beginning of such period any Person that subsequently became a Restricted Subsidiary or was merged with or into the Company or any Restricted Subsidiary since the beginning of such period shall have made any Investment, acquisition, disposition, merger, amalgamation or consolidation that would have required adjustment pursuant to this definition, then the applicable Ratio shall be calculated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thereto for such period as if such Investment, acquisition, disposition, merger, consolidation or amalgamation had occurred at the beginning of the applicable four-quarter period. If since the beginning of such period any Restricted Subsidiary is designated an Unrestricted Subsidiary or any Unrestricted Subsidiary is designated a Restricted Subsidiary, then the applicable Ratio shall be calculated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thereto for such period as if such designation had occurred at the beginning of the applicable four-quarter period.</w:t>
      </w:r>
    </w:p>
    <w:p>
      <w:pPr>
        <w:spacing w:after="0" w:line="86" w:lineRule="exact"/>
        <w:rPr>
          <w:rFonts w:ascii="Times New Roman" w:cs="Times New Roman" w:eastAsia="Times New Roman" w:hAnsi="Times New Roman"/>
          <w:sz w:val="12"/>
          <w:szCs w:val="12"/>
          <w:color w:val="auto"/>
        </w:rPr>
      </w:pPr>
    </w:p>
    <w:p>
      <w:pPr>
        <w:jc w:val="both"/>
        <w:ind w:left="920" w:right="20" w:hanging="457"/>
        <w:spacing w:after="0" w:line="237" w:lineRule="auto"/>
        <w:tabs>
          <w:tab w:leader="none" w:pos="911"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this definition, whenever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is to be given to any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event, the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calculations shall be made in good faith by a Financial Officer of the Company. Additionally, for purposes of this definition, any amount in a currency other than U.S. dollars will be converted to U.S. dollars based on the average exchange rate for such currency for the most recent twelve-month period immediately prior to the date of determination in a manner consistent with that used in calculating EBITDA for the applicable period.</w:t>
      </w:r>
    </w:p>
    <w:p>
      <w:pPr>
        <w:spacing w:after="0" w:line="86" w:lineRule="exact"/>
        <w:rPr>
          <w:rFonts w:ascii="Times New Roman" w:cs="Times New Roman" w:eastAsia="Times New Roman" w:hAnsi="Times New Roman"/>
          <w:sz w:val="12"/>
          <w:szCs w:val="12"/>
          <w:color w:val="auto"/>
        </w:rPr>
      </w:pPr>
    </w:p>
    <w:p>
      <w:pPr>
        <w:jc w:val="both"/>
        <w:ind w:left="920" w:hanging="457"/>
        <w:spacing w:after="0" w:line="224" w:lineRule="auto"/>
        <w:tabs>
          <w:tab w:leader="none" w:pos="911"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Solely for purposes of calculating the Fixed Charge Coverage Ratio, if any Indebtedness bears a floating rate of interest and is being given</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the interest on such Indebtedness shall be calculated as if the rate in effect on the Ratio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Financial Officer of the Company to be the rate of interest implicit in such Capitalized Lease Obligation in accordance with IFRS. For purposes of making the computation referred to above, interest on any Indebtedness under a revolving credit facility computed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Company may designate.</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Notwithstanding anything to the contrary herein, the Acquisition shall not be given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(but, for the avoidance of doubt, Indebtedness Incurred in connection therewith shall be given </w:t>
      </w:r>
      <w:r>
        <w:rPr>
          <w:rFonts w:ascii="Times New Roman" w:cs="Times New Roman" w:eastAsia="Times New Roman" w:hAnsi="Times New Roman"/>
          <w:sz w:val="12"/>
          <w:szCs w:val="12"/>
          <w:i w:val="1"/>
          <w:iCs w:val="1"/>
          <w:color w:val="auto"/>
        </w:rPr>
        <w:t>pro forma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means Genmab Holding II B.V., a private limited liability company organized under the laws of the Netherlands and a wholly owned subsidiary of the Company.</w:t>
      </w:r>
    </w:p>
    <w:p>
      <w:pPr>
        <w:spacing w:after="0" w:line="129"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Qualified Receivables Facility</w:t>
      </w:r>
      <w:r>
        <w:rPr>
          <w:rFonts w:ascii="Times New Roman" w:cs="Times New Roman" w:eastAsia="Times New Roman" w:hAnsi="Times New Roman"/>
          <w:sz w:val="12"/>
          <w:szCs w:val="12"/>
          <w:color w:val="auto"/>
        </w:rPr>
        <w:t>” shall mean a receivables financing or factoring facility that is designated as a “Qualified Receivables Facility” (as provided below), providing for the transfer, sale and/or pledge by the Company and/or one or more other Receivables Sellers of Permitted Receivables Facility Assets (thereby providing financing to the Company and/or the Receivables Sellers) to (i)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(ii) a bank or other financial institution, which shall finance, directly or indirectly, the Permitted Receivables Facility Assets, so long as, in the case of each of clause (i) and clause (ii), no portion of the Indebtedness or any other obligations (contingent or otherwise) under such receivables facility or facilities (x) is guaranteed by the Company or any Subsidiary (excluding guarantees of obligations pursuant to Standard Securitization Undertakings), (y) is recourse to or obligates the Company or any other Subsidiary in any way (other than pursuant to Standard Securitization Undertakings) or (z) subjects any property or asset (other than Permitted Receivables Facility Assets, Permitted Receivables Related Assets or the Equity Interests of any Receivables Entity) of the Company or any other Subsidiary (other than a Receivables Entity), directly or indirectly, contingently 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26</w:t>
      </w:r>
    </w:p>
    <w:p>
      <w:pPr>
        <w:sectPr>
          <w:pgSz w:w="11900" w:h="16840" w:orient="portrait"/>
          <w:cols w:equalWidth="0" w:num="1">
            <w:col w:w="10620"/>
          </w:cols>
          <w:pgMar w:left="640" w:top="1440" w:right="640" w:bottom="1440" w:gutter="0" w:footer="0" w:header="0"/>
        </w:sectPr>
      </w:pPr>
    </w:p>
    <w:bookmarkStart w:id="203" w:name="page204"/>
    <w:bookmarkEnd w:id="203"/>
    <w:p>
      <w:pPr>
        <w:spacing w:after="0" w:line="15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color w:val="auto"/>
        </w:rPr>
        <w:t>otherwise, to the satisfaction thereof (other than pursuant to Standard Securitization Undertakings). Any such designation shall be evidenced by delivering to the Trustee a certificate signed by a Financial Officer of the Company certifying that, to such officer’s knowledge and belief after consultation with counsel, such designation complied with the foregoing conditions.</w:t>
      </w:r>
    </w:p>
    <w:p>
      <w:pPr>
        <w:spacing w:after="0" w:line="7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Rating Agency</w:t>
      </w:r>
      <w:r>
        <w:rPr>
          <w:rFonts w:ascii="Times New Roman" w:cs="Times New Roman" w:eastAsia="Times New Roman" w:hAnsi="Times New Roman"/>
          <w:sz w:val="12"/>
          <w:szCs w:val="12"/>
          <w:color w:val="auto"/>
        </w:rPr>
        <w:t>” means (1) each of Moody’s and S&amp;P and (2) if Moody’s or S&amp;P ceases to rate the Notes, another “nationally recognized statistical rating organization” as such term is defined in Section 3(a)(62) of the Exchange Act selected by the Company as a replacement agency for S&amp;P or Moody’s, as the case may be.</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Receivables Assets</w:t>
      </w:r>
      <w:r>
        <w:rPr>
          <w:rFonts w:ascii="Times New Roman" w:cs="Times New Roman" w:eastAsia="Times New Roman" w:hAnsi="Times New Roman"/>
          <w:sz w:val="12"/>
          <w:szCs w:val="12"/>
          <w:color w:val="auto"/>
        </w:rPr>
        <w:t>” shall mean any right to payment created by or arising from royalties, sales of goods, lease of goods or the rendition of services rendered no matter how evidenced whether or not earned by performance (whether constituting accounts, general intangibles, chattel paper or otherwise).</w:t>
      </w:r>
    </w:p>
    <w:p>
      <w:pPr>
        <w:spacing w:after="0" w:line="79" w:lineRule="exact"/>
        <w:rPr>
          <w:sz w:val="20"/>
          <w:szCs w:val="20"/>
          <w:color w:val="auto"/>
        </w:rPr>
      </w:pPr>
    </w:p>
    <w:p>
      <w:pPr>
        <w:jc w:val="both"/>
        <w:ind w:firstLine="457"/>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Receivables Entity</w:t>
      </w:r>
      <w:r>
        <w:rPr>
          <w:rFonts w:ascii="Times New Roman" w:cs="Times New Roman" w:eastAsia="Times New Roman" w:hAnsi="Times New Roman"/>
          <w:sz w:val="12"/>
          <w:szCs w:val="12"/>
          <w:color w:val="auto"/>
        </w:rPr>
        <w:t>” shall mean any direct or indirect Wholly Owned Subsidiary of the Company that engages in no activities other than in connection with the financing of accounts receivable of the Receivables Sellers and that is designated (as provided below) as a “Receivables Entity” (a) with which neither the Company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Company or such Subsidiary than those that might be obtained at the time from persons that are not Affiliates of the Company (as determined by the Company in good faith) and (b) to which neither the Company nor any other Subsidiary has any obligation to maintain or preserve such entity’s financial condition or cause such entity to achieve certain levels of operating results (other than pursuant to Standard Securitization Undertakings) . Any such designation shall be evidenced by delivering to the Trustee an officer’s certificate of the Company certifying that, to such officer’s knowledge and belief after consultation with counsel, such designation complied with the foregoing conditions.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Receivables Seller</w:t>
      </w:r>
      <w:r>
        <w:rPr>
          <w:rFonts w:ascii="Times New Roman" w:cs="Times New Roman" w:eastAsia="Times New Roman" w:hAnsi="Times New Roman"/>
          <w:sz w:val="12"/>
          <w:szCs w:val="12"/>
          <w:color w:val="auto"/>
        </w:rPr>
        <w:t>” shall mean the Company or those Subsidiaries that are from time to time party to the Permitted Receivables Facility Documents (other than any Receivables Entity).</w:t>
      </w:r>
    </w:p>
    <w:p>
      <w:pPr>
        <w:spacing w:after="0" w:line="129"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Regulated Bank</w:t>
      </w:r>
      <w:r>
        <w:rPr>
          <w:rFonts w:ascii="Times New Roman" w:cs="Times New Roman" w:eastAsia="Times New Roman" w:hAnsi="Times New Roman"/>
          <w:sz w:val="12"/>
          <w:szCs w:val="12"/>
          <w:color w:val="auto"/>
        </w:rPr>
        <w:t>” means (a) a commercial bank with a consolidated combined capital and surplus of at least $ 5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w:t>
      </w:r>
    </w:p>
    <w:p>
      <w:pPr>
        <w:spacing w:after="0" w:line="1" w:lineRule="exact"/>
        <w:rPr>
          <w:sz w:val="20"/>
          <w:szCs w:val="20"/>
          <w:color w:val="auto"/>
        </w:rPr>
      </w:pPr>
    </w:p>
    <w:p>
      <w:pPr>
        <w:jc w:val="both"/>
        <w:ind w:right="20" w:firstLine="6"/>
        <w:spacing w:after="0" w:line="255" w:lineRule="auto"/>
        <w:tabs>
          <w:tab w:leader="none" w:pos="176"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U.S. or non-U.S. depository institution or any branch, agency or similar office thereof supervised by a bank regulatory authority in any jurisdiction or (b) any Affiliate of a Person set forth in clause (a) above to the extent that (1) all of the Capital Stock of such Affiliate is directly or indirectly owned by either (I) such Person set forth in clause (a) above or (II) a parent entity that also owns, directly or indirectly, all of the Capital Stock of such Person set forth in clause (a) and (2) such Affiliate is a securities broker or dealer registered with the SEC under Section 15 of the Exchange Act.</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Regulation U</w:t>
      </w:r>
      <w:r>
        <w:rPr>
          <w:rFonts w:ascii="Times New Roman" w:cs="Times New Roman" w:eastAsia="Times New Roman" w:hAnsi="Times New Roman"/>
          <w:sz w:val="12"/>
          <w:szCs w:val="12"/>
          <w:color w:val="auto"/>
        </w:rPr>
        <w:t>” means Regulation U of the Board of Governors of the Federal Reserve System as amended, or any successor regulation.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Investment</w:t>
      </w:r>
      <w:r>
        <w:rPr>
          <w:rFonts w:ascii="Times New Roman" w:cs="Times New Roman" w:eastAsia="Times New Roman" w:hAnsi="Times New Roman"/>
          <w:sz w:val="12"/>
          <w:szCs w:val="12"/>
          <w:color w:val="auto"/>
        </w:rPr>
        <w:t>” means an Investment other than a Permitted Investment.</w:t>
      </w:r>
    </w:p>
    <w:p>
      <w:pPr>
        <w:spacing w:after="0" w:line="12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Margin Stock</w:t>
      </w:r>
      <w:r>
        <w:rPr>
          <w:rFonts w:ascii="Times New Roman" w:cs="Times New Roman" w:eastAsia="Times New Roman" w:hAnsi="Times New Roman"/>
          <w:sz w:val="12"/>
          <w:szCs w:val="12"/>
          <w:color w:val="auto"/>
        </w:rPr>
        <w:t xml:space="preserve"> ” means Margin Stock owned by the Company or any Restricted Subsidiary the value of which (determined in accordance with clause (2)(i) of the definition of “indirectly secured” set forth in Regulation U) represents not more than 25% of the value of the assets of the Company and its Restricted Subsidiaries (determined in accordance with clause (2)(i) of the definition of “indirectly secured” set forth in Regulation U).</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Subsidiary</w:t>
      </w:r>
      <w:r>
        <w:rPr>
          <w:rFonts w:ascii="Times New Roman" w:cs="Times New Roman" w:eastAsia="Times New Roman" w:hAnsi="Times New Roman"/>
          <w:sz w:val="12"/>
          <w:szCs w:val="12"/>
          <w:color w:val="auto"/>
        </w:rPr>
        <w:t>” means, with respect to any Person, any Subsidiary of such Person other than an Unrestricted Subsidiary of such Person. Unless otherwise indicated in this Indenture, all references to Restricted Subsidiaries shall mean Restricted Subsidiaries of the Company (including the U.S. Co-Issuer).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27</w:t>
      </w:r>
    </w:p>
    <w:p>
      <w:pPr>
        <w:sectPr>
          <w:pgSz w:w="11900" w:h="16840" w:orient="portrait"/>
          <w:cols w:equalWidth="0" w:num="1">
            <w:col w:w="10620"/>
          </w:cols>
          <w:pgMar w:left="640" w:top="1440" w:right="640" w:bottom="1440" w:gutter="0" w:footer="0" w:header="0"/>
        </w:sectPr>
      </w:pPr>
    </w:p>
    <w:bookmarkStart w:id="204" w:name="page205"/>
    <w:bookmarkEnd w:id="204"/>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S&amp;P</w:t>
      </w:r>
      <w:r>
        <w:rPr>
          <w:rFonts w:ascii="Times New Roman" w:cs="Times New Roman" w:eastAsia="Times New Roman" w:hAnsi="Times New Roman"/>
          <w:sz w:val="12"/>
          <w:szCs w:val="12"/>
          <w:color w:val="auto"/>
        </w:rPr>
        <w:t>” means S&amp;P Global Ratings and any successor to its rating agency business.</w:t>
      </w:r>
    </w:p>
    <w:p>
      <w:pPr>
        <w:spacing w:after="0" w:line="129" w:lineRule="exact"/>
        <w:rPr>
          <w:sz w:val="20"/>
          <w:szCs w:val="20"/>
          <w:color w:val="auto"/>
        </w:rPr>
      </w:pPr>
    </w:p>
    <w:p>
      <w:pPr>
        <w:jc w:val="both"/>
        <w:ind w:firstLine="457"/>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Sale/Leaseback Transaction</w:t>
      </w:r>
      <w:r>
        <w:rPr>
          <w:rFonts w:ascii="Times New Roman" w:cs="Times New Roman" w:eastAsia="Times New Roman" w:hAnsi="Times New Roman"/>
          <w:sz w:val="12"/>
          <w:szCs w:val="12"/>
          <w:color w:val="auto"/>
        </w:rPr>
        <w:t>” means an arrangement relating to property now owned or hereafter acquired by the Company or a Restricted Subsidiary whereby the Company or such Restricted Subsidiary transfers such property to a Person and the Company or such Restricted Subsidiary leases it from such Person, other than leases between the Company and a Restricted Subsidiary or between Restricted Subsidiaries.</w:t>
      </w:r>
    </w:p>
    <w:p>
      <w:pPr>
        <w:spacing w:after="0" w:line="235"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Screened Affiliate</w:t>
      </w:r>
      <w:r>
        <w:rPr>
          <w:rFonts w:ascii="Times New Roman" w:cs="Times New Roman" w:eastAsia="Times New Roman" w:hAnsi="Times New Roman"/>
          <w:sz w:val="12"/>
          <w:szCs w:val="12"/>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Issuers or its Subsidiaries, (iii) whose investment policies are not directed by such holder or any other Affiliate of such holder that is acting in concert with such holder in connection with its investment in the Notes and</w:t>
      </w:r>
    </w:p>
    <w:p>
      <w:pPr>
        <w:spacing w:after="0" w:line="1" w:lineRule="exact"/>
        <w:rPr>
          <w:sz w:val="20"/>
          <w:szCs w:val="20"/>
          <w:color w:val="auto"/>
        </w:rPr>
      </w:pPr>
    </w:p>
    <w:p>
      <w:pPr>
        <w:ind w:right="20" w:firstLine="6"/>
        <w:spacing w:after="0" w:line="251" w:lineRule="auto"/>
        <w:tabs>
          <w:tab w:leader="none" w:pos="211"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whose investment decisions are not influenced by the investment decisions of such holder or any other Affiliate of such holder that is acting in concert with such holders in connection with its investment in the Notes.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Securities and Exchange Commission.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Secured Indebtedness</w:t>
      </w:r>
      <w:r>
        <w:rPr>
          <w:rFonts w:ascii="Times New Roman" w:cs="Times New Roman" w:eastAsia="Times New Roman" w:hAnsi="Times New Roman"/>
          <w:sz w:val="12"/>
          <w:szCs w:val="12"/>
          <w:color w:val="auto"/>
        </w:rPr>
        <w:t>” means any Consolidated Total Indebtedness secured by a Lien on all or any portion of the assets of the Company or any of its Restricted Subsidiaries.</w:t>
      </w:r>
    </w:p>
    <w:p>
      <w:pPr>
        <w:spacing w:after="0" w:line="129" w:lineRule="exact"/>
        <w:rPr>
          <w:sz w:val="20"/>
          <w:szCs w:val="20"/>
          <w:color w:val="auto"/>
        </w:rPr>
      </w:pPr>
    </w:p>
    <w:p>
      <w:pPr>
        <w:jc w:val="both"/>
        <w:ind w:right="20" w:firstLine="457"/>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Secured Net Leverage Ratio</w:t>
      </w:r>
      <w:r>
        <w:rPr>
          <w:rFonts w:ascii="Times New Roman" w:cs="Times New Roman" w:eastAsia="Times New Roman" w:hAnsi="Times New Roman"/>
          <w:sz w:val="12"/>
          <w:szCs w:val="12"/>
          <w:color w:val="auto"/>
        </w:rPr>
        <w:t>” means, at any date, the ratio of (i) the principal amount of Secured Indebtedness as of such date of calculation (determined on a consolidated basis) less the Unrestricted Cash Amount as of such date of determination to (ii) EBITDA of the Company for the four full fiscal quarters for which financial statements are available immediately preceding such date, calculated on a Pro Forma Basis.</w:t>
      </w:r>
    </w:p>
    <w:p>
      <w:pPr>
        <w:spacing w:after="0" w:line="235"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Secured Notes</w:t>
      </w:r>
      <w:r>
        <w:rPr>
          <w:rFonts w:ascii="Times New Roman" w:cs="Times New Roman" w:eastAsia="Times New Roman" w:hAnsi="Times New Roman"/>
          <w:sz w:val="12"/>
          <w:szCs w:val="12"/>
          <w:color w:val="auto"/>
        </w:rPr>
        <w:t xml:space="preserve">” means the 6.250% senior secured notes due 2032 issued by the Issuers pursuant to an indenture (the </w:t>
      </w:r>
      <w:r>
        <w:rPr>
          <w:rFonts w:ascii="Times New Roman" w:cs="Times New Roman" w:eastAsia="Times New Roman" w:hAnsi="Times New Roman"/>
          <w:sz w:val="12"/>
          <w:szCs w:val="12"/>
          <w:u w:val="single" w:color="auto"/>
          <w:color w:val="auto"/>
        </w:rPr>
        <w:t>“Secured Notes Indenture</w:t>
      </w:r>
      <w:r>
        <w:rPr>
          <w:rFonts w:ascii="Times New Roman" w:cs="Times New Roman" w:eastAsia="Times New Roman" w:hAnsi="Times New Roman"/>
          <w:sz w:val="12"/>
          <w:szCs w:val="12"/>
          <w:color w:val="auto"/>
        </w:rPr>
        <w:t>”) dated the Issue Date among the Issuers, the guarantors party thereto from time to time and Wilmington Trust, National Association, as trustee and collateral agent.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and the rules and regulations of the SEC promulgated thereunder.</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Segregated Accounts</w:t>
      </w:r>
      <w:r>
        <w:rPr>
          <w:rFonts w:ascii="Times New Roman" w:cs="Times New Roman" w:eastAsia="Times New Roman" w:hAnsi="Times New Roman"/>
          <w:sz w:val="12"/>
          <w:szCs w:val="12"/>
          <w:color w:val="auto"/>
        </w:rPr>
        <w:t>” means the Segregated Deposit Account and the Segregated Securities Accounts.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Segregated Deposit Account</w:t>
      </w:r>
      <w:r>
        <w:rPr>
          <w:rFonts w:ascii="Times New Roman" w:cs="Times New Roman" w:eastAsia="Times New Roman" w:hAnsi="Times New Roman"/>
          <w:sz w:val="12"/>
          <w:szCs w:val="12"/>
          <w:color w:val="auto"/>
        </w:rPr>
        <w:t>” means the segregated deposit account established by the Company at Goldman Sachs Bank USA for the benefit of the holders of the Notes pursuant to Section 3.10.</w:t>
      </w:r>
    </w:p>
    <w:p>
      <w:pPr>
        <w:spacing w:after="0" w:line="12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Segregated Securities Accounts</w:t>
      </w:r>
      <w:r>
        <w:rPr>
          <w:rFonts w:ascii="Times New Roman" w:cs="Times New Roman" w:eastAsia="Times New Roman" w:hAnsi="Times New Roman"/>
          <w:sz w:val="12"/>
          <w:szCs w:val="12"/>
          <w:color w:val="auto"/>
        </w:rPr>
        <w:t>” means (a) the segregated securities account established by the Company at Goldman Sachs &amp; Co. LLC and (b) the segregated securities account established by the Company in connection with Morgan Stanley Institutional Liquidity Funds, with SS&amp;C Global Investor and Distribution Solutions, Inc., as transfer agent, and State Street Bank and Trust Company, as custodian, in each case, for the benefit of the holders of the Notes pursuant to Section 3.10.</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Short Derivative Instrument</w:t>
      </w:r>
      <w:r>
        <w:rPr>
          <w:rFonts w:ascii="Times New Roman" w:cs="Times New Roman" w:eastAsia="Times New Roman" w:hAnsi="Times New Roman"/>
          <w:sz w:val="12"/>
          <w:szCs w:val="12"/>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Significant Subsidiary</w:t>
      </w:r>
      <w:r>
        <w:rPr>
          <w:rFonts w:ascii="Times New Roman" w:cs="Times New Roman" w:eastAsia="Times New Roman" w:hAnsi="Times New Roman"/>
          <w:sz w:val="12"/>
          <w:szCs w:val="12"/>
          <w:color w:val="auto"/>
        </w:rPr>
        <w:t>” means any Restricted Subsidiary that would be a “significant subsidiary” of the Company within the meaning of Rule 1-02 under Regulation S-X promulgated by the SEC (or any successor provisions).</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Similar Business</w:t>
      </w:r>
      <w:r>
        <w:rPr>
          <w:rFonts w:ascii="Times New Roman" w:cs="Times New Roman" w:eastAsia="Times New Roman" w:hAnsi="Times New Roman"/>
          <w:sz w:val="12"/>
          <w:szCs w:val="12"/>
          <w:color w:val="auto"/>
        </w:rPr>
        <w:t>” means any business the majority of whose revenues are derived from (i) business or activities conducted by the Company and its Subsidiaries on the Issue Date or the Initial Tender Offer Closing Date, (ii) any business that is a natural outgrowth or reasonable extension, development or expansion of any business 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28</w:t>
      </w:r>
    </w:p>
    <w:p>
      <w:pPr>
        <w:sectPr>
          <w:pgSz w:w="11900" w:h="16840" w:orient="portrait"/>
          <w:cols w:equalWidth="0" w:num="1">
            <w:col w:w="10620"/>
          </w:cols>
          <w:pgMar w:left="640" w:top="1440" w:right="640" w:bottom="1440" w:gutter="0" w:footer="0" w:header="0"/>
        </w:sectPr>
      </w:pPr>
    </w:p>
    <w:bookmarkStart w:id="205" w:name="page206"/>
    <w:bookmarkEnd w:id="205"/>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2"/>
          <w:szCs w:val="12"/>
          <w:color w:val="auto"/>
        </w:rPr>
        <w:t>activities conducted by the Company and its Subsidiaries on the Issue Date or the Initial Tender Offer Closing Date or any business similar, reasonably related, incidental, complementary or ancillary to any of the foregoing or (iii) any business that in the Company’s good faith business judgment constitutes a reasonable diversification of businesses conducted by the Company and its Subsidiaries.</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Special Mandatory Redemption Date</w:t>
      </w:r>
      <w:r>
        <w:rPr>
          <w:rFonts w:ascii="Times New Roman" w:cs="Times New Roman" w:eastAsia="Times New Roman" w:hAnsi="Times New Roman"/>
          <w:sz w:val="12"/>
          <w:szCs w:val="12"/>
          <w:color w:val="auto"/>
        </w:rPr>
        <w:t>” means the date of redemption provided in the notice delivered by the Issuers pursuant to Section 3.09(b), which date shall be no later than the third Business Day following the Special Mandatory Redemption Trigger Date.</w:t>
      </w:r>
    </w:p>
    <w:p>
      <w:pPr>
        <w:spacing w:after="0" w:line="7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Special Mandatory Redemption Price</w:t>
      </w:r>
      <w:r>
        <w:rPr>
          <w:rFonts w:ascii="Times New Roman" w:cs="Times New Roman" w:eastAsia="Times New Roman" w:hAnsi="Times New Roman"/>
          <w:sz w:val="12"/>
          <w:szCs w:val="12"/>
          <w:color w:val="auto"/>
        </w:rPr>
        <w:t>” means 100% of the issue price of the Notes, plus accrued and unpaid interest from the Issue Date, or the most recent date to which interest has been paid or provided for, to, but excluding, the Special Mandatory Redemption Date.</w:t>
      </w:r>
    </w:p>
    <w:p>
      <w:pPr>
        <w:spacing w:after="0" w:line="79" w:lineRule="exact"/>
        <w:rPr>
          <w:sz w:val="20"/>
          <w:szCs w:val="20"/>
          <w:color w:val="auto"/>
        </w:rPr>
      </w:pPr>
    </w:p>
    <w:p>
      <w:pPr>
        <w:ind w:right="6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Special Mandatory Redemption Trigger Date</w:t>
      </w:r>
      <w:r>
        <w:rPr>
          <w:rFonts w:ascii="Times New Roman" w:cs="Times New Roman" w:eastAsia="Times New Roman" w:hAnsi="Times New Roman"/>
          <w:sz w:val="12"/>
          <w:szCs w:val="12"/>
          <w:color w:val="auto"/>
        </w:rPr>
        <w:t>” means October 5, 2026, if the Initial Tender Offer has not been consummated on or before such date, or, if earlier, the date on which the Acquisition Agreement terminates or is terminated in accordance with its terms.</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Standard Securitization Undertakings</w:t>
      </w:r>
      <w:r>
        <w:rPr>
          <w:rFonts w:ascii="Times New Roman" w:cs="Times New Roman" w:eastAsia="Times New Roman" w:hAnsi="Times New Roman"/>
          <w:sz w:val="12"/>
          <w:szCs w:val="12"/>
          <w:color w:val="auto"/>
        </w:rPr>
        <w:t>” means representations, warranties, covenants, indemnities and guarantees of performance entered into by the Company or any of its Subsidiaries in connection with a Qualified Receivables Facility which the Company has determined in good faith to be reasonably customary in the commercial paper, term securitization or structured lending market.</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Stated Maturity</w:t>
      </w:r>
      <w:r>
        <w:rPr>
          <w:rFonts w:ascii="Times New Roman" w:cs="Times New Roman" w:eastAsia="Times New Roman" w:hAnsi="Times New Roman"/>
          <w:sz w:val="12"/>
          <w:szCs w:val="12"/>
          <w:color w:val="auto"/>
        </w:rPr>
        <w:t>” means, with respect to any Note, the date specified in such Note as the fixed date on which the final payment of principal of such Note is due and payable, including pursuant to any mandatory redemption provision (but excluding any provision providing for the repurchase of such Note at the option of the holder thereof upon the happening of any contingency beyond the control of the Company unless such contingency has occurred).</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Subordinated Indebtedness</w:t>
      </w:r>
      <w:r>
        <w:rPr>
          <w:rFonts w:ascii="Times New Roman" w:cs="Times New Roman" w:eastAsia="Times New Roman" w:hAnsi="Times New Roman"/>
          <w:sz w:val="12"/>
          <w:szCs w:val="12"/>
          <w:color w:val="auto"/>
        </w:rPr>
        <w:t xml:space="preserve">” means (a) with respect to an Issuer, any Indebtedness of such Issuer which is by its terms subordinated in right of payment to the Notes, and (b) with respect to any Guarantor, any Indebtedness of such Guarantor which is by its terms subordinated in right of payment to its Guarantee;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guarantee of Indebtedness which Indebtedness does not itself constitute Subordinated Indebtedness shall constitute Subordinated Indebtedness.</w:t>
      </w:r>
    </w:p>
    <w:p>
      <w:pPr>
        <w:spacing w:after="0" w:line="91"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any Person, (1) any corporation, association or other business entity (other than a partnership, joint venture or limited liability company)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(2) any partnership, joint venture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Unless the context otherwise requires, a “Subsidiary” refers to a Subsidiary of the Company.</w:t>
      </w:r>
    </w:p>
    <w:p>
      <w:pPr>
        <w:spacing w:after="0" w:line="9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means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TIA</w:t>
      </w:r>
      <w:r>
        <w:rPr>
          <w:rFonts w:ascii="Times New Roman" w:cs="Times New Roman" w:eastAsia="Times New Roman" w:hAnsi="Times New Roman"/>
          <w:sz w:val="12"/>
          <w:szCs w:val="12"/>
          <w:color w:val="auto"/>
        </w:rPr>
        <w:t>” means the Trust Indenture Act of 1939 (15 U.S.C. Sections 77aaa-77bbbb) as in effect on the Issue Date.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29</w:t>
      </w:r>
    </w:p>
    <w:p>
      <w:pPr>
        <w:sectPr>
          <w:pgSz w:w="11900" w:h="16840" w:orient="portrait"/>
          <w:cols w:equalWidth="0" w:num="1">
            <w:col w:w="10620"/>
          </w:cols>
          <w:pgMar w:left="640" w:top="1440" w:right="640" w:bottom="1440" w:gutter="0" w:footer="0" w:header="0"/>
        </w:sectPr>
      </w:pPr>
    </w:p>
    <w:bookmarkStart w:id="206" w:name="page207"/>
    <w:bookmarkEnd w:id="206"/>
    <w:p>
      <w:pPr>
        <w:spacing w:after="0" w:line="155" w:lineRule="exact"/>
        <w:rPr>
          <w:sz w:val="20"/>
          <w:szCs w:val="20"/>
          <w:color w:val="auto"/>
        </w:rPr>
      </w:pPr>
    </w:p>
    <w:p>
      <w:pPr>
        <w:jc w:val="both"/>
        <w:ind w:right="20" w:firstLine="457"/>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Total Assets</w:t>
      </w:r>
      <w:r>
        <w:rPr>
          <w:rFonts w:ascii="Times New Roman" w:cs="Times New Roman" w:eastAsia="Times New Roman" w:hAnsi="Times New Roman"/>
          <w:sz w:val="12"/>
          <w:szCs w:val="12"/>
          <w:color w:val="auto"/>
        </w:rPr>
        <w:t xml:space="preserve">” means the total consolidated assets of the Company and its Restricted Subsidiaries, as shown on the most recent balance sheet of the Company, calculated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after giving effect to any subsequent acquisition or disposition of a Person or business.</w:t>
      </w:r>
    </w:p>
    <w:p>
      <w:pPr>
        <w:spacing w:after="0" w:line="78"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means (a) the issuance and sale of the Notes and Secured Notes pursuant to the Offering Memorandum, (b) the Incurrence of Indebtedness under the Initial Credit Agreement and other transactions to occur pursuant to or in connection with the Initial Credit Agreement on the Initial Tender Offer Closing Date, (c) the consummation of the Acquisition and the other transactions to occur pursuant to or in connection with the Acquisition Agreement on or prior to the Acquisition Date and (d) the payment of all fees and expenses to be paid and owing in connection with the foregoing.</w:t>
      </w:r>
    </w:p>
    <w:p>
      <w:pPr>
        <w:spacing w:after="0" w:line="91"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Treasury Rate</w:t>
      </w:r>
      <w:r>
        <w:rPr>
          <w:rFonts w:ascii="Times New Roman" w:cs="Times New Roman" w:eastAsia="Times New Roman" w:hAnsi="Times New Roman"/>
          <w:sz w:val="12"/>
          <w:szCs w:val="12"/>
          <w:color w:val="auto"/>
        </w:rPr>
        <w:t xml:space="preserve">” means the average during the most recent week that has ended at least two Business Days prior to the applicable redemption date (or in the case of a satisfaction and discharge, two Business Days prior to the deposit of funds with the Trustee or any paying agent) of the yield to maturity at the time of computation of United States Treasury securities with a constant maturity (as compiled and published in the Federal Reserve Statistical Release H.15 (or, if such Statistical Release is no longer published, any publicly available source of similar market data)) most nearly equal to the period from such redemption date to December 15, 2028;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period from such redemption date to December 15, 2028 is less than one year, the weekly average yield on actively traded United States Treasury securities adjusted to a constant maturity of one year will be used.</w:t>
      </w:r>
    </w:p>
    <w:p>
      <w:pPr>
        <w:spacing w:after="0" w:line="9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Officer</w:t>
      </w:r>
      <w:r>
        <w:rPr>
          <w:rFonts w:ascii="Times New Roman" w:cs="Times New Roman" w:eastAsia="Times New Roman" w:hAnsi="Times New Roman"/>
          <w:sz w:val="12"/>
          <w:szCs w:val="12"/>
          <w:color w:val="auto"/>
        </w:rPr>
        <w:t>” means any officer within the corporate trust department of the Trustee, including any director, vice president, assistant vice president, associate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in each case, who shall have direct responsibility for the administration of this Indenture.</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Uniform Commercial Code</w:t>
      </w:r>
      <w:r>
        <w:rPr>
          <w:rFonts w:ascii="Times New Roman" w:cs="Times New Roman" w:eastAsia="Times New Roman" w:hAnsi="Times New Roman"/>
          <w:sz w:val="12"/>
          <w:szCs w:val="12"/>
          <w:color w:val="auto"/>
        </w:rPr>
        <w:t>” means the Uniform Commercial Code as in effect from time to time in any applicable state.</w:t>
      </w:r>
    </w:p>
    <w:p>
      <w:pPr>
        <w:spacing w:after="0" w:line="129"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Cash</w:t>
      </w:r>
      <w:r>
        <w:rPr>
          <w:rFonts w:ascii="Times New Roman" w:cs="Times New Roman" w:eastAsia="Times New Roman" w:hAnsi="Times New Roman"/>
          <w:sz w:val="12"/>
          <w:szCs w:val="12"/>
          <w:color w:val="auto"/>
        </w:rPr>
        <w:t>” shall mean cash and Cash Equivalents of the Company or any of its Subsidiaries that would not appear as “restricted” on a consolidated balance sheet of the Company or any of its Subsidiaries or appears as “restricted” only as a result of having been pledged in support of any Obligations in respect of Equal Priority Indebtedness.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Cash Amount</w:t>
      </w:r>
      <w:r>
        <w:rPr>
          <w:rFonts w:ascii="Times New Roman" w:cs="Times New Roman" w:eastAsia="Times New Roman" w:hAnsi="Times New Roman"/>
          <w:sz w:val="12"/>
          <w:szCs w:val="12"/>
          <w:color w:val="auto"/>
        </w:rPr>
        <w:t>” means, on any date, the lesser of (i) $500 million and (ii) the aggregate amount of Unrestricted Cash on such date.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Margin Stock</w:t>
      </w:r>
      <w:r>
        <w:rPr>
          <w:rFonts w:ascii="Times New Roman" w:cs="Times New Roman" w:eastAsia="Times New Roman" w:hAnsi="Times New Roman"/>
          <w:sz w:val="12"/>
          <w:szCs w:val="12"/>
          <w:color w:val="auto"/>
        </w:rPr>
        <w:t>” shall mean any Margin Stock owned by the Company or any Restricted Subsidiary that is not Restricted Margin Stock.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Subsidiary</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of the Company that at the time of determination shall be designated an Unrestricted Subsidiary by the Board of Directors of the Company in the manner provided below;</w:t>
      </w:r>
    </w:p>
    <w:p>
      <w:pPr>
        <w:ind w:left="460"/>
        <w:spacing w:after="0"/>
        <w:rPr>
          <w:sz w:val="20"/>
          <w:szCs w:val="20"/>
          <w:color w:val="auto"/>
        </w:rPr>
      </w:pPr>
      <w:r>
        <w:rPr>
          <w:rFonts w:ascii="Times New Roman" w:cs="Times New Roman" w:eastAsia="Times New Roman" w:hAnsi="Times New Roman"/>
          <w:sz w:val="12"/>
          <w:szCs w:val="12"/>
          <w:color w:val="auto"/>
        </w:rPr>
        <w:t>and</w:t>
      </w:r>
    </w:p>
    <w:p>
      <w:pPr>
        <w:spacing w:after="0" w:line="95" w:lineRule="exact"/>
        <w:rPr>
          <w:sz w:val="20"/>
          <w:szCs w:val="20"/>
          <w:color w:val="auto"/>
        </w:rPr>
      </w:pPr>
    </w:p>
    <w:p>
      <w:pPr>
        <w:ind w:left="1360" w:hanging="440"/>
        <w:spacing w:after="0"/>
        <w:tabs>
          <w:tab w:leader="none" w:pos="136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of an Unrestricted Subsidiary.</w:t>
      </w:r>
    </w:p>
    <w:p>
      <w:pPr>
        <w:spacing w:after="0" w:line="119"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 xml:space="preserve">The Company may designate any of its Subsidiaries, including any newly acquired or newly formed Subsidiary of the Company, to be an Unrestricted Subsidiary unless at the time of such designation such Subsidiary or any of its Subsidiaries (x) owns any Equity Interests or Indebtedness of, or owns or holds any Lien on any property of, the Company or any Restricted Subsidiary that is not a Subsidiary of the Subsidiary to be so designated or (y) owns or exclusively licenses Material Intellectual Property, in each case of clauses (x) and (y) at the time of such designation;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Subsidiary to be so designated and its Subsidiaries do not at the time of designation have and do not thereafter Incur any Indebtedness pursuant to which the lender has recourse to any of the assets of the Company or any of the Restricted Subsidiaries other than Permitted Liens described in clause (18) of the definition thereof unless otherwise permitted under Section 4.04;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either (a) the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30</w:t>
      </w:r>
    </w:p>
    <w:p>
      <w:pPr>
        <w:sectPr>
          <w:pgSz w:w="11900" w:h="16840" w:orient="portrait"/>
          <w:cols w:equalWidth="0" w:num="1">
            <w:col w:w="10620"/>
          </w:cols>
          <w:pgMar w:left="640" w:top="1440" w:right="640" w:bottom="1440" w:gutter="0" w:footer="0" w:header="0"/>
        </w:sectPr>
      </w:pPr>
    </w:p>
    <w:bookmarkStart w:id="207" w:name="page208"/>
    <w:bookmarkEnd w:id="20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Subsidiary to be so designated has total consolidated assets of $1,000 or less or (b) if such Subsidiary has consolidated assets greater than $1,000, then such designation would be permitted under Section 4.04.</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The Company may designate any Unrestricted Subsidiary to be a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immediately after giving effect to such designation:</w:t>
      </w:r>
    </w:p>
    <w:p>
      <w:pPr>
        <w:spacing w:after="0" w:line="129" w:lineRule="exact"/>
        <w:rPr>
          <w:sz w:val="20"/>
          <w:szCs w:val="20"/>
          <w:color w:val="auto"/>
        </w:rPr>
      </w:pPr>
    </w:p>
    <w:p>
      <w:pPr>
        <w:ind w:left="1180" w:hanging="260"/>
        <w:spacing w:after="0"/>
        <w:tabs>
          <w:tab w:leader="none" w:pos="11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could Incur $1.00 of additional Indebtedness pursuant to Section 4.03(a), calculated on a Pro Forma Basis giving effect to such designation, and</w:t>
      </w:r>
    </w:p>
    <w:p>
      <w:pPr>
        <w:spacing w:after="0" w:line="128" w:lineRule="exact"/>
        <w:rPr>
          <w:rFonts w:ascii="Times New Roman" w:cs="Times New Roman" w:eastAsia="Times New Roman" w:hAnsi="Times New Roman"/>
          <w:sz w:val="12"/>
          <w:szCs w:val="12"/>
          <w:color w:val="auto"/>
        </w:rPr>
      </w:pPr>
    </w:p>
    <w:p>
      <w:pPr>
        <w:ind w:left="1180" w:hanging="260"/>
        <w:spacing w:after="0"/>
        <w:tabs>
          <w:tab w:leader="none" w:pos="11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shall have occurred and be continuing.</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Any such designation by the Company shall be evidenced to the Trustee by promptly filing with the Trustee a copy of the resolution of the Board of Directors of the Company, giving effect to such designation and an Officer’s Certificate certifying that such designation complied with the foregoing provisions.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U.S. Co-Issuer</w:t>
      </w:r>
      <w:r>
        <w:rPr>
          <w:rFonts w:ascii="Times New Roman" w:cs="Times New Roman" w:eastAsia="Times New Roman" w:hAnsi="Times New Roman"/>
          <w:sz w:val="12"/>
          <w:szCs w:val="12"/>
          <w:color w:val="auto"/>
        </w:rPr>
        <w:t>” means Genmab Finance LLC, a Delaware limited liability company and wholly owned subsidiary of the Company.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U.S. Government Obligations</w:t>
      </w:r>
      <w:r>
        <w:rPr>
          <w:rFonts w:ascii="Times New Roman" w:cs="Times New Roman" w:eastAsia="Times New Roman" w:hAnsi="Times New Roman"/>
          <w:sz w:val="12"/>
          <w:szCs w:val="12"/>
          <w:color w:val="auto"/>
        </w:rPr>
        <w:t>” means securities that are:</w:t>
      </w:r>
    </w:p>
    <w:p>
      <w:pPr>
        <w:spacing w:after="0" w:line="109" w:lineRule="exact"/>
        <w:rPr>
          <w:sz w:val="20"/>
          <w:szCs w:val="20"/>
          <w:color w:val="auto"/>
        </w:rPr>
      </w:pPr>
    </w:p>
    <w:p>
      <w:pPr>
        <w:ind w:left="1360" w:hanging="440"/>
        <w:spacing w:after="0"/>
        <w:tabs>
          <w:tab w:leader="none" w:pos="136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obligations of the United States of America for the timely payment of which its full faith and credit is pledged, or</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25" w:lineRule="auto"/>
        <w:tabs>
          <w:tab w:leader="none" w:pos="136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Voting Stock</w:t>
      </w:r>
      <w:r>
        <w:rPr>
          <w:rFonts w:ascii="Times New Roman" w:cs="Times New Roman" w:eastAsia="Times New Roman" w:hAnsi="Times New Roman"/>
          <w:sz w:val="12"/>
          <w:szCs w:val="12"/>
          <w:color w:val="auto"/>
        </w:rPr>
        <w:t>” of any Person as of any date means the Capital Stock of such Person that is at the time entitled to vote in the election of the Board of Directors of such Person.</w:t>
      </w:r>
    </w:p>
    <w:p>
      <w:pPr>
        <w:spacing w:after="0" w:line="127" w:lineRule="exact"/>
        <w:rPr>
          <w:sz w:val="20"/>
          <w:szCs w:val="20"/>
          <w:color w:val="auto"/>
        </w:rPr>
      </w:pPr>
    </w:p>
    <w:p>
      <w:pPr>
        <w:jc w:val="both"/>
        <w:ind w:right="40" w:firstLine="457"/>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Weighted Average Life to Maturity</w:t>
      </w:r>
      <w:r>
        <w:rPr>
          <w:rFonts w:ascii="Times New Roman" w:cs="Times New Roman" w:eastAsia="Times New Roman" w:hAnsi="Times New Roman"/>
          <w:sz w:val="12"/>
          <w:szCs w:val="12"/>
          <w:color w:val="auto"/>
        </w:rPr>
        <w:t xml:space="preserve"> ” means, when applied to any Indebtedness or Disqualified Stock or Preferred Stock, as the case may be, at any date, the quotient obtained by dividing (1) the</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w:t>
      </w:r>
      <w:r>
        <w:rPr>
          <w:rFonts w:ascii="Times New Roman" w:cs="Times New Roman" w:eastAsia="Times New Roman" w:hAnsi="Times New Roman"/>
          <w:sz w:val="12"/>
          <w:szCs w:val="12"/>
          <w:i w:val="1"/>
          <w:iCs w:val="1"/>
          <w:color w:val="auto"/>
        </w:rPr>
        <w:t>by</w:t>
      </w:r>
      <w:r>
        <w:rPr>
          <w:rFonts w:ascii="Times New Roman" w:cs="Times New Roman" w:eastAsia="Times New Roman" w:hAnsi="Times New Roman"/>
          <w:sz w:val="12"/>
          <w:szCs w:val="12"/>
          <w:color w:val="auto"/>
        </w:rPr>
        <w:t xml:space="preserve"> (2)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all such payments.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Wholly Owned Restricted Subsidiary</w:t>
      </w:r>
      <w:r>
        <w:rPr>
          <w:rFonts w:ascii="Times New Roman" w:cs="Times New Roman" w:eastAsia="Times New Roman" w:hAnsi="Times New Roman"/>
          <w:sz w:val="12"/>
          <w:szCs w:val="12"/>
          <w:color w:val="auto"/>
        </w:rPr>
        <w:t>” means any Wholly Owned Subsidiary that is a Restricted Subsidiary.</w:t>
      </w:r>
    </w:p>
    <w:p>
      <w:pPr>
        <w:spacing w:after="0" w:line="129" w:lineRule="exact"/>
        <w:rPr>
          <w:sz w:val="20"/>
          <w:szCs w:val="20"/>
          <w:color w:val="auto"/>
        </w:rPr>
      </w:pPr>
    </w:p>
    <w:p>
      <w:pPr>
        <w:jc w:val="both"/>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Wholly Owned Subsidiary</w:t>
      </w:r>
      <w:r>
        <w:rPr>
          <w:rFonts w:ascii="Times New Roman" w:cs="Times New Roman" w:eastAsia="Times New Roman" w:hAnsi="Times New Roman"/>
          <w:sz w:val="12"/>
          <w:szCs w:val="12"/>
          <w:color w:val="auto"/>
        </w:rPr>
        <w:t>” of any Person means a Subsidiary of such Person 100% of the outstanding Capital Stock or other ownership interests of which (other than directors’ qualifying shares or shares required pursuant to applicable law) shall at the time be owned by such Person or by one or more Wholly Owned Subsidiaries of such Person.</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96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SECTION 1.02  Other Definitions.</w:t>
            </w:r>
          </w:p>
        </w:tc>
        <w:tc>
          <w:tcPr>
            <w:tcW w:w="4120" w:type="dxa"/>
            <w:vAlign w:val="bottom"/>
          </w:tcPr>
          <w:p>
            <w:pPr>
              <w:spacing w:after="0"/>
              <w:rPr>
                <w:sz w:val="12"/>
                <w:szCs w:val="12"/>
                <w:color w:val="auto"/>
              </w:rPr>
            </w:pPr>
          </w:p>
        </w:tc>
      </w:tr>
      <w:tr>
        <w:trPr>
          <w:trHeight w:val="292"/>
        </w:trPr>
        <w:tc>
          <w:tcPr>
            <w:tcW w:w="13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Term</w:t>
            </w:r>
          </w:p>
        </w:tc>
        <w:tc>
          <w:tcPr>
            <w:tcW w:w="4120" w:type="dxa"/>
            <w:vAlign w:val="bottom"/>
          </w:tcPr>
          <w:p>
            <w:pPr>
              <w:ind w:left="3740"/>
              <w:spacing w:after="0"/>
              <w:rPr>
                <w:sz w:val="20"/>
                <w:szCs w:val="20"/>
                <w:color w:val="auto"/>
              </w:rPr>
            </w:pPr>
            <w:r>
              <w:rPr>
                <w:rFonts w:ascii="Times New Roman" w:cs="Times New Roman" w:eastAsia="Times New Roman" w:hAnsi="Times New Roman"/>
                <w:sz w:val="12"/>
                <w:szCs w:val="12"/>
                <w:b w:val="1"/>
                <w:bCs w:val="1"/>
                <w:color w:val="auto"/>
                <w:w w:val="96"/>
              </w:rPr>
              <w:t>Section</w:t>
            </w:r>
          </w:p>
        </w:tc>
      </w:tr>
      <w:tr>
        <w:trPr>
          <w:trHeight w:val="171"/>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2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1.03(g)</w:t>
            </w:r>
          </w:p>
        </w:tc>
      </w:tr>
      <w:tr>
        <w:trPr>
          <w:trHeight w:val="181"/>
        </w:trPr>
        <w:tc>
          <w:tcPr>
            <w:tcW w:w="3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Additional Amounts</w:t>
            </w:r>
          </w:p>
        </w:tc>
        <w:tc>
          <w:tcPr>
            <w:tcW w:w="412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2.14</w:t>
            </w:r>
          </w:p>
        </w:tc>
      </w:tr>
      <w:tr>
        <w:trPr>
          <w:trHeight w:val="181"/>
        </w:trPr>
        <w:tc>
          <w:tcPr>
            <w:tcW w:w="3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Affiliate Transaction</w:t>
            </w:r>
          </w:p>
        </w:tc>
        <w:tc>
          <w:tcPr>
            <w:tcW w:w="412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4.07(a)</w:t>
            </w:r>
          </w:p>
        </w:tc>
      </w:tr>
      <w:tr>
        <w:trPr>
          <w:trHeight w:val="809"/>
        </w:trPr>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jc w:val="right"/>
              <w:ind w:right="2698"/>
              <w:spacing w:after="0"/>
              <w:rPr>
                <w:sz w:val="20"/>
                <w:szCs w:val="20"/>
                <w:color w:val="auto"/>
              </w:rPr>
            </w:pPr>
            <w:r>
              <w:rPr>
                <w:rFonts w:ascii="Times New Roman" w:cs="Times New Roman" w:eastAsia="Times New Roman" w:hAnsi="Times New Roman"/>
                <w:sz w:val="12"/>
                <w:szCs w:val="12"/>
                <w:color w:val="auto"/>
              </w:rPr>
              <w:t>31</w:t>
            </w:r>
          </w:p>
        </w:tc>
      </w:tr>
    </w:tbl>
    <w:p>
      <w:pPr>
        <w:sectPr>
          <w:pgSz w:w="11900" w:h="16840" w:orient="portrait"/>
          <w:cols w:equalWidth="0" w:num="1">
            <w:col w:w="10640"/>
          </w:cols>
          <w:pgMar w:left="640" w:top="1440" w:right="620" w:bottom="1440" w:gutter="0" w:footer="0" w:header="0"/>
        </w:sectPr>
      </w:pPr>
    </w:p>
    <w:bookmarkStart w:id="208" w:name="page209"/>
    <w:bookmarkEnd w:id="208"/>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ind w:left="2460"/>
              <w:spacing w:after="0"/>
              <w:rPr>
                <w:sz w:val="20"/>
                <w:szCs w:val="20"/>
                <w:color w:val="auto"/>
              </w:rPr>
            </w:pPr>
            <w:r>
              <w:rPr>
                <w:rFonts w:ascii="Times New Roman" w:cs="Times New Roman" w:eastAsia="Times New Roman" w:hAnsi="Times New Roman"/>
                <w:sz w:val="12"/>
                <w:szCs w:val="12"/>
                <w:b w:val="1"/>
                <w:bCs w:val="1"/>
                <w:color w:val="auto"/>
              </w:rPr>
              <w:t>Term</w:t>
            </w:r>
          </w:p>
        </w:tc>
        <w:tc>
          <w:tcPr>
            <w:tcW w:w="4120" w:type="dxa"/>
            <w:vAlign w:val="bottom"/>
          </w:tcPr>
          <w:p>
            <w:pPr>
              <w:ind w:left="3740"/>
              <w:spacing w:after="0"/>
              <w:rPr>
                <w:sz w:val="20"/>
                <w:szCs w:val="20"/>
                <w:color w:val="auto"/>
              </w:rPr>
            </w:pPr>
            <w:r>
              <w:rPr>
                <w:rFonts w:ascii="Times New Roman" w:cs="Times New Roman" w:eastAsia="Times New Roman" w:hAnsi="Times New Roman"/>
                <w:sz w:val="12"/>
                <w:szCs w:val="12"/>
                <w:b w:val="1"/>
                <w:bCs w:val="1"/>
                <w:color w:val="auto"/>
                <w:w w:val="96"/>
              </w:rPr>
              <w:t>Section</w:t>
            </w:r>
          </w:p>
        </w:tc>
      </w:tr>
      <w:tr>
        <w:trPr>
          <w:trHeight w:val="17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Agent Members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Applicable Law</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13.15</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Asset Sale Offer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4.06(b)(iii)</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Authentication Order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2.03</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Change in Tax Law</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Exhibit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Change of Control Offer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4.08(a)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Clearstream</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Court Determination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6.13(b)</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covenant defeasance option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8.01(b)</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Covenant Satisfaction Officer’s Certificate</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6.13(b)</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Covenant Suspension Event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4.15</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Declined Excess Proceeds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4.06(b)(iii)</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defeasance trust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8.02(a)(i)</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Definitive Note</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Designated Commitment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4.03(c)(3)</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Directing Holder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Documentary Taxes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2.14(12)</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DTC</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Exhibit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Dutch Guarantor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13.07</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Euroclear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Event of Default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6.01</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Excess Proceeds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4.06(b)(iii)</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Global Notes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Global Notes Legend</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Guaranteed Obligations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12.01(a)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including</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1.03(d)</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Initial Notes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Preamble</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Interest Payment Date</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Exhibit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legal defeasance option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8.01(b)</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Litigation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6.13(b)</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New Guarantor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Exhibit B</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Noteholder Direction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Notes Custodian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Notice of Default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6.01(i)</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Offer Period</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4.06(d)</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Paying Agent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2.04(a)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Permitted Jurisdictions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5.01(a)(i)</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Position Representation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protected purchaser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2.08</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QIB</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Record Date</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Exhibit 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Refinancing Indebtedness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4.03(b)(xv)</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Refunding Capital Stock</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4.04(b)(ii)(A)</w:t>
            </w:r>
          </w:p>
        </w:tc>
      </w:tr>
      <w:tr>
        <w:trPr>
          <w:trHeight w:val="181"/>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Registrar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2.04(a)</w:t>
            </w:r>
          </w:p>
        </w:tc>
      </w:tr>
      <w:tr>
        <w:trPr>
          <w:trHeight w:val="809"/>
        </w:trPr>
        <w:tc>
          <w:tcPr>
            <w:tcW w:w="3980" w:type="dxa"/>
            <w:vAlign w:val="bottom"/>
          </w:tcPr>
          <w:p>
            <w:pPr>
              <w:spacing w:after="0"/>
              <w:rPr>
                <w:sz w:val="24"/>
                <w:szCs w:val="24"/>
                <w:color w:val="auto"/>
              </w:rPr>
            </w:pPr>
          </w:p>
        </w:tc>
        <w:tc>
          <w:tcPr>
            <w:tcW w:w="412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32</w:t>
            </w:r>
          </w:p>
        </w:tc>
      </w:tr>
    </w:tbl>
    <w:p>
      <w:pPr>
        <w:sectPr>
          <w:pgSz w:w="11900" w:h="16840" w:orient="portrait"/>
          <w:cols w:equalWidth="0" w:num="1">
            <w:col w:w="9780"/>
          </w:cols>
          <w:pgMar w:left="680" w:top="1440" w:right="1440" w:bottom="1440" w:gutter="0" w:footer="0" w:header="0"/>
        </w:sectPr>
      </w:pPr>
    </w:p>
    <w:bookmarkStart w:id="209" w:name="page210"/>
    <w:bookmarkEnd w:id="209"/>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ind w:left="2480"/>
              <w:spacing w:after="0"/>
              <w:rPr>
                <w:sz w:val="20"/>
                <w:szCs w:val="20"/>
                <w:color w:val="auto"/>
              </w:rPr>
            </w:pPr>
            <w:r>
              <w:rPr>
                <w:rFonts w:ascii="Times New Roman" w:cs="Times New Roman" w:eastAsia="Times New Roman" w:hAnsi="Times New Roman"/>
                <w:sz w:val="12"/>
                <w:szCs w:val="12"/>
                <w:b w:val="1"/>
                <w:bCs w:val="1"/>
                <w:color w:val="auto"/>
              </w:rPr>
              <w:t>Term</w:t>
            </w:r>
          </w:p>
        </w:tc>
        <w:tc>
          <w:tcPr>
            <w:tcW w:w="4060" w:type="dxa"/>
            <w:vAlign w:val="bottom"/>
          </w:tcPr>
          <w:p>
            <w:pPr>
              <w:ind w:left="3680"/>
              <w:spacing w:after="0"/>
              <w:rPr>
                <w:sz w:val="20"/>
                <w:szCs w:val="20"/>
                <w:color w:val="auto"/>
              </w:rPr>
            </w:pPr>
            <w:r>
              <w:rPr>
                <w:rFonts w:ascii="Times New Roman" w:cs="Times New Roman" w:eastAsia="Times New Roman" w:hAnsi="Times New Roman"/>
                <w:sz w:val="12"/>
                <w:szCs w:val="12"/>
                <w:b w:val="1"/>
                <w:bCs w:val="1"/>
                <w:color w:val="auto"/>
                <w:w w:val="96"/>
              </w:rPr>
              <w:t>Section</w:t>
            </w: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Global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Permanent Global Note</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Temporary Global Note</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Relevant Taxing Jurisdiction</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2.14</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RESALE RESTRICTION TERMINATION DATE</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Exhibit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Restricted Notes Legend</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Restricted Payments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4.04(a)(iv)</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Restricted Period</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Retired Capital Stock</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4.04(b)(ii)(A)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Reversion Date</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4.15</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Rule 144A</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Rule 144A Global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Rule 144A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Specified Deposit Account Collateral</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3.10(b)</w:t>
            </w:r>
          </w:p>
        </w:tc>
      </w:tr>
      <w:tr>
        <w:trPr>
          <w:trHeight w:val="171"/>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Specified Deposit Account Control Agreement</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3.10(c)</w:t>
            </w: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Specified Securities Account Collateral</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3.10(b)</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Successor Company</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5.01(a)(i)</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Successor Person</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5.01(b)(i)</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Supplemental Indenture</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Exhibit B</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Suspended Covenants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4.15</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Suspension Period</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4.15</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Transfer Restricted Definitive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Transfer Restricted Global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Transfer Restricted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Trustee</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Preamble</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U.S. dollars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1.03(g)</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Unrestricted Definitive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Unrestricted Global Notes</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Appendix 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Verification Covenant</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6.13(a)</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Verification Covenant Officer’s Certificate</w:t>
            </w:r>
          </w:p>
        </w:tc>
        <w:tc>
          <w:tcPr>
            <w:tcW w:w="40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Section 6.13(b)</w:t>
            </w:r>
          </w:p>
        </w:tc>
      </w:tr>
    </w:tbl>
    <w:p>
      <w:pPr>
        <w:spacing w:after="0" w:line="200" w:lineRule="exact"/>
        <w:rPr>
          <w:sz w:val="20"/>
          <w:szCs w:val="20"/>
          <w:color w:val="auto"/>
        </w:rPr>
      </w:pPr>
    </w:p>
    <w:p>
      <w:pPr>
        <w:spacing w:after="0" w:line="211" w:lineRule="exact"/>
        <w:rPr>
          <w:sz w:val="20"/>
          <w:szCs w:val="20"/>
          <w:color w:val="auto"/>
        </w:rPr>
      </w:pPr>
    </w:p>
    <w:p>
      <w:pPr>
        <w:ind w:left="420"/>
        <w:spacing w:after="0"/>
        <w:tabs>
          <w:tab w:leader="none" w:pos="1300" w:val="left"/>
        </w:tabs>
        <w:rPr>
          <w:sz w:val="20"/>
          <w:szCs w:val="20"/>
          <w:color w:val="auto"/>
        </w:rPr>
      </w:pPr>
      <w:r>
        <w:rPr>
          <w:rFonts w:ascii="Times New Roman" w:cs="Times New Roman" w:eastAsia="Times New Roman" w:hAnsi="Times New Roman"/>
          <w:sz w:val="12"/>
          <w:szCs w:val="12"/>
          <w:color w:val="auto"/>
        </w:rPr>
        <w:t>SECTION 1.03</w:t>
      </w:r>
      <w:r>
        <w:rPr>
          <w:sz w:val="20"/>
          <w:szCs w:val="20"/>
          <w:color w:val="auto"/>
        </w:rPr>
        <w:tab/>
      </w:r>
      <w:r>
        <w:rPr>
          <w:rFonts w:ascii="Times New Roman" w:cs="Times New Roman" w:eastAsia="Times New Roman" w:hAnsi="Times New Roman"/>
          <w:sz w:val="12"/>
          <w:szCs w:val="12"/>
          <w:u w:val="single" w:color="auto"/>
          <w:color w:val="auto"/>
        </w:rPr>
        <w:t>Rules of Construction</w:t>
      </w:r>
      <w:r>
        <w:rPr>
          <w:rFonts w:ascii="Times New Roman" w:cs="Times New Roman" w:eastAsia="Times New Roman" w:hAnsi="Times New Roman"/>
          <w:sz w:val="12"/>
          <w:szCs w:val="12"/>
          <w:color w:val="auto"/>
        </w:rPr>
        <w:t>. Unless the context otherwise requires:</w:t>
      </w:r>
    </w:p>
    <w:p>
      <w:pPr>
        <w:spacing w:after="0" w:line="109" w:lineRule="exact"/>
        <w:rPr>
          <w:sz w:val="20"/>
          <w:szCs w:val="20"/>
          <w:color w:val="auto"/>
        </w:rPr>
      </w:pPr>
    </w:p>
    <w:p>
      <w:pPr>
        <w:ind w:left="880" w:hanging="457"/>
        <w:spacing w:after="0"/>
        <w:tabs>
          <w:tab w:leader="none" w:pos="8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term has the meaning assigned to it;</w:t>
      </w:r>
    </w:p>
    <w:p>
      <w:pPr>
        <w:spacing w:after="0" w:line="109" w:lineRule="exact"/>
        <w:rPr>
          <w:rFonts w:ascii="Times New Roman" w:cs="Times New Roman" w:eastAsia="Times New Roman" w:hAnsi="Times New Roman"/>
          <w:sz w:val="12"/>
          <w:szCs w:val="12"/>
          <w:color w:val="auto"/>
        </w:rPr>
      </w:pPr>
    </w:p>
    <w:p>
      <w:pPr>
        <w:ind w:left="880" w:hanging="457"/>
        <w:spacing w:after="0"/>
        <w:tabs>
          <w:tab w:leader="none" w:pos="8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accounting term not otherwise defined has the meaning assigned to it in accordance with IFRS;</w:t>
      </w:r>
    </w:p>
    <w:p>
      <w:pPr>
        <w:spacing w:after="0" w:line="109" w:lineRule="exact"/>
        <w:rPr>
          <w:rFonts w:ascii="Times New Roman" w:cs="Times New Roman" w:eastAsia="Times New Roman" w:hAnsi="Times New Roman"/>
          <w:sz w:val="12"/>
          <w:szCs w:val="12"/>
          <w:color w:val="auto"/>
        </w:rPr>
      </w:pPr>
    </w:p>
    <w:p>
      <w:pPr>
        <w:ind w:left="880" w:hanging="457"/>
        <w:spacing w:after="0"/>
        <w:tabs>
          <w:tab w:leader="none" w:pos="8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is not exclusive;</w:t>
      </w:r>
    </w:p>
    <w:p>
      <w:pPr>
        <w:spacing w:after="0" w:line="109" w:lineRule="exact"/>
        <w:rPr>
          <w:rFonts w:ascii="Times New Roman" w:cs="Times New Roman" w:eastAsia="Times New Roman" w:hAnsi="Times New Roman"/>
          <w:sz w:val="12"/>
          <w:szCs w:val="12"/>
          <w:color w:val="auto"/>
        </w:rPr>
      </w:pPr>
    </w:p>
    <w:p>
      <w:pPr>
        <w:ind w:left="880" w:hanging="457"/>
        <w:spacing w:after="0"/>
        <w:tabs>
          <w:tab w:leader="none" w:pos="8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means including without limitation;</w:t>
      </w:r>
    </w:p>
    <w:p>
      <w:pPr>
        <w:spacing w:after="0" w:line="109" w:lineRule="exact"/>
        <w:rPr>
          <w:rFonts w:ascii="Times New Roman" w:cs="Times New Roman" w:eastAsia="Times New Roman" w:hAnsi="Times New Roman"/>
          <w:sz w:val="12"/>
          <w:szCs w:val="12"/>
          <w:color w:val="auto"/>
        </w:rPr>
      </w:pPr>
    </w:p>
    <w:p>
      <w:pPr>
        <w:ind w:left="880" w:hanging="457"/>
        <w:spacing w:after="0"/>
        <w:tabs>
          <w:tab w:leader="none" w:pos="8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in the singular include the plural and words in the plural include the singular;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33</w:t>
      </w:r>
    </w:p>
    <w:p>
      <w:pPr>
        <w:sectPr>
          <w:pgSz w:w="11900" w:h="16840" w:orient="portrait"/>
          <w:cols w:equalWidth="0" w:num="1">
            <w:col w:w="9780"/>
          </w:cols>
          <w:pgMar w:left="680" w:top="1440" w:right="1440" w:bottom="1440" w:gutter="0" w:footer="0" w:header="0"/>
        </w:sectPr>
      </w:pPr>
    </w:p>
    <w:bookmarkStart w:id="210" w:name="page211"/>
    <w:bookmarkEnd w:id="210"/>
    <w:p>
      <w:pPr>
        <w:spacing w:after="0" w:line="148" w:lineRule="exact"/>
        <w:rPr>
          <w:sz w:val="20"/>
          <w:szCs w:val="20"/>
          <w:color w:val="auto"/>
        </w:rPr>
      </w:pPr>
    </w:p>
    <w:p>
      <w:pPr>
        <w:ind w:firstLine="463"/>
        <w:spacing w:after="0" w:line="253" w:lineRule="auto"/>
        <w:tabs>
          <w:tab w:leader="none" w:pos="904"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specified herein, all accounting terms used herein shall be interpreted, all accounting determinations hereunder shall be made, and all financial statements required to be delivered hereunder shall be prepared in accordance with IFRS;</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U.S. dollars</w:t>
      </w:r>
      <w:r>
        <w:rPr>
          <w:rFonts w:ascii="Times New Roman" w:cs="Times New Roman" w:eastAsia="Times New Roman" w:hAnsi="Times New Roman"/>
          <w:sz w:val="12"/>
          <w:szCs w:val="12"/>
          <w:color w:val="auto"/>
        </w:rPr>
        <w:t>” each refer to United States dollars, or such other money of the United States of America that at the time of payment is legal tender for payment of public and private debts;</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references to Articles, Sections, Schedules, Exhibits and Appendices shall be construed to refer to Articles and Sections of, and Exhibits, Schedules and Appendices to, this Indenture;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unsecured Indebtedness shall not be deemed to be subordinate or junior in payment priority to secured Indebtedness merely by virtue of its nature as unsecured Indebtedness;</w:t>
      </w:r>
    </w:p>
    <w:p>
      <w:pPr>
        <w:spacing w:after="0" w:line="10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amount of any non-interest bearing or other discount security at any date shall be the principal amount thereof that would be shown on a balance sheet of the issuer dated such date prepared in accordance with IFRS;</w:t>
      </w:r>
    </w:p>
    <w:p>
      <w:pPr>
        <w:spacing w:after="0" w:line="80"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amount of any Preferred Stock shall be (i) the maximum liquidation value of such Preferred Stock or (ii) the maximum mandatory redemption or mandatory repurchase price with respect to such Preferred Stock, whichever is greater; and</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this Indenture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87"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1.04 </w:t>
      </w:r>
      <w:r>
        <w:rPr>
          <w:rFonts w:ascii="Times New Roman" w:cs="Times New Roman" w:eastAsia="Times New Roman" w:hAnsi="Times New Roman"/>
          <w:sz w:val="12"/>
          <w:szCs w:val="12"/>
          <w:u w:val="single" w:color="auto"/>
          <w:color w:val="auto"/>
        </w:rPr>
        <w:t>No Incorporation by Reference of Trust Indenture Act</w:t>
      </w:r>
      <w:r>
        <w:rPr>
          <w:rFonts w:ascii="Times New Roman" w:cs="Times New Roman" w:eastAsia="Times New Roman" w:hAnsi="Times New Roman"/>
          <w:sz w:val="12"/>
          <w:szCs w:val="12"/>
          <w:color w:val="auto"/>
        </w:rPr>
        <w:t>. This Indenture is not qualified under the TIA, and the TIA shall not apply to or in any way govern the terms of this Indenture. As a result, no provisions of the TIA are incorporated into this Indenture unless expressly incorporated pursuant to this Indenture.</w:t>
      </w:r>
    </w:p>
    <w:p>
      <w:pPr>
        <w:spacing w:after="0" w:line="8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1.05</w:t>
      </w:r>
      <w:r>
        <w:rPr>
          <w:sz w:val="20"/>
          <w:szCs w:val="20"/>
          <w:color w:val="auto"/>
        </w:rPr>
        <w:tab/>
      </w:r>
      <w:r>
        <w:rPr>
          <w:rFonts w:ascii="Times New Roman" w:cs="Times New Roman" w:eastAsia="Times New Roman" w:hAnsi="Times New Roman"/>
          <w:sz w:val="12"/>
          <w:szCs w:val="12"/>
          <w:u w:val="single" w:color="auto"/>
          <w:color w:val="auto"/>
        </w:rPr>
        <w:t xml:space="preserve">Danish Terms. </w:t>
      </w:r>
      <w:r>
        <w:rPr>
          <w:rFonts w:ascii="Times New Roman" w:cs="Times New Roman" w:eastAsia="Times New Roman" w:hAnsi="Times New Roman"/>
          <w:sz w:val="12"/>
          <w:szCs w:val="12"/>
          <w:color w:val="auto"/>
        </w:rPr>
        <w:t>In this Indenture, where it relates to a person incorporated in Denmark or other applicable term, a reference to:</w:t>
      </w:r>
    </w:p>
    <w:p>
      <w:pPr>
        <w:spacing w:after="0" w:line="107" w:lineRule="exact"/>
        <w:rPr>
          <w:sz w:val="20"/>
          <w:szCs w:val="20"/>
          <w:color w:val="auto"/>
        </w:rPr>
      </w:pPr>
    </w:p>
    <w:p>
      <w:pPr>
        <w:ind w:left="920" w:hanging="457"/>
        <w:spacing w:after="0"/>
        <w:tabs>
          <w:tab w:leader="none" w:pos="9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general assignment</w:t>
      </w:r>
      <w:r>
        <w:rPr>
          <w:rFonts w:ascii="Times New Roman" w:cs="Times New Roman" w:eastAsia="Times New Roman" w:hAnsi="Times New Roman"/>
          <w:sz w:val="12"/>
          <w:szCs w:val="12"/>
          <w:color w:val="auto"/>
        </w:rPr>
        <w:t xml:space="preserve">” with any creditor includes a </w:t>
      </w:r>
      <w:r>
        <w:rPr>
          <w:rFonts w:ascii="Times New Roman" w:cs="Times New Roman" w:eastAsia="Times New Roman" w:hAnsi="Times New Roman"/>
          <w:sz w:val="12"/>
          <w:szCs w:val="12"/>
          <w:i w:val="1"/>
          <w:iCs w:val="1"/>
          <w:color w:val="auto"/>
        </w:rPr>
        <w:t>rekonstruktion</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konkursbehandling</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receiver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liquidator</w:t>
      </w:r>
      <w:r>
        <w:rPr>
          <w:rFonts w:ascii="Times New Roman" w:cs="Times New Roman" w:eastAsia="Times New Roman" w:hAnsi="Times New Roman"/>
          <w:sz w:val="12"/>
          <w:szCs w:val="12"/>
          <w:color w:val="auto"/>
        </w:rPr>
        <w:t>”, “assignee”, “custodian”, “monitor”,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similar official</w:t>
      </w:r>
      <w:r>
        <w:rPr>
          <w:rFonts w:ascii="Times New Roman" w:cs="Times New Roman" w:eastAsia="Times New Roman" w:hAnsi="Times New Roman"/>
          <w:sz w:val="12"/>
          <w:szCs w:val="12"/>
          <w:color w:val="auto"/>
        </w:rPr>
        <w:t xml:space="preserve">” includes a </w:t>
      </w:r>
      <w:r>
        <w:rPr>
          <w:rFonts w:ascii="Times New Roman" w:cs="Times New Roman" w:eastAsia="Times New Roman" w:hAnsi="Times New Roman"/>
          <w:sz w:val="12"/>
          <w:szCs w:val="12"/>
          <w:i w:val="1"/>
          <w:iCs w:val="1"/>
          <w:color w:val="auto"/>
        </w:rPr>
        <w:t>rekonstruktør</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i w:val="1"/>
          <w:iCs w:val="1"/>
          <w:color w:val="auto"/>
        </w:rPr>
        <w:t>kurator</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likvidator</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gross negligence</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i w:val="1"/>
          <w:iCs w:val="1"/>
          <w:color w:val="auto"/>
        </w:rPr>
        <w:t>grov uagtsomhed</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willful misconduct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i w:val="1"/>
          <w:iCs w:val="1"/>
          <w:color w:val="auto"/>
        </w:rPr>
        <w:t>forsæt</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firstLine="463"/>
        <w:spacing w:after="0" w:line="257" w:lineRule="auto"/>
        <w:tabs>
          <w:tab w:leader="none" w:pos="90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xml:space="preserve">” includes any </w:t>
      </w:r>
      <w:r>
        <w:rPr>
          <w:rFonts w:ascii="Times New Roman" w:cs="Times New Roman" w:eastAsia="Times New Roman" w:hAnsi="Times New Roman"/>
          <w:sz w:val="12"/>
          <w:szCs w:val="12"/>
          <w:i w:val="1"/>
          <w:iCs w:val="1"/>
          <w:color w:val="auto"/>
        </w:rPr>
        <w:t>garanti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kaution</w:t>
      </w:r>
      <w:r>
        <w:rPr>
          <w:rFonts w:ascii="Times New Roman" w:cs="Times New Roman" w:eastAsia="Times New Roman" w:hAnsi="Times New Roman"/>
          <w:sz w:val="12"/>
          <w:szCs w:val="12"/>
          <w:color w:val="auto"/>
        </w:rPr>
        <w:t xml:space="preserve"> under Danish law which is independent from the debt to which it relates and means, for the purpose of a guarantee granted by a guarantor incorporated in Denmark, a first demand guarantee (in Danish: </w:t>
      </w:r>
      <w:r>
        <w:rPr>
          <w:rFonts w:ascii="Times New Roman" w:cs="Times New Roman" w:eastAsia="Times New Roman" w:hAnsi="Times New Roman"/>
          <w:sz w:val="12"/>
          <w:szCs w:val="12"/>
          <w:i w:val="1"/>
          <w:iCs w:val="1"/>
          <w:color w:val="auto"/>
        </w:rPr>
        <w:t>anfordringsgaranti</w:t>
      </w:r>
      <w:r>
        <w:rPr>
          <w:rFonts w:ascii="Times New Roman" w:cs="Times New Roman" w:eastAsia="Times New Roman" w:hAnsi="Times New Roman"/>
          <w:sz w:val="12"/>
          <w:szCs w:val="12"/>
          <w:color w:val="auto"/>
        </w:rPr>
        <w:t>) and not a surety;</w:t>
      </w:r>
    </w:p>
    <w:p>
      <w:pPr>
        <w:spacing w:after="0" w:line="75"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xml:space="preserve">” includes any </w:t>
      </w:r>
      <w:r>
        <w:rPr>
          <w:rFonts w:ascii="Times New Roman" w:cs="Times New Roman" w:eastAsia="Times New Roman" w:hAnsi="Times New Roman"/>
          <w:sz w:val="12"/>
          <w:szCs w:val="12"/>
          <w:i w:val="1"/>
          <w:iCs w:val="1"/>
          <w:color w:val="auto"/>
        </w:rPr>
        <w:t>fusion</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insolvency</w:t>
      </w:r>
      <w:r>
        <w:rPr>
          <w:rFonts w:ascii="Times New Roman" w:cs="Times New Roman" w:eastAsia="Times New Roman" w:hAnsi="Times New Roman"/>
          <w:sz w:val="12"/>
          <w:szCs w:val="12"/>
          <w:color w:val="auto"/>
        </w:rPr>
        <w:t>” shall be construed in accordance with section 17(2) of the Danish Bankruptcy Act (in Danish:</w:t>
      </w:r>
      <w:r>
        <w:rPr>
          <w:rFonts w:ascii="Times New Roman" w:cs="Times New Roman" w:eastAsia="Times New Roman" w:hAnsi="Times New Roman"/>
          <w:sz w:val="12"/>
          <w:szCs w:val="12"/>
          <w:i w:val="1"/>
          <w:iCs w:val="1"/>
          <w:color w:val="auto"/>
        </w:rPr>
        <w:t>konkursloven</w:t>
      </w:r>
      <w:r>
        <w:rPr>
          <w:rFonts w:ascii="Times New Roman" w:cs="Times New Roman" w:eastAsia="Times New Roman" w:hAnsi="Times New Roman"/>
          <w:sz w:val="12"/>
          <w:szCs w:val="12"/>
          <w:color w:val="auto"/>
        </w:rPr>
        <w:t>), as amended, restated or supplemented from time to time;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winding up</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liquidation</w:t>
      </w:r>
      <w:r>
        <w:rPr>
          <w:rFonts w:ascii="Times New Roman" w:cs="Times New Roman" w:eastAsia="Times New Roman" w:hAnsi="Times New Roman"/>
          <w:sz w:val="12"/>
          <w:szCs w:val="12"/>
          <w:color w:val="auto"/>
        </w:rPr>
        <w:t>” in relation to an entity or “</w:t>
      </w:r>
      <w:r>
        <w:rPr>
          <w:rFonts w:ascii="Times New Roman" w:cs="Times New Roman" w:eastAsia="Times New Roman" w:hAnsi="Times New Roman"/>
          <w:sz w:val="12"/>
          <w:szCs w:val="12"/>
          <w:u w:val="single" w:color="auto"/>
          <w:color w:val="auto"/>
        </w:rPr>
        <w:t>dissolution</w:t>
      </w:r>
      <w:r>
        <w:rPr>
          <w:rFonts w:ascii="Times New Roman" w:cs="Times New Roman" w:eastAsia="Times New Roman" w:hAnsi="Times New Roman"/>
          <w:sz w:val="12"/>
          <w:szCs w:val="12"/>
          <w:color w:val="auto"/>
        </w:rPr>
        <w:t xml:space="preserve">” includes a </w:t>
      </w:r>
      <w:r>
        <w:rPr>
          <w:rFonts w:ascii="Times New Roman" w:cs="Times New Roman" w:eastAsia="Times New Roman" w:hAnsi="Times New Roman"/>
          <w:sz w:val="12"/>
          <w:szCs w:val="12"/>
          <w:i w:val="1"/>
          <w:iCs w:val="1"/>
          <w:color w:val="auto"/>
        </w:rPr>
        <w:t>likvidation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opløsning på grundlag af betalingserklæring</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tvangsopløsning ved likvidationsbehandling</w:t>
      </w:r>
      <w:r>
        <w:rPr>
          <w:rFonts w:ascii="Times New Roman" w:cs="Times New Roman" w:eastAsia="Times New Roman" w:hAnsi="Times New Roman"/>
          <w:sz w:val="12"/>
          <w:szCs w:val="12"/>
          <w:color w:val="auto"/>
        </w:rPr>
        <w:t xml:space="preserve"> under</w:t>
      </w:r>
    </w:p>
    <w:p>
      <w:pPr>
        <w:spacing w:after="0" w:line="1"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Danish law; and</w:t>
      </w:r>
    </w:p>
    <w:p>
      <w:pPr>
        <w:spacing w:after="0" w:line="95"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relation to any security document or other security rights or security assets governed by Danish law or located in Denmark, such collateral shall be granted by the relevant security provider to the Trustee as agent and representative (in Danish: </w:t>
      </w:r>
      <w:r>
        <w:rPr>
          <w:rFonts w:ascii="Times New Roman" w:cs="Times New Roman" w:eastAsia="Times New Roman" w:hAnsi="Times New Roman"/>
          <w:sz w:val="12"/>
          <w:szCs w:val="12"/>
          <w:i w:val="1"/>
          <w:iCs w:val="1"/>
          <w:color w:val="auto"/>
        </w:rPr>
        <w:t>fuldmægtig og repræsentant</w:t>
      </w:r>
      <w:r>
        <w:rPr>
          <w:rFonts w:ascii="Times New Roman" w:cs="Times New Roman" w:eastAsia="Times New Roman" w:hAnsi="Times New Roman"/>
          <w:sz w:val="12"/>
          <w:szCs w:val="12"/>
          <w:color w:val="auto"/>
        </w:rPr>
        <w:t>) for the holders of the Notes in accordance with Section 18(1), cf. Section 1(2), of the Danish Capital Markets Act.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ectPr>
          <w:pgSz w:w="11900" w:h="16840" w:orient="portrait"/>
          <w:cols w:equalWidth="0" w:num="1">
            <w:col w:w="10600"/>
          </w:cols>
          <w:pgMar w:left="640" w:top="1440" w:right="660" w:bottom="1440" w:gutter="0" w:footer="0" w:header="0"/>
        </w:sectPr>
      </w:pPr>
    </w:p>
    <w:bookmarkStart w:id="211" w:name="page212"/>
    <w:bookmarkEnd w:id="211"/>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THE NOTES</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2.01</w:t>
      </w:r>
      <w:r>
        <w:rPr>
          <w:sz w:val="20"/>
          <w:szCs w:val="20"/>
          <w:color w:val="auto"/>
        </w:rPr>
        <w:tab/>
      </w:r>
      <w:r>
        <w:rPr>
          <w:rFonts w:ascii="Times New Roman" w:cs="Times New Roman" w:eastAsia="Times New Roman" w:hAnsi="Times New Roman"/>
          <w:sz w:val="12"/>
          <w:szCs w:val="12"/>
          <w:u w:val="single" w:color="auto"/>
          <w:color w:val="auto"/>
        </w:rPr>
        <w:t>Amount of Notes</w:t>
      </w:r>
      <w:r>
        <w:rPr>
          <w:rFonts w:ascii="Times New Roman" w:cs="Times New Roman" w:eastAsia="Times New Roman" w:hAnsi="Times New Roman"/>
          <w:sz w:val="12"/>
          <w:szCs w:val="12"/>
          <w:color w:val="auto"/>
        </w:rPr>
        <w:t>. The aggregate principal amount of Notes which may be authenticated and delivered under this Indenture on the Issue Date is $1,000,000,000.</w:t>
      </w:r>
    </w:p>
    <w:p>
      <w:pPr>
        <w:spacing w:after="0" w:line="119" w:lineRule="exact"/>
        <w:rPr>
          <w:sz w:val="20"/>
          <w:szCs w:val="20"/>
          <w:color w:val="auto"/>
        </w:rPr>
      </w:pPr>
    </w:p>
    <w:p>
      <w:pPr>
        <w:jc w:val="both"/>
        <w:ind w:right="20" w:firstLine="457"/>
        <w:spacing w:after="0" w:line="254" w:lineRule="auto"/>
        <w:rPr>
          <w:sz w:val="20"/>
          <w:szCs w:val="20"/>
          <w:color w:val="auto"/>
        </w:rPr>
      </w:pPr>
      <w:r>
        <w:rPr>
          <w:rFonts w:ascii="Times New Roman" w:cs="Times New Roman" w:eastAsia="Times New Roman" w:hAnsi="Times New Roman"/>
          <w:sz w:val="12"/>
          <w:szCs w:val="12"/>
          <w:color w:val="auto"/>
        </w:rPr>
        <w:t>The Issuers may from time to time after the Acquisition Date issue Additional Notes under this Indenture in an unlimited principal amount, so long as (i) the Incurrence of the Indebtedness represented by such Additional Notes is at such time permitted by Section 4.03 and (ii) such Additional Notes are issued in compliance with the other applicable provisions of this Indenture. With respect to any Additional Notes issued after the Issue Date (except for Notes authenticated and delivered upon registration of transfer of, or in exchange for, or in lieu of, other Notes pursuant to Section 2.07, 2.08, 3.08, 4.06(e), 4.08(c) or Appendix A), there shall be (a) established in or pursuant to a resolution of the Boards of Directors of the Issuers and (b) (i) set forth or determined in the manner provided in an Officer’s Certificate of the Issuers or</w:t>
      </w:r>
    </w:p>
    <w:p>
      <w:pPr>
        <w:spacing w:after="0" w:line="1" w:lineRule="exact"/>
        <w:rPr>
          <w:sz w:val="20"/>
          <w:szCs w:val="20"/>
          <w:color w:val="auto"/>
        </w:rPr>
      </w:pPr>
    </w:p>
    <w:p>
      <w:pPr>
        <w:ind w:left="180" w:hanging="174"/>
        <w:spacing w:after="0"/>
        <w:tabs>
          <w:tab w:leader="none" w:pos="1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established in one or more indentures supplemental hereto, prior to the issuance of such Additional Notes:</w:t>
      </w:r>
    </w:p>
    <w:p>
      <w:pPr>
        <w:spacing w:after="0" w:line="104"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principal amount of such Additional Notes which may be authenticated and delivered under this Indenture;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 price and issuance date of such Additional Notes, including the date from which interest on such Additional Notes shall accrue; and</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that such Additional Notes shall be issuable in whole or in part in the form of one or more Global Notes and, in such case, the respective depositaries for such Global Notes, the form of any legend or legends which shall be borne by such Global Notes in addition to or in lieu of those set forth in Exhibit A hereto and any circumstances in addition to or in lieu of those set forth in Section 2.2 of Appendix A in which any such Global Note may be exchanged in whole or in part for Additional Notes registered, or any transfer of such Global Note in whole or in part may be registered, in the name or names of Persons other than the depository for such Global Note or a nominee thereof.</w:t>
      </w:r>
    </w:p>
    <w:p>
      <w:pPr>
        <w:spacing w:after="0" w:line="9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If any of the terms of any Additional Notes are established by action taken pursuant to a resolution of the Boards of Directors of the Issuers, a copy of an appropriate record of such action shall be certified by the Secretary or any Assistant Secretary of each Issuer and delivered to the Trustee at or prior to the delivery of the Officer’s Certificate of the Issuers or an indenture supplemental hereto setting forth the terms of the Additional Notes.</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 xml:space="preserve">The Initial Notes and any Additional Notes will be treated as a single class of securities for all purposes under this Indenture, including, without limitation, waivers, amendments, redemptions and offers to purchase;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Additional Notes are not fungible with the Initial Notes for U.S. federal income tax purposes, the Additional Notes will have a separate CUSIP number, if applicable. Unless the context otherwise requires, for all purposes of this Indenture, references to the Notes include any Additional Notes actually issued.</w:t>
      </w:r>
    </w:p>
    <w:p>
      <w:pPr>
        <w:spacing w:after="0" w:line="82"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2.02 </w:t>
      </w:r>
      <w:r>
        <w:rPr>
          <w:rFonts w:ascii="Times New Roman" w:cs="Times New Roman" w:eastAsia="Times New Roman" w:hAnsi="Times New Roman"/>
          <w:sz w:val="12"/>
          <w:szCs w:val="12"/>
          <w:u w:val="single" w:color="auto"/>
          <w:color w:val="auto"/>
        </w:rPr>
        <w:t>Form and Dating</w:t>
      </w:r>
      <w:r>
        <w:rPr>
          <w:rFonts w:ascii="Times New Roman" w:cs="Times New Roman" w:eastAsia="Times New Roman" w:hAnsi="Times New Roman"/>
          <w:sz w:val="12"/>
          <w:szCs w:val="12"/>
          <w:color w:val="auto"/>
        </w:rPr>
        <w:t xml:space="preserve">. Provisions relating to the Initial Notes and any Additional Notes are set forth in Appendix A, which is hereby incorporated in and expressly made a part of this Indenture. The (i) Initial Notes and the Trustee’s certificate of authentication and (ii) any Additional Notes (if issued as Transfer Restricted Notes) and the Trustee’s certificate of authentication shall each be substantially in the form of Exhibit A hereto, which is hereby incorporated in and expressly made a part of this Indenture. The Notes may have notations, legends or endorsements required by law, stock exchange rule, agreements to which any Issuer or Guarantor is subject, if any, or usage (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notation, legend or endorsement is in a form acceptable to the Issuers). Each Note shall be dated the date of its authentication. The Notes shall be issuable only in fully registered form, without coupons, in minimum denominations of $200,000 and any integral multiple of $ 1,000 in excess thereof.</w:t>
      </w:r>
    </w:p>
    <w:p>
      <w:pPr>
        <w:spacing w:after="0" w:line="90"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2.03 </w:t>
      </w:r>
      <w:r>
        <w:rPr>
          <w:rFonts w:ascii="Times New Roman" w:cs="Times New Roman" w:eastAsia="Times New Roman" w:hAnsi="Times New Roman"/>
          <w:sz w:val="12"/>
          <w:szCs w:val="12"/>
          <w:u w:val="single" w:color="auto"/>
          <w:color w:val="auto"/>
        </w:rPr>
        <w:t>Execution and Authentication</w:t>
      </w:r>
      <w:r>
        <w:rPr>
          <w:rFonts w:ascii="Times New Roman" w:cs="Times New Roman" w:eastAsia="Times New Roman" w:hAnsi="Times New Roman"/>
          <w:sz w:val="12"/>
          <w:szCs w:val="12"/>
          <w:color w:val="auto"/>
        </w:rPr>
        <w:t>. The Trustee shall authenticate and make available for delivery upon a written order of the Issuers signed by an Officer of each Issuer (an “</w:t>
      </w:r>
      <w:r>
        <w:rPr>
          <w:rFonts w:ascii="Times New Roman" w:cs="Times New Roman" w:eastAsia="Times New Roman" w:hAnsi="Times New Roman"/>
          <w:sz w:val="12"/>
          <w:szCs w:val="12"/>
          <w:u w:val="single" w:color="auto"/>
          <w:color w:val="auto"/>
        </w:rPr>
        <w:t>Authentication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Order</w:t>
      </w:r>
      <w:r>
        <w:rPr>
          <w:rFonts w:ascii="Times New Roman" w:cs="Times New Roman" w:eastAsia="Times New Roman" w:hAnsi="Times New Roman"/>
          <w:sz w:val="12"/>
          <w:szCs w:val="12"/>
          <w:color w:val="auto"/>
        </w:rPr>
        <w:t>”) (a) Initial Notes for original issue on the date hereof in an aggregate principal amount of $1,000,000,000 and (b) subject to the terms of this Indenture, Additional Notes in an aggregate principal amount to be determined at the time of issuance and specified therein. Such Authentication Order shall specify the amount of separate Note certificates to be authenticated, the principal amount of each of the Notes to be authenticated, the date on which the original issue of Notes is to be authenticated, whether the Notes are to be Initial Notes or Additional Notes, the registered holder of each of the Notes and delivery instructions. Notwithstanding anything to the contrary in this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35</w:t>
      </w:r>
    </w:p>
    <w:p>
      <w:pPr>
        <w:sectPr>
          <w:pgSz w:w="11900" w:h="16840" w:orient="portrait"/>
          <w:cols w:equalWidth="0" w:num="1">
            <w:col w:w="10620"/>
          </w:cols>
          <w:pgMar w:left="640" w:top="1440" w:right="640" w:bottom="1440" w:gutter="0" w:footer="0" w:header="0"/>
        </w:sectPr>
      </w:pPr>
    </w:p>
    <w:bookmarkStart w:id="212" w:name="page213"/>
    <w:bookmarkEnd w:id="212"/>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Indenture or Appendix A, any issuance of Additional Notes after the Issue Date shall be in a principal amount of at least $200,000 and integral multiples of $1,000 in excess thereof.</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Notes (in global or definitive form) shall be signed by each of the Issuers. An Officer of each Issuer shall sign the Notes for such Issuer by manual or electronic signature.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an Officer of an Issuer whose signature is on a Note no longer holds that office at the time the Trustee authenticates the Note, the Note shall be valid nevertheless.</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A Note shall not be valid until an authorized signatory of the Trustee (or an authenticating agent as described immediately below) manually signs the certificate of authentication on the Note. The signature shall be conclusive evidence that the Note has been authenticated under this Indenture.</w:t>
      </w:r>
    </w:p>
    <w:p>
      <w:pPr>
        <w:spacing w:after="0" w:line="7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Trustee may appoint one or more authenticating agents reasonably acceptable to the Issuers to authenticate the Notes. Any such appointment shall be evidenced by an instrument signed by a Trust Officer, a copy of which shall be furnished to the Issuers. Unless limited by the terms of such appointment, an authenticating agent may authenticate Notes whenever the Trustee may do so. Each reference in this Indenture to authentication by the Trustee includes authentication by such agent. An authenticating agent has the same rights as any Registrar, Paying Agent or agent for service of notices and demands.</w:t>
      </w:r>
    </w:p>
    <w:p>
      <w:pPr>
        <w:spacing w:after="0" w:line="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2.04</w:t>
      </w:r>
      <w:r>
        <w:rPr>
          <w:sz w:val="20"/>
          <w:szCs w:val="20"/>
          <w:color w:val="auto"/>
        </w:rPr>
        <w:tab/>
      </w:r>
      <w:r>
        <w:rPr>
          <w:rFonts w:ascii="Times New Roman" w:cs="Times New Roman" w:eastAsia="Times New Roman" w:hAnsi="Times New Roman"/>
          <w:sz w:val="12"/>
          <w:szCs w:val="12"/>
          <w:u w:val="single" w:color="auto"/>
          <w:color w:val="auto"/>
        </w:rPr>
        <w:t>Registrar and Paying Agent</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1" w:lineRule="auto"/>
        <w:tabs>
          <w:tab w:leader="none" w:pos="90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Issuers shall maintain (i) an office or agency where Notes may be presented for registration of transfer or for exchange (the </w:t>
      </w:r>
      <w:r>
        <w:rPr>
          <w:rFonts w:ascii="Times New Roman" w:cs="Times New Roman" w:eastAsia="Times New Roman" w:hAnsi="Times New Roman"/>
          <w:sz w:val="12"/>
          <w:szCs w:val="12"/>
          <w:u w:val="single" w:color="auto"/>
          <w:color w:val="auto"/>
        </w:rPr>
        <w:t>“Registrar</w:t>
      </w:r>
      <w:r>
        <w:rPr>
          <w:rFonts w:ascii="Times New Roman" w:cs="Times New Roman" w:eastAsia="Times New Roman" w:hAnsi="Times New Roman"/>
          <w:sz w:val="12"/>
          <w:szCs w:val="12"/>
          <w:color w:val="auto"/>
        </w:rPr>
        <w:t>”) and (ii) an office or agency where Notes may be presented for payment (the “</w:t>
      </w:r>
      <w:r>
        <w:rPr>
          <w:rFonts w:ascii="Times New Roman" w:cs="Times New Roman" w:eastAsia="Times New Roman" w:hAnsi="Times New Roman"/>
          <w:sz w:val="12"/>
          <w:szCs w:val="12"/>
          <w:u w:val="single" w:color="auto"/>
          <w:color w:val="auto"/>
        </w:rPr>
        <w:t>Paying Agent</w:t>
      </w:r>
      <w:r>
        <w:rPr>
          <w:rFonts w:ascii="Times New Roman" w:cs="Times New Roman" w:eastAsia="Times New Roman" w:hAnsi="Times New Roman"/>
          <w:sz w:val="12"/>
          <w:szCs w:val="12"/>
          <w:color w:val="auto"/>
        </w:rPr>
        <w:t>”). The Registrar shall keep a register of the Notes and of their transfer and exchange. The Issuers may have one or more co-registrars and one or more additional paying agents. The term “Registrar” includes any co-registrars. The term “Paying Agent” includes the Paying Agent and any additional paying agents. The Issuers initially appoint the Trustee as Registrar, Paying Agent and the Notes Custodian with respect to the Global Notes.</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written request from the Issuers, the Registrar shall provide the Issuers with a copy of the then-current register for the Notes.</w:t>
      </w:r>
    </w:p>
    <w:p>
      <w:pPr>
        <w:spacing w:after="0" w:line="109"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may enter into an appropriate agency agreement with any Registrar or Paying Agent not a party to this Indenture. The agreement shall implement the provisions of this Indenture that relate to such agent. The Issuers shall notify the Trustee in writing of the name and address of any such agent. If the Issuers fail to maintain a Registrar or Paying Agent, the Trustee shall act as such and shall be entitled to appropriate compensation therefor pursuant to Section 7.06. The Company or any of its Subsidiaries (including the U.S. Co-Issuer) may act as Paying Agent or Registrar.</w:t>
      </w:r>
    </w:p>
    <w:p>
      <w:pPr>
        <w:spacing w:after="0" w:line="87"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Issuers may remove any Registrar or Paying Agent upon written notice to such Registrar or Paying Agent and to the Trustee;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such removal shall become effective until (i) if applicable, acceptance of an appointment by a successor Registrar or Paying Agent, as the case may be, as evidenced by an appropriate agreement entered into by the Issuers and such successor Registrar or Paying Agent, as the case may be, and delivered to the Trustee or (ii) notification to the Trustee that the Trustee shall serve as Registrar or Paying Agent until the appointment of a successor in accordance with clause (i) above. The Registrar or Paying Agent may resign at any time upon written notice to the Issuers and the Trustee;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Trustee may resign as Paying Agent or Registrar only if the Trustee also resigns as Trustee in accordance with Section 7.07.</w:t>
      </w:r>
    </w:p>
    <w:p>
      <w:pPr>
        <w:spacing w:after="0" w:line="90" w:lineRule="exact"/>
        <w:rPr>
          <w:sz w:val="20"/>
          <w:szCs w:val="20"/>
          <w:color w:val="auto"/>
        </w:rPr>
      </w:pPr>
    </w:p>
    <w:p>
      <w:pPr>
        <w:jc w:val="both"/>
        <w:ind w:right="20" w:firstLine="457"/>
        <w:spacing w:after="0" w:line="225" w:lineRule="auto"/>
        <w:rPr>
          <w:sz w:val="20"/>
          <w:szCs w:val="20"/>
          <w:color w:val="auto"/>
        </w:rPr>
      </w:pPr>
      <w:r>
        <w:rPr>
          <w:rFonts w:ascii="Times New Roman" w:cs="Times New Roman" w:eastAsia="Times New Roman" w:hAnsi="Times New Roman"/>
          <w:sz w:val="12"/>
          <w:szCs w:val="12"/>
          <w:color w:val="auto"/>
        </w:rPr>
        <w:t xml:space="preserve">SECTION 2.05 </w:t>
      </w:r>
      <w:r>
        <w:rPr>
          <w:rFonts w:ascii="Times New Roman" w:cs="Times New Roman" w:eastAsia="Times New Roman" w:hAnsi="Times New Roman"/>
          <w:sz w:val="12"/>
          <w:szCs w:val="12"/>
          <w:u w:val="single" w:color="auto"/>
          <w:color w:val="auto"/>
        </w:rPr>
        <w:t>Paying Agent to Hold Money in Trust</w:t>
      </w:r>
      <w:r>
        <w:rPr>
          <w:rFonts w:ascii="Times New Roman" w:cs="Times New Roman" w:eastAsia="Times New Roman" w:hAnsi="Times New Roman"/>
          <w:sz w:val="12"/>
          <w:szCs w:val="12"/>
          <w:color w:val="auto"/>
        </w:rPr>
        <w:t>. Prior to 10:00 a.m., New York City time, on each due date of the principal of and interest on any Note, the Issuers shall deposit with the Paying Agent (or, if the Company or a Subsidiary thereof is the Paying Agent, shall have segregated and held in trust) a sum sufficient to pay such principal and interest when so becoming due. The Paying Agent shall hold in trust for the benefit of holders or the Trustee all money held by a Paying Agent for the payment of principal of and interest on the Notes, and shall notify the Trustee in writing of any default by the Issuers in making any such payment. If the Company or a Subsidiary thereof acts as Paying Agent, it shall segregate the money held by it as Paying Agent and hold it in trust for the benefit of the Persons entitled thereto. The Issuers at any time may require a Paying Agent to pay all money held by it to the Trustee and to account for any funds disbursed by such Paying Agent. Upon complying with this Section 2.05, a Paying Agent shall have no further liability for the money delivered to the Trustee.</w:t>
      </w:r>
    </w:p>
    <w:p>
      <w:pPr>
        <w:spacing w:after="0" w:line="90"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2.06 </w:t>
      </w:r>
      <w:r>
        <w:rPr>
          <w:rFonts w:ascii="Times New Roman" w:cs="Times New Roman" w:eastAsia="Times New Roman" w:hAnsi="Times New Roman"/>
          <w:sz w:val="12"/>
          <w:szCs w:val="12"/>
          <w:u w:val="single" w:color="auto"/>
          <w:color w:val="auto"/>
        </w:rPr>
        <w:t>Holder Lists</w:t>
      </w:r>
      <w:r>
        <w:rPr>
          <w:rFonts w:ascii="Times New Roman" w:cs="Times New Roman" w:eastAsia="Times New Roman" w:hAnsi="Times New Roman"/>
          <w:sz w:val="12"/>
          <w:szCs w:val="12"/>
          <w:color w:val="auto"/>
        </w:rPr>
        <w:t>. The Trustee shall preserve in as current a form as is reasonably practicable the most recent list available to it of the names and addresses of holders. If the Trustee is not the Registrar, the Issuers shall furnish, or cause the Registrar to furnish, to the Trustee, in writing at least five Business Days before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36</w:t>
      </w:r>
    </w:p>
    <w:p>
      <w:pPr>
        <w:sectPr>
          <w:pgSz w:w="11900" w:h="16840" w:orient="portrait"/>
          <w:cols w:equalWidth="0" w:num="1">
            <w:col w:w="10620"/>
          </w:cols>
          <w:pgMar w:left="640" w:top="1440" w:right="640" w:bottom="1440" w:gutter="0" w:footer="0" w:header="0"/>
        </w:sectPr>
      </w:pPr>
    </w:p>
    <w:bookmarkStart w:id="213" w:name="page214"/>
    <w:bookmarkEnd w:id="213"/>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Interest Payment Date and at such other times as the Trustee may request in writing, a list in such form and as of such date as the Trustee may reasonably require of the names and addresses of holders.</w:t>
      </w:r>
    </w:p>
    <w:p>
      <w:pPr>
        <w:spacing w:after="0" w:line="109" w:lineRule="exact"/>
        <w:rPr>
          <w:sz w:val="20"/>
          <w:szCs w:val="20"/>
          <w:color w:val="auto"/>
        </w:rPr>
      </w:pPr>
    </w:p>
    <w:p>
      <w:pPr>
        <w:jc w:val="both"/>
        <w:ind w:firstLine="457"/>
        <w:spacing w:after="0" w:line="224" w:lineRule="auto"/>
        <w:rPr>
          <w:sz w:val="20"/>
          <w:szCs w:val="20"/>
          <w:color w:val="auto"/>
        </w:rPr>
      </w:pPr>
      <w:r>
        <w:rPr>
          <w:rFonts w:ascii="Times New Roman" w:cs="Times New Roman" w:eastAsia="Times New Roman" w:hAnsi="Times New Roman"/>
          <w:sz w:val="12"/>
          <w:szCs w:val="12"/>
          <w:color w:val="auto"/>
        </w:rPr>
        <w:t xml:space="preserve">SECTION 2.07 </w:t>
      </w:r>
      <w:r>
        <w:rPr>
          <w:rFonts w:ascii="Times New Roman" w:cs="Times New Roman" w:eastAsia="Times New Roman" w:hAnsi="Times New Roman"/>
          <w:sz w:val="12"/>
          <w:szCs w:val="12"/>
          <w:u w:val="single" w:color="auto"/>
          <w:color w:val="auto"/>
        </w:rPr>
        <w:t>Transfer and Exchange</w:t>
      </w:r>
      <w:r>
        <w:rPr>
          <w:rFonts w:ascii="Times New Roman" w:cs="Times New Roman" w:eastAsia="Times New Roman" w:hAnsi="Times New Roman"/>
          <w:sz w:val="12"/>
          <w:szCs w:val="12"/>
          <w:color w:val="auto"/>
        </w:rPr>
        <w:t>. The Notes shall be issued in registered form and shall be transferable only upon the surrender of a Note for registration of transfer and in compliance with Appendix A. When a Note is presented to the Registrar with a request to register a transfer, the Registrar shall register the transfer as requested if its requirements (including, among other things, the furnishing of appropriate endorsements and transfer documents) therefor are met. When Notes are presented to the Registrar with a request to exchange them for an equal principal amount of Notes of other denominations, the Registrar shall make the exchange as requested if the same requirements are met. To permit registration of transfers and exchanges, the Issuers shall execute and the Trustee shall authenticate Notes at the Registrar’s request. The Issuers may require payment of a sum sufficient to pay all taxes, assessments or other governmental charges payable on transfer that are required by law in connection with any transfer or exchange pursuant to this Section 2.07. The Issuers shall not be required to make, and the Registrar need not register, transfers or exchanges of any Notes selected for redemption (except, in the case of Notes to be redeemed in part, the portion thereof not to be redeemed) or of any Notes for a period of 15 days before the mailing of a notice of redemption of Notes to be redeemed.</w:t>
      </w:r>
    </w:p>
    <w:p>
      <w:pPr>
        <w:spacing w:after="0" w:line="98"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Prior to the due presentation for registration of transfer of any Note, the Issuers, the Guarantors, the Trustee, the Paying Agent and the Registrar may deem and treat the Person in whose name a Note is registered as the absolute owner of such Note for the purpose of receiving payment of principal of and interest, if any, on such Note and for all other purposes whatsoever, whether or not such Note is overdue, and none of the Issuers, the Guarantors, the Trustee, the Paying Agent or the Registrar shall be affected by notice to the contrary.</w:t>
      </w:r>
    </w:p>
    <w:p>
      <w:pPr>
        <w:spacing w:after="0" w:line="91"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Any holder of a beneficial interest in a Global Note shall, by acceptance of such beneficial interest,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7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Depository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 of the Trustee, Registrar or Paying Agent shall have any responsibility for any actions taken or not taken by the Depository.</w:t>
      </w:r>
    </w:p>
    <w:p>
      <w:pPr>
        <w:spacing w:after="0" w:line="119"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2.08 </w:t>
      </w:r>
      <w:r>
        <w:rPr>
          <w:rFonts w:ascii="Times New Roman" w:cs="Times New Roman" w:eastAsia="Times New Roman" w:hAnsi="Times New Roman"/>
          <w:sz w:val="12"/>
          <w:szCs w:val="12"/>
          <w:u w:val="single" w:color="auto"/>
          <w:color w:val="auto"/>
        </w:rPr>
        <w:t>Replacement Notes</w:t>
      </w:r>
      <w:r>
        <w:rPr>
          <w:rFonts w:ascii="Times New Roman" w:cs="Times New Roman" w:eastAsia="Times New Roman" w:hAnsi="Times New Roman"/>
          <w:sz w:val="12"/>
          <w:szCs w:val="12"/>
          <w:color w:val="auto"/>
        </w:rPr>
        <w:t>. If a mutilated Note is surrendered to the Registrar or if the holder of a Note claims that the Note has been lost, destroyed or wrongfully taken, the Issuers shall issue and the Trustee shall authenticate a replacement Note if the requirements of Section 8 -405 of the Uniform Commercial Code are met, such that the holder (a) satisfies the Issuers and the Trustee within a reasonable time after such holder has notice of such loss, destruction or wrongful taking and the Registrar does not register a transfer prior to receiving such notification, (b) makes such request to the Issuers and the Trustee prior to the Note being acquired by a protected purchaser as defined in Section 8-303 of the Uniform Commercial Code (a “</w:t>
      </w:r>
      <w:r>
        <w:rPr>
          <w:rFonts w:ascii="Times New Roman" w:cs="Times New Roman" w:eastAsia="Times New Roman" w:hAnsi="Times New Roman"/>
          <w:sz w:val="12"/>
          <w:szCs w:val="12"/>
          <w:u w:val="single" w:color="auto"/>
          <w:color w:val="auto"/>
        </w:rPr>
        <w:t>protected purchaser</w:t>
      </w:r>
      <w:r>
        <w:rPr>
          <w:rFonts w:ascii="Times New Roman" w:cs="Times New Roman" w:eastAsia="Times New Roman" w:hAnsi="Times New Roman"/>
          <w:sz w:val="12"/>
          <w:szCs w:val="12"/>
          <w:color w:val="auto"/>
        </w:rPr>
        <w:t>”) and (c) satisfies any other reasonable requirements of the Issuers and the Trustee. Such holder shall furnish an indemnity bond sufficient in the judgment of the Trustee, with respect to the Trustee, and each Issuer, with respect to such Issuer, to protect the Issuers, the Trustee, the Paying Agent and the Registrar, as applicable, from any loss or liability that any of them may suffer if a Note is replaced and subsequently presented or claimed for payment. The Issuers and the Trustee may charge the holder for their expenses in replacing a Note (including without limitation, attorneys’ fees and disbursements in replacing such Note) . In the event any such mutilated, lost, destroyed or wrongfully taken Note has become or is about to become due and payable, the Issuers in its discretion may pay such Note instead of issuing a new Note in replacement thereof.</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Every replacement Note is an additional obligation of the Issuers.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37</w:t>
      </w:r>
    </w:p>
    <w:p>
      <w:pPr>
        <w:sectPr>
          <w:pgSz w:w="11900" w:h="16840" w:orient="portrait"/>
          <w:cols w:equalWidth="0" w:num="1">
            <w:col w:w="10620"/>
          </w:cols>
          <w:pgMar w:left="640" w:top="1440" w:right="640" w:bottom="1440" w:gutter="0" w:footer="0" w:header="0"/>
        </w:sectPr>
      </w:pPr>
    </w:p>
    <w:bookmarkStart w:id="214" w:name="page215"/>
    <w:bookmarkEnd w:id="214"/>
    <w:p>
      <w:pPr>
        <w:spacing w:after="0" w:line="157"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The provisions of this Section 2.08 are exclusive and shall preclude (to the extent lawful) all other rights and remedies with respect to the replacement or payment of mutilated, lost, destroyed or wrongfully taken Notes.</w:t>
      </w:r>
    </w:p>
    <w:p>
      <w:pPr>
        <w:spacing w:after="0" w:line="70"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2.09 </w:t>
      </w:r>
      <w:r>
        <w:rPr>
          <w:rFonts w:ascii="Times New Roman" w:cs="Times New Roman" w:eastAsia="Times New Roman" w:hAnsi="Times New Roman"/>
          <w:sz w:val="12"/>
          <w:szCs w:val="12"/>
          <w:u w:val="single" w:color="auto"/>
          <w:color w:val="auto"/>
        </w:rPr>
        <w:t>Outstanding Notes</w:t>
      </w:r>
      <w:r>
        <w:rPr>
          <w:rFonts w:ascii="Times New Roman" w:cs="Times New Roman" w:eastAsia="Times New Roman" w:hAnsi="Times New Roman"/>
          <w:sz w:val="12"/>
          <w:szCs w:val="12"/>
          <w:color w:val="auto"/>
        </w:rPr>
        <w:t>. Notes outstanding at any time are all Notes authenticated by the Trustee except for those canceled by it, those paid pursuant to Section 2.08, those delivered to it for cancellation and those described in this Section 2.09 as not outstanding. Subject to Section 13.04, a Note does not cease to be outstanding because an Issuer or an Affiliate of any Issuer holds the Note.</w:t>
      </w:r>
    </w:p>
    <w:p>
      <w:pPr>
        <w:spacing w:after="0" w:line="90"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If a Note is replaced pursuant to Section 2.08 (other than a mutilated Note surrendered for replacement), it ceases to be outstanding unless the Trustee and the Issuers receive proof satisfactory to them that the replaced Note is held by a protected purchaser. A mutilated Note ceases to be outstanding upon surrender of such Note and replacement thereof pursuant to Section 2.08.</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If a Paying Agent segregates and holds in trust, in accordance with this Indenture, on a redemption date or maturity date money sufficient to pay all principal and interest payable on that date with respect to the Notes (or portions thereof) to be redeemed or maturing, as the case may be, and no Paying Agent is prohibited from paying such money to the holders on that date pursuant to the terms of this Indenture, then on and after that date such Notes (or portions thereof) cease to be outstanding and interest on them ceases to accrue.</w:t>
      </w:r>
    </w:p>
    <w:p>
      <w:pPr>
        <w:spacing w:after="0" w:line="82"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2.10 </w:t>
      </w:r>
      <w:r>
        <w:rPr>
          <w:rFonts w:ascii="Times New Roman" w:cs="Times New Roman" w:eastAsia="Times New Roman" w:hAnsi="Times New Roman"/>
          <w:sz w:val="12"/>
          <w:szCs w:val="12"/>
          <w:u w:val="single" w:color="auto"/>
          <w:color w:val="auto"/>
        </w:rPr>
        <w:t>Cancellation</w:t>
      </w:r>
      <w:r>
        <w:rPr>
          <w:rFonts w:ascii="Times New Roman" w:cs="Times New Roman" w:eastAsia="Times New Roman" w:hAnsi="Times New Roman"/>
          <w:sz w:val="12"/>
          <w:szCs w:val="12"/>
          <w:color w:val="auto"/>
        </w:rPr>
        <w:t>. The Issuers at any time may deliver Notes to the Trustee for cancellation. The Registrar and each Paying Agent shall forward to the Trustee any Notes surrendered to them for registration of transfer, exchange or payment. The Trustee and no one else shall cancel all Notes surrendered for registration of transfer, exchange, payment or cancellation and shall dispose of canceled Notes in accordance with its customary procedures. The Issuers may not issue new Notes to replace Notes they have redeemed, paid or delivered to the Trustee for cancellation. The Trustee shall not authenticate Notes in place of canceled Notes other than pursuant to the terms of this Indenture.</w:t>
      </w:r>
    </w:p>
    <w:p>
      <w:pPr>
        <w:spacing w:after="0" w:line="85"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2.11 </w:t>
      </w:r>
      <w:r>
        <w:rPr>
          <w:rFonts w:ascii="Times New Roman" w:cs="Times New Roman" w:eastAsia="Times New Roman" w:hAnsi="Times New Roman"/>
          <w:sz w:val="12"/>
          <w:szCs w:val="12"/>
          <w:u w:val="single" w:color="auto"/>
          <w:color w:val="auto"/>
        </w:rPr>
        <w:t>Defaulted Interest</w:t>
      </w:r>
      <w:r>
        <w:rPr>
          <w:rFonts w:ascii="Times New Roman" w:cs="Times New Roman" w:eastAsia="Times New Roman" w:hAnsi="Times New Roman"/>
          <w:sz w:val="12"/>
          <w:szCs w:val="12"/>
          <w:color w:val="auto"/>
        </w:rPr>
        <w:t>. If the Issuers default in a payment of interest on the Notes, the Issuers shall pay the defaulted interest then borne by the Notes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interest on such defaulted interest to the extent lawful) in any lawful manner. The Issuers may pay the defaulted interest to the Persons who are holders on a subsequent special record date. The Issuers shall fix or cause to be fixed any such special record date and payment date to the reasonable satisfaction of the Trustee and shall promptly mail or cause to be mailed to each affected holder a notice that states the special record date, the payment date and the amount of defaulted interest to be paid.</w:t>
      </w:r>
    </w:p>
    <w:p>
      <w:pPr>
        <w:spacing w:after="0" w:line="89"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2.12 </w:t>
      </w:r>
      <w:r>
        <w:rPr>
          <w:rFonts w:ascii="Times New Roman" w:cs="Times New Roman" w:eastAsia="Times New Roman" w:hAnsi="Times New Roman"/>
          <w:sz w:val="12"/>
          <w:szCs w:val="12"/>
          <w:u w:val="single" w:color="auto"/>
          <w:color w:val="auto"/>
        </w:rPr>
        <w:t>CUSIP Numbers and ISINs.</w:t>
      </w:r>
      <w:r>
        <w:rPr>
          <w:rFonts w:ascii="Times New Roman" w:cs="Times New Roman" w:eastAsia="Times New Roman" w:hAnsi="Times New Roman"/>
          <w:sz w:val="12"/>
          <w:szCs w:val="12"/>
          <w:color w:val="auto"/>
        </w:rPr>
        <w:t xml:space="preserve"> The Issuers in issuing the Notes may use CUSIP numbers and ISINs, and the Trustee shall use any such CUSIP numbers and ISINs in notices of redemption as a convenience to 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such notice may state that no representation is made as to the correctness of such numbers, either as printed on the Notes or as contained in any notice of a redemption that reliance may be placed only on the other identification numbers printed on the Notes and that any such redemption shall not be affected by any defect in or omission of such numbers. The Issuers shall promptly advise the Trustee in writing of any change in any such CUSIP numbers and ISINs.</w:t>
      </w:r>
    </w:p>
    <w:p>
      <w:pPr>
        <w:spacing w:after="0" w:line="87"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2.13 </w:t>
      </w:r>
      <w:r>
        <w:rPr>
          <w:rFonts w:ascii="Times New Roman" w:cs="Times New Roman" w:eastAsia="Times New Roman" w:hAnsi="Times New Roman"/>
          <w:sz w:val="12"/>
          <w:szCs w:val="12"/>
          <w:u w:val="single" w:color="auto"/>
          <w:color w:val="auto"/>
        </w:rPr>
        <w:t>Calculation of Principal Amount of Notes</w:t>
      </w:r>
      <w:r>
        <w:rPr>
          <w:rFonts w:ascii="Times New Roman" w:cs="Times New Roman" w:eastAsia="Times New Roman" w:hAnsi="Times New Roman"/>
          <w:sz w:val="12"/>
          <w:szCs w:val="12"/>
          <w:color w:val="auto"/>
        </w:rPr>
        <w:t>. The aggregate principal amount of the Notes, at any date of determination, shall be the principal amount of the Notes at such date of determination. With respect to any matter requiring consent, waiver, approval or other action of the holders of a specified percentage of the principal amount of all the Notes, such percentage shall be calculated, on the relevant date of determination, by dividing (a) the principal amount, as of such date of determination, of Notes, the holders of which have so consented, by (b) the aggregate principal amount, as of such date of determination, of the Notes then outstanding, in each case, as determined in accordance with the preceding sentence, and Section 13.04 of this Indenture. Any calculation of the Applicable Premium made pursuant to this Section 2.13 shall be made by the Company and delivered to the Trustee pursuant to an Officer’s Certificate.</w:t>
      </w:r>
    </w:p>
    <w:p>
      <w:pPr>
        <w:spacing w:after="0" w:line="90" w:lineRule="exact"/>
        <w:rPr>
          <w:sz w:val="20"/>
          <w:szCs w:val="20"/>
          <w:color w:val="auto"/>
        </w:rPr>
      </w:pPr>
    </w:p>
    <w:p>
      <w:pPr>
        <w:jc w:val="both"/>
        <w:ind w:right="20" w:firstLine="457"/>
        <w:spacing w:after="0" w:line="225" w:lineRule="auto"/>
        <w:rPr>
          <w:sz w:val="20"/>
          <w:szCs w:val="20"/>
          <w:color w:val="auto"/>
        </w:rPr>
      </w:pPr>
      <w:r>
        <w:rPr>
          <w:rFonts w:ascii="Times New Roman" w:cs="Times New Roman" w:eastAsia="Times New Roman" w:hAnsi="Times New Roman"/>
          <w:sz w:val="12"/>
          <w:szCs w:val="12"/>
          <w:color w:val="auto"/>
        </w:rPr>
        <w:t xml:space="preserve">SECTION 2.14 </w:t>
      </w:r>
      <w:r>
        <w:rPr>
          <w:rFonts w:ascii="Times New Roman" w:cs="Times New Roman" w:eastAsia="Times New Roman" w:hAnsi="Times New Roman"/>
          <w:sz w:val="12"/>
          <w:szCs w:val="12"/>
          <w:u w:val="single" w:color="auto"/>
          <w:color w:val="auto"/>
        </w:rPr>
        <w:t>Additional Amounts</w:t>
      </w:r>
      <w:r>
        <w:rPr>
          <w:rFonts w:ascii="Times New Roman" w:cs="Times New Roman" w:eastAsia="Times New Roman" w:hAnsi="Times New Roman"/>
          <w:sz w:val="12"/>
          <w:szCs w:val="12"/>
          <w:color w:val="auto"/>
        </w:rPr>
        <w:t xml:space="preserve"> . All payments made by or on behalf of any Issuer or Guarantor under or with respect to the Notes or any Guarantee will be made free and clear of and without withholding or deduction for or on account of any present or future Taxes unless required by law or the official interpretation or administration thereof. If any such withholding or deduction is required by any applicable withholding agent for or on account of Taxes imposed by (i) Denmark, (ii) any jurisdiction from or through which such payment is made by or on behalf of any Issuer or Guarantor (including, without limitation, the jurisdiction of any paying agent) or (iii) any other jurisdiction in which any Issuer or Guarantor is incorporated, organized, resident or engaged in business for Tax purposes (each of (i), (ii), (iii) and any political subdivision of any of the foregoing, a “</w:t>
      </w:r>
      <w:r>
        <w:rPr>
          <w:rFonts w:ascii="Times New Roman" w:cs="Times New Roman" w:eastAsia="Times New Roman" w:hAnsi="Times New Roman"/>
          <w:sz w:val="12"/>
          <w:szCs w:val="12"/>
          <w:u w:val="single" w:color="auto"/>
          <w:color w:val="auto"/>
        </w:rPr>
        <w:t>Relevant Taxing Jurisdiction</w:t>
      </w:r>
      <w:r>
        <w:rPr>
          <w:rFonts w:ascii="Times New Roman" w:cs="Times New Roman" w:eastAsia="Times New Roman" w:hAnsi="Times New Roman"/>
          <w:sz w:val="12"/>
          <w:szCs w:val="12"/>
          <w:color w:val="auto"/>
        </w:rPr>
        <w:t>”), in respect of any payment made under or with respect to the Notes or under any Guarantee (including payments of principal, redemption price, interest or premium (if any)), subject to the limitations described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38</w:t>
      </w:r>
    </w:p>
    <w:p>
      <w:pPr>
        <w:sectPr>
          <w:pgSz w:w="11900" w:h="16840" w:orient="portrait"/>
          <w:cols w:equalWidth="0" w:num="1">
            <w:col w:w="10620"/>
          </w:cols>
          <w:pgMar w:left="640" w:top="1440" w:right="640" w:bottom="1440" w:gutter="0" w:footer="0" w:header="0"/>
        </w:sectPr>
      </w:pPr>
    </w:p>
    <w:bookmarkStart w:id="215" w:name="page216"/>
    <w:bookmarkEnd w:id="215"/>
    <w:p>
      <w:pPr>
        <w:spacing w:after="0" w:line="14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below, such Issuer or such Guarantor, as the case may be, will pay (together with such payments) such additional amounts (“</w:t>
      </w:r>
      <w:r>
        <w:rPr>
          <w:rFonts w:ascii="Times New Roman" w:cs="Times New Roman" w:eastAsia="Times New Roman" w:hAnsi="Times New Roman"/>
          <w:sz w:val="12"/>
          <w:szCs w:val="12"/>
          <w:u w:val="single" w:color="auto"/>
          <w:color w:val="auto"/>
        </w:rPr>
        <w:t>Additional Amounts</w:t>
      </w:r>
      <w:r>
        <w:rPr>
          <w:rFonts w:ascii="Times New Roman" w:cs="Times New Roman" w:eastAsia="Times New Roman" w:hAnsi="Times New Roman"/>
          <w:sz w:val="12"/>
          <w:szCs w:val="12"/>
          <w:color w:val="auto"/>
        </w:rPr>
        <w:t xml:space="preserve"> ”) as may be necessary so that the net amount received by each beneficial owner of Notes after such withholding or deduction (including any withholding or deduction attributable to such Additional Amounts) will equal the amount the beneficial owner would have received if such Taxes had not been withheld or deducted;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Additional Amounts will be payable with respect to:</w:t>
      </w:r>
    </w:p>
    <w:p>
      <w:pPr>
        <w:spacing w:after="0" w:line="88" w:lineRule="exact"/>
        <w:rPr>
          <w:sz w:val="20"/>
          <w:szCs w:val="20"/>
          <w:color w:val="auto"/>
        </w:rPr>
      </w:pPr>
    </w:p>
    <w:p>
      <w:pPr>
        <w:jc w:val="both"/>
        <w:ind w:left="460" w:firstLine="460"/>
        <w:spacing w:after="0"/>
        <w:tabs>
          <w:tab w:leader="none" w:pos="1364"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to the extent such Tax would not have been imposed, withheld, deducted or levied but for any actual or deemed present or former connection between the holder or the beneficial owner (or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of such Notes and the Relevant Taxing Jurisdiction (including, without limitation, being or having been a citizen, national or resident of, or incorporated or carrying on a business in or having or having had a permanent establishment in the Relevant Taxing Jurisdiction) other than a connection arising solely from the acquisition, ownership, holding or disposition of the Notes, the enforcement of rights under the Notes or any Guarantee or the receipt of payments under or in respect of the Notes or any Guarantee;</w:t>
      </w:r>
    </w:p>
    <w:p>
      <w:pPr>
        <w:spacing w:after="0" w:line="176" w:lineRule="exact"/>
        <w:rPr>
          <w:rFonts w:ascii="Times New Roman" w:cs="Times New Roman" w:eastAsia="Times New Roman" w:hAnsi="Times New Roman"/>
          <w:sz w:val="12"/>
          <w:szCs w:val="12"/>
          <w:color w:val="auto"/>
        </w:rPr>
      </w:pPr>
    </w:p>
    <w:p>
      <w:pPr>
        <w:jc w:val="both"/>
        <w:ind w:left="460" w:right="20" w:firstLine="460"/>
        <w:spacing w:after="0" w:line="225" w:lineRule="auto"/>
        <w:tabs>
          <w:tab w:leader="none" w:pos="1364"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to the extent such Tax would not have been imposed, withheld, deducted or levied but for the failure of the holder or beneficial owner of the Notes to comply with any reasonable written request of the Issuers or Guarantors addressed to the holder or beneficial owner and made at least 30 days before any such withholding or deduction would be payable, to satisfy any certification, identification, information, documentation or other reporting requirements concerning the nationality, residence, identity or connection with the Relevant Taxing Jurisdiction of such holder or beneficial owner, which are required by applicable law, treaty, regulation or official administrative guidance of the applicable Relevant Taxing Jurisdiction as a precondition to exemption from, or reduction in the rate of deduction or withholding of, all or part of such Tax (including, without limitation, a certification that the holder or beneficial owner is not resident in the Relevant Taxing Jurisdiction) but in each case, only to the extent such holder or beneficial owner is legally eligible to provide such certification or other documentation;</w:t>
      </w:r>
    </w:p>
    <w:p>
      <w:pPr>
        <w:spacing w:after="0" w:line="8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that would not have been imposed, withheld, deducted or levied if the presentation of Notes (where Notes are in the form of certificated Notes and presentation is required) for payment had occurred within 30 days after the date such payment became due and payable, or was duly provided for and notice thereof given to holders, whichever is later (except to the extent that the holder or beneficial owner would have been entitled to such Additional Amounts had the Note been presented within such 30-day period);</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estate, inheritance, gift, transfer, capital gains, personal property, wealth, value added, sales or similar Tax;</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that could have been avoided by the presentation of Notes (where Notes are in the form of certificated Notes and presentation is required) for payment to another reasonably available paying agent;</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payable other than by deduction or withholding from payments under, or with respect to, the Notes or the Guarantee;</w:t>
      </w:r>
    </w:p>
    <w:p>
      <w:pPr>
        <w:spacing w:after="0" w:line="109" w:lineRule="exact"/>
        <w:rPr>
          <w:rFonts w:ascii="Times New Roman" w:cs="Times New Roman" w:eastAsia="Times New Roman" w:hAnsi="Times New Roman"/>
          <w:sz w:val="12"/>
          <w:szCs w:val="12"/>
          <w:color w:val="auto"/>
        </w:rPr>
      </w:pPr>
    </w:p>
    <w:p>
      <w:pPr>
        <w:jc w:val="both"/>
        <w:ind w:left="460" w:right="40" w:firstLine="460"/>
        <w:spacing w:after="0" w:line="231" w:lineRule="auto"/>
        <w:tabs>
          <w:tab w:leader="none" w:pos="1364"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which are imposed, withheld, deducted or levied with respect to, or payable by, a holder that is not the beneficial owner of the Note, or a portion of the Note, or that is a fiduciary, partnership, limited liability company or other similar entity, but only to the extent that a beneficial owner, a beneficiary or settlor with respect to such fiduciary or member of such partnership, limited liability company or similar entity would not have been entitled to the payment of an Additional Amount had such beneficial owner, settlor, beneficiary or member received directly its beneficial or distributive share of the payment;</w:t>
      </w:r>
    </w:p>
    <w:p>
      <w:pPr>
        <w:spacing w:after="0" w:line="87" w:lineRule="exact"/>
        <w:rPr>
          <w:rFonts w:ascii="Times New Roman" w:cs="Times New Roman" w:eastAsia="Times New Roman" w:hAnsi="Times New Roman"/>
          <w:sz w:val="12"/>
          <w:szCs w:val="12"/>
          <w:color w:val="auto"/>
        </w:rPr>
      </w:pPr>
    </w:p>
    <w:p>
      <w:pPr>
        <w:jc w:val="both"/>
        <w:ind w:left="460" w:firstLine="460"/>
        <w:spacing w:after="0" w:line="227" w:lineRule="auto"/>
        <w:tabs>
          <w:tab w:leader="none" w:pos="1364"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withholding Taxes imposed by the United States in respect of a beneficial owner that (i) is or was with respect to the United States a personal holding company, a passive foreign investment company, a controlled foreign corporation, a foreign private foundation or other foreign tax-exempt organization or a corporation that has accumulated earnings to avoid U.S. federal income tax,</w:t>
      </w:r>
    </w:p>
    <w:p>
      <w:pPr>
        <w:ind w:left="460" w:right="20" w:firstLine="3"/>
        <w:spacing w:after="0" w:line="234" w:lineRule="auto"/>
        <w:tabs>
          <w:tab w:leader="none" w:pos="656"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“10-percent shareholder” within the meaning of Section 871(h)(3)(B) of the Code (or any amended or successor version), of the Company, or (iii) is a bank that is receiving payments on an extension of credit made pursuant to a loan agreement entered into the ordinary course of its trade or business within the meaning of Section 881(c)(3) of the Code (or any amended or successor version);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39</w:t>
      </w:r>
    </w:p>
    <w:p>
      <w:pPr>
        <w:sectPr>
          <w:pgSz w:w="11900" w:h="16840" w:orient="portrait"/>
          <w:cols w:equalWidth="0" w:num="1">
            <w:col w:w="10620"/>
          </w:cols>
          <w:pgMar w:left="640" w:top="1440" w:right="640" w:bottom="1440" w:gutter="0" w:footer="0" w:header="0"/>
        </w:sectPr>
      </w:pPr>
    </w:p>
    <w:bookmarkStart w:id="216" w:name="page217"/>
    <w:bookmarkEnd w:id="216"/>
    <w:p>
      <w:pPr>
        <w:spacing w:after="0" w:line="148" w:lineRule="exact"/>
        <w:rPr>
          <w:sz w:val="20"/>
          <w:szCs w:val="20"/>
          <w:color w:val="auto"/>
        </w:rPr>
      </w:pPr>
    </w:p>
    <w:p>
      <w:pPr>
        <w:jc w:val="both"/>
        <w:ind w:left="460" w:right="20" w:firstLine="460"/>
        <w:spacing w:after="0" w:line="231" w:lineRule="auto"/>
        <w:tabs>
          <w:tab w:leader="none" w:pos="1364"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imposed, withheld, levied or deducted pursuant to Sections 1471 through 1474 of the Code as of the Issue Date (or any amended or successor version that is substantively comparable and not materially more onerous to comply with), any current or future regulations promulgated thereunder or official interpretations thereof, any agreement entered into pursuant to current Section 1471(b) of the Code as of the Issue Date (or any amended or successor version described above), or any intergovernmental agreements, treaties, conventions or similar agreements (and any related laws or other official rules or administrative guidance) implementing the foregoing in any jurisdiction;</w:t>
      </w:r>
    </w:p>
    <w:p>
      <w:pPr>
        <w:spacing w:after="0" w:line="85" w:lineRule="exact"/>
        <w:rPr>
          <w:rFonts w:ascii="Times New Roman" w:cs="Times New Roman" w:eastAsia="Times New Roman" w:hAnsi="Times New Roman"/>
          <w:sz w:val="12"/>
          <w:szCs w:val="12"/>
          <w:color w:val="auto"/>
        </w:rPr>
      </w:pPr>
    </w:p>
    <w:p>
      <w:pPr>
        <w:ind w:left="460" w:right="20" w:firstLine="460"/>
        <w:spacing w:after="0" w:line="257" w:lineRule="auto"/>
        <w:tabs>
          <w:tab w:leader="none" w:pos="1364"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imposed, withheld, levied or deducted pursuant to the Dutch Conditional Withholding Tax Act 2021 (</w:t>
      </w:r>
      <w:r>
        <w:rPr>
          <w:rFonts w:ascii="Times New Roman" w:cs="Times New Roman" w:eastAsia="Times New Roman" w:hAnsi="Times New Roman"/>
          <w:sz w:val="12"/>
          <w:szCs w:val="12"/>
          <w:i w:val="1"/>
          <w:iCs w:val="1"/>
          <w:color w:val="auto"/>
        </w:rPr>
        <w:t>Wet bronbelasting 2021</w:t>
      </w:r>
      <w:r>
        <w:rPr>
          <w:rFonts w:ascii="Times New Roman" w:cs="Times New Roman" w:eastAsia="Times New Roman" w:hAnsi="Times New Roman"/>
          <w:sz w:val="12"/>
          <w:szCs w:val="12"/>
          <w:color w:val="auto"/>
        </w:rPr>
        <w:t>), together with the related ordinances, regulations and guidelines, in each case as in effect as of the date of the Offering Memorandum;</w:t>
      </w:r>
    </w:p>
    <w:p>
      <w:pPr>
        <w:spacing w:after="0" w:line="77"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Danish withholding Tax imposed as a consequence of Indebtedness under the Notes to the holder or beneficial owner of the Notes being considered “controlled debt” for the purpose of section 2 (1)(d) of the Danish Corporation Tax Act; or</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combination of clauses (1) through (11) above.</w:t>
      </w:r>
    </w:p>
    <w:p>
      <w:pPr>
        <w:spacing w:after="0" w:line="119" w:lineRule="exact"/>
        <w:rPr>
          <w:sz w:val="20"/>
          <w:szCs w:val="20"/>
          <w:color w:val="auto"/>
        </w:rPr>
      </w:pPr>
    </w:p>
    <w:p>
      <w:pPr>
        <w:jc w:val="both"/>
        <w:ind w:right="40" w:firstLine="457"/>
        <w:spacing w:after="0" w:line="261" w:lineRule="auto"/>
        <w:rPr>
          <w:sz w:val="20"/>
          <w:szCs w:val="20"/>
          <w:color w:val="auto"/>
        </w:rPr>
      </w:pPr>
      <w:r>
        <w:rPr>
          <w:rFonts w:ascii="Times New Roman" w:cs="Times New Roman" w:eastAsia="Times New Roman" w:hAnsi="Times New Roman"/>
          <w:sz w:val="12"/>
          <w:szCs w:val="12"/>
          <w:color w:val="auto"/>
        </w:rPr>
        <w:t>The applicable withholding agent will (i) make any required withholding or deduction and (ii) timely remit the full amount deducted or withheld to the relevant taxing authority in accordance with applicable law. Upon request, any Issuer or Guarantor, as applicable, will use reasonable efforts to obtain certified copies of Tax receipts evidencing the payment of Taxes so deducted or withheld from each Relevant Taxing Jurisdiction imposing such Taxes and will provide such certified copies to the Trustee. If certified copies of such Tax receipts are not reasonably obtainable, upon request, the Issuers or such Guarantor, as applicable, shall provide the Trustee with other evidence of payment reasonably satisfactory to the Trustee. Such certified copies or other evidence shall be made available to holders upon request.</w:t>
      </w:r>
    </w:p>
    <w:p>
      <w:pPr>
        <w:spacing w:after="0" w:line="95"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Whenever in this Indenture or the Notes there is mentioned, in any context, the payment of amounts based upon the principal amount of the Notes or of principal, premium (if any) or interest or of any other amount payable under or with respect to any of the Notes or any Guarantee, such mention shall be deemed to include the payment of Additional Amounts to the extent that, in such context, Additional Amounts are, were or would be payable in respect thereof.</w:t>
      </w:r>
    </w:p>
    <w:p>
      <w:pPr>
        <w:spacing w:after="0" w:line="91" w:lineRule="exact"/>
        <w:rPr>
          <w:sz w:val="20"/>
          <w:szCs w:val="20"/>
          <w:color w:val="auto"/>
        </w:rPr>
      </w:pPr>
    </w:p>
    <w:p>
      <w:pPr>
        <w:jc w:val="both"/>
        <w:ind w:right="40" w:firstLine="457"/>
        <w:spacing w:after="0" w:line="267" w:lineRule="auto"/>
        <w:rPr>
          <w:sz w:val="20"/>
          <w:szCs w:val="20"/>
          <w:color w:val="auto"/>
        </w:rPr>
      </w:pPr>
      <w:r>
        <w:rPr>
          <w:rFonts w:ascii="Times New Roman" w:cs="Times New Roman" w:eastAsia="Times New Roman" w:hAnsi="Times New Roman"/>
          <w:sz w:val="12"/>
          <w:szCs w:val="12"/>
          <w:color w:val="auto"/>
        </w:rPr>
        <w:t>The Issuers will pay any present or future stamp, issue, registration, court or documentary Taxes, or any other excise, property or similar Taxes, that arise in any jurisdiction from the execution, issuance, delivery, registration or enforcement of the Notes, any Guarantee, this Indenture or any other document or instrument referred to therein, or the receipt of any payments with respect to the Notes or the Guarantees (“</w:t>
      </w:r>
      <w:r>
        <w:rPr>
          <w:rFonts w:ascii="Times New Roman" w:cs="Times New Roman" w:eastAsia="Times New Roman" w:hAnsi="Times New Roman"/>
          <w:sz w:val="12"/>
          <w:szCs w:val="12"/>
          <w:u w:val="single" w:color="auto"/>
          <w:color w:val="auto"/>
        </w:rPr>
        <w:t>Documentary Taxes</w:t>
      </w:r>
      <w:r>
        <w:rPr>
          <w:rFonts w:ascii="Times New Roman" w:cs="Times New Roman" w:eastAsia="Times New Roman" w:hAnsi="Times New Roman"/>
          <w:sz w:val="12"/>
          <w:szCs w:val="12"/>
          <w:color w:val="auto"/>
        </w:rPr>
        <w:t>”). For the avoidance of doubt, the obligation provided in this paragraph shall not include any Documentary Taxes resulting from the transfer of Notes in the ordinary course.</w:t>
      </w:r>
    </w:p>
    <w:p>
      <w:pPr>
        <w:spacing w:after="0" w:line="91"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 xml:space="preserve">The obligation to pay Additional Amounts and Documentary Taxes under the terms and conditions described above will survive any termination, defeasance or discharge of this Indenture, and will apply </w:t>
      </w:r>
      <w:r>
        <w:rPr>
          <w:rFonts w:ascii="Times New Roman" w:cs="Times New Roman" w:eastAsia="Times New Roman" w:hAnsi="Times New Roman"/>
          <w:sz w:val="12"/>
          <w:szCs w:val="12"/>
          <w:i w:val="1"/>
          <w:iCs w:val="1"/>
          <w:color w:val="auto"/>
        </w:rPr>
        <w:t xml:space="preserve">mutatis mutandis </w:t>
      </w:r>
      <w:r>
        <w:rPr>
          <w:rFonts w:ascii="Times New Roman" w:cs="Times New Roman" w:eastAsia="Times New Roman" w:hAnsi="Times New Roman"/>
          <w:sz w:val="12"/>
          <w:szCs w:val="12"/>
          <w:color w:val="auto"/>
        </w:rPr>
        <w:t>to any successor to any Issuer or Guarantor and to any jurisdiction in which any such successor is incorporated, organized, resident or engaged in business for Tax purposes, or any jurisdiction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through which payment on the Notes or any Guarantee is made by or on behalf of any such successor (including, without limitation, the jurisdiction of any paying agent), and any political subdivision or taxing authority thereof or therein.</w:t>
      </w:r>
    </w:p>
    <w:p>
      <w:pPr>
        <w:spacing w:after="0" w:line="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0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b w:val="1"/>
          <w:bCs w:val="1"/>
          <w:color w:val="auto"/>
        </w:rPr>
        <w:t>REDEMPTION AND SECURITY IN SEGREGATED ACCOUNTS</w:t>
      </w:r>
    </w:p>
    <w:p>
      <w:pPr>
        <w:spacing w:after="0" w:line="111" w:lineRule="exact"/>
        <w:rPr>
          <w:sz w:val="20"/>
          <w:szCs w:val="20"/>
          <w:color w:val="auto"/>
        </w:rPr>
      </w:pPr>
    </w:p>
    <w:p>
      <w:pPr>
        <w:jc w:val="both"/>
        <w:ind w:right="4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3.01 </w:t>
      </w:r>
      <w:r>
        <w:rPr>
          <w:rFonts w:ascii="Times New Roman" w:cs="Times New Roman" w:eastAsia="Times New Roman" w:hAnsi="Times New Roman"/>
          <w:sz w:val="12"/>
          <w:szCs w:val="12"/>
          <w:u w:val="single" w:color="auto"/>
          <w:color w:val="auto"/>
        </w:rPr>
        <w:t>Redemption</w:t>
      </w:r>
      <w:r>
        <w:rPr>
          <w:rFonts w:ascii="Times New Roman" w:cs="Times New Roman" w:eastAsia="Times New Roman" w:hAnsi="Times New Roman"/>
          <w:sz w:val="12"/>
          <w:szCs w:val="12"/>
          <w:color w:val="auto"/>
        </w:rPr>
        <w:t>. The Notes may be redeemed, in whole or from time to time in part, subject to the conditions and at the redemption prices set forth in Paragraph 5 of the form of Note set forth in Exhibit A hereto, which is hereby incorporated by reference and made a part of this Indenture, together with accrued and unpaid interest to, but excluding, the redemption date (subject to the right of holders of record on the relevant Record Date to receive interest due on the relevant Interest Payment Date). The Initial Notes shall also be subject to mandatory redemption as provided in Section 3.09.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40</w:t>
      </w:r>
    </w:p>
    <w:p>
      <w:pPr>
        <w:sectPr>
          <w:pgSz w:w="11900" w:h="16840" w:orient="portrait"/>
          <w:cols w:equalWidth="0" w:num="1">
            <w:col w:w="10640"/>
          </w:cols>
          <w:pgMar w:left="640" w:top="1440" w:right="620" w:bottom="1440" w:gutter="0" w:footer="0" w:header="0"/>
        </w:sectPr>
      </w:pPr>
    </w:p>
    <w:bookmarkStart w:id="217" w:name="page218"/>
    <w:bookmarkEnd w:id="217"/>
    <w:p>
      <w:pPr>
        <w:spacing w:after="0" w:line="148"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3.02 </w:t>
      </w:r>
      <w:r>
        <w:rPr>
          <w:rFonts w:ascii="Times New Roman" w:cs="Times New Roman" w:eastAsia="Times New Roman" w:hAnsi="Times New Roman"/>
          <w:sz w:val="12"/>
          <w:szCs w:val="12"/>
          <w:u w:val="single" w:color="auto"/>
          <w:color w:val="auto"/>
        </w:rPr>
        <w:t>Applicability of Article</w:t>
      </w:r>
      <w:r>
        <w:rPr>
          <w:rFonts w:ascii="Times New Roman" w:cs="Times New Roman" w:eastAsia="Times New Roman" w:hAnsi="Times New Roman"/>
          <w:sz w:val="12"/>
          <w:szCs w:val="12"/>
          <w:color w:val="auto"/>
        </w:rPr>
        <w:t>. Redemption of Notes at the election of the Issuers or otherwise, as permitted or required by any provision of this Indenture, shall be made in accordance with such provision and this Article III.</w:t>
      </w:r>
    </w:p>
    <w:p>
      <w:pPr>
        <w:spacing w:after="0" w:line="80"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3.03 </w:t>
      </w:r>
      <w:r>
        <w:rPr>
          <w:rFonts w:ascii="Times New Roman" w:cs="Times New Roman" w:eastAsia="Times New Roman" w:hAnsi="Times New Roman"/>
          <w:sz w:val="12"/>
          <w:szCs w:val="12"/>
          <w:u w:val="single" w:color="auto"/>
          <w:color w:val="auto"/>
        </w:rPr>
        <w:t>Notices to Trustee</w:t>
      </w:r>
      <w:r>
        <w:rPr>
          <w:rFonts w:ascii="Times New Roman" w:cs="Times New Roman" w:eastAsia="Times New Roman" w:hAnsi="Times New Roman"/>
          <w:sz w:val="12"/>
          <w:szCs w:val="12"/>
          <w:color w:val="auto"/>
        </w:rPr>
        <w:t>. If the Issuers elect to redeem Notes pursuant to the optional redemption provisions of Paragraph 5 of the Note, the Issuers shall notify the Trustee in an Officer’s Certificate of (i) the Section of this Indenture pursuant to which the redemption shall occur, (ii) the redemption date, (iii) the principal amount of Notes to be redeemed and (iv) the redemption price. The Issuers shall give notice to the Trustee provided for in this Section 3.03 at least 15 days but not more than 60 days (or such shorter period as may be agreed by the Trustee) before a redemption date if the redemption is a redemption pursuant to Paragraph 5 of the Note. The Issuers may also include a request in such Officer’s Certificate that the Trustee give the notice of redemption in the Issuers’ names and at their expense and setting forth the form of such notice containing the information required by Section 3.05. Any such request and the notice of redemption to be delivered shall be received in writing by the Trustee at least five (5) Business Days (or such shorter period as is acceptable to the Trustee) prior to the date on which such notice is to be given. Any such notice may be canceled if written notice from the Issuers of such cancellation is actually received by the Trustee on the Business Day immediately prior to notice of such redemption being mailed to any holder or otherwise delivered in accordance with the applicable procedures of the Depository and shall thereby be void and of no effect. The Issuers shall deliver to the Trustee such documentation and records as shall enable the Trustee to select the Notes to be redeemed pursuant to Section 3.04.</w:t>
      </w:r>
    </w:p>
    <w:p>
      <w:pPr>
        <w:spacing w:after="0" w:line="88" w:lineRule="exact"/>
        <w:rPr>
          <w:sz w:val="20"/>
          <w:szCs w:val="20"/>
          <w:color w:val="auto"/>
        </w:rPr>
      </w:pPr>
    </w:p>
    <w:p>
      <w:pPr>
        <w:jc w:val="both"/>
        <w:ind w:right="4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3.04 </w:t>
      </w:r>
      <w:r>
        <w:rPr>
          <w:rFonts w:ascii="Times New Roman" w:cs="Times New Roman" w:eastAsia="Times New Roman" w:hAnsi="Times New Roman"/>
          <w:sz w:val="12"/>
          <w:szCs w:val="12"/>
          <w:u w:val="single" w:color="auto"/>
          <w:color w:val="auto"/>
        </w:rPr>
        <w:t>Selection of Notes to Be Redeemed</w:t>
      </w:r>
      <w:r>
        <w:rPr>
          <w:rFonts w:ascii="Times New Roman" w:cs="Times New Roman" w:eastAsia="Times New Roman" w:hAnsi="Times New Roman"/>
          <w:sz w:val="12"/>
          <w:szCs w:val="12"/>
          <w:color w:val="auto"/>
        </w:rPr>
        <w:t xml:space="preserve">. In the case of any partial redemption of Notes, selection of the Notes for redemption will be made by the Trustee on a pro rata basis to the extent practicable or by lot or by such other method as the Trustee shall deem fair and appropriate (and, in such manner that complies with the requirements of the Depository, if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Notes of $200,000 or less shall be redeemed in part. The Trustee shall make the selection from outstanding Notes not previously called for redemption. The Trustee may select for redemption portions of the principal of Notes that have denominations larger than $200,000. Notes and portions of them the Trustee selects shall be in amounts of $200,000 or integral multiples of $1,000 in excess thereof. Provisions of this Indenture that apply to Notes called for redemption also apply to portions of Notes called for redemption. The Trustee shall notify the Issuers promptly of the Notes or portions of Notes to be redeemed.</w:t>
      </w:r>
    </w:p>
    <w:p>
      <w:pPr>
        <w:spacing w:after="0" w:line="9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3.05</w:t>
      </w:r>
      <w:r>
        <w:rPr>
          <w:sz w:val="20"/>
          <w:szCs w:val="20"/>
          <w:color w:val="auto"/>
        </w:rPr>
        <w:tab/>
      </w:r>
      <w:r>
        <w:rPr>
          <w:rFonts w:ascii="Times New Roman" w:cs="Times New Roman" w:eastAsia="Times New Roman" w:hAnsi="Times New Roman"/>
          <w:sz w:val="12"/>
          <w:szCs w:val="12"/>
          <w:u w:val="single" w:color="auto"/>
          <w:color w:val="auto"/>
        </w:rPr>
        <w:t>Notice of Optional Redemption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6" w:lineRule="auto"/>
        <w:tabs>
          <w:tab w:leader="none" w:pos="904"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10 but not more than 60 days before a redemption date pursuant to Paragraph 5 of the Note, the Issuers shall mail or cause to be mailed by first-class mail, or delivered electronically if held by the Depository, a notice of redemption to each holder whose Notes are to be redeemed at its registered address (with a copy to the Trustee), except that redemption notices may be mailed or otherwise delivered more than 60 days prior to the redemption date if the notice is issued in connection with a defeasance of the Notes or a satisfaction and discharge of this Indenture pursuant to Article VIII.</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such notice shall identify the Notes to be redeemed and shall state:</w:t>
      </w:r>
    </w:p>
    <w:p>
      <w:pPr>
        <w:spacing w:after="0" w:line="119" w:lineRule="exact"/>
        <w:rPr>
          <w:sz w:val="20"/>
          <w:szCs w:val="20"/>
          <w:color w:val="auto"/>
        </w:rPr>
      </w:pPr>
    </w:p>
    <w:p>
      <w:pPr>
        <w:ind w:left="1360" w:hanging="440"/>
        <w:spacing w:after="0"/>
        <w:tabs>
          <w:tab w:leader="none" w:pos="13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date;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price and the amount of accrued interest to, but excluding, the redemption date;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and address of the Paying Agent;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Notes called for redemption must be surrendered to the Paying Agent to collect the redemption price, plus accrued and unpaid interest;</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fewer than all the outstanding Notes are to be redeemed, the certificate numbers and principal amounts of the particular Notes to be redeemed, the aggregate principal amount of Notes to be redeemed and the aggregate principal amount of Notes to be outstanding after such partial redemption;</w:t>
      </w:r>
    </w:p>
    <w:p>
      <w:pPr>
        <w:spacing w:after="0" w:line="80"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unless the Issuers default in making such redemption payment or the Paying Agent is prohibited from making such payment pursuant to the terms of this Indenture, interest on Notes (or portion thereof) called for redemption ceases to accrue on and after the redemption date;</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CUSIP number and/or ISIN, if any, printed on the Notes being redeemed;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no representation is made as to the correctness or accuracy of the CUSIP number or ISIN, if any, listed in such notice or printed on the Notes;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41</w:t>
      </w:r>
    </w:p>
    <w:p>
      <w:pPr>
        <w:sectPr>
          <w:pgSz w:w="11900" w:h="16840" w:orient="portrait"/>
          <w:cols w:equalWidth="0" w:num="1">
            <w:col w:w="10640"/>
          </w:cols>
          <w:pgMar w:left="640" w:top="1440" w:right="620" w:bottom="1440" w:gutter="0" w:footer="0" w:header="0"/>
        </w:sectPr>
      </w:pPr>
    </w:p>
    <w:bookmarkStart w:id="218" w:name="page219"/>
    <w:bookmarkEnd w:id="218"/>
    <w:p>
      <w:pPr>
        <w:spacing w:after="0" w:line="148" w:lineRule="exact"/>
        <w:rPr>
          <w:sz w:val="20"/>
          <w:szCs w:val="20"/>
          <w:color w:val="auto"/>
        </w:rPr>
      </w:pPr>
    </w:p>
    <w:p>
      <w:pPr>
        <w:ind w:left="1360" w:hanging="440"/>
        <w:spacing w:after="0"/>
        <w:tabs>
          <w:tab w:leader="none" w:pos="1360" w:val="left"/>
        </w:tabs>
        <w:numPr>
          <w:ilvl w:val="1"/>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conditions precedent, in accordance with Section 3.05(c) below.</w:t>
      </w:r>
    </w:p>
    <w:p>
      <w:pPr>
        <w:spacing w:after="0" w:line="109"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Issuers’ request, the Trustee shall deliver the notice of redemption in the Issuers’ names and at their expense. In such event, the Issuers shall notify the Trustee in writing of such request and provide the Trustee with the notice to be delivered at least five (5) Business Days (or such shorter period as is acceptable to the Trustee) prior to the date such notice is to be provided to holders. Such notice shall be in writing and may be sent to the Trustee via electronic mail.</w:t>
      </w:r>
    </w:p>
    <w:p>
      <w:pPr>
        <w:spacing w:after="0" w:line="87"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redemption and notice thereof may, at the Issuers’ discretion, be subject to one or more conditions precedent. Any such notice shall describe each such condition, and if applicable, shall state that, in the Issuers’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as so delayed, and such notice may be rescinded at any time in the Issuers’ discretion if in the good faith judgment of the Issuers any or all of such conditions will not be satisfied. The Issuers may provide in such notice that payment of the redemption price and the performance of the Issuers’ obligations with respect to such redemption may be performed by another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Issuers shall remain obligated in respect of such payment and performance.</w:t>
      </w:r>
    </w:p>
    <w:p>
      <w:pPr>
        <w:spacing w:after="0" w:line="90"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3.06 </w:t>
      </w:r>
      <w:r>
        <w:rPr>
          <w:rFonts w:ascii="Times New Roman" w:cs="Times New Roman" w:eastAsia="Times New Roman" w:hAnsi="Times New Roman"/>
          <w:sz w:val="12"/>
          <w:szCs w:val="12"/>
          <w:u w:val="single" w:color="auto"/>
          <w:color w:val="auto"/>
        </w:rPr>
        <w:t>Effect of Notice of Redemption</w:t>
      </w:r>
      <w:r>
        <w:rPr>
          <w:rFonts w:ascii="Times New Roman" w:cs="Times New Roman" w:eastAsia="Times New Roman" w:hAnsi="Times New Roman"/>
          <w:sz w:val="12"/>
          <w:szCs w:val="12"/>
          <w:color w:val="auto"/>
        </w:rPr>
        <w:t xml:space="preserve">. Once notice of redemption is mailed or otherwise delivered in accordance with Section 3.05, Notes called for redemption become due and payable on the redemption date and at the redemption price stated in the notice, except as otherwise expressly provided in Paragraph 5 of the Notes and subject to Section 3.05(c) above. Upon surrender to the Paying Agent, such Notes shall be paid at the redemption price stated in the notice,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to, but excluding, the redemption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redemption date is after a regular Record Date and on or prior to the next Interest Payment Date, the accrued interest shall be payable to the holder of the redeemed Notes registered on the relevant Record Date. Failure to give notice or any defect in the notice to any holder shall not affect the validity of the notice to any other holder.</w:t>
      </w:r>
    </w:p>
    <w:p>
      <w:pPr>
        <w:spacing w:after="0" w:line="90"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3.07 </w:t>
      </w:r>
      <w:r>
        <w:rPr>
          <w:rFonts w:ascii="Times New Roman" w:cs="Times New Roman" w:eastAsia="Times New Roman" w:hAnsi="Times New Roman"/>
          <w:sz w:val="12"/>
          <w:szCs w:val="12"/>
          <w:u w:val="single" w:color="auto"/>
          <w:color w:val="auto"/>
        </w:rPr>
        <w:t>Deposit of Redemption Price</w:t>
      </w:r>
      <w:r>
        <w:rPr>
          <w:rFonts w:ascii="Times New Roman" w:cs="Times New Roman" w:eastAsia="Times New Roman" w:hAnsi="Times New Roman"/>
          <w:sz w:val="12"/>
          <w:szCs w:val="12"/>
          <w:color w:val="auto"/>
        </w:rPr>
        <w:t xml:space="preserve">. With respect to any Notes, prior to 10:00 a.m., New York City time, on the redemption date, the Issuers shall deposit with the Paying Agent (or, if the Company or a Subsidiary thereof is the Paying Agent, shall segregate and hold in trust) money sufficient to pay the redemption price of and accrued and unpaid interest on all Notes or portions thereof to be redeemed on that date other than Notes or portions of Notes called for redemption that have been delivered by the Issuers to the Trustee for cancellation. On and after the redemption date, interest shall cease to accrue on Notes or portions thereof called for redemption so long as the Issuers have deposited with the Paying Agent (or, if the Company or a Subsidiary thereof is the Paying Agent, shall have segregated and held in trust) funds sufficient to pay the principal of,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on, the Notes or portions thereof to be redeemed.</w:t>
      </w:r>
    </w:p>
    <w:p>
      <w:pPr>
        <w:spacing w:after="0" w:line="90" w:lineRule="exact"/>
        <w:rPr>
          <w:sz w:val="20"/>
          <w:szCs w:val="20"/>
          <w:color w:val="auto"/>
        </w:rPr>
      </w:pPr>
    </w:p>
    <w:p>
      <w:pPr>
        <w:jc w:val="both"/>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3.08 </w:t>
      </w:r>
      <w:r>
        <w:rPr>
          <w:rFonts w:ascii="Times New Roman" w:cs="Times New Roman" w:eastAsia="Times New Roman" w:hAnsi="Times New Roman"/>
          <w:sz w:val="12"/>
          <w:szCs w:val="12"/>
          <w:u w:val="single" w:color="auto"/>
          <w:color w:val="auto"/>
        </w:rPr>
        <w:t>Notes Redeemed in Part</w:t>
      </w:r>
      <w:r>
        <w:rPr>
          <w:rFonts w:ascii="Times New Roman" w:cs="Times New Roman" w:eastAsia="Times New Roman" w:hAnsi="Times New Roman"/>
          <w:sz w:val="12"/>
          <w:szCs w:val="12"/>
          <w:color w:val="auto"/>
        </w:rPr>
        <w:t>. If any Note is to be redeemed in part only, the notice of redemption relating to such Note shall state the portion of the principal amount thereof to be redeemed. A new Note in principal amount equal to the unredeemed portion thereof will be issued in the name of the holder thereof upon cancellation of the original Note.</w:t>
      </w:r>
    </w:p>
    <w:p>
      <w:pPr>
        <w:spacing w:after="0" w:line="8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3.09</w:t>
      </w:r>
      <w:r>
        <w:rPr>
          <w:sz w:val="20"/>
          <w:szCs w:val="20"/>
          <w:color w:val="auto"/>
        </w:rPr>
        <w:tab/>
      </w:r>
      <w:r>
        <w:rPr>
          <w:rFonts w:ascii="Times New Roman" w:cs="Times New Roman" w:eastAsia="Times New Roman" w:hAnsi="Times New Roman"/>
          <w:sz w:val="12"/>
          <w:szCs w:val="12"/>
          <w:u w:val="single" w:color="auto"/>
          <w:color w:val="auto"/>
        </w:rPr>
        <w:t>Special Mandatory Redemption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20" w:firstLine="463"/>
        <w:spacing w:after="0" w:line="253" w:lineRule="auto"/>
        <w:tabs>
          <w:tab w:leader="none" w:pos="90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will be required, on the Special Mandatory Redemption Date, to redeem all of the Notes outstanding on the Special Mandatory Redemption Date at the Special Mandatory Redemption Price (subject to the right of holders of record on the relevant Record Date to receive interest due on the relevant Interest Payment Date).</w:t>
      </w:r>
    </w:p>
    <w:p>
      <w:pPr>
        <w:spacing w:after="0" w:line="80"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will send a notice of special mandatory redemption, with a copy to the Trustee, not later than one Business Day after the occurrence of a Special Mandatory Redemption Trigger Date to each holder of the Notes at its registered address, or deliver such notice electronically through the Depository if the Notes are held by the Depository. The notice will specify the Special Mandatory Redemption Date, which may not be the same Business Day as the date the notice is sent. If funds sufficient to pay the Special Mandatory Redemption Price of all Notes to be redeemed on the Special Mandatory Redemption Date are deposited with the Paying Agent (or, if the Company or a Subsidiary thereof is the Paying Agent, are segregated and held in trust) on or before the Special Mandatory Redemption Date, then on and after such date, the Notes will cease to bear interest, and all rights under the Notes will terminate.</w:t>
      </w:r>
    </w:p>
    <w:p>
      <w:pPr>
        <w:spacing w:after="0" w:line="9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3.10</w:t>
      </w:r>
      <w:r>
        <w:rPr>
          <w:sz w:val="20"/>
          <w:szCs w:val="20"/>
          <w:color w:val="auto"/>
        </w:rPr>
        <w:tab/>
      </w:r>
      <w:r>
        <w:rPr>
          <w:rFonts w:ascii="Times New Roman" w:cs="Times New Roman" w:eastAsia="Times New Roman" w:hAnsi="Times New Roman"/>
          <w:sz w:val="12"/>
          <w:szCs w:val="12"/>
          <w:u w:val="single" w:color="auto"/>
          <w:color w:val="auto"/>
        </w:rPr>
        <w:t>Segregated Accounts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Maintenance of Segregated Accounts</w:t>
      </w:r>
      <w:r>
        <w:rPr>
          <w:rFonts w:ascii="Times New Roman" w:cs="Times New Roman" w:eastAsia="Times New Roman" w:hAnsi="Times New Roman"/>
          <w:sz w:val="12"/>
          <w:szCs w:val="12"/>
          <w:color w:val="auto"/>
        </w:rPr>
        <w:t>. The Company shall establish and maintain the Segregated Accounts for the benefit of the holders of the Notes. The gross proceeds of the Initial Notes shall,</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Initial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42</w:t>
      </w:r>
    </w:p>
    <w:p>
      <w:pPr>
        <w:sectPr>
          <w:pgSz w:w="11900" w:h="16840" w:orient="portrait"/>
          <w:cols w:equalWidth="0" w:num="1">
            <w:col w:w="10620"/>
          </w:cols>
          <w:pgMar w:left="640" w:top="1440" w:right="640" w:bottom="1440" w:gutter="0" w:footer="0" w:header="0"/>
        </w:sectPr>
      </w:pPr>
    </w:p>
    <w:bookmarkStart w:id="219" w:name="page220"/>
    <w:bookmarkEnd w:id="219"/>
    <w:p>
      <w:pPr>
        <w:spacing w:after="0" w:line="14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Tender Offer Closing Date, be held by the Company in the Segregated Accounts. Such gross proceeds will be held in (x) U.S. dollars, (y) direct obligations of the United States or obligations guaranteed by the United States, in each case, with maturities not exceeding two years from the date of acquisition of such obligations or (z) any constant net asset value money market fund the underlying holdings of which are comprised solely of the foregoing.</w:t>
      </w:r>
    </w:p>
    <w:p>
      <w:pPr>
        <w:spacing w:after="0" w:line="88" w:lineRule="exact"/>
        <w:rPr>
          <w:sz w:val="20"/>
          <w:szCs w:val="20"/>
          <w:color w:val="auto"/>
        </w:rPr>
      </w:pPr>
    </w:p>
    <w:p>
      <w:pPr>
        <w:jc w:val="both"/>
        <w:ind w:right="20" w:firstLine="463"/>
        <w:spacing w:after="0" w:line="231" w:lineRule="auto"/>
        <w:tabs>
          <w:tab w:leader="none" w:pos="904"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Grant of Security Interest</w:t>
      </w:r>
      <w:r>
        <w:rPr>
          <w:rFonts w:ascii="Times New Roman" w:cs="Times New Roman" w:eastAsia="Times New Roman" w:hAnsi="Times New Roman"/>
          <w:sz w:val="12"/>
          <w:szCs w:val="12"/>
          <w:color w:val="auto"/>
        </w:rPr>
        <w:t xml:space="preserve">. As security for the due and punctual payment when due of the Notes Obligations, the Company hereby pledges, assigns and grants to the Trustee, for its benefit and for the benefit of the holders of the Notes, a continuing security interest in, and lien on, all of the Company’s rights, title and interest in (x) the Segregated Deposit Account and all funds and property held in the Segregated Deposit Account, and all proceeds thereof (collectively with the Segregated Deposit Accounts, the “ </w:t>
      </w:r>
      <w:r>
        <w:rPr>
          <w:rFonts w:ascii="Times New Roman" w:cs="Times New Roman" w:eastAsia="Times New Roman" w:hAnsi="Times New Roman"/>
          <w:sz w:val="12"/>
          <w:szCs w:val="12"/>
          <w:u w:val="single" w:color="auto"/>
          <w:color w:val="auto"/>
        </w:rPr>
        <w:t>Specified Deposit Account Collateral</w:t>
      </w:r>
      <w:r>
        <w:rPr>
          <w:rFonts w:ascii="Times New Roman" w:cs="Times New Roman" w:eastAsia="Times New Roman" w:hAnsi="Times New Roman"/>
          <w:sz w:val="12"/>
          <w:szCs w:val="12"/>
          <w:color w:val="auto"/>
        </w:rPr>
        <w:t>”) and (y) the Segregated Securities Accounts and all funds and property held in the Segregated Securities Accounts, and all proceeds thereof (collectively with the Segregated Securities Accounts, the “</w:t>
      </w:r>
      <w:r>
        <w:rPr>
          <w:rFonts w:ascii="Times New Roman" w:cs="Times New Roman" w:eastAsia="Times New Roman" w:hAnsi="Times New Roman"/>
          <w:sz w:val="12"/>
          <w:szCs w:val="12"/>
          <w:u w:val="single" w:color="auto"/>
          <w:color w:val="auto"/>
        </w:rPr>
        <w:t>Specified Securities Account Collateral</w:t>
      </w:r>
      <w:r>
        <w:rPr>
          <w:rFonts w:ascii="Times New Roman" w:cs="Times New Roman" w:eastAsia="Times New Roman" w:hAnsi="Times New Roman"/>
          <w:sz w:val="12"/>
          <w:szCs w:val="12"/>
          <w:color w:val="auto"/>
        </w:rPr>
        <w:t>”).</w:t>
      </w:r>
    </w:p>
    <w:p>
      <w:pPr>
        <w:spacing w:after="0" w:line="87" w:lineRule="exact"/>
        <w:rPr>
          <w:rFonts w:ascii="Times New Roman" w:cs="Times New Roman" w:eastAsia="Times New Roman" w:hAnsi="Times New Roman"/>
          <w:sz w:val="12"/>
          <w:szCs w:val="12"/>
          <w:color w:val="auto"/>
        </w:rPr>
      </w:pPr>
    </w:p>
    <w:p>
      <w:pPr>
        <w:jc w:val="both"/>
        <w:ind w:firstLine="463"/>
        <w:spacing w:after="0" w:line="224" w:lineRule="auto"/>
        <w:tabs>
          <w:tab w:leader="none" w:pos="904"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Perfection of Security Interest</w:t>
      </w:r>
      <w:r>
        <w:rPr>
          <w:rFonts w:ascii="Times New Roman" w:cs="Times New Roman" w:eastAsia="Times New Roman" w:hAnsi="Times New Roman"/>
          <w:sz w:val="12"/>
          <w:szCs w:val="12"/>
          <w:color w:val="auto"/>
        </w:rPr>
        <w:t>. The Company has executed a deposit account control agreement (the “</w:t>
      </w:r>
      <w:r>
        <w:rPr>
          <w:rFonts w:ascii="Times New Roman" w:cs="Times New Roman" w:eastAsia="Times New Roman" w:hAnsi="Times New Roman"/>
          <w:sz w:val="12"/>
          <w:szCs w:val="12"/>
          <w:u w:val="single" w:color="auto"/>
          <w:color w:val="auto"/>
        </w:rPr>
        <w:t>Specified Deposit Account Control Agreement</w:t>
      </w:r>
      <w:r>
        <w:rPr>
          <w:rFonts w:ascii="Times New Roman" w:cs="Times New Roman" w:eastAsia="Times New Roman" w:hAnsi="Times New Roman"/>
          <w:sz w:val="12"/>
          <w:szCs w:val="12"/>
          <w:color w:val="auto"/>
        </w:rPr>
        <w:t>”) with Goldman Sachs Bank USA and the Trustee with respect to the Specified Deposit Account Collateral. In addition, the Company hereby agrees to file in the District of Columbia financing statements, continuation statements and amendments thereto that contain the information required by Article 9 of the Uniform Commercial Code of the District of Columbia for the filing of any financing statement, continuation statements or amendment relating to Specified Securities Account Collateral. The Company further hereby agrees to and irrevocably authorizes the Trustee to so file such financing statements, continuation statements and amendments, but the Trustee shall have no obligation whatsoever to do so. The Trustee shall not be responsible for and makes no representation as to the validity or adequacy of the Specified Deposit Account Control Agreement, it shall not be accountable for the Issuers’ use of the proceeds from the Notes, the Specified Deposit Account Collateral or the Specified Securities Account Collateral, and it shall not be responsible for any statement or recital in the Specified Deposit Account Control Agreement.</w:t>
      </w:r>
    </w:p>
    <w:p>
      <w:pPr>
        <w:spacing w:after="0" w:line="88"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Release of Lien, the Specified Deposit Account Collateral and the Specified Securities Account Collatera</w:t>
      </w:r>
      <w:r>
        <w:rPr>
          <w:rFonts w:ascii="Times New Roman" w:cs="Times New Roman" w:eastAsia="Times New Roman" w:hAnsi="Times New Roman"/>
          <w:sz w:val="12"/>
          <w:szCs w:val="12"/>
          <w:color w:val="auto"/>
        </w:rPr>
        <w:t>l. The Specified Deposit Account Collateral, the Specified Securities Account Collateral and the Lien on such Specified Deposit Account Collateral and Specified Securities Account Collateral will be automatically released on the Initial Tender Offer Closing Date. If the Trustee is requested to acknowledge, authorize or sign a release (or similar or related document) of the Lien on such Specified Deposit Account Collateral and/or the Specified Securities Account Collateral to implement or evidence a release provided for in this Section 3.10, the Issuers will furnish to the Trustee an Officer’s Certificate and Opinion of Counsel and such other documentation as may be required by this Indenture.</w:t>
      </w:r>
    </w:p>
    <w:p>
      <w:pPr>
        <w:spacing w:after="0" w:line="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11"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4.01 </w:t>
      </w:r>
      <w:r>
        <w:rPr>
          <w:rFonts w:ascii="Times New Roman" w:cs="Times New Roman" w:eastAsia="Times New Roman" w:hAnsi="Times New Roman"/>
          <w:sz w:val="12"/>
          <w:szCs w:val="12"/>
          <w:u w:val="single" w:color="auto"/>
          <w:color w:val="auto"/>
        </w:rPr>
        <w:t>Payment of Notes</w:t>
      </w:r>
      <w:r>
        <w:rPr>
          <w:rFonts w:ascii="Times New Roman" w:cs="Times New Roman" w:eastAsia="Times New Roman" w:hAnsi="Times New Roman"/>
          <w:sz w:val="12"/>
          <w:szCs w:val="12"/>
          <w:color w:val="auto"/>
        </w:rPr>
        <w:t>. The Issuers shall promptly pay the principal of and interest on the Notes on the dates and in the manner provided in the Notes and in this Indenture. An installment of principal of or interest shall be considered paid on the date due if on such date the Trustee or the Paying Agent holds as of 10:00 a.m., New York City time, money sufficient to pay all principal and interest then due and the Trustee or the Paying Agent, as the case may be, is not prohibited from paying such money to the holders on that date pursuant to the terms of this Indenture.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Issuers shall pay interest on overdue principal at the rate specified therefor in the Notes, and it shall pay interest on overdue installments of interest at the same rate borne by the Notes to the extent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lawful.</w:t>
      </w:r>
    </w:p>
    <w:p>
      <w:pPr>
        <w:spacing w:after="0" w:line="10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4.02</w:t>
      </w:r>
      <w:r>
        <w:rPr>
          <w:sz w:val="20"/>
          <w:szCs w:val="20"/>
          <w:color w:val="auto"/>
        </w:rPr>
        <w:tab/>
      </w:r>
      <w:r>
        <w:rPr>
          <w:rFonts w:ascii="Times New Roman" w:cs="Times New Roman" w:eastAsia="Times New Roman" w:hAnsi="Times New Roman"/>
          <w:sz w:val="12"/>
          <w:szCs w:val="12"/>
          <w:u w:val="single" w:color="auto"/>
          <w:color w:val="auto"/>
        </w:rPr>
        <w:t>Reports and Other Information; Conference Calls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 long as any Notes are outstanding hereunder, the Company will file with the SEC (and furnish to the Trustee and holders with copies of, without cost to any holder or the Trustee) the following:</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90 days after the end of each fiscal year, an annual report with the SEC on Form 20-F (or any successor or comparable form (including Form 10-K));</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1" w:lineRule="auto"/>
        <w:tabs>
          <w:tab w:leader="none" w:pos="1364"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45 days after the end of each of the first three fiscal quarters of each fiscal year, either (1) a consolidated balance sheet and related statements of comprehensive income and cash flows and changes in equity showing the financial position of the Company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all of which shall be in reasonable detail and which shall be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43</w:t>
      </w:r>
    </w:p>
    <w:p>
      <w:pPr>
        <w:sectPr>
          <w:pgSz w:w="11900" w:h="16840" w:orient="portrait"/>
          <w:cols w:equalWidth="0" w:num="1">
            <w:col w:w="10620"/>
          </w:cols>
          <w:pgMar w:left="640" w:top="1440" w:right="640" w:bottom="1440" w:gutter="0" w:footer="0" w:header="0"/>
        </w:sectPr>
      </w:pPr>
    </w:p>
    <w:bookmarkStart w:id="220" w:name="page221"/>
    <w:bookmarkEnd w:id="220"/>
    <w:p>
      <w:pPr>
        <w:spacing w:after="0" w:line="148" w:lineRule="exact"/>
        <w:rPr>
          <w:sz w:val="20"/>
          <w:szCs w:val="20"/>
          <w:color w:val="auto"/>
        </w:rPr>
      </w:pPr>
    </w:p>
    <w:p>
      <w:pPr>
        <w:jc w:val="both"/>
        <w:ind w:left="460" w:right="60"/>
        <w:spacing w:after="0" w:line="236" w:lineRule="auto"/>
        <w:rPr>
          <w:sz w:val="20"/>
          <w:szCs w:val="20"/>
          <w:color w:val="auto"/>
        </w:rPr>
      </w:pPr>
      <w:r>
        <w:rPr>
          <w:rFonts w:ascii="Times New Roman" w:cs="Times New Roman" w:eastAsia="Times New Roman" w:hAnsi="Times New Roman"/>
          <w:sz w:val="12"/>
          <w:szCs w:val="12"/>
          <w:color w:val="auto"/>
        </w:rPr>
        <w:t>accompanied by customary management’s discussion and analysis (it being understood that a quarterly report that is substantially consistent in format, level of detail and management’s discussion and analysis with the Company’s financial report for the third quarter of 2025 shall be deemed to satisfy all of the requirements of this clause (ii)) or (2) a quarterly report on Form 10-Q (or any successor or comparable form); and</w:t>
      </w:r>
    </w:p>
    <w:p>
      <w:pPr>
        <w:spacing w:after="0" w:line="88" w:lineRule="exact"/>
        <w:rPr>
          <w:sz w:val="20"/>
          <w:szCs w:val="20"/>
          <w:color w:val="auto"/>
        </w:rPr>
      </w:pPr>
    </w:p>
    <w:p>
      <w:pPr>
        <w:ind w:left="460" w:right="60" w:firstLine="460"/>
        <w:spacing w:after="0" w:line="253" w:lineRule="auto"/>
        <w:tabs>
          <w:tab w:leader="none" w:pos="1364"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from time to time after the occurrence of an event required to be therein reported (and in any event within the time periods specified in the SEC’s rules and regulations), reports with the SEC on Form 6-K (or any successor or comparable form (including Form 8-K)).</w:t>
      </w:r>
    </w:p>
    <w:p>
      <w:pPr>
        <w:spacing w:after="0" w:line="90"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If the Company is no longer subject to the periodic reporting requirements of the Exchange Act for any reason, the Company will nevertheless continue filing the reports specified in the preceding paragraph of this Section 4.02(a) with the SEC within the time periods specified above unless the SEC will not accept such a filing. If the SEC will not accept the Company’s filings for any reason, the Company will furnish the reports referred to in the preceding paragraph to the Trustee within the time periods that would apply if the Company were required to file those reports with the SEC. The Company will not take any action for the purpose of causing the SEC not to accept any such filings. In addition to providing such information to the Trustee, the Company shall make available the information required to be provided pursuant to clauses (i) through (iii) of Section 4.02(a), by posting such information to its website or on IntraLinks or any comparable online data system or website.</w:t>
      </w:r>
    </w:p>
    <w:p>
      <w:pPr>
        <w:spacing w:after="0" w:line="89" w:lineRule="exact"/>
        <w:rPr>
          <w:sz w:val="20"/>
          <w:szCs w:val="20"/>
          <w:color w:val="auto"/>
        </w:rPr>
      </w:pPr>
    </w:p>
    <w:p>
      <w:pPr>
        <w:jc w:val="both"/>
        <w:ind w:right="40" w:firstLine="463"/>
        <w:spacing w:after="0" w:line="231" w:lineRule="auto"/>
        <w:tabs>
          <w:tab w:leader="none" w:pos="904"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Company has designated any of its Subsidiaries as an Unrestricted Subsidiary and if any such Unrestricted Subsidiary or group of Unrestricted Subsidiaries, if taken together as one Subsidiary, would constitute a Significant Subsidiary of the Company, then the annual and quarterly information required by clauses (i) and (ii) of Section 4.02(a) shall include a reasonably detailed presentation, either on the face of the financial statements or in the footnotes thereto, of the financial condition and results of operations of the Company and its Restricted Subsidiaries separate from the financial condition and results of operations of such Unrestricted Subsidiaries.</w:t>
      </w:r>
    </w:p>
    <w:p>
      <w:pPr>
        <w:spacing w:after="0" w:line="87" w:lineRule="exact"/>
        <w:rPr>
          <w:rFonts w:ascii="Times New Roman" w:cs="Times New Roman" w:eastAsia="Times New Roman" w:hAnsi="Times New Roman"/>
          <w:sz w:val="12"/>
          <w:szCs w:val="12"/>
          <w:color w:val="auto"/>
        </w:rPr>
      </w:pPr>
    </w:p>
    <w:p>
      <w:pPr>
        <w:jc w:val="both"/>
        <w:ind w:right="40" w:firstLine="463"/>
        <w:spacing w:after="0" w:line="231" w:lineRule="auto"/>
        <w:tabs>
          <w:tab w:leader="none" w:pos="904"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hold quarterly conference calls for the holders to discuss financial information for the previous fiscal quarter (it being understood that such quarterly conference call may be the same as the Company’s conference call with equity investors and analysts). In the event that the Company does not hold any such conference call with equity investors and analysts, a conference call will be held following the last day of each fiscal quarter of the Company and not later than ten Business Days from the time that the Company distributes the financial information set forth in clause (i) or (ii) of Section 4.02(a). No fewer than two days prior to such conference call, the Company will issue a press release announcing the time and date of such conference call and provide instructions for holders to obtain access to such call.</w:t>
      </w:r>
    </w:p>
    <w:p>
      <w:pPr>
        <w:spacing w:after="0" w:line="87" w:lineRule="exact"/>
        <w:rPr>
          <w:rFonts w:ascii="Times New Roman" w:cs="Times New Roman" w:eastAsia="Times New Roman" w:hAnsi="Times New Roman"/>
          <w:sz w:val="12"/>
          <w:szCs w:val="12"/>
          <w:color w:val="auto"/>
        </w:rPr>
      </w:pPr>
    </w:p>
    <w:p>
      <w:pPr>
        <w:jc w:val="both"/>
        <w:ind w:right="60" w:firstLine="463"/>
        <w:spacing w:after="0" w:line="236" w:lineRule="auto"/>
        <w:tabs>
          <w:tab w:leader="none" w:pos="904"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the Company has agreed that, for so long as any Notes remain outstanding, during any period when it is not subject to Section 13 or 15(d) of the Exchange Act, nor exempt from reporting pursuant to Rule 12g3-2(b) under the Exchange Act, it will furnish to the holders of the Notes and to prospective investors designated by a holder, upon request of the holder, the information required to be delivered pursuant to Rule 144A(d)(4) under the Securities Act.</w:t>
      </w:r>
    </w:p>
    <w:p>
      <w:pPr>
        <w:spacing w:after="0" w:line="87" w:lineRule="exact"/>
        <w:rPr>
          <w:rFonts w:ascii="Times New Roman" w:cs="Times New Roman" w:eastAsia="Times New Roman" w:hAnsi="Times New Roman"/>
          <w:sz w:val="12"/>
          <w:szCs w:val="12"/>
          <w:color w:val="auto"/>
        </w:rPr>
      </w:pPr>
    </w:p>
    <w:p>
      <w:pPr>
        <w:jc w:val="both"/>
        <w:ind w:right="40" w:firstLine="463"/>
        <w:spacing w:after="0" w:line="227" w:lineRule="auto"/>
        <w:tabs>
          <w:tab w:leader="none" w:pos="904"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any direct or indirect parent entity of the Company files reports with the SEC in accordance with Section 13 or 15(d) of the Exchange Act, whether voluntarily or otherwise, in compliance with Section 4.02(a), then the Company will be deemed to comply with Section 4.02(a). For the avoidance of doubt, such reports need not include separate financial information required by Rule 3-10 and Rule 3-16 or Article 13 of Regulation S-X;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such direct or indirect parent entity of the Company has more than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operations separate and apart from its ownership in the Company, then the financial statements of such parent entity will provide consolidating information, which need not be audited, that explains in reasonable detail the differences between the information relating to such parent entity and its Subsidiaries, on the one hand, and the information relating to the Company and its Restricted Subsidiaries on a standalone basis, on the other hand.</w:t>
      </w:r>
    </w:p>
    <w:p>
      <w:pPr>
        <w:spacing w:after="0" w:line="89" w:lineRule="exact"/>
        <w:rPr>
          <w:rFonts w:ascii="Times New Roman" w:cs="Times New Roman" w:eastAsia="Times New Roman" w:hAnsi="Times New Roman"/>
          <w:sz w:val="12"/>
          <w:szCs w:val="12"/>
          <w:color w:val="auto"/>
        </w:rPr>
      </w:pPr>
    </w:p>
    <w:p>
      <w:pPr>
        <w:ind w:right="60" w:firstLine="463"/>
        <w:spacing w:after="0" w:line="253" w:lineRule="auto"/>
        <w:tabs>
          <w:tab w:leader="none" w:pos="904"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the Company will be deemed to have furnished the reports referred to in this Section 4.02 to the Trustee and the holders if the Company (or such parent entity) has filed such reports with (or furnished such reports to) the SEC via the EDGAR filing system and such reports are publicly available.</w:t>
      </w:r>
    </w:p>
    <w:p>
      <w:pPr>
        <w:spacing w:after="0" w:line="80" w:lineRule="exact"/>
        <w:rPr>
          <w:rFonts w:ascii="Times New Roman" w:cs="Times New Roman" w:eastAsia="Times New Roman" w:hAnsi="Times New Roman"/>
          <w:sz w:val="12"/>
          <w:szCs w:val="12"/>
          <w:color w:val="auto"/>
        </w:rPr>
      </w:pPr>
    </w:p>
    <w:p>
      <w:pPr>
        <w:jc w:val="both"/>
        <w:ind w:right="60" w:firstLine="463"/>
        <w:spacing w:after="0" w:line="231" w:lineRule="auto"/>
        <w:tabs>
          <w:tab w:leader="none" w:pos="904"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Delivery of any reports, information and documents to the Trustee pursuant to this Section 4.02 is for informational purposes only and the Trustee’s receipt thereof shall not constitute actual or constructive notice of any information contained therein or determinable from information contained therein, including the Company’s compliance with any of its covenants under this Indenture (as to which the Trustee is entitled to rely exclusively on Officer’s Certificates of the Company). The Trustee shall have no responsibility for the filing, timeliness or content of any reports, information or documents. The Trustee shall have no obligation to determine whether or not such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44</w:t>
      </w:r>
    </w:p>
    <w:p>
      <w:pPr>
        <w:sectPr>
          <w:pgSz w:w="11900" w:h="16840" w:orient="portrait"/>
          <w:cols w:equalWidth="0" w:num="1">
            <w:col w:w="10660"/>
          </w:cols>
          <w:pgMar w:left="640" w:top="1440" w:right="600" w:bottom="1440" w:gutter="0" w:footer="0" w:header="0"/>
        </w:sectPr>
      </w:pPr>
    </w:p>
    <w:bookmarkStart w:id="221" w:name="page222"/>
    <w:bookmarkEnd w:id="221"/>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reports, information or documents have been filed pursuant to the SEC’s EDGAR filing system (or its successor) or postings to any website have occurred, and the Trustee shall have no duty to participate in or monitor any conference calls.</w:t>
      </w:r>
    </w:p>
    <w:p>
      <w:pPr>
        <w:spacing w:after="0" w:line="8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4.03</w:t>
      </w:r>
      <w:r>
        <w:rPr>
          <w:sz w:val="20"/>
          <w:szCs w:val="20"/>
          <w:color w:val="auto"/>
        </w:rPr>
        <w:tab/>
      </w:r>
      <w:r>
        <w:rPr>
          <w:rFonts w:ascii="Times New Roman" w:cs="Times New Roman" w:eastAsia="Times New Roman" w:hAnsi="Times New Roman"/>
          <w:sz w:val="12"/>
          <w:szCs w:val="12"/>
          <w:u w:val="single" w:color="auto"/>
          <w:color w:val="auto"/>
        </w:rPr>
        <w:t>Limitation on Incurrence of Indebtedness and Issuance of Disqualified Stock and Preferred Stock</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The Company shall not, and shall not permit any of the Restricted Subsidiaries to, Incur any Indebtedness (including Acquired Indebtedness) or issue any shares of Disqualified Stock; and</w:t>
      </w:r>
    </w:p>
    <w:p>
      <w:pPr>
        <w:jc w:val="both"/>
        <w:ind w:firstLine="6"/>
        <w:spacing w:after="0" w:line="218" w:lineRule="auto"/>
        <w:tabs>
          <w:tab w:leader="none" w:pos="183"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not permit any of the Restricted Subsidiaries (other than the U.S. Co-Issuer and any Guarantor) to issue any shares of Preferred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and its Restricted Subsidiaries may Incur Indebtedness (including Acquired Indebtedness) or issue shares of Disqualified Stock, and any Restricted Subsidiary that is not the U.S. Co-Issuer or a Guarantor may Incur Indebtedness (including Acquired Indebtedness), issue shares of Disqualified Stock or issue shares of Preferred Stock, in each case if either (A) the Fixed Charge Coverage Ratio, determined on a Pro Forma Basis for the most recently ended four full fiscal quarters for which financial statements are available immediately preceding the date on which such additional Indebtedness is Incurred or such Disqualified Stock or Preferred Stock is issued, would have been at least the lower of (x) 2.00 to 1.00 and (y) the Fixed Charge Coverage Ratio for such period immediately prior to such Incurrence or issuance or (B) the Consolidated Total Net Leverage Ratio, determined on a Pro Forma Basis for the most recently ended four full fiscal quarters for which financial statements are available immediately preceding the date on which such additional Indebtedness is Incurred or such Disqualified Stock or Preferred Stock is issued, would have been no greater than the greater of (x) 3.80 to 1.00 and (y) the Consolidated Total Net Leverage Ratio for such period immediately prior to such Incurrence or issuance;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aggregate principal amount of Indebtedness Incurred, and shares of Disqualified Stock and Preferred Stock issued, by Restricted Subsidiaries that are not the U.S. Co-Issuer or a Guarantor pursuant to this Section 4.03(a), together with any Refinancing Indebtedness Incurred pursuant to clause (xv) of Section 4.03(b) in respect of Indebtedness originally Incurred pursuant to this Section 4.03(a) (or Refinancing Indebtedness in respect thereof) then outstanding, shall not exceed the greater of $400 million and 3.2% of Total Assets at the time of Incurrence (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in the case of any Refinancing Indebtedness in respect thereof Incurred pursuant to clause (xv) of Section 4.03(b), any Additional Refinancing Amount with respect thereto).</w:t>
      </w:r>
    </w:p>
    <w:p>
      <w:pPr>
        <w:spacing w:after="0" w:line="92"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limitations set forth in Section 4.03(a) shall not apply to:</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23" w:lineRule="auto"/>
        <w:tabs>
          <w:tab w:leader="none" w:pos="1364" w:val="left"/>
        </w:tabs>
        <w:numPr>
          <w:ilvl w:val="2"/>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Incurrence by the Company or any Restricted Subsidiary of Indebtedness (including under any Credit Agreement and the issuance and creation of letters of credit and bankers’ acceptances thereunder) up to an aggregate principal amount outstanding at the time of Incurrence, together with any Refinancing Indebtedness Incurred pursuant to clause (xv) below in respect of Indebtedness originally Incurred pursuant to this clause (i) (or Refinancing Indebtedness in respect thereof) then outstanding, that does not exceed the sum of (A) $3.5 billion; plus (B) the greater of</w:t>
      </w:r>
    </w:p>
    <w:p>
      <w:pPr>
        <w:jc w:val="both"/>
        <w:ind w:left="460" w:firstLine="3"/>
        <w:spacing w:after="0" w:line="221" w:lineRule="auto"/>
        <w:tabs>
          <w:tab w:leader="none" w:pos="655"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$1,514 million and (y) 100% of the Company’s EBITDA for the four full fiscal quarters for which financial statements are available immediately preceding the date on which such additional Indebtedness is Incurred; plus (C) the aggregate principal amount of Consolidated Total Indebtedness that at the time of Incurrence does not cause the Secured Net Leverage Ratio, determined on a Pro Forma Basis for the most recently ended four full fiscal quarters for which financial statements are available, to exceed the greater of (x) 2.90 to 1.00 and (y) the Secured Net Leverage Ratio for such period immediately prior to such Incurrence;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determining the amount of Indebtedness that may be incurred under clause (i)(C) and for purposes of any subsequent calculation of the Secured Net Leverage Ratio, all Indebtedness Incurred and outstanding under this clause (i) (including any Refinancing Indebtedness Incurred pursuant to clause (xv) below as described above in this clause (i) (and any associated Additional Refinancing Amount)) shall be treated as Secured Indebtedness;</w:t>
      </w:r>
    </w:p>
    <w:p>
      <w:pPr>
        <w:spacing w:after="0" w:line="8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2"/>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Incurrence by the Issuers and the Guarantors of Indebtedness represented by (x) the Initial Notes and the Guarantees and (y) the Secured Notes issued on the Issue Date and the guarantees in respect thereof;</w:t>
      </w:r>
    </w:p>
    <w:p>
      <w:pPr>
        <w:spacing w:after="0" w:line="80"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2"/>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(other than Indebtedness described in clause (i), (ii) or (xxviii)) (x) of the Company or any of its Subsidiaries in effect on the Issue Date or (y) of Merus or any of its Subsidiaries in effect on the Initial Tender Offer Closing Date;</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2"/>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Indebtedness (including Capitalized Lease Obligations) Incurred by the Company or any Restricted Subsidiary, Disqualified Stock issued by the Company or any Restricted Subsidiary and Preferred Stock issued by any Restricted Subsidiary to finance (whether prior to or within 360 days after) the acquisition, lease, construction, repair, replacement or improvement of property (real or personal) or equipment (whether through the direct purchase of assets or the Capital Stock of any Person owning such assets) other than Attributable Debt in respect of any Sale/Leaseback Transaction, in an aggregate principal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45</w:t>
      </w:r>
    </w:p>
    <w:p>
      <w:pPr>
        <w:sectPr>
          <w:pgSz w:w="11900" w:h="16840" w:orient="portrait"/>
          <w:cols w:equalWidth="0" w:num="1">
            <w:col w:w="10620"/>
          </w:cols>
          <w:pgMar w:left="640" w:top="1440" w:right="640" w:bottom="1440" w:gutter="0" w:footer="0" w:header="0"/>
        </w:sectPr>
      </w:pPr>
    </w:p>
    <w:bookmarkStart w:id="222" w:name="page223"/>
    <w:bookmarkEnd w:id="222"/>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amount that, when aggregated with the principal amount (or, if applicable, the liquidation preference, face amount or the like) of all other Indebtedness, Disqualified Stock or Preferred Stock then outstanding and Incurred pursuant to this clause (iv), together with any Refinancing Indebtedness Incurred pursuant to clause (xv) below in respect of Indebtedness originally Incurred pursuant to this clause (iv) (or Refinancing Indebtedness in respect thereof) then outstanding, does not exceed the greater of $ 400 million and 3.2% of Total Assets at the time of Incurrence (plus, in the case of any Refinancing Indebtedness in respect thereof Incurred pursuant to clause (xv) below, any Additional Refinancing Amount with respect thereto) and (B) Attributable Debt in respect of any Sale/Leaseback Transaction;</w:t>
      </w:r>
    </w:p>
    <w:p>
      <w:pPr>
        <w:spacing w:after="0" w:line="190" w:lineRule="exact"/>
        <w:rPr>
          <w:sz w:val="20"/>
          <w:szCs w:val="20"/>
          <w:color w:val="auto"/>
        </w:rPr>
      </w:pPr>
    </w:p>
    <w:p>
      <w:pPr>
        <w:jc w:val="both"/>
        <w:ind w:firstLine="460"/>
        <w:spacing w:after="0" w:line="231" w:lineRule="auto"/>
        <w:tabs>
          <w:tab w:leader="none" w:pos="9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by the Company or any Restricted Subsidiary constituting reimbursement obligations with respect to letters of credit, bank guarantees and similar instruments issued in the ordinary course of business or consistent with past practice or industry practices, including without limitation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law or permits or licenses from Governmental Authorities, or other Indebtedness with respect to reimbursement type obligations regarding workers’ compensation claims;</w:t>
      </w:r>
    </w:p>
    <w:p>
      <w:pPr>
        <w:spacing w:after="0" w:line="87"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arising from agreements of the Company or any Restricted Subsidiary providing for indemnification, milestone or royalty payments, adjustment of acquisition or purchase price or similar obligations (including earn-outs), in each case, Incurred or assumed in connection with the Transactions, any Investments or any acquisition or disposition of any business, assets or a Subsidiary not prohibited by this Indenture, other than guarantees of Indebtedness Incurred by any Person acquiring all or any portion of such business, assets or Subsidiary for the purpose of financing such acquisition;</w:t>
      </w:r>
    </w:p>
    <w:p>
      <w:pPr>
        <w:spacing w:after="0" w:line="204"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of the Company to a Restricted Subsidiary or Disqualified Stock of the Company issued to a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in respect of intercompany current liabilities incurred in the ordinary course of business in connection with the cash management, Tax or accounting operations of the Company and its Subsidiaries) any such Indebtedness owed to a Restricted Subsidiary that is not the U.S. Co-Issuer or a Guarantor is subordinated in right of payment to the obligations of the Issuers and the Guarantors in respect of the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subsequent issuance or transfer of any Capital Stock or any other event that results in any such Restricted Subsidiary ceasing to be a Restricted Subsidiary or any other subsequent transfer of any such Indebtedness (except to the Company or another Restricted Subsidiary or any pledge of such Indebtedness constituting a Permitted Lien but not the transfer thereof upon foreclosure) or shares of Disqualified Stock shall be deemed, in each case, to be an Incurrence of such Indebtedness or issuance of shares of Disqualified Stock, as applicable, not permitted by this clause (vii);</w:t>
      </w:r>
    </w:p>
    <w:p>
      <w:pPr>
        <w:spacing w:after="0" w:line="89"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shares of Preferred Stock or Disqualified Stock of a Restricted Subsidiary issued to the Company or another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subsequent issuance or transfer of any Capital Stock or any other event that results in any Restricted Subsidiary that holds such shares of Preferred Stock or Disqualified Stock of another Restricted Subsidiary ceasing to be a Restricted Subsidiary or any other subsequent transfer of any such shares of Preferred Stock or Disqualified Stock (except to the Company or another Restricted Subsidiary) shall be deemed, in each case, to be an issuance of shares of Preferred Stock or Disqualified Stock not permitted by this clause (viii);</w:t>
      </w:r>
    </w:p>
    <w:p>
      <w:pPr>
        <w:spacing w:after="0" w:line="87"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of a Restricted Subsidiary to the Company or another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U.S. Co-Issuer or a Guarantor incurs such Indebtedness to a Restricted Subsidiary that is not the U.S. Co-Issuer or a Guarantor (except in respect of intercompany current liabilities incurred in the ordinary course of business in connection with the cash management, Tax or accounting operations of the Company and its Subsidiaries), such Indebtedness is subordinated in right of payment to the obligations of the Issuers and the Guarantors in respect of the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subsequent issuance or transfer of any Capital Stock or any other event that results in any Restricted Subsidiary holding such Indebtedness ceasing to be a Restricted Subsidiary or any other subsequent transfer of any such Indebtedness (except to the Company or another Restricted Subsidiary or any pledge of such Indebtedness constituting a Permitted Lien but not the transfer thereof upon foreclosure) shall be deemed, in each case, to be an Incurrence of such Indebtedness not permitted by this clause (ix);</w:t>
      </w:r>
    </w:p>
    <w:p>
      <w:pPr>
        <w:spacing w:after="0" w:line="8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Hedging Obligations that are not incurred for speculative purposes;</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(including reimbursement obligations with respect to letters of credit, bank guarantees, warehouse receipts and similar instruments) in respect of performance, bid, appeal and surety bonds, completion guarantees and similar obligations provided by the Company or any Restricted Subsidiary in the ordinary course of business or consistent with past practice or industry practice;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46</w:t>
      </w:r>
    </w:p>
    <w:p>
      <w:pPr>
        <w:sectPr>
          <w:pgSz w:w="11900" w:h="16840" w:orient="portrait"/>
          <w:cols w:equalWidth="0" w:num="1">
            <w:col w:w="10160"/>
          </w:cols>
          <w:pgMar w:left="1100" w:top="1440" w:right="640" w:bottom="1440" w:gutter="0" w:footer="0" w:header="0"/>
        </w:sectPr>
      </w:pPr>
    </w:p>
    <w:bookmarkStart w:id="223" w:name="page224"/>
    <w:bookmarkEnd w:id="223"/>
    <w:p>
      <w:pPr>
        <w:spacing w:after="0" w:line="148" w:lineRule="exact"/>
        <w:rPr>
          <w:sz w:val="20"/>
          <w:szCs w:val="20"/>
          <w:color w:val="auto"/>
        </w:rPr>
      </w:pPr>
    </w:p>
    <w:p>
      <w:pPr>
        <w:jc w:val="both"/>
        <w:ind w:firstLine="460"/>
        <w:spacing w:after="0"/>
        <w:tabs>
          <w:tab w:leader="none" w:pos="904"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or Disqualified Stock of the Company or Indebtedness, Disqualified Stock or Preferred Stock of any Restricted Subsidiary in an aggregate principal amount (or, if applicable, the liquidation preference, face amount or the like), which when aggregated with the principal amount (or, if applicable, the liquidation preference, face amount or the like) of all other Indebtedness, Disqualified Stock and Preferred Stock then outstanding and Incurred pursuant to this clause (xii), together with any Refinancing Indebtedness Incurred pursuant to clause (xv) below in respect of Indebtedness originally Incurred pursuant to this clause (xii) (or Refinancing Indebtedness in respect thereof) then outstanding, does not exceed the greater of $750 million and 6.0% of Total Assets at the time of Incurrence (plus, in the case of any Refinancing Indebtedness in respect thereof Incurred pursuant to clause (xv) below, any Additional Refinancing Amount with respect thereto); it being understood that any Indebtedness Incurred pursuant to this clause (xii) shall cease to be deemed Incurred or outstanding for purposes of this clause (xii) but shall be deemed Incurred pursuant to Section 4.03(a) from and after the first date on which the Company or the Restricted Subsidiary, as the case may be, could have Incurred such Indebtedness under Section 4.03(a) without reliance upon this clause (xii);</w:t>
      </w:r>
    </w:p>
    <w:p>
      <w:pPr>
        <w:spacing w:after="0" w:line="147" w:lineRule="exact"/>
        <w:rPr>
          <w:rFonts w:ascii="Times New Roman" w:cs="Times New Roman" w:eastAsia="Times New Roman" w:hAnsi="Times New Roman"/>
          <w:sz w:val="12"/>
          <w:szCs w:val="12"/>
          <w:color w:val="auto"/>
        </w:rPr>
      </w:pPr>
    </w:p>
    <w:p>
      <w:pPr>
        <w:jc w:val="both"/>
        <w:ind w:firstLine="460"/>
        <w:spacing w:after="0" w:line="221" w:lineRule="auto"/>
        <w:tabs>
          <w:tab w:leader="none" w:pos="904"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or Disqualified Stock of the Company or any Restricted Subsidiary and Preferred Stock of any Restricted Subsidiary in an aggregate principal amount (or, if applicable, the liquidation preference, face amount or the like) at any time outstanding, together with any Refinancing Indebtedness Incurred pursuant to clause (xv) below in respect of Indebtedness originally Incurred pursuant to this clause (xiii) (or Refinancing Indebtedness in respect thereof) then outstanding, not greater than 100.0% of the net cash proceeds received by the Company and its Restricted Subsidiaries since immediately after the Issue Date from the issue or sale of Equity Interests of the Company or any direct or indirect parent entity of the Company (which proceeds are retained by the Company or contributed to a Restricted Subsidiary) or cash contributed to the capital of the Company (in each case other than proceeds of Disqualified Stock or sales of Equity Interests to, or contributions received from, the Company or any of its Subsidiaries), to the extent such net cash proceeds or cash have not been applied to make Restricted Payments or to make other Investments, payments or exchanges pursuant to Section 4.04(b) or to make Permitted Investments (other than Permitted Investments specified in clauses (1), (2) and (3) of the definition thereof) (plus, in the case of any Refinancing Indebtedness in respect thereof Incurred pursuant to clause (xv) below, any Additional Refinancing Amount with respect thereto) (it being understood that any Indebtedness incurred pursuant to this clause (xiii) shall cease to be deemed incurred or outstanding for purposes of this clause (xiii) but shall be deemed incurred pursuant to Section 4.03(a) from and after the first date on which the Company or such Restricted Subsidiary, as the case may be, could have incurred such Indebtedness under Section 4.03(a) without reliance upon this clause (xiii));</w:t>
      </w:r>
    </w:p>
    <w:p>
      <w:pPr>
        <w:spacing w:after="0" w:line="90" w:lineRule="exact"/>
        <w:rPr>
          <w:rFonts w:ascii="Times New Roman" w:cs="Times New Roman" w:eastAsia="Times New Roman" w:hAnsi="Times New Roman"/>
          <w:sz w:val="12"/>
          <w:szCs w:val="12"/>
          <w:color w:val="auto"/>
        </w:rPr>
      </w:pPr>
    </w:p>
    <w:p>
      <w:pPr>
        <w:jc w:val="both"/>
        <w:ind w:firstLine="460"/>
        <w:spacing w:after="0" w:line="227" w:lineRule="auto"/>
        <w:tabs>
          <w:tab w:leader="none" w:pos="904"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guarantee by the Company or any Restricted Subsidiary of Indebtedness or other obligations of the Company or any Restricted Subsidiary so long as the Incurrence of such Indebtedness Incurred by the Company or such Restricted Subsidiary is permitted under the terms of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if such Indebtedness is by its terms subordinated in right of payment to the Notes or the Guarantee of such Restricted Subsidiary, as applicable, any such guarantee with respect to such Indebtedness shall be subordinated in right of payment to the Notes or such Guarantee, as applicable, substantially to the same extent as such Indebtedness is subordinated to the Notes or the Guarantee, as applicable, and (B) if such guarantee is of Indebtedness of any Issuer or Guarantor, such guarantee is Incurred in accordance with, or not in contravention of, Section 4.11 solely to the extent Section 4.11 is applicable;</w:t>
      </w:r>
    </w:p>
    <w:p>
      <w:pPr>
        <w:spacing w:after="0" w:line="89"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Incurrence by the Company or any of the Restricted Subsidiaries of Indebtedness or Disqualified Stock, or by any Restricted Subsidiary of Preferred Stock, that serves to refund, refinance or defease any Indebtedness Incurred or Disqualified Stock or Preferred Stock issued as permitted under Section 4.03(a) or any of clauses (i), (ii), (iii), (iv), (xii), (xiii), (xv), (xvi), (xx), (xxiv), (xxvi), (xxix) and (xxx) of this Section 4.03(b) up to the outstanding principal amount (or, if applicable, the liquidation preference, face amount, or the like) or, if greater, committed amount (only to the extent the committed amount could have been Incurred on the date of initial Incurrence and was deemed Incurred at such time for the purposes of this Section 4.03) of such Indebtedness or Disqualified Stock or Preferred Stock, in each case at the time such Indebtedness was Incurred or Disqualified Stock or Preferred Stock was issued pursuant to Section 4.03(a) or any of clauses (i), (ii), (iii), (iv), (xii), (xiii), (xv), (xvi), (xx), (xxiv), (xxvi), (xxix) and (xxx) of this Section 4.03(b), or any Indebtedness, Disqualified Stock or Preferred Stock Incurred to so refund or refinance such Indebtedness, Disqualified Stock or Preferred Stock, in each case, prior to its respective maturity (such Indebtedness, Disqualified Stock or Preferred Stock, “</w:t>
      </w:r>
      <w:r>
        <w:rPr>
          <w:rFonts w:ascii="Times New Roman" w:cs="Times New Roman" w:eastAsia="Times New Roman" w:hAnsi="Times New Roman"/>
          <w:sz w:val="12"/>
          <w:szCs w:val="12"/>
          <w:u w:val="single" w:color="auto"/>
          <w:color w:val="auto"/>
        </w:rPr>
        <w:t>Refinancing Indebtedness</w:t>
      </w:r>
      <w:r>
        <w:rPr>
          <w:rFonts w:ascii="Times New Roman" w:cs="Times New Roman" w:eastAsia="Times New Roman" w:hAnsi="Times New Roman"/>
          <w:sz w:val="12"/>
          <w:szCs w:val="12"/>
          <w:color w:val="auto"/>
        </w:rPr>
        <w:t xml:space="preserve">”), plus any Additional Refinancing Amount with respect thereto;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w:t>
      </w:r>
    </w:p>
    <w:p>
      <w:pPr>
        <w:spacing w:after="0" w:line="147" w:lineRule="exact"/>
        <w:rPr>
          <w:rFonts w:ascii="Times New Roman" w:cs="Times New Roman" w:eastAsia="Times New Roman" w:hAnsi="Times New Roman"/>
          <w:sz w:val="12"/>
          <w:szCs w:val="12"/>
          <w:color w:val="auto"/>
        </w:rPr>
      </w:pPr>
    </w:p>
    <w:p>
      <w:pPr>
        <w:ind w:left="460" w:right="60" w:firstLine="457"/>
        <w:spacing w:after="0" w:line="253" w:lineRule="auto"/>
        <w:tabs>
          <w:tab w:leader="none" w:pos="1510"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such Refinancing Indebtedness and Additional Refinancing Amount has a combined Weighted Average Life to Maturity at the time such Refinancing Indebtedness and Additional Refinancing Amount are Incurred that is not less than the shorter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47</w:t>
      </w:r>
    </w:p>
    <w:p>
      <w:pPr>
        <w:sectPr>
          <w:pgSz w:w="11900" w:h="16840" w:orient="portrait"/>
          <w:cols w:equalWidth="0" w:num="1">
            <w:col w:w="10160"/>
          </w:cols>
          <w:pgMar w:left="1100" w:top="1440" w:right="640" w:bottom="1440" w:gutter="0" w:footer="0" w:header="0"/>
        </w:sectPr>
      </w:pPr>
    </w:p>
    <w:bookmarkStart w:id="224" w:name="page225"/>
    <w:bookmarkEnd w:id="224"/>
    <w:p>
      <w:pPr>
        <w:spacing w:after="0" w:line="148" w:lineRule="exact"/>
        <w:rPr>
          <w:sz w:val="20"/>
          <w:szCs w:val="20"/>
          <w:color w:val="auto"/>
        </w:rPr>
      </w:pPr>
    </w:p>
    <w:p>
      <w:pPr>
        <w:ind w:left="460"/>
        <w:spacing w:after="0"/>
        <w:tabs>
          <w:tab w:leader="none" w:pos="645"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remaining Weighted Average Life to Maturity of the Indebtedness, Disqualified Stock or Preferred Stock being refunded, refinanced or defeased and (y) the Weighted Average Life to Maturity that would result if all payments of principal on the Indebtedness, Disqualified Stock and Preferred Stock being refunded, refinanced or defeased that were due on or after the date that is one year following the last maturity date of any Notes then outstanding were instead due on such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subclause (1) will not apply to any refunding or refinancing of any Secured Indebtedness;</w:t>
      </w:r>
    </w:p>
    <w:p>
      <w:pPr>
        <w:spacing w:after="0" w:line="214" w:lineRule="exact"/>
        <w:rPr>
          <w:rFonts w:ascii="Times New Roman" w:cs="Times New Roman" w:eastAsia="Times New Roman" w:hAnsi="Times New Roman"/>
          <w:sz w:val="12"/>
          <w:szCs w:val="12"/>
          <w:color w:val="auto"/>
        </w:rPr>
      </w:pPr>
    </w:p>
    <w:p>
      <w:pPr>
        <w:jc w:val="both"/>
        <w:ind w:left="460" w:right="20" w:firstLine="457"/>
        <w:spacing w:after="0" w:line="267" w:lineRule="auto"/>
        <w:tabs>
          <w:tab w:leader="none" w:pos="1364"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 to the extent such Refinancing Indebtedness and Additional Refinancing Amount refinance (x) Indebtedness that by its terms is subordinated in right of payment to the Notes or a Guarantee, as applicable, such Refinancing Indebtedness and Additional Refinancing Amount are by their terms subordinated in right of payment to the Notes or the Guarantee, as applicable, or (y) Disqualified Stock or Preferred Stock, such Refinancing Indebtedness and Additional Refinancing Amount are Disqualified Stock or Preferred Stock; and</w:t>
      </w:r>
    </w:p>
    <w:p>
      <w:pPr>
        <w:spacing w:after="0" w:line="91" w:lineRule="exact"/>
        <w:rPr>
          <w:rFonts w:ascii="Times New Roman" w:cs="Times New Roman" w:eastAsia="Times New Roman" w:hAnsi="Times New Roman"/>
          <w:sz w:val="12"/>
          <w:szCs w:val="12"/>
          <w:color w:val="auto"/>
        </w:rPr>
      </w:pPr>
    </w:p>
    <w:p>
      <w:pPr>
        <w:ind w:left="460" w:right="20" w:firstLine="457"/>
        <w:spacing w:after="0" w:line="287" w:lineRule="auto"/>
        <w:tabs>
          <w:tab w:leader="none" w:pos="1364"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that such Refinancing Indebtedness and Additional Refinancing Amount shall not include (x) Indebtedness of a Restricted Subsidiary that is not the U.S. Co-Issuer or a Guarantor that refinances Indebtedness of an Issuer or a Guarantor, or (y) Indebtedness of the Company or a Restricted Subsidiary that refinances Indebtedness of an Unrestricted Subsidiary;</w:t>
      </w:r>
    </w:p>
    <w:p>
      <w:pPr>
        <w:spacing w:after="0" w:line="70" w:lineRule="exact"/>
        <w:rPr>
          <w:sz w:val="20"/>
          <w:szCs w:val="20"/>
          <w:color w:val="auto"/>
        </w:rPr>
      </w:pPr>
    </w:p>
    <w:p>
      <w:pPr>
        <w:jc w:val="both"/>
        <w:ind w:firstLine="460"/>
        <w:spacing w:after="0" w:line="231" w:lineRule="auto"/>
        <w:tabs>
          <w:tab w:leader="none" w:pos="895"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Disqualified Stock or Preferred Stock (x) of the Company or any Restricted Subsidiary Incurred to finance an acquisition or (y) constituting Acquired Indebtedness (so long as such Acquired Indebtedness is not Incurred in contemplation of such acquisition, merger, consolidation or amalgamation);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on a Pro Forma Basis after giving effect to such acquisition or merger, consolidation or amalgamation, the Company would be permitted to incur at least $1.00 of additional Indebtedness in reliance on the Consolidated Total Net Leverage Ratio test set forth in clause (B) of the first proviso of Section 4.03(a);</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in connection with Qualified Receivables Facilities, including Attributable Receivables Indebtedness;</w:t>
      </w:r>
    </w:p>
    <w:p>
      <w:pPr>
        <w:spacing w:after="0" w:line="109"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arising from the honoring by a bank or other financial institution of a check, draft or similar instrument drawn against insufficient funds or other cash management services, in each case incurred in the ordinary course of business;</w:t>
      </w:r>
    </w:p>
    <w:p>
      <w:pPr>
        <w:spacing w:after="0" w:line="80"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any Restricted Subsidiary supported by a letter of credit or bank guarantee issued in compliance with this Section 4.03 in a principal amount not in excess of the stated amount of such letter of credit;</w:t>
      </w:r>
    </w:p>
    <w:p>
      <w:pPr>
        <w:spacing w:after="0" w:line="80"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of Restricted Subsidiaries that are not the U.S. Co-Issuer or a Guarantor;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aggregate principal amount of all such Indebtedness that, when aggregated with the principal amount of all other Indebtedness then outstanding and Incurred pursuant to this clause (xx), together with any Refinancing Indebtedness Incurred pursuant to clause (xv) above in respect of Indebtedness originally Incurred pursuant to this clause (xx) (or Refinancing Indebtedness in respect thereof) then outstanding, does not exceed the greater of $400 million and 3.2% of Total Assets at the time of Incurrence (plus, in the case of any Refinancing Indebtedness in respect thereof Incurred pursuant to clause (xv) above, any Additional Refinancing Amount with respect thereto) (it being understood that any Indebtedness incurred pursuant to this clause (xx) shall cease to be deemed Incurred or outstanding for purposes of this clause (xx) but shall be deemed Incurred pursuant to Section 4.03(a) from and after the first date on which such Restricted Subsidiary could have Incurred such Indebtedness under the first paragraph of this covenant without reliance upon this clause (xx));</w:t>
      </w:r>
    </w:p>
    <w:p>
      <w:pPr>
        <w:spacing w:after="0" w:line="89" w:lineRule="exact"/>
        <w:rPr>
          <w:rFonts w:ascii="Times New Roman" w:cs="Times New Roman" w:eastAsia="Times New Roman" w:hAnsi="Times New Roman"/>
          <w:sz w:val="12"/>
          <w:szCs w:val="12"/>
          <w:color w:val="auto"/>
        </w:rPr>
      </w:pPr>
    </w:p>
    <w:p>
      <w:pPr>
        <w:ind w:firstLine="460"/>
        <w:spacing w:after="0" w:line="253" w:lineRule="auto"/>
        <w:tabs>
          <w:tab w:leader="none" w:pos="895"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any Restricted Subsidiary consisting of (A) the financing of insurance premiums or (B) take-or-pay obligations contained in supply arrangements, in each case, in the ordinary course of business;</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 Restricted Subsidiary to current or former officers, directors and employees of the Company or any of the Company’s Subsidiaries, their respective estates, spouses or former spouses, in each case to finance the purchase or redemption of Equity Interests of the Company or any direct or indirect parent entity of the Company to the extent described in Section 4.04(b)(iv);</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48</w:t>
      </w:r>
    </w:p>
    <w:p>
      <w:pPr>
        <w:sectPr>
          <w:pgSz w:w="11900" w:h="16840" w:orient="portrait"/>
          <w:cols w:equalWidth="0" w:num="1">
            <w:col w:w="10160"/>
          </w:cols>
          <w:pgMar w:left="1100" w:top="1440" w:right="640" w:bottom="1440" w:gutter="0" w:footer="0" w:header="0"/>
        </w:sectPr>
      </w:pPr>
    </w:p>
    <w:bookmarkStart w:id="225" w:name="page226"/>
    <w:bookmarkEnd w:id="225"/>
    <w:p>
      <w:pPr>
        <w:spacing w:after="0" w:line="148" w:lineRule="exact"/>
        <w:rPr>
          <w:sz w:val="20"/>
          <w:szCs w:val="20"/>
          <w:color w:val="auto"/>
        </w:rPr>
      </w:pPr>
    </w:p>
    <w:p>
      <w:pPr>
        <w:jc w:val="both"/>
        <w:ind w:right="20" w:firstLine="460"/>
        <w:spacing w:after="0" w:line="236" w:lineRule="auto"/>
        <w:tabs>
          <w:tab w:leader="none" w:pos="90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in respect of Obligations of the Company or any Restricted Subsidiary to pay the deferred purchase price of goods or services or progress payments in connection with such goods and services;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obligations are incurred in connection with open accounts extended by suppliers on customary trade terms in the ordinary course of business and not in connection with the borrowing of money or any Hedging Obligations;</w:t>
      </w:r>
    </w:p>
    <w:p>
      <w:pPr>
        <w:spacing w:after="0" w:line="87"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Incurred on behalf of, or representing guarantees of Indebtedness of joint ventures, subject to compliance with Section 4.04;</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aggregate principal amount thereof, when aggregated with the principal amount of all other Indebtedness then outstanding pursuant to this clause (xxiv), together with any Refinancing Indebtedness Incurred pursuant to clause (xv) above in respect of Indebtedness originally Incurred pursuant to this clause (xxiv) (or Refinancing Indebtedness in respect thereof) then outstanding, does not exceed the greater of $180 million and 1.5% of Total Assets at the time of Incurrence;</w:t>
      </w:r>
    </w:p>
    <w:p>
      <w:pPr>
        <w:spacing w:after="0" w:line="87" w:lineRule="exact"/>
        <w:rPr>
          <w:rFonts w:ascii="Times New Roman" w:cs="Times New Roman" w:eastAsia="Times New Roman" w:hAnsi="Times New Roman"/>
          <w:sz w:val="12"/>
          <w:szCs w:val="12"/>
          <w:color w:val="auto"/>
        </w:rPr>
      </w:pPr>
    </w:p>
    <w:p>
      <w:pPr>
        <w:ind w:firstLine="460"/>
        <w:spacing w:after="0" w:line="253" w:lineRule="auto"/>
        <w:tabs>
          <w:tab w:leader="none" w:pos="89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any Restricted Subsidiary to or on behalf of any joint venture (regardless of the form of legal entity) that is not a Restricted Subsidiary arising in the ordinary course of business in connection with the cash management operations (including with respect to intercompany self-insurance arrangements) of the Company and its Restricted Subsidiaries;</w:t>
      </w:r>
    </w:p>
    <w:p>
      <w:pPr>
        <w:spacing w:after="0" w:line="80"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Foreign Subsidiaries, and guarantees thereof by Foreign Subsidiaries, in respect of local lines of credit, letters of credit, bank guarantees and similar extensions of credit, that, when aggregated with the principal amount of all other Indebtedness then outstanding pursuant to this clause (xxvi), together with any Refinancing Indebtedness Incurred pursuant to clause (xv) above in respect of Indebtedness originally Incurred pursuant to this clause (xxvi) (or Refinancing Indebtedness in respect thereof) then outstanding, does not exceed the greater of $180 million and 1.5% of Total Assets at the time of Incurrence (plus, in the case of any Refinancing Indebtedness in respect thereof Incurred pursuant to clause (xv) above, any Additional Refinancing Amount with respect thereto);</w:t>
      </w:r>
    </w:p>
    <w:p>
      <w:pPr>
        <w:spacing w:after="0" w:line="87"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of Indebtedness of directors, officers, employees, agents and advisors of the Company or any of its Restricted Subsidiaries in respect of expenses of such Persons in connection with relocations and other ordinary course of business purposes, if the aggregate amount of Indebtedness so guaranteed, when added to the aggregate amount of unreimbursed payments theretofore made in respect of such guarantees and the amount of loans and advances then outstanding under clause (6) of the definition of “Permitted Investments,” shall not at any time exceed $10 million;</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and prior to the Initial Tender Offer Closing Date, any Indebtedness of the Company or any of its Subsidiary outstanding on the Issue Date under the Existing Credit Agreement;</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credit (whether secured or unsecured) issued on behalf of any Subsidiary for the benefit of any Insurance Subsidiary, together with any Refinancing Indebtedness Incurred pursuant to clause (xv) above in respect of Indebtedness originally Incurred pursuant to this clause (xxix) (or Refinancing Indebtedness in respect thereof) then outstanding, in an aggregate principal amount outstanding at any time not to exceed the greater of $180 million and 1.5% of Total Assets at the time of Incurrence;</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89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Acquired Indebtedness, which, when aggregated with the principal amount (or, if applicable, the liquidation preference, face amount or the like) of all other Acquired Indebtedness Incurred pursuant to this clause (xxx), together with any Refinancing Indebtedness Incurred pursuant to clause (xv) above in respect of Indebtedness originally Incurred pursuant to this clause (xxx) (or Refinancing Indebtedness in respect thereof) then outstanding, does not exceed $300 million (plus, in the case of any Refinancing Indebtedness in respect thereof Incurred pursuant to clause (xv) above, any Additional Refinancing Amount with respect thereto);</w:t>
      </w:r>
    </w:p>
    <w:p>
      <w:pPr>
        <w:spacing w:after="0" w:line="87"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 connection with any joint and several liability and any netting or set-off arrangement arising (A) in each case by operation of law as a result of the existence, establishment or expansion of an affiliated, consolidated, combined, unitary or similar group for tax purposes to the extent such group consists solely in respect of the Issuers, any Guarantors and any Restricted Subsidiaries thereof or (B) under a declaration of joint and several liability (</w:t>
      </w:r>
      <w:r>
        <w:rPr>
          <w:rFonts w:ascii="Times New Roman" w:cs="Times New Roman" w:eastAsia="Times New Roman" w:hAnsi="Times New Roman"/>
          <w:sz w:val="12"/>
          <w:szCs w:val="12"/>
          <w:i w:val="1"/>
          <w:iCs w:val="1"/>
          <w:color w:val="auto"/>
        </w:rPr>
        <w:t>hoofdelijke aansprakelijkheid</w:t>
      </w:r>
      <w:r>
        <w:rPr>
          <w:rFonts w:ascii="Times New Roman" w:cs="Times New Roman" w:eastAsia="Times New Roman" w:hAnsi="Times New Roman"/>
          <w:sz w:val="12"/>
          <w:szCs w:val="12"/>
          <w:color w:val="auto"/>
        </w:rPr>
        <w:t>) as referred to in Section 2:403 of the Dutch Civil Code;</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deposits and advance payments received in the ordinary course of business from customers for goods purchased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49</w:t>
      </w:r>
    </w:p>
    <w:p>
      <w:pPr>
        <w:sectPr>
          <w:pgSz w:w="11900" w:h="16840" w:orient="portrait"/>
          <w:cols w:equalWidth="0" w:num="1">
            <w:col w:w="10160"/>
          </w:cols>
          <w:pgMar w:left="1100" w:top="1440" w:right="640" w:bottom="1440" w:gutter="0" w:footer="0" w:header="0"/>
        </w:sectPr>
      </w:pPr>
    </w:p>
    <w:bookmarkStart w:id="226" w:name="page227"/>
    <w:bookmarkEnd w:id="226"/>
    <w:p>
      <w:pPr>
        <w:spacing w:after="0" w:line="148" w:lineRule="exact"/>
        <w:rPr>
          <w:sz w:val="20"/>
          <w:szCs w:val="20"/>
          <w:color w:val="auto"/>
        </w:rPr>
      </w:pPr>
    </w:p>
    <w:p>
      <w:pPr>
        <w:ind w:left="460" w:right="20" w:firstLine="460"/>
        <w:spacing w:after="0" w:line="253" w:lineRule="auto"/>
        <w:tabs>
          <w:tab w:leader="none" w:pos="1364"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by the Company or any Restricted Subsidiary in connection with bankers’ acceptances, discounted bills of exchange, warehouse receipts or similar facilities or the discounting or factoring of receivables for credit management purposes, in each case incurred or undertaken in the ordinary course of business; and</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premiums (if any), interest (including post-petition interest), fees, expenses, charges and additional or contingent interest on obligations described in clauses (i) through (xxxiii) above.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compliance with this Section 4.03:</w:t>
      </w:r>
    </w:p>
    <w:p>
      <w:pPr>
        <w:spacing w:after="0" w:line="109" w:lineRule="exact"/>
        <w:rPr>
          <w:sz w:val="20"/>
          <w:szCs w:val="20"/>
          <w:color w:val="auto"/>
        </w:rPr>
      </w:pPr>
    </w:p>
    <w:p>
      <w:pPr>
        <w:jc w:val="both"/>
        <w:ind w:left="460" w:firstLine="460"/>
        <w:spacing w:after="0" w:line="227" w:lineRule="auto"/>
        <w:tabs>
          <w:tab w:leader="none" w:pos="1364"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that an item of Indebtedness, Disqualified Stock or Preferred Stock (or any portion thereof) meets the criteria of more than one of the categories of permitted Indebtedness described in clauses (i) through (xxxiv) of Section 4.03(b) above or is entitled to be Incurred pursuant to Section 4.03(a), then the Issuers may, in their sole discretion, classify or reclassify, or later divide, classify or reclassify (as if Incurred at such later time), such item of Indebtedness, Disqualified Stock or Preferred Stock (or any portion thereof) in any manner that complies with this Section 4.03;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Indebtedness outstanding under a Credit Agreement (other than the Existing Credit Agreement) entered into on or prior to the Initial Tender Offer Closing Date (and any secured Indebtedness representing a refinancing of such Indebtedness) shall be incurred under clause (i)(A) of Section 4.03(b) above and may not be reclassified;</w:t>
      </w:r>
    </w:p>
    <w:p>
      <w:pPr>
        <w:spacing w:after="0" w:line="89" w:lineRule="exact"/>
        <w:rPr>
          <w:rFonts w:ascii="Times New Roman" w:cs="Times New Roman" w:eastAsia="Times New Roman" w:hAnsi="Times New Roman"/>
          <w:sz w:val="12"/>
          <w:szCs w:val="12"/>
          <w:color w:val="auto"/>
        </w:rPr>
      </w:pPr>
    </w:p>
    <w:p>
      <w:pPr>
        <w:jc w:val="both"/>
        <w:ind w:left="460" w:right="20" w:firstLine="460"/>
        <w:spacing w:after="0" w:line="222" w:lineRule="auto"/>
        <w:tabs>
          <w:tab w:leader="none" w:pos="1364"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any Limited Condition Acquisition, at the option of the Issuers by written notice to the Trustee, any Indebtedness or Liens Incurred to finance, or Investments made in connection with, such Limited Condition Acquisition shall be deemed to have been Incurred or made on the date the definitive acquisition agreement relating to such Limited Condition Acquisition was entered into (and not at the time such Limited Condition Acquisition is consummated) and the Fixed Charge Coverage Ratio, Consolidated Total Net Leverage Ratio and/or the Secured Net Leverage Ratio shall be tested (x) in connection with the Incurrence of such Indebtedness or Liens or the making of such Investments, as of the date the definitive acquisition agreement relating to such Limited Condition Acquisition was entered into, calculated on a Pro Forma Basis giving effect to such Limited Condition Acquisition, any such Indebtedness, Liens or Investments and all other transactions in connection therewith and (y) in connection with any other Incurrence of Indebtedness or Liens or making of Investments after the date the definitive acquisition agreement relating to such Limited Condition Acquisition was entered into and prior to the earlier of the consummation of such Limited Condition Acquisition and the termination of such definitive agreement prior to the Incurrence of such Indebtedness or Liens or the making of such Investments, both (A) on the basis set forth in clause (x) above and (B) without giving effect to such Limited Condition Acquisition or the Incurrence of any such Indebtedness or Liens or the making of any such Investments or the other transactions in connection therewith; and</w:t>
      </w:r>
    </w:p>
    <w:p>
      <w:pPr>
        <w:spacing w:after="0" w:line="88" w:lineRule="exact"/>
        <w:rPr>
          <w:rFonts w:ascii="Times New Roman" w:cs="Times New Roman" w:eastAsia="Times New Roman" w:hAnsi="Times New Roman"/>
          <w:sz w:val="12"/>
          <w:szCs w:val="12"/>
          <w:color w:val="auto"/>
        </w:rPr>
      </w:pPr>
    </w:p>
    <w:p>
      <w:pPr>
        <w:jc w:val="both"/>
        <w:ind w:left="460" w:firstLine="460"/>
        <w:spacing w:after="0" w:line="225" w:lineRule="auto"/>
        <w:tabs>
          <w:tab w:leader="none" w:pos="1364"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obtaining any commitment with respect to any Indebtedness to be Incurred under clause (i)(C) of Section 4.03(b), the Issuers may, by written notice to the Trustee at any time prior to the actual Incurrence of such Indebtedness, designate such commitment (any such commitment so designated, a “</w:t>
      </w:r>
      <w:r>
        <w:rPr>
          <w:rFonts w:ascii="Times New Roman" w:cs="Times New Roman" w:eastAsia="Times New Roman" w:hAnsi="Times New Roman"/>
          <w:sz w:val="12"/>
          <w:szCs w:val="12"/>
          <w:u w:val="single" w:color="auto"/>
          <w:color w:val="auto"/>
        </w:rPr>
        <w:t>Designated Commitment</w:t>
      </w:r>
      <w:r>
        <w:rPr>
          <w:rFonts w:ascii="Times New Roman" w:cs="Times New Roman" w:eastAsia="Times New Roman" w:hAnsi="Times New Roman"/>
          <w:sz w:val="12"/>
          <w:szCs w:val="12"/>
          <w:color w:val="auto"/>
        </w:rPr>
        <w:t>”) as being Indebtedness Incurred on the date of such notice in an amount equal to such Designated Commitment (or, at the Issuers’ option, if such Designated Commitment has been permanently reduced other than as a result of the Incurrence of funded Indebtedness thereunder, such reduced amount), in which case Indebtedness in such amount shall be deemed to have been Incurred on the date of such notice and shall thereafter be deemed to be outstanding Secured Indebtedness for purposes of any subsequent calculation of the Secured Net Leverage Ratio, and subsequent borrowings and prepayments under such Designated Commitment shall be disregarded for all purposes of this Section 4.03 and Section 4.12 until the date such Designated Commitment is terminated.</w:t>
      </w:r>
    </w:p>
    <w:p>
      <w:pPr>
        <w:spacing w:after="0" w:line="99" w:lineRule="exact"/>
        <w:rPr>
          <w:sz w:val="20"/>
          <w:szCs w:val="20"/>
          <w:color w:val="auto"/>
        </w:rPr>
      </w:pPr>
    </w:p>
    <w:p>
      <w:pPr>
        <w:jc w:val="both"/>
        <w:ind w:firstLine="457"/>
        <w:spacing w:after="0" w:line="254" w:lineRule="auto"/>
        <w:rPr>
          <w:sz w:val="20"/>
          <w:szCs w:val="20"/>
          <w:color w:val="auto"/>
        </w:rPr>
      </w:pPr>
      <w:r>
        <w:rPr>
          <w:rFonts w:ascii="Times New Roman" w:cs="Times New Roman" w:eastAsia="Times New Roman" w:hAnsi="Times New Roman"/>
          <w:sz w:val="12"/>
          <w:szCs w:val="12"/>
          <w:color w:val="auto"/>
        </w:rPr>
        <w:t xml:space="preserve">Accrual of interest, the accretion of accreted value, the payment of interest or dividends in the form of additional Indebtedness, Disqualified Stock or Preferred Stock, as applicable, amortization of original issue discount, the accretion of liquidation preference and increases in the amount of Indebtedness outstanding solely as a result of fluctuations in the exchange rate of currencies will not be deemed to be an Incurrence of Indebtedness, Disqualified Stock or Preferred Stock for purposes of this Section 4.03. Where any Indebtedness of any Person other than the Company and its Restricted Subsidiaries is guaranteed by one or more of the Company and its Restricted Subsidiaries, the aggregate amount of Indebtedness of the Company and its Restricted Subsidiaries deemed to be Incurred or outstanding as a result of all such guarantees shall not exceed the amount of such guaranteed Indebtedness. Guarantees of, or obligations in respect of letters of credit relating to, Indebtedness that is otherwise included in the determination of a particular amount of Indebtedness shall not be included in the determination of such amount of Indebtedness;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Incurrence of the Indebtedness represented by such guarantee or letter of credit, as the case may be, was in compliance with this Section 4.03.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50</w:t>
      </w:r>
    </w:p>
    <w:p>
      <w:pPr>
        <w:sectPr>
          <w:pgSz w:w="11900" w:h="16840" w:orient="portrait"/>
          <w:cols w:equalWidth="0" w:num="1">
            <w:col w:w="10620"/>
          </w:cols>
          <w:pgMar w:left="640" w:top="1440" w:right="640" w:bottom="1440" w:gutter="0" w:footer="0" w:header="0"/>
        </w:sectPr>
      </w:pPr>
    </w:p>
    <w:bookmarkStart w:id="227" w:name="page228"/>
    <w:bookmarkEnd w:id="227"/>
    <w:p>
      <w:pPr>
        <w:spacing w:after="0" w:line="157" w:lineRule="exact"/>
        <w:rPr>
          <w:sz w:val="20"/>
          <w:szCs w:val="20"/>
          <w:color w:val="auto"/>
        </w:rPr>
      </w:pPr>
    </w:p>
    <w:p>
      <w:pPr>
        <w:jc w:val="both"/>
        <w:ind w:right="20" w:firstLine="457"/>
        <w:spacing w:after="0" w:line="255" w:lineRule="auto"/>
        <w:rPr>
          <w:sz w:val="20"/>
          <w:szCs w:val="20"/>
          <w:color w:val="auto"/>
        </w:rPr>
      </w:pPr>
      <w:r>
        <w:rPr>
          <w:rFonts w:ascii="Times New Roman" w:cs="Times New Roman" w:eastAsia="Times New Roman" w:hAnsi="Times New Roman"/>
          <w:sz w:val="12"/>
          <w:szCs w:val="12"/>
          <w:color w:val="auto"/>
        </w:rPr>
        <w:t xml:space="preserve">For purposes of determining compliance with any U.S. dollar-denominated restriction on the Incurrence of Indebtedness, the U.S. dollar- equivalent principal amount (or, if applicable, the liquidation preference, face amount, or the like) of Indebtedness denominated in a foreign currency shall be calculated based on the relevant currency exchange rate in effect on the date such Indebtedness is Incurred, in the case of term debt, or is first committed or first Incurred (whichever yields the lower U.S. dollar equivalent), in the case of revolving credit debt. However, if the Indebtedness is Incurred to refinance other Indebtedness denominated in a foreign currency, and the refinancing would cause the applicable U.S. dollar- denominated restriction to be exceeded if calculated at the relevant currency exchange rate in effect on the date of the refinancing, the U.S. dollar-denominated restriction will be deemed not to have been exceeded so long as the principal amount (or, if applicable, the liquidation preference, face amount, or the like) of the refinancing Indebtedness does not exceed the principal amount (or, if applicable, the liquidation preference, face amount, or the like) of the Indebtedness being refinanced,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any Additional Refinancing Amount with respect thereto.</w:t>
      </w:r>
    </w:p>
    <w:p>
      <w:pPr>
        <w:spacing w:after="0" w:line="243"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Notwithstanding any other provision of this Section 4.03, the maximum amount of Indebtedness that the Company and its Restricted Subsidiaries may Incur pursuant to this Section 4.03 shall not be deemed to be exceeded, with respect to any outstanding Indebtedness, solely as a result of fluctuations in the exchange rate of currencies. The principal amount (or, if applicable, the liquidation preference, face amount, or the like) of any Indebtedness Incurred to refinance other Indebtedness, if Incurred in a different currency from the Indebtedness being refinanced, will be calculated based on the currency exchange rate applicable to the currencies in which the respective Indebtedness is denominated that is in effect on the date of the refinancing.</w:t>
      </w:r>
    </w:p>
    <w:p>
      <w:pPr>
        <w:spacing w:after="0" w:line="8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4.04</w:t>
      </w:r>
      <w:r>
        <w:rPr>
          <w:sz w:val="20"/>
          <w:szCs w:val="20"/>
          <w:color w:val="auto"/>
        </w:rPr>
        <w:tab/>
      </w:r>
      <w:r>
        <w:rPr>
          <w:rFonts w:ascii="Times New Roman" w:cs="Times New Roman" w:eastAsia="Times New Roman" w:hAnsi="Times New Roman"/>
          <w:sz w:val="12"/>
          <w:szCs w:val="12"/>
          <w:u w:val="single" w:color="auto"/>
          <w:color w:val="auto"/>
        </w:rPr>
        <w:t>Limitation on Restricted Payments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and shall not permit any of its Restricted Subsidiaries to, directly or indirectly:</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27" w:lineRule="auto"/>
        <w:tabs>
          <w:tab w:leader="none" w:pos="1364"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or pay any dividend or make any distribution on account of any of the Company’s or any of its Restricted Subsidiaries’ Equity Interests, including any payment made in connection with any merger, amalgamation or consolidation involving the Company (other than (A) dividends or distributions payable solely in Equity Interests (other than Disqualified Stock) of the Company; or (B) dividends or distributions by a Restricted Subsidiary so long as, in the case of any dividend or distribution payable on or in respect of any class or series of securities issued by a Restricted Subsidiary that is not a Wholly Owned Restricted Subsidiary, the Company or a Restricted Subsidiary receives at least its pro rata share of such dividend or distribution in accordance with its Equity Interests of such class or series of securities);</w:t>
      </w:r>
    </w:p>
    <w:p>
      <w:pPr>
        <w:spacing w:after="0" w:line="8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or otherwise acquire or retire for value any Equity Interests of the Company;</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23" w:lineRule="auto"/>
        <w:tabs>
          <w:tab w:leader="none" w:pos="1364"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principal payment on, or redeem, repurchase, defease or otherwise acquire or retire for value, in each case prior to any scheduled repayment or scheduled maturity, any Subordinated Indebtedness of any Issuer or Guarantor (other than the payment, redemption, repurchase, defeasance, acquisition or retirement of (A) Subordinated Indebtedness in anticipation of satisfying a sinking fund obligation, principal installment or final maturity, in each case due within one year of the date of such payment, redemption, repurchase, defeasance, acquisition or retirement and</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Indebtedness permitted under clauses (vii) and (ix) of Section 4.03(b)); or</w:t>
      </w:r>
    </w:p>
    <w:p>
      <w:pPr>
        <w:spacing w:after="0" w:line="95"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Restricted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(all such payments and other actions set forth in clauses (i) through (iv) above being collectively referred to as </w:t>
      </w:r>
      <w:r>
        <w:rPr>
          <w:rFonts w:ascii="Times New Roman" w:cs="Times New Roman" w:eastAsia="Times New Roman" w:hAnsi="Times New Roman"/>
          <w:sz w:val="12"/>
          <w:szCs w:val="12"/>
          <w:u w:val="single" w:color="auto"/>
          <w:color w:val="auto"/>
        </w:rPr>
        <w:t>“Restricted Payments</w:t>
      </w:r>
      <w:r>
        <w:rPr>
          <w:rFonts w:ascii="Times New Roman" w:cs="Times New Roman" w:eastAsia="Times New Roman" w:hAnsi="Times New Roman"/>
          <w:sz w:val="12"/>
          <w:szCs w:val="12"/>
          <w:color w:val="auto"/>
        </w:rPr>
        <w:t>”), unless, at the time of such Restricted Payment:</w:t>
      </w:r>
    </w:p>
    <w:p>
      <w:pPr>
        <w:spacing w:after="0" w:line="119" w:lineRule="exact"/>
        <w:rPr>
          <w:sz w:val="20"/>
          <w:szCs w:val="20"/>
          <w:color w:val="auto"/>
        </w:rPr>
      </w:pPr>
    </w:p>
    <w:p>
      <w:pPr>
        <w:ind w:left="1360" w:hanging="440"/>
        <w:spacing w:after="0"/>
        <w:tabs>
          <w:tab w:leader="none" w:pos="136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shall have occurred and be continuing or would occur as a consequence thereof;</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solely in the case of a Restricted Payment described in clause (i), (ii) or (iii) of the definition thereof, the Company could Incur $1.00 of additional Indebtedness pursuant to the Fixed Charge Coverage Ratio test or the Consolidated Total Net Leverage Ratio test set forth in clauses (A)(x) and (B)(x), respectively (but not, for the avoidance of doubt, giving effect to clause (A)(y) or (B)(y), respectively), of the first proviso of Section 4.03(a), in each case, calculated on a Pro Forma Basis giving effect to such transaction; and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51</w:t>
      </w:r>
    </w:p>
    <w:p>
      <w:pPr>
        <w:sectPr>
          <w:pgSz w:w="11900" w:h="16840" w:orient="portrait"/>
          <w:cols w:equalWidth="0" w:num="1">
            <w:col w:w="10620"/>
          </w:cols>
          <w:pgMar w:left="640" w:top="1440" w:right="640" w:bottom="1440" w:gutter="0" w:footer="0" w:header="0"/>
        </w:sectPr>
      </w:pPr>
    </w:p>
    <w:bookmarkStart w:id="228" w:name="page229"/>
    <w:bookmarkEnd w:id="228"/>
    <w:p>
      <w:pPr>
        <w:spacing w:after="0" w:line="148" w:lineRule="exact"/>
        <w:rPr>
          <w:sz w:val="20"/>
          <w:szCs w:val="20"/>
          <w:color w:val="auto"/>
        </w:rPr>
      </w:pPr>
    </w:p>
    <w:p>
      <w:pPr>
        <w:jc w:val="both"/>
        <w:ind w:firstLine="460"/>
        <w:spacing w:after="0" w:line="231" w:lineRule="auto"/>
        <w:tabs>
          <w:tab w:leader="none" w:pos="904"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Restricted Payment, together with the aggregate amount of all other Restricted Payments made by the Company and its Restricted Subsidiaries after the Issue Date (including Restricted Payments permitted by clauses (b)(i) below (to the extent that such Restricted Payment would have reduced the Cumulative Credit if made at the date of the declaration or giving of notice referred to therein and without duplication of any such reduction), (b)(ii)(C) below (to the extent that the reference to clause (b)(vi) therein operates by reference to clause (vi)(B)) and (vi)(B) of Section 4.04(b), but excluding all other Restricted Payments permitted by Section 4.04(b)), is less than the amount equal to the Cumulative Credit.</w:t>
      </w:r>
    </w:p>
    <w:p>
      <w:pPr>
        <w:spacing w:after="0" w:line="87" w:lineRule="exact"/>
        <w:rPr>
          <w:rFonts w:ascii="Times New Roman" w:cs="Times New Roman" w:eastAsia="Times New Roman" w:hAnsi="Times New Roman"/>
          <w:sz w:val="12"/>
          <w:szCs w:val="12"/>
          <w:color w:val="auto"/>
        </w:rPr>
      </w:pPr>
    </w:p>
    <w:p>
      <w:pPr>
        <w:ind w:left="460" w:hanging="457"/>
        <w:spacing w:after="0"/>
        <w:tabs>
          <w:tab w:leader="none" w:pos="4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Section 4.04(a) shall not prohibit:</w:t>
      </w:r>
    </w:p>
    <w:p>
      <w:pPr>
        <w:spacing w:after="0" w:line="109" w:lineRule="exact"/>
        <w:rPr>
          <w:sz w:val="20"/>
          <w:szCs w:val="20"/>
          <w:color w:val="auto"/>
        </w:rPr>
      </w:pPr>
    </w:p>
    <w:p>
      <w:pPr>
        <w:ind w:right="20" w:firstLine="460"/>
        <w:spacing w:after="0" w:line="253" w:lineRule="auto"/>
        <w:tabs>
          <w:tab w:leader="none" w:pos="90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any dividend or distribution or the consummation of any irrevocable redemption within 60 days after the date of declaration or giving notice thereof, if at the date of declaration or the giving notice of such irrevocable redemption, as applicable, such payment would have complied with the provisions of this Indenture;</w:t>
      </w:r>
    </w:p>
    <w:p>
      <w:pPr>
        <w:spacing w:after="0" w:line="80" w:lineRule="exact"/>
        <w:rPr>
          <w:rFonts w:ascii="Times New Roman" w:cs="Times New Roman" w:eastAsia="Times New Roman" w:hAnsi="Times New Roman"/>
          <w:sz w:val="12"/>
          <w:szCs w:val="12"/>
          <w:color w:val="auto"/>
        </w:rPr>
      </w:pPr>
    </w:p>
    <w:p>
      <w:pPr>
        <w:jc w:val="both"/>
        <w:ind w:firstLine="460"/>
        <w:spacing w:after="0" w:line="236" w:lineRule="auto"/>
        <w:tabs>
          <w:tab w:leader="none" w:pos="105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the redemption, repurchase, retirement or other acquisition of any Equity Interests (“</w:t>
      </w:r>
      <w:r>
        <w:rPr>
          <w:rFonts w:ascii="Times New Roman" w:cs="Times New Roman" w:eastAsia="Times New Roman" w:hAnsi="Times New Roman"/>
          <w:sz w:val="12"/>
          <w:szCs w:val="12"/>
          <w:u w:val="single" w:color="auto"/>
          <w:color w:val="auto"/>
        </w:rPr>
        <w:t>Retired Capital Stock</w:t>
      </w:r>
      <w:r>
        <w:rPr>
          <w:rFonts w:ascii="Times New Roman" w:cs="Times New Roman" w:eastAsia="Times New Roman" w:hAnsi="Times New Roman"/>
          <w:sz w:val="12"/>
          <w:szCs w:val="12"/>
          <w:color w:val="auto"/>
        </w:rPr>
        <w:t>”) or Subordinated Indebtedness of an Issuer or Guarantor in exchange for, or out of the proceeds of, the substantially concurrent sale of Equity Interests of the Company or contributions to the equity capital of the Company (other than any Disqualified Stock or any Equity Interests sold to a Subsidiary of the Company) (collectively, including any such contributions, “</w:t>
      </w:r>
      <w:r>
        <w:rPr>
          <w:rFonts w:ascii="Times New Roman" w:cs="Times New Roman" w:eastAsia="Times New Roman" w:hAnsi="Times New Roman"/>
          <w:sz w:val="12"/>
          <w:szCs w:val="12"/>
          <w:u w:val="single" w:color="auto"/>
          <w:color w:val="auto"/>
        </w:rPr>
        <w:t>Refunding Capital Stock</w:t>
      </w:r>
      <w:r>
        <w:rPr>
          <w:rFonts w:ascii="Times New Roman" w:cs="Times New Roman" w:eastAsia="Times New Roman" w:hAnsi="Times New Roman"/>
          <w:sz w:val="12"/>
          <w:szCs w:val="12"/>
          <w:color w:val="auto"/>
        </w:rPr>
        <w:t>”);</w:t>
      </w:r>
    </w:p>
    <w:p>
      <w:pPr>
        <w:spacing w:after="0" w:line="87"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dividends on the Retired Capital Stock out of the proceeds of the substantially concurrent sale (other than to a Subsidiary of the Company) of Refunding Capital Stock; and</w:t>
      </w:r>
    </w:p>
    <w:p>
      <w:pPr>
        <w:spacing w:after="0" w:line="80" w:lineRule="exact"/>
        <w:rPr>
          <w:rFonts w:ascii="Times New Roman" w:cs="Times New Roman" w:eastAsia="Times New Roman" w:hAnsi="Times New Roman"/>
          <w:sz w:val="12"/>
          <w:szCs w:val="12"/>
          <w:color w:val="auto"/>
        </w:rPr>
      </w:pPr>
    </w:p>
    <w:p>
      <w:pPr>
        <w:jc w:val="both"/>
        <w:ind w:left="460" w:right="20" w:firstLine="457"/>
        <w:spacing w:after="0" w:line="236" w:lineRule="auto"/>
        <w:tabs>
          <w:tab w:leader="none" w:pos="1364"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immediately prior to the retirement of Retired Capital Stock, the declaration and payment of dividends thereon was permitted under clause (vi) of this Section 4.04(b) and not made pursuant to clause (ii)(B) of this Section 4.04(b), the declaration and payment of dividends on the Refunding Capital Stock in an aggregate amount per year no greater than the aggregate amount of dividends per annum that were declarable and payable on such Retired Capital Stock immediately prior to such retirement;</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repurchase, defeasance or other acquisition or retirement of Subordinated Indebtedness of an Issuer or a Guarantor made by exchange for, or out of the proceeds of the substantially concurrent sale of, new Indebtedness of an Issuer or a Guarantor, which is Incurred in accordance with Section 4.03 so long as:</w:t>
      </w:r>
    </w:p>
    <w:p>
      <w:pPr>
        <w:spacing w:after="0" w:line="80"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principal amount (or accreted value, if applicable) of such new Indebtedness does not exceed the principal amount (or accreted value, if applicable) of the Subordinated Indebtedness being so redeemed, repurchased, defeased, acquired or retired for value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any Additional Refinancing Amount with respect thereto,</w:t>
      </w:r>
    </w:p>
    <w:p>
      <w:pPr>
        <w:spacing w:after="0" w:line="80"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Indebtedness is subordinated to the Notes or the related Guarantee of such Guarantor, as the case may be, at least to the same extent as such Subordinated Indebtedness so purchased, exchanged, redeemed, repurchased, defeased, acquired or retired for value,</w:t>
      </w:r>
    </w:p>
    <w:p>
      <w:pPr>
        <w:spacing w:after="0" w:line="80"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Indebtedness has a final scheduled maturity date equal to or later than the earlier of (x) the final scheduled maturity date of the Subordinated Indebtedness being so redeemed, repurchased, acquired or retired and (y) the date that is 91 days following the last maturity date of any Notes then outstanding, and</w:t>
      </w:r>
    </w:p>
    <w:p>
      <w:pPr>
        <w:spacing w:after="0" w:line="80" w:lineRule="exact"/>
        <w:rPr>
          <w:rFonts w:ascii="Times New Roman" w:cs="Times New Roman" w:eastAsia="Times New Roman" w:hAnsi="Times New Roman"/>
          <w:sz w:val="12"/>
          <w:szCs w:val="12"/>
          <w:color w:val="auto"/>
        </w:rPr>
      </w:pPr>
    </w:p>
    <w:p>
      <w:pPr>
        <w:jc w:val="both"/>
        <w:ind w:left="460" w:firstLine="457"/>
        <w:spacing w:after="0" w:line="231" w:lineRule="auto"/>
        <w:tabs>
          <w:tab w:leader="none" w:pos="1364"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Indebtedness has a Weighted Average Life to Maturity at the time Incurred that is not less than the shorter of (x) the remaining Weighted Average Life to Maturity of the Subordinated Indebtedness being so redeemed, repurchased, defeased, acquired or retired and (y) the Weighted Average Life to Maturity that would result if all payments of principal on the Subordinated Indebtedness being redeemed, repurchased, defeased, acquired or retired that were due on or after the date that is one year following the last maturity date of any Notes then outstanding were instead due on such date;</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to pay for the repurchase, retirement or other acquisition for value of Equity Interests of the Company held by any future, present or former employee, director, officer or consultant of the Company or any Subsidiary of the Company pursuant to any management equity plan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52</w:t>
      </w:r>
    </w:p>
    <w:p>
      <w:pPr>
        <w:sectPr>
          <w:pgSz w:w="11900" w:h="16840" w:orient="portrait"/>
          <w:cols w:equalWidth="0" w:num="1">
            <w:col w:w="10160"/>
          </w:cols>
          <w:pgMar w:left="1100" w:top="1440" w:right="640" w:bottom="1440" w:gutter="0" w:footer="0" w:header="0"/>
        </w:sectPr>
      </w:pPr>
    </w:p>
    <w:bookmarkStart w:id="229" w:name="page230"/>
    <w:bookmarkEnd w:id="229"/>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stock option plan or any other management or employee benefit plan or other agreement or arrangement;</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aggregate Restricted Payments made under this clause (iv) do not exceed $15 million in any fiscal year, with unused amounts in any fiscal year being permitted to be carried over to any future fiscal year;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amount in any fiscal year may be increased by an amount not to exceed:</w:t>
      </w:r>
    </w:p>
    <w:p>
      <w:pPr>
        <w:spacing w:after="0" w:line="88" w:lineRule="exact"/>
        <w:rPr>
          <w:sz w:val="20"/>
          <w:szCs w:val="20"/>
          <w:color w:val="auto"/>
        </w:rPr>
      </w:pPr>
    </w:p>
    <w:p>
      <w:pPr>
        <w:jc w:val="both"/>
        <w:ind w:left="460" w:firstLine="457"/>
        <w:spacing w:after="0" w:line="236" w:lineRule="auto"/>
        <w:tabs>
          <w:tab w:leader="none" w:pos="1364"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proceeds received by the Company or any of its Restricted Subsidiaries from the sale of Equity Interests (other than Disqualified Stock) of the Company to employees, directors, officers or consultants of the Company or any Restricted Subsidiary that occurs after the Issue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such cash proceeds utilized for any such repurchase, retirement, other acquisition or dividend will not increase the amount available for Restricted Payments under Section 4.04(a)(iv)(3)),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360" w:hanging="443"/>
        <w:spacing w:after="0"/>
        <w:tabs>
          <w:tab w:leader="none" w:pos="136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proceeds of key man life insurance policies received by the Company or its Restricted Subsidiaries after the Issue Date;</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cancellation of Indebtedness owing to the Company or any Restricted Subsidiary from any present or former employees, directors, officers or consultants of the Company or any Restricted Subsidiary in connection with a repurchase of Equity Interests of the Company will not be deemed to constitute a Restricted Payment for purposes of this Section 4.04 or any other provision of this Indenture;</w:t>
      </w:r>
    </w:p>
    <w:p>
      <w:pPr>
        <w:spacing w:after="0" w:line="225" w:lineRule="exact"/>
        <w:rPr>
          <w:sz w:val="20"/>
          <w:szCs w:val="20"/>
          <w:color w:val="auto"/>
        </w:rPr>
      </w:pPr>
    </w:p>
    <w:p>
      <w:pPr>
        <w:ind w:firstLine="460"/>
        <w:spacing w:after="0" w:line="253" w:lineRule="auto"/>
        <w:tabs>
          <w:tab w:leader="none" w:pos="904"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dividends or distributions to holders of any class or series of Disqualified Stock of the Company or any Restricted Subsidiary issued or incurred in accordance with Section 4.03;</w:t>
      </w:r>
    </w:p>
    <w:p>
      <w:pPr>
        <w:spacing w:after="0" w:line="80" w:lineRule="exact"/>
        <w:rPr>
          <w:rFonts w:ascii="Times New Roman" w:cs="Times New Roman" w:eastAsia="Times New Roman" w:hAnsi="Times New Roman"/>
          <w:sz w:val="12"/>
          <w:szCs w:val="12"/>
          <w:color w:val="auto"/>
        </w:rPr>
      </w:pPr>
    </w:p>
    <w:p>
      <w:pPr>
        <w:ind w:left="1040" w:hanging="580"/>
        <w:spacing w:after="0"/>
        <w:tabs>
          <w:tab w:leader="none" w:pos="104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the declaration and payment of dividends or distributions to holders of any class or series of Designated Preferred Stock issued after the Issue Date; and</w:t>
      </w:r>
    </w:p>
    <w:p>
      <w:pPr>
        <w:spacing w:after="0" w:line="109" w:lineRule="exact"/>
        <w:rPr>
          <w:rFonts w:ascii="Times New Roman" w:cs="Times New Roman" w:eastAsia="Times New Roman" w:hAnsi="Times New Roman"/>
          <w:sz w:val="12"/>
          <w:szCs w:val="12"/>
          <w:color w:val="auto"/>
        </w:rPr>
      </w:pPr>
    </w:p>
    <w:p>
      <w:pPr>
        <w:ind w:left="460" w:right="20" w:firstLine="457"/>
        <w:spacing w:after="0" w:line="246" w:lineRule="auto"/>
        <w:tabs>
          <w:tab w:leader="none" w:pos="1364"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dividends on Refunding Capital Stock that is Preferred Stock in excess of the dividends declarable and payable thereon pursuant to Section 4.04(b)(ii);</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 that in the case of each of subclauses (A) and (B) of this clause (vi), for the most recently ended four full fiscal quarters for which financial statements are available immediately preceding the date of such payment of dividends or distributions, the Company would have had a Fixed Charge Coverage Ratio of at least 2.00 to 1.00, calculated on a Pro Forma Basis and giving effect to such payment of dividends or distributions and treating such Designated Preferred Stock or Refunding Capital Stock as Indebtedness for borrowed money for such purpose, and giving effect to the application of the net proceeds therefrom;</w:t>
      </w:r>
    </w:p>
    <w:p>
      <w:pPr>
        <w:spacing w:after="0" w:line="85" w:lineRule="exact"/>
        <w:rPr>
          <w:sz w:val="20"/>
          <w:szCs w:val="20"/>
          <w:color w:val="auto"/>
        </w:rPr>
      </w:pPr>
    </w:p>
    <w:p>
      <w:pPr>
        <w:jc w:val="both"/>
        <w:ind w:firstLine="460"/>
        <w:spacing w:after="0" w:line="236" w:lineRule="auto"/>
        <w:tabs>
          <w:tab w:leader="none" w:pos="904"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making of cash payments in satisfaction of the conversion obligation upon conversion of convertible Indebtedness permitted to be incurred pursuant to Section 4.03, in an aggregate amount since the Issue Date not to exceed the sum of (A) the principal amount of such convertible Indebtedness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any payment received by the Company or a Restricted Subsidiary pursuant to the exercise, settlement or termination of any related hedge or warrant option transactions;</w:t>
      </w:r>
    </w:p>
    <w:p>
      <w:pPr>
        <w:spacing w:after="0" w:line="87"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of any call option, purchase option or other similar contract in respect of Equity Interests of the Company in connection with the issuance of convertible Indebtedness permitted to be incurred pursuant to Section 4.03 to mitigate dilution attributable to such convertible Indebtedness;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that are made with (or in an aggregate amount that does not exceed the aggregate amount of) Excluded Contributions;</w:t>
      </w:r>
    </w:p>
    <w:p>
      <w:pPr>
        <w:spacing w:after="0" w:line="109"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Restricted Payments in an aggregate amount, when taken together with all other Restricted Payments made pursuant to this clause (x) (in the case of Investments, that are at that time outstanding), not to exceed the greater of $550 million and 4.4% of Total Assets as of the date such Restricted Payment is made;</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distribution, as a dividend or otherwise, of shares of Capital Stock of, or Indebtedness owed to the Company or a Restricted Subsidiary by, Unrestricted Subsidiaries, other than Unrestricted Subsidiaries the primary assets of which are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53</w:t>
      </w:r>
    </w:p>
    <w:p>
      <w:pPr>
        <w:sectPr>
          <w:pgSz w:w="11900" w:h="16840" w:orient="portrait"/>
          <w:cols w:equalWidth="0" w:num="1">
            <w:col w:w="10160"/>
          </w:cols>
          <w:pgMar w:left="1100" w:top="1440" w:right="640" w:bottom="1440" w:gutter="0" w:footer="0" w:header="0"/>
        </w:sectPr>
      </w:pPr>
    </w:p>
    <w:bookmarkStart w:id="230" w:name="page231"/>
    <w:bookmarkEnd w:id="230"/>
    <w:p>
      <w:pPr>
        <w:spacing w:after="0" w:line="148" w:lineRule="exact"/>
        <w:rPr>
          <w:sz w:val="20"/>
          <w:szCs w:val="20"/>
          <w:color w:val="auto"/>
        </w:rPr>
      </w:pPr>
    </w:p>
    <w:p>
      <w:pPr>
        <w:jc w:val="both"/>
        <w:ind w:left="460" w:right="20" w:firstLine="460"/>
        <w:spacing w:after="0" w:line="236" w:lineRule="auto"/>
        <w:tabs>
          <w:tab w:leader="none" w:pos="13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to pay for the repurchase, retirement or other acquisition for value of Equity Interests (other than Disqualified Stock) of the Company;</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aggregate Restricted Payments made under this clause (xii) do not exceed in any fiscal year the greater of $150 million and 1.2% of Total Assets as of the date such Restricted Payment is made, with unused amounts in any fiscal year (calculated as of the last day of such fiscal year once the balance sheet of the Company for such date is available) being permitted to be carried over to any future fiscal year;</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repurchases of Equity Interests deemed to occur upon exercise of stock options or warrants if such Equity Interests represent a portion of the exercise price of such options or warrants;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by the Company or any Restricted Subsidiary to allow the payment of cash in lieu of the issuance of fractional shares upon the exercise of options or warrants or upon the conversion or exchange of Capital Stock of any such Person;</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repurchase, redemption or other acquisition or retirement for value of any Subordinated Indebtedness pursuant to provisions thereof that are similar to those described in Section 4.06 and Section 4.08;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all Notes tendered by holders of the Notes in connection with a Change of Control Offer or Asset Sale Offer, as applicable, have been repurchased in accordance therewith or otherwise redeemed or acquired for value;</w:t>
      </w:r>
    </w:p>
    <w:p>
      <w:pPr>
        <w:spacing w:after="0" w:line="87" w:lineRule="exact"/>
        <w:rPr>
          <w:rFonts w:ascii="Times New Roman" w:cs="Times New Roman" w:eastAsia="Times New Roman" w:hAnsi="Times New Roman"/>
          <w:sz w:val="12"/>
          <w:szCs w:val="12"/>
          <w:color w:val="auto"/>
        </w:rPr>
      </w:pPr>
    </w:p>
    <w:p>
      <w:pPr>
        <w:jc w:val="both"/>
        <w:ind w:left="460" w:firstLine="460"/>
        <w:spacing w:after="0" w:line="231" w:lineRule="auto"/>
        <w:tabs>
          <w:tab w:leader="none" w:pos="1355"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payments or distributions to dissenting stockholders pursuant to applicable law, pursuant to or in connection with a consolidation, amalgamation, merger or transfer of all or substantially all of the assets of the Company and its Restricted Subsidiaries, taken as a whole, that complies with Section 5.01;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as a result of such consolidation, amalgamation, merger or transfer of assets, the Issuers shall have made a Change of Control Offer (if required by this Indenture) and that all Notes tendered by holders in connection with such Change of Control Offer have been repurchased in accordance therewith or otherwise redeemed or acquired for value;</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Payment used to fund the Transactions and the payment of fees and expenses incurred or owed by the Company or the Restricted Subsidiaries to Affiliates in connection with the Transactions, and any other payments made in connection with the consummation of the Transactions, whether payable on the Issue Date, the Initial Tender Offer Closing Date or thereafter, in each case to the extent permitted by Section 4.07;</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Payment made under the Acquisition Documents as in effect on the Issue Date, together with such amendments, modifications and waivers that are (A) not materially adverse to the holders of the Notes in their capacities as such, as determined in good faith by the Company, or (B) consented to by the holders of a majority in principal amount of the Notes outstanding; and</w:t>
      </w:r>
    </w:p>
    <w:p>
      <w:pPr>
        <w:spacing w:after="0" w:line="218"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other Restricted Payments;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(x) in the case of Restricted Payments of the type described in clauses (i) and (ii) of the definition thereof, the Consolidated Total Net Leverage Ratio, determined on a Pro Forma Basis for the most recently ended four full fiscal quarters for which financial statements are available, is less than 2.55 to 1.00 and (y) in the case of Restricted Payments of the type described in clauses (iii) and (iv) of the definition thereof, the Consolidated Total Net Leverage Ratio, determined on a Pro Forma Basis for the most recently ended four full fiscal quarters for which financial statements are available, is less than 2.80 to 1.00;</w:t>
      </w:r>
    </w:p>
    <w:p>
      <w:pPr>
        <w:spacing w:after="0" w:line="9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at the time of, and after giving effect to, any Restricted Payment permitted under clauses (x), (xi) and (xxi), no Event of Default shall have occurred and be continuing or would occur as a consequence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Restricted Payments made with property other than cash shall be calculated using the Fair Market Value of such property.</w:t>
      </w:r>
    </w:p>
    <w:p>
      <w:pPr>
        <w:spacing w:after="0" w:line="79"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For purposes of determining compliance with this Section 4.04, in the event that a Restricted Payment meets the criteria of more than one of the categories described in subclauses (i) through (xxi) of Section 4.04(b), Section 4.04(a) or the definition of “Permitted Investment,” then the Issuers may, in their sole discretion, classify or reclassify, or later divide, classify or reclassify (as if Incurred at such later time), all or any portion of such Restricted Payment or Permitted Investment in any manner that complies with this Section 4.04. In addition, a Restricted Payment or Permitted Investment need not be permitted solely by reference to one provision permitting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54</w:t>
      </w:r>
    </w:p>
    <w:p>
      <w:pPr>
        <w:sectPr>
          <w:pgSz w:w="11900" w:h="16840" w:orient="portrait"/>
          <w:cols w:equalWidth="0" w:num="1">
            <w:col w:w="10620"/>
          </w:cols>
          <w:pgMar w:left="640" w:top="1440" w:right="640" w:bottom="1440" w:gutter="0" w:footer="0" w:header="0"/>
        </w:sectPr>
      </w:pPr>
    </w:p>
    <w:bookmarkStart w:id="231" w:name="page232"/>
    <w:bookmarkEnd w:id="231"/>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color w:val="auto"/>
        </w:rPr>
        <w:t>such Restricted Payment or Permitted Investment but may be permitted in part by one such provision and in part by one or more other provisions of this covenant permitting such Restricted Payment or Permitted Investment.</w:t>
      </w:r>
    </w:p>
    <w:p>
      <w:pPr>
        <w:spacing w:after="0" w:line="70" w:lineRule="exact"/>
        <w:rPr>
          <w:sz w:val="20"/>
          <w:szCs w:val="20"/>
          <w:color w:val="auto"/>
        </w:rPr>
      </w:pPr>
    </w:p>
    <w:p>
      <w:pPr>
        <w:jc w:val="both"/>
        <w:ind w:right="20" w:firstLine="463"/>
        <w:spacing w:after="0"/>
        <w:tabs>
          <w:tab w:leader="none" w:pos="904"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Issue Date, all of the Subsidiaries of the Company (including the U.S. Co-Issuer) will be Restricted Subsidiaries. The Company will not permit any Unrestricted Subsidiary to become a Restricted Subsidiary except pursuant to the definition of “Unrestricted Subsidiary.” For purposes of designating any Restricted Subsidiary as an Unrestricted Subsidiary, all outstanding Investments by the Company and its Restricted Subsidiaries (except to the extent repaid) in the Subsidiary so designated will be deemed to be Investments in an amount determined as set forth in the last sentence of the definition of “Investments.” Such designation will only be permitted if a Restricted Payment or Permitted Investment in such amount would be permitted at such time and if such Subsidiary otherwise meets the definition of an Unrestricted Subsidiary.</w:t>
      </w:r>
    </w:p>
    <w:p>
      <w:pPr>
        <w:spacing w:after="0" w:line="190"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herein to the contrary, neither the Company nor any Restricted Subsidiary will convey, sell, lease, assign, transfer or otherwise dispose of, or exclusively license, any Material Intellectual Property to an Unrestricted Subsidiary, and no Issuer or Guarantor will convey, sell, lease, assign, transfer or otherwise dispose of, or exclusively license, any Material Intellectual Property to a Restricted Subsidiary (other than the U.S. Co-Issuer) that is not a Guarantor except pursuant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transaction entered into by such Issuer or Guarantor with a person that is not an Affiliate of such Issuer or Guarantor, as applicable, for a purpose other than the Incurrence of Indebtedness.</w:t>
      </w:r>
    </w:p>
    <w:p>
      <w:pPr>
        <w:spacing w:after="0" w:line="87"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4.05 </w:t>
      </w:r>
      <w:r>
        <w:rPr>
          <w:rFonts w:ascii="Times New Roman" w:cs="Times New Roman" w:eastAsia="Times New Roman" w:hAnsi="Times New Roman"/>
          <w:sz w:val="12"/>
          <w:szCs w:val="12"/>
          <w:u w:val="single" w:color="auto"/>
          <w:color w:val="auto"/>
        </w:rPr>
        <w:t>Dividend and Other Payment Restrictions Affecting Subsidiaries</w:t>
      </w:r>
      <w:r>
        <w:rPr>
          <w:rFonts w:ascii="Times New Roman" w:cs="Times New Roman" w:eastAsia="Times New Roman" w:hAnsi="Times New Roman"/>
          <w:sz w:val="12"/>
          <w:szCs w:val="12"/>
          <w:color w:val="auto"/>
        </w:rPr>
        <w:t xml:space="preserve"> . The Company shall not, and shall not permit any Material Subsidiary to, directly or indirectly, create or otherwise cause or suffer to exist or become effective any consensual encumbrance or consensual restriction on the ability of the Company or any Material Subsidiary to:</w:t>
      </w:r>
    </w:p>
    <w:p>
      <w:pPr>
        <w:spacing w:after="0" w:line="80" w:lineRule="exact"/>
        <w:rPr>
          <w:sz w:val="20"/>
          <w:szCs w:val="20"/>
          <w:color w:val="auto"/>
        </w:rPr>
      </w:pPr>
    </w:p>
    <w:p>
      <w:pPr>
        <w:ind w:left="460" w:right="20" w:firstLine="460"/>
        <w:spacing w:after="0" w:line="253" w:lineRule="auto"/>
        <w:tabs>
          <w:tab w:leader="none" w:pos="1364"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 or make any other distributions to the Company or any Restricted Subsidiary (1) on its Capital Stock, or (2) with respect to any other interest or participation in, or measured by, its profits;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loans or advances to the Company or any Restricted Subsidiary or such Material Subsidiary;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lease or transfer any of its properties or assets to the Company or any Restricted Subsidiary;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in each case for such encumbrances or restrictions existing under or by reason of:</w:t>
      </w:r>
    </w:p>
    <w:p>
      <w:pPr>
        <w:spacing w:after="0" w:line="119" w:lineRule="exact"/>
        <w:rPr>
          <w:sz w:val="20"/>
          <w:szCs w:val="20"/>
          <w:color w:val="auto"/>
        </w:rPr>
      </w:pPr>
    </w:p>
    <w:p>
      <w:pPr>
        <w:jc w:val="both"/>
        <w:ind w:left="460" w:right="20" w:firstLine="460"/>
        <w:spacing w:after="0" w:line="231" w:lineRule="auto"/>
        <w:tabs>
          <w:tab w:leader="none" w:pos="1364"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contractual encumbrances or restrictions (x) of the Company or any of its Subsidiaries in effect on the Issue Date or (y) of Merus or any of its Subsidiaries in effect on the Initial Tender Offer Closing Date, (B) contractual encumbrances or restrictions pursuant to the Existing Credit Agreement, and (C) contractual encumbrances or restrictions pursuant to any Credit Agreement or any other Credit Agreement Documents and, in each case, any similar contractual encumbrances effected by any amendments, modifications, restatements, renewals, supplements, refundings, replacements or refinancings of such agreements or instruments;</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Indenture, the Secured Notes Indenture, the Notes, the Secured Notes, the Guarantees or the guarantees in respect of the Secured Notes;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applicable law or any applicable rule, regulation or order;</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or other instrument of a Person acquired by the Company or any Restricted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contracts or agreements for the sale of assets, including any restriction with respect to a Restricted Subsidiary imposed pursuant to an agreement entered into for the sale or disposition of the Capital Stock or assets of such Restricted Subsidiary;</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secured Indebtedness otherwise permitted to be Incurred pursuant to Section 4.03 and Section 4.12 that limit the right of the debtor to dispose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55</w:t>
      </w:r>
    </w:p>
    <w:p>
      <w:pPr>
        <w:sectPr>
          <w:pgSz w:w="11900" w:h="16840" w:orient="portrait"/>
          <w:cols w:equalWidth="0" w:num="1">
            <w:col w:w="10620"/>
          </w:cols>
          <w:pgMar w:left="640" w:top="1440" w:right="640" w:bottom="1440" w:gutter="0" w:footer="0" w:header="0"/>
        </w:sectPr>
      </w:pPr>
    </w:p>
    <w:bookmarkStart w:id="232" w:name="page233"/>
    <w:bookmarkEnd w:id="232"/>
    <w:p>
      <w:pPr>
        <w:spacing w:after="0" w:line="148" w:lineRule="exact"/>
        <w:rPr>
          <w:sz w:val="20"/>
          <w:szCs w:val="20"/>
          <w:color w:val="auto"/>
        </w:rPr>
      </w:pPr>
    </w:p>
    <w:p>
      <w:pPr>
        <w:ind w:left="1360" w:hanging="440"/>
        <w:spacing w:after="0"/>
        <w:tabs>
          <w:tab w:leader="none" w:pos="13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cash or other deposits or net worth imposed by customers under contracts entered into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customary provisions in joint venture agreements and other similar agreements entered into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money obligations for property acquired and Capitalized Lease Obligations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customary provisions contained in leases, licenses and other similar agreements entered into in the ordinary course of business;</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encumbrance or restriction that restricts in a customary manner the subletting, assignment or transfer of any property or asset that is subject to a lease, license or similar contract, or the assignment or transfer of any such lease, license (including, without limitation, licenses of Intellectual Property) or other contracts;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contained in any Permitted Receivables Facility Documents with respect to any Receivables Entity;</w:t>
      </w:r>
    </w:p>
    <w:p>
      <w:pPr>
        <w:spacing w:after="0" w:line="109" w:lineRule="exact"/>
        <w:rPr>
          <w:rFonts w:ascii="Times New Roman" w:cs="Times New Roman" w:eastAsia="Times New Roman" w:hAnsi="Times New Roman"/>
          <w:sz w:val="12"/>
          <w:szCs w:val="12"/>
          <w:color w:val="auto"/>
        </w:rPr>
      </w:pPr>
    </w:p>
    <w:p>
      <w:pPr>
        <w:jc w:val="both"/>
        <w:ind w:left="460" w:right="40" w:firstLine="460"/>
        <w:spacing w:after="0" w:line="236" w:lineRule="auto"/>
        <w:tabs>
          <w:tab w:leader="none" w:pos="136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other Indebtedness, Disqualified Stock or Preferred Stock of the Company or any Restricted Subsidiary so long as such encumbrances and restrictions contained in any agreement or instrument will not materially affect the Issuers’ ability to make anticipated principal and interest payments on the Notes (as determined in good faith by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in each case that such Indebtedness, Disqualified Stock or Preferred Stock is permitted to be Incurred by Section 4.03;</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Investment not prohibited by Section 4.04 and any Permitted Investment; or</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1" w:lineRule="auto"/>
        <w:tabs>
          <w:tab w:leader="none" w:pos="136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encumbrances or restrictions of the type referred to in clauses (a) or (b) above imposed by any amendments, modifications, restatements, renewals, increases, supplements, refundings, replacements or refinancings of the contracts, instruments or obligations referred to in clauses (1) through (14) above;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amendments, modifications, restatements, renewals, increases, supplements, refundings, replacements or refinancings are, in the good faith judgment of the Company, no more restrictive with respect to such dividend and other payment restrictions than those contained in the dividend or other payment restrictions prior to such amendment, modification, restatement, renewal, increase, supplement, refunding, replacement or refinancing.</w:t>
      </w:r>
    </w:p>
    <w:p>
      <w:pPr>
        <w:spacing w:after="0" w:line="97" w:lineRule="exact"/>
        <w:rPr>
          <w:sz w:val="20"/>
          <w:szCs w:val="20"/>
          <w:color w:val="auto"/>
        </w:rPr>
      </w:pPr>
    </w:p>
    <w:p>
      <w:pPr>
        <w:jc w:val="both"/>
        <w:ind w:right="40" w:firstLine="140"/>
        <w:spacing w:after="0" w:line="267" w:lineRule="auto"/>
        <w:rPr>
          <w:sz w:val="20"/>
          <w:szCs w:val="20"/>
          <w:color w:val="auto"/>
        </w:rPr>
      </w:pPr>
      <w:r>
        <w:rPr>
          <w:rFonts w:ascii="Times New Roman" w:cs="Times New Roman" w:eastAsia="Times New Roman" w:hAnsi="Times New Roman"/>
          <w:sz w:val="12"/>
          <w:szCs w:val="12"/>
          <w:color w:val="auto"/>
        </w:rPr>
        <w:t>For purposes of determining compliance with this Section 4.05, (1) the priority of any Preferred Stock in receiving dividends or liquidating distributions prior to dividends or liquidating distributions being paid on other Capital Stock shall not be deemed a restriction on the ability to make distributions on Capital Stock and (2) the subordination of loans or advances made to the Company or a Restricted Subsidiary to other Indebtedness Incurred by the Company or any such Restricted Subsidiary shall not be deemed a restriction on the ability to make loans or advances.</w:t>
      </w:r>
    </w:p>
    <w:p>
      <w:pPr>
        <w:spacing w:after="0" w:line="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4.06</w:t>
      </w:r>
      <w:r>
        <w:rPr>
          <w:sz w:val="20"/>
          <w:szCs w:val="20"/>
          <w:color w:val="auto"/>
        </w:rPr>
        <w:tab/>
      </w:r>
      <w:r>
        <w:rPr>
          <w:rFonts w:ascii="Times New Roman" w:cs="Times New Roman" w:eastAsia="Times New Roman" w:hAnsi="Times New Roman"/>
          <w:sz w:val="11"/>
          <w:szCs w:val="11"/>
          <w:u w:val="single" w:color="auto"/>
          <w:color w:val="auto"/>
        </w:rPr>
        <w:t>Asset Sales</w:t>
      </w:r>
      <w:r>
        <w:rPr>
          <w:rFonts w:ascii="Times New Roman" w:cs="Times New Roman" w:eastAsia="Times New Roman" w:hAnsi="Times New Roman"/>
          <w:sz w:val="11"/>
          <w:szCs w:val="11"/>
          <w:color w:val="auto"/>
        </w:rPr>
        <w:t>.</w:t>
      </w:r>
    </w:p>
    <w:p>
      <w:pPr>
        <w:spacing w:after="0" w:line="109" w:lineRule="exact"/>
        <w:rPr>
          <w:sz w:val="20"/>
          <w:szCs w:val="20"/>
          <w:color w:val="auto"/>
        </w:rPr>
      </w:pPr>
    </w:p>
    <w:p>
      <w:pPr>
        <w:jc w:val="both"/>
        <w:ind w:right="40" w:firstLine="463"/>
        <w:spacing w:after="0" w:line="231" w:lineRule="auto"/>
        <w:tabs>
          <w:tab w:leader="none" w:pos="904"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not, and shall not permit any of the Restricted Subsidiaries to, cause or make an Asset Sale (other than by way of a Sale/Leaseback Transaction), unless (x) the Company or such Restricted Subsidiary, as the case may be, receives consideration at the time of such Asset Sale at least equal to the Fair Market Value of the assets sold or otherwise disposed of, and (y) at least 75% of the consideration therefor received by the Company or such Restricted Subsidiary, as the case may be, is in the form of cash or Cash Equivalents;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each of the following shall be deemed to be Cash Equivalents for purposes of this provision:</w:t>
      </w:r>
    </w:p>
    <w:p>
      <w:pPr>
        <w:spacing w:after="0" w:line="87" w:lineRule="exact"/>
        <w:rPr>
          <w:rFonts w:ascii="Times New Roman" w:cs="Times New Roman" w:eastAsia="Times New Roman" w:hAnsi="Times New Roman"/>
          <w:sz w:val="12"/>
          <w:szCs w:val="12"/>
          <w:color w:val="auto"/>
        </w:rPr>
      </w:pPr>
    </w:p>
    <w:p>
      <w:pPr>
        <w:jc w:val="both"/>
        <w:ind w:left="460" w:right="40" w:firstLine="460"/>
        <w:spacing w:after="0" w:line="236" w:lineRule="auto"/>
        <w:tabs>
          <w:tab w:leader="none" w:pos="1364"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liabilities (as shown on the Company’s or a Restricted Subsidiary’s most recent balance sheet or in the notes thereto) of the Company or a Restricted Subsidiary (other than liabilities that are by their terms subordinated to the Notes or any Guarantee) that are assumed by the transferee of any such assets or that are otherwise canceled or terminated in connection with the transaction with such transferee,</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notes or other obligations or other securities or assets received by the Company or such Restricted Subsidiary from such transferee that are converted by the Company or such</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56</w:t>
      </w:r>
    </w:p>
    <w:p>
      <w:pPr>
        <w:sectPr>
          <w:pgSz w:w="11900" w:h="16840" w:orient="portrait"/>
          <w:cols w:equalWidth="0" w:num="1">
            <w:col w:w="10640"/>
          </w:cols>
          <w:pgMar w:left="640" w:top="1440" w:right="620" w:bottom="1440" w:gutter="0" w:footer="0" w:header="0"/>
        </w:sectPr>
      </w:pPr>
    </w:p>
    <w:bookmarkStart w:id="233" w:name="page234"/>
    <w:bookmarkEnd w:id="233"/>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Subsidiary into cash or Cash Equivalents within 180 days of the receipt thereof (to the extent of the cash or Cash Equivalents received),</w:t>
      </w:r>
    </w:p>
    <w:p>
      <w:pPr>
        <w:spacing w:after="0" w:line="109" w:lineRule="exact"/>
        <w:rPr>
          <w:sz w:val="20"/>
          <w:szCs w:val="20"/>
          <w:color w:val="auto"/>
        </w:rPr>
      </w:pPr>
    </w:p>
    <w:p>
      <w:pPr>
        <w:ind w:left="460" w:right="20" w:firstLine="460"/>
        <w:spacing w:after="0" w:line="253" w:lineRule="auto"/>
        <w:tabs>
          <w:tab w:leader="none" w:pos="1364"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any Restricted Subsidiary that is no longer a Restricted Subsidiary as a result of such Asset Sale, to the extent that the Company and each Restricted Subsidiary are released from any guarantee of payment of such Indebtedness in connection with the Asset Sale,</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consideration consisting of Indebtedness of the Company or any Restricted Subsidiary (other than Subordinated Indebtedness) received after the Issue Date from Persons who are not the Company or any Restricted Subsidiary,</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Designated Non-cash Consideration received by the Company or any Restricted Subsidiary in such Asset Sale having an aggregate Fair Market Value, taken together with all other Designated Non-cash Consideration received pursuant to this Section 4.06(a)(v) that is at that time outstanding, not to exceed the greater of $450 million and 3.6% of Total Assets at the time of the receipt of such Designated Non-cash Consideration (with the Fair Market Value of each item of Designated Non-cash Consideration being measured at the time received and without giving effect to subsequent changes in value); and</w:t>
      </w:r>
    </w:p>
    <w:p>
      <w:pPr>
        <w:spacing w:after="0" w:line="87" w:lineRule="exact"/>
        <w:rPr>
          <w:rFonts w:ascii="Times New Roman" w:cs="Times New Roman" w:eastAsia="Times New Roman" w:hAnsi="Times New Roman"/>
          <w:sz w:val="12"/>
          <w:szCs w:val="12"/>
          <w:color w:val="auto"/>
        </w:rPr>
      </w:pPr>
    </w:p>
    <w:p>
      <w:pPr>
        <w:jc w:val="both"/>
        <w:ind w:left="460" w:firstLine="460"/>
        <w:spacing w:after="0"/>
        <w:tabs>
          <w:tab w:leader="none" w:pos="1364"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case of an Asset Sale involving Intellectual Property and for which 100% of the consideration therefor received by the Company or such Restricted Subsidiary, as the case may be, is in the form of cash or Cash Equivalents (including, for the avoidance of doubt, any consideration that is deemed to be Cash Equivalents pursuant to the foregoing clauses (i) through (v) or this clause (vi)), consideration constituting undertakings to pay cash or Cash Equivalents over time or at future dates, whether such payments are fixed, contingent or otherwise (including, without limitation, licensing payments, royalties, earnouts, milestone payments, contingent payments, back-end payments or any other deferred payments or any payments related to revenue, profit or expense sharing arrangements or co-commercialization or similar arrangements);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when received, such cash or Cash Equivalents shall constitute Net Proceeds from such Asset Sale for purposes of this Indenture.</w:t>
      </w:r>
    </w:p>
    <w:p>
      <w:pPr>
        <w:spacing w:after="0" w:line="176" w:lineRule="exact"/>
        <w:rPr>
          <w:rFonts w:ascii="Times New Roman" w:cs="Times New Roman" w:eastAsia="Times New Roman" w:hAnsi="Times New Roman"/>
          <w:sz w:val="12"/>
          <w:szCs w:val="12"/>
          <w:color w:val="auto"/>
        </w:rPr>
      </w:pPr>
    </w:p>
    <w:p>
      <w:pPr>
        <w:ind w:right="60" w:firstLine="463"/>
        <w:spacing w:after="0" w:line="253" w:lineRule="auto"/>
        <w:tabs>
          <w:tab w:leader="none" w:pos="904"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540 days after the Company’s or any Restricted Subsidiary’s receipt of the Net Proceeds of any Asset Sale, the Company or such Restricted Subsidiary may apply an amount equal to the Net Proceeds from such Asset Sale, at its option:</w:t>
      </w:r>
    </w:p>
    <w:p>
      <w:pPr>
        <w:spacing w:after="0" w:line="80" w:lineRule="exact"/>
        <w:rPr>
          <w:rFonts w:ascii="Times New Roman" w:cs="Times New Roman" w:eastAsia="Times New Roman" w:hAnsi="Times New Roman"/>
          <w:sz w:val="12"/>
          <w:szCs w:val="12"/>
          <w:color w:val="auto"/>
        </w:rPr>
      </w:pPr>
    </w:p>
    <w:p>
      <w:pPr>
        <w:jc w:val="both"/>
        <w:ind w:left="460" w:firstLine="460"/>
        <w:spacing w:after="0"/>
        <w:tabs>
          <w:tab w:leader="none" w:pos="1364"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repay, repurchase or redeem (A) Indebtedness constituting Equal Priority Indebtedness (and, if the Indebtedness repaid is revolving credit Indebtedness, to correspondingly reduce commitments with respect thereto), in each case other than Indebtedness owed to the Company or an Affiliate of the Company, or (B) Obligations under the Notes pursuant to the optional redemption provisions of paragraph 5 of the Note through purchases (including open-market purchases, tender offers or privately negotiated purchases)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purchases are at or above 100% of the principal amount thereof or, in the event that the Notes were issued with significant original issue discount, 100% of the accreted value thereof) or by making an offer (in accordance with the procedures set forth below for an Asset Sale Offer) to all holders to purchase at a purchase price equal to 100% of the principal amount thereof (or, in the event that the Notes were issued with significant original issue discount, 100% of the accreted value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any Issuer or Guarantor shall so reduce Obligations under any unsecured Equal Priority Indebtedness under the foregoing clause (A), the Issuers will reduce, or offer to reduce, the Notes Obligations as provided under the foregoing clause (B) pro rata based on the total principal amount of Notes and such unsecured Equal Priority Indebtedness outstanding;</w:t>
      </w:r>
    </w:p>
    <w:p>
      <w:pPr>
        <w:spacing w:after="0" w:line="14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repay, repurchase or redeem Indebtedness of a Restricted Subsidiary that is not the U.S. Co-Issuer or a Guarantor; or</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make an investment in any one or more businesses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such investment is in the form of the acquisition of Capital Stock of a Person that is not a Restricted Subsidiary, such acquisition results in such Person becoming a Restricted Subsidiary of the Company), assets or property or to fund capital expenditures (including to acquire a license of Intellectual Property) or research and development expenditures, in each case (A) used or useful in a Similar Business or (B) that replace the properties and assets that are the subject of such Asset Sale or to reimburse the cost of any of the foregoing incurred on or after the date on which the Asset Sale giving rise to such Net Proceeds was contractually committed.</w:t>
      </w:r>
    </w:p>
    <w:p>
      <w:pPr>
        <w:spacing w:after="0" w:line="97"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The Company or such Restricted Subsidiary, as applicable, will be deemed to have complied with Section 4.06(b)(iii) if and to the extent that, within 540 days after the Asset Sale that generated such Net Proceeds, the Company or any Restricted Subsidiary has entered into and not abandoned or rejected a binding commitment 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57</w:t>
      </w:r>
    </w:p>
    <w:p>
      <w:pPr>
        <w:sectPr>
          <w:pgSz w:w="11900" w:h="16840" w:orient="portrait"/>
          <w:cols w:equalWidth="0" w:num="1">
            <w:col w:w="10620"/>
          </w:cols>
          <w:pgMar w:left="640" w:top="1440" w:right="640" w:bottom="1440" w:gutter="0" w:footer="0" w:header="0"/>
        </w:sectPr>
      </w:pPr>
    </w:p>
    <w:bookmarkStart w:id="234" w:name="page235"/>
    <w:bookmarkEnd w:id="234"/>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apply an amount equal to such Net Proceeds in compliance with Section 4.06(b)(iii), and such application is thereafter completed prior to the date that is 180 days after the end of such 540-day period. To the extent such commitment is later canceled or terminated for any reason before an amount equal to such Net Proceeds has been so applied, such Net Proceeds will constitute Excess Proceeds unless the Company or any Restricted Subsidiary enters into another such binding commitment and makes such investment prior to the date that is 180 days after the end of such 540-day period. To the extent such Net Proceeds are not applied prior to such 180th day, such Net Proceeds shall constitute Excess Proceeds.</w:t>
      </w:r>
    </w:p>
    <w:p>
      <w:pPr>
        <w:spacing w:after="0" w:line="95"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Pending the final application of any such Net Proceeds, the Company or such Restricted Subsidiary may temporarily reduce Indebtedness under a revolving credit facility, if any, or invest such Net Proceeds in any manner not prohibited by this Indenture. Any amount equal to Net Proceeds from any Asset Sale not applied as provided, and within the time period set forth in this Section 4.06(b) (it being understood that any portion of such Net Proceeds used to make an offer to purchase Notes, as described in clause (i) of Section 4.06(b), shall be deemed to have been so applied whether or not such offer is accepted) will be deemed to constitute “</w:t>
      </w:r>
      <w:r>
        <w:rPr>
          <w:rFonts w:ascii="Times New Roman" w:cs="Times New Roman" w:eastAsia="Times New Roman" w:hAnsi="Times New Roman"/>
          <w:sz w:val="12"/>
          <w:szCs w:val="12"/>
          <w:u w:val="single" w:color="auto"/>
          <w:color w:val="auto"/>
        </w:rPr>
        <w:t>Excess Proceeds</w:t>
      </w:r>
      <w:r>
        <w:rPr>
          <w:rFonts w:ascii="Times New Roman" w:cs="Times New Roman" w:eastAsia="Times New Roman" w:hAnsi="Times New Roman"/>
          <w:sz w:val="12"/>
          <w:szCs w:val="12"/>
          <w:color w:val="auto"/>
        </w:rPr>
        <w:t>.”</w:t>
      </w:r>
    </w:p>
    <w:p>
      <w:pPr>
        <w:spacing w:after="0" w:line="95" w:lineRule="exact"/>
        <w:rPr>
          <w:sz w:val="20"/>
          <w:szCs w:val="20"/>
          <w:color w:val="auto"/>
        </w:rPr>
      </w:pPr>
    </w:p>
    <w:p>
      <w:pPr>
        <w:jc w:val="both"/>
        <w:ind w:firstLine="457"/>
        <w:spacing w:after="0" w:line="252" w:lineRule="auto"/>
        <w:rPr>
          <w:sz w:val="20"/>
          <w:szCs w:val="20"/>
          <w:color w:val="auto"/>
        </w:rPr>
      </w:pPr>
      <w:r>
        <w:rPr>
          <w:rFonts w:ascii="Times New Roman" w:cs="Times New Roman" w:eastAsia="Times New Roman" w:hAnsi="Times New Roman"/>
          <w:sz w:val="12"/>
          <w:szCs w:val="12"/>
          <w:color w:val="auto"/>
        </w:rPr>
        <w:t>When the aggregate amount of Excess Proceeds in any fiscal year exceeds $200 million, the Issuers shall make an offer to all holders of Notes (and, at the option of the Issuers, to holders of any other Equal Priority Indebtedness on a pro rata basis) (an “</w:t>
      </w:r>
      <w:r>
        <w:rPr>
          <w:rFonts w:ascii="Times New Roman" w:cs="Times New Roman" w:eastAsia="Times New Roman" w:hAnsi="Times New Roman"/>
          <w:sz w:val="12"/>
          <w:szCs w:val="12"/>
          <w:u w:val="single" w:color="auto"/>
          <w:color w:val="auto"/>
        </w:rPr>
        <w:t>Asset Sale Offer</w:t>
      </w:r>
      <w:r>
        <w:rPr>
          <w:rFonts w:ascii="Times New Roman" w:cs="Times New Roman" w:eastAsia="Times New Roman" w:hAnsi="Times New Roman"/>
          <w:sz w:val="12"/>
          <w:szCs w:val="12"/>
          <w:color w:val="auto"/>
        </w:rPr>
        <w:t xml:space="preserve">”) to purchase the maximum principal amount of Notes (and such other Equal Priority Indebtedness) that is at least $200,000 and an integral multiple of $1,000 in excess thereof that may be purchased out of the Excess Proceeds at an offer price in cash in an amount equal to 100% of the principal amount thereof or, in respect of such other Equal Priority Indebtedness, such lesser price, if any, as may be provided for by the terms of such other Equal Priority Indebtedness (or, in the event the Notes or such other Equal Priority Indebtedness were issued with significant original issue discount, 100% of the accreted value thereof),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date fixed for the closing of such offer, in accordance with the procedures set forth in this Indenture (and, as applicable, the agreements governing such other Equal Priority Indebtedness). The Issuers will commence an Asset Sale Offer with respect to Excess Proceeds within ten (10) Business Days after the date that Excess Proceeds exceeds $200 million by mailing, or delivering electronically if the Notes are held by DTC, the notice required pursuant to the terms of this Indenture, with a copy to the Trustee. To the extent that the aggregate amount of Notes (and such other Equal Priority Indebtedness) tendered pursuant to an Asset Sale Offer is less than the Excess Proceeds, the Issuers may use any remaining Excess Proceeds (the “</w:t>
      </w:r>
      <w:r>
        <w:rPr>
          <w:rFonts w:ascii="Times New Roman" w:cs="Times New Roman" w:eastAsia="Times New Roman" w:hAnsi="Times New Roman"/>
          <w:sz w:val="12"/>
          <w:szCs w:val="12"/>
          <w:u w:val="single" w:color="auto"/>
          <w:color w:val="auto"/>
        </w:rPr>
        <w:t>Declined Excess Proceeds</w:t>
      </w:r>
      <w:r>
        <w:rPr>
          <w:rFonts w:ascii="Times New Roman" w:cs="Times New Roman" w:eastAsia="Times New Roman" w:hAnsi="Times New Roman"/>
          <w:sz w:val="12"/>
          <w:szCs w:val="12"/>
          <w:color w:val="auto"/>
        </w:rPr>
        <w:t>”) for any purpose that is not prohibited by this Indenture. If the aggregate principal amount of Notes (and such other Equal Priority Indebtedness) surrendered by holders thereof exceeds the amount of Excess Proceeds, the Issuers shall select the Notes (but not such other Equal Priority Indebtedness) to be purchased in the manner described below. Upon completion of any such Asset Sale Offer, the amount of Excess Proceeds shall be reset at zero.</w:t>
      </w:r>
    </w:p>
    <w:p>
      <w:pPr>
        <w:spacing w:after="0" w:line="236" w:lineRule="exact"/>
        <w:rPr>
          <w:sz w:val="20"/>
          <w:szCs w:val="20"/>
          <w:color w:val="auto"/>
        </w:rPr>
      </w:pPr>
    </w:p>
    <w:p>
      <w:pPr>
        <w:jc w:val="both"/>
        <w:ind w:right="20" w:firstLine="463"/>
        <w:spacing w:after="0" w:line="236" w:lineRule="auto"/>
        <w:tabs>
          <w:tab w:leader="none" w:pos="90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will comply with the requirements of Rule 14e-1 under the Exchange Act and any other securities laws and regulations to the extent such laws or regulations are applicable in connection with the Asset Sale Offer. To the extent that the provisions of any securities laws or regulations conflict with the provisions of this Indenture, the Issuers will comply with the applicable securities laws and regulations and shall not be deemed to have breached their obligations described in this Indenture by virtue thereof.</w:t>
      </w:r>
    </w:p>
    <w:p>
      <w:pPr>
        <w:spacing w:after="0" w:line="87" w:lineRule="exact"/>
        <w:rPr>
          <w:rFonts w:ascii="Times New Roman" w:cs="Times New Roman" w:eastAsia="Times New Roman" w:hAnsi="Times New Roman"/>
          <w:sz w:val="12"/>
          <w:szCs w:val="12"/>
          <w:color w:val="auto"/>
        </w:rPr>
      </w:pPr>
    </w:p>
    <w:p>
      <w:pPr>
        <w:jc w:val="both"/>
        <w:ind w:firstLine="463"/>
        <w:spacing w:after="0"/>
        <w:tabs>
          <w:tab w:leader="none" w:pos="90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later than the date upon which written notice of an Asset Sale Offer is delivered to the Trustee as provided above, the Issuers shall deliver to the Trustee an Officer’s Certificate as to (i) the amount of the Excess Proceeds, (ii) the allocation of the Net Proceeds from the Asset Sales pursuant to which such Asset Sale Offer is being made and (iii) the compliance of such allocation with the provisions of Section 4.06(b). Upon the expiration of the period for which the Asset Sale Offer remains open (the “</w:t>
      </w:r>
      <w:r>
        <w:rPr>
          <w:rFonts w:ascii="Times New Roman" w:cs="Times New Roman" w:eastAsia="Times New Roman" w:hAnsi="Times New Roman"/>
          <w:sz w:val="12"/>
          <w:szCs w:val="12"/>
          <w:u w:val="single" w:color="auto"/>
          <w:color w:val="auto"/>
        </w:rPr>
        <w:t>Offer Period</w:t>
      </w:r>
      <w:r>
        <w:rPr>
          <w:rFonts w:ascii="Times New Roman" w:cs="Times New Roman" w:eastAsia="Times New Roman" w:hAnsi="Times New Roman"/>
          <w:sz w:val="12"/>
          <w:szCs w:val="12"/>
          <w:color w:val="auto"/>
        </w:rPr>
        <w:t>”), the Issuers shall deliver to the Trustee for cancellation the Notes or portions thereof that have been properly tendered to and are to be accepted by the Issuers. The Issuers shall, or shall cause the Paying Agent (if not an Issuer) to, on the date of purchase, mail or deliver payment to each tendering holder in the amount of the purchase price.</w:t>
      </w:r>
    </w:p>
    <w:p>
      <w:pPr>
        <w:spacing w:after="0" w:line="190"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electing to have a Note purchased shall be required to surrender such Note, with an appropriate form duly completed, to the Issuers at the address specified in the notice, or transfer such Note by book entry transfer to the Issuers, at least three Business Days prior to the purchase date. Holders shall be entitled to withdraw their election if the Trustee or the Issuers receive an electronic transmission or letter not later than two Business Days prior to the purchase date, or otherwise in accordance with the procedures of the Depository, setting forth the name of the holder, the principal amount of the Note which was delivered by the holder for purchase and a statement that such holder is withdrawing his election to have such Note purchased. If at the end of the Offer Period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58</w:t>
      </w:r>
    </w:p>
    <w:p>
      <w:pPr>
        <w:sectPr>
          <w:pgSz w:w="11900" w:h="16840" w:orient="portrait"/>
          <w:cols w:equalWidth="0" w:num="1">
            <w:col w:w="10620"/>
          </w:cols>
          <w:pgMar w:left="640" w:top="1440" w:right="640" w:bottom="1440" w:gutter="0" w:footer="0" w:header="0"/>
        </w:sectPr>
      </w:pPr>
    </w:p>
    <w:bookmarkStart w:id="235" w:name="page236"/>
    <w:bookmarkEnd w:id="235"/>
    <w:p>
      <w:pPr>
        <w:spacing w:after="0" w:line="14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 xml:space="preserve">more Notes (and applicable other Equal Priority Indebtedness) are tendered pursuant to an Asset Sale Offer than the Issuers are required to purchase, selection of tendered Notes (but not such other Equal Priority Indebtedness) for purchase will be made by the Trustee on a pro rata basis or by lot or by such other method as the Trustee shall deem fair and appropriate (and in such manner as complies with the requirements of the Depository, if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Notes of $200,000 or less shall be purchased in part. Selection of such other Equal Priority Indebtedness will be made pursuant to the terms of such other Equal Priority Indebtedness.</w:t>
      </w:r>
    </w:p>
    <w:p>
      <w:pPr>
        <w:spacing w:after="0" w:line="87" w:lineRule="exact"/>
        <w:rPr>
          <w:sz w:val="20"/>
          <w:szCs w:val="20"/>
          <w:color w:val="auto"/>
        </w:rPr>
      </w:pPr>
    </w:p>
    <w:p>
      <w:pPr>
        <w:jc w:val="both"/>
        <w:ind w:right="20" w:firstLine="463"/>
        <w:spacing w:after="0" w:line="236" w:lineRule="auto"/>
        <w:tabs>
          <w:tab w:leader="none" w:pos="90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Notices of an Asset Sale Offer shall be mailed by the Issuers by first class mail, postage prepaid, or delivered electronically if the Notes are held by the Depository, at least 30 days but not more than 60 days before the purchase date to each holder of Notes at such holder’s registered address. If any Note is to be purchased in part only, any notice of purchase that relates to such Note shall state the portion of the principal amount thereof that has been or is to be purchased.</w:t>
      </w:r>
    </w:p>
    <w:p>
      <w:pPr>
        <w:spacing w:after="0" w:line="8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4.07</w:t>
      </w:r>
      <w:r>
        <w:rPr>
          <w:sz w:val="20"/>
          <w:szCs w:val="20"/>
          <w:color w:val="auto"/>
        </w:rPr>
        <w:tab/>
      </w:r>
      <w:r>
        <w:rPr>
          <w:rFonts w:ascii="Times New Roman" w:cs="Times New Roman" w:eastAsia="Times New Roman" w:hAnsi="Times New Roman"/>
          <w:sz w:val="12"/>
          <w:szCs w:val="12"/>
          <w:u w:val="single" w:color="auto"/>
          <w:color w:val="auto"/>
        </w:rPr>
        <w:t>Transactions with Affiliates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6" w:lineRule="auto"/>
        <w:tabs>
          <w:tab w:leader="none" w:pos="904"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and shall not permit any of the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Company (each of the foregoing, an “</w:t>
      </w:r>
      <w:r>
        <w:rPr>
          <w:rFonts w:ascii="Times New Roman" w:cs="Times New Roman" w:eastAsia="Times New Roman" w:hAnsi="Times New Roman"/>
          <w:sz w:val="12"/>
          <w:szCs w:val="12"/>
          <w:u w:val="single" w:color="auto"/>
          <w:color w:val="auto"/>
        </w:rPr>
        <w:t>Affiliate Transaction</w:t>
      </w:r>
      <w:r>
        <w:rPr>
          <w:rFonts w:ascii="Times New Roman" w:cs="Times New Roman" w:eastAsia="Times New Roman" w:hAnsi="Times New Roman"/>
          <w:sz w:val="12"/>
          <w:szCs w:val="12"/>
          <w:color w:val="auto"/>
        </w:rPr>
        <w:t>”) involving aggregate consideration in excess of $75 million, unless:</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Affiliate Transaction is on terms that are not materially less favorable to the Company or the relevant Restricted Subsidiary than those that could have been obtained in a comparable transaction by the Company or such Restricted Subsidiary with an unrelated Person; and</w:t>
      </w:r>
    </w:p>
    <w:p>
      <w:pPr>
        <w:spacing w:after="0" w:line="80" w:lineRule="exact"/>
        <w:rPr>
          <w:rFonts w:ascii="Times New Roman" w:cs="Times New Roman" w:eastAsia="Times New Roman" w:hAnsi="Times New Roman"/>
          <w:sz w:val="12"/>
          <w:szCs w:val="12"/>
          <w:color w:val="auto"/>
        </w:rPr>
      </w:pPr>
    </w:p>
    <w:p>
      <w:pPr>
        <w:jc w:val="both"/>
        <w:ind w:left="460" w:right="40" w:firstLine="460"/>
        <w:spacing w:after="0" w:line="236" w:lineRule="auto"/>
        <w:tabs>
          <w:tab w:leader="none" w:pos="1364"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Affiliate Transaction or series of related Affiliate Transactions involving aggregate consideration in excess of $150 million, the Company delivers to the Trustee a resolution adopted in good faith by the majority of the Board of Directors of the Company, approving such Affiliate Transaction and set forth in an Officer’s Certificate certifying that such Affiliate Transaction complies with clause (i) above and this Indenture.</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Section 4.07(a) shall not apply to the following:</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transactions between or among the Company, any direct or indirect parent entity of the Company and/or any of the Restricted Subsidiaries (or an entity that becomes the Company or a Restricted Subsidiary as a result of such transaction (including via merger, consolidation or amalgamation in which the Company or any of the Restricted Subsidiaries is the surviving entity)) or (B) any merger, consolidation or amalgamation of the Company and any direct or indirect parent entity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merger, consolidation or amalgamation of the Company is otherwise in compliance with the terms of this Indenture;</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permitted by Section 4.04 and Permitted Investments;</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reasonable and customary fees and reimbursement of expenses paid to, and indemnity provided on behalf of, officers, directors, employees or consultants of the Company, any direct or indirect parent entity of the Company or any Restricted Subsidiary;</w:t>
      </w:r>
    </w:p>
    <w:p>
      <w:pPr>
        <w:spacing w:after="0" w:line="80"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in which the Company or any Restricted Subsidiary, as the case may be, delivers to the Trustee a letter from an Independent Financial Advisor stating that such transaction is fair to the Company or such Restricted Subsidiary from a financial point of view or meets the requirements of Section 4.07(a)(i);</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payments, loans (or cancellation of loans) or advances to officers, directors, employees or consultants which are approved by a majority of the Board of Directors of the Company in good</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faith;</w:t>
      </w:r>
    </w:p>
    <w:p>
      <w:pPr>
        <w:spacing w:after="0" w:line="95"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(x) of the Company or any of its Subsidiaries as in effect on the Issue Date or (y) of Merus or any of its Subsidiaries as in effect on the Initial Tender Offer Closing Date, in each case, or any amendment thereto (so long as any such agreement together with all amendments thereto, taken as a whole, is not more disadvantageous to the holders of the Notes in any material respect than the original agreement as in effect on the Issue Date or Initial Tender Offer Closing Date, as applicable) or any transaction contemplated thereby as determined in good faith by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59</w:t>
      </w:r>
    </w:p>
    <w:p>
      <w:pPr>
        <w:sectPr>
          <w:pgSz w:w="11900" w:h="16840" w:orient="portrait"/>
          <w:cols w:equalWidth="0" w:num="1">
            <w:col w:w="10620"/>
          </w:cols>
          <w:pgMar w:left="640" w:top="1440" w:right="640" w:bottom="1440" w:gutter="0" w:footer="0" w:header="0"/>
        </w:sectPr>
      </w:pPr>
    </w:p>
    <w:bookmarkStart w:id="236" w:name="page237"/>
    <w:bookmarkEnd w:id="236"/>
    <w:p>
      <w:pPr>
        <w:spacing w:after="0" w:line="148" w:lineRule="exact"/>
        <w:rPr>
          <w:sz w:val="20"/>
          <w:szCs w:val="20"/>
          <w:color w:val="auto"/>
        </w:rPr>
      </w:pPr>
    </w:p>
    <w:p>
      <w:pPr>
        <w:jc w:val="both"/>
        <w:ind w:firstLine="460"/>
        <w:spacing w:after="0" w:line="223" w:lineRule="auto"/>
        <w:tabs>
          <w:tab w:leader="none" w:pos="90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existence of, or the performance by the Company or any Restricted Subsidiary of its obligations under the terms of, any stockholders or limited liability company agreement (including any registration rights agreement or purchase agreement related thereto) to which the Company or any of its Subsidiaries is a party as of the Issue Date or Merus or any of its Subsidiaries is a party as of the Initial Tender Offer Closing Date, and any transaction, agreement or arrangement described in the Offering Memorandum and, in each case, any amendment thereto or similar transactions, agreements or arrangements which it may enter into thereafter;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existence of, or the performance by the Company or any Restricted Subsidiary of its obligations under, any future amendment to any such existing transaction, agreement or arrangement or under any similar transaction, agreement or arrangement entered into after the Issue Date or Initial Tender Offer Closing Date, as applicable, shall only be permitted by this clause (vii) to the extent that the terms of any such existing transaction, agreement or arrangement together with all amendments thereto, taken as a whole, or new transaction, agreement or arrangement are not otherwise more disadvantageous to the holders of the Notes in any material respect than the original transaction, agreement or arrangement as in effect on the Issue Date or Initial Tender Offer Closing Date, as applicable, as determined in good faith by the Company;</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of the Transactions, and the payment of all fees, expenses, bonuses and awards related to the Transactions;</w:t>
      </w:r>
    </w:p>
    <w:p>
      <w:pPr>
        <w:spacing w:after="0" w:line="109"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transactions with customers, clients, suppliers or purchasers or sellers of goods or services, or transactions otherwise relating to the purchase or sale of goods or services, in each case in the ordinary course of business and otherwise in compliance with the terms of this Indenture, which are fair to the Company and its Restricted Subsidiaries in the reasonable determination of the Company, or are on terms at least as favorable as might reasonably have been obtained at such time from an unaffiliated party or (B) transactions with joint ventures or Unrestricted Subsidiaries entered into in the ordinary course of business and consistent with past practice or industry norm;</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pursuant to any Qualified Receivables Facility;</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of Equity Interests (other than Disqualified Stock) of the Company or any direct or indirect parent entity of the Company to any Person;</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issuances of securities or other payments, awards or grants in cash, securities or otherwise pursuant to, or the funding of, employment arrangements, stock option and stock ownership plans or similar employee benefit plans approved by the Board of Directors of the Company, the Board of Directors of any direct or indirect parent entity of the Company or the Board of Directors of a Restricted Subsidiary, as appropriate, in good faith;</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contribution to the capital of the Company;</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permitted by, and complying with, Section 5.01;</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transactions between the Company, any direct or indirect parent entity of the Company or any Restricted Subsidiary and any Person, a director of which is also a director of the Company or any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Person abstains from voting as a director of the Company, such direct or indirect parent entity of the Company or such Restricted Subsidiary, as the case may be, on any matter involving such Person;</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pledges of Equity Interests of Unrestricted Subsidiaries;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formation and maintenance of any consolidated group or subgroup for Tax, accounting or cash pooling or management purposes in the ordinary course of business;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employment agreements entered into by the Company, any direct or indirect parent entity of the Company or any Restricted Subsidiary in the ordinary course of business;</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undertaken in good faith (as certified by a Financial Officer of the Company in an Officer’s Certificate) for the purpose of improving the consolidated Tax efficiency of the Company and its Subsidiaries and not for the purpose of circumventing any covenant set forth in this Indenture;</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60</w:t>
      </w:r>
    </w:p>
    <w:p>
      <w:pPr>
        <w:sectPr>
          <w:pgSz w:w="11900" w:h="16840" w:orient="portrait"/>
          <w:cols w:equalWidth="0" w:num="1">
            <w:col w:w="10140"/>
          </w:cols>
          <w:pgMar w:left="1100" w:top="1440" w:right="660" w:bottom="1440" w:gutter="0" w:footer="0" w:header="0"/>
        </w:sectPr>
      </w:pPr>
    </w:p>
    <w:bookmarkStart w:id="237" w:name="page238"/>
    <w:bookmarkEnd w:id="237"/>
    <w:p>
      <w:pPr>
        <w:spacing w:after="0" w:line="148" w:lineRule="exact"/>
        <w:rPr>
          <w:sz w:val="20"/>
          <w:szCs w:val="20"/>
          <w:color w:val="auto"/>
        </w:rPr>
      </w:pPr>
    </w:p>
    <w:p>
      <w:pPr>
        <w:ind w:left="460" w:right="20" w:firstLine="460"/>
        <w:spacing w:after="0" w:line="253" w:lineRule="auto"/>
        <w:tabs>
          <w:tab w:leader="none" w:pos="1364"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purchase by the Company or its Affiliates of Indebtedness, Disqualified Stock or Preferred Stock of the Company, any direct or indirect parent entity of the Company or any of the Restricted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purchases are on the same terms as such purchases by such Persons who are not the Company’s Affiliates.</w:t>
      </w:r>
    </w:p>
    <w:p>
      <w:pPr>
        <w:spacing w:after="0" w:line="8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4.08</w:t>
      </w:r>
      <w:r>
        <w:rPr>
          <w:sz w:val="20"/>
          <w:szCs w:val="20"/>
          <w:color w:val="auto"/>
        </w:rPr>
        <w:tab/>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Section 4.08(f), upon the occurrence of a Change of Control, the Issuers will make an offer to purchase all of the outstanding Notes (a Change“ of Control Offer”) at a purchase price in cash equal to 101% of the principal amount thereof,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date of repurchase (subject to the right of holders of record on the relevant Record Date to receive interest due on the relevant Interest Payment Date) in accordance with this Section 4.08;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notwithstanding the occurrence of a Change of Control, the Issuers shall not be obligated to purchase any Notes pursuant to this Section 4.08 in the event that they have previously or concurrently elected to redeem such Notes in accordance with Paragraph 5 of the Notes and such election is or has become unconditional.</w:t>
      </w:r>
    </w:p>
    <w:p>
      <w:pPr>
        <w:spacing w:after="0" w:line="19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30 days following any Change of Control, except as set forth in Section 4.08(a), the Issuers shall mail, or deliver electronically if the Notes are held by the Depository, a notice of its Change of Control Offer to each holder with a copy to the Trustee:</w:t>
      </w:r>
    </w:p>
    <w:p>
      <w:pPr>
        <w:spacing w:after="0" w:line="78" w:lineRule="exact"/>
        <w:rPr>
          <w:rFonts w:ascii="Times New Roman" w:cs="Times New Roman" w:eastAsia="Times New Roman" w:hAnsi="Times New Roman"/>
          <w:sz w:val="12"/>
          <w:szCs w:val="12"/>
          <w:color w:val="auto"/>
        </w:rPr>
      </w:pPr>
    </w:p>
    <w:p>
      <w:pPr>
        <w:ind w:left="460" w:firstLine="460"/>
        <w:spacing w:after="0" w:line="257" w:lineRule="auto"/>
        <w:tabs>
          <w:tab w:leader="none" w:pos="1364"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stating that a Change of Control has occurred and offering to repurchase such holder’s Notes at a repurchase price in cash equal to 101% of the principal amount thereof,</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date of repurchase (subject to the right of holders of record on the relevant Record Date to receive interest on the relevant Interest Payment Date);</w:t>
      </w:r>
    </w:p>
    <w:p>
      <w:pPr>
        <w:spacing w:after="0" w:line="7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describing the transaction or transactions that constitute(s) such Change of Control;</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specifying the repurchase date (which shall be no earlier than 30 days nor later than 60 days from the date such notice is mailed or delivered electronically);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instructions, determined by the Issuers and consistent with this Section 4.08, that a holder must follow in order to have its Notes purchased.</w:t>
      </w:r>
    </w:p>
    <w:p>
      <w:pPr>
        <w:spacing w:after="0" w:line="109"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electing to have a Note purchased shall be required to surrender such Note, with an appropriate form duly completed, to the Issuers at the address specified in the notice, or transfer such Note by book entry transfer to the Issuers, at least three Business Days prior to the purchase date. Holders shall be entitled to withdraw their election if the Trustee or the Issuers receive an electronic transmission or letter not later than two Business Days prior to the purchase date, or otherwise in accordance with the procedures of the Depository, setting forth the name of the holder, the principal amount of the Note which was delivered for purchase by the holder and a statement that such holder is withdrawing his election to have such Note purchased. Holders whose Notes are purchased only in part shall be issued new Notes equal in principal amount to the unpurchased portion of the Notes surrendered.</w:t>
      </w:r>
    </w:p>
    <w:p>
      <w:pPr>
        <w:spacing w:after="0" w:line="8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the purchase date, all Notes purchased by the Issuers under this Section 4.08 shall be delivered to the Trustee for cancellation, and the Issuers shall pay to the holders entitled thereto the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date of repurchase (subject to the right of holders of record on a Record Date to receive interest on the relevant Interest Payment Date).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80" w:lineRule="exact"/>
        <w:rPr>
          <w:rFonts w:ascii="Times New Roman" w:cs="Times New Roman" w:eastAsia="Times New Roman" w:hAnsi="Times New Roman"/>
          <w:sz w:val="12"/>
          <w:szCs w:val="12"/>
          <w:color w:val="auto"/>
        </w:rPr>
      </w:pPr>
    </w:p>
    <w:p>
      <w:pPr>
        <w:jc w:val="both"/>
        <w:ind w:firstLine="463"/>
        <w:spacing w:after="0" w:line="236" w:lineRule="auto"/>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provisions of this Section 4.08, the Issuers shall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Issuers and purchases all Notes properly tendered and not withdrawn under such Change of Control Offer.</w:t>
      </w:r>
    </w:p>
    <w:p>
      <w:pPr>
        <w:spacing w:after="0" w:line="87"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Notes repurchased by the Issuers pursuant to a Change of Control Offer will have the status of Notes issued but not outstanding or will be retired and canceled at the option of the Issuers. Notes purchased by a third party pursuant to this Section 4.08 will have the status of Notes issued and outstanding.</w:t>
      </w:r>
    </w:p>
    <w:p>
      <w:pPr>
        <w:spacing w:after="0" w:line="80" w:lineRule="exact"/>
        <w:rPr>
          <w:rFonts w:ascii="Times New Roman" w:cs="Times New Roman" w:eastAsia="Times New Roman" w:hAnsi="Times New Roman"/>
          <w:sz w:val="12"/>
          <w:szCs w:val="12"/>
          <w:color w:val="auto"/>
        </w:rPr>
      </w:pPr>
    </w:p>
    <w:p>
      <w:pPr>
        <w:ind w:right="40" w:firstLine="463"/>
        <w:spacing w:after="0" w:line="253" w:lineRule="auto"/>
        <w:tabs>
          <w:tab w:leader="none" w:pos="90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shall comply, to the extent applicable, with the requirements of Section 14(e) of the Exchange Act and any other securities laws or regulations in connection with any Change of Control Offer.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-3006090</wp:posOffset>
            </wp:positionV>
            <wp:extent cx="77978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7797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61</w:t>
      </w:r>
    </w:p>
    <w:p>
      <w:pPr>
        <w:sectPr>
          <w:pgSz w:w="11900" w:h="16840" w:orient="portrait"/>
          <w:cols w:equalWidth="0" w:num="1">
            <w:col w:w="10620"/>
          </w:cols>
          <w:pgMar w:left="640" w:top="1440" w:right="640" w:bottom="1440" w:gutter="0" w:footer="0" w:header="0"/>
        </w:sectPr>
      </w:pPr>
    </w:p>
    <w:bookmarkStart w:id="238" w:name="page239"/>
    <w:bookmarkEnd w:id="238"/>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extent that the provisions of any securities laws or regulations conflict with provisions of this Indenture, the Issuers shall comply with the applicable securities laws and regulations and shall not be deemed to have breached their obligations under this Indenture by virtue thereof.</w:t>
      </w:r>
    </w:p>
    <w:p>
      <w:pPr>
        <w:spacing w:after="0" w:line="80" w:lineRule="exact"/>
        <w:rPr>
          <w:sz w:val="20"/>
          <w:szCs w:val="20"/>
          <w:color w:val="auto"/>
        </w:rPr>
      </w:pPr>
    </w:p>
    <w:p>
      <w:pPr>
        <w:jc w:val="both"/>
        <w:ind w:firstLine="463"/>
        <w:spacing w:after="0" w:line="227" w:lineRule="auto"/>
        <w:tabs>
          <w:tab w:leader="none" w:pos="904"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holders of not less than 90% in aggregate principal amount of the outstanding Notes validly tender and do not withdraw such Notes in a Change of Control Offer and the Issuers, or any third party making a Change of Control Offer in lieu of the Issuers, purchase all of the Notes validly tendered and not withdrawn by such holders, the Issuers or such third party will have the right, upon not less than 10 days’ nor more than 60 days’ prior notice (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notice is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excluding, the date of redemption. Any such redemption shall be effected pursuant to Article III.</w:t>
      </w:r>
    </w:p>
    <w:p>
      <w:pPr>
        <w:spacing w:after="0" w:line="90"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4.09 </w:t>
      </w:r>
      <w:r>
        <w:rPr>
          <w:rFonts w:ascii="Times New Roman" w:cs="Times New Roman" w:eastAsia="Times New Roman" w:hAnsi="Times New Roman"/>
          <w:sz w:val="12"/>
          <w:szCs w:val="12"/>
          <w:u w:val="single" w:color="auto"/>
          <w:color w:val="auto"/>
        </w:rPr>
        <w:t>Compliance Certificate</w:t>
      </w:r>
      <w:r>
        <w:rPr>
          <w:rFonts w:ascii="Times New Roman" w:cs="Times New Roman" w:eastAsia="Times New Roman" w:hAnsi="Times New Roman"/>
          <w:sz w:val="12"/>
          <w:szCs w:val="12"/>
          <w:color w:val="auto"/>
        </w:rPr>
        <w:t>. The Issuers shall deliver to the Trustee within 120 days after the end of each fiscal year of the Company, beginning with the fiscal year ending on December 31, 2025, an Officer’s Certificate stating that in the course of the performance by the signers of their duties as Officers of each Issuer they would normally have knowledge of any Default and whether or not the signers know of any Default that occurred during such period. If any Officer of an Issuer does know of a Default, the Officer’s Certificate shall describe the Default, its status and what action the Issuers are taking or propose to take with respect thereto.</w:t>
      </w:r>
    </w:p>
    <w:p>
      <w:pPr>
        <w:spacing w:after="0" w:line="87" w:lineRule="exact"/>
        <w:rPr>
          <w:sz w:val="20"/>
          <w:szCs w:val="20"/>
          <w:color w:val="auto"/>
        </w:rPr>
      </w:pPr>
    </w:p>
    <w:p>
      <w:pPr>
        <w:jc w:val="both"/>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4.10 </w:t>
      </w:r>
      <w:r>
        <w:rPr>
          <w:rFonts w:ascii="Times New Roman" w:cs="Times New Roman" w:eastAsia="Times New Roman" w:hAnsi="Times New Roman"/>
          <w:sz w:val="12"/>
          <w:szCs w:val="12"/>
          <w:u w:val="single" w:color="auto"/>
          <w:color w:val="auto"/>
        </w:rPr>
        <w:t>Further Instruments and Acts</w:t>
      </w:r>
      <w:r>
        <w:rPr>
          <w:rFonts w:ascii="Times New Roman" w:cs="Times New Roman" w:eastAsia="Times New Roman" w:hAnsi="Times New Roman"/>
          <w:sz w:val="12"/>
          <w:szCs w:val="12"/>
          <w:color w:val="auto"/>
        </w:rPr>
        <w:t>. Upon request of the Trustee, the Issuers shall execute and deliver such further instruments and do such further acts as may be reasonably necessary or proper to carry out more effectively the purpose of this Indenture.</w:t>
      </w:r>
    </w:p>
    <w:p>
      <w:pPr>
        <w:spacing w:after="0" w:line="8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4.11</w:t>
      </w:r>
      <w:r>
        <w:rPr>
          <w:sz w:val="20"/>
          <w:szCs w:val="20"/>
          <w:color w:val="auto"/>
        </w:rPr>
        <w:tab/>
      </w:r>
      <w:r>
        <w:rPr>
          <w:rFonts w:ascii="Times New Roman" w:cs="Times New Roman" w:eastAsia="Times New Roman" w:hAnsi="Times New Roman"/>
          <w:sz w:val="12"/>
          <w:szCs w:val="12"/>
          <w:u w:val="single" w:color="auto"/>
          <w:color w:val="auto"/>
        </w:rPr>
        <w:t>Future Guarantors</w:t>
      </w:r>
      <w:r>
        <w:rPr>
          <w:rFonts w:ascii="Times New Roman" w:cs="Times New Roman" w:eastAsia="Times New Roman" w:hAnsi="Times New Roman"/>
          <w:sz w:val="12"/>
          <w:szCs w:val="12"/>
          <w:color w:val="auto"/>
        </w:rPr>
        <w:t>. The Company shall cause each of its Subsidiaries that is not an Excluded Subsidiary (other than a Subsidiary that is an Excluded Subsidiary pursuant to clause (a) or</w:t>
      </w:r>
    </w:p>
    <w:p>
      <w:pPr>
        <w:jc w:val="both"/>
        <w:ind w:right="20" w:firstLine="6"/>
        <w:spacing w:after="0" w:line="228" w:lineRule="auto"/>
        <w:tabs>
          <w:tab w:leader="none" w:pos="178"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definition thereof) and that guarantees or becomes a borrower under any Credit Agreement (including the Initial Credit Agreement) or that guarantees other Capital Markets Indebtedness of any Issuer or Guarantor to execute and deliver to the Trustee a supplemental indenture substantially in the form of Exhibit B hereto pursuant to which such Subsidiary will guarantee the Notes Obligations, subject to the Agreed Guarantee Principles.</w:t>
      </w:r>
    </w:p>
    <w:p>
      <w:pPr>
        <w:spacing w:after="0" w:line="8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4.12</w:t>
      </w:r>
      <w:r>
        <w:rPr>
          <w:sz w:val="20"/>
          <w:szCs w:val="20"/>
          <w:color w:val="auto"/>
        </w:rPr>
        <w:tab/>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63"/>
        <w:spacing w:after="0"/>
        <w:tabs>
          <w:tab w:leader="none" w:pos="904"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and shall not permit any of the Restricted Subsidiaries to, directly or indirectly, create, Incur or suffer to exist any Lien (except Permitted Liens) on any asset or property of the Company or any Restricted Subsidiary (other than Unrestricted Margin Stock) securing Indebtedness of the Company or a Restricted Subsidiary except any Lien securing Indebtedness if the Notes and the Guarantees are equally and ratably secured with (or, at the Company’s election, on a senior basis to) the Indebtedness so secured until such time as such Indebtedness is no longer secured by a Lien on such asset or property.</w:t>
      </w:r>
    </w:p>
    <w:p>
      <w:pPr>
        <w:spacing w:after="0" w:line="204"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 that is granted to secure the Notes or any Guarantees under Section 4.12(a) shall be automatically released and discharged at the same time as the release of the Lien that gave rise to the obligation to secure the Notes or such Guarantees.</w:t>
      </w:r>
    </w:p>
    <w:p>
      <w:pPr>
        <w:spacing w:after="0" w:line="80" w:lineRule="exact"/>
        <w:rPr>
          <w:rFonts w:ascii="Times New Roman" w:cs="Times New Roman" w:eastAsia="Times New Roman" w:hAnsi="Times New Roman"/>
          <w:sz w:val="12"/>
          <w:szCs w:val="12"/>
          <w:color w:val="auto"/>
        </w:rPr>
      </w:pPr>
    </w:p>
    <w:p>
      <w:pPr>
        <w:jc w:val="both"/>
        <w:ind w:firstLine="463"/>
        <w:spacing w:after="0" w:line="224" w:lineRule="auto"/>
        <w:tabs>
          <w:tab w:leader="none" w:pos="904"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compliance with this Section 4.12, (i) a Lien securing an item of Indebtedness need not be permitted solely by reference to one category of Permitted Liens (or any portion thereof) described in the definition of “Permitted Liens” or pursuant to Section 4.12(a) but may be permitted in part under any combination thereof and (ii) in the event that a Lien securing an item of Indebtedness (or any portion thereof) meets the criteria of one or more of the categories of Permitted Liens (or any portion thereof) described in the definition of “Permitted Liens” or pursuant to Section 4.12(a), the Issuers may, in their sole discretion, classify or reclassify, or later divide, classify or reclassify (as if Incurred at such later time), such Lien securing such item of Indebtedness (or any portion thereof) in any manner that complies with this covenant and will be entitled to only include the amount and type of such Lien or such item of Indebtedness secured by such Lien (or any portion thereof) in one of the categories of Permitted Liens (or any portion thereof) described in the definition of “Permitted Liens” or pursuant to Section 4.12(a) and, in such event, such Lien securing such item of Indebtedness (or any portion thereof) will be treated as being Incurred or existing pursuant to only such clause or clauses (or any portion thereof) or pursuant to Section 4.12(a).</w:t>
      </w:r>
    </w:p>
    <w:p>
      <w:pPr>
        <w:spacing w:after="0" w:line="88" w:lineRule="exact"/>
        <w:rPr>
          <w:rFonts w:ascii="Times New Roman" w:cs="Times New Roman" w:eastAsia="Times New Roman" w:hAnsi="Times New Roman"/>
          <w:sz w:val="12"/>
          <w:szCs w:val="12"/>
          <w:color w:val="auto"/>
        </w:rPr>
      </w:pPr>
    </w:p>
    <w:p>
      <w:pPr>
        <w:jc w:val="both"/>
        <w:ind w:firstLine="463"/>
        <w:spacing w:after="0" w:line="236" w:lineRule="auto"/>
        <w:tabs>
          <w:tab w:leader="none" w:pos="904"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Lien securing Indebtedness that was permitted to secure such Indebtedness at the time of the Incurrence of such Indebtedness, such Lien shall also be permitted to secure any increases in the amount of Indebtedness outstanding solely as a result of fluctuations in the exchange rate of currencies or increases in the value of property securing Indebtedness described in clause (11) of the definition of “Indebtedness.”</w:t>
      </w:r>
    </w:p>
    <w:p>
      <w:pPr>
        <w:spacing w:after="0" w:line="8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4.13</w:t>
      </w:r>
      <w:r>
        <w:rPr>
          <w:sz w:val="20"/>
          <w:szCs w:val="20"/>
          <w:color w:val="auto"/>
        </w:rPr>
        <w:tab/>
      </w:r>
      <w:r>
        <w:rPr>
          <w:rFonts w:ascii="Times New Roman" w:cs="Times New Roman" w:eastAsia="Times New Roman" w:hAnsi="Times New Roman"/>
          <w:sz w:val="12"/>
          <w:szCs w:val="12"/>
          <w:u w:val="single" w:color="auto"/>
          <w:color w:val="auto"/>
        </w:rPr>
        <w:t>[Reserved</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62</w:t>
      </w:r>
    </w:p>
    <w:p>
      <w:pPr>
        <w:sectPr>
          <w:pgSz w:w="11900" w:h="16840" w:orient="portrait"/>
          <w:cols w:equalWidth="0" w:num="1">
            <w:col w:w="10620"/>
          </w:cols>
          <w:pgMar w:left="640" w:top="1440" w:right="640" w:bottom="1440" w:gutter="0" w:footer="0" w:header="0"/>
        </w:sectPr>
      </w:pPr>
    </w:p>
    <w:bookmarkStart w:id="239" w:name="page240"/>
    <w:bookmarkEnd w:id="239"/>
    <w:p>
      <w:pPr>
        <w:spacing w:after="0" w:line="14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4.14</w:t>
      </w:r>
      <w:r>
        <w:rPr>
          <w:sz w:val="20"/>
          <w:szCs w:val="20"/>
          <w:color w:val="auto"/>
        </w:rPr>
        <w:tab/>
      </w:r>
      <w:r>
        <w:rPr>
          <w:rFonts w:ascii="Times New Roman" w:cs="Times New Roman" w:eastAsia="Times New Roman" w:hAnsi="Times New Roman"/>
          <w:sz w:val="12"/>
          <w:szCs w:val="12"/>
          <w:u w:val="single" w:color="auto"/>
          <w:color w:val="auto"/>
        </w:rPr>
        <w:t>Maintenance of Office or Agency</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6" w:lineRule="auto"/>
        <w:tabs>
          <w:tab w:leader="none" w:pos="904"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shall maintain an office or agency (which may be an office of the Trustee or an affiliate of the Trustee or Registrar) where Notes may be surrendered for registration of transfer or for exchange. The Issuers shall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and surrenders may be made at the Corporate Trust Office of the Trustee as set forth in Section 13.01.</w:t>
      </w:r>
    </w:p>
    <w:p>
      <w:pPr>
        <w:spacing w:after="0" w:line="87" w:lineRule="exact"/>
        <w:rPr>
          <w:rFonts w:ascii="Times New Roman" w:cs="Times New Roman" w:eastAsia="Times New Roman" w:hAnsi="Times New Roman"/>
          <w:sz w:val="12"/>
          <w:szCs w:val="12"/>
          <w:color w:val="auto"/>
        </w:rPr>
      </w:pPr>
    </w:p>
    <w:p>
      <w:pPr>
        <w:jc w:val="both"/>
        <w:ind w:firstLine="463"/>
        <w:spacing w:after="0" w:line="236" w:lineRule="auto"/>
        <w:tabs>
          <w:tab w:leader="none" w:pos="904"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designation or rescission shall in any manner relieve the Issuers of their obligation to maintain an office or agency for such purposes. The Issuers shall give prompt written notice to the Trustee of any such designation or rescission and of any change in the location of any such other office or agency.</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hereby designate the Corporate Trust Office of the Trustee or its agent as such office or agency of the Issuers in accordance with Section 2.04.</w:t>
      </w:r>
    </w:p>
    <w:p>
      <w:pPr>
        <w:spacing w:after="0" w:line="109"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4.15 </w:t>
      </w:r>
      <w:r>
        <w:rPr>
          <w:rFonts w:ascii="Times New Roman" w:cs="Times New Roman" w:eastAsia="Times New Roman" w:hAnsi="Times New Roman"/>
          <w:sz w:val="12"/>
          <w:szCs w:val="12"/>
          <w:u w:val="single" w:color="auto"/>
          <w:color w:val="auto"/>
        </w:rPr>
        <w:t>Covenant Suspension</w:t>
      </w:r>
      <w:r>
        <w:rPr>
          <w:rFonts w:ascii="Times New Roman" w:cs="Times New Roman" w:eastAsia="Times New Roman" w:hAnsi="Times New Roman"/>
          <w:sz w:val="12"/>
          <w:szCs w:val="12"/>
          <w:color w:val="auto"/>
        </w:rPr>
        <w:t>. If on any date following the Initial Tender Offer Closing Date, (i) the Notes have Investment Grade Ratings from both Rating Agencies, and (ii) no Default has occurred and is continuing under this Indenture, then, beginning on that day (the occurrence of the events described in the foregoing clauses (i) and (ii) being collectively referred to as a “</w:t>
      </w:r>
      <w:r>
        <w:rPr>
          <w:rFonts w:ascii="Times New Roman" w:cs="Times New Roman" w:eastAsia="Times New Roman" w:hAnsi="Times New Roman"/>
          <w:sz w:val="12"/>
          <w:szCs w:val="12"/>
          <w:u w:val="single" w:color="auto"/>
          <w:color w:val="auto"/>
        </w:rPr>
        <w:t>Covenant Suspension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Event</w:t>
      </w:r>
      <w:r>
        <w:rPr>
          <w:rFonts w:ascii="Times New Roman" w:cs="Times New Roman" w:eastAsia="Times New Roman" w:hAnsi="Times New Roman"/>
          <w:sz w:val="12"/>
          <w:szCs w:val="12"/>
          <w:color w:val="auto"/>
        </w:rPr>
        <w:t>”), the Issuers and the Restricted Subsidiaries shall not be subject to Sections 4.03, 4.04, 4.05, 4.06, 4.07, 4.11, 5.01(a)(iv) and 5.01(b) (collectively, the “</w:t>
      </w:r>
      <w:r>
        <w:rPr>
          <w:rFonts w:ascii="Times New Roman" w:cs="Times New Roman" w:eastAsia="Times New Roman" w:hAnsi="Times New Roman"/>
          <w:sz w:val="12"/>
          <w:szCs w:val="12"/>
          <w:u w:val="single" w:color="auto"/>
          <w:color w:val="auto"/>
        </w:rPr>
        <w:t>Suspended Covenants</w:t>
      </w:r>
      <w:r>
        <w:rPr>
          <w:rFonts w:ascii="Times New Roman" w:cs="Times New Roman" w:eastAsia="Times New Roman" w:hAnsi="Times New Roman"/>
          <w:sz w:val="12"/>
          <w:szCs w:val="12"/>
          <w:color w:val="auto"/>
        </w:rPr>
        <w:t>”). In the event that the Company and its Restricted Subsidiaries are not subject to the Suspended Covenants under this Indenture for any period of time as a result of the foregoing, and on any subsequent date (the “</w:t>
      </w:r>
      <w:r>
        <w:rPr>
          <w:rFonts w:ascii="Times New Roman" w:cs="Times New Roman" w:eastAsia="Times New Roman" w:hAnsi="Times New Roman"/>
          <w:sz w:val="12"/>
          <w:szCs w:val="12"/>
          <w:u w:val="single" w:color="auto"/>
          <w:color w:val="auto"/>
        </w:rPr>
        <w:t>Reversion Date</w:t>
      </w:r>
      <w:r>
        <w:rPr>
          <w:rFonts w:ascii="Times New Roman" w:cs="Times New Roman" w:eastAsia="Times New Roman" w:hAnsi="Times New Roman"/>
          <w:sz w:val="12"/>
          <w:szCs w:val="12"/>
          <w:color w:val="auto"/>
        </w:rPr>
        <w:t>”) one or both of the Rating Agencies withdraw their Investment Grade Rating or downgrade the rating assigned to the Notes below an Investment Grade Rating, then the Company and its Restricted Subsidiaries will thereafter again be subject to the Suspended Covenants under this Indenture with respect to future events. The period of time between the Covenant Suspension Event and the Reversion Date is referred to as the “</w:t>
      </w:r>
      <w:r>
        <w:rPr>
          <w:rFonts w:ascii="Times New Roman" w:cs="Times New Roman" w:eastAsia="Times New Roman" w:hAnsi="Times New Roman"/>
          <w:sz w:val="12"/>
          <w:szCs w:val="12"/>
          <w:u w:val="single" w:color="auto"/>
          <w:color w:val="auto"/>
        </w:rPr>
        <w:t>Suspension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Period</w:t>
      </w:r>
      <w:r>
        <w:rPr>
          <w:rFonts w:ascii="Times New Roman" w:cs="Times New Roman" w:eastAsia="Times New Roman" w:hAnsi="Times New Roman"/>
          <w:sz w:val="12"/>
          <w:szCs w:val="12"/>
          <w:color w:val="auto"/>
        </w:rPr>
        <w:t>.” The Issuers shall provide the Trustee with written notice of each Covenant Suspension Event or Reversion Date within five (5) Business Days of the occurrence thereof. The Trustee shall have no obligation to independently determine or verify if a Covenant Suspension Event or Reversion Date has occurred or notify the holders of any Covenant Suspension Event or Reversion Date.</w:t>
      </w:r>
    </w:p>
    <w:p>
      <w:pPr>
        <w:spacing w:after="0" w:line="97"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Additionally, during a Suspension Period the Company will no longer be permitted to designate any Restricted Subsidiary as an Unrestricted Subsidiary unless the Company would have been permitted to designate such Subsidiary as an Unrestricted Subsidiary if a Suspension Period had not been in effect for any period and, following the Reversion Date, such designation shall be deemed an Investment pursuant to Section 4.04(c) at the time of such designation.</w:t>
      </w:r>
    </w:p>
    <w:p>
      <w:pPr>
        <w:spacing w:after="0" w:line="91" w:lineRule="exact"/>
        <w:rPr>
          <w:sz w:val="20"/>
          <w:szCs w:val="20"/>
          <w:color w:val="auto"/>
        </w:rPr>
      </w:pPr>
    </w:p>
    <w:p>
      <w:pPr>
        <w:jc w:val="both"/>
        <w:ind w:firstLine="457"/>
        <w:spacing w:after="0" w:line="252" w:lineRule="auto"/>
        <w:rPr>
          <w:sz w:val="20"/>
          <w:szCs w:val="20"/>
          <w:color w:val="auto"/>
        </w:rPr>
      </w:pPr>
      <w:r>
        <w:rPr>
          <w:rFonts w:ascii="Times New Roman" w:cs="Times New Roman" w:eastAsia="Times New Roman" w:hAnsi="Times New Roman"/>
          <w:sz w:val="12"/>
          <w:szCs w:val="12"/>
          <w:color w:val="auto"/>
        </w:rPr>
        <w:t>On each Reversion Date, all Indebtedness Incurred, or Disqualified Stock or Preferred Stock issued, during the Suspension Period will be classified as having been Incurred or issued pursuant to Section 4.03(a) or (b) (to the extent such Indebtedness or Disqualified Stock or Preferred Stock would be permitted to be Incurred or issued thereunder as of the Reversion Date and after giving effect to Indebtedness or Disqualified Stock or Preferred Stock Incurred or issued prior to the Suspension Period and outstanding on the Reversion Date) . To the extent such Indebtedness or Disqualified Stock or Preferred Stock would not be so permitted to be Incurred or issued pursuant to Section 4.03(a) or (b), such Indebtedness or Disqualified Stock or Preferred Stock will be deemed to have been outstanding on the Issue Date or Initial Tender Offer Closing Date, as applicable, so that it is classified as permitted under Section 4.03(b)(iii) . Calculations made after the Reversion Date of the amount available to be made as Restricted Payments under Section 4.04 will be made as though Section 4.04 had been in effect since the Issue Date and prior to, but not during, the Suspension Period (except to the extent expressly set forth in the immediately preceding paragraph) . Accordingly, Restricted Payments made during the Suspension Period will not reduce the amount available to be made as Restricted Payments under Section 4.04(a) (except to the extent expressly set forth in the immediately preceding paragraph). As described above, no Default or Event of Default will be deemed to have occurred on the Reversion Date in respect of the Suspended Covenants as a result of any actions taken by the Company or the Restricted Subsidiaries during the Suspension Period or any actions taken at any time pursuant to any contractual obligation arising prior to the Reversion Date, regardless of whether such actions or events would have been permitted if the applicable Suspended Covenants remained in effect during such period. Within 30 days of such Reversion Date, the Company must comply with the terms of Section 4.11 and Section 5.01(b), including, for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63</w:t>
      </w:r>
    </w:p>
    <w:p>
      <w:pPr>
        <w:sectPr>
          <w:pgSz w:w="11900" w:h="16840" w:orient="portrait"/>
          <w:cols w:equalWidth="0" w:num="1">
            <w:col w:w="10620"/>
          </w:cols>
          <w:pgMar w:left="640" w:top="1440" w:right="640" w:bottom="1440" w:gutter="0" w:footer="0" w:header="0"/>
        </w:sectPr>
      </w:pPr>
    </w:p>
    <w:bookmarkStart w:id="240" w:name="page241"/>
    <w:bookmarkEnd w:id="24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avoidance of doubt, by taking action to reinstate any Guarantees previously released pursuant to clause (v) of Section 12.03.</w:t>
      </w:r>
    </w:p>
    <w:p>
      <w:pPr>
        <w:spacing w:after="0" w:line="129" w:lineRule="exact"/>
        <w:rPr>
          <w:sz w:val="20"/>
          <w:szCs w:val="20"/>
          <w:color w:val="auto"/>
        </w:rPr>
      </w:pPr>
    </w:p>
    <w:p>
      <w:pPr>
        <w:ind w:firstLine="457"/>
        <w:spacing w:after="0" w:line="287" w:lineRule="auto"/>
        <w:rPr>
          <w:sz w:val="20"/>
          <w:szCs w:val="20"/>
          <w:color w:val="auto"/>
        </w:rPr>
      </w:pPr>
      <w:r>
        <w:rPr>
          <w:rFonts w:ascii="Times New Roman" w:cs="Times New Roman" w:eastAsia="Times New Roman" w:hAnsi="Times New Roman"/>
          <w:sz w:val="12"/>
          <w:szCs w:val="12"/>
          <w:color w:val="auto"/>
        </w:rPr>
        <w:t>For purposes of Section 4.05, on the Reversion Date, any consensual encumbrances or consensual restrictions of the type specified in Section 4.05(a) or 4.05(b) thereof entered into during the Suspension Period will be deemed to have been in effect on the Issue Date or Initial Tender Offer Closing Date, as applicable, so that they are permitted under Section 4.05(1)(A).</w:t>
      </w:r>
    </w:p>
    <w:p>
      <w:pPr>
        <w:spacing w:after="0" w:line="7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For purposes of Section 4.07, any Affiliate Transaction entered into after the Reversion Date pursuant to a contract, agreement, loan, advance or guaranty with, or for the benefit of, any Affiliate of the Company entered into during the Suspension Period will be deemed to have been in effect as of the Issue Date or Initial Tender Offer Closing Date, as applicable, for purposes of Section 4.07(b)(vi).</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purposes of Section 4.06, on the Reversion Date, the unutilized Excess Proceeds amount will be reset to zero.</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0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SUCCESSOR COMPANY</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5.01</w:t>
      </w:r>
      <w:r>
        <w:rPr>
          <w:sz w:val="20"/>
          <w:szCs w:val="20"/>
          <w:color w:val="auto"/>
        </w:rPr>
        <w:tab/>
      </w:r>
      <w:r>
        <w:rPr>
          <w:rFonts w:ascii="Times New Roman" w:cs="Times New Roman" w:eastAsia="Times New Roman" w:hAnsi="Times New Roman"/>
          <w:sz w:val="12"/>
          <w:szCs w:val="12"/>
          <w:u w:val="single" w:color="auto"/>
          <w:color w:val="auto"/>
        </w:rPr>
        <w:t>When an Issuer and a Guarantor May Merge or Transfer Assets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40" w:firstLine="463"/>
        <w:spacing w:after="0" w:line="253" w:lineRule="auto"/>
        <w:tabs>
          <w:tab w:leader="none" w:pos="904"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Issuer may not, directly or indirectly, consolidate, amalgamate or merge with or into or wind up into (whether or not such Issuer is the surviving Person), or sell, assign, transfer, lease, convey or otherwise dispose of all or substantially all of its properties or assets in one or more related transactions to, any Person unless:</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27" w:lineRule="auto"/>
        <w:tabs>
          <w:tab w:leader="none" w:pos="1364"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Issuer is the surviving Person or the Person formed by or surviving any such consolidation, amalgamation, merger or winding-up (if other than such Issuer) or to which such sale, assignment, transfer, lease, conveyance or other disposition will have been made is a company, corporation, partnership, trust or limited liability company or other business entity organized or existing under the laws of any member state in the European Union, the United Kingdom, Norway, Switzerland or the United States, any state thereof, the District of Columbia, or any territory thereof (collectively, the “</w:t>
      </w:r>
      <w:r>
        <w:rPr>
          <w:rFonts w:ascii="Times New Roman" w:cs="Times New Roman" w:eastAsia="Times New Roman" w:hAnsi="Times New Roman"/>
          <w:sz w:val="12"/>
          <w:szCs w:val="12"/>
          <w:u w:val="single" w:color="auto"/>
          <w:color w:val="auto"/>
        </w:rPr>
        <w:t>Permitted Jurisdictions</w:t>
      </w:r>
      <w:r>
        <w:rPr>
          <w:rFonts w:ascii="Times New Roman" w:cs="Times New Roman" w:eastAsia="Times New Roman" w:hAnsi="Times New Roman"/>
          <w:sz w:val="12"/>
          <w:szCs w:val="12"/>
          <w:color w:val="auto"/>
        </w:rPr>
        <w:t>,” and such Issuer or such Person, as the case may be, being herein called the “</w:t>
      </w:r>
      <w:r>
        <w:rPr>
          <w:rFonts w:ascii="Times New Roman" w:cs="Times New Roman" w:eastAsia="Times New Roman" w:hAnsi="Times New Roman"/>
          <w:sz w:val="12"/>
          <w:szCs w:val="12"/>
          <w:u w:val="single" w:color="auto"/>
          <w:color w:val="auto"/>
        </w:rPr>
        <w:t>Successor 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giving effect to any such transaction, an entity that is organized or existing under the laws of the United States, any state thereof or the District of Columbia, shall be or become the issuer or a co-issuer of the Notes;</w:t>
      </w:r>
    </w:p>
    <w:p>
      <w:pPr>
        <w:spacing w:after="0" w:line="8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Company (if other than such Issuer) expressly assumes all the obligations of such Issuer under this Indenture and the Notes pursuant to supplemental indentures or other applicable documents or instruments;</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giving effect to such transaction (and treating any Indebtedness that becomes an obligation of the Successor Company or any of its Restricted Subsidiaries as a result of such transaction as having been Incurred by the Successor Company or such Restricted Subsidiary at the time of such transaction), no Default shall have occurred and be continuing;</w:t>
      </w:r>
    </w:p>
    <w:p>
      <w:pPr>
        <w:spacing w:after="0" w:line="78" w:lineRule="exact"/>
        <w:rPr>
          <w:rFonts w:ascii="Times New Roman" w:cs="Times New Roman" w:eastAsia="Times New Roman" w:hAnsi="Times New Roman"/>
          <w:sz w:val="12"/>
          <w:szCs w:val="12"/>
          <w:color w:val="auto"/>
        </w:rPr>
      </w:pPr>
    </w:p>
    <w:p>
      <w:pPr>
        <w:jc w:val="both"/>
        <w:ind w:left="460" w:firstLine="460"/>
        <w:spacing w:after="0" w:line="237" w:lineRule="auto"/>
        <w:tabs>
          <w:tab w:leader="none" w:pos="1364"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immediately after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to such transaction, as if such transaction had occurred at the beginning of the applicable four-quarter period (and treating any Indebtedness that becomes an obligation of the Successor Company or any of the Restricted Subsidiaries as a result of such transaction as having been Incurred by the Successor Company or such Restricted Subsidiary at the time of such transaction), either</w:t>
      </w:r>
    </w:p>
    <w:p>
      <w:pPr>
        <w:spacing w:after="0" w:line="88"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2"/>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Company would be permitted to Incur at least $1.00 of additional Indebtedness pursuant to Section 4.03(a); or</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2"/>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Fixed Charge Coverage Ratio of the Company would be no less than such ratio immediately prior to such transaction;</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Issuer is not the Successor Company, each Guarantor, unless it is the other party to the transactions described above, shall have by supplemental indenture confirmed that its Guarantee shall apply to such Successor Company’s obligations under this Indenture and the Notes;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64</w:t>
      </w:r>
    </w:p>
    <w:p>
      <w:pPr>
        <w:sectPr>
          <w:pgSz w:w="11900" w:h="16840" w:orient="portrait"/>
          <w:cols w:equalWidth="0" w:num="1">
            <w:col w:w="10620"/>
          </w:cols>
          <w:pgMar w:left="640" w:top="1440" w:right="640" w:bottom="1440" w:gutter="0" w:footer="0" w:header="0"/>
        </w:sectPr>
      </w:pPr>
    </w:p>
    <w:bookmarkStart w:id="241" w:name="page242"/>
    <w:bookmarkEnd w:id="241"/>
    <w:p>
      <w:pPr>
        <w:spacing w:after="0" w:line="148" w:lineRule="exact"/>
        <w:rPr>
          <w:sz w:val="20"/>
          <w:szCs w:val="20"/>
          <w:color w:val="auto"/>
        </w:rPr>
      </w:pPr>
    </w:p>
    <w:p>
      <w:pPr>
        <w:ind w:left="460" w:right="20" w:firstLine="460"/>
        <w:spacing w:after="0" w:line="253" w:lineRule="auto"/>
        <w:tabs>
          <w:tab w:leader="none" w:pos="1364"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Company shall have delivered to the Trustee an Officer’s Certificate and an Opinion of Counsel, each stating that such consolidation, merger, amalgamation or transfer and such supplemental indentures (if any) comply with this Section 5.01 and that all conditions precedent provided for in this Indenture relating to such transaction have been complied with.</w:t>
      </w:r>
    </w:p>
    <w:p>
      <w:pPr>
        <w:spacing w:after="0" w:line="90" w:lineRule="exact"/>
        <w:rPr>
          <w:sz w:val="20"/>
          <w:szCs w:val="20"/>
          <w:color w:val="auto"/>
        </w:rPr>
      </w:pPr>
    </w:p>
    <w:p>
      <w:pPr>
        <w:jc w:val="both"/>
        <w:ind w:firstLine="457"/>
        <w:spacing w:after="0" w:line="254" w:lineRule="auto"/>
        <w:rPr>
          <w:sz w:val="20"/>
          <w:szCs w:val="20"/>
          <w:color w:val="auto"/>
        </w:rPr>
      </w:pPr>
      <w:r>
        <w:rPr>
          <w:rFonts w:ascii="Times New Roman" w:cs="Times New Roman" w:eastAsia="Times New Roman" w:hAnsi="Times New Roman"/>
          <w:sz w:val="12"/>
          <w:szCs w:val="12"/>
          <w:color w:val="auto"/>
        </w:rPr>
        <w:t xml:space="preserve">The Successor Company (if other than an Issuer) will succeed to, and be substituted for, the applicable Issuer under this Indenture and the Notes, and in such event (other than in connection with a lease) the applicable Issuer will automatically be released and discharged from its obligations under this Indenture and the Notes. Notwithstanding the foregoing clauses (iii) and (iv) of this Section 5.01(a), (A) any Restricted Subsidiary may merge, consolidate or amalgamate with an Issuer,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(x) after giving effect to such transaction, no Default shall have occurred and be continuing and (y) such Issuer is the Successor Company, and (B) an Issuer may merge, consolidate or amalgamate with an Affiliate of the Company incorporated or organized solely for the purpose of reincorporating or reorganizing such Issuer in any Permitted Jurisdiction, so long as the amount of Indebtedness of the Company and its Restricted Subsidiaries is not increased thereby;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giving effect to any such merger, consolidation or amalgamation, an entity that is organized or existing under the laws of the United States, any state thereof or the District of Columbia, shall be or become the issuer or a co-issuer of the Notes. This Section 5.01 will not restrict a sale, assignment, transfer, conveyance or other disposition of assets between or among the Company and its Restricted Subsidiaries.</w:t>
      </w:r>
    </w:p>
    <w:p>
      <w:pPr>
        <w:spacing w:after="0" w:line="91" w:lineRule="exact"/>
        <w:rPr>
          <w:sz w:val="20"/>
          <w:szCs w:val="20"/>
          <w:color w:val="auto"/>
        </w:rPr>
      </w:pPr>
    </w:p>
    <w:p>
      <w:pPr>
        <w:ind w:right="20" w:firstLine="463"/>
        <w:spacing w:after="0" w:line="253" w:lineRule="auto"/>
        <w:tabs>
          <w:tab w:leader="none" w:pos="904"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Section 12.03, no Guarantor will, and the Company will not permit any such Guarantor to, consolidate, amalgamate or merge with or into or wind up into (whether or not such Guarantor is the surviving Person), or sell, assign, transfer, lease, convey or otherwise dispose of all or substantially all of its properties or assets in one or more related transactions to, any Person unless:</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25" w:lineRule="auto"/>
        <w:tabs>
          <w:tab w:leader="none" w:pos="1364"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(a) such Guarantor is the surviving Person or the Person formed by or surviving any such consolidation, amalgamation, merger or winding up (if other than such Guarantor) or to which such sale, assignment, transfer, lease, conveyance or other disposition will have been made is a company, corporation, partnership, trust or limited liability company or other business entity organized, registered or existing under the laws of the jurisdiction in which such Guarantor was organized or registered prior to such transaction or the laws of any Permitted Jurisdiction (such Guarantor or such Person, as the case may be, being herein called the “</w:t>
      </w:r>
      <w:r>
        <w:rPr>
          <w:rFonts w:ascii="Times New Roman" w:cs="Times New Roman" w:eastAsia="Times New Roman" w:hAnsi="Times New Roman"/>
          <w:sz w:val="12"/>
          <w:szCs w:val="12"/>
          <w:u w:val="single" w:color="auto"/>
          <w:color w:val="auto"/>
        </w:rPr>
        <w:t>Successor Person</w:t>
      </w:r>
      <w:r>
        <w:rPr>
          <w:rFonts w:ascii="Times New Roman" w:cs="Times New Roman" w:eastAsia="Times New Roman" w:hAnsi="Times New Roman"/>
          <w:sz w:val="12"/>
          <w:szCs w:val="12"/>
          <w:color w:val="auto"/>
        </w:rPr>
        <w:t>”) and the Successor Person (if other than such Guarantor) expressly assumes all the obligations of such Guarantor under this Indenture and its Guarantee pursuant to a supplemental indenture or other applicable documents or instruments, or (b) such sale, assignment, transfer, lease, conveyance or other disposition or consolidation, amalgamation or merger is not in violation of Section 4.06; and</w:t>
      </w:r>
    </w:p>
    <w:p>
      <w:pPr>
        <w:spacing w:after="0" w:line="8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Person (if other than such Guarantor) shall have delivered or caused to be delivered to the Trustee an Officer’s Certificate and an Opinion of Counsel, each stating that such consolidation, amalgamation, merger or transfer and such supplemental indenture (if any) comply with this Section 5.01 and that all conditions precedent provided for in this Indenture relating to such transaction have been complied with.</w:t>
      </w:r>
    </w:p>
    <w:p>
      <w:pPr>
        <w:spacing w:after="0" w:line="97"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Except as otherwise provided in this Indenture, the Successor Person (if other than such Guarantor) will succeed to, and be substituted for, such Guarantor under this Indenture and its Guarantee, and such Guarantor will automatically be released and discharged from its obligations under this Indenture and its Guarantee. Notwithstanding the foregoing, (1) a Guarantor may merge, amalgamate or consolidate with an Affiliate of the Company incorporated or organized solely for the purpose of reincorporating or reorganizing such Guarantor in a Permitted Jurisdiction so long as the amount of Indebtedness of such Guarantor is not increased thereby and (2) a Guarantor may consolidate, amalgamate or merge with or into or wind up into, liquidate, dissolve, or sell, assign, transfer, lease, convey or otherwise dispose of all or substantially all of its properties or assets to, any Issuer or Guarantor.</w:t>
      </w:r>
    </w:p>
    <w:p>
      <w:pPr>
        <w:spacing w:after="0" w:line="9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This Section 5.01 shall not restrict the consummation of the Initial Tender Offer on the Initial Tender Offer Closing Date or the consummation of the Acquisition on the Acquisition Date, each of which shall be permitted to occur notwithstanding anything to the contrary herein.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65</w:t>
      </w:r>
    </w:p>
    <w:p>
      <w:pPr>
        <w:sectPr>
          <w:pgSz w:w="11900" w:h="16840" w:orient="portrait"/>
          <w:cols w:equalWidth="0" w:num="1">
            <w:col w:w="10620"/>
          </w:cols>
          <w:pgMar w:left="640" w:top="1440" w:right="640" w:bottom="1440" w:gutter="0" w:footer="0" w:header="0"/>
        </w:sectPr>
      </w:pPr>
    </w:p>
    <w:bookmarkStart w:id="242" w:name="page243"/>
    <w:bookmarkEnd w:id="242"/>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DEFAULTS AND REMEDIES</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6.01</w:t>
      </w:r>
      <w:r>
        <w:rPr>
          <w:sz w:val="20"/>
          <w:szCs w:val="20"/>
          <w:color w:val="auto"/>
        </w:rPr>
        <w:tab/>
      </w:r>
      <w:r>
        <w:rPr>
          <w:rFonts w:ascii="Times New Roman" w:cs="Times New Roman" w:eastAsia="Times New Roman" w:hAnsi="Times New Roman"/>
          <w:sz w:val="12"/>
          <w:szCs w:val="12"/>
          <w:u w:val="single" w:color="auto"/>
          <w:color w:val="auto"/>
        </w:rPr>
        <w:t>Events of Default</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occurs with respect to the Notes if:</w:t>
      </w:r>
    </w:p>
    <w:p>
      <w:pPr>
        <w:spacing w:after="0" w:line="109" w:lineRule="exact"/>
        <w:rPr>
          <w:sz w:val="20"/>
          <w:szCs w:val="20"/>
          <w:color w:val="auto"/>
        </w:rPr>
      </w:pPr>
    </w:p>
    <w:p>
      <w:pPr>
        <w:ind w:left="920" w:hanging="457"/>
        <w:spacing w:after="0"/>
        <w:tabs>
          <w:tab w:leader="none" w:pos="92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default in any payment of interest on any Note when due, and such default continues for a period of 30 days;</w:t>
      </w:r>
    </w:p>
    <w:p>
      <w:pPr>
        <w:spacing w:after="0" w:line="109" w:lineRule="exact"/>
        <w:rPr>
          <w:rFonts w:ascii="Times New Roman" w:cs="Times New Roman" w:eastAsia="Times New Roman" w:hAnsi="Times New Roman"/>
          <w:sz w:val="12"/>
          <w:szCs w:val="12"/>
          <w:color w:val="auto"/>
        </w:rPr>
      </w:pPr>
    </w:p>
    <w:p>
      <w:pPr>
        <w:ind w:right="40" w:firstLine="463"/>
        <w:spacing w:after="0" w:line="253" w:lineRule="auto"/>
        <w:tabs>
          <w:tab w:leader="none" w:pos="90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default in the payment of principal or premium, if any, of any Note when due at its Stated Maturity, upon redemption (including on a Special Mandatory Redemption Date), required repurchase or otherwise;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for 90 days after receipt of written notice given by the Trustee or the holders of not less than 30% in aggregate principal amount of the Notes then outstanding (with a copy to the Trustee) to comply with any of its obligations, covenants or agreements in Section 4.02;</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or any Restricted Subsidiary for 60 days after written notice given by the Trustee or the holders of not less than 30% in principal amount of the Notes then outstanding (with a copy to the Trustee) to comply with its other obligations, covenants or agreements (other than a default referred to in clause (a), (b) or (c) above) contained in the Notes or this Indenture;</w:t>
      </w:r>
    </w:p>
    <w:p>
      <w:pPr>
        <w:spacing w:after="0" w:line="80"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or any Significant Subsidiary (or any group of Subsidiaries that together would constitute a Significant Subsidiary) to pay any Indebtedness (other than Indebtedness owing to the Company or a Restricted Subsidiary) within any applicable grace period after final maturity or the acceleration of any such Indebtedness by the holders thereof because of a default (except for any such default that results from a sale, pledge or other disposition or encumbrance of Unrestricted Margin Stock), in each case, if the total amount of such Indebtedness unpaid or accelerated exceeds $125 million or its foreign currency equivalent;</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or a Significant Subsidiary (or any group of Subsidiaries that together would constitute a Significant Subsidiary) pursuant to or within the meaning of any Bankruptcy Law:</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commences a voluntary case;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consents to the entry of an order for relief against it in an involuntary case;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consents to the appointment of a Custodian of it or for any substantial part of its property;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makes a general assignment for the benefit of its creditors or takes any comparable action under any foreign laws relating to insolvency;</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court of competent jurisdiction enters an order or decree under any Bankruptcy Law that: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for relief against the Company or any Significant Subsidiary in an involuntary case;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appoints a Custodian of the Company or any Significant Subsidiary or for any substantial part of its property;</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orders the winding up of, or liquidation of or, only with respect to the Company or any Significant Subsidiary, the appointment of an examiner or administrator to the Company or any Significant Subsidiary; or any similar relief is granted under any foreign laws and, in each case, the order or decree remains unstayed and in effect for 60 days;</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or any Significant Subsidiary (or any group of Subsidiaries that together would constitute a Significant Subsidiary) to pay final judgments aggregating in excess of $125 million or its foreign currency equivalent (net of any amounts that are covered by enforceable insurance policies issued by solvent carriers), which judgments are not discharged, waived or stayed for a period of 75 days; or</w:t>
      </w:r>
    </w:p>
    <w:p>
      <w:pPr>
        <w:spacing w:after="0" w:line="87" w:lineRule="exact"/>
        <w:rPr>
          <w:rFonts w:ascii="Times New Roman" w:cs="Times New Roman" w:eastAsia="Times New Roman" w:hAnsi="Times New Roman"/>
          <w:sz w:val="12"/>
          <w:szCs w:val="12"/>
          <w:color w:val="auto"/>
        </w:rPr>
      </w:pPr>
    </w:p>
    <w:p>
      <w:pPr>
        <w:jc w:val="both"/>
        <w:ind w:firstLine="463"/>
        <w:spacing w:after="0" w:line="236" w:lineRule="auto"/>
        <w:tabs>
          <w:tab w:leader="none" w:pos="904"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Guarantee of a Significant Subsidiary (or any group of Guarantors that together would constitute a Significant Subsidiary) with respect to the Notes ceases to be in full force and effect (except as contemplated by the terms thereof) or any Guarantor that qualifies as a Significant Subsidiary (or any group of Guarantors that together would constitute a Significant Subsidiary) denies or disaffirms its obligations under this Indenture or any Guarantee with respect to the Notes and such Default continues for 10 days.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66</w:t>
      </w:r>
    </w:p>
    <w:p>
      <w:pPr>
        <w:sectPr>
          <w:pgSz w:w="11900" w:h="16840" w:orient="portrait"/>
          <w:cols w:equalWidth="0" w:num="1">
            <w:col w:w="10620"/>
          </w:cols>
          <w:pgMar w:left="640" w:top="1440" w:right="640" w:bottom="1440" w:gutter="0" w:footer="0" w:header="0"/>
        </w:sectPr>
      </w:pPr>
    </w:p>
    <w:bookmarkStart w:id="243" w:name="page244"/>
    <w:bookmarkEnd w:id="243"/>
    <w:p>
      <w:pPr>
        <w:spacing w:after="0" w:line="15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The foregoing shall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However, a default under clauses (c) or (d) above shall not constitute an Event of Default until the Trustee or the holders of at least 30% in principal amount of outstanding Notes notify the Issuers, with a copy to the Trustee, of the default and the Issuers fail to cure such default within the time specified in clauses (c) or (d), as applicable, after receipt of such notice. Such notice must specify the Default, demand that it be remedied and state that such notice is a “</w:t>
      </w:r>
      <w:r>
        <w:rPr>
          <w:rFonts w:ascii="Times New Roman" w:cs="Times New Roman" w:eastAsia="Times New Roman" w:hAnsi="Times New Roman"/>
          <w:sz w:val="12"/>
          <w:szCs w:val="12"/>
          <w:u w:val="single" w:color="auto"/>
          <w:color w:val="auto"/>
        </w:rPr>
        <w:t>Notice of Default</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jc w:val="both"/>
        <w:ind w:right="4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6.02 </w:t>
      </w:r>
      <w:r>
        <w:rPr>
          <w:rFonts w:ascii="Times New Roman" w:cs="Times New Roman" w:eastAsia="Times New Roman" w:hAnsi="Times New Roman"/>
          <w:sz w:val="12"/>
          <w:szCs w:val="12"/>
          <w:u w:val="single" w:color="auto"/>
          <w:color w:val="auto"/>
        </w:rPr>
        <w:t>Acceleration</w:t>
      </w:r>
      <w:r>
        <w:rPr>
          <w:rFonts w:ascii="Times New Roman" w:cs="Times New Roman" w:eastAsia="Times New Roman" w:hAnsi="Times New Roman"/>
          <w:sz w:val="12"/>
          <w:szCs w:val="12"/>
          <w:color w:val="auto"/>
        </w:rPr>
        <w:t>. If an Event of Default (other than an Event of Default specified in Section 6.01(f) or (g) hereof with respect to an Issuer) occurs and is continuing, the Trustee by notice to the Issuers or the holders of at least 30% in principal amount of outstanding Notes by notice to the Issuers, with a copy to the Trustee, may declare the principal of, premium, if any, and accrued but unpaid interest on all the Notes to be due and payable. Upon such a declaration, such principal and interest shall be due and payable immediately. If an Event of Default specified in Section 6.01(f) or (g) with respect to an Issuer occurs, the principal of, premium, if any, and interest on all the Notes will become immediately due and payable without any declaration or other act on the part of the Trustee or any holders. The holders of a majority in principal amount of outstanding Notes may rescind any such acceleration with respect to the Notes and its consequences, if:</w:t>
      </w:r>
    </w:p>
    <w:p>
      <w:pPr>
        <w:spacing w:after="0" w:line="90" w:lineRule="exact"/>
        <w:rPr>
          <w:sz w:val="20"/>
          <w:szCs w:val="20"/>
          <w:color w:val="auto"/>
        </w:rPr>
      </w:pPr>
    </w:p>
    <w:p>
      <w:pPr>
        <w:ind w:right="40" w:firstLine="463"/>
        <w:spacing w:after="0" w:line="253" w:lineRule="auto"/>
        <w:tabs>
          <w:tab w:leader="none" w:pos="904"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existing Events of Default, other than the nonpayment of the principal of, premium, if any, and interest on the Notes that have become due solely by the declaration of acceleration, have been cured or waived; and</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rescission would not conflict with any judgment or decree of a court of competent jurisdiction.</w:t>
      </w:r>
    </w:p>
    <w:p>
      <w:pPr>
        <w:spacing w:after="0" w:line="119" w:lineRule="exact"/>
        <w:rPr>
          <w:sz w:val="20"/>
          <w:szCs w:val="20"/>
          <w:color w:val="auto"/>
        </w:rPr>
      </w:pPr>
    </w:p>
    <w:p>
      <w:pPr>
        <w:ind w:right="40" w:firstLine="457"/>
        <w:spacing w:after="0" w:line="260" w:lineRule="auto"/>
        <w:rPr>
          <w:sz w:val="20"/>
          <w:szCs w:val="20"/>
          <w:color w:val="auto"/>
        </w:rPr>
      </w:pPr>
      <w:r>
        <w:rPr>
          <w:rFonts w:ascii="Times New Roman" w:cs="Times New Roman" w:eastAsia="Times New Roman" w:hAnsi="Times New Roman"/>
          <w:sz w:val="12"/>
          <w:szCs w:val="12"/>
          <w:color w:val="auto"/>
        </w:rPr>
        <w:t>In the event of any Event of Default specified in Section 6.01(e), such Event of Default and all consequences thereof (excluding, however, any resulting payment default) shall be annulled, waived and rescinded, automatically and without any action by the Trustee or the holders of the Notes, if within 20 days after such Event of Default arose the Issuers deliver an Officer’s Certificate to the Trustee stating that</w:t>
      </w:r>
    </w:p>
    <w:p>
      <w:pPr>
        <w:spacing w:after="0" w:line="1" w:lineRule="exact"/>
        <w:rPr>
          <w:sz w:val="20"/>
          <w:szCs w:val="20"/>
          <w:color w:val="auto"/>
        </w:rPr>
      </w:pPr>
    </w:p>
    <w:p>
      <w:pPr>
        <w:jc w:val="both"/>
        <w:ind w:right="20" w:firstLine="6"/>
        <w:spacing w:after="0" w:line="255" w:lineRule="auto"/>
        <w:tabs>
          <w:tab w:leader="none" w:pos="176"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Indebtedness or guarantee that is the basis for such Event of Default has been discharged, (y) the holders thereof have rescinded or waived the acceleration, notice or action (as the case may be) giving rise to such Event of Default or (z) the default that is the basis for such Event of Default has been cured, it being understood that in no event shall an acceleration of the principal amount of the Notes as described above be annulled, waived or rescinded upon the happening of any such events.</w:t>
      </w:r>
    </w:p>
    <w:p>
      <w:pPr>
        <w:spacing w:after="0" w:line="89"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6.03 </w:t>
      </w:r>
      <w:r>
        <w:rPr>
          <w:rFonts w:ascii="Times New Roman" w:cs="Times New Roman" w:eastAsia="Times New Roman" w:hAnsi="Times New Roman"/>
          <w:sz w:val="12"/>
          <w:szCs w:val="12"/>
          <w:u w:val="single" w:color="auto"/>
          <w:color w:val="auto"/>
        </w:rPr>
        <w:t>Other Remedies</w:t>
      </w:r>
      <w:r>
        <w:rPr>
          <w:rFonts w:ascii="Times New Roman" w:cs="Times New Roman" w:eastAsia="Times New Roman" w:hAnsi="Times New Roman"/>
          <w:sz w:val="12"/>
          <w:szCs w:val="12"/>
          <w:color w:val="auto"/>
        </w:rPr>
        <w:t>. If an Event of Default occurs and is continuing, the Trustee may pursue any available remedy at law or in equity to collect the payment of principal of or interest on the Notes or to enforce the performance of any provision of the Notes or this Indenture, and the Trustee shall be under no obligation to exercise any of the rights or powers under this Indenture at the request or direction of any of the holders unless such holders have offered to the Trustee indemnity or security satisfactory to it against any loss, liability or expense.</w:t>
      </w:r>
    </w:p>
    <w:p>
      <w:pPr>
        <w:spacing w:after="0" w:line="97" w:lineRule="exact"/>
        <w:rPr>
          <w:sz w:val="20"/>
          <w:szCs w:val="20"/>
          <w:color w:val="auto"/>
        </w:rPr>
      </w:pPr>
    </w:p>
    <w:p>
      <w:pPr>
        <w:jc w:val="both"/>
        <w:ind w:right="40" w:firstLine="457"/>
        <w:spacing w:after="0" w:line="267" w:lineRule="auto"/>
        <w:rPr>
          <w:sz w:val="20"/>
          <w:szCs w:val="20"/>
          <w:color w:val="auto"/>
        </w:rPr>
      </w:pPr>
      <w:r>
        <w:rPr>
          <w:rFonts w:ascii="Times New Roman" w:cs="Times New Roman" w:eastAsia="Times New Roman" w:hAnsi="Times New Roman"/>
          <w:sz w:val="12"/>
          <w:szCs w:val="12"/>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To the extent required by law, all available remedies are cumulative.</w:t>
      </w:r>
    </w:p>
    <w:p>
      <w:pPr>
        <w:spacing w:after="0" w:line="82" w:lineRule="exact"/>
        <w:rPr>
          <w:sz w:val="20"/>
          <w:szCs w:val="20"/>
          <w:color w:val="auto"/>
        </w:rPr>
      </w:pPr>
    </w:p>
    <w:p>
      <w:pPr>
        <w:jc w:val="both"/>
        <w:ind w:right="4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6.04 </w:t>
      </w:r>
      <w:r>
        <w:rPr>
          <w:rFonts w:ascii="Times New Roman" w:cs="Times New Roman" w:eastAsia="Times New Roman" w:hAnsi="Times New Roman"/>
          <w:sz w:val="12"/>
          <w:szCs w:val="12"/>
          <w:u w:val="single" w:color="auto"/>
          <w:color w:val="auto"/>
        </w:rPr>
        <w:t>Waiver of Past Defaults</w:t>
      </w:r>
      <w:r>
        <w:rPr>
          <w:rFonts w:ascii="Times New Roman" w:cs="Times New Roman" w:eastAsia="Times New Roman" w:hAnsi="Times New Roman"/>
          <w:sz w:val="12"/>
          <w:szCs w:val="12"/>
          <w:color w:val="auto"/>
        </w:rPr>
        <w:t>. Provided the Notes are not then due and payable by reason of a declaration of acceleration, the holders of a majority in principal amount of the Notes then outstanding by written notice to the Trustee may waive an existing Default and its consequences except (a) a Default in the payment of the principal of or interest on a Note, (b) a Default arising from the failure to redeem or purchase any Note when required pursuant to the terms of this Indenture or (c) a Default in respect of a provision that under Section 9.02 cannot be amended without the consent of each holder affected. When a Default is waived, it is deemed cured and the Issuers, the Trustee and the holders will be restored to their former positions and rights under this Indenture, but no such waiver shall extend to any subsequent or other Default or impair any consequent right.</w:t>
      </w:r>
    </w:p>
    <w:p>
      <w:pPr>
        <w:spacing w:after="0" w:line="90"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6.05 </w:t>
      </w:r>
      <w:r>
        <w:rPr>
          <w:rFonts w:ascii="Times New Roman" w:cs="Times New Roman" w:eastAsia="Times New Roman" w:hAnsi="Times New Roman"/>
          <w:sz w:val="12"/>
          <w:szCs w:val="12"/>
          <w:u w:val="single" w:color="auto"/>
          <w:color w:val="auto"/>
        </w:rPr>
        <w:t>Control by Majority</w:t>
      </w:r>
      <w:r>
        <w:rPr>
          <w:rFonts w:ascii="Times New Roman" w:cs="Times New Roman" w:eastAsia="Times New Roman" w:hAnsi="Times New Roman"/>
          <w:sz w:val="12"/>
          <w:szCs w:val="12"/>
          <w:color w:val="auto"/>
        </w:rPr>
        <w:t>. The holders of a majority in principal amount of outstanding Notes may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is unduly prejudicial to the rights of any other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67</w:t>
      </w:r>
    </w:p>
    <w:p>
      <w:pPr>
        <w:sectPr>
          <w:pgSz w:w="11900" w:h="16840" w:orient="portrait"/>
          <w:cols w:equalWidth="0" w:num="1">
            <w:col w:w="10640"/>
          </w:cols>
          <w:pgMar w:left="640" w:top="1440" w:right="620" w:bottom="1440" w:gutter="0" w:footer="0" w:header="0"/>
        </w:sectPr>
      </w:pPr>
    </w:p>
    <w:bookmarkStart w:id="244" w:name="page245"/>
    <w:bookmarkEnd w:id="244"/>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 (it being understood that the Trustee has no affirmative duty to ascertain whether or not any such directions are unduly prejudicial to any other holder) or that would involve the Trustee in personal liability.</w:t>
      </w:r>
    </w:p>
    <w:p>
      <w:pPr>
        <w:spacing w:after="0"/>
        <w:rPr>
          <w:sz w:val="20"/>
          <w:szCs w:val="20"/>
          <w:color w:val="auto"/>
        </w:rPr>
      </w:pPr>
      <w:r>
        <w:rPr>
          <w:rFonts w:ascii="Times New Roman" w:cs="Times New Roman" w:eastAsia="Times New Roman" w:hAnsi="Times New Roman"/>
          <w:sz w:val="12"/>
          <w:szCs w:val="12"/>
          <w:color w:val="auto"/>
        </w:rPr>
        <w:t>Prior to taking any action under this Indenture, the Trustee shall be entitled to security or indemnification satisfactory to it against all losses and expenses caused by taking or not taking such action.</w:t>
      </w:r>
    </w:p>
    <w:p>
      <w:pPr>
        <w:spacing w:after="0" w:line="9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6.06</w:t>
      </w:r>
      <w:r>
        <w:rPr>
          <w:sz w:val="20"/>
          <w:szCs w:val="20"/>
          <w:color w:val="auto"/>
        </w:rPr>
        <w:tab/>
      </w:r>
      <w:r>
        <w:rPr>
          <w:rFonts w:ascii="Times New Roman" w:cs="Times New Roman" w:eastAsia="Times New Roman" w:hAnsi="Times New Roman"/>
          <w:sz w:val="12"/>
          <w:szCs w:val="12"/>
          <w:u w:val="single" w:color="auto"/>
          <w:color w:val="auto"/>
        </w:rPr>
        <w:t>Limitation on Suits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to enforce the right to receive payment of principal, premium (if any) or interest when due, no holder may pursue any remedy with respect to this Indenture or the Notes unless: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holder has previously given the Trustee written notice that an Event of Default is continuing,</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of at least 30% in principal amount of the outstanding Notes have requested the Trustee to pursue the remedy,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holders have offered, and if requested, provided, the Trustee security or indemnity satisfactory to it against any loss, liability or expense,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has not complied with such request within 60 days after the receipt of the request and the offer of security or indemnity,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a majority in principal amount of the outstanding Notes have not given the Trustee a direction inconsistent with such request within such 60-day period.</w:t>
      </w:r>
    </w:p>
    <w:p>
      <w:pPr>
        <w:spacing w:after="0" w:line="109"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holder may not use this Indenture to prejudice the rights of another holder or to obtain a preference or priority over another holder (it being understood that the Trustee has no affirmative duty to ascertain whether or not any such actions or forbearances are unduly prejudicial to such holders).</w:t>
      </w:r>
    </w:p>
    <w:p>
      <w:pPr>
        <w:spacing w:after="0" w:line="80"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6.07 </w:t>
      </w:r>
      <w:r>
        <w:rPr>
          <w:rFonts w:ascii="Times New Roman" w:cs="Times New Roman" w:eastAsia="Times New Roman" w:hAnsi="Times New Roman"/>
          <w:sz w:val="12"/>
          <w:szCs w:val="12"/>
          <w:u w:val="single" w:color="auto"/>
          <w:color w:val="auto"/>
        </w:rPr>
        <w:t>Rights of the Holders to Receive Payment</w:t>
      </w:r>
      <w:r>
        <w:rPr>
          <w:rFonts w:ascii="Times New Roman" w:cs="Times New Roman" w:eastAsia="Times New Roman" w:hAnsi="Times New Roman"/>
          <w:sz w:val="12"/>
          <w:szCs w:val="12"/>
          <w:color w:val="auto"/>
        </w:rPr>
        <w:t>. Notwithstanding any other provision of this Indenture, the right of any holder to receive payment of principal of and interest on the Notes held by such holder, on or after the respective due dates expressed or provided for in the Notes, or to bring suit for the enforcement of any such payment on or after such respective dates, shall not be impaired or affected without the consent of such holder.</w:t>
      </w:r>
    </w:p>
    <w:p>
      <w:pPr>
        <w:spacing w:after="0" w:line="88"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6.08 </w:t>
      </w:r>
      <w:r>
        <w:rPr>
          <w:rFonts w:ascii="Times New Roman" w:cs="Times New Roman" w:eastAsia="Times New Roman" w:hAnsi="Times New Roman"/>
          <w:sz w:val="12"/>
          <w:szCs w:val="12"/>
          <w:u w:val="single" w:color="auto"/>
          <w:color w:val="auto"/>
        </w:rPr>
        <w:t>Collection Suit by Trustee</w:t>
      </w:r>
      <w:r>
        <w:rPr>
          <w:rFonts w:ascii="Times New Roman" w:cs="Times New Roman" w:eastAsia="Times New Roman" w:hAnsi="Times New Roman"/>
          <w:sz w:val="12"/>
          <w:szCs w:val="12"/>
          <w:color w:val="auto"/>
        </w:rPr>
        <w:t>. If an Event of Default specified in Section 6.01(a) or (b) occurs and is continuing, with or without the possession of any of the Notes or the production thereof in any proceeding related thereto, the Trustee may recover judgment in its own name and as trustee of an express trust and as agent and representative on behalf of the holders of the Notes against the Issuers or any other obligor on the Notes for the whole amount then due and owing (together with interest on overdue principal and (to the extent lawful) on any unpaid interest at the rate provided for in the Notes) and the amounts provided for in Section 7.06.</w:t>
      </w:r>
    </w:p>
    <w:p>
      <w:pPr>
        <w:spacing w:after="0" w:line="87"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6.09 </w:t>
      </w:r>
      <w:r>
        <w:rPr>
          <w:rFonts w:ascii="Times New Roman" w:cs="Times New Roman" w:eastAsia="Times New Roman" w:hAnsi="Times New Roman"/>
          <w:sz w:val="12"/>
          <w:szCs w:val="12"/>
          <w:u w:val="single" w:color="auto"/>
          <w:color w:val="auto"/>
        </w:rPr>
        <w:t>Trustee May File Proofs of Claim</w:t>
      </w:r>
      <w:r>
        <w:rPr>
          <w:rFonts w:ascii="Times New Roman" w:cs="Times New Roman" w:eastAsia="Times New Roman" w:hAnsi="Times New Roman"/>
          <w:sz w:val="12"/>
          <w:szCs w:val="12"/>
          <w:color w:val="auto"/>
        </w:rPr>
        <w:t>. The Trustee may file such proofs of claim, statements of interest and other papers or documents as may be necessary or advisable in order to have the claims of the Trustee (including any claim for reasonable compensation, expenses disbursements and advances of the Trustee (including counsel, accountants, experts or such other professionals as the Trustee deems necessary, advisable or appropriate)) and the holders allowed in any judicial proceedings relative to the Issuers, the Guarantors, their creditors or their property, shall be entitled to participate as a member, voting or otherwise, of any official committee of creditors appointed in such matters and, unless prohibited by law or applicable regulations,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reasonable compensation, expenses, disbursements and advances of the Trustee, its agents and its counsel, and any other amounts due to the Trustee under Section 7.06.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88" w:lineRule="exact"/>
        <w:rPr>
          <w:sz w:val="20"/>
          <w:szCs w:val="20"/>
          <w:color w:val="auto"/>
        </w:rPr>
      </w:pPr>
    </w:p>
    <w:p>
      <w:pPr>
        <w:ind w:right="4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6.10 </w:t>
      </w:r>
      <w:r>
        <w:rPr>
          <w:rFonts w:ascii="Times New Roman" w:cs="Times New Roman" w:eastAsia="Times New Roman" w:hAnsi="Times New Roman"/>
          <w:sz w:val="12"/>
          <w:szCs w:val="12"/>
          <w:u w:val="single" w:color="auto"/>
          <w:color w:val="auto"/>
        </w:rPr>
        <w:t>Priorities</w:t>
      </w:r>
      <w:r>
        <w:rPr>
          <w:rFonts w:ascii="Times New Roman" w:cs="Times New Roman" w:eastAsia="Times New Roman" w:hAnsi="Times New Roman"/>
          <w:sz w:val="12"/>
          <w:szCs w:val="12"/>
          <w:color w:val="auto"/>
        </w:rPr>
        <w:t>. Any money or property collected by the Trustee pursuant to this Article VI and any other money or property distributable in respect of the Issuers’ or any Guarantor’s obligations under this Indenture after an Event of Default shall be applied in the following order: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68</w:t>
      </w:r>
    </w:p>
    <w:p>
      <w:pPr>
        <w:sectPr>
          <w:pgSz w:w="11900" w:h="16840" w:orient="portrait"/>
          <w:cols w:equalWidth="0" w:num="1">
            <w:col w:w="10620"/>
          </w:cols>
          <w:pgMar w:left="640" w:top="1440" w:right="640" w:bottom="1440" w:gutter="0" w:footer="0" w:header="0"/>
        </w:sectPr>
      </w:pPr>
    </w:p>
    <w:bookmarkStart w:id="245" w:name="page246"/>
    <w:bookmarkEnd w:id="245"/>
    <w:p>
      <w:pPr>
        <w:spacing w:after="0" w:line="157" w:lineRule="exact"/>
        <w:rPr>
          <w:sz w:val="20"/>
          <w:szCs w:val="20"/>
          <w:color w:val="auto"/>
        </w:rPr>
      </w:pPr>
    </w:p>
    <w:p>
      <w:pPr>
        <w:ind w:left="460" w:right="40"/>
        <w:spacing w:after="0" w:line="287" w:lineRule="auto"/>
        <w:rPr>
          <w:sz w:val="20"/>
          <w:szCs w:val="20"/>
          <w:color w:val="auto"/>
        </w:rPr>
      </w:pPr>
      <w:r>
        <w:rPr>
          <w:rFonts w:ascii="Times New Roman" w:cs="Times New Roman" w:eastAsia="Times New Roman" w:hAnsi="Times New Roman"/>
          <w:sz w:val="12"/>
          <w:szCs w:val="12"/>
          <w:color w:val="auto"/>
        </w:rPr>
        <w:t>FIRST: to the Trustee (in its capacity as Trustee, Registrar and/or Paying Agent) for amounts due to it hereunder, including the reasonable compensation and expenses, disbursements and advances of the Trustee’s agents, counsel, accountants and experts in accordance with Section 7.06;</w:t>
      </w:r>
    </w:p>
    <w:p>
      <w:pPr>
        <w:spacing w:after="0" w:line="79" w:lineRule="exact"/>
        <w:rPr>
          <w:sz w:val="20"/>
          <w:szCs w:val="20"/>
          <w:color w:val="auto"/>
        </w:rPr>
      </w:pPr>
    </w:p>
    <w:p>
      <w:pPr>
        <w:ind w:left="460" w:right="20"/>
        <w:spacing w:after="0" w:line="287" w:lineRule="auto"/>
        <w:rPr>
          <w:sz w:val="20"/>
          <w:szCs w:val="20"/>
          <w:color w:val="auto"/>
        </w:rPr>
      </w:pPr>
      <w:r>
        <w:rPr>
          <w:rFonts w:ascii="Times New Roman" w:cs="Times New Roman" w:eastAsia="Times New Roman" w:hAnsi="Times New Roman"/>
          <w:sz w:val="12"/>
          <w:szCs w:val="12"/>
          <w:color w:val="auto"/>
        </w:rPr>
        <w:t>SECOND: to the holders for amounts due and unpaid on the Notes for principal, premium, if any, and interest, ratably, without preference or priority of any kind, according to the amounts due and payable on the Notes for principal and interest, respectively; and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THIRD: to the Issuers or, to the extent the Trustee collects any amount for any Guarantor, to such Guarantor.</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The Trustee may fix a record date and payment date for any payment to the holders pursuant to this Section 6.10. At least 15 days before such record date, the Trustee shall mail to each holder and the Issuers a notice that states the record date, the payment date and the amount to be paid.</w:t>
      </w:r>
    </w:p>
    <w:p>
      <w:pPr>
        <w:spacing w:after="0" w:line="70"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6.11 </w:t>
      </w:r>
      <w:r>
        <w:rPr>
          <w:rFonts w:ascii="Times New Roman" w:cs="Times New Roman" w:eastAsia="Times New Roman" w:hAnsi="Times New Roman"/>
          <w:sz w:val="12"/>
          <w:szCs w:val="12"/>
          <w:u w:val="single" w:color="auto"/>
          <w:color w:val="auto"/>
        </w:rPr>
        <w:t>Undertaking for Costs</w:t>
      </w:r>
      <w:r>
        <w:rPr>
          <w:rFonts w:ascii="Times New Roman" w:cs="Times New Roman" w:eastAsia="Times New Roman" w:hAnsi="Times New Roman"/>
          <w:sz w:val="12"/>
          <w:szCs w:val="12"/>
          <w:color w:val="auto"/>
        </w:rPr>
        <w:t>.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Notes.</w:t>
      </w:r>
    </w:p>
    <w:p>
      <w:pPr>
        <w:spacing w:after="0" w:line="87"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6.12 </w:t>
      </w:r>
      <w:r>
        <w:rPr>
          <w:rFonts w:ascii="Times New Roman" w:cs="Times New Roman" w:eastAsia="Times New Roman" w:hAnsi="Times New Roman"/>
          <w:sz w:val="12"/>
          <w:szCs w:val="12"/>
          <w:u w:val="single" w:color="auto"/>
          <w:color w:val="auto"/>
        </w:rPr>
        <w:t>Waiver of Stay or Extension Laws</w:t>
      </w:r>
      <w:r>
        <w:rPr>
          <w:rFonts w:ascii="Times New Roman" w:cs="Times New Roman" w:eastAsia="Times New Roman" w:hAnsi="Times New Roman"/>
          <w:sz w:val="12"/>
          <w:szCs w:val="12"/>
          <w:color w:val="auto"/>
        </w:rPr>
        <w:t>. None of the Issuers or any Guarantor (to the extent it may lawfully do so) shall at any time insist upon, or plead, or in any manner whatsoever claim or take the benefit or advantage of, any stay or extension law wherever enacted, now or at any time hereafter in force, which may affect the covenants or the performance of this Indenture; and the Issuers and the Guarantors (to the extent that they may lawfully do so) hereby expressly waive all benefit or advantage of any such law, and shall not hinder, delay or impede the execution of any power herein granted to the Trustee, but shall suffer and permit the execution of every such power as though no such law had been enacted.</w:t>
      </w:r>
    </w:p>
    <w:p>
      <w:pPr>
        <w:spacing w:after="0" w:line="87"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6.13</w:t>
      </w:r>
      <w:r>
        <w:rPr>
          <w:sz w:val="20"/>
          <w:szCs w:val="20"/>
          <w:color w:val="auto"/>
        </w:rPr>
        <w:tab/>
      </w:r>
      <w:r>
        <w:rPr>
          <w:rFonts w:ascii="Times New Roman" w:cs="Times New Roman" w:eastAsia="Times New Roman" w:hAnsi="Times New Roman"/>
          <w:sz w:val="12"/>
          <w:szCs w:val="12"/>
          <w:u w:val="single" w:color="auto"/>
          <w:color w:val="auto"/>
        </w:rPr>
        <w:t>Net Short Holders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63"/>
        <w:spacing w:after="0"/>
        <w:tabs>
          <w:tab w:leader="none" w:pos="904"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of Default, notice of acceleration or instruction to the Trustee to provide a notice of Default, notice of acceleration or take any other action (a “</w:t>
      </w:r>
      <w:r>
        <w:rPr>
          <w:rFonts w:ascii="Times New Roman" w:cs="Times New Roman" w:eastAsia="Times New Roman" w:hAnsi="Times New Roman"/>
          <w:sz w:val="12"/>
          <w:szCs w:val="12"/>
          <w:u w:val="single" w:color="auto"/>
          <w:color w:val="auto"/>
        </w:rPr>
        <w:t>Noteholder Direction</w:t>
      </w:r>
      <w:r>
        <w:rPr>
          <w:rFonts w:ascii="Times New Roman" w:cs="Times New Roman" w:eastAsia="Times New Roman" w:hAnsi="Times New Roman"/>
          <w:sz w:val="12"/>
          <w:szCs w:val="12"/>
          <w:color w:val="auto"/>
        </w:rPr>
        <w:t>”) provided by any one or more holders (other than any holder that is a Regulated Bank) (each, a “</w:t>
      </w:r>
      <w:r>
        <w:rPr>
          <w:rFonts w:ascii="Times New Roman" w:cs="Times New Roman" w:eastAsia="Times New Roman" w:hAnsi="Times New Roman"/>
          <w:sz w:val="12"/>
          <w:szCs w:val="12"/>
          <w:u w:val="single" w:color="auto"/>
          <w:color w:val="auto"/>
        </w:rPr>
        <w:t>Directing Holder</w:t>
      </w:r>
      <w:r>
        <w:rPr>
          <w:rFonts w:ascii="Times New Roman" w:cs="Times New Roman" w:eastAsia="Times New Roman" w:hAnsi="Times New Roman"/>
          <w:sz w:val="12"/>
          <w:szCs w:val="12"/>
          <w:color w:val="auto"/>
        </w:rPr>
        <w:t>”) must be accompanied by a written representation from each such holder to the Issuers and the Trustee that such holder is not (or, in the case such holder is the Depository or its nominee, that such holder is being instructed solely by beneficial owners that are not) Net Short (a “</w:t>
      </w:r>
      <w:r>
        <w:rPr>
          <w:rFonts w:ascii="Times New Roman" w:cs="Times New Roman" w:eastAsia="Times New Roman" w:hAnsi="Times New Roman"/>
          <w:sz w:val="12"/>
          <w:szCs w:val="12"/>
          <w:u w:val="single" w:color="auto"/>
          <w:color w:val="auto"/>
        </w:rPr>
        <w:t>Position Representation</w:t>
      </w:r>
      <w:r>
        <w:rPr>
          <w:rFonts w:ascii="Times New Roman" w:cs="Times New Roman" w:eastAsia="Times New Roman" w:hAnsi="Times New Roman"/>
          <w:sz w:val="12"/>
          <w:szCs w:val="12"/>
          <w:color w:val="auto"/>
        </w:rPr>
        <w:t xml:space="preserve">”),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Directing Holder’s Position Representation within five Business Days of request therefor (a “ </w:t>
      </w:r>
      <w:r>
        <w:rPr>
          <w:rFonts w:ascii="Times New Roman" w:cs="Times New Roman" w:eastAsia="Times New Roman" w:hAnsi="Times New Roman"/>
          <w:sz w:val="12"/>
          <w:szCs w:val="12"/>
          <w:u w:val="single" w:color="auto"/>
          <w:color w:val="auto"/>
        </w:rPr>
        <w:t>Verification Covenant</w:t>
      </w:r>
      <w:r>
        <w:rPr>
          <w:rFonts w:ascii="Times New Roman" w:cs="Times New Roman" w:eastAsia="Times New Roman" w:hAnsi="Times New Roman"/>
          <w:sz w:val="12"/>
          <w:szCs w:val="12"/>
          <w:color w:val="auto"/>
        </w:rPr>
        <w:t>”). The Trustee shall have no duty whatsoever to provide this information to the Issuers or to obtain this information for the Issuers. In any case in which the holder is the Depository or its nominee, any Position Representation or Verification Covenant required hereunder shall be provided by the beneficial owner of the Notes in lieu of the Depository or its nominee, and the Depository shall be entitled to rely on such Position Representation and Verification Covenant in delivering its direction to the Trustee.</w:t>
      </w:r>
    </w:p>
    <w:p>
      <w:pPr>
        <w:spacing w:after="0" w:line="133" w:lineRule="exact"/>
        <w:rPr>
          <w:rFonts w:ascii="Times New Roman" w:cs="Times New Roman" w:eastAsia="Times New Roman" w:hAnsi="Times New Roman"/>
          <w:sz w:val="12"/>
          <w:szCs w:val="12"/>
          <w:color w:val="auto"/>
        </w:rPr>
      </w:pPr>
    </w:p>
    <w:p>
      <w:pPr>
        <w:jc w:val="both"/>
        <w:ind w:firstLine="463"/>
        <w:spacing w:after="0" w:line="224" w:lineRule="auto"/>
        <w:tabs>
          <w:tab w:leader="none" w:pos="904"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following the delivery of a Noteholder Direction, but prior to acceleration of the Notes, the Issuers determine in good faith that there is a reasonable basis to believe a Directing Holder was, at any relevant time, in breach of its Position Representation and provide to the Trustee written evidence that the Issuers have initiated litigation (the “</w:t>
      </w: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pending a final and non-appealable determination of a court of competent jurisdiction on such matter (a “</w:t>
      </w:r>
      <w:r>
        <w:rPr>
          <w:rFonts w:ascii="Times New Roman" w:cs="Times New Roman" w:eastAsia="Times New Roman" w:hAnsi="Times New Roman"/>
          <w:sz w:val="12"/>
          <w:szCs w:val="12"/>
          <w:u w:val="single" w:color="auto"/>
          <w:color w:val="auto"/>
        </w:rPr>
        <w:t>Court Determination</w:t>
      </w:r>
      <w:r>
        <w:rPr>
          <w:rFonts w:ascii="Times New Roman" w:cs="Times New Roman" w:eastAsia="Times New Roman" w:hAnsi="Times New Roman"/>
          <w:sz w:val="12"/>
          <w:szCs w:val="12"/>
          <w:color w:val="auto"/>
        </w:rPr>
        <w:t>”). Once such written evidence has been provided to the Trustee, the Trustee shall take no further action pursuant to the related Noteholder Direction until it has actual knowledge of a Court Determination. Without limitation, if, following the delivery of a Noteholder Direction, but prior to acceleration of the Notes, the Issuers provide to the Trustee an Officer’s Certificate (a “</w:t>
      </w:r>
      <w:r>
        <w:rPr>
          <w:rFonts w:ascii="Times New Roman" w:cs="Times New Roman" w:eastAsia="Times New Roman" w:hAnsi="Times New Roman"/>
          <w:sz w:val="12"/>
          <w:szCs w:val="12"/>
          <w:u w:val="single" w:color="auto"/>
          <w:color w:val="auto"/>
        </w:rPr>
        <w:t>Verification Covenant Officer’s Certificate</w:t>
      </w:r>
      <w:r>
        <w:rPr>
          <w:rFonts w:ascii="Times New Roman" w:cs="Times New Roman" w:eastAsia="Times New Roman" w:hAnsi="Times New Roman"/>
          <w:sz w:val="12"/>
          <w:szCs w:val="12"/>
          <w:color w:val="auto"/>
        </w:rPr>
        <w:t>”) stating that a Court Determination has been made that a Directing Holder failed to satisfy its Verification Covenant, the cure period with respect to such Default shall be automatically stayed and the cure period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69</w:t>
      </w:r>
    </w:p>
    <w:p>
      <w:pPr>
        <w:sectPr>
          <w:pgSz w:w="11900" w:h="16840" w:orient="portrait"/>
          <w:cols w:equalWidth="0" w:num="1">
            <w:col w:w="10620"/>
          </w:cols>
          <w:pgMar w:left="640" w:top="1440" w:right="640" w:bottom="1440" w:gutter="0" w:footer="0" w:header="0"/>
        </w:sectPr>
      </w:pPr>
    </w:p>
    <w:bookmarkStart w:id="246" w:name="page247"/>
    <w:bookmarkEnd w:id="246"/>
    <w:p>
      <w:pPr>
        <w:spacing w:after="0" w:line="148"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2"/>
          <w:szCs w:val="12"/>
          <w:color w:val="auto"/>
        </w:rPr>
        <w:t xml:space="preserve">with respect to any Default or Event of Default that resulted from the applicable Noteholder Direction shall be automatically reinstituted and any remedy stayed, and the Trustee shall take no further action pursuant to the related Noteholder Direction, until such time as the Issuers provide the Trustee with an Officer’s Certificate that the Verification Covenant has been satisfied (a “ </w:t>
      </w:r>
      <w:r>
        <w:rPr>
          <w:rFonts w:ascii="Times New Roman" w:cs="Times New Roman" w:eastAsia="Times New Roman" w:hAnsi="Times New Roman"/>
          <w:sz w:val="12"/>
          <w:szCs w:val="12"/>
          <w:u w:val="single" w:color="auto"/>
          <w:color w:val="auto"/>
        </w:rPr>
        <w:t>Covenant Satisfaction Officer’s Certificate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Issuers shall promptly deliver such Officer’s Certificate to the Trustee upon becoming aware that the Verification Covenant has been satisfied. Any breach of the Position Representation (as confirmed by Court Determination)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this shall not invalidate any indemnity or security provided by the Directing Holders to the Trustee which obligations shall continue to survive.</w:t>
      </w:r>
    </w:p>
    <w:p>
      <w:pPr>
        <w:spacing w:after="0" w:line="88" w:lineRule="exact"/>
        <w:rPr>
          <w:sz w:val="20"/>
          <w:szCs w:val="20"/>
          <w:color w:val="auto"/>
        </w:rPr>
      </w:pPr>
    </w:p>
    <w:p>
      <w:pPr>
        <w:jc w:val="both"/>
        <w:ind w:right="40" w:firstLine="463"/>
        <w:spacing w:after="0" w:line="236" w:lineRule="auto"/>
        <w:tabs>
          <w:tab w:leader="none" w:pos="904"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Sections 6.13(a) or 6.13(b) to the contrary, any Noteholder Direction delivered to the Trustee during the pendency of an Event of Default as the result of a bankruptcy or similar proceeding shall not require compliance with Sections 6.13(a) or 6.13(b). In addition, for the avoidance of doubt, Sections 6.13(a) and 6.13(b) shall not apply to any holder that is a Regulated Bank;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 Regulated Bank is a Directing Holder or a beneficial owner directing the Depository it shall provide a written representation to the Issuers that it is a Regulated Bank.</w:t>
      </w:r>
    </w:p>
    <w:p>
      <w:pPr>
        <w:spacing w:after="0" w:line="87" w:lineRule="exact"/>
        <w:rPr>
          <w:rFonts w:ascii="Times New Roman" w:cs="Times New Roman" w:eastAsia="Times New Roman" w:hAnsi="Times New Roman"/>
          <w:sz w:val="12"/>
          <w:szCs w:val="12"/>
          <w:color w:val="auto"/>
        </w:rPr>
      </w:pPr>
    </w:p>
    <w:p>
      <w:pPr>
        <w:ind w:firstLine="463"/>
        <w:spacing w:after="0"/>
        <w:tabs>
          <w:tab w:leader="none" w:pos="904"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Trustee shall be entitled to conclusively rely on any Noteholder Direction, Position Representation, Verification Covenant, Officer’s Certificate or other document delivered to it pursuant to this Section 6.13,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shall have no liability for ceasing to take any action, staying any remedy or otherwise failing to act in accordance with a Noteholder Direction during the pendency of Litigation or a Noteholder Direction after a Verification Covenant Officer’s Certificate has been provided to it but prior to receipt of a Covenant Satisfaction Officer’s Certificate. The Trustee shall have no liability or responsibility to the Company, any holder or any other Person in connection with any Noteholder Direction. In no event shall the Trustee be obligated to ascertain, calculate, monitor, or otherwise make any determination as to whether any holder is Net Short, nor shall it have any liability to the Issuers, any holder or any other person in acting in good faith on a Noteholder Direction or to determine whether any Net Short holder has delivered a Position Representation.</w:t>
      </w:r>
    </w:p>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0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b w:val="1"/>
          <w:bCs w:val="1"/>
          <w:color w:val="auto"/>
        </w:rPr>
        <w:t>TRUSTEE</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7.01</w:t>
      </w:r>
      <w:r>
        <w:rPr>
          <w:sz w:val="20"/>
          <w:szCs w:val="20"/>
          <w:color w:val="auto"/>
        </w:rPr>
        <w:tab/>
      </w:r>
      <w:r>
        <w:rPr>
          <w:rFonts w:ascii="Times New Roman" w:cs="Times New Roman" w:eastAsia="Times New Roman" w:hAnsi="Times New Roman"/>
          <w:sz w:val="12"/>
          <w:szCs w:val="12"/>
          <w:u w:val="single" w:color="auto"/>
          <w:color w:val="auto"/>
        </w:rPr>
        <w:t>Duties of Trustee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6" w:lineRule="auto"/>
        <w:tabs>
          <w:tab w:leader="none" w:pos="904"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prior to the occurrence of an Event of Default with respect to the Notes and after the curing or waiving of all Events of Default which may have occurred, undertakes to perform such duties and only such duties as are specifically set forth in this Indenture. If an Event of Default has occurred and is continuing and is actually known to a Trust Officer,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during the continuance of an Event of Default:</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duties of the Trustee will be determined solely by the express provisions of this Indenture and the other Notes Documents, and the Trustee undertakes to perform such duties and only such duties as are specifically set forth in this Indenture or the other Notes Documents and no implied covenants or obligations shall be read into this Indenture and the other Notes Documents against the Trustee (it being agreed that the permissive right of the Trustee to do things enumerated in this Indenture and the other Notes Documents shall not be construed as a duty); and</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willful misconduct on its part, the Trustee may conclusively rely, as to the truth of the statements and the correctness of the opinions expressed therein,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not only as to due execution, validity and effectiveness, but also as to the truth and accuracy of any information contained therein and furnished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70</w:t>
      </w:r>
    </w:p>
    <w:p>
      <w:pPr>
        <w:sectPr>
          <w:pgSz w:w="11900" w:h="16840" w:orient="portrait"/>
          <w:cols w:equalWidth="0" w:num="1">
            <w:col w:w="10640"/>
          </w:cols>
          <w:pgMar w:left="640" w:top="1440" w:right="620" w:bottom="1440" w:gutter="0" w:footer="0" w:header="0"/>
        </w:sectPr>
      </w:pPr>
    </w:p>
    <w:bookmarkStart w:id="247" w:name="page248"/>
    <w:bookmarkEnd w:id="247"/>
    <w:p>
      <w:pPr>
        <w:spacing w:after="0" w:line="148" w:lineRule="exact"/>
        <w:rPr>
          <w:sz w:val="20"/>
          <w:szCs w:val="20"/>
          <w:color w:val="auto"/>
        </w:rPr>
      </w:pPr>
    </w:p>
    <w:p>
      <w:pPr>
        <w:jc w:val="both"/>
        <w:ind w:left="460" w:right="20"/>
        <w:spacing w:after="0" w:line="231" w:lineRule="auto"/>
        <w:rPr>
          <w:sz w:val="20"/>
          <w:szCs w:val="20"/>
          <w:color w:val="auto"/>
        </w:rPr>
      </w:pPr>
      <w:r>
        <w:rPr>
          <w:rFonts w:ascii="Times New Roman" w:cs="Times New Roman" w:eastAsia="Times New Roman" w:hAnsi="Times New Roman"/>
          <w:sz w:val="12"/>
          <w:szCs w:val="12"/>
          <w:color w:val="auto"/>
        </w:rPr>
        <w:t>Trustee and conforming to the requirements of this Indenture and the other Notes Documents, as applicable. The Trustee shall be under no duty to make any investigation as to any statement contained in any such instance, but may accept the same as conclusive evidence of the truth and accuracy of such statement or the correctness of such opinions. However, in the case of certificates or opinions required by any provision hereof to be provided to it, the Trustee shall examine the form of certificates and opinions to determine whether or not they conform on their face to the requirements of this Indenture and the other Notes Documents, as applicable (but need not confirm or investigate the accuracy of mathematical calculations or other facts stated therein).</w:t>
      </w:r>
    </w:p>
    <w:p>
      <w:pPr>
        <w:spacing w:after="0" w:line="87" w:lineRule="exact"/>
        <w:rPr>
          <w:sz w:val="20"/>
          <w:szCs w:val="20"/>
          <w:color w:val="auto"/>
        </w:rPr>
      </w:pPr>
    </w:p>
    <w:p>
      <w:pPr>
        <w:ind w:left="920" w:hanging="457"/>
        <w:spacing w:after="0"/>
        <w:tabs>
          <w:tab w:leader="none" w:pos="92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not be relieved from liability for its own grossly negligent action, its own grossly negligent failure to act or its own willful misconduct, except that: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(c) does not limit the effect of clause (b) of this Section 7.01;</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liable for any error of judgment made in good faith by a Trust Officer unless it is proved that the Trustee was negligent in ascertaining the pertinent facts;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liable with respect to any action it takes or omits to take in good faith in accordance with a direction received by it pursuant to the terms hereof; and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provision of this Indenture or the other Notes Documents, as applicable, shall require the Trustee to expend or risk its own funds or otherwise Incur financial liability in the performance of any of its duties hereunder, thereunder or in the exercise of any of its rights or powers.</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expressly so provided herein, every provision of this Indenture and the other Notes Documents that in any way relates to the Trustee is subject to Sections 7.01 and 7.02 hereof.</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liable for interest on any money received by it except as the Trustee may agree in writing with the Issuers.</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 held in trust by the Trustee need not be segregated from other funds except to the extent required by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Every provision of this Indenture and the other Notes Documents relating to the conduct or affecting the liability of or affording protection to the Trustee shall be subject to the provisions of this</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7.01.</w:t>
      </w:r>
    </w:p>
    <w:p>
      <w:pPr>
        <w:spacing w:after="0" w:line="93" w:lineRule="exact"/>
        <w:rPr>
          <w:rFonts w:ascii="Times New Roman" w:cs="Times New Roman" w:eastAsia="Times New Roman" w:hAnsi="Times New Roman"/>
          <w:sz w:val="12"/>
          <w:szCs w:val="12"/>
          <w:color w:val="auto"/>
        </w:rPr>
      </w:pPr>
    </w:p>
    <w:p>
      <w:pPr>
        <w:jc w:val="both"/>
        <w:ind w:firstLine="463"/>
        <w:spacing w:after="0" w:line="226" w:lineRule="auto"/>
        <w:tabs>
          <w:tab w:leader="none" w:pos="904"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holder of the Notes and each Issuer appoints Wilmington Trust, National Association, in its capacity as Trustee, to act as an agent and representative (</w:t>
      </w:r>
      <w:r>
        <w:rPr>
          <w:rFonts w:ascii="Times New Roman" w:cs="Times New Roman" w:eastAsia="Times New Roman" w:hAnsi="Times New Roman"/>
          <w:sz w:val="12"/>
          <w:szCs w:val="12"/>
          <w:i w:val="1"/>
          <w:iCs w:val="1"/>
          <w:color w:val="auto"/>
        </w:rPr>
        <w:t>fuldmægtig og repræsentant</w:t>
      </w:r>
      <w:r>
        <w:rPr>
          <w:rFonts w:ascii="Times New Roman" w:cs="Times New Roman" w:eastAsia="Times New Roman" w:hAnsi="Times New Roman"/>
          <w:sz w:val="12"/>
          <w:szCs w:val="12"/>
          <w:color w:val="auto"/>
        </w:rPr>
        <w:t xml:space="preserve">) for such holder of the Notes pursuant to chapter 4, including, but not limited to Section 18(1), cf. Section 1(2), of the Danish Capital Markets Act and authorizes the Trustee in its name and on its behalf to perform the duties and to exercise the rights, powers, authorities and discretions that are given to it under or in connection with this Indenture and the Notes, including, among others, to hold the Guarantees on behalf of and for benefit of holders of the Notes. The Issuers and the Trustee shall use reasonable efforts to register the Trustee with the Danish Financial Supervisory Authority (in Danish: </w:t>
      </w:r>
      <w:r>
        <w:rPr>
          <w:rFonts w:ascii="Times New Roman" w:cs="Times New Roman" w:eastAsia="Times New Roman" w:hAnsi="Times New Roman"/>
          <w:sz w:val="12"/>
          <w:szCs w:val="12"/>
          <w:i w:val="1"/>
          <w:iCs w:val="1"/>
          <w:color w:val="auto"/>
        </w:rPr>
        <w:t>Finanstilsynet</w:t>
      </w:r>
      <w:r>
        <w:rPr>
          <w:rFonts w:ascii="Times New Roman" w:cs="Times New Roman" w:eastAsia="Times New Roman" w:hAnsi="Times New Roman"/>
          <w:sz w:val="12"/>
          <w:szCs w:val="12"/>
          <w:color w:val="auto"/>
        </w:rPr>
        <w:t xml:space="preserve">) in accordance with the Danish Capital Markets Act, and the Issuers and the Trustee shall provide all information reasonably required for registration in the Danish Financial Supervisory Authority's register of representatives (in Danish: </w:t>
      </w:r>
      <w:r>
        <w:rPr>
          <w:rFonts w:ascii="Times New Roman" w:cs="Times New Roman" w:eastAsia="Times New Roman" w:hAnsi="Times New Roman"/>
          <w:sz w:val="12"/>
          <w:szCs w:val="12"/>
          <w:i w:val="1"/>
          <w:iCs w:val="1"/>
          <w:color w:val="auto"/>
        </w:rPr>
        <w:t>Finanstilsynets register over repræsentanter for obligationsudstedelser</w:t>
      </w:r>
      <w:r>
        <w:rPr>
          <w:rFonts w:ascii="Times New Roman" w:cs="Times New Roman" w:eastAsia="Times New Roman" w:hAnsi="Times New Roman"/>
          <w:sz w:val="12"/>
          <w:szCs w:val="12"/>
          <w:color w:val="auto"/>
        </w:rPr>
        <w:t>).</w:t>
      </w:r>
    </w:p>
    <w:p>
      <w:pPr>
        <w:spacing w:after="0" w:line="8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7.02</w:t>
      </w:r>
      <w:r>
        <w:rPr>
          <w:sz w:val="20"/>
          <w:szCs w:val="20"/>
          <w:color w:val="auto"/>
        </w:rPr>
        <w:tab/>
      </w:r>
      <w:r>
        <w:rPr>
          <w:rFonts w:ascii="Times New Roman" w:cs="Times New Roman" w:eastAsia="Times New Roman" w:hAnsi="Times New Roman"/>
          <w:sz w:val="12"/>
          <w:szCs w:val="12"/>
          <w:u w:val="single" w:color="auto"/>
          <w:color w:val="auto"/>
        </w:rPr>
        <w:t>Rights of Trustee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firstLine="463"/>
        <w:spacing w:after="0" w:line="253" w:lineRule="auto"/>
        <w:tabs>
          <w:tab w:leader="none" w:pos="904"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conclusively rely on any document believed by it to be genuine and to have been signed or presented by the proper person. The Trustee need not investigate any fact or matter stated in the document.</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the Trustee acts or refrains from acting, it may require an Officer’s Certificate or an Opinion of Counsel or both. The Trustee shall not be liable for any action it takes or omits to take in good faith in reliance on the Officer’s Certificate or Opinion of Counsel.</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act through agents and shall not be responsible for the misconduct or negligence of any agent appointed with due care.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any action it takes or omits to take in good faith which it believes to be authorized or within its rights or powers.</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consult with counsel of its own selection and the advice or opinion of counsel with respect to legal matters relating to this Indenture and the Notes shall be full and complete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authorization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71</w:t>
      </w:r>
    </w:p>
    <w:p>
      <w:pPr>
        <w:sectPr>
          <w:pgSz w:w="11900" w:h="16840" w:orient="portrait"/>
          <w:cols w:equalWidth="0" w:num="1">
            <w:col w:w="10620"/>
          </w:cols>
          <w:pgMar w:left="640" w:top="1440" w:right="640" w:bottom="1440" w:gutter="0" w:footer="0" w:header="0"/>
        </w:sectPr>
      </w:pPr>
    </w:p>
    <w:bookmarkStart w:id="248" w:name="page249"/>
    <w:bookmarkEnd w:id="248"/>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protection from liability in respect of any action taken, omitted or suffered by it hereunder in good faith and in accordance with the advice or opinion of such counsel.</w:t>
      </w:r>
    </w:p>
    <w:p>
      <w:pPr>
        <w:spacing w:after="0" w:line="109" w:lineRule="exact"/>
        <w:rPr>
          <w:sz w:val="20"/>
          <w:szCs w:val="20"/>
          <w:color w:val="auto"/>
        </w:rPr>
      </w:pPr>
    </w:p>
    <w:p>
      <w:pPr>
        <w:jc w:val="both"/>
        <w:ind w:firstLine="463"/>
        <w:spacing w:after="0" w:line="231"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 Notes at the time outstanding,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Issuers, personally or by agent or attorney, at the expense of the Issuers and shall Incur no liability of any kind by reason of such inquiry or investigation.</w:t>
      </w:r>
    </w:p>
    <w:p>
      <w:pPr>
        <w:spacing w:after="0" w:line="87"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any loss, liability or expense.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80"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deemed to have received notice of any Default or Event of Default unless a Trust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request that the Issuers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87"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punitive, special, indirect, or consequential loss or damage of any kind whatsoever (including, but not limited to, loss of profit) irrespective of whether the Trustee has been advised of the likelihood of such loss or damage and regardless of the form of actions.</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required to give any bond or surety in respect of the execution of the trusts and powers under this Indenture.</w:t>
      </w:r>
    </w:p>
    <w:p>
      <w:pPr>
        <w:spacing w:after="0" w:line="109"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any failure or delay in the performance of its obligations under this Indenture arising out of or caused, directly or indirectly, by circumstances beyond its reasonable control, including, without limitation, any act or provision of any present or future law or regulation or governmental authority; acts of God; earthquakes; fire; flood; terrorism; wars and other military disturbances; sabotage; epidemics or pandemics; riots; interruptions, loss or malfunction of utilities, computer (hardware or software) or communication services; accidents; labor disputes; and acts of civil or military authorities and governmental action; or the unavailability of the Federal Reserve Bank wire or telex or other wire or communication facility.</w:t>
      </w:r>
    </w:p>
    <w:p>
      <w:pPr>
        <w:spacing w:after="0" w:line="87"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7.03 </w:t>
      </w:r>
      <w:r>
        <w:rPr>
          <w:rFonts w:ascii="Times New Roman" w:cs="Times New Roman" w:eastAsia="Times New Roman" w:hAnsi="Times New Roman"/>
          <w:sz w:val="12"/>
          <w:szCs w:val="12"/>
          <w:u w:val="single" w:color="auto"/>
          <w:color w:val="auto"/>
        </w:rPr>
        <w:t>Individual Rights of Trustee</w:t>
      </w:r>
      <w:r>
        <w:rPr>
          <w:rFonts w:ascii="Times New Roman" w:cs="Times New Roman" w:eastAsia="Times New Roman" w:hAnsi="Times New Roman"/>
          <w:sz w:val="12"/>
          <w:szCs w:val="12"/>
          <w:color w:val="auto"/>
        </w:rPr>
        <w:t>. The Trustee in its individual or any other capacity may become the owner or pledgee of Notes and may otherwise deal with the Issuers or their Affiliates with the same rights it would have if it were not Trustee. Any Paying Agent or Registrar may do the same with like rights. However, the Trustee must comply with Sections 7.09 and 7.10.</w:t>
      </w:r>
    </w:p>
    <w:p>
      <w:pPr>
        <w:spacing w:after="0" w:line="80"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7.04 </w:t>
      </w:r>
      <w:r>
        <w:rPr>
          <w:rFonts w:ascii="Times New Roman" w:cs="Times New Roman" w:eastAsia="Times New Roman" w:hAnsi="Times New Roman"/>
          <w:sz w:val="12"/>
          <w:szCs w:val="12"/>
          <w:u w:val="single" w:color="auto"/>
          <w:color w:val="auto"/>
        </w:rPr>
        <w:t>Trustee’s Disclaimer</w:t>
      </w:r>
      <w:r>
        <w:rPr>
          <w:rFonts w:ascii="Times New Roman" w:cs="Times New Roman" w:eastAsia="Times New Roman" w:hAnsi="Times New Roman"/>
          <w:sz w:val="12"/>
          <w:szCs w:val="12"/>
          <w:color w:val="auto"/>
        </w:rPr>
        <w:t>. The Trustee shall not be responsible for and makes no representation as to the validity or adequacy of this Indenture, the Guarantees or the Notes, it shall not be accountable for the Issuers’ use of the proceeds from the Notes, and it shall not be responsible for any statement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72</w:t>
      </w:r>
    </w:p>
    <w:p>
      <w:pPr>
        <w:sectPr>
          <w:pgSz w:w="11900" w:h="16840" w:orient="portrait"/>
          <w:cols w:equalWidth="0" w:num="1">
            <w:col w:w="10620"/>
          </w:cols>
          <w:pgMar w:left="640" w:top="1440" w:right="640" w:bottom="1440" w:gutter="0" w:footer="0" w:header="0"/>
        </w:sectPr>
      </w:pPr>
    </w:p>
    <w:bookmarkStart w:id="249" w:name="page250"/>
    <w:bookmarkEnd w:id="249"/>
    <w:p>
      <w:pPr>
        <w:spacing w:after="0" w:line="148" w:lineRule="exact"/>
        <w:rPr>
          <w:sz w:val="20"/>
          <w:szCs w:val="20"/>
          <w:color w:val="auto"/>
        </w:rPr>
      </w:pPr>
    </w:p>
    <w:p>
      <w:pPr>
        <w:jc w:val="both"/>
        <w:ind w:right="40"/>
        <w:spacing w:after="0" w:line="227" w:lineRule="auto"/>
        <w:rPr>
          <w:sz w:val="20"/>
          <w:szCs w:val="20"/>
          <w:color w:val="auto"/>
        </w:rPr>
      </w:pPr>
      <w:r>
        <w:rPr>
          <w:rFonts w:ascii="Times New Roman" w:cs="Times New Roman" w:eastAsia="Times New Roman" w:hAnsi="Times New Roman"/>
          <w:sz w:val="12"/>
          <w:szCs w:val="12"/>
          <w:color w:val="auto"/>
        </w:rPr>
        <w:t>the Issuers or any Guarantor in this Indenture or in any document issued in connection with the sale of the Notes or in the Notes other than the Trustee’s certificate of authentication. The Trustee shall not be charged with knowledge of any Default or Event of Default under Sections 6.01(c), (d), (e), (f), (g), (h) or (i), or of the identity of any Significant Subsidiary unless either (a) a Trust Officer shall have actual knowledge thereof or (b) the Trustee shall have received written notice thereof in accordance with Section 13.01 hereof from the Issuers, any Guarantor or any holder. In accepting the trust hereby created, the Trustee acts solely as Trustee under this Indenture and not in its individual capacity and all persons, including without limitation the holders of Notes and the Issuers having any claim against the Trustee arising from this Indenture shall look only to the funds and accounts held by the Trustee hereunder for payment except as otherwise provided herein.</w:t>
      </w:r>
    </w:p>
    <w:p>
      <w:pPr>
        <w:spacing w:after="0" w:line="90"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7.05 </w:t>
      </w:r>
      <w:r>
        <w:rPr>
          <w:rFonts w:ascii="Times New Roman" w:cs="Times New Roman" w:eastAsia="Times New Roman" w:hAnsi="Times New Roman"/>
          <w:sz w:val="12"/>
          <w:szCs w:val="12"/>
          <w:u w:val="single" w:color="auto"/>
          <w:color w:val="auto"/>
        </w:rPr>
        <w:t>Notice of Defaults</w:t>
      </w:r>
      <w:r>
        <w:rPr>
          <w:rFonts w:ascii="Times New Roman" w:cs="Times New Roman" w:eastAsia="Times New Roman" w:hAnsi="Times New Roman"/>
          <w:sz w:val="12"/>
          <w:szCs w:val="12"/>
          <w:color w:val="auto"/>
        </w:rPr>
        <w:t>. If a Default occurs and is continuing and is actually known to a Trust Officer of the Trustee, the Trustee shall mail, or deliver electronically if the Notes are held by the Depository, to each holder of the Notes notice of the Default within 30 days after it is actually known to a Trust Officer or written notice of it is received by the Trustee. Except in the case of a Default in the payment of principal of, premium (if any) or interest on any Note, the Trustee may withhold notice if and so long as it determines that withholding notice is in the interests of the noteholders. The Issuers are required to deliver to the Trustee, annually, a certificate indicating whether the signers thereof know of any Default that occurred during the previous year. The Issuers also are required to deliver to the Trustee, within 30 days after the occurrence thereof, written notice of any event which would constitute certain Defaults, their status and what action the Issuers are taking or proposes to take in respect thereof.</w:t>
      </w:r>
    </w:p>
    <w:p>
      <w:pPr>
        <w:spacing w:after="0" w:line="90" w:lineRule="exact"/>
        <w:rPr>
          <w:sz w:val="20"/>
          <w:szCs w:val="20"/>
          <w:color w:val="auto"/>
        </w:rPr>
      </w:pPr>
    </w:p>
    <w:p>
      <w:pPr>
        <w:jc w:val="both"/>
        <w:ind w:firstLine="457"/>
        <w:spacing w:after="0" w:line="220" w:lineRule="auto"/>
        <w:rPr>
          <w:sz w:val="20"/>
          <w:szCs w:val="20"/>
          <w:color w:val="auto"/>
        </w:rPr>
      </w:pPr>
      <w:r>
        <w:rPr>
          <w:rFonts w:ascii="Times New Roman" w:cs="Times New Roman" w:eastAsia="Times New Roman" w:hAnsi="Times New Roman"/>
          <w:sz w:val="12"/>
          <w:szCs w:val="12"/>
          <w:color w:val="auto"/>
        </w:rPr>
        <w:t xml:space="preserve">SECTION 7.06 </w:t>
      </w:r>
      <w:r>
        <w:rPr>
          <w:rFonts w:ascii="Times New Roman" w:cs="Times New Roman" w:eastAsia="Times New Roman" w:hAnsi="Times New Roman"/>
          <w:sz w:val="12"/>
          <w:szCs w:val="12"/>
          <w:u w:val="single" w:color="auto"/>
          <w:color w:val="auto"/>
        </w:rPr>
        <w:t>Compensation and Indemnity</w:t>
      </w:r>
      <w:r>
        <w:rPr>
          <w:rFonts w:ascii="Times New Roman" w:cs="Times New Roman" w:eastAsia="Times New Roman" w:hAnsi="Times New Roman"/>
          <w:sz w:val="12"/>
          <w:szCs w:val="12"/>
          <w:color w:val="auto"/>
        </w:rPr>
        <w:t xml:space="preserve">. The Issuers shall pay to the Trustee (acting in any capacity hereunder) from time to time such compensation for the Trustee’s acceptance of this Indenture and its services hereunder and under the other Notes Documents as mutually agreed to in writing between the Issuers and the Trustee. The Trustee’s compensation shall not be limited by any law on compensation of a trustee of an express trust. The Issuers shall reimburse the Trustee upon request for all reasonable out-of -pocket expenses Incurred or made by it, including costs of collection, in addition to the compensation for its services. Such expenses shall include the reasonable compensation and expenses, disbursements and advances of the Trustee’s agents, counsel, accountants and experts. The Issuers and the Guarantors, jointly and severally, shall indemnify the Trustee (acting in any capacity hereunder) or any predecessor Trustee and their directors, officers, employees and agents against any and all loss, liability, claim, damage or expense (including reasonable attorneys’ fees and expenses Incurred by or in connection with the acceptance or administration of this trust and the performance of its duties hereunder and under the other Notes Documents, including the costs and expenses of enforcing this Indenture or other Notes Documents against any Issuer or Guarantor (including this Section 7.06) and defending itself against or investigating any claim (whether asserted by any Issuer, any Guarantor, any holder or any other Person)) . The obligation to pay such amounts shall survive the payment in full or defeasance of the Notes or the removal or resignation of the Trustee. The Trustee shall notify the Issuers of any claim for which it may seek indemnity promptly upon obtaining actual knowledge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failure to so notify the Issuers shall not relieve any Issuer or Guarantor of its indemnity obligations hereunder. The Issuers shall defend the claim and the indemnified party shall provide reasonable cooperation at the Issuers’ expense in the defense. Such indemnified parties may have separate counsel and the Issuers shall pay the fees and expenses of such counsel;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Issuers shall not be required to pay such fees and expenses if they assume such indemnified parties’ defense and, in such indemnified parties’ reasonable judgment, there is no actual or potential conflict of interest between the Issuers and the Guarantors, on the one hand, and such parties, on the other hand, in connection with such defense. The Issuers need not indemnify against any loss, liability or expense Incurred by an indemnified party through such party’s own willful misconduct or gross negligence.</w:t>
      </w:r>
    </w:p>
    <w:p>
      <w:pPr>
        <w:spacing w:after="0" w:line="97" w:lineRule="exact"/>
        <w:rPr>
          <w:sz w:val="20"/>
          <w:szCs w:val="20"/>
          <w:color w:val="auto"/>
        </w:rPr>
      </w:pPr>
    </w:p>
    <w:p>
      <w:pPr>
        <w:jc w:val="both"/>
        <w:ind w:right="60" w:firstLine="457"/>
        <w:spacing w:after="0" w:line="287" w:lineRule="auto"/>
        <w:rPr>
          <w:sz w:val="20"/>
          <w:szCs w:val="20"/>
          <w:color w:val="auto"/>
        </w:rPr>
      </w:pPr>
      <w:r>
        <w:rPr>
          <w:rFonts w:ascii="Times New Roman" w:cs="Times New Roman" w:eastAsia="Times New Roman" w:hAnsi="Times New Roman"/>
          <w:sz w:val="12"/>
          <w:szCs w:val="12"/>
          <w:color w:val="auto"/>
        </w:rPr>
        <w:t>To secure the Issuers’ and the Guarantors’ payment obligations in this Section 7.06, the Trustee shall have a Lien prior to the Notes on all money or property held by the Trustee on behalf of, or collected from, the Issuers and the Guarantors, other than money or property held in trust to pay principal of and interest on particular Notes.</w:t>
      </w:r>
    </w:p>
    <w:p>
      <w:pPr>
        <w:spacing w:after="0" w:line="79" w:lineRule="exact"/>
        <w:rPr>
          <w:sz w:val="20"/>
          <w:szCs w:val="20"/>
          <w:color w:val="auto"/>
        </w:rPr>
      </w:pPr>
    </w:p>
    <w:p>
      <w:pPr>
        <w:jc w:val="both"/>
        <w:ind w:right="40" w:firstLine="457"/>
        <w:spacing w:after="0" w:line="267" w:lineRule="auto"/>
        <w:rPr>
          <w:sz w:val="20"/>
          <w:szCs w:val="20"/>
          <w:color w:val="auto"/>
        </w:rPr>
      </w:pPr>
      <w:r>
        <w:rPr>
          <w:rFonts w:ascii="Times New Roman" w:cs="Times New Roman" w:eastAsia="Times New Roman" w:hAnsi="Times New Roman"/>
          <w:sz w:val="12"/>
          <w:szCs w:val="12"/>
          <w:color w:val="auto"/>
        </w:rPr>
        <w:t>The Issuers’ and the Guarantors’ payment obligations pursuant to this Article VII shall survive the satisfaction or discharge of this Indenture, any rejection or termination of this Indenture under any Bankruptcy Law or the resignation or removal of the Trustee. Without prejudice to any other rights available to the Trustee under applicable law, when the Trustee Incurs expenses after the occurrence of a Default specified in Section 6.01(f) or (g) with respect to any Issuer, the expenses are intended to constitute expenses of administration under the Bankruptcy Law.</w:t>
      </w:r>
    </w:p>
    <w:p>
      <w:pPr>
        <w:spacing w:after="0" w:line="91" w:lineRule="exact"/>
        <w:rPr>
          <w:sz w:val="20"/>
          <w:szCs w:val="20"/>
          <w:color w:val="auto"/>
        </w:rPr>
      </w:pPr>
    </w:p>
    <w:p>
      <w:pPr>
        <w:jc w:val="both"/>
        <w:ind w:right="40" w:firstLine="457"/>
        <w:spacing w:after="0" w:line="287" w:lineRule="auto"/>
        <w:rPr>
          <w:sz w:val="20"/>
          <w:szCs w:val="20"/>
          <w:color w:val="auto"/>
        </w:rPr>
      </w:pPr>
      <w:r>
        <w:rPr>
          <w:rFonts w:ascii="Times New Roman" w:cs="Times New Roman" w:eastAsia="Times New Roman" w:hAnsi="Times New Roman"/>
          <w:sz w:val="12"/>
          <w:szCs w:val="12"/>
          <w:color w:val="auto"/>
        </w:rPr>
        <w:t>No provision of this Indenture shall require the Trustee (acting in any capacity hereunder) to expend or risk its own funds or otherwise Incur any financial liability in the performance of any of its duties hereunder, or in the exercise of any of its rights or powers.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73</w:t>
      </w:r>
    </w:p>
    <w:p>
      <w:pPr>
        <w:sectPr>
          <w:pgSz w:w="11900" w:h="16840" w:orient="portrait"/>
          <w:cols w:equalWidth="0" w:num="1">
            <w:col w:w="10640"/>
          </w:cols>
          <w:pgMar w:left="640" w:top="1440" w:right="620" w:bottom="1440" w:gutter="0" w:footer="0" w:header="0"/>
        </w:sectPr>
      </w:pPr>
    </w:p>
    <w:bookmarkStart w:id="250" w:name="page251"/>
    <w:bookmarkEnd w:id="250"/>
    <w:p>
      <w:pPr>
        <w:spacing w:after="0" w:line="14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7.07</w:t>
      </w:r>
      <w:r>
        <w:rPr>
          <w:sz w:val="20"/>
          <w:szCs w:val="20"/>
          <w:color w:val="auto"/>
        </w:rPr>
        <w:tab/>
      </w:r>
      <w:r>
        <w:rPr>
          <w:rFonts w:ascii="Times New Roman" w:cs="Times New Roman" w:eastAsia="Times New Roman" w:hAnsi="Times New Roman"/>
          <w:sz w:val="12"/>
          <w:szCs w:val="12"/>
          <w:u w:val="single" w:color="auto"/>
          <w:color w:val="auto"/>
        </w:rPr>
        <w:t>Replacement of Trustee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firstLine="463"/>
        <w:spacing w:after="0" w:line="253" w:lineRule="auto"/>
        <w:tabs>
          <w:tab w:leader="none" w:pos="90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resign at any time by so notifying the Issuers. The holders of a majority in principal amount of the Notes may remove the Trustee by so notifying the Trustee in writing at least 30 days prior to such removal and may appoint a successor Trustee. The Issuers shall remove the Trustee if:</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fails to comply with Section 7.09;</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is adjudged bankrupt or insolvent or becomes subject to bankruptcy proceedings;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receiver or other public officer takes charge of the Trustee or its property;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otherwise becomes incapable of acting.</w:t>
      </w:r>
    </w:p>
    <w:p>
      <w:pPr>
        <w:spacing w:after="0" w:line="109"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Trustee resigns, is removed by the Issuers or by the holders of a majority in principal amount of the Notes and such holders do not reasonably promptly appoint a successor Trustee, or if a vacancy exists in the office of Trustee for any reason (the Trustee in such event being referred to herein as the retiring Trustee), the Issuers shall promptly appoint a successor Trustee.</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the holders. The retiring Trustee shall promptly transfer all property held by it as Trustee to the successor Trustee, subject to the Lien provided for in Section 7.06.</w:t>
      </w:r>
    </w:p>
    <w:p>
      <w:pPr>
        <w:spacing w:after="0" w:line="87"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successor Trustee does not take office within 60 days after the retiring Trustee resigns or is removed, the retiring Trustee, the Issuers or the holders of 10% in principal amount of the Notes may petition at the expense of the Issuers any court of competent jurisdiction for the appointment of a successor Trustee.</w:t>
      </w:r>
    </w:p>
    <w:p>
      <w:pPr>
        <w:spacing w:after="0" w:line="78" w:lineRule="exact"/>
        <w:rPr>
          <w:rFonts w:ascii="Times New Roman" w:cs="Times New Roman" w:eastAsia="Times New Roman" w:hAnsi="Times New Roman"/>
          <w:sz w:val="12"/>
          <w:szCs w:val="12"/>
          <w:color w:val="auto"/>
        </w:rPr>
      </w:pPr>
    </w:p>
    <w:p>
      <w:pPr>
        <w:ind w:right="20" w:firstLine="463"/>
        <w:spacing w:after="0" w:line="257" w:lineRule="auto"/>
        <w:tabs>
          <w:tab w:leader="none" w:pos="90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Trustee fails to comply with Section 7.09, unless the Trustee’s duty to resign is stayed as provided in Section 310(b) of the TIA, any holder who has been a</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holder of a Note for at least six months may petition any court of competent jurisdiction for the removal of the Trustee and the appointment of a successor Trustee.</w:t>
      </w:r>
    </w:p>
    <w:p>
      <w:pPr>
        <w:spacing w:after="0" w:line="7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replacement of the Trustee pursuant to this Section 7.07, the Issuers’ obligations under Section 7.06 shall continue for the benefit of the retiring Trustee.</w:t>
      </w:r>
    </w:p>
    <w:p>
      <w:pPr>
        <w:spacing w:after="0" w:line="107" w:lineRule="exact"/>
        <w:rPr>
          <w:rFonts w:ascii="Times New Roman" w:cs="Times New Roman" w:eastAsia="Times New Roman" w:hAnsi="Times New Roman"/>
          <w:sz w:val="12"/>
          <w:szCs w:val="12"/>
          <w:color w:val="auto"/>
        </w:rPr>
      </w:pPr>
    </w:p>
    <w:p>
      <w:pPr>
        <w:jc w:val="both"/>
        <w:ind w:right="20" w:firstLine="463"/>
        <w:spacing w:after="0" w:line="237" w:lineRule="auto"/>
        <w:tabs>
          <w:tab w:leader="none" w:pos="90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successor Trustee shall be registered with the Danish Financial Supervisory Authority (</w:t>
      </w:r>
      <w:r>
        <w:rPr>
          <w:rFonts w:ascii="Times New Roman" w:cs="Times New Roman" w:eastAsia="Times New Roman" w:hAnsi="Times New Roman"/>
          <w:sz w:val="12"/>
          <w:szCs w:val="12"/>
          <w:i w:val="1"/>
          <w:iCs w:val="1"/>
          <w:color w:val="auto"/>
        </w:rPr>
        <w:t>finanstilsynet</w:t>
      </w:r>
      <w:r>
        <w:rPr>
          <w:rFonts w:ascii="Times New Roman" w:cs="Times New Roman" w:eastAsia="Times New Roman" w:hAnsi="Times New Roman"/>
          <w:sz w:val="12"/>
          <w:szCs w:val="12"/>
          <w:color w:val="auto"/>
        </w:rPr>
        <w:t>) in accordance with the Danish Capital Markets Act, and the Issuers and the successor Trustee shall provide all information required for registration in the Danish Financial Supervisory Authority's register of representatives (</w:t>
      </w:r>
      <w:r>
        <w:rPr>
          <w:rFonts w:ascii="Times New Roman" w:cs="Times New Roman" w:eastAsia="Times New Roman" w:hAnsi="Times New Roman"/>
          <w:sz w:val="12"/>
          <w:szCs w:val="12"/>
          <w:i w:val="1"/>
          <w:iCs w:val="1"/>
          <w:color w:val="auto"/>
        </w:rPr>
        <w:t>finanstilsynets register over repræsentanter for obligationsudstedelser</w:t>
      </w:r>
      <w:r>
        <w:rPr>
          <w:rFonts w:ascii="Times New Roman" w:cs="Times New Roman" w:eastAsia="Times New Roman" w:hAnsi="Times New Roman"/>
          <w:sz w:val="12"/>
          <w:szCs w:val="12"/>
          <w:color w:val="auto"/>
        </w:rPr>
        <w:t>). This Section 7.07(g) shall also apply to any successor Trustee resulting from a consolidation, merger or other similar transaction in accordance with Section 7.08 below.</w:t>
      </w:r>
    </w:p>
    <w:p>
      <w:pPr>
        <w:spacing w:after="0" w:line="88"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7.08 </w:t>
      </w:r>
      <w:r>
        <w:rPr>
          <w:rFonts w:ascii="Times New Roman" w:cs="Times New Roman" w:eastAsia="Times New Roman" w:hAnsi="Times New Roman"/>
          <w:sz w:val="12"/>
          <w:szCs w:val="12"/>
          <w:u w:val="single" w:color="auto"/>
          <w:color w:val="auto"/>
        </w:rPr>
        <w:t>Successor Trustee by Merger</w:t>
      </w:r>
      <w:r>
        <w:rPr>
          <w:rFonts w:ascii="Times New Roman" w:cs="Times New Roman" w:eastAsia="Times New Roman" w:hAnsi="Times New Roman"/>
          <w:sz w:val="12"/>
          <w:szCs w:val="12"/>
          <w:color w:val="auto"/>
        </w:rPr>
        <w:t>. If the Trustee consolidates with, merges or converts into, or transfers all or substantially all its corporate trust business or assets to, another corporation or banking association, the resulting, surviving or transferee corporation or banking association without any further act shall be the successor Trustee.</w:t>
      </w:r>
    </w:p>
    <w:p>
      <w:pPr>
        <w:spacing w:after="0" w:line="90"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w:t>
      </w:r>
    </w:p>
    <w:p>
      <w:pPr>
        <w:spacing w:after="0" w:line="82"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7.09 </w:t>
      </w:r>
      <w:r>
        <w:rPr>
          <w:rFonts w:ascii="Times New Roman" w:cs="Times New Roman" w:eastAsia="Times New Roman" w:hAnsi="Times New Roman"/>
          <w:sz w:val="12"/>
          <w:szCs w:val="12"/>
          <w:u w:val="single" w:color="auto"/>
          <w:color w:val="auto"/>
        </w:rPr>
        <w:t>Eligibility; Disqualification</w:t>
      </w:r>
      <w:r>
        <w:rPr>
          <w:rFonts w:ascii="Times New Roman" w:cs="Times New Roman" w:eastAsia="Times New Roman" w:hAnsi="Times New Roman"/>
          <w:sz w:val="12"/>
          <w:szCs w:val="12"/>
          <w:color w:val="auto"/>
        </w:rPr>
        <w:t xml:space="preserve">. The Trustee shall at all times satisfy the requirements of Section 310(a) of the TIA. The Trustee shall have a combined capital and surplus of at least $100.0 million as set forth in its most recent published annual report of condition. The Trustee shall comply with Section 310(b) of the TIA, subject to its right to apply for a stay of its duty to resign under the penultimate paragraph of Section 310(b) of the TIA;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there shall be excluded from the operation of Section 310(b)(1) of the TIA any series of securities issued under this Indenture and any indenture or indentures under which other securities 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74</w:t>
      </w:r>
    </w:p>
    <w:p>
      <w:pPr>
        <w:sectPr>
          <w:pgSz w:w="11900" w:h="16840" w:orient="portrait"/>
          <w:cols w:equalWidth="0" w:num="1">
            <w:col w:w="10620"/>
          </w:cols>
          <w:pgMar w:left="640" w:top="1440" w:right="640" w:bottom="1440" w:gutter="0" w:footer="0" w:header="0"/>
        </w:sectPr>
      </w:pPr>
    </w:p>
    <w:bookmarkStart w:id="251" w:name="page252"/>
    <w:bookmarkEnd w:id="251"/>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certificates of interest or participation in other securities of the Issuers are outstanding if the requirements for such exclusion set forth in Section 310(b)(1) of the TIA are met.</w:t>
      </w:r>
    </w:p>
    <w:p>
      <w:pPr>
        <w:spacing w:after="0" w:line="109"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7.10 </w:t>
      </w:r>
      <w:r>
        <w:rPr>
          <w:rFonts w:ascii="Times New Roman" w:cs="Times New Roman" w:eastAsia="Times New Roman" w:hAnsi="Times New Roman"/>
          <w:sz w:val="12"/>
          <w:szCs w:val="12"/>
          <w:u w:val="single" w:color="auto"/>
          <w:color w:val="auto"/>
        </w:rPr>
        <w:t>Preferential Collection of Claims Against the Issuers</w:t>
      </w:r>
      <w:r>
        <w:rPr>
          <w:rFonts w:ascii="Times New Roman" w:cs="Times New Roman" w:eastAsia="Times New Roman" w:hAnsi="Times New Roman"/>
          <w:sz w:val="12"/>
          <w:szCs w:val="12"/>
          <w:color w:val="auto"/>
        </w:rPr>
        <w:t>. The Trustee shall comply with Section 311(a) of the TIA, excluding any creditor relationship listed in Section 311(b) of the TIA. A Trustee who has resigned or been removed shall be subject to Section 311(a) of the TIA to the extent indicated.</w:t>
      </w:r>
    </w:p>
    <w:p>
      <w:pPr>
        <w:spacing w:after="0" w:line="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DISCHARGE OF INDENTURE; DEFEASANCE</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8.01</w:t>
      </w:r>
      <w:r>
        <w:rPr>
          <w:sz w:val="20"/>
          <w:szCs w:val="20"/>
          <w:color w:val="auto"/>
        </w:rPr>
        <w:tab/>
      </w:r>
      <w:r>
        <w:rPr>
          <w:rFonts w:ascii="Times New Roman" w:cs="Times New Roman" w:eastAsia="Times New Roman" w:hAnsi="Times New Roman"/>
          <w:sz w:val="12"/>
          <w:szCs w:val="12"/>
          <w:u w:val="single" w:color="auto"/>
          <w:color w:val="auto"/>
        </w:rPr>
        <w:t>Discharge of Liability on Notes; Defeasance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firstLine="463"/>
        <w:spacing w:after="0" w:line="253" w:lineRule="auto"/>
        <w:tabs>
          <w:tab w:leader="none" w:pos="904"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Indenture shall be discharged and shall cease to be of further effect (except as to surviving rights and immunities of the Trustee and rights of registration or transfer or exchange of Notes, as expressly provided for in this Indenture) as to all outstanding Notes when:</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27" w:lineRule="auto"/>
        <w:tabs>
          <w:tab w:leader="none" w:pos="1364"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(A) all the Notes theretofore authenticated and delivered (except lost, stolen or destroyed Notes which have been replaced or paid and Notes for whose payment money has theretofore been deposited in trust or segregated and held in trust by the Issuers and thereafter repaid to the Issuers or discharged from such trust) have been delivered to the Trustee for cancellation or</w:t>
      </w:r>
    </w:p>
    <w:p>
      <w:pPr>
        <w:jc w:val="both"/>
        <w:ind w:left="460"/>
        <w:spacing w:after="0" w:line="22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all of the Notes (1) have become due and payable, (2) will become due and payable at their Stated Maturity within one year or (3) if redeemable at the option of the Issuers, are to be called for redemption within one year under arrangements satisfactory to the Trustee for the giving of notice of redemption by the Trustee in the name, and at the expense, of the Issuers, and the Issuers have irrevocably deposited or caused to be deposited with the Trustee funds in an amount sufficient to pay and discharge the entire Indebtedness on the Notes not theretofore delivered to the Trustee for cancellation, for principal of, premium, if any, and interest on the Notes to, but excluding, the date of deposit together with irrevocable instructions from the Issuers directing the Trustee to apply such funds to the payment thereof at maturity or redemption, as the case may be;</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and/or the Guarantors have paid all other sums payable under this Indenture; and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have delivered to the Trustee an Officer’s Certificate and an Opinion of Counsel stating that all conditions precedent under this Indenture relating to the satisfaction and discharge of this Indenture have been complied with.</w:t>
      </w:r>
    </w:p>
    <w:p>
      <w:pPr>
        <w:spacing w:after="0" w:line="80"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 8.01(c) and 8.02, the Issuers at any time may terminate (i) all of their obligations under the Notes and this Indenture with respect to the holders of the Notes (</w:t>
      </w:r>
      <w:r>
        <w:rPr>
          <w:rFonts w:ascii="Times New Roman" w:cs="Times New Roman" w:eastAsia="Times New Roman" w:hAnsi="Times New Roman"/>
          <w:sz w:val="12"/>
          <w:szCs w:val="12"/>
          <w:u w:val="single" w:color="auto"/>
          <w:color w:val="auto"/>
        </w:rPr>
        <w:t>“legal defeasance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option</w:t>
      </w:r>
      <w:r>
        <w:rPr>
          <w:rFonts w:ascii="Times New Roman" w:cs="Times New Roman" w:eastAsia="Times New Roman" w:hAnsi="Times New Roman"/>
          <w:sz w:val="12"/>
          <w:szCs w:val="12"/>
          <w:color w:val="auto"/>
        </w:rPr>
        <w:t>”), except for the obligations set forth in Section 8.01(c) and obligations to register the transfer or exchange of the Notes, to replace mutilated, destroyed, lost or stolen Notes and to maintain a registrar and paying agent in respect of the Notes and (ii) all of its obligations under Sections 4.02, 4.03, 4.04, 4.05, 4.06, 4.07, 4.08, 4.09, 4.11 and 4.12, , and the operation of Section 5.01 for the benefit of the holders of the Notes, Sections 6.01(e), 6.01(f), 6.01(g) (in the case of Sections 6.01(f) and 6.01(g), with respect to Significant Subsidiaries only) and 6.01(h) (“</w:t>
      </w:r>
      <w:r>
        <w:rPr>
          <w:rFonts w:ascii="Times New Roman" w:cs="Times New Roman" w:eastAsia="Times New Roman" w:hAnsi="Times New Roman"/>
          <w:sz w:val="12"/>
          <w:szCs w:val="12"/>
          <w:u w:val="single" w:color="auto"/>
          <w:color w:val="auto"/>
        </w:rPr>
        <w:t>covenant defeasance option</w:t>
      </w:r>
      <w:r>
        <w:rPr>
          <w:rFonts w:ascii="Times New Roman" w:cs="Times New Roman" w:eastAsia="Times New Roman" w:hAnsi="Times New Roman"/>
          <w:sz w:val="12"/>
          <w:szCs w:val="12"/>
          <w:color w:val="auto"/>
        </w:rPr>
        <w:t>”). If the Issuers exercise their legal defeasance option or their covenant defeasance option, each Guarantor will be released from all of its obligations with respect to its Guarantee.</w:t>
      </w:r>
    </w:p>
    <w:p>
      <w:pPr>
        <w:spacing w:after="0" w:line="99"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The Issuers may exercise their legal defeasance option notwithstanding their prior exercise of the covenant defeasance option. If the Issuers exercise their legal defeasance option, payment of the Notes so defeased may not be accelerated because of an Event of Default with respect thereto. If the Issuers exercise their covenant defeasance option, payment of the Notes may not be accelerated because of an Event of Default specified in Sections 6.01(c), 6.01(d), 6.01(e), 6.01(f), 6.01(g) (in the case of Section 6.01(f) and (g), with respect only to Significant Subsidiaries), 6.01(h) or 6.01(i) or because of the failure of the Issuers to comply with Section 5.01(a)(iv).</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Upon satisfaction of the conditions set forth herein and upon request of the Issuers, the Trustee shall acknowledge in writing the discharge of those obligations that the Issuers terminate.</w:t>
      </w:r>
    </w:p>
    <w:p>
      <w:pPr>
        <w:spacing w:after="0" w:line="119" w:lineRule="exact"/>
        <w:rPr>
          <w:sz w:val="20"/>
          <w:szCs w:val="20"/>
          <w:color w:val="auto"/>
        </w:rPr>
      </w:pPr>
    </w:p>
    <w:p>
      <w:pPr>
        <w:jc w:val="both"/>
        <w:ind w:right="40" w:firstLine="463"/>
        <w:spacing w:after="0" w:line="236" w:lineRule="auto"/>
        <w:tabs>
          <w:tab w:leader="none" w:pos="904"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clauses (a) and (b) above, the Issuers’ obligations in Sections 2.04, 2.05, 2.06, 2.07, 2.08 and 2.09, Article VII and this Article VIII, including the Issuers’ obligations in respect of the defeasance trust (as defined below), and the rights and immunities of the Trustee under this Indenture shall survive until the Notes have been paid in full. Thereafter, only the Issuers’ obligations in Sections 7.06, 7.07, 8.05 and 8.06 and the rights and immunities of the Trustee under this Indenture shall survive.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75</w:t>
      </w:r>
    </w:p>
    <w:p>
      <w:pPr>
        <w:sectPr>
          <w:pgSz w:w="11900" w:h="16840" w:orient="portrait"/>
          <w:cols w:equalWidth="0" w:num="1">
            <w:col w:w="10620"/>
          </w:cols>
          <w:pgMar w:left="640" w:top="1440" w:right="640" w:bottom="1440" w:gutter="0" w:footer="0" w:header="0"/>
        </w:sectPr>
      </w:pPr>
    </w:p>
    <w:bookmarkStart w:id="252" w:name="page253"/>
    <w:bookmarkEnd w:id="252"/>
    <w:p>
      <w:pPr>
        <w:spacing w:after="0" w:line="14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8.02</w:t>
      </w:r>
      <w:r>
        <w:rPr>
          <w:sz w:val="20"/>
          <w:szCs w:val="20"/>
          <w:color w:val="auto"/>
        </w:rPr>
        <w:tab/>
      </w:r>
      <w:r>
        <w:rPr>
          <w:rFonts w:ascii="Times New Roman" w:cs="Times New Roman" w:eastAsia="Times New Roman" w:hAnsi="Times New Roman"/>
          <w:sz w:val="12"/>
          <w:szCs w:val="12"/>
          <w:u w:val="single" w:color="auto"/>
          <w:color w:val="auto"/>
        </w:rPr>
        <w:t>Conditions to Defeasance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may exercise their legal defeasance option or their covenant defeasance option only if:</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irrevocably deposit in trust (the “</w:t>
      </w:r>
      <w:r>
        <w:rPr>
          <w:rFonts w:ascii="Times New Roman" w:cs="Times New Roman" w:eastAsia="Times New Roman" w:hAnsi="Times New Roman"/>
          <w:sz w:val="12"/>
          <w:szCs w:val="12"/>
          <w:u w:val="single" w:color="auto"/>
          <w:color w:val="auto"/>
        </w:rPr>
        <w:t>defeasance trust</w:t>
      </w:r>
      <w:r>
        <w:rPr>
          <w:rFonts w:ascii="Times New Roman" w:cs="Times New Roman" w:eastAsia="Times New Roman" w:hAnsi="Times New Roman"/>
          <w:sz w:val="12"/>
          <w:szCs w:val="12"/>
          <w:color w:val="auto"/>
        </w:rPr>
        <w:t>”) with the Trustee money or U.S. Government Obligations for the payment of principal, premium (if any) and interest on the Notes to redemption or maturity, as the case may be;</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U.S. Government Obligations or a combination of money and U.S. Government Obligations, the Issuers deliver to the Trustee a certificate from a nationally recognized firm of independent accountants, a nationally recognized investment bank or a nationally recognized appraisal or valuation firm expressing their opinion that the payments of principal and interest when due and without reinvestment on the deposited U.S. Government Obligations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any deposited money without investment will provide cash at such times and in such amounts as will be sufficient to pay principal, premium (if any) and interest on the Notes to redemption or maturity, as the case may be;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any redemption that requires the payment of the Applicable Premium, the amount deposited shall be sufficient for purposes of this Indenture to the extent that an amount is deposited with the Trustee equal to the Applicable Premium calculated as of the earlier of the date on which arrangements referred to in Section 8.02(b) are entered into and the date of the notice of redemption, with any deficit as of the date of the redemption only required to be deposited with the Trustee on or prior to the date of the redemption;</w:t>
      </w:r>
    </w:p>
    <w:p>
      <w:pPr>
        <w:spacing w:after="0" w:line="161"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specified in Section 6.01(f) or (g) with respect to the Issuers shall have occurred or is continuing on the date of such deposit;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deposit does not constitute a default under any other material agreement or instrument binding on any Issuer;</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deliver to the Trustee an Opinion of Counsel to the effect that the beneficial owners of the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(and, in the case of legal defeasance only, such Opinion of Counsel must be based on a ruling of the Internal Revenue Service or change in applicable U.S. federal income tax law);</w:t>
      </w:r>
    </w:p>
    <w:p>
      <w:pPr>
        <w:spacing w:after="0" w:line="204"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exercise does not impair the right of any holder to receive payment of principal of, premium, if any, and interest on such holder’s Notes on or after the due dates therefore or to institute suit for the enforcement of any payment on or with respect to such holder’s Notes; and</w:t>
      </w:r>
    </w:p>
    <w:p>
      <w:pPr>
        <w:spacing w:after="0" w:line="80"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deliver to the Trustee an Officer’s Certificate and an Opinion of Counsel, each stating that all conditions precedent to the defeasance and discharge of the Notes to be so defeased and discharged as contemplated by this Article VIII have been complied with.</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the Opinion of Counsel required under Section 8.02(a)(v) with respect to a legal defeasance need not be delivered if all of the Notes not theretofore delivered to the Trustee for cancellation (x) have become due and payable or (y) will become due and payable at their Stated Maturity within one year under arrangements satisfactory to the Trustee for the giving of notice of redemption by the Trustee in the name, and at the expense, of the Issuers. Before or after a deposit, the Issuers may make arrangements satisfactory to the Trustee for the redemption of such Notes at a future date in accordance with Article III.</w:t>
      </w:r>
    </w:p>
    <w:p>
      <w:pPr>
        <w:spacing w:after="0" w:line="87" w:lineRule="exact"/>
        <w:rPr>
          <w:sz w:val="20"/>
          <w:szCs w:val="20"/>
          <w:color w:val="auto"/>
        </w:rPr>
      </w:pPr>
    </w:p>
    <w:p>
      <w:pPr>
        <w:jc w:val="both"/>
        <w:ind w:right="4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8.03 </w:t>
      </w:r>
      <w:r>
        <w:rPr>
          <w:rFonts w:ascii="Times New Roman" w:cs="Times New Roman" w:eastAsia="Times New Roman" w:hAnsi="Times New Roman"/>
          <w:sz w:val="12"/>
          <w:szCs w:val="12"/>
          <w:u w:val="single" w:color="auto"/>
          <w:color w:val="auto"/>
        </w:rPr>
        <w:t>Application of Trust Money</w:t>
      </w:r>
      <w:r>
        <w:rPr>
          <w:rFonts w:ascii="Times New Roman" w:cs="Times New Roman" w:eastAsia="Times New Roman" w:hAnsi="Times New Roman"/>
          <w:sz w:val="12"/>
          <w:szCs w:val="12"/>
          <w:color w:val="auto"/>
        </w:rPr>
        <w:t>. The Trustee shall hold in trust money or U.S. Government Obligations (including proceeds thereof) deposited with it pursuant to this Article VIII. The Trustee shall apply the deposited money and the money from U.S. Government Obligations through each Paying Agent and in accordance with this Indenture to the payment of principal of, premium, if any, and interest on the Notes so discharged or defeased.</w:t>
      </w:r>
    </w:p>
    <w:p>
      <w:pPr>
        <w:spacing w:after="0" w:line="88"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8.04 </w:t>
      </w:r>
      <w:r>
        <w:rPr>
          <w:rFonts w:ascii="Times New Roman" w:cs="Times New Roman" w:eastAsia="Times New Roman" w:hAnsi="Times New Roman"/>
          <w:sz w:val="12"/>
          <w:szCs w:val="12"/>
          <w:u w:val="single" w:color="auto"/>
          <w:color w:val="auto"/>
        </w:rPr>
        <w:t>Repayment to Issuers</w:t>
      </w:r>
      <w:r>
        <w:rPr>
          <w:rFonts w:ascii="Times New Roman" w:cs="Times New Roman" w:eastAsia="Times New Roman" w:hAnsi="Times New Roman"/>
          <w:sz w:val="12"/>
          <w:szCs w:val="12"/>
          <w:color w:val="auto"/>
        </w:rPr>
        <w:t>. Each of the Trustee and each Paying Agent shall promptly turn over to the Issuers upon request any money or U.S. Government Obligations held by it as provided in this Article VIII that, in the written opinion of a nationally recognized firm of independent public accountants, a nationally recognized investment bank or a nationally recognized appraisal or valuation firm, delivered to the Trustee (which delivery shall only be required if U.S. Government Obligations have been so deposited), are in excess of the amount thereof that would then be required to be deposited to effect an equivalent discharge or defeasance in accordance with this Article VIII.</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76</w:t>
      </w:r>
    </w:p>
    <w:p>
      <w:pPr>
        <w:sectPr>
          <w:pgSz w:w="11900" w:h="16840" w:orient="portrait"/>
          <w:cols w:equalWidth="0" w:num="1">
            <w:col w:w="10640"/>
          </w:cols>
          <w:pgMar w:left="640" w:top="1440" w:right="620" w:bottom="1440" w:gutter="0" w:footer="0" w:header="0"/>
        </w:sectPr>
      </w:pPr>
    </w:p>
    <w:bookmarkStart w:id="253" w:name="page254"/>
    <w:bookmarkEnd w:id="253"/>
    <w:p>
      <w:pPr>
        <w:spacing w:after="0" w:line="157" w:lineRule="exact"/>
        <w:rPr>
          <w:sz w:val="20"/>
          <w:szCs w:val="20"/>
          <w:color w:val="auto"/>
        </w:rPr>
      </w:pPr>
    </w:p>
    <w:p>
      <w:pPr>
        <w:jc w:val="both"/>
        <w:ind w:right="40" w:firstLine="457"/>
        <w:spacing w:after="0" w:line="267" w:lineRule="auto"/>
        <w:rPr>
          <w:sz w:val="20"/>
          <w:szCs w:val="20"/>
          <w:color w:val="auto"/>
        </w:rPr>
      </w:pPr>
      <w:r>
        <w:rPr>
          <w:rFonts w:ascii="Times New Roman" w:cs="Times New Roman" w:eastAsia="Times New Roman" w:hAnsi="Times New Roman"/>
          <w:sz w:val="12"/>
          <w:szCs w:val="12"/>
          <w:color w:val="auto"/>
        </w:rPr>
        <w:t>Subject to any applicable abandoned property law, the Trustee and each Paying Agent shall pay to the Issuers upon written request any money held by them for the payment of principal or interest that remains unclaimed for two years, and, thereafter, holders entitled to the money must look to the Issuers for payment as general creditors, and the Trustee and each Paying Agent shall have no further liability with respect to such monies.</w:t>
      </w:r>
    </w:p>
    <w:p>
      <w:pPr>
        <w:spacing w:after="0" w:line="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8.05</w:t>
      </w:r>
      <w:r>
        <w:rPr>
          <w:sz w:val="20"/>
          <w:szCs w:val="20"/>
          <w:color w:val="auto"/>
        </w:rPr>
        <w:tab/>
      </w:r>
      <w:r>
        <w:rPr>
          <w:rFonts w:ascii="Times New Roman" w:cs="Times New Roman" w:eastAsia="Times New Roman" w:hAnsi="Times New Roman"/>
          <w:sz w:val="12"/>
          <w:szCs w:val="12"/>
          <w:u w:val="single" w:color="auto"/>
          <w:color w:val="auto"/>
        </w:rPr>
        <w:t>Indemnity for U.S. Government Obligations</w:t>
      </w:r>
      <w:r>
        <w:rPr>
          <w:rFonts w:ascii="Times New Roman" w:cs="Times New Roman" w:eastAsia="Times New Roman" w:hAnsi="Times New Roman"/>
          <w:sz w:val="12"/>
          <w:szCs w:val="12"/>
          <w:color w:val="auto"/>
        </w:rPr>
        <w:t>. The Issuers shall pay and shall indemnify the Trustee against any tax, fee or other charge imposed on or assessed against deposited U.S.</w:t>
      </w:r>
    </w:p>
    <w:p>
      <w:pPr>
        <w:spacing w:after="0"/>
        <w:rPr>
          <w:sz w:val="20"/>
          <w:szCs w:val="20"/>
          <w:color w:val="auto"/>
        </w:rPr>
      </w:pPr>
      <w:r>
        <w:rPr>
          <w:rFonts w:ascii="Times New Roman" w:cs="Times New Roman" w:eastAsia="Times New Roman" w:hAnsi="Times New Roman"/>
          <w:sz w:val="12"/>
          <w:szCs w:val="12"/>
          <w:color w:val="auto"/>
        </w:rPr>
        <w:t>Government Obligations or the principal and interest received on such U.S. Government Obligations.</w:t>
      </w:r>
    </w:p>
    <w:p>
      <w:pPr>
        <w:spacing w:after="0" w:line="95" w:lineRule="exact"/>
        <w:rPr>
          <w:sz w:val="20"/>
          <w:szCs w:val="20"/>
          <w:color w:val="auto"/>
        </w:rPr>
      </w:pPr>
    </w:p>
    <w:p>
      <w:pPr>
        <w:jc w:val="both"/>
        <w:ind w:right="20" w:firstLine="457"/>
        <w:spacing w:after="0"/>
        <w:rPr>
          <w:sz w:val="20"/>
          <w:szCs w:val="20"/>
          <w:color w:val="auto"/>
        </w:rPr>
      </w:pPr>
      <w:r>
        <w:rPr>
          <w:rFonts w:ascii="Times New Roman" w:cs="Times New Roman" w:eastAsia="Times New Roman" w:hAnsi="Times New Roman"/>
          <w:sz w:val="12"/>
          <w:szCs w:val="12"/>
          <w:color w:val="auto"/>
        </w:rPr>
        <w:t xml:space="preserve">SECTION 8.06 </w:t>
      </w:r>
      <w:r>
        <w:rPr>
          <w:rFonts w:ascii="Times New Roman" w:cs="Times New Roman" w:eastAsia="Times New Roman" w:hAnsi="Times New Roman"/>
          <w:sz w:val="12"/>
          <w:szCs w:val="12"/>
          <w:u w:val="single" w:color="auto"/>
          <w:color w:val="auto"/>
        </w:rPr>
        <w:t>Reinstatement</w:t>
      </w:r>
      <w:r>
        <w:rPr>
          <w:rFonts w:ascii="Times New Roman" w:cs="Times New Roman" w:eastAsia="Times New Roman" w:hAnsi="Times New Roman"/>
          <w:sz w:val="12"/>
          <w:szCs w:val="12"/>
          <w:color w:val="auto"/>
        </w:rPr>
        <w:t xml:space="preserve">. If the Trustee or any Paying Agent is unable to apply any money or U.S. Government Obligations in accordance with this Article VIII by reason of any legal proceeding or by reason of any order or judgment of any court or governmental authority enjoining, restraining or otherwise prohibiting such application, the Issuers’ obligations under this Indenture and the Notes so discharged or defeased shall be revived and reinstated as though no deposit had occurred pursuant to this Article VIII until such time as the Trustee or any Paying Agent is permitted to apply all such money or U.S. Government Obligations in accordance with this Article VIII;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the Issuers have made any payment of principal of, premium, if any, or interest on, any such Notes because of the reinstatement of its obligations, the Issuers shall be subrogated to the rights of the holders of such Notes to receive such payment from the money or U.S. Government Obligations held by the Trustee or any Paying Agent.</w:t>
      </w:r>
    </w:p>
    <w:p>
      <w:pPr>
        <w:spacing w:after="0" w:line="17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b w:val="1"/>
          <w:bCs w:val="1"/>
          <w:color w:val="auto"/>
        </w:rPr>
        <w:t>AMENDMENTS AND WAIVERS</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9.01</w:t>
      </w:r>
      <w:r>
        <w:rPr>
          <w:sz w:val="20"/>
          <w:szCs w:val="20"/>
          <w:color w:val="auto"/>
        </w:rPr>
        <w:tab/>
      </w:r>
      <w:r>
        <w:rPr>
          <w:rFonts w:ascii="Times New Roman" w:cs="Times New Roman" w:eastAsia="Times New Roman" w:hAnsi="Times New Roman"/>
          <w:sz w:val="12"/>
          <w:szCs w:val="12"/>
          <w:u w:val="single" w:color="auto"/>
          <w:color w:val="auto"/>
        </w:rPr>
        <w:t>Without Consent of the Holders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Section 9.02, the Issuers and the Trustee may amend this Indenture, the Notes or the Guarantees in each case without the consent of any holder: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cure any ambiguity, omission, mistake, defect or inconsistency;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assumption by a Successor Company (with respect to an Issuer) of the obligations of such Issuer under this Indenture or the Notes;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assumption by a Successor Person (with respect to any Guarantor) of the obligations of a Guarantor under this Indenture or its Guarantee;</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uncertificated Notes in addition to or in place of certificated Notes,</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uncertificated Notes are issued in registered form for purposes of Section 163(f) of the Code, or in a manner such that the uncertificated Notes are described in Section 163(f)(2)(B) of the Code;</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a Guarantee with respect to the Notes;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release a Guarantee as permitted by this Indenture;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secure the Notes in accordance with Section </w:t>
      </w:r>
      <w:hyperlink w:anchor="page177">
        <w:r>
          <w:rPr>
            <w:rFonts w:ascii="Times New Roman" w:cs="Times New Roman" w:eastAsia="Times New Roman" w:hAnsi="Times New Roman"/>
            <w:sz w:val="12"/>
            <w:szCs w:val="12"/>
            <w:u w:val="single" w:color="auto"/>
            <w:color w:val="0000FF"/>
          </w:rPr>
          <w:t>4.12(a)</w:t>
        </w:r>
      </w:hyperlink>
      <w:r>
        <w:rPr>
          <w:rFonts w:ascii="Times New Roman" w:cs="Times New Roman" w:eastAsia="Times New Roman" w:hAnsi="Times New Roman"/>
          <w:sz w:val="12"/>
          <w:szCs w:val="12"/>
          <w:color w:val="auto"/>
        </w:rPr>
        <w: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to the covenants of the Issuers for the benefit of the holders or to surrender any right or power conferred upon the Issuers;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additional parallel debt provisions;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any change that does not adversely affect the rights of any holder in any material respect;</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conform the text of this Indenture, the Guarantees or the Notes to any provision of the “Description of the Unsecured Notes” in the Offering Memorandum to the extent that such provision was intended by the Company to be a verbatim recitation of a provision in this Indenture, the Guarantees or the Notes, as stated in an Officer’s Certificate of the Issuers; or</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changes to this Indenture to provide for the issuance of Additional Notes.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77</w:t>
      </w:r>
    </w:p>
    <w:p>
      <w:pPr>
        <w:sectPr>
          <w:pgSz w:w="11900" w:h="16840" w:orient="portrait"/>
          <w:cols w:equalWidth="0" w:num="1">
            <w:col w:w="10620"/>
          </w:cols>
          <w:pgMar w:left="640" w:top="1440" w:right="640" w:bottom="1440" w:gutter="0" w:footer="0" w:header="0"/>
        </w:sectPr>
      </w:pPr>
    </w:p>
    <w:bookmarkStart w:id="254" w:name="page255"/>
    <w:bookmarkEnd w:id="254"/>
    <w:p>
      <w:pPr>
        <w:spacing w:after="0" w:line="148" w:lineRule="exact"/>
        <w:rPr>
          <w:sz w:val="20"/>
          <w:szCs w:val="20"/>
          <w:color w:val="auto"/>
        </w:rPr>
      </w:pPr>
    </w:p>
    <w:p>
      <w:pPr>
        <w:ind w:right="20" w:firstLine="463"/>
        <w:spacing w:after="0" w:line="253" w:lineRule="auto"/>
        <w:tabs>
          <w:tab w:leader="none" w:pos="904"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an amendment under this Section 9.01 becomes effective, the Issuers shall mail or otherwise deliver in accordance with the procedures of the Depository, to the holders a notice briefly describing such amendment. The failure to give such notice to all holders, or any defect therein, shall not impair or affect the validity of an amendment under this Section 9.01.</w:t>
      </w:r>
    </w:p>
    <w:p>
      <w:pPr>
        <w:spacing w:after="0" w:line="80"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9.02 </w:t>
      </w:r>
      <w:r>
        <w:rPr>
          <w:rFonts w:ascii="Times New Roman" w:cs="Times New Roman" w:eastAsia="Times New Roman" w:hAnsi="Times New Roman"/>
          <w:sz w:val="12"/>
          <w:szCs w:val="12"/>
          <w:u w:val="single" w:color="auto"/>
          <w:color w:val="auto"/>
        </w:rPr>
        <w:t>With Consent of the Holders</w:t>
      </w:r>
      <w:r>
        <w:rPr>
          <w:rFonts w:ascii="Times New Roman" w:cs="Times New Roman" w:eastAsia="Times New Roman" w:hAnsi="Times New Roman"/>
          <w:sz w:val="12"/>
          <w:szCs w:val="12"/>
          <w:color w:val="auto"/>
        </w:rPr>
        <w:t>. The Issuers and the Trustee may amend this Indenture, the Notes and the Guarantees, and any past Default or compliance with any provisions of this Indenture, the Notes and the Guarantees may be waived, with the consent of the holders of a majority in principal amount of the Notes then outstanding. However, without the consent of each holder of an outstanding Note affected, no amendment or waiver may:</w:t>
      </w:r>
    </w:p>
    <w:p>
      <w:pPr>
        <w:spacing w:after="0" w:line="88" w:lineRule="exact"/>
        <w:rPr>
          <w:sz w:val="20"/>
          <w:szCs w:val="20"/>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amount of Notes whose holders must consent to an amendment;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rate of or extend the time for payment of interest on any Note;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principal of or change the Stated Maturity of any Note;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premium payable upon the redemption of any Note or change the time at which any Note may be redeemed in accordance with Article III;</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Note payable in money other than that stated in such Note;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expressly subordinate the Notes or any Guarantee to any other Indebtedness of any Issuer or Guarantor;</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 the right of any holder to receive payment of principal of, premium, if any, and interest on such holder’s Notes on or after the due dates therefor or to institute suit for the enforcement of any payment on or with respect to such holder’s Notes;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change in the amendment provisions which require each holder’s consent or in the waiver provisions;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or waive the Issuers’ obligation to redeem the Notes through the special mandatory redemption in a manner that would materially adversely affect the holders of the Notes;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any release contemplated by Section 12.03, release all or substantially all of the Guarantors from their respective Guarantees.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It shall not be necessary for the consent of the holders under this Section 9.02 to approve the particular form of any proposed amendment, but it shall be sufficient if such consent approves the substance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thereof.</w:t>
      </w:r>
    </w:p>
    <w:p>
      <w:pPr>
        <w:spacing w:after="0" w:line="115"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After an amendment under this Section 9.02 becomes effective, the Issuers shall mail, or otherwise deliver in accordance with the procedures of the Depository, to the holders a notice briefly describing such amendment. The failure to give such notice to all holders, or any defect therein, shall not impair or affect the validity of an amendment under this Section 9.02.</w:t>
      </w:r>
    </w:p>
    <w:p>
      <w:pPr>
        <w:spacing w:after="0" w:line="7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9.03</w:t>
      </w:r>
      <w:r>
        <w:rPr>
          <w:sz w:val="20"/>
          <w:szCs w:val="20"/>
          <w:color w:val="auto"/>
        </w:rPr>
        <w:tab/>
      </w:r>
      <w:r>
        <w:rPr>
          <w:rFonts w:ascii="Times New Roman" w:cs="Times New Roman" w:eastAsia="Times New Roman" w:hAnsi="Times New Roman"/>
          <w:sz w:val="12"/>
          <w:szCs w:val="12"/>
          <w:u w:val="single" w:color="auto"/>
          <w:color w:val="auto"/>
        </w:rPr>
        <w:t>Revocation and Effect of Consents and Waivers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63"/>
        <w:spacing w:after="0" w:line="225" w:lineRule="auto"/>
        <w:tabs>
          <w:tab w:leader="none" w:pos="904"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consent to an amendment or a waiver by a holder of a Note shall bind the holder and every subsequent holder of that Note or portion of the Note that evidences the same debt as the consenting holder’s Note, even if notation of the consent or waiver is not made on the Note. However, any such holder or subsequent holder may revoke the consent or waiver as to such holder’s Note or portion of the Note if the Trustee receives the notice of revocation before the date on which the Trustee receives an Officer’s Certificate from the Issuers certifying that the requisite principal amount of Notes have consented. After an amendment or waiver becomes effective, it shall bind every holder. An amendment or waiver becomes effective upon the (i) receipt by the Issuers or the Trustee of consents by the holders of the requisite principal amount of Notes, (ii) satisfaction of conditions to effectiveness as set forth in this Indenture and any indenture supplemental hereto effecting such amendment or waiver and (iii) execution of such amendment or waiver (or supplemental indenture) by the Issuers, the Guarantors and the Trustee.</w:t>
      </w:r>
    </w:p>
    <w:p>
      <w:pPr>
        <w:spacing w:after="0" w:line="89"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78</w:t>
      </w:r>
    </w:p>
    <w:p>
      <w:pPr>
        <w:sectPr>
          <w:pgSz w:w="11900" w:h="16840" w:orient="portrait"/>
          <w:cols w:equalWidth="0" w:num="1">
            <w:col w:w="10620"/>
          </w:cols>
          <w:pgMar w:left="640" w:top="1440" w:right="640" w:bottom="1440" w:gutter="0" w:footer="0" w:header="0"/>
        </w:sectPr>
      </w:pPr>
    </w:p>
    <w:bookmarkStart w:id="255" w:name="page256"/>
    <w:bookmarkEnd w:id="255"/>
    <w:p>
      <w:pPr>
        <w:spacing w:after="0" w:line="14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80"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9.04 </w:t>
      </w:r>
      <w:r>
        <w:rPr>
          <w:rFonts w:ascii="Times New Roman" w:cs="Times New Roman" w:eastAsia="Times New Roman" w:hAnsi="Times New Roman"/>
          <w:sz w:val="12"/>
          <w:szCs w:val="12"/>
          <w:u w:val="single" w:color="auto"/>
          <w:color w:val="auto"/>
        </w:rPr>
        <w:t>Notation on or Exchange of Notes</w:t>
      </w:r>
      <w:r>
        <w:rPr>
          <w:rFonts w:ascii="Times New Roman" w:cs="Times New Roman" w:eastAsia="Times New Roman" w:hAnsi="Times New Roman"/>
          <w:sz w:val="12"/>
          <w:szCs w:val="12"/>
          <w:color w:val="auto"/>
        </w:rPr>
        <w:t>. If an amendment, supplement or waiver changes the terms of a Note, the Issuers may require the holder of the Note to deliver it to the Trustee. The Trustee may place an appropriate notation on the Note regarding the changed terms and return it to the holder. Alternatively, if the Issuers or the Trustee so determine, the Issuers in exchange for the Note shall issue and, upon written order of the Issuers signed by an Officer thereof, the Trustee shall authenticate a new Note that reflects the changed terms. Failure to make the appropriate notation or to issue a new Note shall not affect the validity of such amendment, supplement or waiver.</w:t>
      </w:r>
    </w:p>
    <w:p>
      <w:pPr>
        <w:spacing w:after="0" w:line="87"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9.05 </w:t>
      </w:r>
      <w:r>
        <w:rPr>
          <w:rFonts w:ascii="Times New Roman" w:cs="Times New Roman" w:eastAsia="Times New Roman" w:hAnsi="Times New Roman"/>
          <w:sz w:val="12"/>
          <w:szCs w:val="12"/>
          <w:u w:val="single" w:color="auto"/>
          <w:color w:val="auto"/>
        </w:rPr>
        <w:t>Trustee to Sign Amendments</w:t>
      </w:r>
      <w:r>
        <w:rPr>
          <w:rFonts w:ascii="Times New Roman" w:cs="Times New Roman" w:eastAsia="Times New Roman" w:hAnsi="Times New Roman"/>
          <w:sz w:val="12"/>
          <w:szCs w:val="12"/>
          <w:color w:val="auto"/>
        </w:rPr>
        <w:t>. The Trustee shall sign any amendment, supplement or waiver authorized pursuant to this Article IX if the amendment does not adversely affect the rights, duties, liabilities or immunities of the Trustee. If it does, the Trustee may but need not sign it. In signing such amendment, the Trustee shall be entitled to receive indemnity satisfactory to it and shall be provided with, and (subject to Section 7.01) shall be fully protected in relying upon, (i) an Officer’s Certificate stating that such amendment, supplement or waiver is authorized or permitted by this Indenture, (ii) an Opinion of Counsel stating that such amendment, supplement or waiver is authorized or permitted by this Indenture and, with respect to any supplement relating to any Additional Notes, that such supplement is the legal, valid and binding obligation of the Issuers and any Guarantors, enforceable against them in accordance with its terms, subject to customary exceptions, and complies with the provisions hereof, (iii) with respect to any supplement relating to any Additional Notes, a copy of the resolution of the Board of Directors, certified by the Secretary or Assistant Secretary of the Issuers, authorizing the execution of such amendment, supplement or waiver and (iv) if such amendment, supplement or waiver is executed pursuant to Section 9.02, evidence reasonably satisfactory to the Trustee of the consent of the holders required to consent thereto. All fees and expenses incurred in connection with any amendment, modification or supplement shall be payable by the Issuers.</w:t>
      </w:r>
    </w:p>
    <w:p>
      <w:pPr>
        <w:spacing w:after="0" w:line="8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9.06 </w:t>
      </w:r>
      <w:r>
        <w:rPr>
          <w:rFonts w:ascii="Times New Roman" w:cs="Times New Roman" w:eastAsia="Times New Roman" w:hAnsi="Times New Roman"/>
          <w:sz w:val="12"/>
          <w:szCs w:val="12"/>
          <w:u w:val="single" w:color="auto"/>
          <w:color w:val="auto"/>
        </w:rPr>
        <w:t>Additional Voting Terms; Calculation of Principal Amount</w:t>
      </w:r>
      <w:r>
        <w:rPr>
          <w:rFonts w:ascii="Times New Roman" w:cs="Times New Roman" w:eastAsia="Times New Roman" w:hAnsi="Times New Roman"/>
          <w:sz w:val="12"/>
          <w:szCs w:val="12"/>
          <w:color w:val="auto"/>
        </w:rPr>
        <w:t xml:space="preserve"> . All Notes issued under this Indenture shall vote and consent together on all matters (as to which any of such Notes may vote) as one class and no Notes will have the right to vote or consent as a separate class on any matter. Determinations as to whether holders of the requisite aggregate principal amount of Notes have concurred in any direction, waiver or consent shall be made in accordance with this Article IX and Section 2.13.</w:t>
      </w:r>
    </w:p>
    <w:p>
      <w:pPr>
        <w:spacing w:after="0" w:line="8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[INTENTIONALLY OMITTED]</w:t>
      </w:r>
    </w:p>
    <w:p>
      <w:pPr>
        <w:spacing w:after="0" w:line="1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XI</w:t>
      </w:r>
    </w:p>
    <w:p>
      <w:pPr>
        <w:spacing w:after="0" w:line="1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[INTENTIONALLY OMITTED]</w:t>
      </w:r>
    </w:p>
    <w:p>
      <w:pPr>
        <w:spacing w:after="0" w:line="1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XII</w:t>
      </w:r>
    </w:p>
    <w:p>
      <w:pPr>
        <w:spacing w:after="0" w:line="1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GUARANTEE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12.01 </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1" w:lineRule="auto"/>
        <w:tabs>
          <w:tab w:leader="none" w:pos="904"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hereby jointly and severally, irrevocably and unconditionally guarantees, on a senior basis, as a primary obligor and not merely as a surety, to each holder and to the Trustee and its successors and assigns, the performance and punctual payment when due, whether at Stated Maturity, by acceleration, by redemption or otherwise, of all obligations of the Issuers under this Indenture and the Notes, whether for payment of principal of, premium, if any, or interest on the Notes and all other monetary obligations of the Issuers under this Indenture and the Notes, expenses, indemnification or otherwise (all the foregoing being hereinafter collectively called the “</w:t>
      </w:r>
      <w:r>
        <w:rPr>
          <w:rFonts w:ascii="Times New Roman" w:cs="Times New Roman" w:eastAsia="Times New Roman" w:hAnsi="Times New Roman"/>
          <w:sz w:val="12"/>
          <w:szCs w:val="12"/>
          <w:u w:val="single" w:color="auto"/>
          <w:color w:val="auto"/>
        </w:rPr>
        <w:t>Guaranteed Obligations</w:t>
      </w:r>
      <w:r>
        <w:rPr>
          <w:rFonts w:ascii="Times New Roman" w:cs="Times New Roman" w:eastAsia="Times New Roman" w:hAnsi="Times New Roman"/>
          <w:sz w:val="12"/>
          <w:szCs w:val="12"/>
          <w:color w:val="auto"/>
        </w:rPr>
        <w:t>”).</w:t>
      </w:r>
    </w:p>
    <w:p>
      <w:pPr>
        <w:spacing w:after="0" w:line="87"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waives presentation to, demand of payment from and protest to the Issuers of any of the Guaranteed Obligations and also waives notice of protest for nonpayment. Each Guarantor waives notice of any default under the Notes or the Guaranteed Obligations. The Guarantee of each Guarantor hereunder shall not be affected by (i) the failure of any holder or the Trustee to assert any claim or demand or to enforce any right or remedy against the Issuers or any other Person under this Indenture, the Notes or any other agreement or otherwise; (ii) any extension or renewal of this Indenture, the Notes or any other agreement; (iii) any rescission, waiver, amendment or modification of any of the terms or provisions of this Indenture, the Notes or any other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79</w:t>
      </w:r>
    </w:p>
    <w:p>
      <w:pPr>
        <w:sectPr>
          <w:pgSz w:w="11900" w:h="16840" w:orient="portrait"/>
          <w:cols w:equalWidth="0" w:num="1">
            <w:col w:w="10620"/>
          </w:cols>
          <w:pgMar w:left="640" w:top="1440" w:right="640" w:bottom="1440" w:gutter="0" w:footer="0" w:header="0"/>
        </w:sectPr>
      </w:pPr>
    </w:p>
    <w:bookmarkStart w:id="256" w:name="page257"/>
    <w:bookmarkEnd w:id="256"/>
    <w:p>
      <w:pPr>
        <w:spacing w:after="0" w:line="148" w:lineRule="exact"/>
        <w:rPr>
          <w:sz w:val="20"/>
          <w:szCs w:val="20"/>
          <w:color w:val="auto"/>
        </w:rPr>
      </w:pPr>
    </w:p>
    <w:p>
      <w:pPr>
        <w:jc w:val="both"/>
        <w:ind w:right="20" w:firstLine="6"/>
        <w:spacing w:after="0" w:line="236" w:lineRule="auto"/>
        <w:tabs>
          <w:tab w:leader="none" w:pos="218"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any security held by any holder or the Trustee for the Guaranteed Obligations or each Guarantor; (v) the failure of any holder or the Trustee to exercise any right or remedy against any other guarantor of the Guaranteed Obligations; or (vi) any change in the ownership of each Guarantor, except as provided in Section 12.03. Each Guarantor hereby waives any right to which it may be entitled to have its Guarantee hereunder divided among the Guarantors, such that such Guarantor’s Guarantee would be less than the full amount claimed.</w:t>
      </w:r>
    </w:p>
    <w:p>
      <w:pPr>
        <w:spacing w:after="0" w:line="87"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hereby waives any right to which it may be entitled to have the assets of the Issuers first be used and depleted as payment of the Issuers’ obligations under this Indenture and the Issuers’ or such Guarantor’s Guarantee hereunder prior to any amounts being claimed from or paid by such Guarantor hereunder. Each Guarantor hereby waives any right to which it may be entitled to require that the Issuers be sued prior to an action being initiated against such Guarantor.</w:t>
      </w:r>
    </w:p>
    <w:p>
      <w:pPr>
        <w:spacing w:after="0" w:line="87"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further agrees that its Guarantee herein constitutes a guarantee of payment and, performance when due (and not a guarantee of collection) and waives any right to require that any resort be had by any holder or the Trustee to any security held for payment of the Guaranteed Obligations.</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Guarantee of each Guarantor is, to the extent and in the manner set forth in this Article XII, equal in right of payment to all existing and future Equal Priority Indebtedness, senior in right of payment to all existing and future Subordinated Indebtedness of such Guarantor.</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25" w:lineRule="auto"/>
        <w:tabs>
          <w:tab w:leader="none" w:pos="904"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set forth in Sections 8.01(b), 12.02, 12.03 and 12.06, the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 of each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89"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set forth in Section 12.03, each Guarantor agrees that its Guarantee shall remain in full force and effect until payment in full of all the Guaranteed Obligations of such Guarantor. Each Guarantor further agrees that its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any Issuer or otherwise.</w:t>
      </w:r>
    </w:p>
    <w:p>
      <w:pPr>
        <w:spacing w:after="0" w:line="87" w:lineRule="exact"/>
        <w:rPr>
          <w:rFonts w:ascii="Times New Roman" w:cs="Times New Roman" w:eastAsia="Times New Roman" w:hAnsi="Times New Roman"/>
          <w:sz w:val="12"/>
          <w:szCs w:val="12"/>
          <w:color w:val="auto"/>
        </w:rPr>
      </w:pPr>
    </w:p>
    <w:p>
      <w:pPr>
        <w:jc w:val="both"/>
        <w:ind w:right="20" w:firstLine="463"/>
        <w:spacing w:after="0" w:line="227" w:lineRule="auto"/>
        <w:tabs>
          <w:tab w:leader="none" w:pos="904"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furtherance of the foregoing and not in limitation of any other right which any holder or the Trustee has at law or in equity against any Guarantor by virtue hereof, upon the failure of the Issuers to pay the principal of or interest on any Guaranteed Obligation when and as the same shall become due, whether at maturity, by acceleration, by redemption or otherwise, or to perform or comply with any other Guaranteed Obligation, each Guarantor hereby promises to and shall, upon receipt of written demand by the Trustee, forthwith pay, or cause to be paid, in cash, to the holders or the Trustee an amount equal to the sum of (i) the unpaid principal amount of such Guaranteed Obligations, (ii) accrued and unpaid interest on such Guaranteed Obligations (but only to the extent not prohibited by applicable law) and (iii) all other monetary obligations of the Issuers to the holders and the Trustee.</w:t>
      </w:r>
    </w:p>
    <w:p>
      <w:pPr>
        <w:spacing w:after="0" w:line="89"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agrees that it shall not be entitled to any right of subrogation in relation to the holders in respect of any Guaranteed Obligations guaranteed hereby until payment in full of all Guaranteed Obligations. Each Guarantor further agrees that, as between it, on the one hand, and the holders and the Trustee, on the other hand, (i) the maturity of the Guaranteed Obligations guaranteed hereby may be accelerated as provided in Article VI for the purposes of the Guarantee herein, notwithstanding any stay, injunction or other prohibition preventing such acceleration in respect of the Guaranteed Obligations guaranteed hereby, and (ii) in the event of any declaration of acceleration of such Guaranteed Obligations as provided in Article VI, such Guaranteed Obligations (whether or not due and payable) shall forthwith become due and payable by the Guarantors for the purposes of this Section 12.01.</w:t>
      </w:r>
    </w:p>
    <w:p>
      <w:pPr>
        <w:spacing w:after="0" w:line="8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also agrees to pay any and all costs and expenses (including out-of-pocket attorneys’ fees and expenses) incurred by the Trustee in enforcing any rights under this Section 12.01.</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of the Trustee, each Guarantor shall execute and deliver such further instruments and do such further acts as may be reasonably necessary to carry out more effectively the purpose of</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Indenture.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80</w:t>
      </w:r>
    </w:p>
    <w:p>
      <w:pPr>
        <w:sectPr>
          <w:pgSz w:w="11900" w:h="16840" w:orient="portrait"/>
          <w:cols w:equalWidth="0" w:num="1">
            <w:col w:w="10620"/>
          </w:cols>
          <w:pgMar w:left="640" w:top="1440" w:right="640" w:bottom="1440" w:gutter="0" w:footer="0" w:header="0"/>
        </w:sectPr>
      </w:pPr>
    </w:p>
    <w:bookmarkStart w:id="257" w:name="page258"/>
    <w:bookmarkEnd w:id="257"/>
    <w:p>
      <w:pPr>
        <w:spacing w:after="0" w:line="148" w:lineRule="exact"/>
        <w:rPr>
          <w:sz w:val="20"/>
          <w:szCs w:val="20"/>
          <w:color w:val="auto"/>
        </w:rPr>
      </w:pPr>
    </w:p>
    <w:p>
      <w:pPr>
        <w:jc w:val="both"/>
        <w:ind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12.02 </w:t>
      </w:r>
      <w:r>
        <w:rPr>
          <w:rFonts w:ascii="Times New Roman" w:cs="Times New Roman" w:eastAsia="Times New Roman" w:hAnsi="Times New Roman"/>
          <w:sz w:val="12"/>
          <w:szCs w:val="12"/>
          <w:u w:val="single" w:color="auto"/>
          <w:color w:val="auto"/>
        </w:rPr>
        <w:t>Limitation on Liability</w:t>
      </w:r>
      <w:r>
        <w:rPr>
          <w:rFonts w:ascii="Times New Roman" w:cs="Times New Roman" w:eastAsia="Times New Roman" w:hAnsi="Times New Roman"/>
          <w:sz w:val="12"/>
          <w:szCs w:val="12"/>
          <w:color w:val="auto"/>
        </w:rPr>
        <w:t>. Any term or provision of this Indenture to the contrary notwithstanding, the maximum aggregate amount of the Guaranteed Obligations guaranteed hereunder by each Guarantor shall not exceed the maximum amount that can be hereby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88"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12.03 </w:t>
      </w:r>
      <w:r>
        <w:rPr>
          <w:rFonts w:ascii="Times New Roman" w:cs="Times New Roman" w:eastAsia="Times New Roman" w:hAnsi="Times New Roman"/>
          <w:sz w:val="12"/>
          <w:szCs w:val="12"/>
          <w:u w:val="single" w:color="auto"/>
          <w:color w:val="auto"/>
        </w:rPr>
        <w:t>Release of Guarantors</w:t>
      </w:r>
      <w:r>
        <w:rPr>
          <w:rFonts w:ascii="Times New Roman" w:cs="Times New Roman" w:eastAsia="Times New Roman" w:hAnsi="Times New Roman"/>
          <w:sz w:val="12"/>
          <w:szCs w:val="12"/>
          <w:color w:val="auto"/>
        </w:rPr>
        <w:t>. A Guarantee as to any Guarantor shall automatically terminate and be of no further force or effect and such Guarantor shall be automatically released from all obligations under this Article XII upon:</w:t>
      </w:r>
    </w:p>
    <w:p>
      <w:pPr>
        <w:spacing w:after="0" w:line="80" w:lineRule="exact"/>
        <w:rPr>
          <w:sz w:val="20"/>
          <w:szCs w:val="20"/>
          <w:color w:val="auto"/>
        </w:rPr>
      </w:pPr>
    </w:p>
    <w:p>
      <w:pPr>
        <w:jc w:val="both"/>
        <w:ind w:left="460" w:right="20" w:firstLine="460"/>
        <w:spacing w:after="0" w:line="231" w:lineRule="auto"/>
        <w:tabs>
          <w:tab w:leader="none" w:pos="1364" w:val="left"/>
        </w:tabs>
        <w:numPr>
          <w:ilvl w:val="1"/>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issuance, sale, exchange, transfer or other disposition (including through merger, consolidation, amalgamation or otherwise) of the Capital Stock of such Guarantor to a Person other than the Company or any Restricted Subsidiary as a result of which the applicable Guarantor is no longer a Restricted Subsidiary, if such issuance, sale, exchange, transfer or other disposition is made in a manner not in violation of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Guarantor does not own or exclusively license any Material Intellectual Property, unless the transaction, as a result of which such Guarantor is no longer a Restricted Subsidiary, is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transaction with a Person that is not an Affiliate of the Company or any of its Subsidiaries and is not entered into for the purpose of Incurring Indebtedness;</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of such Guarantor as an Unrestricted Subsidiary in accordance with the provisions of Section 4.04 and the definition of “Unrestricted Subsidiary”;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or discharge of the guarantee or repayment of borrowings by such Guarantor of all Indebtedness under (i) any Credit Agreement (including the Initial Credit Agreement) and</w:t>
      </w:r>
    </w:p>
    <w:p>
      <w:pPr>
        <w:ind w:left="460" w:right="20" w:firstLine="3"/>
        <w:spacing w:after="0" w:line="234" w:lineRule="auto"/>
        <w:tabs>
          <w:tab w:leader="none" w:pos="656"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Capital Markets Indebtedness of the Issuers or any of the Guarantors, in each case, other than a release or discharge by or as a result of (x) refinancing such Indebtedness to the extent such refinancing Indebtedness is guaranteed by such Guarantor or (y) payment under such guarantee of such Indebtedness;</w:t>
      </w:r>
    </w:p>
    <w:p>
      <w:pPr>
        <w:spacing w:after="0" w:line="88"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exercise of their legal defeasance option or covenant defeasance option as described under Article VIII or if the Issuers’ obligations under this Indenture are discharged in accordance with the terms of this Indenture;</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occurrence of a Covenant Suspension Event;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Guarantor’s Guarantee shall not be released pursuant to this clause (v) if, upon such Covenant Suspension Event, such Guarantor is an obligor with respect to any Indebtedness under any Credit Agreement (including the Initial Credit Agreement) or any Capital Markets Indebtedness of the Issuers or any of the Guarantors;</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good faith determination that the continued obligations of such Guarantor under its Guarantee would reasonably be expected to result in (x) any violation of applicable law or (y) in the case of any Foreign Subsidiary, any violation or breach of, or conflict with, fiduciary duties of such Foreign Subsidiary’s officers, directors or managers, but only if such Foreign Subsidiary and the Company shall have used reasonable efforts to overcome any such obstacle; or</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repayment in full of the Notes.</w:t>
      </w:r>
    </w:p>
    <w:p>
      <w:pPr>
        <w:spacing w:after="0" w:line="11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The Issuers shall provide the Trustee with notice of any such release of a Guarantor,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failure or delay in delivering such notice shall not affect such release. If the Trustee is requested to acknowledge, authorize or sign a release (or similar or related document) of a Guarantee as to any Guarantor, the Issuers will furnish to the Trustee an Officer’s Certificate and Opinion of Counsel and such other documentation as is required by this Indenture.</w:t>
      </w:r>
    </w:p>
    <w:p>
      <w:pPr>
        <w:spacing w:after="0" w:line="82" w:lineRule="exact"/>
        <w:rPr>
          <w:sz w:val="20"/>
          <w:szCs w:val="20"/>
          <w:color w:val="auto"/>
        </w:rPr>
      </w:pPr>
    </w:p>
    <w:p>
      <w:pPr>
        <w:jc w:val="both"/>
        <w:ind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12.04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Article XII shall be binding upon each Guarantor and its successors and assigns and shall inure to the benefit of and be enforceable by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8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12.05 </w:t>
      </w:r>
      <w:r>
        <w:rPr>
          <w:rFonts w:ascii="Times New Roman" w:cs="Times New Roman" w:eastAsia="Times New Roman" w:hAnsi="Times New Roman"/>
          <w:sz w:val="12"/>
          <w:szCs w:val="12"/>
          <w:u w:val="single" w:color="auto"/>
          <w:color w:val="auto"/>
        </w:rPr>
        <w:t>No Waiver</w:t>
      </w:r>
      <w:r>
        <w:rPr>
          <w:rFonts w:ascii="Times New Roman" w:cs="Times New Roman" w:eastAsia="Times New Roman" w:hAnsi="Times New Roman"/>
          <w:sz w:val="12"/>
          <w:szCs w:val="12"/>
          <w:color w:val="auto"/>
        </w:rPr>
        <w:t>. Neither a failure nor a delay on the part of the Trustee or the holders in exercising any right, power or privilege under this Article XII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XII at law, in equity, by statute or otherwise.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81</w:t>
      </w:r>
    </w:p>
    <w:p>
      <w:pPr>
        <w:sectPr>
          <w:pgSz w:w="11900" w:h="16840" w:orient="portrait"/>
          <w:cols w:equalWidth="0" w:num="1">
            <w:col w:w="10620"/>
          </w:cols>
          <w:pgMar w:left="640" w:top="1440" w:right="640" w:bottom="1440" w:gutter="0" w:footer="0" w:header="0"/>
        </w:sectPr>
      </w:pPr>
    </w:p>
    <w:bookmarkStart w:id="258" w:name="page259"/>
    <w:bookmarkEnd w:id="258"/>
    <w:p>
      <w:pPr>
        <w:spacing w:after="0" w:line="14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12.06 </w:t>
      </w:r>
      <w:r>
        <w:rPr>
          <w:rFonts w:ascii="Times New Roman" w:cs="Times New Roman" w:eastAsia="Times New Roman" w:hAnsi="Times New Roman"/>
          <w:sz w:val="12"/>
          <w:szCs w:val="12"/>
          <w:u w:val="single" w:color="auto"/>
          <w:color w:val="auto"/>
        </w:rPr>
        <w:t>Modification</w:t>
      </w:r>
      <w:r>
        <w:rPr>
          <w:rFonts w:ascii="Times New Roman" w:cs="Times New Roman" w:eastAsia="Times New Roman" w:hAnsi="Times New Roman"/>
          <w:sz w:val="12"/>
          <w:szCs w:val="12"/>
          <w:color w:val="auto"/>
        </w:rPr>
        <w:t xml:space="preserve"> . No modification, amendment or waiver of any provision of this Article XII, nor the consent to any departure by any Guarantor therefrom, shall in any event be effective unless the same shall be in writing and signed by the Trustee, and then such waiver or consent shall be effective only in the specific instance and for the purpose for which given. No notice to or demand on any Guarantor in any case shall entitle any Guarantor to any other or further notice or demand in the same, similar or other circumstances.</w:t>
      </w:r>
    </w:p>
    <w:p>
      <w:pPr>
        <w:spacing w:after="0" w:line="8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12.07 </w:t>
      </w:r>
      <w:r>
        <w:rPr>
          <w:rFonts w:ascii="Times New Roman" w:cs="Times New Roman" w:eastAsia="Times New Roman" w:hAnsi="Times New Roman"/>
          <w:sz w:val="12"/>
          <w:szCs w:val="12"/>
          <w:u w:val="single" w:color="auto"/>
          <w:color w:val="auto"/>
        </w:rPr>
        <w:t>Execution of Supplemental Indenture for Future Guarantors</w:t>
      </w:r>
      <w:r>
        <w:rPr>
          <w:rFonts w:ascii="Times New Roman" w:cs="Times New Roman" w:eastAsia="Times New Roman" w:hAnsi="Times New Roman"/>
          <w:sz w:val="12"/>
          <w:szCs w:val="12"/>
          <w:color w:val="auto"/>
        </w:rPr>
        <w:t>. Each Subsidiary which is required to become a Guarantor of the Notes pursuant to Section 4.11 shall promptly execute and deliver to the Trustee a supplemental indenture substantially in the form of Exhibit B hereto pursuant to which such Subsidiary shall become a Guarantor under this Article XII and shall guarantee the Guaranteed Obligations. Concurrently with the execution and delivery of such supplemental indenture, the Issuers shall deliver to the Trustee an Opinion of Counsel and an Officer’s Certificate as provided under Section 9.05.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12.08 </w:t>
      </w:r>
      <w:r>
        <w:rPr>
          <w:rFonts w:ascii="Times New Roman" w:cs="Times New Roman" w:eastAsia="Times New Roman" w:hAnsi="Times New Roman"/>
          <w:sz w:val="12"/>
          <w:szCs w:val="12"/>
          <w:u w:val="single" w:color="auto"/>
          <w:color w:val="auto"/>
        </w:rPr>
        <w:t>Non-Impairment</w:t>
      </w:r>
      <w:r>
        <w:rPr>
          <w:rFonts w:ascii="Times New Roman" w:cs="Times New Roman" w:eastAsia="Times New Roman" w:hAnsi="Times New Roman"/>
          <w:sz w:val="12"/>
          <w:szCs w:val="12"/>
          <w:color w:val="auto"/>
        </w:rPr>
        <w:t>. The failure to endorse a Guarantee on any Note shall not affect or impair the validity thereof.</w:t>
      </w:r>
    </w:p>
    <w:p>
      <w:pPr>
        <w:spacing w:after="0" w:line="109" w:lineRule="exact"/>
        <w:rPr>
          <w:sz w:val="20"/>
          <w:szCs w:val="20"/>
          <w:color w:val="auto"/>
        </w:rPr>
      </w:pPr>
    </w:p>
    <w:p>
      <w:pPr>
        <w:jc w:val="both"/>
        <w:ind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12.09 </w:t>
      </w:r>
      <w:r>
        <w:rPr>
          <w:rFonts w:ascii="Times New Roman" w:cs="Times New Roman" w:eastAsia="Times New Roman" w:hAnsi="Times New Roman"/>
          <w:sz w:val="12"/>
          <w:szCs w:val="12"/>
          <w:u w:val="single" w:color="auto"/>
          <w:color w:val="auto"/>
        </w:rPr>
        <w:t>Limitations on Obligations of Dutch Guarantors</w:t>
      </w:r>
      <w:r>
        <w:rPr>
          <w:rFonts w:ascii="Times New Roman" w:cs="Times New Roman" w:eastAsia="Times New Roman" w:hAnsi="Times New Roman"/>
          <w:sz w:val="12"/>
          <w:szCs w:val="12"/>
          <w:color w:val="auto"/>
        </w:rPr>
        <w:t>. The obligations of any Dutch Guarantor or any Guarantor which is a Subsidiary of a Dutch Guarantor expressed to be assumed in this Section 12.09 or otherwise pursuant to any Notes Document shall exclude, and shall not be or be construed as, any guarantee, indemnity, security or other obligation of such Guarantor, to the extent that this would constitute unlawful financial assistance within the meaning of Section 2:98c of the Dutch Civil Code or any other applicable financial assistance rules of any relevant jurisdiction.</w:t>
      </w:r>
    </w:p>
    <w:p>
      <w:pPr>
        <w:spacing w:after="0" w:line="88"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12.10 </w:t>
      </w:r>
      <w:r>
        <w:rPr>
          <w:rFonts w:ascii="Times New Roman" w:cs="Times New Roman" w:eastAsia="Times New Roman" w:hAnsi="Times New Roman"/>
          <w:sz w:val="12"/>
          <w:szCs w:val="12"/>
          <w:u w:val="single" w:color="auto"/>
          <w:color w:val="auto"/>
        </w:rPr>
        <w:t>Works Council Advice Condition for Dutch Guarantors.</w:t>
      </w:r>
      <w:r>
        <w:rPr>
          <w:rFonts w:ascii="Times New Roman" w:cs="Times New Roman" w:eastAsia="Times New Roman" w:hAnsi="Times New Roman"/>
          <w:sz w:val="12"/>
          <w:szCs w:val="12"/>
          <w:color w:val="auto"/>
        </w:rPr>
        <w:t xml:space="preserve"> Notwithstanding anything to the contrary in the Notes Documents, any extension, renewal, increase or other amendment or modification of the Guaranteed Obligations, shall, to the extent such extension, renewal, increase or other amendment or modification of the Guaranteed Obligations is subject to advice (</w:t>
      </w:r>
      <w:r>
        <w:rPr>
          <w:rFonts w:ascii="Times New Roman" w:cs="Times New Roman" w:eastAsia="Times New Roman" w:hAnsi="Times New Roman"/>
          <w:sz w:val="12"/>
          <w:szCs w:val="12"/>
          <w:i w:val="1"/>
          <w:iCs w:val="1"/>
          <w:color w:val="auto"/>
        </w:rPr>
        <w:t>advies</w:t>
      </w:r>
      <w:r>
        <w:rPr>
          <w:rFonts w:ascii="Times New Roman" w:cs="Times New Roman" w:eastAsia="Times New Roman" w:hAnsi="Times New Roman"/>
          <w:sz w:val="12"/>
          <w:szCs w:val="12"/>
          <w:color w:val="auto"/>
        </w:rPr>
        <w:t xml:space="preserve">) of any works council having jurisdiction in respect of any Dutch Guarantor pursuant to the Works Council Act ( </w:t>
      </w:r>
      <w:r>
        <w:rPr>
          <w:rFonts w:ascii="Times New Roman" w:cs="Times New Roman" w:eastAsia="Times New Roman" w:hAnsi="Times New Roman"/>
          <w:sz w:val="12"/>
          <w:szCs w:val="12"/>
          <w:i w:val="1"/>
          <w:iCs w:val="1"/>
          <w:color w:val="auto"/>
        </w:rPr>
        <w:t>Wet op de Ondernemingsraden</w:t>
      </w:r>
      <w:r>
        <w:rPr>
          <w:rFonts w:ascii="Times New Roman" w:cs="Times New Roman" w:eastAsia="Times New Roman" w:hAnsi="Times New Roman"/>
          <w:sz w:val="12"/>
          <w:szCs w:val="12"/>
          <w:color w:val="auto"/>
        </w:rPr>
        <w:t>), be conditional upon each such Dutch Guarantor having obtained, prior to such extension, renewal, increase, amendment or modification of the Guaranteed Obligations becoming effective, (i) a positive or neutral advice (</w:t>
      </w:r>
      <w:r>
        <w:rPr>
          <w:rFonts w:ascii="Times New Roman" w:cs="Times New Roman" w:eastAsia="Times New Roman" w:hAnsi="Times New Roman"/>
          <w:sz w:val="12"/>
          <w:szCs w:val="12"/>
          <w:i w:val="1"/>
          <w:iCs w:val="1"/>
          <w:color w:val="auto"/>
        </w:rPr>
        <w:t>advies</w:t>
      </w:r>
      <w:r>
        <w:rPr>
          <w:rFonts w:ascii="Times New Roman" w:cs="Times New Roman" w:eastAsia="Times New Roman" w:hAnsi="Times New Roman"/>
          <w:sz w:val="12"/>
          <w:szCs w:val="12"/>
          <w:color w:val="auto"/>
        </w:rPr>
        <w:t>) from such works council or (ii) a written confirmation from such works council that it has waived any objection to such extension, renewal, increase or other amendment or modification of the Guaranteed Obligations.</w:t>
      </w:r>
    </w:p>
    <w:p>
      <w:pPr>
        <w:spacing w:after="0" w:line="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XIII</w:t>
      </w:r>
    </w:p>
    <w:p>
      <w:pPr>
        <w:spacing w:after="0" w:line="10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13.01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communication required or permitted hereunder shall be in writing and delivered in person, electronically in PDF format or mailed by first-class mail addressed as follows: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09" w:lineRule="exact"/>
        <w:rPr>
          <w:rFonts w:ascii="Times New Roman" w:cs="Times New Roman" w:eastAsia="Times New Roman" w:hAnsi="Times New Roman"/>
          <w:sz w:val="12"/>
          <w:szCs w:val="12"/>
          <w:color w:val="auto"/>
        </w:rPr>
      </w:pPr>
    </w:p>
    <w:p>
      <w:pPr>
        <w:ind w:left="52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82</w:t>
      </w:r>
    </w:p>
    <w:p>
      <w:pPr>
        <w:sectPr>
          <w:pgSz w:w="11900" w:h="16840" w:orient="portrait"/>
          <w:cols w:equalWidth="0" w:num="1">
            <w:col w:w="10620"/>
          </w:cols>
          <w:pgMar w:left="640" w:top="1440" w:right="640" w:bottom="1440" w:gutter="0" w:footer="0" w:header="0"/>
        </w:sectPr>
      </w:pPr>
    </w:p>
    <w:bookmarkStart w:id="259" w:name="page260"/>
    <w:bookmarkEnd w:id="259"/>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to the Issuers:</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Genmab A/S</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Carl Jacobsens Vej 30</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2500 Valby</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Denmark</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Attention: Jan G. J. van de Winkel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with a copy to:</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A&amp;O Shearman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599 Lexington Avenue</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New York, NY 10022</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Attention: Harald Halbhuber</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E-mail: harald.halbhuber@aoshearman.com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to the Trustee:</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Global Capital Markets</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99 Wood Avenue South</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Iselin, New Jersey 08830</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Attention: Genmab Notes Administrator</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Issuers or the Trustee by notice to the other may designate additional or different addresses for subsequent notices or communications.</w:t>
      </w:r>
    </w:p>
    <w:p>
      <w:pPr>
        <w:spacing w:after="0" w:line="12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All notices and communications (other than those sent to holders) will be deemed to have been duly given: as of the date so delivered if personally delivered or if delivered electronically; five Business Days after being deposited in the mail, postage prepaid, if mailed; and the next Business Day after timely delivery to the courier, if sent by overnight air courier guaranteeing next day delivery. If a notice or communication is mailed in the manner provided in this paragraph within the time prescribed, it is duly given, whether or not the addressee receives it.</w:t>
      </w:r>
    </w:p>
    <w:p>
      <w:pPr>
        <w:spacing w:after="0" w:line="82" w:lineRule="exact"/>
        <w:rPr>
          <w:sz w:val="20"/>
          <w:szCs w:val="20"/>
          <w:color w:val="auto"/>
        </w:rPr>
      </w:pPr>
    </w:p>
    <w:p>
      <w:pPr>
        <w:ind w:right="20" w:firstLine="463"/>
        <w:spacing w:after="0" w:line="253" w:lineRule="auto"/>
        <w:tabs>
          <w:tab w:leader="none" w:pos="904"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communication mailed to a holder shall be electronically delivered or mailed, first class mail, to the holder at the holder’s address as it appears on the registration books of the Registrar and shall be sufficiently given if so sent within the time prescribed.</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are effective only if received.</w:t>
      </w:r>
    </w:p>
    <w:p>
      <w:pPr>
        <w:spacing w:after="0" w:line="90"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The Trustee may, in its sole discretion, agree to accept and act upon instructions or directions pursuant to this Indenture sent by e-mail or other similar electronic methods. The Trustee shall have no duty to confirm that the person sending any notice, instruction or other communication by electronic transmission (including by e-mail, web portal or other electronic methods) is, in fact, a person authorized to do so. Each other party assumes all risks arising out of the use of electronic signatures and electronic methods to send any such notice, instruction or other communication to the Trustee, including without limitation the risk of the Trustee acting on unauthorized notices, instructions or other communications, and the risk of interception or misuse by third parties. Notwithstanding the foregoing, the Trustee may in any instance and in its sole discretion require that an original document bearing a manual signature be delivered to them in lieu of, or in addition to, any such electronic notice, instruction or other communication.</w:t>
      </w:r>
    </w:p>
    <w:p>
      <w:pPr>
        <w:spacing w:after="0" w:line="9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Notwithstanding anything to the contrary contained herein, as long as the Notes are in the form of a Global Note, notice to the holders may be made electronically in accordance with procedures of the Depository.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83</w:t>
      </w:r>
    </w:p>
    <w:p>
      <w:pPr>
        <w:sectPr>
          <w:pgSz w:w="11900" w:h="16840" w:orient="portrait"/>
          <w:cols w:equalWidth="0" w:num="1">
            <w:col w:w="10620"/>
          </w:cols>
          <w:pgMar w:left="640" w:top="1440" w:right="640" w:bottom="1440" w:gutter="0" w:footer="0" w:header="0"/>
        </w:sectPr>
      </w:pPr>
    </w:p>
    <w:bookmarkStart w:id="260" w:name="page261"/>
    <w:bookmarkEnd w:id="260"/>
    <w:p>
      <w:pPr>
        <w:spacing w:after="0" w:line="148"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13.02 </w:t>
      </w:r>
      <w:r>
        <w:rPr>
          <w:rFonts w:ascii="Times New Roman" w:cs="Times New Roman" w:eastAsia="Times New Roman" w:hAnsi="Times New Roman"/>
          <w:sz w:val="12"/>
          <w:szCs w:val="12"/>
          <w:u w:val="single" w:color="auto"/>
          <w:color w:val="auto"/>
        </w:rPr>
        <w:t>Certificate and Opinion as to Conditions Precedent</w:t>
      </w:r>
      <w:r>
        <w:rPr>
          <w:rFonts w:ascii="Times New Roman" w:cs="Times New Roman" w:eastAsia="Times New Roman" w:hAnsi="Times New Roman"/>
          <w:sz w:val="12"/>
          <w:szCs w:val="12"/>
          <w:color w:val="auto"/>
        </w:rPr>
        <w:t>. Upon any request or application by the Issuers to the Trustee to take or refrain from taking any action under this Indenture (except in connection with the original issuance and authentication of Initial Notes on the Issue Date), the Issuers shall furnish to the Trustee at the request of the Trustee:</w:t>
      </w:r>
    </w:p>
    <w:p>
      <w:pPr>
        <w:spacing w:after="0" w:line="80" w:lineRule="exact"/>
        <w:rPr>
          <w:sz w:val="20"/>
          <w:szCs w:val="20"/>
          <w:color w:val="auto"/>
        </w:rPr>
      </w:pPr>
    </w:p>
    <w:p>
      <w:pPr>
        <w:ind w:right="20" w:firstLine="463"/>
        <w:spacing w:after="0" w:line="253" w:lineRule="auto"/>
        <w:tabs>
          <w:tab w:leader="none" w:pos="904"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Officer’s Certificate in a form reasonably satisfactory to the Trustee stating that, in the opinion of the signers, all conditions precedent, if any, provided for in this Indenture relating to the proposed action have been complied with; and</w:t>
      </w:r>
    </w:p>
    <w:p>
      <w:pPr>
        <w:spacing w:after="0" w:line="80"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upon the issuance of the Initial Notes, an Opinion of Counsel in form reasonably satisfactory to the Trustee stating that, in the opinion of such counsel, all such conditions precedent have been complied with.</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13.03 </w:t>
      </w:r>
      <w:r>
        <w:rPr>
          <w:rFonts w:ascii="Times New Roman" w:cs="Times New Roman" w:eastAsia="Times New Roman" w:hAnsi="Times New Roman"/>
          <w:sz w:val="12"/>
          <w:szCs w:val="12"/>
          <w:u w:val="single" w:color="auto"/>
          <w:color w:val="auto"/>
        </w:rPr>
        <w:t>Statements Required in Certificate or Opinion</w:t>
      </w:r>
      <w:r>
        <w:rPr>
          <w:rFonts w:ascii="Times New Roman" w:cs="Times New Roman" w:eastAsia="Times New Roman" w:hAnsi="Times New Roman"/>
          <w:sz w:val="12"/>
          <w:szCs w:val="12"/>
          <w:color w:val="auto"/>
        </w:rPr>
        <w:t>. Each certificate or opinion with respect to compliance with a covenant or condition provided for in this Indenture (other than pursuant to</w:t>
      </w:r>
    </w:p>
    <w:p>
      <w:pPr>
        <w:spacing w:after="0"/>
        <w:rPr>
          <w:sz w:val="20"/>
          <w:szCs w:val="20"/>
          <w:color w:val="auto"/>
        </w:rPr>
      </w:pPr>
      <w:r>
        <w:rPr>
          <w:rFonts w:ascii="Times New Roman" w:cs="Times New Roman" w:eastAsia="Times New Roman" w:hAnsi="Times New Roman"/>
          <w:sz w:val="12"/>
          <w:szCs w:val="12"/>
          <w:color w:val="auto"/>
        </w:rPr>
        <w:t>Section 4.09) shall include:</w:t>
      </w:r>
    </w:p>
    <w:p>
      <w:pPr>
        <w:spacing w:after="0" w:line="95" w:lineRule="exact"/>
        <w:rPr>
          <w:sz w:val="20"/>
          <w:szCs w:val="20"/>
          <w:color w:val="auto"/>
        </w:rPr>
      </w:pPr>
    </w:p>
    <w:p>
      <w:pPr>
        <w:ind w:left="920" w:hanging="457"/>
        <w:spacing w:after="0"/>
        <w:tabs>
          <w:tab w:leader="none" w:pos="92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statement that the individual making such certificate or opinion has read such covenant or condition;</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brief statement as to the nature and scope of the examination or investigation upon which the statements or opinions contained in such certificate or opinion are based;</w:t>
      </w:r>
    </w:p>
    <w:p>
      <w:pPr>
        <w:spacing w:after="0" w:line="10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80"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statement as to whether or not, in the opinion of such individual, such covenant or condition has been complied with;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with respect to matters of fact an Opinion of Counsel may rely on an Officer’s Certificate or certificates of public officials.</w:t>
      </w:r>
    </w:p>
    <w:p>
      <w:pPr>
        <w:spacing w:after="0" w:line="80"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13.04 </w:t>
      </w:r>
      <w:r>
        <w:rPr>
          <w:rFonts w:ascii="Times New Roman" w:cs="Times New Roman" w:eastAsia="Times New Roman" w:hAnsi="Times New Roman"/>
          <w:sz w:val="12"/>
          <w:szCs w:val="12"/>
          <w:u w:val="single" w:color="auto"/>
          <w:color w:val="auto"/>
        </w:rPr>
        <w:t>When Notes Disregarded</w:t>
      </w:r>
      <w:r>
        <w:rPr>
          <w:rFonts w:ascii="Times New Roman" w:cs="Times New Roman" w:eastAsia="Times New Roman" w:hAnsi="Times New Roman"/>
          <w:sz w:val="12"/>
          <w:szCs w:val="12"/>
          <w:color w:val="auto"/>
        </w:rPr>
        <w:t>. In determining whether the holders of the required principal amount of Notes have concurred in any direction, waiver or consent, Notes owned by any Issuer, any Guarantor or any of their respective Affiliates shall be disregarded and deemed not to be outstanding, except that, for the purpose of determining whether the Trustee shall be protected in relying on any such direction, waiver or consent, only Notes which a Trust Officer of the Trustee actually knows are so owned shall be so disregarded. Subject to the foregoing, only Notes outstanding at the time shall be considered in any such determination.</w:t>
      </w:r>
    </w:p>
    <w:p>
      <w:pPr>
        <w:spacing w:after="0" w:line="87"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13.05 </w:t>
      </w:r>
      <w:r>
        <w:rPr>
          <w:rFonts w:ascii="Times New Roman" w:cs="Times New Roman" w:eastAsia="Times New Roman" w:hAnsi="Times New Roman"/>
          <w:sz w:val="12"/>
          <w:szCs w:val="12"/>
          <w:u w:val="single" w:color="auto"/>
          <w:color w:val="auto"/>
        </w:rPr>
        <w:t>Rules by Trustee, Paying Agent and Registrar</w:t>
      </w:r>
      <w:r>
        <w:rPr>
          <w:rFonts w:ascii="Times New Roman" w:cs="Times New Roman" w:eastAsia="Times New Roman" w:hAnsi="Times New Roman"/>
          <w:sz w:val="12"/>
          <w:szCs w:val="12"/>
          <w:color w:val="auto"/>
        </w:rPr>
        <w:t>. The Trustee may make reasonable rules for action by or a meeting of the holders. The Registrar and Paying Agent may make reasonable rules for their functions.</w:t>
      </w:r>
    </w:p>
    <w:p>
      <w:pPr>
        <w:spacing w:after="0" w:line="80"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13.06 </w:t>
      </w:r>
      <w:r>
        <w:rPr>
          <w:rFonts w:ascii="Times New Roman" w:cs="Times New Roman" w:eastAsia="Times New Roman" w:hAnsi="Times New Roman"/>
          <w:sz w:val="12"/>
          <w:szCs w:val="12"/>
          <w:u w:val="single" w:color="auto"/>
          <w:color w:val="auto"/>
        </w:rPr>
        <w:t>Legal Holidays</w:t>
      </w:r>
      <w:r>
        <w:rPr>
          <w:rFonts w:ascii="Times New Roman" w:cs="Times New Roman" w:eastAsia="Times New Roman" w:hAnsi="Times New Roman"/>
          <w:sz w:val="12"/>
          <w:szCs w:val="12"/>
          <w:color w:val="auto"/>
        </w:rPr>
        <w:t>. If a payment date is not a Business Day, payment shall be made on the next succeeding day that is a Business Day, and no interest shall accrue on any amount that would have been otherwise payable on such payment date if it were a Business Day for the intervening period. If a regular Record Date is not a Business Day, the Record Date shall not be affected.</w:t>
      </w:r>
    </w:p>
    <w:p>
      <w:pPr>
        <w:spacing w:after="0" w:line="80" w:lineRule="exact"/>
        <w:rPr>
          <w:sz w:val="20"/>
          <w:szCs w:val="20"/>
          <w:color w:val="auto"/>
        </w:rPr>
      </w:pPr>
    </w:p>
    <w:p>
      <w:pPr>
        <w:ind w:right="6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13.07 </w:t>
      </w:r>
      <w:r>
        <w:rPr>
          <w:rFonts w:ascii="Times New Roman" w:cs="Times New Roman" w:eastAsia="Times New Roman" w:hAnsi="Times New Roman"/>
          <w:sz w:val="12"/>
          <w:szCs w:val="12"/>
          <w:u w:val="single" w:color="auto"/>
          <w:color w:val="auto"/>
        </w:rPr>
        <w:t>GOVERNING LAW; JURISDICTION; SERVICE OF PROCESS</w:t>
      </w:r>
      <w:r>
        <w:rPr>
          <w:rFonts w:ascii="Times New Roman" w:cs="Times New Roman" w:eastAsia="Times New Roman" w:hAnsi="Times New Roman"/>
          <w:sz w:val="12"/>
          <w:szCs w:val="12"/>
          <w:color w:val="auto"/>
        </w:rPr>
        <w:t>. THIS INDENTURE AND THE NOTES SHALL BE GOVERNED BY, AND CONSTRUED IN ACCORDANCE WITH, THE LAWS OF THE STATE OF NEW YORK.</w:t>
      </w:r>
    </w:p>
    <w:p>
      <w:pPr>
        <w:spacing w:after="0" w:line="90"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 xml:space="preserve">Each Issuer and Guarantor irrevocably consents and agrees, for the benefit of the holders from time to time of the Notes and the Trustee, that any legal action, suit or proceeding against it with respect to its obligations, liabilities or any other matter arising out of or in connection with this Indenture, the Notes, the Guarantees or the transactions contemplated hereby may be brought in the courts of the State of New York or the courts of the United States located in the Borough of Manhattan, New York City, New York and, until amounts due and to become due in respect of the Notes have been paid, hereby irrevocably consent and submit to the non-exclusive jurisdiction of each such court </w:t>
      </w:r>
      <w:r>
        <w:rPr>
          <w:rFonts w:ascii="Times New Roman" w:cs="Times New Roman" w:eastAsia="Times New Roman" w:hAnsi="Times New Roman"/>
          <w:sz w:val="12"/>
          <w:szCs w:val="12"/>
          <w:i w:val="1"/>
          <w:iCs w:val="1"/>
          <w:color w:val="auto"/>
        </w:rPr>
        <w:t>in personam</w:t>
      </w:r>
      <w:r>
        <w:rPr>
          <w:rFonts w:ascii="Times New Roman" w:cs="Times New Roman" w:eastAsia="Times New Roman" w:hAnsi="Times New Roman"/>
          <w:sz w:val="12"/>
          <w:szCs w:val="12"/>
          <w:color w:val="auto"/>
        </w:rPr>
        <w:t>, generally and unconditionally with respect to any legal action, suit or proceeding for itself and in respect of its properties, assets and revenues (unless otherwise provided in any Notes Documents that are governed by the federal law of the United States or the law of any state of the United States or the District of Columbia). The Issuers and the Guarantors irrevocably waive, to the fullest extent permitted by law, any objection to any legal action, suit or proceeding that may be brought in connection with this Indenture, the Notes,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84</w:t>
      </w:r>
    </w:p>
    <w:p>
      <w:pPr>
        <w:sectPr>
          <w:pgSz w:w="11900" w:h="16840" w:orient="portrait"/>
          <w:cols w:equalWidth="0" w:num="1">
            <w:col w:w="10620"/>
          </w:cols>
          <w:pgMar w:left="640" w:top="1440" w:right="640" w:bottom="1440" w:gutter="0" w:footer="0" w:header="0"/>
        </w:sectPr>
      </w:pPr>
    </w:p>
    <w:bookmarkStart w:id="261" w:name="page262"/>
    <w:bookmarkEnd w:id="261"/>
    <w:p>
      <w:pPr>
        <w:spacing w:after="0" w:line="15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2"/>
          <w:szCs w:val="12"/>
          <w:color w:val="auto"/>
        </w:rPr>
        <w:t>Guarantees or any transactions contemplated hereby, including such legal actions, suits or proceedings relating to securities laws of the United States of America or any state thereof, in such courts whether on the grounds of venue, residence or domicile or on the ground that any such suit, action or proceeding has been brought in an inconvenient forum.</w:t>
      </w:r>
    </w:p>
    <w:p>
      <w:pPr>
        <w:spacing w:after="0" w:line="79"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 xml:space="preserve">The Company and Genmab Holding B.V., Genmab B.V. and Genmab Holding II B.V. (each of Genmab Holding B.V., Genmab B.V. and Genmab Holding II B.V., a “ </w:t>
      </w:r>
      <w:r>
        <w:rPr>
          <w:rFonts w:ascii="Times New Roman" w:cs="Times New Roman" w:eastAsia="Times New Roman" w:hAnsi="Times New Roman"/>
          <w:sz w:val="12"/>
          <w:szCs w:val="12"/>
          <w:u w:val="single" w:color="auto"/>
          <w:color w:val="auto"/>
        </w:rPr>
        <w:t>Dutch Guarantor</w:t>
      </w:r>
      <w:r>
        <w:rPr>
          <w:rFonts w:ascii="Times New Roman" w:cs="Times New Roman" w:eastAsia="Times New Roman" w:hAnsi="Times New Roman"/>
          <w:sz w:val="12"/>
          <w:szCs w:val="12"/>
          <w:color w:val="auto"/>
        </w:rPr>
        <w:t>”) irrevocably appoint Genmab US, Inc. located at 777 Scudders Mill Road, Plainsboro, NJ 08536 as their agent to receive service of process or other legal summons for purposes of any such suit, action or proceeding that may be instituted in any state or federal court in the City and County of New York. The Company and each Dutch Guarantor represents and warrants that such agent has agreed to act as the agent for the Company and the Dutch Guarantors for service of process, and the Company and the Dutch Guarantors agree to take any and all action, including the filing of any and all documents and instruments, that may be necessary to continue such appointment in full force and effect.</w:t>
      </w:r>
    </w:p>
    <w:p>
      <w:pPr>
        <w:spacing w:after="0" w:line="89" w:lineRule="exact"/>
        <w:rPr>
          <w:sz w:val="20"/>
          <w:szCs w:val="20"/>
          <w:color w:val="auto"/>
        </w:rPr>
      </w:pPr>
    </w:p>
    <w:p>
      <w:pPr>
        <w:jc w:val="both"/>
        <w:ind w:right="4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13.08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EACH OF THE ISSUERS, THE GUARANTORS AND THE TRUSTEE HEREBY IRREVOCABLY WAIVES, TO THE FULLEST EXTENT PERMITTED BY APPLICABLE LAW, ANY AND ALL RIGHT TO TRIAL BY JURY IN ANY LEGAL PROCEEDING ARISING OUT OF OR RELATING TO THIS INDENTURE, THE NOTES, THE GUARANTEES OR THE TRANSACTIONS CONTEMPLATED HEREBY.</w:t>
      </w:r>
    </w:p>
    <w:p>
      <w:pPr>
        <w:spacing w:after="0" w:line="8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13.09 </w:t>
      </w:r>
      <w:r>
        <w:rPr>
          <w:rFonts w:ascii="Times New Roman" w:cs="Times New Roman" w:eastAsia="Times New Roman" w:hAnsi="Times New Roman"/>
          <w:sz w:val="12"/>
          <w:szCs w:val="12"/>
          <w:u w:val="single" w:color="auto"/>
          <w:color w:val="auto"/>
        </w:rPr>
        <w:t>No Recourse Against Others</w:t>
      </w:r>
      <w:r>
        <w:rPr>
          <w:rFonts w:ascii="Times New Roman" w:cs="Times New Roman" w:eastAsia="Times New Roman" w:hAnsi="Times New Roman"/>
          <w:sz w:val="12"/>
          <w:szCs w:val="12"/>
          <w:color w:val="auto"/>
        </w:rPr>
        <w:t>. No director, officer, employee, manager or incorporator of any Issuer or any Guarantor and no holder of any Equity Interests in the Company, as such, will have any liability for any obligations of any Issuer or Guarantor under the Notes, this Indenture or the Guarantees, as applicable, or for any claim based on, in respect of, or by reason of, such obligations or their creation. Each holder of Notes by accepting a Note waives and releases all such liability.</w:t>
      </w:r>
    </w:p>
    <w:p>
      <w:pPr>
        <w:spacing w:after="0" w:line="88" w:lineRule="exact"/>
        <w:rPr>
          <w:sz w:val="20"/>
          <w:szCs w:val="20"/>
          <w:color w:val="auto"/>
        </w:rPr>
      </w:pPr>
    </w:p>
    <w:p>
      <w:pPr>
        <w:jc w:val="both"/>
        <w:ind w:right="4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13.10 </w:t>
      </w:r>
      <w:r>
        <w:rPr>
          <w:rFonts w:ascii="Times New Roman" w:cs="Times New Roman" w:eastAsia="Times New Roman" w:hAnsi="Times New Roman"/>
          <w:sz w:val="12"/>
          <w:szCs w:val="12"/>
          <w:u w:val="single" w:color="auto"/>
          <w:color w:val="auto"/>
        </w:rPr>
        <w:t>Successors</w:t>
      </w:r>
      <w:r>
        <w:rPr>
          <w:rFonts w:ascii="Times New Roman" w:cs="Times New Roman" w:eastAsia="Times New Roman" w:hAnsi="Times New Roman"/>
          <w:sz w:val="12"/>
          <w:szCs w:val="12"/>
          <w:color w:val="auto"/>
        </w:rPr>
        <w:t>. All agreements of the Issuers and the Guarantors in this Indenture and the Notes shall bind such person’s successors. All agreements of the Trustee in this Indenture shall bind its successors.</w:t>
      </w:r>
    </w:p>
    <w:p>
      <w:pPr>
        <w:spacing w:after="0" w:line="80"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13.11 </w:t>
      </w:r>
      <w:r>
        <w:rPr>
          <w:rFonts w:ascii="Times New Roman" w:cs="Times New Roman" w:eastAsia="Times New Roman" w:hAnsi="Times New Roman"/>
          <w:sz w:val="12"/>
          <w:szCs w:val="12"/>
          <w:u w:val="single" w:color="auto"/>
          <w:color w:val="auto"/>
        </w:rPr>
        <w:t>Multiple Originals</w:t>
      </w:r>
      <w:r>
        <w:rPr>
          <w:rFonts w:ascii="Times New Roman" w:cs="Times New Roman" w:eastAsia="Times New Roman" w:hAnsi="Times New Roman"/>
          <w:sz w:val="12"/>
          <w:szCs w:val="12"/>
          <w:color w:val="auto"/>
        </w:rPr>
        <w:t>. The parties may sign any number of copies of this Indenture. Each signed copy shall be an original, but all of them together represent the same agreement. Any signature to this Indenture or any notice, instruction or other communication delivered pursuant to Section 13.01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hereto. Each of the parties represents and warrants to the other parties that it has the corporate capacity and authority to execute this Indenture through electronic means and there are no restrictions for doing so in that party’s constitutive documents.</w:t>
      </w:r>
    </w:p>
    <w:p>
      <w:pPr>
        <w:spacing w:after="0" w:line="90"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13.12 </w:t>
      </w:r>
      <w:r>
        <w:rPr>
          <w:rFonts w:ascii="Times New Roman" w:cs="Times New Roman" w:eastAsia="Times New Roman" w:hAnsi="Times New Roman"/>
          <w:sz w:val="12"/>
          <w:szCs w:val="12"/>
          <w:u w:val="single" w:color="auto"/>
          <w:color w:val="auto"/>
        </w:rPr>
        <w:t>Table of Contents; Headings</w:t>
      </w:r>
      <w:r>
        <w:rPr>
          <w:rFonts w:ascii="Times New Roman" w:cs="Times New Roman" w:eastAsia="Times New Roman" w:hAnsi="Times New Roman"/>
          <w:sz w:val="12"/>
          <w:szCs w:val="12"/>
          <w:color w:val="auto"/>
        </w:rPr>
        <w:t>. The table of contents, cross-reference sheet and headings of the Articles and Sections of this Indenture have been inserted for convenience of reference only, are not intended to be considered a part hereof and shall not modify or restrict any of the terms or provisions hereof.</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13.13 </w:t>
      </w:r>
      <w:r>
        <w:rPr>
          <w:rFonts w:ascii="Times New Roman" w:cs="Times New Roman" w:eastAsia="Times New Roman" w:hAnsi="Times New Roman"/>
          <w:sz w:val="12"/>
          <w:szCs w:val="12"/>
          <w:u w:val="single" w:color="auto"/>
          <w:color w:val="auto"/>
        </w:rPr>
        <w:t>Indenture Controls</w:t>
      </w:r>
      <w:r>
        <w:rPr>
          <w:rFonts w:ascii="Times New Roman" w:cs="Times New Roman" w:eastAsia="Times New Roman" w:hAnsi="Times New Roman"/>
          <w:sz w:val="12"/>
          <w:szCs w:val="12"/>
          <w:color w:val="auto"/>
        </w:rPr>
        <w:t>. If and to the extent that any provision of the Notes limits, qualifies or conflicts with a provision of this Indenture, such provision of this Indenture shall control.</w:t>
      </w:r>
    </w:p>
    <w:p>
      <w:pPr>
        <w:spacing w:after="0" w:line="109"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13.14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In case a court of competent jurisdiction declares any provision in this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80"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13.15 </w:t>
      </w:r>
      <w:r>
        <w:rPr>
          <w:rFonts w:ascii="Times New Roman" w:cs="Times New Roman" w:eastAsia="Times New Roman" w:hAnsi="Times New Roman"/>
          <w:sz w:val="12"/>
          <w:szCs w:val="12"/>
          <w:u w:val="single" w:color="auto"/>
          <w:color w:val="auto"/>
        </w:rPr>
        <w:t>USA PATRIOT Act</w:t>
      </w:r>
      <w:r>
        <w:rPr>
          <w:rFonts w:ascii="Times New Roman" w:cs="Times New Roman" w:eastAsia="Times New Roman" w:hAnsi="Times New Roman"/>
          <w:sz w:val="12"/>
          <w:szCs w:val="12"/>
          <w:color w:val="auto"/>
        </w:rPr>
        <w:t xml:space="preserve">. In order to comply with the laws, rules, regulations and executive orders in effect from time to time applicable to banking institutions, including those relating to the funding of terrorist activities and money laundering such as Section 326 of the USA PATRIOT Act of the United States (“ </w:t>
      </w:r>
      <w:r>
        <w:rPr>
          <w:rFonts w:ascii="Times New Roman" w:cs="Times New Roman" w:eastAsia="Times New Roman" w:hAnsi="Times New Roman"/>
          <w:sz w:val="12"/>
          <w:szCs w:val="12"/>
          <w:u w:val="single" w:color="auto"/>
          <w:color w:val="auto"/>
        </w:rPr>
        <w:t>Applicable Law</w:t>
      </w:r>
      <w:r>
        <w:rPr>
          <w:rFonts w:ascii="Times New Roman" w:cs="Times New Roman" w:eastAsia="Times New Roman" w:hAnsi="Times New Roman"/>
          <w:sz w:val="12"/>
          <w:szCs w:val="12"/>
          <w:color w:val="auto"/>
        </w:rPr>
        <w:t>”), the Trustee is required to obtain, verify, record and update certain information relating to individuals and entities which maintain a business relationship with the Trustee. Accordingly, each of the parties agree to provide to the Trustee, upon their request from time to time such identifying information and documentation as may be available for such party in order to enable the Trustee to comply with Applicable Law.</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85</w:t>
      </w:r>
    </w:p>
    <w:p>
      <w:pPr>
        <w:sectPr>
          <w:pgSz w:w="11900" w:h="16840" w:orient="portrait"/>
          <w:cols w:equalWidth="0" w:num="1">
            <w:col w:w="10620"/>
          </w:cols>
          <w:pgMar w:left="640" w:top="1440" w:right="640" w:bottom="1440" w:gutter="0" w:footer="0" w:header="0"/>
        </w:sectPr>
      </w:pPr>
    </w:p>
    <w:bookmarkStart w:id="262" w:name="page263"/>
    <w:bookmarkEnd w:id="262"/>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Indenture to be duly executed as of the date first written above.</w:t>
      </w:r>
    </w:p>
    <w:p>
      <w:pPr>
        <w:sectPr>
          <w:pgSz w:w="11900" w:h="16840" w:orient="portrait"/>
          <w:cols w:equalWidth="0" w:num="1">
            <w:col w:w="9240"/>
          </w:cols>
          <w:pgMar w:left="1220" w:top="1440" w:right="1440" w:bottom="1440" w:gutter="0" w:footer="0" w:header="0"/>
        </w:sectPr>
      </w:pPr>
    </w:p>
    <w:p>
      <w:pPr>
        <w:spacing w:after="0" w:line="16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b w:val="1"/>
          <w:bCs w:val="1"/>
          <w:color w:val="auto"/>
        </w:rPr>
        <w:t>GENMAB A/S</w:t>
      </w:r>
      <w:r>
        <w:rPr>
          <w:rFonts w:ascii="Times New Roman" w:cs="Times New Roman" w:eastAsia="Times New Roman" w:hAnsi="Times New Roman"/>
          <w:sz w:val="12"/>
          <w:szCs w:val="12"/>
          <w:color w:val="auto"/>
        </w:rPr>
        <w:t>, as Issuer</w:t>
      </w:r>
    </w:p>
    <w:p>
      <w:pPr>
        <w:spacing w:after="0" w:line="226" w:lineRule="exact"/>
        <w:rPr>
          <w:sz w:val="20"/>
          <w:szCs w:val="20"/>
          <w:color w:val="auto"/>
        </w:rPr>
      </w:pPr>
    </w:p>
    <w:p>
      <w:pPr>
        <w:ind w:left="3000"/>
        <w:spacing w:after="0"/>
        <w:tabs>
          <w:tab w:leader="none" w:pos="3340" w:val="left"/>
        </w:tabs>
        <w:rPr>
          <w:sz w:val="20"/>
          <w:szCs w:val="20"/>
          <w:color w:val="auto"/>
        </w:rPr>
      </w:pPr>
      <w:r>
        <w:rPr>
          <w:rFonts w:ascii="Times New Roman" w:cs="Times New Roman" w:eastAsia="Times New Roman" w:hAnsi="Times New Roman"/>
          <w:sz w:val="12"/>
          <w:szCs w:val="12"/>
          <w:color w:val="auto"/>
        </w:rPr>
        <w:t>By:</w:t>
        <w:tab/>
        <w:t>/s/ Jan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15240</wp:posOffset>
            </wp:positionV>
            <wp:extent cx="155321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1553210" cy="6350"/>
                    </a:xfrm>
                    <a:prstGeom prst="rect">
                      <a:avLst/>
                    </a:prstGeom>
                    <a:noFill/>
                  </pic:spPr>
                </pic:pic>
              </a:graphicData>
            </a:graphic>
          </wp:anchor>
        </w:drawing>
      </w:r>
    </w:p>
    <w:p>
      <w:pPr>
        <w:spacing w:after="0" w:line="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color w:val="auto"/>
        </w:rPr>
        <w:t>Name: Jan van de Winkel</w:t>
      </w:r>
    </w:p>
    <w:p>
      <w:pPr>
        <w:spacing w:after="0" w:line="2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color w:val="auto"/>
        </w:rPr>
        <w:t>Title: President &amp; Chief Executive Officer</w:t>
      </w:r>
    </w:p>
    <w:p>
      <w:pPr>
        <w:spacing w:after="0" w:line="281" w:lineRule="exact"/>
        <w:rPr>
          <w:sz w:val="20"/>
          <w:szCs w:val="20"/>
          <w:color w:val="auto"/>
        </w:rPr>
      </w:pPr>
    </w:p>
    <w:p>
      <w:pPr>
        <w:ind w:left="3000"/>
        <w:spacing w:after="0"/>
        <w:tabs>
          <w:tab w:leader="none" w:pos="334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15240</wp:posOffset>
            </wp:positionV>
            <wp:extent cx="155321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1553210" cy="6350"/>
                    </a:xfrm>
                    <a:prstGeom prst="rect">
                      <a:avLst/>
                    </a:prstGeom>
                    <a:noFill/>
                  </pic:spPr>
                </pic:pic>
              </a:graphicData>
            </a:graphic>
          </wp:anchor>
        </w:drawing>
      </w:r>
    </w:p>
    <w:p>
      <w:pPr>
        <w:spacing w:after="0" w:line="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color w:val="auto"/>
        </w:rPr>
        <w:t>Title: Executive Vice President &amp; Chief</w:t>
      </w:r>
    </w:p>
    <w:p>
      <w:pPr>
        <w:ind w:left="3360"/>
        <w:spacing w:after="0"/>
        <w:rPr>
          <w:sz w:val="20"/>
          <w:szCs w:val="20"/>
          <w:color w:val="auto"/>
        </w:rPr>
      </w:pPr>
      <w:r>
        <w:rPr>
          <w:rFonts w:ascii="Times New Roman" w:cs="Times New Roman" w:eastAsia="Times New Roman" w:hAnsi="Times New Roman"/>
          <w:sz w:val="12"/>
          <w:szCs w:val="12"/>
          <w:color w:val="auto"/>
        </w:rPr>
        <w:t>Financial Officer</w:t>
      </w:r>
    </w:p>
    <w:p>
      <w:pPr>
        <w:spacing w:after="0" w:line="267" w:lineRule="exact"/>
        <w:rPr>
          <w:sz w:val="20"/>
          <w:szCs w:val="20"/>
          <w:color w:val="auto"/>
        </w:rPr>
      </w:pPr>
    </w:p>
    <w:p>
      <w:pPr>
        <w:ind w:left="3000"/>
        <w:spacing w:after="0"/>
        <w:tabs>
          <w:tab w:leader="none" w:pos="3340" w:val="left"/>
        </w:tabs>
        <w:rPr>
          <w:sz w:val="20"/>
          <w:szCs w:val="20"/>
          <w:color w:val="auto"/>
        </w:rPr>
      </w:pPr>
      <w:r>
        <w:rPr>
          <w:rFonts w:ascii="Times New Roman" w:cs="Times New Roman" w:eastAsia="Times New Roman" w:hAnsi="Times New Roman"/>
          <w:sz w:val="12"/>
          <w:szCs w:val="12"/>
          <w:color w:val="auto"/>
        </w:rPr>
        <w:t>By:</w:t>
        <w:tab/>
        <w:t>/s/ Greg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15240</wp:posOffset>
            </wp:positionV>
            <wp:extent cx="155321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1553210" cy="6350"/>
                    </a:xfrm>
                    <a:prstGeom prst="rect">
                      <a:avLst/>
                    </a:prstGeom>
                    <a:noFill/>
                  </pic:spPr>
                </pic:pic>
              </a:graphicData>
            </a:graphic>
          </wp:anchor>
        </w:drawing>
      </w:r>
    </w:p>
    <w:p>
      <w:pPr>
        <w:spacing w:after="0" w:line="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color w:val="auto"/>
        </w:rPr>
        <w:t>Name: Greg Mueller</w:t>
      </w:r>
    </w:p>
    <w:p>
      <w:pPr>
        <w:spacing w:after="0" w:line="2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color w:val="auto"/>
        </w:rPr>
        <w:t>Title: Executive Vice President, General</w:t>
      </w:r>
    </w:p>
    <w:p>
      <w:pPr>
        <w:ind w:left="3360"/>
        <w:spacing w:after="0"/>
        <w:rPr>
          <w:sz w:val="20"/>
          <w:szCs w:val="20"/>
          <w:color w:val="auto"/>
        </w:rPr>
      </w:pPr>
      <w:r>
        <w:rPr>
          <w:rFonts w:ascii="Times New Roman" w:cs="Times New Roman" w:eastAsia="Times New Roman" w:hAnsi="Times New Roman"/>
          <w:sz w:val="12"/>
          <w:szCs w:val="12"/>
          <w:color w:val="auto"/>
        </w:rPr>
        <w:t>Counsel &amp; Chief Legal Officer</w:t>
      </w: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b w:val="1"/>
          <w:bCs w:val="1"/>
          <w:color w:val="auto"/>
        </w:rPr>
        <w:t>GENMAB FINANCE LLC</w:t>
      </w:r>
      <w:r>
        <w:rPr>
          <w:rFonts w:ascii="Times New Roman" w:cs="Times New Roman" w:eastAsia="Times New Roman" w:hAnsi="Times New Roman"/>
          <w:sz w:val="12"/>
          <w:szCs w:val="12"/>
          <w:color w:val="auto"/>
        </w:rPr>
        <w:t>, as Issuer</w:t>
      </w:r>
    </w:p>
    <w:p>
      <w:pPr>
        <w:spacing w:after="0" w:line="226" w:lineRule="exact"/>
        <w:rPr>
          <w:sz w:val="20"/>
          <w:szCs w:val="20"/>
          <w:color w:val="auto"/>
        </w:rPr>
      </w:pPr>
    </w:p>
    <w:p>
      <w:pPr>
        <w:ind w:left="3000"/>
        <w:spacing w:after="0"/>
        <w:tabs>
          <w:tab w:leader="none" w:pos="33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15240</wp:posOffset>
            </wp:positionV>
            <wp:extent cx="157734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color w:val="auto"/>
        </w:rPr>
        <w:t>Title: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240"/>
          </w:cols>
          <w:pgMar w:left="1220" w:top="1440" w:right="1440" w:bottom="1440" w:gutter="0" w:footer="0" w:header="0"/>
          <w:type w:val="continuous"/>
        </w:sectPr>
      </w:pPr>
    </w:p>
    <w:bookmarkStart w:id="263" w:name="page264"/>
    <w:bookmarkEnd w:id="263"/>
    <w:p>
      <w:pPr>
        <w:spacing w:after="0" w:line="200" w:lineRule="exact"/>
        <w:rPr>
          <w:sz w:val="20"/>
          <w:szCs w:val="20"/>
          <w:color w:val="auto"/>
        </w:rPr>
      </w:pPr>
    </w:p>
    <w:p>
      <w:pPr>
        <w:spacing w:after="0" w:line="36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B.V.</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HOLDING B.V.</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HOLDING II B.V.</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US, INC.</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PROFOUNDBIO, INC.</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020"/>
          </w:cols>
          <w:pgMar w:left="1440" w:top="1440" w:right="1440" w:bottom="1440" w:gutter="0" w:footer="0" w:header="0"/>
        </w:sectPr>
      </w:pPr>
    </w:p>
    <w:bookmarkStart w:id="264" w:name="page265"/>
    <w:bookmarkEnd w:id="264"/>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2906395</wp:posOffset>
            </wp:positionH>
            <wp:positionV relativeFrom="page">
              <wp:posOffset>1032510</wp:posOffset>
            </wp:positionV>
            <wp:extent cx="158369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PROFOUNDBIO US CO.</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020"/>
          </w:cols>
          <w:pgMar w:left="1440" w:top="1440" w:right="1440"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WILMINGTON TRUST, NATIONAL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ASSOCIATION</w:t>
      </w:r>
      <w:r>
        <w:rPr>
          <w:rFonts w:ascii="Times New Roman" w:cs="Times New Roman" w:eastAsia="Times New Roman" w:hAnsi="Times New Roman"/>
          <w:sz w:val="12"/>
          <w:szCs w:val="12"/>
          <w:color w:val="auto"/>
        </w:rPr>
        <w:t>, not in its individual capacity, but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solely as Trustee</w:t>
      </w:r>
    </w:p>
    <w:p>
      <w:pPr>
        <w:spacing w:after="0" w:line="210"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Latoya S. Elvin</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020"/>
          </w:cols>
          <w:pgMar w:left="1440" w:top="1440" w:right="1440" w:bottom="1440" w:gutter="0" w:footer="0" w:header="0"/>
        </w:sectPr>
      </w:pPr>
    </w:p>
    <w:bookmarkStart w:id="266" w:name="page267"/>
    <w:bookmarkEnd w:id="266"/>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PROVISIONS RELATING TO INITIAL NOTES AND ADDITIONAL NOTES</w:t>
      </w:r>
    </w:p>
    <w:p>
      <w:pPr>
        <w:spacing w:after="0" w:line="119" w:lineRule="exact"/>
        <w:rPr>
          <w:sz w:val="20"/>
          <w:szCs w:val="20"/>
          <w:color w:val="auto"/>
        </w:rPr>
      </w:pPr>
    </w:p>
    <w:p>
      <w:pPr>
        <w:ind w:left="460" w:hanging="454"/>
        <w:spacing w:after="0"/>
        <w:tabs>
          <w:tab w:leader="none" w:pos="46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p>
    <w:p>
      <w:pPr>
        <w:spacing w:after="0" w:line="13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w:t>
      </w:r>
      <w:r>
        <w:rPr>
          <w:rFonts w:ascii="Times New Roman" w:cs="Times New Roman" w:eastAsia="Times New Roman" w:hAnsi="Times New Roman"/>
          <w:sz w:val="12"/>
          <w:szCs w:val="12"/>
          <w:u w:val="single" w:color="auto"/>
          <w:color w:val="auto"/>
        </w:rPr>
        <w:t>Definitions.</w:t>
      </w:r>
    </w:p>
    <w:p>
      <w:pPr>
        <w:spacing w:after="0" w:line="147"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this Appendix A the following terms shall have the meanings indicated below:</w:t>
      </w:r>
    </w:p>
    <w:p>
      <w:pPr>
        <w:spacing w:after="0" w:line="12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Definitive Note</w:t>
      </w:r>
      <w:r>
        <w:rPr>
          <w:rFonts w:ascii="Times New Roman" w:cs="Times New Roman" w:eastAsia="Times New Roman" w:hAnsi="Times New Roman"/>
          <w:sz w:val="12"/>
          <w:szCs w:val="12"/>
          <w:color w:val="auto"/>
        </w:rPr>
        <w:t>” means a certificated Initial Note or Additional Note that does not include the Global Notes Legend.</w:t>
      </w:r>
    </w:p>
    <w:p>
      <w:pPr>
        <w:spacing w:after="0" w:line="12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Global Notes Legend</w:t>
      </w:r>
      <w:r>
        <w:rPr>
          <w:rFonts w:ascii="Times New Roman" w:cs="Times New Roman" w:eastAsia="Times New Roman" w:hAnsi="Times New Roman"/>
          <w:sz w:val="12"/>
          <w:szCs w:val="12"/>
          <w:color w:val="auto"/>
        </w:rPr>
        <w:t>” means the legend set forth under the caption “Global Notes Legend” in Exhibit A to this Indenture.</w:t>
      </w:r>
    </w:p>
    <w:p>
      <w:pPr>
        <w:spacing w:after="0" w:line="128" w:lineRule="exact"/>
        <w:rPr>
          <w:rFonts w:ascii="Times New Roman" w:cs="Times New Roman" w:eastAsia="Times New Roman" w:hAnsi="Times New Roman"/>
          <w:sz w:val="12"/>
          <w:szCs w:val="12"/>
          <w:color w:val="auto"/>
        </w:rPr>
      </w:pPr>
    </w:p>
    <w:p>
      <w:pPr>
        <w:ind w:left="460" w:right="1760"/>
        <w:spacing w:after="0" w:line="4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Notes Custodian</w:t>
      </w:r>
      <w:r>
        <w:rPr>
          <w:rFonts w:ascii="Times New Roman" w:cs="Times New Roman" w:eastAsia="Times New Roman" w:hAnsi="Times New Roman"/>
          <w:sz w:val="12"/>
          <w:szCs w:val="12"/>
          <w:color w:val="auto"/>
        </w:rPr>
        <w:t>” means the custodian with respect to a Global Note (as appointed by the Depository) or any successor person thereto, who shall initially be the Trustee. “</w:t>
      </w:r>
      <w:r>
        <w:rPr>
          <w:rFonts w:ascii="Times New Roman" w:cs="Times New Roman" w:eastAsia="Times New Roman" w:hAnsi="Times New Roman"/>
          <w:sz w:val="12"/>
          <w:szCs w:val="12"/>
          <w:u w:val="single" w:color="auto"/>
          <w:color w:val="auto"/>
        </w:rPr>
        <w:t>QIB</w:t>
      </w:r>
      <w:r>
        <w:rPr>
          <w:rFonts w:ascii="Times New Roman" w:cs="Times New Roman" w:eastAsia="Times New Roman" w:hAnsi="Times New Roman"/>
          <w:sz w:val="12"/>
          <w:szCs w:val="12"/>
          <w:color w:val="auto"/>
        </w:rPr>
        <w:t>” means a “qualified institutional buyer” as defined in Rule 144A.</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Regulation S</w:t>
      </w:r>
      <w:r>
        <w:rPr>
          <w:rFonts w:ascii="Times New Roman" w:cs="Times New Roman" w:eastAsia="Times New Roman" w:hAnsi="Times New Roman"/>
          <w:sz w:val="12"/>
          <w:szCs w:val="12"/>
          <w:color w:val="auto"/>
        </w:rPr>
        <w:t>” means Regulation S under the Securities Act.</w:t>
      </w:r>
    </w:p>
    <w:p>
      <w:pPr>
        <w:spacing w:after="0" w:line="128" w:lineRule="exact"/>
        <w:rPr>
          <w:rFonts w:ascii="Times New Roman" w:cs="Times New Roman" w:eastAsia="Times New Roman" w:hAnsi="Times New Roman"/>
          <w:sz w:val="12"/>
          <w:szCs w:val="12"/>
          <w:color w:val="auto"/>
        </w:rPr>
      </w:pPr>
    </w:p>
    <w:p>
      <w:pPr>
        <w:ind w:left="460" w:right="4760"/>
        <w:spacing w:after="0" w:line="4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Regulation S Notes</w:t>
      </w:r>
      <w:r>
        <w:rPr>
          <w:rFonts w:ascii="Times New Roman" w:cs="Times New Roman" w:eastAsia="Times New Roman" w:hAnsi="Times New Roman"/>
          <w:sz w:val="12"/>
          <w:szCs w:val="12"/>
          <w:color w:val="auto"/>
        </w:rPr>
        <w:t>” means all Notes offered and sold outside the United States in reliance on Regulation S. “</w:t>
      </w:r>
      <w:r>
        <w:rPr>
          <w:rFonts w:ascii="Times New Roman" w:cs="Times New Roman" w:eastAsia="Times New Roman" w:hAnsi="Times New Roman"/>
          <w:sz w:val="12"/>
          <w:szCs w:val="12"/>
          <w:u w:val="single" w:color="auto"/>
          <w:color w:val="auto"/>
        </w:rPr>
        <w:t>Restricted Notes Legend</w:t>
      </w:r>
      <w:r>
        <w:rPr>
          <w:rFonts w:ascii="Times New Roman" w:cs="Times New Roman" w:eastAsia="Times New Roman" w:hAnsi="Times New Roman"/>
          <w:sz w:val="12"/>
          <w:szCs w:val="12"/>
          <w:color w:val="auto"/>
        </w:rPr>
        <w:t>” means the legend set forth in Section 2.2(f)(i) herein.</w:t>
      </w:r>
    </w:p>
    <w:p>
      <w:pPr>
        <w:spacing w:after="0" w:line="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 with respect to any Notes, means the period of 40 consecutive days beginning on and including the later of (a) the day on which such Notes are first offered to persons other than distributors (as defined in Regulation S under the Securities Act) in reliance on Regulation S, and (b) the Issue Date, and with respect to any Additional Notes that are Transfer Restricted Notes, it means the comparable period of 40 consecutive days.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144A</w:t>
      </w:r>
      <w:r>
        <w:rPr>
          <w:rFonts w:ascii="Times New Roman" w:cs="Times New Roman" w:eastAsia="Times New Roman" w:hAnsi="Times New Roman"/>
          <w:sz w:val="12"/>
          <w:szCs w:val="12"/>
          <w:color w:val="auto"/>
        </w:rPr>
        <w:t>” means Rule 144A under the Securities Act.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144A Notes</w:t>
      </w:r>
      <w:r>
        <w:rPr>
          <w:rFonts w:ascii="Times New Roman" w:cs="Times New Roman" w:eastAsia="Times New Roman" w:hAnsi="Times New Roman"/>
          <w:sz w:val="12"/>
          <w:szCs w:val="12"/>
          <w:color w:val="auto"/>
        </w:rPr>
        <w:t>” means all Initial Notes offered and sold to QIBs in reliance on Rule 144A.</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Restricted Definitive Notes</w:t>
      </w:r>
      <w:r>
        <w:rPr>
          <w:rFonts w:ascii="Times New Roman" w:cs="Times New Roman" w:eastAsia="Times New Roman" w:hAnsi="Times New Roman"/>
          <w:sz w:val="12"/>
          <w:szCs w:val="12"/>
          <w:color w:val="auto"/>
        </w:rPr>
        <w:t>” means Definitive Notes that bear or are required to bear or are subject to the Restricted Notes Legend.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Restricted Global Notes</w:t>
      </w:r>
      <w:r>
        <w:rPr>
          <w:rFonts w:ascii="Times New Roman" w:cs="Times New Roman" w:eastAsia="Times New Roman" w:hAnsi="Times New Roman"/>
          <w:sz w:val="12"/>
          <w:szCs w:val="12"/>
          <w:color w:val="auto"/>
        </w:rPr>
        <w:t>” means Global Notes that bear or are required to bear or are subject to the Restricted Notes Legend.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Restricted Notes</w:t>
      </w:r>
      <w:r>
        <w:rPr>
          <w:rFonts w:ascii="Times New Roman" w:cs="Times New Roman" w:eastAsia="Times New Roman" w:hAnsi="Times New Roman"/>
          <w:sz w:val="12"/>
          <w:szCs w:val="12"/>
          <w:color w:val="auto"/>
        </w:rPr>
        <w:t>” means the Transfer Restricted Definitive Notes and Transfer Restricted Global Notes.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Definitive Notes</w:t>
      </w:r>
      <w:r>
        <w:rPr>
          <w:rFonts w:ascii="Times New Roman" w:cs="Times New Roman" w:eastAsia="Times New Roman" w:hAnsi="Times New Roman"/>
          <w:sz w:val="12"/>
          <w:szCs w:val="12"/>
          <w:color w:val="auto"/>
        </w:rPr>
        <w:t>” means Definitive Notes that are not required to bear, or are not subject to, the Restricted Notes Legend.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Global Notes</w:t>
      </w:r>
      <w:r>
        <w:rPr>
          <w:rFonts w:ascii="Times New Roman" w:cs="Times New Roman" w:eastAsia="Times New Roman" w:hAnsi="Times New Roman"/>
          <w:sz w:val="12"/>
          <w:szCs w:val="12"/>
          <w:color w:val="auto"/>
        </w:rPr>
        <w:t>” means Global Notes that are not required to bear, or are not subject to, the Restricted Notes Legend.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1</w:t>
      </w:r>
    </w:p>
    <w:p>
      <w:pPr>
        <w:sectPr>
          <w:pgSz w:w="11900" w:h="16840" w:orient="portrait"/>
          <w:cols w:equalWidth="0" w:num="1">
            <w:col w:w="10620"/>
          </w:cols>
          <w:pgMar w:left="640" w:top="1440" w:right="640" w:bottom="1440" w:gutter="0" w:footer="0" w:header="0"/>
        </w:sectPr>
      </w:pPr>
    </w:p>
    <w:bookmarkStart w:id="267" w:name="page268"/>
    <w:bookmarkEnd w:id="267"/>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46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3"/>
              </w:rPr>
              <w:t>1.2</w:t>
            </w: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Other Definitions.</w:t>
            </w:r>
          </w:p>
        </w:tc>
        <w:tc>
          <w:tcPr>
            <w:tcW w:w="47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49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Term:</w:t>
            </w: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Defined in Section:</w:t>
            </w:r>
          </w:p>
        </w:tc>
      </w:tr>
      <w:tr>
        <w:trPr>
          <w:trHeight w:val="164"/>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Agent Members</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0"/>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Clearstream</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2"/>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Euroclear</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0"/>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Global Notes</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2"/>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Regulation S Global Notes</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0"/>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Regulation S Permanent Global Notes</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2"/>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Regulation S Temporary Global Notes</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79"/>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Rule 144A Global Notes</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bl>
    <w:p>
      <w:pPr>
        <w:spacing w:after="0" w:line="220" w:lineRule="exact"/>
        <w:rPr>
          <w:sz w:val="20"/>
          <w:szCs w:val="20"/>
          <w:color w:val="auto"/>
        </w:rPr>
      </w:pPr>
    </w:p>
    <w:p>
      <w:pPr>
        <w:ind w:left="460" w:hanging="454"/>
        <w:spacing w:after="0"/>
        <w:tabs>
          <w:tab w:leader="none" w:pos="46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Notes.</w:t>
      </w:r>
    </w:p>
    <w:p>
      <w:pPr>
        <w:spacing w:after="0" w:line="13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w:t>
      </w:r>
      <w:r>
        <w:rPr>
          <w:rFonts w:ascii="Times New Roman" w:cs="Times New Roman" w:eastAsia="Times New Roman" w:hAnsi="Times New Roman"/>
          <w:sz w:val="12"/>
          <w:szCs w:val="12"/>
          <w:u w:val="single" w:color="auto"/>
          <w:color w:val="auto"/>
        </w:rPr>
        <w:t>Form and Dating; Global Notes.</w:t>
      </w:r>
    </w:p>
    <w:p>
      <w:pPr>
        <w:spacing w:after="0" w:line="138"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Notes issued on the date hereof will be (i) privately placed by the Issuers pursuant to the Offering Memorandum and (ii) sold, initially only to (1) QIBs in reliance on Rule 144A and (2) Persons other than U.S. Persons (as defined in Regulation S) in reliance on Regulation S. Such Initial Notes may thereafter be transferred to, among others, QIBs and purchasers in reliance on Regulation S. Additional Notes offered after the date hereof may be offered and sold by the Issuers from time to time pursuant to one or more agreements in accordance with applicable law.</w:t>
      </w:r>
    </w:p>
    <w:p>
      <w:pPr>
        <w:spacing w:after="0" w:line="116" w:lineRule="exact"/>
        <w:rPr>
          <w:rFonts w:ascii="Times New Roman" w:cs="Times New Roman" w:eastAsia="Times New Roman" w:hAnsi="Times New Roman"/>
          <w:sz w:val="12"/>
          <w:szCs w:val="12"/>
          <w:color w:val="auto"/>
        </w:rPr>
      </w:pPr>
    </w:p>
    <w:p>
      <w:pPr>
        <w:ind w:right="400" w:firstLine="463"/>
        <w:spacing w:after="0" w:line="253" w:lineRule="auto"/>
        <w:tabs>
          <w:tab w:leader="none" w:pos="904"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Global Notes</w:t>
      </w:r>
      <w:r>
        <w:rPr>
          <w:rFonts w:ascii="Times New Roman" w:cs="Times New Roman" w:eastAsia="Times New Roman" w:hAnsi="Times New Roman"/>
          <w:sz w:val="12"/>
          <w:szCs w:val="12"/>
          <w:color w:val="auto"/>
        </w:rPr>
        <w:t>. (i) Except as provided in clause (d) of Section 2.2 below, Rule 144A Notes initially shall be represented by one or more Notes in fully registered, global form without interest coupons (collectively, the “</w:t>
      </w:r>
      <w:r>
        <w:rPr>
          <w:rFonts w:ascii="Times New Roman" w:cs="Times New Roman" w:eastAsia="Times New Roman" w:hAnsi="Times New Roman"/>
          <w:sz w:val="12"/>
          <w:szCs w:val="12"/>
          <w:u w:val="single" w:color="auto"/>
          <w:color w:val="auto"/>
        </w:rPr>
        <w:t>Rule 144A Global Notes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Regulation S Notes initially shall be represented by one or more Notes in fully registered, global form without interest coupons (collectively, the </w:t>
      </w:r>
      <w:r>
        <w:rPr>
          <w:rFonts w:ascii="Times New Roman" w:cs="Times New Roman" w:eastAsia="Times New Roman" w:hAnsi="Times New Roman"/>
          <w:sz w:val="12"/>
          <w:szCs w:val="12"/>
          <w:u w:val="single" w:color="auto"/>
          <w:color w:val="auto"/>
        </w:rPr>
        <w:t>“Regulation S Temporary Global Note</w:t>
      </w:r>
      <w:r>
        <w:rPr>
          <w:rFonts w:ascii="Times New Roman" w:cs="Times New Roman" w:eastAsia="Times New Roman" w:hAnsi="Times New Roman"/>
          <w:sz w:val="12"/>
          <w:szCs w:val="12"/>
          <w:color w:val="auto"/>
        </w:rPr>
        <w:t>” and, together with the Regulation S Permanent Global Note (defined below), the “</w:t>
      </w:r>
      <w:r>
        <w:rPr>
          <w:rFonts w:ascii="Times New Roman" w:cs="Times New Roman" w:eastAsia="Times New Roman" w:hAnsi="Times New Roman"/>
          <w:sz w:val="12"/>
          <w:szCs w:val="12"/>
          <w:u w:val="single" w:color="auto"/>
          <w:color w:val="auto"/>
        </w:rPr>
        <w:t>Regulation S Global Notes</w:t>
      </w:r>
      <w:r>
        <w:rPr>
          <w:rFonts w:ascii="Times New Roman" w:cs="Times New Roman" w:eastAsia="Times New Roman" w:hAnsi="Times New Roman"/>
          <w:sz w:val="12"/>
          <w:szCs w:val="12"/>
          <w:color w:val="auto"/>
        </w:rPr>
        <w:t>”), which shall be registered in the name of the Depository or the nominee of the Depository for the accounts of designated agents holding on behalf of Euroclear Bank S.A./N.V., as operator of the Euroclear system (“</w:t>
      </w:r>
      <w:r>
        <w:rPr>
          <w:rFonts w:ascii="Times New Roman" w:cs="Times New Roman" w:eastAsia="Times New Roman" w:hAnsi="Times New Roman"/>
          <w:sz w:val="12"/>
          <w:szCs w:val="12"/>
          <w:u w:val="single" w:color="auto"/>
          <w:color w:val="auto"/>
        </w:rPr>
        <w:t>Euroclear</w:t>
      </w:r>
      <w:r>
        <w:rPr>
          <w:rFonts w:ascii="Times New Roman" w:cs="Times New Roman" w:eastAsia="Times New Roman" w:hAnsi="Times New Roman"/>
          <w:sz w:val="12"/>
          <w:szCs w:val="12"/>
          <w:color w:val="auto"/>
        </w:rPr>
        <w:t>”) or Clearstream Banking, Société Anonyme (“</w:t>
      </w:r>
      <w:r>
        <w:rPr>
          <w:rFonts w:ascii="Times New Roman" w:cs="Times New Roman" w:eastAsia="Times New Roman" w:hAnsi="Times New Roman"/>
          <w:sz w:val="12"/>
          <w:szCs w:val="12"/>
          <w:u w:val="single" w:color="auto"/>
          <w:color w:val="auto"/>
        </w:rPr>
        <w:t>Clearstream</w:t>
      </w:r>
      <w:r>
        <w:rPr>
          <w:rFonts w:ascii="Times New Roman" w:cs="Times New Roman" w:eastAsia="Times New Roman" w:hAnsi="Times New Roman"/>
          <w:sz w:val="12"/>
          <w:szCs w:val="12"/>
          <w:color w:val="auto"/>
        </w:rPr>
        <w:t>”).</w:t>
      </w:r>
    </w:p>
    <w:p>
      <w:pPr>
        <w:spacing w:after="0" w:line="91"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 xml:space="preserve">Following the termination of the Restricted Period, beneficial interests in the Regulation S Temporary Global Note shall be exchanged for beneficial interests in a permanent Global Note (the Regulation“ S </w:t>
      </w:r>
      <w:r>
        <w:rPr>
          <w:rFonts w:ascii="Times New Roman" w:cs="Times New Roman" w:eastAsia="Times New Roman" w:hAnsi="Times New Roman"/>
          <w:sz w:val="12"/>
          <w:szCs w:val="12"/>
          <w:u w:val="single" w:color="auto"/>
          <w:color w:val="auto"/>
        </w:rPr>
        <w:t>Permanent Global Note</w:t>
      </w:r>
      <w:r>
        <w:rPr>
          <w:rFonts w:ascii="Times New Roman" w:cs="Times New Roman" w:eastAsia="Times New Roman" w:hAnsi="Times New Roman"/>
          <w:sz w:val="12"/>
          <w:szCs w:val="12"/>
          <w:color w:val="auto"/>
        </w:rPr>
        <w:t>”) pursuant to the applicable procedures of the Depository.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Depository or its nominee, as the case may be, in connection with transfers of interest as hereinafter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-295275</wp:posOffset>
            </wp:positionV>
            <wp:extent cx="41084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410845" cy="6350"/>
                    </a:xfrm>
                    <a:prstGeom prst="rect">
                      <a:avLst/>
                    </a:prstGeom>
                    <a:noFill/>
                  </pic:spPr>
                </pic:pic>
              </a:graphicData>
            </a:graphic>
          </wp:anchor>
        </w:drawing>
      </w:r>
    </w:p>
    <w:p>
      <w:pPr>
        <w:spacing w:after="0" w:line="75"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u w:val="single" w:color="auto"/>
          <w:color w:val="auto"/>
        </w:rPr>
        <w:t>Global Notes</w:t>
      </w:r>
      <w:r>
        <w:rPr>
          <w:rFonts w:ascii="Times New Roman" w:cs="Times New Roman" w:eastAsia="Times New Roman" w:hAnsi="Times New Roman"/>
          <w:sz w:val="12"/>
          <w:szCs w:val="12"/>
          <w:color w:val="auto"/>
        </w:rPr>
        <w:t>” means the Rule 144A Global Notes and the Regulation S Global Notes. The Global Notes shall bear the Global Notes Legend. The Global Notes initially shall (i) be registered in the name of the Depository or the nominee of such Depository, in each case for credit to an account of an Agent Member, (ii) be delivered to the Trustee as custodian for such Depository and (iii) bear the Restricted Notes Legend.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2</w:t>
      </w:r>
    </w:p>
    <w:p>
      <w:pPr>
        <w:sectPr>
          <w:pgSz w:w="11900" w:h="16840" w:orient="portrait"/>
          <w:cols w:equalWidth="0" w:num="1">
            <w:col w:w="10620"/>
          </w:cols>
          <w:pgMar w:left="640" w:top="1440" w:right="640" w:bottom="1440" w:gutter="0" w:footer="0" w:header="0"/>
        </w:sectPr>
      </w:pPr>
    </w:p>
    <w:bookmarkStart w:id="268" w:name="page269"/>
    <w:bookmarkEnd w:id="268"/>
    <w:p>
      <w:pPr>
        <w:spacing w:after="0" w:line="15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Members of, or direct or indirect participants in, the Depository (collectively, the “</w:t>
      </w:r>
      <w:r>
        <w:rPr>
          <w:rFonts w:ascii="Times New Roman" w:cs="Times New Roman" w:eastAsia="Times New Roman" w:hAnsi="Times New Roman"/>
          <w:sz w:val="12"/>
          <w:szCs w:val="12"/>
          <w:u w:val="single" w:color="auto"/>
          <w:color w:val="auto"/>
        </w:rPr>
        <w:t>Agent Members</w:t>
      </w:r>
      <w:r>
        <w:rPr>
          <w:rFonts w:ascii="Times New Roman" w:cs="Times New Roman" w:eastAsia="Times New Roman" w:hAnsi="Times New Roman"/>
          <w:sz w:val="12"/>
          <w:szCs w:val="12"/>
          <w:color w:val="auto"/>
        </w:rPr>
        <w:t>”) shall have no rights under this Indenture with respect to any Global Note held on their behalf by the Depository, or the Trustee as its custodian, or under the Global Notes.</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The Depository may be treated by the Issuers, the Trustee and any agent of the Issuers or the Trustee as the sole owner of the Global Notes for all purposes under the Indenture and the Notes. Notwithstanding the foregoing, nothing herein shall prevent the Issuers, the Trustee or any agent of the Issuers or the Trustee from giving effect to any written certification, proxy or other authorization furnished by the Depository, or impair, as between the Depository and its Agent Members, the operation of customary practices governing the exercise of the rights of a holder of any Note.</w:t>
      </w:r>
    </w:p>
    <w:p>
      <w:pPr>
        <w:spacing w:after="0" w:line="82" w:lineRule="exact"/>
        <w:rPr>
          <w:sz w:val="20"/>
          <w:szCs w:val="20"/>
          <w:color w:val="auto"/>
        </w:rPr>
      </w:pPr>
    </w:p>
    <w:p>
      <w:pPr>
        <w:jc w:val="both"/>
        <w:ind w:left="460" w:right="20" w:firstLine="460"/>
        <w:spacing w:after="0" w:line="220" w:lineRule="auto"/>
        <w:tabs>
          <w:tab w:leader="none" w:pos="1364" w:val="left"/>
        </w:tabs>
        <w:numPr>
          <w:ilvl w:val="1"/>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Transfers of Global Notes shall be limited to transfer in whole, but not in part, to the Depository, its successors or their respective nominees. Interests of beneficial owners in the Global Notes may be transferred or exchanged for Definitive Notes only in accordance with the applicable rules and procedures of the Depository and the provisions of Section 2.2. In addition, a Global Note shall be exchangeable for Definitive Notes if (x) the Depository (1) notifies the Issuers at any time that it is unwilling or unable to continue as depository for such Global Note and a successor depository is not appointed within 90 days or (2) has ceased to be a clearing agency registered under the Exchange Act, or (y) there shall have occurred and be continuing an Event of Default with respect to the Notes and the Depository shall have requested the issuance of Definitive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the Regulation S Temporary Global Note be exchanged by the Issuers for Definitive Notes prior to</w:t>
      </w:r>
    </w:p>
    <w:p>
      <w:pPr>
        <w:jc w:val="both"/>
        <w:ind w:left="460" w:right="20" w:firstLine="3"/>
        <w:spacing w:after="0" w:line="228" w:lineRule="auto"/>
        <w:tabs>
          <w:tab w:leader="none" w:pos="63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of the Restricted Period and (y) the receipt by the Registrar of any certificates required pursuant to Rule 903(b)(3)(ii)(B) under the Securities Act. In all cases, Definitive Notes delivered in exchange for any Global Note or beneficial interests therein shall be registered in the names, and issued in any approved denominations, requested by or on behalf of the Depository in accordance with its customary procedures and will bear, in the case of the Rule 144A Global Notes or the Regulation S Global Notes, the restrictive legend required by Section 2.2(f) below.</w:t>
      </w:r>
    </w:p>
    <w:p>
      <w:pPr>
        <w:spacing w:after="0" w:line="116"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transfer of a Global Note as an entirety to beneficial owners pursuant to subsection (ii) of this Section 2.1(b), such Global Note shall be deemed to be surrendered to the Trustee for cancellation, and the Issuers shall execute, and, upon written order of the Issuers signed by an Officer of each Issuer, the Trustee shall authenticate and make available for delivery, to each beneficial owner identified by the Depository in writing in exchange for its beneficial interest in such Global Note, an equal aggregate principal amount of Definitive Notes of authorized denominations.</w:t>
      </w:r>
    </w:p>
    <w:p>
      <w:pPr>
        <w:spacing w:after="0" w:line="116"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 Restricted Note delivered in exchange for an interest in a Global Note pursuant to Section 2.2 shall, except as otherwise provided in Section 2.2, bear the Restricted Notes</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Legend.</w:t>
      </w:r>
    </w:p>
    <w:p>
      <w:pPr>
        <w:spacing w:after="0" w:line="124"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through the Restricted Period, a beneficial interest in a Regulation S Global Note may be held only through Euroclear or Clearstream unless delivery is made in accordance with the applicable provisions of Section 2.2.</w:t>
      </w:r>
    </w:p>
    <w:p>
      <w:pPr>
        <w:spacing w:after="0" w:line="10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09"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u w:val="single" w:color="auto"/>
          <w:color w:val="auto"/>
        </w:rPr>
        <w:t>Transfer and Exchange.</w:t>
      </w:r>
    </w:p>
    <w:p>
      <w:pPr>
        <w:spacing w:after="0" w:line="138" w:lineRule="exact"/>
        <w:rPr>
          <w:sz w:val="20"/>
          <w:szCs w:val="20"/>
          <w:color w:val="auto"/>
        </w:rPr>
      </w:pPr>
    </w:p>
    <w:p>
      <w:pPr>
        <w:jc w:val="both"/>
        <w:ind w:right="20" w:firstLine="463"/>
        <w:spacing w:after="0" w:line="236" w:lineRule="auto"/>
        <w:tabs>
          <w:tab w:leader="none" w:pos="904"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Global Notes</w:t>
      </w:r>
      <w:r>
        <w:rPr>
          <w:rFonts w:ascii="Times New Roman" w:cs="Times New Roman" w:eastAsia="Times New Roman" w:hAnsi="Times New Roman"/>
          <w:sz w:val="12"/>
          <w:szCs w:val="12"/>
          <w:color w:val="auto"/>
        </w:rPr>
        <w:t>. A Global Note may not be transferred as a whole except as set forth in Section 2.1(b). Global Notes will not be exchanged by the Issuers for Definitive Notes except under the circumstances described in Section 2.1(b)(ii). Global Notes also may be exchanged or replaced, in whole or in part, as provided in Section 2.08 of this Indenture. Beneficial interests in a Global Note may be transferred and exchanged as provided in Section 2.2(b).</w:t>
      </w:r>
    </w:p>
    <w:p>
      <w:pPr>
        <w:spacing w:after="0" w:line="116"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Global Note</w:t>
      </w:r>
      <w:r>
        <w:rPr>
          <w:rFonts w:ascii="Times New Roman" w:cs="Times New Roman" w:eastAsia="Times New Roman" w:hAnsi="Times New Roman"/>
          <w:sz w:val="12"/>
          <w:szCs w:val="12"/>
          <w:color w:val="auto"/>
        </w:rPr>
        <w:t>s. The transfer and exchange of beneficial interests in the Global Notes shall be effected through the Depository, in accordance with the provisions of this Indenture and the applicable rules and procedures of the Depository. Beneficial interests in Transfer Restricted Global Notes shall be subject to restrictions on transfer comparable to those set forth herein. Beneficial interests in Global Notes shall be transferred or exchanged only for beneficial interests in Global Notes. Transfers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3</w:t>
      </w:r>
    </w:p>
    <w:p>
      <w:pPr>
        <w:sectPr>
          <w:pgSz w:w="11900" w:h="16840" w:orient="portrait"/>
          <w:cols w:equalWidth="0" w:num="1">
            <w:col w:w="10620"/>
          </w:cols>
          <w:pgMar w:left="640" w:top="1440" w:right="640" w:bottom="1440" w:gutter="0" w:footer="0" w:header="0"/>
        </w:sectPr>
      </w:pPr>
    </w:p>
    <w:bookmarkStart w:id="269" w:name="page270"/>
    <w:bookmarkEnd w:id="269"/>
    <w:p>
      <w:pPr>
        <w:spacing w:after="0" w:line="14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2"/>
          <w:szCs w:val="12"/>
          <w:color w:val="auto"/>
        </w:rPr>
        <w:t>and exchanges of beneficial interests in the Global Notes also shall require compliance with either subparagraph (i) or (ii) below, as applicable, as well as one or more of the other following subparagraphs, as applicable:</w:t>
      </w:r>
    </w:p>
    <w:p>
      <w:pPr>
        <w:spacing w:after="0" w:line="258" w:lineRule="exact"/>
        <w:rPr>
          <w:sz w:val="20"/>
          <w:szCs w:val="20"/>
          <w:color w:val="auto"/>
        </w:rPr>
      </w:pPr>
    </w:p>
    <w:p>
      <w:pPr>
        <w:jc w:val="both"/>
        <w:ind w:left="460" w:firstLine="460"/>
        <w:spacing w:after="0" w:line="227" w:lineRule="auto"/>
        <w:tabs>
          <w:tab w:leader="none" w:pos="1364"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Beneficial Interests in the Same Global Note</w:t>
      </w:r>
      <w:r>
        <w:rPr>
          <w:rFonts w:ascii="Times New Roman" w:cs="Times New Roman" w:eastAsia="Times New Roman" w:hAnsi="Times New Roman"/>
          <w:sz w:val="12"/>
          <w:szCs w:val="12"/>
          <w:color w:val="auto"/>
        </w:rPr>
        <w:t xml:space="preserve">. Beneficial interests in any Transfer Restricted Global Note may be transferred to Persons who take delivery thereof in the form of a beneficial interest in the same Transfer Restricted Global Note in accordance with the transfer restrictions set forth in the Restricted Notes Legend;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prior to the expiration of the Restricted Period, transfers of beneficial interests in a Regulation S Global Note may not be made to a U.S. Person or for the account or benefit of a U.S. Person.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2.2(b)(i).</w:t>
      </w:r>
    </w:p>
    <w:p>
      <w:pPr>
        <w:spacing w:after="0" w:line="118" w:lineRule="exact"/>
        <w:rPr>
          <w:rFonts w:ascii="Times New Roman" w:cs="Times New Roman" w:eastAsia="Times New Roman" w:hAnsi="Times New Roman"/>
          <w:sz w:val="12"/>
          <w:szCs w:val="12"/>
          <w:color w:val="auto"/>
        </w:rPr>
      </w:pPr>
    </w:p>
    <w:p>
      <w:pPr>
        <w:jc w:val="both"/>
        <w:ind w:left="460" w:firstLine="460"/>
        <w:spacing w:after="0" w:line="225" w:lineRule="auto"/>
        <w:tabs>
          <w:tab w:leader="none" w:pos="1364"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 Other Transfers and Exchanges of Beneficial Interests in Global Note</w:t>
      </w:r>
      <w:r>
        <w:rPr>
          <w:rFonts w:ascii="Times New Roman" w:cs="Times New Roman" w:eastAsia="Times New Roman" w:hAnsi="Times New Roman"/>
          <w:sz w:val="12"/>
          <w:szCs w:val="12"/>
          <w:color w:val="auto"/>
        </w:rPr>
        <w:t>s. In connection with all transfers and exchanges of beneficial interests in any Global Note that is not subject to Section 2.2(b)(i), the transferor of such beneficial interest must deliver to the Registrar (1) a written order from an Agent Member given to the Depository in accordance with the applicable rules and procedures of the Depository directing the Depository to credit or cause to be credited a beneficial interest in another Global Note in an amount equal to the beneficial interest to be transferred or exchanged and (2) instructions given in accordance with the applicable rules and procedures of the Depository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Trustee shall adjust the principal amount of the relevant Global Note pursuant to Section 2.2(g).</w:t>
      </w:r>
    </w:p>
    <w:p>
      <w:pPr>
        <w:spacing w:after="0" w:line="118"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Beneficial Interests to Another Transfer Restricted Global Note</w:t>
      </w:r>
      <w:r>
        <w:rPr>
          <w:rFonts w:ascii="Times New Roman" w:cs="Times New Roman" w:eastAsia="Times New Roman" w:hAnsi="Times New Roman"/>
          <w:sz w:val="12"/>
          <w:szCs w:val="12"/>
          <w:color w:val="auto"/>
        </w:rPr>
        <w:t>. A beneficial interest in a Transfer Restricted Global Note may be transferred to a Person who takes delivery thereof in the form of a beneficial interest in another Transfer Restricted Global Note if the transfer complies with the requirements of Section 2.2(b)(ii) above and the Registrar receives the following:</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62"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transferee will take delivery in the form of a beneficial interest in a Rule 144A Global Note, then the transferor must deliver a certificate in the form attached to the applicable Note; and</w:t>
      </w:r>
    </w:p>
    <w:p>
      <w:pPr>
        <w:spacing w:after="0" w:line="108" w:lineRule="exact"/>
        <w:rPr>
          <w:rFonts w:ascii="Times New Roman" w:cs="Times New Roman" w:eastAsia="Times New Roman" w:hAnsi="Times New Roman"/>
          <w:sz w:val="12"/>
          <w:szCs w:val="12"/>
          <w:color w:val="auto"/>
        </w:rPr>
      </w:pPr>
    </w:p>
    <w:p>
      <w:pPr>
        <w:ind w:left="1860" w:hanging="483"/>
        <w:spacing w:after="0"/>
        <w:tabs>
          <w:tab w:leader="none" w:pos="1860"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transferee will take delivery in the form of a beneficial interest in a Regulation S Global Note, then the transferor must deliver a certificate in the form attached to the</w:t>
      </w: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applicable Note.</w:t>
      </w:r>
    </w:p>
    <w:p>
      <w:pPr>
        <w:spacing w:after="0" w:line="134"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A beneficial interest in a Regulation S Global Note to be transferred to a Person who takes delivery in the form of an interest in a Rule 144A Global Note may be made only upon receipt by the Trustee of a written certification from the transferor to the effect that such transfer is being made: (1) to a Person whom the transferor reasonably believes is a QIB in a transaction meeting the requirements of Rule 144A; and (2) in accordance with all applicable securities laws of any state of the United States or any other jurisdiction.</w:t>
      </w:r>
    </w:p>
    <w:p>
      <w:pPr>
        <w:spacing w:after="0" w:line="91"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Beneficial interests in a Rule 144A Global Note may be transferred to a Person who takes delivery in the form of an interest in a Regulation S Global Note, whether before or after the expiration of the Restricted Period, only if the transferor first delivers to the Trustee a written certificate to the effect that such transfer is being made in accordance with Rule 903 or 904 of Regulation S or Rule 144 (if available) and that, if such transfer occurs prior to the expiration of the Restricted Period, the interest transferred will be held immediately thereafter through Euroclear or Clearstream.</w:t>
      </w:r>
    </w:p>
    <w:p>
      <w:pPr>
        <w:spacing w:after="0" w:line="82" w:lineRule="exact"/>
        <w:rPr>
          <w:sz w:val="20"/>
          <w:szCs w:val="20"/>
          <w:color w:val="auto"/>
        </w:rPr>
      </w:pPr>
    </w:p>
    <w:p>
      <w:pPr>
        <w:jc w:val="both"/>
        <w:ind w:left="460" w:firstLine="460"/>
        <w:spacing w:after="0" w:line="236" w:lineRule="auto"/>
        <w:tabs>
          <w:tab w:leader="none" w:pos="1364"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a Transfer Restricted Global Note for Beneficial Interests in an Unrestricted Global Not</w:t>
      </w:r>
      <w:r>
        <w:rPr>
          <w:rFonts w:ascii="Times New Roman" w:cs="Times New Roman" w:eastAsia="Times New Roman" w:hAnsi="Times New Roman"/>
          <w:sz w:val="12"/>
          <w:szCs w:val="12"/>
          <w:color w:val="auto"/>
        </w:rPr>
        <w:t>.eA beneficial interest in a Transfer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2.2(b)(ii) above and the Registrar receives the following:</w:t>
      </w:r>
    </w:p>
    <w:p>
      <w:pPr>
        <w:spacing w:after="0" w:line="116" w:lineRule="exact"/>
        <w:rPr>
          <w:rFonts w:ascii="Times New Roman" w:cs="Times New Roman" w:eastAsia="Times New Roman" w:hAnsi="Times New Roman"/>
          <w:sz w:val="12"/>
          <w:szCs w:val="12"/>
          <w:color w:val="auto"/>
        </w:rPr>
      </w:pPr>
    </w:p>
    <w:p>
      <w:pPr>
        <w:ind w:left="920" w:firstLine="457"/>
        <w:spacing w:after="0" w:line="253" w:lineRule="auto"/>
        <w:tabs>
          <w:tab w:leader="none" w:pos="1853" w:val="left"/>
        </w:tabs>
        <w:numPr>
          <w:ilvl w:val="1"/>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beneficial interest in a Transfer Restricted Global Note proposes to exchange such beneficial interest for a beneficial interest in an Unrestricted Global Note, a certificate from such holder in the form attached to the applicable Note;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4</w:t>
      </w:r>
    </w:p>
    <w:p>
      <w:pPr>
        <w:sectPr>
          <w:pgSz w:w="11900" w:h="16840" w:orient="portrait"/>
          <w:cols w:equalWidth="0" w:num="1">
            <w:col w:w="10620"/>
          </w:cols>
          <w:pgMar w:left="640" w:top="1440" w:right="640" w:bottom="1440" w:gutter="0" w:footer="0" w:header="0"/>
        </w:sectPr>
      </w:pPr>
    </w:p>
    <w:bookmarkStart w:id="270" w:name="page271"/>
    <w:bookmarkEnd w:id="270"/>
    <w:p>
      <w:pPr>
        <w:spacing w:after="0" w:line="148" w:lineRule="exact"/>
        <w:rPr>
          <w:sz w:val="20"/>
          <w:szCs w:val="20"/>
          <w:color w:val="auto"/>
        </w:rPr>
      </w:pPr>
    </w:p>
    <w:p>
      <w:pPr>
        <w:jc w:val="both"/>
        <w:ind w:left="920" w:firstLine="457"/>
        <w:spacing w:after="0" w:line="224" w:lineRule="auto"/>
        <w:tabs>
          <w:tab w:leader="none" w:pos="1853" w:val="left"/>
        </w:tabs>
        <w:numPr>
          <w:ilvl w:val="2"/>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beneficial interest in a Transfer Restricted Global Note proposes to transfer such beneficial interest to a Person who shall take delivery thereof in the form of a beneficial interest in an Unrestricted Global Note, a certificate from such holder in the form attached to the applicable Note, and, in each such case, if the Issuers or the Registrar so request or if the applicable rules and procedures of the Depository so require, an Opinion of Counsel in form reasonably acceptable to the Issuers and the Registrar to the effect that such exchange or transfer is in compliance with the Securities Act and that the restrictions on transfer contained herein and in the Restricted Notes Legend are no longer required in order to maintain compliance with the Securities Act. If any such transfer or exchange is effected pursuant to this subparagraph (iv) at a time when an Unrestricted Global Note has not yet been issued, the Issuers shall issue and, upon receipt of an written order of the Issuers in the form of an Officer’s Certificate in accordance with Section 2.01 of the Indenture, the Trustee shall authenticate one or more Unrestricted Global Notes in an aggregate principal amount equal to the aggregate principal amount of beneficial interests transferred or exchanged pursuant to this subparagraph (iv).</w:t>
      </w:r>
    </w:p>
    <w:p>
      <w:pPr>
        <w:spacing w:after="0" w:line="88"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an Unrestricted Global Note for Beneficial Interests in a Transfer Restricted Global Not</w:t>
      </w:r>
      <w:r>
        <w:rPr>
          <w:rFonts w:ascii="Times New Roman" w:cs="Times New Roman" w:eastAsia="Times New Roman" w:hAnsi="Times New Roman"/>
          <w:sz w:val="12"/>
          <w:szCs w:val="12"/>
          <w:color w:val="auto"/>
        </w:rPr>
        <w:t>.eBeneficial interests in an Unrestricted Global Note cannot be exchanged for, or transferred to Persons who take delivery thereof in the form of, a beneficial interest in a Transfer Restricted Global Note.</w:t>
      </w:r>
    </w:p>
    <w:p>
      <w:pPr>
        <w:spacing w:after="0" w:line="108"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Global Notes for Definitive Note</w:t>
      </w:r>
      <w:r>
        <w:rPr>
          <w:rFonts w:ascii="Times New Roman" w:cs="Times New Roman" w:eastAsia="Times New Roman" w:hAnsi="Times New Roman"/>
          <w:sz w:val="12"/>
          <w:szCs w:val="12"/>
          <w:color w:val="auto"/>
        </w:rPr>
        <w:t>s. A beneficial interest in a Global Note may not be exchanged for a Definitive Note except under the circumstances described in Section 2.1(b)(ii). A beneficial interest in a Global Note may not be transferred to a Person who takes delivery thereof in the form of a Definitive Note except under the circumstances described in Section 2.1(b)(ii). In any case, beneficial interests in Global Notes shall be transferred or exchanged only for Definitive Notes.</w:t>
      </w:r>
    </w:p>
    <w:p>
      <w:pPr>
        <w:spacing w:after="0" w:line="116"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Definitive Notes for Beneficial Interests in Global Note</w:t>
      </w:r>
      <w:r>
        <w:rPr>
          <w:rFonts w:ascii="Times New Roman" w:cs="Times New Roman" w:eastAsia="Times New Roman" w:hAnsi="Times New Roman"/>
          <w:sz w:val="12"/>
          <w:szCs w:val="12"/>
          <w:color w:val="auto"/>
        </w:rPr>
        <w:t>s. Transfers and exchanges of Definitive Notes for beneficial interests in the Global Notes also shall require compliance with either subparagraph (i), (ii) or (iii) below, as applicable:</w:t>
      </w:r>
    </w:p>
    <w:p>
      <w:pPr>
        <w:spacing w:after="0" w:line="108"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Beneficial Interests in Transfer Restricted Global Note</w:t>
      </w:r>
      <w:r>
        <w:rPr>
          <w:rFonts w:ascii="Times New Roman" w:cs="Times New Roman" w:eastAsia="Times New Roman" w:hAnsi="Times New Roman"/>
          <w:sz w:val="12"/>
          <w:szCs w:val="12"/>
          <w:color w:val="auto"/>
        </w:rPr>
        <w:t>s. If any holder of a Transfer Restricted Definitive Note proposes to exchange such Transfer Restricted Definitive Note for a beneficial interest in a Transfer Restricted Global Note or to transfer such Transfer Restricted Definitive Note to a Person who takes delivery thereof in the form of a beneficial interest in a Transfer Restricted Global Note, then, upon receipt by the Registrar of the following documentation:</w:t>
      </w:r>
    </w:p>
    <w:p>
      <w:pPr>
        <w:spacing w:after="0" w:line="116" w:lineRule="exact"/>
        <w:rPr>
          <w:rFonts w:ascii="Times New Roman" w:cs="Times New Roman" w:eastAsia="Times New Roman" w:hAnsi="Times New Roman"/>
          <w:sz w:val="12"/>
          <w:szCs w:val="12"/>
          <w:color w:val="auto"/>
        </w:rPr>
      </w:pPr>
    </w:p>
    <w:p>
      <w:pPr>
        <w:ind w:left="920" w:firstLine="457"/>
        <w:spacing w:after="0" w:line="253" w:lineRule="auto"/>
        <w:tabs>
          <w:tab w:leader="none" w:pos="1853" w:val="left"/>
        </w:tabs>
        <w:numPr>
          <w:ilvl w:val="2"/>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exchange such Transfer Restricted Note for a beneficial interest in a Transfer Restricted Global Note,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62" w:val="left"/>
        </w:tabs>
        <w:numPr>
          <w:ilvl w:val="2"/>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to a QIB in accordance with Rule 144A under the Securities Act,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2"/>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to a non-U.S. Person in an offshore transaction in accordance with Rule 903 or Rule 904 under the Securities Act,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2"/>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pursuant to an exemption from the registration requirements of the Securities Act in accordance with Rule 144 under the Securities Act,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1860" w:hanging="483"/>
        <w:spacing w:after="0"/>
        <w:tabs>
          <w:tab w:leader="none" w:pos="1860" w:val="left"/>
        </w:tabs>
        <w:numPr>
          <w:ilvl w:val="2"/>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or</w:t>
      </w:r>
    </w:p>
    <w:p>
      <w:pPr>
        <w:spacing w:after="0" w:line="13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2"/>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to the Issuers or a Subsidiary thereof, a certificate from such holder in the form attached to the applicable Note; the Trustee shall cancel the Transfer Restricted Definitive Note, and increase or cause to be increased the aggregate principal amount of the appropriate Transfer Restricted Global Note.</w:t>
      </w:r>
    </w:p>
    <w:p>
      <w:pPr>
        <w:spacing w:after="0" w:line="80" w:lineRule="exact"/>
        <w:rPr>
          <w:sz w:val="20"/>
          <w:szCs w:val="20"/>
          <w:color w:val="auto"/>
        </w:rPr>
      </w:pPr>
    </w:p>
    <w:p>
      <w:pPr>
        <w:ind w:left="460" w:right="400" w:firstLine="460"/>
        <w:spacing w:after="0" w:line="253" w:lineRule="auto"/>
        <w:tabs>
          <w:tab w:leader="none" w:pos="1393"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Beneficial Interests in Unrestricted Global Note</w:t>
      </w:r>
      <w:r>
        <w:rPr>
          <w:rFonts w:ascii="Times New Roman" w:cs="Times New Roman" w:eastAsia="Times New Roman" w:hAnsi="Times New Roman"/>
          <w:sz w:val="12"/>
          <w:szCs w:val="12"/>
          <w:color w:val="auto"/>
        </w:rPr>
        <w:t>s. A holder of a Transfer Restricted Definitive Note may exchange such Transfer Restricted Definitive Note for a beneficial interest in an Unrestricted Global Note or transfer such Transfer Restricted Definitive Note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5</w:t>
      </w:r>
    </w:p>
    <w:p>
      <w:pPr>
        <w:sectPr>
          <w:pgSz w:w="11900" w:h="16840" w:orient="portrait"/>
          <w:cols w:equalWidth="0" w:num="1">
            <w:col w:w="10620"/>
          </w:cols>
          <w:pgMar w:left="640" w:top="1440" w:right="640" w:bottom="1440" w:gutter="0" w:footer="0" w:header="0"/>
        </w:sectPr>
      </w:pPr>
    </w:p>
    <w:bookmarkStart w:id="271" w:name="page272"/>
    <w:bookmarkEnd w:id="271"/>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to a Person who takes delivery thereof in the form of a beneficial interest in an Unrestricted Global Note only if the Registrar receives the following:</w:t>
      </w:r>
    </w:p>
    <w:p>
      <w:pPr>
        <w:spacing w:after="0" w:line="138" w:lineRule="exact"/>
        <w:rPr>
          <w:sz w:val="20"/>
          <w:szCs w:val="20"/>
          <w:color w:val="auto"/>
        </w:rPr>
      </w:pPr>
    </w:p>
    <w:p>
      <w:pPr>
        <w:ind w:left="900" w:firstLine="457"/>
        <w:spacing w:after="0" w:line="253" w:lineRule="auto"/>
        <w:tabs>
          <w:tab w:leader="none" w:pos="1833" w:val="left"/>
        </w:tabs>
        <w:numPr>
          <w:ilvl w:val="2"/>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exchange such Transfer Restricted Definitive Note for a beneficial interest in an Unrestricted Global Note, a certificate from such holder in the form attached to the applicable Note; or</w:t>
      </w:r>
    </w:p>
    <w:p>
      <w:pPr>
        <w:spacing w:after="0" w:line="108" w:lineRule="exact"/>
        <w:rPr>
          <w:rFonts w:ascii="Times New Roman" w:cs="Times New Roman" w:eastAsia="Times New Roman" w:hAnsi="Times New Roman"/>
          <w:sz w:val="12"/>
          <w:szCs w:val="12"/>
          <w:color w:val="auto"/>
        </w:rPr>
      </w:pPr>
    </w:p>
    <w:p>
      <w:pPr>
        <w:jc w:val="both"/>
        <w:ind w:left="900" w:firstLine="457"/>
        <w:spacing w:after="0" w:line="223" w:lineRule="auto"/>
        <w:tabs>
          <w:tab w:leader="none" w:pos="1833" w:val="left"/>
        </w:tabs>
        <w:numPr>
          <w:ilvl w:val="2"/>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Notes proposes to transfer such Transfer Restricted Definitive Note to a Person who shall take delivery thereof in the form of a beneficial interest in an Unrestricted Global Note, a certificate from such holder in the form attached to the applicable Note, and, in each such case, if the Issuers or the Registrar so request or if the applicable rules and procedures of the Depository so require, an Opinion of Counsel in form reasonably acceptable to the Issuers and the Registrar to the effect that such exchange or transfer is in compliance with the Securities Act and that the restrictions on transfer contained herein and in the Restricted Notes Legend are no longer required in order to maintain compliance with the Securities Act. Upon satisfaction of the conditions of this subparagraph (ii), the Trustee shall cancel the Transfer Restricted Definitive Notes and increase or cause to be increased the aggregate principal amount of the Unrestricted Global Note. If any such transfer or exchange is effected pursuant to this subparagraph (ii) at a time when an Unrestricted Global Note has not yet been issued, the Issuers shall issue and, upon receipt of an written order of the Issuers in the form of an Officer’s Certificate, the Trustee shall authenticate one or more Unrestricted Global Notes in an aggregate principal amount equal to the aggregate principal amount of Transfer Restricted Notes transferred or exchanged pursuant to this subparagraph (ii).</w:t>
      </w:r>
    </w:p>
    <w:p>
      <w:pPr>
        <w:spacing w:after="0" w:line="87" w:lineRule="exact"/>
        <w:rPr>
          <w:rFonts w:ascii="Times New Roman" w:cs="Times New Roman" w:eastAsia="Times New Roman" w:hAnsi="Times New Roman"/>
          <w:sz w:val="12"/>
          <w:szCs w:val="12"/>
          <w:color w:val="auto"/>
        </w:rPr>
      </w:pPr>
    </w:p>
    <w:p>
      <w:pPr>
        <w:jc w:val="both"/>
        <w:ind w:left="440" w:right="20" w:firstLine="460"/>
        <w:spacing w:after="0" w:line="225" w:lineRule="auto"/>
        <w:tabs>
          <w:tab w:leader="none" w:pos="1344"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Beneficial Interests in Unrestricted Global Note</w:t>
      </w:r>
      <w:r>
        <w:rPr>
          <w:rFonts w:ascii="Times New Roman" w:cs="Times New Roman" w:eastAsia="Times New Roman" w:hAnsi="Times New Roman"/>
          <w:sz w:val="12"/>
          <w:szCs w:val="12"/>
          <w:color w:val="auto"/>
        </w:rPr>
        <w:t>s. A holder of an Unrestricted Definitive Note may exchange such Unrestricted Definitive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 If any such transfer or exchange is effected pursuant to this subparagraph (iii) at a time when an Unrestricted Global Note has not yet been issued, the Issuers shall issue and, upon receipt of an written order of the Issuers in the form of an Officer’s Certificate, the Trustee shall authenticate one or more Unrestricted Global Notes in an aggregate principal amount equal to the aggregate principal amount of Unrestricted Definitive Notes transferred or exchanged pursuant to this subparagraph (iii).</w:t>
      </w:r>
    </w:p>
    <w:p>
      <w:pPr>
        <w:spacing w:after="0" w:line="118" w:lineRule="exact"/>
        <w:rPr>
          <w:rFonts w:ascii="Times New Roman" w:cs="Times New Roman" w:eastAsia="Times New Roman" w:hAnsi="Times New Roman"/>
          <w:sz w:val="12"/>
          <w:szCs w:val="12"/>
          <w:color w:val="auto"/>
        </w:rPr>
      </w:pPr>
    </w:p>
    <w:p>
      <w:pPr>
        <w:ind w:left="440" w:right="20" w:firstLine="460"/>
        <w:spacing w:after="0" w:line="253" w:lineRule="auto"/>
        <w:tabs>
          <w:tab w:leader="none" w:pos="1344"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Beneficial Interests in Transfer Restricted Global Note</w:t>
      </w:r>
      <w:r>
        <w:rPr>
          <w:rFonts w:ascii="Times New Roman" w:cs="Times New Roman" w:eastAsia="Times New Roman" w:hAnsi="Times New Roman"/>
          <w:sz w:val="12"/>
          <w:szCs w:val="12"/>
          <w:color w:val="auto"/>
        </w:rPr>
        <w:t>s. An Unrestricted Definitive Note cannot be exchanged for, or transferred to a Person who takes delivery thereof in the form of, a beneficial interest in a Transfer Restricted Global Note.</w:t>
      </w:r>
    </w:p>
    <w:p>
      <w:pPr>
        <w:spacing w:after="0" w:line="108" w:lineRule="exact"/>
        <w:rPr>
          <w:rFonts w:ascii="Times New Roman" w:cs="Times New Roman" w:eastAsia="Times New Roman" w:hAnsi="Times New Roman"/>
          <w:sz w:val="12"/>
          <w:szCs w:val="12"/>
          <w:color w:val="auto"/>
        </w:rPr>
      </w:pPr>
    </w:p>
    <w:p>
      <w:pPr>
        <w:jc w:val="both"/>
        <w:ind w:left="-20" w:right="20" w:firstLine="463"/>
        <w:spacing w:after="0" w:line="231" w:lineRule="auto"/>
        <w:tabs>
          <w:tab w:leader="none" w:pos="884"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Definitive Notes for Definitive Notes</w:t>
      </w:r>
      <w:r>
        <w:rPr>
          <w:rFonts w:ascii="Times New Roman" w:cs="Times New Roman" w:eastAsia="Times New Roman" w:hAnsi="Times New Roman"/>
          <w:sz w:val="12"/>
          <w:szCs w:val="12"/>
          <w:color w:val="auto"/>
        </w:rPr>
        <w:t>. Upon request by a holder of Definitive Notes and such holder’s compliance with the provisions of this Section 2.2(e),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2.2(e).</w:t>
      </w:r>
    </w:p>
    <w:p>
      <w:pPr>
        <w:spacing w:after="0" w:line="115" w:lineRule="exact"/>
        <w:rPr>
          <w:rFonts w:ascii="Times New Roman" w:cs="Times New Roman" w:eastAsia="Times New Roman" w:hAnsi="Times New Roman"/>
          <w:sz w:val="12"/>
          <w:szCs w:val="12"/>
          <w:color w:val="auto"/>
        </w:rPr>
      </w:pPr>
    </w:p>
    <w:p>
      <w:pPr>
        <w:ind w:left="440" w:right="40" w:firstLine="460"/>
        <w:spacing w:after="0" w:line="253" w:lineRule="auto"/>
        <w:tabs>
          <w:tab w:leader="none" w:pos="1344" w:val="left"/>
        </w:tabs>
        <w:numPr>
          <w:ilvl w:val="1"/>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Transfer Restricted Definitive Notes</w:t>
      </w:r>
      <w:r>
        <w:rPr>
          <w:rFonts w:ascii="Times New Roman" w:cs="Times New Roman" w:eastAsia="Times New Roman" w:hAnsi="Times New Roman"/>
          <w:sz w:val="12"/>
          <w:szCs w:val="12"/>
          <w:color w:val="auto"/>
        </w:rPr>
        <w:t>. A Transfer Restricted Note may be transferred to and registered in the name of a Person who takes delivery thereof in the form of a Transfer Restricted Definitive Note if the Registrar receives the following:</w:t>
      </w:r>
    </w:p>
    <w:p>
      <w:pPr>
        <w:spacing w:after="0" w:line="108" w:lineRule="exact"/>
        <w:rPr>
          <w:rFonts w:ascii="Times New Roman" w:cs="Times New Roman" w:eastAsia="Times New Roman" w:hAnsi="Times New Roman"/>
          <w:sz w:val="12"/>
          <w:szCs w:val="12"/>
          <w:color w:val="auto"/>
        </w:rPr>
      </w:pPr>
    </w:p>
    <w:p>
      <w:pPr>
        <w:ind w:left="1840" w:hanging="483"/>
        <w:spacing w:after="0"/>
        <w:tabs>
          <w:tab w:leader="none" w:pos="1840" w:val="left"/>
        </w:tabs>
        <w:numPr>
          <w:ilvl w:val="2"/>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 will be made pursuant to Rule 144A under the Securities Act, then the transferor must deliver a certificate in the form attached to the applicable Note;</w:t>
      </w:r>
    </w:p>
    <w:p>
      <w:pPr>
        <w:spacing w:after="0" w:line="138" w:lineRule="exact"/>
        <w:rPr>
          <w:rFonts w:ascii="Times New Roman" w:cs="Times New Roman" w:eastAsia="Times New Roman" w:hAnsi="Times New Roman"/>
          <w:sz w:val="12"/>
          <w:szCs w:val="12"/>
          <w:color w:val="auto"/>
        </w:rPr>
      </w:pPr>
    </w:p>
    <w:p>
      <w:pPr>
        <w:ind w:left="1840" w:hanging="483"/>
        <w:spacing w:after="0"/>
        <w:tabs>
          <w:tab w:leader="none" w:pos="1840" w:val="left"/>
        </w:tabs>
        <w:numPr>
          <w:ilvl w:val="2"/>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 will be made pursuant to Rule 903 or Rule 904 under the Securities Act, then the transferor must deliver a certificate in the form attached to the applicable Note;</w:t>
      </w:r>
    </w:p>
    <w:p>
      <w:pPr>
        <w:spacing w:after="0" w:line="138" w:lineRule="exact"/>
        <w:rPr>
          <w:rFonts w:ascii="Times New Roman" w:cs="Times New Roman" w:eastAsia="Times New Roman" w:hAnsi="Times New Roman"/>
          <w:sz w:val="12"/>
          <w:szCs w:val="12"/>
          <w:color w:val="auto"/>
        </w:rPr>
      </w:pPr>
    </w:p>
    <w:p>
      <w:pPr>
        <w:ind w:left="900" w:right="40" w:firstLine="457"/>
        <w:spacing w:after="0" w:line="253" w:lineRule="auto"/>
        <w:tabs>
          <w:tab w:leader="none" w:pos="1833" w:val="left"/>
        </w:tabs>
        <w:numPr>
          <w:ilvl w:val="2"/>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 will be made pursuant to an exemption from the registration requirements of the Securities Act in accordance with Rule 144 under the Securities Act, a certificate in the form attached to the applicable Note;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6</w:t>
      </w:r>
    </w:p>
    <w:p>
      <w:pPr>
        <w:sectPr>
          <w:pgSz w:w="11900" w:h="16840" w:orient="portrait"/>
          <w:cols w:equalWidth="0" w:num="1">
            <w:col w:w="10600"/>
          </w:cols>
          <w:pgMar w:left="660" w:top="1440" w:right="640" w:bottom="1440" w:gutter="0" w:footer="0" w:header="0"/>
        </w:sectPr>
      </w:pPr>
    </w:p>
    <w:bookmarkStart w:id="272" w:name="page273"/>
    <w:bookmarkEnd w:id="272"/>
    <w:p>
      <w:pPr>
        <w:spacing w:after="0" w:line="148" w:lineRule="exact"/>
        <w:rPr>
          <w:sz w:val="20"/>
          <w:szCs w:val="20"/>
          <w:color w:val="auto"/>
        </w:rPr>
      </w:pPr>
    </w:p>
    <w:p>
      <w:pPr>
        <w:ind w:left="1860" w:hanging="483"/>
        <w:spacing w:after="0"/>
        <w:tabs>
          <w:tab w:leader="none" w:pos="1860" w:val="left"/>
        </w:tabs>
        <w:numPr>
          <w:ilvl w:val="1"/>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and</w:t>
      </w:r>
    </w:p>
    <w:p>
      <w:pPr>
        <w:spacing w:after="0" w:line="138" w:lineRule="exact"/>
        <w:rPr>
          <w:rFonts w:ascii="Times New Roman" w:cs="Times New Roman" w:eastAsia="Times New Roman" w:hAnsi="Times New Roman"/>
          <w:sz w:val="12"/>
          <w:szCs w:val="12"/>
          <w:color w:val="auto"/>
        </w:rPr>
      </w:pPr>
    </w:p>
    <w:p>
      <w:pPr>
        <w:ind w:left="1860" w:hanging="483"/>
        <w:spacing w:after="0"/>
        <w:tabs>
          <w:tab w:leader="none" w:pos="1860" w:val="left"/>
        </w:tabs>
        <w:numPr>
          <w:ilvl w:val="1"/>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will be made to the Issuers or a Subsidiary thereof, a certificate in the form attached to the applicable Note.</w:t>
      </w:r>
    </w:p>
    <w:p>
      <w:pPr>
        <w:spacing w:after="0" w:line="13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Unrestricted Definitive Notes</w:t>
      </w:r>
      <w:r>
        <w:rPr>
          <w:rFonts w:ascii="Times New Roman" w:cs="Times New Roman" w:eastAsia="Times New Roman" w:hAnsi="Times New Roman"/>
          <w:sz w:val="12"/>
          <w:szCs w:val="12"/>
          <w:color w:val="auto"/>
        </w:rPr>
        <w:t>. Any Transfer Restricted Definitive Note may be exchanged by the holder thereof for an Unrestricted Definitive Note or transferred to a Person who takes delivery thereof in the form of an Unrestricted Definitive Note if the Registrar receives the following:</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exchange such Transfer Restricted Definitive Note for an Unrestricted Definitive Note, a certificate from such holder in the form attached to the applicable Note; or</w:t>
      </w:r>
    </w:p>
    <w:p>
      <w:pPr>
        <w:spacing w:after="0" w:line="108" w:lineRule="exact"/>
        <w:rPr>
          <w:rFonts w:ascii="Times New Roman" w:cs="Times New Roman" w:eastAsia="Times New Roman" w:hAnsi="Times New Roman"/>
          <w:sz w:val="12"/>
          <w:szCs w:val="12"/>
          <w:color w:val="auto"/>
        </w:rPr>
      </w:pPr>
    </w:p>
    <w:p>
      <w:pPr>
        <w:jc w:val="both"/>
        <w:ind w:left="920" w:right="20" w:firstLine="457"/>
        <w:spacing w:after="0" w:line="231" w:lineRule="auto"/>
        <w:tabs>
          <w:tab w:leader="none" w:pos="1853"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transfer such Notes to a Person who shall take delivery thereof in the form of an Unrestricted Definitive Note, a certificate from such holder in the form attached to the applicable Note, and, in each such case, if the Issuers or the Registrar so request, an Opinion of Counsel in form reasonably acceptable to the Issuers and the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Unrestricted Definitive Notes</w:t>
      </w:r>
      <w:r>
        <w:rPr>
          <w:rFonts w:ascii="Times New Roman" w:cs="Times New Roman" w:eastAsia="Times New Roman" w:hAnsi="Times New Roman"/>
          <w:sz w:val="12"/>
          <w:szCs w:val="12"/>
          <w:color w:val="auto"/>
        </w:rPr>
        <w:t>. A holder of an Unrestricted Definitive Note may transfer such Unrestricted Definitive Notes to a Person who takes delivery thereof in the form of an Unrestricted Definitive Note at any time. Upon receipt of a request to register such a transfer, the Registrar shall register the Unrestricted Definitive Notes pursuant to the instructions from the holder thereof.</w:t>
      </w:r>
    </w:p>
    <w:p>
      <w:pPr>
        <w:spacing w:after="0" w:line="116"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Transfer Restricted Definitive Notes</w:t>
      </w:r>
      <w:r>
        <w:rPr>
          <w:rFonts w:ascii="Times New Roman" w:cs="Times New Roman" w:eastAsia="Times New Roman" w:hAnsi="Times New Roman"/>
          <w:sz w:val="12"/>
          <w:szCs w:val="12"/>
          <w:color w:val="auto"/>
        </w:rPr>
        <w:t>. An Unrestricted Definitive Note cannot be exchanged for, or transferred to a Person who takes delivery thereof in the form of, a Transfer Restricted Definitive Note.</w:t>
      </w:r>
    </w:p>
    <w:p>
      <w:pPr>
        <w:spacing w:after="0" w:line="118"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2.10 of the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spacing w:after="0" w:line="88" w:lineRule="exact"/>
        <w:rPr>
          <w:sz w:val="20"/>
          <w:szCs w:val="20"/>
          <w:color w:val="auto"/>
        </w:rPr>
      </w:pPr>
    </w:p>
    <w:p>
      <w:pPr>
        <w:ind w:left="920" w:hanging="457"/>
        <w:spacing w:after="0"/>
        <w:tabs>
          <w:tab w:leader="none" w:pos="92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Legend.</w:t>
      </w:r>
    </w:p>
    <w:p>
      <w:pPr>
        <w:spacing w:after="0" w:line="13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permitted by the following paragraph (iii) or (iv), each Note certificate evidencing the Global Notes and any Definitive Notes (and all Notes issued in exchange therefor or in substitution thereof) shall bear a legend in substantially the following form (each defined term in the legend being defined as such for purposes of the legend only):</w:t>
      </w:r>
    </w:p>
    <w:p>
      <w:pPr>
        <w:spacing w:after="0" w:line="118" w:lineRule="exact"/>
        <w:rPr>
          <w:sz w:val="20"/>
          <w:szCs w:val="20"/>
          <w:color w:val="auto"/>
        </w:rPr>
      </w:pPr>
    </w:p>
    <w:p>
      <w:pPr>
        <w:jc w:val="both"/>
        <w:ind w:left="920" w:right="980"/>
        <w:spacing w:after="0" w:line="267" w:lineRule="auto"/>
        <w:rPr>
          <w:sz w:val="20"/>
          <w:szCs w:val="20"/>
          <w:color w:val="auto"/>
        </w:rPr>
      </w:pPr>
      <w:r>
        <w:rPr>
          <w:rFonts w:ascii="Times New Roman" w:cs="Times New Roman" w:eastAsia="Times New Roman" w:hAnsi="Times New Roman"/>
          <w:sz w:val="12"/>
          <w:szCs w:val="12"/>
          <w:color w:val="auto"/>
        </w:rPr>
        <w:t>“THIS SECURITY HAS NOT BEEN REGISTERED UNDER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7</w:t>
      </w:r>
    </w:p>
    <w:p>
      <w:pPr>
        <w:sectPr>
          <w:pgSz w:w="11900" w:h="16840" w:orient="portrait"/>
          <w:cols w:equalWidth="0" w:num="1">
            <w:col w:w="10620"/>
          </w:cols>
          <w:pgMar w:left="640" w:top="1440" w:right="640" w:bottom="1440" w:gutter="0" w:footer="0" w:header="0"/>
        </w:sectPr>
      </w:pPr>
    </w:p>
    <w:bookmarkStart w:id="273" w:name="page274"/>
    <w:bookmarkEnd w:id="273"/>
    <w:p>
      <w:pPr>
        <w:spacing w:after="0" w:line="157" w:lineRule="exact"/>
        <w:rPr>
          <w:sz w:val="20"/>
          <w:szCs w:val="20"/>
          <w:color w:val="auto"/>
        </w:rPr>
      </w:pPr>
    </w:p>
    <w:p>
      <w:pPr>
        <w:ind w:left="120" w:right="140"/>
        <w:spacing w:after="0" w:line="250" w:lineRule="auto"/>
        <w:rPr>
          <w:sz w:val="20"/>
          <w:szCs w:val="20"/>
          <w:color w:val="auto"/>
        </w:rPr>
      </w:pPr>
      <w:r>
        <w:rPr>
          <w:rFonts w:ascii="Times New Roman" w:cs="Times New Roman" w:eastAsia="Times New Roman" w:hAnsi="Times New Roman"/>
          <w:sz w:val="12"/>
          <w:szCs w:val="12"/>
          <w:color w:val="auto"/>
        </w:rPr>
        <w:t>OR NOT SUBJECT TO, SUCH REGISTRATION. THE HOLDER OF THIS SECURITY, BY ITS ACCEPTANCE HEREOF, AGREES ON ITS OWN BEHALF AND ON BEHALF OF ANY INVESTOR ACCOUNT FOR WHICH IT HAS PURCHASED SECURITIES, TO OFFER, SELL OR OTHERWISE TRANSFER SUCH SECURITY, PRIOR TO THE DATE (THE “</w:t>
      </w:r>
      <w:r>
        <w:rPr>
          <w:rFonts w:ascii="Times New Roman" w:cs="Times New Roman" w:eastAsia="Times New Roman" w:hAnsi="Times New Roman"/>
          <w:sz w:val="12"/>
          <w:szCs w:val="12"/>
          <w:u w:val="single" w:color="auto"/>
          <w:color w:val="auto"/>
        </w:rPr>
        <w:t>RESALE RESTRICTION TERMINATION DATE</w:t>
      </w:r>
      <w:r>
        <w:rPr>
          <w:rFonts w:ascii="Times New Roman" w:cs="Times New Roman" w:eastAsia="Times New Roman" w:hAnsi="Times New Roman"/>
          <w:sz w:val="12"/>
          <w:szCs w:val="12"/>
          <w:color w:val="auto"/>
        </w:rPr>
        <w:t xml:space="preserve"> ”) THAT IS, IN THE CASE OF RULE 144A NOTES, ONE YEAR AFTER THE LATER OF THE ORIGINAL ISSUE DATE HEREOF, THE ORIGINAL ISSUE DATE OF THE ISSUANCE OF ANY ADDITIONAL NOTES AND THE LAST DATE ON WHICH THE ISSUERS OR ANY AFFILIATE OF THE ISSUERS WAS THE OWNER OF THIS SECURITY (OR ANY PREDECESSOR OF SUCH SECURITY), OR, IN THE CASE OF REGULATION S NOTES, 40 DAYS AFTER THE LATER OF THE ORIGINAL ISSUE DATE HEREOF AND THE DATE ON WHICH THIS SECURITY (OR ANY PREDECESSOR OF SUCH SECURITY) WAS FIRST OFFERED TO PERSONS OTHER THAN DISTRIBUTORS (AS DEFINED IN RULE 902 OF REGULATION S) IN RELIANCE ON REGULATION S, ONLY (A) TO THE ISSUERS OR ANY SUBSIDIARY THEREOF, (B) PURSUANT TO A REGISTRATION STATEMENT THAT HAS BEEN DECLARED EFFECTIVE UNDER THE SECURITIES ACT, (C) FOR SO LONG AS THE SECURITIES ARE ELIGIBLE FOR RESALE PURSUANT TO RULE 144A UNDER THE SECURITIES ACT (“ </w:t>
      </w:r>
      <w:r>
        <w:rPr>
          <w:rFonts w:ascii="Times New Roman" w:cs="Times New Roman" w:eastAsia="Times New Roman" w:hAnsi="Times New Roman"/>
          <w:sz w:val="12"/>
          <w:szCs w:val="12"/>
          <w:u w:val="single" w:color="auto"/>
          <w:color w:val="auto"/>
        </w:rPr>
        <w:t>RULE 144A</w:t>
      </w:r>
      <w:r>
        <w:rPr>
          <w:rFonts w:ascii="Times New Roman" w:cs="Times New Roman" w:eastAsia="Times New Roman" w:hAnsi="Times New Roman"/>
          <w:sz w:val="12"/>
          <w:szCs w:val="12"/>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 U.S. PERSONS THAT OCCUR OUTSIDE THE UNITED STATES WITHIN THE MEANING OF REGULATION S UNDER THE SECURITIES ACT, OR (E) PURSUANT TO ANOTHER AVAILABLE EXEMPTION FROM THE REGISTRATION REQUIREMENTS OF THE SECURITIES ACT, SUBJECT TO THE ISSUERS’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Each Regulation S Note shall bear the following additional legend:</w:t>
      </w:r>
    </w:p>
    <w:p>
      <w:pPr>
        <w:spacing w:after="0" w:line="129" w:lineRule="exact"/>
        <w:rPr>
          <w:sz w:val="20"/>
          <w:szCs w:val="20"/>
          <w:color w:val="auto"/>
        </w:rPr>
      </w:pPr>
    </w:p>
    <w:p>
      <w:pPr>
        <w:jc w:val="both"/>
        <w:ind w:left="120" w:right="180"/>
        <w:spacing w:after="0" w:line="276" w:lineRule="auto"/>
        <w:rPr>
          <w:sz w:val="20"/>
          <w:szCs w:val="20"/>
          <w:color w:val="auto"/>
        </w:rPr>
      </w:pPr>
      <w:r>
        <w:rPr>
          <w:rFonts w:ascii="Times New Roman" w:cs="Times New Roman" w:eastAsia="Times New Roman" w:hAnsi="Times New Roman"/>
          <w:sz w:val="12"/>
          <w:szCs w:val="12"/>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Each Definitive Note shall bear the following additional legend:</w:t>
      </w:r>
    </w:p>
    <w:p>
      <w:pPr>
        <w:spacing w:after="0" w:line="129" w:lineRule="exact"/>
        <w:rPr>
          <w:sz w:val="20"/>
          <w:szCs w:val="20"/>
          <w:color w:val="auto"/>
        </w:rPr>
      </w:pPr>
    </w:p>
    <w:p>
      <w:pPr>
        <w:jc w:val="both"/>
        <w:ind w:left="120" w:right="180"/>
        <w:spacing w:after="0" w:line="267" w:lineRule="auto"/>
        <w:rPr>
          <w:sz w:val="20"/>
          <w:szCs w:val="20"/>
          <w:color w:val="auto"/>
        </w:rPr>
      </w:pPr>
      <w:r>
        <w:rPr>
          <w:rFonts w:ascii="Times New Roman" w:cs="Times New Roman" w:eastAsia="Times New Roman" w:hAnsi="Times New Roman"/>
          <w:sz w:val="12"/>
          <w:szCs w:val="12"/>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8</w:t>
      </w:r>
    </w:p>
    <w:p>
      <w:pPr>
        <w:sectPr>
          <w:pgSz w:w="11900" w:h="16840" w:orient="portrait"/>
          <w:cols w:equalWidth="0" w:num="1">
            <w:col w:w="9020"/>
          </w:cols>
          <w:pgMar w:left="1440" w:top="1440" w:right="1440" w:bottom="1440" w:gutter="0" w:footer="0" w:header="0"/>
        </w:sectPr>
      </w:pPr>
    </w:p>
    <w:bookmarkStart w:id="274" w:name="page275"/>
    <w:bookmarkEnd w:id="274"/>
    <w:p>
      <w:pPr>
        <w:spacing w:after="0" w:line="148" w:lineRule="exact"/>
        <w:rPr>
          <w:sz w:val="20"/>
          <w:szCs w:val="20"/>
          <w:color w:val="auto"/>
        </w:rPr>
      </w:pPr>
    </w:p>
    <w:p>
      <w:pPr>
        <w:jc w:val="both"/>
        <w:ind w:left="440" w:right="20" w:firstLine="460"/>
        <w:spacing w:after="0" w:line="236" w:lineRule="auto"/>
        <w:tabs>
          <w:tab w:leader="none" w:pos="1344"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any sale or transfer of a Transfer Restricted Definitive Note, the Registrar shall permit the holder thereof to exchange such Transfer Restricted Note for a Definitive Note that does not bear the legends set forth above and rescind any restriction on the transfer of such Transfer Restricted Definitive Note if the holder certifies in writing to the Registrar that its request for such exchange was made in reliance on Rule 144 (such certification to be in the form set forth on the reverse of the Initial Note).</w:t>
      </w:r>
    </w:p>
    <w:p>
      <w:pPr>
        <w:spacing w:after="0" w:line="116" w:lineRule="exact"/>
        <w:rPr>
          <w:rFonts w:ascii="Times New Roman" w:cs="Times New Roman" w:eastAsia="Times New Roman" w:hAnsi="Times New Roman"/>
          <w:sz w:val="12"/>
          <w:szCs w:val="12"/>
          <w:color w:val="auto"/>
        </w:rPr>
      </w:pPr>
    </w:p>
    <w:p>
      <w:pPr>
        <w:ind w:left="440" w:right="20" w:firstLine="460"/>
        <w:spacing w:after="0" w:line="253" w:lineRule="auto"/>
        <w:tabs>
          <w:tab w:leader="none" w:pos="1344"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a sale or transfer after the expiration of the Restricted Period of any Initial Note acquired pursuant to Regulation S, all requirements that such Initial Note bear the Restricted Notes Legend shall cease to apply and the requirements requiring any such Initial Note be issued in global form shall continue to apply.</w:t>
      </w:r>
    </w:p>
    <w:p>
      <w:pPr>
        <w:spacing w:after="0" w:line="108" w:lineRule="exact"/>
        <w:rPr>
          <w:rFonts w:ascii="Times New Roman" w:cs="Times New Roman" w:eastAsia="Times New Roman" w:hAnsi="Times New Roman"/>
          <w:sz w:val="12"/>
          <w:szCs w:val="12"/>
          <w:color w:val="auto"/>
        </w:rPr>
      </w:pPr>
    </w:p>
    <w:p>
      <w:pPr>
        <w:ind w:left="1340" w:hanging="440"/>
        <w:spacing w:after="0"/>
        <w:tabs>
          <w:tab w:leader="none" w:pos="1340"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Additional Notes sold in a registered offering shall not be required to bear the Restricted Notes Legend.</w:t>
      </w:r>
    </w:p>
    <w:p>
      <w:pPr>
        <w:spacing w:after="0" w:line="138" w:lineRule="exact"/>
        <w:rPr>
          <w:rFonts w:ascii="Times New Roman" w:cs="Times New Roman" w:eastAsia="Times New Roman" w:hAnsi="Times New Roman"/>
          <w:sz w:val="12"/>
          <w:szCs w:val="12"/>
          <w:color w:val="auto"/>
        </w:rPr>
      </w:pPr>
    </w:p>
    <w:p>
      <w:pPr>
        <w:jc w:val="both"/>
        <w:ind w:left="-20" w:firstLine="463"/>
        <w:spacing w:after="0" w:line="225" w:lineRule="auto"/>
        <w:tabs>
          <w:tab w:leader="none" w:pos="884"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Cancellation or Adjustment of Global Note.</w:t>
      </w:r>
      <w:r>
        <w:rPr>
          <w:rFonts w:ascii="Times New Roman" w:cs="Times New Roman" w:eastAsia="Times New Roman" w:hAnsi="Times New Roman"/>
          <w:sz w:val="12"/>
          <w:szCs w:val="12"/>
          <w:color w:val="auto"/>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2.10 of this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spacing w:after="0" w:line="118" w:lineRule="exact"/>
        <w:rPr>
          <w:rFonts w:ascii="Times New Roman" w:cs="Times New Roman" w:eastAsia="Times New Roman" w:hAnsi="Times New Roman"/>
          <w:sz w:val="12"/>
          <w:szCs w:val="12"/>
          <w:color w:val="auto"/>
        </w:rPr>
      </w:pPr>
    </w:p>
    <w:p>
      <w:pPr>
        <w:ind w:left="900" w:hanging="457"/>
        <w:spacing w:after="0"/>
        <w:tabs>
          <w:tab w:leader="none" w:pos="90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Obligations with Respect to Transfers and Exchanges of Notes.</w:t>
      </w:r>
    </w:p>
    <w:p>
      <w:pPr>
        <w:spacing w:after="0" w:line="138" w:lineRule="exact"/>
        <w:rPr>
          <w:rFonts w:ascii="Times New Roman" w:cs="Times New Roman" w:eastAsia="Times New Roman" w:hAnsi="Times New Roman"/>
          <w:sz w:val="12"/>
          <w:szCs w:val="12"/>
          <w:color w:val="auto"/>
        </w:rPr>
      </w:pPr>
    </w:p>
    <w:p>
      <w:pPr>
        <w:ind w:left="1340" w:hanging="440"/>
        <w:spacing w:after="0"/>
        <w:tabs>
          <w:tab w:leader="none" w:pos="1340"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permit registrations of transfers and exchanges, the Issuers shall execute and the Trustee shall authenticate, Definitive Notes and Global Notes at the Registrar’s request.</w:t>
      </w:r>
    </w:p>
    <w:p>
      <w:pPr>
        <w:spacing w:after="0" w:line="138" w:lineRule="exact"/>
        <w:rPr>
          <w:rFonts w:ascii="Times New Roman" w:cs="Times New Roman" w:eastAsia="Times New Roman" w:hAnsi="Times New Roman"/>
          <w:sz w:val="12"/>
          <w:szCs w:val="12"/>
          <w:color w:val="auto"/>
        </w:rPr>
      </w:pPr>
    </w:p>
    <w:p>
      <w:pPr>
        <w:jc w:val="both"/>
        <w:ind w:left="440" w:right="20" w:firstLine="460"/>
        <w:spacing w:after="0" w:line="236" w:lineRule="auto"/>
        <w:tabs>
          <w:tab w:leader="none" w:pos="1344"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service charge shall be made for any registration of transfer or exchange of Notes, but the Issuers may require payment of a sum sufficient to cover any transfer tax, assessments, or similar governmental charge payable in connection therewith (other than any such transfer taxes, assessments or similar governmental charge payable upon exchanges pursuant to Sections 3.06, 4.06, and 4.08 of this Indenture).</w:t>
      </w:r>
    </w:p>
    <w:p>
      <w:pPr>
        <w:spacing w:after="0" w:line="116" w:lineRule="exact"/>
        <w:rPr>
          <w:rFonts w:ascii="Times New Roman" w:cs="Times New Roman" w:eastAsia="Times New Roman" w:hAnsi="Times New Roman"/>
          <w:sz w:val="12"/>
          <w:szCs w:val="12"/>
          <w:color w:val="auto"/>
        </w:rPr>
      </w:pPr>
    </w:p>
    <w:p>
      <w:pPr>
        <w:jc w:val="both"/>
        <w:ind w:left="440" w:right="20" w:firstLine="460"/>
        <w:spacing w:after="0" w:line="236" w:lineRule="auto"/>
        <w:tabs>
          <w:tab w:leader="none" w:pos="1344"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due presentation for registration of transfer of any Note, the Issuers, the Trustee, a Paying Agent or the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Issuers, the Trustee, the Paying Agent or the Registrar shall be affected by notice to the contrary.</w:t>
      </w:r>
    </w:p>
    <w:p>
      <w:pPr>
        <w:spacing w:after="0" w:line="116" w:lineRule="exact"/>
        <w:rPr>
          <w:rFonts w:ascii="Times New Roman" w:cs="Times New Roman" w:eastAsia="Times New Roman" w:hAnsi="Times New Roman"/>
          <w:sz w:val="12"/>
          <w:szCs w:val="12"/>
          <w:color w:val="auto"/>
        </w:rPr>
      </w:pPr>
    </w:p>
    <w:p>
      <w:pPr>
        <w:ind w:left="440" w:firstLine="460"/>
        <w:spacing w:after="0" w:line="253" w:lineRule="auto"/>
        <w:tabs>
          <w:tab w:leader="none" w:pos="1344"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08" w:lineRule="exact"/>
        <w:rPr>
          <w:rFonts w:ascii="Times New Roman" w:cs="Times New Roman" w:eastAsia="Times New Roman" w:hAnsi="Times New Roman"/>
          <w:sz w:val="12"/>
          <w:szCs w:val="12"/>
          <w:color w:val="auto"/>
        </w:rPr>
      </w:pPr>
    </w:p>
    <w:p>
      <w:pPr>
        <w:ind w:left="900" w:hanging="457"/>
        <w:spacing w:after="0"/>
        <w:tabs>
          <w:tab w:leader="none" w:pos="90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Obligation of the Trustee.</w:t>
      </w:r>
    </w:p>
    <w:p>
      <w:pPr>
        <w:spacing w:after="0" w:line="138" w:lineRule="exact"/>
        <w:rPr>
          <w:rFonts w:ascii="Times New Roman" w:cs="Times New Roman" w:eastAsia="Times New Roman" w:hAnsi="Times New Roman"/>
          <w:sz w:val="12"/>
          <w:szCs w:val="12"/>
          <w:color w:val="auto"/>
        </w:rPr>
      </w:pPr>
    </w:p>
    <w:p>
      <w:pPr>
        <w:jc w:val="both"/>
        <w:ind w:left="440" w:firstLine="460"/>
        <w:spacing w:after="0" w:line="225" w:lineRule="auto"/>
        <w:tabs>
          <w:tab w:leader="none" w:pos="1344"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have no responsibility or obligation to any beneficial owner of a Global Note, a member of, or a participant in the Depository or any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repurchase) or the payment of any amount, under or with respect to such Notes. All notices and communications to be given to the holders and all payments to be made to the holders under the Notes shall be given or made only to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members, participants and any beneficial owners.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9</w:t>
      </w:r>
    </w:p>
    <w:p>
      <w:pPr>
        <w:sectPr>
          <w:pgSz w:w="11900" w:h="16840" w:orient="portrait"/>
          <w:cols w:equalWidth="0" w:num="1">
            <w:col w:w="10600"/>
          </w:cols>
          <w:pgMar w:left="660" w:top="1440" w:right="640" w:bottom="1440" w:gutter="0" w:footer="0" w:header="0"/>
        </w:sectPr>
      </w:pPr>
    </w:p>
    <w:bookmarkStart w:id="275" w:name="page276"/>
    <w:bookmarkEnd w:id="275"/>
    <w:p>
      <w:pPr>
        <w:spacing w:after="0" w:line="148" w:lineRule="exact"/>
        <w:rPr>
          <w:sz w:val="20"/>
          <w:szCs w:val="20"/>
          <w:color w:val="auto"/>
        </w:rPr>
      </w:pPr>
    </w:p>
    <w:p>
      <w:pPr>
        <w:jc w:val="both"/>
        <w:ind w:firstLine="460"/>
        <w:spacing w:after="0" w:line="231" w:lineRule="auto"/>
        <w:tabs>
          <w:tab w:leader="none" w:pos="904"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Depository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Appendix A - Page 10</w:t>
      </w:r>
    </w:p>
    <w:p>
      <w:pPr>
        <w:sectPr>
          <w:pgSz w:w="11900" w:h="16840" w:orient="portrait"/>
          <w:cols w:equalWidth="0" w:num="1">
            <w:col w:w="10160"/>
          </w:cols>
          <w:pgMar w:left="1100" w:top="1440" w:right="640" w:bottom="1440" w:gutter="0" w:footer="0" w:header="0"/>
        </w:sectPr>
      </w:pPr>
    </w:p>
    <w:bookmarkStart w:id="276" w:name="page277"/>
    <w:bookmarkEnd w:id="276"/>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Schedule I</w:t>
      </w:r>
    </w:p>
    <w:p>
      <w:pPr>
        <w:spacing w:after="0" w:line="1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Agreed Guarantee Principles</w:t>
      </w:r>
    </w:p>
    <w:p>
      <w:pPr>
        <w:spacing w:after="0" w:line="12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Schedule I- Page 1</w:t>
      </w:r>
    </w:p>
    <w:p>
      <w:pPr>
        <w:sectPr>
          <w:pgSz w:w="11900" w:h="16840" w:orient="portrait"/>
          <w:cols w:equalWidth="0" w:num="1">
            <w:col w:w="9800"/>
          </w:cols>
          <w:pgMar w:left="1440" w:top="1440" w:right="660" w:bottom="1440" w:gutter="0" w:footer="0" w:header="0"/>
        </w:sectPr>
      </w:pPr>
    </w:p>
    <w:bookmarkStart w:id="277" w:name="page278"/>
    <w:bookmarkEnd w:id="277"/>
    <w:p>
      <w:pPr>
        <w:spacing w:after="0" w:line="155"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FACE OF NOTE]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[Global Notes Legend]</w:t>
      </w:r>
    </w:p>
    <w:p>
      <w:pPr>
        <w:spacing w:after="0" w:line="129"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2"/>
          <w:szCs w:val="12"/>
          <w:color w:val="auto"/>
        </w:rPr>
        <w:t xml:space="preserve">UNLESS THIS CERTIFICATE IS PRESENTED BY AN AUTHORIZED REPRESENTATIVE OF THE DEPOSITORY TRUST COMPANY, A NEW YORK CORPORATION (“ </w:t>
      </w:r>
      <w:r>
        <w:rPr>
          <w:rFonts w:ascii="Times New Roman" w:cs="Times New Roman" w:eastAsia="Times New Roman" w:hAnsi="Times New Roman"/>
          <w:sz w:val="12"/>
          <w:szCs w:val="12"/>
          <w:u w:val="single" w:color="auto"/>
          <w:color w:val="auto"/>
        </w:rPr>
        <w:t>DTC</w:t>
      </w:r>
      <w:r>
        <w:rPr>
          <w:rFonts w:ascii="Times New Roman" w:cs="Times New Roman" w:eastAsia="Times New Roman" w:hAnsi="Times New Roman"/>
          <w:sz w:val="12"/>
          <w:szCs w:val="12"/>
          <w:color w:val="auto"/>
        </w:rPr>
        <w:t>”), NEW YORK, NEW YORK, TO THE ISSUERS OR THEIR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99" w:lineRule="exact"/>
        <w:rPr>
          <w:sz w:val="20"/>
          <w:szCs w:val="20"/>
          <w:color w:val="auto"/>
        </w:rPr>
      </w:pPr>
    </w:p>
    <w:p>
      <w:pPr>
        <w:jc w:val="both"/>
        <w:ind w:right="40" w:firstLine="457"/>
        <w:spacing w:after="0" w:line="267" w:lineRule="auto"/>
        <w:rPr>
          <w:sz w:val="20"/>
          <w:szCs w:val="20"/>
          <w:color w:val="auto"/>
        </w:rPr>
      </w:pPr>
      <w:r>
        <w:rPr>
          <w:rFonts w:ascii="Times New Roman" w:cs="Times New Roman" w:eastAsia="Times New Roman" w:hAnsi="Times New Roman"/>
          <w:sz w:val="12"/>
          <w:szCs w:val="12"/>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[Restricted Notes Legend for Notes Offered in Reliance on Regulation S]</w:t>
      </w:r>
    </w:p>
    <w:p>
      <w:pPr>
        <w:spacing w:after="0" w:line="129" w:lineRule="exact"/>
        <w:rPr>
          <w:sz w:val="20"/>
          <w:szCs w:val="20"/>
          <w:color w:val="auto"/>
        </w:rPr>
      </w:pPr>
    </w:p>
    <w:p>
      <w:pPr>
        <w:ind w:right="100" w:firstLine="457"/>
        <w:spacing w:after="0" w:line="287" w:lineRule="auto"/>
        <w:rPr>
          <w:sz w:val="20"/>
          <w:szCs w:val="20"/>
          <w:color w:val="auto"/>
        </w:rPr>
      </w:pPr>
      <w:r>
        <w:rPr>
          <w:rFonts w:ascii="Times New Roman" w:cs="Times New Roman" w:eastAsia="Times New Roman" w:hAnsi="Times New Roman"/>
          <w:sz w:val="12"/>
          <w:szCs w:val="12"/>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[Restricted Notes Legend]</w:t>
      </w:r>
    </w:p>
    <w:p>
      <w:pPr>
        <w:spacing w:after="0" w:line="129" w:lineRule="exact"/>
        <w:rPr>
          <w:sz w:val="20"/>
          <w:szCs w:val="20"/>
          <w:color w:val="auto"/>
        </w:rPr>
      </w:pPr>
    </w:p>
    <w:p>
      <w:pPr>
        <w:jc w:val="both"/>
        <w:ind w:right="40" w:firstLine="457"/>
        <w:spacing w:after="0" w:line="251" w:lineRule="auto"/>
        <w:rPr>
          <w:sz w:val="20"/>
          <w:szCs w:val="20"/>
          <w:color w:val="auto"/>
        </w:rPr>
      </w:pPr>
      <w:r>
        <w:rPr>
          <w:rFonts w:ascii="Times New Roman" w:cs="Times New Roman" w:eastAsia="Times New Roman" w:hAnsi="Times New Roman"/>
          <w:sz w:val="12"/>
          <w:szCs w:val="12"/>
          <w:color w:val="auto"/>
        </w:rPr>
        <w:t xml:space="preserve">THIS SECURITY HAS NOT BEEN REGISTERED UNDER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 </w:t>
      </w:r>
      <w:r>
        <w:rPr>
          <w:rFonts w:ascii="Times New Roman" w:cs="Times New Roman" w:eastAsia="Times New Roman" w:hAnsi="Times New Roman"/>
          <w:sz w:val="12"/>
          <w:szCs w:val="12"/>
          <w:u w:val="single" w:color="auto"/>
          <w:color w:val="auto"/>
        </w:rPr>
        <w:t>RESALE RESTRICTION TERMINATION DATE</w:t>
      </w:r>
      <w:r>
        <w:rPr>
          <w:rFonts w:ascii="Times New Roman" w:cs="Times New Roman" w:eastAsia="Times New Roman" w:hAnsi="Times New Roman"/>
          <w:sz w:val="12"/>
          <w:szCs w:val="12"/>
          <w:color w:val="auto"/>
        </w:rPr>
        <w:t xml:space="preserve">”) THAT IS, IN THE CASE OF RULE 144A NOTES, ONE YEAR AFTER THE LATER OF THE ORIGINAL ISSUE DATE HEREOF, THE ORIGINAL ISSUE DATE OF THE ISSUANCE OF ANY ADDITIONAL NOTES AND THE LAST DATE ON WHICH THE ISSUERS OR ANY AFFILIATE OF THE ISSUERS WAS THE OWNER OF THIS SECURITY (OR ANY PREDECESSOR OF SUCH SECURITY), OR, IN THE CASE OF REGULATION S NOTES, 40 DAYS AFTER THE LATER OF THE ORIGINAL ISSUE DATE HEREOF AND THE DATE ON WHICH THIS SECURITY (OR ANY PREDECESSOR OF SUCH SECURITY) WAS FIRST OFFERED TO PERSONS OTHER THAN DISTRIBUTORS (AS DEFINED IN RULE 902 OF REGULATION S) IN RELIANCE ON REGULATION S, ONLY (A) TO THE ISSUERS OR ANY SUBSIDIARY THEREOF, (B) PURSUANT TO A REGISTRATION STATEMENT THAT HAS BEEN DECLARED EFFECTIVE UNDER THE SECURITIES ACT, (C) FOR SO LONG AS THE SECURITIES ARE ELIGIBLE FOR RESALE PURSUANT TO RULE 144A UNDER THE SECURITIES ACT (“ </w:t>
      </w:r>
      <w:r>
        <w:rPr>
          <w:rFonts w:ascii="Times New Roman" w:cs="Times New Roman" w:eastAsia="Times New Roman" w:hAnsi="Times New Roman"/>
          <w:sz w:val="12"/>
          <w:szCs w:val="12"/>
          <w:u w:val="single" w:color="auto"/>
          <w:color w:val="auto"/>
        </w:rPr>
        <w:t>RULE 144A</w:t>
      </w:r>
      <w:r>
        <w:rPr>
          <w:rFonts w:ascii="Times New Roman" w:cs="Times New Roman" w:eastAsia="Times New Roman" w:hAnsi="Times New Roman"/>
          <w:sz w:val="12"/>
          <w:szCs w:val="12"/>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w:t>
      </w:r>
    </w:p>
    <w:p>
      <w:pPr>
        <w:sectPr>
          <w:pgSz w:w="11900" w:h="16840" w:orient="portrait"/>
          <w:cols w:equalWidth="0" w:num="1">
            <w:col w:w="10620"/>
          </w:cols>
          <w:pgMar w:left="640" w:top="1440" w:right="640" w:bottom="1440" w:gutter="0" w:footer="0" w:header="0"/>
        </w:sectPr>
      </w:pPr>
    </w:p>
    <w:bookmarkStart w:id="278" w:name="page279"/>
    <w:bookmarkEnd w:id="278"/>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SALES TO NON-U.S. PERSONS THAT OCCUR OUTSIDE THE UNITED STATES WITHIN THE MEANING OF REGULATION S UNDER THE SECURITIES ACT, OR (E) PURSUANT TO ANOTHER AVAILABLE EXEMPTION FROM THE REGISTRATION REQUIREMENTS OF THE SECURITIES ACT, SUBJECT TO THE ISSUER’S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[Definitive Notes Legend]</w:t>
      </w:r>
    </w:p>
    <w:p>
      <w:pPr>
        <w:spacing w:after="0" w:line="12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Exhibit A - Page 2</w:t>
      </w:r>
    </w:p>
    <w:p>
      <w:pPr>
        <w:sectPr>
          <w:pgSz w:w="11900" w:h="16840" w:orient="portrait"/>
          <w:cols w:equalWidth="0" w:num="1">
            <w:col w:w="10540"/>
          </w:cols>
          <w:pgMar w:left="640" w:top="1440" w:right="720" w:bottom="1440" w:gutter="0" w:footer="0" w:header="0"/>
        </w:sectPr>
      </w:pPr>
    </w:p>
    <w:bookmarkStart w:id="279" w:name="page280"/>
    <w:bookmarkEnd w:id="279"/>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INITIAL NOTE]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GENMAB A/S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GENMAB FINANCE LLC</w:t>
      </w:r>
    </w:p>
    <w:p>
      <w:pPr>
        <w:sectPr>
          <w:pgSz w:w="11900" w:h="16840" w:orient="portrait"/>
          <w:cols w:equalWidth="0" w:num="1">
            <w:col w:w="10620"/>
          </w:cols>
          <w:pgMar w:left="640" w:top="1440" w:right="640" w:bottom="1440" w:gutter="0" w:footer="0" w:header="0"/>
        </w:sect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 [ ]</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[144A CUSIP No. 37230J AB8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144A ISIN No. US37230JAB89]</w:t>
      </w:r>
    </w:p>
    <w:p>
      <w:pPr>
        <w:spacing w:after="0" w:line="200" w:lineRule="exact"/>
        <w:rPr>
          <w:sz w:val="20"/>
          <w:szCs w:val="20"/>
          <w:color w:val="auto"/>
        </w:rPr>
      </w:pPr>
    </w:p>
    <w:p>
      <w:pPr>
        <w:sectPr>
          <w:pgSz w:w="11900" w:h="16840" w:orient="portrait"/>
          <w:cols w:equalWidth="0" w:num="2">
            <w:col w:w="8240" w:space="720"/>
            <w:col w:w="1660"/>
          </w:cols>
          <w:pgMar w:left="640" w:top="1440" w:right="640" w:bottom="1440" w:gutter="0" w:footer="0" w:header="0"/>
          <w:type w:val="continuous"/>
        </w:sectPr>
      </w:pPr>
    </w:p>
    <w:p>
      <w:pPr>
        <w:spacing w:after="0" w:line="14"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2"/>
          <w:szCs w:val="12"/>
          <w:color w:val="auto"/>
        </w:rPr>
        <w:t>[REG S CUSIP No. K3968J AB6</w:t>
      </w:r>
    </w:p>
    <w:p>
      <w:pPr>
        <w:spacing w:after="0" w:line="24"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2"/>
          <w:szCs w:val="12"/>
          <w:color w:val="auto"/>
        </w:rPr>
        <w:t>REG S ISIN No. USK3968JAB63]</w:t>
      </w:r>
    </w:p>
    <w:p>
      <w:pPr>
        <w:sectPr>
          <w:pgSz w:w="11900" w:h="16840" w:orient="portrait"/>
          <w:cols w:equalWidth="0" w:num="1">
            <w:col w:w="10620"/>
          </w:cols>
          <w:pgMar w:left="640" w:top="1440" w:right="640" w:bottom="1440" w:gutter="0" w:footer="0" w:header="0"/>
          <w:type w:val="continuous"/>
        </w:sect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7.250% Senior Note due 2033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Issuers promise to pay to Cede &amp; Co., or registered assigns, the principal sum set forth on the Schedule of Increases or Decreases in Global Note attached hereto on December 15, 2033.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Payment Dates: June 15 and December 15, commencing June 15,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Record Dates: June 1 and December 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 provisions of this Note are set forth on the other side of this Note.</w:t>
      </w:r>
    </w:p>
    <w:p>
      <w:pPr>
        <w:spacing w:after="0" w:line="157" w:lineRule="exact"/>
        <w:rPr>
          <w:sz w:val="20"/>
          <w:szCs w:val="20"/>
          <w:color w:val="auto"/>
        </w:rPr>
      </w:pPr>
    </w:p>
    <w:p>
      <w:pPr>
        <w:ind w:left="440" w:right="260" w:hanging="419"/>
        <w:spacing w:after="0" w:line="253" w:lineRule="auto"/>
        <w:tabs>
          <w:tab w:leader="none" w:pos="42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If the Note is to be issued in global form, add the Global Notes Legend and the attachment from Exhibit A captioned “TO BE ATTACHED TO GLOBAL NOTES - SCHEDULE OF INCREASES OR DECREASES IN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3</w:t>
      </w:r>
    </w:p>
    <w:p>
      <w:pPr>
        <w:sectPr>
          <w:pgSz w:w="11900" w:h="16840" w:orient="portrait"/>
          <w:cols w:equalWidth="0" w:num="1">
            <w:col w:w="10620"/>
          </w:cols>
          <w:pgMar w:left="640" w:top="1440" w:right="640" w:bottom="1440" w:gutter="0" w:footer="0" w:header="0"/>
          <w:type w:val="continuous"/>
        </w:sectPr>
      </w:pPr>
    </w:p>
    <w:bookmarkStart w:id="280" w:name="page281"/>
    <w:bookmarkEnd w:id="28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Note is one of the Notes referred to in the within-mentioned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instrument to be duly executed.</w:t>
      </w:r>
    </w:p>
    <w:p>
      <w:pPr>
        <w:spacing w:after="0" w:line="35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GENMAB A/S</w:t>
      </w:r>
    </w:p>
    <w:p>
      <w:pPr>
        <w:spacing w:after="0" w:line="22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15240</wp:posOffset>
            </wp:positionV>
            <wp:extent cx="158369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GENMAB FINANCE LLC</w:t>
      </w:r>
    </w:p>
    <w:p>
      <w:pPr>
        <w:spacing w:after="0" w:line="22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2"/>
          <w:szCs w:val="12"/>
          <w:color w:val="auto"/>
        </w:rPr>
        <w:t>Exhibit A - Page 4</w:t>
      </w:r>
    </w:p>
    <w:p>
      <w:pPr>
        <w:sectPr>
          <w:pgSz w:w="11900" w:h="16840" w:orient="portrait"/>
          <w:cols w:equalWidth="0" w:num="1">
            <w:col w:w="9820"/>
          </w:cols>
          <w:pgMar w:left="640" w:top="1440" w:right="1440" w:bottom="1440" w:gutter="0" w:footer="0" w:header="0"/>
        </w:sectPr>
      </w:pPr>
    </w:p>
    <w:bookmarkStart w:id="281" w:name="page282"/>
    <w:bookmarkEnd w:id="281"/>
    <w:p>
      <w:pPr>
        <w:spacing w:after="0" w:line="338" w:lineRule="exact"/>
        <w:rPr>
          <w:sz w:val="20"/>
          <w:szCs w:val="20"/>
          <w:color w:val="auto"/>
        </w:rPr>
      </w:pPr>
    </w:p>
    <w:p>
      <w:pPr>
        <w:jc w:val="right"/>
        <w:ind w:right="3180"/>
        <w:spacing w:after="0"/>
        <w:rPr>
          <w:sz w:val="20"/>
          <w:szCs w:val="20"/>
          <w:color w:val="auto"/>
        </w:rPr>
      </w:pPr>
      <w:r>
        <w:rPr>
          <w:rFonts w:ascii="Times New Roman" w:cs="Times New Roman" w:eastAsia="Times New Roman" w:hAnsi="Times New Roman"/>
          <w:sz w:val="12"/>
          <w:szCs w:val="12"/>
          <w:color w:val="auto"/>
        </w:rPr>
        <w:t>TRUSTEE CERTIFICATE OF AUTHENTICATION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Note is one of the Notes referred to in the within-mentioned Indenture.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color w:val="auto"/>
        </w:rPr>
        <w:t>Exhibit A - Page 5</w:t>
      </w:r>
    </w:p>
    <w:p>
      <w:pPr>
        <w:sectPr>
          <w:pgSz w:w="11900" w:h="16840" w:orient="portrait"/>
          <w:cols w:equalWidth="0" w:num="1">
            <w:col w:w="9820"/>
          </w:cols>
          <w:pgMar w:left="640" w:top="1440" w:right="1440" w:bottom="1440" w:gutter="0" w:footer="0" w:header="0"/>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6</w:t>
      </w:r>
    </w:p>
    <w:p>
      <w:pPr>
        <w:sectPr>
          <w:pgSz w:w="11900" w:h="16840" w:orient="portrait"/>
          <w:cols w:equalWidth="0" w:num="1">
            <w:col w:w="9020"/>
          </w:cols>
          <w:pgMar w:left="1440" w:top="1440" w:right="1440" w:bottom="1440" w:gutter="0" w:footer="0" w:header="0"/>
        </w:sectPr>
      </w:pPr>
    </w:p>
    <w:bookmarkStart w:id="283" w:name="page284"/>
    <w:bookmarkEnd w:id="283"/>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REVERSE SIDE OF INITIAL NOTE]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7.250% Senior Note Due 2033</w:t>
      </w:r>
    </w:p>
    <w:p>
      <w:pPr>
        <w:spacing w:after="0" w:line="129" w:lineRule="exact"/>
        <w:rPr>
          <w:sz w:val="20"/>
          <w:szCs w:val="20"/>
          <w:color w:val="auto"/>
        </w:rPr>
      </w:pPr>
    </w:p>
    <w:p>
      <w:pPr>
        <w:ind w:left="120" w:hanging="114"/>
        <w:spacing w:after="0"/>
        <w:tabs>
          <w:tab w:leader="none" w:pos="12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The Issuers promise to pay interest on the principal amount of this Note at the rate per annum shown above. The Issuers shall pay interest semiannually on June 15 and December 15 of each year (each an </w:t>
      </w: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Payment Date</w:t>
      </w:r>
      <w:r>
        <w:rPr>
          <w:rFonts w:ascii="Times New Roman" w:cs="Times New Roman" w:eastAsia="Times New Roman" w:hAnsi="Times New Roman"/>
          <w:sz w:val="12"/>
          <w:szCs w:val="12"/>
          <w:color w:val="auto"/>
        </w:rPr>
        <w:t>”), commencing June 15, 2026. Interest on the Notes shall accrue from the most recent date to which interest has been paid or duly provided for or, if no interest has been paid or duly provided for, from December 3, 2025, until the principal hereof is due. Interest shall be computed on the basis of a 360-day year comprised of twelve 30-day months. The Issuers shall pay interest on overdue principal at the rate borne by the Notes, and they shall pay interest on overdue installments of interest at the same rate to the extent lawful.</w:t>
      </w:r>
    </w:p>
    <w:p>
      <w:pPr>
        <w:spacing w:after="0" w:line="95" w:lineRule="exact"/>
        <w:rPr>
          <w:sz w:val="20"/>
          <w:szCs w:val="20"/>
          <w:color w:val="auto"/>
        </w:rPr>
      </w:pPr>
    </w:p>
    <w:p>
      <w:pPr>
        <w:ind w:left="120" w:hanging="114"/>
        <w:spacing w:after="0"/>
        <w:tabs>
          <w:tab w:leader="none" w:pos="12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Method of Payment</w:t>
      </w:r>
    </w:p>
    <w:p>
      <w:pPr>
        <w:spacing w:after="0" w:line="1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 xml:space="preserve">The Issuers shall pay interest on the Notes (except defaulted interest) to the Persons who are registered holders at the close of business on June 1 or December 1 (each a Record“ Date”) immediately preceding the Interest Payment Date even if Notes are canceled after the Record Date and on or before the Interest Payment Date (whether or not a Business Day). Holders must surrender Notes to the Paying Agent to collect principal payments. The Issuers shall pay principal, premium, if any, and interest in money of the United States of America that at the time of payment is legal tender for payment of public and private debts. Payments in respect of the Notes represented by a Global Note (including principal, premium, if any, and interest) shall be made by wire transfer of immediately available funds to the accounts specified by The Depository Trust Company or any successor depository. The Issuers shall make all payments in respect of a certificated Note (including principal, premium, if any, and interest) at the office of the Paying Agent, except that, at the option of the Issuers, payment of interest may be made by mailing a check to the registered address of each holder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payments on the Notes may also be made, in the case of a holder of at least $1,000,000 aggregate principal amount of Notes, by wire transfer to a U.S. dollar account maintained by the payee with a bank in the United States if such holder elects payment by wire transfer by giving written notice to the Trustee or Paying Agent to such effect designating such account no later than 30 days immediately preceding the relevant due date for payment (or such other date as the Trustee may accept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-653415</wp:posOffset>
            </wp:positionV>
            <wp:extent cx="39878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398780" cy="6350"/>
                    </a:xfrm>
                    <a:prstGeom prst="rect">
                      <a:avLst/>
                    </a:prstGeom>
                    <a:noFill/>
                  </pic:spPr>
                </pic:pic>
              </a:graphicData>
            </a:graphic>
          </wp:anchor>
        </w:drawing>
      </w:r>
    </w:p>
    <w:p>
      <w:pPr>
        <w:spacing w:after="0" w:line="225" w:lineRule="exact"/>
        <w:rPr>
          <w:sz w:val="20"/>
          <w:szCs w:val="20"/>
          <w:color w:val="auto"/>
        </w:rPr>
      </w:pPr>
    </w:p>
    <w:p>
      <w:pPr>
        <w:ind w:left="120" w:hanging="114"/>
        <w:spacing w:after="0"/>
        <w:tabs>
          <w:tab w:leader="none" w:pos="12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Paying Agent and Registrar</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Initially, Wilmington Trust, National Association, as trustee under the Indenture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xml:space="preserve">”), will act as Paying Agent and Registrar. The Issuers may remove any Registrar or Paying Agent upon written notice to such Registrar or Paying Agent and to the Trustee;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removal shall become effective until (i) if applicable, acceptance of an appointment by a successor Registrar or Paying Agent, as the case may be, as evidenced by an appropriate agreement entered into by the Issuers and such successor Registrar or Paying Agent, as the case may be, and delivered to the Trustee or (ii) notification to the Trustee that the Trustee shall serve as Registrar or Paying Agent until the appointment of a successor in accordance with clause (i) above. The U.S. Co-Issuer, so long as it is organized in the United States, or any of the Subsidiaries of the Company organized in the United States may act as Paying Agent or Registrar.</w:t>
      </w:r>
    </w:p>
    <w:p>
      <w:pPr>
        <w:spacing w:after="0" w:line="99" w:lineRule="exact"/>
        <w:rPr>
          <w:sz w:val="20"/>
          <w:szCs w:val="20"/>
          <w:color w:val="auto"/>
        </w:rPr>
      </w:pPr>
    </w:p>
    <w:p>
      <w:pPr>
        <w:ind w:left="120" w:hanging="114"/>
        <w:spacing w:after="0"/>
        <w:tabs>
          <w:tab w:leader="none" w:pos="12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Indenture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The Issuers issued the Notes under an Indenture, dated as of December 3, 2025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by and among the Issuers, the Guarantors and the Trustee. Capitalized terms used herein are used as defined in the Indenture, unless otherwise indicated. The terms of the Notes include those stated in the Indenture. The Notes are subject to all terms and provisions of the Indenture, and the holders (as defined in the Indenture) are referred to the Indenture for a statement of such terms and provisions. If and to the extent that any provision of the Notes limits, qualifies or conflicts with a provision of the Indenture, such provision of the Indenture shall control.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Exhibit A - Page 7</w:t>
      </w:r>
    </w:p>
    <w:p>
      <w:pPr>
        <w:sectPr>
          <w:pgSz w:w="11900" w:h="16840" w:orient="portrait"/>
          <w:cols w:equalWidth="0" w:num="1">
            <w:col w:w="10640"/>
          </w:cols>
          <w:pgMar w:left="640" w:top="1440" w:right="620" w:bottom="1440" w:gutter="0" w:footer="0" w:header="0"/>
        </w:sectPr>
      </w:pPr>
    </w:p>
    <w:bookmarkStart w:id="284" w:name="page285"/>
    <w:bookmarkEnd w:id="284"/>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The Notes are the unsubordinated obligations of the Issuers and Guarantors to the extent set forth in the Indenture. This Note is one of the Initial Notes referred to in the Indenture. The Notes include the Initial Notes and any Additional Notes. The Initial Notes and any Additional Notes shall be treated as a single class of securities for all purposes under the Indenture, including, without limitation, waivers, amendments, redemptions and offers to purchase;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Additional Notes are not fungible with the Initial Notes for U.S. federal income tax purposes, the Additional Notes will have a separate CUSIP number, if applicable. The Indenture imposes certain limitations on the ability of the Company and its Restricted Subsidiaries to, among other things, make certain Investments and other Restricted Payments, Incur Indebtedness, enter into consensual restrictions upon the payment of certain dividends and distributions, enter into or permit certain transactions with Affiliates, create or Incur Liens and make Asset Sales. The Indenture also imposes limitations on the ability of the Issuers and each Guarantor to consolidate or merge with or into any other Person or convey, transfer or lease all or substantially all of its property.</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The Guarantors (including each Restricted Subsidiary of the Company that is required to guarantee the Guaranteed Obligations pursuant to Section 4.11 of the Indenture) shall jointly and severally guarantee the Guaranteed Obligations pursuant to the terms of the Indenture.</w:t>
      </w:r>
    </w:p>
    <w:p>
      <w:pPr>
        <w:spacing w:after="0" w:line="79" w:lineRule="exact"/>
        <w:rPr>
          <w:sz w:val="20"/>
          <w:szCs w:val="20"/>
          <w:color w:val="auto"/>
        </w:rPr>
      </w:pPr>
    </w:p>
    <w:p>
      <w:pPr>
        <w:ind w:left="120" w:hanging="114"/>
        <w:spacing w:after="0"/>
        <w:tabs>
          <w:tab w:leader="none" w:pos="120"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Redemption</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 xml:space="preserve">On or after December 15, 2028, the Issuers may redeem the Notes at their option, in whole at any time or in part from time to time, upon not less than 10 days’ nor more than 60 days’ prior notice mailed by the Issuers by first-class mail, or delivered electronically if the Notes are held by DTC, to each holder’s registered address with a copy to the Trustee, at the following redemption prices (expressed as a percentage of principal amount),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redemption date (subject to the right of holders of record on the relevant Record Date to receive interest due on the relevant Interest Payment Date), if redeemed during the 12-month period commencing on December 15 of the years set forth below:</w:t>
      </w: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jc w:val="right"/>
              <w:ind w:right="4921"/>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Redemption Price</w:t>
            </w:r>
          </w:p>
        </w:tc>
        <w:tc>
          <w:tcPr>
            <w:tcW w:w="240" w:type="dxa"/>
            <w:vAlign w:val="bottom"/>
            <w:tcBorders>
              <w:bottom w:val="single" w:sz="8" w:color="CCEEFF"/>
            </w:tcBorders>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5300" w:type="dxa"/>
            <w:vAlign w:val="bottom"/>
            <w:shd w:val="clear" w:color="auto" w:fill="CCEEFF"/>
          </w:tcPr>
          <w:p>
            <w:pPr>
              <w:jc w:val="right"/>
              <w:ind w:right="5001"/>
              <w:spacing w:after="0"/>
              <w:rPr>
                <w:sz w:val="20"/>
                <w:szCs w:val="20"/>
                <w:color w:val="auto"/>
              </w:rPr>
            </w:pPr>
            <w:r>
              <w:rPr>
                <w:rFonts w:ascii="Times New Roman" w:cs="Times New Roman" w:eastAsia="Times New Roman" w:hAnsi="Times New Roman"/>
                <w:sz w:val="12"/>
                <w:szCs w:val="12"/>
                <w:color w:val="auto"/>
                <w:w w:val="91"/>
              </w:rPr>
              <w:t>2028</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103.625</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79"/>
              </w:rPr>
              <w:t>%</w:t>
            </w:r>
          </w:p>
        </w:tc>
      </w:tr>
      <w:tr>
        <w:trPr>
          <w:trHeight w:val="180"/>
        </w:trPr>
        <w:tc>
          <w:tcPr>
            <w:tcW w:w="5320" w:type="dxa"/>
            <w:vAlign w:val="bottom"/>
            <w:gridSpan w:val="2"/>
          </w:tcPr>
          <w:p>
            <w:pPr>
              <w:jc w:val="right"/>
              <w:ind w:right="5001"/>
              <w:spacing w:after="0"/>
              <w:rPr>
                <w:sz w:val="20"/>
                <w:szCs w:val="20"/>
                <w:color w:val="auto"/>
              </w:rPr>
            </w:pPr>
            <w:r>
              <w:rPr>
                <w:rFonts w:ascii="Times New Roman" w:cs="Times New Roman" w:eastAsia="Times New Roman" w:hAnsi="Times New Roman"/>
                <w:sz w:val="12"/>
                <w:szCs w:val="12"/>
                <w:color w:val="auto"/>
                <w:w w:val="99"/>
              </w:rPr>
              <w:t>2029</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101.813</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79"/>
              </w:rPr>
              <w:t>%</w:t>
            </w: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jc w:val="right"/>
              <w:ind w:right="4281"/>
              <w:spacing w:after="0"/>
              <w:rPr>
                <w:sz w:val="20"/>
                <w:szCs w:val="20"/>
                <w:color w:val="auto"/>
              </w:rPr>
            </w:pPr>
            <w:r>
              <w:rPr>
                <w:rFonts w:ascii="Times New Roman" w:cs="Times New Roman" w:eastAsia="Times New Roman" w:hAnsi="Times New Roman"/>
                <w:sz w:val="12"/>
                <w:szCs w:val="12"/>
                <w:color w:val="auto"/>
              </w:rPr>
              <w:t>2030 and thereafter</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100.000</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79"/>
              </w:rPr>
              <w:t>%</w:t>
            </w:r>
          </w:p>
        </w:tc>
      </w:tr>
    </w:tbl>
    <w:p>
      <w:pPr>
        <w:spacing w:after="0" w:line="2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 xml:space="preserve">In addition, prior to December 15, 2028, the Issuers may redeem the Notes at their option, in whole at any time or in part from time to time, upon not less than 10 days’ nor more than 60 days’ prior notice mailed by the Issuers by first-class mail, or delivered electronically if the Notes are held by DTC, to each holder’s registered address with a copy to the Trustee, at a redemption price equal to 100% of the principal amount of the Notes redeemed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the Applicable Premium as of, and accrued and unpaid interest, if any, to, but excluding, the applicable redemption date (subject to the right of holders of record on the relevant Record Date to receive interest due on the relevant Interest Payment Date).</w:t>
      </w:r>
    </w:p>
    <w:p>
      <w:pPr>
        <w:spacing w:after="0" w:line="9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 xml:space="preserve">Notwithstanding the foregoing, at any time and from time to time on or prior to December 15, 2028, the Issuers may redeem in the aggregate up to 40% of the original aggregate principal amount of the Notes (calculated after giving effect to any issuance of Additional Notes) with the net cash proceeds of one or more Equity Offerings by the Company at a redemption price of 107.250% of the principal amount of the Notes,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redemption date (subject to the right of holders of record on the relevant Record Date to receive interest due on the relevant Interest Payment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at least 50% of the original aggregate principal amount of the Notes (calculated after giving effect to any issuance of Additional Notes) must remain outstanding after each such redemption;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such redemption shall occur within 180 days after the date on which any such Equity Offering is consummated, in any such case upon not less than 10 days’ nor more than 60 days’ prior notice mailed, or delivered electronically if the Notes are held by DTC, by the Issuers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Page 8</w:t>
      </w:r>
    </w:p>
    <w:p>
      <w:pPr>
        <w:sectPr>
          <w:pgSz w:w="11900" w:h="16840" w:orient="portrait"/>
          <w:cols w:equalWidth="0" w:num="1">
            <w:col w:w="10620"/>
          </w:cols>
          <w:pgMar w:left="640" w:top="1440" w:right="640" w:bottom="1440" w:gutter="0" w:footer="0" w:header="0"/>
        </w:sectPr>
      </w:pPr>
    </w:p>
    <w:bookmarkStart w:id="285" w:name="page286"/>
    <w:bookmarkEnd w:id="285"/>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holder of Notes with a copy to the Trustee and otherwise in accordance with the procedures set forth in the Indenture.</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Notice of any redemption upon any Equity Offering may be given prior to the completion thereof. In addition, any redemption described above or notice thereof may, at the Issuers’ discretion, be subject to one or more conditions precedent, including, but not limited to, completion of the related Equity Offering in the case of a redemption upon completion of an Equity Offering. The Issuers may provide in such notice that payment of the redemption price and the performance of the Issuers’ obligations with respect to such redemption may be performed by another Person.</w:t>
      </w:r>
    </w:p>
    <w:p>
      <w:pPr>
        <w:spacing w:after="0" w:line="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If holders of not less than 90% in aggregate principal amount of the outstanding Notes validly tender and do not withdraw such Notes in a Change of Control Offer and the Issuers, or any third party making a Change of Control Offer in lieu of the Issuers as described above, purchase all of the Notes validly tendered and not withdrawn by such holders in accordance with Section 4.08 of the Indenture, the Issuers or such third party will have the right, upon not less than 10 days’ nor more than 60 days’ prior notice (provided that such notice was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excluding, the date of redemption.</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 xml:space="preserve">The Issuers may, at their option, redeem, upon not less than 10 days’ nor more than 60 days’ prior notice mailed by the Issuers by first- class mail, or delivered electronically if the Notes are held by DTC, to each holder’s registered address with a copy to the Trustee, all (but not less than all) of the Notes then outstanding, at 100% of the principal amount of the Notes, plus accrued and unpaid interest to, but excluding, the applicable redemption date (subject to the right of the holders of record on the relevant Record Date to receive interest due on the relevant Interest Payment Date), and all Additional Amounts, if any, then due and which shall become due on the applicable redemption date as a result of the redemption or otherwise if, as a result of any change in, or amendment to, the laws or treaties (or any regulations or rulings of the Relevant Taxing Jurisdiction promulgated under such laws or treaties) of a Relevant Taxing Jurisdiction, or the official interpretation, administration or application thereof (including by virtue of a holding, judgment or order by a court of competent jurisdiction), which change or amendment is first publicly announced and becomes effective on or after the Issue Date (or, if the Relevant Taxing Jurisdiction became a Relevant Taxing Jurisdiction on a date after the Issue Date, after such later date) (each of the foregoing changes or amendments, a “ </w:t>
      </w:r>
      <w:r>
        <w:rPr>
          <w:rFonts w:ascii="Times New Roman" w:cs="Times New Roman" w:eastAsia="Times New Roman" w:hAnsi="Times New Roman"/>
          <w:sz w:val="12"/>
          <w:szCs w:val="12"/>
          <w:u w:val="single" w:color="auto"/>
          <w:color w:val="auto"/>
        </w:rPr>
        <w:t>Change in Tax Law</w:t>
      </w:r>
      <w:r>
        <w:rPr>
          <w:rFonts w:ascii="Times New Roman" w:cs="Times New Roman" w:eastAsia="Times New Roman" w:hAnsi="Times New Roman"/>
          <w:sz w:val="12"/>
          <w:szCs w:val="12"/>
          <w:color w:val="auto"/>
        </w:rPr>
        <w:t xml:space="preserve">”), any Issuer is, or on the next interest payment date in respect of the Notes would be, required to pay any Additional Amounts, and such obligation to pay Additional Amounts cannot be avoided by taking commercially reasonable measures available to such Issuer (including, for the avoidance of doubt, the appointment of a new paying agent);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changing any Issuer’s, Guarantors’ and/or any of their Affiliates’ jurisdiction of incorporation shall not qualify as a commercially reasonable measure for purposes of this paragraph. Notwithstanding the foregoing, no such notice of redemption will be given (a) earlier than 90 days prior to the earliest date on which such Issuer would be obligated to pay such Additional Amounts as a result of a Change in Tax Law and (b) unless, at the time such notice is given, such obligation to pay Additional Amounts remains in effect. Prior to any redemption of Notes pursuant to this paragraph, the Company shall deliver to the Trustee, (i) an Officer’s Certificate stating that such Issuer cannot avoid the payment of Additional Amounts by taking reasonable measures and setting forth a statement of facts showing that the conditions precedent to the right of redemption have occurred and (ii) an opinion of independent tax counsel of recognized standing qualified under the laws of the applicable Relevant Taxing Jurisdiction to the effect that as a result of a Change in Tax Law, such Issuer has or will become obligated to pay Additional Amounts (which opinion, for the avoidance of doubt, shall not be required to include an opinion as to whether commercially reasonable efforts could have been undertaken by such Issuer to avoid the otherwise applicable obligation to pay Additional Amounts). The Trustee shall be entitled to rely on such Officer’s Certificate and Opinion of Counsel as sufficient evidence of the satisfaction of the conditions precedent described above, without further inquiry, in which event it will be conclusive and binding on the holders.</w:t>
      </w:r>
    </w:p>
    <w:p>
      <w:pPr>
        <w:spacing w:after="0" w:line="251" w:lineRule="exact"/>
        <w:rPr>
          <w:sz w:val="20"/>
          <w:szCs w:val="20"/>
          <w:color w:val="auto"/>
        </w:rPr>
      </w:pPr>
    </w:p>
    <w:p>
      <w:pPr>
        <w:ind w:left="120" w:hanging="114"/>
        <w:spacing w:after="0"/>
        <w:tabs>
          <w:tab w:leader="none" w:pos="12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[Intentionally Omitted]</w:t>
      </w:r>
    </w:p>
    <w:p>
      <w:pPr>
        <w:spacing w:after="0" w:line="128" w:lineRule="exact"/>
        <w:rPr>
          <w:rFonts w:ascii="Times New Roman" w:cs="Times New Roman" w:eastAsia="Times New Roman" w:hAnsi="Times New Roman"/>
          <w:sz w:val="12"/>
          <w:szCs w:val="12"/>
          <w:color w:val="auto"/>
        </w:rPr>
      </w:pPr>
    </w:p>
    <w:p>
      <w:pPr>
        <w:ind w:left="120" w:hanging="114"/>
        <w:spacing w:after="0"/>
        <w:tabs>
          <w:tab w:leader="none" w:pos="12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Redemption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as set forth in Section 3.09 of the Indenture, the Issuers will not be required to make any mandatory redemption or sinking fund payments with respect to the Notes.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9</w:t>
      </w:r>
    </w:p>
    <w:p>
      <w:pPr>
        <w:sectPr>
          <w:pgSz w:w="11900" w:h="16840" w:orient="portrait"/>
          <w:cols w:equalWidth="0" w:num="1">
            <w:col w:w="10620"/>
          </w:cols>
          <w:pgMar w:left="640" w:top="1440" w:right="640" w:bottom="1440" w:gutter="0" w:footer="0" w:header="0"/>
        </w:sectPr>
      </w:pPr>
    </w:p>
    <w:bookmarkStart w:id="286" w:name="page287"/>
    <w:bookmarkEnd w:id="286"/>
    <w:p>
      <w:pPr>
        <w:spacing w:after="0" w:line="157" w:lineRule="exact"/>
        <w:rPr>
          <w:sz w:val="20"/>
          <w:szCs w:val="20"/>
          <w:color w:val="auto"/>
        </w:rPr>
      </w:pPr>
    </w:p>
    <w:p>
      <w:pPr>
        <w:ind w:left="120" w:hanging="114"/>
        <w:spacing w:after="0"/>
        <w:tabs>
          <w:tab w:leader="none" w:pos="120"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Redemption</w:t>
      </w:r>
    </w:p>
    <w:p>
      <w:pPr>
        <w:spacing w:after="0" w:line="1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Notices of redemption will be mailed (or caused to be mailed) by first-class mail, or delivered electronically if the Notes are held by DTC, at least 10 days (or, in the case of a notice of redemption in connection with a Change of Control or Asset Sale Offer, at least 30 days) but not more than 60 days before the redemption date, in each case, to each holder of Notes to be redeemed at its registered address (with a copy to the Trustee), except that redemption notices may be mailed or otherwise delivered more than 60 days prior to the redemption date if the notice is issued in connection with a defeasance of the Notes or a satisfaction and discharge of the Indenture pursuant to Article VIII thereof. On and after the redemption date, interest shall cease to accrue on Notes or portions thereof called for redemption so long as the Issuers have deposited with the Paying Agent (or, if the Company or a Subsidiary thereof is the Paying Agent, shall have segregated and held in trust) funds sufficient to pay the principal of, plus accrued and unpaid interest on, the Notes or portions thereof to be redeemed.</w:t>
      </w:r>
    </w:p>
    <w:p>
      <w:pPr>
        <w:spacing w:after="0" w:line="97" w:lineRule="exact"/>
        <w:rPr>
          <w:sz w:val="20"/>
          <w:szCs w:val="20"/>
          <w:color w:val="auto"/>
        </w:rPr>
      </w:pPr>
    </w:p>
    <w:p>
      <w:pPr>
        <w:ind w:left="120" w:hanging="114"/>
        <w:spacing w:after="0"/>
        <w:tabs>
          <w:tab w:leader="none" w:pos="12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Repurchase of Notes at the Option of the Holders upon Change of Control and Asset Sale</w:t>
      </w:r>
      <w:r>
        <w:rPr>
          <w:rFonts w:ascii="Times New Roman" w:cs="Times New Roman" w:eastAsia="Times New Roman" w:hAnsi="Times New Roman"/>
          <w:sz w:val="12"/>
          <w:szCs w:val="12"/>
          <w:color w:val="auto"/>
        </w:rPr>
        <w:t>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Upon the occurrence of a Change of Control, subject to certain conditions specified in the Indenture, the Issuers will make an offer to repurchase all or any part of such holder’s Notes at a purchase price in cash equal to 101% of the principal amount thereof, plus accrued and unpaid interest, if any, to, but excluding, the date of repurchase (subject to the right of the holders of record on the relevant Record Date to receive interest due on the relevant Interest Payment Date), as provided in, and subject to the terms of, the Indenture. In accordance with Section 4.06 of the Indenture, the Issuers may be required to offer to purchase Notes with the Net Proceeds of certain Asset Sales.</w:t>
      </w:r>
    </w:p>
    <w:p>
      <w:pPr>
        <w:spacing w:after="0" w:line="95" w:lineRule="exact"/>
        <w:rPr>
          <w:sz w:val="20"/>
          <w:szCs w:val="20"/>
          <w:color w:val="auto"/>
        </w:rPr>
      </w:pPr>
    </w:p>
    <w:p>
      <w:pPr>
        <w:ind w:left="180" w:hanging="174"/>
        <w:spacing w:after="0"/>
        <w:tabs>
          <w:tab w:leader="none" w:pos="180"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[Intentionally Omitted]</w:t>
      </w:r>
    </w:p>
    <w:p>
      <w:pPr>
        <w:spacing w:after="0" w:line="128" w:lineRule="exact"/>
        <w:rPr>
          <w:rFonts w:ascii="Times New Roman" w:cs="Times New Roman" w:eastAsia="Times New Roman" w:hAnsi="Times New Roman"/>
          <w:sz w:val="12"/>
          <w:szCs w:val="12"/>
          <w:color w:val="auto"/>
        </w:rPr>
      </w:pPr>
    </w:p>
    <w:p>
      <w:pPr>
        <w:ind w:left="180" w:hanging="174"/>
        <w:spacing w:after="0"/>
        <w:tabs>
          <w:tab w:leader="none" w:pos="180"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Denominations; Transfer; Exchange</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The Notes are in registered form, without coupons, in denominations of $200,000 principal amount and integral multiples of $1,000 in excess thereof. A holder shall register the transfer of or exchange of the Notes in accordance with the Indenture. Upon any registration of transfer or exchange, the Registrar and the Trustee may require a holder, among other things, to furnish appropriate endorsements and transfer documents and the Issuers may require a holder to pay any taxes required by law and permitted by the Indenture. The Issuers shall not be required to make, and the Registrar need not register, transfers or exchanges of any Notes selected for redemption (except, in the case of a Note to be redeemed in part, the portion thereof not to be redeemed) or of any Notes for a period of 15 days before the mailing of a notice of redemption of Notes to be redeemed.</w:t>
      </w:r>
    </w:p>
    <w:p>
      <w:pPr>
        <w:spacing w:after="0" w:line="242" w:lineRule="exact"/>
        <w:rPr>
          <w:sz w:val="20"/>
          <w:szCs w:val="20"/>
          <w:color w:val="auto"/>
        </w:rPr>
      </w:pPr>
    </w:p>
    <w:p>
      <w:pPr>
        <w:ind w:left="180" w:hanging="174"/>
        <w:spacing w:after="0"/>
        <w:tabs>
          <w:tab w:leader="none" w:pos="18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Persons Deemed Owners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registered holder of this Note shall be treated as the owner of it for all purposes.</w:t>
      </w:r>
    </w:p>
    <w:p>
      <w:pPr>
        <w:spacing w:after="0" w:line="129" w:lineRule="exact"/>
        <w:rPr>
          <w:sz w:val="20"/>
          <w:szCs w:val="20"/>
          <w:color w:val="auto"/>
        </w:rPr>
      </w:pPr>
    </w:p>
    <w:p>
      <w:pPr>
        <w:ind w:left="180" w:hanging="174"/>
        <w:spacing w:after="0"/>
        <w:tabs>
          <w:tab w:leader="none" w:pos="18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Unclaimed Money</w:t>
      </w:r>
    </w:p>
    <w:p>
      <w:pPr>
        <w:spacing w:after="0" w:line="129"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2"/>
          <w:szCs w:val="12"/>
          <w:color w:val="auto"/>
        </w:rPr>
        <w:t>Subject to any applicable abandoned property law, the Trustee and each Paying Agent shall pay to the Issuers upon written request any money held by them for the payment of principal or interest that remains unclaimed for two years, and, thereafter, holders entitled to the money must look to the Issuers for payment as general creditors, and the Trustee and each Paying Agent shall have no further liability with respect to such monies.</w:t>
      </w:r>
    </w:p>
    <w:p>
      <w:pPr>
        <w:spacing w:after="0" w:line="235" w:lineRule="exact"/>
        <w:rPr>
          <w:sz w:val="20"/>
          <w:szCs w:val="20"/>
          <w:color w:val="auto"/>
        </w:rPr>
      </w:pPr>
    </w:p>
    <w:p>
      <w:pPr>
        <w:ind w:left="180" w:hanging="174"/>
        <w:spacing w:after="0"/>
        <w:tabs>
          <w:tab w:leader="none" w:pos="18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Discharge and Defeasance</w:t>
      </w:r>
    </w:p>
    <w:p>
      <w:pPr>
        <w:spacing w:after="0" w:line="12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2"/>
          <w:szCs w:val="12"/>
          <w:color w:val="auto"/>
        </w:rPr>
        <w:t>Subject to certain conditions, the Issuers at any time may terminate some of or all their obligations under the Notes and the Indenture if the Issuers deposit with the Trustee cash in U.S. dollars or U.S. Government Obligations sufficient to pay the principal of and premium (if any) and interest on the Notes when due at maturity or redemption, as the case may be.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10</w:t>
      </w:r>
    </w:p>
    <w:p>
      <w:pPr>
        <w:sectPr>
          <w:pgSz w:w="11900" w:h="16840" w:orient="portrait"/>
          <w:cols w:equalWidth="0" w:num="1">
            <w:col w:w="10620"/>
          </w:cols>
          <w:pgMar w:left="640" w:top="1440" w:right="640" w:bottom="1440" w:gutter="0" w:footer="0" w:header="0"/>
        </w:sectPr>
      </w:pPr>
    </w:p>
    <w:bookmarkStart w:id="287" w:name="page288"/>
    <w:bookmarkEnd w:id="287"/>
    <w:p>
      <w:pPr>
        <w:spacing w:after="0" w:line="157" w:lineRule="exact"/>
        <w:rPr>
          <w:sz w:val="20"/>
          <w:szCs w:val="20"/>
          <w:color w:val="auto"/>
        </w:rPr>
      </w:pPr>
    </w:p>
    <w:p>
      <w:pPr>
        <w:ind w:left="180" w:hanging="174"/>
        <w:spacing w:after="0"/>
        <w:tabs>
          <w:tab w:leader="none" w:pos="18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Waiver</w:t>
      </w:r>
    </w:p>
    <w:p>
      <w:pPr>
        <w:spacing w:after="0" w:line="1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color w:val="auto"/>
        </w:rPr>
        <w:t>Subject to certain exceptions set forth in the Indenture, (i) the Indenture, the Notes and the Guarantees may be amended with the consent of the holders of a majority in principal amount of the Notes then outstanding and (ii) any past default or compliance with any provisions may be waived with the consent of the holders of a majority in principal amount of the Notes then outstanding.</w:t>
      </w:r>
    </w:p>
    <w:p>
      <w:pPr>
        <w:spacing w:after="0" w:line="7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 xml:space="preserve">The Issuers and the Trustee may amend the Indenture, the Notes or the Guarantees, in each case without the consent of any holder (i) to cure any ambiguity, omission, mistake, defect or inconsistency; (ii) to provide for the assumption by a Successor Company (with respect to an Issuer) of the obligations of such Issuer under the Indenture and the Notes; (iii) to provide for the assumption by a Successor Person (with respect to any Guarantor) of the obligations of a Guarantor under the Indenture and its Guarantee; (iv) to provide for uncertificated Notes in addition to or in place of certificated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uncertificated Notes are issued in registered form for purposes of Section 163(f) of the Code, or in a manner such that the uncertificated Notes are described in Section 163(f)(2)(B) of the Code; (v) to add a Guarantee with respect to the Notes; (vi) to release a Guarantee as permitted by the Indenture; (vii) to secure the Notes as permitted by the Indenture; (viii) to add to the covenants of the Issuers for the benefit of the holders or to surrender any right or power conferred upon the Issuers; (ix) to include additional parallel debt provisions; (x) to make any change that does not adversely affect the rights of any holder in any material respect; (xi) to conform the text of the Indenture, the Guarantees or the Notes to any provision of the “Description of the Unsecured Notes” in the Offering Memorandum to the extent that such provision was intended by the Company to be a verbatim recitation of a provision in the Indenture, the Guarantees or the Notes, as stated in an Officer’s Certificate of the Issuers; or (xii) to make changes to the Indenture to provide for the issuance of Additional Notes.</w:t>
      </w:r>
    </w:p>
    <w:p>
      <w:pPr>
        <w:spacing w:after="0" w:line="245" w:lineRule="exact"/>
        <w:rPr>
          <w:sz w:val="20"/>
          <w:szCs w:val="20"/>
          <w:color w:val="auto"/>
        </w:rPr>
      </w:pPr>
    </w:p>
    <w:p>
      <w:pPr>
        <w:ind w:left="180" w:hanging="174"/>
        <w:spacing w:after="0"/>
        <w:tabs>
          <w:tab w:leader="none" w:pos="18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Defaults and Remedies</w:t>
      </w:r>
    </w:p>
    <w:p>
      <w:pPr>
        <w:spacing w:after="0" w:line="129"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2"/>
          <w:szCs w:val="12"/>
          <w:color w:val="auto"/>
        </w:rPr>
        <w:t>If an Event of Default (other than an Event of Default specified in Section 6.01(f) or (g) of the Indenture with respect to an Issuer) occurs and is continuing, the Trustee by notice to the Issuers or the holders of at least 30% in principal amount of outstanding Notes by notice to the Issuers (with a copy to the Trustee) may declare the principal of, premium, if any, and accrued but unpaid interest on all the Notes to be due and payable. Upon such a declaration, such principal and interest shall be due and payable immediately. If an Event of Default specified in Section 6.01(f) or (g) of the Indenture with respect to an Issuer occurs, the principal of, premium, if any, and interest on all the Notes will become immediately due and payable without any declaration or other act on the part of the Trustee or any holders. The holders of a majority in principal amount of outstanding Notes may rescind any such acceleration with respect to the Notes and its consequences if:</w:t>
      </w:r>
    </w:p>
    <w:p>
      <w:pPr>
        <w:spacing w:after="0" w:line="99" w:lineRule="exact"/>
        <w:rPr>
          <w:sz w:val="20"/>
          <w:szCs w:val="20"/>
          <w:color w:val="auto"/>
        </w:rPr>
      </w:pPr>
    </w:p>
    <w:p>
      <w:pPr>
        <w:ind w:right="40" w:firstLine="6"/>
        <w:spacing w:after="0" w:line="263" w:lineRule="auto"/>
        <w:tabs>
          <w:tab w:leader="none" w:pos="168"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existing Events of Default, other than the nonpayment of the principal of, premium, if any, and interest on the Notes that have become due solely by the declaration of acceleration, have been cured or waived; and</w:t>
      </w:r>
    </w:p>
    <w:p>
      <w:pPr>
        <w:spacing w:after="0" w:line="258" w:lineRule="exact"/>
        <w:rPr>
          <w:rFonts w:ascii="Times New Roman" w:cs="Times New Roman" w:eastAsia="Times New Roman" w:hAnsi="Times New Roman"/>
          <w:sz w:val="12"/>
          <w:szCs w:val="12"/>
          <w:color w:val="auto"/>
        </w:rPr>
      </w:pPr>
    </w:p>
    <w:p>
      <w:pPr>
        <w:ind w:left="180" w:hanging="174"/>
        <w:spacing w:after="0"/>
        <w:tabs>
          <w:tab w:leader="none" w:pos="180"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rescission would not conflict with any judgment or decree of a court of competent jurisdiction.</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If an Event of Default occurs and is continuing, the Trustee shall be under no obligation to exercise any of the rights or powers under the Indenture at the request or direction of any of the holders, unless such holders have offered to the Trustee indemnity or security satisfactory to it against any loss, liability or expense. Except to enforce the right to receive payment of principal, premium (if any) or interest when due, no holder may pursue any remedy with respect to the Indenture or the Notes unless (i) such holder has previously given the Trustee written notice that an Event of Default is continuing, (ii) holders of at least 30% in principal amount of the outstanding Notes have requested the Trustee to pursue the remedy, (iii) such holders have offered, and if requested, provided, the Trustee security or indemnity satisfactory to it against any loss, liability or expense, (iv) the Trustee has not complied with such request within 60 days after the receipt of the request and the offer of security or indemnity, and (v) the holders of a majority in principal amount of the outstanding Notes have not given the Trustee a direction inconsistent with such request within such 60-day period. The holders of a majority in principal amount of outstanding Notes may direct the time, method and place of conducting any proceeding for any remedy available to the Trustee or of exercising any trust or power conferred on the Trustee. However, the Trustee may refuse to follow any direction that conflicts with law or the Indenture, as applicable, or that the Trustee determines is unduly prejudicial to the rights of any other holder (it being understood that the Trustee has no affirmative duty to ascertain whether or not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Exhibit A - Page 11</w:t>
      </w:r>
    </w:p>
    <w:p>
      <w:pPr>
        <w:sectPr>
          <w:pgSz w:w="11900" w:h="16840" w:orient="portrait"/>
          <w:cols w:equalWidth="0" w:num="1">
            <w:col w:w="10640"/>
          </w:cols>
          <w:pgMar w:left="640" w:top="1440" w:right="620" w:bottom="1440" w:gutter="0" w:footer="0" w:header="0"/>
        </w:sectPr>
      </w:pPr>
    </w:p>
    <w:bookmarkStart w:id="288" w:name="page289"/>
    <w:bookmarkEnd w:id="288"/>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color w:val="auto"/>
        </w:rPr>
        <w:t>directions are unduly prejudicial to any other holder) or that would involve the Trustee in personal liability. Prior to taking any action under the Indenture, the Trustee shall be entitled to security or indemnification satisfactory to it against all losses and expenses caused by taking or not taking such action.</w:t>
      </w:r>
    </w:p>
    <w:p>
      <w:pPr>
        <w:spacing w:after="0" w:line="79" w:lineRule="exact"/>
        <w:rPr>
          <w:sz w:val="20"/>
          <w:szCs w:val="20"/>
          <w:color w:val="auto"/>
        </w:rPr>
      </w:pPr>
    </w:p>
    <w:p>
      <w:pPr>
        <w:ind w:left="180" w:hanging="174"/>
        <w:spacing w:after="0"/>
        <w:tabs>
          <w:tab w:leader="none" w:pos="18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Trustee Dealings with the Issuers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Trustee, in its individual or any other capacity, may become the owner or pledgee of Notes and may otherwise deal with the Issuers or their Affiliates with the same rights it would have if it were not Trustee.</w:t>
      </w:r>
    </w:p>
    <w:p>
      <w:pPr>
        <w:spacing w:after="0" w:line="129" w:lineRule="exact"/>
        <w:rPr>
          <w:sz w:val="20"/>
          <w:szCs w:val="20"/>
          <w:color w:val="auto"/>
        </w:rPr>
      </w:pPr>
    </w:p>
    <w:p>
      <w:pPr>
        <w:ind w:left="180" w:hanging="174"/>
        <w:spacing w:after="0"/>
        <w:tabs>
          <w:tab w:leader="none" w:pos="180"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Recourse Against Others</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No director, officer, employee, manager or incorporator of any Issuer or Guarantor and no holder of any Equity Interests in any Issuer or Guarantor, as such, will have any liability for any obligations of an Issuer or any Guarantor under the Notes, the Indenture or the Guarantees, as applicable, or for any claim based on, in respect of, or by reason of, such obligations or their creation. Each holder of Notes by accepting a Note waives and releases all such liability.</w:t>
      </w:r>
    </w:p>
    <w:p>
      <w:pPr>
        <w:spacing w:after="0" w:line="91" w:lineRule="exact"/>
        <w:rPr>
          <w:sz w:val="20"/>
          <w:szCs w:val="20"/>
          <w:color w:val="auto"/>
        </w:rPr>
      </w:pPr>
    </w:p>
    <w:p>
      <w:pPr>
        <w:ind w:left="180" w:hanging="174"/>
        <w:spacing w:after="0"/>
        <w:tabs>
          <w:tab w:leader="none" w:pos="180"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Authentication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Note shall not be valid until an authorized signatory of the Trustee (or an authenticating agent) manually signs the certificate of authentication on the other side of this Note.</w:t>
      </w:r>
    </w:p>
    <w:p>
      <w:pPr>
        <w:spacing w:after="0" w:line="129" w:lineRule="exact"/>
        <w:rPr>
          <w:sz w:val="20"/>
          <w:szCs w:val="20"/>
          <w:color w:val="auto"/>
        </w:rPr>
      </w:pPr>
    </w:p>
    <w:p>
      <w:pPr>
        <w:ind w:left="180" w:hanging="174"/>
        <w:spacing w:after="0"/>
        <w:tabs>
          <w:tab w:leader="none" w:pos="180"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SECURITY SHALL BE GOVERNED BY, AND CONSTRUED IN ACCORDANCE WITH, THE LAWS OF THE STATE OF NEW YORK.</w:t>
      </w:r>
    </w:p>
    <w:p>
      <w:pPr>
        <w:spacing w:after="0" w:line="129" w:lineRule="exact"/>
        <w:rPr>
          <w:sz w:val="20"/>
          <w:szCs w:val="20"/>
          <w:color w:val="auto"/>
        </w:rPr>
      </w:pPr>
    </w:p>
    <w:p>
      <w:pPr>
        <w:ind w:left="180" w:hanging="174"/>
        <w:spacing w:after="0"/>
        <w:tabs>
          <w:tab w:leader="none" w:pos="180"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CUSIP Numbers; ISINs</w:t>
      </w:r>
    </w:p>
    <w:p>
      <w:pPr>
        <w:spacing w:after="0" w:line="1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color w:val="auto"/>
        </w:rPr>
        <w:t>The Issuers have caused CUSIP numbers and ISINs to be printed on the Notes and have directed the Trustee to use CUSIP numbers and ISINs in notices of redemption as a convenience to the holders. No representation is made as to the correctness of such numbers either as printed on the Notes or as contained in any notice of redemption and reliance may be placed only on the other identification numbers printed thereon.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Issuers will furnish to any holder of Notes upon written request and without charge to the holder a copy of the Indenture which has in it the text of this Note.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12</w:t>
      </w:r>
    </w:p>
    <w:p>
      <w:pPr>
        <w:sectPr>
          <w:pgSz w:w="11900" w:h="16840" w:orient="portrait"/>
          <w:cols w:equalWidth="0" w:num="1">
            <w:col w:w="10600"/>
          </w:cols>
          <w:pgMar w:left="640" w:top="1440" w:right="660" w:bottom="1440" w:gutter="0" w:footer="0" w:header="0"/>
        </w:sectPr>
      </w:pPr>
    </w:p>
    <w:bookmarkStart w:id="289" w:name="page290"/>
    <w:bookmarkEnd w:id="289"/>
    <w:p>
      <w:pPr>
        <w:spacing w:after="0" w:line="1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ASSIGNMENT FORM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assign this Note, fill in the form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or we assign and transfer this Note to:</w:t>
      </w:r>
    </w:p>
    <w:p>
      <w:pPr>
        <w:spacing w:after="0" w:line="12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2"/>
          <w:szCs w:val="12"/>
          <w:color w:val="auto"/>
        </w:rPr>
        <w:t>(Print or type assignee’s name, address and zip code)</w:t>
      </w:r>
    </w:p>
    <w:p>
      <w:pPr>
        <w:spacing w:after="0" w:line="1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2"/>
          <w:szCs w:val="12"/>
          <w:color w:val="auto"/>
        </w:rPr>
        <w:t>(Insert assignee’s soc. sec. or tax I.D. No.)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irrevocably appoint agent to transfer this Note on the books of the Issuers. The agent may substitute another to act for him.</w:t>
      </w:r>
    </w:p>
    <w:p>
      <w:pPr>
        <w:sectPr>
          <w:pgSz w:w="11900" w:h="16840" w:orient="portrait"/>
          <w:cols w:equalWidth="0" w:num="1">
            <w:col w:w="9820"/>
          </w:cols>
          <w:pgMar w:left="640" w:top="1440" w:right="1440" w:bottom="1440" w:gutter="0" w:footer="0" w:header="0"/>
        </w:sect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 Signature:</w:t>
      </w:r>
    </w:p>
    <w:p>
      <w:pPr>
        <w:spacing w:after="0" w:line="200" w:lineRule="exact"/>
        <w:rPr>
          <w:sz w:val="20"/>
          <w:szCs w:val="20"/>
          <w:color w:val="auto"/>
        </w:rPr>
      </w:pPr>
    </w:p>
    <w:p>
      <w:pPr>
        <w:sectPr>
          <w:pgSz w:w="11900" w:h="16840" w:orient="portrait"/>
          <w:cols w:equalWidth="0" w:num="2">
            <w:col w:w="6700" w:space="720"/>
            <w:col w:w="2400"/>
          </w:cols>
          <w:pgMar w:left="640" w:top="1440"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 exactly as your name appears on the other side of this Note.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Guarantee:</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ectPr>
          <w:pgSz w:w="11900" w:h="16840" w:orient="portrait"/>
          <w:cols w:equalWidth="0" w:num="1">
            <w:col w:w="9820"/>
          </w:cols>
          <w:pgMar w:left="640" w:top="1440" w:right="1440" w:bottom="1440" w:gutter="0" w:footer="0" w:header="0"/>
          <w:type w:val="continuous"/>
        </w:sectPr>
      </w:pPr>
    </w:p>
    <w:p>
      <w:pPr>
        <w:spacing w:after="0" w:line="24"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2"/>
          <w:szCs w:val="12"/>
          <w:color w:val="auto"/>
        </w:rPr>
        <w:t>Signature must be guaranteed by a participant in a recognized signature guaranty medallion program or other signature guarantor program reasonably acceptable to the Trustee.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Signature Guarantee</w:t>
      </w:r>
    </w:p>
    <w:p>
      <w:pPr>
        <w:spacing w:after="0" w:line="352" w:lineRule="exact"/>
        <w:rPr>
          <w:sz w:val="20"/>
          <w:szCs w:val="20"/>
          <w:color w:val="auto"/>
        </w:rPr>
      </w:pPr>
    </w:p>
    <w:p>
      <w:pPr>
        <w:sectPr>
          <w:pgSz w:w="11900" w:h="16840" w:orient="portrait"/>
          <w:cols w:equalWidth="0" w:num="2">
            <w:col w:w="5120" w:space="420"/>
            <w:col w:w="4280"/>
          </w:cols>
          <w:pgMar w:left="6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2"/>
          <w:szCs w:val="12"/>
          <w:color w:val="auto"/>
        </w:rPr>
        <w:t>Exhibit A - Page 13</w:t>
      </w:r>
    </w:p>
    <w:p>
      <w:pPr>
        <w:sectPr>
          <w:pgSz w:w="11900" w:h="16840" w:orient="portrait"/>
          <w:cols w:equalWidth="0" w:num="1">
            <w:col w:w="9820"/>
          </w:cols>
          <w:pgMar w:left="640" w:top="1440" w:right="1440" w:bottom="1440" w:gutter="0" w:footer="0" w:header="0"/>
          <w:type w:val="continuous"/>
        </w:sectPr>
      </w:pPr>
    </w:p>
    <w:bookmarkStart w:id="290" w:name="page291"/>
    <w:bookmarkEnd w:id="290"/>
    <w:p>
      <w:pPr>
        <w:spacing w:after="0" w:line="1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2"/>
          <w:szCs w:val="12"/>
          <w:color w:val="auto"/>
        </w:rPr>
        <w:t>CERTIFICATE TO BE DELIVERED UPON EXCHANGE OR</w:t>
      </w:r>
    </w:p>
    <w:p>
      <w:pPr>
        <w:spacing w:after="0" w:line="1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REGISTRATION OF TRANSFER OF RESTRICTED NOTE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certificate relates to $_________ principal amount of Notes held in (check applicable space) ____ book-entry or _____ definitive form by the undersigned.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undersigned (check one box below):</w:t>
      </w:r>
    </w:p>
    <w:p>
      <w:pPr>
        <w:spacing w:after="0" w:line="157" w:lineRule="exact"/>
        <w:rPr>
          <w:sz w:val="20"/>
          <w:szCs w:val="20"/>
          <w:color w:val="auto"/>
        </w:rPr>
      </w:pPr>
    </w:p>
    <w:p>
      <w:pPr>
        <w:ind w:left="460" w:right="20" w:hanging="444"/>
        <w:spacing w:after="0" w:line="253" w:lineRule="auto"/>
        <w:tabs>
          <w:tab w:leader="none" w:pos="460" w:val="left"/>
        </w:tabs>
        <w:numPr>
          <w:ilvl w:val="0"/>
          <w:numId w:val="220"/>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has requested the Trustee by written order to deliver in exchange for its beneficial interest in the Global Note held by the Depository a Note or Notes in definitive, registered form of authorized denominations and an aggregate principal amount equal to its beneficial interest in such Global Note (or the portion thereof indicated above);</w:t>
      </w:r>
    </w:p>
    <w:p>
      <w:pPr>
        <w:spacing w:after="0" w:line="251" w:lineRule="exact"/>
        <w:rPr>
          <w:rFonts w:ascii="MS PGothic" w:cs="MS PGothic" w:eastAsia="MS PGothic" w:hAnsi="MS PGothic"/>
          <w:sz w:val="12"/>
          <w:szCs w:val="12"/>
          <w:color w:val="auto"/>
        </w:rPr>
      </w:pPr>
    </w:p>
    <w:p>
      <w:pPr>
        <w:ind w:left="460" w:hanging="444"/>
        <w:spacing w:after="0"/>
        <w:tabs>
          <w:tab w:leader="none" w:pos="460" w:val="left"/>
        </w:tabs>
        <w:numPr>
          <w:ilvl w:val="0"/>
          <w:numId w:val="220"/>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has requested the Trustee by written order to exchange or register the transfer of a Note or Notes.</w:t>
      </w:r>
    </w:p>
    <w:p>
      <w:pPr>
        <w:spacing w:after="0" w:line="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color w:val="auto"/>
        </w:rPr>
        <w:t>In connection with any transfer of any of the Notes evidenced by this certificate occurring while this Note is still a Transfer Restricted Definitive Note or a Transfer Restricted Global Note, the undersigned confirms that such Notes are being transferred in accordance with its terms: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CHECK ONE BOX BELOW</w:t>
      </w:r>
    </w:p>
    <w:p>
      <w:pPr>
        <w:spacing w:after="0" w:line="197" w:lineRule="exact"/>
        <w:rPr>
          <w:sz w:val="20"/>
          <w:szCs w:val="20"/>
          <w:color w:val="auto"/>
        </w:rPr>
      </w:pPr>
    </w:p>
    <w:p>
      <w:pPr>
        <w:ind w:left="500" w:hanging="484"/>
        <w:spacing w:after="0" w:line="138" w:lineRule="exact"/>
        <w:tabs>
          <w:tab w:leader="none" w:pos="500" w:val="left"/>
        </w:tabs>
        <w:numPr>
          <w:ilvl w:val="0"/>
          <w:numId w:val="221"/>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to the Issuers; or</w:t>
      </w:r>
    </w:p>
    <w:p>
      <w:pPr>
        <w:spacing w:after="0" w:line="99" w:lineRule="exact"/>
        <w:rPr>
          <w:rFonts w:ascii="Times New Roman" w:cs="Times New Roman" w:eastAsia="Times New Roman" w:hAnsi="Times New Roman"/>
          <w:sz w:val="12"/>
          <w:szCs w:val="12"/>
          <w:color w:val="auto"/>
        </w:rPr>
      </w:pPr>
    </w:p>
    <w:p>
      <w:pPr>
        <w:ind w:left="500" w:hanging="484"/>
        <w:spacing w:after="0" w:line="138" w:lineRule="exact"/>
        <w:tabs>
          <w:tab w:leader="none" w:pos="500" w:val="left"/>
        </w:tabs>
        <w:numPr>
          <w:ilvl w:val="0"/>
          <w:numId w:val="221"/>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to the Registrar for registration in the name of the holder, without transfer; or</w:t>
      </w:r>
    </w:p>
    <w:p>
      <w:pPr>
        <w:spacing w:after="0" w:line="99" w:lineRule="exact"/>
        <w:rPr>
          <w:rFonts w:ascii="Times New Roman" w:cs="Times New Roman" w:eastAsia="Times New Roman" w:hAnsi="Times New Roman"/>
          <w:sz w:val="12"/>
          <w:szCs w:val="12"/>
          <w:color w:val="auto"/>
        </w:rPr>
      </w:pPr>
    </w:p>
    <w:p>
      <w:pPr>
        <w:ind w:left="500" w:hanging="484"/>
        <w:spacing w:after="0" w:line="138" w:lineRule="exact"/>
        <w:tabs>
          <w:tab w:leader="none" w:pos="500" w:val="left"/>
        </w:tabs>
        <w:numPr>
          <w:ilvl w:val="0"/>
          <w:numId w:val="221"/>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pursuant to an effective registration statement under the Securities Act of 1933; or</w:t>
      </w:r>
    </w:p>
    <w:p>
      <w:pPr>
        <w:spacing w:after="0" w:line="99" w:lineRule="exact"/>
        <w:rPr>
          <w:rFonts w:ascii="Times New Roman" w:cs="Times New Roman" w:eastAsia="Times New Roman" w:hAnsi="Times New Roman"/>
          <w:sz w:val="12"/>
          <w:szCs w:val="12"/>
          <w:color w:val="auto"/>
        </w:rPr>
      </w:pPr>
    </w:p>
    <w:p>
      <w:pPr>
        <w:ind w:left="900" w:right="40" w:hanging="884"/>
        <w:spacing w:after="0" w:line="136" w:lineRule="exact"/>
        <w:tabs>
          <w:tab w:leader="none" w:pos="500" w:val="left"/>
        </w:tabs>
        <w:numPr>
          <w:ilvl w:val="0"/>
          <w:numId w:val="221"/>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and in accordance with all applicable securities laws of any state of the United States or any other jurisdiction; or</w:t>
      </w:r>
    </w:p>
    <w:p>
      <w:pPr>
        <w:spacing w:after="0" w:line="78" w:lineRule="exact"/>
        <w:rPr>
          <w:rFonts w:ascii="Times New Roman" w:cs="Times New Roman" w:eastAsia="Times New Roman" w:hAnsi="Times New Roman"/>
          <w:sz w:val="12"/>
          <w:szCs w:val="12"/>
          <w:color w:val="auto"/>
        </w:rPr>
      </w:pPr>
    </w:p>
    <w:p>
      <w:pPr>
        <w:ind w:left="900" w:right="40" w:hanging="884"/>
        <w:spacing w:after="0" w:line="142" w:lineRule="exact"/>
        <w:tabs>
          <w:tab w:leader="none" w:pos="500" w:val="left"/>
        </w:tabs>
        <w:numPr>
          <w:ilvl w:val="0"/>
          <w:numId w:val="221"/>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outside the United States in an offshore transaction within the meaning of Regulation S under the Securities Act in compliance with Rule 903 or Rule 904 (or Rule 144 if available) under the Securities Act of 1933 and such Note shall be held immediately after the transfer through Euroclear or Clearstream until the expiration of the Restricted Period (as defined in the Indenture); or</w:t>
      </w:r>
    </w:p>
    <w:p>
      <w:pPr>
        <w:spacing w:after="0" w:line="78" w:lineRule="exact"/>
        <w:rPr>
          <w:rFonts w:ascii="Times New Roman" w:cs="Times New Roman" w:eastAsia="Times New Roman" w:hAnsi="Times New Roman"/>
          <w:sz w:val="12"/>
          <w:szCs w:val="12"/>
          <w:color w:val="auto"/>
        </w:rPr>
      </w:pPr>
    </w:p>
    <w:p>
      <w:pPr>
        <w:ind w:left="500" w:hanging="484"/>
        <w:spacing w:after="0" w:line="138" w:lineRule="exact"/>
        <w:tabs>
          <w:tab w:leader="none" w:pos="500" w:val="left"/>
        </w:tabs>
        <w:numPr>
          <w:ilvl w:val="0"/>
          <w:numId w:val="221"/>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pursuant to another available exemption from registration provided by Rule 144 under the Securities Act of 1933.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one of the boxes is checked, the Trustee will refuse to register any of the Notes evidenced by this certificate in the name of any Person other than the registered holder thereof</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box</w:t>
      </w:r>
    </w:p>
    <w:p>
      <w:pPr>
        <w:spacing w:after="0" w:line="19" w:lineRule="exact"/>
        <w:rPr>
          <w:sz w:val="20"/>
          <w:szCs w:val="20"/>
          <w:color w:val="auto"/>
        </w:rPr>
      </w:pPr>
    </w:p>
    <w:p>
      <w:pPr>
        <w:ind w:right="20" w:firstLine="6"/>
        <w:spacing w:after="0" w:line="262" w:lineRule="auto"/>
        <w:tabs>
          <w:tab w:leader="none" w:pos="178"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(6) is checked, the Issuers or the Trustee may require, prior to registering any such transfer of the Notes, such legal opinions, certifications and other information as the Issuers or the Trustee have reasonably requested to confirm that such transfer is being made pursuant to an exemption from, or in a transaction not subject to, the registration requirements of the Securities Act of 1933.</w:t>
      </w:r>
    </w:p>
    <w:p>
      <w:pPr>
        <w:spacing w:after="0" w:line="189" w:lineRule="exact"/>
        <w:rPr>
          <w:sz w:val="20"/>
          <w:szCs w:val="20"/>
          <w:color w:val="auto"/>
        </w:rPr>
      </w:pPr>
    </w:p>
    <w:p>
      <w:pPr>
        <w:ind w:left="20"/>
        <w:spacing w:after="0"/>
        <w:tabs>
          <w:tab w:leader="none" w:pos="418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Your Signature: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14</w:t>
      </w:r>
    </w:p>
    <w:p>
      <w:pPr>
        <w:sectPr>
          <w:pgSz w:w="11900" w:h="16840" w:orient="portrait"/>
          <w:cols w:equalWidth="0" w:num="1">
            <w:col w:w="10620"/>
          </w:cols>
          <w:pgMar w:left="640" w:top="1440" w:right="640" w:bottom="1440" w:gutter="0" w:footer="0" w:header="0"/>
        </w:sectPr>
      </w:pPr>
    </w:p>
    <w:bookmarkStart w:id="291" w:name="page292"/>
    <w:bookmarkEnd w:id="291"/>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Signature Guarantee:</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ectPr>
          <w:pgSz w:w="11900" w:h="16840" w:orient="portrait"/>
          <w:cols w:equalWidth="0" w:num="1">
            <w:col w:w="10620"/>
          </w:cols>
          <w:pgMar w:left="640" w:top="1440" w:right="640" w:bottom="1440" w:gutter="0" w:footer="0" w:header="0"/>
        </w:sectPr>
      </w:pPr>
    </w:p>
    <w:p>
      <w:pPr>
        <w:spacing w:after="0" w:line="33"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2"/>
          <w:szCs w:val="12"/>
          <w:color w:val="auto"/>
        </w:rPr>
        <w:t>Signature must be guaranteed by a participant in a recognized signature guaranty medallion program or other signature guarantor program reasonably acceptable to the Trustee.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Signature Guarantee</w:t>
      </w:r>
    </w:p>
    <w:p>
      <w:pPr>
        <w:spacing w:after="0" w:line="352" w:lineRule="exact"/>
        <w:rPr>
          <w:sz w:val="20"/>
          <w:szCs w:val="20"/>
          <w:color w:val="auto"/>
        </w:rPr>
      </w:pPr>
    </w:p>
    <w:p>
      <w:pPr>
        <w:sectPr>
          <w:pgSz w:w="11900" w:h="16840" w:orient="portrait"/>
          <w:cols w:equalWidth="0" w:num="2">
            <w:col w:w="5120" w:space="420"/>
            <w:col w:w="5080"/>
          </w:cols>
          <w:pgMar w:left="640" w:top="1440" w:right="640" w:bottom="1440" w:gutter="0" w:footer="0" w:header="0"/>
          <w:type w:val="continuous"/>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TO BE COMPLETED BY PURCHASER IF (4) ABOVE IS CHECKED.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pacing w:after="0" w:line="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NOTICE: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15</w:t>
      </w:r>
    </w:p>
    <w:p>
      <w:pPr>
        <w:sectPr>
          <w:pgSz w:w="11900" w:h="16840" w:orient="portrait"/>
          <w:cols w:equalWidth="0" w:num="1">
            <w:col w:w="10620"/>
          </w:cols>
          <w:pgMar w:left="640" w:top="1440" w:right="640" w:bottom="1440" w:gutter="0" w:footer="0" w:header="0"/>
          <w:type w:val="continuous"/>
        </w:sectPr>
      </w:pPr>
    </w:p>
    <w:bookmarkStart w:id="292" w:name="page293"/>
    <w:bookmarkEnd w:id="292"/>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[TO BE ATTACHED TO GLOBAL NOTES]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SCHEDULE OF INCREASES OR DECREASES IN GLOBAL NOTE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initial principal amount of this Global Note is $______________. The following increases or decreases in this Global Note have been made:</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25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Principal amount</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Signature of</w:t>
            </w:r>
          </w:p>
        </w:tc>
      </w:tr>
      <w:tr>
        <w:trPr>
          <w:trHeight w:val="124"/>
        </w:trPr>
        <w:tc>
          <w:tcPr>
            <w:tcW w:w="256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14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Amount of increase</w:t>
            </w: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this Global</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authorized</w:t>
            </w:r>
          </w:p>
        </w:tc>
      </w:tr>
      <w:tr>
        <w:trPr>
          <w:trHeight w:val="124"/>
        </w:trPr>
        <w:tc>
          <w:tcPr>
            <w:tcW w:w="256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decrease in</w:t>
            </w:r>
          </w:p>
        </w:tc>
        <w:tc>
          <w:tcPr>
            <w:tcW w:w="14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Principal</w:t>
            </w: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Note following</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signatory of</w:t>
            </w:r>
          </w:p>
        </w:tc>
      </w:tr>
      <w:tr>
        <w:trPr>
          <w:trHeight w:val="124"/>
        </w:trPr>
        <w:tc>
          <w:tcPr>
            <w:tcW w:w="256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Principal Amount</w:t>
            </w:r>
          </w:p>
        </w:tc>
        <w:tc>
          <w:tcPr>
            <w:tcW w:w="14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Amount of this</w:t>
            </w: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such decrease or</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Trustee</w:t>
            </w:r>
          </w:p>
        </w:tc>
      </w:tr>
      <w:tr>
        <w:trPr>
          <w:trHeight w:val="152"/>
        </w:trPr>
        <w:tc>
          <w:tcPr>
            <w:tcW w:w="2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Date of Exchange</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of this Global Note</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Global Note</w:t>
            </w:r>
          </w:p>
        </w:tc>
        <w:tc>
          <w:tcPr>
            <w:tcW w:w="22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increase</w:t>
            </w:r>
          </w:p>
        </w:tc>
        <w:tc>
          <w:tcPr>
            <w:tcW w:w="120" w:type="dxa"/>
            <w:vAlign w:val="bottom"/>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or Notes Custodian</w:t>
            </w:r>
          </w:p>
        </w:tc>
      </w:tr>
    </w:tbl>
    <w:p>
      <w:pPr>
        <w:spacing w:after="0" w:line="200" w:lineRule="exact"/>
        <w:rPr>
          <w:sz w:val="20"/>
          <w:szCs w:val="20"/>
          <w:color w:val="auto"/>
        </w:rPr>
      </w:pPr>
    </w:p>
    <w:p>
      <w:pPr>
        <w:spacing w:after="0" w:line="39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color w:val="auto"/>
        </w:rPr>
        <w:t>OPTION OF HOLDER TO ELECT PURCHASE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you want to elect to have this Note purchased by the Issuers pursuant to Section 4.06 (Asset Sale) or 4.08 (Change of Control) of the Indenture, check the box:</w:t>
      </w:r>
    </w:p>
    <w:p>
      <w:pPr>
        <w:spacing w:after="0" w:line="102"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Asset Sale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Change of Control </w:t>
      </w:r>
      <w:r>
        <w:rPr>
          <w:rFonts w:ascii="MS PGothic" w:cs="MS PGothic" w:eastAsia="MS PGothic" w:hAnsi="MS PGothic"/>
          <w:sz w:val="12"/>
          <w:szCs w:val="12"/>
          <w:color w:val="auto"/>
        </w:rPr>
        <w:t>☐</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If you want to elect to have only part of this Note purchased by the Issuers pursuant to Section 4.06 (Asset Sale) or 4.08 (Change of Control) of the Indenture, state the amount ($200,000 or any integral multiple of $1,000 in excess thereof):</w:t>
      </w:r>
    </w:p>
    <w:p>
      <w:pPr>
        <w:spacing w:after="0" w:line="2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t>
      </w:r>
    </w:p>
    <w:p>
      <w:pPr>
        <w:spacing w:after="0" w:line="24" w:lineRule="exact"/>
        <w:rPr>
          <w:sz w:val="20"/>
          <w:szCs w:val="20"/>
          <w:color w:val="auto"/>
        </w:rPr>
      </w:pPr>
    </w:p>
    <w:p>
      <w:pPr>
        <w:ind w:left="20"/>
        <w:spacing w:after="0"/>
        <w:tabs>
          <w:tab w:leader="none" w:pos="472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15240</wp:posOffset>
            </wp:positionV>
            <wp:extent cx="266509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2665095" cy="6350"/>
                    </a:xfrm>
                    <a:prstGeom prst="rect">
                      <a:avLst/>
                    </a:prstGeom>
                    <a:noFill/>
                  </pic:spPr>
                </pic:pic>
              </a:graphicData>
            </a:graphic>
          </wp:anchor>
        </w:drawing>
      </w:r>
    </w:p>
    <w:p>
      <w:pPr>
        <w:spacing w:after="0" w:line="1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2"/>
          <w:szCs w:val="12"/>
          <w:color w:val="auto"/>
        </w:rPr>
        <w:t>(Sign exactly as your name appears on</w:t>
      </w:r>
    </w:p>
    <w:p>
      <w:pPr>
        <w:spacing w:after="0" w:line="2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2"/>
          <w:szCs w:val="12"/>
          <w:color w:val="auto"/>
        </w:rPr>
        <w:t>the other side of this Note)</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Signature Guarantee: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Signature must be guaranteed by a participant in a recognized signature guaranty medallion</w:t>
      </w:r>
    </w:p>
    <w:p>
      <w:pPr>
        <w:ind w:left="20"/>
        <w:spacing w:after="0"/>
        <w:rPr>
          <w:sz w:val="20"/>
          <w:szCs w:val="20"/>
          <w:color w:val="auto"/>
        </w:rPr>
      </w:pPr>
      <w:r>
        <w:rPr>
          <w:rFonts w:ascii="Times New Roman" w:cs="Times New Roman" w:eastAsia="Times New Roman" w:hAnsi="Times New Roman"/>
          <w:sz w:val="12"/>
          <w:szCs w:val="12"/>
          <w:color w:val="auto"/>
        </w:rPr>
        <w:t>program or other signature guarantor program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16</w:t>
      </w:r>
    </w:p>
    <w:p>
      <w:pPr>
        <w:sectPr>
          <w:pgSz w:w="11900" w:h="16840" w:orient="portrait"/>
          <w:cols w:equalWidth="0" w:num="1">
            <w:col w:w="10600"/>
          </w:cols>
          <w:pgMar w:left="640" w:top="1440" w:right="660" w:bottom="1440" w:gutter="0" w:footer="0" w:header="0"/>
        </w:sectPr>
      </w:pPr>
    </w:p>
    <w:bookmarkStart w:id="293" w:name="page294"/>
    <w:bookmarkEnd w:id="293"/>
    <w:p>
      <w:pPr>
        <w:spacing w:after="0" w:line="15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OF] SUPPLEMENTAL INDENTURE</w:t>
      </w:r>
      <w:r>
        <w:rPr>
          <w:rFonts w:ascii="Times New Roman" w:cs="Times New Roman" w:eastAsia="Times New Roman" w:hAnsi="Times New Roman"/>
          <w:sz w:val="17"/>
          <w:szCs w:val="17"/>
          <w:b w:val="1"/>
          <w:bCs w:val="1"/>
          <w:color w:val="auto"/>
          <w:vertAlign w:val="superscript"/>
        </w:rPr>
        <w:t>1</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SUPPLEMENTAL INDENTURE (this “</w:t>
      </w:r>
      <w:r>
        <w:rPr>
          <w:rFonts w:ascii="Times New Roman" w:cs="Times New Roman" w:eastAsia="Times New Roman" w:hAnsi="Times New Roman"/>
          <w:sz w:val="12"/>
          <w:szCs w:val="12"/>
          <w:u w:val="single" w:color="auto"/>
          <w:color w:val="auto"/>
        </w:rPr>
        <w:t>Supplemental Indenture</w:t>
      </w:r>
      <w:r>
        <w:rPr>
          <w:rFonts w:ascii="Times New Roman" w:cs="Times New Roman" w:eastAsia="Times New Roman" w:hAnsi="Times New Roman"/>
          <w:sz w:val="12"/>
          <w:szCs w:val="12"/>
          <w:color w:val="auto"/>
        </w:rPr>
        <w:t>”) dated as of [ ], among [GUARANTOR] (the “</w:t>
      </w:r>
      <w:r>
        <w:rPr>
          <w:rFonts w:ascii="Times New Roman" w:cs="Times New Roman" w:eastAsia="Times New Roman" w:hAnsi="Times New Roman"/>
          <w:sz w:val="12"/>
          <w:szCs w:val="12"/>
          <w:u w:val="single" w:color="auto"/>
          <w:color w:val="auto"/>
        </w:rPr>
        <w:t>New Guarantor</w:t>
      </w:r>
      <w:r>
        <w:rPr>
          <w:rFonts w:ascii="Times New Roman" w:cs="Times New Roman" w:eastAsia="Times New Roman" w:hAnsi="Times New Roman"/>
          <w:sz w:val="12"/>
          <w:szCs w:val="12"/>
          <w:color w:val="auto"/>
        </w:rPr>
        <w:t>”), GENMAB A/S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GENMAB FINANCE LLC (the “</w:t>
      </w:r>
      <w:r>
        <w:rPr>
          <w:rFonts w:ascii="Times New Roman" w:cs="Times New Roman" w:eastAsia="Times New Roman" w:hAnsi="Times New Roman"/>
          <w:sz w:val="12"/>
          <w:szCs w:val="12"/>
          <w:u w:val="single" w:color="auto"/>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Co-Issuer</w:t>
      </w:r>
      <w:r>
        <w:rPr>
          <w:rFonts w:ascii="Times New Roman" w:cs="Times New Roman" w:eastAsia="Times New Roman" w:hAnsi="Times New Roman"/>
          <w:sz w:val="12"/>
          <w:szCs w:val="12"/>
          <w:color w:val="auto"/>
        </w:rPr>
        <w:t>” and, together with the Company and any successors thereto, the “</w:t>
      </w:r>
      <w:r>
        <w:rPr>
          <w:rFonts w:ascii="Times New Roman" w:cs="Times New Roman" w:eastAsia="Times New Roman" w:hAnsi="Times New Roman"/>
          <w:sz w:val="12"/>
          <w:szCs w:val="12"/>
          <w:u w:val="single" w:color="auto"/>
          <w:color w:val="auto"/>
        </w:rPr>
        <w:t>Issuers</w:t>
      </w:r>
      <w:r>
        <w:rPr>
          <w:rFonts w:ascii="Times New Roman" w:cs="Times New Roman" w:eastAsia="Times New Roman" w:hAnsi="Times New Roman"/>
          <w:sz w:val="12"/>
          <w:szCs w:val="12"/>
          <w:color w:val="auto"/>
        </w:rPr>
        <w:t>”), and Wilmington Trust, National Association, as trustee under the Indenture referred to below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 I T N E S S E T H :</w:t>
      </w:r>
    </w:p>
    <w:p>
      <w:pPr>
        <w:spacing w:after="0" w:line="129" w:lineRule="exact"/>
        <w:rPr>
          <w:sz w:val="20"/>
          <w:szCs w:val="20"/>
          <w:color w:val="auto"/>
        </w:rPr>
      </w:pPr>
    </w:p>
    <w:p>
      <w:pPr>
        <w:ind w:right="20" w:firstLine="274"/>
        <w:spacing w:after="0" w:line="287" w:lineRule="auto"/>
        <w:rPr>
          <w:sz w:val="20"/>
          <w:szCs w:val="20"/>
          <w:color w:val="auto"/>
        </w:rPr>
      </w:pPr>
      <w:r>
        <w:rPr>
          <w:rFonts w:ascii="Times New Roman" w:cs="Times New Roman" w:eastAsia="Times New Roman" w:hAnsi="Times New Roman"/>
          <w:sz w:val="12"/>
          <w:szCs w:val="12"/>
          <w:color w:val="auto"/>
        </w:rPr>
        <w:t xml:space="preserve">WHEREAS the Issuers and the Trustee have heretofore executed an indenture, dated as of December 3, 2025 (as amended, supplemented or otherwise modified,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providing for the issuance of the Issuers’ 7.250% Senior Notes due 2033 (the “</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 initially in the aggregate principal amount of $1,000,000,000;</w:t>
      </w:r>
    </w:p>
    <w:p>
      <w:pPr>
        <w:spacing w:after="0" w:line="79" w:lineRule="exact"/>
        <w:rPr>
          <w:sz w:val="20"/>
          <w:szCs w:val="20"/>
          <w:color w:val="auto"/>
        </w:rPr>
      </w:pPr>
    </w:p>
    <w:p>
      <w:pPr>
        <w:ind w:right="20" w:firstLine="349"/>
        <w:spacing w:after="0" w:line="287" w:lineRule="auto"/>
        <w:rPr>
          <w:sz w:val="20"/>
          <w:szCs w:val="20"/>
          <w:color w:val="auto"/>
        </w:rPr>
      </w:pPr>
      <w:r>
        <w:rPr>
          <w:rFonts w:ascii="Times New Roman" w:cs="Times New Roman" w:eastAsia="Times New Roman" w:hAnsi="Times New Roman"/>
          <w:sz w:val="12"/>
          <w:szCs w:val="12"/>
          <w:color w:val="auto"/>
        </w:rPr>
        <w:t>WHEREAS Sections 4.11 and 12.07 of the Indenture provide that under certain circumstances the Issuers are required to cause the New Guarantor to execute and deliver to the Trustee a supplemental indenture pursuant to which the New Guarantor shall guarantee the Guaranteed Obligations; and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WHEREAS pursuant to Section 9.01(a)(v) of the Indenture, the Trustee and the Issuers are authorized to execute and deliver this Supplemental Indenture;</w:t>
      </w:r>
    </w:p>
    <w:p>
      <w:pPr>
        <w:spacing w:after="0" w:line="129" w:lineRule="exact"/>
        <w:rPr>
          <w:sz w:val="20"/>
          <w:szCs w:val="20"/>
          <w:color w:val="auto"/>
        </w:rPr>
      </w:pPr>
    </w:p>
    <w:p>
      <w:pPr>
        <w:ind w:right="20" w:firstLine="288"/>
        <w:spacing w:after="0" w:line="287" w:lineRule="auto"/>
        <w:rPr>
          <w:sz w:val="20"/>
          <w:szCs w:val="20"/>
          <w:color w:val="auto"/>
        </w:rPr>
      </w:pPr>
      <w:r>
        <w:rPr>
          <w:rFonts w:ascii="Times New Roman" w:cs="Times New Roman" w:eastAsia="Times New Roman" w:hAnsi="Times New Roman"/>
          <w:sz w:val="12"/>
          <w:szCs w:val="12"/>
          <w:color w:val="auto"/>
        </w:rPr>
        <w:t>NOW THEREFORE, in consideration of the foregoing and for other good and valuable consideration, the receipt of which is hereby acknowledged, the New Guarantor, the Issuers and the Trustee mutually covenant and agree for the equal and ratable benefit of the holders of the Notes as follows:</w:t>
      </w:r>
    </w:p>
    <w:p>
      <w:pPr>
        <w:spacing w:after="0" w:line="79" w:lineRule="exact"/>
        <w:rPr>
          <w:sz w:val="20"/>
          <w:szCs w:val="20"/>
          <w:color w:val="auto"/>
        </w:rPr>
      </w:pPr>
    </w:p>
    <w:p>
      <w:pPr>
        <w:ind w:firstLine="130"/>
        <w:spacing w:after="0" w:line="287" w:lineRule="auto"/>
        <w:tabs>
          <w:tab w:leader="none" w:pos="371"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Defined Terms</w:t>
      </w:r>
      <w:r>
        <w:rPr>
          <w:rFonts w:ascii="Times New Roman" w:cs="Times New Roman" w:eastAsia="Times New Roman" w:hAnsi="Times New Roman"/>
          <w:sz w:val="12"/>
          <w:szCs w:val="12"/>
          <w:color w:val="auto"/>
        </w:rPr>
        <w:t>. Capitalized terms used herein without definition shall have the meanings assigned to them in the Indenture. The words “herein,” “hereof” and “hereby” and other words of similar import used in this Supplemental Indenture refer to this Supplemental Indenture as a whole and not to any particular Section hereof.</w:t>
      </w:r>
    </w:p>
    <w:p>
      <w:pPr>
        <w:spacing w:after="0" w:line="79" w:lineRule="exact"/>
        <w:rPr>
          <w:rFonts w:ascii="Times New Roman" w:cs="Times New Roman" w:eastAsia="Times New Roman" w:hAnsi="Times New Roman"/>
          <w:sz w:val="12"/>
          <w:szCs w:val="12"/>
          <w:color w:val="auto"/>
        </w:rPr>
      </w:pPr>
    </w:p>
    <w:p>
      <w:pPr>
        <w:ind w:right="20" w:firstLine="149"/>
        <w:spacing w:after="0" w:line="287" w:lineRule="auto"/>
        <w:tabs>
          <w:tab w:leader="none" w:pos="390" w:val="left"/>
        </w:tabs>
        <w:numPr>
          <w:ilvl w:val="1"/>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Guarantee</w:t>
      </w:r>
      <w:r>
        <w:rPr>
          <w:rFonts w:ascii="Times New Roman" w:cs="Times New Roman" w:eastAsia="Times New Roman" w:hAnsi="Times New Roman"/>
          <w:sz w:val="12"/>
          <w:szCs w:val="12"/>
          <w:color w:val="auto"/>
        </w:rPr>
        <w:t>. The New Guarantor hereby, jointly and severally with all existing Guarantors (if any), guarantees the Guaranteed Obligations on the terms and subject to the conditions set forth in Article XII of the Indenture and agrees to be bound by all other applicable provisions of the Indenture and the Notes and to perform all of the obligations and agreements of a Guarantor under the Indenture.</w:t>
      </w:r>
    </w:p>
    <w:p>
      <w:pPr>
        <w:spacing w:after="0" w:line="79" w:lineRule="exact"/>
        <w:rPr>
          <w:sz w:val="20"/>
          <w:szCs w:val="20"/>
          <w:color w:val="auto"/>
        </w:rPr>
      </w:pPr>
    </w:p>
    <w:p>
      <w:pPr>
        <w:ind w:left="380" w:hanging="250"/>
        <w:spacing w:after="0"/>
        <w:tabs>
          <w:tab w:leader="none" w:pos="38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or other communications to the New Guarantor shall be given to the Issuers as provided in Section 13.01 of the Indenture.</w:t>
      </w:r>
    </w:p>
    <w:p>
      <w:pPr>
        <w:spacing w:after="0" w:line="128" w:lineRule="exact"/>
        <w:rPr>
          <w:rFonts w:ascii="Times New Roman" w:cs="Times New Roman" w:eastAsia="Times New Roman" w:hAnsi="Times New Roman"/>
          <w:sz w:val="12"/>
          <w:szCs w:val="12"/>
          <w:color w:val="auto"/>
        </w:rPr>
      </w:pPr>
    </w:p>
    <w:p>
      <w:pPr>
        <w:jc w:val="both"/>
        <w:ind w:right="20" w:firstLine="149"/>
        <w:spacing w:after="0" w:line="276" w:lineRule="auto"/>
        <w:tabs>
          <w:tab w:leader="none" w:pos="390"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Ratification of Indenture; Supplemental Indentures Part of Indenture</w:t>
      </w:r>
      <w:r>
        <w:rPr>
          <w:rFonts w:ascii="Times New Roman" w:cs="Times New Roman" w:eastAsia="Times New Roman" w:hAnsi="Times New Roman"/>
          <w:sz w:val="12"/>
          <w:szCs w:val="1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33" w:lineRule="exact"/>
        <w:rPr>
          <w:sz w:val="20"/>
          <w:szCs w:val="20"/>
          <w:color w:val="auto"/>
        </w:rPr>
      </w:pPr>
    </w:p>
    <w:p>
      <w:pPr>
        <w:ind w:left="120"/>
        <w:spacing w:after="0"/>
        <w:tabs>
          <w:tab w:leader="none" w:pos="360" w:val="left"/>
        </w:tabs>
        <w:rPr>
          <w:sz w:val="20"/>
          <w:szCs w:val="20"/>
          <w:color w:val="auto"/>
        </w:rPr>
      </w:pPr>
      <w:r>
        <w:rPr>
          <w:rFonts w:ascii="Times New Roman" w:cs="Times New Roman" w:eastAsia="Times New Roman" w:hAnsi="Times New Roman"/>
          <w:sz w:val="12"/>
          <w:szCs w:val="12"/>
          <w:color w:val="auto"/>
        </w:rPr>
        <w:t>5.</w:t>
      </w:r>
      <w:r>
        <w:rPr>
          <w:sz w:val="20"/>
          <w:szCs w:val="20"/>
          <w:color w:val="auto"/>
        </w:rPr>
        <w:tab/>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THIS SUPPLEMENTAL INDENTURE SHALL BE GOVERNED BY, AND CONSTRUED IN ACCORDANCE WITH, THE LAWS OF THE STATE OF NEW YORK.</w:t>
      </w:r>
    </w:p>
    <w:p>
      <w:pPr>
        <w:spacing w:after="0" w:line="131"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2"/>
          <w:szCs w:val="12"/>
          <w:color w:val="auto"/>
        </w:rPr>
        <w:t xml:space="preserve">6. </w:t>
      </w:r>
      <w:r>
        <w:rPr>
          <w:rFonts w:ascii="Times New Roman" w:cs="Times New Roman" w:eastAsia="Times New Roman" w:hAnsi="Times New Roman"/>
          <w:sz w:val="12"/>
          <w:szCs w:val="12"/>
          <w:u w:val="single" w:color="auto"/>
          <w:color w:val="auto"/>
        </w:rPr>
        <w:t>Trustee Makes No Representation</w:t>
      </w:r>
      <w:r>
        <w:rPr>
          <w:rFonts w:ascii="Times New Roman" w:cs="Times New Roman" w:eastAsia="Times New Roman" w:hAnsi="Times New Roman"/>
          <w:sz w:val="12"/>
          <w:szCs w:val="12"/>
          <w:color w:val="auto"/>
        </w:rPr>
        <w:t>. The Trustee accepts the amendments of the Indenture effected by this Supplemental Indenture on the terms and conditions set forth in the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Issuers, or for or with</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In the case of any New Guarantor organized outside of the United States, local law provisions consistent with the Agreed Guarantee Principles may be included.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B - Page 1</w:t>
      </w:r>
    </w:p>
    <w:p>
      <w:pPr>
        <w:sectPr>
          <w:pgSz w:w="11900" w:h="16840" w:orient="portrait"/>
          <w:cols w:equalWidth="0" w:num="1">
            <w:col w:w="10620"/>
          </w:cols>
          <w:pgMar w:left="640" w:top="1440" w:right="640" w:bottom="1440" w:gutter="0" w:footer="0" w:header="0"/>
        </w:sectPr>
      </w:pPr>
    </w:p>
    <w:bookmarkStart w:id="294" w:name="page295"/>
    <w:bookmarkEnd w:id="294"/>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2"/>
          <w:szCs w:val="12"/>
          <w:color w:val="auto"/>
        </w:rPr>
        <w:t>respect to (i) the validity or sufficiency of this Supplemental Indenture or any of the terms or provisions hereof, (ii) the proper authorization hereof by the Issuers and the New Guarantor, in each case, by action or otherwise, (iii) the due execution hereof by the Issuers and the New Guarantor or (iv) the consequences of any amendment herein provided for, and the Trustee makes no representation with respect to any such matters.</w:t>
      </w:r>
    </w:p>
    <w:p>
      <w:pPr>
        <w:spacing w:after="0" w:line="235" w:lineRule="exact"/>
        <w:rPr>
          <w:sz w:val="20"/>
          <w:szCs w:val="20"/>
          <w:color w:val="auto"/>
        </w:rPr>
      </w:pPr>
    </w:p>
    <w:p>
      <w:pPr>
        <w:jc w:val="both"/>
        <w:ind w:firstLine="149"/>
        <w:spacing w:after="0" w:line="256" w:lineRule="auto"/>
        <w:tabs>
          <w:tab w:leader="none" w:pos="390"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xml:space="preserve">. The parties may sign any number of copies of this Supplemental Indenture. Each signed copy shall be an original, but all of them together represent the same agreement. Any signature to this Supplemental Indenture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herein to the contrary, the Trustee is under no obligation to agree to accept electronic signatures in any form or in any format unless expressly agreed to by the Trustee pursuant to procedures approved by the Trustee. For the avoidance of doubt, the foregoing also applies to any amendment hereto. Each of the parties represents and warrants to the other parties that it has the corporate capacity and authority to execute this Supplemental Indenture through electronic means and there are no restrictions for doing so in that party’s constitutive documents.</w:t>
      </w:r>
    </w:p>
    <w:p>
      <w:pPr>
        <w:spacing w:after="0" w:line="97" w:lineRule="exact"/>
        <w:rPr>
          <w:rFonts w:ascii="Times New Roman" w:cs="Times New Roman" w:eastAsia="Times New Roman" w:hAnsi="Times New Roman"/>
          <w:sz w:val="12"/>
          <w:szCs w:val="12"/>
          <w:color w:val="auto"/>
        </w:rPr>
      </w:pPr>
    </w:p>
    <w:p>
      <w:pPr>
        <w:ind w:right="20" w:firstLine="139"/>
        <w:spacing w:after="0" w:line="287" w:lineRule="auto"/>
        <w:tabs>
          <w:tab w:leader="none" w:pos="381"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of this Supplemental Indenture have been inserted for convenience of reference only, are not intended to be considered a part hereof and shall not modify or restrict any of the terms or provisions here.</w:t>
      </w:r>
    </w:p>
    <w:p>
      <w:pPr>
        <w:spacing w:after="0" w:line="77" w:lineRule="exact"/>
        <w:rPr>
          <w:rFonts w:ascii="Times New Roman" w:cs="Times New Roman" w:eastAsia="Times New Roman" w:hAnsi="Times New Roman"/>
          <w:sz w:val="12"/>
          <w:szCs w:val="12"/>
          <w:color w:val="auto"/>
        </w:rPr>
      </w:pPr>
    </w:p>
    <w:p>
      <w:pPr>
        <w:ind w:left="720" w:hanging="257"/>
        <w:spacing w:after="0"/>
        <w:tabs>
          <w:tab w:leader="none" w:pos="720"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Include any additional local limitation language required by the New Guarantor and reasonably acceptable to the Trustee</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B - Page 2</w:t>
      </w:r>
    </w:p>
    <w:p>
      <w:pPr>
        <w:sectPr>
          <w:pgSz w:w="11900" w:h="16840" w:orient="portrait"/>
          <w:cols w:equalWidth="0" w:num="1">
            <w:col w:w="10620"/>
          </w:cols>
          <w:pgMar w:left="640" w:top="1440" w:right="640" w:bottom="1440" w:gutter="0" w:footer="0" w:header="0"/>
        </w:sectPr>
      </w:pPr>
    </w:p>
    <w:bookmarkStart w:id="295" w:name="page296"/>
    <w:bookmarkEnd w:id="295"/>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Supplemental Indenture to be duly executed as of the date first written above.</w:t>
      </w:r>
    </w:p>
    <w:p>
      <w:pPr>
        <w:spacing w:after="0" w:line="35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A/S</w:t>
      </w:r>
      <w:r>
        <w:rPr>
          <w:rFonts w:ascii="Times New Roman" w:cs="Times New Roman" w:eastAsia="Times New Roman" w:hAnsi="Times New Roman"/>
          <w:sz w:val="12"/>
          <w:szCs w:val="12"/>
          <w:color w:val="auto"/>
        </w:rPr>
        <w:t>, as an Issuer</w:t>
      </w:r>
    </w:p>
    <w:p>
      <w:pPr>
        <w:spacing w:after="0" w:line="2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15240</wp:posOffset>
            </wp:positionV>
            <wp:extent cx="155321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1553210" cy="6350"/>
                    </a:xfrm>
                    <a:prstGeom prst="rect">
                      <a:avLst/>
                    </a:prstGeom>
                    <a:noFill/>
                  </pic:spPr>
                </pic:pic>
              </a:graphicData>
            </a:graphic>
          </wp:anchor>
        </w:drawing>
      </w:r>
    </w:p>
    <w:p>
      <w:pPr>
        <w:spacing w:after="0" w:line="1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7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FINANCE LLC</w:t>
      </w:r>
      <w:r>
        <w:rPr>
          <w:rFonts w:ascii="Times New Roman" w:cs="Times New Roman" w:eastAsia="Times New Roman" w:hAnsi="Times New Roman"/>
          <w:sz w:val="12"/>
          <w:szCs w:val="12"/>
          <w:color w:val="auto"/>
        </w:rPr>
        <w:t>, as an Issuer</w:t>
      </w:r>
    </w:p>
    <w:p>
      <w:pPr>
        <w:spacing w:after="0" w:line="2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15240</wp:posOffset>
            </wp:positionV>
            <wp:extent cx="157734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1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[NEW GUARANTOR]</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15240</wp:posOffset>
            </wp:positionV>
            <wp:extent cx="153479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1534795" cy="6350"/>
                    </a:xfrm>
                    <a:prstGeom prst="rect">
                      <a:avLst/>
                    </a:prstGeom>
                    <a:noFill/>
                  </pic:spPr>
                </pic:pic>
              </a:graphicData>
            </a:graphic>
          </wp:anchor>
        </w:drawing>
      </w:r>
    </w:p>
    <w:p>
      <w:pPr>
        <w:spacing w:after="0" w:line="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2"/>
          <w:szCs w:val="12"/>
          <w:color w:val="auto"/>
        </w:rPr>
        <w:t>Exhibit B - Page 3</w:t>
      </w:r>
    </w:p>
    <w:p>
      <w:pPr>
        <w:sectPr>
          <w:pgSz w:w="11900" w:h="16840" w:orient="portrait"/>
          <w:cols w:equalWidth="0" w:num="1">
            <w:col w:w="9360"/>
          </w:cols>
          <w:pgMar w:left="1100" w:top="1440" w:right="1440" w:bottom="1440" w:gutter="0" w:footer="0" w:header="0"/>
        </w:sectPr>
      </w:pPr>
    </w:p>
    <w:bookmarkStart w:id="296" w:name="page297"/>
    <w:bookmarkEnd w:id="296"/>
    <w:p>
      <w:pPr>
        <w:spacing w:after="0" w:line="3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WILMINGTON TRUST, NATIONAL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ASSOCIATION</w:t>
      </w:r>
      <w:r>
        <w:rPr>
          <w:rFonts w:ascii="Times New Roman" w:cs="Times New Roman" w:eastAsia="Times New Roman" w:hAnsi="Times New Roman"/>
          <w:sz w:val="12"/>
          <w:szCs w:val="12"/>
          <w:color w:val="auto"/>
        </w:rPr>
        <w:t>, not in its individual capacity, but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solely as Trustee</w:t>
      </w: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15240</wp:posOffset>
            </wp:positionV>
            <wp:extent cx="152908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1529080" cy="6350"/>
                    </a:xfrm>
                    <a:prstGeom prst="rect">
                      <a:avLst/>
                    </a:prstGeom>
                    <a:noFill/>
                  </pic:spPr>
                </pic:pic>
              </a:graphicData>
            </a:graphic>
          </wp:anchor>
        </w:drawing>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B - Page 4</w:t>
      </w:r>
    </w:p>
    <w:p>
      <w:pPr>
        <w:sectPr>
          <w:pgSz w:w="11900" w:h="16840" w:orient="portrait"/>
          <w:cols w:equalWidth="0" w:num="1">
            <w:col w:w="9020"/>
          </w:cols>
          <w:pgMar w:left="1440" w:top="1440" w:right="1440" w:bottom="1440" w:gutter="0" w:footer="0" w:header="0"/>
        </w:sectPr>
      </w:pPr>
    </w:p>
    <w:bookmarkStart w:id="297" w:name="page298"/>
    <w:bookmarkEnd w:id="297"/>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FIRST SUPPLEMENTAL INDENTURE</w:t>
      </w:r>
    </w:p>
    <w:p>
      <w:pPr>
        <w:spacing w:after="0" w:line="129" w:lineRule="exact"/>
        <w:rPr>
          <w:sz w:val="20"/>
          <w:szCs w:val="20"/>
          <w:color w:val="auto"/>
        </w:rPr>
      </w:pPr>
    </w:p>
    <w:p>
      <w:pPr>
        <w:jc w:val="both"/>
        <w:ind w:firstLine="368"/>
        <w:spacing w:after="0" w:line="262" w:lineRule="auto"/>
        <w:rPr>
          <w:sz w:val="20"/>
          <w:szCs w:val="20"/>
          <w:color w:val="auto"/>
        </w:rPr>
      </w:pPr>
      <w:r>
        <w:rPr>
          <w:rFonts w:ascii="Times New Roman" w:cs="Times New Roman" w:eastAsia="Times New Roman" w:hAnsi="Times New Roman"/>
          <w:sz w:val="12"/>
          <w:szCs w:val="12"/>
          <w:color w:val="auto"/>
        </w:rPr>
        <w:t>FIRST SUPPLEMENTAL INDENTURE (this “</w:t>
      </w:r>
      <w:r>
        <w:rPr>
          <w:rFonts w:ascii="Times New Roman" w:cs="Times New Roman" w:eastAsia="Times New Roman" w:hAnsi="Times New Roman"/>
          <w:sz w:val="12"/>
          <w:szCs w:val="12"/>
          <w:u w:val="single" w:color="auto"/>
          <w:color w:val="auto"/>
        </w:rPr>
        <w:t>Supplemental Indenture</w:t>
      </w:r>
      <w:r>
        <w:rPr>
          <w:rFonts w:ascii="Times New Roman" w:cs="Times New Roman" w:eastAsia="Times New Roman" w:hAnsi="Times New Roman"/>
          <w:sz w:val="12"/>
          <w:szCs w:val="12"/>
          <w:color w:val="auto"/>
        </w:rPr>
        <w:t>”), dated as of January 28, 2026, among (a) Merus B.V. a private limited liability company (</w:t>
      </w:r>
      <w:r>
        <w:rPr>
          <w:rFonts w:ascii="Times New Roman" w:cs="Times New Roman" w:eastAsia="Times New Roman" w:hAnsi="Times New Roman"/>
          <w:sz w:val="12"/>
          <w:szCs w:val="12"/>
          <w:i w:val="1"/>
          <w:iCs w:val="1"/>
          <w:color w:val="auto"/>
        </w:rPr>
        <w:t>besloten vennootschap met beperkte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aansprakelijkheid</w:t>
      </w:r>
      <w:r>
        <w:rPr>
          <w:rFonts w:ascii="Times New Roman" w:cs="Times New Roman" w:eastAsia="Times New Roman" w:hAnsi="Times New Roman"/>
          <w:sz w:val="12"/>
          <w:szCs w:val="12"/>
          <w:color w:val="auto"/>
        </w:rPr>
        <w:t>), having its corporate seat (</w:t>
      </w:r>
      <w:r>
        <w:rPr>
          <w:rFonts w:ascii="Times New Roman" w:cs="Times New Roman" w:eastAsia="Times New Roman" w:hAnsi="Times New Roman"/>
          <w:sz w:val="12"/>
          <w:szCs w:val="12"/>
          <w:i w:val="1"/>
          <w:iCs w:val="1"/>
          <w:color w:val="auto"/>
        </w:rPr>
        <w:t xml:space="preserve">statutaire zetel </w:t>
      </w:r>
      <w:r>
        <w:rPr>
          <w:rFonts w:ascii="Times New Roman" w:cs="Times New Roman" w:eastAsia="Times New Roman" w:hAnsi="Times New Roman"/>
          <w:sz w:val="12"/>
          <w:szCs w:val="12"/>
          <w:color w:val="auto"/>
        </w:rPr>
        <w:t>) in Utrecht, the Netherlands (address: Uppsalalaan 17, 3rd and 4th Floor, 3584 CT Utrecht, the Netherlands, trade register number: 98602152)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Merus US, Inc., a Delaware corporation (together, the “</w:t>
      </w:r>
      <w:r>
        <w:rPr>
          <w:rFonts w:ascii="Times New Roman" w:cs="Times New Roman" w:eastAsia="Times New Roman" w:hAnsi="Times New Roman"/>
          <w:sz w:val="12"/>
          <w:szCs w:val="12"/>
          <w:u w:val="single" w:color="auto"/>
          <w:color w:val="auto"/>
        </w:rPr>
        <w:t>New Guarantors</w:t>
      </w:r>
      <w:r>
        <w:rPr>
          <w:rFonts w:ascii="Times New Roman" w:cs="Times New Roman" w:eastAsia="Times New Roman" w:hAnsi="Times New Roman"/>
          <w:sz w:val="12"/>
          <w:szCs w:val="12"/>
          <w:color w:val="auto"/>
        </w:rPr>
        <w:t>”), (b) Genmab A/S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 Genmab Finance LLC (the “</w:t>
      </w:r>
      <w:r>
        <w:rPr>
          <w:rFonts w:ascii="Times New Roman" w:cs="Times New Roman" w:eastAsia="Times New Roman" w:hAnsi="Times New Roman"/>
          <w:sz w:val="12"/>
          <w:szCs w:val="12"/>
          <w:u w:val="single" w:color="auto"/>
          <w:color w:val="auto"/>
        </w:rPr>
        <w:t>U.S. Co-Issuer</w:t>
      </w:r>
      <w:r>
        <w:rPr>
          <w:rFonts w:ascii="Times New Roman" w:cs="Times New Roman" w:eastAsia="Times New Roman" w:hAnsi="Times New Roman"/>
          <w:sz w:val="12"/>
          <w:szCs w:val="12"/>
          <w:color w:val="auto"/>
        </w:rPr>
        <w:t>” and, together with the Company and any successors thereto, the “</w:t>
      </w:r>
      <w:r>
        <w:rPr>
          <w:rFonts w:ascii="Times New Roman" w:cs="Times New Roman" w:eastAsia="Times New Roman" w:hAnsi="Times New Roman"/>
          <w:sz w:val="12"/>
          <w:szCs w:val="12"/>
          <w:u w:val="single" w:color="auto"/>
          <w:color w:val="auto"/>
        </w:rPr>
        <w:t>Issuers</w:t>
      </w:r>
      <w:r>
        <w:rPr>
          <w:rFonts w:ascii="Times New Roman" w:cs="Times New Roman" w:eastAsia="Times New Roman" w:hAnsi="Times New Roman"/>
          <w:sz w:val="12"/>
          <w:szCs w:val="12"/>
          <w:color w:val="auto"/>
        </w:rPr>
        <w:t>”), and (d) Wilmington Trust, National Association, as trustee under the Indenture referred to below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 I T N E S S E T H :</w:t>
      </w:r>
    </w:p>
    <w:p>
      <w:pPr>
        <w:spacing w:after="0" w:line="129" w:lineRule="exact"/>
        <w:rPr>
          <w:sz w:val="20"/>
          <w:szCs w:val="20"/>
          <w:color w:val="auto"/>
        </w:rPr>
      </w:pPr>
    </w:p>
    <w:p>
      <w:pPr>
        <w:jc w:val="both"/>
        <w:ind w:right="20" w:firstLine="274"/>
        <w:spacing w:after="0" w:line="287" w:lineRule="auto"/>
        <w:rPr>
          <w:sz w:val="20"/>
          <w:szCs w:val="20"/>
          <w:color w:val="auto"/>
        </w:rPr>
      </w:pPr>
      <w:r>
        <w:rPr>
          <w:rFonts w:ascii="Times New Roman" w:cs="Times New Roman" w:eastAsia="Times New Roman" w:hAnsi="Times New Roman"/>
          <w:sz w:val="12"/>
          <w:szCs w:val="12"/>
          <w:color w:val="auto"/>
        </w:rPr>
        <w:t xml:space="preserve">WHEREAS the Issuers and the Trustee have heretofore executed an indenture, dated as of December 3, 2025 (as amended, supplemented or otherwise modified,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providing for the issuance of the Issuers’ 7.250% Senior Notes due 2033 (the “</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 initially in the aggregate principal amount of $1,000,000,000;</w:t>
      </w:r>
    </w:p>
    <w:p>
      <w:pPr>
        <w:spacing w:after="0" w:line="79" w:lineRule="exact"/>
        <w:rPr>
          <w:sz w:val="20"/>
          <w:szCs w:val="20"/>
          <w:color w:val="auto"/>
        </w:rPr>
      </w:pPr>
    </w:p>
    <w:p>
      <w:pPr>
        <w:jc w:val="both"/>
        <w:ind w:right="20" w:firstLine="339"/>
        <w:spacing w:after="0" w:line="287" w:lineRule="auto"/>
        <w:rPr>
          <w:sz w:val="20"/>
          <w:szCs w:val="20"/>
          <w:color w:val="auto"/>
        </w:rPr>
      </w:pPr>
      <w:r>
        <w:rPr>
          <w:rFonts w:ascii="Times New Roman" w:cs="Times New Roman" w:eastAsia="Times New Roman" w:hAnsi="Times New Roman"/>
          <w:sz w:val="12"/>
          <w:szCs w:val="12"/>
          <w:color w:val="auto"/>
        </w:rPr>
        <w:t>WHEREAS Sections 4.11 and 12.07 of the Indenture provide that under certain circumstances the Issuers are required to cause the New Guarantors to execute and deliver to the Trustee a supplemental indenture pursuant to which the New Guarantors shall guarantee the Guaranteed Obligations; and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WHEREAS pursuant to Section 9.01(a)(v) of the Indenture, the Trustee and the Issuers are authorized to execute and deliver this Supplemental Indenture;</w:t>
      </w:r>
    </w:p>
    <w:p>
      <w:pPr>
        <w:spacing w:after="0" w:line="129" w:lineRule="exact"/>
        <w:rPr>
          <w:sz w:val="20"/>
          <w:szCs w:val="20"/>
          <w:color w:val="auto"/>
        </w:rPr>
      </w:pPr>
    </w:p>
    <w:p>
      <w:pPr>
        <w:jc w:val="both"/>
        <w:ind w:right="20" w:firstLine="278"/>
        <w:spacing w:after="0" w:line="287" w:lineRule="auto"/>
        <w:rPr>
          <w:sz w:val="20"/>
          <w:szCs w:val="20"/>
          <w:color w:val="auto"/>
        </w:rPr>
      </w:pPr>
      <w:r>
        <w:rPr>
          <w:rFonts w:ascii="Times New Roman" w:cs="Times New Roman" w:eastAsia="Times New Roman" w:hAnsi="Times New Roman"/>
          <w:sz w:val="12"/>
          <w:szCs w:val="12"/>
          <w:color w:val="auto"/>
        </w:rPr>
        <w:t>NOW THEREFORE, in consideration of the foregoing and for other good and valuable consideration, the receipt of which is hereby acknowledged, the New Guarantors, the Issuers and the Trustee mutually covenant and agree for the equal and ratable benefit of the holders of the Notes as follows:</w:t>
      </w:r>
    </w:p>
    <w:p>
      <w:pPr>
        <w:spacing w:after="0" w:line="79" w:lineRule="exact"/>
        <w:rPr>
          <w:sz w:val="20"/>
          <w:szCs w:val="20"/>
          <w:color w:val="auto"/>
        </w:rPr>
      </w:pPr>
    </w:p>
    <w:p>
      <w:pPr>
        <w:ind w:firstLine="130"/>
        <w:spacing w:after="0" w:line="287" w:lineRule="auto"/>
        <w:tabs>
          <w:tab w:leader="none" w:pos="371"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Defined Terms</w:t>
      </w:r>
      <w:r>
        <w:rPr>
          <w:rFonts w:ascii="Times New Roman" w:cs="Times New Roman" w:eastAsia="Times New Roman" w:hAnsi="Times New Roman"/>
          <w:sz w:val="12"/>
          <w:szCs w:val="12"/>
          <w:color w:val="auto"/>
        </w:rPr>
        <w:t>. Capitalized terms used herein without definition shall have the meanings assigned to them in the Indenture. The words “herein,” “hereof” and “hereby” and other words of similar import used in this Supplemental Indenture refer to this Supplemental Indenture as a whole and not to any particular Section hereof.</w:t>
      </w:r>
    </w:p>
    <w:p>
      <w:pPr>
        <w:spacing w:after="0" w:line="79" w:lineRule="exact"/>
        <w:rPr>
          <w:rFonts w:ascii="Times New Roman" w:cs="Times New Roman" w:eastAsia="Times New Roman" w:hAnsi="Times New Roman"/>
          <w:sz w:val="12"/>
          <w:szCs w:val="12"/>
          <w:color w:val="auto"/>
        </w:rPr>
      </w:pPr>
    </w:p>
    <w:p>
      <w:pPr>
        <w:ind w:right="20" w:firstLine="244"/>
        <w:spacing w:after="0" w:line="287" w:lineRule="auto"/>
        <w:tabs>
          <w:tab w:leader="none" w:pos="485" w:val="left"/>
        </w:tabs>
        <w:numPr>
          <w:ilvl w:val="1"/>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Guarantee</w:t>
      </w:r>
      <w:r>
        <w:rPr>
          <w:rFonts w:ascii="Times New Roman" w:cs="Times New Roman" w:eastAsia="Times New Roman" w:hAnsi="Times New Roman"/>
          <w:sz w:val="12"/>
          <w:szCs w:val="12"/>
          <w:color w:val="auto"/>
        </w:rPr>
        <w:t>. The New Guarantors hereby, jointly and severally with all existing Guarantors, guarantee the Guaranteed Obligations on the terms and subject to the conditions set forth in Article XII of the Indenture and agrees to be bound by all other applicable provisions of the Indenture and the Notes and to perform all of the obligations and agreements of a Guarantor under the Indenture.</w:t>
      </w:r>
    </w:p>
    <w:p>
      <w:pPr>
        <w:spacing w:after="0" w:line="79" w:lineRule="exact"/>
        <w:rPr>
          <w:sz w:val="20"/>
          <w:szCs w:val="20"/>
          <w:color w:val="auto"/>
        </w:rPr>
      </w:pPr>
    </w:p>
    <w:p>
      <w:pPr>
        <w:ind w:left="380" w:hanging="250"/>
        <w:spacing w:after="0"/>
        <w:tabs>
          <w:tab w:leader="none" w:pos="380"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or other communications to the New Guarantors shall be given to the Issuers as provided in Section 13.01 of the Indenture.</w:t>
      </w:r>
    </w:p>
    <w:p>
      <w:pPr>
        <w:spacing w:after="0" w:line="128" w:lineRule="exact"/>
        <w:rPr>
          <w:rFonts w:ascii="Times New Roman" w:cs="Times New Roman" w:eastAsia="Times New Roman" w:hAnsi="Times New Roman"/>
          <w:sz w:val="12"/>
          <w:szCs w:val="12"/>
          <w:color w:val="auto"/>
        </w:rPr>
      </w:pPr>
    </w:p>
    <w:p>
      <w:pPr>
        <w:jc w:val="both"/>
        <w:ind w:right="20" w:firstLine="149"/>
        <w:spacing w:after="0" w:line="276" w:lineRule="auto"/>
        <w:tabs>
          <w:tab w:leader="none" w:pos="390"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Ratification of Indenture; Supplemental Indentures Part of Indenture</w:t>
      </w:r>
      <w:r>
        <w:rPr>
          <w:rFonts w:ascii="Times New Roman" w:cs="Times New Roman" w:eastAsia="Times New Roman" w:hAnsi="Times New Roman"/>
          <w:sz w:val="12"/>
          <w:szCs w:val="1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33" w:lineRule="exact"/>
        <w:rPr>
          <w:sz w:val="20"/>
          <w:szCs w:val="20"/>
          <w:color w:val="auto"/>
        </w:rPr>
      </w:pPr>
    </w:p>
    <w:p>
      <w:pPr>
        <w:ind w:left="380" w:hanging="250"/>
        <w:spacing w:after="0"/>
        <w:tabs>
          <w:tab w:leader="none" w:pos="380"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THIS SUPPLEMENTAL INDENTURE SHALL BE GOVERNED BY, AND CONSTRUED IN ACCORDANCE WITH, THE LAWS OF THE STATE OF NEW YORK.</w:t>
      </w:r>
    </w:p>
    <w:p>
      <w:pPr>
        <w:spacing w:after="0" w:line="130" w:lineRule="exact"/>
        <w:rPr>
          <w:rFonts w:ascii="Times New Roman" w:cs="Times New Roman" w:eastAsia="Times New Roman" w:hAnsi="Times New Roman"/>
          <w:sz w:val="12"/>
          <w:szCs w:val="12"/>
          <w:color w:val="auto"/>
        </w:rPr>
      </w:pPr>
    </w:p>
    <w:p>
      <w:pPr>
        <w:jc w:val="both"/>
        <w:ind w:firstLine="168"/>
        <w:spacing w:after="0" w:line="261" w:lineRule="auto"/>
        <w:tabs>
          <w:tab w:leader="none" w:pos="409" w:val="left"/>
        </w:tabs>
        <w:numPr>
          <w:ilvl w:val="1"/>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Trustee Makes No Representation</w:t>
      </w:r>
      <w:r>
        <w:rPr>
          <w:rFonts w:ascii="Times New Roman" w:cs="Times New Roman" w:eastAsia="Times New Roman" w:hAnsi="Times New Roman"/>
          <w:sz w:val="12"/>
          <w:szCs w:val="12"/>
          <w:color w:val="auto"/>
        </w:rPr>
        <w:t>. The Trustee accepts the amendments of the Indenture effected by this Supplemental Indenture on the terms and conditions set forth in the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Issuers, or for or with respect to (i) the validity or sufficiency of this Supplemental Indenture or any of the terms or provisions hereof, (ii) the proper authorization hereof by the Issuers and the New Guarantors, in each case, by action or otherwise,</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Page 1</w:t>
      </w:r>
    </w:p>
    <w:p>
      <w:pPr>
        <w:sectPr>
          <w:pgSz w:w="11900" w:h="16840" w:orient="portrait"/>
          <w:cols w:equalWidth="0" w:num="1">
            <w:col w:w="10620"/>
          </w:cols>
          <w:pgMar w:left="640" w:top="1440" w:right="640" w:bottom="1440" w:gutter="0" w:footer="0" w:header="0"/>
        </w:sectPr>
      </w:pPr>
    </w:p>
    <w:bookmarkStart w:id="298" w:name="page299"/>
    <w:bookmarkEnd w:id="298"/>
    <w:p>
      <w:pPr>
        <w:spacing w:after="0" w:line="34" w:lineRule="exact"/>
        <w:rPr>
          <w:sz w:val="20"/>
          <w:szCs w:val="20"/>
          <w:color w:val="auto"/>
        </w:rPr>
      </w:pPr>
    </w:p>
    <w:p>
      <w:pPr>
        <w:ind w:left="220" w:hanging="214"/>
        <w:spacing w:after="0"/>
        <w:tabs>
          <w:tab w:leader="none" w:pos="220"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due execution hereof by the Issuers and the New Guarantors or (iv) the consequences of any amendment herein provided for, and the Trustee makes no representation with respect to any such matters.</w:t>
      </w:r>
    </w:p>
    <w:p>
      <w:pPr>
        <w:spacing w:after="0" w:line="128" w:lineRule="exact"/>
        <w:rPr>
          <w:rFonts w:ascii="Times New Roman" w:cs="Times New Roman" w:eastAsia="Times New Roman" w:hAnsi="Times New Roman"/>
          <w:sz w:val="12"/>
          <w:szCs w:val="12"/>
          <w:color w:val="auto"/>
        </w:rPr>
      </w:pPr>
    </w:p>
    <w:p>
      <w:pPr>
        <w:jc w:val="both"/>
        <w:ind w:firstLine="149"/>
        <w:spacing w:after="0" w:line="256" w:lineRule="auto"/>
        <w:tabs>
          <w:tab w:leader="none" w:pos="390" w:val="left"/>
        </w:tabs>
        <w:numPr>
          <w:ilvl w:val="1"/>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xml:space="preserve">. The parties may sign any number of copies of this Supplemental Indenture. Each signed copy shall be an original, but all of them together represent the same agreement. Any signature to this Supplemental Indenture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herein to the contrary, the Trustee is under no obligation to agree to accept electronic signatures in any form or in any format unless expressly agreed to by the Trustee pursuant to procedures approved by the Trustee. For the avoidance of doubt, the foregoing also applies to any amendment hereto. Each of the parties represents and warrants to the other parties that it has the corporate capacity and authority to execute this Supplemental Indenture through electronic means and there are no restrictions for doing so in that party’s constitutive documents.</w:t>
      </w:r>
    </w:p>
    <w:p>
      <w:pPr>
        <w:spacing w:after="0" w:line="97" w:lineRule="exact"/>
        <w:rPr>
          <w:rFonts w:ascii="Times New Roman" w:cs="Times New Roman" w:eastAsia="Times New Roman" w:hAnsi="Times New Roman"/>
          <w:sz w:val="12"/>
          <w:szCs w:val="12"/>
          <w:color w:val="auto"/>
        </w:rPr>
      </w:pPr>
    </w:p>
    <w:p>
      <w:pPr>
        <w:ind w:right="20" w:firstLine="139"/>
        <w:spacing w:after="0" w:line="287" w:lineRule="auto"/>
        <w:tabs>
          <w:tab w:leader="none" w:pos="381" w:val="left"/>
        </w:tabs>
        <w:numPr>
          <w:ilvl w:val="1"/>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of this Supplemental Indenture have been inserted for convenience of reference only, are not intended to be considered a part hereof and shall not modify or restrict any of the terms or provisions here.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ectPr>
          <w:pgSz w:w="11900" w:h="16840" w:orient="portrait"/>
          <w:cols w:equalWidth="0" w:num="1">
            <w:col w:w="10620"/>
          </w:cols>
          <w:pgMar w:left="640" w:top="1440" w:right="640" w:bottom="1440" w:gutter="0" w:footer="0" w:header="0"/>
        </w:sectPr>
      </w:pPr>
    </w:p>
    <w:bookmarkStart w:id="299" w:name="page300"/>
    <w:bookmarkEnd w:id="299"/>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Supplemental Indenture to be duly executed as of the date first written above.</w:t>
      </w:r>
    </w:p>
    <w:p>
      <w:pPr>
        <w:sectPr>
          <w:pgSz w:w="11900" w:h="16840" w:orient="portrait"/>
          <w:cols w:equalWidth="0" w:num="1">
            <w:col w:w="9360"/>
          </w:cols>
          <w:pgMar w:left="1100" w:top="1440" w:right="1440" w:bottom="1440" w:gutter="0" w:footer="0" w:header="0"/>
        </w:sectPr>
      </w:pPr>
    </w:p>
    <w:p>
      <w:pPr>
        <w:spacing w:after="0" w:line="35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A/S</w:t>
      </w:r>
      <w:r>
        <w:rPr>
          <w:rFonts w:ascii="Times New Roman" w:cs="Times New Roman" w:eastAsia="Times New Roman" w:hAnsi="Times New Roman"/>
          <w:sz w:val="12"/>
          <w:szCs w:val="12"/>
          <w:color w:val="auto"/>
        </w:rPr>
        <w:t>, as an Issuer</w:t>
      </w:r>
    </w:p>
    <w:p>
      <w:pPr>
        <w:spacing w:after="0" w:line="245" w:lineRule="exact"/>
        <w:rPr>
          <w:sz w:val="20"/>
          <w:szCs w:val="20"/>
          <w:color w:val="auto"/>
        </w:rPr>
      </w:pPr>
    </w:p>
    <w:tbl>
      <w:tblPr>
        <w:tblLayout w:type="fixed"/>
        <w:tblInd w:w="3120" w:type="dxa"/>
        <w:tblCellMar>
          <w:top w:w="0" w:type="dxa"/>
          <w:left w:w="0" w:type="dxa"/>
          <w:bottom w:w="0" w:type="dxa"/>
          <w:right w:w="0" w:type="dxa"/>
        </w:tblCellMar>
      </w:tblP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Jan van de Winkel</w:t>
            </w:r>
          </w:p>
        </w:tc>
      </w:tr>
      <w:tr>
        <w:trPr>
          <w:trHeight w:val="21"/>
        </w:trPr>
        <w:tc>
          <w:tcPr>
            <w:tcW w:w="3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168"/>
        </w:trPr>
        <w:tc>
          <w:tcPr>
            <w:tcW w:w="3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Jan van de Winkel</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President and Chief Executive Officer</w:t>
            </w:r>
          </w:p>
        </w:tc>
      </w:tr>
      <w:tr>
        <w:trPr>
          <w:trHeight w:val="39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Anthony Pagano</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Anthony Pagano</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Executive Vice President and Chief</w:t>
            </w:r>
          </w:p>
        </w:tc>
      </w:tr>
      <w:tr>
        <w:trPr>
          <w:trHeight w:val="162"/>
        </w:trPr>
        <w:tc>
          <w:tcPr>
            <w:tcW w:w="3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Officer</w:t>
            </w:r>
          </w:p>
        </w:tc>
      </w:tr>
      <w:tr>
        <w:trPr>
          <w:trHeight w:val="39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Greg Mueller</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Greg Mueller</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Executive Vice President, General</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Counsel and Chief Legal Officer</w:t>
            </w:r>
          </w:p>
        </w:tc>
      </w:tr>
    </w:tbl>
    <w:p>
      <w:pPr>
        <w:spacing w:after="0" w:line="39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FINANCE LLC</w:t>
      </w:r>
      <w:r>
        <w:rPr>
          <w:rFonts w:ascii="Times New Roman" w:cs="Times New Roman" w:eastAsia="Times New Roman" w:hAnsi="Times New Roman"/>
          <w:sz w:val="12"/>
          <w:szCs w:val="12"/>
          <w:color w:val="auto"/>
        </w:rPr>
        <w:t>, as an Issuer</w:t>
      </w:r>
    </w:p>
    <w:p>
      <w:pPr>
        <w:spacing w:after="0" w:line="245" w:lineRule="exact"/>
        <w:rPr>
          <w:sz w:val="20"/>
          <w:szCs w:val="20"/>
          <w:color w:val="auto"/>
        </w:rPr>
      </w:pPr>
    </w:p>
    <w:p>
      <w:pPr>
        <w:ind w:left="3120"/>
        <w:spacing w:after="0"/>
        <w:tabs>
          <w:tab w:leader="none" w:pos="34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27305</wp:posOffset>
            </wp:positionV>
            <wp:extent cx="157734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5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6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 Vice President and Chief Financial</w:t>
      </w:r>
    </w:p>
    <w:p>
      <w:pPr>
        <w:spacing w:after="0" w:line="6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Officer</w:t>
      </w:r>
    </w:p>
    <w:p>
      <w:pPr>
        <w:spacing w:after="0" w:line="200" w:lineRule="exact"/>
        <w:rPr>
          <w:sz w:val="20"/>
          <w:szCs w:val="20"/>
          <w:color w:val="auto"/>
        </w:rPr>
      </w:pP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MERUS B.V.</w:t>
      </w:r>
      <w:r>
        <w:rPr>
          <w:rFonts w:ascii="Times New Roman" w:cs="Times New Roman" w:eastAsia="Times New Roman" w:hAnsi="Times New Roman"/>
          <w:sz w:val="12"/>
          <w:szCs w:val="12"/>
          <w:color w:val="auto"/>
        </w:rPr>
        <w:t>, as a Guarantor</w:t>
      </w:r>
    </w:p>
    <w:p>
      <w:pPr>
        <w:spacing w:after="0" w:line="245" w:lineRule="exact"/>
        <w:rPr>
          <w:sz w:val="20"/>
          <w:szCs w:val="20"/>
          <w:color w:val="auto"/>
        </w:rPr>
      </w:pPr>
    </w:p>
    <w:tbl>
      <w:tblPr>
        <w:tblLayout w:type="fixed"/>
        <w:tblInd w:w="3120" w:type="dxa"/>
        <w:tblCellMar>
          <w:top w:w="0" w:type="dxa"/>
          <w:left w:w="0" w:type="dxa"/>
          <w:bottom w:w="0" w:type="dxa"/>
          <w:right w:w="0" w:type="dxa"/>
        </w:tblCellMar>
      </w:tblP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Jan van de Winkle</w:t>
            </w:r>
          </w:p>
        </w:tc>
      </w:tr>
      <w:tr>
        <w:trPr>
          <w:trHeight w:val="21"/>
        </w:trPr>
        <w:tc>
          <w:tcPr>
            <w:tcW w:w="36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68"/>
        </w:trPr>
        <w:tc>
          <w:tcPr>
            <w:tcW w:w="3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Jan van de Winkle</w:t>
            </w:r>
          </w:p>
        </w:tc>
      </w:tr>
      <w:tr>
        <w:trPr>
          <w:trHeight w:val="200"/>
        </w:trPr>
        <w:tc>
          <w:tcPr>
            <w:tcW w:w="36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Secured Notes Supplemental Indenture]</w:t>
      </w:r>
    </w:p>
    <w:p>
      <w:pPr>
        <w:sectPr>
          <w:pgSz w:w="11900" w:h="16840" w:orient="portrait"/>
          <w:cols w:equalWidth="0" w:num="1">
            <w:col w:w="9360"/>
          </w:cols>
          <w:pgMar w:left="1100" w:top="1440" w:right="1440" w:bottom="1440" w:gutter="0" w:footer="0" w:header="0"/>
          <w:type w:val="continuous"/>
        </w:sectPr>
      </w:pPr>
    </w:p>
    <w:bookmarkStart w:id="300" w:name="page301"/>
    <w:bookmarkEnd w:id="300"/>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MERUS US, INC.</w:t>
      </w:r>
      <w:r>
        <w:rPr>
          <w:rFonts w:ascii="Times New Roman" w:cs="Times New Roman" w:eastAsia="Times New Roman" w:hAnsi="Times New Roman"/>
          <w:sz w:val="12"/>
          <w:szCs w:val="12"/>
          <w:color w:val="auto"/>
        </w:rPr>
        <w:t>, as a Guarantor</w:t>
      </w:r>
    </w:p>
    <w:p>
      <w:pPr>
        <w:spacing w:after="0" w:line="245" w:lineRule="exact"/>
        <w:rPr>
          <w:sz w:val="20"/>
          <w:szCs w:val="20"/>
          <w:color w:val="auto"/>
        </w:rPr>
      </w:pPr>
    </w:p>
    <w:p>
      <w:pPr>
        <w:ind w:left="2780"/>
        <w:spacing w:after="0"/>
        <w:tabs>
          <w:tab w:leader="none" w:pos="31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27305</wp:posOffset>
            </wp:positionV>
            <wp:extent cx="157734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5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Title: Vice President and Chief Financial Officer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12"/>
          <w:szCs w:val="12"/>
          <w:b w:val="1"/>
          <w:bCs w:val="1"/>
          <w:color w:val="auto"/>
        </w:rPr>
        <w:t>WILMINGTON TRUST, NATIONAL ASSOCIATION</w:t>
      </w:r>
      <w:r>
        <w:rPr>
          <w:rFonts w:ascii="Times New Roman" w:cs="Times New Roman" w:eastAsia="Times New Roman" w:hAnsi="Times New Roman"/>
          <w:sz w:val="12"/>
          <w:szCs w:val="12"/>
          <w:color w:val="auto"/>
        </w:rPr>
        <w:t>, not in its individual capacity, but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solely as Trustee</w:t>
      </w:r>
    </w:p>
    <w:p>
      <w:pPr>
        <w:spacing w:after="0" w:line="2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27305</wp:posOffset>
            </wp:positionV>
            <wp:extent cx="158369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Name: Latoya S. Elvin</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Title: Vice President</w:t>
      </w:r>
    </w:p>
    <w:p>
      <w:pPr>
        <w:spacing w:after="0" w:line="200" w:lineRule="exact"/>
        <w:rPr>
          <w:sz w:val="20"/>
          <w:szCs w:val="20"/>
          <w:color w:val="auto"/>
        </w:rPr>
      </w:pPr>
    </w:p>
    <w:p>
      <w:pPr>
        <w:sectPr>
          <w:pgSz w:w="11900" w:h="16840" w:orient="portrait"/>
          <w:cols w:equalWidth="0" w:num="2">
            <w:col w:w="5580" w:space="60"/>
            <w:col w:w="338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Secured Notes Supplemental Indenture]</w:t>
      </w:r>
    </w:p>
    <w:p>
      <w:pPr>
        <w:sectPr>
          <w:pgSz w:w="11900" w:h="16840" w:orient="portrait"/>
          <w:cols w:equalWidth="0" w:num="1">
            <w:col w:w="9020"/>
          </w:cols>
          <w:pgMar w:left="1440" w:top="1440" w:right="1440" w:bottom="1440" w:gutter="0" w:footer="0" w:header="0"/>
          <w:type w:val="continuous"/>
        </w:sectPr>
      </w:pPr>
    </w:p>
    <w:bookmarkStart w:id="301" w:name="page302"/>
    <w:bookmarkEnd w:id="301"/>
    <w:p>
      <w:pPr>
        <w:jc w:val="right"/>
        <w:spacing w:after="0"/>
        <w:rPr>
          <w:sz w:val="20"/>
          <w:szCs w:val="20"/>
          <w:color w:val="auto"/>
        </w:rPr>
      </w:pPr>
      <w:r>
        <w:rPr>
          <w:rFonts w:ascii="Times New Roman" w:cs="Times New Roman" w:eastAsia="Times New Roman" w:hAnsi="Times New Roman"/>
          <w:sz w:val="12"/>
          <w:szCs w:val="1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Genmab A/S</w:t>
      </w:r>
    </w:p>
    <w:p>
      <w:pPr>
        <w:spacing w:after="0" w:line="1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and</w:t>
      </w:r>
    </w:p>
    <w:p>
      <w:pPr>
        <w:spacing w:after="0" w:line="1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Genmab Finance LLC</w:t>
      </w:r>
    </w:p>
    <w:p>
      <w:pPr>
        <w:spacing w:after="0" w:line="1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color w:val="auto"/>
        </w:rPr>
        <w:t>as Issuers</w:t>
      </w:r>
    </w:p>
    <w:p>
      <w:pPr>
        <w:spacing w:after="0" w:line="1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2"/>
          <w:szCs w:val="12"/>
          <w:color w:val="auto"/>
        </w:rPr>
        <w:t>and the Guarantors party hereto from time to time</w:t>
      </w:r>
    </w:p>
    <w:p>
      <w:pPr>
        <w:spacing w:after="0" w:line="1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color w:val="auto"/>
        </w:rPr>
        <w:t>6.250% Senior Secured Notes due 2032</w:t>
      </w:r>
    </w:p>
    <w:p>
      <w:pPr>
        <w:spacing w:after="0" w:line="1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color w:val="auto"/>
        </w:rPr>
        <w:t>INDENTURE</w:t>
      </w:r>
    </w:p>
    <w:p>
      <w:pPr>
        <w:spacing w:after="0" w:line="1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Dated as of December 3, 2025</w:t>
      </w:r>
    </w:p>
    <w:p>
      <w:pPr>
        <w:spacing w:after="0" w:line="1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1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color w:val="auto"/>
        </w:rPr>
        <w:t>as Trustee</w:t>
      </w:r>
    </w:p>
    <w:p>
      <w:pPr>
        <w:spacing w:after="0" w:line="1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and</w:t>
      </w:r>
    </w:p>
    <w:p>
      <w:pPr>
        <w:spacing w:after="0" w:line="1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2"/>
          <w:szCs w:val="12"/>
          <w:color w:val="auto"/>
        </w:rPr>
        <w:t>as Notes Collateral Agent</w:t>
      </w:r>
    </w:p>
    <w:p>
      <w:pPr>
        <w:sectPr>
          <w:pgSz w:w="11900" w:h="16840" w:orient="portrait"/>
          <w:cols w:equalWidth="0" w:num="1">
            <w:col w:w="9820"/>
          </w:cols>
          <w:pgMar w:left="1440" w:top="559" w:right="640" w:bottom="1440" w:gutter="0" w:footer="0" w:header="0"/>
        </w:sectPr>
      </w:pPr>
    </w:p>
    <w:bookmarkStart w:id="302" w:name="page303"/>
    <w:bookmarkEnd w:id="302"/>
    <w:p>
      <w:pPr>
        <w:spacing w:after="0" w:line="1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2"/>
          <w:szCs w:val="12"/>
          <w:u w:val="single" w:color="auto"/>
          <w:color w:val="auto"/>
        </w:rPr>
        <w:t>Page</w:t>
      </w:r>
    </w:p>
    <w:p>
      <w:pPr>
        <w:spacing w:after="0" w:line="166" w:lineRule="exact"/>
        <w:rPr>
          <w:sz w:val="20"/>
          <w:szCs w:val="20"/>
          <w:color w:val="auto"/>
        </w:rPr>
      </w:pPr>
    </w:p>
    <w:p>
      <w:pPr>
        <w:ind w:left="80" w:right="80"/>
        <w:spacing w:after="0" w:line="280" w:lineRule="auto"/>
        <w:rPr>
          <w:sz w:val="20"/>
          <w:szCs w:val="20"/>
          <w:color w:val="auto"/>
        </w:rPr>
      </w:pPr>
      <w:r>
        <w:rPr>
          <w:rFonts w:ascii="Arial" w:cs="Arial" w:eastAsia="Arial" w:hAnsi="Arial"/>
          <w:sz w:val="18"/>
          <w:szCs w:val="18"/>
          <w:color w:val="auto"/>
        </w:rPr>
        <w:t>The table of contents is empty. Heading styles must be applied in the document and be selected in the table of contents properties panel.</w:t>
      </w:r>
    </w:p>
    <w:p>
      <w:pPr>
        <w:sectPr>
          <w:pgSz w:w="11900" w:h="16840" w:orient="portrait"/>
          <w:cols w:equalWidth="0" w:num="1">
            <w:col w:w="10560"/>
          </w:cols>
          <w:pgMar w:left="700" w:top="1440" w:right="6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Appendix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Schedule I</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Provisions Relating to Initial Notes and Additional Notes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Agreed Guarantee and Security Principles</w:t>
      </w:r>
    </w:p>
    <w:p>
      <w:pPr>
        <w:spacing w:after="0" w:line="200" w:lineRule="exact"/>
        <w:rPr>
          <w:sz w:val="20"/>
          <w:szCs w:val="20"/>
          <w:color w:val="auto"/>
        </w:rPr>
      </w:pPr>
    </w:p>
    <w:p>
      <w:pPr>
        <w:sectPr>
          <w:pgSz w:w="11900" w:h="16840" w:orient="portrait"/>
          <w:cols w:equalWidth="0" w:num="2">
            <w:col w:w="1280" w:space="720"/>
            <w:col w:w="8560"/>
          </w:cols>
          <w:pgMar w:left="700" w:top="1440" w:right="640" w:bottom="1440" w:gutter="0" w:footer="0" w:header="0"/>
          <w:type w:val="continuous"/>
        </w:sectPr>
      </w:pPr>
    </w:p>
    <w:p>
      <w:pPr>
        <w:spacing w:after="0" w:line="2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EXHIBIT INDEX</w:t>
      </w:r>
    </w:p>
    <w:p>
      <w:pPr>
        <w:sectPr>
          <w:pgSz w:w="11900" w:h="16840" w:orient="portrait"/>
          <w:cols w:equalWidth="0" w:num="1">
            <w:col w:w="10560"/>
          </w:cols>
          <w:pgMar w:left="700" w:top="1440" w:right="6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B</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 of Note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 of Supplemental Indenture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 of Equal Priority Intercreditor Agreement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 of Junior Priority Intercreditor Agreement</w:t>
      </w:r>
    </w:p>
    <w:p>
      <w:pPr>
        <w:spacing w:after="0" w:line="200" w:lineRule="exact"/>
        <w:rPr>
          <w:sz w:val="20"/>
          <w:szCs w:val="20"/>
          <w:color w:val="auto"/>
        </w:rPr>
      </w:pPr>
    </w:p>
    <w:p>
      <w:pPr>
        <w:sectPr>
          <w:pgSz w:w="11900" w:h="16840" w:orient="portrait"/>
          <w:cols w:equalWidth="0" w:num="2">
            <w:col w:w="1220" w:space="720"/>
            <w:col w:w="8620"/>
          </w:cols>
          <w:pgMar w:left="700" w:top="1440" w:right="6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i</w:t>
      </w:r>
    </w:p>
    <w:p>
      <w:pPr>
        <w:sectPr>
          <w:pgSz w:w="11900" w:h="16840" w:orient="portrait"/>
          <w:cols w:equalWidth="0" w:num="1">
            <w:col w:w="10560"/>
          </w:cols>
          <w:pgMar w:left="700" w:top="1440" w:right="640" w:bottom="1440" w:gutter="0" w:footer="0" w:header="0"/>
          <w:type w:val="continuous"/>
        </w:sectPr>
      </w:pPr>
    </w:p>
    <w:bookmarkStart w:id="303" w:name="page304"/>
    <w:bookmarkEnd w:id="303"/>
    <w:p>
      <w:pPr>
        <w:spacing w:after="0" w:line="157" w:lineRule="exact"/>
        <w:rPr>
          <w:sz w:val="20"/>
          <w:szCs w:val="20"/>
          <w:color w:val="auto"/>
        </w:rPr>
      </w:pPr>
    </w:p>
    <w:p>
      <w:pPr>
        <w:jc w:val="both"/>
        <w:ind w:firstLine="914"/>
        <w:spacing w:after="0" w:line="287" w:lineRule="auto"/>
        <w:rPr>
          <w:sz w:val="20"/>
          <w:szCs w:val="20"/>
          <w:color w:val="auto"/>
        </w:rPr>
      </w:pPr>
      <w:r>
        <w:rPr>
          <w:rFonts w:ascii="Times New Roman" w:cs="Times New Roman" w:eastAsia="Times New Roman" w:hAnsi="Times New Roman"/>
          <w:sz w:val="12"/>
          <w:szCs w:val="12"/>
          <w:color w:val="auto"/>
        </w:rPr>
        <w:t xml:space="preserve">INDENTURE, dated as of December 3, 2025, by and among the Issuers (as defined below), the Guarantors (as defined below), Wilmington Trust, National Association, as trustee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registrar and paying agent, and Wilmington Trust, National Association, as collateral agent (the “</w:t>
      </w:r>
      <w:r>
        <w:rPr>
          <w:rFonts w:ascii="Times New Roman" w:cs="Times New Roman" w:eastAsia="Times New Roman" w:hAnsi="Times New Roman"/>
          <w:sz w:val="12"/>
          <w:szCs w:val="12"/>
          <w:u w:val="single" w:color="auto"/>
          <w:color w:val="auto"/>
        </w:rPr>
        <w:t>Notes Collateral Agent</w:t>
      </w:r>
      <w:r>
        <w:rPr>
          <w:rFonts w:ascii="Times New Roman" w:cs="Times New Roman" w:eastAsia="Times New Roman" w:hAnsi="Times New Roman"/>
          <w:sz w:val="12"/>
          <w:szCs w:val="12"/>
          <w:color w:val="auto"/>
        </w:rPr>
        <w:t>”).</w:t>
      </w:r>
    </w:p>
    <w:p>
      <w:pPr>
        <w:spacing w:after="0" w:line="108" w:lineRule="exact"/>
        <w:rPr>
          <w:sz w:val="20"/>
          <w:szCs w:val="20"/>
          <w:color w:val="auto"/>
        </w:rPr>
      </w:pPr>
    </w:p>
    <w:p>
      <w:pPr>
        <w:jc w:val="both"/>
        <w:ind w:right="20" w:firstLine="914"/>
        <w:spacing w:after="0" w:line="287" w:lineRule="auto"/>
        <w:rPr>
          <w:sz w:val="20"/>
          <w:szCs w:val="20"/>
          <w:color w:val="auto"/>
        </w:rPr>
      </w:pPr>
      <w:r>
        <w:rPr>
          <w:rFonts w:ascii="Times New Roman" w:cs="Times New Roman" w:eastAsia="Times New Roman" w:hAnsi="Times New Roman"/>
          <w:sz w:val="12"/>
          <w:szCs w:val="12"/>
          <w:color w:val="auto"/>
        </w:rPr>
        <w:t>Each party agrees as follows for the benefit of each other and for the equal and ratable benefit of the holders of (i) $1,500,000,000 aggregate principal amount of the Issuers’ 6.250% Senior Secured Notes due 2032 issued on the date hereof (the “</w:t>
      </w:r>
      <w:r>
        <w:rPr>
          <w:rFonts w:ascii="Times New Roman" w:cs="Times New Roman" w:eastAsia="Times New Roman" w:hAnsi="Times New Roman"/>
          <w:sz w:val="12"/>
          <w:szCs w:val="12"/>
          <w:u w:val="single" w:color="auto"/>
          <w:color w:val="auto"/>
        </w:rPr>
        <w:t>Initial Notes</w:t>
      </w:r>
      <w:r>
        <w:rPr>
          <w:rFonts w:ascii="Times New Roman" w:cs="Times New Roman" w:eastAsia="Times New Roman" w:hAnsi="Times New Roman"/>
          <w:sz w:val="12"/>
          <w:szCs w:val="12"/>
          <w:color w:val="auto"/>
        </w:rPr>
        <w:t>”) and (ii) Additional Notes issued from time to time.</w:t>
      </w:r>
    </w:p>
    <w:p>
      <w:pPr>
        <w:spacing w:after="0" w:line="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0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DEFINITIONS AND INCORPORATION BY REFERENCE</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1.01</w:t>
        <w:tab/>
        <w:t>Definitions.</w:t>
      </w:r>
    </w:p>
    <w:p>
      <w:pPr>
        <w:spacing w:after="0" w:line="11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Acceptable Junior Priority Intercreditor Agreement</w:t>
      </w:r>
      <w:r>
        <w:rPr>
          <w:rFonts w:ascii="Times New Roman" w:cs="Times New Roman" w:eastAsia="Times New Roman" w:hAnsi="Times New Roman"/>
          <w:sz w:val="12"/>
          <w:szCs w:val="12"/>
          <w:color w:val="auto"/>
        </w:rPr>
        <w:t>” means, with respect to any Indebtedness secured by a Lien on the Collateral intended to rank junior in priority to the Liens on the Collateral securing the Notes Obligations, a customary intercreditor agreement to which the Controlling Collateral Agent is party and in form and substance reasonably acceptable to the Controlling Collateral Agent and the Issuers, which agreement shall provide that the Liens on the Collateral securing such Junior Priority Obligations shall rank junior in priority to the Liens on the Collateral securing the Notes Obligations.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Acquired Indebtedness</w:t>
      </w:r>
      <w:r>
        <w:rPr>
          <w:rFonts w:ascii="Times New Roman" w:cs="Times New Roman" w:eastAsia="Times New Roman" w:hAnsi="Times New Roman"/>
          <w:sz w:val="12"/>
          <w:szCs w:val="12"/>
          <w:color w:val="auto"/>
        </w:rPr>
        <w:t>” means, with respect to any specified Person:</w:t>
      </w:r>
    </w:p>
    <w:p>
      <w:pPr>
        <w:spacing w:after="0" w:line="109" w:lineRule="exact"/>
        <w:rPr>
          <w:sz w:val="20"/>
          <w:szCs w:val="20"/>
          <w:color w:val="auto"/>
        </w:rPr>
      </w:pPr>
    </w:p>
    <w:p>
      <w:pPr>
        <w:ind w:left="1360" w:hanging="440"/>
        <w:spacing w:after="0"/>
        <w:tabs>
          <w:tab w:leader="none" w:pos="1360" w:val="left"/>
        </w:tabs>
        <w:numPr>
          <w:ilvl w:val="0"/>
          <w:numId w:val="2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any other Person existing at the time such other Person is merged, consolidated or amalgamated with or into or became a Restricted Subsidiary of such specified Person,</w:t>
      </w:r>
    </w:p>
    <w:p>
      <w:pPr>
        <w:ind w:left="460"/>
        <w:spacing w:after="0"/>
        <w:rPr>
          <w:sz w:val="20"/>
          <w:szCs w:val="20"/>
          <w:color w:val="auto"/>
        </w:rPr>
      </w:pPr>
      <w:r>
        <w:rPr>
          <w:rFonts w:ascii="Times New Roman" w:cs="Times New Roman" w:eastAsia="Times New Roman" w:hAnsi="Times New Roman"/>
          <w:sz w:val="12"/>
          <w:szCs w:val="12"/>
          <w:color w:val="auto"/>
        </w:rPr>
        <w:t>and</w:t>
      </w:r>
    </w:p>
    <w:p>
      <w:pPr>
        <w:spacing w:after="0" w:line="95" w:lineRule="exact"/>
        <w:rPr>
          <w:sz w:val="20"/>
          <w:szCs w:val="20"/>
          <w:color w:val="auto"/>
        </w:rPr>
      </w:pPr>
    </w:p>
    <w:p>
      <w:pPr>
        <w:ind w:left="1360" w:hanging="440"/>
        <w:spacing w:after="0"/>
        <w:tabs>
          <w:tab w:leader="none" w:pos="1360" w:val="left"/>
        </w:tabs>
        <w:numPr>
          <w:ilvl w:val="0"/>
          <w:numId w:val="2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secured by a Lien encumbering any asset acquired by such specified Person.</w:t>
      </w:r>
    </w:p>
    <w:p>
      <w:pPr>
        <w:spacing w:after="0" w:line="11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Acquired Indebtedness will be deemed to have been Incurred, with respect to clause (1) of the preceding sentence, on the date such other Person merges with or into or becomes a Restricted Subsidiary of such specified Person and, with respect to clause (2) of the preceding sentence, on the date of consummation of such acquisition of such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w:t>
      </w:r>
      <w:r>
        <w:rPr>
          <w:rFonts w:ascii="Times New Roman" w:cs="Times New Roman" w:eastAsia="Times New Roman" w:hAnsi="Times New Roman"/>
          <w:sz w:val="12"/>
          <w:szCs w:val="12"/>
          <w:color w:val="auto"/>
        </w:rPr>
        <w:t>” means the proposed acquisition by the Purchaser of all of the issued and outstanding equity interests of Merus pursuant to the Acquisition Agreement.</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Agreement</w:t>
      </w:r>
      <w:r>
        <w:rPr>
          <w:rFonts w:ascii="Times New Roman" w:cs="Times New Roman" w:eastAsia="Times New Roman" w:hAnsi="Times New Roman"/>
          <w:sz w:val="12"/>
          <w:szCs w:val="12"/>
          <w:color w:val="auto"/>
        </w:rPr>
        <w:t>” means the Transaction Agreement, dated as of September 29, 2025 (as amended, restated, supplemented or otherwise modified from time to time), by and among the Company, the Purchaser and Merus.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Date</w:t>
      </w:r>
      <w:r>
        <w:rPr>
          <w:rFonts w:ascii="Times New Roman" w:cs="Times New Roman" w:eastAsia="Times New Roman" w:hAnsi="Times New Roman"/>
          <w:sz w:val="12"/>
          <w:szCs w:val="12"/>
          <w:color w:val="auto"/>
        </w:rPr>
        <w:t>” means the date of the consummation of the Acquisition.</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Documents</w:t>
      </w:r>
      <w:r>
        <w:rPr>
          <w:rFonts w:ascii="Times New Roman" w:cs="Times New Roman" w:eastAsia="Times New Roman" w:hAnsi="Times New Roman"/>
          <w:sz w:val="12"/>
          <w:szCs w:val="12"/>
          <w:color w:val="auto"/>
        </w:rPr>
        <w:t>” means the Acquisition Agreement and any other agreements or instruments contemplated thereby, in each case, as amended, restated, supplemented or otherwise modified from time to time.</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Equal Priority Obligations</w:t>
      </w:r>
      <w:r>
        <w:rPr>
          <w:rFonts w:ascii="Times New Roman" w:cs="Times New Roman" w:eastAsia="Times New Roman" w:hAnsi="Times New Roman"/>
          <w:sz w:val="12"/>
          <w:szCs w:val="12"/>
          <w:color w:val="auto"/>
        </w:rPr>
        <w:t xml:space="preserve">” means the Obligations with respect to any Indebtedness having, or intended to have, Equal Lien Priority (but without regard to the control of remedies) relative to the Notes with respect to the Collateral;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 authorized representative of the holders of such Indebtedness shall have executed a joinder to the Equal Priority Intercreditor Agreement (or entered into such other intercreditor agreement having substantially similar terms as the Equal Priority Intercreditor Agreement, taken as a whole).</w:t>
      </w:r>
    </w:p>
    <w:p>
      <w:pPr>
        <w:spacing w:after="0" w:line="91" w:lineRule="exact"/>
        <w:rPr>
          <w:sz w:val="20"/>
          <w:szCs w:val="20"/>
          <w:color w:val="auto"/>
        </w:rPr>
      </w:pPr>
    </w:p>
    <w:p>
      <w:pPr>
        <w:jc w:val="both"/>
        <w:ind w:right="20" w:firstLine="457"/>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Equal Priority Secured Parties</w:t>
      </w:r>
      <w:r>
        <w:rPr>
          <w:rFonts w:ascii="Times New Roman" w:cs="Times New Roman" w:eastAsia="Times New Roman" w:hAnsi="Times New Roman"/>
          <w:sz w:val="12"/>
          <w:szCs w:val="12"/>
          <w:color w:val="auto"/>
        </w:rPr>
        <w:t>” means the holders of any Additional Equal Priority Obligations and any trustee, authorized representative or agent of such Additional Equal Priority Obligations.</w:t>
      </w:r>
    </w:p>
    <w:p>
      <w:pPr>
        <w:spacing w:after="0" w:line="2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Notes</w:t>
      </w:r>
      <w:r>
        <w:rPr>
          <w:rFonts w:ascii="Times New Roman" w:cs="Times New Roman" w:eastAsia="Times New Roman" w:hAnsi="Times New Roman"/>
          <w:sz w:val="12"/>
          <w:szCs w:val="12"/>
          <w:color w:val="auto"/>
        </w:rPr>
        <w:t>” means the Notes issued under the terms of this Indenture subsequent to the Issue Date.</w:t>
      </w:r>
    </w:p>
    <w:p>
      <w:pPr>
        <w:sectPr>
          <w:pgSz w:w="11900" w:h="16840" w:orient="portrait"/>
          <w:cols w:equalWidth="0" w:num="1">
            <w:col w:w="10620"/>
          </w:cols>
          <w:pgMar w:left="640" w:top="1440" w:right="640" w:bottom="1440" w:gutter="0" w:footer="0" w:header="0"/>
        </w:sectPr>
      </w:pPr>
    </w:p>
    <w:bookmarkStart w:id="304" w:name="page305"/>
    <w:bookmarkEnd w:id="304"/>
    <w:p>
      <w:pPr>
        <w:spacing w:after="0" w:line="157"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Refinancing Amount</w:t>
      </w:r>
      <w:r>
        <w:rPr>
          <w:rFonts w:ascii="Times New Roman" w:cs="Times New Roman" w:eastAsia="Times New Roman" w:hAnsi="Times New Roman"/>
          <w:sz w:val="12"/>
          <w:szCs w:val="12"/>
          <w:color w:val="auto"/>
        </w:rPr>
        <w:t xml:space="preserve"> ” means, in connection with the Incurrence of any Refinancing Indebtedness, the aggregate principal amount of additional Indebtedness, Disqualified Stock or Preferred Stock Incurred to pay accrued and unpaid interest, premiums (including tender premiums), expenses, underwriting discounts, commissions, defeasance costs and fees in respect thereof.</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(including, with correlative meanings, the terms “</w:t>
      </w:r>
      <w:r>
        <w:rPr>
          <w:rFonts w:ascii="Times New Roman" w:cs="Times New Roman" w:eastAsia="Times New Roman" w:hAnsi="Times New Roman"/>
          <w:sz w:val="12"/>
          <w:szCs w:val="12"/>
          <w:u w:val="single" w:color="auto"/>
          <w:color w:val="auto"/>
        </w:rPr>
        <w:t>controlling</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controlled by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under common control with</w:t>
      </w:r>
      <w:r>
        <w:rPr>
          <w:rFonts w:ascii="Times New Roman" w:cs="Times New Roman" w:eastAsia="Times New Roman" w:hAnsi="Times New Roman"/>
          <w:sz w:val="12"/>
          <w:szCs w:val="12"/>
          <w:color w:val="auto"/>
        </w:rPr>
        <w:t>”),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Agreed Guarantee and Security Principles</w:t>
      </w:r>
      <w:r>
        <w:rPr>
          <w:rFonts w:ascii="Times New Roman" w:cs="Times New Roman" w:eastAsia="Times New Roman" w:hAnsi="Times New Roman"/>
          <w:sz w:val="12"/>
          <w:szCs w:val="12"/>
          <w:color w:val="auto"/>
        </w:rPr>
        <w:t>” means the agreed guarantee and security principles set forth in Schedule I.</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Premium</w:t>
      </w:r>
      <w:r>
        <w:rPr>
          <w:rFonts w:ascii="Times New Roman" w:cs="Times New Roman" w:eastAsia="Times New Roman" w:hAnsi="Times New Roman"/>
          <w:sz w:val="12"/>
          <w:szCs w:val="12"/>
          <w:color w:val="auto"/>
        </w:rPr>
        <w:t>” means, with respect to any Note on any applicable redemption date, as determined by the Company, the greater of:</w:t>
      </w:r>
    </w:p>
    <w:p>
      <w:pPr>
        <w:spacing w:after="0" w:line="109" w:lineRule="exact"/>
        <w:rPr>
          <w:sz w:val="20"/>
          <w:szCs w:val="20"/>
          <w:color w:val="auto"/>
        </w:rPr>
      </w:pPr>
    </w:p>
    <w:p>
      <w:pPr>
        <w:ind w:left="1360" w:hanging="440"/>
        <w:spacing w:after="0"/>
        <w:tabs>
          <w:tab w:leader="none" w:pos="1360"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of the then outstanding principal amount of the Note;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excess, if any, of:</w:t>
      </w:r>
    </w:p>
    <w:p>
      <w:pPr>
        <w:spacing w:after="0" w:line="107" w:lineRule="exact"/>
        <w:rPr>
          <w:rFonts w:ascii="Times New Roman" w:cs="Times New Roman" w:eastAsia="Times New Roman" w:hAnsi="Times New Roman"/>
          <w:sz w:val="12"/>
          <w:szCs w:val="12"/>
          <w:color w:val="auto"/>
        </w:rPr>
      </w:pPr>
    </w:p>
    <w:p>
      <w:pPr>
        <w:jc w:val="both"/>
        <w:ind w:left="920" w:firstLine="457"/>
        <w:spacing w:after="0" w:line="237" w:lineRule="auto"/>
        <w:tabs>
          <w:tab w:leader="none" w:pos="1824" w:val="left"/>
        </w:tabs>
        <w:numPr>
          <w:ilvl w:val="1"/>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present value at such redemption date of (i) the redemption price of the Note, at December 15, 2028 (such redemption price being set forth in Paragraph 5 of the Note)</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 all required interest payments due on the Note through December 15, 2028 (excluding accrued but unpaid interest), computed using a discount rate equal to the Treasury Rate as of such redemption date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50 basis points; </w:t>
      </w:r>
      <w:r>
        <w:rPr>
          <w:rFonts w:ascii="Times New Roman" w:cs="Times New Roman" w:eastAsia="Times New Roman" w:hAnsi="Times New Roman"/>
          <w:sz w:val="12"/>
          <w:szCs w:val="12"/>
          <w:i w:val="1"/>
          <w:iCs w:val="1"/>
          <w:color w:val="auto"/>
        </w:rPr>
        <w:t>over</w:t>
      </w:r>
    </w:p>
    <w:p>
      <w:pPr>
        <w:spacing w:after="0" w:line="88"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 outstanding principal amount of the Note.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Asset Sale</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460" w:firstLine="460"/>
        <w:spacing w:after="0" w:line="253" w:lineRule="auto"/>
        <w:tabs>
          <w:tab w:leader="none" w:pos="1364"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conveyance, transfer or other disposition (whether in a single transaction or a series of related transactions) of property or assets (including by way of Sale/Leaseback Transactions) of the Company or any Restricted Subsidiary (other than Unrestricted Margin Stock) outside the ordinary course of business (each referred to in this definition as a “disposition”); or</w:t>
      </w:r>
    </w:p>
    <w:p>
      <w:pPr>
        <w:spacing w:after="0" w:line="80"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or sale of Equity Interests (other than (y) Unrestricted Margin Stock or (x) directors’ qualifying shares and shares issued to foreign nationals or other third parties to the extent required by applicable law) of any Restricted Subsidiary (other than to the Company or another Restricted Subsidiary) (whether in a single transaction or a series of related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each case other than:</w:t>
      </w:r>
    </w:p>
    <w:p>
      <w:pPr>
        <w:spacing w:after="0" w:line="119" w:lineRule="exact"/>
        <w:rPr>
          <w:sz w:val="20"/>
          <w:szCs w:val="20"/>
          <w:color w:val="auto"/>
        </w:rPr>
      </w:pPr>
    </w:p>
    <w:p>
      <w:pPr>
        <w:ind w:left="1360" w:hanging="440"/>
        <w:spacing w:after="0"/>
        <w:tabs>
          <w:tab w:leader="none" w:pos="1360" w:val="left"/>
        </w:tabs>
        <w:numPr>
          <w:ilvl w:val="0"/>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disposition of Cash Equivalents or Marketable Securities or surplus, obsolete, damaged or worn out equipment or other property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disposition of all or substantially all of the assets of the Company or any Guarantor in a manner permitted pursuant to Section 5.01 or any disposition that constitutes a Change of</w:t>
      </w:r>
    </w:p>
    <w:p>
      <w:pPr>
        <w:ind w:left="460"/>
        <w:spacing w:after="0"/>
        <w:rPr>
          <w:sz w:val="20"/>
          <w:szCs w:val="20"/>
          <w:color w:val="auto"/>
        </w:rPr>
      </w:pPr>
      <w:r>
        <w:rPr>
          <w:rFonts w:ascii="Times New Roman" w:cs="Times New Roman" w:eastAsia="Times New Roman" w:hAnsi="Times New Roman"/>
          <w:sz w:val="12"/>
          <w:szCs w:val="12"/>
          <w:color w:val="auto"/>
        </w:rPr>
        <w:t>Control;</w:t>
      </w:r>
    </w:p>
    <w:p>
      <w:pPr>
        <w:spacing w:after="0" w:line="95" w:lineRule="exact"/>
        <w:rPr>
          <w:sz w:val="20"/>
          <w:szCs w:val="20"/>
          <w:color w:val="auto"/>
        </w:rPr>
      </w:pPr>
    </w:p>
    <w:p>
      <w:pPr>
        <w:ind w:left="1360" w:hanging="440"/>
        <w:spacing w:after="0"/>
        <w:tabs>
          <w:tab w:leader="none" w:pos="1360"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Payment or Permitted Investment that is permitted to be made, and is made, under Section 4.04;</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assets of the Company or any Restricted Subsidiary or issuance or sale of Equity Interests of any Restricted Subsidiary, which assets or Equity Interests so disposed or issued in any single transaction or series of related transactions have an aggregate Fair Market Value of less than $25 million;</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property or assets, or the issuance of securities, by the Company or a Restricted Subsidiary to the Company or a Restricted Subsidiary;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40" w:orient="portrait"/>
          <w:cols w:equalWidth="0" w:num="1">
            <w:col w:w="10600"/>
          </w:cols>
          <w:pgMar w:left="640" w:top="1440" w:right="660" w:bottom="1440" w:gutter="0" w:footer="0" w:header="0"/>
        </w:sectPr>
      </w:pPr>
    </w:p>
    <w:bookmarkStart w:id="305" w:name="page306"/>
    <w:bookmarkEnd w:id="305"/>
    <w:p>
      <w:pPr>
        <w:spacing w:after="0" w:line="148" w:lineRule="exact"/>
        <w:rPr>
          <w:sz w:val="20"/>
          <w:szCs w:val="20"/>
          <w:color w:val="auto"/>
        </w:rPr>
      </w:pPr>
    </w:p>
    <w:p>
      <w:pPr>
        <w:ind w:firstLine="460"/>
        <w:spacing w:after="0" w:line="253"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exchange of assets (including a combination of assets and Cash Equivalents) for assets related to a Similar Business of comparable or greater market value or usefulness to the business of the Company and its Restricted Subsidiaries as a whole, as determined in good faith by the Company;</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foreclosure or any similar action with respect to any property or other asset of the Company or any of the Restricted Subsidiaries;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Equity Interests in, or Indebtedness or other securities of, an Unrestricted Subsidiary, other than Unrestricted Subsidiaries the primary assets of which are cash and Cash</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Equivalents;</w:t>
      </w:r>
    </w:p>
    <w:p>
      <w:pPr>
        <w:spacing w:after="0" w:line="95"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lease, assignment or sublease of any real or personal property in the ordinary course of business;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of inventory or other assets in the ordinary course of business;</w:t>
      </w:r>
    </w:p>
    <w:p>
      <w:pPr>
        <w:spacing w:after="0" w:line="109"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grant of any license (or any similar disposition in connection with a joint development or co-commercialization agreement) of Patents, trademarks, know-how or any other Intellectual Property, in each case, in the ordinary course of business;</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swap of assets, or lease, assignment or sublease of any real or personal property, in exchange for services (including in connection with any outsourcing arrangements) of comparable or greater value or usefulness to the business of the Company and its Restricted Subsidiaries as a whole, as determined in good faith by the Company;</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(including by capital contribution) of Permitted Receivables Facility Assets including pursuant to Qualified Receivables Facilities;</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exchange or swap of assets (other than cash and Permitted Investments) for other assets (other than cash and Permitted Investments) of comparable or greater value or usefulness to the business of the Company and its Subsidiaries as a whole, as determined in good faith by the Company;</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in connection with Permitted Liens;</w:t>
      </w:r>
    </w:p>
    <w:p>
      <w:pPr>
        <w:spacing w:after="0" w:line="109"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87"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surrender, expiration or waiver of contract rights or the settlement, release, recovery on or surrender of contract, tort or other claims of any kind;</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by the Company or any of the Restricted Subsidiaries to charitable foundations, not-for-profits or other similar organizations with an aggregate Fair Market Value not to exceed $10 million in any calendar year;</w:t>
      </w:r>
    </w:p>
    <w:p>
      <w:pPr>
        <w:spacing w:after="0" w:line="80"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inventory or dispositions or abandonment of Intellectual Property of the Company or a Restricted Subsidiary, or dispositions of assets acquired by the Company or a Restricted Subsidiary in a Permitted Investment, in any such case that are determined in good faith by the management of the Company to be no longer economically practicable to maintain or useful or necessary in the operation of the business of the Company or any of its Restricted Subsidiaries;</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property subject to any casualty event;</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Investments in joint ventures to the extent required by, or made pursuant to, customary buy/sell arrangements among the joint venture parties set forth in joint venture or similar agreements or arrangements; or</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unwinding of any Hedging Agreement.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color w:val="auto"/>
        </w:rPr>
        <w:t>3</w:t>
      </w:r>
    </w:p>
    <w:p>
      <w:pPr>
        <w:sectPr>
          <w:pgSz w:w="11900" w:h="16840" w:orient="portrait"/>
          <w:cols w:equalWidth="0" w:num="1">
            <w:col w:w="10160"/>
          </w:cols>
          <w:pgMar w:left="1100" w:top="1440" w:right="640" w:bottom="1440" w:gutter="0" w:footer="0" w:header="0"/>
        </w:sectPr>
      </w:pPr>
    </w:p>
    <w:bookmarkStart w:id="306" w:name="page307"/>
    <w:bookmarkEnd w:id="306"/>
    <w:p>
      <w:pPr>
        <w:spacing w:after="0" w:line="157"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Attributable Debt</w:t>
      </w:r>
      <w:r>
        <w:rPr>
          <w:rFonts w:ascii="Times New Roman" w:cs="Times New Roman" w:eastAsia="Times New Roman" w:hAnsi="Times New Roman"/>
          <w:sz w:val="12"/>
          <w:szCs w:val="12"/>
          <w:color w:val="auto"/>
        </w:rPr>
        <w:t>” means, as of any date of determination, as to Sale/Leaseback Transactions, the total obligation (discounted to present value at the rate of interest implicit in the lease included in such transaction) of the lessee for rental payments (other than amounts required to be paid on account of property Taxes, maintenance, repairs, insurance, assessments, utilities, operating and labor costs and other items which do not constitute payments for property rights) during the remaining portion of the term (including extensions which are at the sole option of the lessor) of the lease included in such transaction.</w:t>
      </w:r>
    </w:p>
    <w:p>
      <w:pPr>
        <w:spacing w:after="0" w:line="91"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Attributable Receivables Indebtedness</w:t>
      </w:r>
      <w:r>
        <w:rPr>
          <w:rFonts w:ascii="Times New Roman" w:cs="Times New Roman" w:eastAsia="Times New Roman" w:hAnsi="Times New Roman"/>
          <w:sz w:val="12"/>
          <w:szCs w:val="12"/>
          <w:color w:val="auto"/>
        </w:rPr>
        <w:t>” means the principal amount of Indebtedness (other than any Indebtedness subordinated in right of payment owing by a Receivables Entity to a Receivables Seller or a Receivables Seller to another Receivables Seller in connection with the transfer, sale and/or pledge of Permitted Receivables Facility Assets) which (i) if a Qualified Receivables Facility is structured as a secured lending agreement or other similar agreement, constitutes the principal amount of such Indebtedness or (ii)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Bankruptcy Code</w:t>
      </w:r>
      <w:r>
        <w:rPr>
          <w:rFonts w:ascii="Times New Roman" w:cs="Times New Roman" w:eastAsia="Times New Roman" w:hAnsi="Times New Roman"/>
          <w:sz w:val="12"/>
          <w:szCs w:val="12"/>
          <w:color w:val="auto"/>
        </w:rPr>
        <w:t>” means Title 11 of the United States Code entitled “Bankruptcy”, as amended, as now or hereafter in effect.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Bankruptcy Law</w:t>
      </w:r>
      <w:r>
        <w:rPr>
          <w:rFonts w:ascii="Times New Roman" w:cs="Times New Roman" w:eastAsia="Times New Roman" w:hAnsi="Times New Roman"/>
          <w:sz w:val="12"/>
          <w:szCs w:val="12"/>
          <w:color w:val="auto"/>
        </w:rPr>
        <w:t>” means the Bankruptcy Code and any similar federal, state or foreign law for the relief of debtors as now or hereafter in effect.</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means, as to any Person, the board of directors or managers, as applicable, of such Person or any direct or indirect parent of such Person (or, if such Person is a partnership, the board of directors or other governing body of the general partner of such Person) or any duly authorized committee thereof.</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other than a Saturday, Sunday or other day that is a federal holiday or any day on which banking institutions or trust companies are authorized or required by law to close in New York City or the place of payment.</w:t>
      </w:r>
    </w:p>
    <w:p>
      <w:pPr>
        <w:spacing w:after="0" w:line="79"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Markets Indebtedness</w:t>
      </w:r>
      <w:r>
        <w:rPr>
          <w:rFonts w:ascii="Times New Roman" w:cs="Times New Roman" w:eastAsia="Times New Roman" w:hAnsi="Times New Roman"/>
          <w:sz w:val="12"/>
          <w:szCs w:val="12"/>
          <w:color w:val="auto"/>
        </w:rPr>
        <w:t>” means any Indebtedness consisting of bonds, debentures, notes or other similar debt securities issued in (a) a public offering registered under the Securities Act or (b) a private placement to institutional investors that is resold in accordance with Rule 144A or Regulation S of the Securities Act, whether or not it includes registration rights entitling the holders of such debt securities to registration thereof with the SEC, in each case having an aggregate principal amount outstanding greater than $50 million. The term “Capital Markets Indebtedness” shall not include the Notes (including, for the avoidance of doubt, any Additional Notes) and, for the avoidance of doubt, shall not be construed to include any Indebtedness under the Initial Credit Agreement or similar Indebtedness, Capitalized Lease Obligation or recourse transfer of any financial asset or any other type of Indebtedness incurred in a manner not customarily viewed as a “securities offering.”</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Stock</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corporation, corporate stock or shares;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association or business entity, any and all shares, interests, participations, rights or other equivalents (however designated) of corporate stock;</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partnership or limited liability company, partnership or membership interests (whether general or limited);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interest or participation that confers on a Person the right to receive a share of the profits and losses of, or distributions of assets of, the issuing Person.</w:t>
      </w:r>
    </w:p>
    <w:p>
      <w:pPr>
        <w:spacing w:after="0" w:line="11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Capitalized Lease Obligation</w:t>
      </w:r>
      <w:r>
        <w:rPr>
          <w:rFonts w:ascii="Times New Roman" w:cs="Times New Roman" w:eastAsia="Times New Roman" w:hAnsi="Times New Roman"/>
          <w:sz w:val="12"/>
          <w:szCs w:val="12"/>
          <w:color w:val="auto"/>
        </w:rPr>
        <w:t xml:space="preserve">” means, at the time any determination thereof is to be made, the amount of the liability in respect of a capital lease or a financing lease that would at such time be required to be capitalized and reflected as a liability on a balance sheet (excluding the footnotes thereto) in accordance with IFRS;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obligations in respect of leases which are of a type that would have been previously categorized as operating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ectPr>
          <w:pgSz w:w="11900" w:h="16840" w:orient="portrait"/>
          <w:cols w:equalWidth="0" w:num="1">
            <w:col w:w="10620"/>
          </w:cols>
          <w:pgMar w:left="640" w:top="1440" w:right="640" w:bottom="1440" w:gutter="0" w:footer="0" w:header="0"/>
        </w:sectPr>
      </w:pPr>
    </w:p>
    <w:bookmarkStart w:id="307" w:name="page308"/>
    <w:bookmarkEnd w:id="30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leases prior to the adoption of IFRS 16 shall not be categorized as Capitalized Lease Obligations for purposes of this Indenture.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Cash Equivalents</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dollars, pounds sterling, euros or the national currency of any member state in the European Union or such local currencies held from time to time in the ordinary course of business;</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obligations of the United States, the United Kingdom, Norway, Switzerland or any member of the European Union or any agency thereof, or obligations guaranteed by the United States, the United Kingdom, Norway, Switzerland or any member of the European Union or any agency thereof, in each case with maturities not exceeding two years from the date of acquisition thereof;</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 deposit accounts, certificates of deposit, money market deposits, banker’s acceptances and other bank deposits maturing within 180 days of the date of acquisition thereof issued by a bank or trust company having capital, surplus and undivided profits in excess of $250 million and whose long-term debt, or whose parent holding company’s long-term debt, is rated at least A by S&amp;P or A2 by Moody’s (or such similar equivalent rating or higher by at least one nationally recognized statistical rating organization (as defined in Section 3(a)(62) of the Exchange Act));</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repurchase obligations with a term of not more than 180 days for underlying securities of the types described in clause (2) above entered into with a bank meeting the qualifications described in clause (3) above;</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commercial paper, maturing not more than one year after the date of acquisition, issued by a corporation (other than an Affiliate of the Company) with a rating at the time as of which any investment therein is made of P-1 (or higher) according to Moody’s, or A-1 (or higher) according to S&amp;P (or such similar equivalent rating or higher by at least one nationally recognized statistical rating organization (as defined in Section 3(a)(62) of the Exchange Act));</w:t>
      </w:r>
    </w:p>
    <w:p>
      <w:pPr>
        <w:spacing w:after="0" w:line="87" w:lineRule="exact"/>
        <w:rPr>
          <w:rFonts w:ascii="Times New Roman" w:cs="Times New Roman" w:eastAsia="Times New Roman" w:hAnsi="Times New Roman"/>
          <w:sz w:val="12"/>
          <w:szCs w:val="12"/>
          <w:color w:val="auto"/>
        </w:rPr>
      </w:pPr>
    </w:p>
    <w:p>
      <w:pPr>
        <w:ind w:left="460" w:firstLine="460"/>
        <w:spacing w:after="0" w:line="236" w:lineRule="auto"/>
        <w:tabs>
          <w:tab w:leader="none" w:pos="1364"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with maturities of two years or less from the date of acquisition, issued or fully guaranteed by any State, commonwealth or territory of the United States, or by any political subdivision or taxing authority thereof, and rated at least A by S&amp;P or A by Moody’s (or such similar equivalent rating or higher by at least one nationally recognized statistical rating organization (as defined in Section 3(a)(62) of the Exchange Act));</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mutual funds whose investment guidelines restrict 95% of such funds’ investments to those satisfying the provisions of clauses (2) through (6) above;</w:t>
      </w:r>
    </w:p>
    <w:p>
      <w:pPr>
        <w:spacing w:after="0" w:line="109" w:lineRule="exact"/>
        <w:rPr>
          <w:rFonts w:ascii="Times New Roman" w:cs="Times New Roman" w:eastAsia="Times New Roman" w:hAnsi="Times New Roman"/>
          <w:sz w:val="12"/>
          <w:szCs w:val="12"/>
          <w:color w:val="auto"/>
        </w:rPr>
      </w:pPr>
    </w:p>
    <w:p>
      <w:pPr>
        <w:ind w:left="460" w:right="60" w:firstLine="460"/>
        <w:spacing w:after="0" w:line="253" w:lineRule="auto"/>
        <w:tabs>
          <w:tab w:leader="none" w:pos="1364"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 market funds that (i) comply with the criteria set forth in Rule 2a-7 under the Investment Company Act of 1940, (ii) are rated AAA by S&amp;P or Aaa by Moody’s and (iii) have portfolio assets of at least $1,000 million;</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 deposit accounts, certificates of deposit, money market deposits, banker’s acceptances and other bank deposits in an aggregate face amount not in excess of 0.5% of Total Assets;</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w:t>
      </w:r>
    </w:p>
    <w:p>
      <w:pPr>
        <w:spacing w:after="0" w:line="95"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instruments equivalent to those referred to in clauses (2) through (9) above denominated in any foreign currency comparable in credit quality and tenor to those referred to above and commonly used by corporations for cash management purposes in any jurisdiction outside the United States to the extent reasonably required in connection with any business conducted by the Company or any Restricted Subsidiary organized in such jurisdiction.</w:t>
      </w:r>
    </w:p>
    <w:p>
      <w:pPr>
        <w:spacing w:after="0" w:line="9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cash management services</w:t>
      </w:r>
      <w:r>
        <w:rPr>
          <w:rFonts w:ascii="Times New Roman" w:cs="Times New Roman" w:eastAsia="Times New Roman" w:hAnsi="Times New Roman"/>
          <w:sz w:val="12"/>
          <w:szCs w:val="12"/>
          <w:color w:val="auto"/>
        </w:rPr>
        <w:t>” means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 means the occurrence of any of the following:</w:t>
      </w:r>
    </w:p>
    <w:p>
      <w:pPr>
        <w:spacing w:after="0" w:line="109" w:lineRule="exact"/>
        <w:rPr>
          <w:sz w:val="20"/>
          <w:szCs w:val="20"/>
          <w:color w:val="auto"/>
        </w:rPr>
      </w:pPr>
    </w:p>
    <w:p>
      <w:pPr>
        <w:ind w:left="1360" w:hanging="440"/>
        <w:spacing w:after="0"/>
        <w:tabs>
          <w:tab w:leader="none" w:pos="1360" w:val="left"/>
        </w:tabs>
        <w:numPr>
          <w:ilvl w:val="0"/>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lease or transfer (other than by way of merger or consolidation), in one or a series of related transactions, of all or substantially all the assets of the Company and its Subsidiaries,</w:t>
      </w:r>
    </w:p>
    <w:p>
      <w:pPr>
        <w:ind w:left="460"/>
        <w:spacing w:after="0"/>
        <w:rPr>
          <w:sz w:val="20"/>
          <w:szCs w:val="20"/>
          <w:color w:val="auto"/>
        </w:rPr>
      </w:pPr>
      <w:r>
        <w:rPr>
          <w:rFonts w:ascii="Times New Roman" w:cs="Times New Roman" w:eastAsia="Times New Roman" w:hAnsi="Times New Roman"/>
          <w:sz w:val="12"/>
          <w:szCs w:val="12"/>
          <w:color w:val="auto"/>
        </w:rPr>
        <w:t>taken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40" w:orient="portrait"/>
          <w:cols w:equalWidth="0" w:num="1">
            <w:col w:w="10620"/>
          </w:cols>
          <w:pgMar w:left="640" w:top="1440" w:right="640" w:bottom="1440" w:gutter="0" w:footer="0" w:header="0"/>
        </w:sectPr>
      </w:pPr>
    </w:p>
    <w:bookmarkStart w:id="308" w:name="page309"/>
    <w:bookmarkEnd w:id="308"/>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a whole, to any Person or group (within the meaning of Section 13(d)(3) or Section 14(d)(2) of the Exchange Act, or any successor provision) other than to the Company or any of its Subsidiaries; or</w:t>
      </w:r>
    </w:p>
    <w:p>
      <w:pPr>
        <w:spacing w:after="0" w:line="109" w:lineRule="exact"/>
        <w:rPr>
          <w:sz w:val="20"/>
          <w:szCs w:val="20"/>
          <w:color w:val="auto"/>
        </w:rPr>
      </w:pPr>
    </w:p>
    <w:p>
      <w:pPr>
        <w:ind w:left="460" w:firstLine="460"/>
        <w:spacing w:after="0" w:line="222" w:lineRule="auto"/>
        <w:tabs>
          <w:tab w:leader="none" w:pos="1364" w:val="left"/>
        </w:tabs>
        <w:numPr>
          <w:ilvl w:val="0"/>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becomes aware (by way of a report or any other filing pursuant to Section 13(d) of the Exchange Act, proxy, vote, written notice or otherwise) of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in a single transaction or in a related series of transactions, by way of merger, consolidation, amalgamation or other business combination or purchase of beneficial ownership (within the meaning of Rule 13d-3 under the Exchange Act, or any successor provision), of more than 50% of the total voting power of the Voting Stock of the Company, in each case, other than an acquisition where the holders of the Voting Stock of the Company as of immediately prior to such acquisition hold 50% or more of the Voting Stock of the ultimate parent of the Company or successor thereto immediately after such acquisition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no holder of the Voting Stock of the Company as of immediately prior to such acquisition owns, directly or indirectly, more than 50% of the voting power of the Voting Stock of the Company immediately after such acquisition (other than any Person who previously acquired Equity Interests of the Company in a transaction constituting a Change of Control as to which a Change of Control Offer was consummated)), in which case, upon the consummation of any such transaction, “Change of Control” shall thereafter include any Change of Control of such ultimate parent of the Company or successor thereto.</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Internal Revenue Code of 1986, as amended.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Collateral</w:t>
      </w:r>
      <w:r>
        <w:rPr>
          <w:rFonts w:ascii="Times New Roman" w:cs="Times New Roman" w:eastAsia="Times New Roman" w:hAnsi="Times New Roman"/>
          <w:sz w:val="12"/>
          <w:szCs w:val="12"/>
          <w:color w:val="auto"/>
        </w:rPr>
        <w:t>” means all property subject or purported to be subject, from time to time, to a Lien under any Collateral Documents.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Collateral Agent</w:t>
      </w:r>
      <w:r>
        <w:rPr>
          <w:rFonts w:ascii="Times New Roman" w:cs="Times New Roman" w:eastAsia="Times New Roman" w:hAnsi="Times New Roman"/>
          <w:sz w:val="12"/>
          <w:szCs w:val="12"/>
          <w:color w:val="auto"/>
        </w:rPr>
        <w:t>” means (1) in the case of any Initial Credit Agreement Obligations, the Initial Credit Agreement Collateral Agent, (2) in the case of the Notes Obligations, the Notes Collateral Agent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 in the case of any Additional Equal Priority Obligations, the collateral agent with respect thereto.</w:t>
      </w:r>
    </w:p>
    <w:p>
      <w:pPr>
        <w:spacing w:after="0" w:line="115"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Collateral Documents</w:t>
      </w:r>
      <w:r>
        <w:rPr>
          <w:rFonts w:ascii="Times New Roman" w:cs="Times New Roman" w:eastAsia="Times New Roman" w:hAnsi="Times New Roman"/>
          <w:sz w:val="12"/>
          <w:szCs w:val="12"/>
          <w:color w:val="auto"/>
        </w:rPr>
        <w:t>” means any then-applicable Intercreditor Agreements, each joinder or amendment thereto, and all security agreements, pledge agreements, control agreements (including the Specified Deposit Account Control Agreement), collateral assignments, mortgages, deeds of trust, security deeds, deeds to secure debt, deeds of hypothec, collateral agency agreements, debentures or other instruments, pledges, grants or transfers for security or agreements related thereto executed and delivered by any Issuer or Guarantor creating or perfecting (or purporting to create or perfect) a Lien upon Collateral (including, without limitation, financing statements under the UCC or similar filings under applicable law) in favor of the Notes Collateral Agent on behalf of Notes Secured Parties to secure the Notes and the Guarantees, in each case, as amended, modified, restated, supplemented or replaced, in whole or in part, from time to time, in accordance with its terms and this Indenture.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means Genmab A/S, a public limited liability company (</w:t>
      </w:r>
      <w:r>
        <w:rPr>
          <w:rFonts w:ascii="Times New Roman" w:cs="Times New Roman" w:eastAsia="Times New Roman" w:hAnsi="Times New Roman"/>
          <w:sz w:val="12"/>
          <w:szCs w:val="12"/>
          <w:i w:val="1"/>
          <w:iCs w:val="1"/>
          <w:color w:val="auto"/>
        </w:rPr>
        <w:t>Aktieselskab</w:t>
      </w:r>
      <w:r>
        <w:rPr>
          <w:rFonts w:ascii="Times New Roman" w:cs="Times New Roman" w:eastAsia="Times New Roman" w:hAnsi="Times New Roman"/>
          <w:sz w:val="12"/>
          <w:szCs w:val="12"/>
          <w:color w:val="auto"/>
        </w:rPr>
        <w:t>) organized under the laws of Denmark.</w:t>
      </w:r>
    </w:p>
    <w:p>
      <w:pPr>
        <w:spacing w:after="0" w:line="13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w:t>
      </w:r>
      <w:r>
        <w:rPr>
          <w:rFonts w:ascii="Times New Roman" w:cs="Times New Roman" w:eastAsia="Times New Roman" w:hAnsi="Times New Roman"/>
          <w:sz w:val="12"/>
          <w:szCs w:val="12"/>
          <w:color w:val="auto"/>
        </w:rPr>
        <w:t>” means, with respect to any Person, such Person consolidated with its Restricted Subsidiaries, and shall not include any Unrestricted Subsidiary, but the interest of such Person in an Unrestricted Subsidiary will be accounted for as an Investment.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Interest Expense</w:t>
      </w:r>
      <w:r>
        <w:rPr>
          <w:rFonts w:ascii="Times New Roman" w:cs="Times New Roman" w:eastAsia="Times New Roman" w:hAnsi="Times New Roman"/>
          <w:sz w:val="12"/>
          <w:szCs w:val="12"/>
          <w:color w:val="auto"/>
        </w:rPr>
        <w:t>” means, with respect to any Person for any period, the sum, without duplication, of:</w:t>
      </w:r>
    </w:p>
    <w:p>
      <w:pPr>
        <w:spacing w:after="0" w:line="109" w:lineRule="exact"/>
        <w:rPr>
          <w:sz w:val="20"/>
          <w:szCs w:val="20"/>
          <w:color w:val="auto"/>
        </w:rPr>
      </w:pPr>
    </w:p>
    <w:p>
      <w:pPr>
        <w:jc w:val="both"/>
        <w:ind w:left="460" w:right="20" w:firstLine="460"/>
        <w:spacing w:after="0" w:line="231" w:lineRule="auto"/>
        <w:tabs>
          <w:tab w:leader="none" w:pos="1364"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net interest expense of such Person for such period on a consolidated basis, including (a) the amortization of debt discounts, (b) the amortization of all fees (including fees with respect to Hedging Agreements) payable in connection with the Incurrence of Indebtedness to the extent included in interest expense, (c) the portion of any payments or accruals with respect to Capitalized Lease Obligations allocable to interest expense and (d) net payments and receipts (if any) pursuant to interest rate Hedging Obligations, and excluding unrealized mark-to-market gains and losses attributable to such Hedging Obligations, amortization of deferred financing fees and expensing of any bridge or other financing fees; </w:t>
      </w:r>
      <w:r>
        <w:rPr>
          <w:rFonts w:ascii="Times New Roman" w:cs="Times New Roman" w:eastAsia="Times New Roman" w:hAnsi="Times New Roman"/>
          <w:sz w:val="12"/>
          <w:szCs w:val="12"/>
          <w:i w:val="1"/>
          <w:iCs w:val="1"/>
          <w:color w:val="auto"/>
        </w:rPr>
        <w:t>plus</w:t>
      </w:r>
    </w:p>
    <w:p>
      <w:pPr>
        <w:spacing w:after="0" w:line="85"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capitalized interest of such Person, whether paid or accrued; </w:t>
      </w:r>
      <w:r>
        <w:rPr>
          <w:rFonts w:ascii="Times New Roman" w:cs="Times New Roman" w:eastAsia="Times New Roman" w:hAnsi="Times New Roman"/>
          <w:sz w:val="12"/>
          <w:szCs w:val="1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40" w:orient="portrait"/>
          <w:cols w:equalWidth="0" w:num="1">
            <w:col w:w="10620"/>
          </w:cols>
          <w:pgMar w:left="640" w:top="1440" w:right="640" w:bottom="1440" w:gutter="0" w:footer="0" w:header="0"/>
        </w:sectPr>
      </w:pPr>
    </w:p>
    <w:bookmarkStart w:id="309" w:name="page310"/>
    <w:bookmarkEnd w:id="309"/>
    <w:p>
      <w:pPr>
        <w:spacing w:after="0" w:line="148" w:lineRule="exact"/>
        <w:rPr>
          <w:sz w:val="20"/>
          <w:szCs w:val="20"/>
          <w:color w:val="auto"/>
        </w:rPr>
      </w:pPr>
    </w:p>
    <w:p>
      <w:pPr>
        <w:ind w:left="460" w:right="20" w:firstLine="460"/>
        <w:spacing w:after="0" w:line="253" w:lineRule="auto"/>
        <w:tabs>
          <w:tab w:leader="none" w:pos="1364"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commissions, discounts, yield and other fees and charges incurred for such period, including any losses on sales of receivables and related assets, in connection with any receivables financing of such Person or any of its Restricted Subsidiaries that are payable to Persons other than the Company and its Restricted Subsidiaries.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Net Income</w:t>
      </w:r>
      <w:r>
        <w:rPr>
          <w:rFonts w:ascii="Times New Roman" w:cs="Times New Roman" w:eastAsia="Times New Roman" w:hAnsi="Times New Roman"/>
          <w:sz w:val="12"/>
          <w:szCs w:val="12"/>
          <w:color w:val="auto"/>
        </w:rPr>
        <w:t>” means, with respect to any Person for any period, the aggregate Net Income of such Person and its Subsidiaries for such period, on a consolidated basis, in accordance with</w:t>
      </w:r>
    </w:p>
    <w:p>
      <w:pPr>
        <w:spacing w:after="0"/>
        <w:rPr>
          <w:sz w:val="20"/>
          <w:szCs w:val="20"/>
          <w:color w:val="auto"/>
        </w:rPr>
      </w:pPr>
      <w:r>
        <w:rPr>
          <w:rFonts w:ascii="Times New Roman" w:cs="Times New Roman" w:eastAsia="Times New Roman" w:hAnsi="Times New Roman"/>
          <w:sz w:val="12"/>
          <w:szCs w:val="12"/>
          <w:color w:val="auto"/>
        </w:rPr>
        <w:t xml:space="preserve">IFRS;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without duplication:</w:t>
      </w:r>
    </w:p>
    <w:p>
      <w:pPr>
        <w:spacing w:after="0" w:line="95" w:lineRule="exact"/>
        <w:rPr>
          <w:sz w:val="20"/>
          <w:szCs w:val="20"/>
          <w:color w:val="auto"/>
        </w:rPr>
      </w:pPr>
    </w:p>
    <w:p>
      <w:pPr>
        <w:ind w:left="1360" w:hanging="440"/>
        <w:spacing w:after="0"/>
        <w:tabs>
          <w:tab w:leader="none" w:pos="1360"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net after-Tax extraordinary, nonrecurring or unusual gains or losses (less all fees and expenses relating thereto) or expenses or charges shall be excluded;</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effects of purchase (or asset acquisition method) accounting adjustments (including the effects of such adjustments pushed down to such Person and such Subsidiaries) in amounts required or permitted by IFRS, resulting from the application of purchase (or asset acquisition method) accounting in relation to any consummated acquisition or the amortization or write-off of any amounts thereof, net of Taxes, shall be excluded;</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cumulative effect of a change in accounting principles (which shall in no case include any change in the comprehensive basis of accounting) during such period shall be excluded;</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21" w:lineRule="auto"/>
        <w:tabs>
          <w:tab w:leader="none" w:pos="1364"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any net after-Tax income or loss from disposed, abandoned, transferred, closed or discontinued operations,</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to the contrary herein or in any classification under IFRS of any person, business, assets or operations in respect of which a definitive agreement for the disposition, abandonment, transfer, closure or discontinuation of operations thereof has been entered into as discontinued operations, at the Company’s option, no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w:t>
      </w:r>
    </w:p>
    <w:p>
      <w:pPr>
        <w:ind w:left="460" w:right="20" w:firstLine="3"/>
        <w:spacing w:after="0" w:line="234" w:lineRule="auto"/>
        <w:tabs>
          <w:tab w:leader="none" w:pos="639" w:val="left"/>
        </w:tabs>
        <w:numPr>
          <w:ilvl w:val="0"/>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net after-Tax gain or loss on disposal of disposed, abandoned, transferred, closed or discontinued operations and (c) any net after-Tax gains or losses (less all fees and expenses or charges relating thereto) attributable to business dispositions or asset dispositions other than in the ordinary course of business (as determined in good faith by the Company) shall be excluded;</w:t>
      </w:r>
    </w:p>
    <w:p>
      <w:pPr>
        <w:spacing w:after="0" w:line="8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net after-Tax gains or losses, or any subsequent charges or expenses (less all fees and expenses or charges relating thereto), attributable to the early extinguishment of Indebtedness, Hedging Obligations or other derivative instruments shall be excluded;</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Income for such period of any Person that is not a Subsidiary of such Person, or is an Unrestricted Subsidiary, or that is accounted for by the equity method of accounting (other than a Guarantor), shall be included only to the extent of the amount of dividends or distributions or other payments actually paid in cash or Cash Equivalents (or to the extent converted into cash or Cash Equivalents) to the referent Person or a Restricted Subsidiary thereof in respect of such period;</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line="225" w:lineRule="auto"/>
        <w:tabs>
          <w:tab w:leader="none" w:pos="1364" w:val="left"/>
        </w:tabs>
        <w:numPr>
          <w:ilvl w:val="1"/>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solely for the purpose of calculating the Cumulative Credit, the Net Income for such period of any Subsidiary of such Person shall be excluded to the extent that the declaration or payment of dividends or similar distributions by such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clause (7)), to the extent not already included therein;</w:t>
      </w:r>
    </w:p>
    <w:p>
      <w:pPr>
        <w:spacing w:after="0" w:line="8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impairment charge or asset write-off with respect to long-term assets and amortization of intangibles, in each case pursuant to IFRS, shall be excluded;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non-cash expense realized or resulting from stock option plans, employee benefit plans or post-employment benefit plans, or grants or sales to employees, officers or directors of stock, stock appreciation or similar rights, stock options, restricted stock, Preferred Stock or other rights shall be excluded;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40" w:orient="portrait"/>
          <w:cols w:equalWidth="0" w:num="1">
            <w:col w:w="10620"/>
          </w:cols>
          <w:pgMar w:left="640" w:top="1440" w:right="640" w:bottom="1440" w:gutter="0" w:footer="0" w:header="0"/>
        </w:sectPr>
      </w:pPr>
    </w:p>
    <w:bookmarkStart w:id="310" w:name="page311"/>
    <w:bookmarkEnd w:id="310"/>
    <w:p>
      <w:pPr>
        <w:spacing w:after="0" w:line="148" w:lineRule="exact"/>
        <w:rPr>
          <w:sz w:val="20"/>
          <w:szCs w:val="20"/>
          <w:color w:val="auto"/>
        </w:rPr>
      </w:pPr>
    </w:p>
    <w:p>
      <w:pPr>
        <w:ind w:left="460" w:firstLine="460"/>
        <w:spacing w:after="0" w:line="253" w:lineRule="auto"/>
        <w:tabs>
          <w:tab w:leader="none" w:pos="1364"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 non-cash compensation charges or (b) non-cash costs or expenses realized in connection with or resulting from stock appreciation or similar rights, stock options or other rights of officers, directors and employees, in each case of such Person or any of its Subsidiaries, shall be excluded;</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accruals and reserves that are established or adjusted within 12 months after the Initial Tender Offer Closing Date (excluding any such accruals or reserves to the extent that they represent an accrual of or reserve for cash expenses in any future period or amortization of a prepaid cash expense that was paid in a prior period) and that are so required to be established or adjusted in accordance with IFRS or as a result of adoption or modification of accounting policies shall be excluded;</w:t>
      </w:r>
    </w:p>
    <w:p>
      <w:pPr>
        <w:spacing w:after="0" w:line="87"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Income of any person and its Subsidiaries shall be calculated by deducting the income attributable to, or adding the losses attributable to, the minority equity interests of third parties in any non-Wholly Owned Subsidiary;</w:t>
      </w:r>
    </w:p>
    <w:p>
      <w:pPr>
        <w:spacing w:after="0" w:line="80"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unrealized gains and losses related to currency remeasurements of Indebtedness, and any unrealized net loss or gain resulting from hedging transactions for interest rates, commodities or currency exchange risk, shall be excluded;</w:t>
      </w:r>
    </w:p>
    <w:p>
      <w:pPr>
        <w:spacing w:after="0" w:line="80" w:lineRule="exact"/>
        <w:rPr>
          <w:rFonts w:ascii="Times New Roman" w:cs="Times New Roman" w:eastAsia="Times New Roman" w:hAnsi="Times New Roman"/>
          <w:sz w:val="12"/>
          <w:szCs w:val="12"/>
          <w:color w:val="auto"/>
        </w:rPr>
      </w:pPr>
    </w:p>
    <w:p>
      <w:pPr>
        <w:jc w:val="both"/>
        <w:ind w:left="460" w:firstLine="460"/>
        <w:spacing w:after="0"/>
        <w:tabs>
          <w:tab w:leader="none" w:pos="1364"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covered by insurance and actually reimbursed, or, so long as such Person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204"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non-cash charges for deferred Tax asset valuation allowances shall be excluded (except to the extent reversing a previously recognized increase to Consolidated Net Income).</w:t>
      </w:r>
    </w:p>
    <w:p>
      <w:pPr>
        <w:spacing w:after="0" w:line="11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Consolidated Net Income presented in a currency other than U.S. dollars will be converted to U.S. dollars based on the average exchange rate for such currency during, and applied to, each fiscal quarter or each fiscal month (at the Company’s option) in the period for which Consolidated Net Income is being calculated.</w:t>
      </w:r>
    </w:p>
    <w:p>
      <w:pPr>
        <w:spacing w:after="0" w:line="77" w:lineRule="exact"/>
        <w:rPr>
          <w:sz w:val="20"/>
          <w:szCs w:val="20"/>
          <w:color w:val="auto"/>
        </w:rPr>
      </w:pPr>
    </w:p>
    <w:p>
      <w:pPr>
        <w:jc w:val="both"/>
        <w:ind w:firstLine="457"/>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Total Indebtedness</w:t>
      </w:r>
      <w:r>
        <w:rPr>
          <w:rFonts w:ascii="Times New Roman" w:cs="Times New Roman" w:eastAsia="Times New Roman" w:hAnsi="Times New Roman"/>
          <w:sz w:val="12"/>
          <w:szCs w:val="12"/>
          <w:color w:val="auto"/>
        </w:rPr>
        <w:t xml:space="preserve">” means, as of any date of determination,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(in each case, without duplication and determined on a consolidated basis on such date) (a) all Indebtedness of the type set forth in clauses (1), (2), (5) (solely to the extent related to any Indebtedness specified in such clauses (1) and (2) of the definition of “Indebtedness”) and (6) of the definition of “Indebtedness” of the Company and its Restricted Subsidiaries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solely for purposes of calculating the Consolidated Total Net Leverage Ratio under clause (B) of the first proviso of Section 4.03(a) and for purposes of Section 4.03(b) (xvi), (b) the aggregate amount of (i) all outstanding Disqualified Stock of the Company and its Restricted Subsidiaries and (ii) all Preferred Stock of the Company’s Restricted Subsidiaries (other than the U.S. Co-Issuer and any Guarantor), with the amount of such Disqualified Stock and Preferred Stock equal to the greater of their respective voluntary or involuntary liquidation preferences and maximum fixed repurchase prices on such date, in each case, determined in accordance with IFRS;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any Indebtedness with respect to which the applicable obligors have entered into currency hedging arrangements shall be calculated giving effect to such currency hedging arrangements;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Consolidated Total Indebtedness will include any convertible Indebtedness of the Company and its Restricted Subsidiaries to the extent of the aggregate principal amount thereof.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in accordance with the definition of “Fair Market Value”.</w:t>
      </w:r>
    </w:p>
    <w:p>
      <w:pPr>
        <w:spacing w:after="0" w:line="100" w:lineRule="exact"/>
        <w:rPr>
          <w:sz w:val="20"/>
          <w:szCs w:val="20"/>
          <w:color w:val="auto"/>
        </w:rPr>
      </w:pPr>
    </w:p>
    <w:p>
      <w:pPr>
        <w:jc w:val="both"/>
        <w:ind w:firstLine="457"/>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Consolidated Total Net Leverage Ratio</w:t>
      </w:r>
      <w:r>
        <w:rPr>
          <w:rFonts w:ascii="Times New Roman" w:cs="Times New Roman" w:eastAsia="Times New Roman" w:hAnsi="Times New Roman"/>
          <w:sz w:val="12"/>
          <w:szCs w:val="12"/>
          <w:color w:val="auto"/>
        </w:rPr>
        <w:t>” means, at any date, the ratio of (i) the principal amount of Consolidated Total Indebtedness as of such date of calculation (determined on a consolidated basis)</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the Unrestricted Cash Amount as of such date of determination to (ii) EBITDA of the Company for the four full fiscal quarters for which financial statements are available immediately preceding such date, 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40" w:orient="portrait"/>
          <w:cols w:equalWidth="0" w:num="1">
            <w:col w:w="10620"/>
          </w:cols>
          <w:pgMar w:left="640" w:top="1440" w:right="640" w:bottom="1440" w:gutter="0" w:footer="0" w:header="0"/>
        </w:sectPr>
      </w:pPr>
    </w:p>
    <w:bookmarkStart w:id="311" w:name="page312"/>
    <w:bookmarkEnd w:id="311"/>
    <w:p>
      <w:pPr>
        <w:spacing w:after="0" w:line="157"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Controlling Collateral Agent</w:t>
      </w:r>
      <w:r>
        <w:rPr>
          <w:rFonts w:ascii="Times New Roman" w:cs="Times New Roman" w:eastAsia="Times New Roman" w:hAnsi="Times New Roman"/>
          <w:sz w:val="12"/>
          <w:szCs w:val="12"/>
          <w:color w:val="auto"/>
        </w:rPr>
        <w:t>” means, with respect to any Shared Collateral, (1) until the Controlling Collateral Agent Change Date, the Initial Credit Agreement Collateral Agent and (2) from and after the Controlling Collateral Agent Change Date, the Major Non-Controlling Collateral Agent.</w:t>
      </w:r>
    </w:p>
    <w:p>
      <w:pPr>
        <w:spacing w:after="0" w:line="79" w:lineRule="exact"/>
        <w:rPr>
          <w:sz w:val="20"/>
          <w:szCs w:val="20"/>
          <w:color w:val="auto"/>
        </w:rPr>
      </w:pPr>
    </w:p>
    <w:p>
      <w:pPr>
        <w:jc w:val="both"/>
        <w:ind w:right="4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Controlling Collateral Agent Change Date</w:t>
      </w:r>
      <w:r>
        <w:rPr>
          <w:rFonts w:ascii="Times New Roman" w:cs="Times New Roman" w:eastAsia="Times New Roman" w:hAnsi="Times New Roman"/>
          <w:sz w:val="12"/>
          <w:szCs w:val="12"/>
          <w:color w:val="auto"/>
        </w:rPr>
        <w:t>” means the earlier of (i) the discharge of the Initial Credit Agreement Obligations (other than as a result of the refinancing of the Initial Credit Agreement to the extent the Obligations in respect of such refinancing Indebtedness are intended to constitute Additional Equal Priority Obligations) and (ii) the Non-Controlling Collateral Agent Enforcement Date.</w:t>
      </w:r>
    </w:p>
    <w:p>
      <w:pPr>
        <w:spacing w:after="0" w:line="7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Corporate Trust Office</w:t>
      </w:r>
      <w:r>
        <w:rPr>
          <w:rFonts w:ascii="Times New Roman" w:cs="Times New Roman" w:eastAsia="Times New Roman" w:hAnsi="Times New Roman"/>
          <w:sz w:val="12"/>
          <w:szCs w:val="12"/>
          <w:color w:val="auto"/>
        </w:rPr>
        <w:t>” means the designated office of the Trustee in the United States of America at which at any time its corporate trust business shall be administered, or such other address as the Trustee may designate from time to time by notice to the holders and the Issuers, or the designated corporate trust office of any successor Trustee (or such other address as such successor Trustee may designate from time to time by notice to the holders and the Issuers).</w:t>
      </w:r>
    </w:p>
    <w:p>
      <w:pPr>
        <w:spacing w:after="0" w:line="91" w:lineRule="exact"/>
        <w:rPr>
          <w:sz w:val="20"/>
          <w:szCs w:val="20"/>
          <w:color w:val="auto"/>
        </w:rPr>
      </w:pPr>
    </w:p>
    <w:p>
      <w:pPr>
        <w:jc w:val="both"/>
        <w:ind w:firstLine="457"/>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Credit Agreement</w:t>
      </w:r>
      <w:r>
        <w:rPr>
          <w:rFonts w:ascii="Times New Roman" w:cs="Times New Roman" w:eastAsia="Times New Roman" w:hAnsi="Times New Roman"/>
          <w:sz w:val="12"/>
          <w:szCs w:val="12"/>
          <w:color w:val="auto"/>
        </w:rPr>
        <w:t>” means (i) the Initial Credit Agreement, as replaced (whether or not upon termination, and whether with the original lenders or otherwise), restructured, repaid, refunded, refinanced or otherwise modified in whole or in part from time to time,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Company to not be included in the definition of “Credit Agreement”) and (ii) whether or not any credit agreement referred to in clause (i) remains outstanding, if designated by the Company to be included in the definition of “Credit Agreement,” one or more (A) debt facilities or commercial paper facilities, providing for revolving credit loans, term loans, securitization or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w:t>
      </w:r>
    </w:p>
    <w:p>
      <w:pPr>
        <w:spacing w:after="0" w:line="3" w:lineRule="exact"/>
        <w:rPr>
          <w:sz w:val="20"/>
          <w:szCs w:val="20"/>
          <w:color w:val="auto"/>
        </w:rPr>
      </w:pPr>
    </w:p>
    <w:p>
      <w:pPr>
        <w:ind w:right="20" w:firstLine="6"/>
        <w:spacing w:after="0" w:line="262" w:lineRule="auto"/>
        <w:tabs>
          <w:tab w:leader="none" w:pos="217"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instruments or agreements evidencing any other Indebtedness, in each case, with the same or different borrowers or issuers and, in each case, as amended, supplemented, modified, waived, extended, restructured, repaid, renewed, refinanced, restated, replaced (whether or not upon termination, and whether with the original lenders or otherwise) or refunded in whole or in part from time to time.</w:t>
      </w:r>
    </w:p>
    <w:p>
      <w:pPr>
        <w:spacing w:after="0" w:line="94"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Credit Agreement Documents</w:t>
      </w:r>
      <w:r>
        <w:rPr>
          <w:rFonts w:ascii="Times New Roman" w:cs="Times New Roman" w:eastAsia="Times New Roman" w:hAnsi="Times New Roman"/>
          <w:sz w:val="12"/>
          <w:szCs w:val="12"/>
          <w:color w:val="auto"/>
        </w:rPr>
        <w:t>” means the collective reference to any Credit Agreement, any notes issued pursuant thereto and the guarantees thereof, and the collateral documents (including, without limitation, intercreditor agreements) relating thereto, as amended, supplemented, restated, renewed, refunded, replaced (whether or not upon termination, and whether with the original lenders or otherwise), restructured, repaid, refinanced or otherwise modified, in whole or in part, from time to time.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Cumulative Credit</w:t>
      </w:r>
      <w:r>
        <w:rPr>
          <w:rFonts w:ascii="Times New Roman" w:cs="Times New Roman" w:eastAsia="Times New Roman" w:hAnsi="Times New Roman"/>
          <w:sz w:val="12"/>
          <w:szCs w:val="12"/>
          <w:color w:val="auto"/>
        </w:rPr>
        <w:t xml:space="preserve">” means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(without duplication):</w:t>
      </w:r>
    </w:p>
    <w:p>
      <w:pPr>
        <w:spacing w:after="0" w:line="109" w:lineRule="exact"/>
        <w:rPr>
          <w:sz w:val="20"/>
          <w:szCs w:val="20"/>
          <w:color w:val="auto"/>
        </w:rPr>
      </w:pPr>
    </w:p>
    <w:p>
      <w:pPr>
        <w:jc w:val="both"/>
        <w:ind w:left="460" w:firstLine="460"/>
        <w:spacing w:after="0" w:line="237" w:lineRule="auto"/>
        <w:tabs>
          <w:tab w:leader="none" w:pos="1364"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$400 million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50% of the Consolidated Net Income of the Company for the period (taken as one accounting period) from the first day of the fiscal quarter in which the Issue Date occurs to the end of the Company’s most recently ended fiscal quarter for which financial statements are available at the time of measurement;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calculated pursuant to this clause (b) shall in no event be less than $0, </w:t>
      </w:r>
      <w:r>
        <w:rPr>
          <w:rFonts w:ascii="Times New Roman" w:cs="Times New Roman" w:eastAsia="Times New Roman" w:hAnsi="Times New Roman"/>
          <w:sz w:val="12"/>
          <w:szCs w:val="12"/>
          <w:i w:val="1"/>
          <w:iCs w:val="1"/>
          <w:color w:val="auto"/>
        </w:rPr>
        <w:t>plus</w:t>
      </w:r>
    </w:p>
    <w:p>
      <w:pPr>
        <w:spacing w:after="0" w:line="88"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100% of the aggregate net proceeds, including cash and the Fair Market Value of property other than cash, received by the Company after the Issue Date (other than net proceeds to the extent such net proceeds have been used to Incur Indebtedness, Disqualified Stock or Preferred Stock pursuant to Section 4.03(b)(xiii)) from the issue or sale of Equity Interests of the Company (excluding Refunding Capital Stock, Designated Preferred Stock, Excluded Contributions and Disqualified Stock), including Equity Interests issued upon exercise of warrants or options (other than an issuance or sale to a Restricted Subsidiary),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aggregate amount of contributions to the capital of the Company received in cash and the Fair Market Value of property other than cash received by the Company after the Issue Date (other than Excluded Contributions, Refunding Capital Stock, Designated Preferred Stock and Disqualified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40" w:orient="portrait"/>
          <w:cols w:equalWidth="0" w:num="1">
            <w:col w:w="10620"/>
          </w:cols>
          <w:pgMar w:left="640" w:top="1440" w:right="640" w:bottom="1440" w:gutter="0" w:footer="0" w:header="0"/>
        </w:sectPr>
      </w:pPr>
    </w:p>
    <w:bookmarkStart w:id="312" w:name="page313"/>
    <w:bookmarkEnd w:id="312"/>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Stock and other than contributions to the extent such contributions have been used to incur Indebtedness, Disqualified Stock or Preferred Stock pursuant to Section 4.03(b)(xiii)), </w:t>
      </w:r>
      <w:r>
        <w:rPr>
          <w:rFonts w:ascii="Times New Roman" w:cs="Times New Roman" w:eastAsia="Times New Roman" w:hAnsi="Times New Roman"/>
          <w:sz w:val="12"/>
          <w:szCs w:val="12"/>
          <w:i w:val="1"/>
          <w:iCs w:val="1"/>
          <w:color w:val="auto"/>
        </w:rPr>
        <w:t>plus</w:t>
      </w:r>
    </w:p>
    <w:p>
      <w:pPr>
        <w:spacing w:after="0" w:line="111" w:lineRule="exact"/>
        <w:rPr>
          <w:sz w:val="20"/>
          <w:szCs w:val="20"/>
          <w:color w:val="auto"/>
        </w:rPr>
      </w:pPr>
    </w:p>
    <w:p>
      <w:pPr>
        <w:jc w:val="both"/>
        <w:ind w:left="460" w:right="20" w:firstLine="460"/>
        <w:spacing w:after="0" w:line="236" w:lineRule="auto"/>
        <w:tabs>
          <w:tab w:leader="none" w:pos="1364"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100% of the principal amount of any Indebtedness, or the liquidation preference or maximum fixed repurchase price, as the case may be, of any Disqualified Stock of the Company or any Restricted Subsidiary issued after the Issue Date (other than Indebtedness or Disqualified Stock issued to a Restricted Subsidiary) which has been converted into or exchanged for Equity Interests in the Company (other than Disqualified Stock),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aggregate amount received by the Company or any Restricted Subsidiary in cash and the Fair Market Value of property other than cash received by the Company or any Restricted Subsidiary (and 100% of the amount of the reduction in the amount of any guarantee by the Company or any Restricted Subsidiary to the extent the provision of such guarantee constituted a Restricted Payment) from:</w:t>
      </w:r>
    </w:p>
    <w:p>
      <w:pPr>
        <w:spacing w:after="0" w:line="87" w:lineRule="exact"/>
        <w:rPr>
          <w:rFonts w:ascii="Times New Roman" w:cs="Times New Roman" w:eastAsia="Times New Roman" w:hAnsi="Times New Roman"/>
          <w:sz w:val="12"/>
          <w:szCs w:val="12"/>
          <w:color w:val="auto"/>
        </w:rPr>
      </w:pPr>
    </w:p>
    <w:p>
      <w:pPr>
        <w:jc w:val="both"/>
        <w:ind w:left="920" w:firstLine="457"/>
        <w:spacing w:after="0" w:line="236" w:lineRule="auto"/>
        <w:tabs>
          <w:tab w:leader="none" w:pos="1824"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or other disposition (other than to the Company or a Restricted Subsidiary) of Restricted Investments made in reliance on the Cumulative Credit by the Company and its Restricted Subsidiaries and from repurchases and redemptions of such Restricted Investments from the Company and its Restricted Subsidiaries by any Person (other than the Company or any Restricted Subsidiary) and from repayments of loans or advances, and releases of guarantees, which constituted Restricted Investments made in reliance on the Cumulative Credit,</w:t>
      </w:r>
    </w:p>
    <w:p>
      <w:pPr>
        <w:spacing w:after="0" w:line="87"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(other than to the Company or a Restricted Subsidiary) of the Capital Stock of an Unrestricted Subsidiary, or</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distribution or dividend from an Unrestricted Subsidiary,</w:t>
      </w:r>
    </w:p>
    <w:p>
      <w:pPr>
        <w:spacing w:after="0" w:line="119" w:lineRule="exact"/>
        <w:rPr>
          <w:sz w:val="20"/>
          <w:szCs w:val="20"/>
          <w:color w:val="auto"/>
        </w:rPr>
      </w:pPr>
    </w:p>
    <w:p>
      <w:pPr>
        <w:ind w:left="460" w:right="20"/>
        <w:spacing w:after="0" w:line="287" w:lineRule="auto"/>
        <w:rPr>
          <w:sz w:val="20"/>
          <w:szCs w:val="20"/>
          <w:color w:val="auto"/>
        </w:rPr>
      </w:pPr>
      <w:r>
        <w:rPr>
          <w:rFonts w:ascii="Times New Roman" w:cs="Times New Roman" w:eastAsia="Times New Roman" w:hAnsi="Times New Roman"/>
          <w:sz w:val="12"/>
          <w:szCs w:val="12"/>
          <w:color w:val="auto"/>
        </w:rPr>
        <w:t xml:space="preserve">in the case of each of subclauses (A), (B), and (C), other than to the extent the ability of the Company and its Restricted Subsidiaries to make Restricted Payments or Permitted Investments is otherwise increased by the receipt of such amount of cash or property or the release of such guarantee, </w:t>
      </w:r>
      <w:r>
        <w:rPr>
          <w:rFonts w:ascii="Times New Roman" w:cs="Times New Roman" w:eastAsia="Times New Roman" w:hAnsi="Times New Roman"/>
          <w:sz w:val="12"/>
          <w:szCs w:val="12"/>
          <w:i w:val="1"/>
          <w:iCs w:val="1"/>
          <w:color w:val="auto"/>
        </w:rPr>
        <w:t>plus</w:t>
      </w:r>
    </w:p>
    <w:p>
      <w:pPr>
        <w:spacing w:after="0" w:line="70" w:lineRule="exact"/>
        <w:rPr>
          <w:sz w:val="20"/>
          <w:szCs w:val="20"/>
          <w:color w:val="auto"/>
        </w:rPr>
      </w:pPr>
    </w:p>
    <w:p>
      <w:pPr>
        <w:jc w:val="both"/>
        <w:ind w:left="460" w:right="20" w:firstLine="460"/>
        <w:spacing w:after="0" w:line="227" w:lineRule="auto"/>
        <w:tabs>
          <w:tab w:leader="none" w:pos="1364" w:val="left"/>
        </w:tabs>
        <w:numPr>
          <w:ilvl w:val="0"/>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any Unrestricted Subsidiary has been redesignated as a Restricted Subsidiary or has been merged, consolidated or amalgamated with or into, or transfers or conveys its assets to, or is liquidated into the Company or a Restricted Subsidiary, the Fair Market Value of the Investment of the Company or the Restricted Subsidiaries in such Unrestricted Subsidiary at the time of such redesignation, combination or transfer (or of the assets transferred or conveyed, as applicable) (which, if the Fair Market Value of such Investment or assets shall exceed $75 million, shall be determined by the Board of Directors of the Company) other than to the extent the ability of the Company and its Restricted Subsidiaries to make Restricted Payments or Permitted Investments is otherwise increased as a result of such redesignation or other transaction, </w:t>
      </w:r>
      <w:r>
        <w:rPr>
          <w:rFonts w:ascii="Times New Roman" w:cs="Times New Roman" w:eastAsia="Times New Roman" w:hAnsi="Times New Roman"/>
          <w:sz w:val="12"/>
          <w:szCs w:val="12"/>
          <w:i w:val="1"/>
          <w:iCs w:val="1"/>
          <w:color w:val="auto"/>
        </w:rPr>
        <w:t>plus</w:t>
      </w:r>
    </w:p>
    <w:p>
      <w:pPr>
        <w:spacing w:after="0" w:line="8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any Declined Excess Proceeds.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Custodian</w:t>
      </w:r>
      <w:r>
        <w:rPr>
          <w:rFonts w:ascii="Times New Roman" w:cs="Times New Roman" w:eastAsia="Times New Roman" w:hAnsi="Times New Roman"/>
          <w:sz w:val="12"/>
          <w:szCs w:val="12"/>
          <w:color w:val="auto"/>
        </w:rPr>
        <w:t>” means any receiver, trustee, assignee, liquidator, custodian, monitor or similar official under any Bankruptcy Law.</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Danish Capital Markets Act</w:t>
      </w:r>
      <w:r>
        <w:rPr>
          <w:rFonts w:ascii="Times New Roman" w:cs="Times New Roman" w:eastAsia="Times New Roman" w:hAnsi="Times New Roman"/>
          <w:sz w:val="12"/>
          <w:szCs w:val="12"/>
          <w:color w:val="auto"/>
        </w:rPr>
        <w:t>” means the consolidated act no. 652 of 10 June 2025 on capital markets (in Danish:</w:t>
      </w:r>
      <w:r>
        <w:rPr>
          <w:rFonts w:ascii="Times New Roman" w:cs="Times New Roman" w:eastAsia="Times New Roman" w:hAnsi="Times New Roman"/>
          <w:sz w:val="12"/>
          <w:szCs w:val="12"/>
          <w:i w:val="1"/>
          <w:iCs w:val="1"/>
          <w:color w:val="auto"/>
        </w:rPr>
        <w:t>kapitalmarkedsloven</w:t>
      </w:r>
      <w:r>
        <w:rPr>
          <w:rFonts w:ascii="Times New Roman" w:cs="Times New Roman" w:eastAsia="Times New Roman" w:hAnsi="Times New Roman"/>
          <w:sz w:val="12"/>
          <w:szCs w:val="12"/>
          <w:color w:val="auto"/>
        </w:rPr>
        <w:t>) as amended and/or supplemented from time to time.</w:t>
      </w:r>
    </w:p>
    <w:p>
      <w:pPr>
        <w:spacing w:after="0" w:line="13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Danish Security Documents</w:t>
      </w:r>
      <w:r>
        <w:rPr>
          <w:rFonts w:ascii="Times New Roman" w:cs="Times New Roman" w:eastAsia="Times New Roman" w:hAnsi="Times New Roman"/>
          <w:sz w:val="12"/>
          <w:szCs w:val="12"/>
          <w:color w:val="auto"/>
        </w:rPr>
        <w:t>” means (a) a first ranking assignment agreement of material intercompany receivables by the Company as assignor and the Notes Collateral Agent as assignee and as agent and representative for the Notes Secured Parties and (b) a first ranking floating charge agreement relating to certain assets of the Company by the Company as chargor and the Notes Collateral Agent as chargee and as agent and representative for the Notes Secured Parties.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Default</w:t>
      </w:r>
      <w:r>
        <w:rPr>
          <w:rFonts w:ascii="Times New Roman" w:cs="Times New Roman" w:eastAsia="Times New Roman" w:hAnsi="Times New Roman"/>
          <w:sz w:val="12"/>
          <w:szCs w:val="12"/>
          <w:color w:val="auto"/>
        </w:rPr>
        <w:t>” means any event which is, or after notice or passage of time or both would be, an Event of Default.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Depository</w:t>
      </w:r>
      <w:r>
        <w:rPr>
          <w:rFonts w:ascii="Times New Roman" w:cs="Times New Roman" w:eastAsia="Times New Roman" w:hAnsi="Times New Roman"/>
          <w:sz w:val="12"/>
          <w:szCs w:val="12"/>
          <w:color w:val="auto"/>
        </w:rPr>
        <w:t>” means The Depository Trust Company, its nominees and their respective successors.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40" w:orient="portrait"/>
          <w:cols w:equalWidth="0" w:num="1">
            <w:col w:w="10620"/>
          </w:cols>
          <w:pgMar w:left="640" w:top="1440" w:right="640" w:bottom="1440" w:gutter="0" w:footer="0" w:header="0"/>
        </w:sectPr>
      </w:pPr>
    </w:p>
    <w:bookmarkStart w:id="313" w:name="page314"/>
    <w:bookmarkEnd w:id="313"/>
    <w:p>
      <w:pPr>
        <w:spacing w:after="0" w:line="157"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Derivative Instrument</w:t>
      </w:r>
      <w:r>
        <w:rPr>
          <w:rFonts w:ascii="Times New Roman" w:cs="Times New Roman" w:eastAsia="Times New Roman" w:hAnsi="Times New Roman"/>
          <w:sz w:val="12"/>
          <w:szCs w:val="12"/>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Screened Affiliate) is a party (whether or not requiring further performance by such Person), the value and/or cash flows of which (or any material portion thereof) are materially affected by the value and/or performance of the Notes and/or the creditworthiness of any Issuer and/or any one or more of the Guarantors (the “</w:t>
      </w:r>
      <w:r>
        <w:rPr>
          <w:rFonts w:ascii="Times New Roman" w:cs="Times New Roman" w:eastAsia="Times New Roman" w:hAnsi="Times New Roman"/>
          <w:sz w:val="12"/>
          <w:szCs w:val="12"/>
          <w:u w:val="single" w:color="auto"/>
          <w:color w:val="auto"/>
        </w:rPr>
        <w:t>Performance References</w:t>
      </w:r>
      <w:r>
        <w:rPr>
          <w:rFonts w:ascii="Times New Roman" w:cs="Times New Roman" w:eastAsia="Times New Roman" w:hAnsi="Times New Roman"/>
          <w:sz w:val="12"/>
          <w:szCs w:val="12"/>
          <w:color w:val="auto"/>
        </w:rPr>
        <w:t>”). For the avoidance of doubt, the term “Derivative Instrument” shall not include the Notes.</w:t>
      </w:r>
    </w:p>
    <w:p>
      <w:pPr>
        <w:spacing w:after="0" w:line="95"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Designated Non-cash Consideration</w:t>
      </w:r>
      <w:r>
        <w:rPr>
          <w:rFonts w:ascii="Times New Roman" w:cs="Times New Roman" w:eastAsia="Times New Roman" w:hAnsi="Times New Roman"/>
          <w:sz w:val="12"/>
          <w:szCs w:val="12"/>
          <w:color w:val="auto"/>
        </w:rPr>
        <w:t xml:space="preserve">” means the Fair Market Value of non-cash consideration received by the Company or a Restricted Subsidiary in connection with an Asset Sale that is so designated as Designated Non-cash Consideration pursuant to an Officer’s Certificate of the Company, setting forth such valuation, </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the amount of cash or Cash Equivalents received in connection with a subsequent disposition of such non-cash consideration.</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Designated Preferred Stock</w:t>
      </w:r>
      <w:r>
        <w:rPr>
          <w:rFonts w:ascii="Times New Roman" w:cs="Times New Roman" w:eastAsia="Times New Roman" w:hAnsi="Times New Roman"/>
          <w:sz w:val="12"/>
          <w:szCs w:val="12"/>
          <w:color w:val="auto"/>
        </w:rPr>
        <w:t>” means Preferred Stock of the Company or any direct or indirect parent entity of the Company (in each case, other than Disqualified Stock), that is issued for cash (other than to the Company, any direct or indirect parent entity of the Company or any of their Subsidiaries or an employee stock ownership plan or trust established by the Company, any direct or indirect parent entity of the Company or any of their Subsidiaries) and is so designated as Designated Preferred Stock, pursuant to an Officer’s Certificate, on the issuance date thereof.</w:t>
      </w:r>
    </w:p>
    <w:p>
      <w:pPr>
        <w:spacing w:after="0" w:line="82"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Disqualified Stock</w:t>
      </w:r>
      <w:r>
        <w:rPr>
          <w:rFonts w:ascii="Times New Roman" w:cs="Times New Roman" w:eastAsia="Times New Roman" w:hAnsi="Times New Roman"/>
          <w:sz w:val="12"/>
          <w:szCs w:val="12"/>
          <w:color w:val="auto"/>
        </w:rPr>
        <w:t>” means, with respect to any Person, any Equity Interests of such Person that, by its terms (or by the terms of any security into which it is convertible or for which it is redeemable or exchangeable), or upon the happening of any event:</w:t>
      </w:r>
    </w:p>
    <w:p>
      <w:pPr>
        <w:spacing w:after="0" w:line="80" w:lineRule="exact"/>
        <w:rPr>
          <w:sz w:val="20"/>
          <w:szCs w:val="20"/>
          <w:color w:val="auto"/>
        </w:rPr>
      </w:pPr>
    </w:p>
    <w:p>
      <w:pPr>
        <w:ind w:left="1360" w:hanging="440"/>
        <w:spacing w:after="0"/>
        <w:tabs>
          <w:tab w:leader="none" w:pos="1360"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matures or is mandatorily redeemable, pursuant to a sinking fund obligation or otherwise,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convertible or exchangeable for Indebtedness or Disqualified Stock of such Person or any of its Restricted Subsidiaries,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redeemable at the option of the holder thereof, in whole or in part,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each case prior to the date that is 91 days after the earlier of the maturity date of the Notes and the date the Notes are no longer outstanding and other than as a result of a change of control or asset sale</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only the portion of Equity Interests that so matures or is mandatorily redeemable, is so convertible or exchangeable or is so redeemable at the option of the holder thereof prior to such date shall be deemed to be Disqualified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such Equity Interests are issued to any employee or to any plan for the benefit of employees of the Company or its Subsidiaries or by any such plan to such employees, such Equity Interests shall not constitute Disqualified Stock solely because they may be required to be repurchased by such Person in order to satisfy applicable statutory or regulatory obligations or as a result of such employee’s termination, death or disability;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class of Equity Interests of such Person that by its terms authorizes such Person to satisfy its obligations thereunder by delivery of Equity Interests that are not Disqualified Stock shall not be deemed to be Disqualified Stock.</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EBITDA</w:t>
      </w:r>
      <w:r>
        <w:rPr>
          <w:rFonts w:ascii="Times New Roman" w:cs="Times New Roman" w:eastAsia="Times New Roman" w:hAnsi="Times New Roman"/>
          <w:sz w:val="12"/>
          <w:szCs w:val="12"/>
          <w:color w:val="auto"/>
        </w:rPr>
        <w:t>” means, with respect to any Person for any period, the Consolidated Net Income of such Person and its Restricted Subsidiaries for such period</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1360" w:hanging="440"/>
        <w:spacing w:after="0"/>
        <w:tabs>
          <w:tab w:leader="none" w:pos="1360" w:val="left"/>
        </w:tabs>
        <w:numPr>
          <w:ilvl w:val="0"/>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without duplication, in each case, to the extent deducted in calculating or otherwise reducing Consolidated Net Income of such Person for such period:</w:t>
      </w:r>
    </w:p>
    <w:p>
      <w:pPr>
        <w:spacing w:after="0" w:line="111"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provision for Taxes based on income, profits or capital of such Person and its Restricted Subsidiaries for such period, without duplication, including, without limitation, state franchise and similar Taxes, and foreign withholding Taxes; </w:t>
      </w:r>
      <w:r>
        <w:rPr>
          <w:rFonts w:ascii="Times New Roman" w:cs="Times New Roman" w:eastAsia="Times New Roman" w:hAnsi="Times New Roman"/>
          <w:sz w:val="12"/>
          <w:szCs w:val="12"/>
          <w:i w:val="1"/>
          <w:iCs w:val="1"/>
          <w:color w:val="auto"/>
        </w:rPr>
        <w:t>plus</w:t>
      </w:r>
    </w:p>
    <w:p>
      <w:pPr>
        <w:spacing w:after="0" w:line="80" w:lineRule="exact"/>
        <w:rPr>
          <w:rFonts w:ascii="Times New Roman" w:cs="Times New Roman" w:eastAsia="Times New Roman" w:hAnsi="Times New Roman"/>
          <w:sz w:val="12"/>
          <w:szCs w:val="12"/>
          <w:color w:val="auto"/>
        </w:rPr>
      </w:pPr>
    </w:p>
    <w:p>
      <w:pPr>
        <w:ind w:left="920" w:firstLine="457"/>
        <w:spacing w:after="0" w:line="253" w:lineRule="auto"/>
        <w:tabs>
          <w:tab w:leader="none" w:pos="1824"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(x) Consolidated Interest Expense of such Person and its Restricted Subsidiaries for such period and (y) all cash dividend payments (excluding items eliminated in consolidation) on any series of preferred stock of any Restricted Subsidiary of such Person or any Disqualified Stock of such Person and its Restricted Subsidiaries; </w:t>
      </w:r>
      <w:r>
        <w:rPr>
          <w:rFonts w:ascii="Times New Roman" w:cs="Times New Roman" w:eastAsia="Times New Roman" w:hAnsi="Times New Roman"/>
          <w:sz w:val="12"/>
          <w:szCs w:val="12"/>
          <w:i w:val="1"/>
          <w:iCs w:val="1"/>
          <w:color w:val="auto"/>
        </w:rPr>
        <w:t>plus</w:t>
      </w:r>
    </w:p>
    <w:p>
      <w:pPr>
        <w:spacing w:after="0" w:line="80"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amortization (including amortization of intangibles, deferred financing fees and actuarial gains and losses related to pensions and other post-employment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40" w:orient="portrait"/>
          <w:cols w:equalWidth="0" w:num="1">
            <w:col w:w="10620"/>
          </w:cols>
          <w:pgMar w:left="640" w:top="1440" w:right="640" w:bottom="1440" w:gutter="0" w:footer="0" w:header="0"/>
        </w:sectPr>
      </w:pPr>
    </w:p>
    <w:bookmarkStart w:id="314" w:name="page315"/>
    <w:bookmarkEnd w:id="314"/>
    <w:p>
      <w:pPr>
        <w:spacing w:after="0" w:line="148" w:lineRule="exact"/>
        <w:rPr>
          <w:sz w:val="20"/>
          <w:szCs w:val="20"/>
          <w:color w:val="auto"/>
        </w:rPr>
      </w:pPr>
    </w:p>
    <w:p>
      <w:pPr>
        <w:jc w:val="both"/>
        <w:ind w:left="120" w:right="20"/>
        <w:spacing w:after="0" w:line="236" w:lineRule="auto"/>
        <w:rPr>
          <w:sz w:val="20"/>
          <w:szCs w:val="20"/>
          <w:color w:val="auto"/>
        </w:rPr>
      </w:pPr>
      <w:r>
        <w:rPr>
          <w:rFonts w:ascii="Times New Roman" w:cs="Times New Roman" w:eastAsia="Times New Roman" w:hAnsi="Times New Roman"/>
          <w:sz w:val="12"/>
          <w:szCs w:val="12"/>
          <w:color w:val="auto"/>
        </w:rPr>
        <w:t xml:space="preserve">benefits, but excluding amortization of prepaid cash expenses that were paid in a prior period) and other non-cash charges or expenses (excluding any such non- cash charge or expense to the extent that it represents an accrual of or reserve for cash expenses in any future period or amortization of a prepaid cash expense that was paid in a prior period) of such Person and its Restricted Subsidiaries for such period; </w:t>
      </w:r>
      <w:r>
        <w:rPr>
          <w:rFonts w:ascii="Times New Roman" w:cs="Times New Roman" w:eastAsia="Times New Roman" w:hAnsi="Times New Roman"/>
          <w:sz w:val="12"/>
          <w:szCs w:val="12"/>
          <w:i w:val="1"/>
          <w:iCs w:val="1"/>
          <w:color w:val="auto"/>
        </w:rPr>
        <w:t>plus</w:t>
      </w:r>
    </w:p>
    <w:p>
      <w:pPr>
        <w:spacing w:after="0" w:line="88" w:lineRule="exact"/>
        <w:rPr>
          <w:sz w:val="20"/>
          <w:szCs w:val="20"/>
          <w:color w:val="auto"/>
        </w:rPr>
      </w:pPr>
    </w:p>
    <w:p>
      <w:pPr>
        <w:jc w:val="both"/>
        <w:ind w:left="120" w:right="40" w:firstLine="457"/>
        <w:spacing w:after="0" w:line="236"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costs or expenses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such Person or net cash proceeds of an issuance of Equity Interests of such Person (other than Disqualified Stock) solely to the extent that such net cash proceeds are excluded from the calculation of the Cumulative Credit;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20" w:right="20" w:firstLine="457"/>
        <w:spacing w:after="0" w:line="253"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non-cash losses related to non-operational hedging, including, without limitation, resulting from hedging transactions for interest rate or currency exchange risks associated with the Notes, the Unsecured Notes or the Initial Credit Agreement; </w:t>
      </w:r>
      <w:r>
        <w:rPr>
          <w:rFonts w:ascii="Times New Roman" w:cs="Times New Roman" w:eastAsia="Times New Roman" w:hAnsi="Times New Roman"/>
          <w:sz w:val="12"/>
          <w:szCs w:val="12"/>
          <w:i w:val="1"/>
          <w:iCs w:val="1"/>
          <w:color w:val="auto"/>
        </w:rPr>
        <w:t>plus</w:t>
      </w:r>
    </w:p>
    <w:p>
      <w:pPr>
        <w:spacing w:after="0" w:line="80" w:lineRule="exact"/>
        <w:rPr>
          <w:rFonts w:ascii="Times New Roman" w:cs="Times New Roman" w:eastAsia="Times New Roman" w:hAnsi="Times New Roman"/>
          <w:sz w:val="12"/>
          <w:szCs w:val="12"/>
          <w:color w:val="auto"/>
        </w:rPr>
      </w:pPr>
    </w:p>
    <w:p>
      <w:pPr>
        <w:jc w:val="both"/>
        <w:ind w:left="120" w:right="20" w:firstLine="457"/>
        <w:spacing w:after="0" w:line="236"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one-time, non-recurring expenses with respect to milestone payments, upfront payments or other similar payments made in connection with any drug or pharmaceutical product research and development, collaboration arrangements or acquisition or option of any rights in respect of any drug or pharmaceutical product (and any related property or assets) to the extent such expenses would have been capitalized but for a change in accounting policies or procedures;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20" w:right="40" w:firstLine="457"/>
        <w:spacing w:after="0" w:line="253"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one-time, non-recurring acquired in process research and development expenses in connection with the acquisition by such Person or any of its Subsidiaries of any assets to the extent such expenses would have been capitalized but for a change in accounting policies or procedures; </w:t>
      </w:r>
      <w:r>
        <w:rPr>
          <w:rFonts w:ascii="Times New Roman" w:cs="Times New Roman" w:eastAsia="Times New Roman" w:hAnsi="Times New Roman"/>
          <w:sz w:val="12"/>
          <w:szCs w:val="12"/>
          <w:i w:val="1"/>
          <w:iCs w:val="1"/>
          <w:color w:val="auto"/>
        </w:rPr>
        <w:t>plus</w:t>
      </w:r>
    </w:p>
    <w:p>
      <w:pPr>
        <w:spacing w:after="0" w:line="78" w:lineRule="exact"/>
        <w:rPr>
          <w:rFonts w:ascii="Times New Roman" w:cs="Times New Roman" w:eastAsia="Times New Roman" w:hAnsi="Times New Roman"/>
          <w:sz w:val="12"/>
          <w:szCs w:val="12"/>
          <w:color w:val="auto"/>
        </w:rPr>
      </w:pPr>
    </w:p>
    <w:p>
      <w:pPr>
        <w:ind w:left="1020" w:hanging="443"/>
        <w:spacing w:after="0"/>
        <w:tabs>
          <w:tab w:leader="none" w:pos="1020"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adjustments relating to purchase (or asset acquisition method) accounting;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020" w:hanging="443"/>
        <w:spacing w:after="0"/>
        <w:tabs>
          <w:tab w:leader="none" w:pos="1020"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costs paid and expenses incurred in connection with litigation settlements;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020" w:hanging="443"/>
        <w:spacing w:after="0"/>
        <w:tabs>
          <w:tab w:leader="none" w:pos="1020"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unrealized mark-to-market losses on equity and securities investments; </w:t>
      </w:r>
      <w:r>
        <w:rPr>
          <w:rFonts w:ascii="Times New Roman" w:cs="Times New Roman" w:eastAsia="Times New Roman" w:hAnsi="Times New Roman"/>
          <w:sz w:val="12"/>
          <w:szCs w:val="12"/>
          <w:i w:val="1"/>
          <w:iCs w:val="1"/>
          <w:color w:val="auto"/>
        </w:rPr>
        <w:t>plus</w:t>
      </w:r>
    </w:p>
    <w:p>
      <w:pPr>
        <w:spacing w:after="0" w:line="111" w:lineRule="exact"/>
        <w:rPr>
          <w:rFonts w:ascii="Times New Roman" w:cs="Times New Roman" w:eastAsia="Times New Roman" w:hAnsi="Times New Roman"/>
          <w:sz w:val="12"/>
          <w:szCs w:val="12"/>
          <w:color w:val="auto"/>
        </w:rPr>
      </w:pPr>
    </w:p>
    <w:p>
      <w:pPr>
        <w:jc w:val="both"/>
        <w:ind w:left="120" w:firstLine="457"/>
        <w:spacing w:after="0" w:line="225"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amount of “run-rate” cost savings, operating expense reductions and cost synergies related to the Transactions or any other acquisition, disposition, restructuring, preopening, opening, closure, integration, cost saving initiative or other initiative, in each case, that are projected by a Financial Officer of such Person in good faith to result from actions taken, committed to be taken or expected to be taken no later than 24 months after the Initial Tender Offer Closing Date, the consummation of such other transaction or the initiation of such initiative, as applicable, which amounts are expected to have a continuing impact and are factually supportable and are determined by such Financial Officer in good faith and calculated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as though such amounts had been realized on the first day of such period, net of the amount of actual benefits realized during such period from such 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amounts added back pursuant to this clause (1)(k) shall not exceed 25% of EBITDA for such period (as calculated before giving effect to this clause (1)(k)); </w:t>
      </w:r>
      <w:r>
        <w:rPr>
          <w:rFonts w:ascii="Times New Roman" w:cs="Times New Roman" w:eastAsia="Times New Roman" w:hAnsi="Times New Roman"/>
          <w:sz w:val="12"/>
          <w:szCs w:val="12"/>
          <w:i w:val="1"/>
          <w:iCs w:val="1"/>
          <w:color w:val="auto"/>
        </w:rPr>
        <w:t>plus</w:t>
      </w:r>
    </w:p>
    <w:p>
      <w:pPr>
        <w:spacing w:after="0" w:line="89" w:lineRule="exact"/>
        <w:rPr>
          <w:rFonts w:ascii="Times New Roman" w:cs="Times New Roman" w:eastAsia="Times New Roman" w:hAnsi="Times New Roman"/>
          <w:sz w:val="12"/>
          <w:szCs w:val="12"/>
          <w:color w:val="auto"/>
        </w:rPr>
      </w:pPr>
    </w:p>
    <w:p>
      <w:pPr>
        <w:jc w:val="both"/>
        <w:ind w:left="120" w:right="20" w:firstLine="457"/>
        <w:spacing w:after="0" w:line="236"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costs and expenses incurred in connection with the Transactions and costs and expenses incurred in connection with the consummation of any transaction (or any transaction proposed and not consummated), including any issuance or offering of Equity Interests or debt securities, any dispositions, any recapitalization, merger, consolidation or amalgamation, any Incurrence, refinancing, amendment or modification of Indebtedness or any similar transaction and/or any Investment, including acquisitions;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jc w:val="both"/>
        <w:ind w:left="120" w:right="20" w:firstLine="457"/>
        <w:spacing w:after="0" w:line="236"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amount of costs relating to signing, retention and completion bonuses, severance, relocation expenses, recruiting expenses, costs and expenses incurred in connection with any strategic or new initiatives, transition costs, consolidation, integration and closing costs for facilities, information technology infrastructure and legal entities, business optimization expenses and new systems design and implementation costs;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20" w:right="40" w:firstLine="457"/>
        <w:spacing w:after="0" w:line="253" w:lineRule="auto"/>
        <w:tabs>
          <w:tab w:leader="none" w:pos="1024"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receipts (or netting arrangements resulting in reduced cash expenditures) not representing EBITDA of such Person or Consolidated Net Income of such Person in such period to the extent non-cash gains relating to such income were deducted in the calculation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12</w:t>
      </w:r>
    </w:p>
    <w:p>
      <w:pPr>
        <w:sectPr>
          <w:pgSz w:w="11900" w:h="16840" w:orient="portrait"/>
          <w:cols w:equalWidth="0" w:num="1">
            <w:col w:w="9840"/>
          </w:cols>
          <w:pgMar w:left="1440" w:top="1440" w:right="620" w:bottom="1440" w:gutter="0" w:footer="0" w:header="0"/>
        </w:sectPr>
      </w:pPr>
    </w:p>
    <w:bookmarkStart w:id="315" w:name="page316"/>
    <w:bookmarkEnd w:id="315"/>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 xml:space="preserve">EBITDA of such Person or Consolidated Net Income of such Person in a previous period and not added back; </w:t>
      </w:r>
      <w:r>
        <w:rPr>
          <w:rFonts w:ascii="Times New Roman" w:cs="Times New Roman" w:eastAsia="Times New Roman" w:hAnsi="Times New Roman"/>
          <w:sz w:val="12"/>
          <w:szCs w:val="12"/>
          <w:i w:val="1"/>
          <w:iCs w:val="1"/>
          <w:color w:val="auto"/>
        </w:rPr>
        <w:t>plus</w:t>
      </w:r>
    </w:p>
    <w:p>
      <w:pPr>
        <w:spacing w:after="0" w:line="111" w:lineRule="exact"/>
        <w:rPr>
          <w:sz w:val="20"/>
          <w:szCs w:val="20"/>
          <w:color w:val="auto"/>
        </w:rPr>
      </w:pPr>
    </w:p>
    <w:p>
      <w:pPr>
        <w:jc w:val="both"/>
        <w:ind w:left="920" w:firstLine="457"/>
        <w:spacing w:after="0" w:line="231" w:lineRule="auto"/>
        <w:tabs>
          <w:tab w:leader="none" w:pos="1824"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charges, costs, expenses, accruals or reserves in connection with the rollover, acceleration or payout of Equity Interests held by officers or employees of such Person and its Subsidiaries and all losses, charges and expenses related to payments made to holders of options or other derivative Equity Interests in the common Equity Interests of such Person in connection with, or as a result of, any distribution being made to holders of Equity Interests in such Person or any direct or indirect parent thereof, which payments are being made to compensate such option holders as though they were equity holders at the time of, and entitled to share in, such distribution;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expenses paid on behalf of any member of the Board of Directors of such Person or reimbursable to such member of the Board of Directors of such Person;</w:t>
      </w: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plus</w:t>
      </w:r>
    </w:p>
    <w:p>
      <w:pPr>
        <w:spacing w:after="0" w:line="93"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losses or discounts on any sale of Permitted Receivables Facility Assets and Permitted Receivables Related Assets in connection with any Qualified Receivables Facility;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amount of any contingent payments in connection with the licensing of Intellectual Property or other assets;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adjustments consistent with Article 11 of Regulation S-X (other than “management adjustments” referred to therein);</w:t>
      </w:r>
      <w:r>
        <w:rPr>
          <w:rFonts w:ascii="Times New Roman" w:cs="Times New Roman" w:eastAsia="Times New Roman" w:hAnsi="Times New Roman"/>
          <w:sz w:val="12"/>
          <w:szCs w:val="12"/>
          <w:i w:val="1"/>
          <w:iCs w:val="1"/>
          <w:color w:val="auto"/>
        </w:rPr>
        <w:t>minus</w:t>
      </w:r>
    </w:p>
    <w:p>
      <w:pPr>
        <w:spacing w:after="0" w:line="111"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sum of, without duplication, in each case, to the extent added back in or otherwise increasing Consolidated Net Income of such Person for such period:</w:t>
      </w:r>
    </w:p>
    <w:p>
      <w:pPr>
        <w:spacing w:after="0" w:line="109"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non-cash items increasing such Consolidated Net Income for such period (excluding the recognition of deferred revenue or any non-cash items that represent the reversal of any accrual of, or reserve for, anticipated cash charges in any prior period that reduced EBITDA in an earlier period and any items for which cash was received in any prior period); </w:t>
      </w:r>
      <w:r>
        <w:rPr>
          <w:rFonts w:ascii="Times New Roman" w:cs="Times New Roman" w:eastAsia="Times New Roman" w:hAnsi="Times New Roman"/>
          <w:sz w:val="12"/>
          <w:szCs w:val="12"/>
          <w:i w:val="1"/>
          <w:iCs w:val="1"/>
          <w:color w:val="auto"/>
        </w:rPr>
        <w:t>plus</w:t>
      </w:r>
    </w:p>
    <w:p>
      <w:pPr>
        <w:spacing w:after="0" w:line="80"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non-cash gains related to non-operational hedging, including, without limitation, resulting from hedging transactions for interest rate or currency exchange risks associated with the Notes or the Initial Credit Agreement; </w:t>
      </w:r>
      <w:r>
        <w:rPr>
          <w:rFonts w:ascii="Times New Roman" w:cs="Times New Roman" w:eastAsia="Times New Roman" w:hAnsi="Times New Roman"/>
          <w:sz w:val="12"/>
          <w:szCs w:val="12"/>
          <w:i w:val="1"/>
          <w:iCs w:val="1"/>
          <w:color w:val="auto"/>
        </w:rPr>
        <w:t>plus</w:t>
      </w:r>
    </w:p>
    <w:p>
      <w:pPr>
        <w:spacing w:after="0" w:line="78"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unrealized mark-to-market gains on equity and securities investments; </w:t>
      </w:r>
      <w:r>
        <w:rPr>
          <w:rFonts w:ascii="Times New Roman" w:cs="Times New Roman" w:eastAsia="Times New Roman" w:hAnsi="Times New Roman"/>
          <w:sz w:val="12"/>
          <w:szCs w:val="12"/>
          <w:i w:val="1"/>
          <w:iCs w:val="1"/>
          <w:color w:val="auto"/>
        </w:rPr>
        <w:t>plus</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income (to the extent not netted against interest expense in the calculation of Consolidated Interest Expense);</w:t>
      </w:r>
      <w:r>
        <w:rPr>
          <w:rFonts w:ascii="Times New Roman" w:cs="Times New Roman" w:eastAsia="Times New Roman" w:hAnsi="Times New Roman"/>
          <w:sz w:val="12"/>
          <w:szCs w:val="12"/>
          <w:i w:val="1"/>
          <w:iCs w:val="1"/>
          <w:color w:val="auto"/>
        </w:rPr>
        <w:t>plus</w:t>
      </w:r>
    </w:p>
    <w:p>
      <w:pPr>
        <w:spacing w:after="0" w:line="111"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income tax credits and refunds (to the extent not netted from Tax expense), in each case on a consolidated basis and determined in accordance with IFRS.</w:t>
      </w:r>
    </w:p>
    <w:p>
      <w:pPr>
        <w:spacing w:after="0" w:line="119" w:lineRule="exact"/>
        <w:rPr>
          <w:sz w:val="20"/>
          <w:szCs w:val="20"/>
          <w:color w:val="auto"/>
        </w:rPr>
      </w:pPr>
    </w:p>
    <w:p>
      <w:pPr>
        <w:jc w:val="both"/>
        <w:ind w:firstLine="457"/>
        <w:spacing w:after="0" w:line="254" w:lineRule="auto"/>
        <w:rPr>
          <w:sz w:val="20"/>
          <w:szCs w:val="20"/>
          <w:color w:val="auto"/>
        </w:rPr>
      </w:pPr>
      <w:r>
        <w:rPr>
          <w:rFonts w:ascii="Times New Roman" w:cs="Times New Roman" w:eastAsia="Times New Roman" w:hAnsi="Times New Roman"/>
          <w:sz w:val="12"/>
          <w:szCs w:val="12"/>
          <w:color w:val="auto"/>
        </w:rPr>
        <w:t>Notwithstanding the preceding, the provision for Taxes based on the income or profits of, the Consolidated Interest Expense of, the depreciation and amortization and other non-cash expenses or non-cash items of and the restructuring charges or expenses of, a Restricted Subsidiary (other than any Wholly Owned Subsidiary) of a Person will be added to (or subtracted from, in the case of non-cash items described in clause (2) above) Consolidated Net Income of such Person to compute EBITDA of such Person (A) in the same proportion that the Net Income of such Restricted Subsidiary was added to compute such Consolidated Net Income of such Person, and (B) only to the extent that a corresponding amount of the Net Income of such Restricted Subsidiary would be permitted at the date of determination to be dividended or distributed to the Company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 Unless otherwise specified, any reference herein to “EBITDA” means the EBITDA of the Company and its Restricted Subsidiaries on a consolidated basis.</w:t>
      </w:r>
    </w:p>
    <w:p>
      <w:pPr>
        <w:spacing w:after="0" w:line="10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Notwithstanding anything to the contrary herein, EBITDA shall be deemed to be $511 million for the fiscal quarter ended September 30, 2025, $409 million for the fiscal quarter ended June 30, 2025, $230 million for the fiscal quarter ended March 31, 2025, and $364 million for the fiscal quarter ended December 31,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ectPr>
          <w:pgSz w:w="11900" w:h="16840" w:orient="portrait"/>
          <w:cols w:equalWidth="0" w:num="1">
            <w:col w:w="10620"/>
          </w:cols>
          <w:pgMar w:left="640" w:top="1440" w:right="640" w:bottom="1440" w:gutter="0" w:footer="0" w:header="0"/>
        </w:sectPr>
      </w:pPr>
    </w:p>
    <w:bookmarkStart w:id="316" w:name="page317"/>
    <w:bookmarkEnd w:id="316"/>
    <w:p>
      <w:pPr>
        <w:spacing w:after="0" w:line="157"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Equal Lien Priority</w:t>
      </w:r>
      <w:r>
        <w:rPr>
          <w:rFonts w:ascii="Times New Roman" w:cs="Times New Roman" w:eastAsia="Times New Roman" w:hAnsi="Times New Roman"/>
          <w:sz w:val="12"/>
          <w:szCs w:val="12"/>
          <w:color w:val="auto"/>
        </w:rPr>
        <w:t>” means, with respect to specified Indebtedness, having equal Lien priority with the Liens securing such specified Indebtedness on specified Collateral (without regard to control of remedies) pursuant to and in accordance with the Equal Priority Intercreditor Agreement. Unless specified otherwise, Equal Lien Priority means having equal Lien priority with the Liens securing the Notes.</w:t>
      </w:r>
    </w:p>
    <w:p>
      <w:pPr>
        <w:spacing w:after="0" w:line="77" w:lineRule="exact"/>
        <w:rPr>
          <w:sz w:val="20"/>
          <w:szCs w:val="20"/>
          <w:color w:val="auto"/>
        </w:rPr>
      </w:pPr>
    </w:p>
    <w:p>
      <w:pPr>
        <w:jc w:val="both"/>
        <w:ind w:firstLine="457"/>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Equal Priority Indebtedness</w:t>
      </w:r>
      <w:r>
        <w:rPr>
          <w:rFonts w:ascii="Times New Roman" w:cs="Times New Roman" w:eastAsia="Times New Roman" w:hAnsi="Times New Roman"/>
          <w:sz w:val="12"/>
          <w:szCs w:val="12"/>
          <w:color w:val="auto"/>
        </w:rPr>
        <w:t xml:space="preserve">” means: (1) with respect to the Issuers, the Notes and any Indebtedness that ranks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in right of payment with the Notes, including Indebtedness Incurred under the Unsecured Notes and the New Senior Secured Credit Facilities; and (2) with respect to any Guarantor, its Guarantee and any Indebtedness that ranks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in right of payment with such Guarantor’s Guarantee, including such Guarantor’s guarantee of Indebtedness Incurred under the Unsecured Notes and the New Senior Secured Credit Facilities.</w:t>
      </w:r>
    </w:p>
    <w:p>
      <w:pPr>
        <w:spacing w:after="0" w:line="90"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Equal Priority Intercreditor Agreement</w:t>
      </w:r>
      <w:r>
        <w:rPr>
          <w:rFonts w:ascii="Times New Roman" w:cs="Times New Roman" w:eastAsia="Times New Roman" w:hAnsi="Times New Roman"/>
          <w:sz w:val="12"/>
          <w:szCs w:val="12"/>
          <w:color w:val="auto"/>
        </w:rPr>
        <w:t>” means an intercreditor agreement, dated as of the Initial Tender Offer Closing Date, among the Notes Collateral Agent, the Initial Credit Agreement Collateral Agent, the Issuers, the Guarantors and any Additional Equal Priority Secured Parties from time to time party thereto, substantially in the form of Exhibit C hereto (as the same may be amended, restated, renewed, replaced or otherwise modified from time to time).</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Equal Priority Obligations</w:t>
      </w:r>
      <w:r>
        <w:rPr>
          <w:rFonts w:ascii="Times New Roman" w:cs="Times New Roman" w:eastAsia="Times New Roman" w:hAnsi="Times New Roman"/>
          <w:sz w:val="12"/>
          <w:szCs w:val="12"/>
          <w:color w:val="auto"/>
        </w:rPr>
        <w:t>” means, collectively, (1) the Initial Credit Agreement Obligations, (2) the Notes Obligations and (3) each Series of Additional Equal Priority Obligations.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Equal Priority Secured Parties</w:t>
      </w:r>
      <w:r>
        <w:rPr>
          <w:rFonts w:ascii="Times New Roman" w:cs="Times New Roman" w:eastAsia="Times New Roman" w:hAnsi="Times New Roman"/>
          <w:sz w:val="12"/>
          <w:szCs w:val="12"/>
          <w:color w:val="auto"/>
        </w:rPr>
        <w:t>” means collectively, (1) the Initial Credit Agreement Secured Parties, (2) the Notes Secured Parties and (3) any Additional Equal Priority Secured Parties.</w:t>
      </w:r>
    </w:p>
    <w:p>
      <w:pPr>
        <w:spacing w:after="0" w:line="129" w:lineRule="exact"/>
        <w:rPr>
          <w:sz w:val="20"/>
          <w:szCs w:val="20"/>
          <w:color w:val="auto"/>
        </w:rPr>
      </w:pPr>
    </w:p>
    <w:p>
      <w:pPr>
        <w:jc w:val="both"/>
        <w:ind w:firstLine="457"/>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Interests</w:t>
      </w:r>
      <w:r>
        <w:rPr>
          <w:rFonts w:ascii="Times New Roman" w:cs="Times New Roman" w:eastAsia="Times New Roman" w:hAnsi="Times New Roman"/>
          <w:sz w:val="12"/>
          <w:szCs w:val="12"/>
          <w:color w:val="auto"/>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any Indebtedness convertible into or exchangeable for such Equity Interests.</w:t>
      </w:r>
    </w:p>
    <w:p>
      <w:pPr>
        <w:spacing w:after="0" w:line="232"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Equity Offering</w:t>
      </w:r>
      <w:r>
        <w:rPr>
          <w:rFonts w:ascii="Times New Roman" w:cs="Times New Roman" w:eastAsia="Times New Roman" w:hAnsi="Times New Roman"/>
          <w:sz w:val="12"/>
          <w:szCs w:val="12"/>
          <w:color w:val="auto"/>
        </w:rPr>
        <w:t>” means any public or private sale after the Issue Date of common Capital Stock or Preferred Stock of the Company or any direct or indirect parent entity of the Company (in each case, other than Disqualified Stock), other than:</w:t>
      </w:r>
    </w:p>
    <w:p>
      <w:pPr>
        <w:spacing w:after="0" w:line="80" w:lineRule="exact"/>
        <w:rPr>
          <w:sz w:val="20"/>
          <w:szCs w:val="20"/>
          <w:color w:val="auto"/>
        </w:rPr>
      </w:pPr>
    </w:p>
    <w:p>
      <w:pPr>
        <w:ind w:left="1360" w:hanging="440"/>
        <w:spacing w:after="0"/>
        <w:tabs>
          <w:tab w:leader="none" w:pos="136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offerings with respect to the Company’s or any of its direct or indirect parent entities’ Capital Stock registered on Form F-4, S-4 or Form S-8;</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issuances to any Subsidiary of the Company or any direct or indirect parent entity of the Company;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public or private sale that constitutes an Excluded Contribution.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of the SEC promulgated thereunder.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Contributions</w:t>
      </w:r>
      <w:r>
        <w:rPr>
          <w:rFonts w:ascii="Times New Roman" w:cs="Times New Roman" w:eastAsia="Times New Roman" w:hAnsi="Times New Roman"/>
          <w:sz w:val="12"/>
          <w:szCs w:val="12"/>
          <w:color w:val="auto"/>
        </w:rPr>
        <w:t>” means the Cash Equivalents or other assets (valued at their Fair Market Value) received by the Company after the Issue Date from:</w:t>
      </w:r>
    </w:p>
    <w:p>
      <w:pPr>
        <w:spacing w:after="0" w:line="109" w:lineRule="exact"/>
        <w:rPr>
          <w:sz w:val="20"/>
          <w:szCs w:val="20"/>
          <w:color w:val="auto"/>
        </w:rPr>
      </w:pPr>
    </w:p>
    <w:p>
      <w:pPr>
        <w:ind w:left="1360" w:hanging="440"/>
        <w:spacing w:after="0"/>
        <w:tabs>
          <w:tab w:leader="none" w:pos="1360"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contributions to its common equity capital, and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(other than to a Subsidiary of the Company or to any Subsidiary management equity plan or stock option plan or any other management or employee benefit plan or agreement) of Capital Stock (other than Disqualified Stock and Designated Preferred Stock) of the Company, in each case designated as Excluded Contributions pursuant to an Officer’s Certificate.</w:t>
      </w:r>
    </w:p>
    <w:p>
      <w:pPr>
        <w:spacing w:after="0" w:line="90"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Property</w:t>
      </w:r>
      <w:r>
        <w:rPr>
          <w:rFonts w:ascii="Times New Roman" w:cs="Times New Roman" w:eastAsia="Times New Roman" w:hAnsi="Times New Roman"/>
          <w:sz w:val="12"/>
          <w:szCs w:val="12"/>
          <w:color w:val="auto"/>
        </w:rPr>
        <w:t>” means (1) (x) any leasehold interest in real property and (y) any interest in fee-owned real property (or such jurisdictional equivalent) owned by any Grantor with a Fair Market Value less than $25 million (unless a security interest in such real property can be perfected without additional perfection steps); (2) motor vehicles and other assets subject to certificates of title (except to the extent perfection can be obtained by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14</w:t>
      </w:r>
    </w:p>
    <w:p>
      <w:pPr>
        <w:sectPr>
          <w:pgSz w:w="11900" w:h="16840" w:orient="portrait"/>
          <w:cols w:equalWidth="0" w:num="1">
            <w:col w:w="10620"/>
          </w:cols>
          <w:pgMar w:left="640" w:top="1440" w:right="640" w:bottom="1440" w:gutter="0" w:footer="0" w:header="0"/>
        </w:sectPr>
      </w:pPr>
    </w:p>
    <w:bookmarkStart w:id="317" w:name="page318"/>
    <w:bookmarkEnd w:id="317"/>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filing of financing statements or similar filing under applicable law, or automatically without any additional perfection steps); (3) letter of credit rights (except to the extent perfection can be obtained by filing of financing statements or similar filing under applicable law, or automatically without any additional perfection steps); (4) Commercial Tort Claims (as defined in the Uniform Commercial Code) with a value of less than $10 million (except to the extent perfection can be obtained by filing of financing statements or similar filing under applicable law, or automatically without any additional perfection steps); (5) any lease, license or other similar agreement or any property subject to a purchase money security interest, capital lease or similar arrangement, in each case, not prohibited by this Indenture, to the extent that a grant of a security interest therein would violate or invalidate such lease, license or other agreement or purchase money arrangement, capital lease or similar arrangement or create a right of termination in favor of any other party thereto (other than a Grantor) after giving effect to the applicable anti-assignment provisions of the UCC or other applicable law and other than proceeds and receivables thereof, the assignment of which is expressly deemed effective under applicable law notwithstanding such prohibition; (6) any U.S. intent- to-use trademark application prior to the filing of a “Statement of Use” or “Amendment to Allege Use” with respect thereto; (7) any governmental licenses or state or local franchises, licenses, permits, charters and authorizations, to the extent security interests therein are prohibited or restricted thereby after giving effect to the applicable anti- assignment provisions of the UCC or other applicable law; (8) any Equity Interests of (a) Unrestricted Subsidiaries, (b) any Immaterial Subsidiary, (c) any Insurance Subsidiary, (d) any not-for-profit subsidiaries, (e) any employee benefit trust company, (f) any special purpose entity and (g) any person that is not a Wholly Owned Subsidiary to the extent the granting of a security interest therein would violate the terms of such person’s organizational documents or any shareholders’ agreement or joint venture agreement relating to such person (after giving effect to applicable anti-assignment provisions of the UCC or other applicable law); (9) receivables and related assets securing any Qualified Receivables Facility in compliance with clause (16) of the definition of “Permitted Liens”; (10) any assets to the extent a pledge thereof would be prohibited by applicable law, rule or regulation after giving effect to the applicable anti-assignment provisions of the UCC or other applicable law, or by any applicable contractual requirement in existence on the Initial Tender Offer Closing Date or otherwise not prohibited by this Indenture, that is binding on and related to such asset on the Initial Tender Offer Closing Date or the date of the acquisition of such subsidiary that owns such assets (not created in contemplation of the acquisition of such subsidiary), as applicable, or which would require the consent or approval of a third party that has not been obtained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applicable Grantor has, to the extent required under the Initial Credit Agreement (or any replacement Credit Agreement), taken reasonable steps to remove such applicable contractual requirements or obtain such consent) (and in each case only for so long as such restriction or any replacement or renewal thereof is in effect) after giving effect to the applicable anti-assignment provisions of the UCC or other applicable law; (11) Margin Stock; (12) any assets with respect to which the Company reasonably determines (a) the grant of Liens securing the Notes Obligations would result in material adverse regulatory consequences or (b) the costs or other consequences (including, without limitations, tax consequences) of granting Liens securing the Notes Obligations would be excessive in relation to the value of the security afforded thereby; and (13) solely with respect to Notes Obligations of any Issuer or Guarantor that is resident for tax purposes in the United States or some or all of whose payments under the Notes, the Guarantees, this Indenture or the Collateral Documents, as applicable, are from sources within the United States for U.S. federal income tax purposes, voting Equity Interests (and any other interests constituting “voting stock” within the meaning of Treasury Regulations Section 1.956 -2(c)(2)) in excess of 65% of all such voting Equity Interests (or such other interests) (i) in any Foreign Subsidiary that is a “controlled foreign corporation” within the meaning of Section 957(a) of the Code (a “</w:t>
      </w:r>
      <w:r>
        <w:rPr>
          <w:rFonts w:ascii="Times New Roman" w:cs="Times New Roman" w:eastAsia="Times New Roman" w:hAnsi="Times New Roman"/>
          <w:sz w:val="12"/>
          <w:szCs w:val="12"/>
          <w:u w:val="single" w:color="auto"/>
          <w:color w:val="auto"/>
        </w:rPr>
        <w:t>CFC</w:t>
      </w:r>
      <w:r>
        <w:rPr>
          <w:rFonts w:ascii="Times New Roman" w:cs="Times New Roman" w:eastAsia="Times New Roman" w:hAnsi="Times New Roman"/>
          <w:sz w:val="12"/>
          <w:szCs w:val="12"/>
          <w:color w:val="auto"/>
        </w:rPr>
        <w:t>”) or (ii) any Subsidiary that is not a Foreign Subsidiary that owns no material assets (directly or through subsidiaries) other than Equity Interests (or Equity Interests and indebtedness) of one or more Foreign Subsidiaries that are CFCs or Equity Interests of other such Subsidiaries that are not Foreign Subsidiaries (a “</w:t>
      </w:r>
      <w:r>
        <w:rPr>
          <w:rFonts w:ascii="Times New Roman" w:cs="Times New Roman" w:eastAsia="Times New Roman" w:hAnsi="Times New Roman"/>
          <w:sz w:val="12"/>
          <w:szCs w:val="12"/>
          <w:u w:val="single" w:color="auto"/>
          <w:color w:val="auto"/>
        </w:rPr>
        <w:t>FSHCO</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Excluded Property shall not include any proceeds, substitutions or replacements of any Excluded Property referred to in clauses (1) through (13) of this definition (unless such proceeds, substitutions or replacements would constitute Excluded Property referred to in any of clauses (1) through (13) of this definition).</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Subsidiary</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Immaterial Subsidiary,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Subsidiary that is not a Wholly Owned Subsidiary (but only for so long as such Subsidiary remains a non-Wholly Owned Subsidiary),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15</w:t>
      </w:r>
    </w:p>
    <w:p>
      <w:pPr>
        <w:sectPr>
          <w:pgSz w:w="11900" w:h="16840" w:orient="portrait"/>
          <w:cols w:equalWidth="0" w:num="1">
            <w:col w:w="10640"/>
          </w:cols>
          <w:pgMar w:left="640" w:top="1440" w:right="620" w:bottom="1440" w:gutter="0" w:footer="0" w:header="0"/>
        </w:sectPr>
      </w:pPr>
    </w:p>
    <w:bookmarkStart w:id="318" w:name="page319"/>
    <w:bookmarkEnd w:id="318"/>
    <w:p>
      <w:pPr>
        <w:spacing w:after="0" w:line="148" w:lineRule="exact"/>
        <w:rPr>
          <w:sz w:val="20"/>
          <w:szCs w:val="20"/>
          <w:color w:val="auto"/>
        </w:rPr>
      </w:pPr>
    </w:p>
    <w:p>
      <w:pPr>
        <w:ind w:left="1360" w:hanging="440"/>
        <w:spacing w:after="0"/>
        <w:tabs>
          <w:tab w:leader="none" w:pos="1360"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Insurance Subsidiary,</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Foreign Subsidiary the provision of the Guarantee by which could reasonably be expected to result in a violation or breach of, or conflict with, fiduciary duties of such Foreign Subsidiary’s officers, directors or managers, but only if such Foreign Subsidiary and the Company shall have used reasonable efforts to overcome any such obstacle to the provision of such Guarantee,</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that is (i) prohibited from guaranteeing the Notes by any applicable law or (ii) would require consent, approval, license or authorization of a Governmental Authority to guarantee the Notes Obligations (unless such consent, approval, license or authorization has been received),</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that is prohibited by any applicable contractual requirement not prohibited under this Indenture from guaranteeing the Notes on the Issue Date or at the time such Subsidiary becomes a Subsidiary (not created in contemplation of the acquisition by the Company of such Subsidiary) from guaranteeing the Notes (and only for so long as such restriction or any replacement or renewal thereof is in effect),</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Receivables Entity,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Unrestricted Subsidiary,</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Agreed Guarantee and Security Principles, any other Subsidiary with respect to which the Company has reasonably determined that the cost or other consequences (including Tax consequences) of providing a Guarantee of the Notes Obligations are likely to be excessive in relation to the value afforded thereby; and</w:t>
      </w:r>
    </w:p>
    <w:p>
      <w:pPr>
        <w:spacing w:after="0" w:line="80"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solely with respect to Notes Obligations of any Issuer or Guarantor that is resident for tax purposes in the United States or some or all of whose payments under the Notes, the Guarantees, this Indenture or the Collateral Documents, as applicable, are from sources within the United States for U.S. federal income tax purposes: (i) any Foreign Subsidiary that is a CFC or (ii) any FSHCO;</w:t>
      </w:r>
    </w:p>
    <w:p>
      <w:pPr>
        <w:spacing w:after="0" w:line="9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as of the Issue Date, each Subsidiary of the Company other than those incorporated or organized in Denmark, the Netherlands or the United States or any state thereof will be an Excluded Subsidiary pursuant to clause (i) above;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notwithstanding the foregoing, neither the Company nor any Subsidiary that is a borrower or guarantor in respect of the Initial Credit Agreement shall be an Excluded Subsidiary.</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Credit Agreement</w:t>
      </w:r>
      <w:r>
        <w:rPr>
          <w:rFonts w:ascii="Times New Roman" w:cs="Times New Roman" w:eastAsia="Times New Roman" w:hAnsi="Times New Roman"/>
          <w:sz w:val="12"/>
          <w:szCs w:val="12"/>
          <w:color w:val="auto"/>
        </w:rPr>
        <w:t>” means that certain Facility Agreement, dated as of October 24, 2024 (as amended, restated, supplemented or otherwise modified from time to time), among the Company, the lenders party thereto, Danske Bank A/S, as agent, and the other parties referred to therein (including any refinancing, renewal, replacement, amendment, amendment and restatement or extension thereof prior to the Initial Tender Offer Closing Date).</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Fair Market Value</w:t>
      </w:r>
      <w:r>
        <w:rPr>
          <w:rFonts w:ascii="Times New Roman" w:cs="Times New Roman" w:eastAsia="Times New Roman" w:hAnsi="Times New Roman"/>
          <w:sz w:val="12"/>
          <w:szCs w:val="12"/>
          <w:color w:val="auto"/>
        </w:rPr>
        <w:t>” means, with respect to any asset or property, the price that could be negotiated in an arms’-length transaction between a willing seller and a willing buyer, neither of whom is under undue pressure or compulsion to complete the transaction, as determined in good faith by the Company.</w:t>
      </w:r>
    </w:p>
    <w:p>
      <w:pPr>
        <w:spacing w:after="0" w:line="79" w:lineRule="exact"/>
        <w:rPr>
          <w:sz w:val="20"/>
          <w:szCs w:val="20"/>
          <w:color w:val="auto"/>
        </w:rPr>
      </w:pPr>
    </w:p>
    <w:p>
      <w:pPr>
        <w:jc w:val="both"/>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Financial Officer</w:t>
      </w:r>
      <w:r>
        <w:rPr>
          <w:rFonts w:ascii="Times New Roman" w:cs="Times New Roman" w:eastAsia="Times New Roman" w:hAnsi="Times New Roman"/>
          <w:sz w:val="12"/>
          <w:szCs w:val="12"/>
          <w:color w:val="auto"/>
        </w:rPr>
        <w:t>” of any Person shall mean the chief financial officer, principal accounting officer, senior vice president of finance, treasurer, controller or other director or executive responsible for the financial affairs of such Person.</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First Lien Indebtedness</w:t>
      </w:r>
      <w:r>
        <w:rPr>
          <w:rFonts w:ascii="Times New Roman" w:cs="Times New Roman" w:eastAsia="Times New Roman" w:hAnsi="Times New Roman"/>
          <w:sz w:val="12"/>
          <w:szCs w:val="12"/>
          <w:color w:val="auto"/>
        </w:rPr>
        <w:t xml:space="preserve"> ” means any Secured Indebtedness other than any Secured Indebtedness secured by Liens with Junior Lien Priority or Liens on assets or property which do not constitute Collateral;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Indebtedness of the Company or any of its Restricted Subsidiaries of the type set forth in clause (6) of the definition of “Indebtedness” shall constitute First Lien Indebtedness.</w:t>
      </w:r>
    </w:p>
    <w:p>
      <w:pPr>
        <w:spacing w:after="0" w:line="79" w:lineRule="exact"/>
        <w:rPr>
          <w:sz w:val="20"/>
          <w:szCs w:val="20"/>
          <w:color w:val="auto"/>
        </w:rPr>
      </w:pPr>
    </w:p>
    <w:p>
      <w:pPr>
        <w:jc w:val="both"/>
        <w:ind w:right="20" w:firstLine="457"/>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First Lien Net Leverage Ratio</w:t>
      </w:r>
      <w:r>
        <w:rPr>
          <w:rFonts w:ascii="Times New Roman" w:cs="Times New Roman" w:eastAsia="Times New Roman" w:hAnsi="Times New Roman"/>
          <w:sz w:val="12"/>
          <w:szCs w:val="12"/>
          <w:color w:val="auto"/>
        </w:rPr>
        <w:t>” means, at any date, the ratio of (i) the principal amount of First Lien Indebtedness as of such date of calculation (determined on a consolidated basis) less the Unrestricted Cash Amount as of such date of determination to (ii) EBITDA of the Company for the four full fiscal quarters for which financial statements are available immediately preceding such date, 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16</w:t>
      </w:r>
    </w:p>
    <w:p>
      <w:pPr>
        <w:sectPr>
          <w:pgSz w:w="11900" w:h="16840" w:orient="portrait"/>
          <w:cols w:equalWidth="0" w:num="1">
            <w:col w:w="10620"/>
          </w:cols>
          <w:pgMar w:left="640" w:top="1440" w:right="640" w:bottom="1440" w:gutter="0" w:footer="0" w:header="0"/>
        </w:sectPr>
      </w:pPr>
    </w:p>
    <w:bookmarkStart w:id="319" w:name="page320"/>
    <w:bookmarkEnd w:id="319"/>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Fixed Charge Coverage Ratio</w:t>
      </w:r>
      <w:r>
        <w:rPr>
          <w:rFonts w:ascii="Times New Roman" w:cs="Times New Roman" w:eastAsia="Times New Roman" w:hAnsi="Times New Roman"/>
          <w:sz w:val="12"/>
          <w:szCs w:val="12"/>
          <w:color w:val="auto"/>
        </w:rPr>
        <w:t>” means, for any period, the ratio of EBITDA of the Company for such period to the Fixed Charges of the Company for such period, calculated on a Pro Forma Basis.</w:t>
      </w:r>
    </w:p>
    <w:p>
      <w:pPr>
        <w:spacing w:after="0" w:line="12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Fixed Charges</w:t>
      </w:r>
      <w:r>
        <w:rPr>
          <w:rFonts w:ascii="Times New Roman" w:cs="Times New Roman" w:eastAsia="Times New Roman" w:hAnsi="Times New Roman"/>
          <w:sz w:val="12"/>
          <w:szCs w:val="12"/>
          <w:color w:val="auto"/>
        </w:rPr>
        <w:t>” means, with respect to any Person for any period, the sum, without duplication, of: (1) Consolidated Interest Expense (excluding amortization or write -off of deferred financing costs) of such Person and its Restricted Subsidiaries for such period and (2) all cash dividend payments (excluding items eliminated in consolidation) on any series of Preferred Stock or Disqualified Stock of such Person and its Restricted Subsidiaries.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Foreign Subsidiary</w:t>
      </w:r>
      <w:r>
        <w:rPr>
          <w:rFonts w:ascii="Times New Roman" w:cs="Times New Roman" w:eastAsia="Times New Roman" w:hAnsi="Times New Roman"/>
          <w:sz w:val="12"/>
          <w:szCs w:val="12"/>
          <w:color w:val="auto"/>
        </w:rPr>
        <w:t>” means a Restricted Subsidiary not organized or existing under the laws of the United States of America or any state thereof or the District of Columbia.</w:t>
      </w:r>
    </w:p>
    <w:p>
      <w:pPr>
        <w:spacing w:after="0" w:line="12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Authority</w:t>
      </w:r>
      <w:r>
        <w:rPr>
          <w:rFonts w:ascii="Times New Roman" w:cs="Times New Roman" w:eastAsia="Times New Roman" w:hAnsi="Times New Roman"/>
          <w:sz w:val="12"/>
          <w:szCs w:val="12"/>
          <w:color w:val="auto"/>
        </w:rPr>
        <w:t>” means any federal, state, local or foreign court or governmental agency, authority, instrumentality or regulatory or legislative body (including but not limited to the Financial Conduct Authority, the Prudential Regulation Authority, and any supra-national bodies such as the European Union or the European Central Bank).</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Grantors</w:t>
      </w:r>
      <w:r>
        <w:rPr>
          <w:rFonts w:ascii="Times New Roman" w:cs="Times New Roman" w:eastAsia="Times New Roman" w:hAnsi="Times New Roman"/>
          <w:sz w:val="12"/>
          <w:szCs w:val="12"/>
          <w:color w:val="auto"/>
        </w:rPr>
        <w:t>” means, collectively, the Issuers and the Guarantors.</w:t>
      </w:r>
    </w:p>
    <w:p>
      <w:pPr>
        <w:spacing w:after="0" w:line="129" w:lineRule="exact"/>
        <w:rPr>
          <w:sz w:val="20"/>
          <w:szCs w:val="20"/>
          <w:color w:val="auto"/>
        </w:rPr>
      </w:pPr>
    </w:p>
    <w:p>
      <w:pPr>
        <w:jc w:val="both"/>
        <w:ind w:firstLine="457"/>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 or other obligations. The amount of any guarantee shall be deemed to be an amount equal to the stated or determinable amount of the Indebtedness in respect of which such guarantee is made or, if not stated or determinable, the maximum reasonably anticipated liability in respect thereof as determined by such person in good faith.</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means any guarantee of the obligations of the Issuers under this Indenture and the Notes by any Guarantor in accordance with the provisions of this Indenture.</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Guarantor</w:t>
      </w:r>
      <w:r>
        <w:rPr>
          <w:rFonts w:ascii="Times New Roman" w:cs="Times New Roman" w:eastAsia="Times New Roman" w:hAnsi="Times New Roman"/>
          <w:sz w:val="12"/>
          <w:szCs w:val="12"/>
          <w:color w:val="auto"/>
        </w:rPr>
        <w:t>” means (x) each Subsidiary of the Company that provides a Guarantee as of the Issue Date and (y) any Subsidiary of the Company that thereafter provides a Guarantee;</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the release or discharge of such Person from its Guarantee in accordance with this Indenture, such Person shall cease to be a Guarantor.</w:t>
      </w:r>
    </w:p>
    <w:p>
      <w:pPr>
        <w:spacing w:after="0" w:line="79"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Hedging Agreement</w:t>
      </w:r>
      <w:r>
        <w:rPr>
          <w:rFonts w:ascii="Times New Roman" w:cs="Times New Roman" w:eastAsia="Times New Roman" w:hAnsi="Times New Roman"/>
          <w:sz w:val="12"/>
          <w:szCs w:val="12"/>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phantom stock or similar plan providing for payments only on account of services provided by current or former directors, officers, employees or consultants of the Company or any of the Restricted Subsidiaries shall be a Hedging Agreement.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Hedging Obligations</w:t>
      </w:r>
      <w:r>
        <w:rPr>
          <w:rFonts w:ascii="Times New Roman" w:cs="Times New Roman" w:eastAsia="Times New Roman" w:hAnsi="Times New Roman"/>
          <w:sz w:val="12"/>
          <w:szCs w:val="12"/>
          <w:color w:val="auto"/>
        </w:rPr>
        <w:t>” means obligations in respect of any Hedging Agreement.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noteholder</w:t>
      </w:r>
      <w:r>
        <w:rPr>
          <w:rFonts w:ascii="Times New Roman" w:cs="Times New Roman" w:eastAsia="Times New Roman" w:hAnsi="Times New Roman"/>
          <w:sz w:val="12"/>
          <w:szCs w:val="12"/>
          <w:color w:val="auto"/>
        </w:rPr>
        <w:t>” means the Person in whose name a Note is registered on the Registrar’s books.</w:t>
      </w:r>
    </w:p>
    <w:p>
      <w:pPr>
        <w:spacing w:after="0" w:line="12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IFRS</w:t>
      </w:r>
      <w:r>
        <w:rPr>
          <w:rFonts w:ascii="Times New Roman" w:cs="Times New Roman" w:eastAsia="Times New Roman" w:hAnsi="Times New Roman"/>
          <w:sz w:val="12"/>
          <w:szCs w:val="12"/>
          <w:color w:val="auto"/>
        </w:rPr>
        <w:t xml:space="preserve">” shall mean the International Financial Reporting Standards (formerly International Accounting Standards) as in effect from time to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Issuers may elect, and notify the Trustee and the noteholders of such election, that IFRS shall mean GAAP (a “</w:t>
      </w:r>
      <w:r>
        <w:rPr>
          <w:rFonts w:ascii="Times New Roman" w:cs="Times New Roman" w:eastAsia="Times New Roman" w:hAnsi="Times New Roman"/>
          <w:sz w:val="12"/>
          <w:szCs w:val="12"/>
          <w:u w:val="single" w:color="auto"/>
          <w:color w:val="auto"/>
        </w:rPr>
        <w:t>GAAP Election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following such election all computations based on IFRS and IFRS concepts contained in this Indenture will be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17</w:t>
      </w:r>
    </w:p>
    <w:p>
      <w:pPr>
        <w:sectPr>
          <w:pgSz w:w="11900" w:h="16840" w:orient="portrait"/>
          <w:cols w:equalWidth="0" w:num="1">
            <w:col w:w="10620"/>
          </w:cols>
          <w:pgMar w:left="640" w:top="1440" w:right="640" w:bottom="1440" w:gutter="0" w:footer="0" w:header="0"/>
        </w:sectPr>
      </w:pPr>
    </w:p>
    <w:bookmarkStart w:id="320" w:name="page321"/>
    <w:bookmarkEnd w:id="320"/>
    <w:p>
      <w:pPr>
        <w:spacing w:after="0" w:line="15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color w:val="auto"/>
        </w:rPr>
        <w:t>computed in conformity with GAAP and GAAP concepts. Thereafter, the Issuers shall apply GAAP and make all computations under this Indenture based on GAAP. Notwithstanding anything to the contrary in this Indenture, solely making an election (without any other action) referred to in this definition will not be treated as an Incurrence of Indebtedness.</w:t>
      </w:r>
    </w:p>
    <w:p>
      <w:pPr>
        <w:spacing w:after="0" w:line="7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Immaterial Subsidiary</w:t>
      </w:r>
      <w:r>
        <w:rPr>
          <w:rFonts w:ascii="Times New Roman" w:cs="Times New Roman" w:eastAsia="Times New Roman" w:hAnsi="Times New Roman"/>
          <w:sz w:val="12"/>
          <w:szCs w:val="12"/>
          <w:color w:val="auto"/>
        </w:rPr>
        <w:t>” means any Subsidiary of the Company that, as of the last day of the fiscal quarter of the Company most recently ended, (a) did not have assets with a value in excess of 5.0% of Total Assets or revenues (excluding intercompany revenues) representing in excess of 5.0% of total revenues (excluding intercompany revenues) of the Company and its Restricted Subsidiaries on a consolidated basis as of such date and (b) taken together with all such Subsidiaries as of such date, did not have assets with a value in excess of 10.0% of Total Assets or revenues (excluding intercompany revenues) representing in excess of 10.0% of total revenues (excluding intercompany revenues) of the Company and its Restricted Subsidiaries on a consolidated basis as of such date.</w:t>
      </w:r>
    </w:p>
    <w:p>
      <w:pPr>
        <w:spacing w:after="0" w:line="95"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Incur</w:t>
      </w:r>
      <w:r>
        <w:rPr>
          <w:rFonts w:ascii="Times New Roman" w:cs="Times New Roman" w:eastAsia="Times New Roman" w:hAnsi="Times New Roman"/>
          <w:sz w:val="12"/>
          <w:szCs w:val="12"/>
          <w:color w:val="auto"/>
        </w:rPr>
        <w:t xml:space="preserve">” means issue, assume, guarantee, incur or otherwise become liable for;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Indebtedness or Capital Stock of a Person existing at the time such Person becomes a Subsidiary (whether by merger, amalgamation, consolidation, acquisition or otherwise) shall be deemed to be Incurred by such Person at the time it becomes a Subsidiary.</w:t>
      </w:r>
    </w:p>
    <w:p>
      <w:pPr>
        <w:spacing w:after="0" w:line="79" w:lineRule="exact"/>
        <w:rPr>
          <w:sz w:val="20"/>
          <w:szCs w:val="20"/>
          <w:color w:val="auto"/>
        </w:rPr>
      </w:pPr>
    </w:p>
    <w:p>
      <w:pPr>
        <w:jc w:val="both"/>
        <w:ind w:firstLine="457"/>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of any Person means, without duplication, (1) all obligations of such Person for borrowed money, (2)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(3)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 (4) all obligations of such Person issued or assumed as the deferred purchase price of property or services (except any such balance that (a) constitutes a trade payable or similar obligation to a trade creditor Incurred in the ordinary course of business, (b) any earn-out obligations until such obligation becomes a liability on the balance sheet of such Person in accordance with IFRS and (c) liabilities accrued in the ordinary course of business) which purchase price is due more than six months after the date of placing the property in service or taking delivery and title thereto, (5) all guarantees by such Person of Indebtedness of others, (6) all Capitalized Lease Obligations of such Person,</w:t>
      </w:r>
    </w:p>
    <w:p>
      <w:pPr>
        <w:spacing w:after="0" w:line="3" w:lineRule="exact"/>
        <w:rPr>
          <w:sz w:val="20"/>
          <w:szCs w:val="20"/>
          <w:color w:val="auto"/>
        </w:rPr>
      </w:pPr>
    </w:p>
    <w:p>
      <w:pPr>
        <w:jc w:val="both"/>
        <w:ind w:firstLine="6"/>
        <w:spacing w:after="0" w:line="250" w:lineRule="auto"/>
        <w:tabs>
          <w:tab w:leader="none" w:pos="187"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Hedging Obligations, to the extent the foregoing would appear on a balance sheet of such Person as a liability, (8) the principal component of all obligations, contingent or otherwise, of such Person as an account party in respect of letters of credit, (9) the principal component of all obligations of such Person in respect of bankers’ acceptances, (10) [reserved], (11)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 (12) all Attributable Receivables Indebtedness with respect to Qualified Receivables Facilities. The amount of Indebtedness of any Person for purposes of clause (11) above shall (unless such Indebtedness has been assumed by such Person or is otherwise recourse to such Person) be deemed to be equal to the lesser of (i) the aggregate unpaid amount of such Indebtedness and (ii) the Fair Market Value of the property encumbered thereby. Notwithstanding anything in this Indenture to the contrary, and to the extent applicable following a GAAP Election, (x)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Indenture as a result of accounting for any embedded derivatives created by the terms of such Indebtedness and (y) obligations under the Acquisition Documents shall not be deemed Indebtedness under this Indenture.</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means this Indenture as amended, supplemented or otherwise modified from time to time.</w:t>
      </w:r>
    </w:p>
    <w:p>
      <w:pPr>
        <w:spacing w:after="0" w:line="129"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Independent Financial Advisor</w:t>
      </w:r>
      <w:r>
        <w:rPr>
          <w:rFonts w:ascii="Times New Roman" w:cs="Times New Roman" w:eastAsia="Times New Roman" w:hAnsi="Times New Roman"/>
          <w:sz w:val="12"/>
          <w:szCs w:val="12"/>
          <w:color w:val="auto"/>
        </w:rPr>
        <w:t>” means an accounting, appraisal or investment banking firm or consultant, in each case of nationally recognized standing, that is, in the good faith determination of the Company, qualified to perform the task for which it has been engaged.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18</w:t>
      </w:r>
    </w:p>
    <w:p>
      <w:pPr>
        <w:sectPr>
          <w:pgSz w:w="11900" w:h="16840" w:orient="portrait"/>
          <w:cols w:equalWidth="0" w:num="1">
            <w:col w:w="10620"/>
          </w:cols>
          <w:pgMar w:left="640" w:top="1440" w:right="640" w:bottom="1440" w:gutter="0" w:footer="0" w:header="0"/>
        </w:sectPr>
      </w:pPr>
    </w:p>
    <w:bookmarkStart w:id="321" w:name="page322"/>
    <w:bookmarkEnd w:id="321"/>
    <w:p>
      <w:pPr>
        <w:spacing w:after="0" w:line="15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w:t>
      </w:r>
      <w:r>
        <w:rPr>
          <w:rFonts w:ascii="Times New Roman" w:cs="Times New Roman" w:eastAsia="Times New Roman" w:hAnsi="Times New Roman"/>
          <w:sz w:val="12"/>
          <w:szCs w:val="12"/>
          <w:color w:val="auto"/>
        </w:rPr>
        <w:t>” means the Credit Agreement governing the New Senior Secured Credit Facilities, to be entered into on the Initial Tender Offer Closing Date in connection with the Acquisition, among the Company and the U.S. Co-Issuer, as co- borrowers, the other Subsidiaries of the Company party thereto as guarantors, Morgan Stanley Senior Funding, Inc., as administrative agent, the Initial Credit Agreement Collateral Agent and the lenders or other parties party thereto from time to time, as amended, restated, amended and restated, supplemented or otherwise modified from time to time.</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 Collateral Agent</w:t>
      </w:r>
      <w:r>
        <w:rPr>
          <w:rFonts w:ascii="Times New Roman" w:cs="Times New Roman" w:eastAsia="Times New Roman" w:hAnsi="Times New Roman"/>
          <w:sz w:val="12"/>
          <w:szCs w:val="12"/>
          <w:color w:val="auto"/>
        </w:rPr>
        <w:t>” means Morgan Stanley Senior Funding, Inc., as collateral agent for the other Initial Credit Agreement Secured Parties, together with its successors and permitted assigns under the Initial Credit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 Obligations</w:t>
      </w:r>
      <w:r>
        <w:rPr>
          <w:rFonts w:ascii="Times New Roman" w:cs="Times New Roman" w:eastAsia="Times New Roman" w:hAnsi="Times New Roman"/>
          <w:sz w:val="12"/>
          <w:szCs w:val="12"/>
          <w:color w:val="auto"/>
        </w:rPr>
        <w:t>” has the meaning assigned to the term “Obligations” under the Initial Credit Agreement or any similar term.</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Credit Agreement Secured Parties</w:t>
      </w:r>
      <w:r>
        <w:rPr>
          <w:rFonts w:ascii="Times New Roman" w:cs="Times New Roman" w:eastAsia="Times New Roman" w:hAnsi="Times New Roman"/>
          <w:sz w:val="12"/>
          <w:szCs w:val="12"/>
          <w:color w:val="auto"/>
        </w:rPr>
        <w:t>” means the holders of Initial Credit Agreement Obligations and the Initial Credit Agreement Collateral Agent.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Tender Offer</w:t>
      </w:r>
      <w:r>
        <w:rPr>
          <w:rFonts w:ascii="Times New Roman" w:cs="Times New Roman" w:eastAsia="Times New Roman" w:hAnsi="Times New Roman"/>
          <w:sz w:val="12"/>
          <w:szCs w:val="12"/>
          <w:color w:val="auto"/>
        </w:rPr>
        <w:t>” means the Offer (as defined in the Acquisition Agreement as in effect on November 18, 2025).</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Initial Tender Offer Closing Date</w:t>
      </w:r>
      <w:r>
        <w:rPr>
          <w:rFonts w:ascii="Times New Roman" w:cs="Times New Roman" w:eastAsia="Times New Roman" w:hAnsi="Times New Roman"/>
          <w:sz w:val="12"/>
          <w:szCs w:val="12"/>
          <w:color w:val="auto"/>
        </w:rPr>
        <w:t>” means the date on which the Initial Tender Offer is consummated pursuant to the terms of the Acquisition Agreement.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Insurance Subsidiary</w:t>
      </w:r>
      <w:r>
        <w:rPr>
          <w:rFonts w:ascii="Times New Roman" w:cs="Times New Roman" w:eastAsia="Times New Roman" w:hAnsi="Times New Roman"/>
          <w:sz w:val="12"/>
          <w:szCs w:val="12"/>
          <w:color w:val="auto"/>
        </w:rPr>
        <w:t>” means any Subsidiary that is a so-called “captive” insurance company or insurance “cell.”</w:t>
      </w:r>
    </w:p>
    <w:p>
      <w:pPr>
        <w:spacing w:after="0" w:line="129" w:lineRule="exact"/>
        <w:rPr>
          <w:sz w:val="20"/>
          <w:szCs w:val="20"/>
          <w:color w:val="auto"/>
        </w:rPr>
      </w:pPr>
    </w:p>
    <w:p>
      <w:pPr>
        <w:jc w:val="both"/>
        <w:ind w:right="20" w:firstLine="457"/>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all U.S. and non- U.S. intellectual property, whether based on statutory or common law rights, if applicable, including: (i) copyrights, registrations and applications for registration thereof, (ii) trademarks, service marks, trade names, brand names, domain names, trade dress and registrations and applications of registrations thereof, and other identifiers of source or goodwill,</w:t>
      </w:r>
    </w:p>
    <w:p>
      <w:pPr>
        <w:spacing w:after="0" w:line="1" w:lineRule="exact"/>
        <w:rPr>
          <w:sz w:val="20"/>
          <w:szCs w:val="20"/>
          <w:color w:val="auto"/>
        </w:rPr>
      </w:pPr>
    </w:p>
    <w:p>
      <w:pPr>
        <w:jc w:val="both"/>
        <w:ind w:firstLine="6"/>
        <w:spacing w:after="0" w:line="255" w:lineRule="auto"/>
        <w:tabs>
          <w:tab w:leader="none" w:pos="230" w:val="left"/>
        </w:tabs>
        <w:numPr>
          <w:ilvl w:val="0"/>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patents and patent applications, in any jurisdiction in the world, including all provisionals, divisionals, continuations, continuations-in-part, reissues, reexaminations, renewals and extensions of any of the foregoing, and all rights to claim priority of any of the foregoing (“</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(iv) trade secrets and rights in confidential information, including rights in software, ideas, designs, concepts, compilations of information, methods, techniques, procedures, processes and other know-how, whether or not patentable and (v) any rights in databases.</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Intercreditor Agreements</w:t>
      </w:r>
      <w:r>
        <w:rPr>
          <w:rFonts w:ascii="Times New Roman" w:cs="Times New Roman" w:eastAsia="Times New Roman" w:hAnsi="Times New Roman"/>
          <w:sz w:val="12"/>
          <w:szCs w:val="12"/>
          <w:color w:val="auto"/>
        </w:rPr>
        <w:t>” means the Equal Priority Intercreditor Agreement, the Junior Priority Intercreditor Agreement and any other Acceptable Junior Priority Intercreditor Agreement, collectively.</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Investment Grade Rating</w:t>
      </w:r>
      <w:r>
        <w:rPr>
          <w:rFonts w:ascii="Times New Roman" w:cs="Times New Roman" w:eastAsia="Times New Roman" w:hAnsi="Times New Roman"/>
          <w:sz w:val="12"/>
          <w:szCs w:val="12"/>
          <w:color w:val="auto"/>
        </w:rPr>
        <w:t>” means a rating equal to or higher than “Baa3” (or the equivalent) by Moody’s or “BBB-” (or the equivalent) by S&amp;P, or an equivalent rating by any other Rating Agency in the event that either Moody’s and/or S&amp;P has not then rated the Notes.</w:t>
      </w:r>
    </w:p>
    <w:p>
      <w:pPr>
        <w:spacing w:after="0" w:line="70"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Investments</w:t>
      </w:r>
      <w:r>
        <w:rPr>
          <w:rFonts w:ascii="Times New Roman" w:cs="Times New Roman" w:eastAsia="Times New Roman" w:hAnsi="Times New Roman"/>
          <w:sz w:val="12"/>
          <w:szCs w:val="12"/>
          <w:color w:val="auto"/>
        </w:rPr>
        <w:t>” means, with respect to any Person, all investments by such Person in other Persons (including Affiliates) in the form of loans (including guarantees), advances or capital contributions (excluding accounts receivable, trade credit and advances to customers and commission, travel and similar advances to officers, employees and consultants made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purchases or other acquisitions for consideration of Indebtedness, Equity Interests or other securities issued by any other Person. For purposes of the definition of “Unrestricted Subsidiary” and Section 4.04:</w:t>
      </w:r>
    </w:p>
    <w:p>
      <w:pPr>
        <w:spacing w:after="0" w:line="90" w:lineRule="exact"/>
        <w:rPr>
          <w:sz w:val="20"/>
          <w:szCs w:val="20"/>
          <w:color w:val="auto"/>
        </w:rPr>
      </w:pPr>
    </w:p>
    <w:p>
      <w:pPr>
        <w:jc w:val="both"/>
        <w:ind w:left="460" w:right="20" w:firstLine="460"/>
        <w:spacing w:after="0" w:line="236" w:lineRule="auto"/>
        <w:tabs>
          <w:tab w:leader="none" w:pos="1364" w:val="left"/>
        </w:tabs>
        <w:numPr>
          <w:ilvl w:val="0"/>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shall include the portion (proportionate to the Company’s equity interest in such Subsidiary) of the Fair Market Value of the net assets of such Subsidiary at the time that such Subsidiary is designated an Unrestricted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upon a redesignation of such Subsidiary as a Restricted Subsidiary, the Company shall be deemed to continue to have an “Investment” in an Unrestricted Subsidiary equal to an amount (if positive) equal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19</w:t>
      </w:r>
    </w:p>
    <w:p>
      <w:pPr>
        <w:sectPr>
          <w:pgSz w:w="11900" w:h="16840" w:orient="portrait"/>
          <w:cols w:equalWidth="0" w:num="1">
            <w:col w:w="10620"/>
          </w:cols>
          <w:pgMar w:left="640" w:top="1440" w:right="640" w:bottom="1440" w:gutter="0" w:footer="0" w:header="0"/>
        </w:sectPr>
      </w:pPr>
    </w:p>
    <w:bookmarkStart w:id="322" w:name="page323"/>
    <w:bookmarkEnd w:id="322"/>
    <w:p>
      <w:pPr>
        <w:spacing w:after="0" w:line="146" w:lineRule="exact"/>
        <w:rPr>
          <w:sz w:val="20"/>
          <w:szCs w:val="20"/>
          <w:color w:val="auto"/>
        </w:rPr>
      </w:pPr>
    </w:p>
    <w:p>
      <w:pPr>
        <w:ind w:left="1820" w:hanging="443"/>
        <w:spacing w:after="0"/>
        <w:tabs>
          <w:tab w:leader="none" w:pos="1820"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its “Investment” in such Subsidiary at the time of such redesignation </w:t>
      </w:r>
      <w:r>
        <w:rPr>
          <w:rFonts w:ascii="Times New Roman" w:cs="Times New Roman" w:eastAsia="Times New Roman" w:hAnsi="Times New Roman"/>
          <w:sz w:val="12"/>
          <w:szCs w:val="12"/>
          <w:i w:val="1"/>
          <w:iCs w:val="1"/>
          <w:color w:val="auto"/>
        </w:rPr>
        <w:t>less</w:t>
      </w:r>
    </w:p>
    <w:p>
      <w:pPr>
        <w:spacing w:after="0" w:line="111"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(proportionate to its equity interest in such Subsidiary) of the Fair Market Value of the net assets of such Subsidiary at the time of such redesignation;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property transferred to or from an Unrestricted Subsidiary shall be valued at its Fair Market Value at the time of such transfer.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Issue Date</w:t>
      </w:r>
      <w:r>
        <w:rPr>
          <w:rFonts w:ascii="Times New Roman" w:cs="Times New Roman" w:eastAsia="Times New Roman" w:hAnsi="Times New Roman"/>
          <w:sz w:val="12"/>
          <w:szCs w:val="12"/>
          <w:color w:val="auto"/>
        </w:rPr>
        <w:t>” means the date on which the Initial Notes are issued.</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Issuers</w:t>
      </w:r>
      <w:r>
        <w:rPr>
          <w:rFonts w:ascii="Times New Roman" w:cs="Times New Roman" w:eastAsia="Times New Roman" w:hAnsi="Times New Roman"/>
          <w:sz w:val="12"/>
          <w:szCs w:val="12"/>
          <w:color w:val="auto"/>
        </w:rPr>
        <w:t>” means the Company and the U.S. Co-Issuer, until a Successor Company replaces the Company or the U.S. Co-Issuer, as applicable, in accordance with Section 5.01, and, thereafter, means the Company or the U.S. Co-Issuer, as applicable, and such Successor Company.</w:t>
      </w:r>
    </w:p>
    <w:p>
      <w:pPr>
        <w:spacing w:after="0" w:line="7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Junior Lien Priority</w:t>
      </w:r>
      <w:r>
        <w:rPr>
          <w:rFonts w:ascii="Times New Roman" w:cs="Times New Roman" w:eastAsia="Times New Roman" w:hAnsi="Times New Roman"/>
          <w:sz w:val="12"/>
          <w:szCs w:val="12"/>
          <w:color w:val="auto"/>
        </w:rPr>
        <w:t>” means, with respect to specified Indebtedness, that such Indebtedness is secured by a Lien on Collateral that is junior in priority to the Liens on the Collateral securing any of the Senior Priority Obligations and is subject to the Junior Priority Intercreditor Agreement or an Acceptable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are junior in priority to, other Liens constituting junior Liens).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Junior Priority Collateral Agent</w:t>
      </w:r>
      <w:r>
        <w:rPr>
          <w:rFonts w:ascii="Times New Roman" w:cs="Times New Roman" w:eastAsia="Times New Roman" w:hAnsi="Times New Roman"/>
          <w:sz w:val="12"/>
          <w:szCs w:val="12"/>
          <w:color w:val="auto"/>
        </w:rPr>
        <w:t>” means the Junior Priority Representative for the holders of any initial Junior Priority Obligations.</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Junior Priority Intercreditor Agreement</w:t>
      </w:r>
      <w:r>
        <w:rPr>
          <w:rFonts w:ascii="Times New Roman" w:cs="Times New Roman" w:eastAsia="Times New Roman" w:hAnsi="Times New Roman"/>
          <w:sz w:val="12"/>
          <w:szCs w:val="12"/>
          <w:color w:val="auto"/>
        </w:rPr>
        <w:t>” means an intercreditor agreement among the Initial Credit Agreement Collateral Agent, the Notes Collateral Agent, the applicable Junior Priority Collateral Agent(s), the Issuers and the Guarantors, substantially in the form of Exhibit D hereto.</w:t>
      </w:r>
    </w:p>
    <w:p>
      <w:pPr>
        <w:spacing w:after="0" w:line="7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Junior Priority Obligations</w:t>
      </w:r>
      <w:r>
        <w:rPr>
          <w:rFonts w:ascii="Times New Roman" w:cs="Times New Roman" w:eastAsia="Times New Roman" w:hAnsi="Times New Roman"/>
          <w:sz w:val="12"/>
          <w:szCs w:val="12"/>
          <w:color w:val="auto"/>
        </w:rPr>
        <w:t>” means the Obligations with respect to any Indebtedness having Junior Lien Priority relative to the Notes Obligations;</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Lien is permitted to be incurred under this Indenture, and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that the holders of such indebtedness or their Junior Priority Representative shall become party to the Junior Priority Intercreditor Agreement or an Acceptable Junior Priority Intercreditor Agreement.</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Junior Priority Representative</w:t>
      </w:r>
      <w:r>
        <w:rPr>
          <w:rFonts w:ascii="Times New Roman" w:cs="Times New Roman" w:eastAsia="Times New Roman" w:hAnsi="Times New Roman"/>
          <w:sz w:val="12"/>
          <w:szCs w:val="12"/>
          <w:color w:val="auto"/>
        </w:rPr>
        <w:t>” means any duly authorized representative of any holders of Junior Priority Obligations, which representative is named as such in the Junior Priority Intercreditor Agreement or an Acceptable Junior Priority Intercreditor Agreement or, in each case, any joinder thereto.</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xml:space="preserve">” means, with respect to any asset, any mortgage, lien, pledge, charge, security interest or similar encumbrance of any kind in respect of such asset, whether or not filed, recorded or otherwise perfected under applicable law (including any conditional sale or other title retention agreement or any lease in the nature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an operating lease or an agreement to sell be deemed to constitute a Lien.</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Limited Condition Acquisition</w:t>
      </w:r>
      <w:r>
        <w:rPr>
          <w:rFonts w:ascii="Times New Roman" w:cs="Times New Roman" w:eastAsia="Times New Roman" w:hAnsi="Times New Roman"/>
          <w:sz w:val="12"/>
          <w:szCs w:val="12"/>
          <w:color w:val="auto"/>
        </w:rPr>
        <w:t>” means any acquisition, including by means of a merger, amalgamation or consolidation, by the Company or one or more of its Restricted Subsidiaries, the consummation of which is not conditioned upon the availability of, or on obtaining, third party financing or in connection with which any fee or expense would be payable by the Company or its Subsidiaries to the seller or target in the event financing to consummate the acquisition is not obtained as contemplated by the definitive acquisition agreement.</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Long Derivative Instrument</w:t>
      </w:r>
      <w:r>
        <w:rPr>
          <w:rFonts w:ascii="Times New Roman" w:cs="Times New Roman" w:eastAsia="Times New Roman" w:hAnsi="Times New Roman"/>
          <w:sz w:val="12"/>
          <w:szCs w:val="12"/>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7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Major Non-Controlling Collateral Agent</w:t>
      </w:r>
      <w:r>
        <w:rPr>
          <w:rFonts w:ascii="Times New Roman" w:cs="Times New Roman" w:eastAsia="Times New Roman" w:hAnsi="Times New Roman"/>
          <w:sz w:val="12"/>
          <w:szCs w:val="12"/>
          <w:color w:val="auto"/>
        </w:rPr>
        <w:t>” means, after the Controlling Collateral Agent Change Date, the Collateral Agent (other than the Initial Credit Agreement Collateral Agent) of the Series of Equal Priority Obligations that constitutes the largest outstanding aggregate principal amount of any then outstanding Series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20</w:t>
      </w:r>
    </w:p>
    <w:p>
      <w:pPr>
        <w:sectPr>
          <w:pgSz w:w="11900" w:h="16840" w:orient="portrait"/>
          <w:cols w:equalWidth="0" w:num="1">
            <w:col w:w="10620"/>
          </w:cols>
          <w:pgMar w:left="640" w:top="1440" w:right="640" w:bottom="1440" w:gutter="0" w:footer="0" w:header="0"/>
        </w:sectPr>
      </w:pPr>
    </w:p>
    <w:bookmarkStart w:id="323" w:name="page324"/>
    <w:bookmarkEnd w:id="323"/>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Equal Priority Obligations (excluding the Initial Credit Agreement Obligations) with respect to the Shared Collateral.</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Margin Stock</w:t>
      </w:r>
      <w:r>
        <w:rPr>
          <w:rFonts w:ascii="Times New Roman" w:cs="Times New Roman" w:eastAsia="Times New Roman" w:hAnsi="Times New Roman"/>
          <w:sz w:val="12"/>
          <w:szCs w:val="12"/>
          <w:color w:val="auto"/>
        </w:rPr>
        <w:t>” means “margin stock” as such term is defined in Regulation U.</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Marketable Securities</w:t>
      </w:r>
      <w:r>
        <w:rPr>
          <w:rFonts w:ascii="Times New Roman" w:cs="Times New Roman" w:eastAsia="Times New Roman" w:hAnsi="Times New Roman"/>
          <w:sz w:val="12"/>
          <w:szCs w:val="12"/>
          <w:color w:val="auto"/>
        </w:rPr>
        <w:t>” means securities of a type consistent with the Company’s marketable securities portfolio as described in Note 4.4 of the Financial Statements for the Genmab Group included in the Offering Memorandum.</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Intellectual Property</w:t>
      </w:r>
      <w:r>
        <w:rPr>
          <w:rFonts w:ascii="Times New Roman" w:cs="Times New Roman" w:eastAsia="Times New Roman" w:hAnsi="Times New Roman"/>
          <w:sz w:val="12"/>
          <w:szCs w:val="12"/>
          <w:color w:val="auto"/>
        </w:rPr>
        <w:t>” shall mean Intellectual Property that is material to the business of the Company and the Restricted Subsidiaries taken as a whole.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Jurisdiction</w:t>
      </w:r>
      <w:r>
        <w:rPr>
          <w:rFonts w:ascii="Times New Roman" w:cs="Times New Roman" w:eastAsia="Times New Roman" w:hAnsi="Times New Roman"/>
          <w:sz w:val="12"/>
          <w:szCs w:val="12"/>
          <w:color w:val="auto"/>
        </w:rPr>
        <w:t>” shall have the meaning given to such term in the Initial Credit Agreement (or the meaning given to any analogous term in any replacement Credit Agreement, as applicable).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Subsidiary</w:t>
      </w:r>
      <w:r>
        <w:rPr>
          <w:rFonts w:ascii="Times New Roman" w:cs="Times New Roman" w:eastAsia="Times New Roman" w:hAnsi="Times New Roman"/>
          <w:sz w:val="12"/>
          <w:szCs w:val="12"/>
          <w:color w:val="auto"/>
        </w:rPr>
        <w:t>” means each Wholly Owned Subsidiary that is not an Immaterial Subsidiary.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Merus</w:t>
      </w:r>
      <w:r>
        <w:rPr>
          <w:rFonts w:ascii="Times New Roman" w:cs="Times New Roman" w:eastAsia="Times New Roman" w:hAnsi="Times New Roman"/>
          <w:sz w:val="12"/>
          <w:szCs w:val="12"/>
          <w:color w:val="auto"/>
        </w:rPr>
        <w:t>” means Merus N.V., a public limited liability company organized under the laws of the Netherlands, and any successors thereto.</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Moody’s</w:t>
      </w:r>
      <w:r>
        <w:rPr>
          <w:rFonts w:ascii="Times New Roman" w:cs="Times New Roman" w:eastAsia="Times New Roman" w:hAnsi="Times New Roman"/>
          <w:sz w:val="12"/>
          <w:szCs w:val="12"/>
          <w:color w:val="auto"/>
        </w:rPr>
        <w:t>” means Moody’s Investors Service, Inc. or any successor to the rating agency business thereof.</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Net Income</w:t>
      </w:r>
      <w:r>
        <w:rPr>
          <w:rFonts w:ascii="Times New Roman" w:cs="Times New Roman" w:eastAsia="Times New Roman" w:hAnsi="Times New Roman"/>
          <w:sz w:val="12"/>
          <w:szCs w:val="12"/>
          <w:color w:val="auto"/>
        </w:rPr>
        <w:t>” means, with respect to any Person, the net income (loss) of such Person, determined in accordance with IFRS and before any reduction in respect of Preferred Stock dividends.</w:t>
      </w:r>
    </w:p>
    <w:p>
      <w:pPr>
        <w:spacing w:after="0" w:line="129" w:lineRule="exact"/>
        <w:rPr>
          <w:sz w:val="20"/>
          <w:szCs w:val="20"/>
          <w:color w:val="auto"/>
        </w:rPr>
      </w:pPr>
    </w:p>
    <w:p>
      <w:pPr>
        <w:jc w:val="both"/>
        <w:ind w:firstLine="457"/>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Net Proceeds</w:t>
      </w:r>
      <w:r>
        <w:rPr>
          <w:rFonts w:ascii="Times New Roman" w:cs="Times New Roman" w:eastAsia="Times New Roman" w:hAnsi="Times New Roman"/>
          <w:sz w:val="12"/>
          <w:szCs w:val="12"/>
          <w:color w:val="auto"/>
        </w:rPr>
        <w:t>” means the aggregate cash proceeds received by the Company or any Restricted Subsidiary in respect of any Asset Sale (including, without limitation, any cash received in respect of or upon the sale or other disposition of any Designated Non-cash Consideration received in any Asset Sale and any cash payments received by way of deferred payment of principal pursuant to a note or installment receivable or otherwise, but only as and when received, but excluding the assumption by the acquiring Person of Indebtedness relating to the disposed assets or other consideration received in any other non- cash form), net of the direct costs relating to such Asset Sale or the sale or disposition of such Designated Non-cash Consideration (including, without limitation, legal, accounting and investment banking fees, and brokerage and sales commissions), and any relocation expenses Incurred as a result thereof, Taxes paid or payable as a result thereof (after taking into account any available Tax credits or deductions and any Tax sharing arrangements related solely to such disposition), amounts required to be applied to the repayment of principal, premium (if any) and interest on Equal Priority Indebtedness secured by a Lien on the assets subject to such Asset Sale required (other than pursuant to Section 4.06(b)) to be paid as a result of such transaction, and any deduction of appropriate amounts to be provided by the Company and its Restricted Subsidiaries as a reserve in accordance with IFRS against any liabilities associated with the asset disposed of in such transaction and retained by the Company and its Restricted Subsidiaries after such sale or other disposition thereof, including, without limitation, pension and other post-employment benefit liabilities and liabilities related to environmental matters or against any indemnification obligations associated with such transaction.</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Net Short</w:t>
      </w:r>
      <w:r>
        <w:rPr>
          <w:rFonts w:ascii="Times New Roman" w:cs="Times New Roman" w:eastAsia="Times New Roman" w:hAnsi="Times New Roman"/>
          <w:sz w:val="12"/>
          <w:szCs w:val="12"/>
          <w:color w:val="auto"/>
        </w:rPr>
        <w:t>” means, with respect to a holder or beneficial owner, as of a date of determination, either (i) the value of its Short Derivative Instruments exceeds the sum of the (x) the value of its Notes plus</w:t>
      </w:r>
    </w:p>
    <w:p>
      <w:pPr>
        <w:spacing w:after="0" w:line="19" w:lineRule="exact"/>
        <w:rPr>
          <w:sz w:val="20"/>
          <w:szCs w:val="20"/>
          <w:color w:val="auto"/>
        </w:rPr>
      </w:pPr>
    </w:p>
    <w:p>
      <w:pPr>
        <w:ind w:right="20" w:firstLine="6"/>
        <w:spacing w:after="0" w:line="262" w:lineRule="auto"/>
        <w:tabs>
          <w:tab w:leader="none" w:pos="179" w:val="left"/>
        </w:tabs>
        <w:numPr>
          <w:ilvl w:val="0"/>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or any Guarantor immediately prior to such date of determination.</w:t>
      </w:r>
    </w:p>
    <w:p>
      <w:pPr>
        <w:spacing w:after="0" w:line="94"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New Senior Secured Credit Facilities</w:t>
      </w:r>
      <w:r>
        <w:rPr>
          <w:rFonts w:ascii="Times New Roman" w:cs="Times New Roman" w:eastAsia="Times New Roman" w:hAnsi="Times New Roman"/>
          <w:sz w:val="12"/>
          <w:szCs w:val="12"/>
          <w:color w:val="auto"/>
        </w:rPr>
        <w:t>” means the senior secured credit facilities to be established by the Company and certain of its Subsidiaries pursuant to the Initial Credit Agreement, having the terms described in the Offering Memorandum as such terms may be modified prior to the entry into the Initial Credit Agreement.</w:t>
      </w:r>
    </w:p>
    <w:p>
      <w:pPr>
        <w:spacing w:after="0" w:line="79" w:lineRule="exact"/>
        <w:rPr>
          <w:sz w:val="20"/>
          <w:szCs w:val="20"/>
          <w:color w:val="auto"/>
        </w:rPr>
      </w:pPr>
    </w:p>
    <w:p>
      <w:pPr>
        <w:ind w:right="20" w:firstLine="457"/>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Non-Controlling Collateral Agent</w:t>
      </w:r>
      <w:r>
        <w:rPr>
          <w:rFonts w:ascii="Times New Roman" w:cs="Times New Roman" w:eastAsia="Times New Roman" w:hAnsi="Times New Roman"/>
          <w:sz w:val="12"/>
          <w:szCs w:val="12"/>
          <w:color w:val="auto"/>
        </w:rPr>
        <w:t>” means, at any time with respect to any Shared Collateral, any Collateral Agent that is not the Controlling Collateral Agent at such time with respect to such Shared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21</w:t>
      </w:r>
    </w:p>
    <w:p>
      <w:pPr>
        <w:sectPr>
          <w:pgSz w:w="11900" w:h="16840" w:orient="portrait"/>
          <w:cols w:equalWidth="0" w:num="1">
            <w:col w:w="10620"/>
          </w:cols>
          <w:pgMar w:left="640" w:top="1440" w:right="640" w:bottom="1440" w:gutter="0" w:footer="0" w:header="0"/>
        </w:sectPr>
      </w:pPr>
    </w:p>
    <w:bookmarkStart w:id="324" w:name="page325"/>
    <w:bookmarkEnd w:id="324"/>
    <w:p>
      <w:pPr>
        <w:spacing w:after="0" w:line="157" w:lineRule="exact"/>
        <w:rPr>
          <w:sz w:val="20"/>
          <w:szCs w:val="20"/>
          <w:color w:val="auto"/>
        </w:rPr>
      </w:pPr>
    </w:p>
    <w:p>
      <w:pPr>
        <w:jc w:val="both"/>
        <w:ind w:right="20" w:firstLine="457"/>
        <w:spacing w:after="0" w:line="251"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Non-Controlling Collateral Agent Enforcement Date</w:t>
      </w:r>
      <w:r>
        <w:rPr>
          <w:rFonts w:ascii="Times New Roman" w:cs="Times New Roman" w:eastAsia="Times New Roman" w:hAnsi="Times New Roman"/>
          <w:sz w:val="12"/>
          <w:szCs w:val="12"/>
          <w:color w:val="auto"/>
        </w:rPr>
        <w:t xml:space="preserve">” means, with respect to any Non- Controlling Collateral Agent, the date that is 90 days (throughout which 90-day period such Non-Controlling Collateral Agent was the Major Non -Controlling Collateral Agent) after the occurrence of both (1) an event of default, as defined in this Indenture or other debt facility for the applicable Series of Equal Priority Obligations, but only for so long as such event of default is continuing, and (2) the Controlling Collateral Agent and each other Collateral Agent’s receipt of written notice from such Non-Controlling Collateral Agent certifying that (a) such Non -Controlling Collateral Agent is the Major Non-Controlling Collateral Agent and that an event of default, as defined in this Indenture or other debt facility for that Series of Equal Priority Obligations, has occurred and is continuing and (b) the Equal Priority Obligations of that Series are currently due and payable in full (whether as a result of acceleration thereof or otherwise) in accordance with this Indenture or debt facility for that Series of Equal Priority Obligations;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Non-Controlling Collateral Agent Enforcement Date will be stayed and will not occur and will be deemed not to have occurred with respect to any Shared Collateral (i) at any time that the Controlling Collateral Agent has commenced and is diligently pursuing any enforcement action with respect to such Shared Collateral or</w:t>
      </w:r>
    </w:p>
    <w:p>
      <w:pPr>
        <w:spacing w:after="0" w:line="3" w:lineRule="exact"/>
        <w:rPr>
          <w:sz w:val="20"/>
          <w:szCs w:val="20"/>
          <w:color w:val="auto"/>
        </w:rPr>
      </w:pPr>
    </w:p>
    <w:p>
      <w:pPr>
        <w:ind w:left="460" w:right="720" w:hanging="454"/>
        <w:spacing w:after="0" w:line="451" w:lineRule="auto"/>
        <w:tabs>
          <w:tab w:leader="none" w:pos="185"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that any Grantor that has granted a security interest in such Shared Collateral is then a debtor under or with respect to (or otherwise subject to) any insolvency or liquidation proceeding. “</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 means the (i) Initial Notes and (ii) the Additional Notes issued from time to time.</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Notes Documents</w:t>
      </w:r>
      <w:r>
        <w:rPr>
          <w:rFonts w:ascii="Times New Roman" w:cs="Times New Roman" w:eastAsia="Times New Roman" w:hAnsi="Times New Roman"/>
          <w:sz w:val="12"/>
          <w:szCs w:val="12"/>
          <w:color w:val="auto"/>
        </w:rPr>
        <w:t>” means this Indenture, the Notes, the Guarantees and the Collateral Documents.</w:t>
      </w:r>
    </w:p>
    <w:p>
      <w:pPr>
        <w:spacing w:after="0" w:line="128" w:lineRule="exact"/>
        <w:rPr>
          <w:rFonts w:ascii="Times New Roman" w:cs="Times New Roman" w:eastAsia="Times New Roman" w:hAnsi="Times New Roman"/>
          <w:sz w:val="12"/>
          <w:szCs w:val="12"/>
          <w:color w:val="auto"/>
        </w:rPr>
      </w:pPr>
    </w:p>
    <w:p>
      <w:pPr>
        <w:ind w:left="460" w:right="1440"/>
        <w:spacing w:after="0" w:line="4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Notes Obligations</w:t>
      </w:r>
      <w:r>
        <w:rPr>
          <w:rFonts w:ascii="Times New Roman" w:cs="Times New Roman" w:eastAsia="Times New Roman" w:hAnsi="Times New Roman"/>
          <w:sz w:val="12"/>
          <w:szCs w:val="12"/>
          <w:color w:val="auto"/>
        </w:rPr>
        <w:t>” means Obligations in respect of the Notes (including, if applicable, the Applicable Premium), this Indenture, the Guarantees and the Collateral Documents. “</w:t>
      </w:r>
      <w:r>
        <w:rPr>
          <w:rFonts w:ascii="Times New Roman" w:cs="Times New Roman" w:eastAsia="Times New Roman" w:hAnsi="Times New Roman"/>
          <w:sz w:val="12"/>
          <w:szCs w:val="12"/>
          <w:u w:val="single" w:color="auto"/>
          <w:color w:val="auto"/>
        </w:rPr>
        <w:t>Notes Secured Parties</w:t>
      </w:r>
      <w:r>
        <w:rPr>
          <w:rFonts w:ascii="Times New Roman" w:cs="Times New Roman" w:eastAsia="Times New Roman" w:hAnsi="Times New Roman"/>
          <w:sz w:val="12"/>
          <w:szCs w:val="12"/>
          <w:color w:val="auto"/>
        </w:rPr>
        <w:t>” means the Notes Collateral Agent, the Trustee and the holders of the Notes.</w:t>
      </w:r>
    </w:p>
    <w:p>
      <w:pPr>
        <w:spacing w:after="0" w:line="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Obligations</w:t>
      </w:r>
      <w:r>
        <w:rPr>
          <w:rFonts w:ascii="Times New Roman" w:cs="Times New Roman" w:eastAsia="Times New Roman" w:hAnsi="Times New Roman"/>
          <w:sz w:val="12"/>
          <w:szCs w:val="12"/>
          <w:color w:val="auto"/>
        </w:rPr>
        <w:t>” means any principal, interest, premium, penalties, fees, indemnifications, reimbursements (including, without limitation, reimbursement obligations with respect to letters of credit and bankers’ acceptances), damages and other liabilities payable under the documentation governing any Indebtedness (including interest, fees and expenses accruing after commencement of a bankruptcy or reorganization proceeding, whether or not a claim for interest, fees or expenses is allowed or allowable in such proceeding).</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Offering Memorandum</w:t>
      </w:r>
      <w:r>
        <w:rPr>
          <w:rFonts w:ascii="Times New Roman" w:cs="Times New Roman" w:eastAsia="Times New Roman" w:hAnsi="Times New Roman"/>
          <w:sz w:val="12"/>
          <w:szCs w:val="12"/>
          <w:color w:val="auto"/>
        </w:rPr>
        <w:t>” means the offering memorandum dated November 18, 2025, relating to the issuance of the Initial Notes and the Unsecured Notes.</w:t>
      </w:r>
    </w:p>
    <w:p>
      <w:pPr>
        <w:spacing w:after="0" w:line="12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w:t>
      </w:r>
      <w:r>
        <w:rPr>
          <w:rFonts w:ascii="Times New Roman" w:cs="Times New Roman" w:eastAsia="Times New Roman" w:hAnsi="Times New Roman"/>
          <w:sz w:val="12"/>
          <w:szCs w:val="12"/>
          <w:color w:val="auto"/>
        </w:rPr>
        <w:t>” means, with respect to any Person, as applicable, the chief executive officer, president, senior vice president, vice president, chief financial officer, treasurer or controller of such Person and, in the case of any Guarantor incorporated or organized outside of the United States, any duly appointed authorized signatory or any director or managing member of such person that has been designated in writing by the Company as being so authorized. Any document delivered pursuant to this Indenture, the Notes or any Collateral Documents that is signed by an Officer of any Issuer or Guarantor shall be conclusively presumed to have been authorized by all necessary corporate, partnership and/or other action on the part of such Person and such Officer shall be conclusively presumed to have acted on behalf of such Person.</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Officer’s Certificate</w:t>
      </w:r>
      <w:r>
        <w:rPr>
          <w:rFonts w:ascii="Times New Roman" w:cs="Times New Roman" w:eastAsia="Times New Roman" w:hAnsi="Times New Roman"/>
          <w:sz w:val="12"/>
          <w:szCs w:val="12"/>
          <w:color w:val="auto"/>
        </w:rPr>
        <w:t>” means, with respect to any Person, a certificate signed on behalf of such Person by an Officer of such Person.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Opinion of Counsel</w:t>
      </w:r>
      <w:r>
        <w:rPr>
          <w:rFonts w:ascii="Times New Roman" w:cs="Times New Roman" w:eastAsia="Times New Roman" w:hAnsi="Times New Roman"/>
          <w:sz w:val="12"/>
          <w:szCs w:val="12"/>
          <w:color w:val="auto"/>
        </w:rPr>
        <w:t>” means, with respect to any Person, a written opinion from legal counsel who is acceptable to the Trustee. The counsel may be an employee of or counsel to such Person.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has the meaning assigned to such term in the definition of “Intellectual Property”.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Investments</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jc w:val="both"/>
        <w:ind w:left="460" w:firstLine="460"/>
        <w:spacing w:after="0" w:line="236" w:lineRule="auto"/>
        <w:tabs>
          <w:tab w:leader="none" w:pos="1364"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Investment in the Company or any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aggregate amount of Investments made by the Issuers and the Guarantors in Restricted Subsidiaries (other than the U.S. Co-Issuer) that are not Guarantors made following the Issue Date (other than Investments to fund ordinary course business operations or to fund Investments by such non-Guarantor Restricted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22</w:t>
      </w:r>
    </w:p>
    <w:p>
      <w:pPr>
        <w:sectPr>
          <w:pgSz w:w="11900" w:h="16840" w:orient="portrait"/>
          <w:cols w:equalWidth="0" w:num="1">
            <w:col w:w="10620"/>
          </w:cols>
          <w:pgMar w:left="640" w:top="1440" w:right="640" w:bottom="1440" w:gutter="0" w:footer="0" w:header="0"/>
        </w:sectPr>
      </w:pPr>
    </w:p>
    <w:bookmarkStart w:id="325" w:name="page326"/>
    <w:bookmarkEnd w:id="325"/>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are otherwise permitted by this Indenture) under this clause (1) shall not exceed the greater of $500 million and 4.0% of Total Assets;</w:t>
      </w:r>
    </w:p>
    <w:p>
      <w:pPr>
        <w:spacing w:after="0" w:line="109" w:lineRule="exact"/>
        <w:rPr>
          <w:sz w:val="20"/>
          <w:szCs w:val="20"/>
          <w:color w:val="auto"/>
        </w:rPr>
      </w:pPr>
    </w:p>
    <w:p>
      <w:pPr>
        <w:ind w:left="900" w:hanging="440"/>
        <w:spacing w:after="0"/>
        <w:tabs>
          <w:tab w:leader="none" w:pos="900"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Cash Equivalents or Marketable Securities;</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by the Company or any Restricted Subsidiary in a Person if as a result of such Investment (a) such Person becomes a Restricted Subsidiary, or (b) such Person, in one transaction or a series of related transactions, is merged, consolidated or amalgamated with or into, or transfers or conveys all or substantially all of its assets to, or is liquidated into, the Company or a Restricted Subsidiary;</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securities or other assets not constituting Cash Equivalents and received in connection with an Asset Sale made pursuant to Section 4.06 or any other disposition of assets not constituting an Asset Sale;</w:t>
      </w:r>
    </w:p>
    <w:p>
      <w:pPr>
        <w:spacing w:after="0" w:line="80"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Investment of the Company or any of its Subsidiaries existing on, or made pursuant to binding commitments existing on, the Issue Date, or of Merus and its Subsidiaries existing on, or made pursuant to binding commitments existing on, the Initial Tender Offer Closing Date, or in each case, any extension, modification or renewal of any such Investment;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any such Investment may be increased (x) as required by the terms of such Investment as in existence on the Issue Date or Initial Tender Offer Closing Date, as applicable, or (y) as otherwise permitted under this Indenture;</w:t>
      </w:r>
    </w:p>
    <w:p>
      <w:pPr>
        <w:spacing w:after="0" w:line="87"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and advances to officers, directors, employees or consultants of the Company or any of its Subsidiaries (i) in the ordinary course of business in an aggregate outstanding amount (valued at the time of the making thereof, and without giving effect to any write-downs or write-offs thereof) not to exceed $40 million at the time of Incurrence, (ii) in respect of payroll payments and expenses in the ordinary course of business and (iii) in connection with such Person’s purchase of Equity Interests of the Company or any direct or indirect parent entity of the Company;</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acquired by the Company or any Restricted Subsidiary (a) in exchange for any other Investment or accounts receivable held by the Company or such Restricted Subsidiary in connection with or as a result of a bankruptcy, workout, reorganization or recapitalization of the Company of such other Investment or accounts receivable, or (b) as a result of a foreclosure by the Company or any Restricted Subsidiary with respect to any secured Investment or other transfer of title with respect to any secured Investment in default;</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Hedging Obligations permitted under Section 4.03(b)(x);</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customary upfront milestone, marketing or other funding payment consistent with past and/or industry practice to another Person in connection with obtaining a right to receive royalty or other payments in the future;</w:t>
      </w:r>
    </w:p>
    <w:p>
      <w:pPr>
        <w:spacing w:after="0" w:line="80"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additional Investments by the Company or any Restricted Subsidiary having an aggregate Fair Market Value, taken together with all other Investments made pursuant to this clause (10) that are at that time outstanding, not to exceed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(x) the greater of $800 million and 6.4% of Total Assets as of the date of such Investment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(y)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Investment pursuant to this clause (10) is made in any Person that is not the Company or a Restricted Subsidiary at the date of the making of such Investment and such Person becomes the Company or a Restricted Subsidiary after such date, such Investment shall thereafter be deemed to have been made pursuant to clause (3) above and shall cease to have been made pursuant to this clause (10) for so long as such Person continues to be the Company or a Restricted Subsidiary;</w:t>
      </w:r>
    </w:p>
    <w:p>
      <w:pPr>
        <w:spacing w:after="0" w:line="8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and advances to officers, directors or employees for business-related travel expenses, moving expenses and other similar expenses, in each case Incurred in the ordinary course of business or consistent with past practice;</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the payment for which consists of Equity Interests of the Company or any direct or indirect parent entity of the Company (in each case, other than Disqualified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Equity Interests will not increase the amount available for Restricted Payments under clause (3) of the definition of “Cumulative Credit”;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23</w:t>
      </w:r>
    </w:p>
    <w:p>
      <w:pPr>
        <w:sectPr>
          <w:pgSz w:w="11900" w:h="16840" w:orient="portrait"/>
          <w:cols w:equalWidth="0" w:num="1">
            <w:col w:w="10160"/>
          </w:cols>
          <w:pgMar w:left="1100" w:top="1440" w:right="640" w:bottom="1440" w:gutter="0" w:footer="0" w:header="0"/>
        </w:sectPr>
      </w:pPr>
    </w:p>
    <w:bookmarkStart w:id="326" w:name="page327"/>
    <w:bookmarkEnd w:id="326"/>
    <w:p>
      <w:pPr>
        <w:spacing w:after="0" w:line="148" w:lineRule="exact"/>
        <w:rPr>
          <w:sz w:val="20"/>
          <w:szCs w:val="20"/>
          <w:color w:val="auto"/>
        </w:rPr>
      </w:pPr>
    </w:p>
    <w:p>
      <w:pPr>
        <w:ind w:left="900" w:hanging="440"/>
        <w:spacing w:after="0"/>
        <w:tabs>
          <w:tab w:leader="none" w:pos="900" w:val="left"/>
        </w:tabs>
        <w:numPr>
          <w:ilvl w:val="1"/>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to the extent it constitutes an Investment that is permitted by and made in accordance with Section 4.07(b) (except transactions described in clauses (ii), (iv), (vi), (ix)(B),</w:t>
      </w:r>
    </w:p>
    <w:p>
      <w:pPr>
        <w:ind w:left="240" w:hanging="237"/>
        <w:spacing w:after="0"/>
        <w:tabs>
          <w:tab w:leader="none" w:pos="240" w:val="left"/>
        </w:tabs>
        <w:numPr>
          <w:ilvl w:val="0"/>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(xvi) of Section 4.07(b));</w:t>
      </w:r>
    </w:p>
    <w:p>
      <w:pPr>
        <w:spacing w:after="0" w:line="95" w:lineRule="exact"/>
        <w:rPr>
          <w:rFonts w:ascii="Times New Roman" w:cs="Times New Roman" w:eastAsia="Times New Roman" w:hAnsi="Times New Roman"/>
          <w:sz w:val="12"/>
          <w:szCs w:val="12"/>
          <w:color w:val="auto"/>
        </w:rPr>
      </w:pPr>
    </w:p>
    <w:p>
      <w:pPr>
        <w:jc w:val="both"/>
        <w:ind w:right="20" w:firstLine="460"/>
        <w:spacing w:after="0"/>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issued in accordance with Section 4.03 and Section 4.11, including, without limitation, any guarantee or other obligation issued or incurred under any Credit Agreement in connection with any letter of credit issued for the account of the Company or any of its Subsidiaries (including with respect to the issuance of, or payments in respect of drawings under, such letters of credit);</w:t>
      </w:r>
    </w:p>
    <w:p>
      <w:pPr>
        <w:spacing w:after="0" w:line="218"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consisting of or to finance purchases and acquisitions of inventory, supplies, materials, services or equipment or purchases of contract rights or licenses or leases of Intellectual Property;</w:t>
      </w:r>
    </w:p>
    <w:p>
      <w:pPr>
        <w:spacing w:after="0" w:line="80"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exclusive licenses from a Restricted Subsidiary that is not the U.S. Co-Issuer or a Guarantor to any Issuer or Guarantor of rights to a drug or other pharmaceutical products, diagnostics, delivery technologies, medical devices or biotechnology businesses;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consisting of transfers of Permitted Receivables Facility Assets or arising as a result of Qualified Receivables Facilities;</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of a Restricted Subsidiary acquired after the Issue Date or of an entity merged into, amalgamated with, or consolidated with the Company or a Restricted Subsidiary in a transaction that is not prohibited by Section 5.01 after the Issue Date to the extent that such Investments were not made in contemplation of such acquisition, merger, amalgamation or consolidation and were in existence on the date of such acquisition, merger, amalgamation or consolidation;</w:t>
      </w:r>
    </w:p>
    <w:p>
      <w:pPr>
        <w:spacing w:after="0" w:line="87" w:lineRule="exact"/>
        <w:rPr>
          <w:rFonts w:ascii="Times New Roman" w:cs="Times New Roman" w:eastAsia="Times New Roman" w:hAnsi="Times New Roman"/>
          <w:sz w:val="12"/>
          <w:szCs w:val="12"/>
          <w:color w:val="auto"/>
        </w:rPr>
      </w:pPr>
    </w:p>
    <w:p>
      <w:pPr>
        <w:ind w:right="40" w:firstLine="460"/>
        <w:spacing w:after="0" w:line="253" w:lineRule="auto"/>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in the ordinary course of business consisting of Uniform Commercial Code Article 3 endorsements for collection or deposit and Uniform Commercial Code Article 4 customary trade arrangements with customers;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advances in the form of a prepayment of expenses, so long as such expenses are being paid in accordance with customary trade terms of the Company or the Restricted Subsidiaries;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any Subsidiary of the Company or any joint venture in connection with intercompany cash management arrangements or related activities arising in the ordinary course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business;</w:t>
      </w:r>
    </w:p>
    <w:p>
      <w:pPr>
        <w:spacing w:after="0" w:line="95"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consisting of the licensing or contribution of Intellectual Property pursuant to joint marketing or other similar arrangements with other Persons;</w:t>
      </w:r>
    </w:p>
    <w:p>
      <w:pPr>
        <w:spacing w:after="0" w:line="107"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additional Investments in joint ventures and Unrestricted Subsidiaries not to exceed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(A) the greater of $400 million and 3.2% of Total Assets when made,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an aggregate amount equal to any returns (including dividends, interest, distributions, returns of principal, profits on sale, repayments, income and similar amounts) actually received in respect of any such Investment (with the Fair Market Value of each Investment being measured at the time such Investment is made and without giving effect to subsequent changes in value);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Investment pursuant to this clause (23) is made in any Person that is not a Restricted Subsidiary at the date of the making of such Investment and such Person becomes a Restricted Subsidiary after such date, such Investment shall thereafter be deemed to have been made pursuant to clause (3) above and shall cease to have been made pursuant to this clause (23) for so long as such Person continues to be a Restricted Subsidiary;</w:t>
      </w:r>
    </w:p>
    <w:p>
      <w:pPr>
        <w:spacing w:after="0" w:line="178"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fixed income or other assets by any Insurance Subsidiary consistent with customary practices of portfolio management;</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by the Company or any Restricted Subsidiary of any call option (or similar instrument) to purchase Equity Interests (other than Disqualified Stock) of the Company entered into contemporaneously and otherwise in connection with the issuance of convertible or exchangeable debt securities otherwise permitted to be issued under this Indenture;</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Investment in Insurance Subsidiaries (a) that are required by law or applicable regulators, (b) (i) in an aggregate amount for all such Investments not to exceed the greater of $60 million and 0.5% of Total Assets when made plus (ii) an aggregate amount equal to any cash returns (including dividends, interest, distributions, returns of principal, profits on sale, repayments, income and similar amounts) actually received in respect of any such Investment (excluding any returns in excess of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24</w:t>
      </w:r>
    </w:p>
    <w:p>
      <w:pPr>
        <w:sectPr>
          <w:pgSz w:w="11900" w:h="16840" w:orient="portrait"/>
          <w:cols w:equalWidth="0" w:num="1">
            <w:col w:w="10160"/>
          </w:cols>
          <w:pgMar w:left="1100" w:top="1440" w:right="640" w:bottom="1440" w:gutter="0" w:footer="0" w:header="0"/>
        </w:sectPr>
      </w:pPr>
    </w:p>
    <w:bookmarkStart w:id="327" w:name="page328"/>
    <w:bookmarkEnd w:id="327"/>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 originally invested) pursuant to clause (b)(i) to the extent such amounts do not increase the Cumulative Credit or (c) constituting letters of credit permitted under Section 4.03(b)(xxix);</w:t>
      </w:r>
    </w:p>
    <w:p>
      <w:pPr>
        <w:spacing w:after="0" w:line="109" w:lineRule="exact"/>
        <w:rPr>
          <w:sz w:val="20"/>
          <w:szCs w:val="20"/>
          <w:color w:val="auto"/>
        </w:rPr>
      </w:pPr>
    </w:p>
    <w:p>
      <w:pPr>
        <w:ind w:left="900" w:hanging="440"/>
        <w:spacing w:after="0"/>
        <w:tabs>
          <w:tab w:leader="none" w:pos="900"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and</w:t>
      </w:r>
    </w:p>
    <w:p>
      <w:pPr>
        <w:spacing w:after="0" w:line="109"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in a Similar Business having an aggregate Fair Market Value, taken together with all other Investments made pursuant to this clause (28) that are at that time outstanding, not to exceed the sum of (A) the greater of $360 million and 2.9% of Total Assets as of the date of such Investment,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an aggregate amount equal to any returns (including dividends, interest, distributions, returns of principal, profits on sale, repayments, income and similar amounts) actually received in respect of any such Investment (with the Fair Market Value of each Investment being measured at the time such Investment is made and without giving effect to subsequent changes in value);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Investment pursuant to this clause (28) is made in any Person that is not a Restricted Subsidiary at the date of the making of such Investment and such Person becomes a Restricted Subsidiary after such date, such Investment shall thereafter be deemed to have been made pursuant to clause (3) above and shall cease to have been made pursuant to this clause (28) for so long as such Person continues to be a Restricted Subsidiary.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means, with respect to any Person:</w:t>
      </w:r>
    </w:p>
    <w:p>
      <w:pPr>
        <w:spacing w:after="0" w:line="109" w:lineRule="exact"/>
        <w:rPr>
          <w:sz w:val="20"/>
          <w:szCs w:val="20"/>
          <w:color w:val="auto"/>
        </w:rPr>
      </w:pPr>
    </w:p>
    <w:p>
      <w:pPr>
        <w:jc w:val="both"/>
        <w:ind w:right="20" w:firstLine="460"/>
        <w:spacing w:after="0" w:line="231" w:lineRule="auto"/>
        <w:tabs>
          <w:tab w:leader="none" w:pos="904"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pledges or deposits and other Liens granted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performance and return of money bonds, or deposits as security for contested Taxes or import duties or for the payment of rent, in each case Incurred in the ordinary course of business;</w:t>
      </w:r>
    </w:p>
    <w:p>
      <w:pPr>
        <w:spacing w:after="0" w:line="87" w:lineRule="exact"/>
        <w:rPr>
          <w:rFonts w:ascii="Times New Roman" w:cs="Times New Roman" w:eastAsia="Times New Roman" w:hAnsi="Times New Roman"/>
          <w:sz w:val="12"/>
          <w:szCs w:val="12"/>
          <w:color w:val="auto"/>
        </w:rPr>
      </w:pPr>
    </w:p>
    <w:p>
      <w:pPr>
        <w:ind w:firstLine="460"/>
        <w:spacing w:after="0" w:line="236" w:lineRule="auto"/>
        <w:tabs>
          <w:tab w:leader="none" w:pos="904"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imposed by law, such as landlord’s, carriers’, warehousemen’s, mechanics’, materialmen’s, repairmen’s, construction or other like Liens securing obligations that are not overdue by more than 30 days or that are being contested in good faith by appropriate proceedings or other Liens arising out of judgments or awards against such Person with respect to which such Person shall then be proceeding with an appeal or other proceedings for review;</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Taxes, assessments or other governmental charges not yet overdue by more than 30 days or that are being contested in good faith by appropriate proceedings and for which the applicable Person has set aside on its books adequate reserves therefor in accordance with IFRS;</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 favor of issuers of performance and surety bonds or bid bonds or with respect to other regulatory requirements or letters of credit, bankers’ acceptances or similar obligations issued pursuant to the request of and for the account of such Person in the ordinary course of its business;</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904"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minor survey exceptions, minor encumbrances, trackage rights, special assessments, easements or reservations of, or rights of others for, licenses, rights-of-way, sewers, electric lines, telegraph and telephone lines and other similar purposes, servicing agreements, development agreements, site plan agreements and other similar encumbrances incurred in the ordinary course of business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Liens on assets of a Subsidiary that is not a Guarantor securing Indebtedness of a Subsidiary that is not a Guarantor permitted to be Incurred pursuant to Section 4.03;</w:t>
      </w:r>
    </w:p>
    <w:p>
      <w:pPr>
        <w:spacing w:after="0" w:line="109" w:lineRule="exact"/>
        <w:rPr>
          <w:rFonts w:ascii="Times New Roman" w:cs="Times New Roman" w:eastAsia="Times New Roman" w:hAnsi="Times New Roman"/>
          <w:sz w:val="12"/>
          <w:szCs w:val="12"/>
          <w:color w:val="auto"/>
        </w:rPr>
      </w:pPr>
    </w:p>
    <w:p>
      <w:pPr>
        <w:jc w:val="both"/>
        <w:ind w:left="460" w:firstLine="457"/>
        <w:spacing w:after="0" w:line="227" w:lineRule="auto"/>
        <w:tabs>
          <w:tab w:leader="none" w:pos="1364"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 Liens that have Equal Lien Priority securing Indebtedness Incurred pursuant to Section 4.03(b)(i), (y) Liens that have Equal Lien Priority securing any other Indebtedness permitted to be Incurred under this Indenture if, as of the date such Indebtedness is Incurred, the First Lien Net Leverage Ratio, calculated on a Pro Forma Basis giving effect to such Indebtedness and the application of the net proceeds therefrom, does not exceed 2.90 to 1.00 or is no greater than the First Lien Net Leverage Ratio immediately prior to such Incurrence; and (z) Liens that have Junior Lien Priority securing Indebtedness permitted to be Incurred under this Indenture if, as of the date such Indebtedness is Incurred, the Secured Net Leverage Ratio, calculated on a Pro Forma Basis giving effect to such Indebtedness and the application of the net proceeds therefrom, does not exceed 3.15 to 1.00 or is no greater than the Secured Net Leverage Ratio immediately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25</w:t>
      </w:r>
    </w:p>
    <w:p>
      <w:pPr>
        <w:sectPr>
          <w:pgSz w:w="11900" w:h="16840" w:orient="portrait"/>
          <w:cols w:equalWidth="0" w:num="1">
            <w:col w:w="10160"/>
          </w:cols>
          <w:pgMar w:left="1100" w:top="1440" w:right="640" w:bottom="1440" w:gutter="0" w:footer="0" w:header="0"/>
        </w:sectPr>
      </w:pPr>
    </w:p>
    <w:bookmarkStart w:id="328" w:name="page329"/>
    <w:bookmarkEnd w:id="328"/>
    <w:p>
      <w:pPr>
        <w:spacing w:after="0" w:line="148" w:lineRule="exact"/>
        <w:rPr>
          <w:sz w:val="20"/>
          <w:szCs w:val="20"/>
          <w:color w:val="auto"/>
        </w:rPr>
      </w:pPr>
    </w:p>
    <w:p>
      <w:pPr>
        <w:jc w:val="both"/>
        <w:ind w:left="460" w:right="20"/>
        <w:spacing w:after="0" w:line="231" w:lineRule="auto"/>
        <w:rPr>
          <w:sz w:val="20"/>
          <w:szCs w:val="20"/>
          <w:color w:val="auto"/>
        </w:rPr>
      </w:pPr>
      <w:r>
        <w:rPr>
          <w:rFonts w:ascii="Times New Roman" w:cs="Times New Roman" w:eastAsia="Times New Roman" w:hAnsi="Times New Roman"/>
          <w:sz w:val="12"/>
          <w:szCs w:val="12"/>
          <w:color w:val="auto"/>
        </w:rPr>
        <w:t xml:space="preserve">prior to such Incurrence;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holders of such Indebtedness secured by such Liens (or a representative or trustee on their behalf) shall enter into the Equal Priority Intercreditor Agreement, the Junior Priority Intercreditor Agreement or an Acceptable Junior Priority Intercreditor Agreement, as applicable, providing that such Liens securing such Indebtedness shall rank, in the case of Liens that have Equal Lien Priority, equal in priority (but without regard to the control of remedies) with, or, in the case of Liens that have Junior Lien Priority, junior to, the Liens on the Collateral securing the Notes Obligations; and</w:t>
      </w:r>
    </w:p>
    <w:p>
      <w:pPr>
        <w:spacing w:after="0" w:line="87" w:lineRule="exact"/>
        <w:rPr>
          <w:sz w:val="20"/>
          <w:szCs w:val="20"/>
          <w:color w:val="auto"/>
        </w:rPr>
      </w:pPr>
    </w:p>
    <w:p>
      <w:pPr>
        <w:ind w:left="460" w:right="20" w:firstLine="457"/>
        <w:spacing w:after="0" w:line="253" w:lineRule="auto"/>
        <w:tabs>
          <w:tab w:leader="none" w:pos="1364" w:val="left"/>
        </w:tabs>
        <w:numPr>
          <w:ilvl w:val="1"/>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securing Obligations in respect of Indebtedness permitted to be Incurred pursuant to Section 4.03(b)(iv) or 4.03(b)(xiv) (to the extent such guarantees are issued in respect of any Indebtedness secured or permitted to be secured by a Permitted Lien);</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existing (x) on the assets or property of the Company or any of its Subsidiaries on the Issue Date or (y) on the assets or property of Merus or any of its Subsidiaries on the Initial Tender Offer Closing Date;</w:t>
      </w:r>
    </w:p>
    <w:p>
      <w:pPr>
        <w:spacing w:after="0" w:line="80"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assets, property or Equity Interests of a Person at the time such Person becomes a Subsidiary;</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such Liens are not created or Incurred in connection with, or in contemplation of, such other Person becoming such a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Liens may not extend to any other property owned by the Company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87"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on assets or property at the time the Company or a Restricted Subsidiary acquired the assets or property, including any acquisition by means of a merger, amalgamation or consolidation with or into the Company or any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Liens are not created or Incurred in connection with, or in contemplation of, such acquisition;</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Liens may not extend to any other property owned by the Company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securing Indebtedness or other obligations of the Company or a Restricted Subsidiary owing to the Company or another Restricted Subsidiary permitted to be Incurred in accordance with Section 4.03;</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securing Hedging Obligations not Incurred in violation of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 respect to Hedging Obligations relating to Indebtedness, such Lien extends only to the property, if any, securing such Indebtedness, property securing other Indebtedness or cash and Cash Equivalents;</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inventory or other goods and proceeds of any Person securing such Person’s obligations in respect of documentary letters of credit, bank guarantees or bankers’ acceptances issued or created for the account of such Person to facilitate the purchase, shipment or storage of such inventory or other goods;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leases and subleases of real property that do not materially interfere with the ordinary conduct of the business of the Company or any of the Restricted Subsidiaries;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from precautionary Uniform Commercial Code financing statement filings regarding operating leases or other obligations not constituting Indebtedness;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 favor of any Issuer or Guarantor;</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 respect of Qualified Receivables Facilities entered into in reliance on Section 4.03(b)(xvii) that extend only to Permitted Receivables Facility Assets, Permitted Receivables Related Assets or the Equity Interests of any Receivables Entity;</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pledges and deposits and other Liens made in the ordinary course of business to secure liability to insurance carriers;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the Equity Interests of Unrestricted Subsidiaries;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26</w:t>
      </w:r>
    </w:p>
    <w:p>
      <w:pPr>
        <w:sectPr>
          <w:pgSz w:w="11900" w:h="16840" w:orient="portrait"/>
          <w:cols w:equalWidth="0" w:num="1">
            <w:col w:w="10160"/>
          </w:cols>
          <w:pgMar w:left="1100" w:top="1440" w:right="640" w:bottom="1440" w:gutter="0" w:footer="0" w:header="0"/>
        </w:sectPr>
      </w:pPr>
    </w:p>
    <w:bookmarkStart w:id="329" w:name="page330"/>
    <w:bookmarkEnd w:id="329"/>
    <w:p>
      <w:pPr>
        <w:spacing w:after="0" w:line="148" w:lineRule="exact"/>
        <w:rPr>
          <w:sz w:val="20"/>
          <w:szCs w:val="20"/>
          <w:color w:val="auto"/>
        </w:rPr>
      </w:pPr>
    </w:p>
    <w:p>
      <w:pPr>
        <w:ind w:right="20" w:firstLine="460"/>
        <w:spacing w:after="0" w:line="253" w:lineRule="auto"/>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leases or subleases, and licenses or sublicenses (including with respect to Intellectual Property) granted to others in the ordinary course of business not interfering in any material respect with the business of the Company and its Subsidiaries, taken as a whole;</w:t>
      </w:r>
    </w:p>
    <w:p>
      <w:pPr>
        <w:spacing w:after="0" w:line="80" w:lineRule="exact"/>
        <w:rPr>
          <w:rFonts w:ascii="Times New Roman" w:cs="Times New Roman" w:eastAsia="Times New Roman" w:hAnsi="Times New Roman"/>
          <w:sz w:val="12"/>
          <w:szCs w:val="12"/>
          <w:color w:val="auto"/>
        </w:rPr>
      </w:pPr>
    </w:p>
    <w:p>
      <w:pPr>
        <w:jc w:val="both"/>
        <w:ind w:right="20" w:firstLine="460"/>
        <w:spacing w:after="0"/>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to secure any refinancing, refunding, extension, renewal or replacement (or successive refinancings, refundings, extensions, renewals or replacements) as a whole, or in part, of any Indebtedness secured by any Lien referred to in clauses (6)(B), (6)(C), (7), (8), (9), (25), (36), (37) and (38) of this definition;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(x) such new Lien shall be limited to all or part of the same property (including any after acquired property to the extent it would have been subject to the original Lien) that secured the original Lien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improvements on and accessions to such property, proceeds and products thereof, customary security deposits and any other assets pursuant to the after-acquired property clauses to the extent such assets secured (or would have secured) the Indebtedness being refinanced, refunded, extended, renewed or replaced), and (y) the Indebtedness secured by such Lien at such time is not increased to any amount greater than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(A) the outstanding principal amount (or accreted value, if applicable) or, if greater, committed amount (but only to the extent the undrawn portion of such commitment was deemed to be secured Indebtedness on such date in accordance with Section 4.03(c)(3)) of the applicable Indebtedness described under clauses (6)(B), (6)(C), (7), (8), (9), (25), (36), (37) and (38) at the time the original Lien became a Permitted Lien under this Indenture and (B) any Additional Refinancing Amount with respect thereto;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holders (or a representative or trustee on their behalf) of such new Liens securing any such refinancing, refunding, extension, renewal or replacement (or successive refinancings, refundings, extensions, renewals or replacements) of any Indebtedness secured by any Lien referred to in clause (6) (B), shall enter into the Equal Priority Intercreditor Agreement, the Junior Priority Intercreditor Agreement or an Acceptable Junior Priority Intercreditor Agreement, as applicable, providing that such new Liens shall rank, in the case of Liens that have Equal Lien Priority, equal in priority (but without regard to the control of remedies) with, or, in the case of Liens that have Junior Lien Priority, junior to, the Liens on the Collateral securing the Notes Obligations;</w:t>
      </w:r>
    </w:p>
    <w:p>
      <w:pPr>
        <w:spacing w:after="0" w:line="9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equipment of the Company or any Restricted Subsidiary granted in the ordinary course of business to the Company’s or such Restricted Subsidiary’s client at which such equipment is located;</w:t>
      </w:r>
    </w:p>
    <w:p>
      <w:pPr>
        <w:spacing w:after="0" w:line="78" w:lineRule="exact"/>
        <w:rPr>
          <w:rFonts w:ascii="Times New Roman" w:cs="Times New Roman" w:eastAsia="Times New Roman" w:hAnsi="Times New Roman"/>
          <w:sz w:val="12"/>
          <w:szCs w:val="12"/>
          <w:color w:val="auto"/>
        </w:rPr>
      </w:pPr>
    </w:p>
    <w:p>
      <w:pPr>
        <w:ind w:firstLine="460"/>
        <w:spacing w:after="0" w:line="257" w:lineRule="auto"/>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judgment and attachment Liens not giving rise to an Event of Default and notices of </w:t>
      </w:r>
      <w:r>
        <w:rPr>
          <w:rFonts w:ascii="Times New Roman" w:cs="Times New Roman" w:eastAsia="Times New Roman" w:hAnsi="Times New Roman"/>
          <w:sz w:val="12"/>
          <w:szCs w:val="12"/>
          <w:i w:val="1"/>
          <w:iCs w:val="1"/>
          <w:color w:val="auto"/>
        </w:rPr>
        <w:t>lis pendens</w:t>
      </w:r>
      <w:r>
        <w:rPr>
          <w:rFonts w:ascii="Times New Roman" w:cs="Times New Roman" w:eastAsia="Times New Roman" w:hAnsi="Times New Roman"/>
          <w:sz w:val="12"/>
          <w:szCs w:val="12"/>
          <w:color w:val="auto"/>
        </w:rPr>
        <w:t xml:space="preserve"> and associated rights related to litigation being contested in good faith by appropriate proceedings and for which adequate reserves have been made;</w:t>
      </w:r>
    </w:p>
    <w:p>
      <w:pPr>
        <w:spacing w:after="0" w:line="7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out of conditional sale, title retention, consignment or similar arrangements for the sale or purchase of goods entered into in the ordinary course of business;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Incurred to secure cash management services or to implement cash pooling arrangements in the ordinary course of business;</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Liens securing obligations the outstanding principal amount of which does not, taken together with the principal amount of all other obligations secured by Liens incurred under this clause (25) (or by any Liens incurred under clause (20) hereof with respect to any refinancing, refunding, extension, renewal or replacement of any obligations secured by any Lien referred to in this clause (25)) that are at that time outstanding, exceed the greater of $750 million and 6.0% of Total Assets at the time of Incurrence;</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any Subsidiary of the Company that is not a Wholly Owned Subsidiary or (b) the Equity Interests in any Person that is not a Subsidiary of the Company, any encumbrance or restriction (including put and call arrangements) with respect to Equity Interests in such Subsidiary or such other Person set forth in the organization documents of such Subsidiary or such other Person or any related joint venture, shareholders’ or similar agreement;</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any amounts or property held by a trustee (i) in the funds and accounts under an indenture securing any revenue bonds issued for the benefit of the Company or any Restricted Subsidiary, (ii) under any indenture or other debt agreement issued in escrow pursuant to customary escrow arrangements pending the release thereof, or (iii) under any indenture or other debt agreement pursuant to customary discharge, redemption or defeasance provisions;</w:t>
      </w:r>
    </w:p>
    <w:p>
      <w:pPr>
        <w:spacing w:after="0" w:line="87"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 arising by virtue of any statutory or common law provisions relating to banker’s Liens, rights of set-off or similar rights and remedies as to deposit accounts or other funds maintained with a depository or financial institution, (ii) attaching to commodity trading accounts or other commodity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27</w:t>
      </w:r>
    </w:p>
    <w:p>
      <w:pPr>
        <w:sectPr>
          <w:pgSz w:w="11900" w:h="16840" w:orient="portrait"/>
          <w:cols w:equalWidth="0" w:num="1">
            <w:col w:w="10160"/>
          </w:cols>
          <w:pgMar w:left="1100" w:top="1440" w:right="640" w:bottom="1440" w:gutter="0" w:footer="0" w:header="0"/>
        </w:sectPr>
      </w:pPr>
    </w:p>
    <w:bookmarkStart w:id="330" w:name="page331"/>
    <w:bookmarkEnd w:id="330"/>
    <w:p>
      <w:pPr>
        <w:spacing w:after="0" w:line="148" w:lineRule="exact"/>
        <w:rPr>
          <w:sz w:val="20"/>
          <w:szCs w:val="20"/>
          <w:color w:val="auto"/>
        </w:rPr>
      </w:pPr>
    </w:p>
    <w:p>
      <w:pPr>
        <w:jc w:val="both"/>
        <w:ind w:left="460"/>
        <w:spacing w:after="0" w:line="236" w:lineRule="auto"/>
        <w:rPr>
          <w:sz w:val="20"/>
          <w:szCs w:val="20"/>
          <w:color w:val="auto"/>
        </w:rPr>
      </w:pPr>
      <w:r>
        <w:rPr>
          <w:rFonts w:ascii="Times New Roman" w:cs="Times New Roman" w:eastAsia="Times New Roman" w:hAnsi="Times New Roman"/>
          <w:sz w:val="12"/>
          <w:szCs w:val="12"/>
          <w:color w:val="auto"/>
        </w:rPr>
        <w:t>brokerage accounts incurred in the ordinary course of business (iii) encumbering reasonable customary initial deposits and margin deposits and similar Liens attaching to brokerage accounts incurred in the ordinary course of business and not for speculative purposes or (iv) arising from the general terms and conditions (</w:t>
      </w:r>
      <w:r>
        <w:rPr>
          <w:rFonts w:ascii="Times New Roman" w:cs="Times New Roman" w:eastAsia="Times New Roman" w:hAnsi="Times New Roman"/>
          <w:sz w:val="12"/>
          <w:szCs w:val="12"/>
          <w:i w:val="1"/>
          <w:iCs w:val="1"/>
          <w:color w:val="auto"/>
        </w:rPr>
        <w:t>algemene bankvoorwaarden</w:t>
      </w:r>
      <w:r>
        <w:rPr>
          <w:rFonts w:ascii="Times New Roman" w:cs="Times New Roman" w:eastAsia="Times New Roman" w:hAnsi="Times New Roman"/>
          <w:sz w:val="12"/>
          <w:szCs w:val="12"/>
          <w:color w:val="auto"/>
        </w:rPr>
        <w:t>) of any member of the Dutch Bankers’ Association (</w:t>
      </w:r>
      <w:r>
        <w:rPr>
          <w:rFonts w:ascii="Times New Roman" w:cs="Times New Roman" w:eastAsia="Times New Roman" w:hAnsi="Times New Roman"/>
          <w:sz w:val="12"/>
          <w:szCs w:val="12"/>
          <w:i w:val="1"/>
          <w:iCs w:val="1"/>
          <w:color w:val="auto"/>
        </w:rPr>
        <w:t>Nederlandse Vereniging van Banken</w:t>
      </w:r>
      <w:r>
        <w:rPr>
          <w:rFonts w:ascii="Times New Roman" w:cs="Times New Roman" w:eastAsia="Times New Roman" w:hAnsi="Times New Roman"/>
          <w:sz w:val="12"/>
          <w:szCs w:val="12"/>
          <w:color w:val="auto"/>
        </w:rPr>
        <w:t xml:space="preserve"> ) or any foreign equivalent thereof;</w:t>
      </w:r>
    </w:p>
    <w:p>
      <w:pPr>
        <w:spacing w:after="0" w:line="88" w:lineRule="exact"/>
        <w:rPr>
          <w:sz w:val="20"/>
          <w:szCs w:val="20"/>
          <w:color w:val="auto"/>
        </w:rPr>
      </w:pPr>
    </w:p>
    <w:p>
      <w:pPr>
        <w:ind w:left="1360" w:hanging="440"/>
        <w:spacing w:after="0"/>
        <w:tabs>
          <w:tab w:leader="none" w:pos="1360"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 in favor of credit card companies pursuant to agreements therewith and (ii) in favor of customers;</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disclosed by the title insurance policies delivered pursuant to any Credit Agreement and any replacement, extension or renewal of any such Lien;</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replacement, extension or renewal Lien shall not cover any property other than the property that was subject to such Lien prior to such replacement, extension or renewal;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Indebtedness and other obligations secured by such replacement, extension or renewal Lien are permitted under this Indenture;</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that are contractual rights of set-off relating to purchase orders and other agreements entered into with customers, suppliers or service providers of the Company or any Restricted Subsidiary in the ordinary course of business;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real property that constitutes a leasehold interest, any Lien to which the fee simple interest (or any superior leasehold interest) is subject;</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agreements to subordinate any interest of the Company or any Restricted Subsidiary in any accounts receivable or other prices arising from inventory consigned by the Company or any such Restricted Subsidiary pursuant to an agreement entered into in the ordinary course of business;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securities that are the subject of repurchase agreements constituting Cash Equivalents under clause (4) of the definition thereof;</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securing insurance premium financing arrangements;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Liens are limited to the applicable unearned insurance premiums;</w:t>
      </w:r>
    </w:p>
    <w:p>
      <w:pPr>
        <w:spacing w:after="0" w:line="109" w:lineRule="exact"/>
        <w:rPr>
          <w:rFonts w:ascii="Times New Roman" w:cs="Times New Roman" w:eastAsia="Times New Roman" w:hAnsi="Times New Roman"/>
          <w:sz w:val="12"/>
          <w:szCs w:val="12"/>
          <w:color w:val="auto"/>
        </w:rPr>
      </w:pPr>
    </w:p>
    <w:p>
      <w:pPr>
        <w:jc w:val="both"/>
        <w:ind w:left="460" w:firstLine="460"/>
        <w:spacing w:after="0"/>
        <w:tabs>
          <w:tab w:leader="none" w:pos="1364"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assets of a Subsidiary that is not a Guarantor or otherwise not constituting Collateral securing obligations the outstanding principal amount of which does not, taken together with the principal amount of all other obligations secured by Liens incurred under this clause (36) (or by any Liens incurred under clause (20) hereof with respect to any refinancing, refunding, extension, renewal or replacement of any obligations secured by any Lien referred to in this clause (36)) that are at that time outstanding, exceed the greater of $300 million and 2.4% of Total Assets at the time of Incurrence;</w:t>
      </w:r>
    </w:p>
    <w:p>
      <w:pPr>
        <w:spacing w:after="0" w:line="204"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securing the Notes issued on the Issue Date;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to secure Indebtedness permitted under Section 4.03(b)(xxix); and</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in connection with any joint and several liability and any netting or set-off arrangement arising (i) in each case by operation of law as a result of the existence, establishment or expansion of an affiliated, consolidated, combined, unitary or similar group for tax purposes to the extent such group consists solely in respect of the Issuers, any Guarantors and any Restricted Subsidiaries thereof or (ii) under a declaration of joint and several liability (</w:t>
      </w:r>
      <w:r>
        <w:rPr>
          <w:rFonts w:ascii="Times New Roman" w:cs="Times New Roman" w:eastAsia="Times New Roman" w:hAnsi="Times New Roman"/>
          <w:sz w:val="12"/>
          <w:szCs w:val="12"/>
          <w:i w:val="1"/>
          <w:iCs w:val="1"/>
          <w:color w:val="auto"/>
        </w:rPr>
        <w:t>hoofdelijke aansprakelijkheid</w:t>
      </w:r>
      <w:r>
        <w:rPr>
          <w:rFonts w:ascii="Times New Roman" w:cs="Times New Roman" w:eastAsia="Times New Roman" w:hAnsi="Times New Roman"/>
          <w:sz w:val="12"/>
          <w:szCs w:val="12"/>
          <w:color w:val="auto"/>
        </w:rPr>
        <w:t>) as referred to in Section 2:403 of the Dutch Civil Code.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Notwithstanding the foregoing, the definition of “Permitted Liens” is not intended to broaden the interpretation or otherwise expand the scope of Section 4.12.</w:t>
      </w:r>
    </w:p>
    <w:p>
      <w:pPr>
        <w:spacing w:after="0" w:line="129"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Receivables Facility Assets</w:t>
      </w:r>
      <w:r>
        <w:rPr>
          <w:rFonts w:ascii="Times New Roman" w:cs="Times New Roman" w:eastAsia="Times New Roman" w:hAnsi="Times New Roman"/>
          <w:sz w:val="12"/>
          <w:szCs w:val="12"/>
          <w:color w:val="auto"/>
        </w:rPr>
        <w:t xml:space="preserve"> ” means (i) Receivables Assets (whether now existing or arising in the future) of the Company and its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 and (ii) loans to the Company and its Subsidiaries secured by Receivables Assets (whether now existing or arising in the future) and any Permitted Receivables Related Assets of the Company and its Subsidiaries which are made pursuant to a Qualified Receivables Facility.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28</w:t>
      </w:r>
    </w:p>
    <w:p>
      <w:pPr>
        <w:sectPr>
          <w:pgSz w:w="11900" w:h="16840" w:orient="portrait"/>
          <w:cols w:equalWidth="0" w:num="1">
            <w:col w:w="10620"/>
          </w:cols>
          <w:pgMar w:left="640" w:top="1440" w:right="640" w:bottom="1440" w:gutter="0" w:footer="0" w:header="0"/>
        </w:sectPr>
      </w:pPr>
    </w:p>
    <w:bookmarkStart w:id="331" w:name="page332"/>
    <w:bookmarkEnd w:id="331"/>
    <w:p>
      <w:pPr>
        <w:spacing w:after="0" w:line="157"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Receivables Facility Documents</w:t>
      </w:r>
      <w:r>
        <w:rPr>
          <w:rFonts w:ascii="Times New Roman" w:cs="Times New Roman" w:eastAsia="Times New Roman" w:hAnsi="Times New Roman"/>
          <w:sz w:val="12"/>
          <w:szCs w:val="12"/>
          <w:color w:val="auto"/>
        </w:rPr>
        <w:t>” shall mean each of the documents and agreements entered into in connection with any Qualified Receivables Facility, including all documents and agreements relating to the issuance, funding and/or purchase of certificates and purchased interests or the incurrence of loans, as applicable, in each case as such documents and agreements may be amended, modified, supplemented, refinanced or replaced from time to time so long as the relevant Qualified Receivables Facility would still meet the requirements of the definition thereof after giving effect to such amendment, modification, supplement, refinancing or replacement.</w:t>
      </w:r>
    </w:p>
    <w:p>
      <w:pPr>
        <w:spacing w:after="0" w:line="95"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Receivables Related Assets</w:t>
      </w:r>
      <w:r>
        <w:rPr>
          <w:rFonts w:ascii="Times New Roman" w:cs="Times New Roman" w:eastAsia="Times New Roman" w:hAnsi="Times New Roman"/>
          <w:sz w:val="12"/>
          <w:szCs w:val="12"/>
          <w:color w:val="auto"/>
        </w:rPr>
        <w:t xml:space="preserve"> ”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without limitation, lock-boxes, deposit accounts, records in respect of Receivables Assets and collections in respect of Receivables Assets).</w:t>
      </w:r>
    </w:p>
    <w:p>
      <w:pPr>
        <w:spacing w:after="0" w:line="91"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corporation, company, partnership, limited liability company, joint venture, association, joint-stock company, trust, unincorporated organization, government or any agency or political subdivision thereof or any other entity.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Preferred Stock</w:t>
      </w:r>
      <w:r>
        <w:rPr>
          <w:rFonts w:ascii="Times New Roman" w:cs="Times New Roman" w:eastAsia="Times New Roman" w:hAnsi="Times New Roman"/>
          <w:sz w:val="12"/>
          <w:szCs w:val="12"/>
          <w:color w:val="auto"/>
        </w:rPr>
        <w:t>” means any Equity Interest with a preferential right of payment of dividends or upon liquidation, dissolution, or winding up.</w:t>
      </w:r>
    </w:p>
    <w:p>
      <w:pPr>
        <w:spacing w:after="0" w:line="119"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 Forma Basis</w:t>
      </w:r>
      <w:r>
        <w:rPr>
          <w:rFonts w:ascii="Times New Roman" w:cs="Times New Roman" w:eastAsia="Times New Roman" w:hAnsi="Times New Roman"/>
          <w:sz w:val="12"/>
          <w:szCs w:val="12"/>
          <w:color w:val="auto"/>
        </w:rPr>
        <w:t>” means, for purposes of calculating the Consolidated Total Net Leverage Ratio, First Lien Net Leverage Ratio, Secured Net Leverage Ratio or Fixed Charge Coverage Ratio (each, a “</w:t>
      </w:r>
      <w:r>
        <w:rPr>
          <w:rFonts w:ascii="Times New Roman" w:cs="Times New Roman" w:eastAsia="Times New Roman" w:hAnsi="Times New Roman"/>
          <w:sz w:val="12"/>
          <w:szCs w:val="12"/>
          <w:u w:val="single" w:color="auto"/>
          <w:color w:val="auto"/>
        </w:rPr>
        <w:t>Ratio</w:t>
      </w:r>
      <w:r>
        <w:rPr>
          <w:rFonts w:ascii="Times New Roman" w:cs="Times New Roman" w:eastAsia="Times New Roman" w:hAnsi="Times New Roman"/>
          <w:sz w:val="12"/>
          <w:szCs w:val="12"/>
          <w:color w:val="auto"/>
        </w:rPr>
        <w:t>”), calculating such Ratios with the following adjustments:</w:t>
      </w:r>
    </w:p>
    <w:p>
      <w:pPr>
        <w:spacing w:after="0" w:line="80" w:lineRule="exact"/>
        <w:rPr>
          <w:sz w:val="20"/>
          <w:szCs w:val="20"/>
          <w:color w:val="auto"/>
        </w:rPr>
      </w:pPr>
    </w:p>
    <w:p>
      <w:pPr>
        <w:jc w:val="both"/>
        <w:ind w:left="920" w:hanging="457"/>
        <w:spacing w:after="0" w:line="223" w:lineRule="auto"/>
        <w:tabs>
          <w:tab w:leader="none" w:pos="911"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Company or any Restricted Subsidiary Incurs, repays, repurchases or redeems any Indebtedness (other than, solely for purposes of calculating the Fixed Charge Coverage Ratio, in the case of any Qualified Receivables Facility, in which case interest expense attributable thereto shall be computed based upon the average daily balance of such Qualified Receivables Facility during the applicable period) or issues, repurchases or redeems any Disqualified Stock or Preferred Stock subsequent to the commencement of the period for which the applicable Ratio is being calculated but prior to the event for which the calculation of the applicable Ratio is made (the date of such event, the “</w:t>
      </w:r>
      <w:r>
        <w:rPr>
          <w:rFonts w:ascii="Times New Roman" w:cs="Times New Roman" w:eastAsia="Times New Roman" w:hAnsi="Times New Roman"/>
          <w:sz w:val="12"/>
          <w:szCs w:val="12"/>
          <w:u w:val="single" w:color="auto"/>
          <w:color w:val="auto"/>
        </w:rPr>
        <w:t>Ratio Calculation Date</w:t>
      </w:r>
      <w:r>
        <w:rPr>
          <w:rFonts w:ascii="Times New Roman" w:cs="Times New Roman" w:eastAsia="Times New Roman" w:hAnsi="Times New Roman"/>
          <w:sz w:val="12"/>
          <w:szCs w:val="12"/>
          <w:color w:val="auto"/>
        </w:rPr>
        <w:t xml:space="preserve">”), then the applicable Ratio shall be calculated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to such Incurrence, repayment, repurchase or redemption of Indebtedness, or such issuance, repurchase or redemption of Disqualified Stock or Preferred Stock, as if the same had occurred at the beginning of the applicable four-quarter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may elect pursuant to an Officer’s Certificate delivered to the Trustee to treat all or any portion of the commitment under any Indebtedness as being Incurred at such time, in which case any subsequent Incurrence of Indebtedness under such commitment shall not be deemed, for purposes of this calculation, to be an Incurrence at such subsequent time.</w:t>
      </w:r>
    </w:p>
    <w:p>
      <w:pPr>
        <w:spacing w:after="0" w:line="87" w:lineRule="exact"/>
        <w:rPr>
          <w:rFonts w:ascii="Times New Roman" w:cs="Times New Roman" w:eastAsia="Times New Roman" w:hAnsi="Times New Roman"/>
          <w:sz w:val="12"/>
          <w:szCs w:val="12"/>
          <w:color w:val="auto"/>
        </w:rPr>
      </w:pPr>
    </w:p>
    <w:p>
      <w:pPr>
        <w:jc w:val="both"/>
        <w:ind w:left="920" w:hanging="457"/>
        <w:spacing w:after="0" w:line="222" w:lineRule="auto"/>
        <w:tabs>
          <w:tab w:leader="none" w:pos="911"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(or series of related Investments) in excess of $25 million, acquisitions, dispositions, mergers, amalgamations and consolidations that the Company or any Restricted Subsidiary has determined to make and/or made during the four-quarter reference period or subsequent to such reference period and on or prior to or simultaneously with the Ratio Calculation Date (each, for purposes of this definition, a “</w:t>
      </w:r>
      <w:r>
        <w:rPr>
          <w:rFonts w:ascii="Times New Roman" w:cs="Times New Roman" w:eastAsia="Times New Roman" w:hAnsi="Times New Roman"/>
          <w:sz w:val="12"/>
          <w:szCs w:val="12"/>
          <w:u w:val="single" w:color="auto"/>
          <w:color w:val="auto"/>
        </w:rPr>
        <w:t>pro forma event</w:t>
      </w:r>
      <w:r>
        <w:rPr>
          <w:rFonts w:ascii="Times New Roman" w:cs="Times New Roman" w:eastAsia="Times New Roman" w:hAnsi="Times New Roman"/>
          <w:sz w:val="12"/>
          <w:szCs w:val="12"/>
          <w:color w:val="auto"/>
        </w:rPr>
        <w:t xml:space="preserve">”) shall be calculated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assuming that all such Investments, acquisitions, dispositions, mergers, amalgamations and consolidations (and the change of any associated fixed charge obligations and the change in EBITDA resulting therefrom) had occurred on the first day of the four-quarter reference period. If since the beginning of such period any Person that subsequently became a Restricted Subsidiary or was merged with or into the Company or any Restricted Subsidiary since the beginning of such period shall have made any Investment, acquisition, disposition, merger, amalgamation or consolidation that would have required adjustment pursuant to this definition, then the applicable Ratio shall be calculated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thereto for such period as if such Investment, acquisition, disposition, merger, consolidation or amalgamation had occurred at the beginning of the applicable four-quarter period. If since the beginning of such period any Restricted Subsidiary is designated an Unrestricted Subsidiary or any Unrestricted Subsidiary is designated a Restricted Subsidiary, then the applicable Ratio shall be calculated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thereto for such period as if such designation had occurred at the beginning of the applicable four-quarter period.</w:t>
      </w:r>
    </w:p>
    <w:p>
      <w:pPr>
        <w:spacing w:after="0" w:line="86"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this definition, whenever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is to be given to any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event, the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calculations shall be made in good faith by a Financial Officer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29</w:t>
      </w:r>
    </w:p>
    <w:p>
      <w:pPr>
        <w:sectPr>
          <w:pgSz w:w="11900" w:h="16840" w:orient="portrait"/>
          <w:cols w:equalWidth="0" w:num="1">
            <w:col w:w="10620"/>
          </w:cols>
          <w:pgMar w:left="640" w:top="1440" w:right="640" w:bottom="1440" w:gutter="0" w:footer="0" w:header="0"/>
        </w:sectPr>
      </w:pPr>
    </w:p>
    <w:bookmarkStart w:id="332" w:name="page333"/>
    <w:bookmarkEnd w:id="332"/>
    <w:p>
      <w:pPr>
        <w:spacing w:after="0" w:line="148"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12"/>
          <w:szCs w:val="12"/>
          <w:color w:val="auto"/>
        </w:rPr>
        <w:t>Additionally, for purposes of this definition, any amount in a currency other than U.S. dollars will be converted to U.S. dollars based on the average exchange rate for such currency for the most recent twelve -month period immediately prior to the date of determination in a manner consistent with that used in calculating EBITDA for the applicable period.</w:t>
      </w:r>
    </w:p>
    <w:p>
      <w:pPr>
        <w:spacing w:after="0" w:line="78" w:lineRule="exact"/>
        <w:rPr>
          <w:sz w:val="20"/>
          <w:szCs w:val="20"/>
          <w:color w:val="auto"/>
        </w:rPr>
      </w:pPr>
    </w:p>
    <w:p>
      <w:pPr>
        <w:jc w:val="both"/>
        <w:ind w:left="920" w:hanging="457"/>
        <w:spacing w:after="0" w:line="224" w:lineRule="auto"/>
        <w:tabs>
          <w:tab w:leader="none" w:pos="911" w:val="left"/>
        </w:tabs>
        <w:numPr>
          <w:ilvl w:val="0"/>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Solely for purposes of calculating the Fixed Charge Coverage Ratio, if any Indebtedness bears a floating rate of interest and is being given</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the interest on such Indebtedness shall be calculated as if the rate in effect on the Ratio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Financial Officer of the Company to be the rate of interest implicit in such Capitalized Lease Obligation in accordance with IFRS. For purposes of making the computation referred to above, interest on any Indebtedness under a revolving credit facility computed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Company may designate.</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Notwithstanding anything to the contrary herein, the Acquisition shall not be given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(but, for the avoidance of doubt, Indebtedness Incurred in connection therewith shall be given </w:t>
      </w:r>
      <w:r>
        <w:rPr>
          <w:rFonts w:ascii="Times New Roman" w:cs="Times New Roman" w:eastAsia="Times New Roman" w:hAnsi="Times New Roman"/>
          <w:sz w:val="12"/>
          <w:szCs w:val="12"/>
          <w:i w:val="1"/>
          <w:iCs w:val="1"/>
          <w:color w:val="auto"/>
        </w:rPr>
        <w:t>pro forma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means Genmab Holding II B.V., a private limited liability company organized under the laws of the Netherlands and a wholly owned subsidiary of the Company.</w:t>
      </w:r>
    </w:p>
    <w:p>
      <w:pPr>
        <w:spacing w:after="0" w:line="129" w:lineRule="exact"/>
        <w:rPr>
          <w:sz w:val="20"/>
          <w:szCs w:val="20"/>
          <w:color w:val="auto"/>
        </w:rPr>
      </w:pPr>
    </w:p>
    <w:p>
      <w:pPr>
        <w:jc w:val="both"/>
        <w:ind w:right="20" w:firstLine="457"/>
        <w:spacing w:after="0" w:line="252"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Qualified Receivables Facility</w:t>
      </w:r>
      <w:r>
        <w:rPr>
          <w:rFonts w:ascii="Times New Roman" w:cs="Times New Roman" w:eastAsia="Times New Roman" w:hAnsi="Times New Roman"/>
          <w:sz w:val="12"/>
          <w:szCs w:val="12"/>
          <w:color w:val="auto"/>
        </w:rPr>
        <w:t>” shall mean a receivables financing or factoring facility that is designated as a “Qualified Receivables Facility” (as provided below), providing for the transfer, sale and/or pledge by the Company and/or one or more other Receivables Sellers of Permitted Receivables Facility Assets (thereby providing financing to the Company and/or the Receivables Sellers) to (i)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(ii) a bank or other financial institution, which shall finance, directly or indirectly, the Permitted Receivables Facility Assets, so long as, in the case of each of clause (i) and clause (ii), no portion of the Indebtedness or any other obligations (contingent or otherwise) under such receivables facility or facilities (x) is guaranteed by the Company or any Subsidiary (excluding guarantees of obligations pursuant to Standard Securitization Undertakings), (y) is recourse to or obligates the Company or any other Subsidiary in any way (other than pursuant to Standard Securitization Undertakings) or (z) subjects any property or asset (other than Permitted Receivables Facility Assets, Permitted Receivables Related Assets or the Equity Interests of any Receivables Entity) of the Company or any other Subsidiary (other than a Receivables Entity), directly or indirectly, contingently or otherwise, to the satisfaction thereof (other than pursuant to Standard Securitization Undertakings). Any such designation shall be evidenced by delivering to the Trustee a certificate signed by a Financial Officer of the Company certifying that, to such officer’s knowledge and belief after consultation with counsel, such designation complied with the foregoing conditions.</w:t>
      </w:r>
    </w:p>
    <w:p>
      <w:pPr>
        <w:spacing w:after="0" w:line="247"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Rating Agency</w:t>
      </w:r>
      <w:r>
        <w:rPr>
          <w:rFonts w:ascii="Times New Roman" w:cs="Times New Roman" w:eastAsia="Times New Roman" w:hAnsi="Times New Roman"/>
          <w:sz w:val="12"/>
          <w:szCs w:val="12"/>
          <w:color w:val="auto"/>
        </w:rPr>
        <w:t>” means (1) each of Moody’s and S&amp;P and (2) if Moody’s or S&amp;P ceases to rate the Notes, another “nationally recognized statistical rating organization” as such term is defined in Section 3(a)(62) of the Exchange Act selected by the Company as a replacement agency for S&amp;P or Moody’s, as the case may be.</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Receivables Assets</w:t>
      </w:r>
      <w:r>
        <w:rPr>
          <w:rFonts w:ascii="Times New Roman" w:cs="Times New Roman" w:eastAsia="Times New Roman" w:hAnsi="Times New Roman"/>
          <w:sz w:val="12"/>
          <w:szCs w:val="12"/>
          <w:color w:val="auto"/>
        </w:rPr>
        <w:t>” shall mean any right to payment created by or arising from royalties, sales of goods, lease of goods or the rendition of services rendered no matter how evidenced whether or not earned by performance (whether constituting accounts, general intangibles, chattel paper or otherwise).</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Receivables Entity</w:t>
      </w:r>
      <w:r>
        <w:rPr>
          <w:rFonts w:ascii="Times New Roman" w:cs="Times New Roman" w:eastAsia="Times New Roman" w:hAnsi="Times New Roman"/>
          <w:sz w:val="12"/>
          <w:szCs w:val="12"/>
          <w:color w:val="auto"/>
        </w:rPr>
        <w:t>” shall mean any direct or indirect Wholly Owned Subsidiary of the Company that engages in no activities other than in connection with the financing of accounts receivable of the Receivables Sellers and that is designated (as provided below) as a “Receivables Entity” (a) with which neither the Company nor any of its Subsidiaries has any contract, agreement, arrangement or understanding (other than pursuant to the Permitted Receivables Facility Documents (including with respect to fees payable in the ordinary course of business 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30</w:t>
      </w:r>
    </w:p>
    <w:p>
      <w:pPr>
        <w:sectPr>
          <w:pgSz w:w="11900" w:h="16840" w:orient="portrait"/>
          <w:cols w:equalWidth="0" w:num="1">
            <w:col w:w="10620"/>
          </w:cols>
          <w:pgMar w:left="640" w:top="1440" w:right="640" w:bottom="1440" w:gutter="0" w:footer="0" w:header="0"/>
        </w:sectPr>
      </w:pPr>
    </w:p>
    <w:bookmarkStart w:id="333" w:name="page334"/>
    <w:bookmarkEnd w:id="333"/>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connection with the servicing of accounts receivable and related assets)) on terms less favorable to the Company or such Subsidiary than those that might be obtained at the time from persons that are not Affiliates of the Company (as determined by the Company in good faith) and (b) to which neither the Company nor any other Subsidiary has any obligation to maintain or preserve such entity’s financial condition or cause such entity to achieve certain levels of operating results (other than pursuant to Standard Securitization Undertakings). Any such designation shall be evidenced by delivering to the Trustee an officer’s certificate of the Company certifying that, to such officer’s knowledge and belief after consultation with counsel, such designation complied with the foregoing conditions.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Receivables Seller</w:t>
      </w:r>
      <w:r>
        <w:rPr>
          <w:rFonts w:ascii="Times New Roman" w:cs="Times New Roman" w:eastAsia="Times New Roman" w:hAnsi="Times New Roman"/>
          <w:sz w:val="12"/>
          <w:szCs w:val="12"/>
          <w:color w:val="auto"/>
        </w:rPr>
        <w:t>” shall mean the Company or those Subsidiaries that are from time to time party to the Permitted Receivables Facility Documents (other than any Receivables Entity).</w:t>
      </w:r>
    </w:p>
    <w:p>
      <w:pPr>
        <w:spacing w:after="0" w:line="129"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Regulated Bank</w:t>
      </w:r>
      <w:r>
        <w:rPr>
          <w:rFonts w:ascii="Times New Roman" w:cs="Times New Roman" w:eastAsia="Times New Roman" w:hAnsi="Times New Roman"/>
          <w:sz w:val="12"/>
          <w:szCs w:val="12"/>
          <w:color w:val="auto"/>
        </w:rPr>
        <w:t>” means (a) a commercial bank with a consolidated combined capital and surplus of at least $ 5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w:t>
      </w:r>
    </w:p>
    <w:p>
      <w:pPr>
        <w:spacing w:after="0" w:line="1" w:lineRule="exact"/>
        <w:rPr>
          <w:sz w:val="20"/>
          <w:szCs w:val="20"/>
          <w:color w:val="auto"/>
        </w:rPr>
      </w:pPr>
    </w:p>
    <w:p>
      <w:pPr>
        <w:jc w:val="both"/>
        <w:ind w:right="20" w:firstLine="6"/>
        <w:spacing w:after="0" w:line="255" w:lineRule="auto"/>
        <w:tabs>
          <w:tab w:leader="none" w:pos="176"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U.S. or non-U.S. depository institution or any branch, agency or similar office thereof supervised by a bank regulatory authority in any jurisdiction or (b) any Affiliate of a Person set forth in clause (a) above to the extent that (1) all of the Capital Stock of such Affiliate is directly or indirectly owned by either (I) such Person set forth in clause (a) above or (II) a parent entity that also owns, directly or indirectly, all of the Capital Stock of such Person set forth in clause (a) and (2) such Affiliate is a securities broker or dealer registered with the SEC under Section 15 of the Exchange Act.</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Regulation U</w:t>
      </w:r>
      <w:r>
        <w:rPr>
          <w:rFonts w:ascii="Times New Roman" w:cs="Times New Roman" w:eastAsia="Times New Roman" w:hAnsi="Times New Roman"/>
          <w:sz w:val="12"/>
          <w:szCs w:val="12"/>
          <w:color w:val="auto"/>
        </w:rPr>
        <w:t>” means Regulation U of the Board of Governors of the Federal Reserve System as amended, or any successor regulation.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Investment</w:t>
      </w:r>
      <w:r>
        <w:rPr>
          <w:rFonts w:ascii="Times New Roman" w:cs="Times New Roman" w:eastAsia="Times New Roman" w:hAnsi="Times New Roman"/>
          <w:sz w:val="12"/>
          <w:szCs w:val="12"/>
          <w:color w:val="auto"/>
        </w:rPr>
        <w:t>” means an Investment other than a Permitted Investment.</w:t>
      </w:r>
    </w:p>
    <w:p>
      <w:pPr>
        <w:spacing w:after="0" w:line="12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Margin Stock</w:t>
      </w:r>
      <w:r>
        <w:rPr>
          <w:rFonts w:ascii="Times New Roman" w:cs="Times New Roman" w:eastAsia="Times New Roman" w:hAnsi="Times New Roman"/>
          <w:sz w:val="12"/>
          <w:szCs w:val="12"/>
          <w:color w:val="auto"/>
        </w:rPr>
        <w:t xml:space="preserve"> ” means Margin Stock owned by the Company or any Restricted Subsidiary the value of which (determined in accordance with clause (2)(i) of the definition of “indirectly secured” set forth in Regulation U) represents not more than 25% of the value of the assets of the Company and its Restricted Subsidiaries (determined in accordance with clause (2)(i) of the definition of “indirectly secured” set forth in Regulation U).</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Subsidiary</w:t>
      </w:r>
      <w:r>
        <w:rPr>
          <w:rFonts w:ascii="Times New Roman" w:cs="Times New Roman" w:eastAsia="Times New Roman" w:hAnsi="Times New Roman"/>
          <w:sz w:val="12"/>
          <w:szCs w:val="12"/>
          <w:color w:val="auto"/>
        </w:rPr>
        <w:t>” means, with respect to any Person, any Subsidiary of such Person other than an Unrestricted Subsidiary of such Person. Unless otherwise indicated in this Indenture, all references to Restricted Subsidiaries shall mean Restricted Subsidiaries of the Company (including the U.S. Co-Issuer).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S&amp;P</w:t>
      </w:r>
      <w:r>
        <w:rPr>
          <w:rFonts w:ascii="Times New Roman" w:cs="Times New Roman" w:eastAsia="Times New Roman" w:hAnsi="Times New Roman"/>
          <w:sz w:val="12"/>
          <w:szCs w:val="12"/>
          <w:color w:val="auto"/>
        </w:rPr>
        <w:t>” means S&amp;P Global Ratings and any successor to its rating agency business.</w:t>
      </w:r>
    </w:p>
    <w:p>
      <w:pPr>
        <w:spacing w:after="0" w:line="129" w:lineRule="exact"/>
        <w:rPr>
          <w:sz w:val="20"/>
          <w:szCs w:val="20"/>
          <w:color w:val="auto"/>
        </w:rPr>
      </w:pPr>
    </w:p>
    <w:p>
      <w:pPr>
        <w:jc w:val="both"/>
        <w:ind w:firstLine="457"/>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Sale/Leaseback Transaction</w:t>
      </w:r>
      <w:r>
        <w:rPr>
          <w:rFonts w:ascii="Times New Roman" w:cs="Times New Roman" w:eastAsia="Times New Roman" w:hAnsi="Times New Roman"/>
          <w:sz w:val="12"/>
          <w:szCs w:val="12"/>
          <w:color w:val="auto"/>
        </w:rPr>
        <w:t>” means an arrangement relating to property now owned or hereafter acquired by the Company or a Restricted Subsidiary whereby the Company or such Restricted Subsidiary transfers such property to a Person and the Company or such Restricted Subsidiary leases it from such Person, other than leases between the Company and a Restricted Subsidiary or between Restricted Subsidiaries.</w:t>
      </w:r>
    </w:p>
    <w:p>
      <w:pPr>
        <w:spacing w:after="0" w:line="235"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Screened Affiliate</w:t>
      </w:r>
      <w:r>
        <w:rPr>
          <w:rFonts w:ascii="Times New Roman" w:cs="Times New Roman" w:eastAsia="Times New Roman" w:hAnsi="Times New Roman"/>
          <w:sz w:val="12"/>
          <w:szCs w:val="12"/>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Issuers or its Subsidiaries, (iii) whose investment policies are not directed by such holder or any other Affiliate of such holder that is acting in concert with such holder in connection with its investment in the Notes and</w:t>
      </w:r>
    </w:p>
    <w:p>
      <w:pPr>
        <w:spacing w:after="0" w:line="1" w:lineRule="exact"/>
        <w:rPr>
          <w:sz w:val="20"/>
          <w:szCs w:val="20"/>
          <w:color w:val="auto"/>
        </w:rPr>
      </w:pPr>
    </w:p>
    <w:p>
      <w:pPr>
        <w:ind w:right="20" w:firstLine="6"/>
        <w:spacing w:after="0" w:line="251" w:lineRule="auto"/>
        <w:tabs>
          <w:tab w:leader="none" w:pos="211"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whose investment decisions are not influenced by the investment decisions of such holder or any other Affiliate of such holder that is acting in concert with such holders in connection with its investment in the Notes.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31</w:t>
      </w:r>
    </w:p>
    <w:p>
      <w:pPr>
        <w:sectPr>
          <w:pgSz w:w="11900" w:h="16840" w:orient="portrait"/>
          <w:cols w:equalWidth="0" w:num="1">
            <w:col w:w="10620"/>
          </w:cols>
          <w:pgMar w:left="640" w:top="1440" w:right="640" w:bottom="1440" w:gutter="0" w:footer="0" w:header="0"/>
        </w:sectPr>
      </w:pPr>
    </w:p>
    <w:bookmarkStart w:id="334" w:name="page335"/>
    <w:bookmarkEnd w:id="334"/>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Secured Indebtedness</w:t>
      </w:r>
      <w:r>
        <w:rPr>
          <w:rFonts w:ascii="Times New Roman" w:cs="Times New Roman" w:eastAsia="Times New Roman" w:hAnsi="Times New Roman"/>
          <w:sz w:val="12"/>
          <w:szCs w:val="12"/>
          <w:color w:val="auto"/>
        </w:rPr>
        <w:t>” means any Consolidated Total Indebtedness secured by a Lien on all or any portion of the assets of the Company or any of its Restricted Subsidiaries.</w:t>
      </w:r>
    </w:p>
    <w:p>
      <w:pPr>
        <w:spacing w:after="0" w:line="129" w:lineRule="exact"/>
        <w:rPr>
          <w:sz w:val="20"/>
          <w:szCs w:val="20"/>
          <w:color w:val="auto"/>
        </w:rPr>
      </w:pPr>
    </w:p>
    <w:p>
      <w:pPr>
        <w:jc w:val="both"/>
        <w:ind w:right="20" w:firstLine="457"/>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Secured Net Leverage Ratio</w:t>
      </w:r>
      <w:r>
        <w:rPr>
          <w:rFonts w:ascii="Times New Roman" w:cs="Times New Roman" w:eastAsia="Times New Roman" w:hAnsi="Times New Roman"/>
          <w:sz w:val="12"/>
          <w:szCs w:val="12"/>
          <w:color w:val="auto"/>
        </w:rPr>
        <w:t>” means, at any date, the ratio of (i) the principal amount of Secured Indebtedness as of such date of calculation (determined on a consolidated basis) less the Unrestricted Cash Amount as of such date of determination to (ii) EBITDA of the Company for the four full fiscal quarters for which financial statements are available immediately preceding such date, calculated on a Pro Forma Basis.</w:t>
      </w:r>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and the rules and regulations of the SEC promulgated thereunder.</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Segregated Accounts</w:t>
      </w:r>
      <w:r>
        <w:rPr>
          <w:rFonts w:ascii="Times New Roman" w:cs="Times New Roman" w:eastAsia="Times New Roman" w:hAnsi="Times New Roman"/>
          <w:sz w:val="12"/>
          <w:szCs w:val="12"/>
          <w:color w:val="auto"/>
        </w:rPr>
        <w:t>” means the Segregated Deposit Account and the Segregated Securities Accounts.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Segregated Deposit Account</w:t>
      </w:r>
      <w:r>
        <w:rPr>
          <w:rFonts w:ascii="Times New Roman" w:cs="Times New Roman" w:eastAsia="Times New Roman" w:hAnsi="Times New Roman"/>
          <w:sz w:val="12"/>
          <w:szCs w:val="12"/>
          <w:color w:val="auto"/>
        </w:rPr>
        <w:t>” means the segregated deposit account established by the Company at Goldman Sachs Bank USA, for the benefit of the Notes Secured Parties pursuant to Section 3.10.</w:t>
      </w:r>
    </w:p>
    <w:p>
      <w:pPr>
        <w:spacing w:after="0" w:line="12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Segregated Securities Accounts</w:t>
      </w:r>
      <w:r>
        <w:rPr>
          <w:rFonts w:ascii="Times New Roman" w:cs="Times New Roman" w:eastAsia="Times New Roman" w:hAnsi="Times New Roman"/>
          <w:sz w:val="12"/>
          <w:szCs w:val="12"/>
          <w:color w:val="auto"/>
        </w:rPr>
        <w:t>” means (a) the segregated securities account established by the Company at Goldman Sachs &amp; Co. LLC and (b) the segregated securities account established by the Company in connection with Morgan Stanley Institutional Liquidity Funds, with SS&amp;C Global Investor and Distribution Solutions, Inc., as transfer agent, and State Street Bank and Trust Company, as custodian, in each case, for the benefit of the Notes Secured Parties pursuant to Section 3.10.</w:t>
      </w:r>
    </w:p>
    <w:p>
      <w:pPr>
        <w:spacing w:after="0" w:line="91"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Senior Lien Priority</w:t>
      </w:r>
      <w:r>
        <w:rPr>
          <w:rFonts w:ascii="Times New Roman" w:cs="Times New Roman" w:eastAsia="Times New Roman" w:hAnsi="Times New Roman"/>
          <w:sz w:val="12"/>
          <w:szCs w:val="12"/>
          <w:color w:val="auto"/>
        </w:rPr>
        <w:t>” means, with respect to specified Indebtedness, that such Indebtedness is secured by a Lien that is senior in priority to the Liens on the Collateral securing the Junior Priority Obligations, including the Liens securing the Equal Priority Obligations, and is subject to the Junior Priority Intercreditor Agreement or an Acceptable Junior Priority Intercreditor Agreement.</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Senior Priority Obligations</w:t>
      </w:r>
      <w:r>
        <w:rPr>
          <w:rFonts w:ascii="Times New Roman" w:cs="Times New Roman" w:eastAsia="Times New Roman" w:hAnsi="Times New Roman"/>
          <w:sz w:val="12"/>
          <w:szCs w:val="12"/>
          <w:color w:val="auto"/>
        </w:rPr>
        <w:t xml:space="preserve">” means (x) the Equal Priority Obligations and (y) any Obligations with respect to any Indebtedness having a Junior Lien Priority relative to the Notes and the Guarantees with respect to the Collateral and having Senior Lien Priority relative to the Junior Priority Obligations;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holders of such Indebtedness or their Senior Priority Representative shall become party to the Junior Priority Intercreditor Agreement or an Acceptable Junior Priority Intercreditor Agreement and any other applicable intercreditor agreements as Senior Priority Representatives.</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Senior Priority Representative</w:t>
      </w:r>
      <w:r>
        <w:rPr>
          <w:rFonts w:ascii="Times New Roman" w:cs="Times New Roman" w:eastAsia="Times New Roman" w:hAnsi="Times New Roman"/>
          <w:sz w:val="12"/>
          <w:szCs w:val="12"/>
          <w:color w:val="auto"/>
        </w:rPr>
        <w:t>” means any duly authorized representative of any holders of Senior Priority Obligations, which representative is named as such in the Junior Priority Intercreditor Agreement or an Acceptable Junior Priority Intercreditor Agreement or, in each case, any joinder thereto.</w:t>
      </w:r>
    </w:p>
    <w:p>
      <w:pPr>
        <w:spacing w:after="0" w:line="79" w:lineRule="exact"/>
        <w:rPr>
          <w:sz w:val="20"/>
          <w:szCs w:val="20"/>
          <w:color w:val="auto"/>
        </w:rPr>
      </w:pPr>
    </w:p>
    <w:p>
      <w:pPr>
        <w:jc w:val="both"/>
        <w:ind w:right="20" w:firstLine="457"/>
        <w:spacing w:after="0" w:line="256"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Series</w:t>
      </w:r>
      <w:r>
        <w:rPr>
          <w:rFonts w:ascii="Times New Roman" w:cs="Times New Roman" w:eastAsia="Times New Roman" w:hAnsi="Times New Roman"/>
          <w:sz w:val="12"/>
          <w:szCs w:val="12"/>
          <w:color w:val="auto"/>
        </w:rPr>
        <w:t>” means (i) with respect to the Equal Priority Secured Parties, each of (1) the Initial Credit Agreement Secured Parties (in their capacities as such), (2) the Notes Secured Parties (in their capacity as such) and (3) the Additional Equal Priority Secured Parties, which are to be represented under the Equal Priority Intercreditor Agreement (or under such other intercreditor agreement having substantially similar terms as the Equal Priority Intercreditor Agreement, taken as a whole, that replaces the Equal Priority Intercreditor Agreement) by a common representative (in its capacity as such for such Additional Equal Priority Secured Parties) and (ii) with respect to any Equal Priority Obligations, each of (1) the Initial Credit Agreement Obligations, (2) the Notes Obligations and (3) the Additional Equal Priority Obligations incurred pursuant to any applicable agreement, which are to be represented under the Equal Priority Intercreditor Agreement (or under such other intercreditor agreement having substantially similar terms as the Equal Priority Intercreditor Agreement, taken as a whole, that replaces the Equal Priority Intercreditor Agreement) by a common representative (in its capacity as such for such Additional Equal Priority Obligations).</w:t>
      </w:r>
    </w:p>
    <w:p>
      <w:pPr>
        <w:spacing w:after="0" w:line="9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Shared Collateral</w:t>
      </w:r>
      <w:r>
        <w:rPr>
          <w:rFonts w:ascii="Times New Roman" w:cs="Times New Roman" w:eastAsia="Times New Roman" w:hAnsi="Times New Roman"/>
          <w:sz w:val="12"/>
          <w:szCs w:val="12"/>
          <w:color w:val="auto"/>
        </w:rPr>
        <w:t>” means,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32</w:t>
      </w:r>
    </w:p>
    <w:p>
      <w:pPr>
        <w:sectPr>
          <w:pgSz w:w="11900" w:h="16840" w:orient="portrait"/>
          <w:cols w:equalWidth="0" w:num="1">
            <w:col w:w="10620"/>
          </w:cols>
          <w:pgMar w:left="640" w:top="1440" w:right="640" w:bottom="1440" w:gutter="0" w:footer="0" w:header="0"/>
        </w:sectPr>
      </w:pPr>
    </w:p>
    <w:bookmarkStart w:id="335" w:name="page336"/>
    <w:bookmarkEnd w:id="335"/>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Collateral for those Series of Equal Priority Obligations that hold a valid security interest in such Collateral at such time and shall not constitute Shared Collateral for any Series that does not have a valid and perfected security interest in such Collateral at such time.</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Short Derivative Instrument</w:t>
      </w:r>
      <w:r>
        <w:rPr>
          <w:rFonts w:ascii="Times New Roman" w:cs="Times New Roman" w:eastAsia="Times New Roman" w:hAnsi="Times New Roman"/>
          <w:sz w:val="12"/>
          <w:szCs w:val="12"/>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Significant Subsidiary</w:t>
      </w:r>
      <w:r>
        <w:rPr>
          <w:rFonts w:ascii="Times New Roman" w:cs="Times New Roman" w:eastAsia="Times New Roman" w:hAnsi="Times New Roman"/>
          <w:sz w:val="12"/>
          <w:szCs w:val="12"/>
          <w:color w:val="auto"/>
        </w:rPr>
        <w:t>” means any Restricted Subsidiary that would be a “significant subsidiary” of the Company within the meaning of Rule 1-02 under Regulation S-X promulgated by the SEC (or any successor provisions).</w:t>
      </w:r>
    </w:p>
    <w:p>
      <w:pPr>
        <w:spacing w:after="0" w:line="79"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Similar Business</w:t>
      </w:r>
      <w:r>
        <w:rPr>
          <w:rFonts w:ascii="Times New Roman" w:cs="Times New Roman" w:eastAsia="Times New Roman" w:hAnsi="Times New Roman"/>
          <w:sz w:val="12"/>
          <w:szCs w:val="12"/>
          <w:color w:val="auto"/>
        </w:rPr>
        <w:t>” means any business the majority of whose revenues are derived from (i) business or activities conducted by the Company and its Subsidiaries on the Issue Date or the Initial Tender Offer Closing Date, (ii) any business that is a natural outgrowth or reasonable extension, development or expansion of any business or activities conducted by the Company and its Subsidiaries on the Issue Date or the Initial Tender Offer Closing Date or any business similar, reasonably related, incidental, complementary or ancillary to any of the foregoing or (iii) any business that in the Company’s good faith business judgment constitutes a reasonable diversification of businesses conducted by the Company and its Subsidiaries.</w:t>
      </w:r>
    </w:p>
    <w:p>
      <w:pPr>
        <w:spacing w:after="0" w:line="95"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Special Mandatory Redemption Date</w:t>
      </w:r>
      <w:r>
        <w:rPr>
          <w:rFonts w:ascii="Times New Roman" w:cs="Times New Roman" w:eastAsia="Times New Roman" w:hAnsi="Times New Roman"/>
          <w:sz w:val="12"/>
          <w:szCs w:val="12"/>
          <w:color w:val="auto"/>
        </w:rPr>
        <w:t>” means the date of redemption provided in the notice delivered by the Issuers pursuant to Section 3.09(b), which date shall be no later than the third Business Day following the Special Mandatory Redemption Trigger Date.</w:t>
      </w:r>
    </w:p>
    <w:p>
      <w:pPr>
        <w:spacing w:after="0" w:line="7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Special Mandatory Redemption Price</w:t>
      </w:r>
      <w:r>
        <w:rPr>
          <w:rFonts w:ascii="Times New Roman" w:cs="Times New Roman" w:eastAsia="Times New Roman" w:hAnsi="Times New Roman"/>
          <w:sz w:val="12"/>
          <w:szCs w:val="12"/>
          <w:color w:val="auto"/>
        </w:rPr>
        <w:t>” means 100% of the issue price of the Notes, plus accrued and unpaid interest from the Issue Date, or the most recent date to which interest has been paid or provided for, to, but excluding, the Special Mandatory Redemption Date.</w:t>
      </w:r>
    </w:p>
    <w:p>
      <w:pPr>
        <w:spacing w:after="0" w:line="79" w:lineRule="exact"/>
        <w:rPr>
          <w:sz w:val="20"/>
          <w:szCs w:val="20"/>
          <w:color w:val="auto"/>
        </w:rPr>
      </w:pPr>
    </w:p>
    <w:p>
      <w:pPr>
        <w:ind w:right="6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Special Mandatory Redemption Trigger Date</w:t>
      </w:r>
      <w:r>
        <w:rPr>
          <w:rFonts w:ascii="Times New Roman" w:cs="Times New Roman" w:eastAsia="Times New Roman" w:hAnsi="Times New Roman"/>
          <w:sz w:val="12"/>
          <w:szCs w:val="12"/>
          <w:color w:val="auto"/>
        </w:rPr>
        <w:t>” means October 5, 2026, if the Initial Tender Offer has not been consummated on or before such date, or, if earlier, the date on which the Acquisition Agreement terminates or is terminated in accordance with its terms.</w:t>
      </w:r>
    </w:p>
    <w:p>
      <w:pPr>
        <w:spacing w:after="0" w:line="7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Standard Securitization Undertakings</w:t>
      </w:r>
      <w:r>
        <w:rPr>
          <w:rFonts w:ascii="Times New Roman" w:cs="Times New Roman" w:eastAsia="Times New Roman" w:hAnsi="Times New Roman"/>
          <w:sz w:val="12"/>
          <w:szCs w:val="12"/>
          <w:color w:val="auto"/>
        </w:rPr>
        <w:t>” means representations, warranties, covenants, indemnities and guarantees of performance entered into by the Company or any of its Subsidiaries in connection with a Qualified Receivables Facility which the Company has determined in good faith to be reasonably customary in the commercial paper, term securitization or structured lending market.</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Stated Maturity</w:t>
      </w:r>
      <w:r>
        <w:rPr>
          <w:rFonts w:ascii="Times New Roman" w:cs="Times New Roman" w:eastAsia="Times New Roman" w:hAnsi="Times New Roman"/>
          <w:sz w:val="12"/>
          <w:szCs w:val="12"/>
          <w:color w:val="auto"/>
        </w:rPr>
        <w:t>” means, with respect to any Note, the date specified in such Note as the fixed date on which the final payment of principal of such Note is due and payable, including pursuant to any mandatory redemption provision (but excluding any provision providing for the repurchase of such Note at the option of the holder thereof upon the happening of any contingency beyond the control of the Company unless such contingency has occurred).</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Subordinated Indebtedness</w:t>
      </w:r>
      <w:r>
        <w:rPr>
          <w:rFonts w:ascii="Times New Roman" w:cs="Times New Roman" w:eastAsia="Times New Roman" w:hAnsi="Times New Roman"/>
          <w:sz w:val="12"/>
          <w:szCs w:val="12"/>
          <w:color w:val="auto"/>
        </w:rPr>
        <w:t xml:space="preserve">” means (a) with respect to an Issuer, any Indebtedness of such Issuer which is by its terms subordinated in right of payment to the Notes, and (b) with respect to any Guarantor, any Indebtedness of such Guarantor which is by its terms subordinated in right of payment to its Guarantee;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guarantee of Indebtedness which Indebtedness does not itself constitute Subordinated Indebtedness shall constitute Subordinated Indebtedness.</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any Person, (1) any corporation, association or other business entity (other than a partnership, joint venture or limited liability company)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33</w:t>
      </w:r>
    </w:p>
    <w:p>
      <w:pPr>
        <w:sectPr>
          <w:pgSz w:w="11900" w:h="16840" w:orient="portrait"/>
          <w:cols w:equalWidth="0" w:num="1">
            <w:col w:w="10620"/>
          </w:cols>
          <w:pgMar w:left="640" w:top="1440" w:right="640" w:bottom="1440" w:gutter="0" w:footer="0" w:header="0"/>
        </w:sectPr>
      </w:pPr>
    </w:p>
    <w:bookmarkStart w:id="336" w:name="page337"/>
    <w:bookmarkEnd w:id="336"/>
    <w:p>
      <w:pPr>
        <w:spacing w:after="0" w:line="157" w:lineRule="exact"/>
        <w:rPr>
          <w:sz w:val="20"/>
          <w:szCs w:val="20"/>
          <w:color w:val="auto"/>
        </w:rPr>
      </w:pPr>
    </w:p>
    <w:p>
      <w:pPr>
        <w:jc w:val="both"/>
        <w:ind w:firstLine="6"/>
        <w:spacing w:after="0" w:line="261" w:lineRule="auto"/>
        <w:tabs>
          <w:tab w:leader="none" w:pos="17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partnership, joint venture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Unless the context otherwise requires, a “Subsidiary” refers to a Subsidiary of the Company.</w:t>
      </w:r>
    </w:p>
    <w:p>
      <w:pPr>
        <w:spacing w:after="0" w:line="95"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means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TIA</w:t>
      </w:r>
      <w:r>
        <w:rPr>
          <w:rFonts w:ascii="Times New Roman" w:cs="Times New Roman" w:eastAsia="Times New Roman" w:hAnsi="Times New Roman"/>
          <w:sz w:val="12"/>
          <w:szCs w:val="12"/>
          <w:color w:val="auto"/>
        </w:rPr>
        <w:t>” means the Trust Indenture Act of 1939 (15 U.S.C. Sections 77aaa-77bbbb) as in effect on the Issue Date.</w:t>
      </w:r>
    </w:p>
    <w:p>
      <w:pPr>
        <w:spacing w:after="0" w:line="127" w:lineRule="exact"/>
        <w:rPr>
          <w:sz w:val="20"/>
          <w:szCs w:val="20"/>
          <w:color w:val="auto"/>
        </w:rPr>
      </w:pPr>
    </w:p>
    <w:p>
      <w:pPr>
        <w:jc w:val="both"/>
        <w:ind w:firstLine="457"/>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Total Assets</w:t>
      </w:r>
      <w:r>
        <w:rPr>
          <w:rFonts w:ascii="Times New Roman" w:cs="Times New Roman" w:eastAsia="Times New Roman" w:hAnsi="Times New Roman"/>
          <w:sz w:val="12"/>
          <w:szCs w:val="12"/>
          <w:color w:val="auto"/>
        </w:rPr>
        <w:t xml:space="preserve">” means the total consolidated assets of the Company and its Restricted Subsidiaries, as shown on the most recent balance sheet of the Company, calculated on a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basis after giving effect to any subsequent acquisition or disposition of a Person or business.</w:t>
      </w:r>
    </w:p>
    <w:p>
      <w:pPr>
        <w:spacing w:after="0" w:line="78"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means (a) the issuance and sale of the Notes and Unsecured Notes pursuant to the Offering Memorandum, (b) the Incurrence of Indebtedness under the Initial Credit Agreement and other transactions to occur pursuant to or in connection with the Initial Credit Agreement on the Initial Tender Offer Closing Date, (c) the consummation of the Acquisition and the other transactions to occur pursuant to or in connection with the Acquisition Agreement on or prior to the Acquisition Date and (d) the payment of all fees and expenses to be paid and owing in connection with the foregoing.</w:t>
      </w:r>
    </w:p>
    <w:p>
      <w:pPr>
        <w:spacing w:after="0" w:line="91"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Treasury Rate</w:t>
      </w:r>
      <w:r>
        <w:rPr>
          <w:rFonts w:ascii="Times New Roman" w:cs="Times New Roman" w:eastAsia="Times New Roman" w:hAnsi="Times New Roman"/>
          <w:sz w:val="12"/>
          <w:szCs w:val="12"/>
          <w:color w:val="auto"/>
        </w:rPr>
        <w:t xml:space="preserve">” means the average during the most recent week that has ended at least two Business Days prior to the applicable redemption date (or in the case of a satisfaction and discharge, two Business Days prior to the deposit of funds with the Trustee or any paying agent) of the yield to maturity at the time of computation of United States Treasury securities with a constant maturity (as compiled and published in the Federal Reserve Statistical Release H.15 (or, if such Statistical Release is no longer published, any publicly available source of similar market data)) most nearly equal to the period from such redemption date to December 15, 2028;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period from such redemption date to December 15, 2028 is less than one year, the weekly average yield on actively traded United States Treasury securities adjusted to a constant maturity of one year will be used.</w:t>
      </w:r>
    </w:p>
    <w:p>
      <w:pPr>
        <w:spacing w:after="0" w:line="99" w:lineRule="exact"/>
        <w:rPr>
          <w:sz w:val="20"/>
          <w:szCs w:val="20"/>
          <w:color w:val="auto"/>
        </w:rPr>
      </w:pPr>
    </w:p>
    <w:p>
      <w:pPr>
        <w:jc w:val="both"/>
        <w:ind w:firstLine="457"/>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Officer</w:t>
      </w:r>
      <w:r>
        <w:rPr>
          <w:rFonts w:ascii="Times New Roman" w:cs="Times New Roman" w:eastAsia="Times New Roman" w:hAnsi="Times New Roman"/>
          <w:sz w:val="12"/>
          <w:szCs w:val="12"/>
          <w:color w:val="auto"/>
        </w:rPr>
        <w:t>” means any officer within the corporate trust department of the Trustee or the Notes Collateral Agent, as applicable, including any director, vice president, assistant vice president, associate or any other officer of the Trustee or the Notes Collateral Agent, as applicable, who customarily performs functions similar to those performed by the Persons who at the time shall be such officers, respectively, or to whom any corporate trust matter is referred because of such person’s knowledge of and familiarity with the particular subject, in each case, who shall have direct responsibility for the administration of this Indenture.</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Uniform Commercial Code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UCC</w:t>
      </w:r>
      <w:r>
        <w:rPr>
          <w:rFonts w:ascii="Times New Roman" w:cs="Times New Roman" w:eastAsia="Times New Roman" w:hAnsi="Times New Roman"/>
          <w:sz w:val="12"/>
          <w:szCs w:val="12"/>
          <w:color w:val="auto"/>
        </w:rPr>
        <w:t>” means the Uniform Commercial Code as in effect from time to time in any applicable state.</w:t>
      </w:r>
    </w:p>
    <w:p>
      <w:pPr>
        <w:spacing w:after="0" w:line="12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Cash</w:t>
      </w:r>
      <w:r>
        <w:rPr>
          <w:rFonts w:ascii="Times New Roman" w:cs="Times New Roman" w:eastAsia="Times New Roman" w:hAnsi="Times New Roman"/>
          <w:sz w:val="12"/>
          <w:szCs w:val="12"/>
          <w:color w:val="auto"/>
        </w:rPr>
        <w:t>” shall mean cash and Cash Equivalents of the Company or any of its Subsidiaries that would not appear as “restricted” on a consolidated balance sheet of the Company or any of its Subsidiaries or appears as “restricted” only as a result of having been pledged in support of the Notes, any Equal Priority Obligations and any Junior Priority Obligations.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Cash Amount</w:t>
      </w:r>
      <w:r>
        <w:rPr>
          <w:rFonts w:ascii="Times New Roman" w:cs="Times New Roman" w:eastAsia="Times New Roman" w:hAnsi="Times New Roman"/>
          <w:sz w:val="12"/>
          <w:szCs w:val="12"/>
          <w:color w:val="auto"/>
        </w:rPr>
        <w:t>” means, on any date, the lesser of (i) $500 million and (ii) the aggregate amount of Unrestricted Cash on such date.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Margin Stock</w:t>
      </w:r>
      <w:r>
        <w:rPr>
          <w:rFonts w:ascii="Times New Roman" w:cs="Times New Roman" w:eastAsia="Times New Roman" w:hAnsi="Times New Roman"/>
          <w:sz w:val="12"/>
          <w:szCs w:val="12"/>
          <w:color w:val="auto"/>
        </w:rPr>
        <w:t>” shall mean any Margin Stock owned by the Company or any Restricted Subsidiary that is not Restricted Margin Stock.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ectPr>
          <w:pgSz w:w="11900" w:h="16840" w:orient="portrait"/>
          <w:cols w:equalWidth="0" w:num="1">
            <w:col w:w="10600"/>
          </w:cols>
          <w:pgMar w:left="640" w:top="1440" w:right="660" w:bottom="1440" w:gutter="0" w:footer="0" w:header="0"/>
        </w:sectPr>
      </w:pPr>
    </w:p>
    <w:bookmarkStart w:id="337" w:name="page338"/>
    <w:bookmarkEnd w:id="337"/>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Subsidiary</w:t>
      </w:r>
      <w:r>
        <w:rPr>
          <w:rFonts w:ascii="Times New Roman" w:cs="Times New Roman" w:eastAsia="Times New Roman" w:hAnsi="Times New Roman"/>
          <w:sz w:val="12"/>
          <w:szCs w:val="12"/>
          <w:color w:val="auto"/>
        </w:rPr>
        <w:t>” means:</w:t>
      </w:r>
    </w:p>
    <w:p>
      <w:pPr>
        <w:spacing w:after="0" w:line="109" w:lineRule="exact"/>
        <w:rPr>
          <w:sz w:val="20"/>
          <w:szCs w:val="20"/>
          <w:color w:val="auto"/>
        </w:rPr>
      </w:pPr>
    </w:p>
    <w:p>
      <w:pPr>
        <w:ind w:left="1360" w:hanging="440"/>
        <w:spacing w:after="0"/>
        <w:tabs>
          <w:tab w:leader="none" w:pos="1360"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of the Company that at the time of determination shall be designated an Unrestricted Subsidiary by the Board of Directors of the Company in the manner provided below;</w:t>
      </w:r>
    </w:p>
    <w:p>
      <w:pPr>
        <w:ind w:left="460"/>
        <w:spacing w:after="0"/>
        <w:rPr>
          <w:sz w:val="20"/>
          <w:szCs w:val="20"/>
          <w:color w:val="auto"/>
        </w:rPr>
      </w:pPr>
      <w:r>
        <w:rPr>
          <w:rFonts w:ascii="Times New Roman" w:cs="Times New Roman" w:eastAsia="Times New Roman" w:hAnsi="Times New Roman"/>
          <w:sz w:val="12"/>
          <w:szCs w:val="12"/>
          <w:color w:val="auto"/>
        </w:rPr>
        <w:t>and</w:t>
      </w:r>
    </w:p>
    <w:p>
      <w:pPr>
        <w:spacing w:after="0" w:line="95" w:lineRule="exact"/>
        <w:rPr>
          <w:sz w:val="20"/>
          <w:szCs w:val="20"/>
          <w:color w:val="auto"/>
        </w:rPr>
      </w:pPr>
    </w:p>
    <w:p>
      <w:pPr>
        <w:ind w:left="1360" w:hanging="440"/>
        <w:spacing w:after="0"/>
        <w:tabs>
          <w:tab w:leader="none" w:pos="1360"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Subsidiary of an Unrestricted Subsidiary.</w:t>
      </w:r>
    </w:p>
    <w:p>
      <w:pPr>
        <w:spacing w:after="0" w:line="119" w:lineRule="exact"/>
        <w:rPr>
          <w:sz w:val="20"/>
          <w:szCs w:val="20"/>
          <w:color w:val="auto"/>
        </w:rPr>
      </w:pPr>
    </w:p>
    <w:p>
      <w:pPr>
        <w:jc w:val="both"/>
        <w:ind w:right="20" w:firstLine="457"/>
        <w:spacing w:after="0" w:line="256" w:lineRule="auto"/>
        <w:rPr>
          <w:sz w:val="20"/>
          <w:szCs w:val="20"/>
          <w:color w:val="auto"/>
        </w:rPr>
      </w:pPr>
      <w:r>
        <w:rPr>
          <w:rFonts w:ascii="Times New Roman" w:cs="Times New Roman" w:eastAsia="Times New Roman" w:hAnsi="Times New Roman"/>
          <w:sz w:val="12"/>
          <w:szCs w:val="12"/>
          <w:color w:val="auto"/>
        </w:rPr>
        <w:t xml:space="preserve">The Company may designate any of its Subsidiaries, including any newly acquired or newly formed Subsidiary of the Company, to be an Unrestricted Subsidiary unless at the time of such designation such Subsidiary or any of its Subsidiaries (x) owns any Equity Interests or Indebtedness of, or owns or holds any Lien on any property of, the Company or any Restricted Subsidiary that is not a Subsidiary of the Subsidiary to be so designated or (y) owns or exclusively licenses Material Intellectual Property, in each case of clauses (x) and (y) at the time of such designation;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Subsidiary to be so designated and its Subsidiaries do not at the time of designation have and do not thereafter Incur any Indebtedness pursuant to which the lender has recourse to any of the assets of the Company or any of the Restricted Subsidiaries other than Permitted Liens described in clause (18) of the definition thereof unless otherwise permitted under Section 4.04;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either (a) the Subsidiary to be so designated has total consolidated assets of $1,000 or less or (b) if such Subsidiary has consolidated assets greater than $1,000, then such designation would be permitted under Section 4.04.</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The Company may designate any Unrestricted Subsidiary to be a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immediately after giving effect to such designation:</w:t>
      </w:r>
    </w:p>
    <w:p>
      <w:pPr>
        <w:spacing w:after="0" w:line="129" w:lineRule="exact"/>
        <w:rPr>
          <w:sz w:val="20"/>
          <w:szCs w:val="20"/>
          <w:color w:val="auto"/>
        </w:rPr>
      </w:pPr>
    </w:p>
    <w:p>
      <w:pPr>
        <w:ind w:left="1180" w:hanging="260"/>
        <w:spacing w:after="0"/>
        <w:tabs>
          <w:tab w:leader="none" w:pos="118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could Incur $1.00 of additional Indebtedness pursuant to Section 4.03(a), calculated on a Pro Forma Basis giving effect to such designation, and</w:t>
      </w:r>
    </w:p>
    <w:p>
      <w:pPr>
        <w:spacing w:after="0" w:line="128" w:lineRule="exact"/>
        <w:rPr>
          <w:rFonts w:ascii="Times New Roman" w:cs="Times New Roman" w:eastAsia="Times New Roman" w:hAnsi="Times New Roman"/>
          <w:sz w:val="12"/>
          <w:szCs w:val="12"/>
          <w:color w:val="auto"/>
        </w:rPr>
      </w:pPr>
    </w:p>
    <w:p>
      <w:pPr>
        <w:ind w:left="1180" w:hanging="260"/>
        <w:spacing w:after="0"/>
        <w:tabs>
          <w:tab w:leader="none" w:pos="118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shall have occurred and be continuing.</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Any such designation by the Company shall be evidenced to the Trustee by promptly filing with the Trustee a copy of the resolution of the Board of Directors of the Company, giving effect to such designation and an Officer’s Certificate certifying that such designation complied with the foregoing provisions.</w:t>
      </w:r>
    </w:p>
    <w:p>
      <w:pPr>
        <w:spacing w:after="0" w:line="7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Unsecured Notes</w:t>
      </w:r>
      <w:r>
        <w:rPr>
          <w:rFonts w:ascii="Times New Roman" w:cs="Times New Roman" w:eastAsia="Times New Roman" w:hAnsi="Times New Roman"/>
          <w:sz w:val="12"/>
          <w:szCs w:val="12"/>
          <w:color w:val="auto"/>
        </w:rPr>
        <w:t xml:space="preserve">” means the 7.250% senior notes due 2033 issued by the Issuers pursuant to an indenture (the </w:t>
      </w:r>
      <w:r>
        <w:rPr>
          <w:rFonts w:ascii="Times New Roman" w:cs="Times New Roman" w:eastAsia="Times New Roman" w:hAnsi="Times New Roman"/>
          <w:sz w:val="12"/>
          <w:szCs w:val="12"/>
          <w:u w:val="single" w:color="auto"/>
          <w:color w:val="auto"/>
        </w:rPr>
        <w:t>“Unsecured Notes Indenture</w:t>
      </w:r>
      <w:r>
        <w:rPr>
          <w:rFonts w:ascii="Times New Roman" w:cs="Times New Roman" w:eastAsia="Times New Roman" w:hAnsi="Times New Roman"/>
          <w:sz w:val="12"/>
          <w:szCs w:val="12"/>
          <w:color w:val="auto"/>
        </w:rPr>
        <w:t>”) dated the Issue Date among the Issuers, the guarantors party thereto from time to time and Wilmington Trust, National Association, as trustee.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U.S. Co-Issuer</w:t>
      </w:r>
      <w:r>
        <w:rPr>
          <w:rFonts w:ascii="Times New Roman" w:cs="Times New Roman" w:eastAsia="Times New Roman" w:hAnsi="Times New Roman"/>
          <w:sz w:val="12"/>
          <w:szCs w:val="12"/>
          <w:color w:val="auto"/>
        </w:rPr>
        <w:t>” means Genmab Finance LLC, a Delaware limited liability company and wholly owned subsidiary of the Company.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U.S. Government Obligations</w:t>
      </w:r>
      <w:r>
        <w:rPr>
          <w:rFonts w:ascii="Times New Roman" w:cs="Times New Roman" w:eastAsia="Times New Roman" w:hAnsi="Times New Roman"/>
          <w:sz w:val="12"/>
          <w:szCs w:val="12"/>
          <w:color w:val="auto"/>
        </w:rPr>
        <w:t>” means securities that are:</w:t>
      </w:r>
    </w:p>
    <w:p>
      <w:pPr>
        <w:spacing w:after="0" w:line="109" w:lineRule="exact"/>
        <w:rPr>
          <w:sz w:val="20"/>
          <w:szCs w:val="20"/>
          <w:color w:val="auto"/>
        </w:rPr>
      </w:pPr>
    </w:p>
    <w:p>
      <w:pPr>
        <w:ind w:left="1360" w:hanging="440"/>
        <w:spacing w:after="0"/>
        <w:tabs>
          <w:tab w:leader="none" w:pos="1360"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obligations of the United States of America for the timely payment of which its full faith and credit is pledged, or</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25" w:lineRule="auto"/>
        <w:tabs>
          <w:tab w:leader="none" w:pos="1364"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U.S. Grantor</w:t>
      </w:r>
      <w:r>
        <w:rPr>
          <w:rFonts w:ascii="Times New Roman" w:cs="Times New Roman" w:eastAsia="Times New Roman" w:hAnsi="Times New Roman"/>
          <w:sz w:val="12"/>
          <w:szCs w:val="12"/>
          <w:color w:val="auto"/>
        </w:rPr>
        <w:t>” means a Grantor that is not a Foreign Subsidiary.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Voting Stock</w:t>
      </w:r>
      <w:r>
        <w:rPr>
          <w:rFonts w:ascii="Times New Roman" w:cs="Times New Roman" w:eastAsia="Times New Roman" w:hAnsi="Times New Roman"/>
          <w:sz w:val="12"/>
          <w:szCs w:val="12"/>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35</w:t>
      </w:r>
    </w:p>
    <w:p>
      <w:pPr>
        <w:sectPr>
          <w:pgSz w:w="11900" w:h="16840" w:orient="portrait"/>
          <w:cols w:equalWidth="0" w:num="1">
            <w:col w:w="10640"/>
          </w:cols>
          <w:pgMar w:left="640" w:top="1440" w:right="620" w:bottom="1440" w:gutter="0" w:footer="0" w:header="0"/>
        </w:sectPr>
      </w:pPr>
    </w:p>
    <w:bookmarkStart w:id="338" w:name="page339"/>
    <w:bookmarkEnd w:id="338"/>
    <w:p>
      <w:pPr>
        <w:spacing w:after="0" w:line="155" w:lineRule="exact"/>
        <w:rPr>
          <w:sz w:val="20"/>
          <w:szCs w:val="20"/>
          <w:color w:val="auto"/>
        </w:rPr>
      </w:pPr>
    </w:p>
    <w:p>
      <w:pPr>
        <w:jc w:val="both"/>
        <w:ind w:firstLine="457"/>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Weighted Average Life to Maturity</w:t>
      </w:r>
      <w:r>
        <w:rPr>
          <w:rFonts w:ascii="Times New Roman" w:cs="Times New Roman" w:eastAsia="Times New Roman" w:hAnsi="Times New Roman"/>
          <w:sz w:val="12"/>
          <w:szCs w:val="12"/>
          <w:color w:val="auto"/>
        </w:rPr>
        <w:t xml:space="preserve"> ” means, when applied to any Indebtedness or Disqualified Stock or Preferred Stock, as the case may be, at any date, the quotient obtained by dividing (1) the</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w:t>
      </w:r>
      <w:r>
        <w:rPr>
          <w:rFonts w:ascii="Times New Roman" w:cs="Times New Roman" w:eastAsia="Times New Roman" w:hAnsi="Times New Roman"/>
          <w:sz w:val="12"/>
          <w:szCs w:val="12"/>
          <w:i w:val="1"/>
          <w:iCs w:val="1"/>
          <w:color w:val="auto"/>
        </w:rPr>
        <w:t>by</w:t>
      </w:r>
      <w:r>
        <w:rPr>
          <w:rFonts w:ascii="Times New Roman" w:cs="Times New Roman" w:eastAsia="Times New Roman" w:hAnsi="Times New Roman"/>
          <w:sz w:val="12"/>
          <w:szCs w:val="12"/>
          <w:color w:val="auto"/>
        </w:rPr>
        <w:t xml:space="preserve"> (2) the </w:t>
      </w:r>
      <w:r>
        <w:rPr>
          <w:rFonts w:ascii="Times New Roman" w:cs="Times New Roman" w:eastAsia="Times New Roman" w:hAnsi="Times New Roman"/>
          <w:sz w:val="12"/>
          <w:szCs w:val="12"/>
          <w:i w:val="1"/>
          <w:iCs w:val="1"/>
          <w:color w:val="auto"/>
        </w:rPr>
        <w:t>sum</w:t>
      </w:r>
      <w:r>
        <w:rPr>
          <w:rFonts w:ascii="Times New Roman" w:cs="Times New Roman" w:eastAsia="Times New Roman" w:hAnsi="Times New Roman"/>
          <w:sz w:val="12"/>
          <w:szCs w:val="12"/>
          <w:color w:val="auto"/>
        </w:rPr>
        <w:t xml:space="preserve"> of all such payments.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Wholly Owned Restricted Subsidiary</w:t>
      </w:r>
      <w:r>
        <w:rPr>
          <w:rFonts w:ascii="Times New Roman" w:cs="Times New Roman" w:eastAsia="Times New Roman" w:hAnsi="Times New Roman"/>
          <w:sz w:val="12"/>
          <w:szCs w:val="12"/>
          <w:color w:val="auto"/>
        </w:rPr>
        <w:t>” means any Wholly Owned Subsidiary that is a Restricted Subsidiary.</w:t>
      </w:r>
    </w:p>
    <w:p>
      <w:pPr>
        <w:spacing w:after="0" w:line="12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Wholly Owned Subsidiary</w:t>
      </w:r>
      <w:r>
        <w:rPr>
          <w:rFonts w:ascii="Times New Roman" w:cs="Times New Roman" w:eastAsia="Times New Roman" w:hAnsi="Times New Roman"/>
          <w:sz w:val="12"/>
          <w:szCs w:val="12"/>
          <w:color w:val="auto"/>
        </w:rPr>
        <w:t>” of any Person means a Subsidiary of such Person 100% of the outstanding Capital Stock or other ownership interests of which (other than directors’ qualifying shares or shares required pursuant to applicable law) shall at the time be owned by such Person or by one or more Wholly Owned Subsidiaries of such Person.</w:t>
      </w:r>
    </w:p>
    <w:p>
      <w:pPr>
        <w:sectPr>
          <w:pgSz w:w="11900" w:h="16840" w:orient="portrait"/>
          <w:cols w:equalWidth="0" w:num="1">
            <w:col w:w="10600"/>
          </w:cols>
          <w:pgMar w:left="640" w:top="1440" w:right="660" w:bottom="1440" w:gutter="0" w:footer="0" w:header="0"/>
        </w:sectPr>
      </w:pPr>
    </w:p>
    <w:p>
      <w:pPr>
        <w:spacing w:after="0" w:line="7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1.02</w:t>
      </w:r>
      <w:r>
        <w:rPr>
          <w:sz w:val="20"/>
          <w:szCs w:val="20"/>
          <w:color w:val="auto"/>
        </w:rPr>
        <w:tab/>
      </w:r>
      <w:r>
        <w:rPr>
          <w:rFonts w:ascii="Times New Roman" w:cs="Times New Roman" w:eastAsia="Times New Roman" w:hAnsi="Times New Roman"/>
          <w:sz w:val="12"/>
          <w:szCs w:val="12"/>
          <w:u w:val="single" w:color="auto"/>
          <w:color w:val="auto"/>
        </w:rPr>
        <w:t>Other Definitions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1"/>
          <w:szCs w:val="11"/>
          <w:b w:val="1"/>
          <w:bCs w:val="1"/>
          <w:color w:val="auto"/>
        </w:rPr>
        <w:t>Term</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Additional Amounts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Affiliate Transaction</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Agent Members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Applicable Law</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Asset Sale Offer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Authentication Order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Change in Tax Law</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Change of Control Offer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Clearstream</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Court Determination</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covenant defeasance option</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Covenant Satisfaction Officer’s Certificate</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Covenant Suspension Event</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Declined Excess Proceeds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defeasance trust</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Definitive Note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Designated Commitment</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Directing Holder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Documentary Taxes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DTC</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Dutch Guarantor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Euroclear</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Event of Default</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Excess Proceeds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Global Notes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Global Notes Legend</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Guaranteed Obligations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including</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Initial Notes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Interest Payment Date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2"/>
          <w:szCs w:val="12"/>
          <w:b w:val="1"/>
          <w:bCs w:val="1"/>
          <w:color w:val="auto"/>
        </w:rPr>
        <w:t>Section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1.03(g)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2.14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4.07(a)</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Appendix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13.15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4.06(b)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2.03</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Exhibit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4.08(a)</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Appendix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6.13(b)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8.01(b)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6.13(b)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4.15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4.06(b)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8.02(a)(i)</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Appendix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4.03(c)(3)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6.13(a)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2.14</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Exhibit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13.07</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Appendix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6.01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4.06(b)</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Appendix A</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Appendix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12.01(a)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1.03(d)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Preamble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Exhibit A</w:t>
      </w:r>
    </w:p>
    <w:p>
      <w:pPr>
        <w:spacing w:after="0" w:line="200" w:lineRule="exact"/>
        <w:rPr>
          <w:sz w:val="20"/>
          <w:szCs w:val="20"/>
          <w:color w:val="auto"/>
        </w:rPr>
      </w:pPr>
    </w:p>
    <w:p>
      <w:pPr>
        <w:sectPr>
          <w:pgSz w:w="11900" w:h="16840" w:orient="portrait"/>
          <w:cols w:equalWidth="0" w:num="2">
            <w:col w:w="4580" w:space="720"/>
            <w:col w:w="5300"/>
          </w:cols>
          <w:pgMar w:left="640" w:top="1440" w:right="66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ectPr>
          <w:pgSz w:w="11900" w:h="16840" w:orient="portrait"/>
          <w:cols w:equalWidth="0" w:num="1">
            <w:col w:w="10600"/>
          </w:cols>
          <w:pgMar w:left="640" w:top="1440" w:right="660" w:bottom="1440" w:gutter="0" w:footer="0" w:header="0"/>
          <w:type w:val="continuous"/>
        </w:sectPr>
      </w:pPr>
    </w:p>
    <w:bookmarkStart w:id="339" w:name="page340"/>
    <w:bookmarkEnd w:id="339"/>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ind w:left="2440"/>
              <w:spacing w:after="0"/>
              <w:rPr>
                <w:sz w:val="20"/>
                <w:szCs w:val="20"/>
                <w:color w:val="auto"/>
              </w:rPr>
            </w:pPr>
            <w:r>
              <w:rPr>
                <w:rFonts w:ascii="Times New Roman" w:cs="Times New Roman" w:eastAsia="Times New Roman" w:hAnsi="Times New Roman"/>
                <w:sz w:val="12"/>
                <w:szCs w:val="12"/>
                <w:b w:val="1"/>
                <w:bCs w:val="1"/>
                <w:color w:val="auto"/>
              </w:rPr>
              <w:t>Term</w:t>
            </w:r>
          </w:p>
        </w:tc>
        <w:tc>
          <w:tcPr>
            <w:tcW w:w="4120" w:type="dxa"/>
            <w:vAlign w:val="bottom"/>
          </w:tcPr>
          <w:p>
            <w:pPr>
              <w:ind w:left="3740"/>
              <w:spacing w:after="0"/>
              <w:rPr>
                <w:sz w:val="20"/>
                <w:szCs w:val="20"/>
                <w:color w:val="auto"/>
              </w:rPr>
            </w:pPr>
            <w:r>
              <w:rPr>
                <w:rFonts w:ascii="Times New Roman" w:cs="Times New Roman" w:eastAsia="Times New Roman" w:hAnsi="Times New Roman"/>
                <w:sz w:val="12"/>
                <w:szCs w:val="12"/>
                <w:b w:val="1"/>
                <w:bCs w:val="1"/>
                <w:color w:val="auto"/>
                <w:w w:val="96"/>
              </w:rPr>
              <w:t>Section</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legal defeasance option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8.01(b)</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Litigation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6.13(b)</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New Guarantor</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Exhibit B</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Noteholder Direction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Notes Collateral Agent</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Preamble</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Notes Custodian</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Notice of Default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6.01</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Offer Period</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4.06(d)</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Paying Agent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2.04(a)</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Permitted Jurisdictions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5.01(a)(i)</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Position Representation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6.13(a)</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protected purchaser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2.08</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Published Patents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4.02(h)</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QIB</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Record Date</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Exhibit 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Refinancing Indebtedness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4.03(b)(xv)</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Refunding Capital Stock</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4.04(b)(ii)(A)</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Registrar</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2.04(a)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Global Notes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Notes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Permanent Global Note</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Regulation S Temporary Global Note</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Relevant Taxing Jurisdiction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2.14</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Resale Restriction Termination Date</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Exhibit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Restricted Notes Legend</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Restricted Payments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4.04(a)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Restricted Period</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Retired Capital Stock</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4.04(b)(ii)(A)</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Reversion Date</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4.15</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Rule 144A</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Rule 144A Global Notes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Rule 144A Notes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Specified Deposit Account Collateral</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3.10(b)</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Specified Deposit Account Control Agreement</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3.10(c)</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Specified Securities Account Collateral</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3.10(b)</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Successor Company</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5.01(a)(i)</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Successor Person</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5.01(b)(i)</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Supplemental Indenture</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Exhibit B</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Suspended Covenants</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4.15</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Suspension Period</w:t>
            </w:r>
          </w:p>
        </w:tc>
        <w:tc>
          <w:tcPr>
            <w:tcW w:w="412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Section 4.15</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Transfer Restricted Definitive Notes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Transfer Restricted Global Notes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Transfer Restricted Notes</w:t>
            </w:r>
          </w:p>
        </w:tc>
        <w:tc>
          <w:tcPr>
            <w:tcW w:w="41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Appendix A</w:t>
            </w:r>
          </w:p>
        </w:tc>
      </w:tr>
      <w:tr>
        <w:trPr>
          <w:trHeight w:val="799"/>
        </w:trPr>
        <w:tc>
          <w:tcPr>
            <w:tcW w:w="3960" w:type="dxa"/>
            <w:vAlign w:val="bottom"/>
          </w:tcPr>
          <w:p>
            <w:pPr>
              <w:spacing w:after="0"/>
              <w:rPr>
                <w:sz w:val="24"/>
                <w:szCs w:val="24"/>
                <w:color w:val="auto"/>
              </w:rPr>
            </w:pPr>
          </w:p>
        </w:tc>
        <w:tc>
          <w:tcPr>
            <w:tcW w:w="412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37</w:t>
            </w:r>
          </w:p>
        </w:tc>
      </w:tr>
    </w:tbl>
    <w:p>
      <w:pPr>
        <w:sectPr>
          <w:pgSz w:w="11900" w:h="16840" w:orient="portrait"/>
          <w:cols w:equalWidth="0" w:num="1">
            <w:col w:w="9760"/>
          </w:cols>
          <w:pgMar w:left="700" w:top="1440" w:right="1440" w:bottom="1440" w:gutter="0" w:footer="0" w:header="0"/>
        </w:sectPr>
      </w:pPr>
    </w:p>
    <w:bookmarkStart w:id="340" w:name="page341"/>
    <w:bookmarkEnd w:id="340"/>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ind w:left="2420"/>
              <w:spacing w:after="0"/>
              <w:rPr>
                <w:sz w:val="20"/>
                <w:szCs w:val="20"/>
                <w:color w:val="auto"/>
              </w:rPr>
            </w:pPr>
            <w:r>
              <w:rPr>
                <w:rFonts w:ascii="Times New Roman" w:cs="Times New Roman" w:eastAsia="Times New Roman" w:hAnsi="Times New Roman"/>
                <w:sz w:val="12"/>
                <w:szCs w:val="12"/>
                <w:b w:val="1"/>
                <w:bCs w:val="1"/>
                <w:color w:val="auto"/>
              </w:rPr>
              <w:t>Term</w:t>
            </w:r>
          </w:p>
        </w:tc>
        <w:tc>
          <w:tcPr>
            <w:tcW w:w="4100" w:type="dxa"/>
            <w:vAlign w:val="bottom"/>
          </w:tcPr>
          <w:p>
            <w:pPr>
              <w:ind w:left="3720"/>
              <w:spacing w:after="0"/>
              <w:rPr>
                <w:sz w:val="20"/>
                <w:szCs w:val="20"/>
                <w:color w:val="auto"/>
              </w:rPr>
            </w:pPr>
            <w:r>
              <w:rPr>
                <w:rFonts w:ascii="Times New Roman" w:cs="Times New Roman" w:eastAsia="Times New Roman" w:hAnsi="Times New Roman"/>
                <w:sz w:val="12"/>
                <w:szCs w:val="12"/>
                <w:b w:val="1"/>
                <w:bCs w:val="1"/>
                <w:color w:val="auto"/>
                <w:w w:val="96"/>
              </w:rPr>
              <w:t>Section</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Trustee</w:t>
            </w:r>
          </w:p>
        </w:tc>
        <w:tc>
          <w:tcPr>
            <w:tcW w:w="410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Preamble</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U.S. dollars</w:t>
            </w:r>
          </w:p>
        </w:tc>
        <w:tc>
          <w:tcPr>
            <w:tcW w:w="410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Section 1.03(g)</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Unrestricted Definitive Notes</w:t>
            </w:r>
          </w:p>
        </w:tc>
        <w:tc>
          <w:tcPr>
            <w:tcW w:w="410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Appendix A</w:t>
            </w: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Unrestricted Global Notes</w:t>
            </w:r>
          </w:p>
        </w:tc>
        <w:tc>
          <w:tcPr>
            <w:tcW w:w="410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Appendix A</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Verification Covenant</w:t>
            </w:r>
          </w:p>
        </w:tc>
        <w:tc>
          <w:tcPr>
            <w:tcW w:w="410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Section 6.13(a)</w:t>
            </w:r>
          </w:p>
        </w:tc>
      </w:tr>
      <w:tr>
        <w:trPr>
          <w:trHeight w:val="18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Verification Covenant Officer’s Certificate</w:t>
            </w:r>
          </w:p>
        </w:tc>
        <w:tc>
          <w:tcPr>
            <w:tcW w:w="410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Section 6.13(b)</w:t>
            </w:r>
          </w:p>
        </w:tc>
      </w:tr>
    </w:tbl>
    <w:p>
      <w:pPr>
        <w:spacing w:after="0" w:line="200" w:lineRule="exact"/>
        <w:rPr>
          <w:sz w:val="20"/>
          <w:szCs w:val="20"/>
          <w:color w:val="auto"/>
        </w:rPr>
      </w:pPr>
    </w:p>
    <w:p>
      <w:pPr>
        <w:spacing w:after="0" w:line="2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1.03</w:t>
      </w:r>
      <w:r>
        <w:rPr>
          <w:sz w:val="20"/>
          <w:szCs w:val="20"/>
          <w:color w:val="auto"/>
        </w:rPr>
        <w:tab/>
      </w:r>
      <w:r>
        <w:rPr>
          <w:rFonts w:ascii="Times New Roman" w:cs="Times New Roman" w:eastAsia="Times New Roman" w:hAnsi="Times New Roman"/>
          <w:sz w:val="12"/>
          <w:szCs w:val="12"/>
          <w:u w:val="single" w:color="auto"/>
          <w:color w:val="auto"/>
        </w:rPr>
        <w:t>Rules of Construction</w:t>
      </w:r>
      <w:r>
        <w:rPr>
          <w:rFonts w:ascii="Times New Roman" w:cs="Times New Roman" w:eastAsia="Times New Roman" w:hAnsi="Times New Roman"/>
          <w:sz w:val="12"/>
          <w:szCs w:val="12"/>
          <w:color w:val="auto"/>
        </w:rPr>
        <w:t>. Unless the context otherwise requires:</w:t>
      </w:r>
    </w:p>
    <w:p>
      <w:pPr>
        <w:spacing w:after="0" w:line="109" w:lineRule="exact"/>
        <w:rPr>
          <w:sz w:val="20"/>
          <w:szCs w:val="20"/>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term has the meaning assigned to it;</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accounting term not otherwise defined has the meaning assigned to it in accordance with IFRS;</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is not exclusive;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means including without limitation;</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in the singular include the plural and words in the plural include the singular;</w:t>
      </w:r>
    </w:p>
    <w:p>
      <w:pPr>
        <w:spacing w:after="0" w:line="10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specified herein, all accounting terms used herein shall be interpreted, all accounting determinations hereunder shall be made, and all financial statements required to be delivered hereunder shall be prepared in accordance with IFRS;</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U.S. dollars</w:t>
      </w:r>
      <w:r>
        <w:rPr>
          <w:rFonts w:ascii="Times New Roman" w:cs="Times New Roman" w:eastAsia="Times New Roman" w:hAnsi="Times New Roman"/>
          <w:sz w:val="12"/>
          <w:szCs w:val="12"/>
          <w:color w:val="auto"/>
        </w:rPr>
        <w:t>” each refer to United States dollars, or such other money of the United States of America that at the time of payment is legal tender for payment of public and private debts;</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references to Articles, Sections, Schedules, Exhibits and Appendices shall be construed to refer to Articles and Sections of, and Exhibits, Schedules and Appendices to, this Indenture;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unsecured Indebtedness shall not be deemed to be subordinate or junior in payment priority to secured Indebtedness merely by virtue of its nature as unsecured Indebtedness;</w:t>
      </w:r>
    </w:p>
    <w:p>
      <w:pPr>
        <w:spacing w:after="0" w:line="10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amount of any non-interest bearing or other discount security at any date shall be the principal amount thereof that would be shown on a balance sheet of the issuer dated such date prepared in accordance with IFRS;</w:t>
      </w:r>
    </w:p>
    <w:p>
      <w:pPr>
        <w:spacing w:after="0" w:line="80"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amount of any Preferred Stock shall be (i) the maximum liquidation value of such Preferred Stock or (ii) the maximum mandatory redemption or mandatory repurchase price with respect to such Preferred Stock, whichever is greater; and</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this Indenture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87"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1.04 </w:t>
      </w:r>
      <w:r>
        <w:rPr>
          <w:rFonts w:ascii="Times New Roman" w:cs="Times New Roman" w:eastAsia="Times New Roman" w:hAnsi="Times New Roman"/>
          <w:sz w:val="12"/>
          <w:szCs w:val="12"/>
          <w:u w:val="single" w:color="auto"/>
          <w:color w:val="auto"/>
        </w:rPr>
        <w:t>No Incorporation by Reference of Trust Indenture Act</w:t>
      </w:r>
      <w:r>
        <w:rPr>
          <w:rFonts w:ascii="Times New Roman" w:cs="Times New Roman" w:eastAsia="Times New Roman" w:hAnsi="Times New Roman"/>
          <w:sz w:val="12"/>
          <w:szCs w:val="12"/>
          <w:color w:val="auto"/>
        </w:rPr>
        <w:t>. This Indenture is not qualified under the TIA, and the TIA shall not apply to or in any way govern the terms of this Indenture. As a result, no provisions of the TIA are incorporated into this Indenture unless expressly incorporated pursuant to this Indenture.</w:t>
      </w:r>
    </w:p>
    <w:p>
      <w:pPr>
        <w:spacing w:after="0" w:line="8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1.05</w:t>
      </w:r>
      <w:r>
        <w:rPr>
          <w:sz w:val="20"/>
          <w:szCs w:val="20"/>
          <w:color w:val="auto"/>
        </w:rPr>
        <w:tab/>
      </w:r>
      <w:r>
        <w:rPr>
          <w:rFonts w:ascii="Times New Roman" w:cs="Times New Roman" w:eastAsia="Times New Roman" w:hAnsi="Times New Roman"/>
          <w:sz w:val="12"/>
          <w:szCs w:val="12"/>
          <w:u w:val="single" w:color="auto"/>
          <w:color w:val="auto"/>
        </w:rPr>
        <w:t>Danish Terms</w:t>
      </w:r>
      <w:r>
        <w:rPr>
          <w:rFonts w:ascii="Times New Roman" w:cs="Times New Roman" w:eastAsia="Times New Roman" w:hAnsi="Times New Roman"/>
          <w:sz w:val="12"/>
          <w:szCs w:val="12"/>
          <w:color w:val="auto"/>
        </w:rPr>
        <w:t>. In this Indenture, where it relates to a person incorporated in Denmark or other applicable term, a reference to:</w:t>
      </w:r>
    </w:p>
    <w:p>
      <w:pPr>
        <w:spacing w:after="0" w:line="107" w:lineRule="exact"/>
        <w:rPr>
          <w:sz w:val="20"/>
          <w:szCs w:val="20"/>
          <w:color w:val="auto"/>
        </w:rPr>
      </w:pPr>
    </w:p>
    <w:p>
      <w:pPr>
        <w:ind w:left="920" w:hanging="457"/>
        <w:spacing w:after="0"/>
        <w:tabs>
          <w:tab w:leader="none" w:pos="920" w:val="left"/>
        </w:tabs>
        <w:numPr>
          <w:ilvl w:val="0"/>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general assignment</w:t>
      </w:r>
      <w:r>
        <w:rPr>
          <w:rFonts w:ascii="Times New Roman" w:cs="Times New Roman" w:eastAsia="Times New Roman" w:hAnsi="Times New Roman"/>
          <w:sz w:val="12"/>
          <w:szCs w:val="12"/>
          <w:color w:val="auto"/>
        </w:rPr>
        <w:t xml:space="preserve">” with any creditor includes a </w:t>
      </w:r>
      <w:r>
        <w:rPr>
          <w:rFonts w:ascii="Times New Roman" w:cs="Times New Roman" w:eastAsia="Times New Roman" w:hAnsi="Times New Roman"/>
          <w:sz w:val="12"/>
          <w:szCs w:val="12"/>
          <w:i w:val="1"/>
          <w:iCs w:val="1"/>
          <w:color w:val="auto"/>
        </w:rPr>
        <w:t>rekonstruktion</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konkursbehandling</w:t>
      </w:r>
      <w:r>
        <w:rPr>
          <w:rFonts w:ascii="Times New Roman" w:cs="Times New Roman" w:eastAsia="Times New Roman" w:hAnsi="Times New Roman"/>
          <w:sz w:val="12"/>
          <w:szCs w:val="12"/>
          <w:color w:val="auto"/>
        </w:rPr>
        <w:t xml:space="preserve"> under Danish law;</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11" w:lineRule="exact"/>
        <w:rPr>
          <w:rFonts w:ascii="Times New Roman" w:cs="Times New Roman" w:eastAsia="Times New Roman" w:hAnsi="Times New Roman"/>
          <w:sz w:val="12"/>
          <w:szCs w:val="12"/>
          <w:color w:val="auto"/>
        </w:rPr>
      </w:pPr>
    </w:p>
    <w:p>
      <w:pPr>
        <w:ind w:left="52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w:t>
      </w:r>
    </w:p>
    <w:p>
      <w:pPr>
        <w:sectPr>
          <w:pgSz w:w="11900" w:h="16840" w:orient="portrait"/>
          <w:cols w:equalWidth="0" w:num="1">
            <w:col w:w="10600"/>
          </w:cols>
          <w:pgMar w:left="640" w:top="1440" w:right="660" w:bottom="1440" w:gutter="0" w:footer="0" w:header="0"/>
        </w:sectPr>
      </w:pPr>
    </w:p>
    <w:bookmarkStart w:id="341" w:name="page342"/>
    <w:bookmarkEnd w:id="341"/>
    <w:p>
      <w:pPr>
        <w:spacing w:after="0" w:line="146" w:lineRule="exact"/>
        <w:rPr>
          <w:sz w:val="20"/>
          <w:szCs w:val="20"/>
          <w:color w:val="auto"/>
        </w:rPr>
      </w:pPr>
    </w:p>
    <w:p>
      <w:pPr>
        <w:ind w:left="920" w:hanging="457"/>
        <w:spacing w:after="0"/>
        <w:tabs>
          <w:tab w:leader="none" w:pos="920"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receiver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liquidator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assignee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custodian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monitor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similar official</w:t>
      </w:r>
      <w:r>
        <w:rPr>
          <w:rFonts w:ascii="Times New Roman" w:cs="Times New Roman" w:eastAsia="Times New Roman" w:hAnsi="Times New Roman"/>
          <w:sz w:val="12"/>
          <w:szCs w:val="12"/>
          <w:color w:val="auto"/>
        </w:rPr>
        <w:t xml:space="preserve">” includes a </w:t>
      </w:r>
      <w:r>
        <w:rPr>
          <w:rFonts w:ascii="Times New Roman" w:cs="Times New Roman" w:eastAsia="Times New Roman" w:hAnsi="Times New Roman"/>
          <w:sz w:val="12"/>
          <w:szCs w:val="12"/>
          <w:i w:val="1"/>
          <w:iCs w:val="1"/>
          <w:color w:val="auto"/>
        </w:rPr>
        <w:t>rekonstruktør</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i w:val="1"/>
          <w:iCs w:val="1"/>
          <w:color w:val="auto"/>
        </w:rPr>
        <w:t>kurator</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likvidator</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gross negligence</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i w:val="1"/>
          <w:iCs w:val="1"/>
          <w:color w:val="auto"/>
        </w:rPr>
        <w:t>grov uagtsomhed</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willful misconduct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i w:val="1"/>
          <w:iCs w:val="1"/>
          <w:color w:val="auto"/>
        </w:rPr>
        <w:t>forsæt</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right="20" w:firstLine="463"/>
        <w:spacing w:after="0" w:line="257" w:lineRule="auto"/>
        <w:tabs>
          <w:tab w:leader="none" w:pos="904"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xml:space="preserve">” includes any </w:t>
      </w:r>
      <w:r>
        <w:rPr>
          <w:rFonts w:ascii="Times New Roman" w:cs="Times New Roman" w:eastAsia="Times New Roman" w:hAnsi="Times New Roman"/>
          <w:sz w:val="12"/>
          <w:szCs w:val="12"/>
          <w:i w:val="1"/>
          <w:iCs w:val="1"/>
          <w:color w:val="auto"/>
        </w:rPr>
        <w:t>garanti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kaution</w:t>
      </w:r>
      <w:r>
        <w:rPr>
          <w:rFonts w:ascii="Times New Roman" w:cs="Times New Roman" w:eastAsia="Times New Roman" w:hAnsi="Times New Roman"/>
          <w:sz w:val="12"/>
          <w:szCs w:val="12"/>
          <w:color w:val="auto"/>
        </w:rPr>
        <w:t xml:space="preserve"> under Danish law which is independent from the debt to which it relates and means, for the purpose of a guarantee granted by a guarantor incorporated in Denmark, a first demand guarantee (in Danish: </w:t>
      </w:r>
      <w:r>
        <w:rPr>
          <w:rFonts w:ascii="Times New Roman" w:cs="Times New Roman" w:eastAsia="Times New Roman" w:hAnsi="Times New Roman"/>
          <w:sz w:val="12"/>
          <w:szCs w:val="12"/>
          <w:i w:val="1"/>
          <w:iCs w:val="1"/>
          <w:color w:val="auto"/>
        </w:rPr>
        <w:t>anfordringsgaranti</w:t>
      </w:r>
      <w:r>
        <w:rPr>
          <w:rFonts w:ascii="Times New Roman" w:cs="Times New Roman" w:eastAsia="Times New Roman" w:hAnsi="Times New Roman"/>
          <w:sz w:val="12"/>
          <w:szCs w:val="12"/>
          <w:color w:val="auto"/>
        </w:rPr>
        <w:t>) and not a surety;</w:t>
      </w:r>
    </w:p>
    <w:p>
      <w:pPr>
        <w:spacing w:after="0" w:line="75"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xml:space="preserve">” includes any </w:t>
      </w:r>
      <w:r>
        <w:rPr>
          <w:rFonts w:ascii="Times New Roman" w:cs="Times New Roman" w:eastAsia="Times New Roman" w:hAnsi="Times New Roman"/>
          <w:sz w:val="12"/>
          <w:szCs w:val="12"/>
          <w:i w:val="1"/>
          <w:iCs w:val="1"/>
          <w:color w:val="auto"/>
        </w:rPr>
        <w:t>fusion</w:t>
      </w:r>
      <w:r>
        <w:rPr>
          <w:rFonts w:ascii="Times New Roman" w:cs="Times New Roman" w:eastAsia="Times New Roman" w:hAnsi="Times New Roman"/>
          <w:sz w:val="12"/>
          <w:szCs w:val="12"/>
          <w:color w:val="auto"/>
        </w:rPr>
        <w:t xml:space="preserve"> under Danish law;</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insolvency</w:t>
      </w:r>
      <w:r>
        <w:rPr>
          <w:rFonts w:ascii="Times New Roman" w:cs="Times New Roman" w:eastAsia="Times New Roman" w:hAnsi="Times New Roman"/>
          <w:sz w:val="12"/>
          <w:szCs w:val="12"/>
          <w:color w:val="auto"/>
        </w:rPr>
        <w:t>” shall be construed in accordance with section 17(2) of the Danish Bankruptcy Act (in Danish:</w:t>
      </w:r>
      <w:r>
        <w:rPr>
          <w:rFonts w:ascii="Times New Roman" w:cs="Times New Roman" w:eastAsia="Times New Roman" w:hAnsi="Times New Roman"/>
          <w:sz w:val="12"/>
          <w:szCs w:val="12"/>
          <w:i w:val="1"/>
          <w:iCs w:val="1"/>
          <w:color w:val="auto"/>
        </w:rPr>
        <w:t>konkursloven</w:t>
      </w:r>
      <w:r>
        <w:rPr>
          <w:rFonts w:ascii="Times New Roman" w:cs="Times New Roman" w:eastAsia="Times New Roman" w:hAnsi="Times New Roman"/>
          <w:sz w:val="12"/>
          <w:szCs w:val="12"/>
          <w:color w:val="auto"/>
        </w:rPr>
        <w:t>), as amended, restated or supplemented from time to time;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winding up</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liquidation</w:t>
      </w:r>
      <w:r>
        <w:rPr>
          <w:rFonts w:ascii="Times New Roman" w:cs="Times New Roman" w:eastAsia="Times New Roman" w:hAnsi="Times New Roman"/>
          <w:sz w:val="12"/>
          <w:szCs w:val="12"/>
          <w:color w:val="auto"/>
        </w:rPr>
        <w:t>” in relation to an entity or “</w:t>
      </w:r>
      <w:r>
        <w:rPr>
          <w:rFonts w:ascii="Times New Roman" w:cs="Times New Roman" w:eastAsia="Times New Roman" w:hAnsi="Times New Roman"/>
          <w:sz w:val="12"/>
          <w:szCs w:val="12"/>
          <w:u w:val="single" w:color="auto"/>
          <w:color w:val="auto"/>
        </w:rPr>
        <w:t>dissolution</w:t>
      </w:r>
      <w:r>
        <w:rPr>
          <w:rFonts w:ascii="Times New Roman" w:cs="Times New Roman" w:eastAsia="Times New Roman" w:hAnsi="Times New Roman"/>
          <w:sz w:val="12"/>
          <w:szCs w:val="12"/>
          <w:color w:val="auto"/>
        </w:rPr>
        <w:t xml:space="preserve">” includes a </w:t>
      </w:r>
      <w:r>
        <w:rPr>
          <w:rFonts w:ascii="Times New Roman" w:cs="Times New Roman" w:eastAsia="Times New Roman" w:hAnsi="Times New Roman"/>
          <w:sz w:val="12"/>
          <w:szCs w:val="12"/>
          <w:i w:val="1"/>
          <w:iCs w:val="1"/>
          <w:color w:val="auto"/>
        </w:rPr>
        <w:t>likvidation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opløsning på grundlag af betalingserklæring</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tvangsopløsning ved likvidationsbehandling</w:t>
      </w:r>
      <w:r>
        <w:rPr>
          <w:rFonts w:ascii="Times New Roman" w:cs="Times New Roman" w:eastAsia="Times New Roman" w:hAnsi="Times New Roman"/>
          <w:sz w:val="12"/>
          <w:szCs w:val="12"/>
          <w:color w:val="auto"/>
        </w:rPr>
        <w:t xml:space="preserve"> under</w:t>
      </w:r>
    </w:p>
    <w:p>
      <w:pPr>
        <w:spacing w:after="0" w:line="1"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Danish law; and</w:t>
      </w:r>
    </w:p>
    <w:p>
      <w:pPr>
        <w:spacing w:after="0" w:line="95" w:lineRule="exact"/>
        <w:rPr>
          <w:rFonts w:ascii="Times New Roman" w:cs="Times New Roman" w:eastAsia="Times New Roman" w:hAnsi="Times New Roman"/>
          <w:sz w:val="12"/>
          <w:szCs w:val="12"/>
          <w:color w:val="auto"/>
        </w:rPr>
      </w:pPr>
    </w:p>
    <w:p>
      <w:pPr>
        <w:jc w:val="both"/>
        <w:ind w:firstLine="463"/>
        <w:spacing w:after="0" w:line="236" w:lineRule="auto"/>
        <w:tabs>
          <w:tab w:leader="none" w:pos="904"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relation to any Danish Security Document or other security rights or security assets governed by Danish law or located in Denmark, such Collateral shall be granted by the relevant Grantor to the Notes Collateral Agent as agent and representative (in Danish: </w:t>
      </w:r>
      <w:r>
        <w:rPr>
          <w:rFonts w:ascii="Times New Roman" w:cs="Times New Roman" w:eastAsia="Times New Roman" w:hAnsi="Times New Roman"/>
          <w:sz w:val="12"/>
          <w:szCs w:val="12"/>
          <w:i w:val="1"/>
          <w:iCs w:val="1"/>
          <w:color w:val="auto"/>
        </w:rPr>
        <w:t>fuldmægtig og repræsentant</w:t>
      </w:r>
      <w:r>
        <w:rPr>
          <w:rFonts w:ascii="Times New Roman" w:cs="Times New Roman" w:eastAsia="Times New Roman" w:hAnsi="Times New Roman"/>
          <w:sz w:val="12"/>
          <w:szCs w:val="12"/>
          <w:color w:val="auto"/>
        </w:rPr>
        <w:t>) for the relevant Notes Secured Parties in accordance with Section 18(1), cf. Section 1(2), of the Danish Capital Markets Act as set forth in Section 11.03.</w:t>
      </w:r>
    </w:p>
    <w:p>
      <w:pPr>
        <w:spacing w:after="0" w:line="8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THE NOTES</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2.01</w:t>
      </w:r>
      <w:r>
        <w:rPr>
          <w:sz w:val="20"/>
          <w:szCs w:val="20"/>
          <w:color w:val="auto"/>
        </w:rPr>
        <w:tab/>
      </w:r>
      <w:r>
        <w:rPr>
          <w:rFonts w:ascii="Times New Roman" w:cs="Times New Roman" w:eastAsia="Times New Roman" w:hAnsi="Times New Roman"/>
          <w:sz w:val="12"/>
          <w:szCs w:val="12"/>
          <w:u w:val="single" w:color="auto"/>
          <w:color w:val="auto"/>
        </w:rPr>
        <w:t>Amount of Notes</w:t>
      </w:r>
      <w:r>
        <w:rPr>
          <w:rFonts w:ascii="Times New Roman" w:cs="Times New Roman" w:eastAsia="Times New Roman" w:hAnsi="Times New Roman"/>
          <w:sz w:val="12"/>
          <w:szCs w:val="12"/>
          <w:color w:val="auto"/>
        </w:rPr>
        <w:t>. The aggregate principal amount of Notes which may be authenticated and delivered under this Indenture on the Issue Date is $1,500,000,000.</w:t>
      </w:r>
    </w:p>
    <w:p>
      <w:pPr>
        <w:spacing w:after="0" w:line="119"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The Issuers may from time to time after the Acquisition Date issue Additional Notes under this Indenture in an unlimited principal amount, so long as (i) the Incurrence of the Indebtedness represented by such Additional Notes and the Liens securing such Indebtedness are at such time permitted by Sections 4.03 and 4.12 and (ii) such Additional Notes are issued in compliance with the other applicable provisions of this Indenture. With respect to any Additional Notes issued after the Issue Date (except for Notes authenticated and delivered upon registration of transfer of, or in exchange for, or in lieu of, other Notes pursuant to Section 2.07, 2.08, 3.08, 4.06(e), 4.08(c) or Appendix A), there shall be (a) established in or pursuant to a resolution of the Boards of Directors of the Issuers and (b) (i) set forth or determined in the manner provided in an Officer’s Certificate of the Issuers or (ii) established in one or more indentures supplemental hereto, prior to the issuance of such Additional Notes:</w:t>
      </w:r>
    </w:p>
    <w:p>
      <w:pPr>
        <w:spacing w:after="0" w:line="89" w:lineRule="exact"/>
        <w:rPr>
          <w:sz w:val="20"/>
          <w:szCs w:val="20"/>
          <w:color w:val="auto"/>
        </w:rPr>
      </w:pPr>
    </w:p>
    <w:p>
      <w:pPr>
        <w:ind w:left="1360" w:hanging="440"/>
        <w:spacing w:after="0"/>
        <w:tabs>
          <w:tab w:leader="none" w:pos="1360"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principal amount of such Additional Notes which may be authenticated and delivered under this Indenture;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 price and issuance date of such Additional Notes, including the date from which interest on such Additional Notes shall accrue; and</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that such Additional Notes shall be issuable in whole or in part in the form of one or more Global Notes and, in such case, the respective depositaries for such Global Notes, the form of any legend or legends which shall be borne by such Global Notes in addition to or in lieu of those set forth in Exhibit A hereto and any circumstances in addition to or in lieu of those set forth in Section 2.2 of Appendix A in which any such Global Note may be exchanged in whole or in part for Additional Notes registered, or any transfer of such Global Note in whole or in part may be registered, in the name or names of Persons other than the depository for such Global Note or a nominee thereof.</w:t>
      </w:r>
    </w:p>
    <w:p>
      <w:pPr>
        <w:spacing w:after="0" w:line="9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If any of the terms of any Additional Notes are established by action taken pursuant to a resolution of the Boards of Directors of the Issuers, a copy of an appropriate record of such action shall be certified by the Secretary or any Assistant Secretary of each Issuer and delivered to the Trustee at or prior to the delivery of the Officer’s Certificate of the Issuers or an indenture supplemental hereto setting forth the terms of the Additional Notes.</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The Initial Notes and any Additional Notes will be treated as a single class of securities for all purposes under this Indenture, including, without limitation, waivers, amendments, redemptions and offers to purchase;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39</w:t>
      </w:r>
    </w:p>
    <w:p>
      <w:pPr>
        <w:sectPr>
          <w:pgSz w:w="11900" w:h="16840" w:orient="portrait"/>
          <w:cols w:equalWidth="0" w:num="1">
            <w:col w:w="10620"/>
          </w:cols>
          <w:pgMar w:left="640" w:top="1440" w:right="640" w:bottom="1440" w:gutter="0" w:footer="0" w:header="0"/>
        </w:sectPr>
      </w:pPr>
    </w:p>
    <w:bookmarkStart w:id="342" w:name="page343"/>
    <w:bookmarkEnd w:id="342"/>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Additional Notes are not fungible with the Initial Notes for U.S. federal income tax purposes, the Additional Notes will have a separate CUSIP number, if applicable. Unless the context otherwise requires, for all purposes of this Indenture, references to the Notes include any Additional Notes actually issued.</w:t>
      </w:r>
    </w:p>
    <w:p>
      <w:pPr>
        <w:spacing w:after="0" w:line="70"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2.02 </w:t>
      </w:r>
      <w:r>
        <w:rPr>
          <w:rFonts w:ascii="Times New Roman" w:cs="Times New Roman" w:eastAsia="Times New Roman" w:hAnsi="Times New Roman"/>
          <w:sz w:val="12"/>
          <w:szCs w:val="12"/>
          <w:u w:val="single" w:color="auto"/>
          <w:color w:val="auto"/>
        </w:rPr>
        <w:t>Form and Dating</w:t>
      </w:r>
      <w:r>
        <w:rPr>
          <w:rFonts w:ascii="Times New Roman" w:cs="Times New Roman" w:eastAsia="Times New Roman" w:hAnsi="Times New Roman"/>
          <w:sz w:val="12"/>
          <w:szCs w:val="12"/>
          <w:color w:val="auto"/>
        </w:rPr>
        <w:t xml:space="preserve">. Provisions relating to the Initial Notes and any Additional Notes are set forth in Appendix A, which is hereby incorporated in and expressly made a part of this Indenture. The (i) Initial Notes and the Trustee’s certificate of authentication and (ii) any Additional Notes (if issued as Transfer Restricted Notes) and the Trustee’s certificate of authentication shall each be substantially in the form of Exhibit A hereto, which is hereby incorporated in and expressly made a part of this Indenture. The Notes may have notations, legends or endorsements required by law, stock exchange rule, agreements to which any Issuer or Guarantor is subject, if any, or usage (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notation, legend or endorsement is in a form acceptable to the Issuers). Each Note shall be dated the date of its authentication. The Notes shall be issuable only in fully registered form, without coupons, in minimum denominations of $200,000 and any integral multiple of $ 1,000 in excess thereof.</w:t>
      </w:r>
    </w:p>
    <w:p>
      <w:pPr>
        <w:spacing w:after="0" w:line="90" w:lineRule="exact"/>
        <w:rPr>
          <w:sz w:val="20"/>
          <w:szCs w:val="20"/>
          <w:color w:val="auto"/>
        </w:rPr>
      </w:pPr>
    </w:p>
    <w:p>
      <w:pPr>
        <w:jc w:val="both"/>
        <w:ind w:firstLine="457"/>
        <w:spacing w:after="0"/>
        <w:rPr>
          <w:sz w:val="20"/>
          <w:szCs w:val="20"/>
          <w:color w:val="auto"/>
        </w:rPr>
      </w:pPr>
      <w:r>
        <w:rPr>
          <w:rFonts w:ascii="Times New Roman" w:cs="Times New Roman" w:eastAsia="Times New Roman" w:hAnsi="Times New Roman"/>
          <w:sz w:val="12"/>
          <w:szCs w:val="12"/>
          <w:color w:val="auto"/>
        </w:rPr>
        <w:t xml:space="preserve">SECTION 2.03 </w:t>
      </w:r>
      <w:r>
        <w:rPr>
          <w:rFonts w:ascii="Times New Roman" w:cs="Times New Roman" w:eastAsia="Times New Roman" w:hAnsi="Times New Roman"/>
          <w:sz w:val="12"/>
          <w:szCs w:val="12"/>
          <w:u w:val="single" w:color="auto"/>
          <w:color w:val="auto"/>
        </w:rPr>
        <w:t>Execution and Authentication</w:t>
      </w:r>
      <w:r>
        <w:rPr>
          <w:rFonts w:ascii="Times New Roman" w:cs="Times New Roman" w:eastAsia="Times New Roman" w:hAnsi="Times New Roman"/>
          <w:sz w:val="12"/>
          <w:szCs w:val="12"/>
          <w:color w:val="auto"/>
        </w:rPr>
        <w:t xml:space="preserve">. The Trustee shall authenticate and make available for delivery upon a written order of the Issuers signed by an Officer of each Issuer (an </w:t>
      </w:r>
      <w:r>
        <w:rPr>
          <w:rFonts w:ascii="Times New Roman" w:cs="Times New Roman" w:eastAsia="Times New Roman" w:hAnsi="Times New Roman"/>
          <w:sz w:val="12"/>
          <w:szCs w:val="12"/>
          <w:u w:val="single" w:color="auto"/>
          <w:color w:val="auto"/>
        </w:rPr>
        <w:t>“Authentication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Order</w:t>
      </w:r>
      <w:r>
        <w:rPr>
          <w:rFonts w:ascii="Times New Roman" w:cs="Times New Roman" w:eastAsia="Times New Roman" w:hAnsi="Times New Roman"/>
          <w:sz w:val="12"/>
          <w:szCs w:val="12"/>
          <w:color w:val="auto"/>
        </w:rPr>
        <w:t>”) (a) Initial Notes for original issue on the date hereof in an aggregate principal amount of $1,500,000,000 and (b) subject to the terms of this Indenture, Additional Notes in an aggregate principal amount to be determined at the time of issuance and specified therein. Such Authentication Order shall specify the amount of separate Note certificates to be authenticated, the principal amount of each of the Notes to be authenticated, the date on which the original issue of Notes is to be authenticated, whether the Notes are to be Initial Notes or Additional Notes, the registered holder of each of the Notes and delivery instructions. Notwithstanding anything to the contrary in this Indenture or Appendix A, any issuance of Additional Notes after the Issue Date shall be in a principal amount of at least $200,000 and integral multiples of $1,000 in excess thereof.</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Notes (in global or definitive form) shall be signed by each of the Issuers. An Officer of each Issuer shall sign the Notes for such Issuer by manual or electronic signature.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an Officer of an Issuer whose signature is on a Note no longer holds that office at the time the Trustee authenticates the Note, the Note shall be valid nevertheless.</w:t>
      </w:r>
    </w:p>
    <w:p>
      <w:pPr>
        <w:spacing w:after="0" w:line="12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A Note shall not be valid until an authorized signatory of the Trustee (or an authenticating agent as described immediately below) manually signs the certificate of authentication on the Note. The signature shall be conclusive evidence that the Note has been authenticated under this Indenture.</w:t>
      </w:r>
    </w:p>
    <w:p>
      <w:pPr>
        <w:spacing w:after="0" w:line="7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Trustee may appoint one or more authenticating agents reasonably acceptable to the Issuers to authenticate the Notes. Any such appointment shall be evidenced by an instrument signed by a Trust Officer, a copy of which shall be furnished to the Issuers. Unless limited by the terms of such appointment, an authenticating agent may authenticate Notes whenever the Trustee may do so. Each reference in this Indenture to authentication by the Trustee includes authentication by such agent. An authenticating agent has the same rights as any Registrar, Paying Agent or agent for service of notices and demands.</w:t>
      </w:r>
    </w:p>
    <w:p>
      <w:pPr>
        <w:spacing w:after="0" w:line="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2.04</w:t>
      </w:r>
      <w:r>
        <w:rPr>
          <w:sz w:val="20"/>
          <w:szCs w:val="20"/>
          <w:color w:val="auto"/>
        </w:rPr>
        <w:tab/>
      </w:r>
      <w:r>
        <w:rPr>
          <w:rFonts w:ascii="Times New Roman" w:cs="Times New Roman" w:eastAsia="Times New Roman" w:hAnsi="Times New Roman"/>
          <w:sz w:val="12"/>
          <w:szCs w:val="12"/>
          <w:u w:val="single" w:color="auto"/>
          <w:color w:val="auto"/>
        </w:rPr>
        <w:t>Registrar and Paying Agent</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1" w:lineRule="auto"/>
        <w:tabs>
          <w:tab w:leader="none" w:pos="904"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Issuers shall maintain (i) an office or agency where Notes may be presented for registration of transfer or for exchange (the </w:t>
      </w:r>
      <w:r>
        <w:rPr>
          <w:rFonts w:ascii="Times New Roman" w:cs="Times New Roman" w:eastAsia="Times New Roman" w:hAnsi="Times New Roman"/>
          <w:sz w:val="12"/>
          <w:szCs w:val="12"/>
          <w:u w:val="single" w:color="auto"/>
          <w:color w:val="auto"/>
        </w:rPr>
        <w:t>“Registrar</w:t>
      </w:r>
      <w:r>
        <w:rPr>
          <w:rFonts w:ascii="Times New Roman" w:cs="Times New Roman" w:eastAsia="Times New Roman" w:hAnsi="Times New Roman"/>
          <w:sz w:val="12"/>
          <w:szCs w:val="12"/>
          <w:color w:val="auto"/>
        </w:rPr>
        <w:t>”) and (ii) an office or agency where Notes may be presented for payment (the “</w:t>
      </w:r>
      <w:r>
        <w:rPr>
          <w:rFonts w:ascii="Times New Roman" w:cs="Times New Roman" w:eastAsia="Times New Roman" w:hAnsi="Times New Roman"/>
          <w:sz w:val="12"/>
          <w:szCs w:val="12"/>
          <w:u w:val="single" w:color="auto"/>
          <w:color w:val="auto"/>
        </w:rPr>
        <w:t>Paying Agent</w:t>
      </w:r>
      <w:r>
        <w:rPr>
          <w:rFonts w:ascii="Times New Roman" w:cs="Times New Roman" w:eastAsia="Times New Roman" w:hAnsi="Times New Roman"/>
          <w:sz w:val="12"/>
          <w:szCs w:val="12"/>
          <w:color w:val="auto"/>
        </w:rPr>
        <w:t>”). The Registrar shall keep a register of the Notes and of their transfer and exchange. The Issuers may have one or more co-registrars and one or more additional paying agents. The term “Registrar” includes any co-registrars. The term “Paying Agent” includes the Paying Agent and any additional paying agents. The Issuers initially appoint the Trustee as Registrar, Paying Agent and the Notes Custodian with respect to the Global Notes.</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written request from the Issuers, the Registrar shall provide the Issuers with a copy of the then-current register for the Notes.</w:t>
      </w:r>
    </w:p>
    <w:p>
      <w:pPr>
        <w:spacing w:after="0" w:line="109"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may enter into an appropriate agency agreement with any Registrar or Paying Agent not a party to this Indenture. The agreement shall implement the provisions of this Indenture that relate to such agent. The Issuers shall notify the Trustee in writing of the name and address of any such agent. If the Issuers fail to maintain a Registrar or Paying Agent, the Trustee shall act as such and shall be entitled to appropriate compensation therefor pursuant to Section 7.06. The Company or any of its Subsidiaries (including the U.S. Co-Issuer) may act as Paying Agent or Registrar.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40</w:t>
      </w:r>
    </w:p>
    <w:p>
      <w:pPr>
        <w:sectPr>
          <w:pgSz w:w="11900" w:h="16840" w:orient="portrait"/>
          <w:cols w:equalWidth="0" w:num="1">
            <w:col w:w="10620"/>
          </w:cols>
          <w:pgMar w:left="640" w:top="1440" w:right="640" w:bottom="1440" w:gutter="0" w:footer="0" w:header="0"/>
        </w:sectPr>
      </w:pPr>
    </w:p>
    <w:bookmarkStart w:id="343" w:name="page344"/>
    <w:bookmarkEnd w:id="343"/>
    <w:p>
      <w:pPr>
        <w:spacing w:after="0" w:line="148" w:lineRule="exact"/>
        <w:rPr>
          <w:sz w:val="20"/>
          <w:szCs w:val="20"/>
          <w:color w:val="auto"/>
        </w:rPr>
      </w:pPr>
    </w:p>
    <w:p>
      <w:pPr>
        <w:jc w:val="both"/>
        <w:ind w:firstLine="463"/>
        <w:spacing w:after="0" w:line="227" w:lineRule="auto"/>
        <w:tabs>
          <w:tab w:leader="none" w:pos="904" w:val="left"/>
        </w:tabs>
        <w:numPr>
          <w:ilvl w:val="0"/>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Issuers may remove any Registrar or Paying Agent upon written notice to such Registrar or Paying Agent and to the Trustee;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such removal shall become effective until (i) if applicable, acceptance of an appointment by a successor Registrar or Paying Agent, as the case may be, as evidenced by an appropriate agreement entered into by the Issuers and such successor Registrar or Paying Agent, as the case may be, and delivered to the Trustee or (ii) notification to the Trustee that the Trustee shall serve as Registrar or Paying Agent until the appointment of a successor in accordance with clause (i) above. The Registrar or Paying Agent may resign at any time upon written notice to the Issuers and the Trustee;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Trustee may resign as Paying Agent or Registrar only if the Trustee also resigns as Trustee in accordance with Section 7.07.</w:t>
      </w:r>
    </w:p>
    <w:p>
      <w:pPr>
        <w:spacing w:after="0" w:line="90" w:lineRule="exact"/>
        <w:rPr>
          <w:sz w:val="20"/>
          <w:szCs w:val="20"/>
          <w:color w:val="auto"/>
        </w:rPr>
      </w:pPr>
    </w:p>
    <w:p>
      <w:pPr>
        <w:jc w:val="both"/>
        <w:ind w:right="20" w:firstLine="457"/>
        <w:spacing w:after="0" w:line="225" w:lineRule="auto"/>
        <w:rPr>
          <w:sz w:val="20"/>
          <w:szCs w:val="20"/>
          <w:color w:val="auto"/>
        </w:rPr>
      </w:pPr>
      <w:r>
        <w:rPr>
          <w:rFonts w:ascii="Times New Roman" w:cs="Times New Roman" w:eastAsia="Times New Roman" w:hAnsi="Times New Roman"/>
          <w:sz w:val="12"/>
          <w:szCs w:val="12"/>
          <w:color w:val="auto"/>
        </w:rPr>
        <w:t xml:space="preserve">SECTION 2.05 </w:t>
      </w:r>
      <w:r>
        <w:rPr>
          <w:rFonts w:ascii="Times New Roman" w:cs="Times New Roman" w:eastAsia="Times New Roman" w:hAnsi="Times New Roman"/>
          <w:sz w:val="12"/>
          <w:szCs w:val="12"/>
          <w:u w:val="single" w:color="auto"/>
          <w:color w:val="auto"/>
        </w:rPr>
        <w:t>Paying Agent to Hold Money in Trust</w:t>
      </w:r>
      <w:r>
        <w:rPr>
          <w:rFonts w:ascii="Times New Roman" w:cs="Times New Roman" w:eastAsia="Times New Roman" w:hAnsi="Times New Roman"/>
          <w:sz w:val="12"/>
          <w:szCs w:val="12"/>
          <w:color w:val="auto"/>
        </w:rPr>
        <w:t>. Prior to 10:00 a.m., New York City time, on each due date of the principal of and interest on any Note, the Issuers shall deposit with the Paying Agent (or, if the Company or a Subsidiary thereof is the Paying Agent, shall have segregated and held in trust) a sum sufficient to pay such principal and interest when so becoming due. The Paying Agent shall hold in trust for the benefit of holders or the Trustee all money held by a Paying Agent for the payment of principal of and interest on the Notes, and shall notify the Trustee in writing of any default by the Issuers in making any such payment. If the Company or a Subsidiary thereof acts as Paying Agent, it shall segregate the money held by it as Paying Agent and hold it in trust for the benefit of the Persons entitled thereto. The Issuers at any time may require a Paying Agent to pay all money held by it to the Trustee and to account for any funds disbursed by such Paying Agent. Upon complying with this Section 2.05, a Paying Agent shall have no further liability for the money delivered to the Trustee.</w:t>
      </w:r>
    </w:p>
    <w:p>
      <w:pPr>
        <w:spacing w:after="0" w:line="90"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2.06 </w:t>
      </w:r>
      <w:r>
        <w:rPr>
          <w:rFonts w:ascii="Times New Roman" w:cs="Times New Roman" w:eastAsia="Times New Roman" w:hAnsi="Times New Roman"/>
          <w:sz w:val="12"/>
          <w:szCs w:val="12"/>
          <w:u w:val="single" w:color="auto"/>
          <w:color w:val="auto"/>
        </w:rPr>
        <w:t>Holder Lists</w:t>
      </w:r>
      <w:r>
        <w:rPr>
          <w:rFonts w:ascii="Times New Roman" w:cs="Times New Roman" w:eastAsia="Times New Roman" w:hAnsi="Times New Roman"/>
          <w:sz w:val="12"/>
          <w:szCs w:val="12"/>
          <w:color w:val="auto"/>
        </w:rPr>
        <w:t>. The Trustee shall preserve in as current a form as is reasonably practicable the most recent list available to it of the names and addresses of holders. If the Trustee is not the Registrar, the Issuers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w:t>
      </w:r>
    </w:p>
    <w:p>
      <w:pPr>
        <w:spacing w:after="0" w:line="88" w:lineRule="exact"/>
        <w:rPr>
          <w:sz w:val="20"/>
          <w:szCs w:val="20"/>
          <w:color w:val="auto"/>
        </w:rPr>
      </w:pPr>
    </w:p>
    <w:p>
      <w:pPr>
        <w:jc w:val="both"/>
        <w:ind w:firstLine="457"/>
        <w:spacing w:after="0" w:line="224" w:lineRule="auto"/>
        <w:rPr>
          <w:sz w:val="20"/>
          <w:szCs w:val="20"/>
          <w:color w:val="auto"/>
        </w:rPr>
      </w:pPr>
      <w:r>
        <w:rPr>
          <w:rFonts w:ascii="Times New Roman" w:cs="Times New Roman" w:eastAsia="Times New Roman" w:hAnsi="Times New Roman"/>
          <w:sz w:val="12"/>
          <w:szCs w:val="12"/>
          <w:color w:val="auto"/>
        </w:rPr>
        <w:t xml:space="preserve">SECTION 2.07 </w:t>
      </w:r>
      <w:r>
        <w:rPr>
          <w:rFonts w:ascii="Times New Roman" w:cs="Times New Roman" w:eastAsia="Times New Roman" w:hAnsi="Times New Roman"/>
          <w:sz w:val="12"/>
          <w:szCs w:val="12"/>
          <w:u w:val="single" w:color="auto"/>
          <w:color w:val="auto"/>
        </w:rPr>
        <w:t>Transfer and Exchange</w:t>
      </w:r>
      <w:r>
        <w:rPr>
          <w:rFonts w:ascii="Times New Roman" w:cs="Times New Roman" w:eastAsia="Times New Roman" w:hAnsi="Times New Roman"/>
          <w:sz w:val="12"/>
          <w:szCs w:val="12"/>
          <w:color w:val="auto"/>
        </w:rPr>
        <w:t>. The Notes shall be issued in registered form and shall be transferable only upon the surrender of a Note for registration of transfer and in compliance with Appendix A. When a Note is presented to the Registrar with a request to register a transfer, the Registrar shall register the transfer as requested if its requirements (including, among other things, the furnishing of appropriate endorsements and transfer documents) therefor are met. When Notes are presented to the Registrar with a request to exchange them for an equal principal amount of Notes of other denominations, the Registrar shall make the exchange as requested if the same requirements are met. To permit registration of transfers and exchanges, the Issuers shall execute and the Trustee shall authenticate Notes at the Registrar’s request. The Issuers may require payment of a sum sufficient to pay all taxes, assessments or other governmental charges payable on transfer that are required by law in connection with any transfer or exchange pursuant to this Section 2.07. The Issuers shall not be required to make, and the Registrar need not register, transfers or exchanges of any Notes selected for redemption (except, in the case of Notes to be redeemed in part, the portion thereof not to be redeemed) or of any Notes for a period of 15 days before the mailing of a notice of redemption of Notes to be redeemed.</w:t>
      </w:r>
    </w:p>
    <w:p>
      <w:pPr>
        <w:spacing w:after="0" w:line="98"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Prior to the due presentation for registration of transfer of any Note, the Issuers, the Guarantors, the Trustee, the Paying Agent and the Registrar may deem and treat the Person in whose name a Note is registered as the absolute owner of such Note for the purpose of receiving payment of principal of and interest, if any, on such Note and for all other purposes whatsoever, whether or not such Note is overdue, and none of the Issuers, the Guarantors, the Trustee, the Paying Agent or the Registrar shall be affected by notice to the contrary.</w:t>
      </w:r>
    </w:p>
    <w:p>
      <w:pPr>
        <w:spacing w:after="0" w:line="91"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Any holder of a beneficial interest in a Global Note shall, by acceptance of such beneficial interest,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91"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79"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Depository participants or beneficial owners of interests in any Global Note) other than to require delivery of such certificates and other documentation or evidence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41</w:t>
      </w:r>
    </w:p>
    <w:p>
      <w:pPr>
        <w:sectPr>
          <w:pgSz w:w="11900" w:h="16840" w:orient="portrait"/>
          <w:cols w:equalWidth="0" w:num="1">
            <w:col w:w="10620"/>
          </w:cols>
          <w:pgMar w:left="640" w:top="1440" w:right="640" w:bottom="1440" w:gutter="0" w:footer="0" w:header="0"/>
        </w:sectPr>
      </w:pPr>
    </w:p>
    <w:bookmarkStart w:id="344" w:name="page345"/>
    <w:bookmarkEnd w:id="344"/>
    <w:p>
      <w:pPr>
        <w:spacing w:after="0" w:line="15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2"/>
          <w:szCs w:val="12"/>
          <w:color w:val="auto"/>
        </w:rPr>
        <w:t>as are expressly required by, and to do so if and when expressly required by the terms of, this Indenture, and to examine the same to determine substantial compliance as to form with the express requirements hereof.</w:t>
      </w:r>
    </w:p>
    <w:p>
      <w:pPr>
        <w:spacing w:after="0" w:line="2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 of the Trustee, Registrar or Paying Agent shall have any responsibility for any actions taken or not taken by the Depository.</w:t>
      </w:r>
    </w:p>
    <w:p>
      <w:pPr>
        <w:spacing w:after="0" w:line="119"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2.08 </w:t>
      </w:r>
      <w:r>
        <w:rPr>
          <w:rFonts w:ascii="Times New Roman" w:cs="Times New Roman" w:eastAsia="Times New Roman" w:hAnsi="Times New Roman"/>
          <w:sz w:val="12"/>
          <w:szCs w:val="12"/>
          <w:u w:val="single" w:color="auto"/>
          <w:color w:val="auto"/>
        </w:rPr>
        <w:t>Replacement Notes</w:t>
      </w:r>
      <w:r>
        <w:rPr>
          <w:rFonts w:ascii="Times New Roman" w:cs="Times New Roman" w:eastAsia="Times New Roman" w:hAnsi="Times New Roman"/>
          <w:sz w:val="12"/>
          <w:szCs w:val="12"/>
          <w:color w:val="auto"/>
        </w:rPr>
        <w:t>. If a mutilated Note is surrendered to the Registrar or if the holder of a Note claims that the Note has been lost, destroyed or wrongfully taken, the Issuers shall issue and the Trustee shall authenticate a replacement Note if the requirements of Section 8 -405 of the Uniform Commercial Code are met, such that the holder (a) satisfies the Issuers and the Trustee within a reasonable time after such holder has notice of such loss, destruction or wrongful taking and the Registrar does not register a transfer prior to receiving such notification, (b) makes such request to the Issuers and the Trustee prior to the Note being acquired by a protected purchaser as defined in Section 8-303 of the Uniform Commercial Code (a “</w:t>
      </w:r>
      <w:r>
        <w:rPr>
          <w:rFonts w:ascii="Times New Roman" w:cs="Times New Roman" w:eastAsia="Times New Roman" w:hAnsi="Times New Roman"/>
          <w:sz w:val="12"/>
          <w:szCs w:val="12"/>
          <w:u w:val="single" w:color="auto"/>
          <w:color w:val="auto"/>
        </w:rPr>
        <w:t>protected purchaser</w:t>
      </w:r>
      <w:r>
        <w:rPr>
          <w:rFonts w:ascii="Times New Roman" w:cs="Times New Roman" w:eastAsia="Times New Roman" w:hAnsi="Times New Roman"/>
          <w:sz w:val="12"/>
          <w:szCs w:val="12"/>
          <w:color w:val="auto"/>
        </w:rPr>
        <w:t>”) and (c) satisfies any other reasonable requirements of the Issuers and the Trustee. Such holder shall furnish an indemnity bond sufficient in the judgment of the Trustee, with respect to the Trustee, and each Issuer, with respect to such Issuer, to protect the Issuers, the Trustee, the Paying Agent and the Registrar, as applicable, from any loss or liability that any of them may suffer if a Note is replaced and subsequently presented or claimed for payment. The Issuers and the Trustee may charge the holder for their expenses in replacing a Note (including without limitation, attorneys’ fees and disbursements in replacing such Note) . In the event any such mutilated, lost, destroyed or wrongfully taken Note has become or is about to become due and payable, the Issuers in its discretion may pay such Note instead of issuing a new Note in replacement thereof.</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Every replacement Note is an additional obligation of the Issuers.</w:t>
      </w:r>
    </w:p>
    <w:p>
      <w:pPr>
        <w:spacing w:after="0" w:line="12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The provisions of this Section 2.08 are exclusive and shall preclude (to the extent lawful) all other rights and remedies with respect to the replacement or payment of mutilated, lost, destroyed or wrongfully taken Notes.</w:t>
      </w:r>
    </w:p>
    <w:p>
      <w:pPr>
        <w:spacing w:after="0" w:line="70" w:lineRule="exact"/>
        <w:rPr>
          <w:sz w:val="20"/>
          <w:szCs w:val="20"/>
          <w:color w:val="auto"/>
        </w:rPr>
      </w:pPr>
    </w:p>
    <w:p>
      <w:pPr>
        <w:jc w:val="both"/>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2.09 </w:t>
      </w:r>
      <w:r>
        <w:rPr>
          <w:rFonts w:ascii="Times New Roman" w:cs="Times New Roman" w:eastAsia="Times New Roman" w:hAnsi="Times New Roman"/>
          <w:sz w:val="12"/>
          <w:szCs w:val="12"/>
          <w:u w:val="single" w:color="auto"/>
          <w:color w:val="auto"/>
        </w:rPr>
        <w:t>Outstanding Notes</w:t>
      </w:r>
      <w:r>
        <w:rPr>
          <w:rFonts w:ascii="Times New Roman" w:cs="Times New Roman" w:eastAsia="Times New Roman" w:hAnsi="Times New Roman"/>
          <w:sz w:val="12"/>
          <w:szCs w:val="12"/>
          <w:color w:val="auto"/>
        </w:rPr>
        <w:t>. Notes outstanding at any time are all Notes authenticated by the Trustee except for those canceled by it, those paid pursuant to Section 2.08, those delivered to it for cancellation and those described in this Section 2.09 as not outstanding. Subject to Section 13.04, a Note does not cease to be outstanding because an Issuer or an Affiliate of any Issuer holds the Note.</w:t>
      </w:r>
    </w:p>
    <w:p>
      <w:pPr>
        <w:spacing w:after="0" w:line="90"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If a Note is replaced pursuant to Section 2.08 (other than a mutilated Note surrendered for replacement), it ceases to be outstanding unless the Trustee and the Issuers receive proof satisfactory to them that the replaced Note is held by a protected purchaser. A mutilated Note ceases to be outstanding upon surrender of such Note and replacement thereof pursuant to Section 2.08.</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If a Paying Agent segregates and holds in trust, in accordance with this Indenture, on a redemption date or maturity date money sufficient to pay all principal and interest payable on that date with respect to the Notes (or portions thereof) to be redeemed or maturing, as the case may be, and no Paying Agent is prohibited from paying such money to the holders on that date pursuant to the terms of this Indenture, then on and after that date such Notes (or portions thereof) cease to be outstanding and interest on them ceases to accrue.</w:t>
      </w:r>
    </w:p>
    <w:p>
      <w:pPr>
        <w:spacing w:after="0" w:line="82"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2.10 </w:t>
      </w:r>
      <w:r>
        <w:rPr>
          <w:rFonts w:ascii="Times New Roman" w:cs="Times New Roman" w:eastAsia="Times New Roman" w:hAnsi="Times New Roman"/>
          <w:sz w:val="12"/>
          <w:szCs w:val="12"/>
          <w:u w:val="single" w:color="auto"/>
          <w:color w:val="auto"/>
        </w:rPr>
        <w:t>Cancellation</w:t>
      </w:r>
      <w:r>
        <w:rPr>
          <w:rFonts w:ascii="Times New Roman" w:cs="Times New Roman" w:eastAsia="Times New Roman" w:hAnsi="Times New Roman"/>
          <w:sz w:val="12"/>
          <w:szCs w:val="12"/>
          <w:color w:val="auto"/>
        </w:rPr>
        <w:t>. The Issuers at any time may deliver Notes to the Trustee for cancellation. The Registrar and each Paying Agent shall forward to the Trustee any Notes surrendered to them for registration of transfer, exchange or payment. The Trustee and no one else shall cancel all Notes surrendered for registration of transfer, exchange, payment or cancellation and shall dispose of canceled Notes in accordance with its customary procedures. The Issuers may not issue new Notes to replace Notes they have redeemed, paid or delivered to the Trustee for cancellation. The Trustee shall not authenticate Notes in place of canceled Notes other than pursuant to the terms of this Indenture.</w:t>
      </w:r>
    </w:p>
    <w:p>
      <w:pPr>
        <w:spacing w:after="0" w:line="85"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2.11 </w:t>
      </w:r>
      <w:r>
        <w:rPr>
          <w:rFonts w:ascii="Times New Roman" w:cs="Times New Roman" w:eastAsia="Times New Roman" w:hAnsi="Times New Roman"/>
          <w:sz w:val="12"/>
          <w:szCs w:val="12"/>
          <w:u w:val="single" w:color="auto"/>
          <w:color w:val="auto"/>
        </w:rPr>
        <w:t>Defaulted Interest</w:t>
      </w:r>
      <w:r>
        <w:rPr>
          <w:rFonts w:ascii="Times New Roman" w:cs="Times New Roman" w:eastAsia="Times New Roman" w:hAnsi="Times New Roman"/>
          <w:sz w:val="12"/>
          <w:szCs w:val="12"/>
          <w:color w:val="auto"/>
        </w:rPr>
        <w:t xml:space="preserve">. If the Issuers default in a payment of interest on the Notes, the Issuers shall pay the defaulted interest then borne by the Notes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interest on such defaulted interest to the extent lawful) in any lawful manner. The Issuers may pay the defaulted interest to the Persons who are holders on a subsequent special record date. The Issuers shall fix or cause to be fixed any such special record date and payment date to the reasonable satisfaction of the Trustee and shall promptly mail or cause to be mailed to each affected holder a notice that states the special record date, the payment date and the amount of defaulted interest to be paid.</w:t>
      </w:r>
    </w:p>
    <w:p>
      <w:pPr>
        <w:spacing w:after="0" w:line="89" w:lineRule="exact"/>
        <w:rPr>
          <w:sz w:val="20"/>
          <w:szCs w:val="20"/>
          <w:color w:val="auto"/>
        </w:rPr>
      </w:pPr>
    </w:p>
    <w:p>
      <w:pPr>
        <w:jc w:val="both"/>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2.12 </w:t>
      </w:r>
      <w:r>
        <w:rPr>
          <w:rFonts w:ascii="Times New Roman" w:cs="Times New Roman" w:eastAsia="Times New Roman" w:hAnsi="Times New Roman"/>
          <w:sz w:val="12"/>
          <w:szCs w:val="12"/>
          <w:u w:val="single" w:color="auto"/>
          <w:color w:val="auto"/>
        </w:rPr>
        <w:t>CUSIP Numbers and ISINs.</w:t>
      </w:r>
      <w:r>
        <w:rPr>
          <w:rFonts w:ascii="Times New Roman" w:cs="Times New Roman" w:eastAsia="Times New Roman" w:hAnsi="Times New Roman"/>
          <w:sz w:val="12"/>
          <w:szCs w:val="12"/>
          <w:color w:val="auto"/>
        </w:rPr>
        <w:t xml:space="preserve"> The Issuers in issuing the Notes may use CUSIP numbers and ISINs, and the Trustee shall use any such CUSIP numbers and ISINs in notices of redemption as a convenience to 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such notice may state that no representation is made as to the correctness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42</w:t>
      </w:r>
    </w:p>
    <w:p>
      <w:pPr>
        <w:sectPr>
          <w:pgSz w:w="11900" w:h="16840" w:orient="portrait"/>
          <w:cols w:equalWidth="0" w:num="1">
            <w:col w:w="10620"/>
          </w:cols>
          <w:pgMar w:left="640" w:top="1440" w:right="640" w:bottom="1440" w:gutter="0" w:footer="0" w:header="0"/>
        </w:sectPr>
      </w:pPr>
    </w:p>
    <w:bookmarkStart w:id="345" w:name="page346"/>
    <w:bookmarkEnd w:id="345"/>
    <w:p>
      <w:pPr>
        <w:spacing w:after="0" w:line="14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such numbers, either as printed on the Notes or as contained in any notice of a redemption that reliance may be placed only on the other identification numbers printed on the Notes and that any such redemption shall not be affected by any defect in or omission of such numbers. The Issuers shall promptly advise the Trustee in writing of any change in any such CUSIP numbers and ISINs.</w:t>
      </w:r>
    </w:p>
    <w:p>
      <w:pPr>
        <w:spacing w:after="0" w:line="80"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2.13 </w:t>
      </w:r>
      <w:r>
        <w:rPr>
          <w:rFonts w:ascii="Times New Roman" w:cs="Times New Roman" w:eastAsia="Times New Roman" w:hAnsi="Times New Roman"/>
          <w:sz w:val="12"/>
          <w:szCs w:val="12"/>
          <w:u w:val="single" w:color="auto"/>
          <w:color w:val="auto"/>
        </w:rPr>
        <w:t>Calculation of Principal Amount of Notes</w:t>
      </w:r>
      <w:r>
        <w:rPr>
          <w:rFonts w:ascii="Times New Roman" w:cs="Times New Roman" w:eastAsia="Times New Roman" w:hAnsi="Times New Roman"/>
          <w:sz w:val="12"/>
          <w:szCs w:val="12"/>
          <w:color w:val="auto"/>
        </w:rPr>
        <w:t>. The aggregate principal amount of the Notes, at any date of determination, shall be the principal amount of the Notes at such date of determination. With respect to any matter requiring consent, waiver, approval or other action of the holders of a specified percentage of the principal amount of all the Notes, such percentage shall be calculated, on the relevant date of determination, by dividing (a) the principal amount, as of such date of determination, of Notes, the holders of which have so consented, by (b) the aggregate principal amount, as of such date of determination, of the Notes then outstanding, in each case, as determined in accordance with the preceding sentence, and Section 13.04 of this Indenture. Any calculation of the Applicable Premium made pursuant to this Section 2.13 shall be made by the Company and delivered to the Trustee pursuant to an Officer’s Certificate.</w:t>
      </w:r>
    </w:p>
    <w:p>
      <w:pPr>
        <w:spacing w:after="0" w:line="90" w:lineRule="exact"/>
        <w:rPr>
          <w:sz w:val="20"/>
          <w:szCs w:val="20"/>
          <w:color w:val="auto"/>
        </w:rPr>
      </w:pPr>
    </w:p>
    <w:p>
      <w:pPr>
        <w:jc w:val="both"/>
        <w:ind w:firstLine="457"/>
        <w:spacing w:after="0"/>
        <w:rPr>
          <w:sz w:val="20"/>
          <w:szCs w:val="20"/>
          <w:color w:val="auto"/>
        </w:rPr>
      </w:pPr>
      <w:r>
        <w:rPr>
          <w:rFonts w:ascii="Times New Roman" w:cs="Times New Roman" w:eastAsia="Times New Roman" w:hAnsi="Times New Roman"/>
          <w:sz w:val="12"/>
          <w:szCs w:val="12"/>
          <w:color w:val="auto"/>
        </w:rPr>
        <w:t xml:space="preserve">SECTION 2.14 </w:t>
      </w:r>
      <w:r>
        <w:rPr>
          <w:rFonts w:ascii="Times New Roman" w:cs="Times New Roman" w:eastAsia="Times New Roman" w:hAnsi="Times New Roman"/>
          <w:sz w:val="12"/>
          <w:szCs w:val="12"/>
          <w:u w:val="single" w:color="auto"/>
          <w:color w:val="auto"/>
        </w:rPr>
        <w:t>Additional Amounts</w:t>
      </w:r>
      <w:r>
        <w:rPr>
          <w:rFonts w:ascii="Times New Roman" w:cs="Times New Roman" w:eastAsia="Times New Roman" w:hAnsi="Times New Roman"/>
          <w:sz w:val="12"/>
          <w:szCs w:val="12"/>
          <w:color w:val="auto"/>
        </w:rPr>
        <w:t xml:space="preserve"> . All payments made by or on behalf of any Issuer or Guarantor under or with respect to the Notes or any Guarantee will be made free and clear of and without withholding or deduction for or on account of any present or future Taxes unless required by law or the official interpretation or administration thereof. If any such withholding or deduction is required by any applicable withholding agent for or on account of Taxes imposed by (i) Denmark, (ii) any jurisdiction from or through which such payment is made by or on behalf of any Issuer or Guarantor (including, without limitation, the jurisdiction of any paying agent) or (iii) any other jurisdiction in which any Issuer or Guarantor is incorporated, organized, resident or engaged in business for Tax purposes (each of (i), (ii), (iii) and any political subdivision of any of the foregoing, a “</w:t>
      </w:r>
      <w:r>
        <w:rPr>
          <w:rFonts w:ascii="Times New Roman" w:cs="Times New Roman" w:eastAsia="Times New Roman" w:hAnsi="Times New Roman"/>
          <w:sz w:val="12"/>
          <w:szCs w:val="12"/>
          <w:u w:val="single" w:color="auto"/>
          <w:color w:val="auto"/>
        </w:rPr>
        <w:t>Relevant Taxing Jurisdiction</w:t>
      </w:r>
      <w:r>
        <w:rPr>
          <w:rFonts w:ascii="Times New Roman" w:cs="Times New Roman" w:eastAsia="Times New Roman" w:hAnsi="Times New Roman"/>
          <w:sz w:val="12"/>
          <w:szCs w:val="12"/>
          <w:color w:val="auto"/>
        </w:rPr>
        <w:t>”), in respect of any payment made under or with respect to the Notes or under any Guarantee (including payments of principal, redemption price, interest or premium (if any)), subject to the limitations described below, such Issuer or such Guarantor, as the case may be, will pay (together with such payments) such additional amounts (“</w:t>
      </w:r>
      <w:r>
        <w:rPr>
          <w:rFonts w:ascii="Times New Roman" w:cs="Times New Roman" w:eastAsia="Times New Roman" w:hAnsi="Times New Roman"/>
          <w:sz w:val="12"/>
          <w:szCs w:val="12"/>
          <w:u w:val="single" w:color="auto"/>
          <w:color w:val="auto"/>
        </w:rPr>
        <w:t>Additional Amounts</w:t>
      </w:r>
      <w:r>
        <w:rPr>
          <w:rFonts w:ascii="Times New Roman" w:cs="Times New Roman" w:eastAsia="Times New Roman" w:hAnsi="Times New Roman"/>
          <w:sz w:val="12"/>
          <w:szCs w:val="12"/>
          <w:color w:val="auto"/>
        </w:rPr>
        <w:t xml:space="preserve">”) as may be necessary so that the net amount received by each beneficial owner of Notes after such withholding or deduction (including any withholding or deduction attributable to such Additional Amounts) will equal the amount the beneficial owner would have received if such Taxes had not been withheld or deducted;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Additional Amounts will be payable with respect to:</w:t>
      </w:r>
    </w:p>
    <w:p>
      <w:pPr>
        <w:spacing w:after="0" w:line="133" w:lineRule="exact"/>
        <w:rPr>
          <w:sz w:val="20"/>
          <w:szCs w:val="20"/>
          <w:color w:val="auto"/>
        </w:rPr>
      </w:pPr>
    </w:p>
    <w:p>
      <w:pPr>
        <w:jc w:val="both"/>
        <w:ind w:left="460" w:firstLine="460"/>
        <w:spacing w:after="0"/>
        <w:tabs>
          <w:tab w:leader="none" w:pos="1364"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to the extent such Tax would not have been imposed, withheld, deducted or levied but for any actual or deemed present or former connection between the holder or the beneficial owner (or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of such Notes and the Relevant Taxing Jurisdiction (including, without limitation, being or having been a citizen, national or resident of, or incorporated or carrying on a business in or having or having had a permanent establishment in the Relevant Taxing Jurisdiction) other than a connection arising solely from the acquisition, ownership, holding or disposition of the Notes, the enforcement of rights under the Notes or any Guarantee or the receipt of payments under or in respect of the Notes or any Guarantee;</w:t>
      </w:r>
    </w:p>
    <w:p>
      <w:pPr>
        <w:spacing w:after="0" w:line="176" w:lineRule="exact"/>
        <w:rPr>
          <w:rFonts w:ascii="Times New Roman" w:cs="Times New Roman" w:eastAsia="Times New Roman" w:hAnsi="Times New Roman"/>
          <w:sz w:val="12"/>
          <w:szCs w:val="12"/>
          <w:color w:val="auto"/>
        </w:rPr>
      </w:pPr>
    </w:p>
    <w:p>
      <w:pPr>
        <w:jc w:val="both"/>
        <w:ind w:left="460" w:right="20" w:firstLine="460"/>
        <w:spacing w:after="0" w:line="225" w:lineRule="auto"/>
        <w:tabs>
          <w:tab w:leader="none" w:pos="1364"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to the extent such Tax would not have been imposed, withheld, deducted or levied but for the failure of the holder or beneficial owner of the Notes to comply with any reasonable written request of the Issuers or Guarantors addressed to the holder or beneficial owner and made at least 30 days before any such withholding or deduction would be payable, to satisfy any certification, identification, information, documentation or other reporting requirements concerning the nationality, residence, identity or connection with the Relevant Taxing Jurisdiction of such holder or beneficial owner, which are required by applicable law, treaty, regulation or official administrative guidance of the applicable Relevant Taxing Jurisdiction as a precondition to exemption from, or reduction in the rate of deduction or withholding of, all or part of such Tax (including, without limitation, a certification that the holder or beneficial owner is not resident in the Relevant Taxing Jurisdiction) but in each case, only to the extent such holder or beneficial owner is legally eligible to provide such certification or other documentation;</w:t>
      </w:r>
    </w:p>
    <w:p>
      <w:pPr>
        <w:spacing w:after="0" w:line="8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that would not have been imposed, withheld, deducted or levied if the presentation of Notes (where Notes are in the form of certificated Notes and presentation is required) for payment had occurred within 30 days after the date such payment became due and payable, or was duly provided for and notice thereof given to holders, whichever is later (except to the extent that the holder or beneficial owner would have been entitled to such Additional Amounts had the Note been presented within such 30-day period);</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estate, inheritance, gift, transfer, capital gains, personal property, wealth, value added, sales or similar Tax;</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43</w:t>
      </w:r>
    </w:p>
    <w:p>
      <w:pPr>
        <w:sectPr>
          <w:pgSz w:w="11900" w:h="16840" w:orient="portrait"/>
          <w:cols w:equalWidth="0" w:num="1">
            <w:col w:w="10620"/>
          </w:cols>
          <w:pgMar w:left="640" w:top="1440" w:right="640" w:bottom="1440" w:gutter="0" w:footer="0" w:header="0"/>
        </w:sectPr>
      </w:pPr>
    </w:p>
    <w:bookmarkStart w:id="346" w:name="page347"/>
    <w:bookmarkEnd w:id="346"/>
    <w:p>
      <w:pPr>
        <w:spacing w:after="0" w:line="148" w:lineRule="exact"/>
        <w:rPr>
          <w:sz w:val="20"/>
          <w:szCs w:val="20"/>
          <w:color w:val="auto"/>
        </w:rPr>
      </w:pPr>
    </w:p>
    <w:p>
      <w:pPr>
        <w:ind w:left="460" w:right="20" w:firstLine="460"/>
        <w:spacing w:after="0" w:line="253" w:lineRule="auto"/>
        <w:tabs>
          <w:tab w:leader="none" w:pos="1364"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that could have been avoided by the presentation of Notes (where Notes are in the form of certificated Notes and presentation is required) for payment to another reasonably available paying agent;</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payable other than by deduction or withholding from payments under, or with respect to, the Notes or the Guarantee;</w:t>
      </w:r>
    </w:p>
    <w:p>
      <w:pPr>
        <w:spacing w:after="0" w:line="109" w:lineRule="exact"/>
        <w:rPr>
          <w:rFonts w:ascii="Times New Roman" w:cs="Times New Roman" w:eastAsia="Times New Roman" w:hAnsi="Times New Roman"/>
          <w:sz w:val="12"/>
          <w:szCs w:val="12"/>
          <w:color w:val="auto"/>
        </w:rPr>
      </w:pPr>
    </w:p>
    <w:p>
      <w:pPr>
        <w:jc w:val="both"/>
        <w:ind w:left="460" w:right="40" w:firstLine="460"/>
        <w:spacing w:after="0" w:line="231" w:lineRule="auto"/>
        <w:tabs>
          <w:tab w:leader="none" w:pos="1364"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which are imposed, withheld, deducted or levied with respect to, or payable by, a holder that is not the beneficial owner of the Note, or a portion of the Note, or that is a fiduciary, partnership, limited liability company or other similar entity, but only to the extent that a beneficial owner, a beneficiary or settlor with respect to such fiduciary or member of such partnership, limited liability company or similar entity would not have been entitled to the payment of an Additional Amount had such beneficial owner, settlor, beneficiary or member received directly its beneficial or distributive share of the payment;</w:t>
      </w:r>
    </w:p>
    <w:p>
      <w:pPr>
        <w:spacing w:after="0" w:line="87" w:lineRule="exact"/>
        <w:rPr>
          <w:rFonts w:ascii="Times New Roman" w:cs="Times New Roman" w:eastAsia="Times New Roman" w:hAnsi="Times New Roman"/>
          <w:sz w:val="12"/>
          <w:szCs w:val="12"/>
          <w:color w:val="auto"/>
        </w:rPr>
      </w:pPr>
    </w:p>
    <w:p>
      <w:pPr>
        <w:jc w:val="both"/>
        <w:ind w:left="460" w:firstLine="460"/>
        <w:spacing w:after="0" w:line="227" w:lineRule="auto"/>
        <w:tabs>
          <w:tab w:leader="none" w:pos="1364"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withholding Taxes imposed by the United States in respect of a beneficial owner that (i) is or was with respect to the United States a personal holding company, a passive foreign investment company, a controlled foreign corporation, a foreign private foundation or other foreign tax-exempt organization or a corporation that has accumulated earnings to avoid U.S. federal income tax,</w:t>
      </w:r>
    </w:p>
    <w:p>
      <w:pPr>
        <w:ind w:left="460" w:right="20" w:firstLine="3"/>
        <w:spacing w:after="0" w:line="234" w:lineRule="auto"/>
        <w:tabs>
          <w:tab w:leader="none" w:pos="656"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“10-percent shareholder” within the meaning of Section 871(h)(3)(B) of the Code (or any amended or successor version), of the Company, or (iii) is a bank that is receiving payments on an extension of credit made pursuant to a loan agreement entered into the ordinary course of its trade or business within the meaning of Section 881(c)(3) of the Code (or any amended or successor version);</w:t>
      </w:r>
    </w:p>
    <w:p>
      <w:pPr>
        <w:spacing w:after="0" w:line="88" w:lineRule="exact"/>
        <w:rPr>
          <w:rFonts w:ascii="Times New Roman" w:cs="Times New Roman" w:eastAsia="Times New Roman" w:hAnsi="Times New Roman"/>
          <w:sz w:val="12"/>
          <w:szCs w:val="12"/>
          <w:color w:val="auto"/>
        </w:rPr>
      </w:pPr>
    </w:p>
    <w:p>
      <w:pPr>
        <w:jc w:val="both"/>
        <w:ind w:left="460" w:firstLine="460"/>
        <w:spacing w:after="0" w:line="231" w:lineRule="auto"/>
        <w:tabs>
          <w:tab w:leader="none" w:pos="1364"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imposed, withheld, levied or deducted pursuant to Sections 1471 through 1474 of the Code as of the Issue Date (or any amended or successor version that is substantively comparable and not materially more onerous to comply with), any current or future regulations promulgated thereunder or official interpretations thereof, any agreement entered into pursuant to current Section 1471(b) of the Code as of the Issue Date (or any amended or successor version described above), or any intergovernmental agreements, treaties, conventions or similar agreements (and any related laws or other official rules or administrative guidance) implementing the foregoing in any jurisdiction;</w:t>
      </w:r>
    </w:p>
    <w:p>
      <w:pPr>
        <w:spacing w:after="0" w:line="85" w:lineRule="exact"/>
        <w:rPr>
          <w:rFonts w:ascii="Times New Roman" w:cs="Times New Roman" w:eastAsia="Times New Roman" w:hAnsi="Times New Roman"/>
          <w:sz w:val="12"/>
          <w:szCs w:val="12"/>
          <w:color w:val="auto"/>
        </w:rPr>
      </w:pPr>
    </w:p>
    <w:p>
      <w:pPr>
        <w:ind w:left="460" w:firstLine="460"/>
        <w:spacing w:after="0" w:line="257" w:lineRule="auto"/>
        <w:tabs>
          <w:tab w:leader="none" w:pos="1364"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imposed, withheld, levied or deducted pursuant to the Dutch Conditional Withholding Tax Act 2021 (</w:t>
      </w:r>
      <w:r>
        <w:rPr>
          <w:rFonts w:ascii="Times New Roman" w:cs="Times New Roman" w:eastAsia="Times New Roman" w:hAnsi="Times New Roman"/>
          <w:sz w:val="12"/>
          <w:szCs w:val="12"/>
          <w:i w:val="1"/>
          <w:iCs w:val="1"/>
          <w:color w:val="auto"/>
        </w:rPr>
        <w:t>Wet bronbelasting 2021</w:t>
      </w:r>
      <w:r>
        <w:rPr>
          <w:rFonts w:ascii="Times New Roman" w:cs="Times New Roman" w:eastAsia="Times New Roman" w:hAnsi="Times New Roman"/>
          <w:sz w:val="12"/>
          <w:szCs w:val="12"/>
          <w:color w:val="auto"/>
        </w:rPr>
        <w:t>), together with the related ordinances, regulations and guidelines, in each case as in effect as of the date of the Offering Memorandum;</w:t>
      </w:r>
    </w:p>
    <w:p>
      <w:pPr>
        <w:spacing w:after="0" w:line="7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Danish withholding Tax imposed as a consequence of Indebtedness under the Notes to the holder or beneficial owner of the Notes being considered “controlled debt” for the purpose of section 2 (1)(d) of the Danish Corporation Tax Act; or</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combination of clauses (1) through (11) above.</w:t>
      </w:r>
    </w:p>
    <w:p>
      <w:pPr>
        <w:spacing w:after="0" w:line="11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The applicable withholding agent will (i) make any required withholding or deduction and (ii) timely remit the full amount deducted or withheld to the relevant taxing authority in accordance with applicable law. Upon request, any Issuer or Guarantor, as applicable, will use reasonable efforts to obtain certified copies of Tax receipts evidencing the payment of Taxes so deducted or withheld from each Relevant Taxing Jurisdiction imposing such Taxes and will provide such certified copies to the Trustee. If certified copies of such Tax receipts are not reasonably obtainable, upon request, the Issuers or such Guarantor, as applicable, shall provide the Trustee with other evidence of payment reasonably satisfactory to the Trustee. Such certified copies or other evidence shall be made available to holders upon request.</w:t>
      </w:r>
    </w:p>
    <w:p>
      <w:pPr>
        <w:spacing w:after="0" w:line="95"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Whenever in this Indenture or the Notes there is mentioned, in any context, the payment of amounts based upon the principal amount of the Notes or of principal, premium (if any) or interest or of any other amount payable under or with respect to any of the Notes or any Guarantee, such mention shall be deemed to include the payment of Additional Amounts to the extent that, in such context, Additional Amounts are, were or would be payable in respect thereof.</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Issuers will pay any present or future stamp, issue, registration, court or documentary Taxes, or any other excise, property or similar Taxes, that arise in any jurisdiction from the execution, issuance, delivery, registration or enforcement of the Notes, any Guarantee, the Collateral Documents, this Indenture or any other document or instrument referred to therein, or the receipt of any payments with respect to the Notes or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44</w:t>
      </w:r>
    </w:p>
    <w:p>
      <w:pPr>
        <w:sectPr>
          <w:pgSz w:w="11900" w:h="16840" w:orient="portrait"/>
          <w:cols w:equalWidth="0" w:num="1">
            <w:col w:w="10620"/>
          </w:cols>
          <w:pgMar w:left="640" w:top="1440" w:right="640" w:bottom="1440" w:gutter="0" w:footer="0" w:header="0"/>
        </w:sectPr>
      </w:pPr>
    </w:p>
    <w:bookmarkStart w:id="347" w:name="page348"/>
    <w:bookmarkEnd w:id="34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Guarantees (“</w:t>
      </w:r>
      <w:r>
        <w:rPr>
          <w:rFonts w:ascii="Times New Roman" w:cs="Times New Roman" w:eastAsia="Times New Roman" w:hAnsi="Times New Roman"/>
          <w:sz w:val="12"/>
          <w:szCs w:val="12"/>
          <w:u w:val="single" w:color="auto"/>
          <w:color w:val="auto"/>
        </w:rPr>
        <w:t>Documentary Taxes</w:t>
      </w:r>
      <w:r>
        <w:rPr>
          <w:rFonts w:ascii="Times New Roman" w:cs="Times New Roman" w:eastAsia="Times New Roman" w:hAnsi="Times New Roman"/>
          <w:sz w:val="12"/>
          <w:szCs w:val="12"/>
          <w:color w:val="auto"/>
        </w:rPr>
        <w:t>”). For the avoidance of doubt, the obligation provided in this paragraph shall not include any Documentary Taxes resulting from the transfer of Notes in the ordinary course.</w:t>
      </w:r>
    </w:p>
    <w:p>
      <w:pPr>
        <w:spacing w:after="0" w:line="129"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 xml:space="preserve">The obligation to pay Additional Amounts and Documentary Taxes under the terms and conditions described above will survive any termination, defeasance or discharge of this Indenture, and will apply </w:t>
      </w:r>
      <w:r>
        <w:rPr>
          <w:rFonts w:ascii="Times New Roman" w:cs="Times New Roman" w:eastAsia="Times New Roman" w:hAnsi="Times New Roman"/>
          <w:sz w:val="12"/>
          <w:szCs w:val="12"/>
          <w:i w:val="1"/>
          <w:iCs w:val="1"/>
          <w:color w:val="auto"/>
        </w:rPr>
        <w:t xml:space="preserve">mutatis mutandis </w:t>
      </w:r>
      <w:r>
        <w:rPr>
          <w:rFonts w:ascii="Times New Roman" w:cs="Times New Roman" w:eastAsia="Times New Roman" w:hAnsi="Times New Roman"/>
          <w:sz w:val="12"/>
          <w:szCs w:val="12"/>
          <w:color w:val="auto"/>
        </w:rPr>
        <w:t>to any successor to any Issuer or Guarantor and to any jurisdiction in which any such successor is incorporated, organized, resident or engaged in business for Tax purposes, or any jurisdiction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through which payment on the Notes or any Guarantee is made by or on behalf of any such successor (including, without limitation, the jurisdiction of any paying agent), and any political subdivision or taxing authority thereof or therein.</w:t>
      </w:r>
    </w:p>
    <w:p>
      <w:pPr>
        <w:spacing w:after="0" w:line="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0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b w:val="1"/>
          <w:bCs w:val="1"/>
          <w:color w:val="auto"/>
        </w:rPr>
        <w:t>REDEMPTION AND SECURITY IN SEGREGATED ACCOUNTS</w:t>
      </w:r>
    </w:p>
    <w:p>
      <w:pPr>
        <w:spacing w:after="0" w:line="111" w:lineRule="exact"/>
        <w:rPr>
          <w:sz w:val="20"/>
          <w:szCs w:val="20"/>
          <w:color w:val="auto"/>
        </w:rPr>
      </w:pPr>
    </w:p>
    <w:p>
      <w:pPr>
        <w:jc w:val="both"/>
        <w:ind w:right="4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3.01 </w:t>
      </w:r>
      <w:r>
        <w:rPr>
          <w:rFonts w:ascii="Times New Roman" w:cs="Times New Roman" w:eastAsia="Times New Roman" w:hAnsi="Times New Roman"/>
          <w:sz w:val="12"/>
          <w:szCs w:val="12"/>
          <w:u w:val="single" w:color="auto"/>
          <w:color w:val="auto"/>
        </w:rPr>
        <w:t>Redemption</w:t>
      </w:r>
      <w:r>
        <w:rPr>
          <w:rFonts w:ascii="Times New Roman" w:cs="Times New Roman" w:eastAsia="Times New Roman" w:hAnsi="Times New Roman"/>
          <w:sz w:val="12"/>
          <w:szCs w:val="12"/>
          <w:color w:val="auto"/>
        </w:rPr>
        <w:t>. The Notes may be redeemed, in whole or from time to time in part, subject to the conditions and at the redemption prices set forth in Paragraph 5 of the form of Note set forth in Exhibit A hereto, which is hereby incorporated by reference and made a part of this Indenture, together with accrued and unpaid interest to, but excluding, the redemption date (subject to the right of holders of record on the relevant Record Date to receive interest due on the relevant Interest Payment Date). The Initial Notes shall also be subject to mandatory redemption as provided in Section 3.09.</w:t>
      </w:r>
    </w:p>
    <w:p>
      <w:pPr>
        <w:spacing w:after="0" w:line="88"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3.02 </w:t>
      </w:r>
      <w:r>
        <w:rPr>
          <w:rFonts w:ascii="Times New Roman" w:cs="Times New Roman" w:eastAsia="Times New Roman" w:hAnsi="Times New Roman"/>
          <w:sz w:val="12"/>
          <w:szCs w:val="12"/>
          <w:u w:val="single" w:color="auto"/>
          <w:color w:val="auto"/>
        </w:rPr>
        <w:t>Applicability of Article</w:t>
      </w:r>
      <w:r>
        <w:rPr>
          <w:rFonts w:ascii="Times New Roman" w:cs="Times New Roman" w:eastAsia="Times New Roman" w:hAnsi="Times New Roman"/>
          <w:sz w:val="12"/>
          <w:szCs w:val="12"/>
          <w:color w:val="auto"/>
        </w:rPr>
        <w:t>. Redemption of Notes at the election of the Issuers or otherwise, as permitted or required by any provision of this Indenture, shall be made in accordance with such provision and this Article III.</w:t>
      </w:r>
    </w:p>
    <w:p>
      <w:pPr>
        <w:spacing w:after="0" w:line="80"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3.03 </w:t>
      </w:r>
      <w:r>
        <w:rPr>
          <w:rFonts w:ascii="Times New Roman" w:cs="Times New Roman" w:eastAsia="Times New Roman" w:hAnsi="Times New Roman"/>
          <w:sz w:val="12"/>
          <w:szCs w:val="12"/>
          <w:u w:val="single" w:color="auto"/>
          <w:color w:val="auto"/>
        </w:rPr>
        <w:t>Notices to Trustee</w:t>
      </w:r>
      <w:r>
        <w:rPr>
          <w:rFonts w:ascii="Times New Roman" w:cs="Times New Roman" w:eastAsia="Times New Roman" w:hAnsi="Times New Roman"/>
          <w:sz w:val="12"/>
          <w:szCs w:val="12"/>
          <w:color w:val="auto"/>
        </w:rPr>
        <w:t>. If the Issuers elect to redeem Notes pursuant to the optional redemption provisions of Paragraph 5 of the Note, the Issuers shall notify the Trustee in an Officer’s Certificate of (i) the Section of this Indenture pursuant to which the redemption shall occur, (ii) the redemption date, (iii) the principal amount of Notes to be redeemed and (iv) the redemption price. The Issuers shall give notice to the Trustee provided for in this Section 3.03 at least 15 days but not more than 60 days (or such shorter period as may be agreed by the Trustee) before a redemption date if the redemption is a redemption pursuant to Paragraph 5 of the Note. The Issuers may also include a request in such Officer’s Certificate that the Trustee give the notice of redemption in the Issuers’ names and at their expense and setting forth the form of such notice containing the information required by Section 3.05. Any such request and the notice of redemption to be delivered shall be received in writing by the Trustee at least five (5) Business Days (or such shorter period as is acceptable to the Trustee) prior to the date on which such notice is to be given. Any such notice may be canceled if written notice from the Issuers of such cancellation is actually received by the Trustee on the Business Day immediately prior to notice of such redemption being mailed to any holder or otherwise delivered in accordance with the applicable procedures of the Depository and shall thereby be void and of no effect. The Issuers shall deliver to the Trustee such documentation and records as shall enable the Trustee to select the Notes to be redeemed pursuant to Section 3.04.</w:t>
      </w:r>
    </w:p>
    <w:p>
      <w:pPr>
        <w:spacing w:after="0" w:line="88" w:lineRule="exact"/>
        <w:rPr>
          <w:sz w:val="20"/>
          <w:szCs w:val="20"/>
          <w:color w:val="auto"/>
        </w:rPr>
      </w:pPr>
    </w:p>
    <w:p>
      <w:pPr>
        <w:jc w:val="both"/>
        <w:ind w:right="4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3.04 </w:t>
      </w:r>
      <w:r>
        <w:rPr>
          <w:rFonts w:ascii="Times New Roman" w:cs="Times New Roman" w:eastAsia="Times New Roman" w:hAnsi="Times New Roman"/>
          <w:sz w:val="12"/>
          <w:szCs w:val="12"/>
          <w:u w:val="single" w:color="auto"/>
          <w:color w:val="auto"/>
        </w:rPr>
        <w:t>Selection of Notes to Be Redeemed</w:t>
      </w:r>
      <w:r>
        <w:rPr>
          <w:rFonts w:ascii="Times New Roman" w:cs="Times New Roman" w:eastAsia="Times New Roman" w:hAnsi="Times New Roman"/>
          <w:sz w:val="12"/>
          <w:szCs w:val="12"/>
          <w:color w:val="auto"/>
        </w:rPr>
        <w:t xml:space="preserve">. In the case of any partial redemption of Notes, selection of the Notes for redemption will be made by the Trustee on a pro rata basis to the extent practicable or by lot or by such other method as the Trustee shall deem fair and appropriate (and, in such manner that complies with the requirements of the Depository, if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Notes of $200,000 or less shall be redeemed in part. The Trustee shall make the selection from outstanding Notes not previously called for redemption. The Trustee may select for redemption portions of the principal of Notes that have denominations larger than $200,000. Notes and portions of them the Trustee selects shall be in amounts of $200,000 or integral multiples of $1,000 in excess thereof. Provisions of this Indenture that apply to Notes called for redemption also apply to portions of Notes called for redemption. The Trustee shall notify the Issuers promptly of the Notes or portions of Notes to be redeemed.</w:t>
      </w:r>
    </w:p>
    <w:p>
      <w:pPr>
        <w:spacing w:after="0" w:line="9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3.05</w:t>
      </w:r>
      <w:r>
        <w:rPr>
          <w:sz w:val="20"/>
          <w:szCs w:val="20"/>
          <w:color w:val="auto"/>
        </w:rPr>
        <w:tab/>
      </w:r>
      <w:r>
        <w:rPr>
          <w:rFonts w:ascii="Times New Roman" w:cs="Times New Roman" w:eastAsia="Times New Roman" w:hAnsi="Times New Roman"/>
          <w:sz w:val="12"/>
          <w:szCs w:val="12"/>
          <w:u w:val="single" w:color="auto"/>
          <w:color w:val="auto"/>
        </w:rPr>
        <w:t>Notice of Optional Redemption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6" w:lineRule="auto"/>
        <w:tabs>
          <w:tab w:leader="none" w:pos="904"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10 but not more than 60 days before a redemption date pursuant to Paragraph 5 of the Note, the Issuers shall mail or cause to be mailed by first-class mail, or delivered electronically if held by the Depository, a notice of redemption to each holder whose Notes are to be redeemed at its registered address (with a copy to the Trustee), except that redemption notices may be mailed or otherwise delivered more than 60 days prior to the redemption date if the notice is issued in connection with a defeasance of the Notes or a satisfaction and discharge of this Indenture pursuant to Article VIII.</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such notice shall identify the Notes to be redeemed and shall state:</w:t>
      </w:r>
    </w:p>
    <w:p>
      <w:pPr>
        <w:spacing w:after="0" w:line="119" w:lineRule="exact"/>
        <w:rPr>
          <w:sz w:val="20"/>
          <w:szCs w:val="20"/>
          <w:color w:val="auto"/>
        </w:rPr>
      </w:pPr>
    </w:p>
    <w:p>
      <w:pPr>
        <w:ind w:left="1360" w:hanging="440"/>
        <w:spacing w:after="0"/>
        <w:tabs>
          <w:tab w:leader="none" w:pos="1360"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date;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45</w:t>
      </w:r>
    </w:p>
    <w:p>
      <w:pPr>
        <w:sectPr>
          <w:pgSz w:w="11900" w:h="16840" w:orient="portrait"/>
          <w:cols w:equalWidth="0" w:num="1">
            <w:col w:w="10640"/>
          </w:cols>
          <w:pgMar w:left="640" w:top="1440" w:right="620" w:bottom="1440" w:gutter="0" w:footer="0" w:header="0"/>
        </w:sectPr>
      </w:pPr>
    </w:p>
    <w:bookmarkStart w:id="348" w:name="page349"/>
    <w:bookmarkEnd w:id="348"/>
    <w:p>
      <w:pPr>
        <w:spacing w:after="0" w:line="148" w:lineRule="exact"/>
        <w:rPr>
          <w:sz w:val="20"/>
          <w:szCs w:val="20"/>
          <w:color w:val="auto"/>
        </w:rPr>
      </w:pPr>
    </w:p>
    <w:p>
      <w:pPr>
        <w:ind w:left="1360" w:hanging="440"/>
        <w:spacing w:after="0"/>
        <w:tabs>
          <w:tab w:leader="none" w:pos="136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price and the amount of accrued interest to, but excluding, the redemption date;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and address of the Paying Agent;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Notes called for redemption must be surrendered to the Paying Agent to collect the redemption price, plus accrued and unpaid interest;</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fewer than all the outstanding Notes are to be redeemed, the certificate numbers and principal amounts of the particular Notes to be redeemed, the aggregate principal amount of Notes to be redeemed and the aggregate principal amount of Notes to be outstanding after such partial redemption;</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unless the Issuers default in making such redemption payment or the Paying Agent is prohibited from making such payment pursuant to the terms of this Indenture, interest on Notes (or portion thereof) called for redemption ceases to accrue on and after the redemption date;</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CUSIP number and/or ISIN, if any, printed on the Notes being redeemed;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no representation is made as to the correctness or accuracy of the CUSIP number or ISIN, if any, listed in such notice or printed on the Notes;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conditions precedent, in accordance with Section 3.05(c) below.</w:t>
      </w:r>
    </w:p>
    <w:p>
      <w:pPr>
        <w:spacing w:after="0" w:line="109"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Issuers’ request, the Trustee shall deliver the notice of redemption in the Issuers’ names and at their expense. In such event, the Issuers shall notify the Trustee in writing of such request and provide the Trustee with the notice to be delivered at least five (5) Business Days (or such shorter period as is acceptable to the Trustee) prior to the date such notice is to be provided to holders. Such notice shall be in writing and may be sent to the Trustee via electronic mail.</w:t>
      </w:r>
    </w:p>
    <w:p>
      <w:pPr>
        <w:spacing w:after="0" w:line="87"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redemption and notice thereof may, at the Issuers’ discretion, be subject to one or more conditions precedent. Any such notice shall describe each such condition, and if applicable, shall state that, in the Issuers’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as so delayed, and such notice may be rescinded at any time in the Issuers’ discretion if in the good faith judgment of the Issuers any or all of such conditions will not be satisfied. The Issuers may provide in such notice that payment of the redemption price and the performance of the Issuers’ obligations with respect to such redemption may be performed by another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Issuers shall remain obligated in respect of such payment and performance.</w:t>
      </w:r>
    </w:p>
    <w:p>
      <w:pPr>
        <w:spacing w:after="0" w:line="90"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3.06 </w:t>
      </w:r>
      <w:r>
        <w:rPr>
          <w:rFonts w:ascii="Times New Roman" w:cs="Times New Roman" w:eastAsia="Times New Roman" w:hAnsi="Times New Roman"/>
          <w:sz w:val="12"/>
          <w:szCs w:val="12"/>
          <w:u w:val="single" w:color="auto"/>
          <w:color w:val="auto"/>
        </w:rPr>
        <w:t>Effect of Notice of Redemption</w:t>
      </w:r>
      <w:r>
        <w:rPr>
          <w:rFonts w:ascii="Times New Roman" w:cs="Times New Roman" w:eastAsia="Times New Roman" w:hAnsi="Times New Roman"/>
          <w:sz w:val="12"/>
          <w:szCs w:val="12"/>
          <w:color w:val="auto"/>
        </w:rPr>
        <w:t xml:space="preserve">. Once notice of redemption is mailed or otherwise delivered in accordance with Section 3.05, Notes called for redemption become due and payable on the redemption date and at the redemption price stated in the notice, except as otherwise expressly provided in Paragraph 5 of the Notes and subject to Section 3.05(c) above. Upon surrender to the Paying Agent, such Notes shall be paid at the redemption price stated in the notice,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to, but excluding, the redemption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redemption date is after a regular Record Date and on or prior to the next Interest Payment Date, the accrued interest shall be payable to the holder of the redeemed Notes registered on the relevant Record Date. Failure to give notice or any defect in the notice to any holder shall not affect the validity of the notice to any other holder.</w:t>
      </w:r>
    </w:p>
    <w:p>
      <w:pPr>
        <w:spacing w:after="0" w:line="90"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3.07 </w:t>
      </w:r>
      <w:r>
        <w:rPr>
          <w:rFonts w:ascii="Times New Roman" w:cs="Times New Roman" w:eastAsia="Times New Roman" w:hAnsi="Times New Roman"/>
          <w:sz w:val="12"/>
          <w:szCs w:val="12"/>
          <w:u w:val="single" w:color="auto"/>
          <w:color w:val="auto"/>
        </w:rPr>
        <w:t>Deposit of Redemption Price</w:t>
      </w:r>
      <w:r>
        <w:rPr>
          <w:rFonts w:ascii="Times New Roman" w:cs="Times New Roman" w:eastAsia="Times New Roman" w:hAnsi="Times New Roman"/>
          <w:sz w:val="12"/>
          <w:szCs w:val="12"/>
          <w:color w:val="auto"/>
        </w:rPr>
        <w:t xml:space="preserve">. With respect to any Notes, prior to 10:00 a.m., New York City time, on the redemption date, the Issuers shall deposit with the Paying Agent (or, if the Company or a Subsidiary thereof is the Paying Agent, shall segregate and hold in trust) money sufficient to pay the redemption price of and accrued and unpaid interest on all Notes or portions thereof to be redeemed on that date other than Notes or portions of Notes called for redemption that have been delivered by the Issuers to the Trustee for cancellation. On and after the redemption date, interest shall cease to accrue on Notes or portions thereof called for redemption so long as the Issuers have deposited with the Paying Agent (or, if the Company or a Subsidiary thereof is the Paying Agent, shall have segregated and held in trust) funds sufficient to pay the principal of,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on, the Notes or portions thereof to be redeemed.</w:t>
      </w:r>
    </w:p>
    <w:p>
      <w:pPr>
        <w:spacing w:after="0" w:line="90" w:lineRule="exact"/>
        <w:rPr>
          <w:sz w:val="20"/>
          <w:szCs w:val="20"/>
          <w:color w:val="auto"/>
        </w:rPr>
      </w:pPr>
    </w:p>
    <w:p>
      <w:pPr>
        <w:jc w:val="both"/>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3.08 </w:t>
      </w:r>
      <w:r>
        <w:rPr>
          <w:rFonts w:ascii="Times New Roman" w:cs="Times New Roman" w:eastAsia="Times New Roman" w:hAnsi="Times New Roman"/>
          <w:sz w:val="12"/>
          <w:szCs w:val="12"/>
          <w:u w:val="single" w:color="auto"/>
          <w:color w:val="auto"/>
        </w:rPr>
        <w:t>Notes Redeemed in Part</w:t>
      </w:r>
      <w:r>
        <w:rPr>
          <w:rFonts w:ascii="Times New Roman" w:cs="Times New Roman" w:eastAsia="Times New Roman" w:hAnsi="Times New Roman"/>
          <w:sz w:val="12"/>
          <w:szCs w:val="12"/>
          <w:color w:val="auto"/>
        </w:rPr>
        <w:t>. If any Note is to be redeemed in part only, the notice of redemption relating to such Note shall state the portion of the principal amount thereof to be redeemed. A new Note in principal amount equal to the unredeemed portion thereof will be issued in the name of the holder thereof upon cancellation of the original Note.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46</w:t>
      </w:r>
    </w:p>
    <w:p>
      <w:pPr>
        <w:sectPr>
          <w:pgSz w:w="11900" w:h="16840" w:orient="portrait"/>
          <w:cols w:equalWidth="0" w:num="1">
            <w:col w:w="10620"/>
          </w:cols>
          <w:pgMar w:left="640" w:top="1440" w:right="640" w:bottom="1440" w:gutter="0" w:footer="0" w:header="0"/>
        </w:sectPr>
      </w:pPr>
    </w:p>
    <w:bookmarkStart w:id="349" w:name="page350"/>
    <w:bookmarkEnd w:id="349"/>
    <w:p>
      <w:pPr>
        <w:spacing w:after="0" w:line="14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3.09</w:t>
      </w:r>
      <w:r>
        <w:rPr>
          <w:sz w:val="20"/>
          <w:szCs w:val="20"/>
          <w:color w:val="auto"/>
        </w:rPr>
        <w:tab/>
      </w:r>
      <w:r>
        <w:rPr>
          <w:rFonts w:ascii="Times New Roman" w:cs="Times New Roman" w:eastAsia="Times New Roman" w:hAnsi="Times New Roman"/>
          <w:sz w:val="12"/>
          <w:szCs w:val="12"/>
          <w:u w:val="single" w:color="auto"/>
          <w:color w:val="auto"/>
        </w:rPr>
        <w:t>Special Mandatory Redemption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20" w:firstLine="463"/>
        <w:spacing w:after="0" w:line="253" w:lineRule="auto"/>
        <w:tabs>
          <w:tab w:leader="none" w:pos="90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will be required, on the Special Mandatory Redemption Date, to redeem all of the Notes outstanding on the Special Mandatory Redemption Date at the Special Mandatory Redemption Price (subject to the right of holders of record on the relevant Record Date to receive interest due on the relevant Interest Payment Date).</w:t>
      </w:r>
    </w:p>
    <w:p>
      <w:pPr>
        <w:spacing w:after="0" w:line="80"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will send a notice of special mandatory redemption, with a copy to the Trustee, not later than one Business Day after the occurrence of a Special Mandatory Redemption Trigger Date to each holder of the Notes at its registered address, or deliver such notice electronically through the Depository if the Notes are held by the Depository. The notice will specify the Special Mandatory Redemption Date, which may not be the same Business Day as the date the notice is sent. If funds sufficient to pay the Special Mandatory Redemption Price of all Notes to be redeemed on the Special Mandatory Redemption Date are deposited with the Paying Agent (or, if the Company or a Subsidiary thereof is the Paying Agent, are segregated and held in trust) on or before the Special Mandatory Redemption Date, then on and after such date, the Notes will cease to bear interest, and all rights under the Notes will terminate.</w:t>
      </w:r>
    </w:p>
    <w:p>
      <w:pPr>
        <w:spacing w:after="0" w:line="9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3.10</w:t>
      </w:r>
      <w:r>
        <w:rPr>
          <w:sz w:val="20"/>
          <w:szCs w:val="20"/>
          <w:color w:val="auto"/>
        </w:rPr>
        <w:tab/>
      </w:r>
      <w:r>
        <w:rPr>
          <w:rFonts w:ascii="Times New Roman" w:cs="Times New Roman" w:eastAsia="Times New Roman" w:hAnsi="Times New Roman"/>
          <w:sz w:val="12"/>
          <w:szCs w:val="12"/>
          <w:u w:val="single" w:color="auto"/>
          <w:color w:val="auto"/>
        </w:rPr>
        <w:t>Segregated Accounts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63"/>
        <w:spacing w:after="0" w:line="231" w:lineRule="auto"/>
        <w:tabs>
          <w:tab w:leader="none" w:pos="904"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Maintenance of Segregated Accounts</w:t>
      </w:r>
      <w:r>
        <w:rPr>
          <w:rFonts w:ascii="Times New Roman" w:cs="Times New Roman" w:eastAsia="Times New Roman" w:hAnsi="Times New Roman"/>
          <w:sz w:val="12"/>
          <w:szCs w:val="12"/>
          <w:color w:val="auto"/>
        </w:rPr>
        <w:t>. The Company shall establish and maintain the Segregated Accounts for the benefit of the Notes Secured Parties. The gross proceeds of the Initial Notes shall, prior to the Initial Tender Offer Closing Date, be held by the Company in the Segregated Accounts. Such gross proceeds will be held in (x) U.S. dollars, (y) direct obligations of the United States or obligations guaranteed by the United States, in each case, with maturities not exceeding two years from the date of acquisition of such obligations or (z) any constant net asset value money market fund the underlying holdings of which are comprised solely of the foregoing.</w:t>
      </w:r>
    </w:p>
    <w:p>
      <w:pPr>
        <w:spacing w:after="0" w:line="87"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Grant of Security Interest</w:t>
      </w:r>
      <w:r>
        <w:rPr>
          <w:rFonts w:ascii="Times New Roman" w:cs="Times New Roman" w:eastAsia="Times New Roman" w:hAnsi="Times New Roman"/>
          <w:sz w:val="12"/>
          <w:szCs w:val="12"/>
          <w:color w:val="auto"/>
        </w:rPr>
        <w:t xml:space="preserve">. As security for the due and punctual payment when due of the Notes Obligations, the Company hereby pledges, assigns and grants to the Notes Collateral Agent, for its benefit and for the benefit of the Notes Secured Parties, a continuing security interest in, and lien on, all of the Company’s rights, title and interest in (x) the Segregated Deposit Account and all funds and property held in the Segregated Deposit Account, and all proceeds thereof (collectively with the Segregated Deposit Account, the “ </w:t>
      </w:r>
      <w:r>
        <w:rPr>
          <w:rFonts w:ascii="Times New Roman" w:cs="Times New Roman" w:eastAsia="Times New Roman" w:hAnsi="Times New Roman"/>
          <w:sz w:val="12"/>
          <w:szCs w:val="12"/>
          <w:u w:val="single" w:color="auto"/>
          <w:color w:val="auto"/>
        </w:rPr>
        <w:t>Specified Deposit Account Collateral</w:t>
      </w:r>
      <w:r>
        <w:rPr>
          <w:rFonts w:ascii="Times New Roman" w:cs="Times New Roman" w:eastAsia="Times New Roman" w:hAnsi="Times New Roman"/>
          <w:sz w:val="12"/>
          <w:szCs w:val="12"/>
          <w:color w:val="auto"/>
        </w:rPr>
        <w:t>”) and (y) the Segregated Securities Accounts and all funds and property held in the Segregated Securities Accounts, and all proceeds thereof (collectively with the Segregated Securities Accounts, the “</w:t>
      </w:r>
      <w:r>
        <w:rPr>
          <w:rFonts w:ascii="Times New Roman" w:cs="Times New Roman" w:eastAsia="Times New Roman" w:hAnsi="Times New Roman"/>
          <w:sz w:val="12"/>
          <w:szCs w:val="12"/>
          <w:u w:val="single" w:color="auto"/>
          <w:color w:val="auto"/>
        </w:rPr>
        <w:t>Specified Securities Account Collateral</w:t>
      </w:r>
      <w:r>
        <w:rPr>
          <w:rFonts w:ascii="Times New Roman" w:cs="Times New Roman" w:eastAsia="Times New Roman" w:hAnsi="Times New Roman"/>
          <w:sz w:val="12"/>
          <w:szCs w:val="12"/>
          <w:color w:val="auto"/>
        </w:rPr>
        <w:t>”).</w:t>
      </w:r>
    </w:p>
    <w:p>
      <w:pPr>
        <w:spacing w:after="0" w:line="87" w:lineRule="exact"/>
        <w:rPr>
          <w:rFonts w:ascii="Times New Roman" w:cs="Times New Roman" w:eastAsia="Times New Roman" w:hAnsi="Times New Roman"/>
          <w:sz w:val="12"/>
          <w:szCs w:val="12"/>
          <w:color w:val="auto"/>
        </w:rPr>
      </w:pPr>
    </w:p>
    <w:p>
      <w:pPr>
        <w:jc w:val="both"/>
        <w:ind w:right="20" w:firstLine="463"/>
        <w:spacing w:after="0" w:line="224" w:lineRule="auto"/>
        <w:tabs>
          <w:tab w:leader="none" w:pos="904"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Perfection of Security Interest</w:t>
      </w:r>
      <w:r>
        <w:rPr>
          <w:rFonts w:ascii="Times New Roman" w:cs="Times New Roman" w:eastAsia="Times New Roman" w:hAnsi="Times New Roman"/>
          <w:sz w:val="12"/>
          <w:szCs w:val="12"/>
          <w:color w:val="auto"/>
        </w:rPr>
        <w:t>. The Company has executed a deposit account control agreement (the “</w:t>
      </w:r>
      <w:r>
        <w:rPr>
          <w:rFonts w:ascii="Times New Roman" w:cs="Times New Roman" w:eastAsia="Times New Roman" w:hAnsi="Times New Roman"/>
          <w:sz w:val="12"/>
          <w:szCs w:val="12"/>
          <w:u w:val="single" w:color="auto"/>
          <w:color w:val="auto"/>
        </w:rPr>
        <w:t>Specified Deposit Account Control Agreement</w:t>
      </w:r>
      <w:r>
        <w:rPr>
          <w:rFonts w:ascii="Times New Roman" w:cs="Times New Roman" w:eastAsia="Times New Roman" w:hAnsi="Times New Roman"/>
          <w:sz w:val="12"/>
          <w:szCs w:val="12"/>
          <w:color w:val="auto"/>
        </w:rPr>
        <w:t>”) with Goldman Sachs Bank USA and the Notes Collateral Agent with respect to the Specified Deposit Account Collateral. In addition, the Company hereby agrees to file in the District of Columbia financing statements, continuation statements and amendments thereto that contain the information required by Article 9 of the Uniform Commercial Code of the District of Columbia for the filing of any financing statement, continuation statements or amendment relating to Specified Securities Account Collateral. The Company further hereby agrees to and irrevocably authorizes the Notes Collateral Agent to so file such financing statements, continuation statements and amendments, but neither the Notes Collateral Agent nor the Trustee shall have any obligation whatsoever to do so. The Notes Collateral Agent shall not be responsible for and makes no representation as to the validity or adequacy of the Specified Deposit Account Control Agreement, it shall not be accountable for the Issuers’ use of the proceeds from the Notes, the Specified Deposit Account Collateral or the Specified Securities Account Collateral, and it shall not be responsible for any statement or recital in the Specified Deposit Account Control Agreement.</w:t>
      </w:r>
    </w:p>
    <w:p>
      <w:pPr>
        <w:spacing w:after="0" w:line="88"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Release of Lien, the Specified Deposit Account Collateral and the Specified Securities Account Collatera</w:t>
      </w:r>
      <w:r>
        <w:rPr>
          <w:rFonts w:ascii="Times New Roman" w:cs="Times New Roman" w:eastAsia="Times New Roman" w:hAnsi="Times New Roman"/>
          <w:sz w:val="12"/>
          <w:szCs w:val="12"/>
          <w:color w:val="auto"/>
        </w:rPr>
        <w:t>l. The Specified Deposit Account Collateral, the Specified Securities Account Collateral and the Lien on such Specified Deposit Account Collateral and Specified Securities Account Collateral will be automatically released on the Initial Tender Offer Closing Date. If the Notes Collateral Agent is requested to acknowledge, authorize or sign a release (or similar or related document) of Collateral to implement or evidence a release provided for in this Section 3.10, the Issuers will furnish to the Notes Collateral Agent an Officer’s Certificate and Opinion of Counsel and such other documentation as is required by this Indenture, the Collateral Documents and any then-applicable Intercreditor Agreement.</w:t>
      </w:r>
    </w:p>
    <w:p>
      <w:pPr>
        <w:spacing w:after="0" w:line="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11"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4.01 </w:t>
      </w:r>
      <w:r>
        <w:rPr>
          <w:rFonts w:ascii="Times New Roman" w:cs="Times New Roman" w:eastAsia="Times New Roman" w:hAnsi="Times New Roman"/>
          <w:sz w:val="12"/>
          <w:szCs w:val="12"/>
          <w:u w:val="single" w:color="auto"/>
          <w:color w:val="auto"/>
        </w:rPr>
        <w:t>Payment of Notes</w:t>
      </w:r>
      <w:r>
        <w:rPr>
          <w:rFonts w:ascii="Times New Roman" w:cs="Times New Roman" w:eastAsia="Times New Roman" w:hAnsi="Times New Roman"/>
          <w:sz w:val="12"/>
          <w:szCs w:val="12"/>
          <w:color w:val="auto"/>
        </w:rPr>
        <w:t>. The Issuers shall promptly pay the principal of and interest on the Notes on the dates and in the manner provided in the Notes and in this Indenture. An installment of principal of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47</w:t>
      </w:r>
    </w:p>
    <w:p>
      <w:pPr>
        <w:sectPr>
          <w:pgSz w:w="11900" w:h="16840" w:orient="portrait"/>
          <w:cols w:equalWidth="0" w:num="1">
            <w:col w:w="10620"/>
          </w:cols>
          <w:pgMar w:left="640" w:top="1440" w:right="640" w:bottom="1440" w:gutter="0" w:footer="0" w:header="0"/>
        </w:sectPr>
      </w:pPr>
    </w:p>
    <w:bookmarkStart w:id="350" w:name="page351"/>
    <w:bookmarkEnd w:id="350"/>
    <w:p>
      <w:pPr>
        <w:spacing w:after="0" w:line="14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2"/>
          <w:szCs w:val="12"/>
          <w:color w:val="auto"/>
        </w:rPr>
        <w:t>interest shall be considered paid on the date due if on such date the Trustee or the Paying Agent holds as of 10:00 a.m., New York City time, money sufficient to pay all principal and interest then due and the Trustee or the Paying Agent, as the case may be, is not prohibited from paying such money to the holders on that date pursuant to the terms of this Indenture.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Issuers shall pay interest on overdue principal at the rate specified therefor in the Notes, and it shall pay interest on overdue installments of interest at the same rate borne by the Notes to the extent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lawful.</w:t>
      </w:r>
    </w:p>
    <w:p>
      <w:pPr>
        <w:spacing w:after="0" w:line="10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4.02</w:t>
      </w:r>
      <w:r>
        <w:rPr>
          <w:sz w:val="20"/>
          <w:szCs w:val="20"/>
          <w:color w:val="auto"/>
        </w:rPr>
        <w:tab/>
      </w:r>
      <w:r>
        <w:rPr>
          <w:rFonts w:ascii="Times New Roman" w:cs="Times New Roman" w:eastAsia="Times New Roman" w:hAnsi="Times New Roman"/>
          <w:sz w:val="12"/>
          <w:szCs w:val="12"/>
          <w:u w:val="single" w:color="auto"/>
          <w:color w:val="auto"/>
        </w:rPr>
        <w:t>Reports and Other Information; Conference Calls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 long as any Notes are outstanding hereunder, the Company will file with the SEC (and furnish to the Trustee and holders with copies of, without cost to any holder or the Trustee) the following:</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90 days after the end of each fiscal year, an annual report with the SEC on Form 20-F (or any successor or comparable form (including Form 10-K));</w:t>
      </w:r>
    </w:p>
    <w:p>
      <w:pPr>
        <w:spacing w:after="0" w:line="109" w:lineRule="exact"/>
        <w:rPr>
          <w:rFonts w:ascii="Times New Roman" w:cs="Times New Roman" w:eastAsia="Times New Roman" w:hAnsi="Times New Roman"/>
          <w:sz w:val="12"/>
          <w:szCs w:val="12"/>
          <w:color w:val="auto"/>
        </w:rPr>
      </w:pPr>
    </w:p>
    <w:p>
      <w:pPr>
        <w:jc w:val="both"/>
        <w:ind w:left="460" w:right="40" w:firstLine="460"/>
        <w:spacing w:after="0" w:line="225" w:lineRule="auto"/>
        <w:tabs>
          <w:tab w:leader="none" w:pos="1364"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45 days after the end of each of the first three fiscal quarters of each fiscal year, either (1) a consolidated balance sheet and related statements of comprehensive income and cash flows and changes in equity showing the financial position of the Company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all of which shall be in reasonable detail and which shall be accompanied by customary management’s discussion and analysis (it being understood that a quarterly report that is substantially consistent in format, level of detail and management’s discussion and analysis with the Company’s financial report for the third quarter of 2025 shall be deemed to satisfy all of the requirements of this clause (ii)) or (2) a quarterly report on Form 10-Q (or any successor or comparable form); and</w:t>
      </w:r>
    </w:p>
    <w:p>
      <w:pPr>
        <w:spacing w:after="0" w:line="89" w:lineRule="exact"/>
        <w:rPr>
          <w:rFonts w:ascii="Times New Roman" w:cs="Times New Roman" w:eastAsia="Times New Roman" w:hAnsi="Times New Roman"/>
          <w:sz w:val="12"/>
          <w:szCs w:val="12"/>
          <w:color w:val="auto"/>
        </w:rPr>
      </w:pPr>
    </w:p>
    <w:p>
      <w:pPr>
        <w:ind w:left="460" w:right="60" w:firstLine="460"/>
        <w:spacing w:after="0" w:line="253" w:lineRule="auto"/>
        <w:tabs>
          <w:tab w:leader="none" w:pos="1364"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from time to time after the occurrence of an event required to be therein reported (and in any event within the time periods specified in the SEC’s rules and regulations), reports with the SEC on Form 6-K (or any successor or comparable form (including Form 8-K)).</w:t>
      </w:r>
    </w:p>
    <w:p>
      <w:pPr>
        <w:spacing w:after="0" w:line="90"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If the Company is no longer subject to the periodic reporting requirements of the Exchange Act for any reason, the Company will nevertheless continue filing the reports specified in the preceding paragraph of this Section 4.02(a) with the SEC within the time periods specified above unless the SEC will not accept such a filing. If the SEC will not accept the Company’s filings for any reason, the Company will furnish the reports referred to in the preceding paragraph to the Trustee within the time periods that would apply if the Company were required to file those reports with the SEC. The Company will not take any action for the purpose of causing the SEC not to accept any such filings. In addition to providing such information to the Trustee, the Company shall make available the information required to be provided pursuant to clauses (i) through (iii) of Section 4.02(a), by posting such information to its website or on IntraLinks or any comparable online data system or website.</w:t>
      </w:r>
    </w:p>
    <w:p>
      <w:pPr>
        <w:spacing w:after="0" w:line="89" w:lineRule="exact"/>
        <w:rPr>
          <w:sz w:val="20"/>
          <w:szCs w:val="20"/>
          <w:color w:val="auto"/>
        </w:rPr>
      </w:pPr>
    </w:p>
    <w:p>
      <w:pPr>
        <w:jc w:val="both"/>
        <w:ind w:right="40" w:firstLine="463"/>
        <w:spacing w:after="0" w:line="231" w:lineRule="auto"/>
        <w:tabs>
          <w:tab w:leader="none" w:pos="904"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Company has designated any of its Subsidiaries as an Unrestricted Subsidiary and if any such Unrestricted Subsidiary or group of Unrestricted Subsidiaries, if taken together as one Subsidiary, would constitute a Significant Subsidiary of the Company, then the annual and quarterly information required by clauses (i) and (ii) of Section 4.02(a) shall include a reasonably detailed presentation, either on the face of the financial statements or in the footnotes thereto, of the financial condition and results of operations of the Company and its Restricted Subsidiaries separate from the financial condition and results of operations of such Unrestricted Subsidiaries.</w:t>
      </w:r>
    </w:p>
    <w:p>
      <w:pPr>
        <w:spacing w:after="0" w:line="87" w:lineRule="exact"/>
        <w:rPr>
          <w:rFonts w:ascii="Times New Roman" w:cs="Times New Roman" w:eastAsia="Times New Roman" w:hAnsi="Times New Roman"/>
          <w:sz w:val="12"/>
          <w:szCs w:val="12"/>
          <w:color w:val="auto"/>
        </w:rPr>
      </w:pPr>
    </w:p>
    <w:p>
      <w:pPr>
        <w:jc w:val="both"/>
        <w:ind w:right="40" w:firstLine="463"/>
        <w:spacing w:after="0" w:line="231" w:lineRule="auto"/>
        <w:tabs>
          <w:tab w:leader="none" w:pos="904"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hold quarterly conference calls for the holders to discuss financial information for the previous fiscal quarter (it being understood that such quarterly conference call may be the same as the Company’s conference call with equity investors and analysts). In the event that the Company does not hold any such conference call with equity investors and analysts, a conference call will be held following the last day of each fiscal quarter of the Company and not later than ten Business Days from the time that the Company distributes the financial information set forth in clause (i) or (ii) of Section 4.02(a). No fewer than two days prior to such conference call, the Company will issue a press release announcing the time and date of such conference call and provide instructions for holders to obtain access to such call.</w:t>
      </w:r>
    </w:p>
    <w:p>
      <w:pPr>
        <w:spacing w:after="0" w:line="87" w:lineRule="exact"/>
        <w:rPr>
          <w:rFonts w:ascii="Times New Roman" w:cs="Times New Roman" w:eastAsia="Times New Roman" w:hAnsi="Times New Roman"/>
          <w:sz w:val="12"/>
          <w:szCs w:val="12"/>
          <w:color w:val="auto"/>
        </w:rPr>
      </w:pPr>
    </w:p>
    <w:p>
      <w:pPr>
        <w:ind w:right="60" w:firstLine="463"/>
        <w:spacing w:after="0" w:line="253" w:lineRule="auto"/>
        <w:tabs>
          <w:tab w:leader="none" w:pos="904"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the Company has agreed that, for so long as any Notes remain outstanding, during any period when it is not subject to Section 13 or 15(d) of the Exchange Act, nor exempt from reporting pursuant to Rule 12g3-2(b) under the Exchange Act, it will furnish to the holders of the Notes and to prospective investors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48</w:t>
      </w:r>
    </w:p>
    <w:p>
      <w:pPr>
        <w:sectPr>
          <w:pgSz w:w="11900" w:h="16840" w:orient="portrait"/>
          <w:cols w:equalWidth="0" w:num="1">
            <w:col w:w="10660"/>
          </w:cols>
          <w:pgMar w:left="640" w:top="1440" w:right="600" w:bottom="1440" w:gutter="0" w:footer="0" w:header="0"/>
        </w:sectPr>
      </w:pPr>
    </w:p>
    <w:bookmarkStart w:id="351" w:name="page352"/>
    <w:bookmarkEnd w:id="351"/>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designated by a holder, upon request of the holder, the information required to be delivered pursuant to Rule 144A(d)(4) under the Securities Act.</w:t>
      </w:r>
    </w:p>
    <w:p>
      <w:pPr>
        <w:spacing w:after="0" w:line="109" w:lineRule="exact"/>
        <w:rPr>
          <w:sz w:val="20"/>
          <w:szCs w:val="20"/>
          <w:color w:val="auto"/>
        </w:rPr>
      </w:pPr>
    </w:p>
    <w:p>
      <w:pPr>
        <w:jc w:val="both"/>
        <w:ind w:firstLine="463"/>
        <w:spacing w:after="0" w:line="227" w:lineRule="auto"/>
        <w:tabs>
          <w:tab w:leader="none" w:pos="904" w:val="left"/>
        </w:tabs>
        <w:numPr>
          <w:ilvl w:val="0"/>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any direct or indirect parent entity of the Company files reports with the SEC in accordance with Section 13 or 15(d) of the Exchange Act, whether voluntarily or otherwise, in compliance with Section 4.02(a), then the Company will be deemed to comply with Section 4.02(a). For the avoidance of doubt, such reports need not include separate financial information required by Rule 3-10 and Rule 3-16 or Article 13 of Regulation S-X;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such direct or indirect parent entity of the Company has more than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operations separate and apart from its ownership in the Company, then the financial statements of such parent entity will provide consolidating information, which need not be audited, that explains in reasonable detail the differences between the information relating to such parent entity and its Subsidiaries, on the one hand, and the information relating to the Company and its Restricted Subsidiaries on a standalone basis, on the other hand.</w:t>
      </w:r>
    </w:p>
    <w:p>
      <w:pPr>
        <w:spacing w:after="0" w:line="89"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the Company will be deemed to have furnished the reports referred to in this Section 4.02 to the Trustee and the holders if the Company (or such parent entity) has filed such reports with (or furnished such reports to) the SEC via the EDGAR filing system and such reports are publicly available.</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27" w:lineRule="auto"/>
        <w:tabs>
          <w:tab w:leader="none" w:pos="904" w:val="left"/>
        </w:tabs>
        <w:numPr>
          <w:ilvl w:val="0"/>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Delivery of any reports, information and documents to the Trustee pursuant to this Section 4.02 is for informational purposes only and the Trustee’s receipt thereof shall not constitute actual or constructive notice of any information contained therein or determinable from information contained therein, including the Company’s compliance with any of its covenants under this Indenture (as to which the Trustee is entitled to rely exclusively on Officer’s Certificates of the Company). The Trustee shall have no responsibility for the filing, timeliness or content of any reports, information or documents. The Trustee shall have no obligation to determine whether or not such reports, information or documents have been filed pursuant to the SEC’s EDGAR filing system (or its successor) or postings to any website have occurred, and the Trustee shall have no duty to participate in or monitor any conference calls.</w:t>
      </w:r>
    </w:p>
    <w:p>
      <w:pPr>
        <w:spacing w:after="0" w:line="89" w:lineRule="exact"/>
        <w:rPr>
          <w:rFonts w:ascii="Times New Roman" w:cs="Times New Roman" w:eastAsia="Times New Roman" w:hAnsi="Times New Roman"/>
          <w:sz w:val="12"/>
          <w:szCs w:val="12"/>
          <w:color w:val="auto"/>
        </w:rPr>
      </w:pPr>
    </w:p>
    <w:p>
      <w:pPr>
        <w:jc w:val="both"/>
        <w:ind w:right="20" w:firstLine="463"/>
        <w:spacing w:after="0" w:line="225" w:lineRule="auto"/>
        <w:tabs>
          <w:tab w:leader="none" w:pos="904" w:val="left"/>
        </w:tabs>
        <w:numPr>
          <w:ilvl w:val="0"/>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90 days after the end of each fiscal year (commencing with the fiscal year ending December 31, 2026), the Company shall provide the Notes Collateral Agent with a certificate of a Financial Officer of the Company, setting forth (i) a list of Patents owned by the Grantors that are registered in Material Jurisdictions (excluding Excluded Property and excluding Patents included within the Collateral that are pending applications that have not yet published) which were not previously identified to the Notes Collateral Agent and (ii) a list of Patents included within the Collateral that were pending applications that had not yet published which were not previously identified to the Notes Collateral Agent and which have published since the certificate previously provided pursuant to this Section 4.02(h) (such Patents, “</w:t>
      </w:r>
      <w:r>
        <w:rPr>
          <w:rFonts w:ascii="Times New Roman" w:cs="Times New Roman" w:eastAsia="Times New Roman" w:hAnsi="Times New Roman"/>
          <w:sz w:val="12"/>
          <w:szCs w:val="12"/>
          <w:u w:val="single" w:color="auto"/>
          <w:color w:val="auto"/>
        </w:rPr>
        <w:t>Published Patents</w:t>
      </w:r>
      <w:r>
        <w:rPr>
          <w:rFonts w:ascii="Times New Roman" w:cs="Times New Roman" w:eastAsia="Times New Roman" w:hAnsi="Times New Roman"/>
          <w:sz w:val="12"/>
          <w:szCs w:val="12"/>
          <w:color w:val="auto"/>
        </w:rPr>
        <w:t>”). Thereafter, and subject to the Agreed Guarantee and Security Principles, the Grantors shall promptly procure that the Notes Collateral Agent (on behalf of the Notes Secured Parties) receives a duly perfected first priority security interest in such Patents, in each case equally and ratably with all existing and future Equal Priority Obligations of the Issuers and the Guarantors.</w:t>
      </w:r>
    </w:p>
    <w:p>
      <w:pPr>
        <w:spacing w:after="0" w:line="9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4.03</w:t>
      </w:r>
      <w:r>
        <w:rPr>
          <w:sz w:val="20"/>
          <w:szCs w:val="20"/>
          <w:color w:val="auto"/>
        </w:rPr>
        <w:tab/>
      </w:r>
      <w:r>
        <w:rPr>
          <w:rFonts w:ascii="Times New Roman" w:cs="Times New Roman" w:eastAsia="Times New Roman" w:hAnsi="Times New Roman"/>
          <w:sz w:val="12"/>
          <w:szCs w:val="12"/>
          <w:u w:val="single" w:color="auto"/>
          <w:color w:val="auto"/>
        </w:rPr>
        <w:t>Limitation on Incurrence of Indebtedness and Issuance of Disqualified Stock and Preferred Stock</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The Company shall not, and shall not permit any of the Restricted Subsidiaries to, Incur any Indebtedness (including Acquired Indebtedness) or issue any shares of Disqualified Stock; and</w:t>
      </w:r>
    </w:p>
    <w:p>
      <w:pPr>
        <w:jc w:val="both"/>
        <w:ind w:firstLine="6"/>
        <w:spacing w:after="0" w:line="218" w:lineRule="auto"/>
        <w:tabs>
          <w:tab w:leader="none" w:pos="183"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not permit any of the Restricted Subsidiaries (other than the U.S. Co-Issuer and any Guarantor) to issue any shares of Preferred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and its Restricted Subsidiaries may Incur Indebtedness (including Acquired Indebtedness) or issue shares of Disqualified Stock, and any Restricted Subsidiary that is not the U.S. Co-Issuer or a Guarantor may Incur Indebtedness (including Acquired Indebtedness), issue shares of Disqualified Stock or issue shares of Preferred Stock, in each case if either (A) the Fixed Charge Coverage Ratio, determined on a Pro Forma Basis for the most recently ended four full fiscal quarters for which financial statements are available immediately preceding the date on which such additional Indebtedness is Incurred or such Disqualified Stock or Preferred Stock is issued, would have been at least the lower of (x) 2.00 to 1.00 and (y) the Fixed Charge Coverage Ratio for such period immediately prior to such Incurrence or issuance or (B) the Consolidated Total Net Leverage Ratio, determined on a Pro Forma Basis for the most recently ended four full fiscal quarters for which financial statements are available immediately preceding the date on which such additional Indebtedness is Incurred or such Disqualified Stock or Preferred Stock is issued, would have been no greater than the greater of (x) 3.80 to 1.00 and (y) the Consolidated Total Net Leverage Ratio for such period immediately prior to such Incurrence or issuance;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aggregate principal amount of Indebtedness Incurred, and shares of Disqualified Stock and Preferred Stock issued, by Restricted Subsidiaries that are not the U.S. Co-Issuer or a Guarantor pursuant to this Section 4.03(a), together with any Refinancing Indebtedness Incurred pursuant to clause (xv) of Section 4.03(b) in respect of Indebtedness originally Incurred pursuant to this Section 4.03(a) (or Refinancing Indebtedness in respect thereof) then outstanding, shall not exceed the greater of $400 million and 3.2% of Total Assets at the time of Incurrence (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in the case of any Refinancing Indebtedness in respect thereof Incurred pursuant to clause (xv) of Section 4.03(b), any Additional Refinancing Amount with respect thereto).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49</w:t>
      </w:r>
    </w:p>
    <w:p>
      <w:pPr>
        <w:sectPr>
          <w:pgSz w:w="11900" w:h="16840" w:orient="portrait"/>
          <w:cols w:equalWidth="0" w:num="1">
            <w:col w:w="10620"/>
          </w:cols>
          <w:pgMar w:left="640" w:top="1440" w:right="640" w:bottom="1440" w:gutter="0" w:footer="0" w:header="0"/>
        </w:sectPr>
      </w:pPr>
    </w:p>
    <w:bookmarkStart w:id="352" w:name="page353"/>
    <w:bookmarkEnd w:id="352"/>
    <w:p>
      <w:pPr>
        <w:spacing w:after="0" w:line="148" w:lineRule="exact"/>
        <w:rPr>
          <w:sz w:val="20"/>
          <w:szCs w:val="20"/>
          <w:color w:val="auto"/>
        </w:rPr>
      </w:pPr>
    </w:p>
    <w:p>
      <w:pPr>
        <w:ind w:left="460" w:hanging="457"/>
        <w:spacing w:after="0"/>
        <w:tabs>
          <w:tab w:leader="none" w:pos="460"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limitations set forth in Section 4.03(a) shall not apply to:</w:t>
      </w:r>
    </w:p>
    <w:p>
      <w:pPr>
        <w:spacing w:after="0" w:line="109" w:lineRule="exact"/>
        <w:rPr>
          <w:rFonts w:ascii="Times New Roman" w:cs="Times New Roman" w:eastAsia="Times New Roman" w:hAnsi="Times New Roman"/>
          <w:sz w:val="12"/>
          <w:szCs w:val="12"/>
          <w:color w:val="auto"/>
        </w:rPr>
      </w:pPr>
    </w:p>
    <w:p>
      <w:pPr>
        <w:jc w:val="both"/>
        <w:ind w:firstLine="460"/>
        <w:spacing w:after="0" w:line="223" w:lineRule="auto"/>
        <w:tabs>
          <w:tab w:leader="none" w:pos="904" w:val="left"/>
        </w:tabs>
        <w:numPr>
          <w:ilvl w:val="1"/>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Incurrence by the Company or any Restricted Subsidiary of Indebtedness (including under any Credit Agreement and the issuance and creation of letters of credit and bankers’ acceptances thereunder) up to an aggregate principal amount outstanding at the time of Incurrence, together with any Refinancing Indebtedness Incurred pursuant to clause (xv) below in respect of Indebtedness originally Incurred pursuant to this clause (i) (or Refinancing Indebtedness in respect thereof) then outstanding, that does not exceed the sum of (A) $3.5 billion; plus (B) the greater of</w:t>
      </w:r>
    </w:p>
    <w:p>
      <w:pPr>
        <w:jc w:val="both"/>
        <w:ind w:firstLine="3"/>
        <w:spacing w:after="0" w:line="221" w:lineRule="auto"/>
        <w:tabs>
          <w:tab w:leader="none" w:pos="195" w:val="left"/>
        </w:tabs>
        <w:numPr>
          <w:ilvl w:val="0"/>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$1,514 million and (y) 100% of the Company’s EBITDA for the four full fiscal quarters for which financial statements are available immediately preceding the date on which such additional Indebtedness is Incurred; plus (C) the aggregate principal amount of Consolidated Total Indebtedness that at the time of Incurrence does not cause the First Lien Net Leverage Ratio, determined on a Pro Forma Basis for the most recently ended four full fiscal quarters for which financial statements are available, to exceed the greater of (x) 2.90 to 1.00 and (y) the First Lien Net Leverage Ratio for such period immediately prior to such Incurrence;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determining the amount of Indebtedness that may be incurred under clause (i)(C) and for purposes of any subsequent calculation of the First Lien Net Leverage Ratio, all Indebtedness Incurred and outstanding under this clause (i) (including any Refinancing Indebtedness Incurred pursuant to clause (xv) below as described above in this clause (i) (and any associated Additional Refinancing Amount)) shall be treated as First Lien Indebtedness;</w:t>
      </w:r>
    </w:p>
    <w:p>
      <w:pPr>
        <w:spacing w:after="0" w:line="8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Incurrence by the Issuers and the Guarantors of Indebtedness represented by (x) the Initial Notes and the Guarantees and (y) the Unsecured Notes issued on the Issue Date and the guarantees in respect thereof;</w:t>
      </w:r>
    </w:p>
    <w:p>
      <w:pPr>
        <w:spacing w:after="0" w:line="80"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(other than Indebtedness described in clause (i), (ii) or (xxviii)) (x) of the Company or any of its Subsidiaries in effect on the Issue Date or (y) of Merus or any of its Subsidiaries in effect on the Initial Tender Offer Closing Date;</w:t>
      </w:r>
    </w:p>
    <w:p>
      <w:pPr>
        <w:spacing w:after="0" w:line="80" w:lineRule="exact"/>
        <w:rPr>
          <w:rFonts w:ascii="Times New Roman" w:cs="Times New Roman" w:eastAsia="Times New Roman" w:hAnsi="Times New Roman"/>
          <w:sz w:val="12"/>
          <w:szCs w:val="12"/>
          <w:color w:val="auto"/>
        </w:rPr>
      </w:pPr>
    </w:p>
    <w:p>
      <w:pPr>
        <w:jc w:val="both"/>
        <w:ind w:right="20" w:firstLine="460"/>
        <w:spacing w:after="0"/>
        <w:tabs>
          <w:tab w:leader="none" w:pos="904"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Indebtedness (including Capitalized Lease Obligations) Incurred by the Company or any Restricted Subsidiary, Disqualified Stock issued by the Company or any Restricted Subsidiary and Preferred Stock issued by any Restricted Subsidiary to finance (whether prior to or within 360 days after) the acquisition, lease, construction, repair, replacement or improvement of property (real or personal) or equipment (whether through the direct purchase of assets or the Capital Stock of any Person owning such assets) other than Attributable Debt in respect of any Sale/Leaseback Transaction, in an aggregate principal amount that, when aggregated with the principal amount (or, if applicable, the liquidation preference, face amount or the like) of all other Indebtedness, Disqualified Stock or Preferred Stock then outstanding and Incurred pursuant to this clause (iv), together with any Refinancing Indebtedness Incurred pursuant to clause (xv) below in respect of Indebtedness originally Incurred pursuant to this clause (iv) (or Refinancing Indebtedness in respect thereof) then outstanding, does not exceed the greater of $400 million and 3.2% of Total Assets at the time of Incurrence (plus, in the case of any Refinancing Indebtedness in respect thereof Incurred pursuant to clause (xv) below, any Additional Refinancing Amount with respect thereto) and (B) Attributable Debt in respect of any Sale/Leaseback Transaction;</w:t>
      </w:r>
    </w:p>
    <w:p>
      <w:pPr>
        <w:spacing w:after="0" w:line="147"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by the Company or any Restricted Subsidiary constituting reimbursement obligations with respect to letters of credit, bank guarantees and similar instruments issued in the ordinary course of business or consistent with past practice or industry practices, including without limitation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law or permits or licenses from Governmental Authorities, or other Indebtedness with respect to reimbursement type obligations regarding workers’ compensation claims;</w:t>
      </w:r>
    </w:p>
    <w:p>
      <w:pPr>
        <w:spacing w:after="0" w:line="87"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arising from agreements of the Company or any Restricted Subsidiary providing for indemnification, milestone or royalty payments, adjustment of acquisition or purchase price or similar obligations (including earn-outs), in each case, Incurred or assumed in connection with the Transactions, any Investments or any acquisition or disposition of any business, assets or a Subsidiary not prohibited by this Indenture, other than guarantees of Indebtedness Incurred by any Person acquiring all or any portion of such business, assets or Subsidiary for the purpose of financing such acquisition;</w:t>
      </w:r>
    </w:p>
    <w:p>
      <w:pPr>
        <w:spacing w:after="0" w:line="204"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of the Company to a Restricted Subsidiary or Disqualified Stock of the Company issued to a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in respect of intercompany current liabilities incurred in the ordinary course of business in connection with the cash management, Tax or accounting operations of the Company and its Subsidiaries) any such Indebtedness owed to a Restricted Subsidiary that is not the U.S. Co-Issuer or a Guarantor is subordinated in right of payment to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50</w:t>
      </w:r>
    </w:p>
    <w:p>
      <w:pPr>
        <w:sectPr>
          <w:pgSz w:w="11900" w:h="16840" w:orient="portrait"/>
          <w:cols w:equalWidth="0" w:num="1">
            <w:col w:w="10160"/>
          </w:cols>
          <w:pgMar w:left="1100" w:top="1440" w:right="640" w:bottom="1440" w:gutter="0" w:footer="0" w:header="0"/>
        </w:sectPr>
      </w:pPr>
    </w:p>
    <w:bookmarkStart w:id="353" w:name="page354"/>
    <w:bookmarkEnd w:id="353"/>
    <w:p>
      <w:pPr>
        <w:spacing w:after="0" w:line="14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 xml:space="preserve">obligations of the Issuers and the Guarantors in respect of the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subsequent issuance or transfer of any Capital Stock or any other event that results in any such Restricted Subsidiary ceasing to be a Restricted Subsidiary or any other subsequent transfer of any such Indebtedness (except to the Company or another Restricted Subsidiary or any pledge of such Indebtedness constituting a Permitted Lien but not the transfer thereof upon foreclosure) or shares of Disqualified Stock shall be deemed, in each case, to be an Incurrence of such Indebtedness or issuance of shares of Disqualified Stock, as applicable, not permitted by this clause (vii);</w:t>
      </w:r>
    </w:p>
    <w:p>
      <w:pPr>
        <w:spacing w:after="0" w:line="87" w:lineRule="exact"/>
        <w:rPr>
          <w:sz w:val="20"/>
          <w:szCs w:val="20"/>
          <w:color w:val="auto"/>
        </w:rPr>
      </w:pPr>
    </w:p>
    <w:p>
      <w:pPr>
        <w:jc w:val="both"/>
        <w:ind w:firstLine="460"/>
        <w:spacing w:after="0" w:line="231" w:lineRule="auto"/>
        <w:tabs>
          <w:tab w:leader="none" w:pos="904"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shares of Preferred Stock or Disqualified Stock of a Restricted Subsidiary issued to the Company or another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subsequent issuance or transfer of any Capital Stock or any other event that results in any Restricted Subsidiary that holds such shares of Preferred Stock or Disqualified Stock of another Restricted Subsidiary ceasing to be a Restricted Subsidiary or any other subsequent transfer of any such shares of Preferred Stock or Disqualified Stock (except to the Company or another Restricted Subsidiary) shall be deemed, in each case, to be an issuance of shares of Preferred Stock or Disqualified Stock not permitted by this clause (viii);</w:t>
      </w:r>
    </w:p>
    <w:p>
      <w:pPr>
        <w:spacing w:after="0" w:line="87"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of a Restricted Subsidiary to the Company or another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U.S. Co-Issuer or a Guarantor incurs such Indebtedness to a Restricted Subsidiary that is not the U.S. Co-Issuer or a Guarantor (except in respect of intercompany current liabilities incurred in the ordinary course of business in connection with the cash management, Tax or accounting operations of the Company and its Subsidiaries), such Indebtedness is subordinated in right of payment to the obligations of the Issuers and the Guarantors in respect of the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subsequent issuance or transfer of any Capital Stock or any other event that results in any Restricted Subsidiary holding such Indebtedness ceasing to be a Restricted Subsidiary or any other subsequent transfer of any such Indebtedness (except to the Company or another Restricted Subsidiary or any pledge of such Indebtedness constituting a Permitted Lien but not the transfer thereof upon foreclosure) shall be deemed, in each case, to be an Incurrence of such Indebtedness not permitted by this clause (ix);</w:t>
      </w:r>
    </w:p>
    <w:p>
      <w:pPr>
        <w:spacing w:after="0" w:line="8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Hedging Obligations that are not incurred for speculative purposes;</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(including reimbursement obligations with respect to letters of credit, bank guarantees, warehouse receipts and similar instruments) in respect of performance, bid, appeal and surety bonds, completion guarantees and similar obligations provided by the Company or any Restricted Subsidiary in the ordinary course of business or consistent with past practice or industry practice;</w:t>
      </w:r>
    </w:p>
    <w:p>
      <w:pPr>
        <w:spacing w:after="0" w:line="80"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or Disqualified Stock of the Company or Indebtedness, Disqualified Stock or Preferred Stock of any Restricted Subsidiary in an aggregate principal amount (or, if applicable, the liquidation preference, face amount or the like), which when aggregated with the principal amount (or, if applicable, the liquidation preference, face amount or the like) of all other Indebtedness, Disqualified Stock and Preferred Stock then outstanding and Incurred pursuant to this clause (xii), together with any Refinancing Indebtedness Incurred pursuant to clause (xv) below in respect of Indebtedness originally Incurred pursuant to this clause (xii) (or Refinancing Indebtedness in respect thereof) then outstanding, does not exceed the greater of $750 million and 6.0% of Total Assets at the time of Incurrence (plus, in the case of any Refinancing Indebtedness in respect thereof Incurred pursuant to clause (xv) below, any Additional Refinancing Amount with respect thereto); it being understood that any Indebtedness Incurred pursuant to this clause (xii) shall cease to be deemed Incurred or outstanding for purposes of this clause (xii) but shall be deemed Incurred pursuant to Section 4.03(a) from and after the first date on which the Company or the Restricted Subsidiary, as the case may be, could have Incurred such Indebtedness under Section 4.03(a) without reliance upon this clause (xii);</w:t>
      </w:r>
    </w:p>
    <w:p>
      <w:pPr>
        <w:spacing w:after="0" w:line="147"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or Disqualified Stock of the Company or any Restricted Subsidiary and Preferred Stock of any Restricted Subsidiary in an aggregate principal amount (or, if applicable, the liquidation preference, face amount or the like) at any time outstanding, together with any Refinancing Indebtedness Incurred pursuant to clause (xv) below in respect of Indebtedness originally Incurred pursuant to this clause (xiii) (or Refinancing Indebtedness in respect thereof) then outstanding, not greater than 100.0% of the net cash proceeds received by the Company and its Restricted Subsidiaries since immediately after the Issue Date from the issue or sale of Equity Interests of the Company or any direct or indirect parent entity of the Company (which proceeds are retained by the Company or contributed to a Restricted Subsidiary) or cash contributed to the capital of the Company (in each case other than proceeds of Disqualified Stock or sales of Equity Interests to, or contributions received from, the Company or any of its Subsidiaries), to the extent such net cash proceeds or cash have not been applied to make Restricted Payments or to make other Investments, payments or exchanges pursuant to Section 4.04(b) or to make Permitted Investments (other than Permitted Investments specified in clauses (1), (2) and (3) of the definition thereof) (plus, in the case of any Refinancing Indebtedness in respect thereof Incurred pursuant to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51</w:t>
      </w:r>
    </w:p>
    <w:p>
      <w:pPr>
        <w:sectPr>
          <w:pgSz w:w="11900" w:h="16840" w:orient="portrait"/>
          <w:cols w:equalWidth="0" w:num="1">
            <w:col w:w="10160"/>
          </w:cols>
          <w:pgMar w:left="1100" w:top="1440" w:right="640" w:bottom="1440" w:gutter="0" w:footer="0" w:header="0"/>
        </w:sectPr>
      </w:pPr>
    </w:p>
    <w:bookmarkStart w:id="354" w:name="page355"/>
    <w:bookmarkEnd w:id="354"/>
    <w:p>
      <w:pPr>
        <w:spacing w:after="0" w:line="14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clause (xv) below, any Additional Refinancing Amount with respect thereto) (it being understood that any Indebtedness incurred pursuant to this clause (xiii) shall cease to be deemed incurred or outstanding for purposes of this clause (xiii) but shall be deemed incurred pursuant to Section 4.03(a) from and after the first date on which the Company or such Restricted Subsidiary, as the case may be, could have incurred such Indebtedness under Section 4.03(a) without reliance upon this clause (xiii));</w:t>
      </w:r>
    </w:p>
    <w:p>
      <w:pPr>
        <w:spacing w:after="0" w:line="88" w:lineRule="exact"/>
        <w:rPr>
          <w:sz w:val="20"/>
          <w:szCs w:val="20"/>
          <w:color w:val="auto"/>
        </w:rPr>
      </w:pPr>
    </w:p>
    <w:p>
      <w:pPr>
        <w:jc w:val="both"/>
        <w:ind w:firstLine="460"/>
        <w:spacing w:after="0" w:line="227" w:lineRule="auto"/>
        <w:tabs>
          <w:tab w:leader="none" w:pos="904"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guarantee by the Company or any Restricted Subsidiary of Indebtedness or other obligations of the Company or any Restricted Subsidiary so long as the Incurrence of such Indebtedness Incurred by the Company or such Restricted Subsidiary is permitted under the terms of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if such Indebtedness is by its terms subordinated in right of payment to the Notes or the Guarantee of such Restricted Subsidiary, as applicable, any such guarantee with respect to such Indebtedness shall be subordinated in right of payment to the Notes or such Guarantee, as applicable, substantially to the same extent as such Indebtedness is subordinated to the Notes or the Guarantee, as applicable, and (B) if such guarantee is of Indebtedness of any Issuer or Guarantor, such guarantee is Incurred in accordance with, or not in contravention of, Section 4.11 solely to the extent Section 4.11 is applicable;</w:t>
      </w:r>
    </w:p>
    <w:p>
      <w:pPr>
        <w:spacing w:after="0" w:line="89" w:lineRule="exact"/>
        <w:rPr>
          <w:rFonts w:ascii="Times New Roman" w:cs="Times New Roman" w:eastAsia="Times New Roman" w:hAnsi="Times New Roman"/>
          <w:sz w:val="12"/>
          <w:szCs w:val="12"/>
          <w:color w:val="auto"/>
        </w:rPr>
      </w:pPr>
    </w:p>
    <w:p>
      <w:pPr>
        <w:jc w:val="both"/>
        <w:ind w:firstLine="460"/>
        <w:spacing w:after="0"/>
        <w:tabs>
          <w:tab w:leader="none" w:pos="904"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Incurrence by the Company or any of the Restricted Subsidiaries of Indebtedness or Disqualified Stock, or by any Restricted Subsidiary of Preferred Stock, that serves to refund, refinance or defease any Indebtedness Incurred or Disqualified Stock or Preferred Stock issued as permitted under Section 4.03(a) or any of clauses (i), (ii), (iii), (iv), (xii), (xiii), (xv), (xvi), (xx), (xxiv), (xxvi), (xxix) and (xxx) of this Section 4.03(b) up to the outstanding principal amount (or, if applicable, the liquidation preference, face amount, or the like) or, if greater, committed amount (only to the extent the committed amount could have been Incurred on the date of initial Incurrence and was deemed Incurred at such time for the purposes of this Section 4.03) of such Indebtedness or Disqualified Stock or Preferred Stock, in each case at the time such Indebtedness was Incurred or Disqualified Stock or Preferred Stock was issued pursuant to Section 4.03(a) or any of clauses (i), (ii), (iii), (iv), (xii), (xiii), (xv), (xvi), (xx), (xxiv), (xxvi), (xxix) and (xxx) of this Section 4.03(b), or any Indebtedness, Disqualified Stock or Preferred Stock Incurred to so refund or refinance such Indebtedness, Disqualified Stock or Preferred Stock, in each case, prior to its respective maturity (such Indebtedness, Disqualified Stock or Preferred Stock, “</w:t>
      </w:r>
      <w:r>
        <w:rPr>
          <w:rFonts w:ascii="Times New Roman" w:cs="Times New Roman" w:eastAsia="Times New Roman" w:hAnsi="Times New Roman"/>
          <w:sz w:val="12"/>
          <w:szCs w:val="12"/>
          <w:u w:val="single" w:color="auto"/>
          <w:color w:val="auto"/>
        </w:rPr>
        <w:t>Refinancing Indebtedness</w:t>
      </w:r>
      <w:r>
        <w:rPr>
          <w:rFonts w:ascii="Times New Roman" w:cs="Times New Roman" w:eastAsia="Times New Roman" w:hAnsi="Times New Roman"/>
          <w:sz w:val="12"/>
          <w:szCs w:val="12"/>
          <w:color w:val="auto"/>
        </w:rPr>
        <w:t xml:space="preserve">”), plus any Additional Refinancing Amount with respect thereto;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w:t>
      </w:r>
    </w:p>
    <w:p>
      <w:pPr>
        <w:spacing w:after="0" w:line="147" w:lineRule="exact"/>
        <w:rPr>
          <w:rFonts w:ascii="Times New Roman" w:cs="Times New Roman" w:eastAsia="Times New Roman" w:hAnsi="Times New Roman"/>
          <w:sz w:val="12"/>
          <w:szCs w:val="12"/>
          <w:color w:val="auto"/>
        </w:rPr>
      </w:pPr>
    </w:p>
    <w:p>
      <w:pPr>
        <w:jc w:val="both"/>
        <w:ind w:left="460" w:right="40" w:firstLine="457"/>
        <w:spacing w:after="0" w:line="231" w:lineRule="auto"/>
        <w:tabs>
          <w:tab w:leader="none" w:pos="1510" w:val="left"/>
        </w:tabs>
        <w:numPr>
          <w:ilvl w:val="1"/>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such Refinancing Indebtedness and Additional Refinancing Amount has a combined Weighted Average Life to Maturity at the time such Refinancing Indebtedness and Additional Refinancing Amount are Incurred that is not less than the shorter of (x) the remaining Weighted Average Life to Maturity of the Indebtedness, Disqualified Stock or Preferred Stock being refunded, refinanced or defeased and (y) the Weighted Average Life to Maturity that would result if all payments of principal on the Indebtedness, Disqualified Stock and Preferred Stock being refunded, refinanced or defeased that were due on or after the date that is one year following the last maturity date of any Notes then outstanding were instead due on such date;</w:t>
      </w:r>
    </w:p>
    <w:p>
      <w:pPr>
        <w:spacing w:after="0" w:line="97" w:lineRule="exact"/>
        <w:rPr>
          <w:sz w:val="20"/>
          <w:szCs w:val="20"/>
          <w:color w:val="auto"/>
        </w:rPr>
      </w:pPr>
    </w:p>
    <w:p>
      <w:pPr>
        <w:jc w:val="both"/>
        <w:ind w:left="460" w:right="20" w:firstLine="457"/>
        <w:spacing w:after="0" w:line="267" w:lineRule="auto"/>
        <w:tabs>
          <w:tab w:leader="none" w:pos="1364" w:val="left"/>
        </w:tabs>
        <w:numPr>
          <w:ilvl w:val="1"/>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 to the extent such Refinancing Indebtedness and Additional Refinancing Amount refinance (x) Indebtedness that by its terms is subordinated in right of payment to the Notes or a Guarantee, as applicable, such Refinancing Indebtedness and Additional Refinancing Amount are by their terms subordinated in right of payment to the Notes or the Guarantee, as applicable, or (y) Disqualified Stock or Preferred Stock, such Refinancing Indebtedness and Additional Refinancing Amount are Disqualified Stock or Preferred Stock; and</w:t>
      </w:r>
    </w:p>
    <w:p>
      <w:pPr>
        <w:spacing w:after="0" w:line="91" w:lineRule="exact"/>
        <w:rPr>
          <w:rFonts w:ascii="Times New Roman" w:cs="Times New Roman" w:eastAsia="Times New Roman" w:hAnsi="Times New Roman"/>
          <w:sz w:val="12"/>
          <w:szCs w:val="12"/>
          <w:color w:val="auto"/>
        </w:rPr>
      </w:pPr>
    </w:p>
    <w:p>
      <w:pPr>
        <w:ind w:left="460" w:right="20" w:firstLine="457"/>
        <w:spacing w:after="0" w:line="287" w:lineRule="auto"/>
        <w:tabs>
          <w:tab w:leader="none" w:pos="1364" w:val="left"/>
        </w:tabs>
        <w:numPr>
          <w:ilvl w:val="1"/>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that such Refinancing Indebtedness and Additional Refinancing Amount shall not include (x) Indebtedness of a Restricted Subsidiary that is not the U.S. Co-Issuer or a Guarantor that refinances Indebtedness of an Issuer or a Guarantor, or (y) Indebtedness of the Company or a Restricted Subsidiary that refinances Indebtedness of an Unrestricted Subsidiary;</w:t>
      </w:r>
    </w:p>
    <w:p>
      <w:pPr>
        <w:spacing w:after="0" w:line="69" w:lineRule="exact"/>
        <w:rPr>
          <w:rFonts w:ascii="Times New Roman" w:cs="Times New Roman" w:eastAsia="Times New Roman" w:hAnsi="Times New Roman"/>
          <w:sz w:val="12"/>
          <w:szCs w:val="12"/>
          <w:color w:val="auto"/>
        </w:rPr>
      </w:pPr>
    </w:p>
    <w:p>
      <w:pPr>
        <w:jc w:val="both"/>
        <w:ind w:firstLine="460"/>
        <w:spacing w:after="0" w:line="231" w:lineRule="auto"/>
        <w:tabs>
          <w:tab w:leader="none" w:pos="895"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Disqualified Stock or Preferred Stock (x) of the Company or any Restricted Subsidiary Incurred to finance an acquisition or (y) constituting Acquired Indebtedness (so long as such Acquired Indebtedness is not Incurred in contemplation of such acquisition, merger, consolidation or amalgamation);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on a Pro Forma Basis after giving effect to such acquisition or merger, consolidation or amalgamation, the Company would be permitted to incur at least $1.00 of additional Indebtedness in reliance on the Consolidated Total Net Leverage Ratio test set forth in clause (B) of the first proviso of Section 4.03(a);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52</w:t>
      </w:r>
    </w:p>
    <w:p>
      <w:pPr>
        <w:sectPr>
          <w:pgSz w:w="11900" w:h="16840" w:orient="portrait"/>
          <w:cols w:equalWidth="0" w:num="1">
            <w:col w:w="10160"/>
          </w:cols>
          <w:pgMar w:left="1100" w:top="1440" w:right="640" w:bottom="1440" w:gutter="0" w:footer="0" w:header="0"/>
        </w:sectPr>
      </w:pPr>
    </w:p>
    <w:bookmarkStart w:id="355" w:name="page356"/>
    <w:bookmarkEnd w:id="355"/>
    <w:p>
      <w:pPr>
        <w:spacing w:after="0" w:line="148" w:lineRule="exact"/>
        <w:rPr>
          <w:sz w:val="20"/>
          <w:szCs w:val="20"/>
          <w:color w:val="auto"/>
        </w:rPr>
      </w:pPr>
    </w:p>
    <w:p>
      <w:pPr>
        <w:ind w:left="900" w:hanging="440"/>
        <w:spacing w:after="0"/>
        <w:tabs>
          <w:tab w:leader="none" w:pos="900"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in connection with Qualified Receivables Facilities, including Attributable Receivables Indebtedness;</w:t>
      </w:r>
    </w:p>
    <w:p>
      <w:pPr>
        <w:spacing w:after="0" w:line="109"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arising from the honoring by a bank or other financial institution of a check, draft or similar instrument drawn against insufficient funds or other cash management services, in each case incurred in the ordinary course of business;</w:t>
      </w:r>
    </w:p>
    <w:p>
      <w:pPr>
        <w:spacing w:after="0" w:line="80"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any Restricted Subsidiary supported by a letter of credit or bank guarantee issued in compliance with this Section 4.03 in a principal amount not in excess of the stated amount of such letter of credit;</w:t>
      </w:r>
    </w:p>
    <w:p>
      <w:pPr>
        <w:spacing w:after="0" w:line="80"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of Restricted Subsidiaries that are not the U.S. Co-Issuer or a Guarantor;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aggregate principal amount of all such Indebtedness that, when aggregated with the principal amount of all other Indebtedness then outstanding and Incurred pursuant to this clause (xx), together with any Refinancing Indebtedness Incurred pursuant to clause (xv) above in respect of Indebtedness originally Incurred pursuant to this clause (xx) (or Refinancing Indebtedness in respect thereof) then outstanding, does not exceed the greater of $400 million and 3.2% of Total Assets at the time of Incurrence (plus, in the case of any Refinancing Indebtedness in respect thereof Incurred pursuant to clause (xv) above, any Additional Refinancing Amount with respect thereto) (it being understood that any Indebtedness incurred pursuant to this clause (xx) shall cease to be deemed Incurred or outstanding for purposes of this clause (xx) but shall be deemed Incurred pursuant to Section 4.03(a) from and after the first date on which such Restricted Subsidiary could have Incurred such Indebtedness under the first paragraph of this covenant without reliance upon this clause (xx));</w:t>
      </w:r>
    </w:p>
    <w:p>
      <w:pPr>
        <w:spacing w:after="0" w:line="89" w:lineRule="exact"/>
        <w:rPr>
          <w:rFonts w:ascii="Times New Roman" w:cs="Times New Roman" w:eastAsia="Times New Roman" w:hAnsi="Times New Roman"/>
          <w:sz w:val="12"/>
          <w:szCs w:val="12"/>
          <w:color w:val="auto"/>
        </w:rPr>
      </w:pPr>
    </w:p>
    <w:p>
      <w:pPr>
        <w:ind w:firstLine="460"/>
        <w:spacing w:after="0" w:line="253" w:lineRule="auto"/>
        <w:tabs>
          <w:tab w:leader="none" w:pos="895"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any Restricted Subsidiary consisting of (A) the financing of insurance premiums or (B) take-or-pay obligations contained in supply arrangements, in each case, in the ordinary course of business;</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 Restricted Subsidiary to current or former officers, directors and employees of the Company or any of the Company’s Subsidiaries, their respective estates, spouses or former spouses, in each case to finance the purchase or redemption of Equity Interests of the Company or any direct or indirect parent entity of the Company to the extent described in Section 4.04(b)(iv);</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in respect of Obligations of the Company or any Restricted Subsidiary to pay the deferred purchase price of goods or services or progress payments in connection with such goods and services;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obligations are incurred in connection with open accounts extended by suppliers on customary trade terms in the ordinary course of business and not in connection with the borrowing of money or any Hedging Obligations;</w:t>
      </w:r>
    </w:p>
    <w:p>
      <w:pPr>
        <w:spacing w:after="0" w:line="87"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Incurred on behalf of, or representing guarantees of Indebtedness of joint ventures, subject to compliance with Section 4.04;</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aggregate principal amount thereof, when aggregated with the principal amount of all other Indebtedness then outstanding pursuant to this clause (xxiv), together with any Refinancing Indebtedness Incurred pursuant to clause (xv) above in respect of Indebtedness originally Incurred pursuant to this clause (xxiv) (or Refinancing Indebtedness in respect thereof) then outstanding, does not exceed the greater of $180 million and 1.5% of Total Assets at the time of Incurrence;</w:t>
      </w:r>
    </w:p>
    <w:p>
      <w:pPr>
        <w:spacing w:after="0" w:line="87" w:lineRule="exact"/>
        <w:rPr>
          <w:rFonts w:ascii="Times New Roman" w:cs="Times New Roman" w:eastAsia="Times New Roman" w:hAnsi="Times New Roman"/>
          <w:sz w:val="12"/>
          <w:szCs w:val="12"/>
          <w:color w:val="auto"/>
        </w:rPr>
      </w:pPr>
    </w:p>
    <w:p>
      <w:pPr>
        <w:ind w:firstLine="460"/>
        <w:spacing w:after="0" w:line="253" w:lineRule="auto"/>
        <w:tabs>
          <w:tab w:leader="none" w:pos="895"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the Company or any Restricted Subsidiary to or on behalf of any joint venture (regardless of the form of legal entity) that is not a Restricted Subsidiary arising in the ordinary course of business in connection with the cash management operations (including with respect to intercompany self-insurance arrangements) of the Company and its Restricted Subsidiaries;</w:t>
      </w:r>
    </w:p>
    <w:p>
      <w:pPr>
        <w:spacing w:after="0" w:line="80" w:lineRule="exact"/>
        <w:rPr>
          <w:rFonts w:ascii="Times New Roman" w:cs="Times New Roman" w:eastAsia="Times New Roman" w:hAnsi="Times New Roman"/>
          <w:sz w:val="12"/>
          <w:szCs w:val="12"/>
          <w:color w:val="auto"/>
        </w:rPr>
      </w:pPr>
    </w:p>
    <w:p>
      <w:pPr>
        <w:jc w:val="both"/>
        <w:ind w:firstLine="460"/>
        <w:spacing w:after="0" w:line="231" w:lineRule="auto"/>
        <w:tabs>
          <w:tab w:leader="none" w:pos="904"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Foreign Subsidiaries, and guarantees thereof by Foreign Subsidiaries, in respect of local lines of credit, letters of credit, bank guarantees and similar extensions of credit, that, when aggregated with the principal amount of all other Indebtedness then outstanding pursuant to this clause (xxvi), together with any Refinancing Indebtedness Incurred pursuant to clause (xv) above in respect of Indebtedness originally Incurred pursuant to this clause (xxvi) (or Refinancing Indebtedness in respect thereof) then outstanding, does not exceed the greater of $180 million and 1.5% of Total Assets at the time of Incurrence (plus, in the case of any Refinancing Indebtedness in respect thereof Incurred pursuant to clause (xv) above, any Additional Refinancing Amount with respect thereto);</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of Indebtedness of directors, officers, employees, agents and advisors of the Company or any of its Restricted Subsidiaries in respect of expenses of such Persons in connection</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53</w:t>
      </w:r>
    </w:p>
    <w:p>
      <w:pPr>
        <w:sectPr>
          <w:pgSz w:w="11900" w:h="16840" w:orient="portrait"/>
          <w:cols w:equalWidth="0" w:num="1">
            <w:col w:w="10160"/>
          </w:cols>
          <w:pgMar w:left="1100" w:top="1440" w:right="640" w:bottom="1440" w:gutter="0" w:footer="0" w:header="0"/>
        </w:sectPr>
      </w:pPr>
    </w:p>
    <w:bookmarkStart w:id="356" w:name="page357"/>
    <w:bookmarkEnd w:id="356"/>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relocations and other ordinary course of business purposes, if the aggregate amount of Indebtedness so guaranteed, when added to the aggregate amount of unreimbursed payments theretofore made in respect of such guarantees and the amount of loans and advances then outstanding under clause (6) of the definition of “Permitted Investments,” shall not at any time exceed $10 million;</w:t>
      </w:r>
    </w:p>
    <w:p>
      <w:pPr>
        <w:spacing w:after="0" w:line="80" w:lineRule="exact"/>
        <w:rPr>
          <w:sz w:val="20"/>
          <w:szCs w:val="20"/>
          <w:color w:val="auto"/>
        </w:rPr>
      </w:pPr>
    </w:p>
    <w:p>
      <w:pPr>
        <w:ind w:left="900" w:hanging="440"/>
        <w:spacing w:after="0"/>
        <w:tabs>
          <w:tab w:leader="none" w:pos="900"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and prior to the Initial Tender Offer Closing Date, any Indebtedness of the Company or any of its Subsidiary outstanding on the Issue Date under the Existing Credit Agreement;</w:t>
      </w:r>
    </w:p>
    <w:p>
      <w:pPr>
        <w:spacing w:after="0" w:line="109"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credit (whether secured or unsecured) issued on behalf of any Subsidiary for the benefit of any Insurance Subsidiary, together with any Refinancing Indebtedness Incurred pursuant to clause (xv) above in respect of Indebtedness originally Incurred pursuant to this clause (xxix) (or Refinancing Indebtedness in respect thereof) then outstanding, in an aggregate principal amount outstanding at any time not to exceed the greater of $180 million and 1.5% of Total Assets at the time of Incurrence;</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895"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Acquired Indebtedness, which, when aggregated with the principal amount (or, if applicable, the liquidation preference, face amount or the like) of all other Acquired Indebtedness Incurred pursuant to this clause (xxx), together with any Refinancing Indebtedness Incurred pursuant to clause (xv) above in respect of Indebtedness originally Incurred pursuant to this clause (xxx) (or Refinancing Indebtedness in respect thereof) then outstanding, does not exceed $300 million (plus, in the case of any Refinancing Indebtedness in respect thereof Incurred pursuant to clause (xv) above, any Additional Refinancing Amount with respect thereto);</w:t>
      </w:r>
    </w:p>
    <w:p>
      <w:pPr>
        <w:spacing w:after="0" w:line="87"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 connection with any joint and several liability and any netting or set-off arrangement arising (A) in each case by operation of law as a result of the existence, establishment or expansion of an affiliated, consolidated, combined, unitary or similar group for tax purposes to the extent such group consists solely in respect of the Issuers, any Guarantors and any Restricted Subsidiaries thereof or (B) under a declaration of joint and several liability (</w:t>
      </w:r>
      <w:r>
        <w:rPr>
          <w:rFonts w:ascii="Times New Roman" w:cs="Times New Roman" w:eastAsia="Times New Roman" w:hAnsi="Times New Roman"/>
          <w:sz w:val="12"/>
          <w:szCs w:val="12"/>
          <w:i w:val="1"/>
          <w:iCs w:val="1"/>
          <w:color w:val="auto"/>
        </w:rPr>
        <w:t>hoofdelijke aansprakelijkheid</w:t>
      </w:r>
      <w:r>
        <w:rPr>
          <w:rFonts w:ascii="Times New Roman" w:cs="Times New Roman" w:eastAsia="Times New Roman" w:hAnsi="Times New Roman"/>
          <w:sz w:val="12"/>
          <w:szCs w:val="12"/>
          <w:color w:val="auto"/>
        </w:rPr>
        <w:t>) as referred to in Section 2:403 of the Dutch Civil Code;</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deposits and advance payments received in the ordinary course of business from customers for goods purchased in the ordinary course of business;</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by the Company or any Restricted Subsidiary in connection with bankers’ acceptances, discounted bills of exchange, warehouse receipts or similar facilities or the discounting or factoring of receivables for credit management purposes, in each case incurred or undertaken in the ordinary course of business; and</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premiums (if any), interest (including post-petition interest), fees, expenses, charges and additional or contingent interest on obligations described in clauses (i) through (xxxiii) above.</w:t>
      </w:r>
    </w:p>
    <w:p>
      <w:pPr>
        <w:spacing w:after="0" w:line="109" w:lineRule="exact"/>
        <w:rPr>
          <w:rFonts w:ascii="Times New Roman" w:cs="Times New Roman" w:eastAsia="Times New Roman" w:hAnsi="Times New Roman"/>
          <w:sz w:val="12"/>
          <w:szCs w:val="12"/>
          <w:color w:val="auto"/>
        </w:rPr>
      </w:pPr>
    </w:p>
    <w:p>
      <w:pPr>
        <w:ind w:left="460" w:hanging="457"/>
        <w:spacing w:after="0"/>
        <w:tabs>
          <w:tab w:leader="none" w:pos="460" w:val="left"/>
        </w:tabs>
        <w:numPr>
          <w:ilvl w:val="0"/>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compliance with this Section 4.03:</w:t>
      </w:r>
    </w:p>
    <w:p>
      <w:pPr>
        <w:spacing w:after="0" w:line="109" w:lineRule="exact"/>
        <w:rPr>
          <w:sz w:val="20"/>
          <w:szCs w:val="20"/>
          <w:color w:val="auto"/>
        </w:rPr>
      </w:pPr>
    </w:p>
    <w:p>
      <w:pPr>
        <w:jc w:val="both"/>
        <w:ind w:firstLine="460"/>
        <w:spacing w:after="0" w:line="227" w:lineRule="auto"/>
        <w:tabs>
          <w:tab w:leader="none" w:pos="904"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that an item of Indebtedness, Disqualified Stock or Preferred Stock (or any portion thereof) meets the criteria of more than one of the categories of permitted Indebtedness described in clauses (i) through (xxxiv) of Section 4.03(b) above or is entitled to be Incurred pursuant to Section 4.03(a), then the Issuers may, in their sole discretion, classify or reclassify, or later divide, classify or reclassify (as if Incurred at such later time), such item of Indebtedness, Disqualified Stock or Preferred Stock (or any portion thereof) in any manner that complies with this Section 4.03;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Indebtedness outstanding under a Credit Agreement (other than the Existing Credit Agreement) entered into on or prior to the Initial Tender Offer Closing Date (and any secured Indebtedness representing a refinancing of such Indebtedness) shall be incurred under clause (i)(A) of Section 4.03(b) above and may not be reclassified;</w:t>
      </w:r>
    </w:p>
    <w:p>
      <w:pPr>
        <w:spacing w:after="0" w:line="89" w:lineRule="exact"/>
        <w:rPr>
          <w:rFonts w:ascii="Times New Roman" w:cs="Times New Roman" w:eastAsia="Times New Roman" w:hAnsi="Times New Roman"/>
          <w:sz w:val="12"/>
          <w:szCs w:val="12"/>
          <w:color w:val="auto"/>
        </w:rPr>
      </w:pPr>
    </w:p>
    <w:p>
      <w:pPr>
        <w:jc w:val="both"/>
        <w:ind w:firstLine="460"/>
        <w:spacing w:after="0" w:line="225" w:lineRule="auto"/>
        <w:tabs>
          <w:tab w:leader="none" w:pos="904"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any Limited Condition Acquisition, at the option of the Issuers by written notice to the Trustee, any Indebtedness or Liens Incurred to finance, or Investments made in connection with, such Limited Condition Acquisition shall be deemed to have been Incurred or made on the date the definitive acquisition agreement relating to such Limited Condition Acquisition was entered into (and not at the time such Limited Condition Acquisition is consummated) and the Fixed Charge Coverage Ratio, Consolidated Total Net Leverage Ratio, Secured Net Leverage Ratio and/or the First Lien Net Leverage Ratio shall be tested (x) in connection with the Incurrence of such Indebtedness or Liens or the making of such Investments, as of the date the definitive acquisition agreement relating to such Limited Condition Acquisition was entered into, calculated on a Pro Forma Basis giving effect to such Limited Condition Acquisition, any such Indebtedness, Liens or Investments and all other transactions in connection therewith and (y) in connection with any other Incurrence of Indebtedness or Liens or making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54</w:t>
      </w:r>
    </w:p>
    <w:p>
      <w:pPr>
        <w:sectPr>
          <w:pgSz w:w="11900" w:h="16840" w:orient="portrait"/>
          <w:cols w:equalWidth="0" w:num="1">
            <w:col w:w="10160"/>
          </w:cols>
          <w:pgMar w:left="1100" w:top="1440" w:right="640" w:bottom="1440" w:gutter="0" w:footer="0" w:header="0"/>
        </w:sectPr>
      </w:pPr>
    </w:p>
    <w:bookmarkStart w:id="357" w:name="page358"/>
    <w:bookmarkEnd w:id="357"/>
    <w:p>
      <w:pPr>
        <w:spacing w:after="0" w:line="148" w:lineRule="exact"/>
        <w:rPr>
          <w:sz w:val="20"/>
          <w:szCs w:val="20"/>
          <w:color w:val="auto"/>
        </w:rPr>
      </w:pPr>
    </w:p>
    <w:p>
      <w:pPr>
        <w:ind w:left="460" w:right="40"/>
        <w:spacing w:after="0" w:line="227" w:lineRule="auto"/>
        <w:rPr>
          <w:sz w:val="20"/>
          <w:szCs w:val="20"/>
          <w:color w:val="auto"/>
        </w:rPr>
      </w:pPr>
      <w:r>
        <w:rPr>
          <w:rFonts w:ascii="Times New Roman" w:cs="Times New Roman" w:eastAsia="Times New Roman" w:hAnsi="Times New Roman"/>
          <w:sz w:val="12"/>
          <w:szCs w:val="12"/>
          <w:color w:val="auto"/>
        </w:rPr>
        <w:t>of Investments after the date the definitive acquisition agreement relating to such Limited Condition Acquisition was entered into and prior to the earlier of the consummation of such Limited Condition Acquisition and the termination of such definitive agreement prior to the Incurrence of such Indebtedness or Liens or the making of such Investments, both (A) on the basis set forth in clause (x) above and</w:t>
      </w:r>
    </w:p>
    <w:p>
      <w:pPr>
        <w:ind w:left="660" w:hanging="197"/>
        <w:spacing w:after="0" w:line="215" w:lineRule="auto"/>
        <w:tabs>
          <w:tab w:leader="none" w:pos="660"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giving effect to such Limited Condition Acquisition or the Incurrence of any such Indebtedness or Liens or the making of any such Investments or the other transactions in connection therewith;</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w:t>
      </w:r>
    </w:p>
    <w:p>
      <w:pPr>
        <w:spacing w:after="0" w:line="95" w:lineRule="exact"/>
        <w:rPr>
          <w:rFonts w:ascii="Times New Roman" w:cs="Times New Roman" w:eastAsia="Times New Roman" w:hAnsi="Times New Roman"/>
          <w:sz w:val="12"/>
          <w:szCs w:val="12"/>
          <w:color w:val="auto"/>
        </w:rPr>
      </w:pPr>
    </w:p>
    <w:p>
      <w:pPr>
        <w:jc w:val="both"/>
        <w:ind w:left="460" w:right="40" w:firstLine="460"/>
        <w:spacing w:after="0" w:line="225" w:lineRule="auto"/>
        <w:tabs>
          <w:tab w:leader="none" w:pos="1364"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obtaining any commitment with respect to any Indebtedness to be Incurred under clause (i)(C) of Section 4.03(b), the Issuers may, by written notice to the Trustee at any time prior to the actual Incurrence of such Indebtedness, designate such commitment (any such commitment so designated, a “</w:t>
      </w:r>
      <w:r>
        <w:rPr>
          <w:rFonts w:ascii="Times New Roman" w:cs="Times New Roman" w:eastAsia="Times New Roman" w:hAnsi="Times New Roman"/>
          <w:sz w:val="12"/>
          <w:szCs w:val="12"/>
          <w:u w:val="single" w:color="auto"/>
          <w:color w:val="auto"/>
        </w:rPr>
        <w:t>Designated Commitment</w:t>
      </w:r>
      <w:r>
        <w:rPr>
          <w:rFonts w:ascii="Times New Roman" w:cs="Times New Roman" w:eastAsia="Times New Roman" w:hAnsi="Times New Roman"/>
          <w:sz w:val="12"/>
          <w:szCs w:val="12"/>
          <w:color w:val="auto"/>
        </w:rPr>
        <w:t>”) as being Indebtedness Incurred on the date of such notice in an amount equal to such Designated Commitment (or, at the Issuers’ option, if such Designated Commitment has been permanently reduced other than as a result of the Incurrence of funded Indebtedness thereunder, such reduced amount), in which case Indebtedness in such amount shall be deemed to have been Incurred on the date of such notice and shall thereafter be deemed to be outstanding First Lien Indebtedness for purposes of any subsequent calculation of the First Lien Net Leverage Ratio, and subsequent borrowings and prepayments under such Designated Commitment shall be disregarded for all purposes of this Section 4.03 and Section 4.12 until the date such Designated Commitment is terminated.</w:t>
      </w:r>
    </w:p>
    <w:p>
      <w:pPr>
        <w:spacing w:after="0" w:line="99" w:lineRule="exact"/>
        <w:rPr>
          <w:sz w:val="20"/>
          <w:szCs w:val="20"/>
          <w:color w:val="auto"/>
        </w:rPr>
      </w:pPr>
    </w:p>
    <w:p>
      <w:pPr>
        <w:jc w:val="both"/>
        <w:ind w:right="20" w:firstLine="457"/>
        <w:spacing w:after="0" w:line="254" w:lineRule="auto"/>
        <w:rPr>
          <w:sz w:val="20"/>
          <w:szCs w:val="20"/>
          <w:color w:val="auto"/>
        </w:rPr>
      </w:pPr>
      <w:r>
        <w:rPr>
          <w:rFonts w:ascii="Times New Roman" w:cs="Times New Roman" w:eastAsia="Times New Roman" w:hAnsi="Times New Roman"/>
          <w:sz w:val="12"/>
          <w:szCs w:val="12"/>
          <w:color w:val="auto"/>
        </w:rPr>
        <w:t xml:space="preserve">Accrual of interest, the accretion of accreted value, the payment of interest or dividends in the form of additional Indebtedness, Disqualified Stock or Preferred Stock, as applicable, amortization of original issue discount, the accretion of liquidation preference and increases in the amount of Indebtedness outstanding solely as a result of fluctuations in the exchange rate of currencies will not be deemed to be an Incurrence of Indebtedness, Disqualified Stock or Preferred Stock for purposes of this Section 4.03. Where any Indebtedness of any Person other than the Company and its Restricted Subsidiaries is guaranteed by one or more of the Company and its Restricted Subsidiaries, the aggregate amount of Indebtedness of the Company and its Restricted Subsidiaries deemed to be Incurred or outstanding as a result of all such guarantees shall not exceed the amount of such guaranteed Indebtedness. Guarantees of, or obligations in respect of letters of credit relating to, Indebtedness that is otherwise included in the determination of a particular amount of Indebtedness shall not be included in the determination of such amount of Indebtedness;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Incurrence of the Indebtedness represented by such guarantee or letter of credit, as the case may be, was in compliance with this Section 4.03.</w:t>
      </w:r>
    </w:p>
    <w:p>
      <w:pPr>
        <w:spacing w:after="0" w:line="101" w:lineRule="exact"/>
        <w:rPr>
          <w:sz w:val="20"/>
          <w:szCs w:val="20"/>
          <w:color w:val="auto"/>
        </w:rPr>
      </w:pPr>
    </w:p>
    <w:p>
      <w:pPr>
        <w:jc w:val="both"/>
        <w:ind w:right="40" w:firstLine="457"/>
        <w:spacing w:after="0" w:line="255" w:lineRule="auto"/>
        <w:rPr>
          <w:sz w:val="20"/>
          <w:szCs w:val="20"/>
          <w:color w:val="auto"/>
        </w:rPr>
      </w:pPr>
      <w:r>
        <w:rPr>
          <w:rFonts w:ascii="Times New Roman" w:cs="Times New Roman" w:eastAsia="Times New Roman" w:hAnsi="Times New Roman"/>
          <w:sz w:val="12"/>
          <w:szCs w:val="12"/>
          <w:color w:val="auto"/>
        </w:rPr>
        <w:t xml:space="preserve">For purposes of determining compliance with any U.S. dollar-denominated restriction on the Incurrence of Indebtedness, the U.S. dollar- equivalent principal amount (or, if applicable, the liquidation preference, face amount, or the like) of Indebtedness denominated in a foreign currency shall be calculated based on the relevant currency exchange rate in effect on the date such Indebtedness is Incurred, in the case of term debt, or is first committed or first Incurred (whichever yields the lower U.S. dollar equivalent), in the case of revolving credit debt. However, if the Indebtedness is Incurred to refinance other Indebtedness denominated in a foreign currency, and the refinancing would cause the applicable U.S. dollar- denominated restriction to be exceeded if calculated at the relevant currency exchange rate in effect on the date of the refinancing, the U.S. dollar-denominated restriction will be deemed not to have been exceeded so long as the principal amount (or, if applicable, the liquidation preference, face amount, or the like) of the refinancing Indebtedness does not exceed the principal amount (or, if applicable, the liquidation preference, face amount, or the like) of the Indebtedness being refinanced,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any Additional Refinancing Amount with respect thereto.</w:t>
      </w:r>
    </w:p>
    <w:p>
      <w:pPr>
        <w:spacing w:after="0" w:line="243" w:lineRule="exact"/>
        <w:rPr>
          <w:sz w:val="20"/>
          <w:szCs w:val="20"/>
          <w:color w:val="auto"/>
        </w:rPr>
      </w:pPr>
    </w:p>
    <w:p>
      <w:pPr>
        <w:jc w:val="both"/>
        <w:ind w:right="40" w:firstLine="457"/>
        <w:spacing w:after="0" w:line="261" w:lineRule="auto"/>
        <w:rPr>
          <w:sz w:val="20"/>
          <w:szCs w:val="20"/>
          <w:color w:val="auto"/>
        </w:rPr>
      </w:pPr>
      <w:r>
        <w:rPr>
          <w:rFonts w:ascii="Times New Roman" w:cs="Times New Roman" w:eastAsia="Times New Roman" w:hAnsi="Times New Roman"/>
          <w:sz w:val="12"/>
          <w:szCs w:val="12"/>
          <w:color w:val="auto"/>
        </w:rPr>
        <w:t>Notwithstanding any other provision of this Section 4.03, the maximum amount of Indebtedness that the Company and its Restricted Subsidiaries may Incur pursuant to this Section 4.03 shall not be deemed to be exceeded, with respect to any outstanding Indebtedness, solely as a result of fluctuations in the exchange rate of currencies. The principal amount (or, if applicable, the liquidation preference, face amount, or the like) of any Indebtedness Incurred to refinance other Indebtedness, if Incurred in a different currency from the Indebtedness being refinanced, will be calculated based on the currency exchange rate applicable to the currencies in which the respective Indebtedness is denominated that is in effect on the date of the refinancing.</w:t>
      </w:r>
    </w:p>
    <w:p>
      <w:pPr>
        <w:spacing w:after="0" w:line="8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4.04</w:t>
      </w:r>
      <w:r>
        <w:rPr>
          <w:sz w:val="20"/>
          <w:szCs w:val="20"/>
          <w:color w:val="auto"/>
        </w:rPr>
        <w:tab/>
      </w:r>
      <w:r>
        <w:rPr>
          <w:rFonts w:ascii="Times New Roman" w:cs="Times New Roman" w:eastAsia="Times New Roman" w:hAnsi="Times New Roman"/>
          <w:sz w:val="12"/>
          <w:szCs w:val="12"/>
          <w:u w:val="single" w:color="auto"/>
          <w:color w:val="auto"/>
        </w:rPr>
        <w:t>Limitation on Restricted Payments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and shall not permit any of its Restricted Subsidiaries to, directly or indirectly:</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09" w:lineRule="exact"/>
        <w:rPr>
          <w:rFonts w:ascii="Times New Roman" w:cs="Times New Roman" w:eastAsia="Times New Roman" w:hAnsi="Times New Roman"/>
          <w:sz w:val="12"/>
          <w:szCs w:val="12"/>
          <w:color w:val="auto"/>
        </w:rPr>
      </w:pPr>
    </w:p>
    <w:p>
      <w:pPr>
        <w:ind w:left="52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55</w:t>
      </w:r>
    </w:p>
    <w:p>
      <w:pPr>
        <w:sectPr>
          <w:pgSz w:w="11900" w:h="16840" w:orient="portrait"/>
          <w:cols w:equalWidth="0" w:num="1">
            <w:col w:w="10640"/>
          </w:cols>
          <w:pgMar w:left="640" w:top="1440" w:right="620" w:bottom="1440" w:gutter="0" w:footer="0" w:header="0"/>
        </w:sectPr>
      </w:pPr>
    </w:p>
    <w:bookmarkStart w:id="358" w:name="page359"/>
    <w:bookmarkEnd w:id="358"/>
    <w:p>
      <w:pPr>
        <w:spacing w:after="0" w:line="148" w:lineRule="exact"/>
        <w:rPr>
          <w:sz w:val="20"/>
          <w:szCs w:val="20"/>
          <w:color w:val="auto"/>
        </w:rPr>
      </w:pPr>
    </w:p>
    <w:p>
      <w:pPr>
        <w:jc w:val="both"/>
        <w:ind w:left="460" w:right="20" w:firstLine="460"/>
        <w:spacing w:after="0" w:line="227" w:lineRule="auto"/>
        <w:tabs>
          <w:tab w:leader="none" w:pos="1364" w:val="left"/>
        </w:tabs>
        <w:numPr>
          <w:ilvl w:val="1"/>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or pay any dividend or make any distribution on account of any of the Company’s or any of its Restricted Subsidiaries’ Equity Interests, including any payment made in connection with any merger, amalgamation or consolidation involving the Company (other than (A) dividends or distributions payable solely in Equity Interests (other than Disqualified Stock) of the Company; or (B) dividends or distributions by a Restricted Subsidiary so long as, in the case of any dividend or distribution payable on or in respect of any class or series of securities issued by a Restricted Subsidiary that is not a Wholly Owned Restricted Subsidiary, the Company or a Restricted Subsidiary receives at least its pro rata share of such dividend or distribution in accordance with its Equity Interests of such class or series of securities);</w:t>
      </w:r>
    </w:p>
    <w:p>
      <w:pPr>
        <w:spacing w:after="0" w:line="8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or otherwise acquire or retire for value any Equity Interests of the Company;</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23" w:lineRule="auto"/>
        <w:tabs>
          <w:tab w:leader="none" w:pos="1364" w:val="left"/>
        </w:tabs>
        <w:numPr>
          <w:ilvl w:val="1"/>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principal payment on, or redeem, repurchase, defease or otherwise acquire or retire for value, in each case prior to any scheduled repayment or scheduled maturity, any Subordinated Indebtedness of any Issuer or Guarantor (other than the payment, redemption, repurchase, defeasance, acquisition or retirement of (A) Subordinated Indebtedness in anticipation of satisfying a sinking fund obligation, principal installment or final maturity, in each case due within one year of the date of such payment, redemption, repurchase, defeasance, acquisition or retirement and</w:t>
      </w:r>
    </w:p>
    <w:p>
      <w:pPr>
        <w:ind w:left="660" w:hanging="197"/>
        <w:spacing w:after="0"/>
        <w:tabs>
          <w:tab w:leader="none" w:pos="66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permitted under clauses (vii) and (ix) of Section 4.03(b)); or</w:t>
      </w:r>
    </w:p>
    <w:p>
      <w:pPr>
        <w:spacing w:after="0" w:line="95"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Restricted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(all such payments and other actions set forth in clauses (i) through (iv) above being collectively referred to as </w:t>
      </w:r>
      <w:r>
        <w:rPr>
          <w:rFonts w:ascii="Times New Roman" w:cs="Times New Roman" w:eastAsia="Times New Roman" w:hAnsi="Times New Roman"/>
          <w:sz w:val="12"/>
          <w:szCs w:val="12"/>
          <w:u w:val="single" w:color="auto"/>
          <w:color w:val="auto"/>
        </w:rPr>
        <w:t>“Restricted Payments</w:t>
      </w:r>
      <w:r>
        <w:rPr>
          <w:rFonts w:ascii="Times New Roman" w:cs="Times New Roman" w:eastAsia="Times New Roman" w:hAnsi="Times New Roman"/>
          <w:sz w:val="12"/>
          <w:szCs w:val="12"/>
          <w:color w:val="auto"/>
        </w:rPr>
        <w:t>”), unless, at the time of such Restricted Payment:</w:t>
      </w:r>
    </w:p>
    <w:p>
      <w:pPr>
        <w:spacing w:after="0" w:line="119" w:lineRule="exact"/>
        <w:rPr>
          <w:sz w:val="20"/>
          <w:szCs w:val="20"/>
          <w:color w:val="auto"/>
        </w:rPr>
      </w:pPr>
    </w:p>
    <w:p>
      <w:pPr>
        <w:ind w:left="1360" w:hanging="440"/>
        <w:spacing w:after="0"/>
        <w:tabs>
          <w:tab w:leader="none" w:pos="1360"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shall have occurred and be continuing or would occur as a consequence thereof;</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solely in the case of a Restricted Payment described in clause (i), (ii) or (iii) of the definition thereof, the Company could Incur $1.00 of additional Indebtedness pursuant to the Fixed Charge Coverage Ratio test or the Consolidated Total Net Leverage Ratio test set forth in clauses (A)(x) and (B)(x), respectively (but not, for the avoidance of doubt, giving effect to clause (A)(y) or (B)(y), respectively), of the first proviso of Section 4.03(a), in each case, calculated on a Pro Forma Basis giving effect to such transaction; and</w:t>
      </w:r>
    </w:p>
    <w:p>
      <w:pPr>
        <w:spacing w:after="0" w:line="87" w:lineRule="exact"/>
        <w:rPr>
          <w:rFonts w:ascii="Times New Roman" w:cs="Times New Roman" w:eastAsia="Times New Roman" w:hAnsi="Times New Roman"/>
          <w:sz w:val="12"/>
          <w:szCs w:val="12"/>
          <w:color w:val="auto"/>
        </w:rPr>
      </w:pPr>
    </w:p>
    <w:p>
      <w:pPr>
        <w:jc w:val="both"/>
        <w:ind w:left="460" w:firstLine="460"/>
        <w:spacing w:after="0" w:line="231" w:lineRule="auto"/>
        <w:tabs>
          <w:tab w:leader="none" w:pos="1364"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Restricted Payment, together with the aggregate amount of all other Restricted Payments made by the Company and its Restricted Subsidiaries after the Issue Date (including Restricted Payments permitted by clauses (b)(i) below (to the extent that such Restricted Payment would have reduced the Cumulative Credit if made at the date of the declaration or giving of notice referred to therein and without duplication of any such reduction), (b)(ii)(C) below (to the extent that the reference to clause (b)(vi) therein operates by reference to clause (vi)(B)) and (vi)(B) of Section 4.04(b), but excluding all other Restricted Payments permitted by Section 4.04(b)), is less than the amount equal to the Cumulative Credit.</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Section 4.04(a) shall not prohibit:</w:t>
      </w:r>
    </w:p>
    <w:p>
      <w:pPr>
        <w:spacing w:after="0" w:line="109" w:lineRule="exact"/>
        <w:rPr>
          <w:sz w:val="20"/>
          <w:szCs w:val="20"/>
          <w:color w:val="auto"/>
        </w:rPr>
      </w:pPr>
    </w:p>
    <w:p>
      <w:pPr>
        <w:ind w:left="460" w:right="20" w:firstLine="460"/>
        <w:spacing w:after="0" w:line="253" w:lineRule="auto"/>
        <w:tabs>
          <w:tab w:leader="none" w:pos="1364"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any dividend or distribution or the consummation of any irrevocable redemption within 60 days after the date of declaration or giving notice thereof, if at the date of declaration or the giving notice of such irrevocable redemption, as applicable, such payment would have complied with the provisions of this Indenture;</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507"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the redemption, repurchase, retirement or other acquisition of any Equity Interests (“</w:t>
      </w:r>
      <w:r>
        <w:rPr>
          <w:rFonts w:ascii="Times New Roman" w:cs="Times New Roman" w:eastAsia="Times New Roman" w:hAnsi="Times New Roman"/>
          <w:sz w:val="12"/>
          <w:szCs w:val="12"/>
          <w:u w:val="single" w:color="auto"/>
          <w:color w:val="auto"/>
        </w:rPr>
        <w:t>Retired Capital Stock</w:t>
      </w:r>
      <w:r>
        <w:rPr>
          <w:rFonts w:ascii="Times New Roman" w:cs="Times New Roman" w:eastAsia="Times New Roman" w:hAnsi="Times New Roman"/>
          <w:sz w:val="12"/>
          <w:szCs w:val="12"/>
          <w:color w:val="auto"/>
        </w:rPr>
        <w:t>”) or Subordinated Indebtedness of an Issuer or Guarantor in exchange for, or out of the proceeds of, the substantially concurrent sale of Equity Interests of the Company or contributions to the equity capital of the Company (other than any Disqualified Stock or any Equity Interests sold to a Subsidiary of the Company) (collectively, including any such contributions, “</w:t>
      </w:r>
      <w:r>
        <w:rPr>
          <w:rFonts w:ascii="Times New Roman" w:cs="Times New Roman" w:eastAsia="Times New Roman" w:hAnsi="Times New Roman"/>
          <w:sz w:val="12"/>
          <w:szCs w:val="12"/>
          <w:u w:val="single" w:color="auto"/>
          <w:color w:val="auto"/>
        </w:rPr>
        <w:t>Refunding Capital Stock</w:t>
      </w:r>
      <w:r>
        <w:rPr>
          <w:rFonts w:ascii="Times New Roman" w:cs="Times New Roman" w:eastAsia="Times New Roman" w:hAnsi="Times New Roman"/>
          <w:sz w:val="12"/>
          <w:szCs w:val="12"/>
          <w:color w:val="auto"/>
        </w:rPr>
        <w:t>”);</w:t>
      </w:r>
    </w:p>
    <w:p>
      <w:pPr>
        <w:spacing w:after="0" w:line="87"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dividends on the Retired Capital Stock out of the proceeds of the substantially concurrent sale (other than to a Subsidiary of the Company) of Refunding Capital Stock; and</w:t>
      </w:r>
    </w:p>
    <w:p>
      <w:pPr>
        <w:spacing w:after="0" w:line="80"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24"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immediately prior to the retirement of Retired Capital Stock, the declaration and payment of dividends thereon was permitted under clause (vi) of this Section 4.04(b) and not made pursuant to clause (ii)(B) of this Section 4.04(b), the declaration and payment of dividends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56</w:t>
      </w:r>
    </w:p>
    <w:p>
      <w:pPr>
        <w:sectPr>
          <w:pgSz w:w="11900" w:h="16840" w:orient="portrait"/>
          <w:cols w:equalWidth="0" w:num="1">
            <w:col w:w="10620"/>
          </w:cols>
          <w:pgMar w:left="640" w:top="1440" w:right="640" w:bottom="1440" w:gutter="0" w:footer="0" w:header="0"/>
        </w:sectPr>
      </w:pPr>
    </w:p>
    <w:bookmarkStart w:id="359" w:name="page360"/>
    <w:bookmarkEnd w:id="359"/>
    <w:p>
      <w:pPr>
        <w:spacing w:after="0" w:line="148"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2"/>
          <w:szCs w:val="12"/>
          <w:color w:val="auto"/>
        </w:rPr>
        <w:t>on the Refunding Capital Stock in an aggregate amount per year no greater than the aggregate amount of dividends per annum that were declarable and payable on such Retired Capital Stock immediately prior to such retirement;</w:t>
      </w:r>
    </w:p>
    <w:p>
      <w:pPr>
        <w:spacing w:after="0" w:line="80" w:lineRule="exact"/>
        <w:rPr>
          <w:sz w:val="20"/>
          <w:szCs w:val="20"/>
          <w:color w:val="auto"/>
        </w:rPr>
      </w:pPr>
    </w:p>
    <w:p>
      <w:pPr>
        <w:ind w:right="20" w:firstLine="460"/>
        <w:spacing w:after="0" w:line="253" w:lineRule="auto"/>
        <w:tabs>
          <w:tab w:leader="none" w:pos="904"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repurchase, defeasance or other acquisition or retirement of Subordinated Indebtedness of an Issuer or a Guarantor made by exchange for, or out of the proceeds of the substantially concurrent sale of, new Indebtedness of an Issuer or a Guarantor, which is Incurred in accordance with Section 4.03 so long as:</w:t>
      </w:r>
    </w:p>
    <w:p>
      <w:pPr>
        <w:spacing w:after="0" w:line="80"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principal amount (or accreted value, if applicable) of such new Indebtedness does not exceed the principal amount (or accreted value, if applicable) of the Subordinated Indebtedness being so redeemed, repurchased, defeased, acquired or retired for value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any Additional Refinancing Amount with respect thereto,</w:t>
      </w:r>
    </w:p>
    <w:p>
      <w:pPr>
        <w:spacing w:after="0" w:line="80"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Indebtedness is subordinated to the Notes or the related Guarantee of such Guarantor, as the case may be, at least to the same extent as such Subordinated Indebtedness so purchased, exchanged, redeemed, repurchased, defeased, acquired or retired for value,</w:t>
      </w:r>
    </w:p>
    <w:p>
      <w:pPr>
        <w:spacing w:after="0" w:line="80" w:lineRule="exact"/>
        <w:rPr>
          <w:rFonts w:ascii="Times New Roman" w:cs="Times New Roman" w:eastAsia="Times New Roman" w:hAnsi="Times New Roman"/>
          <w:sz w:val="12"/>
          <w:szCs w:val="12"/>
          <w:color w:val="auto"/>
        </w:rPr>
      </w:pPr>
    </w:p>
    <w:p>
      <w:pPr>
        <w:ind w:left="460" w:right="20" w:firstLine="457"/>
        <w:spacing w:after="0" w:line="253" w:lineRule="auto"/>
        <w:tabs>
          <w:tab w:leader="none" w:pos="1364" w:val="left"/>
        </w:tabs>
        <w:numPr>
          <w:ilvl w:val="1"/>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Indebtedness has a final scheduled maturity date equal to or later than the earlier of (x) the final scheduled maturity date of the Subordinated Indebtedness being so redeemed, repurchased, acquired or retired and (y) the date that is 91 days following the last maturity date of any Notes then outstanding, and</w:t>
      </w:r>
    </w:p>
    <w:p>
      <w:pPr>
        <w:spacing w:after="0" w:line="80" w:lineRule="exact"/>
        <w:rPr>
          <w:rFonts w:ascii="Times New Roman" w:cs="Times New Roman" w:eastAsia="Times New Roman" w:hAnsi="Times New Roman"/>
          <w:sz w:val="12"/>
          <w:szCs w:val="12"/>
          <w:color w:val="auto"/>
        </w:rPr>
      </w:pPr>
    </w:p>
    <w:p>
      <w:pPr>
        <w:jc w:val="both"/>
        <w:ind w:left="460" w:firstLine="457"/>
        <w:spacing w:after="0" w:line="231" w:lineRule="auto"/>
        <w:tabs>
          <w:tab w:leader="none" w:pos="1364" w:val="left"/>
        </w:tabs>
        <w:numPr>
          <w:ilvl w:val="1"/>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Indebtedness has a Weighted Average Life to Maturity at the time Incurred that is not less than the shorter of (x) the remaining Weighted Average Life to Maturity of the Subordinated Indebtedness being so redeemed, repurchased, defeased, acquired or retired and (y) the Weighted Average Life to Maturity that would result if all payments of principal on the Subordinated Indebtedness being redeemed, repurchased, defeased, acquired or retired that were due on or after the date that is one year following the last maturity date of any Notes then outstanding were instead due on such date;</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904"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Restricted Payments to pay for the repurchase, retirement or other acquisition for value of Equity Interests of the Company held by any future, present or former employee, director, officer or consultant of the Company or any Subsidiary of the Company pursuant to any management equity plan or stock option plan or any other management or employee benefit plan or other agreement or arrangement;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aggregate Restricted Payments made under this clause (iv) do not exceed $15 million in any fiscal year, with unused amounts in any fiscal year being permitted to be carried over to any future fiscal year;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amount in any fiscal year may be increased by an amount not to exceed:</w:t>
      </w:r>
    </w:p>
    <w:p>
      <w:pPr>
        <w:spacing w:after="0" w:line="87" w:lineRule="exact"/>
        <w:rPr>
          <w:rFonts w:ascii="Times New Roman" w:cs="Times New Roman" w:eastAsia="Times New Roman" w:hAnsi="Times New Roman"/>
          <w:sz w:val="12"/>
          <w:szCs w:val="12"/>
          <w:color w:val="auto"/>
        </w:rPr>
      </w:pPr>
    </w:p>
    <w:p>
      <w:pPr>
        <w:jc w:val="both"/>
        <w:ind w:left="460" w:firstLine="457"/>
        <w:spacing w:after="0" w:line="236" w:lineRule="auto"/>
        <w:tabs>
          <w:tab w:leader="none" w:pos="1364" w:val="left"/>
        </w:tabs>
        <w:numPr>
          <w:ilvl w:val="1"/>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proceeds received by the Company or any of its Restricted Subsidiaries from the sale of Equity Interests (other than Disqualified Stock) of the Company to employees, directors, officers or consultants of the Company or any Restricted Subsidiary that occurs after the Issue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such cash proceeds utilized for any such repurchase, retirement, other acquisition or dividend will not increase the amount available for Restricted Payments under Section 4.04(a)(3)), </w:t>
      </w:r>
      <w:r>
        <w:rPr>
          <w:rFonts w:ascii="Times New Roman" w:cs="Times New Roman" w:eastAsia="Times New Roman" w:hAnsi="Times New Roman"/>
          <w:sz w:val="12"/>
          <w:szCs w:val="12"/>
          <w:i w:val="1"/>
          <w:iCs w:val="1"/>
          <w:color w:val="auto"/>
        </w:rPr>
        <w:t>plus</w:t>
      </w:r>
    </w:p>
    <w:p>
      <w:pPr>
        <w:spacing w:after="0" w:line="87" w:lineRule="exact"/>
        <w:rPr>
          <w:rFonts w:ascii="Times New Roman" w:cs="Times New Roman" w:eastAsia="Times New Roman" w:hAnsi="Times New Roman"/>
          <w:sz w:val="12"/>
          <w:szCs w:val="12"/>
          <w:color w:val="auto"/>
        </w:rPr>
      </w:pPr>
    </w:p>
    <w:p>
      <w:pPr>
        <w:ind w:left="1360" w:hanging="443"/>
        <w:spacing w:after="0"/>
        <w:tabs>
          <w:tab w:leader="none" w:pos="1360" w:val="left"/>
        </w:tabs>
        <w:numPr>
          <w:ilvl w:val="1"/>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proceeds of key man life insurance policies received by the Company or its Restricted Subsidiaries after the Issue Date;</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cancellation of Indebtedness owing to the Company or any Restricted Subsidiary from any present or former employees, directors, officers or consultants of the Company or any Restricted Subsidiary in connection with a repurchase of Equity Interests of the Company will not be deemed to constitute a Restricted Payment for purposes of this Section 4.04 or any other provision of this Indenture;</w:t>
      </w:r>
    </w:p>
    <w:p>
      <w:pPr>
        <w:spacing w:after="0" w:line="225" w:lineRule="exact"/>
        <w:rPr>
          <w:sz w:val="20"/>
          <w:szCs w:val="20"/>
          <w:color w:val="auto"/>
        </w:rPr>
      </w:pPr>
    </w:p>
    <w:p>
      <w:pPr>
        <w:ind w:firstLine="460"/>
        <w:spacing w:after="0" w:line="253" w:lineRule="auto"/>
        <w:tabs>
          <w:tab w:leader="none" w:pos="904"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dividends or distributions to holders of any class or series of Disqualified Stock of the Company or any Restricted Subsidiary issued or incurred in accordance with Section 4.03;</w:t>
      </w:r>
    </w:p>
    <w:p>
      <w:pPr>
        <w:spacing w:after="0" w:line="80" w:lineRule="exact"/>
        <w:rPr>
          <w:rFonts w:ascii="Times New Roman" w:cs="Times New Roman" w:eastAsia="Times New Roman" w:hAnsi="Times New Roman"/>
          <w:sz w:val="12"/>
          <w:szCs w:val="12"/>
          <w:color w:val="auto"/>
        </w:rPr>
      </w:pPr>
    </w:p>
    <w:p>
      <w:pPr>
        <w:ind w:left="1040" w:hanging="580"/>
        <w:spacing w:after="0"/>
        <w:tabs>
          <w:tab w:leader="none" w:pos="1040"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the declaration and payment of dividends or distributions to holders of any class or series of Designated Preferred Stock issued after the Issue Date;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57</w:t>
      </w:r>
    </w:p>
    <w:p>
      <w:pPr>
        <w:sectPr>
          <w:pgSz w:w="11900" w:h="16840" w:orient="portrait"/>
          <w:cols w:equalWidth="0" w:num="1">
            <w:col w:w="10160"/>
          </w:cols>
          <w:pgMar w:left="1100" w:top="1440" w:right="640" w:bottom="1440" w:gutter="0" w:footer="0" w:header="0"/>
        </w:sectPr>
      </w:pPr>
    </w:p>
    <w:bookmarkStart w:id="360" w:name="page361"/>
    <w:bookmarkEnd w:id="360"/>
    <w:p>
      <w:pPr>
        <w:spacing w:after="0" w:line="148" w:lineRule="exact"/>
        <w:rPr>
          <w:sz w:val="20"/>
          <w:szCs w:val="20"/>
          <w:color w:val="auto"/>
        </w:rPr>
      </w:pPr>
    </w:p>
    <w:p>
      <w:pPr>
        <w:ind w:left="460" w:right="20" w:firstLine="457"/>
        <w:spacing w:after="0" w:line="246" w:lineRule="auto"/>
        <w:tabs>
          <w:tab w:leader="none" w:pos="1364"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dividends on Refunding Capital Stock that is Preferred Stock in excess of the dividends declarable and payable thereon pursuant to Section 4.04(b)(ii);</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 that in the case of each of subclauses (A) and (B) of this clause (vi), for the most recently ended four full fiscal quarters for which financial statements are available immediately preceding the date of such payment of dividends or distributions, the Company would have had a Fixed Charge Coverage Ratio of at least 2.00 to 1.00, calculated on a Pro Forma Basis and giving effect to such payment of dividends or distributions and treating such Designated Preferred Stock or Refunding Capital Stock as Indebtedness for borrowed money for such purpose, and giving effect to the application of the net proceeds therefrom;</w:t>
      </w:r>
    </w:p>
    <w:p>
      <w:pPr>
        <w:spacing w:after="0" w:line="85" w:lineRule="exact"/>
        <w:rPr>
          <w:sz w:val="20"/>
          <w:szCs w:val="20"/>
          <w:color w:val="auto"/>
        </w:rPr>
      </w:pPr>
    </w:p>
    <w:p>
      <w:pPr>
        <w:jc w:val="both"/>
        <w:ind w:firstLine="460"/>
        <w:spacing w:after="0" w:line="236" w:lineRule="auto"/>
        <w:tabs>
          <w:tab w:leader="none" w:pos="904"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making of cash payments in satisfaction of the conversion obligation upon conversion of convertible Indebtedness permitted to be incurred pursuant to Section 4.03, in an aggregate amount since the Issue Date not to exceed the sum of (A) the principal amount of such convertible Indebtedness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any payment received by the Company or a Restricted Subsidiary pursuant to the exercise, settlement or termination of any related hedge or warrant option transactions;</w:t>
      </w:r>
    </w:p>
    <w:p>
      <w:pPr>
        <w:spacing w:after="0" w:line="87"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of any call option, purchase option or other similar contract in respect of Equity Interests of the Company in connection with the issuance of convertible Indebtedness permitted to be incurred pursuant to Section 4.03 to mitigate dilution attributable to such convertible Indebtedness;</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that are made with (or in an aggregate amount that does not exceed the aggregate amount of) Excluded Contributions;</w:t>
      </w:r>
    </w:p>
    <w:p>
      <w:pPr>
        <w:spacing w:after="0" w:line="109" w:lineRule="exact"/>
        <w:rPr>
          <w:rFonts w:ascii="Times New Roman" w:cs="Times New Roman" w:eastAsia="Times New Roman" w:hAnsi="Times New Roman"/>
          <w:sz w:val="12"/>
          <w:szCs w:val="12"/>
          <w:color w:val="auto"/>
        </w:rPr>
      </w:pPr>
    </w:p>
    <w:p>
      <w:pPr>
        <w:ind w:firstLine="460"/>
        <w:spacing w:after="0" w:line="253" w:lineRule="auto"/>
        <w:tabs>
          <w:tab w:leader="none" w:pos="904"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Restricted Payments in an aggregate amount, when taken together with all other Restricted Payments made pursuant to this clause (x) (in the case of Investments, that are at that time outstanding), not to exceed the greater of $550 million and 4.4% of Total Assets as of the date such Restricted Payment is made;</w:t>
      </w:r>
    </w:p>
    <w:p>
      <w:pPr>
        <w:spacing w:after="0" w:line="80"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distribution, as a dividend or otherwise, of shares of Capital Stock of, or Indebtedness owed to the Company or a Restricted Subsidiary by, Unrestricted Subsidiaries, other than Unrestricted Subsidiaries the primary assets of which are cash and Cash Equivalents;</w:t>
      </w:r>
    </w:p>
    <w:p>
      <w:pPr>
        <w:spacing w:after="0" w:line="80"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904"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to pay for the repurchase, retirement or other acquisition for value of Equity Interests (other than Disqualified Stock) of the Company;</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aggregate Restricted Payments made under this clause (xii) do not exceed in any fiscal year the greater of $150 million and 1.2% of Total Assets as of the date such Restricted Payment is made, with unused amounts in any fiscal year (calculated as of the last day of such fiscal year once the balance sheet of the Company for such date is available) being permitted to be carried over to any future fiscal year;</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repurchases of Equity Interests deemed to occur upon exercise of stock options or warrants if such Equity Interests represent a portion of the exercise price of such options or warrants;</w:t>
      </w:r>
    </w:p>
    <w:p>
      <w:pPr>
        <w:spacing w:after="0" w:line="109"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by the Company or any Restricted Subsidiary to allow the payment of cash in lieu of the issuance of fractional shares upon the exercise of options or warrants or upon the conversion or exchange of Capital Stock of any such Person;</w:t>
      </w:r>
    </w:p>
    <w:p>
      <w:pPr>
        <w:spacing w:after="0" w:line="80"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repurchase, redemption or other acquisition or retirement for value of any Subordinated Indebtedness pursuant to provisions thereof that are similar to those described in Section 4.06 and Section 4.08;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all Notes tendered by holders of the Notes in connection with a Change of Control Offer or Asset Sale Offer, as applicable, have been repurchased in accordance therewith or otherwise redeemed or acquired for value;</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36" w:lineRule="auto"/>
        <w:tabs>
          <w:tab w:leader="none" w:pos="895"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payments or distributions to dissenting stockholders pursuant to applicable law, pursuant to or in connection with a consolidation, amalgamation, merger or transfer of all or substantially all of the assets of the Company and its Restricted Subsidiaries, taken as a whole, that complies with Section 5.01;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as a result of such consolidation, amalgamation, merger or transfer of assets, the Issuers shall have made a Change of Control Offer (if required by this Indenture) and that all Notes tendered by holders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58</w:t>
      </w:r>
    </w:p>
    <w:p>
      <w:pPr>
        <w:sectPr>
          <w:pgSz w:w="11900" w:h="16840" w:orient="portrait"/>
          <w:cols w:equalWidth="0" w:num="1">
            <w:col w:w="10160"/>
          </w:cols>
          <w:pgMar w:left="1100" w:top="1440" w:right="640" w:bottom="1440" w:gutter="0" w:footer="0" w:header="0"/>
        </w:sectPr>
      </w:pPr>
    </w:p>
    <w:bookmarkStart w:id="361" w:name="page362"/>
    <w:bookmarkEnd w:id="361"/>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 connection with such Change of Control Offer have been repurchased in accordance therewith or otherwise redeemed or acquired for value;</w:t>
      </w:r>
    </w:p>
    <w:p>
      <w:pPr>
        <w:spacing w:after="0" w:line="109" w:lineRule="exact"/>
        <w:rPr>
          <w:sz w:val="20"/>
          <w:szCs w:val="20"/>
          <w:color w:val="auto"/>
        </w:rPr>
      </w:pPr>
    </w:p>
    <w:p>
      <w:pPr>
        <w:jc w:val="both"/>
        <w:ind w:left="460" w:right="20" w:firstLine="460"/>
        <w:spacing w:after="0" w:line="236" w:lineRule="auto"/>
        <w:tabs>
          <w:tab w:leader="none" w:pos="1364"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Payment used to fund the Transactions and the payment of fees and expenses incurred or owed by the Company or the Restricted Subsidiaries to Affiliates in connection with the Transactions, and any other payments made in connection with the consummation of the Transactions, whether payable on the Issue Date, the Initial Tender Offer Closing Date or thereafter, in each case to the extent permitted by Section 4.07;</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Payment made under the Acquisition Documents as in effect on the Issue Date, together with such amendments, modifications and waivers that are (A) not materially adverse to the holders of the Notes in their capacities as such, as determined in good faith by the Company, or (B) consented to by the holders of a majority in principal amount of the Notes outstanding; and</w:t>
      </w:r>
    </w:p>
    <w:p>
      <w:pPr>
        <w:spacing w:after="0" w:line="218"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other Restricted Payments;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(x) in the case of Restricted Payments of the type described in clauses (i) and (ii) of the definition thereof, the Consolidated Total Net Leverage Ratio, determined on a Pro Forma Basis for the most recently ended four full fiscal quarters for which financial statements are available, is less than 2.55 to 1.00 and (y) in the case of Restricted Payments of the type described in clauses (iii) and (iv) of the definition thereof, the Consolidated Total Net Leverage Ratio, determined on a Pro Forma Basis for the most recently ended four full fiscal quarters for which financial statements are available, is less than 2.80 to 1.00;</w:t>
      </w:r>
    </w:p>
    <w:p>
      <w:pPr>
        <w:spacing w:after="0" w:line="9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at the time of, and after giving effect to, any Restricted Payment permitted under clauses (x), (xi) and (xxi), no Event of Default shall have occurred and be continuing or would occur as a consequence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Restricted Payments made with property other than cash shall be calculated using the Fair Market Value of such property.</w:t>
      </w:r>
    </w:p>
    <w:p>
      <w:pPr>
        <w:spacing w:after="0" w:line="79"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For purposes of determining compliance with this Section 4.04, in the event that a Restricted Payment meets the criteria of more than one of the categories described in subclauses (i) through (xxi) of Section 4.04(b), Section 4.04(a) or the definition of “Permitted Investment,” then the Issuers may, in their sole discretion, classify or reclassify, or later divide, classify or reclassify (as if Incurred at such later time), all or any portion of such Restricted Payment or Permitted Investment in any manner that complies with this Section 4.04. In addition, a Restricted Payment or Permitted Investment need not be permitted solely by reference to one provision permitting such Restricted Payment or Permitted Investment but may be permitted in part by one such provision and in part by one or more other provisions of this covenant permitting such Restricted Payment or Permitted Investment.</w:t>
      </w:r>
    </w:p>
    <w:p>
      <w:pPr>
        <w:spacing w:after="0" w:line="89" w:lineRule="exact"/>
        <w:rPr>
          <w:sz w:val="20"/>
          <w:szCs w:val="20"/>
          <w:color w:val="auto"/>
        </w:rPr>
      </w:pPr>
    </w:p>
    <w:p>
      <w:pPr>
        <w:jc w:val="both"/>
        <w:ind w:right="20" w:firstLine="463"/>
        <w:spacing w:after="0"/>
        <w:tabs>
          <w:tab w:leader="none" w:pos="904"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Issue Date, all of the Subsidiaries of the Company (including the U.S. Co-Issuer) will be Restricted Subsidiaries. The Company will not permit any Unrestricted Subsidiary to become a Restricted Subsidiary except pursuant to the definition of “Unrestricted Subsidiary.” For purposes of designating any Restricted Subsidiary as an Unrestricted Subsidiary, all outstanding Investments by the Company and its Restricted Subsidiaries (except to the extent repaid) in the Subsidiary so designated will be deemed to be Investments in an amount determined as set forth in the last sentence of the definition of “Investments.” Such designation will only be permitted if a Restricted Payment or Permitted Investment in such amount would be permitted at such time and if such Subsidiary otherwise meets the definition of an Unrestricted Subsidiary.</w:t>
      </w:r>
    </w:p>
    <w:p>
      <w:pPr>
        <w:spacing w:after="0" w:line="190"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herein to the contrary, neither the Company nor any Restricted Subsidiary will convey, sell, lease, assign, transfer or otherwise dispose of, or exclusively license, any Material Intellectual Property to an Unrestricted Subsidiary, and no Issuer or Guarantor will convey, sell, lease, assign, transfer or otherwise dispose of, or exclusively license, any Material Intellectual Property to a Restricted Subsidiary (other than the U.S. Co-Issuer) that is not a Guarantor except pursuant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transaction entered into by such Issuer or Guarantor with a person that is not an Affiliate of such Issuer or Guarantor, as applicable, for a purpose other than the Incurrence of Indebtedness.</w:t>
      </w:r>
    </w:p>
    <w:p>
      <w:pPr>
        <w:spacing w:after="0" w:line="87"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4.05 </w:t>
      </w:r>
      <w:r>
        <w:rPr>
          <w:rFonts w:ascii="Times New Roman" w:cs="Times New Roman" w:eastAsia="Times New Roman" w:hAnsi="Times New Roman"/>
          <w:sz w:val="12"/>
          <w:szCs w:val="12"/>
          <w:u w:val="single" w:color="auto"/>
          <w:color w:val="auto"/>
        </w:rPr>
        <w:t>Dividend and Other Payment Restrictions Affecting Subsidiaries</w:t>
      </w:r>
      <w:r>
        <w:rPr>
          <w:rFonts w:ascii="Times New Roman" w:cs="Times New Roman" w:eastAsia="Times New Roman" w:hAnsi="Times New Roman"/>
          <w:sz w:val="12"/>
          <w:szCs w:val="12"/>
          <w:color w:val="auto"/>
        </w:rPr>
        <w:t xml:space="preserve"> . The Company shall not, and shall not permit any Material Subsidiary to, directly or indirectly, create or otherwise cause or suffer to exist or become effective any consensual encumbrance or consensual restriction on the ability of the Company or any Material Subsidiary to:</w:t>
      </w:r>
    </w:p>
    <w:p>
      <w:pPr>
        <w:spacing w:after="0" w:line="80" w:lineRule="exact"/>
        <w:rPr>
          <w:sz w:val="20"/>
          <w:szCs w:val="20"/>
          <w:color w:val="auto"/>
        </w:rPr>
      </w:pPr>
    </w:p>
    <w:p>
      <w:pPr>
        <w:ind w:left="460" w:right="20" w:firstLine="460"/>
        <w:spacing w:after="0" w:line="253" w:lineRule="auto"/>
        <w:tabs>
          <w:tab w:leader="none" w:pos="1364"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 or make any other distributions to the Company or any Restricted Subsidiary (1) on its Capital Stock, or (2) with respect to any other interest or participation in, or measured by, its profits;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59</w:t>
      </w:r>
    </w:p>
    <w:p>
      <w:pPr>
        <w:sectPr>
          <w:pgSz w:w="11900" w:h="16840" w:orient="portrait"/>
          <w:cols w:equalWidth="0" w:num="1">
            <w:col w:w="10620"/>
          </w:cols>
          <w:pgMar w:left="640" w:top="1440" w:right="640" w:bottom="1440" w:gutter="0" w:footer="0" w:header="0"/>
        </w:sectPr>
      </w:pPr>
    </w:p>
    <w:bookmarkStart w:id="362" w:name="page363"/>
    <w:bookmarkEnd w:id="362"/>
    <w:p>
      <w:pPr>
        <w:spacing w:after="0" w:line="148" w:lineRule="exact"/>
        <w:rPr>
          <w:sz w:val="20"/>
          <w:szCs w:val="20"/>
          <w:color w:val="auto"/>
        </w:rPr>
      </w:pPr>
    </w:p>
    <w:p>
      <w:pPr>
        <w:ind w:left="1360" w:hanging="440"/>
        <w:spacing w:after="0"/>
        <w:tabs>
          <w:tab w:leader="none" w:pos="1360"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loans or advances to the Company or any Restricted Subsidiary or such Material Subsidiary; or</w:t>
      </w:r>
    </w:p>
    <w:p>
      <w:pPr>
        <w:spacing w:after="0" w:line="109" w:lineRule="exact"/>
        <w:rPr>
          <w:rFonts w:ascii="Times New Roman" w:cs="Times New Roman" w:eastAsia="Times New Roman" w:hAnsi="Times New Roman"/>
          <w:sz w:val="12"/>
          <w:szCs w:val="12"/>
          <w:color w:val="auto"/>
        </w:rPr>
      </w:pPr>
    </w:p>
    <w:p>
      <w:pPr>
        <w:ind w:right="4440" w:firstLine="920"/>
        <w:spacing w:after="0" w:line="446" w:lineRule="auto"/>
        <w:tabs>
          <w:tab w:leader="none" w:pos="1361"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lease or transfer any of its properties or assets to the Company or any Restricted Subsidiary; except in each case for such encumbrances or restrictions existing under or by reason of:</w:t>
      </w:r>
    </w:p>
    <w:p>
      <w:pPr>
        <w:spacing w:after="0" w:line="1" w:lineRule="exact"/>
        <w:rPr>
          <w:sz w:val="20"/>
          <w:szCs w:val="20"/>
          <w:color w:val="auto"/>
        </w:rPr>
      </w:pPr>
    </w:p>
    <w:p>
      <w:pPr>
        <w:jc w:val="both"/>
        <w:ind w:left="460" w:firstLine="460"/>
        <w:spacing w:after="0" w:line="231" w:lineRule="auto"/>
        <w:tabs>
          <w:tab w:leader="none" w:pos="1364"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contractual encumbrances or restrictions (x) of the Company or any of its Subsidiaries in effect on the Issue Date or (y) of Merus or any of its Subsidiaries in effect on the Initial Tender Offer Closing Date, (B) contractual encumbrances or restrictions pursuant to the Existing Credit Agreement, and (C) contractual encumbrances or restrictions pursuant to any Credit Agreement or any other Credit Agreement Documents and, in each case, any similar contractual encumbrances effected by any amendments, modifications, restatements, renewals, supplements, refundings, replacements or refinancings of such agreements or instruments;</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Indenture, the Unsecured Notes Indenture, the Notes, the Unsecured Notes, the Guarantees or the guarantees in respect of the Unsecured Notes;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applicable law or any applicable rule, regulation or order;</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or other instrument of a Person acquired by the Company or any Restricted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w:t>
      </w:r>
    </w:p>
    <w:p>
      <w:pPr>
        <w:spacing w:after="0" w:line="87"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contracts or agreements for the sale of assets, including any restriction with respect to a Restricted Subsidiary imposed pursuant to an agreement entered into for the sale or disposition of the Capital Stock or assets of such Restricted Subsidiary;</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secured Indebtedness otherwise permitted to be Incurred pursuant to Section 4.03 and Section 4.12 that limit the right of the debtor to dispose of the assets securing such Indebtedness;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cash or other deposits or net worth imposed by customers under contracts entered into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customary provisions in joint venture agreements and other similar agreements entered into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money obligations for property acquired and Capitalized Lease Obligations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customary provisions contained in leases, licenses and other similar agreements entered into in the ordinary course of business;</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encumbrance or restriction that restricts in a customary manner the subletting, assignment or transfer of any property or asset that is subject to a lease, license or similar contract, or the assignment or transfer of any such lease, license (including, without limitation, licenses of Intellectual Property) or other contracts;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contained in any Permitted Receivables Facility Documents with respect to any Receivables Entity;</w:t>
      </w:r>
    </w:p>
    <w:p>
      <w:pPr>
        <w:spacing w:after="0" w:line="109"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other Indebtedness, Disqualified Stock or Preferred Stock of the Company or any Restricted Subsidiary so long as such encumbrances and restrictions contained in any agreement or instrument will not materially affect the Issuers’ ability to make anticipated principal and interest payments on the Notes (as determined in good faith by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in each case that such Indebtedness, Disqualified Stock or Preferred Stock is permitted to be Incurred by Section 4.03;</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Investment not prohibited by Section 4.04 and any Permitted Investment; 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ectPr>
          <w:pgSz w:w="11900" w:h="16840" w:orient="portrait"/>
          <w:cols w:equalWidth="0" w:num="1">
            <w:col w:w="10600"/>
          </w:cols>
          <w:pgMar w:left="640" w:top="1440" w:right="660" w:bottom="1440" w:gutter="0" w:footer="0" w:header="0"/>
        </w:sectPr>
      </w:pPr>
    </w:p>
    <w:bookmarkStart w:id="363" w:name="page364"/>
    <w:bookmarkEnd w:id="363"/>
    <w:p>
      <w:pPr>
        <w:spacing w:after="0" w:line="148" w:lineRule="exact"/>
        <w:rPr>
          <w:sz w:val="20"/>
          <w:szCs w:val="20"/>
          <w:color w:val="auto"/>
        </w:rPr>
      </w:pPr>
    </w:p>
    <w:p>
      <w:pPr>
        <w:jc w:val="both"/>
        <w:ind w:left="460" w:firstLine="460"/>
        <w:spacing w:after="0" w:line="231" w:lineRule="auto"/>
        <w:tabs>
          <w:tab w:leader="none" w:pos="1364"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encumbrances or restrictions of the type referred to in clauses (a) or (b) above imposed by any amendments, modifications, restatements, renewals, increases, supplements, refundings, replacements or refinancings of the contracts, instruments or obligations referred to in clauses (1) through (14) above;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amendments, modifications, restatements, renewals, increases, supplements, refundings, replacements or refinancings are, in the good faith judgment of the Company, no more restrictive with respect to such dividend and other payment restrictions than those contained in the dividend or other payment restrictions prior to such amendment, modification, restatement, renewal, increase, supplement, refunding, replacement or refinancing.</w:t>
      </w:r>
    </w:p>
    <w:p>
      <w:pPr>
        <w:spacing w:after="0" w:line="97" w:lineRule="exact"/>
        <w:rPr>
          <w:sz w:val="20"/>
          <w:szCs w:val="20"/>
          <w:color w:val="auto"/>
        </w:rPr>
      </w:pPr>
    </w:p>
    <w:p>
      <w:pPr>
        <w:jc w:val="both"/>
        <w:ind w:right="40" w:firstLine="140"/>
        <w:spacing w:after="0" w:line="267" w:lineRule="auto"/>
        <w:rPr>
          <w:sz w:val="20"/>
          <w:szCs w:val="20"/>
          <w:color w:val="auto"/>
        </w:rPr>
      </w:pPr>
      <w:r>
        <w:rPr>
          <w:rFonts w:ascii="Times New Roman" w:cs="Times New Roman" w:eastAsia="Times New Roman" w:hAnsi="Times New Roman"/>
          <w:sz w:val="12"/>
          <w:szCs w:val="12"/>
          <w:color w:val="auto"/>
        </w:rPr>
        <w:t>For purposes of determining compliance with this Section 4.05, (1) the priority of any Preferred Stock in receiving dividends or liquidating distributions prior to dividends or liquidating distributions being paid on other Capital Stock shall not be deemed a restriction on the ability to make distributions on Capital Stock and (2) the subordination of loans or advances made to the Company or a Restricted Subsidiary to other Indebtedness Incurred by the Company or any such Restricted Subsidiary shall not be deemed a restriction on the ability to make loans or advances.</w:t>
      </w:r>
    </w:p>
    <w:p>
      <w:pPr>
        <w:spacing w:after="0" w:line="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4.06</w:t>
      </w:r>
      <w:r>
        <w:rPr>
          <w:sz w:val="20"/>
          <w:szCs w:val="20"/>
          <w:color w:val="auto"/>
        </w:rPr>
        <w:tab/>
      </w:r>
      <w:r>
        <w:rPr>
          <w:rFonts w:ascii="Times New Roman" w:cs="Times New Roman" w:eastAsia="Times New Roman" w:hAnsi="Times New Roman"/>
          <w:sz w:val="11"/>
          <w:szCs w:val="11"/>
          <w:u w:val="single" w:color="auto"/>
          <w:color w:val="auto"/>
        </w:rPr>
        <w:t>Asset Sales</w:t>
      </w:r>
      <w:r>
        <w:rPr>
          <w:rFonts w:ascii="Times New Roman" w:cs="Times New Roman" w:eastAsia="Times New Roman" w:hAnsi="Times New Roman"/>
          <w:sz w:val="11"/>
          <w:szCs w:val="11"/>
          <w:color w:val="auto"/>
        </w:rPr>
        <w:t>.</w:t>
      </w:r>
    </w:p>
    <w:p>
      <w:pPr>
        <w:spacing w:after="0" w:line="109" w:lineRule="exact"/>
        <w:rPr>
          <w:sz w:val="20"/>
          <w:szCs w:val="20"/>
          <w:color w:val="auto"/>
        </w:rPr>
      </w:pPr>
    </w:p>
    <w:p>
      <w:pPr>
        <w:jc w:val="both"/>
        <w:ind w:right="40" w:firstLine="463"/>
        <w:spacing w:after="0" w:line="231" w:lineRule="auto"/>
        <w:tabs>
          <w:tab w:leader="none" w:pos="904"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not, and shall not permit any of the Restricted Subsidiaries to, cause or make an Asset Sale (other than by way of a Sale/Leaseback Transaction), unless (x) the Company or such Restricted Subsidiary, as the case may be, receives consideration at the time of such Asset Sale at least equal to the Fair Market Value of the assets sold or otherwise disposed of, and (y) at least 75% of the consideration therefor received by the Company or such Restricted Subsidiary, as the case may be, is in the form of cash or Cash Equivalents;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amount of each of the following shall be deemed to be Cash Equivalents for purposes of this provision:</w:t>
      </w:r>
    </w:p>
    <w:p>
      <w:pPr>
        <w:spacing w:after="0" w:line="87" w:lineRule="exact"/>
        <w:rPr>
          <w:rFonts w:ascii="Times New Roman" w:cs="Times New Roman" w:eastAsia="Times New Roman" w:hAnsi="Times New Roman"/>
          <w:sz w:val="12"/>
          <w:szCs w:val="12"/>
          <w:color w:val="auto"/>
        </w:rPr>
      </w:pPr>
    </w:p>
    <w:p>
      <w:pPr>
        <w:jc w:val="both"/>
        <w:ind w:left="460" w:right="40" w:firstLine="460"/>
        <w:spacing w:after="0" w:line="236" w:lineRule="auto"/>
        <w:tabs>
          <w:tab w:leader="none" w:pos="13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liabilities (as shown on the Company’s or a Restricted Subsidiary’s most recent balance sheet or in the notes thereto) of the Company or a Restricted Subsidiary (other than liabilities that are by their terms subordinated to the Notes or any Guarantee) that are assumed by the transferee of any such assets or that are otherwise canceled or terminated in connection with the transaction with such transferee,</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notes or other obligations or other securities or assets received by the Company or such Restricted Subsidiary from such transferee that are converted by the Company or such Restricted Subsidiary into cash or Cash Equivalents within 180 days of the receipt thereof (to the extent of the cash or Cash Equivalents received),</w:t>
      </w:r>
    </w:p>
    <w:p>
      <w:pPr>
        <w:spacing w:after="0" w:line="80"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of any Restricted Subsidiary that is no longer a Restricted Subsidiary as a result of such Asset Sale, to the extent that the Company and each Restricted Subsidiary are released from any guarantee of payment of such Indebtedness in connection with the Asset Sale,</w:t>
      </w:r>
    </w:p>
    <w:p>
      <w:pPr>
        <w:spacing w:after="0" w:line="80"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consideration consisting of Indebtedness of the Company or any Restricted Subsidiary (other than Subordinated Indebtedness) received after the Issue Date from Persons who are not the Company or any Restricted Subsidiary,</w:t>
      </w:r>
    </w:p>
    <w:p>
      <w:pPr>
        <w:spacing w:after="0" w:line="80" w:lineRule="exact"/>
        <w:rPr>
          <w:rFonts w:ascii="Times New Roman" w:cs="Times New Roman" w:eastAsia="Times New Roman" w:hAnsi="Times New Roman"/>
          <w:sz w:val="12"/>
          <w:szCs w:val="12"/>
          <w:color w:val="auto"/>
        </w:rPr>
      </w:pPr>
    </w:p>
    <w:p>
      <w:pPr>
        <w:jc w:val="both"/>
        <w:ind w:left="460" w:right="40" w:firstLine="460"/>
        <w:spacing w:after="0" w:line="231" w:lineRule="auto"/>
        <w:tabs>
          <w:tab w:leader="none" w:pos="13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Designated Non-cash Consideration received by the Company or any Restricted Subsidiary in such Asset Sale having an aggregate Fair Market Value, taken together with all other Designated Non-cash Consideration received pursuant to this Section 4.06(a)(v) that is at that time outstanding, not to exceed the greater of $450 million and 3.6% of Total Assets at the time of the receipt of such Designated Non-cash Consideration (with the Fair Market Value of each item of Designated Non-cash Consideration being measured at the time received and without giving effect to subsequent changes in value); and</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case of an Asset Sale involving Intellectual Property and for which 100% of the consideration therefor received by the Company or such Restricted Subsidiary, as the case may be, is in the form of cash or Cash Equivalents (including, for the avoidance of doubt, any consideration that is deemed to be Cash Equivalents pursuant to the foregoing clauses (i) through (v) or this clause (vi)), consideration constituting undertakings to pay cash or Cash Equivalents over time or at future dates, whether such payments are fixed, contingent or otherwise (including, without limitation, licensing payments, royalties, earnouts, milestone payments, contingent payments, back-end payments or any other deferred payments or any payments related to revenue, profit or expense sharing arrangements or co-commercialization or similar arrangements);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when received, such cash or Cash Equivalents shall constitute Net Proceeds from such Asset Sale for purposes of this Indenture.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61</w:t>
      </w:r>
    </w:p>
    <w:p>
      <w:pPr>
        <w:sectPr>
          <w:pgSz w:w="11900" w:h="16840" w:orient="portrait"/>
          <w:cols w:equalWidth="0" w:num="1">
            <w:col w:w="10640"/>
          </w:cols>
          <w:pgMar w:left="640" w:top="1440" w:right="620" w:bottom="1440" w:gutter="0" w:footer="0" w:header="0"/>
        </w:sectPr>
      </w:pPr>
    </w:p>
    <w:bookmarkStart w:id="364" w:name="page365"/>
    <w:bookmarkEnd w:id="364"/>
    <w:p>
      <w:pPr>
        <w:spacing w:after="0" w:line="148" w:lineRule="exact"/>
        <w:rPr>
          <w:sz w:val="20"/>
          <w:szCs w:val="20"/>
          <w:color w:val="auto"/>
        </w:rPr>
      </w:pPr>
    </w:p>
    <w:p>
      <w:pPr>
        <w:ind w:right="60" w:firstLine="463"/>
        <w:spacing w:after="0" w:line="253" w:lineRule="auto"/>
        <w:tabs>
          <w:tab w:leader="none" w:pos="904"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540 days after the Company’s or any Restricted Subsidiary’s receipt of the Net Proceeds of any Asset Sale, the Company or such Restricted Subsidiary may apply an amount equal to the Net Proceeds from such Asset Sale, at its option:</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23" w:lineRule="auto"/>
        <w:tabs>
          <w:tab w:leader="none" w:pos="13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repay, repurchase or redeem (A) Indebtedness constituting Equal Priority Indebtedness that is secured by a Lien with Equal Lien Priority (and, if the Indebtedness repaid is revolving credit Indebtedness, to correspondingly reduce commitments with respect thereto), in each case other than Indebtedness owed to the Company or an Affiliate of the Company, or (B) Obligations under the Notes pursuant to the optional redemption provisions of paragraph 5 of the Note through purchases (including open-market purchases, tender offers or privately negotiated purchases)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purchases are at or above 100% of the principal amount thereof or, in the event that the Notes were issued with significant original issue discount, 100% of the accreted value thereof) or by making an offer (in accordance with the procedures set forth below for an Asset Sale Offer) to all holders to purchase at a purchase price equal to 100% of the principal amount thereof (or, in the event that the Notes were issued with significant original issue discount, 100% of the accreted value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any Issuer or Guarantor shall so reduce Obligations under Equal Priority Indebtedness that is secured by a Lien with Equal Lien Priority under the foregoing clause (A), the Issuers will reduce, or offer to reduce, the Notes Obligations as provided under the foregoing clause (B) pro rata based on the total principal amount of Notes and such Equal Priority Indebtedness outstanding;</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solely to the extent that such Net Proceeds are not from an Asset Sale of Collateral, to repay, repurchase or redeem Indebtedness of a Restricted Subsidiary that is not the U.S. Co-Issuer</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a Guarantor; or</w:t>
      </w:r>
    </w:p>
    <w:p>
      <w:pPr>
        <w:spacing w:after="0" w:line="95" w:lineRule="exact"/>
        <w:rPr>
          <w:rFonts w:ascii="Times New Roman" w:cs="Times New Roman" w:eastAsia="Times New Roman" w:hAnsi="Times New Roman"/>
          <w:sz w:val="12"/>
          <w:szCs w:val="12"/>
          <w:color w:val="auto"/>
        </w:rPr>
      </w:pPr>
    </w:p>
    <w:p>
      <w:pPr>
        <w:jc w:val="both"/>
        <w:ind w:left="460" w:right="20" w:firstLine="460"/>
        <w:spacing w:after="0" w:line="231" w:lineRule="auto"/>
        <w:tabs>
          <w:tab w:leader="none" w:pos="13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make an investment in any one or more businesses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such investment is in the form of the acquisition of Capital Stock of a Person that is not a Restricted Subsidiary, such acquisition results in such Person becoming a Restricted Subsidiary of the Company), assets or property or to fund capital expenditures (including to acquire a license of Intellectual Property) or research and development expenditures, in each case (A) used or useful in a Similar Business or (B) that replace the properties and assets that are the subject of such Asset Sale or to reimburse the cost of any of the foregoing incurred on or after the date on which the Asset Sale giving rise to such Net Proceeds was contractually committed.</w:t>
      </w:r>
    </w:p>
    <w:p>
      <w:pPr>
        <w:spacing w:after="0" w:line="97"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The Company or such Restricted Subsidiary, as applicable, will be deemed to have complied with Section 4.06(b)(iii) if and to the extent that, within 540 days after the Asset Sale that generated such Net Proceeds, the Company or any Restricted Subsidiary has entered into and not abandoned or rejected a binding commitment to apply an amount equal to such Net Proceeds in compliance with Section 4.06(b)(iii), and such application is thereafter completed prior to the date that is 180 days after the end of such 540-day period. To the extent such commitment is later canceled or terminated for any reason before an amount equal to such Net Proceeds has been so applied, such Net Proceeds will constitute Excess Proceeds unless the Company or any Restricted Subsidiary enters into another such binding commitment and makes such investment prior to the date that is 180 days after the end of such 540-day period. To the extent such Net Proceeds are not applied prior to such 180th day, such Net Proceeds shall constitute Excess Proceeds.</w:t>
      </w:r>
    </w:p>
    <w:p>
      <w:pPr>
        <w:spacing w:after="0" w:line="99" w:lineRule="exact"/>
        <w:rPr>
          <w:sz w:val="20"/>
          <w:szCs w:val="20"/>
          <w:color w:val="auto"/>
        </w:rPr>
      </w:pPr>
    </w:p>
    <w:p>
      <w:pPr>
        <w:jc w:val="both"/>
        <w:ind w:right="20" w:firstLine="457"/>
        <w:spacing w:after="0" w:line="261" w:lineRule="auto"/>
        <w:rPr>
          <w:sz w:val="20"/>
          <w:szCs w:val="20"/>
          <w:color w:val="auto"/>
        </w:rPr>
      </w:pPr>
      <w:r>
        <w:rPr>
          <w:rFonts w:ascii="Times New Roman" w:cs="Times New Roman" w:eastAsia="Times New Roman" w:hAnsi="Times New Roman"/>
          <w:sz w:val="12"/>
          <w:szCs w:val="12"/>
          <w:color w:val="auto"/>
        </w:rPr>
        <w:t>Pending the final application of any such Net Proceeds, the Company or such Restricted Subsidiary may temporarily reduce Indebtedness under a revolving credit facility, if any, or invest such Net Proceeds in any manner not prohibited by this Indenture. Any amount equal to Net Proceeds from any Asset Sale not applied as provided, and within the time period set forth in this Section 4.06(b) (it being understood that any portion of such Net Proceeds used to make an offer to purchase Notes, as described in clause (i) of Section 4.06(b), shall be deemed to have been so applied whether or not such offer is accepted) will be deemed to constitute “</w:t>
      </w:r>
      <w:r>
        <w:rPr>
          <w:rFonts w:ascii="Times New Roman" w:cs="Times New Roman" w:eastAsia="Times New Roman" w:hAnsi="Times New Roman"/>
          <w:sz w:val="12"/>
          <w:szCs w:val="12"/>
          <w:u w:val="single" w:color="auto"/>
          <w:color w:val="auto"/>
        </w:rPr>
        <w:t>Excess Proceeds</w:t>
      </w:r>
      <w:r>
        <w:rPr>
          <w:rFonts w:ascii="Times New Roman" w:cs="Times New Roman" w:eastAsia="Times New Roman" w:hAnsi="Times New Roman"/>
          <w:sz w:val="12"/>
          <w:szCs w:val="12"/>
          <w:color w:val="auto"/>
        </w:rPr>
        <w:t>.”</w:t>
      </w:r>
    </w:p>
    <w:p>
      <w:pPr>
        <w:spacing w:after="0" w:line="95"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When the aggregate amount of Excess Proceeds in any fiscal year exceeds $200 million, the Issuers shall make an offer to all holders of Notes (and, at the option of the Issuers, to holders of any other Equal Priority Indebtedness that is secured by a Lien with Equal Lien Priority on a pro rata basis) (an “</w:t>
      </w:r>
      <w:r>
        <w:rPr>
          <w:rFonts w:ascii="Times New Roman" w:cs="Times New Roman" w:eastAsia="Times New Roman" w:hAnsi="Times New Roman"/>
          <w:sz w:val="12"/>
          <w:szCs w:val="12"/>
          <w:u w:val="single" w:color="auto"/>
          <w:color w:val="auto"/>
        </w:rPr>
        <w:t>Asset Sale Offer</w:t>
      </w:r>
      <w:r>
        <w:rPr>
          <w:rFonts w:ascii="Times New Roman" w:cs="Times New Roman" w:eastAsia="Times New Roman" w:hAnsi="Times New Roman"/>
          <w:sz w:val="12"/>
          <w:szCs w:val="12"/>
          <w:color w:val="auto"/>
        </w:rPr>
        <w:t xml:space="preserve">”) to purchase the maximum principal amount of Notes (and such other Equal Priority Indebtedness) that is at least $200,000 and an integral multiple of $1,000 in excess thereof that may be purchased out of the Excess Proceeds at an offer price in cash in an amount equal to 100% of the principal amount thereof or, in respect of such other Equal Priority Indebtedness, such lesser price, if any, as may be provided for by the terms of such other Equal Priority Indebtedness (or, in the event the Notes or such other Equal Priority Indebtedness were issued with significant original issue discount, 100% of the accreted value thereof),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62</w:t>
      </w:r>
    </w:p>
    <w:p>
      <w:pPr>
        <w:sectPr>
          <w:pgSz w:w="11900" w:h="16840" w:orient="portrait"/>
          <w:cols w:equalWidth="0" w:num="1">
            <w:col w:w="10620"/>
          </w:cols>
          <w:pgMar w:left="640" w:top="1440" w:right="640" w:bottom="1440" w:gutter="0" w:footer="0" w:header="0"/>
        </w:sectPr>
      </w:pPr>
    </w:p>
    <w:bookmarkStart w:id="365" w:name="page366"/>
    <w:bookmarkEnd w:id="365"/>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excluding, the date fixed for the closing of such offer, in accordance with the procedures set forth in this Indenture (and, as applicable, the agreements governing such other Equal Priority Indebtedness). The Issuers will commence an Asset Sale Offer with respect to Excess Proceeds within ten (10) Business Days after the date that Excess Proceeds exceeds $200 million by mailing, or delivering electronically if the Notes are held by DTC, the notice required pursuant to the terms of this Indenture, with a copy to the Trustee. To the extent that the aggregate amount of Notes (and such other Equal Priority Indebtedness) tendered pursuant to an Asset Sale Offer is less than the Excess Proceeds, the Issuers may use any remaining Excess Proceeds (the “</w:t>
      </w:r>
      <w:r>
        <w:rPr>
          <w:rFonts w:ascii="Times New Roman" w:cs="Times New Roman" w:eastAsia="Times New Roman" w:hAnsi="Times New Roman"/>
          <w:sz w:val="12"/>
          <w:szCs w:val="12"/>
          <w:u w:val="single" w:color="auto"/>
          <w:color w:val="auto"/>
        </w:rPr>
        <w:t>Declined Excess Proceeds</w:t>
      </w:r>
      <w:r>
        <w:rPr>
          <w:rFonts w:ascii="Times New Roman" w:cs="Times New Roman" w:eastAsia="Times New Roman" w:hAnsi="Times New Roman"/>
          <w:sz w:val="12"/>
          <w:szCs w:val="12"/>
          <w:color w:val="auto"/>
        </w:rPr>
        <w:t>”) for any purpose that is not prohibited by this Indenture. If the aggregate principal amount of Notes (and such other Equal Priority Indebtedness) surrendered by holders thereof exceeds the amount of Excess Proceeds, the Issuers shall select the Notes (but not such other Equal Priority Indebtedness) to be purchased in the manner described below. Upon completion of any such Asset Sale Offer, the amount of Excess Proceeds shall be reset at zero.</w:t>
      </w:r>
    </w:p>
    <w:p>
      <w:pPr>
        <w:spacing w:after="0" w:line="88" w:lineRule="exact"/>
        <w:rPr>
          <w:sz w:val="20"/>
          <w:szCs w:val="20"/>
          <w:color w:val="auto"/>
        </w:rPr>
      </w:pPr>
    </w:p>
    <w:p>
      <w:pPr>
        <w:jc w:val="both"/>
        <w:ind w:right="20" w:firstLine="463"/>
        <w:spacing w:after="0" w:line="236" w:lineRule="auto"/>
        <w:tabs>
          <w:tab w:leader="none" w:pos="904"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will comply with the requirements of Rule 14e-1 under the Exchange Act and any other securities laws and regulations to the extent such laws or regulations are applicable in connection with the Asset Sale Offer. To the extent that the provisions of any securities laws or regulations conflict with the provisions of this Indenture, the Issuers will comply with the applicable securities laws and regulations and shall not be deemed to have breached their obligations described in this Indenture by virtue thereof.</w:t>
      </w:r>
    </w:p>
    <w:p>
      <w:pPr>
        <w:spacing w:after="0" w:line="87" w:lineRule="exact"/>
        <w:rPr>
          <w:rFonts w:ascii="Times New Roman" w:cs="Times New Roman" w:eastAsia="Times New Roman" w:hAnsi="Times New Roman"/>
          <w:sz w:val="12"/>
          <w:szCs w:val="12"/>
          <w:color w:val="auto"/>
        </w:rPr>
      </w:pPr>
    </w:p>
    <w:p>
      <w:pPr>
        <w:jc w:val="both"/>
        <w:ind w:firstLine="463"/>
        <w:spacing w:after="0"/>
        <w:tabs>
          <w:tab w:leader="none" w:pos="904"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later than the date upon which written notice of an Asset Sale Offer is delivered to the Trustee as provided above, the Issuers shall deliver to the Trustee an Officer’s Certificate as to (i) the amount of the Excess Proceeds, (ii) the allocation of the Net Proceeds from the Asset Sales pursuant to which such Asset Sale Offer is being made and (iii) the compliance of such allocation with the provisions of Section 4.06(b). Upon the expiration of the period for which the Asset Sale Offer remains open (the “</w:t>
      </w:r>
      <w:r>
        <w:rPr>
          <w:rFonts w:ascii="Times New Roman" w:cs="Times New Roman" w:eastAsia="Times New Roman" w:hAnsi="Times New Roman"/>
          <w:sz w:val="12"/>
          <w:szCs w:val="12"/>
          <w:u w:val="single" w:color="auto"/>
          <w:color w:val="auto"/>
        </w:rPr>
        <w:t>Offer Period</w:t>
      </w:r>
      <w:r>
        <w:rPr>
          <w:rFonts w:ascii="Times New Roman" w:cs="Times New Roman" w:eastAsia="Times New Roman" w:hAnsi="Times New Roman"/>
          <w:sz w:val="12"/>
          <w:szCs w:val="12"/>
          <w:color w:val="auto"/>
        </w:rPr>
        <w:t>”), the Issuers shall deliver to the Trustee for cancellation the Notes or portions thereof that have been properly tendered to and are to be accepted by the Issuers. The Issuers shall, or shall cause the Paying Agent (if not an Issuer) to, on the date of purchase, mail or deliver payment to each tendering holder in the amount of the purchase price.</w:t>
      </w:r>
    </w:p>
    <w:p>
      <w:pPr>
        <w:spacing w:after="0" w:line="190" w:lineRule="exact"/>
        <w:rPr>
          <w:rFonts w:ascii="Times New Roman" w:cs="Times New Roman" w:eastAsia="Times New Roman" w:hAnsi="Times New Roman"/>
          <w:sz w:val="12"/>
          <w:szCs w:val="12"/>
          <w:color w:val="auto"/>
        </w:rPr>
      </w:pPr>
    </w:p>
    <w:p>
      <w:pPr>
        <w:jc w:val="both"/>
        <w:ind w:firstLine="463"/>
        <w:spacing w:after="0"/>
        <w:tabs>
          <w:tab w:leader="none" w:pos="904"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Holders electing to have a Note purchased shall be required to surrender such Note, with an appropriate form duly completed, to the Issuers at the address specified in the notice, or transfer such Note by book entry transfer to the Issuers, at least three Business Days prior to the purchase date. Holders shall be entitled to withdraw their election if the Trustee or the Issuers receive an electronic transmission or letter not later than two Business Days prior to the purchase date, or otherwise in accordance with the procedures of the Depository, setting forth the name of the holder, the principal amount of the Note which was delivered by the holder for purchase and a statement that such holder is withdrawing his election to have such Note purchased. If at the end of the Offer Period more Notes (and applicable other Equal Priority Indebtedness that is secured by a Lien with Equal Lien Priority) are tendered pursuant to an Asset Sale Offer than the Issuers are required to purchase, selection of tendered Notes (but not such other Equal Priority Indebtedness) for purchase will be made by the Trustee on a pro rata basis or by lot or by such other method as the Trustee shall deem fair and appropriate (and in such manner as complies with the requirements of the Depository, if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Notes of $200,000 or less shall be purchased in part. Selection of such other Equal Priority Indebtedness will be made pursuant to the terms of such other Equal Priority Indebtedness.</w:t>
      </w:r>
    </w:p>
    <w:p>
      <w:pPr>
        <w:spacing w:after="0" w:line="147"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Notices of an Asset Sale Offer shall be mailed by the Issuers by first class mail, postage prepaid, or delivered electronically if the Notes are held by the Depository, at least 30 days but not more than 60 days before the purchase date to each holder of Notes at such holder’s registered address. If any Note is to be purchased in part only, any notice of purchase that relates to such Note shall state the portion of the principal amount thereof that has been or is to be purchased.</w:t>
      </w:r>
    </w:p>
    <w:p>
      <w:pPr>
        <w:spacing w:after="0" w:line="8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4.07</w:t>
      </w:r>
      <w:r>
        <w:rPr>
          <w:sz w:val="20"/>
          <w:szCs w:val="20"/>
          <w:color w:val="auto"/>
        </w:rPr>
        <w:tab/>
      </w:r>
      <w:r>
        <w:rPr>
          <w:rFonts w:ascii="Times New Roman" w:cs="Times New Roman" w:eastAsia="Times New Roman" w:hAnsi="Times New Roman"/>
          <w:sz w:val="12"/>
          <w:szCs w:val="12"/>
          <w:u w:val="single" w:color="auto"/>
          <w:color w:val="auto"/>
        </w:rPr>
        <w:t>Transactions with Affiliates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6" w:lineRule="auto"/>
        <w:tabs>
          <w:tab w:leader="none" w:pos="904"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and shall not permit any of the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Company (each of the foregoing, an “</w:t>
      </w:r>
      <w:r>
        <w:rPr>
          <w:rFonts w:ascii="Times New Roman" w:cs="Times New Roman" w:eastAsia="Times New Roman" w:hAnsi="Times New Roman"/>
          <w:sz w:val="12"/>
          <w:szCs w:val="12"/>
          <w:u w:val="single" w:color="auto"/>
          <w:color w:val="auto"/>
        </w:rPr>
        <w:t>Affiliate Transaction</w:t>
      </w:r>
      <w:r>
        <w:rPr>
          <w:rFonts w:ascii="Times New Roman" w:cs="Times New Roman" w:eastAsia="Times New Roman" w:hAnsi="Times New Roman"/>
          <w:sz w:val="12"/>
          <w:szCs w:val="12"/>
          <w:color w:val="auto"/>
        </w:rPr>
        <w:t>”) involving aggregate consideration in excess of $75 million, unless:</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Affiliate Transaction is on terms that are not materially less favorable to the Company or the relevant Restricted Subsidiary than those that could have been obtained in a comparable transaction by the Company or such Restricted Subsidiary with an unrelated Person;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63</w:t>
      </w:r>
    </w:p>
    <w:p>
      <w:pPr>
        <w:sectPr>
          <w:pgSz w:w="11900" w:h="16840" w:orient="portrait"/>
          <w:cols w:equalWidth="0" w:num="1">
            <w:col w:w="10620"/>
          </w:cols>
          <w:pgMar w:left="640" w:top="1440" w:right="640" w:bottom="1440" w:gutter="0" w:footer="0" w:header="0"/>
        </w:sectPr>
      </w:pPr>
    </w:p>
    <w:bookmarkStart w:id="366" w:name="page367"/>
    <w:bookmarkEnd w:id="366"/>
    <w:p>
      <w:pPr>
        <w:spacing w:after="0" w:line="148" w:lineRule="exact"/>
        <w:rPr>
          <w:sz w:val="20"/>
          <w:szCs w:val="20"/>
          <w:color w:val="auto"/>
        </w:rPr>
      </w:pPr>
    </w:p>
    <w:p>
      <w:pPr>
        <w:jc w:val="both"/>
        <w:ind w:right="40" w:firstLine="460"/>
        <w:spacing w:after="0" w:line="236" w:lineRule="auto"/>
        <w:tabs>
          <w:tab w:leader="none" w:pos="904"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Affiliate Transaction or series of related Affiliate Transactions involving aggregate consideration in excess of $150 million, the Company delivers to the Trustee a resolution adopted in good faith by the majority of the Board of Directors of the Company, approving such Affiliate Transaction and set forth in an Officer’s Certificate certifying that such Affiliate Transaction complies with clause (i) above and this Indenture.</w:t>
      </w:r>
    </w:p>
    <w:p>
      <w:pPr>
        <w:spacing w:after="0" w:line="87" w:lineRule="exact"/>
        <w:rPr>
          <w:rFonts w:ascii="Times New Roman" w:cs="Times New Roman" w:eastAsia="Times New Roman" w:hAnsi="Times New Roman"/>
          <w:sz w:val="12"/>
          <w:szCs w:val="12"/>
          <w:color w:val="auto"/>
        </w:rPr>
      </w:pPr>
    </w:p>
    <w:p>
      <w:pPr>
        <w:ind w:left="460" w:hanging="457"/>
        <w:spacing w:after="0"/>
        <w:tabs>
          <w:tab w:leader="none" w:pos="460"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Section 4.07(a) shall not apply to the following:</w:t>
      </w:r>
    </w:p>
    <w:p>
      <w:pPr>
        <w:spacing w:after="0" w:line="109"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904" w:val="left"/>
        </w:tabs>
        <w:numPr>
          <w:ilvl w:val="1"/>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transactions between or among the Company, any direct or indirect parent entity of the Company and/or any of the Restricted Subsidiaries (or an entity that becomes the Company or a Restricted Subsidiary as a result of such transaction (including via merger, consolidation or amalgamation in which the Company or any of the Restricted Subsidiaries is the surviving entity)) or (B) any merger, consolidation or amalgamation of the Company and any direct or indirect parent entity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merger, consolidation or amalgamation of the Company is otherwise in compliance with the terms of this Indenture;</w:t>
      </w:r>
    </w:p>
    <w:p>
      <w:pPr>
        <w:spacing w:after="0" w:line="87" w:lineRule="exact"/>
        <w:rPr>
          <w:sz w:val="20"/>
          <w:szCs w:val="20"/>
          <w:color w:val="auto"/>
        </w:rPr>
      </w:pPr>
    </w:p>
    <w:p>
      <w:pPr>
        <w:ind w:left="900" w:hanging="440"/>
        <w:spacing w:after="0"/>
        <w:tabs>
          <w:tab w:leader="none" w:pos="900"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Payments permitted by Section 4.04 and Permitted Investments;</w:t>
      </w:r>
    </w:p>
    <w:p>
      <w:pPr>
        <w:spacing w:after="0" w:line="109" w:lineRule="exact"/>
        <w:rPr>
          <w:rFonts w:ascii="Times New Roman" w:cs="Times New Roman" w:eastAsia="Times New Roman" w:hAnsi="Times New Roman"/>
          <w:sz w:val="12"/>
          <w:szCs w:val="12"/>
          <w:color w:val="auto"/>
        </w:rPr>
      </w:pPr>
    </w:p>
    <w:p>
      <w:pPr>
        <w:ind w:right="20" w:firstLine="460"/>
        <w:spacing w:after="0" w:line="253" w:lineRule="auto"/>
        <w:tabs>
          <w:tab w:leader="none" w:pos="904"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reasonable and customary fees and reimbursement of expenses paid to, and indemnity provided on behalf of, officers, directors, employees or consultants of the Company, any direct or indirect parent entity of the Company or any Restricted Subsidiary;</w:t>
      </w:r>
    </w:p>
    <w:p>
      <w:pPr>
        <w:spacing w:after="0" w:line="80" w:lineRule="exact"/>
        <w:rPr>
          <w:rFonts w:ascii="Times New Roman" w:cs="Times New Roman" w:eastAsia="Times New Roman" w:hAnsi="Times New Roman"/>
          <w:sz w:val="12"/>
          <w:szCs w:val="12"/>
          <w:color w:val="auto"/>
        </w:rPr>
      </w:pPr>
    </w:p>
    <w:p>
      <w:pPr>
        <w:ind w:right="40" w:firstLine="460"/>
        <w:spacing w:after="0" w:line="253" w:lineRule="auto"/>
        <w:tabs>
          <w:tab w:leader="none" w:pos="904"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in which the Company or any Restricted Subsidiary, as the case may be, delivers to the Trustee a letter from an Independent Financial Advisor stating that such transaction is fair to the Company or such Restricted Subsidiary from a financial point of view or meets the requirements of Section 4.07(a)(i);</w:t>
      </w:r>
    </w:p>
    <w:p>
      <w:pPr>
        <w:spacing w:after="0" w:line="80"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payments, loans (or cancellation of loans) or advances to officers, directors, employees or consultants which are approved by a majority of the Board of Directors of the Company in good</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faith;</w:t>
      </w:r>
    </w:p>
    <w:p>
      <w:pPr>
        <w:spacing w:after="0" w:line="95" w:lineRule="exact"/>
        <w:rPr>
          <w:rFonts w:ascii="Times New Roman" w:cs="Times New Roman" w:eastAsia="Times New Roman" w:hAnsi="Times New Roman"/>
          <w:sz w:val="12"/>
          <w:szCs w:val="12"/>
          <w:color w:val="auto"/>
        </w:rPr>
      </w:pPr>
    </w:p>
    <w:p>
      <w:pPr>
        <w:jc w:val="both"/>
        <w:ind w:firstLine="460"/>
        <w:spacing w:after="0" w:line="236" w:lineRule="auto"/>
        <w:tabs>
          <w:tab w:leader="none" w:pos="904"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(x) of the Company or any of its Subsidiaries as in effect on the Issue Date or (y) of Merus or any of its Subsidiaries as in effect on the Initial Tender Offer Closing Date, in each case, or any amendment thereto (so long as any such agreement together with all amendments thereto, taken as a whole, is not more disadvantageous to the holders of the Notes in any material respect than the original agreement as in effect on the Issue Date or Initial Tender Offer Closing Date, as applicable) or any transaction contemplated thereby as determined in good faith by the Company;</w:t>
      </w:r>
    </w:p>
    <w:p>
      <w:pPr>
        <w:spacing w:after="0" w:line="87" w:lineRule="exact"/>
        <w:rPr>
          <w:rFonts w:ascii="Times New Roman" w:cs="Times New Roman" w:eastAsia="Times New Roman" w:hAnsi="Times New Roman"/>
          <w:sz w:val="12"/>
          <w:szCs w:val="12"/>
          <w:color w:val="auto"/>
        </w:rPr>
      </w:pPr>
    </w:p>
    <w:p>
      <w:pPr>
        <w:jc w:val="both"/>
        <w:ind w:right="20" w:firstLine="460"/>
        <w:spacing w:after="0" w:line="223" w:lineRule="auto"/>
        <w:tabs>
          <w:tab w:leader="none" w:pos="904"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existence of, or the performance by the Company or any Restricted Subsidiary of its obligations under the terms of, any stockholders or limited liability company agreement (including any registration rights agreement or purchase agreement related thereto) to which the Company or any of its Subsidiaries is a party as of the Issue Date or Merus or any of its Subsidiaries is a party as of the Initial Tender Offer Closing Date, and any transaction, agreement or arrangement described in the Offering Memorandum and, in each case, any amendment thereto or similar transactions, agreements or arrangements which it may enter into thereafter;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existence of, or the performance by the Company or any Restricted Subsidiary of its obligations under, any future amendment to any such existing transaction, agreement or arrangement or under any similar transaction, agreement or arrangement entered into after the Issue Date or Initial Tender Offer Closing Date, as applicable, shall only be permitted by this clause (vii) to the extent that the terms of any such existing transaction, agreement or arrangement together with all amendments thereto, taken as a whole, or new transaction, agreement or arrangement are not otherwise more disadvantageous to the holders of the Notes in any material respect than the original transaction, agreement or arrangement as in effect on the Issue Date or Initial Tender Offer Closing Date, as applicable, as determined in good faith by the Company;</w:t>
      </w:r>
    </w:p>
    <w:p>
      <w:pPr>
        <w:spacing w:after="0" w:line="87" w:lineRule="exact"/>
        <w:rPr>
          <w:rFonts w:ascii="Times New Roman" w:cs="Times New Roman" w:eastAsia="Times New Roman" w:hAnsi="Times New Roman"/>
          <w:sz w:val="12"/>
          <w:szCs w:val="12"/>
          <w:color w:val="auto"/>
        </w:rPr>
      </w:pPr>
    </w:p>
    <w:p>
      <w:pPr>
        <w:ind w:left="900" w:hanging="440"/>
        <w:spacing w:after="0"/>
        <w:tabs>
          <w:tab w:leader="none" w:pos="900"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of the Transactions, and the payment of all fees, expenses, bonuses and awards related to the Transactions;</w:t>
      </w:r>
    </w:p>
    <w:p>
      <w:pPr>
        <w:spacing w:after="0" w:line="109" w:lineRule="exact"/>
        <w:rPr>
          <w:rFonts w:ascii="Times New Roman" w:cs="Times New Roman" w:eastAsia="Times New Roman" w:hAnsi="Times New Roman"/>
          <w:sz w:val="12"/>
          <w:szCs w:val="12"/>
          <w:color w:val="auto"/>
        </w:rPr>
      </w:pPr>
    </w:p>
    <w:p>
      <w:pPr>
        <w:jc w:val="both"/>
        <w:ind w:right="20" w:firstLine="460"/>
        <w:spacing w:after="0" w:line="231" w:lineRule="auto"/>
        <w:tabs>
          <w:tab w:leader="none" w:pos="904"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transactions with customers, clients, suppliers or purchasers or sellers of goods or services, or transactions otherwise relating to the purchase or sale of goods or services, in each case in the ordinary course of business and otherwise in compliance with the terms of this Indenture, which are fair to the Company and its Restricted Subsidiaries in the reasonable determination of the Company, or are on terms at least as favorable as might reasonably have been obtained at such time from an unaffiliated party or (B) transactions with joint ventures or Unrestricted Subsidiaries entered into in the ordinary course of business and consistent with past practice or industry norm;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64</w:t>
      </w:r>
    </w:p>
    <w:p>
      <w:pPr>
        <w:sectPr>
          <w:pgSz w:w="11900" w:h="16840" w:orient="portrait"/>
          <w:cols w:equalWidth="0" w:num="1">
            <w:col w:w="10160"/>
          </w:cols>
          <w:pgMar w:left="1100" w:top="1440" w:right="640" w:bottom="1440" w:gutter="0" w:footer="0" w:header="0"/>
        </w:sectPr>
      </w:pPr>
    </w:p>
    <w:bookmarkStart w:id="367" w:name="page368"/>
    <w:bookmarkEnd w:id="367"/>
    <w:p>
      <w:pPr>
        <w:spacing w:after="0" w:line="148" w:lineRule="exact"/>
        <w:rPr>
          <w:sz w:val="20"/>
          <w:szCs w:val="20"/>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pursuant to any Qualified Receivables Facility;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of Equity Interests (other than Disqualified Stock) of the Company or any direct or indirect parent entity of the Company to any Person;</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issuances of securities or other payments, awards or grants in cash, securities or otherwise pursuant to, or the funding of, employment arrangements, stock option and stock ownership plans or similar employee benefit plans approved by the Board of Directors of the Company, the Board of Directors of any direct or indirect parent entity of the Company or the Board of Directors of a Restricted Subsidiary, as appropriate, in good faith;</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contribution to the capital of the Company;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permitted by, and complying with, Section 5.01;</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transactions between the Company, any direct or indirect parent entity of the Company or any Restricted Subsidiary and any Person, a director of which is also a director of the Company or any Restricted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Person abstains from voting as a director of the Company, such direct or indirect parent entity of the Company or such Restricted Subsidiary, as the case may be, on any matter involving such Person;</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pledges of Equity Interests of Unrestricted Subsidiaries;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formation and maintenance of any consolidated group or subgroup for Tax, accounting or cash pooling or management purposes in the ordinary course of business;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employment agreements entered into by the Company, any direct or indirect parent entity of the Company or any Restricted Subsidiary in the ordinary course of business;</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undertaken in good faith (as certified by a Financial Officer of the Company in an Officer’s Certificate) for the purpose of improving the consolidated Tax efficiency of the Company and its Subsidiaries and not for the purpose of circumventing any covenant set forth in this Indenture;</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and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purchase by the Company or its Affiliates of Indebtedness, Disqualified Stock or Preferred Stock of the Company, any direct or indirect parent entity of the Company or any of the Restricted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purchases are on the same terms as such purchases by such Persons who are not the Company’s Affiliates.</w:t>
      </w:r>
    </w:p>
    <w:p>
      <w:pPr>
        <w:spacing w:after="0" w:line="8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4.08</w:t>
      </w:r>
      <w:r>
        <w:rPr>
          <w:sz w:val="20"/>
          <w:szCs w:val="20"/>
          <w:color w:val="auto"/>
        </w:rPr>
        <w:tab/>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tabs>
          <w:tab w:leader="none" w:pos="904"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Section 4.08(f), upon the occurrence of a Change of Control, the Issuers will make an offer to purchase all of the outstanding Notes (a Change“ of Control Offer”) at a purchase price in cash equal to 101% of the principal amount thereof,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date of repurchase (subject to the right of holders of record on the relevant Record Date to receive interest due on the relevant Interest Payment Date) in accordance with this Section 4.08;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notwithstanding the occurrence of a Change of Control, the Issuers shall not be obligated to purchase any Notes pursuant to this Section 4.08 in the event that they have previously or concurrently elected to redeem such Notes in accordance with Paragraph 5 of the Notes and such election is or has become unconditional.</w:t>
      </w:r>
    </w:p>
    <w:p>
      <w:pPr>
        <w:spacing w:after="0" w:line="19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30 days following any Change of Control, except as set forth in Section 4.08(a), the Issuers shall mail, or deliver electronically if the Notes are held by the Depository, a notice of its Change of Control Offer to each holder with a copy to the Trustee:</w:t>
      </w:r>
    </w:p>
    <w:p>
      <w:pPr>
        <w:spacing w:after="0" w:line="78" w:lineRule="exact"/>
        <w:rPr>
          <w:rFonts w:ascii="Times New Roman" w:cs="Times New Roman" w:eastAsia="Times New Roman" w:hAnsi="Times New Roman"/>
          <w:sz w:val="12"/>
          <w:szCs w:val="12"/>
          <w:color w:val="auto"/>
        </w:rPr>
      </w:pPr>
    </w:p>
    <w:p>
      <w:pPr>
        <w:ind w:left="460" w:firstLine="460"/>
        <w:spacing w:after="0" w:line="257" w:lineRule="auto"/>
        <w:tabs>
          <w:tab w:leader="none" w:pos="1364" w:val="left"/>
        </w:tabs>
        <w:numPr>
          <w:ilvl w:val="1"/>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stating that a Change of Control has occurred and offering to repurchase such holder’s Notes at a repurchase price in cash equal to 101% of the principal amount thereof,</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date of repurchase (subject to the right of holders of record on the relevant Record Date to receive interest on the relevant Interest Payment Date);</w:t>
      </w:r>
    </w:p>
    <w:p>
      <w:pPr>
        <w:spacing w:after="0" w:line="7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describing the transaction or transactions that constitute(s)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-944880</wp:posOffset>
            </wp:positionV>
            <wp:extent cx="77978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7797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65</w:t>
      </w:r>
    </w:p>
    <w:p>
      <w:pPr>
        <w:sectPr>
          <w:pgSz w:w="11900" w:h="16840" w:orient="portrait"/>
          <w:cols w:equalWidth="0" w:num="1">
            <w:col w:w="10620"/>
          </w:cols>
          <w:pgMar w:left="640" w:top="1440" w:right="640" w:bottom="1440" w:gutter="0" w:footer="0" w:header="0"/>
        </w:sectPr>
      </w:pPr>
    </w:p>
    <w:bookmarkStart w:id="368" w:name="page369"/>
    <w:bookmarkEnd w:id="368"/>
    <w:p>
      <w:pPr>
        <w:spacing w:after="0" w:line="148" w:lineRule="exact"/>
        <w:rPr>
          <w:sz w:val="20"/>
          <w:szCs w:val="20"/>
          <w:color w:val="auto"/>
        </w:rPr>
      </w:pPr>
    </w:p>
    <w:p>
      <w:pPr>
        <w:ind w:left="1360" w:hanging="440"/>
        <w:spacing w:after="0"/>
        <w:tabs>
          <w:tab w:leader="none" w:pos="1360" w:val="left"/>
        </w:tabs>
        <w:numPr>
          <w:ilvl w:val="1"/>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specifying the repurchase date (which shall be no earlier than 30 days nor later than 60 days from the date such notice is mailed or delivered electronically);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instructions, determined by the Issuers and consistent with this Section 4.08, that a holder must follow in order to have its Notes purchased.</w:t>
      </w:r>
    </w:p>
    <w:p>
      <w:pPr>
        <w:spacing w:after="0" w:line="109"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electing to have a Note purchased shall be required to surrender such Note, with an appropriate form duly completed, to the Issuers at the address specified in the notice, or transfer such Note by book entry transfer to the Issuers, at least three Business Days prior to the purchase date. Holders shall be entitled to withdraw their election if the Trustee or the Issuers receive an electronic transmission or letter not later than two Business Days prior to the purchase date, or otherwise in accordance with the procedures of the Depository, setting forth the name of the holder, the principal amount of the Note which was delivered for purchase by the holder and a statement that such holder is withdrawing his election to have such Note purchased. Holders whose Notes are purchased only in part shall be issued new Notes equal in principal amount to the unpurchased portion of the Notes surrendered.</w:t>
      </w:r>
    </w:p>
    <w:p>
      <w:pPr>
        <w:spacing w:after="0" w:line="8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the purchase date, all Notes purchased by the Issuers under this Section 4.08 shall be delivered to the Trustee for cancellation, and the Issuers shall pay to the holders entitled thereto the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date of repurchase (subject to the right of holders of record on a Record Date to receive interest on the relevant Interest Payment Date).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80" w:lineRule="exact"/>
        <w:rPr>
          <w:rFonts w:ascii="Times New Roman" w:cs="Times New Roman" w:eastAsia="Times New Roman" w:hAnsi="Times New Roman"/>
          <w:sz w:val="12"/>
          <w:szCs w:val="12"/>
          <w:color w:val="auto"/>
        </w:rPr>
      </w:pPr>
    </w:p>
    <w:p>
      <w:pPr>
        <w:jc w:val="both"/>
        <w:ind w:firstLine="463"/>
        <w:spacing w:after="0" w:line="236" w:lineRule="auto"/>
        <w:tabs>
          <w:tab w:leader="none" w:pos="904"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provisions of this Section 4.08, the Issuers shall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Issuers and purchases all Notes properly tendered and not withdrawn under such Change of Control Offer.</w:t>
      </w:r>
    </w:p>
    <w:p>
      <w:pPr>
        <w:spacing w:after="0" w:line="87"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Notes repurchased by the Issuers pursuant to a Change of Control Offer will have the status of Notes issued but not outstanding or will be retired and canceled at the option of the Issuers. Notes purchased by a third party pursuant to this Section 4.08 will have the status of Notes issued and outstanding.</w:t>
      </w:r>
    </w:p>
    <w:p>
      <w:pPr>
        <w:spacing w:after="0" w:line="80" w:lineRule="exact"/>
        <w:rPr>
          <w:rFonts w:ascii="Times New Roman" w:cs="Times New Roman" w:eastAsia="Times New Roman" w:hAnsi="Times New Roman"/>
          <w:sz w:val="12"/>
          <w:szCs w:val="12"/>
          <w:color w:val="auto"/>
        </w:rPr>
      </w:pPr>
    </w:p>
    <w:p>
      <w:pPr>
        <w:jc w:val="both"/>
        <w:ind w:right="40" w:firstLine="463"/>
        <w:spacing w:after="0" w:line="236" w:lineRule="auto"/>
        <w:tabs>
          <w:tab w:leader="none" w:pos="904"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shall comply, to the extent applicable, with the requirements of Section 14(e) of the Exchange Act and any other securities laws or regulations in connection with any Change of Control Offer. To the extent that the provisions of any securities laws or regulations conflict with provisions of this Indenture, the Issuers shall comply with the applicable securities laws and regulations and shall not be deemed to have breached their obligations under this Indenture by virtue thereof.</w:t>
      </w:r>
    </w:p>
    <w:p>
      <w:pPr>
        <w:spacing w:after="0" w:line="87" w:lineRule="exact"/>
        <w:rPr>
          <w:rFonts w:ascii="Times New Roman" w:cs="Times New Roman" w:eastAsia="Times New Roman" w:hAnsi="Times New Roman"/>
          <w:sz w:val="12"/>
          <w:szCs w:val="12"/>
          <w:color w:val="auto"/>
        </w:rPr>
      </w:pPr>
    </w:p>
    <w:p>
      <w:pPr>
        <w:jc w:val="both"/>
        <w:ind w:firstLine="463"/>
        <w:spacing w:after="0" w:line="227" w:lineRule="auto"/>
        <w:tabs>
          <w:tab w:leader="none" w:pos="904"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holders of not less than 90% in aggregate principal amount of the outstanding Notes validly tender and do not withdraw such Notes in a Change of Control Offer and the Issuers, or any third party making a Change of Control Offer in lieu of the Issuers, purchase all of the Notes validly tendered and not withdrawn by such holders, the Issuers or such third party will have the right, upon not less than 10 days’ nor more than 60 days’ prior notice (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notice is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excluding, the date of redemption. Any such redemption shall be effected pursuant to Article III.</w:t>
      </w:r>
    </w:p>
    <w:p>
      <w:pPr>
        <w:spacing w:after="0" w:line="90"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4.09 </w:t>
      </w:r>
      <w:r>
        <w:rPr>
          <w:rFonts w:ascii="Times New Roman" w:cs="Times New Roman" w:eastAsia="Times New Roman" w:hAnsi="Times New Roman"/>
          <w:sz w:val="12"/>
          <w:szCs w:val="12"/>
          <w:u w:val="single" w:color="auto"/>
          <w:color w:val="auto"/>
        </w:rPr>
        <w:t>Compliance Certificate</w:t>
      </w:r>
      <w:r>
        <w:rPr>
          <w:rFonts w:ascii="Times New Roman" w:cs="Times New Roman" w:eastAsia="Times New Roman" w:hAnsi="Times New Roman"/>
          <w:sz w:val="12"/>
          <w:szCs w:val="12"/>
          <w:color w:val="auto"/>
        </w:rPr>
        <w:t>. The Issuers shall deliver to the Trustee within 120 days after the end of each fiscal year of the Company, beginning with the fiscal year ending on December 31, 2025, an Officer’s Certificate stating that in the course of the performance by the signers of their duties as Officers of each Issuer they would normally have knowledge of any Default and whether or not the signers know of any Default that occurred during such period. If any Officer of an Issuer does know of a Default, the Officer’s Certificate shall describe the Default, its status and what action the Issuers are taking or propose to take with respect thereto.</w:t>
      </w:r>
    </w:p>
    <w:p>
      <w:pPr>
        <w:spacing w:after="0" w:line="87"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4.10 </w:t>
      </w:r>
      <w:r>
        <w:rPr>
          <w:rFonts w:ascii="Times New Roman" w:cs="Times New Roman" w:eastAsia="Times New Roman" w:hAnsi="Times New Roman"/>
          <w:sz w:val="12"/>
          <w:szCs w:val="12"/>
          <w:u w:val="single" w:color="auto"/>
          <w:color w:val="auto"/>
        </w:rPr>
        <w:t>Further Instruments and Acts</w:t>
      </w:r>
      <w:r>
        <w:rPr>
          <w:rFonts w:ascii="Times New Roman" w:cs="Times New Roman" w:eastAsia="Times New Roman" w:hAnsi="Times New Roman"/>
          <w:sz w:val="12"/>
          <w:szCs w:val="12"/>
          <w:color w:val="auto"/>
        </w:rPr>
        <w:t>. Upon request of the Trustee, the Issuers shall execute and deliver such further instruments and do such further acts as may be reasonably necessary or proper to carry out more effectively the purpose of this Indenture.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66</w:t>
      </w:r>
    </w:p>
    <w:p>
      <w:pPr>
        <w:sectPr>
          <w:pgSz w:w="11900" w:h="16840" w:orient="portrait"/>
          <w:cols w:equalWidth="0" w:num="1">
            <w:col w:w="10620"/>
          </w:cols>
          <w:pgMar w:left="640" w:top="1440" w:right="640" w:bottom="1440" w:gutter="0" w:footer="0" w:header="0"/>
        </w:sectPr>
      </w:pPr>
    </w:p>
    <w:bookmarkStart w:id="369" w:name="page370"/>
    <w:bookmarkEnd w:id="369"/>
    <w:p>
      <w:pPr>
        <w:spacing w:after="0" w:line="14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4.11</w:t>
      </w:r>
      <w:r>
        <w:rPr>
          <w:sz w:val="20"/>
          <w:szCs w:val="20"/>
          <w:color w:val="auto"/>
        </w:rPr>
        <w:tab/>
      </w:r>
      <w:r>
        <w:rPr>
          <w:rFonts w:ascii="Times New Roman" w:cs="Times New Roman" w:eastAsia="Times New Roman" w:hAnsi="Times New Roman"/>
          <w:sz w:val="12"/>
          <w:szCs w:val="12"/>
          <w:u w:val="single" w:color="auto"/>
          <w:color w:val="auto"/>
        </w:rPr>
        <w:t>Future Guarantors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tabs>
          <w:tab w:leader="none" w:pos="904"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cause each of its Subsidiaries that is not an Excluded Subsidiary (other than a Subsidiary that is an Excluded Subsidiary pursuant to clause (a) or (b) of the definition thereof) and that guarantees or becomes a borrower under any Credit Agreement (including the Initial Credit Agreement) or that guarantees other Capital Markets Indebtedness of any Issuer or Guarantor to execute and deliver to the Trustee a supplemental indenture substantially in the form of Exhibit B hereto pursuant to which such Subsidiary will guarantee the Notes Obligations, subject to the Agreed Guarantee and Security Principles.</w:t>
      </w:r>
    </w:p>
    <w:p>
      <w:pPr>
        <w:spacing w:after="0" w:line="204"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that becomes a Guarantor after the Initial Tender Offer Closing Date shall also become a party to the applicable Collateral Documents and shall execute, deliver, record and/or file, as applicable, such security instruments, pledge agreements and other security documents as may be necessary to have the property or assets of such Person subject to a valid and perfected security interest in favor of the Notes Collateral Agent for the benefit of the Notes Secured Parties (subject to the Agreed Guarantee and Security Principles), and thereupon all provisions of this Indenture relating to the Collateral shall be deemed to relate to such properties and assets to the same extent and with the same force and effect.</w:t>
      </w:r>
    </w:p>
    <w:p>
      <w:pPr>
        <w:spacing w:after="0" w:line="87"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4.12</w:t>
      </w:r>
      <w:r>
        <w:rPr>
          <w:sz w:val="20"/>
          <w:szCs w:val="20"/>
          <w:color w:val="auto"/>
        </w:rPr>
        <w:tab/>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63"/>
        <w:spacing w:after="0" w:line="231" w:lineRule="auto"/>
        <w:tabs>
          <w:tab w:leader="none" w:pos="904"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and shall not permit any of the Restricted Subsidiaries to, directly or indirectly, create, Incur or suffer to exist any Lien (except Permitted Liens) on any asset or property of the Company or any Restricted Subsidiary (other than Unrestricted Margin Stock) securing Indebtedness of the Company or a Restricted Subsidiary except, in the case of any assets or property that do not constitute Collateral, any Lien securing Indebtedness if the Notes and the Guarantees are equally and ratably secured with (or, at the Company’s election, on a senior basis to) the Indebtedness so secured until such time as such Indebtedness is no longer secured by a Lien on such asset or property.</w:t>
      </w:r>
    </w:p>
    <w:p>
      <w:pPr>
        <w:spacing w:after="0" w:line="87"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 that is granted to secure the Notes or any Guarantees under Section 4.12(a) shall be automatically released and discharged at the same time as the release of the Lien that gave rise to the obligation to secure the Notes or such Guarantees.</w:t>
      </w:r>
    </w:p>
    <w:p>
      <w:pPr>
        <w:spacing w:after="0" w:line="80" w:lineRule="exact"/>
        <w:rPr>
          <w:rFonts w:ascii="Times New Roman" w:cs="Times New Roman" w:eastAsia="Times New Roman" w:hAnsi="Times New Roman"/>
          <w:sz w:val="12"/>
          <w:szCs w:val="12"/>
          <w:color w:val="auto"/>
        </w:rPr>
      </w:pPr>
    </w:p>
    <w:p>
      <w:pPr>
        <w:jc w:val="both"/>
        <w:ind w:firstLine="463"/>
        <w:spacing w:after="0" w:line="224" w:lineRule="auto"/>
        <w:tabs>
          <w:tab w:leader="none" w:pos="904"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compliance with this Section 4.12, (i) a Lien securing an item of Indebtedness need not be permitted solely by reference to one category of Permitted Liens (or any portion thereof) described in the definition of “Permitted Liens” or pursuant to Section 4.12(a) but may be permitted in part under any combination thereof and (ii) in the event that a Lien securing an item of Indebtedness (or any portion thereof) meets the criteria of one or more of the categories of Permitted Liens (or any portion thereof) described in the definition of “Permitted Liens” or pursuant to Section 4.12(a), the Issuers may, in their sole discretion, classify or reclassify, or later divide, classify or reclassify (as if Incurred at such later time), such Lien securing such item of Indebtedness (or any portion thereof) in any manner that complies with this covenant and will be entitled to only include the amount and type of such Lien or such item of Indebtedness secured by such Lien (or any portion thereof) in one of the categories of Permitted Liens (or any portion thereof) described in the definition of “Permitted Liens” or pursuant to Section 4.12(a) and, in such event, such Lien securing such item of Indebtedness (or any portion thereof) will be treated as being Incurred or existing pursuant to only such clause or clauses (or any portion thereof) or pursuant to Section 4.12(a).</w:t>
      </w:r>
    </w:p>
    <w:p>
      <w:pPr>
        <w:spacing w:after="0" w:line="88" w:lineRule="exact"/>
        <w:rPr>
          <w:rFonts w:ascii="Times New Roman" w:cs="Times New Roman" w:eastAsia="Times New Roman" w:hAnsi="Times New Roman"/>
          <w:sz w:val="12"/>
          <w:szCs w:val="12"/>
          <w:color w:val="auto"/>
        </w:rPr>
      </w:pPr>
    </w:p>
    <w:p>
      <w:pPr>
        <w:jc w:val="both"/>
        <w:ind w:firstLine="463"/>
        <w:spacing w:after="0" w:line="236" w:lineRule="auto"/>
        <w:tabs>
          <w:tab w:leader="none" w:pos="904"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Lien securing Indebtedness that was permitted to secure such Indebtedness at the time of the Incurrence of such Indebtedness, such Lien shall also be permitted to secure any increases in the amount of Indebtedness outstanding solely as a result of fluctuations in the exchange rate of currencies or increases in the value of property securing Indebtedness described in clause (11) of the definition of “Indebtedness.”</w:t>
      </w:r>
    </w:p>
    <w:p>
      <w:pPr>
        <w:spacing w:after="0" w:line="88"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4.13 </w:t>
      </w:r>
      <w:r>
        <w:rPr>
          <w:rFonts w:ascii="Times New Roman" w:cs="Times New Roman" w:eastAsia="Times New Roman" w:hAnsi="Times New Roman"/>
          <w:sz w:val="12"/>
          <w:szCs w:val="12"/>
          <w:u w:val="single" w:color="auto"/>
          <w:color w:val="auto"/>
        </w:rPr>
        <w:t>After Acquired Property</w:t>
      </w:r>
      <w:r>
        <w:rPr>
          <w:rFonts w:ascii="Times New Roman" w:cs="Times New Roman" w:eastAsia="Times New Roman" w:hAnsi="Times New Roman"/>
          <w:sz w:val="12"/>
          <w:szCs w:val="12"/>
          <w:color w:val="auto"/>
        </w:rPr>
        <w:t>. From and after the Initial Tender Offer Closing Date, if any asset is acquired by any Grantor or owned by an entity at the time it becomes a Guarantor (in each case other than (x) assets constituting Collateral under a Collateral Document that automatically become subject to the Lien of such Collateral Document upon acquisition thereof and (y) assets constituting Excluded Property), such Grantor will (i) notify the Trustee and the Notes Collateral Agent of such acquisition or ownership and (ii) cause such asset to be subjected to a Lien (subject to any Permitted Liens) securing the Notes Obligations, and take, and cause the Grantors to take, such actions as may be required to perfect such Liens subject to, in each case, the exceptions and limitations set forth in this Indenture, the Collateral Documents and the Agreed Guarantee and Security Principles.</w:t>
      </w:r>
    </w:p>
    <w:p>
      <w:pPr>
        <w:spacing w:after="0" w:line="9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4.14</w:t>
      </w:r>
      <w:r>
        <w:rPr>
          <w:sz w:val="20"/>
          <w:szCs w:val="20"/>
          <w:color w:val="auto"/>
        </w:rPr>
        <w:tab/>
      </w:r>
      <w:r>
        <w:rPr>
          <w:rFonts w:ascii="Times New Roman" w:cs="Times New Roman" w:eastAsia="Times New Roman" w:hAnsi="Times New Roman"/>
          <w:sz w:val="12"/>
          <w:szCs w:val="12"/>
          <w:u w:val="single" w:color="auto"/>
          <w:color w:val="auto"/>
        </w:rPr>
        <w:t>Maintenance of Office or Agency</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20" w:firstLine="463"/>
        <w:spacing w:after="0" w:line="253" w:lineRule="auto"/>
        <w:tabs>
          <w:tab w:leader="none" w:pos="904"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shall maintain an office or agency (which may be an office of the Trustee or an affiliate of the Trustee or Registrar) where Notes may be surrendered for registration of transfer or for exchange. The Issuers shall give prompt written notice to the Trustee of the location, and any change in the location, of such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67</w:t>
      </w:r>
    </w:p>
    <w:p>
      <w:pPr>
        <w:sectPr>
          <w:pgSz w:w="11900" w:h="16840" w:orient="portrait"/>
          <w:cols w:equalWidth="0" w:num="1">
            <w:col w:w="10620"/>
          </w:cols>
          <w:pgMar w:left="640" w:top="1440" w:right="640" w:bottom="1440" w:gutter="0" w:footer="0" w:header="0"/>
        </w:sectPr>
      </w:pPr>
    </w:p>
    <w:bookmarkStart w:id="370" w:name="page371"/>
    <w:bookmarkEnd w:id="370"/>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office or agency. If at any time the Issuers shall fail to maintain any such required office or agency or shall fail to furnish the Trustee with the address thereof, such presentations and surrenders may be made at the Corporate Trust Office of the Trustee as set forth in Section 13.01.</w:t>
      </w:r>
    </w:p>
    <w:p>
      <w:pPr>
        <w:spacing w:after="0" w:line="80" w:lineRule="exact"/>
        <w:rPr>
          <w:sz w:val="20"/>
          <w:szCs w:val="20"/>
          <w:color w:val="auto"/>
        </w:rPr>
      </w:pPr>
    </w:p>
    <w:p>
      <w:pPr>
        <w:jc w:val="both"/>
        <w:ind w:firstLine="463"/>
        <w:spacing w:after="0" w:line="236" w:lineRule="auto"/>
        <w:tabs>
          <w:tab w:leader="none" w:pos="904"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designation or rescission shall in any manner relieve the Issuers of their obligation to maintain an office or agency for such purposes. The Issuers shall give prompt written notice to the Trustee of any such designation or rescission and of any change in the location of any such other office or agency.</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hereby designate the Corporate Trust Office of the Trustee or its agent as such office or agency of the Issuers in accordance with Section 2.04.</w:t>
      </w:r>
    </w:p>
    <w:p>
      <w:pPr>
        <w:spacing w:after="0" w:line="109"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4.15 </w:t>
      </w:r>
      <w:r>
        <w:rPr>
          <w:rFonts w:ascii="Times New Roman" w:cs="Times New Roman" w:eastAsia="Times New Roman" w:hAnsi="Times New Roman"/>
          <w:sz w:val="12"/>
          <w:szCs w:val="12"/>
          <w:u w:val="single" w:color="auto"/>
          <w:color w:val="auto"/>
        </w:rPr>
        <w:t>Covenant Suspension</w:t>
      </w:r>
      <w:r>
        <w:rPr>
          <w:rFonts w:ascii="Times New Roman" w:cs="Times New Roman" w:eastAsia="Times New Roman" w:hAnsi="Times New Roman"/>
          <w:sz w:val="12"/>
          <w:szCs w:val="12"/>
          <w:color w:val="auto"/>
        </w:rPr>
        <w:t>. If on any date following the Initial Tender Offer Closing Date, (i) the Notes have Investment Grade Ratings from both Rating Agencies, and (ii) no Default has occurred and is continuing under this Indenture, then, beginning on that day (the occurrence of the events described in the foregoing clauses (i) and (ii) being collectively referred to as a “</w:t>
      </w:r>
      <w:r>
        <w:rPr>
          <w:rFonts w:ascii="Times New Roman" w:cs="Times New Roman" w:eastAsia="Times New Roman" w:hAnsi="Times New Roman"/>
          <w:sz w:val="12"/>
          <w:szCs w:val="12"/>
          <w:u w:val="single" w:color="auto"/>
          <w:color w:val="auto"/>
        </w:rPr>
        <w:t>Covenant Suspension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Event</w:t>
      </w:r>
      <w:r>
        <w:rPr>
          <w:rFonts w:ascii="Times New Roman" w:cs="Times New Roman" w:eastAsia="Times New Roman" w:hAnsi="Times New Roman"/>
          <w:sz w:val="12"/>
          <w:szCs w:val="12"/>
          <w:color w:val="auto"/>
        </w:rPr>
        <w:t>”), the Issuers and the Restricted Subsidiaries shall not be subject to Sections 4.03, 4.04, 4.05, 4.06, 4.07, 4.11, 5.01(a)(iv) and 5.01(b) (collectively, the “</w:t>
      </w:r>
      <w:r>
        <w:rPr>
          <w:rFonts w:ascii="Times New Roman" w:cs="Times New Roman" w:eastAsia="Times New Roman" w:hAnsi="Times New Roman"/>
          <w:sz w:val="12"/>
          <w:szCs w:val="12"/>
          <w:u w:val="single" w:color="auto"/>
          <w:color w:val="auto"/>
        </w:rPr>
        <w:t>Suspended Covenants</w:t>
      </w:r>
      <w:r>
        <w:rPr>
          <w:rFonts w:ascii="Times New Roman" w:cs="Times New Roman" w:eastAsia="Times New Roman" w:hAnsi="Times New Roman"/>
          <w:sz w:val="12"/>
          <w:szCs w:val="12"/>
          <w:color w:val="auto"/>
        </w:rPr>
        <w:t>”). In the event that the Company and its Restricted Subsidiaries are not subject to the Suspended Covenants under this Indenture for any period of time as a result of the foregoing, and on any subsequent date (the “</w:t>
      </w:r>
      <w:r>
        <w:rPr>
          <w:rFonts w:ascii="Times New Roman" w:cs="Times New Roman" w:eastAsia="Times New Roman" w:hAnsi="Times New Roman"/>
          <w:sz w:val="12"/>
          <w:szCs w:val="12"/>
          <w:u w:val="single" w:color="auto"/>
          <w:color w:val="auto"/>
        </w:rPr>
        <w:t>Reversion Date</w:t>
      </w:r>
      <w:r>
        <w:rPr>
          <w:rFonts w:ascii="Times New Roman" w:cs="Times New Roman" w:eastAsia="Times New Roman" w:hAnsi="Times New Roman"/>
          <w:sz w:val="12"/>
          <w:szCs w:val="12"/>
          <w:color w:val="auto"/>
        </w:rPr>
        <w:t>”) one or both of the Rating Agencies withdraw their Investment Grade Rating or downgrade the rating assigned to the Notes below an Investment Grade Rating, then the Company and its Restricted Subsidiaries will thereafter again be subject to the Suspended Covenants under this Indenture with respect to future events. The period of time between the Covenant Suspension Event and the Reversion Date is referred to as the “</w:t>
      </w:r>
      <w:r>
        <w:rPr>
          <w:rFonts w:ascii="Times New Roman" w:cs="Times New Roman" w:eastAsia="Times New Roman" w:hAnsi="Times New Roman"/>
          <w:sz w:val="12"/>
          <w:szCs w:val="12"/>
          <w:u w:val="single" w:color="auto"/>
          <w:color w:val="auto"/>
        </w:rPr>
        <w:t>Suspension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Period</w:t>
      </w:r>
      <w:r>
        <w:rPr>
          <w:rFonts w:ascii="Times New Roman" w:cs="Times New Roman" w:eastAsia="Times New Roman" w:hAnsi="Times New Roman"/>
          <w:sz w:val="12"/>
          <w:szCs w:val="12"/>
          <w:color w:val="auto"/>
        </w:rPr>
        <w:t>.” The Issuers shall provide the Trustee with written notice of each Covenant Suspension Event or Reversion Date within five (5) Business Days of the occurrence thereof. The Trustee shall have no obligation to independently determine or verify if a Covenant Suspension Event or Reversion Date has occurred or notify the holders of any Covenant Suspension Event or Reversion Date.</w:t>
      </w:r>
    </w:p>
    <w:p>
      <w:pPr>
        <w:spacing w:after="0" w:line="97"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Additionally, during a Suspension Period the Company will no longer be permitted to designate any Restricted Subsidiary as an Unrestricted Subsidiary unless the Company would have been permitted to designate such Subsidiary as an Unrestricted Subsidiary if a Suspension Period had not been in effect for any period and, following the Reversion Date, such designation shall be deemed an Investment pursuant to Section 4.04(c) at the time of such designation.</w:t>
      </w:r>
    </w:p>
    <w:p>
      <w:pPr>
        <w:spacing w:after="0" w:line="91" w:lineRule="exact"/>
        <w:rPr>
          <w:sz w:val="20"/>
          <w:szCs w:val="20"/>
          <w:color w:val="auto"/>
        </w:rPr>
      </w:pPr>
    </w:p>
    <w:p>
      <w:pPr>
        <w:jc w:val="both"/>
        <w:ind w:firstLine="457"/>
        <w:spacing w:after="0" w:line="252" w:lineRule="auto"/>
        <w:rPr>
          <w:sz w:val="20"/>
          <w:szCs w:val="20"/>
          <w:color w:val="auto"/>
        </w:rPr>
      </w:pPr>
      <w:r>
        <w:rPr>
          <w:rFonts w:ascii="Times New Roman" w:cs="Times New Roman" w:eastAsia="Times New Roman" w:hAnsi="Times New Roman"/>
          <w:sz w:val="12"/>
          <w:szCs w:val="12"/>
          <w:color w:val="auto"/>
        </w:rPr>
        <w:t>On each Reversion Date, all Indebtedness Incurred, or Disqualified Stock or Preferred Stock issued, during the Suspension Period will be classified as having been Incurred or issued pursuant to Section 4.03(a) or (b) (to the extent such Indebtedness or Disqualified Stock or Preferred Stock would be permitted to be Incurred or issued thereunder as of the Reversion Date and after giving effect to Indebtedness or Disqualified Stock or Preferred Stock Incurred or issued prior to the Suspension Period and outstanding on the Reversion Date) . To the extent such Indebtedness or Disqualified Stock or Preferred Stock would not be so permitted to be Incurred or issued pursuant to Section 4.03(a) or (b), such Indebtedness or Disqualified Stock or Preferred Stock will be deemed to have been outstanding on the Issue Date or Initial Tender Offer Closing Date, as applicable, so that it is classified as permitted under Section 4.03(b)(iii) . Calculations made after the Reversion Date of the amount available to be made as Restricted Payments under Section 4.04 will be made as though Section 4.04 had been in effect since the Issue Date and prior to, but not during, the Suspension Period (except to the extent expressly set forth in the immediately preceding paragraph) . Accordingly, Restricted Payments made during the Suspension Period will not reduce the amount available to be made as Restricted Payments under Section 4.04(a) (except to the extent expressly set forth in the immediately preceding paragraph). As described above, no Default or Event of Default will be deemed to have occurred on the Reversion Date in respect of the Suspended Covenants as a result of any actions taken by the Company or the Restricted Subsidiaries during the Suspension Period or any actions taken at any time pursuant to any contractual obligation arising prior to the Reversion Date, regardless of whether such actions or events would have been permitted if the applicable Suspended Covenants remained in effect during such period. Within 30 days of such Reversion Date, the Company must comply with the terms of Section 4.11 and Section 5.01(b), including, for the avoidance of doubt, by taking action to reinstate any Guarantees previously released pursuant to clause (v) of Section 12.03.</w:t>
      </w:r>
    </w:p>
    <w:p>
      <w:pPr>
        <w:spacing w:after="0" w:line="100"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For purposes of Section 4.05, on the Reversion Date, any consensual encumbrances or consensual restrictions of the type specified in Section 4.05(a) or 4.05(b) thereof entered into during the Suspension Period will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68</w:t>
      </w:r>
    </w:p>
    <w:p>
      <w:pPr>
        <w:sectPr>
          <w:pgSz w:w="11900" w:h="16840" w:orient="portrait"/>
          <w:cols w:equalWidth="0" w:num="1">
            <w:col w:w="10620"/>
          </w:cols>
          <w:pgMar w:left="640" w:top="1440" w:right="640" w:bottom="1440" w:gutter="0" w:footer="0" w:header="0"/>
        </w:sectPr>
      </w:pPr>
    </w:p>
    <w:bookmarkStart w:id="371" w:name="page372"/>
    <w:bookmarkEnd w:id="371"/>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 deemed to have been in effect on the Issue Date or Initial Tender Offer Closing Date, as applicable, so that they are permitted under Section 4.05(1)(A).</w:t>
      </w:r>
    </w:p>
    <w:p>
      <w:pPr>
        <w:spacing w:after="0" w:line="12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For purposes of Section 4.07, any Affiliate Transaction entered into after the Reversion Date pursuant to a contract, agreement, loan, advance or guaranty with, or for the benefit of, any Affiliate of the Company entered into during the Suspension Period will be deemed to have been in effect as of the Issue Date or Initial Tender Offer Closing Date, as applicable, for purposes of Section 4.07(b)(vi).</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purposes of Section 4.06, on the Reversion Date, the unutilized Excess Proceeds amount will be reset to zero.</w:t>
      </w:r>
    </w:p>
    <w:p>
      <w:pPr>
        <w:spacing w:after="0" w:line="119" w:lineRule="exact"/>
        <w:rPr>
          <w:sz w:val="20"/>
          <w:szCs w:val="20"/>
          <w:color w:val="auto"/>
        </w:rPr>
      </w:pPr>
    </w:p>
    <w:p>
      <w:pPr>
        <w:jc w:val="both"/>
        <w:ind w:right="20" w:firstLine="457"/>
        <w:spacing w:after="0" w:line="225" w:lineRule="auto"/>
        <w:rPr>
          <w:sz w:val="20"/>
          <w:szCs w:val="20"/>
          <w:color w:val="auto"/>
        </w:rPr>
      </w:pPr>
      <w:r>
        <w:rPr>
          <w:rFonts w:ascii="Times New Roman" w:cs="Times New Roman" w:eastAsia="Times New Roman" w:hAnsi="Times New Roman"/>
          <w:sz w:val="12"/>
          <w:szCs w:val="12"/>
          <w:color w:val="auto"/>
        </w:rPr>
        <w:t xml:space="preserve">SECTION 4.16 </w:t>
      </w:r>
      <w:r>
        <w:rPr>
          <w:rFonts w:ascii="Times New Roman" w:cs="Times New Roman" w:eastAsia="Times New Roman" w:hAnsi="Times New Roman"/>
          <w:sz w:val="12"/>
          <w:szCs w:val="12"/>
          <w:u w:val="single" w:color="auto"/>
          <w:color w:val="auto"/>
        </w:rPr>
        <w:t>Information Regarding Collateral</w:t>
      </w:r>
      <w:r>
        <w:rPr>
          <w:rFonts w:ascii="Times New Roman" w:cs="Times New Roman" w:eastAsia="Times New Roman" w:hAnsi="Times New Roman"/>
          <w:sz w:val="12"/>
          <w:szCs w:val="12"/>
          <w:color w:val="auto"/>
        </w:rPr>
        <w:t xml:space="preserve">. The Issuers shall furnish to the Trustee and the Notes Collateral Agent prompt written notice of any change (i) in any Grantor’s corporate or organization name, (ii) in any Grantor’s identity or organizational structure, (iii) in any Grantor’s organizational identification number (to the extent relevant in the applicable jurisdiction of organization) or (iv) in any Grantor’s jurisdiction of organization;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within thirty (30) days following such change, the Company shall make all filings under the Uniform Commercial Code (or its equivalent in any applicable jurisdiction) that are required, subject to the Agreed Guarantee and Security Principles, in order for the Notes Collateral Agent to continue to have a valid, legal and perfected security interest in all the Collateral in which a security interest may be perfected by such filing, for the benefit of the Notes Secured Parties. It is understood that the Issuers and the Grantors, and not the Trustee or the Notes Collateral Agent, shall be obligated to make such filings or otherwise maintain perfection.</w:t>
      </w:r>
    </w:p>
    <w:p>
      <w:pPr>
        <w:spacing w:after="0" w:line="90" w:lineRule="exact"/>
        <w:rPr>
          <w:sz w:val="20"/>
          <w:szCs w:val="20"/>
          <w:color w:val="auto"/>
        </w:rPr>
      </w:pPr>
    </w:p>
    <w:p>
      <w:pPr>
        <w:jc w:val="both"/>
        <w:ind w:right="20" w:firstLine="457"/>
        <w:spacing w:after="0"/>
        <w:rPr>
          <w:sz w:val="20"/>
          <w:szCs w:val="20"/>
          <w:color w:val="auto"/>
        </w:rPr>
      </w:pPr>
      <w:r>
        <w:rPr>
          <w:rFonts w:ascii="Times New Roman" w:cs="Times New Roman" w:eastAsia="Times New Roman" w:hAnsi="Times New Roman"/>
          <w:sz w:val="12"/>
          <w:szCs w:val="12"/>
          <w:color w:val="auto"/>
        </w:rPr>
        <w:t xml:space="preserve">SECTION 4.17 </w:t>
      </w:r>
      <w:r>
        <w:rPr>
          <w:rFonts w:ascii="Times New Roman" w:cs="Times New Roman" w:eastAsia="Times New Roman" w:hAnsi="Times New Roman"/>
          <w:sz w:val="12"/>
          <w:szCs w:val="12"/>
          <w:u w:val="single" w:color="auto"/>
          <w:color w:val="auto"/>
        </w:rPr>
        <w:t>Corresponding Action</w:t>
      </w:r>
      <w:r>
        <w:rPr>
          <w:rFonts w:ascii="Times New Roman" w:cs="Times New Roman" w:eastAsia="Times New Roman" w:hAnsi="Times New Roman"/>
          <w:sz w:val="12"/>
          <w:szCs w:val="12"/>
          <w:color w:val="auto"/>
        </w:rPr>
        <w:t>. Each Grantor agrees that if it shall be required to take any action following the Initial Tender Offer Closing Date to grant, perfect or otherwise establish a Lien on and/or security interest in any of its assets or properties to secure the Initial Credit Agreement Obligations, then, subject to any then-applicable Intercreditor Agreement, such Grantor shall take the corresponding actions in favor of the Notes Collateral Agent in order to provide a corresponding benefit to the Notes Collateral Agent for its benefit and the benefit of the Notes Secured Parties. Notwithstanding any other provision in this Indenture or the Collateral Documents, so long as Initial Credit Agreement Obligations are secured, the Company and the Grantors will only be required to grant, perfect or maintain a Lien on any of their assets or properties in favor of the Notes Collateral Agent for its benefit and the benefit of the Notes Secured Parties to the same extent that they are required to do so to secure the Initial Credit Agreement Obligations.</w:t>
      </w:r>
    </w:p>
    <w:p>
      <w:pPr>
        <w:spacing w:after="0" w:line="176"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4.18 </w:t>
      </w: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Subject to the Agreed Guarantee and Security Principles, the Grantors shall execute any and all further documents, agreements and instruments, and take all such further actions (including the filing and recording of financing statements and other documents), that are required by applicable law or that the Trustee or the Notes Collateral Agent may reasonably request, as may be necessary or proper to evidence, create, perfect, maintain and enforce the security interests and the priority thereof in the Collateral in favor of the Notes Collateral Agent for the benefit of the Notes Secured Parties, and to otherwise effectuate the provisions or purposes of this Indenture and the Collateral Documents.</w:t>
      </w:r>
    </w:p>
    <w:p>
      <w:pPr>
        <w:spacing w:after="0" w:line="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0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SUCCESSOR COMPANY</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5.01</w:t>
      </w:r>
      <w:r>
        <w:rPr>
          <w:sz w:val="20"/>
          <w:szCs w:val="20"/>
          <w:color w:val="auto"/>
        </w:rPr>
        <w:tab/>
      </w:r>
      <w:r>
        <w:rPr>
          <w:rFonts w:ascii="Times New Roman" w:cs="Times New Roman" w:eastAsia="Times New Roman" w:hAnsi="Times New Roman"/>
          <w:sz w:val="12"/>
          <w:szCs w:val="12"/>
          <w:u w:val="single" w:color="auto"/>
          <w:color w:val="auto"/>
        </w:rPr>
        <w:t>When an Issuer and a Guarantor May Merge or Transfer Assets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40" w:firstLine="463"/>
        <w:spacing w:after="0" w:line="253" w:lineRule="auto"/>
        <w:tabs>
          <w:tab w:leader="none" w:pos="904"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Issuer may not, directly or indirectly, consolidate, amalgamate or merge with or into or wind up into (whether or not such Issuer is the surviving Person), or sell, assign, transfer, lease, convey or otherwise dispose of all or substantially all of its properties or assets in one or more related transactions to, any Person unless:</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27" w:lineRule="auto"/>
        <w:tabs>
          <w:tab w:leader="none" w:pos="1364" w:val="left"/>
        </w:tabs>
        <w:numPr>
          <w:ilvl w:val="1"/>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Issuer is the surviving Person or the Person formed by or surviving any such consolidation, amalgamation, merger or winding-up (if other than such Issuer) or to which such sale, assignment, transfer, lease, conveyance or other disposition will have been made is a company, corporation, partnership, trust or limited liability company or other business entity organized or existing under the laws of any member state in the European Union, the United Kingdom, Norway, Switzerland or the United States, any state thereof, the District of Columbia, or any territory thereof (collectively, the “</w:t>
      </w:r>
      <w:r>
        <w:rPr>
          <w:rFonts w:ascii="Times New Roman" w:cs="Times New Roman" w:eastAsia="Times New Roman" w:hAnsi="Times New Roman"/>
          <w:sz w:val="12"/>
          <w:szCs w:val="12"/>
          <w:u w:val="single" w:color="auto"/>
          <w:color w:val="auto"/>
        </w:rPr>
        <w:t>Permitted Jurisdictions</w:t>
      </w:r>
      <w:r>
        <w:rPr>
          <w:rFonts w:ascii="Times New Roman" w:cs="Times New Roman" w:eastAsia="Times New Roman" w:hAnsi="Times New Roman"/>
          <w:sz w:val="12"/>
          <w:szCs w:val="12"/>
          <w:color w:val="auto"/>
        </w:rPr>
        <w:t>,” and such Issuer or such Person, as the case may be, being herein called the “</w:t>
      </w:r>
      <w:r>
        <w:rPr>
          <w:rFonts w:ascii="Times New Roman" w:cs="Times New Roman" w:eastAsia="Times New Roman" w:hAnsi="Times New Roman"/>
          <w:sz w:val="12"/>
          <w:szCs w:val="12"/>
          <w:u w:val="single" w:color="auto"/>
          <w:color w:val="auto"/>
        </w:rPr>
        <w:t>Successor 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giving effect to any such transaction, an entity that is organized or existing under the laws of the United States, any state thereof or the District of Columbia, shall be or become the issuer or a co-issuer of the Notes;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69</w:t>
      </w:r>
    </w:p>
    <w:p>
      <w:pPr>
        <w:sectPr>
          <w:pgSz w:w="11900" w:h="16840" w:orient="portrait"/>
          <w:cols w:equalWidth="0" w:num="1">
            <w:col w:w="10620"/>
          </w:cols>
          <w:pgMar w:left="640" w:top="1440" w:right="640" w:bottom="1440" w:gutter="0" w:footer="0" w:header="0"/>
        </w:sectPr>
      </w:pPr>
    </w:p>
    <w:bookmarkStart w:id="372" w:name="page373"/>
    <w:bookmarkEnd w:id="372"/>
    <w:p>
      <w:pPr>
        <w:spacing w:after="0" w:line="148" w:lineRule="exact"/>
        <w:rPr>
          <w:sz w:val="20"/>
          <w:szCs w:val="20"/>
          <w:color w:val="auto"/>
        </w:rPr>
      </w:pPr>
    </w:p>
    <w:p>
      <w:pPr>
        <w:jc w:val="both"/>
        <w:ind w:left="460" w:firstLine="460"/>
        <w:spacing w:after="0" w:line="236" w:lineRule="auto"/>
        <w:tabs>
          <w:tab w:leader="none" w:pos="1364"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Company (if other than such Issuer) expressly assumes all the obligations of such Issuer under this Indenture, the Notes and the Collateral Documents pursuant to supplemental indentures or other applicable documents or instruments and makes such filings and takes such other steps in each case as may be required to maintain perfection over the Collateral of the Successor Company subject to the Agreed Guarantee and Security Principles;</w:t>
      </w:r>
    </w:p>
    <w:p>
      <w:pPr>
        <w:spacing w:after="0" w:line="87"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giving effect to such transaction (and treating any Indebtedness that becomes an obligation of the Successor Company or any of its Restricted Subsidiaries as a result of such transaction as having been Incurred by the Successor Company or such Restricted Subsidiary at the time of such transaction), no Default shall have occurred and be continuing;</w:t>
      </w:r>
    </w:p>
    <w:p>
      <w:pPr>
        <w:spacing w:after="0" w:line="78" w:lineRule="exact"/>
        <w:rPr>
          <w:rFonts w:ascii="Times New Roman" w:cs="Times New Roman" w:eastAsia="Times New Roman" w:hAnsi="Times New Roman"/>
          <w:sz w:val="12"/>
          <w:szCs w:val="12"/>
          <w:color w:val="auto"/>
        </w:rPr>
      </w:pPr>
    </w:p>
    <w:p>
      <w:pPr>
        <w:jc w:val="both"/>
        <w:ind w:left="460" w:firstLine="460"/>
        <w:spacing w:after="0" w:line="237" w:lineRule="auto"/>
        <w:tabs>
          <w:tab w:leader="none" w:pos="1364"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immediately after giving </w:t>
      </w:r>
      <w:r>
        <w:rPr>
          <w:rFonts w:ascii="Times New Roman" w:cs="Times New Roman" w:eastAsia="Times New Roman" w:hAnsi="Times New Roman"/>
          <w:sz w:val="12"/>
          <w:szCs w:val="12"/>
          <w:i w:val="1"/>
          <w:iCs w:val="1"/>
          <w:color w:val="auto"/>
        </w:rPr>
        <w:t>pro forma</w:t>
      </w:r>
      <w:r>
        <w:rPr>
          <w:rFonts w:ascii="Times New Roman" w:cs="Times New Roman" w:eastAsia="Times New Roman" w:hAnsi="Times New Roman"/>
          <w:sz w:val="12"/>
          <w:szCs w:val="12"/>
          <w:color w:val="auto"/>
        </w:rPr>
        <w:t xml:space="preserve"> effect to such transaction, as if such transaction had occurred at the beginning of the applicable four-quarter period (and treating any Indebtedness that becomes an obligation of the Successor Company or any of the Restricted Subsidiaries as a result of such transaction as having been Incurred by the Successor Company or such Restricted Subsidiary at the time of such transaction), either</w:t>
      </w:r>
    </w:p>
    <w:p>
      <w:pPr>
        <w:spacing w:after="0" w:line="88"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Company would be permitted to Incur at least $1.00 of additional Indebtedness pursuant to Section 4.03(a); or</w:t>
      </w:r>
    </w:p>
    <w:p>
      <w:pPr>
        <w:spacing w:after="0" w:line="109" w:lineRule="exact"/>
        <w:rPr>
          <w:rFonts w:ascii="Times New Roman" w:cs="Times New Roman" w:eastAsia="Times New Roman" w:hAnsi="Times New Roman"/>
          <w:sz w:val="12"/>
          <w:szCs w:val="12"/>
          <w:color w:val="auto"/>
        </w:rPr>
      </w:pPr>
    </w:p>
    <w:p>
      <w:pPr>
        <w:ind w:left="1820" w:hanging="443"/>
        <w:spacing w:after="0"/>
        <w:tabs>
          <w:tab w:leader="none" w:pos="1820" w:val="left"/>
        </w:tabs>
        <w:numPr>
          <w:ilvl w:val="1"/>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Fixed Charge Coverage Ratio of the Company would be no less than such ratio immediately prior to such transaction;</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Issuer is not the Successor Company, each Guarantor, unless it is the other party to the transactions described above, shall have by supplemental indenture confirmed that its Guarantee shall apply to such Successor Company’s obligations under this Indenture and the Notes; and</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Company shall have delivered to the Trustee and the Notes Collateral Agent an Officer’s Certificate and an Opinion of Counsel, each stating that such consolidation, merger, amalgamation or transfer and such supplemental indentures (if any) comply with this Section 5.01 and that all conditions precedent provided for in this Indenture and the Collateral Documents, if any, relating to such transaction have been complied with.</w:t>
      </w:r>
    </w:p>
    <w:p>
      <w:pPr>
        <w:spacing w:after="0" w:line="97"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 xml:space="preserve">The Successor Company (if other than an Issuer) will succeed to, and be substituted for, the applicable Issuer under this Indenture, the Notes and the Collateral Documents, and in such event (other than in connection with a lease) the applicable Issuer will automatically be released and discharged from its obligations under this Indenture and the Notes. Notwithstanding the foregoing clauses (iii) and (iv) of this Section 5.01(a), (A) any Restricted Subsidiary may merge, consolidate or amalgamate with an Issuer,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(x) after giving effect to such transaction, no Default shall have occurred and be continuing and</w:t>
      </w:r>
    </w:p>
    <w:p>
      <w:pPr>
        <w:spacing w:after="0" w:line="1" w:lineRule="exact"/>
        <w:rPr>
          <w:sz w:val="20"/>
          <w:szCs w:val="20"/>
          <w:color w:val="auto"/>
        </w:rPr>
      </w:pPr>
    </w:p>
    <w:p>
      <w:pPr>
        <w:jc w:val="both"/>
        <w:ind w:right="20" w:firstLine="6"/>
        <w:spacing w:after="0" w:line="253" w:lineRule="auto"/>
        <w:tabs>
          <w:tab w:leader="none" w:pos="191"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Issuer is the Successor Company, and (B) an Issuer may merge, consolidate or amalgamate with an Affiliate of the Company incorporated or organized solely for the purpose of reincorporating or reorganizing such Issuer in any Permitted Jurisdiction, so long as the amount of Indebtedness of the Company and its Restricted Subsidiaries is not increased thereby;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giving effect to any such merger, consolidation or amalgamation, an entity that is organized or existing under the laws of the United States, any state thereof or the District of Columbia, shall be or become the issuer or a co-issuer of the Notes. This Section 5.01 will not restrict a sale, assignment, transfer, conveyance or other disposition of assets between or among the Company and its Restricted Subsidiaries.</w:t>
      </w:r>
    </w:p>
    <w:p>
      <w:pPr>
        <w:spacing w:after="0" w:line="89"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1"/>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Section 12.03, no Guarantor will, and the Company will not permit any such Guarantor to, consolidate, amalgamate or merge with or into or wind up into (whether or not such Guarantor is the surviving Person), or sell, assign, transfer, lease, convey or otherwise dispose of all or substantially all of its properties or assets in one or more related transactions to, any Person unless:</w:t>
      </w:r>
    </w:p>
    <w:p>
      <w:pPr>
        <w:spacing w:after="0" w:line="80" w:lineRule="exact"/>
        <w:rPr>
          <w:rFonts w:ascii="Times New Roman" w:cs="Times New Roman" w:eastAsia="Times New Roman" w:hAnsi="Times New Roman"/>
          <w:sz w:val="12"/>
          <w:szCs w:val="12"/>
          <w:color w:val="auto"/>
        </w:rPr>
      </w:pPr>
    </w:p>
    <w:p>
      <w:pPr>
        <w:jc w:val="both"/>
        <w:ind w:left="460" w:firstLine="460"/>
        <w:spacing w:after="0"/>
        <w:tabs>
          <w:tab w:leader="none" w:pos="1364" w:val="left"/>
        </w:tabs>
        <w:numPr>
          <w:ilvl w:val="2"/>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(a) such Guarantor is the surviving Person or the Person formed by or surviving any such consolidation, amalgamation, merger or winding up (if other than such Guarantor) or to which such sale, assignment, transfer, lease, conveyance or other disposition will have been made is a company, corporation, partnership, trust or limited liability company or other business entity organized, registered or existing under the laws of the jurisdiction in which such Guarantor was organized or registered prior to such transaction or the laws of any Permitted Jurisdiction (such Guarantor or such Person, as the case may be, being herein called the “</w:t>
      </w:r>
      <w:r>
        <w:rPr>
          <w:rFonts w:ascii="Times New Roman" w:cs="Times New Roman" w:eastAsia="Times New Roman" w:hAnsi="Times New Roman"/>
          <w:sz w:val="12"/>
          <w:szCs w:val="12"/>
          <w:u w:val="single" w:color="auto"/>
          <w:color w:val="auto"/>
        </w:rPr>
        <w:t>Successor Person</w:t>
      </w:r>
      <w:r>
        <w:rPr>
          <w:rFonts w:ascii="Times New Roman" w:cs="Times New Roman" w:eastAsia="Times New Roman" w:hAnsi="Times New Roman"/>
          <w:sz w:val="12"/>
          <w:szCs w:val="12"/>
          <w:color w:val="auto"/>
        </w:rPr>
        <w:t>”) and the Successor Person (if other than such Guarantor) expressly assumes all the obligations of such Guarantor under this Indenture, its Guarantee and the Collateral Documents pursuant to a supplemental indenture or other applicable documents or instruments and makes such filings and takes such other steps in each case as may be required to maintain perfection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70</w:t>
      </w:r>
    </w:p>
    <w:p>
      <w:pPr>
        <w:sectPr>
          <w:pgSz w:w="11900" w:h="16840" w:orient="portrait"/>
          <w:cols w:equalWidth="0" w:num="1">
            <w:col w:w="10620"/>
          </w:cols>
          <w:pgMar w:left="640" w:top="1440" w:right="640" w:bottom="1440" w:gutter="0" w:footer="0" w:header="0"/>
        </w:sectPr>
      </w:pPr>
    </w:p>
    <w:bookmarkStart w:id="373" w:name="page374"/>
    <w:bookmarkEnd w:id="373"/>
    <w:p>
      <w:pPr>
        <w:spacing w:after="0" w:line="148"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2"/>
          <w:szCs w:val="12"/>
          <w:color w:val="auto"/>
        </w:rPr>
        <w:t>over the Collateral of the Successor Person, subject to the Agreed Guarantee and Security Principles, or (b) such sale, assignment, transfer, lease, conveyance or other disposition or consolidation, amalgamation or merger is not in violation of Section 4.06; and</w:t>
      </w:r>
    </w:p>
    <w:p>
      <w:pPr>
        <w:spacing w:after="0" w:line="80" w:lineRule="exact"/>
        <w:rPr>
          <w:sz w:val="20"/>
          <w:szCs w:val="20"/>
          <w:color w:val="auto"/>
        </w:rPr>
      </w:pPr>
    </w:p>
    <w:p>
      <w:pPr>
        <w:jc w:val="both"/>
        <w:ind w:left="460" w:firstLine="460"/>
        <w:spacing w:after="0" w:line="236" w:lineRule="auto"/>
        <w:tabs>
          <w:tab w:leader="none" w:pos="1364" w:val="left"/>
        </w:tabs>
        <w:numPr>
          <w:ilvl w:val="0"/>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Person (if other than such Guarantor) shall have delivered or caused to be delivered to the Trustee and the Notes Collateral Agent an Officer’s Certificate and an Opinion of Counsel, each stating that such consolidation, amalgamation, merger or transfer and such supplemental indenture (if any) comply with this Section 5.01 and that all conditions precedent provided for in this Indenture and the Collateral Documents, if any, relating to such transaction have been complied with.</w:t>
      </w:r>
    </w:p>
    <w:p>
      <w:pPr>
        <w:spacing w:after="0" w:line="97" w:lineRule="exact"/>
        <w:rPr>
          <w:sz w:val="20"/>
          <w:szCs w:val="20"/>
          <w:color w:val="auto"/>
        </w:rPr>
      </w:pPr>
    </w:p>
    <w:p>
      <w:pPr>
        <w:jc w:val="both"/>
        <w:ind w:firstLine="457"/>
        <w:spacing w:after="0" w:line="257" w:lineRule="auto"/>
        <w:rPr>
          <w:sz w:val="20"/>
          <w:szCs w:val="20"/>
          <w:color w:val="auto"/>
        </w:rPr>
      </w:pPr>
      <w:r>
        <w:rPr>
          <w:rFonts w:ascii="Times New Roman" w:cs="Times New Roman" w:eastAsia="Times New Roman" w:hAnsi="Times New Roman"/>
          <w:sz w:val="12"/>
          <w:szCs w:val="12"/>
          <w:color w:val="auto"/>
        </w:rPr>
        <w:t>Except as otherwise provided in this Indenture, the Successor Person (if other than such Guarantor) will succeed to, and be substituted for, such Guarantor under this Indenture, its Guarantee and the Collateral Documents, and such Guarantor will automatically be released and discharged from its obligations under this Indenture, its Guarantee and the Collateral Documents. Notwithstanding the foregoing, (1) a Guarantor may merge, amalgamate or consolidate with an Affiliate of the Company incorporated or organized solely for the purpose of reincorporating or reorganizing such Guarantor in a Permitted Jurisdiction so long as the amount of Indebtedness of such Guarantor is not increased thereby and (2) a Guarantor may consolidate, amalgamate or merge with or into or wind up into, liquidate, dissolve, or sell, assign, transfer, lease, convey or otherwise dispose of all or substantially all of its properties or assets to, any Issuer or Guarantor.</w:t>
      </w:r>
    </w:p>
    <w:p>
      <w:pPr>
        <w:spacing w:after="0" w:line="99" w:lineRule="exact"/>
        <w:rPr>
          <w:sz w:val="20"/>
          <w:szCs w:val="20"/>
          <w:color w:val="auto"/>
        </w:rPr>
      </w:pPr>
    </w:p>
    <w:p>
      <w:pPr>
        <w:ind w:right="40" w:firstLine="457"/>
        <w:spacing w:after="0" w:line="287" w:lineRule="auto"/>
        <w:rPr>
          <w:sz w:val="20"/>
          <w:szCs w:val="20"/>
          <w:color w:val="auto"/>
        </w:rPr>
      </w:pPr>
      <w:r>
        <w:rPr>
          <w:rFonts w:ascii="Times New Roman" w:cs="Times New Roman" w:eastAsia="Times New Roman" w:hAnsi="Times New Roman"/>
          <w:sz w:val="12"/>
          <w:szCs w:val="12"/>
          <w:color w:val="auto"/>
        </w:rPr>
        <w:t>This Section 5.01 shall not restrict the consummation of the Initial Tender Offer on the Initial Tender Offer Closing Date or the consummation of the Acquisition on the Acquisition Date, each of which shall be permitted to occur notwithstanding anything to the contrary herein.</w:t>
      </w:r>
    </w:p>
    <w:p>
      <w:pPr>
        <w:spacing w:after="0" w:line="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DEFAULTS AND REMEDIES</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6.01</w:t>
      </w:r>
      <w:r>
        <w:rPr>
          <w:sz w:val="20"/>
          <w:szCs w:val="20"/>
          <w:color w:val="auto"/>
        </w:rPr>
        <w:tab/>
      </w:r>
      <w:r>
        <w:rPr>
          <w:rFonts w:ascii="Times New Roman" w:cs="Times New Roman" w:eastAsia="Times New Roman" w:hAnsi="Times New Roman"/>
          <w:sz w:val="12"/>
          <w:szCs w:val="12"/>
          <w:u w:val="single" w:color="auto"/>
          <w:color w:val="auto"/>
        </w:rPr>
        <w:t>Events of Default</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occurs with respect to the Notes if:</w:t>
      </w:r>
    </w:p>
    <w:p>
      <w:pPr>
        <w:spacing w:after="0" w:line="109" w:lineRule="exact"/>
        <w:rPr>
          <w:sz w:val="20"/>
          <w:szCs w:val="20"/>
          <w:color w:val="auto"/>
        </w:rPr>
      </w:pPr>
    </w:p>
    <w:p>
      <w:pPr>
        <w:ind w:left="920" w:hanging="457"/>
        <w:spacing w:after="0"/>
        <w:tabs>
          <w:tab w:leader="none" w:pos="920"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default in any payment of interest on any Note when due, and such default continues for a period of 30 days;</w:t>
      </w:r>
    </w:p>
    <w:p>
      <w:pPr>
        <w:spacing w:after="0" w:line="109" w:lineRule="exact"/>
        <w:rPr>
          <w:rFonts w:ascii="Times New Roman" w:cs="Times New Roman" w:eastAsia="Times New Roman" w:hAnsi="Times New Roman"/>
          <w:sz w:val="12"/>
          <w:szCs w:val="12"/>
          <w:color w:val="auto"/>
        </w:rPr>
      </w:pPr>
    </w:p>
    <w:p>
      <w:pPr>
        <w:ind w:right="40" w:firstLine="463"/>
        <w:spacing w:after="0" w:line="253" w:lineRule="auto"/>
        <w:tabs>
          <w:tab w:leader="none" w:pos="904"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default in the payment of principal or premium, if any, of any Note when due at its Stated Maturity, upon redemption (including on a Special Mandatory Redemption Date), required repurchase or otherwise;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for 90 days after receipt of written notice given by the Trustee or the holders of not less than 30% in aggregate principal amount of the Notes then outstanding (with a copy to the Trustee) to comply with any of its obligations, covenants or agreements in Section 4.02;</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or any Restricted Subsidiary for 60 days after written notice given by the Trustee or the holders of not less than 30% in principal amount of the Notes then outstanding (with a copy to the Trustee) to comply with its other obligations, covenants or agreements (other than a default referred to in clause (a), (b) or (c) above) contained in the Notes or this Indenture;</w:t>
      </w:r>
    </w:p>
    <w:p>
      <w:pPr>
        <w:spacing w:after="0" w:line="80"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or any Significant Subsidiary (or any group of Subsidiaries that together would constitute a Significant Subsidiary) to pay any Indebtedness (other than Indebtedness owing to the Company or a Restricted Subsidiary) within any applicable grace period after final maturity or the acceleration of any such Indebtedness by the holders thereof because of a default (except for any such default that results from a sale, pledge or other disposition or encumbrance of Unrestricted Margin Stock), in each case, if the total amount of such Indebtedness unpaid or accelerated exceeds $125 million or its foreign currency equivalent;</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or a Significant Subsidiary (or any group of Subsidiaries that together would constitute a Significant Subsidiary) pursuant to or within the meaning of any Bankruptcy Law:</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commences a voluntary case;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consents to the entry of an order for relief against it in an involuntary case;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consents to the appointment of a Custodian of it or for any substantial part of its property; 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71</w:t>
      </w:r>
    </w:p>
    <w:p>
      <w:pPr>
        <w:sectPr>
          <w:pgSz w:w="11900" w:h="16840" w:orient="portrait"/>
          <w:cols w:equalWidth="0" w:num="1">
            <w:col w:w="10620"/>
          </w:cols>
          <w:pgMar w:left="640" w:top="1440" w:right="640" w:bottom="1440" w:gutter="0" w:footer="0" w:header="0"/>
        </w:sectPr>
      </w:pPr>
    </w:p>
    <w:bookmarkStart w:id="374" w:name="page375"/>
    <w:bookmarkEnd w:id="374"/>
    <w:p>
      <w:pPr>
        <w:spacing w:after="0" w:line="148" w:lineRule="exact"/>
        <w:rPr>
          <w:sz w:val="20"/>
          <w:szCs w:val="20"/>
          <w:color w:val="auto"/>
        </w:rPr>
      </w:pPr>
    </w:p>
    <w:p>
      <w:pPr>
        <w:ind w:left="1360" w:hanging="440"/>
        <w:spacing w:after="0"/>
        <w:tabs>
          <w:tab w:leader="none" w:pos="1360" w:val="left"/>
        </w:tabs>
        <w:numPr>
          <w:ilvl w:val="1"/>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makes a general assignment for the benefit of its creditors or takes any comparable action under any foreign laws relating to insolvency;</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court of competent jurisdiction enters an order or decree under any Bankruptcy Law that: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for relief against the Company or any Significant Subsidiary in an involuntary case;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appoints a Custodian of the Company or any Significant Subsidiary or for any substantial part of its property;</w:t>
      </w:r>
    </w:p>
    <w:p>
      <w:pPr>
        <w:spacing w:after="0" w:line="109" w:lineRule="exact"/>
        <w:rPr>
          <w:rFonts w:ascii="Times New Roman" w:cs="Times New Roman" w:eastAsia="Times New Roman" w:hAnsi="Times New Roman"/>
          <w:sz w:val="12"/>
          <w:szCs w:val="12"/>
          <w:color w:val="auto"/>
        </w:rPr>
      </w:pPr>
    </w:p>
    <w:p>
      <w:pPr>
        <w:ind w:left="460" w:right="60" w:firstLine="460"/>
        <w:spacing w:after="0" w:line="253" w:lineRule="auto"/>
        <w:tabs>
          <w:tab w:leader="none" w:pos="1364" w:val="left"/>
        </w:tabs>
        <w:numPr>
          <w:ilvl w:val="1"/>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orders the winding up of, or liquidation of or, only with respect to the Company or any Significant Subsidiary, the appointment of an examiner or administrator to the Company or any Significant Subsidiary; or any similar relief is granted under any foreign laws and, in each case, the order or decree remains unstayed and in effect for 60 days;</w:t>
      </w:r>
    </w:p>
    <w:p>
      <w:pPr>
        <w:spacing w:after="0" w:line="80" w:lineRule="exact"/>
        <w:rPr>
          <w:rFonts w:ascii="Times New Roman" w:cs="Times New Roman" w:eastAsia="Times New Roman" w:hAnsi="Times New Roman"/>
          <w:sz w:val="12"/>
          <w:szCs w:val="12"/>
          <w:color w:val="auto"/>
        </w:rPr>
      </w:pPr>
    </w:p>
    <w:p>
      <w:pPr>
        <w:jc w:val="both"/>
        <w:ind w:right="40" w:firstLine="463"/>
        <w:spacing w:after="0" w:line="236" w:lineRule="auto"/>
        <w:tabs>
          <w:tab w:leader="none" w:pos="904"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failure by the Company or any Significant Subsidiary (or any group of Subsidiaries that together would constitute a Significant Subsidiary) to pay final judgments aggregating in excess of $125 million or its foreign currency equivalent (net of any amounts that are covered by enforceable insurance policies issued by solvent carriers), which judgments are not discharged, waived or stayed for a period of 75 days;</w:t>
      </w:r>
    </w:p>
    <w:p>
      <w:pPr>
        <w:spacing w:after="0" w:line="87"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Guarantee of a Significant Subsidiary (or any group of Guarantors that together would constitute a Significant Subsidiary) with respect to the Notes ceases to be in full force and effect (except as contemplated by the terms thereof) or any Guarantor that qualifies as a Significant Subsidiary (or any group of Guarantors that together would constitute a Significant Subsidiary) denies or disaffirms its obligations under this Indenture or any Guarantee with respect to the Notes and such Default continues for 10 days; or</w:t>
      </w:r>
    </w:p>
    <w:p>
      <w:pPr>
        <w:spacing w:after="0" w:line="87" w:lineRule="exact"/>
        <w:rPr>
          <w:rFonts w:ascii="Times New Roman" w:cs="Times New Roman" w:eastAsia="Times New Roman" w:hAnsi="Times New Roman"/>
          <w:sz w:val="12"/>
          <w:szCs w:val="12"/>
          <w:color w:val="auto"/>
        </w:rPr>
      </w:pPr>
    </w:p>
    <w:p>
      <w:pPr>
        <w:jc w:val="both"/>
        <w:ind w:right="20" w:firstLine="463"/>
        <w:spacing w:after="0" w:line="223" w:lineRule="auto"/>
        <w:tabs>
          <w:tab w:leader="none" w:pos="904"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permitted by the terms of this Indenture or the Collateral Documents, (i) any lien or security interest on a material portion of the Collateral created by any Collateral Documents ceases to be a valid and perfected lien or security interest or any default by any Grantor in the performance of any of their obligations under any of the Collateral Documents shall occur which adversely affects the enforceability, validity, perfection or priority of the Lien on a material portion of Collateral securing the Notes Obligations, except to the extent that any such loss of perfection results from limitations of foreign laws, rules and regulations that apply to pledges of Equity Interests in Foreign Subsidiaries that are organized outside of the jurisdictions of organization of the Company and the Guarantors or the application thereof or from failure of the Notes Collateral Agent to maintain possession of certificates actually delivered to it representing securities pledged under the Collateral Documents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Event of Default shall occur under this clause (j) if the Grantors cooperate with the Notes Collateral Agent to replace or perfect any such security interest and lien, such security interest and lien is promptly replaced or perfected (as needed) and the rights, powers and privileges of the Notes Secured Parties are not materially adversely affected by such replacement or (ii) repudiation or disaffirmation in writing by any Grantor of its obligations under the Collateral Documents or assertion by any Grantor that any security interest with respect to the Collateral granted pursuant to the Collateral Documents is invalid and unenforceable.</w:t>
      </w:r>
    </w:p>
    <w:p>
      <w:pPr>
        <w:spacing w:after="0" w:line="9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The foregoing shall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However, a default under clauses (c) or (d) above shall not constitute an Event of Default until the Trustee or the holders of at least 30% in principal amount of outstanding Notes notify the Issuers, with a copy to the Trustee, of the default and the Issuers fail to cure such default within the time specified in clauses (c) or (d), as applicable, after receipt of such notice. Such notice must specify the Default, demand that it be remedied and state that such notice is a “</w:t>
      </w:r>
      <w:r>
        <w:rPr>
          <w:rFonts w:ascii="Times New Roman" w:cs="Times New Roman" w:eastAsia="Times New Roman" w:hAnsi="Times New Roman"/>
          <w:sz w:val="12"/>
          <w:szCs w:val="12"/>
          <w:u w:val="single" w:color="auto"/>
          <w:color w:val="auto"/>
        </w:rPr>
        <w:t>Notice of Default</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6.02 </w:t>
      </w:r>
      <w:r>
        <w:rPr>
          <w:rFonts w:ascii="Times New Roman" w:cs="Times New Roman" w:eastAsia="Times New Roman" w:hAnsi="Times New Roman"/>
          <w:sz w:val="12"/>
          <w:szCs w:val="12"/>
          <w:u w:val="single" w:color="auto"/>
          <w:color w:val="auto"/>
        </w:rPr>
        <w:t>Acceleration</w:t>
      </w:r>
      <w:r>
        <w:rPr>
          <w:rFonts w:ascii="Times New Roman" w:cs="Times New Roman" w:eastAsia="Times New Roman" w:hAnsi="Times New Roman"/>
          <w:sz w:val="12"/>
          <w:szCs w:val="12"/>
          <w:color w:val="auto"/>
        </w:rPr>
        <w:t>. If an Event of Default (other than an Event of Default specified in Section 6.01(f) or (g) hereof with respect to an Issuer) occurs and is continuing, the Trustee by notice to the Issuers or the holders of at least 30% in principal amount of outstanding Notes by notice to the Issuers, with a copy to the Trustee, may declare the principal of, premium, if any, and accrued but unpaid interest on all the Notes to be due and payable. Upon such a declaration, such principal and interest shall be due and payable immediately. If an Event of Default specified in Section 6.01(f) or (g) with respect to an Issuer occurs, the principal of, premium, if any, and interest on all the Notes will become immediately due and payable without any declaration or other act on the part of the Trustee or any holders. The holders of a majority in principal amount of outstanding Notes may rescind any such acceleration with respect to the Notes and its consequences, if:</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72</w:t>
      </w:r>
    </w:p>
    <w:p>
      <w:pPr>
        <w:sectPr>
          <w:pgSz w:w="11900" w:h="16840" w:orient="portrait"/>
          <w:cols w:equalWidth="0" w:num="1">
            <w:col w:w="10640"/>
          </w:cols>
          <w:pgMar w:left="640" w:top="1440" w:right="620" w:bottom="1440" w:gutter="0" w:footer="0" w:header="0"/>
        </w:sectPr>
      </w:pPr>
    </w:p>
    <w:bookmarkStart w:id="375" w:name="page376"/>
    <w:bookmarkEnd w:id="375"/>
    <w:p>
      <w:pPr>
        <w:spacing w:after="0" w:line="148" w:lineRule="exact"/>
        <w:rPr>
          <w:sz w:val="20"/>
          <w:szCs w:val="20"/>
          <w:color w:val="auto"/>
        </w:rPr>
      </w:pPr>
    </w:p>
    <w:p>
      <w:pPr>
        <w:ind w:right="20" w:firstLine="463"/>
        <w:spacing w:after="0" w:line="253" w:lineRule="auto"/>
        <w:tabs>
          <w:tab w:leader="none" w:pos="904"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existing Events of Default, other than the nonpayment of the principal of, premium, if any, and interest on the Notes that have become due solely by the declaration of acceleration, have been cured or waived; and</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rescission would not conflict with any judgment or decree of a court of competent jurisdiction.</w:t>
      </w:r>
    </w:p>
    <w:p>
      <w:pPr>
        <w:spacing w:after="0" w:line="119" w:lineRule="exact"/>
        <w:rPr>
          <w:sz w:val="20"/>
          <w:szCs w:val="20"/>
          <w:color w:val="auto"/>
        </w:rPr>
      </w:pPr>
    </w:p>
    <w:p>
      <w:pPr>
        <w:ind w:right="20" w:firstLine="457"/>
        <w:spacing w:after="0" w:line="260" w:lineRule="auto"/>
        <w:rPr>
          <w:sz w:val="20"/>
          <w:szCs w:val="20"/>
          <w:color w:val="auto"/>
        </w:rPr>
      </w:pPr>
      <w:r>
        <w:rPr>
          <w:rFonts w:ascii="Times New Roman" w:cs="Times New Roman" w:eastAsia="Times New Roman" w:hAnsi="Times New Roman"/>
          <w:sz w:val="12"/>
          <w:szCs w:val="12"/>
          <w:color w:val="auto"/>
        </w:rPr>
        <w:t>In the event of any Event of Default specified in Section 6.01(e), such Event of Default and all consequences thereof (excluding, however, any resulting payment default) shall be annulled, waived and rescinded, automatically and without any action by the Trustee or the holders of the Notes, if within 20 days after such Event of Default arose the Issuers deliver an Officer’s Certificate to the Trustee stating that</w:t>
      </w:r>
    </w:p>
    <w:p>
      <w:pPr>
        <w:spacing w:after="0" w:line="1" w:lineRule="exact"/>
        <w:rPr>
          <w:sz w:val="20"/>
          <w:szCs w:val="20"/>
          <w:color w:val="auto"/>
        </w:rPr>
      </w:pPr>
    </w:p>
    <w:p>
      <w:pPr>
        <w:jc w:val="both"/>
        <w:ind w:firstLine="6"/>
        <w:spacing w:after="0" w:line="255" w:lineRule="auto"/>
        <w:tabs>
          <w:tab w:leader="none" w:pos="176"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Indebtedness or guarantee that is the basis for such Event of Default has been discharged, (y) the holders thereof have rescinded or waived the acceleration, notice or action (as the case may be) giving rise to such Event of Default or (z) the default that is the basis for such Event of Default has been cured, it being understood that in no event shall an acceleration of the principal amount of the Notes as described above be annulled, waived or rescinded upon the happening of any such events.</w:t>
      </w:r>
    </w:p>
    <w:p>
      <w:pPr>
        <w:spacing w:after="0" w:line="89"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6.03 </w:t>
      </w:r>
      <w:r>
        <w:rPr>
          <w:rFonts w:ascii="Times New Roman" w:cs="Times New Roman" w:eastAsia="Times New Roman" w:hAnsi="Times New Roman"/>
          <w:sz w:val="12"/>
          <w:szCs w:val="12"/>
          <w:u w:val="single" w:color="auto"/>
          <w:color w:val="auto"/>
        </w:rPr>
        <w:t>Other Remedies</w:t>
      </w:r>
      <w:r>
        <w:rPr>
          <w:rFonts w:ascii="Times New Roman" w:cs="Times New Roman" w:eastAsia="Times New Roman" w:hAnsi="Times New Roman"/>
          <w:sz w:val="12"/>
          <w:szCs w:val="12"/>
          <w:color w:val="auto"/>
        </w:rPr>
        <w:t>. If an Event of Default occurs and is continuing, the Trustee and the Notes Collateral Agent may pursue any available remedy at law or in equity to collect the payment of principal of or interest on the Notes or to enforce the performance of any provision of the Notes or this Indenture or the Collateral Documents, and neither the Trustee nor the Notes Collateral Agent shall be under any obligation to exercise any of the rights or powers under this Indenture or the Collateral Documents at the request or direction of any of the holders unless such holders have offered to the Trustee and the Notes Collateral Agent, as applicable, indemnity or security satisfactory to it against any loss, liability or expense.</w:t>
      </w:r>
    </w:p>
    <w:p>
      <w:pPr>
        <w:spacing w:after="0" w:line="97"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Trustee and the Notes Collateral Agent may maintain a proceeding even if it does not possess any of the Notes or does not produce any of them in the proceeding. A delay or omission by the Trustee, the Notes Collateral Agent or any holder in exercising any right or remedy accruing upon an Event of Default shall not impair the right or remedy or constitute a waiver of or acquiescence in the Event of Default. No remedy is exclusive of any other remedy. To the extent required by law, all available remedies are cumulative.</w:t>
      </w:r>
    </w:p>
    <w:p>
      <w:pPr>
        <w:spacing w:after="0" w:line="82" w:lineRule="exact"/>
        <w:rPr>
          <w:sz w:val="20"/>
          <w:szCs w:val="20"/>
          <w:color w:val="auto"/>
        </w:rPr>
      </w:pPr>
    </w:p>
    <w:p>
      <w:pPr>
        <w:jc w:val="both"/>
        <w:ind w:right="20"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6.04 </w:t>
      </w:r>
      <w:r>
        <w:rPr>
          <w:rFonts w:ascii="Times New Roman" w:cs="Times New Roman" w:eastAsia="Times New Roman" w:hAnsi="Times New Roman"/>
          <w:sz w:val="12"/>
          <w:szCs w:val="12"/>
          <w:u w:val="single" w:color="auto"/>
          <w:color w:val="auto"/>
        </w:rPr>
        <w:t>Waiver of Past Defaults</w:t>
      </w:r>
      <w:r>
        <w:rPr>
          <w:rFonts w:ascii="Times New Roman" w:cs="Times New Roman" w:eastAsia="Times New Roman" w:hAnsi="Times New Roman"/>
          <w:sz w:val="12"/>
          <w:szCs w:val="12"/>
          <w:color w:val="auto"/>
        </w:rPr>
        <w:t>. Provided the Notes are not then due and payable by reason of a declaration of acceleration, the holders of a majority in principal amount of the Notes then outstanding by written notice to the Trustee may waive an existing Default and its consequences except (a) a Default in the payment of the principal of or interest on a Note, (b) a Default arising from the failure to redeem or purchase any Note when required pursuant to the terms of this Indenture or (c) a Default in respect of a provision that under Section 9.02 cannot be amended without the consent of each holder affected. When a Default is waived, it is deemed cured and the Issuers, the Trustee and the holders will be restored to their former positions and rights under this Indenture, but no such waiver shall extend to any subsequent or other Default or impair any consequent right.</w:t>
      </w:r>
    </w:p>
    <w:p>
      <w:pPr>
        <w:spacing w:after="0" w:line="90" w:lineRule="exact"/>
        <w:rPr>
          <w:sz w:val="20"/>
          <w:szCs w:val="20"/>
          <w:color w:val="auto"/>
        </w:rPr>
      </w:pPr>
    </w:p>
    <w:p>
      <w:pPr>
        <w:jc w:val="both"/>
        <w:ind w:right="20" w:firstLine="457"/>
        <w:spacing w:after="0" w:line="225" w:lineRule="auto"/>
        <w:rPr>
          <w:sz w:val="20"/>
          <w:szCs w:val="20"/>
          <w:color w:val="auto"/>
        </w:rPr>
      </w:pPr>
      <w:r>
        <w:rPr>
          <w:rFonts w:ascii="Times New Roman" w:cs="Times New Roman" w:eastAsia="Times New Roman" w:hAnsi="Times New Roman"/>
          <w:sz w:val="12"/>
          <w:szCs w:val="12"/>
          <w:color w:val="auto"/>
        </w:rPr>
        <w:t xml:space="preserve">SECTION 6.05 </w:t>
      </w:r>
      <w:r>
        <w:rPr>
          <w:rFonts w:ascii="Times New Roman" w:cs="Times New Roman" w:eastAsia="Times New Roman" w:hAnsi="Times New Roman"/>
          <w:sz w:val="12"/>
          <w:szCs w:val="12"/>
          <w:u w:val="single" w:color="auto"/>
          <w:color w:val="auto"/>
        </w:rPr>
        <w:t>Control by Majority</w:t>
      </w:r>
      <w:r>
        <w:rPr>
          <w:rFonts w:ascii="Times New Roman" w:cs="Times New Roman" w:eastAsia="Times New Roman" w:hAnsi="Times New Roman"/>
          <w:sz w:val="12"/>
          <w:szCs w:val="12"/>
          <w:color w:val="auto"/>
        </w:rPr>
        <w:t>. Subject to any then-applicable Intercreditor Agreement, the holders of a majority in principal amount of outstanding Notes may direct the time, method and place of conducting any proceeding for any remedy available to the Trustee or the Notes Collateral Agent, or of exercising any trust or power conferred on the Trustee or the Notes Collateral Agent. However, the Trustee or the Notes Collateral Agent, as applicable, may refuse to follow any direction that conflicts with law or this Indenture or the Collateral Documents, as applicable, or that the Trustee or the Notes Collateral Agent determines is unduly prejudicial to the rights of any other holder (it being understood that neither the Trustee nor the Notes Collateral Agent has an affirmative duty to ascertain whether or not any such directions are unduly prejudicial to any other holder) or that would involve the Trustee or the Notes Collateral Agent in personal liability. Prior to taking any action under this Indenture, the Trustee and the Notes Collateral Agent shall be entitled to security or indemnification satisfactory to it against all losses and expenses caused by taking or not taking such action.</w:t>
      </w:r>
    </w:p>
    <w:p>
      <w:pPr>
        <w:spacing w:after="0" w:line="9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6.06</w:t>
      </w:r>
      <w:r>
        <w:rPr>
          <w:sz w:val="20"/>
          <w:szCs w:val="20"/>
          <w:color w:val="auto"/>
        </w:rPr>
        <w:tab/>
      </w:r>
      <w:r>
        <w:rPr>
          <w:rFonts w:ascii="Times New Roman" w:cs="Times New Roman" w:eastAsia="Times New Roman" w:hAnsi="Times New Roman"/>
          <w:sz w:val="12"/>
          <w:szCs w:val="12"/>
          <w:u w:val="single" w:color="auto"/>
          <w:color w:val="auto"/>
        </w:rPr>
        <w:t>Limitation on Suits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to enforce the right to receive payment of principal, premium (if any) or interest when due, no holder may pursue any remedy with respect to this Indenture or the Notes unless: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holder has previously given the Trustee and the Notes Collateral Agent written notice that an Event of Default is continuing,</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of at least 30% in principal amount of the outstanding Notes have requested the Trustee or the Notes Collateral Agent to pursue the remedy,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73</w:t>
      </w:r>
    </w:p>
    <w:p>
      <w:pPr>
        <w:sectPr>
          <w:pgSz w:w="11900" w:h="16840" w:orient="portrait"/>
          <w:cols w:equalWidth="0" w:num="1">
            <w:col w:w="10620"/>
          </w:cols>
          <w:pgMar w:left="640" w:top="1440" w:right="640" w:bottom="1440" w:gutter="0" w:footer="0" w:header="0"/>
        </w:sectPr>
      </w:pPr>
    </w:p>
    <w:bookmarkStart w:id="376" w:name="page377"/>
    <w:bookmarkEnd w:id="376"/>
    <w:p>
      <w:pPr>
        <w:spacing w:after="0" w:line="148"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12"/>
          <w:szCs w:val="12"/>
          <w:color w:val="auto"/>
        </w:rPr>
        <w:t>(iii)</w:t>
      </w:r>
      <w:r>
        <w:rPr>
          <w:sz w:val="20"/>
          <w:szCs w:val="20"/>
          <w:color w:val="auto"/>
        </w:rPr>
        <w:tab/>
      </w:r>
      <w:r>
        <w:rPr>
          <w:rFonts w:ascii="Times New Roman" w:cs="Times New Roman" w:eastAsia="Times New Roman" w:hAnsi="Times New Roman"/>
          <w:sz w:val="12"/>
          <w:szCs w:val="12"/>
          <w:color w:val="auto"/>
        </w:rPr>
        <w:t>such holders have offered, and if requested, provided, the Trustee and the Notes Collateral Agent, as applicable, security or indemnity satisfactory to it against any loss, liability or</w:t>
      </w:r>
    </w:p>
    <w:p>
      <w:pPr>
        <w:ind w:left="460"/>
        <w:spacing w:after="0"/>
        <w:rPr>
          <w:sz w:val="20"/>
          <w:szCs w:val="20"/>
          <w:color w:val="auto"/>
        </w:rPr>
      </w:pPr>
      <w:r>
        <w:rPr>
          <w:rFonts w:ascii="Times New Roman" w:cs="Times New Roman" w:eastAsia="Times New Roman" w:hAnsi="Times New Roman"/>
          <w:sz w:val="12"/>
          <w:szCs w:val="12"/>
          <w:color w:val="auto"/>
        </w:rPr>
        <w:t>expense,</w:t>
      </w:r>
    </w:p>
    <w:p>
      <w:pPr>
        <w:spacing w:after="0" w:line="95" w:lineRule="exact"/>
        <w:rPr>
          <w:sz w:val="20"/>
          <w:szCs w:val="20"/>
          <w:color w:val="auto"/>
        </w:rPr>
      </w:pPr>
    </w:p>
    <w:p>
      <w:pPr>
        <w:ind w:left="1360" w:hanging="440"/>
        <w:spacing w:after="0"/>
        <w:tabs>
          <w:tab w:leader="none" w:pos="1360" w:val="left"/>
        </w:tabs>
        <w:numPr>
          <w:ilvl w:val="0"/>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or the Notes Collateral Agent, as applicable, has not complied with such request within 60 days after the receipt of the request and the offer of security or indemnity, and</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a majority in principal amount of the outstanding Notes have not given the Trustee or the Notes Collateral Agent a direction inconsistent with such request within such 60-</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 period.</w:t>
      </w:r>
    </w:p>
    <w:p>
      <w:pPr>
        <w:spacing w:after="0" w:line="95" w:lineRule="exact"/>
        <w:rPr>
          <w:sz w:val="20"/>
          <w:szCs w:val="20"/>
          <w:color w:val="auto"/>
        </w:rPr>
      </w:pPr>
    </w:p>
    <w:p>
      <w:pPr>
        <w:ind w:right="20" w:firstLine="463"/>
        <w:spacing w:after="0" w:line="253" w:lineRule="auto"/>
        <w:tabs>
          <w:tab w:leader="none" w:pos="904" w:val="left"/>
        </w:tabs>
        <w:numPr>
          <w:ilvl w:val="0"/>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holder may not use this Indenture to prejudice the rights of another holder or to obtain a preference or priority over another holder (it being understood that neither the Trustee nor the Notes Collateral Agent has an affirmative duty to ascertain whether or not any such actions or forbearances are unduly prejudicial to such holders).</w:t>
      </w:r>
    </w:p>
    <w:p>
      <w:pPr>
        <w:spacing w:after="0" w:line="80"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6.07 </w:t>
      </w:r>
      <w:r>
        <w:rPr>
          <w:rFonts w:ascii="Times New Roman" w:cs="Times New Roman" w:eastAsia="Times New Roman" w:hAnsi="Times New Roman"/>
          <w:sz w:val="12"/>
          <w:szCs w:val="12"/>
          <w:u w:val="single" w:color="auto"/>
          <w:color w:val="auto"/>
        </w:rPr>
        <w:t>Rights of the Holders to Receive Payment</w:t>
      </w:r>
      <w:r>
        <w:rPr>
          <w:rFonts w:ascii="Times New Roman" w:cs="Times New Roman" w:eastAsia="Times New Roman" w:hAnsi="Times New Roman"/>
          <w:sz w:val="12"/>
          <w:szCs w:val="12"/>
          <w:color w:val="auto"/>
        </w:rPr>
        <w:t>. Notwithstanding any other provision of this Indenture, the right of any holder to receive payment of principal of and interest on the Notes held by such holder, on or after the respective due dates expressed or provided for in the Notes, or to bring suit for the enforcement of any such payment on or after such respective dates, shall not be impaired or affected without the consent of such holder.</w:t>
      </w:r>
    </w:p>
    <w:p>
      <w:pPr>
        <w:spacing w:after="0" w:line="88"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6.08 </w:t>
      </w:r>
      <w:r>
        <w:rPr>
          <w:rFonts w:ascii="Times New Roman" w:cs="Times New Roman" w:eastAsia="Times New Roman" w:hAnsi="Times New Roman"/>
          <w:sz w:val="12"/>
          <w:szCs w:val="12"/>
          <w:u w:val="single" w:color="auto"/>
          <w:color w:val="auto"/>
        </w:rPr>
        <w:t>Collection Suit by Trustee</w:t>
      </w:r>
      <w:r>
        <w:rPr>
          <w:rFonts w:ascii="Times New Roman" w:cs="Times New Roman" w:eastAsia="Times New Roman" w:hAnsi="Times New Roman"/>
          <w:sz w:val="12"/>
          <w:szCs w:val="12"/>
          <w:color w:val="auto"/>
        </w:rPr>
        <w:t>. If an Event of Default specified in Section 6.01(a) or (b) occurs and is continuing, with or without the possession of any of the Notes or the production thereof in any proceeding related thereto, the Trustee may recover judgment in its own name and as trustee of an express trust and as agent and representative on behalf of the holders of the Notes against the Issuers or any other obligor on the Notes for the whole amount then due and owing (together with interest on overdue principal and (to the extent lawful) on any unpaid interest at the rate provided for in the Notes) and the amounts provided for in Section 7.06.</w:t>
      </w:r>
    </w:p>
    <w:p>
      <w:pPr>
        <w:spacing w:after="0" w:line="87" w:lineRule="exact"/>
        <w:rPr>
          <w:sz w:val="20"/>
          <w:szCs w:val="20"/>
          <w:color w:val="auto"/>
        </w:rPr>
      </w:pPr>
    </w:p>
    <w:p>
      <w:pPr>
        <w:jc w:val="both"/>
        <w:ind w:firstLine="457"/>
        <w:spacing w:after="0" w:line="223" w:lineRule="auto"/>
        <w:rPr>
          <w:sz w:val="20"/>
          <w:szCs w:val="20"/>
          <w:color w:val="auto"/>
        </w:rPr>
      </w:pPr>
      <w:r>
        <w:rPr>
          <w:rFonts w:ascii="Times New Roman" w:cs="Times New Roman" w:eastAsia="Times New Roman" w:hAnsi="Times New Roman"/>
          <w:sz w:val="12"/>
          <w:szCs w:val="12"/>
          <w:color w:val="auto"/>
        </w:rPr>
        <w:t xml:space="preserve">SECTION 6.09 </w:t>
      </w:r>
      <w:r>
        <w:rPr>
          <w:rFonts w:ascii="Times New Roman" w:cs="Times New Roman" w:eastAsia="Times New Roman" w:hAnsi="Times New Roman"/>
          <w:sz w:val="12"/>
          <w:szCs w:val="12"/>
          <w:u w:val="single" w:color="auto"/>
          <w:color w:val="auto"/>
        </w:rPr>
        <w:t>Trustee May File Proofs of Claim</w:t>
      </w:r>
      <w:r>
        <w:rPr>
          <w:rFonts w:ascii="Times New Roman" w:cs="Times New Roman" w:eastAsia="Times New Roman" w:hAnsi="Times New Roman"/>
          <w:sz w:val="12"/>
          <w:szCs w:val="12"/>
          <w:color w:val="auto"/>
        </w:rPr>
        <w:t>. The Trustee may file such proofs of claim, statements of interest and other papers or documents as may be necessary or advisable in order to have the claims of the Trustee (including any claim for reasonable compensation, expenses disbursements and advances of the Trustee (including counsel, accountants, experts or such other professionals as the Trustee deems necessary, advisable or appropriate)) and the holders allowed in any judicial proceedings relative to the Issuers, the Guarantors, their creditors or their property, shall be entitled to participate as a member, voting or otherwise, of any official committee of creditors appointed in such matters and, unless prohibited by law or applicable regulations,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reasonable compensation, expenses, disbursements and advances of the Trustee, its agents and its counsel, and any other amounts due to the Trustee under Section 7.06.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88" w:lineRule="exact"/>
        <w:rPr>
          <w:sz w:val="20"/>
          <w:szCs w:val="20"/>
          <w:color w:val="auto"/>
        </w:rPr>
      </w:pPr>
    </w:p>
    <w:p>
      <w:pPr>
        <w:jc w:val="both"/>
        <w:ind w:right="20" w:firstLine="457"/>
        <w:spacing w:after="0"/>
        <w:rPr>
          <w:sz w:val="20"/>
          <w:szCs w:val="20"/>
          <w:color w:val="auto"/>
        </w:rPr>
      </w:pPr>
      <w:r>
        <w:rPr>
          <w:rFonts w:ascii="Times New Roman" w:cs="Times New Roman" w:eastAsia="Times New Roman" w:hAnsi="Times New Roman"/>
          <w:sz w:val="12"/>
          <w:szCs w:val="12"/>
          <w:color w:val="auto"/>
        </w:rPr>
        <w:t xml:space="preserve">SECTION 6.10 </w:t>
      </w:r>
      <w:r>
        <w:rPr>
          <w:rFonts w:ascii="Times New Roman" w:cs="Times New Roman" w:eastAsia="Times New Roman" w:hAnsi="Times New Roman"/>
          <w:sz w:val="12"/>
          <w:szCs w:val="12"/>
          <w:u w:val="single" w:color="auto"/>
          <w:color w:val="auto"/>
        </w:rPr>
        <w:t>Priorities</w:t>
      </w:r>
      <w:r>
        <w:rPr>
          <w:rFonts w:ascii="Times New Roman" w:cs="Times New Roman" w:eastAsia="Times New Roman" w:hAnsi="Times New Roman"/>
          <w:sz w:val="12"/>
          <w:szCs w:val="12"/>
          <w:color w:val="auto"/>
        </w:rPr>
        <w:t>. Subject to the terms of the Collateral Documents (including any then-applicable Intercreditor Agreement), any money or property collected by the Trustee or the Notes Collateral Agent pursuant to this Article VI and any other money or property distributable in respect of the Issuers’ or any Guarantor’s obligations under this Indenture after an Event of Default shall be applied in the following order:</w:t>
      </w:r>
    </w:p>
    <w:p>
      <w:pPr>
        <w:spacing w:after="0" w:line="228" w:lineRule="exact"/>
        <w:rPr>
          <w:sz w:val="20"/>
          <w:szCs w:val="20"/>
          <w:color w:val="auto"/>
        </w:rPr>
      </w:pPr>
    </w:p>
    <w:p>
      <w:pPr>
        <w:jc w:val="both"/>
        <w:ind w:left="460" w:right="40"/>
        <w:spacing w:after="0" w:line="287" w:lineRule="auto"/>
        <w:rPr>
          <w:sz w:val="20"/>
          <w:szCs w:val="20"/>
          <w:color w:val="auto"/>
        </w:rPr>
      </w:pPr>
      <w:r>
        <w:rPr>
          <w:rFonts w:ascii="Times New Roman" w:cs="Times New Roman" w:eastAsia="Times New Roman" w:hAnsi="Times New Roman"/>
          <w:sz w:val="12"/>
          <w:szCs w:val="12"/>
          <w:color w:val="auto"/>
        </w:rPr>
        <w:t>FIRST: to the Trustee (in its capacity as Trustee, Registrar and/or Paying Agent) and the Notes Collateral Agent for amounts due to them hereunder and under the Collateral Documents, including the reasonable compensation and expenses, disbursements and advances of the Trustee’s and the Notes Collateral Agent’s agents, counsel, accountants and experts in accordance with Sections 7.06 and 11.03;</w:t>
      </w:r>
    </w:p>
    <w:p>
      <w:pPr>
        <w:spacing w:after="0" w:line="79" w:lineRule="exact"/>
        <w:rPr>
          <w:sz w:val="20"/>
          <w:szCs w:val="20"/>
          <w:color w:val="auto"/>
        </w:rPr>
      </w:pPr>
    </w:p>
    <w:p>
      <w:pPr>
        <w:ind w:left="460" w:right="20"/>
        <w:spacing w:after="0" w:line="287" w:lineRule="auto"/>
        <w:rPr>
          <w:sz w:val="20"/>
          <w:szCs w:val="20"/>
          <w:color w:val="auto"/>
        </w:rPr>
      </w:pPr>
      <w:r>
        <w:rPr>
          <w:rFonts w:ascii="Times New Roman" w:cs="Times New Roman" w:eastAsia="Times New Roman" w:hAnsi="Times New Roman"/>
          <w:sz w:val="12"/>
          <w:szCs w:val="12"/>
          <w:color w:val="auto"/>
        </w:rPr>
        <w:t>SECOND: to the holders for amounts due and unpaid on the Notes for principal, premium, if any, and interest, ratably, without preference or priority of any kind, according to the amounts due and payable on the Notes for principal and interest, respectively; and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THIRD: to the Issuers or, to the extent the Trustee or the Notes Collateral Agent, as applicable, collects any amount for any Guarantor, to such Guarantor.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74</w:t>
      </w:r>
    </w:p>
    <w:p>
      <w:pPr>
        <w:sectPr>
          <w:pgSz w:w="11900" w:h="16840" w:orient="portrait"/>
          <w:cols w:equalWidth="0" w:num="1">
            <w:col w:w="10620"/>
          </w:cols>
          <w:pgMar w:left="640" w:top="1440" w:right="640" w:bottom="1440" w:gutter="0" w:footer="0" w:header="0"/>
        </w:sectPr>
      </w:pPr>
    </w:p>
    <w:bookmarkStart w:id="377" w:name="page378"/>
    <w:bookmarkEnd w:id="377"/>
    <w:p>
      <w:pPr>
        <w:spacing w:after="0" w:line="15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The Trustee may fix a record date and payment date for any payment to the holders pursuant to this Section 6.10. At least 15 days before such record date, the Trustee shall mail to each holder and the Issuers a notice that states the record date, the payment date and the amount to be paid.</w:t>
      </w:r>
    </w:p>
    <w:p>
      <w:pPr>
        <w:spacing w:after="0" w:line="70" w:lineRule="exact"/>
        <w:rPr>
          <w:sz w:val="20"/>
          <w:szCs w:val="20"/>
          <w:color w:val="auto"/>
        </w:rPr>
      </w:pPr>
    </w:p>
    <w:p>
      <w:pPr>
        <w:jc w:val="both"/>
        <w:ind w:right="20" w:firstLine="457"/>
        <w:spacing w:after="0"/>
        <w:rPr>
          <w:sz w:val="20"/>
          <w:szCs w:val="20"/>
          <w:color w:val="auto"/>
        </w:rPr>
      </w:pPr>
      <w:r>
        <w:rPr>
          <w:rFonts w:ascii="Times New Roman" w:cs="Times New Roman" w:eastAsia="Times New Roman" w:hAnsi="Times New Roman"/>
          <w:sz w:val="12"/>
          <w:szCs w:val="12"/>
          <w:color w:val="auto"/>
        </w:rPr>
        <w:t xml:space="preserve">SECTION 6.11 </w:t>
      </w:r>
      <w:r>
        <w:rPr>
          <w:rFonts w:ascii="Times New Roman" w:cs="Times New Roman" w:eastAsia="Times New Roman" w:hAnsi="Times New Roman"/>
          <w:sz w:val="12"/>
          <w:szCs w:val="12"/>
          <w:u w:val="single" w:color="auto"/>
          <w:color w:val="auto"/>
        </w:rPr>
        <w:t>Undertaking for Costs</w:t>
      </w:r>
      <w:r>
        <w:rPr>
          <w:rFonts w:ascii="Times New Roman" w:cs="Times New Roman" w:eastAsia="Times New Roman" w:hAnsi="Times New Roman"/>
          <w:sz w:val="12"/>
          <w:szCs w:val="12"/>
          <w:color w:val="auto"/>
        </w:rPr>
        <w:t>. In any suit for the enforcement of any right or remedy under this Indenture or in any suit against the Trustee or the Notes Collateral Agent for any action taken or omitted by it as Trustee or the Notes Collateral Agent, as applicable,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the Notes Collateral Agent, a suit by a holder pursuant to Section 6.07 or a suit by holders of more than 10% in principal amount of the Notes.</w:t>
      </w:r>
    </w:p>
    <w:p>
      <w:pPr>
        <w:spacing w:after="0" w:line="190"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6.12 </w:t>
      </w:r>
      <w:r>
        <w:rPr>
          <w:rFonts w:ascii="Times New Roman" w:cs="Times New Roman" w:eastAsia="Times New Roman" w:hAnsi="Times New Roman"/>
          <w:sz w:val="12"/>
          <w:szCs w:val="12"/>
          <w:u w:val="single" w:color="auto"/>
          <w:color w:val="auto"/>
        </w:rPr>
        <w:t>Waiver of Stay or Extension Laws</w:t>
      </w:r>
      <w:r>
        <w:rPr>
          <w:rFonts w:ascii="Times New Roman" w:cs="Times New Roman" w:eastAsia="Times New Roman" w:hAnsi="Times New Roman"/>
          <w:sz w:val="12"/>
          <w:szCs w:val="12"/>
          <w:color w:val="auto"/>
        </w:rPr>
        <w:t>. None of the Issuers or any Guarantor (to the extent it may lawfully do so) shall at any time insist upon, or plead, or in any manner whatsoever claim or take the benefit or advantage of, any stay or extension law wherever enacted, now or at any time hereafter in force, which may affect the covenants or the performance of this Indenture; and the Issuers and the Guarantors (to the extent that they may lawfully do so) hereby expressly waive all benefit or advantage of any such law, and shall not hinder, delay or impede the execution of any power herein granted to the Trustee and the Notes Collateral Agent, but shall suffer and permit the execution of every such power as though no such law had been enacted.</w:t>
      </w:r>
    </w:p>
    <w:p>
      <w:pPr>
        <w:spacing w:after="0" w:line="87"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6.13</w:t>
      </w:r>
      <w:r>
        <w:rPr>
          <w:sz w:val="20"/>
          <w:szCs w:val="20"/>
          <w:color w:val="auto"/>
        </w:rPr>
        <w:tab/>
      </w:r>
      <w:r>
        <w:rPr>
          <w:rFonts w:ascii="Times New Roman" w:cs="Times New Roman" w:eastAsia="Times New Roman" w:hAnsi="Times New Roman"/>
          <w:sz w:val="12"/>
          <w:szCs w:val="12"/>
          <w:u w:val="single" w:color="auto"/>
          <w:color w:val="auto"/>
        </w:rPr>
        <w:t>Net Short Holders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63"/>
        <w:spacing w:after="0"/>
        <w:tabs>
          <w:tab w:leader="none" w:pos="904" w:val="left"/>
        </w:tabs>
        <w:numPr>
          <w:ilvl w:val="0"/>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of Default, notice of acceleration or instruction to the Trustee to provide a notice of Default, notice of acceleration or take any other action (a “</w:t>
      </w:r>
      <w:r>
        <w:rPr>
          <w:rFonts w:ascii="Times New Roman" w:cs="Times New Roman" w:eastAsia="Times New Roman" w:hAnsi="Times New Roman"/>
          <w:sz w:val="12"/>
          <w:szCs w:val="12"/>
          <w:u w:val="single" w:color="auto"/>
          <w:color w:val="auto"/>
        </w:rPr>
        <w:t>Noteholder Direction</w:t>
      </w:r>
      <w:r>
        <w:rPr>
          <w:rFonts w:ascii="Times New Roman" w:cs="Times New Roman" w:eastAsia="Times New Roman" w:hAnsi="Times New Roman"/>
          <w:sz w:val="12"/>
          <w:szCs w:val="12"/>
          <w:color w:val="auto"/>
        </w:rPr>
        <w:t>”) provided by any one or more holders (other than any holder that is a Regulated Bank) (each, a “</w:t>
      </w:r>
      <w:r>
        <w:rPr>
          <w:rFonts w:ascii="Times New Roman" w:cs="Times New Roman" w:eastAsia="Times New Roman" w:hAnsi="Times New Roman"/>
          <w:sz w:val="12"/>
          <w:szCs w:val="12"/>
          <w:u w:val="single" w:color="auto"/>
          <w:color w:val="auto"/>
        </w:rPr>
        <w:t>Directing Holder</w:t>
      </w:r>
      <w:r>
        <w:rPr>
          <w:rFonts w:ascii="Times New Roman" w:cs="Times New Roman" w:eastAsia="Times New Roman" w:hAnsi="Times New Roman"/>
          <w:sz w:val="12"/>
          <w:szCs w:val="12"/>
          <w:color w:val="auto"/>
        </w:rPr>
        <w:t>”) must be accompanied by a written representation from each such holder to the Issuers and the Trustee that such holder is not (or, in the case such holder is the Depository or its nominee, that such holder is being instructed solely by beneficial owners that are not) Net Short (a “</w:t>
      </w:r>
      <w:r>
        <w:rPr>
          <w:rFonts w:ascii="Times New Roman" w:cs="Times New Roman" w:eastAsia="Times New Roman" w:hAnsi="Times New Roman"/>
          <w:sz w:val="12"/>
          <w:szCs w:val="12"/>
          <w:u w:val="single" w:color="auto"/>
          <w:color w:val="auto"/>
        </w:rPr>
        <w:t>Position Representation</w:t>
      </w:r>
      <w:r>
        <w:rPr>
          <w:rFonts w:ascii="Times New Roman" w:cs="Times New Roman" w:eastAsia="Times New Roman" w:hAnsi="Times New Roman"/>
          <w:sz w:val="12"/>
          <w:szCs w:val="12"/>
          <w:color w:val="auto"/>
        </w:rPr>
        <w:t xml:space="preserve">”),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Directing Holder’s Position Representation within five Business Days of request therefor (a “ </w:t>
      </w:r>
      <w:r>
        <w:rPr>
          <w:rFonts w:ascii="Times New Roman" w:cs="Times New Roman" w:eastAsia="Times New Roman" w:hAnsi="Times New Roman"/>
          <w:sz w:val="12"/>
          <w:szCs w:val="12"/>
          <w:u w:val="single" w:color="auto"/>
          <w:color w:val="auto"/>
        </w:rPr>
        <w:t>Verification Covenant</w:t>
      </w:r>
      <w:r>
        <w:rPr>
          <w:rFonts w:ascii="Times New Roman" w:cs="Times New Roman" w:eastAsia="Times New Roman" w:hAnsi="Times New Roman"/>
          <w:sz w:val="12"/>
          <w:szCs w:val="12"/>
          <w:color w:val="auto"/>
        </w:rPr>
        <w:t>”). The Trustee shall have no duty whatsoever to provide this information to the Issuers or to obtain this information for the Issuers. In any case in which the holder is the Depository or its nominee, any Position Representation or Verification Covenant required hereunder shall be provided by the beneficial owner of the Notes in lieu of the Depository or its nominee, and the Depository shall be entitled to rely on such Position Representation and Verification Covenant in delivering its direction to the Trustee.</w:t>
      </w:r>
    </w:p>
    <w:p>
      <w:pPr>
        <w:spacing w:after="0" w:line="133" w:lineRule="exact"/>
        <w:rPr>
          <w:rFonts w:ascii="Times New Roman" w:cs="Times New Roman" w:eastAsia="Times New Roman" w:hAnsi="Times New Roman"/>
          <w:sz w:val="12"/>
          <w:szCs w:val="12"/>
          <w:color w:val="auto"/>
        </w:rPr>
      </w:pPr>
    </w:p>
    <w:p>
      <w:pPr>
        <w:jc w:val="both"/>
        <w:ind w:firstLine="463"/>
        <w:spacing w:after="0" w:line="220" w:lineRule="auto"/>
        <w:tabs>
          <w:tab w:leader="none" w:pos="904" w:val="left"/>
        </w:tabs>
        <w:numPr>
          <w:ilvl w:val="0"/>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following the delivery of a Noteholder Direction, but prior to acceleration of the Notes, the Issuers determine in good faith that there is a reasonable basis to believe a Directing Holder was, at any relevant time, in breach of its Position Representation and provide to the Trustee written evidence that the Issuers have initiated litigation (the “</w:t>
      </w: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pending a final and non-appealable determination of a court of competent jurisdiction on such matter (a “</w:t>
      </w:r>
      <w:r>
        <w:rPr>
          <w:rFonts w:ascii="Times New Roman" w:cs="Times New Roman" w:eastAsia="Times New Roman" w:hAnsi="Times New Roman"/>
          <w:sz w:val="12"/>
          <w:szCs w:val="12"/>
          <w:u w:val="single" w:color="auto"/>
          <w:color w:val="auto"/>
        </w:rPr>
        <w:t>Court Determination</w:t>
      </w:r>
      <w:r>
        <w:rPr>
          <w:rFonts w:ascii="Times New Roman" w:cs="Times New Roman" w:eastAsia="Times New Roman" w:hAnsi="Times New Roman"/>
          <w:sz w:val="12"/>
          <w:szCs w:val="12"/>
          <w:color w:val="auto"/>
        </w:rPr>
        <w:t>”). Once such written evidence has been provided to the Trustee, the Trustee shall take no further action pursuant to the related Noteholder Direction until it has actual knowledge of a Court Determination. Without limitation, if, following the delivery of a Noteholder Direction, but prior to acceleration of the Notes, the Issuers provide to the Trustee an Officer’s Certificate (a “</w:t>
      </w:r>
      <w:r>
        <w:rPr>
          <w:rFonts w:ascii="Times New Roman" w:cs="Times New Roman" w:eastAsia="Times New Roman" w:hAnsi="Times New Roman"/>
          <w:sz w:val="12"/>
          <w:szCs w:val="12"/>
          <w:u w:val="single" w:color="auto"/>
          <w:color w:val="auto"/>
        </w:rPr>
        <w:t>Verification Covenant Officer’s Certificate</w:t>
      </w:r>
      <w:r>
        <w:rPr>
          <w:rFonts w:ascii="Times New Roman" w:cs="Times New Roman" w:eastAsia="Times New Roman" w:hAnsi="Times New Roman"/>
          <w:sz w:val="12"/>
          <w:szCs w:val="12"/>
          <w:color w:val="auto"/>
        </w:rPr>
        <w:t xml:space="preserve">”) stating that a Court Determination has been made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and the Trustee shall take no further action pursuant to the related Noteholder Direction, until such time as the Issuers provide the Trustee with an Officer’s Certificate that the Verification Covenant has been satisfied (a “ </w:t>
      </w:r>
      <w:r>
        <w:rPr>
          <w:rFonts w:ascii="Times New Roman" w:cs="Times New Roman" w:eastAsia="Times New Roman" w:hAnsi="Times New Roman"/>
          <w:sz w:val="12"/>
          <w:szCs w:val="12"/>
          <w:u w:val="single" w:color="auto"/>
          <w:color w:val="auto"/>
        </w:rPr>
        <w:t>Covenant Satisfaction Officer’s Certificate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Issuers shall promptly deliver such Officer’s Certificate to the Trustee upon becoming aware that the Verification Covenant has been satisfied. Any breach of the Position Representation (as confirmed by Court Determination)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75</w:t>
      </w:r>
    </w:p>
    <w:p>
      <w:pPr>
        <w:sectPr>
          <w:pgSz w:w="11900" w:h="16840" w:orient="portrait"/>
          <w:cols w:equalWidth="0" w:num="1">
            <w:col w:w="10620"/>
          </w:cols>
          <w:pgMar w:left="640" w:top="1440" w:right="640" w:bottom="1440" w:gutter="0" w:footer="0" w:header="0"/>
        </w:sectPr>
      </w:pPr>
    </w:p>
    <w:bookmarkStart w:id="378" w:name="page379"/>
    <w:bookmarkEnd w:id="378"/>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Default;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this shall not invalidate any indemnity or security provided by the Directing Holders to the Trustee which obligations shall continue to survive.</w:t>
      </w:r>
    </w:p>
    <w:p>
      <w:pPr>
        <w:spacing w:after="0" w:line="109" w:lineRule="exact"/>
        <w:rPr>
          <w:sz w:val="20"/>
          <w:szCs w:val="20"/>
          <w:color w:val="auto"/>
        </w:rPr>
      </w:pPr>
    </w:p>
    <w:p>
      <w:pPr>
        <w:jc w:val="both"/>
        <w:ind w:right="40" w:firstLine="463"/>
        <w:spacing w:after="0" w:line="236" w:lineRule="auto"/>
        <w:tabs>
          <w:tab w:leader="none" w:pos="904"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Sections 6.13(a) or 6.13(b) to the contrary, any Noteholder Direction delivered to the Trustee during the pendency of an Event of Default as the result of a bankruptcy or similar proceeding shall not require compliance with Sections 6.13(a) or 6.13(b). In addition, for the avoidance of doubt, Sections 6.13(a) and 6.13(b) shall not apply to any holder that is a Regulated Bank;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 Regulated Bank is a Directing Holder or a beneficial owner directing the Depository it shall provide a written representation to the Issuers that it is a Regulated Bank.</w:t>
      </w:r>
    </w:p>
    <w:p>
      <w:pPr>
        <w:spacing w:after="0" w:line="87" w:lineRule="exact"/>
        <w:rPr>
          <w:rFonts w:ascii="Times New Roman" w:cs="Times New Roman" w:eastAsia="Times New Roman" w:hAnsi="Times New Roman"/>
          <w:sz w:val="12"/>
          <w:szCs w:val="12"/>
          <w:color w:val="auto"/>
        </w:rPr>
      </w:pPr>
    </w:p>
    <w:p>
      <w:pPr>
        <w:ind w:firstLine="463"/>
        <w:spacing w:after="0"/>
        <w:tabs>
          <w:tab w:leader="none" w:pos="904"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Trustee shall be entitled to conclusively rely on any Noteholder Direction, Position Representation, Verification Covenant, Officer’s Certificate or other document delivered to it pursuant to this Section 6.13,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shall have no liability for ceasing to take any action, staying any remedy or otherwise failing to act in accordance with a Noteholder Direction during the pendency of Litigation or a Noteholder Direction after a Verification Covenant Officer’s Certificate has been provided to it but prior to receipt of a Covenant Satisfaction Officer’s Certificate. The Trustee shall have no liability or responsibility to the Company, any holder or any other Person in connection with any Noteholder Direction. In no event shall the Trustee be obligated to ascertain, calculate, monitor, or otherwise make any determination as to whether any holder is Net Short, nor shall it have any liability to the Issuers, any holder or any other person in acting in good faith on a Noteholder Direction or to determine whether any Net Short holder has delivered a Position Representation.</w:t>
      </w:r>
    </w:p>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0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b w:val="1"/>
          <w:bCs w:val="1"/>
          <w:color w:val="auto"/>
        </w:rPr>
        <w:t>TRUSTEE</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7.01</w:t>
      </w:r>
      <w:r>
        <w:rPr>
          <w:sz w:val="20"/>
          <w:szCs w:val="20"/>
          <w:color w:val="auto"/>
        </w:rPr>
        <w:tab/>
      </w:r>
      <w:r>
        <w:rPr>
          <w:rFonts w:ascii="Times New Roman" w:cs="Times New Roman" w:eastAsia="Times New Roman" w:hAnsi="Times New Roman"/>
          <w:sz w:val="12"/>
          <w:szCs w:val="12"/>
          <w:u w:val="single" w:color="auto"/>
          <w:color w:val="auto"/>
        </w:rPr>
        <w:t>Duties of Trustee and the Notes Collateral Agent</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36" w:lineRule="auto"/>
        <w:tabs>
          <w:tab w:leader="none" w:pos="904"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prior to the occurrence of an Event of Default with respect to the Notes and after the curing or waiving of all Events of Default which may have occurred, undertakes to perform such duties and only such duties as are specifically set forth in this Indenture. If an Event of Default has occurred and is continuing and is actually known to a Trust Officer,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8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Trustee, except during the continuance of an Event of Default, and at all times with respect to the Notes Collateral Agent:</w:t>
      </w:r>
    </w:p>
    <w:p>
      <w:pPr>
        <w:spacing w:after="0" w:line="109" w:lineRule="exact"/>
        <w:rPr>
          <w:rFonts w:ascii="Times New Roman" w:cs="Times New Roman" w:eastAsia="Times New Roman" w:hAnsi="Times New Roman"/>
          <w:sz w:val="12"/>
          <w:szCs w:val="12"/>
          <w:color w:val="auto"/>
        </w:rPr>
      </w:pPr>
    </w:p>
    <w:p>
      <w:pPr>
        <w:jc w:val="both"/>
        <w:ind w:left="460" w:right="40" w:firstLine="460"/>
        <w:spacing w:after="0" w:line="231" w:lineRule="auto"/>
        <w:tabs>
          <w:tab w:leader="none" w:pos="1364" w:val="left"/>
        </w:tabs>
        <w:numPr>
          <w:ilvl w:val="1"/>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duties of the Trustee and the Notes Collateral Agent will be determined solely by the express provisions of this Indenture and the other Notes Documents, and the Trustee and the Notes Collateral Agent undertake to perform such duties and only such duties as are specifically set forth in this Indenture or the other Notes Documents and no implied covenants or obligations shall be read into this Indenture and the other Notes Documents against the Trustee and the Notes Collateral Agent (it being agreed that the permissive right of the Trustee and the Notes Collateral Agent to do things enumerated in this Indenture and the other Notes Documents shall not be construed as a duty); and</w:t>
      </w:r>
    </w:p>
    <w:p>
      <w:pPr>
        <w:spacing w:after="0" w:line="87" w:lineRule="exact"/>
        <w:rPr>
          <w:rFonts w:ascii="Times New Roman" w:cs="Times New Roman" w:eastAsia="Times New Roman" w:hAnsi="Times New Roman"/>
          <w:sz w:val="12"/>
          <w:szCs w:val="12"/>
          <w:color w:val="auto"/>
        </w:rPr>
      </w:pPr>
    </w:p>
    <w:p>
      <w:pPr>
        <w:jc w:val="both"/>
        <w:ind w:left="460" w:right="40" w:firstLine="460"/>
        <w:spacing w:after="0" w:line="223" w:lineRule="auto"/>
        <w:tabs>
          <w:tab w:leader="none" w:pos="1364" w:val="left"/>
        </w:tabs>
        <w:numPr>
          <w:ilvl w:val="1"/>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willful misconduct on its part, each of the Trustee and the Notes Collateral Agent may conclusively rely, as to the truth of the statements and the correctness of the opinions expressed therein,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not only as to due execution, validity and effectiveness, but also as to the truth and accuracy of any information contained therein and furnished to the Trustee and the Notes Collateral Agent, as applicable, and conforming to the requirements of this Indenture and the other Notes Documents, as applicable. Neither the Trustee nor the Notes Collateral Agent shall be under any duty to make any investigation as to any statement contained in any such instance, but each may accept the same as conclusive evidence of the truth and accuracy of such statement or the correctness of such opinions. However, in the case of certificates or opinions required by any provision hereof to be provided to it, each of the Trustee and the Notes Collateral Agent shall examine the form of certificates and opinions to determine whether or not they conform on their face to the requirements of this Indenture and the other Notes Documents, as applicable (but need not confirm or investigate the accuracy of mathematical calculations or other facts stated therein).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76</w:t>
      </w:r>
    </w:p>
    <w:p>
      <w:pPr>
        <w:sectPr>
          <w:pgSz w:w="11900" w:h="16840" w:orient="portrait"/>
          <w:cols w:equalWidth="0" w:num="1">
            <w:col w:w="10640"/>
          </w:cols>
          <w:pgMar w:left="640" w:top="1440" w:right="620" w:bottom="1440" w:gutter="0" w:footer="0" w:header="0"/>
        </w:sectPr>
      </w:pPr>
    </w:p>
    <w:bookmarkStart w:id="379" w:name="page380"/>
    <w:bookmarkEnd w:id="379"/>
    <w:p>
      <w:pPr>
        <w:spacing w:after="0" w:line="148"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2"/>
          <w:szCs w:val="12"/>
          <w:color w:val="auto"/>
        </w:rPr>
        <w:t>(c)</w:t>
      </w:r>
      <w:r>
        <w:rPr>
          <w:sz w:val="20"/>
          <w:szCs w:val="20"/>
          <w:color w:val="auto"/>
        </w:rPr>
        <w:tab/>
      </w:r>
      <w:r>
        <w:rPr>
          <w:rFonts w:ascii="Times New Roman" w:cs="Times New Roman" w:eastAsia="Times New Roman" w:hAnsi="Times New Roman"/>
          <w:sz w:val="12"/>
          <w:szCs w:val="12"/>
          <w:color w:val="auto"/>
        </w:rPr>
        <w:t>Neither the Trustee nor the Notes Collateral Agent may be relieved from liability for its own grossly negligent action, its own grossly negligent failure to act or its own willful misconduct, except</w:t>
      </w:r>
    </w:p>
    <w:p>
      <w:pPr>
        <w:spacing w:after="0"/>
        <w:rPr>
          <w:sz w:val="20"/>
          <w:szCs w:val="20"/>
          <w:color w:val="auto"/>
        </w:rPr>
      </w:pPr>
      <w:r>
        <w:rPr>
          <w:rFonts w:ascii="Times New Roman" w:cs="Times New Roman" w:eastAsia="Times New Roman" w:hAnsi="Times New Roman"/>
          <w:sz w:val="12"/>
          <w:szCs w:val="12"/>
          <w:color w:val="auto"/>
        </w:rPr>
        <w:t>that:</w:t>
      </w:r>
    </w:p>
    <w:p>
      <w:pPr>
        <w:spacing w:after="0" w:line="95" w:lineRule="exact"/>
        <w:rPr>
          <w:sz w:val="20"/>
          <w:szCs w:val="20"/>
          <w:color w:val="auto"/>
        </w:rPr>
      </w:pPr>
    </w:p>
    <w:p>
      <w:pPr>
        <w:ind w:left="1360" w:hanging="440"/>
        <w:spacing w:after="0"/>
        <w:tabs>
          <w:tab w:leader="none" w:pos="1360" w:val="left"/>
        </w:tabs>
        <w:numPr>
          <w:ilvl w:val="1"/>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(c) does not limit the effect of clause (b) of this Section 7.01;</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Trustee nor the Notes Collateral Agent shall be liable for any error of judgment made in good faith by a Trust Officer unless it is proved that the Trustee was negligent in ascertaining the pertinent facts;</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Trustee nor the Notes Collateral Agent shall be liable with respect to any action it takes or omits to take in good faith in accordance with a direction received by it pursuant to the terms hereof; and</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provision of this Indenture or the other Notes Documents, as applicable, shall require the Trustee or the Notes Collateral Agent to expend or risk its own funds or otherwise Incur financial liability in the performance of any of its duties hereunder, thereunder or in the exercise of any of its rights or powers.</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expressly so provided herein, every provision of this Indenture and the other Notes Documents that in any way relates to the Trustee or the Notes Collateral Agent is subject to Sections 7.01 and 7.02 hereof.</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Trustee nor the Notes Collateral Agent shall be liable for interest on any money received by it except as the Trustee or the Notes Collateral Agent may agree in writing with the Issuers.</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 held in trust by the Trustee or the Notes Collateral Agent need not be segregated from other funds except to the extent required by law.</w:t>
      </w:r>
    </w:p>
    <w:p>
      <w:pPr>
        <w:spacing w:after="0" w:line="109"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Every provision of this Indenture and the other Notes Documents relating to the conduct or affecting the liability of or affording protection to the Trustee and the Notes Collateral Agent shall be subject to the provisions of this Section 7.01.</w:t>
      </w:r>
    </w:p>
    <w:p>
      <w:pPr>
        <w:spacing w:after="0" w:line="78" w:lineRule="exact"/>
        <w:rPr>
          <w:rFonts w:ascii="Times New Roman" w:cs="Times New Roman" w:eastAsia="Times New Roman" w:hAnsi="Times New Roman"/>
          <w:sz w:val="12"/>
          <w:szCs w:val="12"/>
          <w:color w:val="auto"/>
        </w:rPr>
      </w:pPr>
    </w:p>
    <w:p>
      <w:pPr>
        <w:jc w:val="both"/>
        <w:ind w:firstLine="463"/>
        <w:spacing w:after="0" w:line="226" w:lineRule="auto"/>
        <w:tabs>
          <w:tab w:leader="none" w:pos="904"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holder of the Notes and each Issuer appoints Wilmington Trust, National Association, in its capacity as Trustee, to act as an agent and representative (</w:t>
      </w:r>
      <w:r>
        <w:rPr>
          <w:rFonts w:ascii="Times New Roman" w:cs="Times New Roman" w:eastAsia="Times New Roman" w:hAnsi="Times New Roman"/>
          <w:sz w:val="12"/>
          <w:szCs w:val="12"/>
          <w:i w:val="1"/>
          <w:iCs w:val="1"/>
          <w:color w:val="auto"/>
        </w:rPr>
        <w:t>fuldmægtig og repræsentant</w:t>
      </w:r>
      <w:r>
        <w:rPr>
          <w:rFonts w:ascii="Times New Roman" w:cs="Times New Roman" w:eastAsia="Times New Roman" w:hAnsi="Times New Roman"/>
          <w:sz w:val="12"/>
          <w:szCs w:val="12"/>
          <w:color w:val="auto"/>
        </w:rPr>
        <w:t xml:space="preserve">) for such holder of the Notes pursuant to chapter 4, including, but not limited to Section 18(1), cf. Section 1(2), of the Danish Capital Markets Act and authorizes the Trustee in its name and on its behalf to perform the duties and to exercise the rights, powers, authorities and discretions that are given to it under or in connection with this Indenture and the Notes, including, among others, to hold the Guarantees on behalf of and for benefit of holders of the Notes. The Issuers and the Trustee shall use reasonable efforts to register the Trustee with the Danish Financial Supervisory Authority (in Danish: </w:t>
      </w:r>
      <w:r>
        <w:rPr>
          <w:rFonts w:ascii="Times New Roman" w:cs="Times New Roman" w:eastAsia="Times New Roman" w:hAnsi="Times New Roman"/>
          <w:sz w:val="12"/>
          <w:szCs w:val="12"/>
          <w:i w:val="1"/>
          <w:iCs w:val="1"/>
          <w:color w:val="auto"/>
        </w:rPr>
        <w:t>Finanstilsynet</w:t>
      </w:r>
      <w:r>
        <w:rPr>
          <w:rFonts w:ascii="Times New Roman" w:cs="Times New Roman" w:eastAsia="Times New Roman" w:hAnsi="Times New Roman"/>
          <w:sz w:val="12"/>
          <w:szCs w:val="12"/>
          <w:color w:val="auto"/>
        </w:rPr>
        <w:t xml:space="preserve">) in accordance with the Danish Capital Markets Act, and the Issuers and the Trustee shall provide all information reasonably required for registration in the Danish Financial Supervisory Authority's register of representatives (in Danish: </w:t>
      </w:r>
      <w:r>
        <w:rPr>
          <w:rFonts w:ascii="Times New Roman" w:cs="Times New Roman" w:eastAsia="Times New Roman" w:hAnsi="Times New Roman"/>
          <w:sz w:val="12"/>
          <w:szCs w:val="12"/>
          <w:i w:val="1"/>
          <w:iCs w:val="1"/>
          <w:color w:val="auto"/>
        </w:rPr>
        <w:t>Finanstilsynets register over repræsentanter for obligationsudstedelser</w:t>
      </w:r>
      <w:r>
        <w:rPr>
          <w:rFonts w:ascii="Times New Roman" w:cs="Times New Roman" w:eastAsia="Times New Roman" w:hAnsi="Times New Roman"/>
          <w:sz w:val="12"/>
          <w:szCs w:val="12"/>
          <w:color w:val="auto"/>
        </w:rPr>
        <w:t>).</w:t>
      </w:r>
    </w:p>
    <w:p>
      <w:pPr>
        <w:spacing w:after="0" w:line="8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7.02</w:t>
      </w:r>
      <w:r>
        <w:rPr>
          <w:sz w:val="20"/>
          <w:szCs w:val="20"/>
          <w:color w:val="auto"/>
        </w:rPr>
        <w:tab/>
      </w:r>
      <w:r>
        <w:rPr>
          <w:rFonts w:ascii="Times New Roman" w:cs="Times New Roman" w:eastAsia="Times New Roman" w:hAnsi="Times New Roman"/>
          <w:sz w:val="12"/>
          <w:szCs w:val="12"/>
          <w:u w:val="single" w:color="auto"/>
          <w:color w:val="auto"/>
        </w:rPr>
        <w:t>Rights of Trustee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firstLine="463"/>
        <w:spacing w:after="0" w:line="253" w:lineRule="auto"/>
        <w:tabs>
          <w:tab w:leader="none" w:pos="904"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conclusively rely on any document believed by it to be genuine and to have been signed or presented by the proper person. The Trustee need not investigate any fact or matter stated in the document.</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the Trustee acts or refrains from acting, it may require an Officer’s Certificate or an Opinion of Counsel or both. The Trustee shall not be liable for any action it takes or omits to take in good faith in reliance on the Officer’s Certificate or Opinion of Counsel.</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act through agents and shall not be responsible for the misconduct or negligence of any agent appointed with due care.</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any action it takes or omits to take in good faith which it believes to be authorized or within its rights or powers.</w:t>
      </w:r>
    </w:p>
    <w:p>
      <w:pPr>
        <w:spacing w:after="0" w:line="10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consult with counsel of its own selection and the advice or opinion of counsel with respect to legal matters relating to this Indenture and the Notes shall be full and complete authorization and protection from liability in respect of any action taken, omitted or suffered by it hereunder in good faith and in accordance with the advice or opinion of such counsel.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77</w:t>
      </w:r>
    </w:p>
    <w:p>
      <w:pPr>
        <w:sectPr>
          <w:pgSz w:w="11900" w:h="16840" w:orient="portrait"/>
          <w:cols w:equalWidth="0" w:num="1">
            <w:col w:w="10620"/>
          </w:cols>
          <w:pgMar w:left="640" w:top="1440" w:right="640" w:bottom="1440" w:gutter="0" w:footer="0" w:header="0"/>
        </w:sectPr>
      </w:pPr>
    </w:p>
    <w:bookmarkStart w:id="380" w:name="page381"/>
    <w:bookmarkEnd w:id="380"/>
    <w:p>
      <w:pPr>
        <w:spacing w:after="0" w:line="148" w:lineRule="exact"/>
        <w:rPr>
          <w:sz w:val="20"/>
          <w:szCs w:val="20"/>
          <w:color w:val="auto"/>
        </w:rPr>
      </w:pPr>
    </w:p>
    <w:p>
      <w:pPr>
        <w:jc w:val="both"/>
        <w:ind w:firstLine="463"/>
        <w:spacing w:after="0" w:line="231"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 Notes at the time outstanding,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Issuers, personally or by agent or attorney, at the expense of the Issuers and shall Incur no liability of any kind by reason of such inquiry or investigation.</w:t>
      </w:r>
    </w:p>
    <w:p>
      <w:pPr>
        <w:spacing w:after="0" w:line="87"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be under no obligation to exercise any of the rights or powers vested in it by this Indenture at the request or direction of any of the holders pursuant to this Indenture or the Collateral Documents, unless such holders shall have offered to the Trustee security or indemnity satisfactory to the Trustee against any loss, liability or expense.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80"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deemed to have received notice of any Default or Event of Default unless a Trust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request that the Issuers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87"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punitive, special, indirect, or consequential loss or damage of any kind whatsoever (including, but not limited to, loss of profit) irrespective of whether the Trustee has been advised of the likelihood of such loss or damage and regardless of the form of actions.</w:t>
      </w:r>
    </w:p>
    <w:p>
      <w:pPr>
        <w:spacing w:after="0" w:line="80"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required to give any bond or surety in respect of the execution of the trusts and powers under this Indenture.</w:t>
      </w:r>
    </w:p>
    <w:p>
      <w:pPr>
        <w:spacing w:after="0" w:line="109"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any failure or delay in the performance of its obligations under this Indenture arising out of or caused, directly or indirectly, by circumstances beyond its reasonable control, including, without limitation, any act or provision of any present or future law or regulation or governmental authority; acts of God; earthquakes; fire; flood; terrorism; wars and other military disturbances; sabotage; epidemics or pandemics; riots; interruptions, loss or malfunction of utilities, computer (hardware or software) or communication services; accidents; labor disputes; and acts of civil or military authorities and governmental action; or the unavailability of the Federal Reserve Bank wire or telex or other wire or communication facility.</w:t>
      </w:r>
    </w:p>
    <w:p>
      <w:pPr>
        <w:spacing w:after="0" w:line="87"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7.03 </w:t>
      </w:r>
      <w:r>
        <w:rPr>
          <w:rFonts w:ascii="Times New Roman" w:cs="Times New Roman" w:eastAsia="Times New Roman" w:hAnsi="Times New Roman"/>
          <w:sz w:val="12"/>
          <w:szCs w:val="12"/>
          <w:u w:val="single" w:color="auto"/>
          <w:color w:val="auto"/>
        </w:rPr>
        <w:t>Individual Rights of Trustee</w:t>
      </w:r>
      <w:r>
        <w:rPr>
          <w:rFonts w:ascii="Times New Roman" w:cs="Times New Roman" w:eastAsia="Times New Roman" w:hAnsi="Times New Roman"/>
          <w:sz w:val="12"/>
          <w:szCs w:val="12"/>
          <w:color w:val="auto"/>
        </w:rPr>
        <w:t>. The Trustee in its individual or any other capacity may become the owner or pledgee of Notes and may otherwise deal with the Issuers or their Affiliates with the same rights it would have if it were not Trustee. Any Paying Agent or Registrar may do the same with like rights. However, the Trustee must comply with Sections 7.09 and 7.10.</w:t>
      </w:r>
    </w:p>
    <w:p>
      <w:pPr>
        <w:spacing w:after="0" w:line="80"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7.04 </w:t>
      </w:r>
      <w:r>
        <w:rPr>
          <w:rFonts w:ascii="Times New Roman" w:cs="Times New Roman" w:eastAsia="Times New Roman" w:hAnsi="Times New Roman"/>
          <w:sz w:val="12"/>
          <w:szCs w:val="12"/>
          <w:u w:val="single" w:color="auto"/>
          <w:color w:val="auto"/>
        </w:rPr>
        <w:t>Trustee’s Disclaimer</w:t>
      </w:r>
      <w:r>
        <w:rPr>
          <w:rFonts w:ascii="Times New Roman" w:cs="Times New Roman" w:eastAsia="Times New Roman" w:hAnsi="Times New Roman"/>
          <w:sz w:val="12"/>
          <w:szCs w:val="12"/>
          <w:color w:val="auto"/>
        </w:rPr>
        <w:t>. The Trustee shall not be responsible for and makes no representation as to the validity or adequacy of this Indenture, the Guarantees or the Notes, it shall not be accountable for the Issuers’ use of the proceeds from the Notes, and it shall not be responsible for any statement of the Issuers or any Guarantor in this Indenture or in any document issued in connection with the sale of the Notes or in the Notes other than the Trustee’s certificate of authentication. The Trustee shall not be charged with knowledge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78</w:t>
      </w:r>
    </w:p>
    <w:p>
      <w:pPr>
        <w:sectPr>
          <w:pgSz w:w="11900" w:h="16840" w:orient="portrait"/>
          <w:cols w:equalWidth="0" w:num="1">
            <w:col w:w="10620"/>
          </w:cols>
          <w:pgMar w:left="640" w:top="1440" w:right="640" w:bottom="1440" w:gutter="0" w:footer="0" w:header="0"/>
        </w:sectPr>
      </w:pPr>
    </w:p>
    <w:bookmarkStart w:id="381" w:name="page382"/>
    <w:bookmarkEnd w:id="381"/>
    <w:p>
      <w:pPr>
        <w:spacing w:after="0" w:line="148" w:lineRule="exact"/>
        <w:rPr>
          <w:sz w:val="20"/>
          <w:szCs w:val="20"/>
          <w:color w:val="auto"/>
        </w:rPr>
      </w:pPr>
    </w:p>
    <w:p>
      <w:pPr>
        <w:jc w:val="both"/>
        <w:ind w:right="40"/>
        <w:spacing w:after="0" w:line="231" w:lineRule="auto"/>
        <w:rPr>
          <w:sz w:val="20"/>
          <w:szCs w:val="20"/>
          <w:color w:val="auto"/>
        </w:rPr>
      </w:pPr>
      <w:r>
        <w:rPr>
          <w:rFonts w:ascii="Times New Roman" w:cs="Times New Roman" w:eastAsia="Times New Roman" w:hAnsi="Times New Roman"/>
          <w:sz w:val="12"/>
          <w:szCs w:val="12"/>
          <w:color w:val="auto"/>
        </w:rPr>
        <w:t>of any Default or Event of Default under Sections 6.01(c), (d), (e), (f), (g), (h) or (i), or of the identity of any Significant Subsidiary unless either (a) a Trust Officer shall have actual knowledge thereof or (b) the Trustee shall have received written notice thereof in accordance with Section 13.01 hereof from the Issuers, any Guarantor or any holder. In accepting the trust hereby created, the Trustee acts solely as Trustee under this Indenture and not in its individual capacity and all persons, including without limitation the holders of Notes and the Issuers having any claim against the Trustee arising from this Indenture shall look only to the funds and accounts held by the Trustee hereunder for payment except as otherwise provided herein.</w:t>
      </w:r>
    </w:p>
    <w:p>
      <w:pPr>
        <w:spacing w:after="0" w:line="87"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7.05 </w:t>
      </w:r>
      <w:r>
        <w:rPr>
          <w:rFonts w:ascii="Times New Roman" w:cs="Times New Roman" w:eastAsia="Times New Roman" w:hAnsi="Times New Roman"/>
          <w:sz w:val="12"/>
          <w:szCs w:val="12"/>
          <w:u w:val="single" w:color="auto"/>
          <w:color w:val="auto"/>
        </w:rPr>
        <w:t>Notice of Defaults</w:t>
      </w:r>
      <w:r>
        <w:rPr>
          <w:rFonts w:ascii="Times New Roman" w:cs="Times New Roman" w:eastAsia="Times New Roman" w:hAnsi="Times New Roman"/>
          <w:sz w:val="12"/>
          <w:szCs w:val="12"/>
          <w:color w:val="auto"/>
        </w:rPr>
        <w:t>. If a Default occurs and is continuing and is actually known to a Trust Officer of the Trustee, the Trustee shall mail, or deliver electronically if the Notes are held by the Depository, to each holder of the Notes notice of the Default within 30 days after it is actually known to a Trust Officer or written notice of it is received by the Trustee. Except in the case of a Default in the payment of principal of, premium (if any) or interest on any Note, the Trustee may withhold notice if and so long as it determines that withholding notice is in the interests of the noteholders. The Issuers are required to deliver to the Trustee, annually, a certificate indicating whether the signers thereof know of any Default that occurred during the previous year. The Issuers also are required to deliver to the Trustee, within 30 days after the occurrence thereof, written notice of any event which would constitute certain Defaults, their status and what action the Issuers are taking or proposes to take in respect thereof.</w:t>
      </w:r>
    </w:p>
    <w:p>
      <w:pPr>
        <w:spacing w:after="0" w:line="90" w:lineRule="exact"/>
        <w:rPr>
          <w:sz w:val="20"/>
          <w:szCs w:val="20"/>
          <w:color w:val="auto"/>
        </w:rPr>
      </w:pPr>
    </w:p>
    <w:p>
      <w:pPr>
        <w:jc w:val="both"/>
        <w:ind w:right="20" w:firstLine="457"/>
        <w:spacing w:after="0" w:line="219" w:lineRule="auto"/>
        <w:rPr>
          <w:sz w:val="20"/>
          <w:szCs w:val="20"/>
          <w:color w:val="auto"/>
        </w:rPr>
      </w:pPr>
      <w:r>
        <w:rPr>
          <w:rFonts w:ascii="Times New Roman" w:cs="Times New Roman" w:eastAsia="Times New Roman" w:hAnsi="Times New Roman"/>
          <w:sz w:val="12"/>
          <w:szCs w:val="12"/>
          <w:color w:val="auto"/>
        </w:rPr>
        <w:t xml:space="preserve">SECTION 7.06 </w:t>
      </w:r>
      <w:r>
        <w:rPr>
          <w:rFonts w:ascii="Times New Roman" w:cs="Times New Roman" w:eastAsia="Times New Roman" w:hAnsi="Times New Roman"/>
          <w:sz w:val="12"/>
          <w:szCs w:val="12"/>
          <w:u w:val="single" w:color="auto"/>
          <w:color w:val="auto"/>
        </w:rPr>
        <w:t>Compensation and Indemnity</w:t>
      </w:r>
      <w:r>
        <w:rPr>
          <w:rFonts w:ascii="Times New Roman" w:cs="Times New Roman" w:eastAsia="Times New Roman" w:hAnsi="Times New Roman"/>
          <w:sz w:val="12"/>
          <w:szCs w:val="12"/>
          <w:color w:val="auto"/>
        </w:rPr>
        <w:t xml:space="preserve">. The Issuers shall pay to the Trustee (acting in any capacity hereunder) and the Notes Collateral Agent from time to time such compensation for the Trustee’s and the Notes Collateral Agent’s acceptance of this Indenture and its services hereunder and under the other Notes Documents as mutually agreed to in writing between the Issuers, the Trustee and the Notes Collateral Agent. The Trustee’s and the Notes Collateral Agent’s compensation shall not be limited by any law on compensation of a trustee of an express trust. The Issuers shall reimburse each of the Trustee and the Notes Collateral Agent upon request for all reasonable out-of - pocket expenses Incurred or made by it, including costs of collection, in addition to the compensation for its services. Such expenses shall include the reasonable compensation and expenses, disbursements and advances of the Trustee’s and the Notes Collateral Agent’s agents, counsel, accountants and experts. The Issuers and the Guarantors, jointly and severally, shall indemnify the Trustee (acting in any capacity hereunder) and the Notes Collateral Agent or any predecessor Trustee or Notes Collateral Agent and their respective directors, officers, employees and agents against any and all loss, liability, claim, damage or expense (including reasonable attorneys’ fees and expenses Incurred by or in connection with the acceptance or administration of this trust and the performance of its duties hereunder and under the other Notes Documents, including the costs and expenses of enforcing this Indenture or other Notes Documents against any Issuer or Guarantor (including this Section 7.06) and defending itself against or investigating any claim (whether asserted by any Issuer, any Guarantor, any holder or any other Person)). The obligation to pay such amounts shall survive the payment in full or defeasance of the Notes or the removal or resignation of the Trustee or the Notes Collateral Agent. The Trustee or the Notes Collateral Agent, as applicable, shall notify the Issuers of any claim for which it may seek indemnity promptly upon obtaining actual knowledge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failure to so notify the Issuers shall not relieve any Issuer or Guarantor of its indemnity obligations hereunder. The Issuers shall defend the claim and the indemnified party shall provide reasonable cooperation at the Issuers’ expense in the defense. Such indemnified parties may have separate counsel and the Issuers shall pay the fees and expenses of such counsel;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Issuers shall not be required to pay such fees and expenses if they assume such indemnified parties’ defense and, in such indemnified parties’ reasonable judgment, there is no actual or potential conflict of interest between the Issuers and the Guarantors, on the one hand, and such parties, on the other hand, in connection with such defense. The Issuers need not indemnify against any loss, liability or expense Incurred by an indemnified party through such party’s own willful misconduct or gross negligence.</w:t>
      </w:r>
    </w:p>
    <w:p>
      <w:pPr>
        <w:spacing w:after="0" w:line="100" w:lineRule="exact"/>
        <w:rPr>
          <w:sz w:val="20"/>
          <w:szCs w:val="20"/>
          <w:color w:val="auto"/>
        </w:rPr>
      </w:pPr>
    </w:p>
    <w:p>
      <w:pPr>
        <w:jc w:val="both"/>
        <w:ind w:right="60" w:firstLine="457"/>
        <w:spacing w:after="0" w:line="287" w:lineRule="auto"/>
        <w:rPr>
          <w:sz w:val="20"/>
          <w:szCs w:val="20"/>
          <w:color w:val="auto"/>
        </w:rPr>
      </w:pPr>
      <w:r>
        <w:rPr>
          <w:rFonts w:ascii="Times New Roman" w:cs="Times New Roman" w:eastAsia="Times New Roman" w:hAnsi="Times New Roman"/>
          <w:sz w:val="12"/>
          <w:szCs w:val="12"/>
          <w:color w:val="auto"/>
        </w:rPr>
        <w:t>To secure the Issuers’ and the Guarantors’ payment obligations in this Section 7.06, the Trustee and the Notes Collateral Agent shall have a Lien prior to the Notes on all money or property held by the Trustee and the Notes Collateral Agent on behalf of, or collected from, the Issuers and the Guarantors, other than money or property held in trust to pay principal of and interest on particular Notes.</w:t>
      </w:r>
    </w:p>
    <w:p>
      <w:pPr>
        <w:spacing w:after="0" w:line="79" w:lineRule="exact"/>
        <w:rPr>
          <w:sz w:val="20"/>
          <w:szCs w:val="20"/>
          <w:color w:val="auto"/>
        </w:rPr>
      </w:pPr>
    </w:p>
    <w:p>
      <w:pPr>
        <w:jc w:val="both"/>
        <w:ind w:right="60" w:firstLine="457"/>
        <w:spacing w:after="0" w:line="261" w:lineRule="auto"/>
        <w:rPr>
          <w:sz w:val="20"/>
          <w:szCs w:val="20"/>
          <w:color w:val="auto"/>
        </w:rPr>
      </w:pPr>
      <w:r>
        <w:rPr>
          <w:rFonts w:ascii="Times New Roman" w:cs="Times New Roman" w:eastAsia="Times New Roman" w:hAnsi="Times New Roman"/>
          <w:sz w:val="12"/>
          <w:szCs w:val="12"/>
          <w:color w:val="auto"/>
        </w:rPr>
        <w:t>The Issuers’ and the Guarantors’ payment obligations pursuant to this Article VII shall survive the satisfaction or discharge of this Indenture, any rejection or termination of this Indenture under any Bankruptcy Law or the resignation or removal of the Trustee or the Notes Collateral Agent. Without prejudice to any other rights available to the Trustee or the Notes Collateral Agent under applicable law, when the Trustee or the Notes Collateral Agent Incurs expenses after the occurrence of a Default specified in Section 6.01(f) or (g) with respect to any Issuer, the expenses are intended to constitute expenses of administration under the Bankruptcy Law.</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79</w:t>
      </w:r>
    </w:p>
    <w:p>
      <w:pPr>
        <w:sectPr>
          <w:pgSz w:w="11900" w:h="16840" w:orient="portrait"/>
          <w:cols w:equalWidth="0" w:num="1">
            <w:col w:w="10640"/>
          </w:cols>
          <w:pgMar w:left="640" w:top="1440" w:right="620" w:bottom="1440" w:gutter="0" w:footer="0" w:header="0"/>
        </w:sectPr>
      </w:pPr>
    </w:p>
    <w:bookmarkStart w:id="382" w:name="page383"/>
    <w:bookmarkEnd w:id="382"/>
    <w:p>
      <w:pPr>
        <w:spacing w:after="0" w:line="157"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No provision of this Indenture shall require the Trustee (acting in any capacity hereunder) to expend or risk its own funds or otherwise Incur any financial liability in the performance of any of its duties hereunder, or in the exercise of any of its rights or powers.</w:t>
      </w:r>
    </w:p>
    <w:p>
      <w:pPr>
        <w:spacing w:after="0" w:line="7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7.07</w:t>
      </w:r>
      <w:r>
        <w:rPr>
          <w:sz w:val="20"/>
          <w:szCs w:val="20"/>
          <w:color w:val="auto"/>
        </w:rPr>
        <w:tab/>
      </w:r>
      <w:r>
        <w:rPr>
          <w:rFonts w:ascii="Times New Roman" w:cs="Times New Roman" w:eastAsia="Times New Roman" w:hAnsi="Times New Roman"/>
          <w:sz w:val="12"/>
          <w:szCs w:val="12"/>
          <w:u w:val="single" w:color="auto"/>
          <w:color w:val="auto"/>
        </w:rPr>
        <w:t>Replacement of Trustee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firstLine="463"/>
        <w:spacing w:after="0" w:line="253" w:lineRule="auto"/>
        <w:tabs>
          <w:tab w:leader="none" w:pos="904"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resign at any time by so notifying the Issuers. The holders of a majority in principal amount of the Notes may remove the Trustee by so notifying the Trustee in writing at least 30 days prior to such removal and may appoint a successor Trustee. The Issuers shall remove the Trustee if:</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fails to comply with Section 7.09;</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is adjudged bankrupt or insolvent or becomes subject to bankruptcy proceedings;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receiver or other public officer takes charge of the Trustee or its property;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otherwise becomes incapable of acting.</w:t>
      </w:r>
    </w:p>
    <w:p>
      <w:pPr>
        <w:spacing w:after="0" w:line="109"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Trustee resigns, is removed by the Issuers or by the holders of a majority in principal amount of the Notes and such holders do not reasonably promptly appoint a successor Trustee, or if a vacancy exists in the office of Trustee for any reason (the Trustee in such event being referred to herein as the retiring Trustee), the Issuers shall promptly appoint a successor Trustee.</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the holders. The retiring Trustee shall promptly transfer all property held by it as Trustee to the successor Trustee, subject to the Lien provided for in Section 7.06.</w:t>
      </w:r>
    </w:p>
    <w:p>
      <w:pPr>
        <w:spacing w:after="0" w:line="87"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successor Trustee does not take office within 60 days after the retiring Trustee resigns or is removed, the retiring Trustee, the Issuers or the holders of 10% in principal amount of the Notes may petition at the expense of the Issuers any court of competent jurisdiction for the appointment of a successor Trustee.</w:t>
      </w:r>
    </w:p>
    <w:p>
      <w:pPr>
        <w:spacing w:after="0" w:line="78" w:lineRule="exact"/>
        <w:rPr>
          <w:rFonts w:ascii="Times New Roman" w:cs="Times New Roman" w:eastAsia="Times New Roman" w:hAnsi="Times New Roman"/>
          <w:sz w:val="12"/>
          <w:szCs w:val="12"/>
          <w:color w:val="auto"/>
        </w:rPr>
      </w:pPr>
    </w:p>
    <w:p>
      <w:pPr>
        <w:ind w:right="20" w:firstLine="463"/>
        <w:spacing w:after="0" w:line="257" w:lineRule="auto"/>
        <w:tabs>
          <w:tab w:leader="none" w:pos="904"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Trustee fails to comply with Section 7.09, unless the Trustee’s duty to resign is stayed as provided in Section 310(b) of the TIA, any holder who has been a</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holder of a Note for at least six months may petition any court of competent jurisdiction for the removal of the Trustee and the appointment of a successor Trustee.</w:t>
      </w:r>
    </w:p>
    <w:p>
      <w:pPr>
        <w:spacing w:after="0" w:line="77"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replacement of the Trustee pursuant to this Section 7.07, the Issuers’ obligations under Section 7.06 shall continue for the benefit of the retiring Trustee.</w:t>
      </w:r>
    </w:p>
    <w:p>
      <w:pPr>
        <w:spacing w:after="0" w:line="107" w:lineRule="exact"/>
        <w:rPr>
          <w:rFonts w:ascii="Times New Roman" w:cs="Times New Roman" w:eastAsia="Times New Roman" w:hAnsi="Times New Roman"/>
          <w:sz w:val="12"/>
          <w:szCs w:val="12"/>
          <w:color w:val="auto"/>
        </w:rPr>
      </w:pPr>
    </w:p>
    <w:p>
      <w:pPr>
        <w:jc w:val="both"/>
        <w:ind w:right="20" w:firstLine="463"/>
        <w:spacing w:after="0" w:line="237" w:lineRule="auto"/>
        <w:tabs>
          <w:tab w:leader="none" w:pos="904" w:val="left"/>
        </w:tabs>
        <w:numPr>
          <w:ilvl w:val="0"/>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successor Trustee shall be registered with the Danish Financial Supervisory Authority (</w:t>
      </w:r>
      <w:r>
        <w:rPr>
          <w:rFonts w:ascii="Times New Roman" w:cs="Times New Roman" w:eastAsia="Times New Roman" w:hAnsi="Times New Roman"/>
          <w:sz w:val="12"/>
          <w:szCs w:val="12"/>
          <w:i w:val="1"/>
          <w:iCs w:val="1"/>
          <w:color w:val="auto"/>
        </w:rPr>
        <w:t>finanstilsynet</w:t>
      </w:r>
      <w:r>
        <w:rPr>
          <w:rFonts w:ascii="Times New Roman" w:cs="Times New Roman" w:eastAsia="Times New Roman" w:hAnsi="Times New Roman"/>
          <w:sz w:val="12"/>
          <w:szCs w:val="12"/>
          <w:color w:val="auto"/>
        </w:rPr>
        <w:t>) in accordance with the Danish Capital Markets Act, and the Issuers and the successor Trustee shall provide all information required for registration in the Danish Financial Supervisory Authority's register of representatives (</w:t>
      </w:r>
      <w:r>
        <w:rPr>
          <w:rFonts w:ascii="Times New Roman" w:cs="Times New Roman" w:eastAsia="Times New Roman" w:hAnsi="Times New Roman"/>
          <w:sz w:val="12"/>
          <w:szCs w:val="12"/>
          <w:i w:val="1"/>
          <w:iCs w:val="1"/>
          <w:color w:val="auto"/>
        </w:rPr>
        <w:t>finanstilsynets register over repræsentanter for obligationsudstedelser</w:t>
      </w:r>
      <w:r>
        <w:rPr>
          <w:rFonts w:ascii="Times New Roman" w:cs="Times New Roman" w:eastAsia="Times New Roman" w:hAnsi="Times New Roman"/>
          <w:sz w:val="12"/>
          <w:szCs w:val="12"/>
          <w:color w:val="auto"/>
        </w:rPr>
        <w:t>). This Section 7.07(g) shall also apply to any successor Trustee resulting from a consolidation, merger or other similar transaction in accordance with Section 7.08 below.</w:t>
      </w:r>
    </w:p>
    <w:p>
      <w:pPr>
        <w:spacing w:after="0" w:line="88"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7.08 </w:t>
      </w:r>
      <w:r>
        <w:rPr>
          <w:rFonts w:ascii="Times New Roman" w:cs="Times New Roman" w:eastAsia="Times New Roman" w:hAnsi="Times New Roman"/>
          <w:sz w:val="12"/>
          <w:szCs w:val="12"/>
          <w:u w:val="single" w:color="auto"/>
          <w:color w:val="auto"/>
        </w:rPr>
        <w:t>Successor Trustee by Merger</w:t>
      </w:r>
      <w:r>
        <w:rPr>
          <w:rFonts w:ascii="Times New Roman" w:cs="Times New Roman" w:eastAsia="Times New Roman" w:hAnsi="Times New Roman"/>
          <w:sz w:val="12"/>
          <w:szCs w:val="12"/>
          <w:color w:val="auto"/>
        </w:rPr>
        <w:t>. If the Trustee consolidates with, merges or converts into, or transfers all or substantially all its corporate trust business or assets to, another corporation or banking association, the resulting, surviving or transferee corporation or banking association without any further act shall be the successor Trustee.</w:t>
      </w:r>
    </w:p>
    <w:p>
      <w:pPr>
        <w:spacing w:after="0" w:line="90"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w:t>
      </w:r>
    </w:p>
    <w:p>
      <w:pPr>
        <w:spacing w:after="0" w:line="82" w:lineRule="exact"/>
        <w:rPr>
          <w:sz w:val="20"/>
          <w:szCs w:val="20"/>
          <w:color w:val="auto"/>
        </w:rPr>
      </w:pPr>
    </w:p>
    <w:p>
      <w:pPr>
        <w:jc w:val="both"/>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7.09 </w:t>
      </w:r>
      <w:r>
        <w:rPr>
          <w:rFonts w:ascii="Times New Roman" w:cs="Times New Roman" w:eastAsia="Times New Roman" w:hAnsi="Times New Roman"/>
          <w:sz w:val="12"/>
          <w:szCs w:val="12"/>
          <w:u w:val="single" w:color="auto"/>
          <w:color w:val="auto"/>
        </w:rPr>
        <w:t>Eligibility; Disqualification</w:t>
      </w:r>
      <w:r>
        <w:rPr>
          <w:rFonts w:ascii="Times New Roman" w:cs="Times New Roman" w:eastAsia="Times New Roman" w:hAnsi="Times New Roman"/>
          <w:sz w:val="12"/>
          <w:szCs w:val="12"/>
          <w:color w:val="auto"/>
        </w:rPr>
        <w:t>. The Trustee shall at all times satisfy the requirements of Section 310(a) of the TIA. The Trustee shall have a combined capital and surplus of at least $100.0 million as set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80</w:t>
      </w:r>
    </w:p>
    <w:p>
      <w:pPr>
        <w:sectPr>
          <w:pgSz w:w="11900" w:h="16840" w:orient="portrait"/>
          <w:cols w:equalWidth="0" w:num="1">
            <w:col w:w="10620"/>
          </w:cols>
          <w:pgMar w:left="640" w:top="1440" w:right="640" w:bottom="1440" w:gutter="0" w:footer="0" w:header="0"/>
        </w:sectPr>
      </w:pPr>
    </w:p>
    <w:bookmarkStart w:id="383" w:name="page384"/>
    <w:bookmarkEnd w:id="383"/>
    <w:p>
      <w:pPr>
        <w:spacing w:after="0" w:line="14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 xml:space="preserve">forth in its most recent published annual report of condition. The Trustee shall comply with Section 310(b) of the TIA, subject to its right to apply for a stay of its duty to resign under the penultimate paragraph of Section 310(b) of the TIA;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there shall be excluded from the operation of Section 310(b)(1) of the TIA any series of securities issued under this Indenture and any indenture or indentures under which other securities or certificates of interest or participation in other securities of the Issuers are outstanding if the requirements for such exclusion set forth in Section 310(b)(1) of the TIA are met.</w:t>
      </w:r>
    </w:p>
    <w:p>
      <w:pPr>
        <w:spacing w:after="0" w:line="88"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7.10 </w:t>
      </w:r>
      <w:r>
        <w:rPr>
          <w:rFonts w:ascii="Times New Roman" w:cs="Times New Roman" w:eastAsia="Times New Roman" w:hAnsi="Times New Roman"/>
          <w:sz w:val="12"/>
          <w:szCs w:val="12"/>
          <w:u w:val="single" w:color="auto"/>
          <w:color w:val="auto"/>
        </w:rPr>
        <w:t>Preferential Collection of Claims Against the Issuers</w:t>
      </w:r>
      <w:r>
        <w:rPr>
          <w:rFonts w:ascii="Times New Roman" w:cs="Times New Roman" w:eastAsia="Times New Roman" w:hAnsi="Times New Roman"/>
          <w:sz w:val="12"/>
          <w:szCs w:val="12"/>
          <w:color w:val="auto"/>
        </w:rPr>
        <w:t>. The Trustee shall comply with Section 311(a) of the TIA, excluding any creditor relationship listed in Section 311(b) of the TIA. A Trustee who has resigned or been removed shall be subject to Section 311(a) of the TIA to the extent indicated.</w:t>
      </w:r>
    </w:p>
    <w:p>
      <w:pPr>
        <w:spacing w:after="0" w:line="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DISCHARGE OF INDENTURE; DEFEASANCE</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8.01</w:t>
      </w:r>
      <w:r>
        <w:rPr>
          <w:sz w:val="20"/>
          <w:szCs w:val="20"/>
          <w:color w:val="auto"/>
        </w:rPr>
        <w:tab/>
      </w:r>
      <w:r>
        <w:rPr>
          <w:rFonts w:ascii="Times New Roman" w:cs="Times New Roman" w:eastAsia="Times New Roman" w:hAnsi="Times New Roman"/>
          <w:sz w:val="12"/>
          <w:szCs w:val="12"/>
          <w:u w:val="single" w:color="auto"/>
          <w:color w:val="auto"/>
        </w:rPr>
        <w:t>Discharge of Liability on Notes; Defeasance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20" w:firstLine="463"/>
        <w:spacing w:after="0" w:line="253" w:lineRule="auto"/>
        <w:tabs>
          <w:tab w:leader="none" w:pos="904" w:val="left"/>
        </w:tabs>
        <w:numPr>
          <w:ilvl w:val="0"/>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Indenture shall be discharged and shall cease to be of further effect (except as to surviving rights and immunities of the Trustee and the Notes Collateral Agent and rights of registration or transfer or exchange of Notes, as expressly provided for in this Indenture) as to all outstanding Notes (and all Liens on the Collateral shall be released) when:</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27" w:lineRule="auto"/>
        <w:tabs>
          <w:tab w:leader="none" w:pos="1364"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(A) all the Notes theretofore authenticated and delivered (except lost, stolen or destroyed Notes which have been replaced or paid and Notes for whose payment money has theretofore been deposited in trust or segregated and held in trust by the Issuers and thereafter repaid to the Issuers or discharged from such trust) have been delivered to the Trustee for cancellation or</w:t>
      </w:r>
    </w:p>
    <w:p>
      <w:pPr>
        <w:jc w:val="both"/>
        <w:ind w:left="460"/>
        <w:spacing w:after="0" w:line="22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all of the Notes (1) have become due and payable, (2) will become due and payable at their Stated Maturity within one year or (3) if redeemable at the option of the Issuers, are to be called for redemption within one year under arrangements satisfactory to the Trustee for the giving of notice of redemption by the Trustee in the name, and at the expense, of the Issuers, and the Issuers have irrevocably deposited or caused to be deposited with the Trustee funds in an amount sufficient to pay and discharge the entire Indebtedness on the Notes not theretofore delivered to the Trustee for cancellation, for principal of, premium, if any, and interest on the Notes to, but excluding, the date of deposit together with irrevocable instructions from the Issuers directing the Trustee to apply such funds to the payment thereof at maturity or redemption, as the case may be;</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and/or the Guarantors have paid all other sums payable under this Indenture; and</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have delivered to the Trustee and the Notes Collateral Agent an Officer’s Certificate and an Opinion of Counsel stating that all conditions precedent under this Indenture relating to the satisfaction and discharge of this Indenture have been complied with.</w:t>
      </w:r>
    </w:p>
    <w:p>
      <w:pPr>
        <w:spacing w:after="0" w:line="80" w:lineRule="exact"/>
        <w:rPr>
          <w:rFonts w:ascii="Times New Roman" w:cs="Times New Roman" w:eastAsia="Times New Roman" w:hAnsi="Times New Roman"/>
          <w:sz w:val="12"/>
          <w:szCs w:val="12"/>
          <w:color w:val="auto"/>
        </w:rPr>
      </w:pPr>
    </w:p>
    <w:p>
      <w:pPr>
        <w:jc w:val="both"/>
        <w:ind w:firstLine="463"/>
        <w:spacing w:after="0"/>
        <w:tabs>
          <w:tab w:leader="none" w:pos="904" w:val="left"/>
        </w:tabs>
        <w:numPr>
          <w:ilvl w:val="0"/>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 8.01(c) and 8.02, the Issuers at any time may terminate (i) all of their obligations under the Notes and this Indenture with respect to the holders of the Notes (</w:t>
      </w:r>
      <w:r>
        <w:rPr>
          <w:rFonts w:ascii="Times New Roman" w:cs="Times New Roman" w:eastAsia="Times New Roman" w:hAnsi="Times New Roman"/>
          <w:sz w:val="12"/>
          <w:szCs w:val="12"/>
          <w:u w:val="single" w:color="auto"/>
          <w:color w:val="auto"/>
        </w:rPr>
        <w:t>“legal defeasance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option</w:t>
      </w:r>
      <w:r>
        <w:rPr>
          <w:rFonts w:ascii="Times New Roman" w:cs="Times New Roman" w:eastAsia="Times New Roman" w:hAnsi="Times New Roman"/>
          <w:sz w:val="12"/>
          <w:szCs w:val="12"/>
          <w:color w:val="auto"/>
        </w:rPr>
        <w:t>”), except for the obligations set forth in Section 8.01(c) and obligations to register the transfer or exchange of the Notes, to replace mutilated, destroyed, lost or stolen Notes and to maintain a registrar and paying agent in respect of the Notes and (ii) all of its obligations under Sections 4.02, 4.03, 4.04, 4.05, 4.06, 4.07, 4.08, 4.09, 4.11, 4.12, 4.13, 4.16, 4.17 and 4.18, and the operation of Section 5.01 for the benefit of the holders of the Notes, Sections 6.01(e), 6.01(f), 6.01(g) (in the case of Sections 6.01(f) and 6.01(g), with respect to Significant Subsidiaries only) and 6.01(h) (“</w:t>
      </w:r>
      <w:r>
        <w:rPr>
          <w:rFonts w:ascii="Times New Roman" w:cs="Times New Roman" w:eastAsia="Times New Roman" w:hAnsi="Times New Roman"/>
          <w:sz w:val="12"/>
          <w:szCs w:val="12"/>
          <w:u w:val="single" w:color="auto"/>
          <w:color w:val="auto"/>
        </w:rPr>
        <w:t>covenant defeasance option</w:t>
      </w:r>
      <w:r>
        <w:rPr>
          <w:rFonts w:ascii="Times New Roman" w:cs="Times New Roman" w:eastAsia="Times New Roman" w:hAnsi="Times New Roman"/>
          <w:sz w:val="12"/>
          <w:szCs w:val="12"/>
          <w:color w:val="auto"/>
        </w:rPr>
        <w:t>”). If the Issuers exercise their legal defeasance option or their covenant defeasance option, each Guarantor will be released from all of its obligations with respect to its Guarantee and the Liens, if any, on the Collateral securing the Notes shall be released.</w:t>
      </w:r>
    </w:p>
    <w:p>
      <w:pPr>
        <w:spacing w:after="0" w:line="186"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The Issuers may exercise their legal defeasance option notwithstanding their prior exercise of the covenant defeasance option. If the Issuers exercise their legal defeasance option, payment of the Notes so defeased may not be accelerated because of an Event of Default with respect thereto. If the Issuers exercise their covenant defeasance option, payment of the Notes may not be accelerated because of an Event of Default specified in Sections 6.01(c), 6.01(d), 6.01(e), 6.01(f), 6.01(g) (in the case of Section 6.01(f) and (g), with respect only to Significant Subsidiaries), 6.01(h) or 6.01(i) or because of the failure of the Issuers to comply with Section 5.01(a)(iv).</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Upon satisfaction of the conditions set forth herein and upon request of the Issuers, the Trustee shall acknowledge in writing the discharge of those obligations that the Issuers terminate.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81</w:t>
      </w:r>
    </w:p>
    <w:p>
      <w:pPr>
        <w:sectPr>
          <w:pgSz w:w="11900" w:h="16840" w:orient="portrait"/>
          <w:cols w:equalWidth="0" w:num="1">
            <w:col w:w="10620"/>
          </w:cols>
          <w:pgMar w:left="640" w:top="1440" w:right="640" w:bottom="1440" w:gutter="0" w:footer="0" w:header="0"/>
        </w:sectPr>
      </w:pPr>
    </w:p>
    <w:bookmarkStart w:id="384" w:name="page385"/>
    <w:bookmarkEnd w:id="384"/>
    <w:p>
      <w:pPr>
        <w:spacing w:after="0" w:line="148" w:lineRule="exact"/>
        <w:rPr>
          <w:sz w:val="20"/>
          <w:szCs w:val="20"/>
          <w:color w:val="auto"/>
        </w:rPr>
      </w:pPr>
    </w:p>
    <w:p>
      <w:pPr>
        <w:jc w:val="both"/>
        <w:ind w:right="60" w:firstLine="463"/>
        <w:spacing w:after="0" w:line="236" w:lineRule="auto"/>
        <w:tabs>
          <w:tab w:leader="none" w:pos="904"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clauses (a) and (b) above, the Issuers’ obligations in Sections 2.04, 2.05, 2.06, 2.07, 2.08 and 2.09, Article VII and this Article VIII, including the Issuers’ obligations in respect of the defeasance trust (as defined below), and the rights and immunities of the Trustee under this Indenture shall survive until the Notes have been paid in full. Thereafter, only the Issuers’ obligations in Sections 7.06, 7.07, 8.05, 8.06 and 11.03 and the rights and immunities of the Trustee and the Notes Collateral Agent under this Indenture shall survive.</w:t>
      </w:r>
    </w:p>
    <w:p>
      <w:pPr>
        <w:spacing w:after="0" w:line="8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8.02</w:t>
      </w:r>
      <w:r>
        <w:rPr>
          <w:sz w:val="20"/>
          <w:szCs w:val="20"/>
          <w:color w:val="auto"/>
        </w:rPr>
        <w:tab/>
      </w:r>
      <w:r>
        <w:rPr>
          <w:rFonts w:ascii="Times New Roman" w:cs="Times New Roman" w:eastAsia="Times New Roman" w:hAnsi="Times New Roman"/>
          <w:sz w:val="12"/>
          <w:szCs w:val="12"/>
          <w:u w:val="single" w:color="auto"/>
          <w:color w:val="auto"/>
        </w:rPr>
        <w:t>Conditions to Defeasance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920" w:hanging="457"/>
        <w:spacing w:after="0"/>
        <w:tabs>
          <w:tab w:leader="none" w:pos="920"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may exercise their legal defeasance option or their covenant defeasance option only if:</w:t>
      </w:r>
    </w:p>
    <w:p>
      <w:pPr>
        <w:spacing w:after="0" w:line="109"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irrevocably deposit in trust (the “</w:t>
      </w:r>
      <w:r>
        <w:rPr>
          <w:rFonts w:ascii="Times New Roman" w:cs="Times New Roman" w:eastAsia="Times New Roman" w:hAnsi="Times New Roman"/>
          <w:sz w:val="12"/>
          <w:szCs w:val="12"/>
          <w:u w:val="single" w:color="auto"/>
          <w:color w:val="auto"/>
        </w:rPr>
        <w:t>defeasance trust</w:t>
      </w:r>
      <w:r>
        <w:rPr>
          <w:rFonts w:ascii="Times New Roman" w:cs="Times New Roman" w:eastAsia="Times New Roman" w:hAnsi="Times New Roman"/>
          <w:sz w:val="12"/>
          <w:szCs w:val="12"/>
          <w:color w:val="auto"/>
        </w:rPr>
        <w:t>”) with the Trustee money or U.S. Government Obligations for the payment of principal, premium (if any) and interest on the Notes to redemption or maturity, as the case may be;</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U.S. Government Obligations or a combination of money and U.S. Government Obligations, the Issuers deliver to the Trustee a certificate from a nationally recognized firm of independent accountants, a nationally recognized investment bank or a nationally recognized appraisal or valuation firm expressing their opinion that the payments of principal and interest when due and without reinvestment on the deposited U.S. Government Obligations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any deposited money without investment will provide cash at such times and in such amounts as will be sufficient to pay principal, premium (if any) and interest on the Notes to redemption or maturity, as the case may be;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any redemption that requires the payment of the Applicable Premium, the amount deposited shall be sufficient for purposes of this Indenture to the extent that an amount is deposited with the Trustee equal to the Applicable Premium calculated as of the earlier of the date on which arrangements referred to in Section 8.02(b) are entered into and the date of the notice of redemption, with any deficit as of the date of the redemption only required to be deposited with the Trustee on or prior to the date of the redemption;</w:t>
      </w:r>
    </w:p>
    <w:p>
      <w:pPr>
        <w:spacing w:after="0" w:line="161"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specified in Section 6.01(f) or (g) with respect to the Issuers shall have occurred or is continuing on the date of such deposit;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deposit does not constitute a default under any other material agreement or instrument binding on any Issuer;</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tabs>
          <w:tab w:leader="none" w:pos="1364"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deliver to the Trustee an Opinion of Counsel to the effect that the beneficial owners of the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(and, in the case of legal defeasance only, such Opinion of Counsel must be based on a ruling of the Internal Revenue Service or change in applicable U.S. federal income tax law);</w:t>
      </w:r>
    </w:p>
    <w:p>
      <w:pPr>
        <w:spacing w:after="0" w:line="204"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exercise does not impair the right of any holder to receive payment of principal of, premium, if any, and interest on such holder’s Notes on or after the due dates therefore or to institute suit for the enforcement of any payment on or with respect to such holder’s Notes; and</w:t>
      </w:r>
    </w:p>
    <w:p>
      <w:pPr>
        <w:spacing w:after="0" w:line="80"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deliver to the Trustee an Officer’s Certificate and an Opinion of Counsel, each stating that all conditions precedent to the defeasance and discharge of the Notes to be so defeased and discharged as contemplated by this Article VIII have been complied with.</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the Opinion of Counsel required under Section 8.02(a)(v) with respect to a legal defeasance need not be delivered if all of the Notes not theretofore delivered to the Trustee for cancellation (x) have become due and payable or (y) will become due and payable at their Stated Maturity within one year under arrangements satisfactory to the Trustee for the giving of notice of redemption by the Trustee in the name, and at the expense, of the Issuers. Before or after a deposit, the Issuers may make arrangements satisfactory to the Trustee for the redemption of such Notes at a future date in accordance with Article III.</w:t>
      </w:r>
    </w:p>
    <w:p>
      <w:pPr>
        <w:spacing w:after="0" w:line="87" w:lineRule="exact"/>
        <w:rPr>
          <w:sz w:val="20"/>
          <w:szCs w:val="20"/>
          <w:color w:val="auto"/>
        </w:rPr>
      </w:pPr>
    </w:p>
    <w:p>
      <w:pPr>
        <w:jc w:val="both"/>
        <w:ind w:right="4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8.03 </w:t>
      </w:r>
      <w:r>
        <w:rPr>
          <w:rFonts w:ascii="Times New Roman" w:cs="Times New Roman" w:eastAsia="Times New Roman" w:hAnsi="Times New Roman"/>
          <w:sz w:val="12"/>
          <w:szCs w:val="12"/>
          <w:u w:val="single" w:color="auto"/>
          <w:color w:val="auto"/>
        </w:rPr>
        <w:t>Application of Trust Money</w:t>
      </w:r>
      <w:r>
        <w:rPr>
          <w:rFonts w:ascii="Times New Roman" w:cs="Times New Roman" w:eastAsia="Times New Roman" w:hAnsi="Times New Roman"/>
          <w:sz w:val="12"/>
          <w:szCs w:val="12"/>
          <w:color w:val="auto"/>
        </w:rPr>
        <w:t>. The Trustee shall hold in trust money or U.S. Government Obligations (including proceeds thereof) deposited with it pursuant to this Article VIII. The Trustee shall apply the deposited money and the money from U.S. Government Obligations through each Paying Agent and in accordance with this Indenture to the payment of principal of, premium, if any, and interest on the Notes so discharged or defeased.</w:t>
      </w:r>
    </w:p>
    <w:p>
      <w:pPr>
        <w:spacing w:after="0" w:line="88"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8.04 </w:t>
      </w:r>
      <w:r>
        <w:rPr>
          <w:rFonts w:ascii="Times New Roman" w:cs="Times New Roman" w:eastAsia="Times New Roman" w:hAnsi="Times New Roman"/>
          <w:sz w:val="12"/>
          <w:szCs w:val="12"/>
          <w:u w:val="single" w:color="auto"/>
          <w:color w:val="auto"/>
        </w:rPr>
        <w:t>Repayment to Issuers</w:t>
      </w:r>
      <w:r>
        <w:rPr>
          <w:rFonts w:ascii="Times New Roman" w:cs="Times New Roman" w:eastAsia="Times New Roman" w:hAnsi="Times New Roman"/>
          <w:sz w:val="12"/>
          <w:szCs w:val="12"/>
          <w:color w:val="auto"/>
        </w:rPr>
        <w:t>. Each of the Trustee and each Paying Agent shall promptly turn over to the Issuers upon request any money or U.S. Government Obligations held by it as provided in this Article VIII that, in the written opinion of a nationally recognized firm of independent public accountants, 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82</w:t>
      </w:r>
    </w:p>
    <w:p>
      <w:pPr>
        <w:sectPr>
          <w:pgSz w:w="11900" w:h="16840" w:orient="portrait"/>
          <w:cols w:equalWidth="0" w:num="1">
            <w:col w:w="10640"/>
          </w:cols>
          <w:pgMar w:left="640" w:top="1440" w:right="620" w:bottom="1440" w:gutter="0" w:footer="0" w:header="0"/>
        </w:sectPr>
      </w:pPr>
    </w:p>
    <w:bookmarkStart w:id="385" w:name="page386"/>
    <w:bookmarkEnd w:id="385"/>
    <w:p>
      <w:pPr>
        <w:spacing w:after="0" w:line="14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nationally recognized investment bank or a nationally recognized appraisal or valuation firm, delivered to the Trustee (which delivery shall only be required if U.S. Government Obligations have been so deposited), are in excess of the amount thereof that would then be required to be deposited to effect an equivalent discharge or defeasance in accordance with this Article VIII.</w:t>
      </w:r>
    </w:p>
    <w:p>
      <w:pPr>
        <w:spacing w:after="0" w:line="90" w:lineRule="exact"/>
        <w:rPr>
          <w:sz w:val="20"/>
          <w:szCs w:val="20"/>
          <w:color w:val="auto"/>
        </w:rPr>
      </w:pPr>
    </w:p>
    <w:p>
      <w:pPr>
        <w:jc w:val="both"/>
        <w:ind w:right="40" w:firstLine="457"/>
        <w:spacing w:after="0" w:line="267" w:lineRule="auto"/>
        <w:rPr>
          <w:sz w:val="20"/>
          <w:szCs w:val="20"/>
          <w:color w:val="auto"/>
        </w:rPr>
      </w:pPr>
      <w:r>
        <w:rPr>
          <w:rFonts w:ascii="Times New Roman" w:cs="Times New Roman" w:eastAsia="Times New Roman" w:hAnsi="Times New Roman"/>
          <w:sz w:val="12"/>
          <w:szCs w:val="12"/>
          <w:color w:val="auto"/>
        </w:rPr>
        <w:t>Subject to any applicable abandoned property law, the Trustee and each Paying Agent shall pay to the Issuers upon written request any money held by them for the payment of principal or interest that remains unclaimed for two years, and, thereafter, holders entitled to the money must look to the Issuers for payment as general creditors, and the Trustee and each Paying Agent shall have no further liability with respect to such monies.</w:t>
      </w:r>
    </w:p>
    <w:p>
      <w:pPr>
        <w:spacing w:after="0" w:line="82"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8.05</w:t>
      </w:r>
      <w:r>
        <w:rPr>
          <w:sz w:val="20"/>
          <w:szCs w:val="20"/>
          <w:color w:val="auto"/>
        </w:rPr>
        <w:tab/>
      </w:r>
      <w:r>
        <w:rPr>
          <w:rFonts w:ascii="Times New Roman" w:cs="Times New Roman" w:eastAsia="Times New Roman" w:hAnsi="Times New Roman"/>
          <w:sz w:val="12"/>
          <w:szCs w:val="12"/>
          <w:u w:val="single" w:color="auto"/>
          <w:color w:val="auto"/>
        </w:rPr>
        <w:t>Indemnity for U.S. Government Obligations</w:t>
      </w:r>
      <w:r>
        <w:rPr>
          <w:rFonts w:ascii="Times New Roman" w:cs="Times New Roman" w:eastAsia="Times New Roman" w:hAnsi="Times New Roman"/>
          <w:sz w:val="12"/>
          <w:szCs w:val="12"/>
          <w:color w:val="auto"/>
        </w:rPr>
        <w:t>. The Issuers shall pay and shall indemnify the Trustee against any tax, fee or other charge imposed on or assessed against deposited U.S.</w:t>
      </w:r>
    </w:p>
    <w:p>
      <w:pPr>
        <w:spacing w:after="0"/>
        <w:rPr>
          <w:sz w:val="20"/>
          <w:szCs w:val="20"/>
          <w:color w:val="auto"/>
        </w:rPr>
      </w:pPr>
      <w:r>
        <w:rPr>
          <w:rFonts w:ascii="Times New Roman" w:cs="Times New Roman" w:eastAsia="Times New Roman" w:hAnsi="Times New Roman"/>
          <w:sz w:val="12"/>
          <w:szCs w:val="12"/>
          <w:color w:val="auto"/>
        </w:rPr>
        <w:t>Government Obligations or the principal and interest received on such U.S. Government Obligations.</w:t>
      </w:r>
    </w:p>
    <w:p>
      <w:pPr>
        <w:spacing w:after="0" w:line="95" w:lineRule="exact"/>
        <w:rPr>
          <w:sz w:val="20"/>
          <w:szCs w:val="20"/>
          <w:color w:val="auto"/>
        </w:rPr>
      </w:pPr>
    </w:p>
    <w:p>
      <w:pPr>
        <w:jc w:val="both"/>
        <w:ind w:right="20" w:firstLine="457"/>
        <w:spacing w:after="0"/>
        <w:rPr>
          <w:sz w:val="20"/>
          <w:szCs w:val="20"/>
          <w:color w:val="auto"/>
        </w:rPr>
      </w:pPr>
      <w:r>
        <w:rPr>
          <w:rFonts w:ascii="Times New Roman" w:cs="Times New Roman" w:eastAsia="Times New Roman" w:hAnsi="Times New Roman"/>
          <w:sz w:val="12"/>
          <w:szCs w:val="12"/>
          <w:color w:val="auto"/>
        </w:rPr>
        <w:t xml:space="preserve">SECTION 8.06 </w:t>
      </w:r>
      <w:r>
        <w:rPr>
          <w:rFonts w:ascii="Times New Roman" w:cs="Times New Roman" w:eastAsia="Times New Roman" w:hAnsi="Times New Roman"/>
          <w:sz w:val="12"/>
          <w:szCs w:val="12"/>
          <w:u w:val="single" w:color="auto"/>
          <w:color w:val="auto"/>
        </w:rPr>
        <w:t>Reinstatement</w:t>
      </w:r>
      <w:r>
        <w:rPr>
          <w:rFonts w:ascii="Times New Roman" w:cs="Times New Roman" w:eastAsia="Times New Roman" w:hAnsi="Times New Roman"/>
          <w:sz w:val="12"/>
          <w:szCs w:val="12"/>
          <w:color w:val="auto"/>
        </w:rPr>
        <w:t xml:space="preserve">. If the Trustee or any Paying Agent is unable to apply any money or U.S. Government Obligations in accordance with this Article VIII by reason of any legal proceeding or by reason of any order or judgment of any court or governmental authority enjoining, restraining or otherwise prohibiting such application, the Issuers’ obligations under this Indenture and the Notes so discharged or defeased shall be revived and reinstated as though no deposit had occurred pursuant to this Article VIII until such time as the Trustee or any Paying Agent is permitted to apply all such money or U.S. Government Obligations in accordance with this Article VIII;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the Issuers have made any payment of principal of, premium, if any, or interest on, any such Notes because of the reinstatement of its obligations, the Issuers shall be subrogated to the rights of the holders of such Notes to receive such payment from the money or U.S. Government Obligations held by the Trustee or any Paying Agent.</w:t>
      </w:r>
    </w:p>
    <w:p>
      <w:pPr>
        <w:spacing w:after="0" w:line="17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b w:val="1"/>
          <w:bCs w:val="1"/>
          <w:color w:val="auto"/>
        </w:rPr>
        <w:t>AMENDMENTS AND WAIVERS</w:t>
      </w:r>
    </w:p>
    <w:p>
      <w:pPr>
        <w:spacing w:after="0" w:line="111"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9.01</w:t>
      </w:r>
      <w:r>
        <w:rPr>
          <w:sz w:val="20"/>
          <w:szCs w:val="20"/>
          <w:color w:val="auto"/>
        </w:rPr>
        <w:tab/>
      </w:r>
      <w:r>
        <w:rPr>
          <w:rFonts w:ascii="Times New Roman" w:cs="Times New Roman" w:eastAsia="Times New Roman" w:hAnsi="Times New Roman"/>
          <w:sz w:val="12"/>
          <w:szCs w:val="12"/>
          <w:u w:val="single" w:color="auto"/>
          <w:color w:val="auto"/>
        </w:rPr>
        <w:t>Without Consent of the Holders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20" w:firstLine="463"/>
        <w:spacing w:after="0" w:line="253" w:lineRule="auto"/>
        <w:tabs>
          <w:tab w:leader="none" w:pos="904" w:val="left"/>
        </w:tabs>
        <w:numPr>
          <w:ilvl w:val="0"/>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Section 9.02, the Issuers, the Trustee and the Notes Collateral Agent may amend this Indenture, the Notes or the Guarantees, and the Issuers and the Notes Collateral Agent may amend the Collateral Documents, in each case without the consent of any holder:</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cure any ambiguity, omission, mistake, defect or inconsistency;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assumption by a Successor Company (with respect to an Issuer) of the obligations of such Issuer under this Indenture, the Notes or any Collateral Document;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assumption by a Successor Person (with respect to any Guarantor) of the obligations of a Guarantor under this Indenture, its Guarantee or any Collateral Document;</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uncertificated Notes in addition to or in place of certificated Notes,</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uncertificated Notes are issued in registered form for purposes of Section 163(f) of the Code, or in a manner such that the uncertificated Notes are described in Section 163(f)(2)(B) of the Code;</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a Guarantee or collateral with respect to the Notes;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release a Guarantee or Collateral as permitted by this Indenture and the Collateral Documents;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to the covenants of the Issuers for the benefit of the holders or to surrender any right or power conferred upon the Issuers;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additional parallel debt provisions;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any change that does not adversely affect the rights of any holder in any material respect;</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conform the text of this Indenture, the Guarantees, the Notes or the Collateral Documents to any provision of the “Description of the Secured Notes” in the Offering Memorandum to the extent that such provision was intended by the Company to be a verbatim recitation of a provision in this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83</w:t>
      </w:r>
    </w:p>
    <w:p>
      <w:pPr>
        <w:sectPr>
          <w:pgSz w:w="11900" w:h="16840" w:orient="portrait"/>
          <w:cols w:equalWidth="0" w:num="1">
            <w:col w:w="10620"/>
          </w:cols>
          <w:pgMar w:left="640" w:top="1440" w:right="640" w:bottom="1440" w:gutter="0" w:footer="0" w:header="0"/>
        </w:sectPr>
      </w:pPr>
    </w:p>
    <w:bookmarkStart w:id="386" w:name="page387"/>
    <w:bookmarkEnd w:id="386"/>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Indenture, the Guarantees, the Notes or the Collateral Documents, as stated in an Officer’s Certificate of the Issuers;</w:t>
      </w:r>
    </w:p>
    <w:p>
      <w:pPr>
        <w:spacing w:after="0" w:line="109" w:lineRule="exact"/>
        <w:rPr>
          <w:sz w:val="20"/>
          <w:szCs w:val="20"/>
          <w:color w:val="auto"/>
        </w:rPr>
      </w:pPr>
    </w:p>
    <w:p>
      <w:pPr>
        <w:ind w:left="1360" w:hanging="440"/>
        <w:spacing w:after="0"/>
        <w:tabs>
          <w:tab w:leader="none" w:pos="1360"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changes to this Indenture to provide for the issuance of Additional Notes or</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Collateral Documents, to provide for the addition of any creditors to such agreements to the extent a pari passu lien or junior lien for the benefit of such creditor is permitted by the terms of this Indenture and any then-applicable Intercreditor Agreement.</w:t>
      </w:r>
    </w:p>
    <w:p>
      <w:pPr>
        <w:spacing w:after="0" w:line="80" w:lineRule="exact"/>
        <w:rPr>
          <w:sz w:val="20"/>
          <w:szCs w:val="20"/>
          <w:color w:val="auto"/>
        </w:rPr>
      </w:pPr>
    </w:p>
    <w:p>
      <w:pPr>
        <w:ind w:right="20" w:firstLine="463"/>
        <w:spacing w:after="0" w:line="253" w:lineRule="auto"/>
        <w:tabs>
          <w:tab w:leader="none" w:pos="904" w:val="left"/>
        </w:tabs>
        <w:numPr>
          <w:ilvl w:val="0"/>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an amendment under this Section 9.01 becomes effective, the Issuers shall mail or otherwise deliver in accordance with the procedures of the Depository, to the holders a notice briefly describing such amendment. The failure to give such notice to all holders, or any defect therein, shall not impair or affect the validity of an amendment under this Section 9.01.</w:t>
      </w:r>
    </w:p>
    <w:p>
      <w:pPr>
        <w:spacing w:after="0" w:line="80" w:lineRule="exact"/>
        <w:rPr>
          <w:sz w:val="20"/>
          <w:szCs w:val="20"/>
          <w:color w:val="auto"/>
        </w:rPr>
      </w:pPr>
    </w:p>
    <w:p>
      <w:pPr>
        <w:jc w:val="both"/>
        <w:ind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9.02 </w:t>
      </w:r>
      <w:r>
        <w:rPr>
          <w:rFonts w:ascii="Times New Roman" w:cs="Times New Roman" w:eastAsia="Times New Roman" w:hAnsi="Times New Roman"/>
          <w:sz w:val="12"/>
          <w:szCs w:val="12"/>
          <w:u w:val="single" w:color="auto"/>
          <w:color w:val="auto"/>
        </w:rPr>
        <w:t>With Consent of the Holders</w:t>
      </w:r>
      <w:r>
        <w:rPr>
          <w:rFonts w:ascii="Times New Roman" w:cs="Times New Roman" w:eastAsia="Times New Roman" w:hAnsi="Times New Roman"/>
          <w:sz w:val="12"/>
          <w:szCs w:val="12"/>
          <w:color w:val="auto"/>
        </w:rPr>
        <w:t>. The Issuers, the Trustee and the Notes Collateral Agent may amend this Indenture, the Notes, the Guarantees and the Collateral Documents, and any past Default or compliance with any provisions of this Indenture, the Notes, the Guarantees and the Collateral Documents may be waived, with the consent of the holders of a majority in principal amount of the Notes then outstanding. However, without the consent of each holder of an outstanding Note affected, no amendment or waiver may:</w:t>
      </w:r>
    </w:p>
    <w:p>
      <w:pPr>
        <w:spacing w:after="0" w:line="88" w:lineRule="exact"/>
        <w:rPr>
          <w:sz w:val="20"/>
          <w:szCs w:val="20"/>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amount of Notes whose holders must consent to an amendment;</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rate of or extend the time for payment of interest on any Note;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principal of or change the Stated Maturity of any Note;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premium payable upon the redemption of any Note or change the time at which any Note may be redeemed in accordance with Article III;</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Note payable in money other than that stated in such Note;</w:t>
      </w:r>
    </w:p>
    <w:p>
      <w:pPr>
        <w:spacing w:after="0" w:line="109"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expressly subordinate the Notes or any Guarantee (or the Liens on the Collateral securing the Notes or any Guarantee) to any other Indebtedness of any Issuer or Guarantor (or the Liens on the Collateral securing any such Indebtedness);</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 the right of any holder to receive payment of principal of, premium, if any, and interest on such holder’s Notes on or after the due dates therefor or to institute suit for the enforcement of any payment on or with respect to such holder’s Notes;</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change in the amendment provisions which require each holder’s consent or in the waiver provisions;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or waive the Issuers’ obligation to redeem the Notes through the special mandatory redemption in a manner that would materially adversely affect the holders of the Notes; or</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any release contemplated by Section 12.03, release all or substantially all of the Guarantors from their respective Guarantees.</w:t>
      </w:r>
    </w:p>
    <w:p>
      <w:pPr>
        <w:spacing w:after="0" w:line="119"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In addition, except for any release contemplated by this Indenture and the Collateral Documents, without the consent of all of the holders of the Notes then outstanding, no amendment, waiver or modification to this Indenture or any of the Collateral Documents shall be permitted to the extent that such amendment, waiver or modification would have the effect of releasing Liens on all or substantially all of the Collateral securing the Notes Obligations or change or alter the priority of the Notes Secured Parties’ security interests in any material portion of the Collateral in any way that is materially adverse, taken as a whole, to the holders of the Notes.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It shall not be necessary for the consent of the holders under this Section 9.02 to approve the particular form of any proposed amendment, but it shall be sufficient if such consent approves the substance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thereof.</w:t>
      </w:r>
    </w:p>
    <w:p>
      <w:pPr>
        <w:spacing w:after="0" w:line="115"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After an amendment under this Section 9.02 becomes effective, the Issuers shall mail, or otherwise deliver in accordance with the procedures of the Depository, to the holders a notice briefly describing such amendment. The failure to give such notice to all holders, or any defect therein, shall not impair or affect the validity of an amendment under this Section 9.02.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84</w:t>
      </w:r>
    </w:p>
    <w:p>
      <w:pPr>
        <w:sectPr>
          <w:pgSz w:w="11900" w:h="16840" w:orient="portrait"/>
          <w:cols w:equalWidth="0" w:num="1">
            <w:col w:w="10620"/>
          </w:cols>
          <w:pgMar w:left="640" w:top="1440" w:right="640" w:bottom="1440" w:gutter="0" w:footer="0" w:header="0"/>
        </w:sectPr>
      </w:pPr>
    </w:p>
    <w:bookmarkStart w:id="387" w:name="page388"/>
    <w:bookmarkEnd w:id="387"/>
    <w:p>
      <w:pPr>
        <w:spacing w:after="0" w:line="148"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9.03</w:t>
      </w:r>
      <w:r>
        <w:rPr>
          <w:sz w:val="20"/>
          <w:szCs w:val="20"/>
          <w:color w:val="auto"/>
        </w:rPr>
        <w:tab/>
      </w:r>
      <w:r>
        <w:rPr>
          <w:rFonts w:ascii="Times New Roman" w:cs="Times New Roman" w:eastAsia="Times New Roman" w:hAnsi="Times New Roman"/>
          <w:sz w:val="12"/>
          <w:szCs w:val="12"/>
          <w:u w:val="single" w:color="auto"/>
          <w:color w:val="auto"/>
        </w:rPr>
        <w:t>Revocation and Effect of Consents and Waivers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25" w:lineRule="auto"/>
        <w:tabs>
          <w:tab w:leader="none" w:pos="904" w:val="left"/>
        </w:tabs>
        <w:numPr>
          <w:ilvl w:val="0"/>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consent to an amendment or a waiver by a holder of a Note shall bind the holder and every subsequent holder of that Note or portion of the Note that evidences the same debt as the consenting holder’s Note, even if notation of the consent or waiver is not made on the Note. However, any such holder or subsequent holder may revoke the consent or waiver as to such holder’s Note or portion of the Note if the Trustee receives the notice of revocation before the date on which the Trustee receives an Officer’s Certificate from the Issuers certifying that the requisite principal amount of Notes have consented. After an amendment or waiver becomes effective, it shall bind every holder. An amendment or waiver becomes effective upon the (i) receipt by the Issuers or the Trustee of consents by the holders of the requisite principal amount of Notes, (ii) satisfaction of conditions to effectiveness as set forth in this Indenture and any indenture supplemental hereto effecting such amendment or waiver and (iii) execution of such amendment or waiver (or supplemental indenture) by the Issuers, the Guarantors and the Trustee.</w:t>
      </w:r>
    </w:p>
    <w:p>
      <w:pPr>
        <w:spacing w:after="0" w:line="89" w:lineRule="exact"/>
        <w:rPr>
          <w:rFonts w:ascii="Times New Roman" w:cs="Times New Roman" w:eastAsia="Times New Roman" w:hAnsi="Times New Roman"/>
          <w:sz w:val="12"/>
          <w:szCs w:val="12"/>
          <w:color w:val="auto"/>
        </w:rPr>
      </w:pPr>
    </w:p>
    <w:p>
      <w:pPr>
        <w:jc w:val="both"/>
        <w:ind w:right="40" w:firstLine="463"/>
        <w:spacing w:after="0" w:line="231" w:lineRule="auto"/>
        <w:tabs>
          <w:tab w:leader="none" w:pos="904" w:val="left"/>
        </w:tabs>
        <w:numPr>
          <w:ilvl w:val="0"/>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87" w:lineRule="exact"/>
        <w:rPr>
          <w:sz w:val="20"/>
          <w:szCs w:val="20"/>
          <w:color w:val="auto"/>
        </w:rPr>
      </w:pPr>
    </w:p>
    <w:p>
      <w:pPr>
        <w:jc w:val="both"/>
        <w:ind w:right="20"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9.04 </w:t>
      </w:r>
      <w:r>
        <w:rPr>
          <w:rFonts w:ascii="Times New Roman" w:cs="Times New Roman" w:eastAsia="Times New Roman" w:hAnsi="Times New Roman"/>
          <w:sz w:val="12"/>
          <w:szCs w:val="12"/>
          <w:u w:val="single" w:color="auto"/>
          <w:color w:val="auto"/>
        </w:rPr>
        <w:t>Notation on or Exchange of Notes</w:t>
      </w:r>
      <w:r>
        <w:rPr>
          <w:rFonts w:ascii="Times New Roman" w:cs="Times New Roman" w:eastAsia="Times New Roman" w:hAnsi="Times New Roman"/>
          <w:sz w:val="12"/>
          <w:szCs w:val="12"/>
          <w:color w:val="auto"/>
        </w:rPr>
        <w:t>. If an amendment, supplement or waiver changes the terms of a Note, the Issuers may require the holder of the Note to deliver it to the Trustee. The Trustee may place an appropriate notation on the Note regarding the changed terms and return it to the holder. Alternatively, if the Issuers or the Trustee so determine, the Issuers in exchange for the Note shall issue and, upon written order of the Issuers signed by an Officer thereof, the Trustee shall authenticate a new Note that reflects the changed terms. Failure to make the appropriate notation or to issue a new Note shall not affect the validity of such amendment, supplement or waiver.</w:t>
      </w:r>
    </w:p>
    <w:p>
      <w:pPr>
        <w:spacing w:after="0" w:line="87" w:lineRule="exact"/>
        <w:rPr>
          <w:sz w:val="20"/>
          <w:szCs w:val="20"/>
          <w:color w:val="auto"/>
        </w:rPr>
      </w:pPr>
    </w:p>
    <w:p>
      <w:pPr>
        <w:jc w:val="both"/>
        <w:ind w:firstLine="457"/>
        <w:spacing w:after="0" w:line="222" w:lineRule="auto"/>
        <w:rPr>
          <w:sz w:val="20"/>
          <w:szCs w:val="20"/>
          <w:color w:val="auto"/>
        </w:rPr>
      </w:pPr>
      <w:r>
        <w:rPr>
          <w:rFonts w:ascii="Times New Roman" w:cs="Times New Roman" w:eastAsia="Times New Roman" w:hAnsi="Times New Roman"/>
          <w:sz w:val="12"/>
          <w:szCs w:val="12"/>
          <w:color w:val="auto"/>
        </w:rPr>
        <w:t xml:space="preserve">SECTION 9.05 </w:t>
      </w:r>
      <w:r>
        <w:rPr>
          <w:rFonts w:ascii="Times New Roman" w:cs="Times New Roman" w:eastAsia="Times New Roman" w:hAnsi="Times New Roman"/>
          <w:sz w:val="12"/>
          <w:szCs w:val="12"/>
          <w:u w:val="single" w:color="auto"/>
          <w:color w:val="auto"/>
        </w:rPr>
        <w:t>Trustee and Notes Collateral Agent to Sign Amendments</w:t>
      </w:r>
      <w:r>
        <w:rPr>
          <w:rFonts w:ascii="Times New Roman" w:cs="Times New Roman" w:eastAsia="Times New Roman" w:hAnsi="Times New Roman"/>
          <w:sz w:val="12"/>
          <w:szCs w:val="12"/>
          <w:color w:val="auto"/>
        </w:rPr>
        <w:t>. The Trustee and the Notes Collateral Agent shall sign any amendment, supplement or waiver authorized pursuant to this Article IX if the amendment does not adversely affect the rights, duties, liabilities or immunities of the Trustee or the Notes Collateral Agent. If it does, the Trustee or the Notes Collateral Agent, as applicable, may but need not sign it. In signing such amendment, the Trustee or the Notes Collateral Agent, as applicable, shall be entitled to receive indemnity satisfactory to it and shall be provided with, and (subject to Section 7.01) shall be fully protected in relying upon, (i) an Officer’s Certificate stating that such amendment, supplement or waiver is authorized or permitted by this Indenture, (ii) an Opinion of Counsel stating that such amendment, supplement or waiver is authorized or permitted by this Indenture and, with respect to any supplement relating to any Additional Notes, that such supplement is the legal, valid and binding obligation of the Issuers and any Guarantors, enforceable against them in accordance with its terms, subject to customary exceptions, and complies with the provisions hereof, (iii) with respect to any supplement relating to any Additional Notes, a copy of the resolution of the Board of Directors, certified by the Secretary or Assistant Secretary of the Issuers, authorizing the execution of such amendment, supplement or waiver and (iv) if such amendment, supplement or waiver is executed pursuant to Section 9.02, evidence reasonably satisfactory to the Trustee and the Notes Collateral Agent of the consent of the holders required to consent thereto. All fees and expenses incurred in connection with any amendment, modification or supplement shall be payable by the Issuers.</w:t>
      </w:r>
    </w:p>
    <w:p>
      <w:pPr>
        <w:spacing w:after="0" w:line="89" w:lineRule="exact"/>
        <w:rPr>
          <w:sz w:val="20"/>
          <w:szCs w:val="20"/>
          <w:color w:val="auto"/>
        </w:rPr>
      </w:pPr>
    </w:p>
    <w:p>
      <w:pPr>
        <w:jc w:val="both"/>
        <w:ind w:right="4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9.06 </w:t>
      </w:r>
      <w:r>
        <w:rPr>
          <w:rFonts w:ascii="Times New Roman" w:cs="Times New Roman" w:eastAsia="Times New Roman" w:hAnsi="Times New Roman"/>
          <w:sz w:val="12"/>
          <w:szCs w:val="12"/>
          <w:u w:val="single" w:color="auto"/>
          <w:color w:val="auto"/>
        </w:rPr>
        <w:t>Additional Voting Terms; Calculation of Principal Amount</w:t>
      </w:r>
      <w:r>
        <w:rPr>
          <w:rFonts w:ascii="Times New Roman" w:cs="Times New Roman" w:eastAsia="Times New Roman" w:hAnsi="Times New Roman"/>
          <w:sz w:val="12"/>
          <w:szCs w:val="12"/>
          <w:color w:val="auto"/>
        </w:rPr>
        <w:t xml:space="preserve"> . All Notes issued under this Indenture shall vote and consent together on all matters (as to which any of such Notes may vote) as one class and no Notes will have the right to vote or consent as a separate class on any matter. Determinations as to whether holders of the requisite aggregate principal amount of Notes have concurred in any direction, waiver or consent shall be made in accordance with this Article IX and Section 2.13.</w:t>
      </w:r>
    </w:p>
    <w:p>
      <w:pPr>
        <w:spacing w:after="0" w:line="8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85</w:t>
      </w:r>
    </w:p>
    <w:p>
      <w:pPr>
        <w:sectPr>
          <w:pgSz w:w="11900" w:h="16840" w:orient="portrait"/>
          <w:cols w:equalWidth="0" w:num="1">
            <w:col w:w="10640"/>
          </w:cols>
          <w:pgMar w:left="640" w:top="1440" w:right="620" w:bottom="1440" w:gutter="0" w:footer="0" w:header="0"/>
        </w:sectPr>
      </w:pPr>
    </w:p>
    <w:bookmarkStart w:id="388" w:name="page389"/>
    <w:bookmarkEnd w:id="388"/>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XI</w:t>
      </w:r>
    </w:p>
    <w:p>
      <w:pPr>
        <w:spacing w:after="0" w:line="1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COLLATERAL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11.01 </w:t>
      </w:r>
      <w:r>
        <w:rPr>
          <w:rFonts w:ascii="Times New Roman" w:cs="Times New Roman" w:eastAsia="Times New Roman" w:hAnsi="Times New Roman"/>
          <w:sz w:val="12"/>
          <w:szCs w:val="12"/>
          <w:u w:val="single" w:color="auto"/>
          <w:color w:val="auto"/>
        </w:rPr>
        <w:t>Collateral Documents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63"/>
        <w:spacing w:after="0"/>
        <w:tabs>
          <w:tab w:leader="none" w:pos="904"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the principal of and interest and premium, if any, on the Notes when due, whether on an interest payment date, at maturity, by acceleration, repurchase, redemption or otherwise and whether by the Issuers pursuant to the Notes, or by the Guarantors pursuant to the Guarantees, the payment of all other Notes Obligations and the performance of all other obligations of the Issuers and the Guarantors under this Indenture, the Notes, the Guarantees and the Collateral Documents shall, subject to the Agreed Guarantee and Security Principles, be secured with first priority Liens (subject to Permitted Liens and any obligations that are mandatorily preferred by law) equally and ratably with all existing and future Equal Priority Obligations of the Issuers and the Guarantors as provided herein and in the Collateral Documents.</w:t>
      </w:r>
    </w:p>
    <w:p>
      <w:pPr>
        <w:spacing w:after="0" w:line="190" w:lineRule="exact"/>
        <w:rPr>
          <w:rFonts w:ascii="Times New Roman" w:cs="Times New Roman" w:eastAsia="Times New Roman" w:hAnsi="Times New Roman"/>
          <w:sz w:val="12"/>
          <w:szCs w:val="12"/>
          <w:color w:val="auto"/>
        </w:rPr>
      </w:pPr>
    </w:p>
    <w:p>
      <w:pPr>
        <w:ind w:firstLine="463"/>
        <w:spacing w:after="0"/>
        <w:tabs>
          <w:tab w:leader="none" w:pos="904"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Initial Tender Offer Closing Date, the Notes Obligations will be secured solely by the Specified Deposit Account Collateral and the Specified Securities Account Collateral in accordance with Section 3.10. Such security interest will be perfected solely by the filing of UCC financing statements in respect of the Segregated Securities Accounts and by the Specified Deposit Account Control Agreement in respect of the Segregated Deposit Account. The Specified Deposit Account Collateral and the Specified Securities Account Collateral will not be subject to any escrow arrangements or any other agreements.</w:t>
      </w:r>
    </w:p>
    <w:p>
      <w:pPr>
        <w:spacing w:after="0" w:line="204" w:lineRule="exact"/>
        <w:rPr>
          <w:rFonts w:ascii="Times New Roman" w:cs="Times New Roman" w:eastAsia="Times New Roman" w:hAnsi="Times New Roman"/>
          <w:sz w:val="12"/>
          <w:szCs w:val="12"/>
          <w:color w:val="auto"/>
        </w:rPr>
      </w:pPr>
    </w:p>
    <w:p>
      <w:pPr>
        <w:jc w:val="both"/>
        <w:ind w:firstLine="463"/>
        <w:spacing w:after="0"/>
        <w:tabs>
          <w:tab w:leader="none" w:pos="904"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Initial Tender Offer Closing Date, the Issuers, at their expense, will deliver to the Trustee copies of all documents delivered to the Notes Collateral Agent pursuant to the Collateral Documents, and will do or cause to be done all such acts and things as may be required under applicable law or by the provisions of this Indenture and the Collateral Documents, subject to the Agreed Guarantee and Security Principles, to assure and confirm to the Notes Collateral Agent the first priority security interest (subject to Permitted Liens and any obligations that are mandatorily preferred by law) in the Collateral contemplated by this Indenture and the Collateral Documents or any part thereof, as from time to time constituted, so as to render the same available for the security and benefit of this the Notes Secured Parties. The Issuers will, from and after the Initial Tender Offer Closing Date, take, and will cause the other Grantors to take, any and all actions reasonably required under applicable law (including making all filings under the Uniform Commercial Code and any other applicable laws (including filings of continuation statements and amendments to UCC financing statements that may be necessary to continue the effectiveness of such UCC financing statements)) or that the Trustee and/or the Notes Collateral Agent may reasonably request, subject to the Agreed Guarantee and Security Principles, to cause the Collateral Documents to create and maintain, as security for the Notes Obligations, a valid and enforceable perfected first priority Lien in and on all the Collateral in favor of the Notes Collateral Agent for the benefit of the Notes Secured Parties, in each case equally and ratably with all existing and future Equal Priority Obligations of the Issuers and the Guarantors. Additionally, the Issuers will take, and will cause the other Grantors to take, any and all actions reasonably required in relation to an appointment of a successor Notes Collateral Agent in order to maintain the enforceability of the Collateral by the successor Notes Collateral Agent on behalf of the Notes Secured Parties.</w:t>
      </w:r>
    </w:p>
    <w:p>
      <w:pPr>
        <w:spacing w:after="0" w:line="104"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the Issuers and the Grantors hereby acknowledge and agree that the Notes Collateral Agent holds the Collateral in trust for the benefit of Notes Secured Parties and pursuant to the terms of the Collateral Documents (including the Intercreditor Agreements). Each holder, by accepting a Note, consents and agrees to the terms of the Collateral Documents (including the provisions providing for the possession, use, release and foreclosure of Collateral) as the same may be in effect or may be amended from time to time in accordance with their terms and this Indenture. In the event of conflict between an Intercreditor Agreement, any of the other Collateral Documents and this Indenture, the applicable Intercreditor Agreement shall control.</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11.02 </w:t>
      </w:r>
      <w:r>
        <w:rPr>
          <w:rFonts w:ascii="Times New Roman" w:cs="Times New Roman" w:eastAsia="Times New Roman" w:hAnsi="Times New Roman"/>
          <w:sz w:val="12"/>
          <w:szCs w:val="12"/>
          <w:u w:val="single" w:color="auto"/>
          <w:color w:val="auto"/>
        </w:rPr>
        <w:t>Authorization and Direction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firstLine="463"/>
        <w:spacing w:after="0" w:line="224" w:lineRule="auto"/>
        <w:tabs>
          <w:tab w:leader="none" w:pos="904"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their acceptance of the Notes, the holders hereby authorize and direct the Trustee and Notes Collateral Agent, as the case may be, to execute and deliver the Equal Priority Intercreditor Agreement and each of the other Collateral Documents on the Initial Tender Offer Closing Date, and, if applicable and subject to Section 11.02(b), any Junior Priority Intercreditor Agreement or Acceptable Junior Priority Intercreditor Agreement to which the Trustee or the Notes Collateral Agent, as applicable, is to be a party, including any Intercreditor Agreement or Collateral Documents executed on or after the Initial Tender Offer Closing Date and any amendments, joinders or supplements to any Intercreditor Agreement or Collateral Document permitted by this Indenture and, in each case, to perform its obligations and exercise its rights thereunder in accordance therewith.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any Intercreditor Agreement or any other Collateral Document, the Trustee and the Notes Collateral Agent each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86</w:t>
      </w:r>
    </w:p>
    <w:p>
      <w:pPr>
        <w:sectPr>
          <w:pgSz w:w="11900" w:h="16840" w:orient="portrait"/>
          <w:cols w:equalWidth="0" w:num="1">
            <w:col w:w="10620"/>
          </w:cols>
          <w:pgMar w:left="640" w:top="1440" w:right="640" w:bottom="1440" w:gutter="0" w:footer="0" w:header="0"/>
        </w:sectPr>
      </w:pPr>
    </w:p>
    <w:bookmarkStart w:id="389" w:name="page390"/>
    <w:bookmarkEnd w:id="389"/>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shall have all of the rights, privileges, benefits, immunities, indemnities and other protections granted to it under this Indenture (in addition to those that may be granted to it under the terms of such other agreement or agreements).</w:t>
      </w:r>
    </w:p>
    <w:p>
      <w:pPr>
        <w:spacing w:after="0" w:line="80" w:lineRule="exact"/>
        <w:rPr>
          <w:sz w:val="20"/>
          <w:szCs w:val="20"/>
          <w:color w:val="auto"/>
        </w:rPr>
      </w:pPr>
    </w:p>
    <w:p>
      <w:pPr>
        <w:jc w:val="both"/>
        <w:ind w:right="20" w:firstLine="463"/>
        <w:spacing w:after="0" w:line="227" w:lineRule="auto"/>
        <w:tabs>
          <w:tab w:leader="none" w:pos="904"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Issuer or Guarantor (i) Incurs any Junior Priority Obligations at any time when no Junior Priority Intercreditor Agreement or Acceptable Junior Priority Intercreditor Agreement is in effect and (ii) delivers to the Trustee or the Notes Collateral Agent, as applicable, an Officer’s Certificate so stating and requesting the Trustee or the Notes Collateral Agent, as applicable, to enter into a Junior Priority Intercreditor Agreement or Acceptable Junior Priority Intercreditor Agreement in favor of a designated agent or representative for the holders of the Junior Priority Obligations so incurred, the Trustee or the Notes Collateral Agent, as applicable, shall (and each is hereby authorized and directed to) enter into such Intercreditor Agreement (at the sole expense and cost of the Issuers, including reasonably incurred legal fees and expenses of the Trustee or the Notes Collateral Agent, as applicable in accordance with Section 7.06), bind the holders on the terms set forth therein and perform and observe its obligations thereunder.</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11.03 </w:t>
      </w:r>
      <w:r>
        <w:rPr>
          <w:rFonts w:ascii="Times New Roman" w:cs="Times New Roman" w:eastAsia="Times New Roman" w:hAnsi="Times New Roman"/>
          <w:sz w:val="12"/>
          <w:szCs w:val="12"/>
          <w:u w:val="single" w:color="auto"/>
          <w:color w:val="auto"/>
        </w:rPr>
        <w:t>Notes Collateral Agent</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20" w:firstLine="463"/>
        <w:spacing w:after="0" w:line="222" w:lineRule="auto"/>
        <w:tabs>
          <w:tab w:leader="none" w:pos="904"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Wilmington Trust, National Association is hereby appointed to serve as the Notes Collateral Agent for the benefit of the Notes Secured Parties, and each holder of the Notes, by its acceptance of any Notes, irrevocably consents and agrees to such appointment. Each of the Notes Secured Parties and each Issuer appoints Wilmington Trust, National Association, in its capacity as Notes Collateral Agent, to act as an agent and representative (</w:t>
      </w:r>
      <w:r>
        <w:rPr>
          <w:rFonts w:ascii="Times New Roman" w:cs="Times New Roman" w:eastAsia="Times New Roman" w:hAnsi="Times New Roman"/>
          <w:sz w:val="12"/>
          <w:szCs w:val="12"/>
          <w:i w:val="1"/>
          <w:iCs w:val="1"/>
          <w:color w:val="auto"/>
        </w:rPr>
        <w:t>fuldmægtig og repræsentant</w:t>
      </w:r>
      <w:r>
        <w:rPr>
          <w:rFonts w:ascii="Times New Roman" w:cs="Times New Roman" w:eastAsia="Times New Roman" w:hAnsi="Times New Roman"/>
          <w:sz w:val="12"/>
          <w:szCs w:val="12"/>
          <w:color w:val="auto"/>
        </w:rPr>
        <w:t xml:space="preserve">) for such holder of the Notes pursuant to chapter 4, including, but not limited to Section 18(1), cf. Section 1(2), of the Danish Capital Markets Act and authorizes the Notes Collateral Agent in its name and on its behalf to perform the duties and to exercise the rights, powers, authorities and discretions that are given to it under or in connection with this Indenture and the Collateral Documents, including, among others, to hold any Danish Security Documents or other security rights or any other Collateral to the extent that Danish law may be applied to such Collateral on behalf of and for benefit of Notes Secured Parties. The Issuers and the Notes Collateral Agent shall use reasonable efforts to register the Notes Collateral Agent with the Danish Financial Supervisory Authority (in Danish: </w:t>
      </w:r>
      <w:r>
        <w:rPr>
          <w:rFonts w:ascii="Times New Roman" w:cs="Times New Roman" w:eastAsia="Times New Roman" w:hAnsi="Times New Roman"/>
          <w:sz w:val="12"/>
          <w:szCs w:val="12"/>
          <w:i w:val="1"/>
          <w:iCs w:val="1"/>
          <w:color w:val="auto"/>
        </w:rPr>
        <w:t>Finanstilsynet</w:t>
      </w:r>
      <w:r>
        <w:rPr>
          <w:rFonts w:ascii="Times New Roman" w:cs="Times New Roman" w:eastAsia="Times New Roman" w:hAnsi="Times New Roman"/>
          <w:sz w:val="12"/>
          <w:szCs w:val="12"/>
          <w:color w:val="auto"/>
        </w:rPr>
        <w:t xml:space="preserve">) in accordance with the Danish Capital Markets Act, and the Issuers and the Notes Collateral Agent shall provide all information reasonably required for registration in the Danish Financial Supervisory Authority's register of representatives (in Danish: </w:t>
      </w:r>
      <w:r>
        <w:rPr>
          <w:rFonts w:ascii="Times New Roman" w:cs="Times New Roman" w:eastAsia="Times New Roman" w:hAnsi="Times New Roman"/>
          <w:sz w:val="12"/>
          <w:szCs w:val="12"/>
          <w:i w:val="1"/>
          <w:iCs w:val="1"/>
          <w:color w:val="auto"/>
        </w:rPr>
        <w:t>Finanstilsynets register over repræsentanter for obligationsudstedelser</w:t>
      </w:r>
      <w:r>
        <w:rPr>
          <w:rFonts w:ascii="Times New Roman" w:cs="Times New Roman" w:eastAsia="Times New Roman" w:hAnsi="Times New Roman"/>
          <w:sz w:val="12"/>
          <w:szCs w:val="12"/>
          <w:color w:val="auto"/>
        </w:rPr>
        <w:t>). The Notes Collateral Agent shall have the privileges, powers and immunities as set forth in this Indenture and the Collateral Documents.</w:t>
      </w:r>
    </w:p>
    <w:p>
      <w:pPr>
        <w:spacing w:after="0" w:line="88" w:lineRule="exact"/>
        <w:rPr>
          <w:rFonts w:ascii="Times New Roman" w:cs="Times New Roman" w:eastAsia="Times New Roman" w:hAnsi="Times New Roman"/>
          <w:sz w:val="12"/>
          <w:szCs w:val="12"/>
          <w:color w:val="auto"/>
        </w:rPr>
      </w:pPr>
    </w:p>
    <w:p>
      <w:pPr>
        <w:jc w:val="both"/>
        <w:ind w:firstLine="463"/>
        <w:spacing w:after="0" w:line="224" w:lineRule="auto"/>
        <w:tabs>
          <w:tab w:leader="none" w:pos="904"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 provision to the contrary contained elsewhere in this Indenture or the Collateral Documents, the duties of the Notes Collateral Agent shall be ministerial and administrative in nature, and the Notes Collateral Agent will have no duties or obligations except those expressly set forth in this Indenture and the Collateral Documents to which it is party, nor shall the Notes Collateral Agent have or be deemed to have any trust or other fiduciary relationship with the Trustee, any holder of Notes, any Issuer or any Guarantor, and no implied covenants, functions, responsibilities, duties, obligations or liabilities shall be read into this Indenture or the Collateral Documents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terms of Sections 6.08, 6.09, 7.02, 7.06, 7.07 (other than clause (a)(i) of Section 7.07) and 7.08 shall apply to the Notes Collateral Agent,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88"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and any other rights, privileges, protections, indemnities and immunities set forth in this Indenture or Collateral Documents, the Notes Collateral</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Agent:</w:t>
      </w:r>
    </w:p>
    <w:p>
      <w:pPr>
        <w:spacing w:after="0" w:line="95"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subject to any fiduciary or other implied duties, regardless of whether a Default or an Event of Default has occurred and is continuing;</w:t>
      </w:r>
    </w:p>
    <w:p>
      <w:pPr>
        <w:spacing w:after="0" w:line="109" w:lineRule="exact"/>
        <w:rPr>
          <w:sz w:val="20"/>
          <w:szCs w:val="20"/>
          <w:color w:val="auto"/>
        </w:rPr>
      </w:pPr>
    </w:p>
    <w:p>
      <w:pPr>
        <w:jc w:val="both"/>
        <w:ind w:left="460" w:right="20" w:firstLine="460"/>
        <w:spacing w:after="0" w:line="236" w:lineRule="auto"/>
        <w:tabs>
          <w:tab w:leader="none" w:pos="1364"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shall not have any duty to take any discretionary action or exercise any discretionary powers, except discretionary rights and powers expressly contemplated by the Collateral Documents that the Notes Collateral Agent is required to exercise;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Notes Collateral Agent shall not be required to take any action that, in its opinion or the opinion of its counsel, may expose the Notes Collateral Agent to liability or that is contrary to the terms of this Indenture, any Collateral Document or applicable law;</w:t>
      </w:r>
    </w:p>
    <w:p>
      <w:pPr>
        <w:spacing w:after="0" w:line="87"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except as expressly set forth in the Collateral Documents, have any duty to disclose, and shall not be liable for the failure to disclose, any information relating to the Company or any of its Subsidiaries that is communicated to or obtained by the Person serving as the Notes Collateral Agent or any of its Subsidiaries in any capacity;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87</w:t>
      </w:r>
    </w:p>
    <w:p>
      <w:pPr>
        <w:sectPr>
          <w:pgSz w:w="11900" w:h="16840" w:orient="portrait"/>
          <w:cols w:equalWidth="0" w:num="1">
            <w:col w:w="10620"/>
          </w:cols>
          <w:pgMar w:left="640" w:top="1440" w:right="640" w:bottom="1440" w:gutter="0" w:footer="0" w:header="0"/>
        </w:sectPr>
      </w:pPr>
    </w:p>
    <w:bookmarkStart w:id="390" w:name="page391"/>
    <w:bookmarkEnd w:id="390"/>
    <w:p>
      <w:pPr>
        <w:spacing w:after="0" w:line="148" w:lineRule="exact"/>
        <w:rPr>
          <w:sz w:val="20"/>
          <w:szCs w:val="20"/>
          <w:color w:val="auto"/>
        </w:rPr>
      </w:pPr>
    </w:p>
    <w:p>
      <w:pPr>
        <w:ind w:left="460" w:right="20" w:firstLine="460"/>
        <w:spacing w:after="0" w:line="253" w:lineRule="auto"/>
        <w:tabs>
          <w:tab w:leader="none" w:pos="1364" w:val="left"/>
        </w:tabs>
        <w:numPr>
          <w:ilvl w:val="2"/>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liable for any action taken or not taken by it (A) in the absence of its own gross negligence or willful misconduct or (B) in reliance on an Officer’s Certificate of the Issuers stating that such action is permitted by the terms of this Indenture, the Collateral Documents and any then-applicable Intercreditor Agreement;</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2"/>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deemed not to have knowledge of any event of default under the Notes Obligations unless and until written notice describing such event of default is labeled a “Notice of Default” and is actually received by a Trust Officer of the Notes Collateral Agent from the Trustee or the Issuers; and</w:t>
      </w:r>
    </w:p>
    <w:p>
      <w:pPr>
        <w:spacing w:after="0" w:line="80" w:lineRule="exact"/>
        <w:rPr>
          <w:rFonts w:ascii="Times New Roman" w:cs="Times New Roman" w:eastAsia="Times New Roman" w:hAnsi="Times New Roman"/>
          <w:sz w:val="12"/>
          <w:szCs w:val="12"/>
          <w:color w:val="auto"/>
        </w:rPr>
      </w:pPr>
    </w:p>
    <w:p>
      <w:pPr>
        <w:jc w:val="both"/>
        <w:ind w:left="460" w:firstLine="460"/>
        <w:spacing w:after="0" w:line="225" w:lineRule="auto"/>
        <w:tabs>
          <w:tab w:leader="none" w:pos="1364" w:val="left"/>
        </w:tabs>
        <w:numPr>
          <w:ilvl w:val="2"/>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be responsible for or have any duty to ascertain or inquire into (A) any statement, warranty or representation made in or in connection with any then-applicable Intercreditor Agreements or any other Collateral Document, (B) the contents of any certificate, report or other document delivered thereunder or in connection therewith, (C) the performance or observance of any of the covenants, agreements or other terms or conditions set forth therein or the occurrence of any event of default, (D) the validity, enforceability, effectiveness or genuineness of any Intercreditor Agreements, any other Collateral Document or any other agreement, instrument or document, or the creation, perfection or priority of any Lien purported to be created by the Collateral Documents, (E) the value or the sufficiency of any Collateral for the Notes Obligations or (F) the satisfaction of any condition set forth in any Collateral Document, other than to confirm receipt of items expressly required to be delivered to the Notes Collateral Agent.</w:t>
      </w:r>
    </w:p>
    <w:p>
      <w:pPr>
        <w:spacing w:after="0" w:line="89" w:lineRule="exact"/>
        <w:rPr>
          <w:rFonts w:ascii="Times New Roman" w:cs="Times New Roman" w:eastAsia="Times New Roman" w:hAnsi="Times New Roman"/>
          <w:sz w:val="12"/>
          <w:szCs w:val="12"/>
          <w:color w:val="auto"/>
        </w:rPr>
      </w:pPr>
    </w:p>
    <w:p>
      <w:pPr>
        <w:jc w:val="both"/>
        <w:ind w:right="20" w:firstLine="463"/>
        <w:spacing w:after="0" w:line="221" w:lineRule="auto"/>
        <w:tabs>
          <w:tab w:leader="none" w:pos="904" w:val="left"/>
        </w:tabs>
        <w:numPr>
          <w:ilvl w:val="1"/>
          <w:numId w:val="3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Notes Collateral Agent (and the Trustee) shall be entitled to but shall have no obligation (which obligation shall be solely that of the Issuers) to give, execute, deliver, file, record, authorize or obtain any financing statements, notices, instruments, documents, agreements, consents or other papers as shall be necessary to (i) create, preserve, perfect, maintain or validate the security interest granted to those parties pursuant to this Indenture, the Notes and the Collateral Documents or (ii) enable them to exercise and enforce their rights under this Indenture, the Notes and the Collateral Documents with respect to such pledges and security interests. In addition, the Trustee and/or Notes Collateral Agent shall have no responsibility or liability (i) in connection with the acts or omissions of the Issuers in respect of the foregoing or</w:t>
      </w:r>
    </w:p>
    <w:p>
      <w:pPr>
        <w:jc w:val="both"/>
        <w:ind w:firstLine="6"/>
        <w:spacing w:after="0" w:line="218" w:lineRule="auto"/>
        <w:tabs>
          <w:tab w:leader="none" w:pos="186" w:val="left"/>
        </w:tabs>
        <w:numPr>
          <w:ilvl w:val="0"/>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or with respect to the legality, validity and enforceability of any security interest created in the Collateral or the perfection and priority of such security interest. Neither the Trustee nor the Notes Collateral Agent shall have any obligation whatsoever to any of the holders or to the Trustee, in the case of the Notes Collateral Agent,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under the Collateral Documents has been properly and completely listed or delivered, as the case may be, or the value, genuineness, validity, ownership,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Collateral Document or the Intercreditor Agreements other than to exercise such rights, authorities and powers pursuant to the instructions of the Trustee or the holders of a majority in aggregate principal amount of the then outstanding Notes or as otherwise provided in the Collateral Documents. Further to the foregoing and notwithstanding anything to the contrary in this Indenture or in any Collateral Document, in no event shall the Notes Collateral Agent or the Trustee be responsible for, or have any duty or obligation with respect to, the recording, filing, registering, perfection, protection or maintenance of the security interests or Liens intended to be created by this Indenture or the Collateral Documents (including without limitation the filing or continuation of any Uniform Commercial Code financing or continuation statements or similar documents or instruments), nor shall the Notes Collateral Agent be responsible for, or make any representation regarding, the validity, effectiveness or priority of any of the Collateral Documents or the security interests or Liens intended to be created thereby.</w:t>
      </w:r>
    </w:p>
    <w:p>
      <w:pPr>
        <w:spacing w:after="0" w:line="92" w:lineRule="exact"/>
        <w:rPr>
          <w:rFonts w:ascii="Times New Roman" w:cs="Times New Roman" w:eastAsia="Times New Roman" w:hAnsi="Times New Roman"/>
          <w:sz w:val="12"/>
          <w:szCs w:val="12"/>
          <w:color w:val="auto"/>
        </w:rPr>
      </w:pPr>
    </w:p>
    <w:p>
      <w:pPr>
        <w:jc w:val="both"/>
        <w:ind w:right="20" w:firstLine="463"/>
        <w:spacing w:after="0"/>
        <w:tabs>
          <w:tab w:leader="none" w:pos="904"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and the Guarantors hereby agree that the Notes Collateral Agent shall hold the Collateral on behalf of and for the benefit of all of the holders of Notes, the Trustee and the Notes Collateral Agent, in each case pursuant to the terms of this Indenture and the Collateral Documents and that the Collateral as now or hereafter constituted shall be held for the benefit of all the holders of Notes, the Notes Collateral Agent and the Trustee, and that the Lien under this Indenture and the Collateral Documents in respect of the Trustee, the Notes Collateral Agent and the holders is subject to and qualified and limited in all respects by the Collateral Documents and actions that may be taken thereunder. 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Issuers, the Trustee shall notify the Notes Collateral Agent thereof and promptly shall deliver such Collateral to the Notes Collateral Agent or otherwise deal with such Collateral in accordance with the Notes Collateral Agent’s instructions.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88</w:t>
      </w:r>
    </w:p>
    <w:p>
      <w:pPr>
        <w:sectPr>
          <w:pgSz w:w="11900" w:h="16840" w:orient="portrait"/>
          <w:cols w:equalWidth="0" w:num="1">
            <w:col w:w="10620"/>
          </w:cols>
          <w:pgMar w:left="640" w:top="1440" w:right="640" w:bottom="1440" w:gutter="0" w:footer="0" w:header="0"/>
        </w:sectPr>
      </w:pPr>
    </w:p>
    <w:bookmarkStart w:id="391" w:name="page392"/>
    <w:bookmarkEnd w:id="391"/>
    <w:p>
      <w:pPr>
        <w:spacing w:after="0" w:line="148" w:lineRule="exact"/>
        <w:rPr>
          <w:sz w:val="20"/>
          <w:szCs w:val="20"/>
          <w:color w:val="auto"/>
        </w:rPr>
      </w:pPr>
    </w:p>
    <w:p>
      <w:pPr>
        <w:jc w:val="both"/>
        <w:ind w:firstLine="463"/>
        <w:spacing w:after="0" w:line="227" w:lineRule="auto"/>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holder, by its acceptance of any Notes, irrevocably consents and agrees to the terms of the Collateral Documents (including, without limitation, the provisions providing for foreclosure and release of Collateral) as the same may be in effect or may be amended from time to time in accordance with their terms, agrees to the appointment of the Notes Collateral Agent and authorizes and directs the Notes Collateral Agent (i) to enter into the Collateral Documents (including, without limitation, the Intercreditor Agreements, whether executed on or after the Issue Date) and to perform its obligations and exercise its rights, powers and discretions under the Collateral Documents in accordance therewith, (ii) make the representations of the holders set forth in the Collateral Documents (including, without limitation, the Intercreditor Agreements) and (iii) bind the holders on the terms as set forth in the Collateral Documents (including, without limitation, the Intercreditor Agreements).</w:t>
      </w:r>
    </w:p>
    <w:p>
      <w:pPr>
        <w:spacing w:after="0" w:line="89" w:lineRule="exact"/>
        <w:rPr>
          <w:rFonts w:ascii="Times New Roman" w:cs="Times New Roman" w:eastAsia="Times New Roman" w:hAnsi="Times New Roman"/>
          <w:sz w:val="12"/>
          <w:szCs w:val="12"/>
          <w:color w:val="auto"/>
        </w:rPr>
      </w:pPr>
    </w:p>
    <w:p>
      <w:pPr>
        <w:jc w:val="both"/>
        <w:ind w:right="20" w:firstLine="463"/>
        <w:spacing w:after="0" w:line="231" w:lineRule="auto"/>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or under any Collateral Documents to which it is a party, except for its own gross negligence or willful misconduct. The Notes Collateral Agent shall have no liability for any action taken, or errors in judgment made, in good faith by it or any of its officers, employees or agents, unless it shall have been grossly negligent in ascertaining the pertinent facts.</w:t>
      </w:r>
    </w:p>
    <w:p>
      <w:pPr>
        <w:spacing w:after="0" w:line="87" w:lineRule="exact"/>
        <w:rPr>
          <w:rFonts w:ascii="Times New Roman" w:cs="Times New Roman" w:eastAsia="Times New Roman" w:hAnsi="Times New Roman"/>
          <w:sz w:val="12"/>
          <w:szCs w:val="12"/>
          <w:color w:val="auto"/>
        </w:rPr>
      </w:pPr>
    </w:p>
    <w:p>
      <w:pPr>
        <w:jc w:val="both"/>
        <w:ind w:firstLine="463"/>
        <w:spacing w:after="0" w:line="223" w:lineRule="auto"/>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Notes Collateral Agent shall be entitled to seek and shall be fully justified in failing or refusing to take any action under this Indenture, the Collateral Documents or the Intercreditor Agreements unless it shall first receive such advice or concurrence of the Trustee or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Except as otherwise provided in this Indenture or the Collateral Documents, the Notes Collateral Agent shall in all cases be fully protected in acting, or in refraining from acting, under this Indenture, the Collateral Documents or the Intercreditor Agreements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 If the Notes Collateral Agent shall request direction from the holders of a majority in aggregate principal amount of the then outstanding Notes with respect to any action, the Notes Collateral Agent shall be entitled to refrain from taking such action unless and until the Notes Collateral Agent shall have received direction from the holders of a majority in aggregate principal amount of the then outstanding Notes, and the Notes Collateral Agent shall not incur liability to any Person by reason of so refraining.</w:t>
      </w:r>
    </w:p>
    <w:p>
      <w:pPr>
        <w:spacing w:after="0" w:line="87"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Notes Collateral Agent shall take such action with respect to such Default or Event of Default as may be requested by the Trustee or the holders of a majority in aggregate principal amount of the Notes (subject to this Section 11.03), subject to the terms of the Collateral Documents (including any Intercreditor Agreement).</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explicitly provided herein or in the Collateral Documents, neither the Notes Collateral Agent nor any of its respective officers, directors, employees or agents or other Affiliate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w:t>
      </w:r>
    </w:p>
    <w:p>
      <w:pPr>
        <w:spacing w:after="0" w:line="87" w:lineRule="exact"/>
        <w:rPr>
          <w:rFonts w:ascii="Times New Roman" w:cs="Times New Roman" w:eastAsia="Times New Roman" w:hAnsi="Times New Roman"/>
          <w:sz w:val="12"/>
          <w:szCs w:val="12"/>
          <w:color w:val="auto"/>
        </w:rPr>
      </w:pPr>
    </w:p>
    <w:p>
      <w:pPr>
        <w:jc w:val="both"/>
        <w:ind w:right="20" w:firstLine="463"/>
        <w:spacing w:after="0"/>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Article VI,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and the Collateral Documents (including any Intercreditor Agreement).</w:t>
      </w:r>
    </w:p>
    <w:p>
      <w:pPr>
        <w:spacing w:after="0" w:line="190" w:lineRule="exact"/>
        <w:rPr>
          <w:rFonts w:ascii="Times New Roman" w:cs="Times New Roman" w:eastAsia="Times New Roman" w:hAnsi="Times New Roman"/>
          <w:sz w:val="12"/>
          <w:szCs w:val="12"/>
          <w:color w:val="auto"/>
        </w:rPr>
      </w:pPr>
    </w:p>
    <w:p>
      <w:pPr>
        <w:jc w:val="both"/>
        <w:ind w:firstLine="463"/>
        <w:spacing w:after="0" w:line="231" w:lineRule="auto"/>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Notes Collateral Agent shall exercise reasonable care in the custody of any Collateral in its possession or control and any income thereon. The Notes Collateral Agent shall be deemed to have exercised reasonable care in the custody of Collateral in its possession if the Collateral is accorded treatment substantially equal to that which it accords similar property held for its own benefit and shall not be liable or responsible for any loss or diminution in value of any of the Collateral, including, without limitation, by reason of the act or omission of any carrier, forwarding agency or other agent or bailee selected by the Notes Collateral Agent in good faith. The Notes Collateral Agent shall be permitted to use overnight carriers to transmit possessory collateral and shall be not liable for any items lost or damaged in transit.</w:t>
      </w:r>
    </w:p>
    <w:p>
      <w:pPr>
        <w:spacing w:after="0" w:line="87"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receipt by the Notes Collateral Agent of a written request of the Issuers signed by an Officer (a “</w:t>
      </w:r>
      <w:r>
        <w:rPr>
          <w:rFonts w:ascii="Times New Roman" w:cs="Times New Roman" w:eastAsia="Times New Roman" w:hAnsi="Times New Roman"/>
          <w:sz w:val="12"/>
          <w:szCs w:val="12"/>
          <w:u w:val="single" w:color="auto"/>
          <w:color w:val="auto"/>
        </w:rPr>
        <w:t>Security Document Order</w:t>
      </w:r>
      <w:r>
        <w:rPr>
          <w:rFonts w:ascii="Times New Roman" w:cs="Times New Roman" w:eastAsia="Times New Roman" w:hAnsi="Times New Roman"/>
          <w:sz w:val="12"/>
          <w:szCs w:val="12"/>
          <w:color w:val="auto"/>
        </w:rPr>
        <w:t>”), the Notes Collateral Agent is hereby authorized to execute and enter into, and shall execute and enter into, without the further consent of any holder or the Trustee, any Collateral Document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89</w:t>
      </w:r>
    </w:p>
    <w:p>
      <w:pPr>
        <w:sectPr>
          <w:pgSz w:w="11900" w:h="16840" w:orient="portrait"/>
          <w:cols w:equalWidth="0" w:num="1">
            <w:col w:w="10620"/>
          </w:cols>
          <w:pgMar w:left="640" w:top="1440" w:right="640" w:bottom="1440" w:gutter="0" w:footer="0" w:header="0"/>
        </w:sectPr>
      </w:pPr>
    </w:p>
    <w:bookmarkStart w:id="392" w:name="page393"/>
    <w:bookmarkEnd w:id="392"/>
    <w:p>
      <w:pPr>
        <w:spacing w:after="0" w:line="148"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2"/>
          <w:szCs w:val="12"/>
          <w:color w:val="auto"/>
        </w:rPr>
        <w:t xml:space="preserve">to be executed after the Issue Date. Such Security Document Order shall (i) state that it is being delivered to the Notes Collateral Agent pursuant to, and is a Security Document Order referred to in, this Section 11.03, (ii) instruct the Notes Collateral Agent to execute and enter into such Collateral Document and (iii) certify that such Collateral Document complies with the terms of this Indenture and the Notes Documents and that all covenants and conditions precedent, if any, to the execution and delivery of the Collateral Document have been compiled with;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the Notes Collateral Agent be required to enter into a Collateral Document that it determines adversely affects the Notes Collateral Agent. The holders, by their acceptance of the Notes, hereby authorize and direct the Notes Collateral Agent to execute such Collateral Documents.</w:t>
      </w:r>
    </w:p>
    <w:p>
      <w:pPr>
        <w:spacing w:after="0" w:line="90" w:lineRule="exact"/>
        <w:rPr>
          <w:sz w:val="20"/>
          <w:szCs w:val="20"/>
          <w:color w:val="auto"/>
        </w:rPr>
      </w:pPr>
    </w:p>
    <w:p>
      <w:pPr>
        <w:jc w:val="both"/>
        <w:ind w:right="20" w:firstLine="463"/>
        <w:spacing w:after="0" w:line="236" w:lineRule="auto"/>
        <w:tabs>
          <w:tab w:leader="none" w:pos="904"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Notes Collateral Agent is authorized to receive any funds for the benefit of itself, the Trustee and the holders distributed under the Collateral Documents and to the extent not prohibited under the Intercreditor Agreements, for turnover to the Trustee to make further distributions of such funds to itself, the Trustee and the holders in accordance with the provisions of Section 6.10 and the other provisions of this Indenture.</w:t>
      </w:r>
    </w:p>
    <w:p>
      <w:pPr>
        <w:spacing w:after="0" w:line="87" w:lineRule="exact"/>
        <w:rPr>
          <w:rFonts w:ascii="Times New Roman" w:cs="Times New Roman" w:eastAsia="Times New Roman" w:hAnsi="Times New Roman"/>
          <w:sz w:val="12"/>
          <w:szCs w:val="12"/>
          <w:color w:val="auto"/>
        </w:rPr>
      </w:pPr>
    </w:p>
    <w:p>
      <w:pPr>
        <w:ind w:right="40" w:firstLine="463"/>
        <w:spacing w:after="0" w:line="253" w:lineRule="auto"/>
        <w:tabs>
          <w:tab w:leader="none" w:pos="904"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rights, privileges, protections, immunities and benefits given to the Notes Collateral Agent hereunder, including, without limitation, its right to be indemnified prior to taking action, shall survive the satisfaction, discharge or termination of this Indenture or its earlier termination, resignation or removal of the Collateral Agent, in such capacity.</w:t>
      </w:r>
    </w:p>
    <w:p>
      <w:pPr>
        <w:spacing w:after="0" w:line="80" w:lineRule="exact"/>
        <w:rPr>
          <w:rFonts w:ascii="Times New Roman" w:cs="Times New Roman" w:eastAsia="Times New Roman" w:hAnsi="Times New Roman"/>
          <w:sz w:val="12"/>
          <w:szCs w:val="12"/>
          <w:color w:val="auto"/>
        </w:rPr>
      </w:pPr>
    </w:p>
    <w:p>
      <w:pPr>
        <w:jc w:val="both"/>
        <w:ind w:right="20" w:firstLine="463"/>
        <w:spacing w:after="0" w:line="227" w:lineRule="auto"/>
        <w:tabs>
          <w:tab w:leader="none" w:pos="904"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foregoing, with respect to any Collateral located outside of the United States (“</w:t>
      </w:r>
      <w:r>
        <w:rPr>
          <w:rFonts w:ascii="Times New Roman" w:cs="Times New Roman" w:eastAsia="Times New Roman" w:hAnsi="Times New Roman"/>
          <w:sz w:val="12"/>
          <w:szCs w:val="12"/>
          <w:u w:val="single" w:color="auto"/>
          <w:color w:val="auto"/>
        </w:rPr>
        <w:t>Foreign Collateral</w:t>
      </w:r>
      <w:r>
        <w:rPr>
          <w:rFonts w:ascii="Times New Roman" w:cs="Times New Roman" w:eastAsia="Times New Roman" w:hAnsi="Times New Roman"/>
          <w:sz w:val="12"/>
          <w:szCs w:val="12"/>
          <w:color w:val="auto"/>
        </w:rPr>
        <w:t>”), the Notes Collateral Agent shall have no obligation to directly enforce, or exercise rights and remedies in respect of, or otherwise exercise any judicial action or appear before any court in any jurisdiction outside of the United States. To the extent the holders of a majority in principal amount of Notes then outstanding determine that it is necessary or advisable in connection with any enforcement or exercise of rights with respect to Foreign Collateral to exercise any judicial action or appear before any such court, the holders of a majority in principal amount of Notes then outstanding shall be entitled to direct the Notes Collateral Agent to appoint a local agent for such purpose (subject to the receipt of such protections, security and indemnities as the Notes Collateral Agent shall determine in its sole discretion to protect the Notes Collateral Agent from liability).</w:t>
      </w:r>
    </w:p>
    <w:p>
      <w:pPr>
        <w:spacing w:after="0" w:line="89" w:lineRule="exact"/>
        <w:rPr>
          <w:rFonts w:ascii="Times New Roman" w:cs="Times New Roman" w:eastAsia="Times New Roman" w:hAnsi="Times New Roman"/>
          <w:sz w:val="12"/>
          <w:szCs w:val="12"/>
          <w:color w:val="auto"/>
        </w:rPr>
      </w:pPr>
    </w:p>
    <w:p>
      <w:pPr>
        <w:jc w:val="both"/>
        <w:ind w:right="40" w:firstLine="463"/>
        <w:spacing w:after="0" w:line="236" w:lineRule="auto"/>
        <w:tabs>
          <w:tab w:leader="none" w:pos="904"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Notes Collateral Agent nor the Trustee shall have any responsibility or liability for the actions or omissions of the Initial Credit Agreement Collateral Agent or any other “Controlling Collateral Agent” under the Equal Priority Intercreditor Agreement, nor shall the Trustee or Notes Collateral Agent be obligated at any time to indemnify any person in connection with the exercise of any remedy under the Collateral Documents.</w:t>
      </w:r>
    </w:p>
    <w:p>
      <w:pPr>
        <w:spacing w:after="0" w:line="87" w:lineRule="exact"/>
        <w:rPr>
          <w:rFonts w:ascii="Times New Roman" w:cs="Times New Roman" w:eastAsia="Times New Roman" w:hAnsi="Times New Roman"/>
          <w:sz w:val="12"/>
          <w:szCs w:val="12"/>
          <w:color w:val="auto"/>
        </w:rPr>
      </w:pPr>
    </w:p>
    <w:p>
      <w:pPr>
        <w:jc w:val="both"/>
        <w:ind w:right="80" w:firstLine="463"/>
        <w:spacing w:after="0" w:line="236" w:lineRule="auto"/>
        <w:tabs>
          <w:tab w:leader="none" w:pos="904"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ACCEPTING A SECURED NOTE EACH HOLDER WILL BE DEEMED TO HAVE IRREVOCABLY AGREED TO THE PROVISIONS OF THIS SECTION 11.03 AND ALL SUCH OTHER RIGHTS, PRIVILEGES, PROTECTIONS, INDEMNITEES AND IMMUNITIES APPLICABLE TO THE TRUSTEE AND/OR THE NOTES COLLATERAL AGENT IN THIS INDENTURE AND THE COLLATERAL DOCUMENTS AND SHALL BE BOUND BY THOSE AGREEMENTS TO THE FULLEST EXTENT PERMITTED BY LAW.</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11.04 </w:t>
      </w:r>
      <w:r>
        <w:rPr>
          <w:rFonts w:ascii="Times New Roman" w:cs="Times New Roman" w:eastAsia="Times New Roman" w:hAnsi="Times New Roman"/>
          <w:sz w:val="12"/>
          <w:szCs w:val="12"/>
          <w:u w:val="single" w:color="auto"/>
          <w:color w:val="auto"/>
        </w:rPr>
        <w:t>Release of Liens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Liens on the Collateral securing the Notes and the Guarantees will be released, automatically:</w:t>
      </w:r>
    </w:p>
    <w:p>
      <w:pPr>
        <w:spacing w:after="0" w:line="119" w:lineRule="exact"/>
        <w:rPr>
          <w:sz w:val="20"/>
          <w:szCs w:val="20"/>
          <w:color w:val="auto"/>
        </w:rPr>
      </w:pPr>
    </w:p>
    <w:p>
      <w:pPr>
        <w:ind w:left="1360" w:hanging="440"/>
        <w:spacing w:after="0"/>
        <w:tabs>
          <w:tab w:leader="none" w:pos="1360" w:val="left"/>
        </w:tabs>
        <w:numPr>
          <w:ilvl w:val="1"/>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whole, upon satisfaction and discharge of this Indenture;</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whole, upon the Issuers’ exercise of their legal defeasance option or covenant defeasance option as described in Section 8.01.</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part, as to any property or asset constituting Collateral (A) that is sold or otherwise disposed of (other than to another Grantor) in a transaction not prohibited under this Indenture or</w:t>
      </w:r>
    </w:p>
    <w:p>
      <w:pPr>
        <w:ind w:left="660" w:hanging="197"/>
        <w:spacing w:after="0"/>
        <w:tabs>
          <w:tab w:leader="none" w:pos="660" w:val="left"/>
        </w:tabs>
        <w:numPr>
          <w:ilvl w:val="0"/>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is owned by a Guarantor to the extent such Guarantor has been released from its guarantee in accordance with the terms of this Indenture;</w:t>
      </w:r>
    </w:p>
    <w:p>
      <w:pPr>
        <w:spacing w:after="0" w:line="95"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described in Article IX, including consents obtained in connection with a tender offer or exchange offer for, or purchase of, the Notes;</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part, to the extent constituting Excluded Property as a result of a transaction not prohibited by this Indenture;</w:t>
      </w:r>
    </w:p>
    <w:p>
      <w:pPr>
        <w:spacing w:after="0" w:line="109"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Permitted Receivables Facility Assets, upon the disposition thereof not prohibited by this Indenture by any Grantor to a Receivables Entity of such Permitted Receivables Facility Assets pursuant to a Qualified Receivables Facility;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90</w:t>
      </w:r>
    </w:p>
    <w:p>
      <w:pPr>
        <w:sectPr>
          <w:pgSz w:w="11900" w:h="16840" w:orient="portrait"/>
          <w:cols w:equalWidth="0" w:num="1">
            <w:col w:w="10620"/>
          </w:cols>
          <w:pgMar w:left="640" w:top="1440" w:right="640" w:bottom="1440" w:gutter="0" w:footer="0" w:header="0"/>
        </w:sectPr>
      </w:pPr>
    </w:p>
    <w:bookmarkStart w:id="393" w:name="page394"/>
    <w:bookmarkEnd w:id="393"/>
    <w:p>
      <w:pPr>
        <w:spacing w:after="0" w:line="148" w:lineRule="exact"/>
        <w:rPr>
          <w:sz w:val="20"/>
          <w:szCs w:val="20"/>
          <w:color w:val="auto"/>
        </w:rPr>
      </w:pPr>
    </w:p>
    <w:p>
      <w:pPr>
        <w:ind w:left="460" w:right="40" w:firstLine="460"/>
        <w:spacing w:after="0" w:line="253" w:lineRule="auto"/>
        <w:tabs>
          <w:tab w:leader="none" w:pos="1364"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upon the occurrence of a Covenant Suspension Event;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Liens on the Collateral securing the Notes shall not be released under this clause (7) unless and until all Liens on such Collateral securing Indebtedness under any Credit Agreement (including the Initial Credit Agreement) or Capital Markets Indebtedness of the Issuers or any of the Guarantors are released;</w:t>
      </w:r>
    </w:p>
    <w:p>
      <w:pPr>
        <w:spacing w:after="0" w:line="80"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required by any then-applicable Intercreditor Agreements; or</w:t>
      </w:r>
    </w:p>
    <w:p>
      <w:pPr>
        <w:spacing w:after="0" w:line="109"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part, as to any property or asset constituting Collateral that is released from all Liens securing Indebtedness under (i) the Initial Credit Agreement and (ii) all other Indebtedness of the Issuers or any of the Guarantors of the type described in clauses (1) and (2) of the definition of “Indebtedness”, in each case, other than a release by or as a result of (x) refinancing such Indebtedness to the extent such refinancing Indebtedness is secured by such property or assets or (y) payment of such Indebtedness.</w:t>
      </w:r>
    </w:p>
    <w:p>
      <w:pPr>
        <w:spacing w:after="0" w:line="97" w:lineRule="exact"/>
        <w:rPr>
          <w:sz w:val="20"/>
          <w:szCs w:val="20"/>
          <w:color w:val="auto"/>
        </w:rPr>
      </w:pPr>
    </w:p>
    <w:p>
      <w:pPr>
        <w:jc w:val="both"/>
        <w:ind w:right="20" w:firstLine="457"/>
        <w:spacing w:after="0" w:line="257" w:lineRule="auto"/>
        <w:rPr>
          <w:sz w:val="20"/>
          <w:szCs w:val="20"/>
          <w:color w:val="auto"/>
        </w:rPr>
      </w:pPr>
      <w:r>
        <w:rPr>
          <w:rFonts w:ascii="Times New Roman" w:cs="Times New Roman" w:eastAsia="Times New Roman" w:hAnsi="Times New Roman"/>
          <w:sz w:val="12"/>
          <w:szCs w:val="12"/>
          <w:color w:val="auto"/>
        </w:rPr>
        <w:t>Notwithstanding clause (7) above, if, after any Covenant Suspension Event, one or both of the Rating Agencies withdraw their Investment Grade Rating or downgrade the rating assigned to the Notes below an Investment Grade Rating, the Issuers and the Guarantors shall, subject to the Agreed Guarantee and Security Principles, grant to the Notes Collateral Agent for its benefit and the benefit of the Trustee and the holders of the Notes valid, perfected, first priority security interests (subject to Permitted Liens and any obligations that are mandatorily preferred by law) in the Collateral, in each case equally and ratably with all existing and future Equal Priority Obligations of the Issuers and the Guarantors, within (i) 60 days after such Reversion Date in the case of any Collateral located in the United States or (ii) 90 days after such Reversion Date in the case of any other Collateral.</w:t>
      </w:r>
    </w:p>
    <w:p>
      <w:pPr>
        <w:spacing w:after="0" w:line="99"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The Liens on the Collateral will also be automatically released upon payment in full of the principal of, together with any accrued and unpaid interest on and all other obligations under the Notes, the Guarantees and the Collateral Documents that are payable at or prior to the time such principal together with accrued and unpaid interest are paid.</w:t>
      </w:r>
    </w:p>
    <w:p>
      <w:pPr>
        <w:spacing w:after="0" w:line="79" w:lineRule="exact"/>
        <w:rPr>
          <w:sz w:val="20"/>
          <w:szCs w:val="20"/>
          <w:color w:val="auto"/>
        </w:rPr>
      </w:pPr>
    </w:p>
    <w:p>
      <w:pPr>
        <w:jc w:val="both"/>
        <w:ind w:right="60" w:firstLine="457"/>
        <w:spacing w:after="0" w:line="267" w:lineRule="auto"/>
        <w:rPr>
          <w:sz w:val="20"/>
          <w:szCs w:val="20"/>
          <w:color w:val="auto"/>
        </w:rPr>
      </w:pPr>
      <w:r>
        <w:rPr>
          <w:rFonts w:ascii="Times New Roman" w:cs="Times New Roman" w:eastAsia="Times New Roman" w:hAnsi="Times New Roman"/>
          <w:sz w:val="12"/>
          <w:szCs w:val="12"/>
          <w:color w:val="auto"/>
        </w:rPr>
        <w:t>Subject to any then -applicable Intercreditor Agreement, if the Notes Collateral Agent is requested to acknowledge, authorize or sign a release (or similar or related document) of Collateral to implement or evidence a release provided for in this Section 11.04, the Issuers will furnish to the Notes Collateral Agent an Officer’s Certificate and Opinion of Counsel and such other documentation as is required by this Indenture, the Collateral Documents and any then-applicable Intercreditor Agreement.</w:t>
      </w:r>
    </w:p>
    <w:p>
      <w:pPr>
        <w:spacing w:after="0" w:line="8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XII</w:t>
      </w:r>
    </w:p>
    <w:p>
      <w:pPr>
        <w:spacing w:after="0" w:line="1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GUARANTEE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12.01 </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40" w:firstLine="463"/>
        <w:spacing w:after="0" w:line="231" w:lineRule="auto"/>
        <w:tabs>
          <w:tab w:leader="none" w:pos="904" w:val="left"/>
        </w:tabs>
        <w:numPr>
          <w:ilvl w:val="0"/>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hereby jointly and severally, irrevocably and unconditionally guarantees, on a senior secured basis, as a primary obligor and not merely as a surety, to each holder and to the Trustee and the Notes Collateral Agent and their respective successors and assigns, the performance and punctual payment when due, whether at Stated Maturity, by acceleration, by redemption or otherwise, of all obligations of the Issuers under this Indenture and the Notes, whether for payment of principal of, premium, if any, or interest on the Notes and all other monetary obligations of the Issuers under this Indenture and the Notes, expenses, indemnification or otherwise (all the foregoing being hereinafter collectively called the “</w:t>
      </w:r>
      <w:r>
        <w:rPr>
          <w:rFonts w:ascii="Times New Roman" w:cs="Times New Roman" w:eastAsia="Times New Roman" w:hAnsi="Times New Roman"/>
          <w:sz w:val="12"/>
          <w:szCs w:val="12"/>
          <w:u w:val="single" w:color="auto"/>
          <w:color w:val="auto"/>
        </w:rPr>
        <w:t>Guaranteed Obligations</w:t>
      </w:r>
      <w:r>
        <w:rPr>
          <w:rFonts w:ascii="Times New Roman" w:cs="Times New Roman" w:eastAsia="Times New Roman" w:hAnsi="Times New Roman"/>
          <w:sz w:val="12"/>
          <w:szCs w:val="12"/>
          <w:color w:val="auto"/>
        </w:rPr>
        <w:t>”).</w:t>
      </w:r>
    </w:p>
    <w:p>
      <w:pPr>
        <w:spacing w:after="0" w:line="87" w:lineRule="exact"/>
        <w:rPr>
          <w:rFonts w:ascii="Times New Roman" w:cs="Times New Roman" w:eastAsia="Times New Roman" w:hAnsi="Times New Roman"/>
          <w:sz w:val="12"/>
          <w:szCs w:val="12"/>
          <w:color w:val="auto"/>
        </w:rPr>
      </w:pPr>
    </w:p>
    <w:p>
      <w:pPr>
        <w:jc w:val="both"/>
        <w:ind w:firstLine="463"/>
        <w:spacing w:after="0" w:line="224" w:lineRule="auto"/>
        <w:tabs>
          <w:tab w:leader="none" w:pos="904" w:val="left"/>
        </w:tabs>
        <w:numPr>
          <w:ilvl w:val="0"/>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waives presentation to, demand of payment from and protest to the Issuers of any of the Guaranteed Obligations and also waives notice of protest for nonpayment. Each Guarantor waives notice of any default under the Notes or the Guaranteed Obligations. The Guarantee of each Guarantor hereunder shall not be affected by (i) the failure of any holder, the Trustee or the Notes Collateral Agent to assert any claim or demand or to enforce any right or remedy against the Issuers or any other Person under this Indenture, the Notes or any other agreement or otherwise; (ii) any extension or renewal of this Indenture, the Notes or any other agreement; (iii) any rescission, waiver, amendment or modification of any of the terms or provisions of this Indenture, the Notes or any other agreement; (iv) the release of any security held by any holder, the Trustee or the Notes Collateral Agent for the Guaranteed Obligations or each Guarantor; (v) the failure of any holder, the Trustee or the Notes Collateral Agent to exercise any right or remedy against any other guarantor of the Guaranteed Obligations; or (vi) any change in the ownership of each Guarantor, except as provided in Section 12.03. Each Guarantor hereby waives any right to which it may be entitled to have its Guarantee hereunder divided among the Guarantors, such that such Guarantor’s Guarantee would be less than the full amount claimed.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91</w:t>
      </w:r>
    </w:p>
    <w:p>
      <w:pPr>
        <w:sectPr>
          <w:pgSz w:w="11900" w:h="16840" w:orient="portrait"/>
          <w:cols w:equalWidth="0" w:num="1">
            <w:col w:w="10640"/>
          </w:cols>
          <w:pgMar w:left="640" w:top="1440" w:right="620" w:bottom="1440" w:gutter="0" w:footer="0" w:header="0"/>
        </w:sectPr>
      </w:pPr>
    </w:p>
    <w:bookmarkStart w:id="394" w:name="page395"/>
    <w:bookmarkEnd w:id="394"/>
    <w:p>
      <w:pPr>
        <w:spacing w:after="0" w:line="148" w:lineRule="exact"/>
        <w:rPr>
          <w:sz w:val="20"/>
          <w:szCs w:val="20"/>
          <w:color w:val="auto"/>
        </w:rPr>
      </w:pPr>
    </w:p>
    <w:p>
      <w:pPr>
        <w:jc w:val="both"/>
        <w:ind w:right="40" w:firstLine="463"/>
        <w:spacing w:after="0" w:line="236"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hereby waives any right to which it may be entitled to have the assets of the Issuers first be used and depleted as payment of the Issuers’ obligations under this Indenture and the Issuers’ or such Guarantor’s Guarantee hereunder prior to any amounts being claimed from or paid by such Guarantor hereunder. Each Guarantor hereby waives any right to which it may be entitled to require that the Issuers be sued prior to an action being initiated against such Guarantor.</w:t>
      </w:r>
    </w:p>
    <w:p>
      <w:pPr>
        <w:spacing w:after="0" w:line="87" w:lineRule="exact"/>
        <w:rPr>
          <w:rFonts w:ascii="Times New Roman" w:cs="Times New Roman" w:eastAsia="Times New Roman" w:hAnsi="Times New Roman"/>
          <w:sz w:val="12"/>
          <w:szCs w:val="12"/>
          <w:color w:val="auto"/>
        </w:rPr>
      </w:pPr>
    </w:p>
    <w:p>
      <w:pPr>
        <w:ind w:right="40" w:firstLine="463"/>
        <w:spacing w:after="0" w:line="253"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further agrees that its Guarantee herein constitutes a guarantee of payment and, performance when due (and not a guarantee of collection) and waives any right to require that any resort be had by any holder, the Trustee or the Notes Collateral Agent to any security held for payment of the Guaranteed Obligations.</w:t>
      </w:r>
    </w:p>
    <w:p>
      <w:pPr>
        <w:spacing w:after="0" w:line="80" w:lineRule="exact"/>
        <w:rPr>
          <w:rFonts w:ascii="Times New Roman" w:cs="Times New Roman" w:eastAsia="Times New Roman" w:hAnsi="Times New Roman"/>
          <w:sz w:val="12"/>
          <w:szCs w:val="12"/>
          <w:color w:val="auto"/>
        </w:rPr>
      </w:pPr>
    </w:p>
    <w:p>
      <w:pPr>
        <w:ind w:right="40" w:firstLine="463"/>
        <w:spacing w:after="0" w:line="253"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Guarantee of each Guarantor is, to the extent and in the manner set forth in this Article XII, equal in right of payment to all existing and future Equal Priority Indebtedness, senior in right of payment to all existing and future Subordinated Indebtedness of such Guarantor.</w:t>
      </w:r>
    </w:p>
    <w:p>
      <w:pPr>
        <w:spacing w:after="0" w:line="80" w:lineRule="exact"/>
        <w:rPr>
          <w:rFonts w:ascii="Times New Roman" w:cs="Times New Roman" w:eastAsia="Times New Roman" w:hAnsi="Times New Roman"/>
          <w:sz w:val="12"/>
          <w:szCs w:val="12"/>
          <w:color w:val="auto"/>
        </w:rPr>
      </w:pPr>
    </w:p>
    <w:p>
      <w:pPr>
        <w:jc w:val="both"/>
        <w:ind w:right="40" w:firstLine="463"/>
        <w:spacing w:after="0" w:line="225"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set forth in Sections 8.01(b), 12.02, 12.03 and 12.06, the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 of each Guarantor herein shall not be discharged or impaired or otherwise affected by the failure of any holder, the Trustee or the Notes Collateral Agent to assert any claim or demand or to enforce any remedy under this Indenture, the Notes or any other agreement,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89" w:lineRule="exact"/>
        <w:rPr>
          <w:rFonts w:ascii="Times New Roman" w:cs="Times New Roman" w:eastAsia="Times New Roman" w:hAnsi="Times New Roman"/>
          <w:sz w:val="12"/>
          <w:szCs w:val="12"/>
          <w:color w:val="auto"/>
        </w:rPr>
      </w:pPr>
    </w:p>
    <w:p>
      <w:pPr>
        <w:jc w:val="both"/>
        <w:ind w:right="40" w:firstLine="463"/>
        <w:spacing w:after="0" w:line="236"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set forth in Section 12.03, each Guarantor agrees that its Guarantee shall remain in full force and effect until payment in full of all the Guaranteed Obligations of such Guarantor. Each Guarantor further agrees that its Guarantee herein shall continue to be effective or be reinstated, as the case may be, if at any time payment, or any part thereof, of principal of or interest on any Guaranteed Obligation is rescinded or must otherwise be restored by any holder, the Trustee or the Notes Collateral Agent upon the bankruptcy or reorganization of any Issuer or otherwise.</w:t>
      </w:r>
    </w:p>
    <w:p>
      <w:pPr>
        <w:spacing w:after="0" w:line="87" w:lineRule="exact"/>
        <w:rPr>
          <w:rFonts w:ascii="Times New Roman" w:cs="Times New Roman" w:eastAsia="Times New Roman" w:hAnsi="Times New Roman"/>
          <w:sz w:val="12"/>
          <w:szCs w:val="12"/>
          <w:color w:val="auto"/>
        </w:rPr>
      </w:pPr>
    </w:p>
    <w:p>
      <w:pPr>
        <w:ind w:firstLine="463"/>
        <w:spacing w:after="0" w:line="227"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furtherance of the foregoing and not in limitation of any other right which any holder, the Trustee or the Notes Collateral Agent has at law or in equity against any Guarantor by virtue hereof, upon the failure of the Issuers to pay the principal of or interest on any Guaranteed Obligation when and as the same shall become due, whether at maturity, by acceleration, by redemption or otherwise, or to perform or comply with any other Guaranteed Obligation, each Guarantor hereby promises to and shall, upon receipt of written demand by the Trustee or the Notes Collateral Agent, forthwith pay, or cause to be paid, in cash, to the holders, the Trustee or the Notes Collateral Agent an amount equal to the sum of (i) the unpaid principal amount of such Guaranteed Obligations, (ii) accrued and unpaid interest on such Guaranteed Obligations (but only to the extent not prohibited by applicable law) and (iii) all other monetary obligations of the Issuers to the holders, the Trustee and the Notes Collateral Agent.</w:t>
      </w:r>
    </w:p>
    <w:p>
      <w:pPr>
        <w:spacing w:after="0" w:line="89" w:lineRule="exact"/>
        <w:rPr>
          <w:rFonts w:ascii="Times New Roman" w:cs="Times New Roman" w:eastAsia="Times New Roman" w:hAnsi="Times New Roman"/>
          <w:sz w:val="12"/>
          <w:szCs w:val="12"/>
          <w:color w:val="auto"/>
        </w:rPr>
      </w:pPr>
    </w:p>
    <w:p>
      <w:pPr>
        <w:jc w:val="both"/>
        <w:ind w:right="20" w:firstLine="463"/>
        <w:spacing w:after="0" w:line="227"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agrees that it shall not be entitled to any right of subrogation in relation to the holders in respect of any Guaranteed Obligations guaranteed hereby until payment in full of all Guaranteed Obligations. Each Guarantor further agrees that, as between it, on the one hand, and the holders, the Trustee and the Notes Collateral Agent, on the other hand, (i) the maturity of the Guaranteed Obligations guaranteed hereby may be accelerated as provided in Article VI for the purposes of the Guarantee herein, notwithstanding any stay, injunction or other prohibition preventing such acceleration in respect of the Guaranteed Obligations guaranteed hereby, and (ii) in the event of any declaration of acceleration of such Guaranteed Obligations as provided in Article VI, such Guaranteed Obligations (whether or not due and payable) shall forthwith become due and payable by the Guarantors for the purposes of this Section 12.01.</w:t>
      </w:r>
    </w:p>
    <w:p>
      <w:pPr>
        <w:spacing w:after="0" w:line="89" w:lineRule="exact"/>
        <w:rPr>
          <w:rFonts w:ascii="Times New Roman" w:cs="Times New Roman" w:eastAsia="Times New Roman" w:hAnsi="Times New Roman"/>
          <w:sz w:val="12"/>
          <w:szCs w:val="12"/>
          <w:color w:val="auto"/>
        </w:rPr>
      </w:pPr>
    </w:p>
    <w:p>
      <w:pPr>
        <w:ind w:right="60" w:firstLine="463"/>
        <w:spacing w:after="0" w:line="253"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Guarantor also agrees to pay any and all costs and expenses (including out-of-pocket attorneys’ fees and expenses) incurred by the Trustee or the Notes Collateral Agent in enforcing any rights under this Section 12.01.</w:t>
      </w:r>
    </w:p>
    <w:p>
      <w:pPr>
        <w:spacing w:after="0" w:line="80" w:lineRule="exact"/>
        <w:rPr>
          <w:rFonts w:ascii="Times New Roman" w:cs="Times New Roman" w:eastAsia="Times New Roman" w:hAnsi="Times New Roman"/>
          <w:sz w:val="12"/>
          <w:szCs w:val="12"/>
          <w:color w:val="auto"/>
        </w:rPr>
      </w:pPr>
    </w:p>
    <w:p>
      <w:pPr>
        <w:ind w:right="40" w:firstLine="463"/>
        <w:spacing w:after="0" w:line="253" w:lineRule="auto"/>
        <w:tabs>
          <w:tab w:leader="none" w:pos="904"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of the Trustee or the Notes Collateral Agent, each Guarantor shall execute and deliver such further instruments and do such further acts as may be reasonably necessary to carry out more effectively the purpose of this Indenture.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12.02 </w:t>
      </w:r>
      <w:r>
        <w:rPr>
          <w:rFonts w:ascii="Times New Roman" w:cs="Times New Roman" w:eastAsia="Times New Roman" w:hAnsi="Times New Roman"/>
          <w:sz w:val="12"/>
          <w:szCs w:val="12"/>
          <w:u w:val="single" w:color="auto"/>
          <w:color w:val="auto"/>
        </w:rPr>
        <w:t>Limitation on Liability</w:t>
      </w:r>
      <w:r>
        <w:rPr>
          <w:rFonts w:ascii="Times New Roman" w:cs="Times New Roman" w:eastAsia="Times New Roman" w:hAnsi="Times New Roman"/>
          <w:sz w:val="12"/>
          <w:szCs w:val="12"/>
          <w:color w:val="auto"/>
        </w:rPr>
        <w:t>. Any term or provision of this Indenture to the contrary notwithstanding, the maximum aggregate amount of the Guaranteed Obligations guaranteed hereunder by</w:t>
      </w:r>
    </w:p>
    <w:p>
      <w:pPr>
        <w:spacing w:after="0"/>
        <w:rPr>
          <w:sz w:val="20"/>
          <w:szCs w:val="20"/>
          <w:color w:val="auto"/>
        </w:rPr>
      </w:pPr>
      <w:r>
        <w:rPr>
          <w:rFonts w:ascii="Times New Roman" w:cs="Times New Roman" w:eastAsia="Times New Roman" w:hAnsi="Times New Roman"/>
          <w:sz w:val="12"/>
          <w:szCs w:val="12"/>
          <w:color w:val="auto"/>
        </w:rPr>
        <w:t>each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92</w:t>
      </w:r>
    </w:p>
    <w:p>
      <w:pPr>
        <w:sectPr>
          <w:pgSz w:w="11900" w:h="16840" w:orient="portrait"/>
          <w:cols w:equalWidth="0" w:num="1">
            <w:col w:w="10640"/>
          </w:cols>
          <w:pgMar w:left="640" w:top="1440" w:right="620" w:bottom="1440" w:gutter="0" w:footer="0" w:header="0"/>
        </w:sectPr>
      </w:pPr>
    </w:p>
    <w:bookmarkStart w:id="395" w:name="page396"/>
    <w:bookmarkEnd w:id="395"/>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Guarantor shall not exceed the maximum amount that can be hereby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80"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12.03 </w:t>
      </w:r>
      <w:r>
        <w:rPr>
          <w:rFonts w:ascii="Times New Roman" w:cs="Times New Roman" w:eastAsia="Times New Roman" w:hAnsi="Times New Roman"/>
          <w:sz w:val="12"/>
          <w:szCs w:val="12"/>
          <w:u w:val="single" w:color="auto"/>
          <w:color w:val="auto"/>
        </w:rPr>
        <w:t>Release of Guarantors</w:t>
      </w:r>
      <w:r>
        <w:rPr>
          <w:rFonts w:ascii="Times New Roman" w:cs="Times New Roman" w:eastAsia="Times New Roman" w:hAnsi="Times New Roman"/>
          <w:sz w:val="12"/>
          <w:szCs w:val="12"/>
          <w:color w:val="auto"/>
        </w:rPr>
        <w:t>. A Guarantee as to any Guarantor shall automatically terminate and be of no further force or effect and such Guarantor shall be automatically released from all obligations under this Article XII upon:</w:t>
      </w:r>
    </w:p>
    <w:p>
      <w:pPr>
        <w:spacing w:after="0" w:line="80" w:lineRule="exact"/>
        <w:rPr>
          <w:sz w:val="20"/>
          <w:szCs w:val="20"/>
          <w:color w:val="auto"/>
        </w:rPr>
      </w:pPr>
    </w:p>
    <w:p>
      <w:pPr>
        <w:jc w:val="both"/>
        <w:ind w:left="460" w:right="20" w:firstLine="460"/>
        <w:spacing w:after="0" w:line="231" w:lineRule="auto"/>
        <w:tabs>
          <w:tab w:leader="none" w:pos="1364" w:val="left"/>
        </w:tabs>
        <w:numPr>
          <w:ilvl w:val="1"/>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issuance, sale, exchange, transfer or other disposition (including through merger, consolidation, amalgamation or otherwise) of the Capital Stock of such Guarantor to a Person other than the Company or any Restricted Subsidiary as a result of which the applicable Guarantor is no longer a Restricted Subsidiary, if such issuance, sale, exchange, transfer or other disposition is made in a manner not in violation of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Guarantor does not own or exclusively license any Material Intellectual Property, unless the transaction, as a result of which such Guarantor is no longer a Restricted Subsidiary, is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transaction with a Person that is not an Affiliate of the Company or any of its Subsidiaries and is not entered into for the purpose of Incurring Indebtedness;</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of such Guarantor as an Unrestricted Subsidiary in accordance with the provisions of Section 4.04 and the definition of “Unrestricted Subsidiary”;</w:t>
      </w:r>
    </w:p>
    <w:p>
      <w:pPr>
        <w:spacing w:after="0" w:line="109"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or discharge of the guarantee or repayment of borrowings by such Guarantor of all Indebtedness under (i) any Credit Agreement (including the Initial Credit Agreement) and</w:t>
      </w:r>
    </w:p>
    <w:p>
      <w:pPr>
        <w:ind w:left="460" w:right="20" w:firstLine="3"/>
        <w:spacing w:after="0" w:line="234" w:lineRule="auto"/>
        <w:tabs>
          <w:tab w:leader="none" w:pos="656"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Capital Markets Indebtedness of the Issuers or any of the Guarantors, in each case, other than a release or discharge by or as a result of (x) refinancing such Indebtedness to the extent such refinancing Indebtedness is secured and guaranteed by such Guarantor or (y) payment under such guarantee of such Indebtedness;</w:t>
      </w:r>
    </w:p>
    <w:p>
      <w:pPr>
        <w:spacing w:after="0" w:line="88"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1"/>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Issuers’ exercise of their legal defeasance option or covenant defeasance option as described under Article VIII or if the Issuers’ obligations under this Indenture are discharged in accordance with the terms of this Indenture;</w:t>
      </w:r>
    </w:p>
    <w:p>
      <w:pPr>
        <w:spacing w:after="0" w:line="80"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occurrence of a Covenant Suspension Event;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Guarantor’s Guarantee shall not be released pursuant to this clause (v) if, upon such Covenant Suspension Event, such Guarantor is an obligor with respect to any Indebtedness under any Credit Agreement (including the Initial Credit Agreement) or any Capital Markets Indebtedness of the Issuers or any of the Guarantors;</w:t>
      </w:r>
    </w:p>
    <w:p>
      <w:pPr>
        <w:spacing w:after="0" w:line="80"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good faith determination that the continued obligations of such Guarantor under its Guarantee would reasonably be expected to result in (x) any violation of applicable law or (y) in the case of any Foreign Subsidiary, any violation or breach of, or conflict with, fiduciary duties of such Foreign Subsidiary’s officers, directors or managers, but only if such Foreign Subsidiary and the Company shall have used reasonable efforts to overcome any such obstacle; or</w:t>
      </w:r>
    </w:p>
    <w:p>
      <w:pPr>
        <w:spacing w:after="0" w:line="87"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repayment in full of the Notes.</w:t>
      </w:r>
    </w:p>
    <w:p>
      <w:pPr>
        <w:spacing w:after="0" w:line="11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The Issuers shall provide the Trustee with notice of any such release of a Guarantor,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failure or delay in delivering such notice shall not affect such release. If the Trustee is requested to acknowledge, authorize or sign a release (or similar or related document) of a Guarantee as to any Guarantor, the Issuers will furnish to the Trustee an Officer’s Certificate and Opinion of Counsel and such other documentation as is required by this Indenture, the Collateral Documents and any then-applicable Intercreditor Agreement.</w:t>
      </w:r>
    </w:p>
    <w:p>
      <w:pPr>
        <w:spacing w:after="0" w:line="82"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12.04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Article XII shall be binding upon each Guarantor and its successors and assigns and shall inure to the benefit of and be enforceable by the successors and assigns of the Trustee, the Notes Collateral Agent and the holders and, in the event of any transfer or assignment of rights by any holder, the Trustee or the Notes Collateral Agent, the rights and privileges conferred upon that party in this Indenture and in the Notes shall automatically extend to and be vested in such transferee or assignee, all subject to the terms and conditions of this Indenture.</w:t>
      </w:r>
    </w:p>
    <w:p>
      <w:pPr>
        <w:spacing w:after="0" w:line="8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12.05 </w:t>
      </w:r>
      <w:r>
        <w:rPr>
          <w:rFonts w:ascii="Times New Roman" w:cs="Times New Roman" w:eastAsia="Times New Roman" w:hAnsi="Times New Roman"/>
          <w:sz w:val="12"/>
          <w:szCs w:val="12"/>
          <w:u w:val="single" w:color="auto"/>
          <w:color w:val="auto"/>
        </w:rPr>
        <w:t>No Waiver</w:t>
      </w:r>
      <w:r>
        <w:rPr>
          <w:rFonts w:ascii="Times New Roman" w:cs="Times New Roman" w:eastAsia="Times New Roman" w:hAnsi="Times New Roman"/>
          <w:sz w:val="12"/>
          <w:szCs w:val="12"/>
          <w:color w:val="auto"/>
        </w:rPr>
        <w:t>. Neither a failure nor a delay on the part of the Trustee, the Notes Collateral Agent or the holders in exercising any right, power or privilege under this Article XII shall operate as a waiver thereof, nor shall a single or partial exercise thereof preclude any other or further exercise of any right, power or privilege. The rights, remedies and benefits of the Trustee, the Notes Collateral Agent and the holders herein expressly specified are cumulative and not exclusive of any other rights, remedies or benefits which either may have under this Article XII at law, in equity, by statute or otherwise.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93</w:t>
      </w:r>
    </w:p>
    <w:p>
      <w:pPr>
        <w:sectPr>
          <w:pgSz w:w="11900" w:h="16840" w:orient="portrait"/>
          <w:cols w:equalWidth="0" w:num="1">
            <w:col w:w="10620"/>
          </w:cols>
          <w:pgMar w:left="640" w:top="1440" w:right="640" w:bottom="1440" w:gutter="0" w:footer="0" w:header="0"/>
        </w:sectPr>
      </w:pPr>
    </w:p>
    <w:bookmarkStart w:id="396" w:name="page397"/>
    <w:bookmarkEnd w:id="396"/>
    <w:p>
      <w:pPr>
        <w:spacing w:after="0" w:line="14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12.06 </w:t>
      </w:r>
      <w:r>
        <w:rPr>
          <w:rFonts w:ascii="Times New Roman" w:cs="Times New Roman" w:eastAsia="Times New Roman" w:hAnsi="Times New Roman"/>
          <w:sz w:val="12"/>
          <w:szCs w:val="12"/>
          <w:u w:val="single" w:color="auto"/>
          <w:color w:val="auto"/>
        </w:rPr>
        <w:t>Modification</w:t>
      </w:r>
      <w:r>
        <w:rPr>
          <w:rFonts w:ascii="Times New Roman" w:cs="Times New Roman" w:eastAsia="Times New Roman" w:hAnsi="Times New Roman"/>
          <w:sz w:val="12"/>
          <w:szCs w:val="12"/>
          <w:color w:val="auto"/>
        </w:rPr>
        <w:t>. No modification, amendment or waiver of any provision of this Article XII, nor the consent to any departure by any Guarantor therefrom, shall in any event be effective unless the same shall be in writing and signed by the Trustee and the Notes Collateral Agent, and then such waiver or consent shall be effective only in the specific instance and for the purpose for which given. No notice to or demand on any Guarantor in any case shall entitle any Guarantor to any other or further notice or demand in the same, similar or other circumstances.</w:t>
      </w:r>
    </w:p>
    <w:p>
      <w:pPr>
        <w:spacing w:after="0" w:line="8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12.07 </w:t>
      </w:r>
      <w:r>
        <w:rPr>
          <w:rFonts w:ascii="Times New Roman" w:cs="Times New Roman" w:eastAsia="Times New Roman" w:hAnsi="Times New Roman"/>
          <w:sz w:val="12"/>
          <w:szCs w:val="12"/>
          <w:u w:val="single" w:color="auto"/>
          <w:color w:val="auto"/>
        </w:rPr>
        <w:t>Execution of Supplemental Indenture for Future Guarantors</w:t>
      </w:r>
      <w:r>
        <w:rPr>
          <w:rFonts w:ascii="Times New Roman" w:cs="Times New Roman" w:eastAsia="Times New Roman" w:hAnsi="Times New Roman"/>
          <w:sz w:val="12"/>
          <w:szCs w:val="12"/>
          <w:color w:val="auto"/>
        </w:rPr>
        <w:t>. Each Subsidiary which is required to become a Guarantor of the Notes pursuant to Section 4.11 shall promptly execute and deliver to the Trustee a supplemental indenture substantially in the form of Exhibit B hereto pursuant to which such Subsidiary shall become a Guarantor under this Article XII and shall guarantee the Guaranteed Obligations. Concurrently with the execution and delivery of such supplemental indenture, the Issuers shall deliver to the Trustee an Opinion of Counsel and an Officer’s Certificate as provided under Section 9.05.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12.08 </w:t>
      </w:r>
      <w:r>
        <w:rPr>
          <w:rFonts w:ascii="Times New Roman" w:cs="Times New Roman" w:eastAsia="Times New Roman" w:hAnsi="Times New Roman"/>
          <w:sz w:val="12"/>
          <w:szCs w:val="12"/>
          <w:u w:val="single" w:color="auto"/>
          <w:color w:val="auto"/>
        </w:rPr>
        <w:t>Non-Impairment</w:t>
      </w:r>
      <w:r>
        <w:rPr>
          <w:rFonts w:ascii="Times New Roman" w:cs="Times New Roman" w:eastAsia="Times New Roman" w:hAnsi="Times New Roman"/>
          <w:sz w:val="12"/>
          <w:szCs w:val="12"/>
          <w:color w:val="auto"/>
        </w:rPr>
        <w:t>. The failure to endorse a Guarantee on any Note shall not affect or impair the validity thereof.</w:t>
      </w:r>
    </w:p>
    <w:p>
      <w:pPr>
        <w:spacing w:after="0" w:line="109"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12.09 </w:t>
      </w:r>
      <w:r>
        <w:rPr>
          <w:rFonts w:ascii="Times New Roman" w:cs="Times New Roman" w:eastAsia="Times New Roman" w:hAnsi="Times New Roman"/>
          <w:sz w:val="12"/>
          <w:szCs w:val="12"/>
          <w:u w:val="single" w:color="auto"/>
          <w:color w:val="auto"/>
        </w:rPr>
        <w:t>Limitations on Obligations of Dutch Guarantors</w:t>
      </w:r>
      <w:r>
        <w:rPr>
          <w:rFonts w:ascii="Times New Roman" w:cs="Times New Roman" w:eastAsia="Times New Roman" w:hAnsi="Times New Roman"/>
          <w:sz w:val="12"/>
          <w:szCs w:val="12"/>
          <w:color w:val="auto"/>
        </w:rPr>
        <w:t>. The obligations of any Dutch Guarantor or any Guarantor which is a Subsidiary of a Dutch Guarantor, expressed to be assumed in this Section 12.09 or otherwise pursuant to any Notes Document shall exclude, and shall not be or be construed as, any guarantee, indemnity, security or other obligation of such Guarantor, to the extent that this would constitute unlawful financial assistance within the meaning of Section 2:98c of the Dutch Civil Code or any other applicable financial assistance rules of any relevant jurisdiction.</w:t>
      </w:r>
    </w:p>
    <w:p>
      <w:pPr>
        <w:spacing w:after="0" w:line="88"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12.10 </w:t>
      </w:r>
      <w:r>
        <w:rPr>
          <w:rFonts w:ascii="Times New Roman" w:cs="Times New Roman" w:eastAsia="Times New Roman" w:hAnsi="Times New Roman"/>
          <w:sz w:val="12"/>
          <w:szCs w:val="12"/>
          <w:u w:val="single" w:color="auto"/>
          <w:color w:val="auto"/>
        </w:rPr>
        <w:t>Works Council Advice Condition for Dutch Guarantors</w:t>
      </w:r>
      <w:r>
        <w:rPr>
          <w:rFonts w:ascii="Times New Roman" w:cs="Times New Roman" w:eastAsia="Times New Roman" w:hAnsi="Times New Roman"/>
          <w:sz w:val="12"/>
          <w:szCs w:val="12"/>
          <w:color w:val="auto"/>
        </w:rPr>
        <w:t xml:space="preserve"> . Notwithstanding anything to the contrary in the Notes Documents, any extension, renewal, increase or other amendment or modification of the Guaranteed Obligations, shall, to the extent such extension, renewal, increase or other amendment or modification of the Guaranteed Obligations is subject to advice (</w:t>
      </w:r>
      <w:r>
        <w:rPr>
          <w:rFonts w:ascii="Times New Roman" w:cs="Times New Roman" w:eastAsia="Times New Roman" w:hAnsi="Times New Roman"/>
          <w:sz w:val="12"/>
          <w:szCs w:val="12"/>
          <w:i w:val="1"/>
          <w:iCs w:val="1"/>
          <w:color w:val="auto"/>
        </w:rPr>
        <w:t>advies</w:t>
      </w:r>
      <w:r>
        <w:rPr>
          <w:rFonts w:ascii="Times New Roman" w:cs="Times New Roman" w:eastAsia="Times New Roman" w:hAnsi="Times New Roman"/>
          <w:sz w:val="12"/>
          <w:szCs w:val="12"/>
          <w:color w:val="auto"/>
        </w:rPr>
        <w:t xml:space="preserve">) of any works council having jurisdiction in respect of any Dutch Guarantor pursuant to the Works Council Act ( </w:t>
      </w:r>
      <w:r>
        <w:rPr>
          <w:rFonts w:ascii="Times New Roman" w:cs="Times New Roman" w:eastAsia="Times New Roman" w:hAnsi="Times New Roman"/>
          <w:sz w:val="12"/>
          <w:szCs w:val="12"/>
          <w:i w:val="1"/>
          <w:iCs w:val="1"/>
          <w:color w:val="auto"/>
        </w:rPr>
        <w:t>Wet op de Ondernemingsraden</w:t>
      </w:r>
      <w:r>
        <w:rPr>
          <w:rFonts w:ascii="Times New Roman" w:cs="Times New Roman" w:eastAsia="Times New Roman" w:hAnsi="Times New Roman"/>
          <w:sz w:val="12"/>
          <w:szCs w:val="12"/>
          <w:color w:val="auto"/>
        </w:rPr>
        <w:t>), be conditional upon each such Dutch Guarantor having obtained, prior to such extension, renewal, increase, amendment or modification of the Guaranteed Obligations becoming effective, (i) a positive or neutral advice (</w:t>
      </w:r>
      <w:r>
        <w:rPr>
          <w:rFonts w:ascii="Times New Roman" w:cs="Times New Roman" w:eastAsia="Times New Roman" w:hAnsi="Times New Roman"/>
          <w:sz w:val="12"/>
          <w:szCs w:val="12"/>
          <w:i w:val="1"/>
          <w:iCs w:val="1"/>
          <w:color w:val="auto"/>
        </w:rPr>
        <w:t>advies</w:t>
      </w:r>
      <w:r>
        <w:rPr>
          <w:rFonts w:ascii="Times New Roman" w:cs="Times New Roman" w:eastAsia="Times New Roman" w:hAnsi="Times New Roman"/>
          <w:sz w:val="12"/>
          <w:szCs w:val="12"/>
          <w:color w:val="auto"/>
        </w:rPr>
        <w:t>) from such works council or (ii) a written confirmation from such works council that it has waived any objection to such extension, renewal, increase or other amendment or modification of the Guaranteed Obligations.</w:t>
      </w:r>
    </w:p>
    <w:p>
      <w:pPr>
        <w:spacing w:after="0" w:line="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ARTICLE XIII</w:t>
      </w:r>
    </w:p>
    <w:p>
      <w:pPr>
        <w:spacing w:after="0" w:line="10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13.01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460" w:right="520" w:firstLine="3"/>
        <w:spacing w:after="0" w:line="455" w:lineRule="auto"/>
        <w:tabs>
          <w:tab w:leader="none" w:pos="907" w:val="left"/>
        </w:tabs>
        <w:numPr>
          <w:ilvl w:val="0"/>
          <w:numId w:val="3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communication required or permitted hereunder shall be in writing and delivered in person, electronically in PDF format or mailed by first-class mail addressed as follows: if to the Issuers:</w:t>
      </w:r>
    </w:p>
    <w:p>
      <w:pPr>
        <w:ind w:left="920"/>
        <w:spacing w:after="0"/>
        <w:rPr>
          <w:sz w:val="20"/>
          <w:szCs w:val="20"/>
          <w:color w:val="auto"/>
        </w:rPr>
      </w:pPr>
      <w:r>
        <w:rPr>
          <w:rFonts w:ascii="Times New Roman" w:cs="Times New Roman" w:eastAsia="Times New Roman" w:hAnsi="Times New Roman"/>
          <w:sz w:val="12"/>
          <w:szCs w:val="12"/>
          <w:color w:val="auto"/>
        </w:rPr>
        <w:t>Genmab A/S</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Carl Jacobsens Vej 30</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2500 Valby</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Denmark</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Attention: Jan G. J. van de Winkel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with a copy to:</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A&amp;O Shearman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599 Lexington Avenue</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New York, NY 10022</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Attention: Harald Halbhuber</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E-mail: harald.halbhuber@aoshearman.com</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to the Trustee: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94</w:t>
      </w:r>
    </w:p>
    <w:p>
      <w:pPr>
        <w:sectPr>
          <w:pgSz w:w="11900" w:h="16840" w:orient="portrait"/>
          <w:cols w:equalWidth="0" w:num="1">
            <w:col w:w="10620"/>
          </w:cols>
          <w:pgMar w:left="640" w:top="1440" w:right="640" w:bottom="1440" w:gutter="0" w:footer="0" w:header="0"/>
        </w:sectPr>
      </w:pPr>
    </w:p>
    <w:bookmarkStart w:id="397" w:name="page398"/>
    <w:bookmarkEnd w:id="397"/>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Global Capital Markets</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99 Wood Avenue South</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Iselin, New Jersey 08830</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Attention: Genmab Notes Collateral Agent/ Notes Administrator</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to the Notes Collateral Agent:</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Global Capital Markets</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99 Wood Avenue South</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Iselin, New Jersey 08830</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Attention: Genmab Notes Collateral Agent/ Notes Administrator</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The Issuers, the Trustee or the Notes Collateral Agent by notice to the other may designate additional or different addresses for subsequent notices or communications.</w:t>
      </w:r>
    </w:p>
    <w:p>
      <w:pPr>
        <w:spacing w:after="0" w:line="12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All notices and communications (other than those sent to holders) will be deemed to have been duly given: as of the date so delivered if personally delivered or if delivered electronically; five Business Days after being deposited in the mail, postage prepaid, if mailed; and the next Business Day after timely delivery to the courier, if sent by overnight air courier guaranteeing next day delivery. If a notice or communication is mailed in the manner provided in this paragraph within the time prescribed, it is duly given, whether or not the addressee receives it.</w:t>
      </w:r>
    </w:p>
    <w:p>
      <w:pPr>
        <w:spacing w:after="0" w:line="82" w:lineRule="exact"/>
        <w:rPr>
          <w:sz w:val="20"/>
          <w:szCs w:val="20"/>
          <w:color w:val="auto"/>
        </w:rPr>
      </w:pPr>
    </w:p>
    <w:p>
      <w:pPr>
        <w:ind w:right="20" w:firstLine="463"/>
        <w:spacing w:after="0" w:line="253" w:lineRule="auto"/>
        <w:tabs>
          <w:tab w:leader="none" w:pos="904"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communication mailed to a holder shall be electronically delivered or mailed, first class mail, to the holder at the holder’s address as it appears on the registration books of the Registrar and shall be sufficiently given if so sent within the time prescribed.</w:t>
      </w:r>
    </w:p>
    <w:p>
      <w:pPr>
        <w:spacing w:after="0" w:line="80"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and the Notes Collateral Agent are effective only if received.</w:t>
      </w:r>
    </w:p>
    <w:p>
      <w:pPr>
        <w:spacing w:after="0" w:line="90"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The Trustee may, in its sole discretion, agree to accept and act upon instructions or directions pursuant to this Indenture sent by e-mail or other similar electronic methods. Neither the Trustee nor the Notes Collateral Agent shall have any duty to confirm that the person sending any notice, instruction or other communication by electronic transmission (including by e-mail, web portal or other electronic methods) is, in fact, a person authorized to do so. Each other party assumes all risks arising out of the use of electronic signatures and electronic methods to send any such notice, instruction or other communication to the Trustee or the Notes Collateral Agent, including without limitation the risk of the Trustee or the Notes Collateral Agent acting on unauthorized notices, instructions or other communications, and the risk of interception or misuse by third parties. Notwithstanding the foregoing, the Trustee and the Notes Collateral Agent may in any instance and in their sole discretion require that an original document bearing a manual signature be delivered to them in lieu of, or in addition to, any such electronic notice, instruction or other communication.</w:t>
      </w:r>
    </w:p>
    <w:p>
      <w:pPr>
        <w:spacing w:after="0" w:line="9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Notwithstanding anything to the contrary contained herein, as long as the Notes are in the form of a Global Note, notice to the holders may be made electronically in accordance with procedures of the Depository.</w:t>
      </w:r>
    </w:p>
    <w:p>
      <w:pPr>
        <w:spacing w:after="0" w:line="70"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13.02 </w:t>
      </w:r>
      <w:r>
        <w:rPr>
          <w:rFonts w:ascii="Times New Roman" w:cs="Times New Roman" w:eastAsia="Times New Roman" w:hAnsi="Times New Roman"/>
          <w:sz w:val="12"/>
          <w:szCs w:val="12"/>
          <w:u w:val="single" w:color="auto"/>
          <w:color w:val="auto"/>
        </w:rPr>
        <w:t>Certificate and Opinion as to Conditions Precedent</w:t>
      </w:r>
      <w:r>
        <w:rPr>
          <w:rFonts w:ascii="Times New Roman" w:cs="Times New Roman" w:eastAsia="Times New Roman" w:hAnsi="Times New Roman"/>
          <w:sz w:val="12"/>
          <w:szCs w:val="12"/>
          <w:color w:val="auto"/>
        </w:rPr>
        <w:t>. Upon any request or application by the Issuers to the Trustee or the Notes Collateral Agent to take or refrain from taking any action under this Indenture (except in connection with the original issuance and authentication of Initial Notes on the Issue Date), the Issuers shall furnish to the Trustee and/or the Notes Collateral Agent at the request of the Trustee and/or the Notes Collateral Agent:</w:t>
      </w:r>
    </w:p>
    <w:p>
      <w:pPr>
        <w:spacing w:after="0" w:line="88" w:lineRule="exact"/>
        <w:rPr>
          <w:sz w:val="20"/>
          <w:szCs w:val="20"/>
          <w:color w:val="auto"/>
        </w:rPr>
      </w:pPr>
    </w:p>
    <w:p>
      <w:pPr>
        <w:ind w:right="40" w:firstLine="463"/>
        <w:spacing w:after="0" w:line="253" w:lineRule="auto"/>
        <w:tabs>
          <w:tab w:leader="none" w:pos="904"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Officer’s Certificate in a form reasonably satisfactory to the Trustee and/or the Notes Collateral Agent stating that, in the opinion of the signers, all conditions precedent, if any, provided for in this Indenture relating to the proposed action have been complied with;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95</w:t>
      </w:r>
    </w:p>
    <w:p>
      <w:pPr>
        <w:sectPr>
          <w:pgSz w:w="11900" w:h="16840" w:orient="portrait"/>
          <w:cols w:equalWidth="0" w:num="1">
            <w:col w:w="10620"/>
          </w:cols>
          <w:pgMar w:left="640" w:top="1440" w:right="640" w:bottom="1440" w:gutter="0" w:footer="0" w:header="0"/>
        </w:sectPr>
      </w:pPr>
    </w:p>
    <w:bookmarkStart w:id="398" w:name="page399"/>
    <w:bookmarkEnd w:id="398"/>
    <w:p>
      <w:pPr>
        <w:spacing w:after="0" w:line="148" w:lineRule="exact"/>
        <w:rPr>
          <w:sz w:val="20"/>
          <w:szCs w:val="20"/>
          <w:color w:val="auto"/>
        </w:rPr>
      </w:pPr>
    </w:p>
    <w:p>
      <w:pPr>
        <w:ind w:right="20" w:firstLine="463"/>
        <w:spacing w:after="0" w:line="253" w:lineRule="auto"/>
        <w:tabs>
          <w:tab w:leader="none" w:pos="904"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upon the issuance of the Initial Notes, an Opinion of Counsel in form reasonably satisfactory to the Trustee and/or the Notes Collateral Agent stating that, in the opinion of such counsel, all such conditions precedent have been complied with.</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13.03 </w:t>
      </w:r>
      <w:r>
        <w:rPr>
          <w:rFonts w:ascii="Times New Roman" w:cs="Times New Roman" w:eastAsia="Times New Roman" w:hAnsi="Times New Roman"/>
          <w:sz w:val="12"/>
          <w:szCs w:val="12"/>
          <w:u w:val="single" w:color="auto"/>
          <w:color w:val="auto"/>
        </w:rPr>
        <w:t>Statements Required in Certificate or Opinion</w:t>
      </w:r>
      <w:r>
        <w:rPr>
          <w:rFonts w:ascii="Times New Roman" w:cs="Times New Roman" w:eastAsia="Times New Roman" w:hAnsi="Times New Roman"/>
          <w:sz w:val="12"/>
          <w:szCs w:val="12"/>
          <w:color w:val="auto"/>
        </w:rPr>
        <w:t>. Each certificate or opinion with respect to compliance with a covenant or condition provided for in this Indenture (other than pursuant to</w:t>
      </w:r>
    </w:p>
    <w:p>
      <w:pPr>
        <w:spacing w:after="0"/>
        <w:rPr>
          <w:sz w:val="20"/>
          <w:szCs w:val="20"/>
          <w:color w:val="auto"/>
        </w:rPr>
      </w:pPr>
      <w:r>
        <w:rPr>
          <w:rFonts w:ascii="Times New Roman" w:cs="Times New Roman" w:eastAsia="Times New Roman" w:hAnsi="Times New Roman"/>
          <w:sz w:val="12"/>
          <w:szCs w:val="12"/>
          <w:color w:val="auto"/>
        </w:rPr>
        <w:t>Section 4.09) shall include:</w:t>
      </w:r>
    </w:p>
    <w:p>
      <w:pPr>
        <w:spacing w:after="0" w:line="95" w:lineRule="exact"/>
        <w:rPr>
          <w:sz w:val="20"/>
          <w:szCs w:val="20"/>
          <w:color w:val="auto"/>
        </w:rPr>
      </w:pPr>
    </w:p>
    <w:p>
      <w:pPr>
        <w:ind w:left="920" w:hanging="457"/>
        <w:spacing w:after="0"/>
        <w:tabs>
          <w:tab w:leader="none" w:pos="920" w:val="left"/>
        </w:tabs>
        <w:numPr>
          <w:ilvl w:val="0"/>
          <w:numId w:val="3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statement that the individual making such certificate or opinion has read such covenant or condition;</w:t>
      </w:r>
    </w:p>
    <w:p>
      <w:pPr>
        <w:spacing w:after="0" w:line="109" w:lineRule="exact"/>
        <w:rPr>
          <w:rFonts w:ascii="Times New Roman" w:cs="Times New Roman" w:eastAsia="Times New Roman" w:hAnsi="Times New Roman"/>
          <w:sz w:val="12"/>
          <w:szCs w:val="12"/>
          <w:color w:val="auto"/>
        </w:rPr>
      </w:pPr>
    </w:p>
    <w:p>
      <w:pPr>
        <w:ind w:left="920" w:hanging="457"/>
        <w:spacing w:after="0"/>
        <w:tabs>
          <w:tab w:leader="none" w:pos="920" w:val="left"/>
        </w:tabs>
        <w:numPr>
          <w:ilvl w:val="0"/>
          <w:numId w:val="3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brief statement as to the nature and scope of the examination or investigation upon which the statements or opinions contained in such certificate or opinion are based;</w:t>
      </w:r>
    </w:p>
    <w:p>
      <w:pPr>
        <w:spacing w:after="0" w:line="109"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80" w:lineRule="exact"/>
        <w:rPr>
          <w:rFonts w:ascii="Times New Roman" w:cs="Times New Roman" w:eastAsia="Times New Roman" w:hAnsi="Times New Roman"/>
          <w:sz w:val="12"/>
          <w:szCs w:val="12"/>
          <w:color w:val="auto"/>
        </w:rPr>
      </w:pPr>
    </w:p>
    <w:p>
      <w:pPr>
        <w:ind w:firstLine="463"/>
        <w:spacing w:after="0" w:line="253" w:lineRule="auto"/>
        <w:tabs>
          <w:tab w:leader="none" w:pos="904" w:val="left"/>
        </w:tabs>
        <w:numPr>
          <w:ilvl w:val="0"/>
          <w:numId w:val="3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statement as to whether or not, in the opinion of such individual, such covenant or condition has been complied with;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with respect to matters of fact an Opinion of Counsel may rely on an Officer’s Certificate or certificates of public officials.</w:t>
      </w:r>
    </w:p>
    <w:p>
      <w:pPr>
        <w:spacing w:after="0" w:line="80"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13.04 </w:t>
      </w:r>
      <w:r>
        <w:rPr>
          <w:rFonts w:ascii="Times New Roman" w:cs="Times New Roman" w:eastAsia="Times New Roman" w:hAnsi="Times New Roman"/>
          <w:sz w:val="12"/>
          <w:szCs w:val="12"/>
          <w:u w:val="single" w:color="auto"/>
          <w:color w:val="auto"/>
        </w:rPr>
        <w:t>When Notes Disregarded</w:t>
      </w:r>
      <w:r>
        <w:rPr>
          <w:rFonts w:ascii="Times New Roman" w:cs="Times New Roman" w:eastAsia="Times New Roman" w:hAnsi="Times New Roman"/>
          <w:sz w:val="12"/>
          <w:szCs w:val="12"/>
          <w:color w:val="auto"/>
        </w:rPr>
        <w:t>. In determining whether the holders of the required principal amount of Notes have concurred in any direction, waiver or consent, Notes owned by any Issuer, any Guarantor or any of their respective Affiliates shall be disregarded and deemed not to be outstanding, except that, for the purpose of determining whether the Trustee shall be protected in relying on any such direction, waiver or consent, only Notes which a Trust Officer of the Trustee actually knows are so owned shall be so disregarded. Subject to the foregoing, only Notes outstanding at the time shall be considered in any such determination.</w:t>
      </w:r>
    </w:p>
    <w:p>
      <w:pPr>
        <w:spacing w:after="0" w:line="87"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13.05 </w:t>
      </w:r>
      <w:r>
        <w:rPr>
          <w:rFonts w:ascii="Times New Roman" w:cs="Times New Roman" w:eastAsia="Times New Roman" w:hAnsi="Times New Roman"/>
          <w:sz w:val="12"/>
          <w:szCs w:val="12"/>
          <w:u w:val="single" w:color="auto"/>
          <w:color w:val="auto"/>
        </w:rPr>
        <w:t>Rules by Trustee, Paying Agent and Registrar</w:t>
      </w:r>
      <w:r>
        <w:rPr>
          <w:rFonts w:ascii="Times New Roman" w:cs="Times New Roman" w:eastAsia="Times New Roman" w:hAnsi="Times New Roman"/>
          <w:sz w:val="12"/>
          <w:szCs w:val="12"/>
          <w:color w:val="auto"/>
        </w:rPr>
        <w:t>. The Trustee may make reasonable rules for action by or a meeting of the holders. The Registrar and Paying Agent may make reasonable rules for their functions.</w:t>
      </w:r>
    </w:p>
    <w:p>
      <w:pPr>
        <w:spacing w:after="0" w:line="80" w:lineRule="exact"/>
        <w:rPr>
          <w:sz w:val="20"/>
          <w:szCs w:val="20"/>
          <w:color w:val="auto"/>
        </w:rPr>
      </w:pPr>
    </w:p>
    <w:p>
      <w:pPr>
        <w:jc w:val="both"/>
        <w:ind w:right="4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13.06 </w:t>
      </w:r>
      <w:r>
        <w:rPr>
          <w:rFonts w:ascii="Times New Roman" w:cs="Times New Roman" w:eastAsia="Times New Roman" w:hAnsi="Times New Roman"/>
          <w:sz w:val="12"/>
          <w:szCs w:val="12"/>
          <w:u w:val="single" w:color="auto"/>
          <w:color w:val="auto"/>
        </w:rPr>
        <w:t>Legal Holidays</w:t>
      </w:r>
      <w:r>
        <w:rPr>
          <w:rFonts w:ascii="Times New Roman" w:cs="Times New Roman" w:eastAsia="Times New Roman" w:hAnsi="Times New Roman"/>
          <w:sz w:val="12"/>
          <w:szCs w:val="12"/>
          <w:color w:val="auto"/>
        </w:rPr>
        <w:t>. If a payment date is not a Business Day, payment shall be made on the next succeeding day that is a Business Day, and no interest shall accrue on any amount that would have been otherwise payable on such payment date if it were a Business Day for the intervening period. If a regular Record Date is not a Business Day, the Record Date shall not be affected.</w:t>
      </w:r>
    </w:p>
    <w:p>
      <w:pPr>
        <w:spacing w:after="0" w:line="80" w:lineRule="exact"/>
        <w:rPr>
          <w:sz w:val="20"/>
          <w:szCs w:val="20"/>
          <w:color w:val="auto"/>
        </w:rPr>
      </w:pPr>
    </w:p>
    <w:p>
      <w:pPr>
        <w:ind w:right="6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13.07 </w:t>
      </w:r>
      <w:r>
        <w:rPr>
          <w:rFonts w:ascii="Times New Roman" w:cs="Times New Roman" w:eastAsia="Times New Roman" w:hAnsi="Times New Roman"/>
          <w:sz w:val="12"/>
          <w:szCs w:val="12"/>
          <w:u w:val="single" w:color="auto"/>
          <w:color w:val="auto"/>
        </w:rPr>
        <w:t>GOVERNING LAW; JURISDICTION; SERVICE OF PROCESS</w:t>
      </w:r>
      <w:r>
        <w:rPr>
          <w:rFonts w:ascii="Times New Roman" w:cs="Times New Roman" w:eastAsia="Times New Roman" w:hAnsi="Times New Roman"/>
          <w:sz w:val="12"/>
          <w:szCs w:val="12"/>
          <w:color w:val="auto"/>
        </w:rPr>
        <w:t>. THIS INDENTURE AND THE NOTES SHALL BE GOVERNED BY, AND CONSTRUED IN ACCORDANCE WITH, THE LAWS OF THE STATE OF NEW YORK.</w:t>
      </w:r>
    </w:p>
    <w:p>
      <w:pPr>
        <w:spacing w:after="0" w:line="90" w:lineRule="exact"/>
        <w:rPr>
          <w:sz w:val="20"/>
          <w:szCs w:val="20"/>
          <w:color w:val="auto"/>
        </w:rPr>
      </w:pPr>
    </w:p>
    <w:p>
      <w:pPr>
        <w:jc w:val="both"/>
        <w:ind w:firstLine="457"/>
        <w:spacing w:after="0" w:line="253" w:lineRule="auto"/>
        <w:rPr>
          <w:sz w:val="20"/>
          <w:szCs w:val="20"/>
          <w:color w:val="auto"/>
        </w:rPr>
      </w:pPr>
      <w:r>
        <w:rPr>
          <w:rFonts w:ascii="Times New Roman" w:cs="Times New Roman" w:eastAsia="Times New Roman" w:hAnsi="Times New Roman"/>
          <w:sz w:val="12"/>
          <w:szCs w:val="12"/>
          <w:color w:val="auto"/>
        </w:rPr>
        <w:t xml:space="preserve">Each Issuer and Guarantor irrevocably consents and agrees, for the benefit of the holders from time to time of the Notes, the Trustee and the Notes Collateral Agent, that any legal action, suit or proceeding against it with respect to its obligations, liabilities or any other matter arising out of or in connection with this Indenture, the Notes, the Guarantees or the transactions contemplated hereby may be brought in the courts of the State of New York or the courts of the United States located in the Borough of Manhattan, New York City, New York and, until amounts due and to become due in respect of the Notes have been paid, hereby irrevocably consent and submit to the non-exclusive jurisdiction of each such court </w:t>
      </w:r>
      <w:r>
        <w:rPr>
          <w:rFonts w:ascii="Times New Roman" w:cs="Times New Roman" w:eastAsia="Times New Roman" w:hAnsi="Times New Roman"/>
          <w:sz w:val="12"/>
          <w:szCs w:val="12"/>
          <w:i w:val="1"/>
          <w:iCs w:val="1"/>
          <w:color w:val="auto"/>
        </w:rPr>
        <w:t>in personam</w:t>
      </w:r>
      <w:r>
        <w:rPr>
          <w:rFonts w:ascii="Times New Roman" w:cs="Times New Roman" w:eastAsia="Times New Roman" w:hAnsi="Times New Roman"/>
          <w:sz w:val="12"/>
          <w:szCs w:val="12"/>
          <w:color w:val="auto"/>
        </w:rPr>
        <w:t>, generally and unconditionally with respect to any legal action, suit or proceeding for itself and in respect of its properties, assets and revenues (unless otherwise provided in any Notes Documents that are governed by the federal law of the United States or the law of any state of the United States or the District of Columbia) . The Issuers and the Guarantors irrevocably waive, to the fullest extent permitted by law, any objection to any legal action, suit or proceeding that may be brought in connection with this Indenture, the Notes, the Guarantees or any transactions contemplated hereby, including such legal actions, suits or proceedings relating to securities laws of the United States of America or any state thereof, in such courts whether on the grounds of venue, residence or domicile or on the ground that any such suit, action or proceeding has been brought in an inconvenient forum.</w:t>
      </w:r>
    </w:p>
    <w:p>
      <w:pPr>
        <w:spacing w:after="0" w:line="102"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 xml:space="preserve">The Company and Genmab Holding B.V., Genmab B.V. and Genmab Holding II B.V. (each of Genmab Holding B.V., Genmab B.V. and Genmab Holding II B.V., a “ </w:t>
      </w:r>
      <w:r>
        <w:rPr>
          <w:rFonts w:ascii="Times New Roman" w:cs="Times New Roman" w:eastAsia="Times New Roman" w:hAnsi="Times New Roman"/>
          <w:sz w:val="12"/>
          <w:szCs w:val="12"/>
          <w:u w:val="single" w:color="auto"/>
          <w:color w:val="auto"/>
        </w:rPr>
        <w:t>Dutch Guarantor</w:t>
      </w:r>
      <w:r>
        <w:rPr>
          <w:rFonts w:ascii="Times New Roman" w:cs="Times New Roman" w:eastAsia="Times New Roman" w:hAnsi="Times New Roman"/>
          <w:sz w:val="12"/>
          <w:szCs w:val="12"/>
          <w:color w:val="auto"/>
        </w:rPr>
        <w:t>”) irrevocably appoint Genmab US, Inc. located at 777 Scudders Mill Road, Plainsboro, NJ 08536 as their agent to receive service of process or other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96</w:t>
      </w:r>
    </w:p>
    <w:p>
      <w:pPr>
        <w:sectPr>
          <w:pgSz w:w="11900" w:h="16840" w:orient="portrait"/>
          <w:cols w:equalWidth="0" w:num="1">
            <w:col w:w="10620"/>
          </w:cols>
          <w:pgMar w:left="640" w:top="1440" w:right="640" w:bottom="1440" w:gutter="0" w:footer="0" w:header="0"/>
        </w:sectPr>
      </w:pPr>
    </w:p>
    <w:bookmarkStart w:id="399" w:name="page400"/>
    <w:bookmarkEnd w:id="399"/>
    <w:p>
      <w:pPr>
        <w:spacing w:after="0" w:line="15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2"/>
          <w:szCs w:val="12"/>
          <w:color w:val="auto"/>
        </w:rPr>
        <w:t>legal summons for purposes of any such suit, action or proceeding that may be instituted in any state or federal court in the City and County of New York. The Company and each Dutch Guarantor represents and warrants that such agent has agreed to act as the agent for the Company and the Dutch Guarantors for service of process, and the Company and the Dutch Guarantors agree to take any and all action, including the filing of any and all documents and instruments, that may be necessary to continue such appointment in full force and effect.</w:t>
      </w:r>
    </w:p>
    <w:p>
      <w:pPr>
        <w:spacing w:after="0" w:line="82" w:lineRule="exact"/>
        <w:rPr>
          <w:sz w:val="20"/>
          <w:szCs w:val="20"/>
          <w:color w:val="auto"/>
        </w:rPr>
      </w:pPr>
    </w:p>
    <w:p>
      <w:pPr>
        <w:jc w:val="both"/>
        <w:ind w:right="6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13.08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EACH OF THE ISSUERS, THE GUARANTORS, THE TRUSTEE AND THE NOTES COLLATERAL AGENT HEREBY IRREVOCABLY WAIVES, TO THE FULLEST EXTENT PERMITTED BY APPLICABLE LAW, ANY AND ALL RIGHT TO TRIAL BY JURY IN ANY LEGAL PROCEEDING ARISING OUT OF OR RELATING TO THIS INDENTURE, THE NOTES, THE GUARANTEES OR THE TRANSACTIONS CONTEMPLATED HEREBY.</w:t>
      </w:r>
    </w:p>
    <w:p>
      <w:pPr>
        <w:spacing w:after="0" w:line="88" w:lineRule="exact"/>
        <w:rPr>
          <w:sz w:val="20"/>
          <w:szCs w:val="20"/>
          <w:color w:val="auto"/>
        </w:rPr>
      </w:pPr>
    </w:p>
    <w:p>
      <w:pPr>
        <w:jc w:val="both"/>
        <w:ind w:right="20" w:firstLine="457"/>
        <w:spacing w:after="0" w:line="236" w:lineRule="auto"/>
        <w:rPr>
          <w:sz w:val="20"/>
          <w:szCs w:val="20"/>
          <w:color w:val="auto"/>
        </w:rPr>
      </w:pPr>
      <w:r>
        <w:rPr>
          <w:rFonts w:ascii="Times New Roman" w:cs="Times New Roman" w:eastAsia="Times New Roman" w:hAnsi="Times New Roman"/>
          <w:sz w:val="12"/>
          <w:szCs w:val="12"/>
          <w:color w:val="auto"/>
        </w:rPr>
        <w:t xml:space="preserve">SECTION 13.09 </w:t>
      </w:r>
      <w:r>
        <w:rPr>
          <w:rFonts w:ascii="Times New Roman" w:cs="Times New Roman" w:eastAsia="Times New Roman" w:hAnsi="Times New Roman"/>
          <w:sz w:val="12"/>
          <w:szCs w:val="12"/>
          <w:u w:val="single" w:color="auto"/>
          <w:color w:val="auto"/>
        </w:rPr>
        <w:t>No Recourse Against Others</w:t>
      </w:r>
      <w:r>
        <w:rPr>
          <w:rFonts w:ascii="Times New Roman" w:cs="Times New Roman" w:eastAsia="Times New Roman" w:hAnsi="Times New Roman"/>
          <w:sz w:val="12"/>
          <w:szCs w:val="12"/>
          <w:color w:val="auto"/>
        </w:rPr>
        <w:t>. No director, officer, employee, manager or incorporator of any Issuer or any Guarantor and no holder of any Equity Interests in the Company, as such, will have any liability for any obligations of any Issuer or Guarantor under the Notes, this Indenture or the Guarantees, as applicable, or for any claim based on, in respect of, or by reason of, such obligations or their creation. Each holder of Notes by accepting a Note waives and releases all such liability.</w:t>
      </w:r>
    </w:p>
    <w:p>
      <w:pPr>
        <w:spacing w:after="0" w:line="88" w:lineRule="exact"/>
        <w:rPr>
          <w:sz w:val="20"/>
          <w:szCs w:val="20"/>
          <w:color w:val="auto"/>
        </w:rPr>
      </w:pPr>
    </w:p>
    <w:p>
      <w:pPr>
        <w:ind w:right="4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13.10 </w:t>
      </w:r>
      <w:r>
        <w:rPr>
          <w:rFonts w:ascii="Times New Roman" w:cs="Times New Roman" w:eastAsia="Times New Roman" w:hAnsi="Times New Roman"/>
          <w:sz w:val="12"/>
          <w:szCs w:val="12"/>
          <w:u w:val="single" w:color="auto"/>
          <w:color w:val="auto"/>
        </w:rPr>
        <w:t>Successors</w:t>
      </w:r>
      <w:r>
        <w:rPr>
          <w:rFonts w:ascii="Times New Roman" w:cs="Times New Roman" w:eastAsia="Times New Roman" w:hAnsi="Times New Roman"/>
          <w:sz w:val="12"/>
          <w:szCs w:val="12"/>
          <w:color w:val="auto"/>
        </w:rPr>
        <w:t xml:space="preserve"> . All agreements of the Issuers and the Guarantors in this Indenture, the Notes and the Collateral Documents shall bind such person’s successors. All agreements of the Trustee and the Notes Collateral Agent in this Indenture and, in the case of the Notes Collateral Agent, the Collateral Documents, shall bind their successors.</w:t>
      </w:r>
    </w:p>
    <w:p>
      <w:pPr>
        <w:spacing w:after="0" w:line="80" w:lineRule="exact"/>
        <w:rPr>
          <w:sz w:val="20"/>
          <w:szCs w:val="20"/>
          <w:color w:val="auto"/>
        </w:rPr>
      </w:pPr>
    </w:p>
    <w:p>
      <w:pPr>
        <w:jc w:val="both"/>
        <w:ind w:firstLine="457"/>
        <w:spacing w:after="0" w:line="227" w:lineRule="auto"/>
        <w:rPr>
          <w:sz w:val="20"/>
          <w:szCs w:val="20"/>
          <w:color w:val="auto"/>
        </w:rPr>
      </w:pPr>
      <w:r>
        <w:rPr>
          <w:rFonts w:ascii="Times New Roman" w:cs="Times New Roman" w:eastAsia="Times New Roman" w:hAnsi="Times New Roman"/>
          <w:sz w:val="12"/>
          <w:szCs w:val="12"/>
          <w:color w:val="auto"/>
        </w:rPr>
        <w:t xml:space="preserve">SECTION 13.11 </w:t>
      </w:r>
      <w:r>
        <w:rPr>
          <w:rFonts w:ascii="Times New Roman" w:cs="Times New Roman" w:eastAsia="Times New Roman" w:hAnsi="Times New Roman"/>
          <w:sz w:val="12"/>
          <w:szCs w:val="12"/>
          <w:u w:val="single" w:color="auto"/>
          <w:color w:val="auto"/>
        </w:rPr>
        <w:t>Multiple Originals</w:t>
      </w:r>
      <w:r>
        <w:rPr>
          <w:rFonts w:ascii="Times New Roman" w:cs="Times New Roman" w:eastAsia="Times New Roman" w:hAnsi="Times New Roman"/>
          <w:sz w:val="12"/>
          <w:szCs w:val="12"/>
          <w:color w:val="auto"/>
        </w:rPr>
        <w:t>. The parties may sign any number of copies of this Indenture. Each signed copy shall be an original, but all of them together represent the same agreement. Any signature to this Indenture or any notice, instruction or other communication delivered pursuant to Section 13.01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hereto. Each of the parties represents and warrants to the other parties that it has the corporate capacity and authority to execute this Indenture through electronic means and there are no restrictions for doing so in that party’s constitutive documents.</w:t>
      </w:r>
    </w:p>
    <w:p>
      <w:pPr>
        <w:spacing w:after="0" w:line="90" w:lineRule="exact"/>
        <w:rPr>
          <w:sz w:val="20"/>
          <w:szCs w:val="20"/>
          <w:color w:val="auto"/>
        </w:rPr>
      </w:pPr>
    </w:p>
    <w:p>
      <w:pPr>
        <w:ind w:right="4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13.12 </w:t>
      </w:r>
      <w:r>
        <w:rPr>
          <w:rFonts w:ascii="Times New Roman" w:cs="Times New Roman" w:eastAsia="Times New Roman" w:hAnsi="Times New Roman"/>
          <w:sz w:val="12"/>
          <w:szCs w:val="12"/>
          <w:u w:val="single" w:color="auto"/>
          <w:color w:val="auto"/>
        </w:rPr>
        <w:t>Table of Contents; Headings</w:t>
      </w:r>
      <w:r>
        <w:rPr>
          <w:rFonts w:ascii="Times New Roman" w:cs="Times New Roman" w:eastAsia="Times New Roman" w:hAnsi="Times New Roman"/>
          <w:sz w:val="12"/>
          <w:szCs w:val="12"/>
          <w:color w:val="auto"/>
        </w:rPr>
        <w:t>. The table of contents, cross- reference sheet and headings of the Articles and Sections of this Indenture have been inserted for convenience of reference only, are not intended to be considered a part hereof and shall not modify or restrict any of the terms or provisions hereof.</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13.13 </w:t>
      </w:r>
      <w:r>
        <w:rPr>
          <w:rFonts w:ascii="Times New Roman" w:cs="Times New Roman" w:eastAsia="Times New Roman" w:hAnsi="Times New Roman"/>
          <w:sz w:val="12"/>
          <w:szCs w:val="12"/>
          <w:u w:val="single" w:color="auto"/>
          <w:color w:val="auto"/>
        </w:rPr>
        <w:t>Indenture Controls</w:t>
      </w:r>
      <w:r>
        <w:rPr>
          <w:rFonts w:ascii="Times New Roman" w:cs="Times New Roman" w:eastAsia="Times New Roman" w:hAnsi="Times New Roman"/>
          <w:sz w:val="12"/>
          <w:szCs w:val="12"/>
          <w:color w:val="auto"/>
        </w:rPr>
        <w:t>. If and to the extent that any provision of the Notes limits, qualifies or conflicts with a provision of this Indenture, such provision of this Indenture shall control.</w:t>
      </w:r>
    </w:p>
    <w:p>
      <w:pPr>
        <w:spacing w:after="0" w:line="109" w:lineRule="exact"/>
        <w:rPr>
          <w:sz w:val="20"/>
          <w:szCs w:val="20"/>
          <w:color w:val="auto"/>
        </w:rPr>
      </w:pPr>
    </w:p>
    <w:p>
      <w:pPr>
        <w:jc w:val="both"/>
        <w:ind w:right="20" w:firstLine="457"/>
        <w:spacing w:after="0" w:line="253" w:lineRule="auto"/>
        <w:rPr>
          <w:sz w:val="20"/>
          <w:szCs w:val="20"/>
          <w:color w:val="auto"/>
        </w:rPr>
      </w:pPr>
      <w:r>
        <w:rPr>
          <w:rFonts w:ascii="Times New Roman" w:cs="Times New Roman" w:eastAsia="Times New Roman" w:hAnsi="Times New Roman"/>
          <w:sz w:val="12"/>
          <w:szCs w:val="12"/>
          <w:color w:val="auto"/>
        </w:rPr>
        <w:t xml:space="preserve">SECTION 13.14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In case a court of competent jurisdiction declares any provision in this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80" w:lineRule="exact"/>
        <w:rPr>
          <w:sz w:val="20"/>
          <w:szCs w:val="20"/>
          <w:color w:val="auto"/>
        </w:rPr>
      </w:pPr>
    </w:p>
    <w:p>
      <w:pPr>
        <w:jc w:val="both"/>
        <w:ind w:firstLine="457"/>
        <w:spacing w:after="0" w:line="231" w:lineRule="auto"/>
        <w:rPr>
          <w:sz w:val="20"/>
          <w:szCs w:val="20"/>
          <w:color w:val="auto"/>
        </w:rPr>
      </w:pPr>
      <w:r>
        <w:rPr>
          <w:rFonts w:ascii="Times New Roman" w:cs="Times New Roman" w:eastAsia="Times New Roman" w:hAnsi="Times New Roman"/>
          <w:sz w:val="12"/>
          <w:szCs w:val="12"/>
          <w:color w:val="auto"/>
        </w:rPr>
        <w:t xml:space="preserve">SECTION 13.15 </w:t>
      </w:r>
      <w:r>
        <w:rPr>
          <w:rFonts w:ascii="Times New Roman" w:cs="Times New Roman" w:eastAsia="Times New Roman" w:hAnsi="Times New Roman"/>
          <w:sz w:val="12"/>
          <w:szCs w:val="12"/>
          <w:u w:val="single" w:color="auto"/>
          <w:color w:val="auto"/>
        </w:rPr>
        <w:t>USA PATRIOT Act</w:t>
      </w:r>
      <w:r>
        <w:rPr>
          <w:rFonts w:ascii="Times New Roman" w:cs="Times New Roman" w:eastAsia="Times New Roman" w:hAnsi="Times New Roman"/>
          <w:sz w:val="12"/>
          <w:szCs w:val="12"/>
          <w:color w:val="auto"/>
        </w:rPr>
        <w:t xml:space="preserve">. In order to comply with the laws, rules, regulations and executive orders in effect from time to time applicable to banking institutions, including those relating to the funding of terrorist activities and money laundering such as Section 326 of the USA PATRIOT Act of the United States (“ </w:t>
      </w:r>
      <w:r>
        <w:rPr>
          <w:rFonts w:ascii="Times New Roman" w:cs="Times New Roman" w:eastAsia="Times New Roman" w:hAnsi="Times New Roman"/>
          <w:sz w:val="12"/>
          <w:szCs w:val="12"/>
          <w:u w:val="single" w:color="auto"/>
          <w:color w:val="auto"/>
        </w:rPr>
        <w:t>Applicable Law</w:t>
      </w:r>
      <w:r>
        <w:rPr>
          <w:rFonts w:ascii="Times New Roman" w:cs="Times New Roman" w:eastAsia="Times New Roman" w:hAnsi="Times New Roman"/>
          <w:sz w:val="12"/>
          <w:szCs w:val="12"/>
          <w:color w:val="auto"/>
        </w:rPr>
        <w:t>”), the Trustee is required to obtain, verify, record and update certain information relating to individuals and entities which maintain a business relationship with the Trustee. Accordingly, each of the parties agree to provide to the Trustee, upon their request from time to time such identifying information and documentation as may be available for such party in order to enable the Trustee to comply with Applicable Law.</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SECTION 13.16 </w:t>
      </w:r>
      <w:r>
        <w:rPr>
          <w:rFonts w:ascii="Times New Roman" w:cs="Times New Roman" w:eastAsia="Times New Roman" w:hAnsi="Times New Roman"/>
          <w:sz w:val="12"/>
          <w:szCs w:val="12"/>
          <w:u w:val="single" w:color="auto"/>
          <w:color w:val="auto"/>
        </w:rPr>
        <w:t>Intercreditor Agreements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right="40" w:firstLine="463"/>
        <w:spacing w:after="0" w:line="231" w:lineRule="auto"/>
        <w:tabs>
          <w:tab w:leader="none" w:pos="904" w:val="left"/>
        </w:tabs>
        <w:numPr>
          <w:ilvl w:val="0"/>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holder, by its acceptance of a Note, (a) agrees that it will be bound by and will take no actions contrary to the provisions of the Equal Priority Intercreditor Agreement and (b) authorizes and instructs the Trustee and the Notes Collateral Agent, as applicable, to enter into (x) the Equal Priority Intercreditor Agreement on the Initial Tender Offer Closing Date and (y) the Junior Priority Intercreditor Agreement or any Acceptable Junior Priority Intercreditor Agreement, if applicable, after the Issue Date in accordance with Section 11.02, in each case as Trustee and as Notes Collateral Agent, as the case may be, and on behalf of such holder. The foregoing provisions as they relate to the Equal Priority Intercreditor Agreement are intended as an inducement to the lenders under the New</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97</w:t>
      </w:r>
    </w:p>
    <w:p>
      <w:pPr>
        <w:sectPr>
          <w:pgSz w:w="11900" w:h="16840" w:orient="portrait"/>
          <w:cols w:equalWidth="0" w:num="1">
            <w:col w:w="10620"/>
          </w:cols>
          <w:pgMar w:left="640" w:top="1440" w:right="640" w:bottom="1440" w:gutter="0" w:footer="0" w:header="0"/>
        </w:sectPr>
      </w:pPr>
    </w:p>
    <w:bookmarkStart w:id="400" w:name="page401"/>
    <w:bookmarkEnd w:id="400"/>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Secured Credit Facilities to extend credit and such lenders are intended third party beneficiaries of such provisions and the provisions of the Equal Priority Intercreditor Agreement.</w:t>
      </w:r>
    </w:p>
    <w:p>
      <w:pPr>
        <w:spacing w:after="0" w:line="109" w:lineRule="exact"/>
        <w:rPr>
          <w:sz w:val="20"/>
          <w:szCs w:val="20"/>
          <w:color w:val="auto"/>
        </w:rPr>
      </w:pPr>
    </w:p>
    <w:p>
      <w:pPr>
        <w:ind w:firstLine="463"/>
        <w:spacing w:after="0"/>
        <w:tabs>
          <w:tab w:leader="none" w:pos="904"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 IS MADE TO THE EQUAL PRIORITY INTERCREDITOR AGREEMENT AND EACH OTHER INTERCREDITOR AGREEMENT (IF ANY). EACH OF THE TRUSTEE, THE NOTES COLLATERAL AGENT AND EACH HOLDER AGREES THAT IT WILL BE BOUND BY AND WILL TAKE NO ACTIONS CONTRARY TO THE PROVISIONS OF THE EQUAL PRIORITY INTERCREDITOR AGREEMENT AND ANY OTHER INTERCREDITOR AGREEMENT. THE PROVISIONS OF THIS SECTION 13.16(b) ARE NOT INTENDED TO SUMMARIZE ALL RELEVANT PROVISIONS OF THE EQUAL PRIORITY INTERCREDITOR AGREEMENT OR ANY OTHER INTERCREDITOR AGREEMENT. REFERENCE MUST BE MADE TO THE EQUAL PRIORITY INTERCREDITOR AGREEMENT AND SUCH OTHER INTERCREDITOR AGREEMENT TO UNDERSTAND ALL TERMS AND CONDITIONS THEREOF. EACH HOLDER IS RESPONSIBLE FOR MAKING ITS OWN ANALYSIS AND REVIEW OF THE EQUAL PRIORITY INTERCREDITOR AGREEMENT AND ANY SUCH OTHER INTERCREDITOR AGREEMENT AND THE TERMS AND PROVISIONS THEREOF, AND NONE OF THE TRUSTEE, THE NOTES COLLATERAL AGENT OR ANY OF THEIR RESPECTIVE AFFILIATES MAKES ANY REPRESENTATION TO ANY HOLDER AS TO THE SUFFICIENCY OR ADVISABILITY OF THE PROVISIONS CONTAINED IN THE EQUAL PRIORITY INTERCREDITOR AGREEMENT OR ANY OTHER INTERCREDITOR AGREEMENT.</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98</w:t>
      </w:r>
    </w:p>
    <w:p>
      <w:pPr>
        <w:sectPr>
          <w:pgSz w:w="11900" w:h="16840" w:orient="portrait"/>
          <w:cols w:equalWidth="0" w:num="1">
            <w:col w:w="10560"/>
          </w:cols>
          <w:pgMar w:left="640" w:top="1440" w:right="700" w:bottom="1440" w:gutter="0" w:footer="0" w:header="0"/>
        </w:sectPr>
      </w:pPr>
    </w:p>
    <w:bookmarkStart w:id="401" w:name="page402"/>
    <w:bookmarkEnd w:id="401"/>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Indenture to be duly executed as of the date first written above.</w:t>
      </w:r>
    </w:p>
    <w:p>
      <w:pPr>
        <w:sectPr>
          <w:pgSz w:w="11900" w:h="16840" w:orient="portrait"/>
          <w:cols w:equalWidth="0" w:num="1">
            <w:col w:w="9240"/>
          </w:cols>
          <w:pgMar w:left="1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b w:val="1"/>
          <w:bCs w:val="1"/>
          <w:color w:val="auto"/>
        </w:rPr>
        <w:t>GENMAB A/S</w:t>
      </w:r>
      <w:r>
        <w:rPr>
          <w:rFonts w:ascii="Times New Roman" w:cs="Times New Roman" w:eastAsia="Times New Roman" w:hAnsi="Times New Roman"/>
          <w:sz w:val="12"/>
          <w:szCs w:val="12"/>
          <w:color w:val="auto"/>
        </w:rPr>
        <w:t>, as Issuer</w:t>
      </w:r>
    </w:p>
    <w:p>
      <w:pPr>
        <w:spacing w:after="0" w:line="226"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/s/ Jan van de Winkel</w:t>
            </w:r>
          </w:p>
        </w:tc>
      </w:tr>
      <w:tr>
        <w:trPr>
          <w:trHeight w:val="151"/>
        </w:trPr>
        <w:tc>
          <w:tcPr>
            <w:tcW w:w="360" w:type="dxa"/>
            <w:vAlign w:val="bottom"/>
          </w:tcPr>
          <w:p>
            <w:pPr>
              <w:spacing w:after="0"/>
              <w:rPr>
                <w:sz w:val="13"/>
                <w:szCs w:val="13"/>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Name: Jan van de Winkel</w:t>
            </w:r>
          </w:p>
        </w:tc>
      </w:tr>
      <w:tr>
        <w:trPr>
          <w:trHeight w:val="161"/>
        </w:trPr>
        <w:tc>
          <w:tcPr>
            <w:tcW w:w="360" w:type="dxa"/>
            <w:vAlign w:val="bottom"/>
          </w:tcPr>
          <w:p>
            <w:pPr>
              <w:spacing w:after="0"/>
              <w:rPr>
                <w:sz w:val="14"/>
                <w:szCs w:val="14"/>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Title: President &amp; Chief Executive Officer</w:t>
            </w:r>
          </w:p>
        </w:tc>
      </w:tr>
      <w:tr>
        <w:trPr>
          <w:trHeight w:val="42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Anthony Pagano</w:t>
            </w:r>
          </w:p>
        </w:tc>
      </w:tr>
      <w:tr>
        <w:trPr>
          <w:trHeight w:val="151"/>
        </w:trPr>
        <w:tc>
          <w:tcPr>
            <w:tcW w:w="360" w:type="dxa"/>
            <w:vAlign w:val="bottom"/>
          </w:tcPr>
          <w:p>
            <w:pPr>
              <w:spacing w:after="0"/>
              <w:rPr>
                <w:sz w:val="13"/>
                <w:szCs w:val="13"/>
                <w:color w:val="auto"/>
              </w:rPr>
            </w:pPr>
          </w:p>
        </w:tc>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Name: Anthony Pagano</w:t>
            </w:r>
          </w:p>
        </w:tc>
        <w:tc>
          <w:tcPr>
            <w:tcW w:w="60" w:type="dxa"/>
            <w:vAlign w:val="bottom"/>
          </w:tcPr>
          <w:p>
            <w:pPr>
              <w:spacing w:after="0"/>
              <w:rPr>
                <w:sz w:val="13"/>
                <w:szCs w:val="13"/>
                <w:color w:val="auto"/>
              </w:rPr>
            </w:pPr>
          </w:p>
        </w:tc>
      </w:tr>
      <w:tr>
        <w:trPr>
          <w:trHeight w:val="125"/>
        </w:trPr>
        <w:tc>
          <w:tcPr>
            <w:tcW w:w="360" w:type="dxa"/>
            <w:vAlign w:val="bottom"/>
          </w:tcPr>
          <w:p>
            <w:pPr>
              <w:spacing w:after="0"/>
              <w:rPr>
                <w:sz w:val="10"/>
                <w:szCs w:val="10"/>
                <w:color w:val="auto"/>
              </w:rPr>
            </w:pPr>
          </w:p>
        </w:tc>
        <w:tc>
          <w:tcPr>
            <w:tcW w:w="250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Title: Executive Vice President &amp; Chief</w:t>
            </w:r>
          </w:p>
        </w:tc>
      </w:tr>
      <w:tr>
        <w:trPr>
          <w:trHeight w:val="160"/>
        </w:trPr>
        <w:tc>
          <w:tcPr>
            <w:tcW w:w="360" w:type="dxa"/>
            <w:vAlign w:val="bottom"/>
          </w:tcPr>
          <w:p>
            <w:pPr>
              <w:spacing w:after="0"/>
              <w:rPr>
                <w:sz w:val="13"/>
                <w:szCs w:val="13"/>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Financial Officer</w:t>
            </w:r>
          </w:p>
        </w:tc>
      </w:tr>
      <w:tr>
        <w:trPr>
          <w:trHeight w:val="419"/>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Greg Mueller</w:t>
            </w:r>
          </w:p>
        </w:tc>
      </w:tr>
      <w:tr>
        <w:trPr>
          <w:trHeight w:val="151"/>
        </w:trPr>
        <w:tc>
          <w:tcPr>
            <w:tcW w:w="360" w:type="dxa"/>
            <w:vAlign w:val="bottom"/>
          </w:tcPr>
          <w:p>
            <w:pPr>
              <w:spacing w:after="0"/>
              <w:rPr>
                <w:sz w:val="13"/>
                <w:szCs w:val="13"/>
                <w:color w:val="auto"/>
              </w:rPr>
            </w:pPr>
          </w:p>
        </w:tc>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Name: Greg Mueller</w:t>
            </w:r>
          </w:p>
        </w:tc>
        <w:tc>
          <w:tcPr>
            <w:tcW w:w="60" w:type="dxa"/>
            <w:vAlign w:val="bottom"/>
          </w:tcPr>
          <w:p>
            <w:pPr>
              <w:spacing w:after="0"/>
              <w:rPr>
                <w:sz w:val="13"/>
                <w:szCs w:val="13"/>
                <w:color w:val="auto"/>
              </w:rPr>
            </w:pPr>
          </w:p>
        </w:tc>
      </w:tr>
      <w:tr>
        <w:trPr>
          <w:trHeight w:val="125"/>
        </w:trPr>
        <w:tc>
          <w:tcPr>
            <w:tcW w:w="360" w:type="dxa"/>
            <w:vAlign w:val="bottom"/>
          </w:tcPr>
          <w:p>
            <w:pPr>
              <w:spacing w:after="0"/>
              <w:rPr>
                <w:sz w:val="10"/>
                <w:szCs w:val="10"/>
                <w:color w:val="auto"/>
              </w:rPr>
            </w:pPr>
          </w:p>
        </w:tc>
        <w:tc>
          <w:tcPr>
            <w:tcW w:w="250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auto"/>
              </w:rPr>
              <w:t>Title: Executive Vice President, General</w:t>
            </w:r>
          </w:p>
        </w:tc>
      </w:tr>
      <w:tr>
        <w:trPr>
          <w:trHeight w:val="160"/>
        </w:trPr>
        <w:tc>
          <w:tcPr>
            <w:tcW w:w="360" w:type="dxa"/>
            <w:vAlign w:val="bottom"/>
          </w:tcPr>
          <w:p>
            <w:pPr>
              <w:spacing w:after="0"/>
              <w:rPr>
                <w:sz w:val="13"/>
                <w:szCs w:val="13"/>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Counsel &amp; Chief Legal Officer</w:t>
            </w:r>
          </w:p>
        </w:tc>
      </w:tr>
    </w:tbl>
    <w:p>
      <w:pPr>
        <w:spacing w:after="0" w:line="200" w:lineRule="exact"/>
        <w:rPr>
          <w:sz w:val="20"/>
          <w:szCs w:val="20"/>
          <w:color w:val="auto"/>
        </w:rPr>
      </w:pPr>
    </w:p>
    <w:p>
      <w:pPr>
        <w:spacing w:after="0" w:line="25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b w:val="1"/>
          <w:bCs w:val="1"/>
          <w:color w:val="auto"/>
        </w:rPr>
        <w:t>GENMAB FINANCE LLC</w:t>
      </w:r>
      <w:r>
        <w:rPr>
          <w:rFonts w:ascii="Times New Roman" w:cs="Times New Roman" w:eastAsia="Times New Roman" w:hAnsi="Times New Roman"/>
          <w:sz w:val="12"/>
          <w:szCs w:val="12"/>
          <w:color w:val="auto"/>
        </w:rPr>
        <w:t>, as Issuer</w:t>
      </w:r>
    </w:p>
    <w:p>
      <w:pPr>
        <w:spacing w:after="0" w:line="226" w:lineRule="exact"/>
        <w:rPr>
          <w:sz w:val="20"/>
          <w:szCs w:val="20"/>
          <w:color w:val="auto"/>
        </w:rPr>
      </w:pPr>
    </w:p>
    <w:p>
      <w:pPr>
        <w:ind w:left="3000"/>
        <w:spacing w:after="0"/>
        <w:tabs>
          <w:tab w:leader="none" w:pos="33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15240</wp:posOffset>
            </wp:positionV>
            <wp:extent cx="157734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Title: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240"/>
          </w:cols>
          <w:pgMar w:left="1220" w:top="1440" w:right="1440" w:bottom="1440" w:gutter="0" w:footer="0" w:header="0"/>
          <w:type w:val="continuous"/>
        </w:sectPr>
      </w:pPr>
    </w:p>
    <w:bookmarkStart w:id="402" w:name="page403"/>
    <w:bookmarkEnd w:id="402"/>
    <w:p>
      <w:pPr>
        <w:spacing w:after="0" w:line="200" w:lineRule="exact"/>
        <w:rPr>
          <w:sz w:val="20"/>
          <w:szCs w:val="20"/>
          <w:color w:val="auto"/>
        </w:rPr>
      </w:pPr>
    </w:p>
    <w:p>
      <w:pPr>
        <w:spacing w:after="0" w:line="36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B.V.</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HOLDING B.V.</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HOLDING II B.V.</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GENMAB US, INC.</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PROFOUNDBIO, INC.</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020"/>
          </w:cols>
          <w:pgMar w:left="1440" w:top="1440" w:right="1440" w:bottom="1440" w:gutter="0" w:footer="0" w:header="0"/>
        </w:sectPr>
      </w:pPr>
    </w:p>
    <w:bookmarkStart w:id="403" w:name="page404"/>
    <w:bookmarkEnd w:id="403"/>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2906395</wp:posOffset>
            </wp:positionH>
            <wp:positionV relativeFrom="page">
              <wp:posOffset>1032510</wp:posOffset>
            </wp:positionV>
            <wp:extent cx="158369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PROFOUNDBIO US CO.</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020"/>
          </w:cols>
          <w:pgMar w:left="1440" w:top="1440" w:right="1440" w:bottom="1440" w:gutter="0" w:footer="0" w:header="0"/>
        </w:sectPr>
      </w:pPr>
    </w:p>
    <w:bookmarkStart w:id="404" w:name="page405"/>
    <w:bookmarkEnd w:id="404"/>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WILMINGTON TRUST, NATIONAL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ASSOCIATION</w:t>
      </w:r>
      <w:r>
        <w:rPr>
          <w:rFonts w:ascii="Times New Roman" w:cs="Times New Roman" w:eastAsia="Times New Roman" w:hAnsi="Times New Roman"/>
          <w:sz w:val="12"/>
          <w:szCs w:val="12"/>
          <w:color w:val="auto"/>
        </w:rPr>
        <w:t>, not in its individual capacity, but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solely as Trustee</w:t>
      </w:r>
    </w:p>
    <w:p>
      <w:pPr>
        <w:spacing w:after="0" w:line="210"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15240</wp:posOffset>
            </wp:positionV>
            <wp:extent cx="158369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Latoya S. Elvin</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WILMINGTON TRUST, NATIONAL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ASSOCIATION</w:t>
      </w:r>
      <w:r>
        <w:rPr>
          <w:rFonts w:ascii="Times New Roman" w:cs="Times New Roman" w:eastAsia="Times New Roman" w:hAnsi="Times New Roman"/>
          <w:sz w:val="12"/>
          <w:szCs w:val="12"/>
          <w:color w:val="auto"/>
        </w:rPr>
        <w:t>, not in its individual capacity, but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solely as Notes Collateral Agent</w:t>
      </w:r>
    </w:p>
    <w:p>
      <w:pPr>
        <w:spacing w:after="0" w:line="210"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Latoya S. Elvin</w:t>
            </w:r>
          </w:p>
        </w:tc>
      </w:tr>
      <w:tr>
        <w:trPr>
          <w:trHeight w:val="151"/>
        </w:trPr>
        <w:tc>
          <w:tcPr>
            <w:tcW w:w="36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2"/>
                <w:szCs w:val="12"/>
                <w:color w:val="auto"/>
              </w:rPr>
              <w:t>Name: Latoya S. Elvin</w:t>
            </w:r>
          </w:p>
        </w:tc>
      </w:tr>
      <w:tr>
        <w:trPr>
          <w:trHeight w:val="161"/>
        </w:trPr>
        <w:tc>
          <w:tcPr>
            <w:tcW w:w="36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2"/>
                <w:szCs w:val="1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Indenture</w:t>
      </w:r>
      <w:r>
        <w:rPr>
          <w:rFonts w:ascii="Times New Roman" w:cs="Times New Roman" w:eastAsia="Times New Roman" w:hAnsi="Times New Roman"/>
          <w:sz w:val="12"/>
          <w:szCs w:val="12"/>
          <w:color w:val="auto"/>
        </w:rPr>
        <w:t>]</w:t>
      </w:r>
    </w:p>
    <w:p>
      <w:pPr>
        <w:sectPr>
          <w:pgSz w:w="11900" w:h="16840" w:orient="portrait"/>
          <w:cols w:equalWidth="0" w:num="1">
            <w:col w:w="9020"/>
          </w:cols>
          <w:pgMar w:left="1440" w:top="1440" w:right="1440" w:bottom="1440" w:gutter="0" w:footer="0" w:header="0"/>
        </w:sectPr>
      </w:pPr>
    </w:p>
    <w:bookmarkStart w:id="405" w:name="page406"/>
    <w:bookmarkEnd w:id="405"/>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PROVISIONS RELATING TO INITIAL NOTES AND ADDITIONAL NOTES</w:t>
      </w:r>
    </w:p>
    <w:p>
      <w:pPr>
        <w:spacing w:after="0" w:line="119" w:lineRule="exact"/>
        <w:rPr>
          <w:sz w:val="20"/>
          <w:szCs w:val="20"/>
          <w:color w:val="auto"/>
        </w:rPr>
      </w:pPr>
    </w:p>
    <w:p>
      <w:pPr>
        <w:ind w:left="460" w:hanging="454"/>
        <w:spacing w:after="0"/>
        <w:tabs>
          <w:tab w:leader="none" w:pos="460" w:val="left"/>
        </w:tabs>
        <w:numPr>
          <w:ilvl w:val="0"/>
          <w:numId w:val="3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p>
    <w:p>
      <w:pPr>
        <w:spacing w:after="0" w:line="13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w:t>
      </w:r>
      <w:r>
        <w:rPr>
          <w:rFonts w:ascii="Times New Roman" w:cs="Times New Roman" w:eastAsia="Times New Roman" w:hAnsi="Times New Roman"/>
          <w:sz w:val="12"/>
          <w:szCs w:val="12"/>
          <w:u w:val="single" w:color="auto"/>
          <w:color w:val="auto"/>
        </w:rPr>
        <w:t>Definitions.</w:t>
      </w:r>
    </w:p>
    <w:p>
      <w:pPr>
        <w:spacing w:after="0" w:line="147"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this Appendix A the following terms shall have the meanings indicated below:</w:t>
      </w:r>
    </w:p>
    <w:p>
      <w:pPr>
        <w:spacing w:after="0" w:line="12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Definitive Note</w:t>
      </w:r>
      <w:r>
        <w:rPr>
          <w:rFonts w:ascii="Times New Roman" w:cs="Times New Roman" w:eastAsia="Times New Roman" w:hAnsi="Times New Roman"/>
          <w:sz w:val="12"/>
          <w:szCs w:val="12"/>
          <w:color w:val="auto"/>
        </w:rPr>
        <w:t>” means a certificated Initial Note or Additional Note that does not include the Global Notes Legend.</w:t>
      </w:r>
    </w:p>
    <w:p>
      <w:pPr>
        <w:spacing w:after="0" w:line="12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Global Notes Legend</w:t>
      </w:r>
      <w:r>
        <w:rPr>
          <w:rFonts w:ascii="Times New Roman" w:cs="Times New Roman" w:eastAsia="Times New Roman" w:hAnsi="Times New Roman"/>
          <w:sz w:val="12"/>
          <w:szCs w:val="12"/>
          <w:color w:val="auto"/>
        </w:rPr>
        <w:t>” means the legend set forth under the caption “Global Notes Legend” in Exhibit A to this Indenture.</w:t>
      </w:r>
    </w:p>
    <w:p>
      <w:pPr>
        <w:spacing w:after="0" w:line="128" w:lineRule="exact"/>
        <w:rPr>
          <w:rFonts w:ascii="Times New Roman" w:cs="Times New Roman" w:eastAsia="Times New Roman" w:hAnsi="Times New Roman"/>
          <w:sz w:val="12"/>
          <w:szCs w:val="12"/>
          <w:color w:val="auto"/>
        </w:rPr>
      </w:pPr>
    </w:p>
    <w:p>
      <w:pPr>
        <w:ind w:left="460" w:right="1760"/>
        <w:spacing w:after="0" w:line="4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Notes Custodian</w:t>
      </w:r>
      <w:r>
        <w:rPr>
          <w:rFonts w:ascii="Times New Roman" w:cs="Times New Roman" w:eastAsia="Times New Roman" w:hAnsi="Times New Roman"/>
          <w:sz w:val="12"/>
          <w:szCs w:val="12"/>
          <w:color w:val="auto"/>
        </w:rPr>
        <w:t>” means the custodian with respect to a Global Note (as appointed by the Depository) or any successor person thereto, who shall initially be the Trustee. “</w:t>
      </w:r>
      <w:r>
        <w:rPr>
          <w:rFonts w:ascii="Times New Roman" w:cs="Times New Roman" w:eastAsia="Times New Roman" w:hAnsi="Times New Roman"/>
          <w:sz w:val="12"/>
          <w:szCs w:val="12"/>
          <w:u w:val="single" w:color="auto"/>
          <w:color w:val="auto"/>
        </w:rPr>
        <w:t>QIB</w:t>
      </w:r>
      <w:r>
        <w:rPr>
          <w:rFonts w:ascii="Times New Roman" w:cs="Times New Roman" w:eastAsia="Times New Roman" w:hAnsi="Times New Roman"/>
          <w:sz w:val="12"/>
          <w:szCs w:val="12"/>
          <w:color w:val="auto"/>
        </w:rPr>
        <w:t>” means a “qualified institutional buyer” as defined in Rule 144A.</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Regulation S</w:t>
      </w:r>
      <w:r>
        <w:rPr>
          <w:rFonts w:ascii="Times New Roman" w:cs="Times New Roman" w:eastAsia="Times New Roman" w:hAnsi="Times New Roman"/>
          <w:sz w:val="12"/>
          <w:szCs w:val="12"/>
          <w:color w:val="auto"/>
        </w:rPr>
        <w:t>” means Regulation S under the Securities Act.</w:t>
      </w:r>
    </w:p>
    <w:p>
      <w:pPr>
        <w:spacing w:after="0" w:line="128" w:lineRule="exact"/>
        <w:rPr>
          <w:rFonts w:ascii="Times New Roman" w:cs="Times New Roman" w:eastAsia="Times New Roman" w:hAnsi="Times New Roman"/>
          <w:sz w:val="12"/>
          <w:szCs w:val="12"/>
          <w:color w:val="auto"/>
        </w:rPr>
      </w:pPr>
    </w:p>
    <w:p>
      <w:pPr>
        <w:ind w:left="460" w:right="4760"/>
        <w:spacing w:after="0" w:line="4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Regulation S Notes</w:t>
      </w:r>
      <w:r>
        <w:rPr>
          <w:rFonts w:ascii="Times New Roman" w:cs="Times New Roman" w:eastAsia="Times New Roman" w:hAnsi="Times New Roman"/>
          <w:sz w:val="12"/>
          <w:szCs w:val="12"/>
          <w:color w:val="auto"/>
        </w:rPr>
        <w:t>” means all Notes offered and sold outside the United States in reliance on Regulation S. “</w:t>
      </w:r>
      <w:r>
        <w:rPr>
          <w:rFonts w:ascii="Times New Roman" w:cs="Times New Roman" w:eastAsia="Times New Roman" w:hAnsi="Times New Roman"/>
          <w:sz w:val="12"/>
          <w:szCs w:val="12"/>
          <w:u w:val="single" w:color="auto"/>
          <w:color w:val="auto"/>
        </w:rPr>
        <w:t>Restricted Notes Legend</w:t>
      </w:r>
      <w:r>
        <w:rPr>
          <w:rFonts w:ascii="Times New Roman" w:cs="Times New Roman" w:eastAsia="Times New Roman" w:hAnsi="Times New Roman"/>
          <w:sz w:val="12"/>
          <w:szCs w:val="12"/>
          <w:color w:val="auto"/>
        </w:rPr>
        <w:t>” means the legend set forth in Section 2.2(f)(i) herein.</w:t>
      </w:r>
    </w:p>
    <w:p>
      <w:pPr>
        <w:spacing w:after="0" w:line="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 with respect to any Notes, means the period of 40 consecutive days beginning on and including the later of (a) the day on which such Notes are first offered to persons other than distributors (as defined in Regulation S under the Securities Act) in reliance on Regulation S, and (b) the Issue Date, and with respect to any Additional Notes that are Transfer Restricted Notes, it means the comparable period of 40 consecutive days.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144A</w:t>
      </w:r>
      <w:r>
        <w:rPr>
          <w:rFonts w:ascii="Times New Roman" w:cs="Times New Roman" w:eastAsia="Times New Roman" w:hAnsi="Times New Roman"/>
          <w:sz w:val="12"/>
          <w:szCs w:val="12"/>
          <w:color w:val="auto"/>
        </w:rPr>
        <w:t>” means Rule 144A under the Securities Act.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144A Notes</w:t>
      </w:r>
      <w:r>
        <w:rPr>
          <w:rFonts w:ascii="Times New Roman" w:cs="Times New Roman" w:eastAsia="Times New Roman" w:hAnsi="Times New Roman"/>
          <w:sz w:val="12"/>
          <w:szCs w:val="12"/>
          <w:color w:val="auto"/>
        </w:rPr>
        <w:t>” means all Initial Notes offered and sold to QIBs in reliance on Rule 144A.</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Restricted Definitive Notes</w:t>
      </w:r>
      <w:r>
        <w:rPr>
          <w:rFonts w:ascii="Times New Roman" w:cs="Times New Roman" w:eastAsia="Times New Roman" w:hAnsi="Times New Roman"/>
          <w:sz w:val="12"/>
          <w:szCs w:val="12"/>
          <w:color w:val="auto"/>
        </w:rPr>
        <w:t>” means Definitive Notes that bear or are required to bear or are subject to the Restricted Notes Legend.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Restricted Global Notes</w:t>
      </w:r>
      <w:r>
        <w:rPr>
          <w:rFonts w:ascii="Times New Roman" w:cs="Times New Roman" w:eastAsia="Times New Roman" w:hAnsi="Times New Roman"/>
          <w:sz w:val="12"/>
          <w:szCs w:val="12"/>
          <w:color w:val="auto"/>
        </w:rPr>
        <w:t>” means Global Notes that bear or are required to bear or are subject to the Restricted Notes Legend.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Restricted Notes</w:t>
      </w:r>
      <w:r>
        <w:rPr>
          <w:rFonts w:ascii="Times New Roman" w:cs="Times New Roman" w:eastAsia="Times New Roman" w:hAnsi="Times New Roman"/>
          <w:sz w:val="12"/>
          <w:szCs w:val="12"/>
          <w:color w:val="auto"/>
        </w:rPr>
        <w:t>” means the Transfer Restricted Definitive Notes and Transfer Restricted Global Notes.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Definitive Notes</w:t>
      </w:r>
      <w:r>
        <w:rPr>
          <w:rFonts w:ascii="Times New Roman" w:cs="Times New Roman" w:eastAsia="Times New Roman" w:hAnsi="Times New Roman"/>
          <w:sz w:val="12"/>
          <w:szCs w:val="12"/>
          <w:color w:val="auto"/>
        </w:rPr>
        <w:t>” means Definitive Notes that are not required to bear, or are not subject to, the Restricted Notes Legend.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Unrestricted Global Notes</w:t>
      </w:r>
      <w:r>
        <w:rPr>
          <w:rFonts w:ascii="Times New Roman" w:cs="Times New Roman" w:eastAsia="Times New Roman" w:hAnsi="Times New Roman"/>
          <w:sz w:val="12"/>
          <w:szCs w:val="12"/>
          <w:color w:val="auto"/>
        </w:rPr>
        <w:t>” means Global Notes that are not required to bear, or are not subject to, the Restricted Notes Legend.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1</w:t>
      </w:r>
    </w:p>
    <w:p>
      <w:pPr>
        <w:sectPr>
          <w:pgSz w:w="11900" w:h="16840" w:orient="portrait"/>
          <w:cols w:equalWidth="0" w:num="1">
            <w:col w:w="10620"/>
          </w:cols>
          <w:pgMar w:left="640" w:top="1440" w:right="640" w:bottom="1440" w:gutter="0" w:footer="0" w:header="0"/>
        </w:sectPr>
      </w:pPr>
    </w:p>
    <w:bookmarkStart w:id="406" w:name="page407"/>
    <w:bookmarkEnd w:id="406"/>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46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3"/>
              </w:rPr>
              <w:t>1.2</w:t>
            </w: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Other Definitions.</w:t>
            </w:r>
          </w:p>
        </w:tc>
        <w:tc>
          <w:tcPr>
            <w:tcW w:w="47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49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Term:</w:t>
            </w: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Defined in Section:</w:t>
            </w:r>
          </w:p>
        </w:tc>
      </w:tr>
      <w:tr>
        <w:trPr>
          <w:trHeight w:val="164"/>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Agent Members</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0"/>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Clearstream</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2"/>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Euroclear</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0"/>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Global Notes</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2"/>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Regulation S Global Notes</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0"/>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Regulation S Permanent Global Notes</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82"/>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Regulation S Temporary Global Notes</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2.1(b)</w:t>
            </w:r>
          </w:p>
        </w:tc>
      </w:tr>
      <w:tr>
        <w:trPr>
          <w:trHeight w:val="179"/>
        </w:trPr>
        <w:tc>
          <w:tcPr>
            <w:tcW w:w="460" w:type="dxa"/>
            <w:vAlign w:val="bottom"/>
          </w:tcPr>
          <w:p>
            <w:pPr>
              <w:spacing w:after="0"/>
              <w:rPr>
                <w:sz w:val="15"/>
                <w:szCs w:val="15"/>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Rule 144A Global Notes</w:t>
            </w: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2.1(b)</w:t>
            </w:r>
          </w:p>
        </w:tc>
      </w:tr>
    </w:tbl>
    <w:p>
      <w:pPr>
        <w:spacing w:after="0" w:line="220" w:lineRule="exact"/>
        <w:rPr>
          <w:sz w:val="20"/>
          <w:szCs w:val="20"/>
          <w:color w:val="auto"/>
        </w:rPr>
      </w:pPr>
    </w:p>
    <w:p>
      <w:pPr>
        <w:ind w:left="460" w:hanging="454"/>
        <w:spacing w:after="0"/>
        <w:tabs>
          <w:tab w:leader="none" w:pos="460" w:val="left"/>
        </w:tabs>
        <w:numPr>
          <w:ilvl w:val="0"/>
          <w:numId w:val="4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Notes.</w:t>
      </w:r>
    </w:p>
    <w:p>
      <w:pPr>
        <w:spacing w:after="0" w:line="13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w:t>
      </w:r>
      <w:r>
        <w:rPr>
          <w:rFonts w:ascii="Times New Roman" w:cs="Times New Roman" w:eastAsia="Times New Roman" w:hAnsi="Times New Roman"/>
          <w:sz w:val="12"/>
          <w:szCs w:val="12"/>
          <w:u w:val="single" w:color="auto"/>
          <w:color w:val="auto"/>
        </w:rPr>
        <w:t>Form and Dating; Global Notes.</w:t>
      </w:r>
    </w:p>
    <w:p>
      <w:pPr>
        <w:spacing w:after="0" w:line="138"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1"/>
          <w:numId w:val="4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Notes issued on the date hereof will be (i) privately placed by the Issuers pursuant to the Offering Memorandum and (ii) sold, initially only to (1) QIBs in reliance on Rule 144A and (2) Persons other than U.S. Persons (as defined in Regulation S) in reliance on Regulation S. Such Initial Notes may thereafter be transferred to, among others, QIBs and purchasers in reliance on Regulation S. Additional Notes offered after the date hereof may be offered and sold by the Issuers from time to time pursuant to one or more agreements in accordance with applicable law.</w:t>
      </w:r>
    </w:p>
    <w:p>
      <w:pPr>
        <w:spacing w:after="0" w:line="116" w:lineRule="exact"/>
        <w:rPr>
          <w:rFonts w:ascii="Times New Roman" w:cs="Times New Roman" w:eastAsia="Times New Roman" w:hAnsi="Times New Roman"/>
          <w:sz w:val="12"/>
          <w:szCs w:val="12"/>
          <w:color w:val="auto"/>
        </w:rPr>
      </w:pPr>
    </w:p>
    <w:p>
      <w:pPr>
        <w:ind w:right="400" w:firstLine="463"/>
        <w:spacing w:after="0" w:line="253" w:lineRule="auto"/>
        <w:tabs>
          <w:tab w:leader="none" w:pos="904" w:val="left"/>
        </w:tabs>
        <w:numPr>
          <w:ilvl w:val="1"/>
          <w:numId w:val="4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Global Notes</w:t>
      </w:r>
      <w:r>
        <w:rPr>
          <w:rFonts w:ascii="Times New Roman" w:cs="Times New Roman" w:eastAsia="Times New Roman" w:hAnsi="Times New Roman"/>
          <w:sz w:val="12"/>
          <w:szCs w:val="12"/>
          <w:color w:val="auto"/>
        </w:rPr>
        <w:t>. (i) Except as provided in clause (d) of Section 2.2 below, Rule 144A Notes initially shall be represented by one or more Notes in fully registered, global form without interest coupons (collectively, the “</w:t>
      </w:r>
      <w:r>
        <w:rPr>
          <w:rFonts w:ascii="Times New Roman" w:cs="Times New Roman" w:eastAsia="Times New Roman" w:hAnsi="Times New Roman"/>
          <w:sz w:val="12"/>
          <w:szCs w:val="12"/>
          <w:u w:val="single" w:color="auto"/>
          <w:color w:val="auto"/>
        </w:rPr>
        <w:t>Rule 144A Global Notes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 xml:space="preserve">Regulation S Notes initially shall be represented by one or more Notes in fully registered, global form without interest coupons (collectively, the </w:t>
      </w:r>
      <w:r>
        <w:rPr>
          <w:rFonts w:ascii="Times New Roman" w:cs="Times New Roman" w:eastAsia="Times New Roman" w:hAnsi="Times New Roman"/>
          <w:sz w:val="12"/>
          <w:szCs w:val="12"/>
          <w:u w:val="single" w:color="auto"/>
          <w:color w:val="auto"/>
        </w:rPr>
        <w:t>“Regulation S Temporary Global Note</w:t>
      </w:r>
      <w:r>
        <w:rPr>
          <w:rFonts w:ascii="Times New Roman" w:cs="Times New Roman" w:eastAsia="Times New Roman" w:hAnsi="Times New Roman"/>
          <w:sz w:val="12"/>
          <w:szCs w:val="12"/>
          <w:color w:val="auto"/>
        </w:rPr>
        <w:t>” and, together with the Regulation S Permanent Global Note (defined below), the “</w:t>
      </w:r>
      <w:r>
        <w:rPr>
          <w:rFonts w:ascii="Times New Roman" w:cs="Times New Roman" w:eastAsia="Times New Roman" w:hAnsi="Times New Roman"/>
          <w:sz w:val="12"/>
          <w:szCs w:val="12"/>
          <w:u w:val="single" w:color="auto"/>
          <w:color w:val="auto"/>
        </w:rPr>
        <w:t>Regulation S Global Notes</w:t>
      </w:r>
      <w:r>
        <w:rPr>
          <w:rFonts w:ascii="Times New Roman" w:cs="Times New Roman" w:eastAsia="Times New Roman" w:hAnsi="Times New Roman"/>
          <w:sz w:val="12"/>
          <w:szCs w:val="12"/>
          <w:color w:val="auto"/>
        </w:rPr>
        <w:t>”), which shall be registered in the name of the Depository or the nominee of the Depository for the accounts of designated agents holding on behalf of Euroclear Bank S.A./N.V., as operator of the Euroclear system (“</w:t>
      </w:r>
      <w:r>
        <w:rPr>
          <w:rFonts w:ascii="Times New Roman" w:cs="Times New Roman" w:eastAsia="Times New Roman" w:hAnsi="Times New Roman"/>
          <w:sz w:val="12"/>
          <w:szCs w:val="12"/>
          <w:u w:val="single" w:color="auto"/>
          <w:color w:val="auto"/>
        </w:rPr>
        <w:t>Euroclear</w:t>
      </w:r>
      <w:r>
        <w:rPr>
          <w:rFonts w:ascii="Times New Roman" w:cs="Times New Roman" w:eastAsia="Times New Roman" w:hAnsi="Times New Roman"/>
          <w:sz w:val="12"/>
          <w:szCs w:val="12"/>
          <w:color w:val="auto"/>
        </w:rPr>
        <w:t>”) or Clearstream Banking, Société Anonyme (“</w:t>
      </w:r>
      <w:r>
        <w:rPr>
          <w:rFonts w:ascii="Times New Roman" w:cs="Times New Roman" w:eastAsia="Times New Roman" w:hAnsi="Times New Roman"/>
          <w:sz w:val="12"/>
          <w:szCs w:val="12"/>
          <w:u w:val="single" w:color="auto"/>
          <w:color w:val="auto"/>
        </w:rPr>
        <w:t>Clearstream</w:t>
      </w:r>
      <w:r>
        <w:rPr>
          <w:rFonts w:ascii="Times New Roman" w:cs="Times New Roman" w:eastAsia="Times New Roman" w:hAnsi="Times New Roman"/>
          <w:sz w:val="12"/>
          <w:szCs w:val="12"/>
          <w:color w:val="auto"/>
        </w:rPr>
        <w:t>”).</w:t>
      </w:r>
    </w:p>
    <w:p>
      <w:pPr>
        <w:spacing w:after="0" w:line="91" w:lineRule="exact"/>
        <w:rPr>
          <w:sz w:val="20"/>
          <w:szCs w:val="20"/>
          <w:color w:val="auto"/>
        </w:rPr>
      </w:pPr>
    </w:p>
    <w:p>
      <w:pPr>
        <w:jc w:val="both"/>
        <w:ind w:firstLine="457"/>
        <w:spacing w:after="0" w:line="261" w:lineRule="auto"/>
        <w:rPr>
          <w:sz w:val="20"/>
          <w:szCs w:val="20"/>
          <w:color w:val="auto"/>
        </w:rPr>
      </w:pPr>
      <w:r>
        <w:rPr>
          <w:rFonts w:ascii="Times New Roman" w:cs="Times New Roman" w:eastAsia="Times New Roman" w:hAnsi="Times New Roman"/>
          <w:sz w:val="12"/>
          <w:szCs w:val="12"/>
          <w:color w:val="auto"/>
        </w:rPr>
        <w:t xml:space="preserve">Following the termination of the Restricted Period, beneficial interests in the Regulation S Temporary Global Note shall be exchanged for beneficial interests in a permanent Global Note (the Regulation“ S </w:t>
      </w:r>
      <w:r>
        <w:rPr>
          <w:rFonts w:ascii="Times New Roman" w:cs="Times New Roman" w:eastAsia="Times New Roman" w:hAnsi="Times New Roman"/>
          <w:sz w:val="12"/>
          <w:szCs w:val="12"/>
          <w:u w:val="single" w:color="auto"/>
          <w:color w:val="auto"/>
        </w:rPr>
        <w:t>Permanent Global Note</w:t>
      </w:r>
      <w:r>
        <w:rPr>
          <w:rFonts w:ascii="Times New Roman" w:cs="Times New Roman" w:eastAsia="Times New Roman" w:hAnsi="Times New Roman"/>
          <w:sz w:val="12"/>
          <w:szCs w:val="12"/>
          <w:color w:val="auto"/>
        </w:rPr>
        <w:t>”) pursuant to the applicable procedures of the Depository.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Depository or its nominee, as the case may be, in connection with transfers of interest as hereinafter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-295275</wp:posOffset>
            </wp:positionV>
            <wp:extent cx="41084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5">
                      <a:extLst>
                        <a:ext uri="{28A0092B-C50C-407E-A947-70E740481C1C}"/>
                      </a:extLst>
                    </a:blip>
                    <a:srcRect/>
                    <a:stretch>
                      <a:fillRect/>
                    </a:stretch>
                  </pic:blipFill>
                  <pic:spPr bwMode="auto">
                    <a:xfrm>
                      <a:off x="0" y="0"/>
                      <a:ext cx="410845" cy="6350"/>
                    </a:xfrm>
                    <a:prstGeom prst="rect">
                      <a:avLst/>
                    </a:prstGeom>
                    <a:noFill/>
                  </pic:spPr>
                </pic:pic>
              </a:graphicData>
            </a:graphic>
          </wp:anchor>
        </w:drawing>
      </w:r>
    </w:p>
    <w:p>
      <w:pPr>
        <w:spacing w:after="0" w:line="75"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91"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u w:val="single" w:color="auto"/>
          <w:color w:val="auto"/>
        </w:rPr>
        <w:t>Global Notes</w:t>
      </w:r>
      <w:r>
        <w:rPr>
          <w:rFonts w:ascii="Times New Roman" w:cs="Times New Roman" w:eastAsia="Times New Roman" w:hAnsi="Times New Roman"/>
          <w:sz w:val="12"/>
          <w:szCs w:val="12"/>
          <w:color w:val="auto"/>
        </w:rPr>
        <w:t>” means the Rule 144A Global Notes and the Regulation S Global Notes. The Global Notes shall bear the Global Notes Legend. The Global Notes initially shall (i) be registered in the name of the Depository or the nominee of such Depository, in each case for credit to an account of an Agent Member, (ii) be delivered to the Trustee as custodian for such Depository and (iii) bear the Restricted Notes Legend.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2</w:t>
      </w:r>
    </w:p>
    <w:p>
      <w:pPr>
        <w:sectPr>
          <w:pgSz w:w="11900" w:h="16840" w:orient="portrait"/>
          <w:cols w:equalWidth="0" w:num="1">
            <w:col w:w="10620"/>
          </w:cols>
          <w:pgMar w:left="640" w:top="1440" w:right="640" w:bottom="1440" w:gutter="0" w:footer="0" w:header="0"/>
        </w:sectPr>
      </w:pPr>
    </w:p>
    <w:bookmarkStart w:id="407" w:name="page408"/>
    <w:bookmarkEnd w:id="407"/>
    <w:p>
      <w:pPr>
        <w:spacing w:after="0" w:line="157" w:lineRule="exact"/>
        <w:rPr>
          <w:sz w:val="20"/>
          <w:szCs w:val="20"/>
          <w:color w:val="auto"/>
        </w:rPr>
      </w:pPr>
    </w:p>
    <w:p>
      <w:pPr>
        <w:jc w:val="both"/>
        <w:ind w:right="20" w:firstLine="457"/>
        <w:spacing w:after="0" w:line="287" w:lineRule="auto"/>
        <w:rPr>
          <w:sz w:val="20"/>
          <w:szCs w:val="20"/>
          <w:color w:val="auto"/>
        </w:rPr>
      </w:pPr>
      <w:r>
        <w:rPr>
          <w:rFonts w:ascii="Times New Roman" w:cs="Times New Roman" w:eastAsia="Times New Roman" w:hAnsi="Times New Roman"/>
          <w:sz w:val="12"/>
          <w:szCs w:val="12"/>
          <w:color w:val="auto"/>
        </w:rPr>
        <w:t>Members of, or direct or indirect participants in, the Depository (collectively, the “</w:t>
      </w:r>
      <w:r>
        <w:rPr>
          <w:rFonts w:ascii="Times New Roman" w:cs="Times New Roman" w:eastAsia="Times New Roman" w:hAnsi="Times New Roman"/>
          <w:sz w:val="12"/>
          <w:szCs w:val="12"/>
          <w:u w:val="single" w:color="auto"/>
          <w:color w:val="auto"/>
        </w:rPr>
        <w:t>Agent Members</w:t>
      </w:r>
      <w:r>
        <w:rPr>
          <w:rFonts w:ascii="Times New Roman" w:cs="Times New Roman" w:eastAsia="Times New Roman" w:hAnsi="Times New Roman"/>
          <w:sz w:val="12"/>
          <w:szCs w:val="12"/>
          <w:color w:val="auto"/>
        </w:rPr>
        <w:t>”) shall have no rights under this Indenture with respect to any Global Note held on their behalf by the Depository, or the Trustee as its custodian, or under the Global Notes.</w:t>
      </w:r>
    </w:p>
    <w:p>
      <w:pPr>
        <w:spacing w:after="0" w:line="79"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The Depository may be treated by the Issuers, the Trustee and any agent of the Issuers or the Trustee as the sole owner of the Global Notes for all purposes under the Indenture and the Notes. Notwithstanding the foregoing, nothing herein shall prevent the Issuers, the Trustee or any agent of the Issuers or the Trustee from giving effect to any written certification, proxy or other authorization furnished by the Depository, or impair, as between the Depository and its Agent Members, the operation of customary practices governing the exercise of the rights of a holder of any Note.</w:t>
      </w:r>
    </w:p>
    <w:p>
      <w:pPr>
        <w:spacing w:after="0" w:line="82" w:lineRule="exact"/>
        <w:rPr>
          <w:sz w:val="20"/>
          <w:szCs w:val="20"/>
          <w:color w:val="auto"/>
        </w:rPr>
      </w:pPr>
    </w:p>
    <w:p>
      <w:pPr>
        <w:jc w:val="both"/>
        <w:ind w:left="460" w:right="20" w:firstLine="460"/>
        <w:spacing w:after="0" w:line="220" w:lineRule="auto"/>
        <w:tabs>
          <w:tab w:leader="none" w:pos="1364" w:val="left"/>
        </w:tabs>
        <w:numPr>
          <w:ilvl w:val="1"/>
          <w:numId w:val="4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Transfers of Global Notes shall be limited to transfer in whole, but not in part, to the Depository, its successors or their respective nominees. Interests of beneficial owners in the Global Notes may be transferred or exchanged for Definitive Notes only in accordance with the applicable rules and procedures of the Depository and the provisions of Section 2.2. In addition, a Global Note shall be exchangeable for Definitive Notes if (x) the Depository (1) notifies the Issuers at any time that it is unwilling or unable to continue as depository for such Global Note and a successor depository is not appointed within 90 days or (2) has ceased to be a clearing agency registered under the Exchange Act, or (y) there shall have occurred and be continuing an Event of Default with respect to the Notes and the Depository shall have requested the issuance of Definitive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the Regulation S Temporary Global Note be exchanged by the Issuers for Definitive Notes prior to</w:t>
      </w:r>
    </w:p>
    <w:p>
      <w:pPr>
        <w:jc w:val="both"/>
        <w:ind w:left="460" w:right="20" w:firstLine="3"/>
        <w:spacing w:after="0" w:line="228" w:lineRule="auto"/>
        <w:tabs>
          <w:tab w:leader="none" w:pos="638" w:val="left"/>
        </w:tabs>
        <w:numPr>
          <w:ilvl w:val="0"/>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of the Restricted Period and (y) the receipt by the Registrar of any certificates required pursuant to Rule 903(b)(3)(ii)(B) under the Securities Act. In all cases, Definitive Notes delivered in exchange for any Global Note or beneficial interests therein shall be registered in the names, and issued in any approved denominations, requested by or on behalf of the Depository in accordance with its customary procedures and will bear, in the case of the Rule 144A Global Notes or the Regulation S Global Notes, the restrictive legend required by Section 2.2(f) below.</w:t>
      </w:r>
    </w:p>
    <w:p>
      <w:pPr>
        <w:spacing w:after="0" w:line="116" w:lineRule="exact"/>
        <w:rPr>
          <w:rFonts w:ascii="Times New Roman" w:cs="Times New Roman" w:eastAsia="Times New Roman" w:hAnsi="Times New Roman"/>
          <w:sz w:val="12"/>
          <w:szCs w:val="12"/>
          <w:color w:val="auto"/>
        </w:rPr>
      </w:pPr>
    </w:p>
    <w:p>
      <w:pPr>
        <w:jc w:val="both"/>
        <w:ind w:left="460" w:firstLine="460"/>
        <w:spacing w:after="0" w:line="236" w:lineRule="auto"/>
        <w:tabs>
          <w:tab w:leader="none" w:pos="1364" w:val="left"/>
        </w:tabs>
        <w:numPr>
          <w:ilvl w:val="1"/>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transfer of a Global Note as an entirety to beneficial owners pursuant to subsection (ii) of this Section 2.1(b), such Global Note shall be deemed to be surrendered to the Trustee for cancellation, and the Issuers shall execute, and, upon written order of the Issuers signed by an Officer of each Issuer, the Trustee shall authenticate and make available for delivery, to each beneficial owner identified by the Depository in writing in exchange for its beneficial interest in such Global Note, an equal aggregate principal amount of Definitive Notes of authorized denominations.</w:t>
      </w:r>
    </w:p>
    <w:p>
      <w:pPr>
        <w:spacing w:after="0" w:line="116" w:lineRule="exact"/>
        <w:rPr>
          <w:rFonts w:ascii="Times New Roman" w:cs="Times New Roman" w:eastAsia="Times New Roman" w:hAnsi="Times New Roman"/>
          <w:sz w:val="12"/>
          <w:szCs w:val="12"/>
          <w:color w:val="auto"/>
        </w:rPr>
      </w:pPr>
    </w:p>
    <w:p>
      <w:pPr>
        <w:ind w:left="1360" w:hanging="440"/>
        <w:spacing w:after="0"/>
        <w:tabs>
          <w:tab w:leader="none" w:pos="1360" w:val="left"/>
        </w:tabs>
        <w:numPr>
          <w:ilvl w:val="1"/>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 Restricted Note delivered in exchange for an interest in a Global Note pursuant to Section 2.2 shall, except as otherwise provided in Section 2.2, bear the Restricted Notes</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Legend.</w:t>
      </w:r>
    </w:p>
    <w:p>
      <w:pPr>
        <w:spacing w:after="0" w:line="124"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1"/>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through the Restricted Period, a beneficial interest in a Regulation S Global Note may be held only through Euroclear or Clearstream unless delivery is made in accordance with the applicable provisions of Section 2.2.</w:t>
      </w:r>
    </w:p>
    <w:p>
      <w:pPr>
        <w:spacing w:after="0" w:line="10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09"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u w:val="single" w:color="auto"/>
          <w:color w:val="auto"/>
        </w:rPr>
        <w:t>Transfer and Exchange.</w:t>
      </w:r>
    </w:p>
    <w:p>
      <w:pPr>
        <w:spacing w:after="0" w:line="138" w:lineRule="exact"/>
        <w:rPr>
          <w:sz w:val="20"/>
          <w:szCs w:val="20"/>
          <w:color w:val="auto"/>
        </w:rPr>
      </w:pPr>
    </w:p>
    <w:p>
      <w:pPr>
        <w:jc w:val="both"/>
        <w:ind w:right="20" w:firstLine="463"/>
        <w:spacing w:after="0" w:line="236" w:lineRule="auto"/>
        <w:tabs>
          <w:tab w:leader="none" w:pos="904" w:val="left"/>
        </w:tabs>
        <w:numPr>
          <w:ilvl w:val="0"/>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Global Notes</w:t>
      </w:r>
      <w:r>
        <w:rPr>
          <w:rFonts w:ascii="Times New Roman" w:cs="Times New Roman" w:eastAsia="Times New Roman" w:hAnsi="Times New Roman"/>
          <w:sz w:val="12"/>
          <w:szCs w:val="12"/>
          <w:color w:val="auto"/>
        </w:rPr>
        <w:t>. A Global Note may not be transferred as a whole except as set forth in Section 2.1(b). Global Notes will not be exchanged by the Issuers for Definitive Notes except under the circumstances described in Section 2.1(b)(ii). Global Notes also may be exchanged or replaced, in whole or in part, as provided in Section 2.08 of this Indenture. Beneficial interests in a Global Note may be transferred and exchanged as provided in Section 2.2(b).</w:t>
      </w:r>
    </w:p>
    <w:p>
      <w:pPr>
        <w:spacing w:after="0" w:line="116"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Global Note</w:t>
      </w:r>
      <w:r>
        <w:rPr>
          <w:rFonts w:ascii="Times New Roman" w:cs="Times New Roman" w:eastAsia="Times New Roman" w:hAnsi="Times New Roman"/>
          <w:sz w:val="12"/>
          <w:szCs w:val="12"/>
          <w:color w:val="auto"/>
        </w:rPr>
        <w:t>s. The transfer and exchange of beneficial interests in the Global Notes shall be effected through the Depository, in accordance with the provisions of this Indenture and the applicable rules and procedures of the Depository. Beneficial interests in Transfer Restricted Global Notes shall be subject to restrictions on transfer comparable to those set forth herein. Beneficial interests in Global Notes shall be transferred or exchanged only for beneficial interests in Global Notes. Transfers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3</w:t>
      </w:r>
    </w:p>
    <w:p>
      <w:pPr>
        <w:sectPr>
          <w:pgSz w:w="11900" w:h="16840" w:orient="portrait"/>
          <w:cols w:equalWidth="0" w:num="1">
            <w:col w:w="10620"/>
          </w:cols>
          <w:pgMar w:left="640" w:top="1440" w:right="640" w:bottom="1440" w:gutter="0" w:footer="0" w:header="0"/>
        </w:sectPr>
      </w:pPr>
    </w:p>
    <w:bookmarkStart w:id="408" w:name="page409"/>
    <w:bookmarkEnd w:id="408"/>
    <w:p>
      <w:pPr>
        <w:spacing w:after="0" w:line="14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2"/>
          <w:szCs w:val="12"/>
          <w:color w:val="auto"/>
        </w:rPr>
        <w:t>and exchanges of beneficial interests in the Global Notes also shall require compliance with either subparagraph (i) or (ii) below, as applicable, as well as one or more of the other following subparagraphs, as applicable:</w:t>
      </w:r>
    </w:p>
    <w:p>
      <w:pPr>
        <w:spacing w:after="0" w:line="258" w:lineRule="exact"/>
        <w:rPr>
          <w:sz w:val="20"/>
          <w:szCs w:val="20"/>
          <w:color w:val="auto"/>
        </w:rPr>
      </w:pPr>
    </w:p>
    <w:p>
      <w:pPr>
        <w:jc w:val="both"/>
        <w:ind w:left="460" w:firstLine="460"/>
        <w:spacing w:after="0" w:line="227" w:lineRule="auto"/>
        <w:tabs>
          <w:tab w:leader="none" w:pos="1364"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Beneficial Interests in the Same Global Note</w:t>
      </w:r>
      <w:r>
        <w:rPr>
          <w:rFonts w:ascii="Times New Roman" w:cs="Times New Roman" w:eastAsia="Times New Roman" w:hAnsi="Times New Roman"/>
          <w:sz w:val="12"/>
          <w:szCs w:val="12"/>
          <w:color w:val="auto"/>
        </w:rPr>
        <w:t xml:space="preserve">. Beneficial interests in any Transfer Restricted Global Note may be transferred to Persons who take delivery thereof in the form of a beneficial interest in the same Transfer Restricted Global Note in accordance with the transfer restrictions set forth in the Restricted Notes Legend;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prior to the expiration of the Restricted Period, transfers of beneficial interests in a Regulation S Global Note may not be made to a U.S. Person or for the account or benefit of a U.S. Person.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2.2(b)(i).</w:t>
      </w:r>
    </w:p>
    <w:p>
      <w:pPr>
        <w:spacing w:after="0" w:line="118" w:lineRule="exact"/>
        <w:rPr>
          <w:rFonts w:ascii="Times New Roman" w:cs="Times New Roman" w:eastAsia="Times New Roman" w:hAnsi="Times New Roman"/>
          <w:sz w:val="12"/>
          <w:szCs w:val="12"/>
          <w:color w:val="auto"/>
        </w:rPr>
      </w:pPr>
    </w:p>
    <w:p>
      <w:pPr>
        <w:jc w:val="both"/>
        <w:ind w:left="460" w:firstLine="460"/>
        <w:spacing w:after="0" w:line="225" w:lineRule="auto"/>
        <w:tabs>
          <w:tab w:leader="none" w:pos="1364"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 Other Transfers and Exchanges of Beneficial Interests in Global Note</w:t>
      </w:r>
      <w:r>
        <w:rPr>
          <w:rFonts w:ascii="Times New Roman" w:cs="Times New Roman" w:eastAsia="Times New Roman" w:hAnsi="Times New Roman"/>
          <w:sz w:val="12"/>
          <w:szCs w:val="12"/>
          <w:color w:val="auto"/>
        </w:rPr>
        <w:t>s. In connection with all transfers and exchanges of beneficial interests in any Global Note that is not subject to Section 2.2(b)(i), the transferor of such beneficial interest must deliver to the Registrar (1) a written order from an Agent Member given to the Depository in accordance with the applicable rules and procedures of the Depository directing the Depository to credit or cause to be credited a beneficial interest in another Global Note in an amount equal to the beneficial interest to be transferred or exchanged and (2) instructions given in accordance with the applicable rules and procedures of the Depository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Trustee shall adjust the principal amount of the relevant Global Note pursuant to Section 2.2(g).</w:t>
      </w:r>
    </w:p>
    <w:p>
      <w:pPr>
        <w:spacing w:after="0" w:line="118"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Beneficial Interests to Another Transfer Restricted Global Note</w:t>
      </w:r>
      <w:r>
        <w:rPr>
          <w:rFonts w:ascii="Times New Roman" w:cs="Times New Roman" w:eastAsia="Times New Roman" w:hAnsi="Times New Roman"/>
          <w:sz w:val="12"/>
          <w:szCs w:val="12"/>
          <w:color w:val="auto"/>
        </w:rPr>
        <w:t>. A beneficial interest in a Transfer Restricted Global Note may be transferred to a Person who takes delivery thereof in the form of a beneficial interest in another Transfer Restricted Global Note if the transfer complies with the requirements of Section 2.2(b)(ii) above and the Registrar receives the following:</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62" w:val="left"/>
        </w:tabs>
        <w:numPr>
          <w:ilvl w:val="1"/>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transferee will take delivery in the form of a beneficial interest in a Rule 144A Global Note, then the transferor must deliver a certificate in the form attached to the applicable Note; and</w:t>
      </w:r>
    </w:p>
    <w:p>
      <w:pPr>
        <w:spacing w:after="0" w:line="108" w:lineRule="exact"/>
        <w:rPr>
          <w:rFonts w:ascii="Times New Roman" w:cs="Times New Roman" w:eastAsia="Times New Roman" w:hAnsi="Times New Roman"/>
          <w:sz w:val="12"/>
          <w:szCs w:val="12"/>
          <w:color w:val="auto"/>
        </w:rPr>
      </w:pPr>
    </w:p>
    <w:p>
      <w:pPr>
        <w:ind w:left="1860" w:hanging="483"/>
        <w:spacing w:after="0"/>
        <w:tabs>
          <w:tab w:leader="none" w:pos="1860" w:val="left"/>
        </w:tabs>
        <w:numPr>
          <w:ilvl w:val="1"/>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transferee will take delivery in the form of a beneficial interest in a Regulation S Global Note, then the transferor must deliver a certificate in the form attached to the</w:t>
      </w: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applicable Note.</w:t>
      </w:r>
    </w:p>
    <w:p>
      <w:pPr>
        <w:spacing w:after="0" w:line="134"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A beneficial interest in a Regulation S Global Note to be transferred to a Person who takes delivery in the form of an interest in a Rule 144A Global Note may be made only upon receipt by the Trustee of a written certification from the transferor to the effect that such transfer is being made: (1) to a Person whom the transferor reasonably believes is a QIB in a transaction meeting the requirements of Rule 144A; and (2) in accordance with all applicable securities laws of any state of the United States or any other jurisdiction.</w:t>
      </w:r>
    </w:p>
    <w:p>
      <w:pPr>
        <w:spacing w:after="0" w:line="91"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Beneficial interests in a Rule 144A Global Note may be transferred to a Person who takes delivery in the form of an interest in a Regulation S Global Note, whether before or after the expiration of the Restricted Period, only if the transferor first delivers to the Trustee a written certificate to the effect that such transfer is being made in accordance with Rule 903 or 904 of Regulation S or Rule 144 (if available) and that, if such transfer occurs prior to the expiration of the Restricted Period, the interest transferred will be held immediately thereafter through Euroclear or Clearstream.</w:t>
      </w:r>
    </w:p>
    <w:p>
      <w:pPr>
        <w:spacing w:after="0" w:line="82" w:lineRule="exact"/>
        <w:rPr>
          <w:sz w:val="20"/>
          <w:szCs w:val="20"/>
          <w:color w:val="auto"/>
        </w:rPr>
      </w:pPr>
    </w:p>
    <w:p>
      <w:pPr>
        <w:jc w:val="both"/>
        <w:ind w:left="460" w:firstLine="460"/>
        <w:spacing w:after="0" w:line="236" w:lineRule="auto"/>
        <w:tabs>
          <w:tab w:leader="none" w:pos="1364" w:val="left"/>
        </w:tabs>
        <w:numPr>
          <w:ilvl w:val="0"/>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a Transfer Restricted Global Note for Beneficial Interests in an Unrestricted Global Not</w:t>
      </w:r>
      <w:r>
        <w:rPr>
          <w:rFonts w:ascii="Times New Roman" w:cs="Times New Roman" w:eastAsia="Times New Roman" w:hAnsi="Times New Roman"/>
          <w:sz w:val="12"/>
          <w:szCs w:val="12"/>
          <w:color w:val="auto"/>
        </w:rPr>
        <w:t>.eA beneficial interest in a Transfer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2.2(b)(ii) above and the Registrar receives the following:</w:t>
      </w:r>
    </w:p>
    <w:p>
      <w:pPr>
        <w:spacing w:after="0" w:line="116" w:lineRule="exact"/>
        <w:rPr>
          <w:rFonts w:ascii="Times New Roman" w:cs="Times New Roman" w:eastAsia="Times New Roman" w:hAnsi="Times New Roman"/>
          <w:sz w:val="12"/>
          <w:szCs w:val="12"/>
          <w:color w:val="auto"/>
        </w:rPr>
      </w:pPr>
    </w:p>
    <w:p>
      <w:pPr>
        <w:ind w:left="920" w:firstLine="457"/>
        <w:spacing w:after="0" w:line="253" w:lineRule="auto"/>
        <w:tabs>
          <w:tab w:leader="none" w:pos="1853" w:val="left"/>
        </w:tabs>
        <w:numPr>
          <w:ilvl w:val="1"/>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beneficial interest in a Transfer Restricted Global Note proposes to exchange such beneficial interest for a beneficial interest in an Unrestricted Global Note, a certificate from such holder in the form attached to the applicable Note;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4</w:t>
      </w:r>
    </w:p>
    <w:p>
      <w:pPr>
        <w:sectPr>
          <w:pgSz w:w="11900" w:h="16840" w:orient="portrait"/>
          <w:cols w:equalWidth="0" w:num="1">
            <w:col w:w="10620"/>
          </w:cols>
          <w:pgMar w:left="640" w:top="1440" w:right="640" w:bottom="1440" w:gutter="0" w:footer="0" w:header="0"/>
        </w:sectPr>
      </w:pPr>
    </w:p>
    <w:bookmarkStart w:id="409" w:name="page410"/>
    <w:bookmarkEnd w:id="409"/>
    <w:p>
      <w:pPr>
        <w:spacing w:after="0" w:line="148" w:lineRule="exact"/>
        <w:rPr>
          <w:sz w:val="20"/>
          <w:szCs w:val="20"/>
          <w:color w:val="auto"/>
        </w:rPr>
      </w:pPr>
    </w:p>
    <w:p>
      <w:pPr>
        <w:jc w:val="both"/>
        <w:ind w:left="920" w:firstLine="457"/>
        <w:spacing w:after="0" w:line="224" w:lineRule="auto"/>
        <w:tabs>
          <w:tab w:leader="none" w:pos="1853" w:val="left"/>
        </w:tabs>
        <w:numPr>
          <w:ilvl w:val="2"/>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beneficial interest in a Transfer Restricted Global Note proposes to transfer such beneficial interest to a Person who shall take delivery thereof in the form of a beneficial interest in an Unrestricted Global Note, a certificate from such holder in the form attached to the applicable Note, and, in each such case, if the Issuers or the Registrar so request or if the applicable rules and procedures of the Depository so require, an Opinion of Counsel in form reasonably acceptable to the Issuers and the Registrar to the effect that such exchange or transfer is in compliance with the Securities Act and that the restrictions on transfer contained herein and in the Restricted Notes Legend are no longer required in order to maintain compliance with the Securities Act. If any such transfer or exchange is effected pursuant to this subparagraph (iv) at a time when an Unrestricted Global Note has not yet been issued, the Issuers shall issue and, upon receipt of an written order of the Issuers in the form of an Officer’s Certificate in accordance with Section 2.01 of the Indenture, the Trustee shall authenticate one or more Unrestricted Global Notes in an aggregate principal amount equal to the aggregate principal amount of beneficial interests transferred or exchanged pursuant to this subparagraph (iv).</w:t>
      </w:r>
    </w:p>
    <w:p>
      <w:pPr>
        <w:spacing w:after="0" w:line="88" w:lineRule="exact"/>
        <w:rPr>
          <w:rFonts w:ascii="Times New Roman" w:cs="Times New Roman" w:eastAsia="Times New Roman" w:hAnsi="Times New Roman"/>
          <w:sz w:val="12"/>
          <w:szCs w:val="12"/>
          <w:color w:val="auto"/>
        </w:rPr>
      </w:pPr>
    </w:p>
    <w:p>
      <w:pPr>
        <w:ind w:left="460" w:firstLine="460"/>
        <w:spacing w:after="0" w:line="253" w:lineRule="auto"/>
        <w:tabs>
          <w:tab w:leader="none" w:pos="1364" w:val="left"/>
        </w:tabs>
        <w:numPr>
          <w:ilvl w:val="1"/>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an Unrestricted Global Note for Beneficial Interests in a Transfer Restricted Global Not</w:t>
      </w:r>
      <w:r>
        <w:rPr>
          <w:rFonts w:ascii="Times New Roman" w:cs="Times New Roman" w:eastAsia="Times New Roman" w:hAnsi="Times New Roman"/>
          <w:sz w:val="12"/>
          <w:szCs w:val="12"/>
          <w:color w:val="auto"/>
        </w:rPr>
        <w:t>.eBeneficial interests in an Unrestricted Global Note cannot be exchanged for, or transferred to Persons who take delivery thereof in the form of, a beneficial interest in a Transfer Restricted Global Note.</w:t>
      </w:r>
    </w:p>
    <w:p>
      <w:pPr>
        <w:spacing w:after="0" w:line="108" w:lineRule="exact"/>
        <w:rPr>
          <w:rFonts w:ascii="Times New Roman" w:cs="Times New Roman" w:eastAsia="Times New Roman" w:hAnsi="Times New Roman"/>
          <w:sz w:val="12"/>
          <w:szCs w:val="12"/>
          <w:color w:val="auto"/>
        </w:rPr>
      </w:pPr>
    </w:p>
    <w:p>
      <w:pPr>
        <w:jc w:val="both"/>
        <w:ind w:right="20" w:firstLine="463"/>
        <w:spacing w:after="0" w:line="236" w:lineRule="auto"/>
        <w:tabs>
          <w:tab w:leader="none" w:pos="904"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Beneficial Interests in Global Notes for Definitive Note</w:t>
      </w:r>
      <w:r>
        <w:rPr>
          <w:rFonts w:ascii="Times New Roman" w:cs="Times New Roman" w:eastAsia="Times New Roman" w:hAnsi="Times New Roman"/>
          <w:sz w:val="12"/>
          <w:szCs w:val="12"/>
          <w:color w:val="auto"/>
        </w:rPr>
        <w:t>s. A beneficial interest in a Global Note may not be exchanged for a Definitive Note except under the circumstances described in Section 2.1(b)(ii). A beneficial interest in a Global Note may not be transferred to a Person who takes delivery thereof in the form of a Definitive Note except under the circumstances described in Section 2.1(b)(ii). In any case, beneficial interests in Global Notes shall be transferred or exchanged only for Definitive Notes.</w:t>
      </w:r>
    </w:p>
    <w:p>
      <w:pPr>
        <w:spacing w:after="0" w:line="116" w:lineRule="exact"/>
        <w:rPr>
          <w:rFonts w:ascii="Times New Roman" w:cs="Times New Roman" w:eastAsia="Times New Roman" w:hAnsi="Times New Roman"/>
          <w:sz w:val="12"/>
          <w:szCs w:val="12"/>
          <w:color w:val="auto"/>
        </w:rPr>
      </w:pPr>
    </w:p>
    <w:p>
      <w:pPr>
        <w:ind w:right="20" w:firstLine="463"/>
        <w:spacing w:after="0" w:line="253" w:lineRule="auto"/>
        <w:tabs>
          <w:tab w:leader="none" w:pos="904"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Definitive Notes for Beneficial Interests in Global Note</w:t>
      </w:r>
      <w:r>
        <w:rPr>
          <w:rFonts w:ascii="Times New Roman" w:cs="Times New Roman" w:eastAsia="Times New Roman" w:hAnsi="Times New Roman"/>
          <w:sz w:val="12"/>
          <w:szCs w:val="12"/>
          <w:color w:val="auto"/>
        </w:rPr>
        <w:t>s. Transfers and exchanges of Definitive Notes for beneficial interests in the Global Notes also shall require compliance with either subparagraph (i), (ii) or (iii) below, as applicable:</w:t>
      </w:r>
    </w:p>
    <w:p>
      <w:pPr>
        <w:spacing w:after="0" w:line="108"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1"/>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Beneficial Interests in Transfer Restricted Global Note</w:t>
      </w:r>
      <w:r>
        <w:rPr>
          <w:rFonts w:ascii="Times New Roman" w:cs="Times New Roman" w:eastAsia="Times New Roman" w:hAnsi="Times New Roman"/>
          <w:sz w:val="12"/>
          <w:szCs w:val="12"/>
          <w:color w:val="auto"/>
        </w:rPr>
        <w:t>s. If any holder of a Transfer Restricted Definitive Note proposes to exchange such Transfer Restricted Definitive Note for a beneficial interest in a Transfer Restricted Global Note or to transfer such Transfer Restricted Definitive Note to a Person who takes delivery thereof in the form of a beneficial interest in a Transfer Restricted Global Note, then, upon receipt by the Registrar of the following documentation:</w:t>
      </w:r>
    </w:p>
    <w:p>
      <w:pPr>
        <w:spacing w:after="0" w:line="116" w:lineRule="exact"/>
        <w:rPr>
          <w:rFonts w:ascii="Times New Roman" w:cs="Times New Roman" w:eastAsia="Times New Roman" w:hAnsi="Times New Roman"/>
          <w:sz w:val="12"/>
          <w:szCs w:val="12"/>
          <w:color w:val="auto"/>
        </w:rPr>
      </w:pPr>
    </w:p>
    <w:p>
      <w:pPr>
        <w:ind w:left="920" w:firstLine="457"/>
        <w:spacing w:after="0" w:line="253" w:lineRule="auto"/>
        <w:tabs>
          <w:tab w:leader="none" w:pos="1853" w:val="left"/>
        </w:tabs>
        <w:numPr>
          <w:ilvl w:val="2"/>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exchange such Transfer Restricted Note for a beneficial interest in a Transfer Restricted Global Note,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62" w:val="left"/>
        </w:tabs>
        <w:numPr>
          <w:ilvl w:val="2"/>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to a QIB in accordance with Rule 144A under the Securities Act,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2"/>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to a non-U.S. Person in an offshore transaction in accordance with Rule 903 or Rule 904 under the Securities Act,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2"/>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pursuant to an exemption from the registration requirements of the Securities Act in accordance with Rule 144 under the Securities Act, a certificate from such holder in the form attached to the applicable Note;</w:t>
      </w:r>
    </w:p>
    <w:p>
      <w:pPr>
        <w:spacing w:after="0" w:line="108" w:lineRule="exact"/>
        <w:rPr>
          <w:rFonts w:ascii="Times New Roman" w:cs="Times New Roman" w:eastAsia="Times New Roman" w:hAnsi="Times New Roman"/>
          <w:sz w:val="12"/>
          <w:szCs w:val="12"/>
          <w:color w:val="auto"/>
        </w:rPr>
      </w:pPr>
    </w:p>
    <w:p>
      <w:pPr>
        <w:ind w:left="1860" w:hanging="483"/>
        <w:spacing w:after="0"/>
        <w:tabs>
          <w:tab w:leader="none" w:pos="1860" w:val="left"/>
        </w:tabs>
        <w:numPr>
          <w:ilvl w:val="2"/>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or</w:t>
      </w:r>
    </w:p>
    <w:p>
      <w:pPr>
        <w:spacing w:after="0" w:line="13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2"/>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Restricted Definitive Note is being transferred to the Issuers or a Subsidiary thereof, a certificate from such holder in the form attached to the applicable Note; the Trustee shall cancel the Transfer Restricted Definitive Note, and increase or cause to be increased the aggregate principal amount of the appropriate Transfer Restricted Global Note.</w:t>
      </w:r>
    </w:p>
    <w:p>
      <w:pPr>
        <w:spacing w:after="0" w:line="80" w:lineRule="exact"/>
        <w:rPr>
          <w:sz w:val="20"/>
          <w:szCs w:val="20"/>
          <w:color w:val="auto"/>
        </w:rPr>
      </w:pPr>
    </w:p>
    <w:p>
      <w:pPr>
        <w:ind w:left="460" w:right="400" w:firstLine="460"/>
        <w:spacing w:after="0" w:line="253" w:lineRule="auto"/>
        <w:tabs>
          <w:tab w:leader="none" w:pos="1393"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Beneficial Interests in Unrestricted Global Note</w:t>
      </w:r>
      <w:r>
        <w:rPr>
          <w:rFonts w:ascii="Times New Roman" w:cs="Times New Roman" w:eastAsia="Times New Roman" w:hAnsi="Times New Roman"/>
          <w:sz w:val="12"/>
          <w:szCs w:val="12"/>
          <w:color w:val="auto"/>
        </w:rPr>
        <w:t>s. A holder of a Transfer Restricted Definitive Note may exchange such Transfer Restricted Definitive Note for a beneficial interest in an Unrestricted Global Note or transfer such Transfer Restricted Definitive Note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5</w:t>
      </w:r>
    </w:p>
    <w:p>
      <w:pPr>
        <w:sectPr>
          <w:pgSz w:w="11900" w:h="16840" w:orient="portrait"/>
          <w:cols w:equalWidth="0" w:num="1">
            <w:col w:w="10620"/>
          </w:cols>
          <w:pgMar w:left="640" w:top="1440" w:right="640" w:bottom="1440" w:gutter="0" w:footer="0" w:header="0"/>
        </w:sectPr>
      </w:pPr>
    </w:p>
    <w:bookmarkStart w:id="410" w:name="page411"/>
    <w:bookmarkEnd w:id="410"/>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to a Person who takes delivery thereof in the form of a beneficial interest in an Unrestricted Global Note only if the Registrar receives the following:</w:t>
      </w:r>
    </w:p>
    <w:p>
      <w:pPr>
        <w:spacing w:after="0" w:line="138" w:lineRule="exact"/>
        <w:rPr>
          <w:sz w:val="20"/>
          <w:szCs w:val="20"/>
          <w:color w:val="auto"/>
        </w:rPr>
      </w:pPr>
    </w:p>
    <w:p>
      <w:pPr>
        <w:ind w:left="900" w:firstLine="457"/>
        <w:spacing w:after="0" w:line="253" w:lineRule="auto"/>
        <w:tabs>
          <w:tab w:leader="none" w:pos="1833" w:val="left"/>
        </w:tabs>
        <w:numPr>
          <w:ilvl w:val="2"/>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exchange such Transfer Restricted Definitive Note for a beneficial interest in an Unrestricted Global Note, a certificate from such holder in the form attached to the applicable Note; or</w:t>
      </w:r>
    </w:p>
    <w:p>
      <w:pPr>
        <w:spacing w:after="0" w:line="108" w:lineRule="exact"/>
        <w:rPr>
          <w:rFonts w:ascii="Times New Roman" w:cs="Times New Roman" w:eastAsia="Times New Roman" w:hAnsi="Times New Roman"/>
          <w:sz w:val="12"/>
          <w:szCs w:val="12"/>
          <w:color w:val="auto"/>
        </w:rPr>
      </w:pPr>
    </w:p>
    <w:p>
      <w:pPr>
        <w:jc w:val="both"/>
        <w:ind w:left="900" w:firstLine="457"/>
        <w:spacing w:after="0" w:line="223" w:lineRule="auto"/>
        <w:tabs>
          <w:tab w:leader="none" w:pos="1833" w:val="left"/>
        </w:tabs>
        <w:numPr>
          <w:ilvl w:val="2"/>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Notes proposes to transfer such Transfer Restricted Definitive Note to a Person who shall take delivery thereof in the form of a beneficial interest in an Unrestricted Global Note, a certificate from such holder in the form attached to the applicable Note, and, in each such case, if the Issuers or the Registrar so request or if the applicable rules and procedures of the Depository so require, an Opinion of Counsel in form reasonably acceptable to the Issuers and the Registrar to the effect that such exchange or transfer is in compliance with the Securities Act and that the restrictions on transfer contained herein and in the Restricted Notes Legend are no longer required in order to maintain compliance with the Securities Act. Upon satisfaction of the conditions of this subparagraph (ii), the Trustee shall cancel the Transfer Restricted Definitive Notes and increase or cause to be increased the aggregate principal amount of the Unrestricted Global Note. If any such transfer or exchange is effected pursuant to this subparagraph (ii) at a time when an Unrestricted Global Note has not yet been issued, the Issuers shall issue and, upon receipt of an written order of the Issuers in the form of an Officer’s Certificate, the Trustee shall authenticate one or more Unrestricted Global Notes in an aggregate principal amount equal to the aggregate principal amount of Transfer Restricted Notes transferred or exchanged pursuant to this subparagraph (ii).</w:t>
      </w:r>
    </w:p>
    <w:p>
      <w:pPr>
        <w:spacing w:after="0" w:line="87" w:lineRule="exact"/>
        <w:rPr>
          <w:rFonts w:ascii="Times New Roman" w:cs="Times New Roman" w:eastAsia="Times New Roman" w:hAnsi="Times New Roman"/>
          <w:sz w:val="12"/>
          <w:szCs w:val="12"/>
          <w:color w:val="auto"/>
        </w:rPr>
      </w:pPr>
    </w:p>
    <w:p>
      <w:pPr>
        <w:jc w:val="both"/>
        <w:ind w:left="440" w:right="20" w:firstLine="460"/>
        <w:spacing w:after="0" w:line="225" w:lineRule="auto"/>
        <w:tabs>
          <w:tab w:leader="none" w:pos="1344" w:val="left"/>
        </w:tabs>
        <w:numPr>
          <w:ilvl w:val="1"/>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Beneficial Interests in Unrestricted Global Note</w:t>
      </w:r>
      <w:r>
        <w:rPr>
          <w:rFonts w:ascii="Times New Roman" w:cs="Times New Roman" w:eastAsia="Times New Roman" w:hAnsi="Times New Roman"/>
          <w:sz w:val="12"/>
          <w:szCs w:val="12"/>
          <w:color w:val="auto"/>
        </w:rPr>
        <w:t>s. A holder of an Unrestricted Definitive Note may exchange such Unrestricted Definitive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 If any such transfer or exchange is effected pursuant to this subparagraph (iii) at a time when an Unrestricted Global Note has not yet been issued, the Issuers shall issue and, upon receipt of an written order of the Issuers in the form of an Officer’s Certificate, the Trustee shall authenticate one or more Unrestricted Global Notes in an aggregate principal amount equal to the aggregate principal amount of Unrestricted Definitive Notes transferred or exchanged pursuant to this subparagraph (iii).</w:t>
      </w:r>
    </w:p>
    <w:p>
      <w:pPr>
        <w:spacing w:after="0" w:line="118" w:lineRule="exact"/>
        <w:rPr>
          <w:rFonts w:ascii="Times New Roman" w:cs="Times New Roman" w:eastAsia="Times New Roman" w:hAnsi="Times New Roman"/>
          <w:sz w:val="12"/>
          <w:szCs w:val="12"/>
          <w:color w:val="auto"/>
        </w:rPr>
      </w:pPr>
    </w:p>
    <w:p>
      <w:pPr>
        <w:ind w:left="440" w:right="20" w:firstLine="460"/>
        <w:spacing w:after="0" w:line="253" w:lineRule="auto"/>
        <w:tabs>
          <w:tab w:leader="none" w:pos="1344" w:val="left"/>
        </w:tabs>
        <w:numPr>
          <w:ilvl w:val="1"/>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Beneficial Interests in Transfer Restricted Global Note</w:t>
      </w:r>
      <w:r>
        <w:rPr>
          <w:rFonts w:ascii="Times New Roman" w:cs="Times New Roman" w:eastAsia="Times New Roman" w:hAnsi="Times New Roman"/>
          <w:sz w:val="12"/>
          <w:szCs w:val="12"/>
          <w:color w:val="auto"/>
        </w:rPr>
        <w:t>s. An Unrestricted Definitive Note cannot be exchanged for, or transferred to a Person who takes delivery thereof in the form of, a beneficial interest in a Transfer Restricted Global Note.</w:t>
      </w:r>
    </w:p>
    <w:p>
      <w:pPr>
        <w:spacing w:after="0" w:line="108" w:lineRule="exact"/>
        <w:rPr>
          <w:rFonts w:ascii="Times New Roman" w:cs="Times New Roman" w:eastAsia="Times New Roman" w:hAnsi="Times New Roman"/>
          <w:sz w:val="12"/>
          <w:szCs w:val="12"/>
          <w:color w:val="auto"/>
        </w:rPr>
      </w:pPr>
    </w:p>
    <w:p>
      <w:pPr>
        <w:jc w:val="both"/>
        <w:ind w:left="-20" w:right="20" w:firstLine="463"/>
        <w:spacing w:after="0" w:line="231" w:lineRule="auto"/>
        <w:tabs>
          <w:tab w:leader="none" w:pos="884"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Definitive Notes for Definitive Notes</w:t>
      </w:r>
      <w:r>
        <w:rPr>
          <w:rFonts w:ascii="Times New Roman" w:cs="Times New Roman" w:eastAsia="Times New Roman" w:hAnsi="Times New Roman"/>
          <w:sz w:val="12"/>
          <w:szCs w:val="12"/>
          <w:color w:val="auto"/>
        </w:rPr>
        <w:t>. Upon request by a holder of Definitive Notes and such holder’s compliance with the provisions of this Section 2.2(e),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2.2(e).</w:t>
      </w:r>
    </w:p>
    <w:p>
      <w:pPr>
        <w:spacing w:after="0" w:line="115" w:lineRule="exact"/>
        <w:rPr>
          <w:rFonts w:ascii="Times New Roman" w:cs="Times New Roman" w:eastAsia="Times New Roman" w:hAnsi="Times New Roman"/>
          <w:sz w:val="12"/>
          <w:szCs w:val="12"/>
          <w:color w:val="auto"/>
        </w:rPr>
      </w:pPr>
    </w:p>
    <w:p>
      <w:pPr>
        <w:ind w:left="440" w:right="40" w:firstLine="460"/>
        <w:spacing w:after="0" w:line="253" w:lineRule="auto"/>
        <w:tabs>
          <w:tab w:leader="none" w:pos="1344" w:val="left"/>
        </w:tabs>
        <w:numPr>
          <w:ilvl w:val="1"/>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Transfer Restricted Definitive Notes</w:t>
      </w:r>
      <w:r>
        <w:rPr>
          <w:rFonts w:ascii="Times New Roman" w:cs="Times New Roman" w:eastAsia="Times New Roman" w:hAnsi="Times New Roman"/>
          <w:sz w:val="12"/>
          <w:szCs w:val="12"/>
          <w:color w:val="auto"/>
        </w:rPr>
        <w:t>. A Transfer Restricted Note may be transferred to and registered in the name of a Person who takes delivery thereof in the form of a Transfer Restricted Definitive Note if the Registrar receives the following:</w:t>
      </w:r>
    </w:p>
    <w:p>
      <w:pPr>
        <w:spacing w:after="0" w:line="108" w:lineRule="exact"/>
        <w:rPr>
          <w:rFonts w:ascii="Times New Roman" w:cs="Times New Roman" w:eastAsia="Times New Roman" w:hAnsi="Times New Roman"/>
          <w:sz w:val="12"/>
          <w:szCs w:val="12"/>
          <w:color w:val="auto"/>
        </w:rPr>
      </w:pPr>
    </w:p>
    <w:p>
      <w:pPr>
        <w:ind w:left="1840" w:hanging="483"/>
        <w:spacing w:after="0"/>
        <w:tabs>
          <w:tab w:leader="none" w:pos="1840" w:val="left"/>
        </w:tabs>
        <w:numPr>
          <w:ilvl w:val="2"/>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 will be made pursuant to Rule 144A under the Securities Act, then the transferor must deliver a certificate in the form attached to the applicable Note;</w:t>
      </w:r>
    </w:p>
    <w:p>
      <w:pPr>
        <w:spacing w:after="0" w:line="138" w:lineRule="exact"/>
        <w:rPr>
          <w:rFonts w:ascii="Times New Roman" w:cs="Times New Roman" w:eastAsia="Times New Roman" w:hAnsi="Times New Roman"/>
          <w:sz w:val="12"/>
          <w:szCs w:val="12"/>
          <w:color w:val="auto"/>
        </w:rPr>
      </w:pPr>
    </w:p>
    <w:p>
      <w:pPr>
        <w:ind w:left="1840" w:hanging="483"/>
        <w:spacing w:after="0"/>
        <w:tabs>
          <w:tab w:leader="none" w:pos="1840" w:val="left"/>
        </w:tabs>
        <w:numPr>
          <w:ilvl w:val="2"/>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 will be made pursuant to Rule 903 or Rule 904 under the Securities Act, then the transferor must deliver a certificate in the form attached to the applicable Note;</w:t>
      </w:r>
    </w:p>
    <w:p>
      <w:pPr>
        <w:spacing w:after="0" w:line="138" w:lineRule="exact"/>
        <w:rPr>
          <w:rFonts w:ascii="Times New Roman" w:cs="Times New Roman" w:eastAsia="Times New Roman" w:hAnsi="Times New Roman"/>
          <w:sz w:val="12"/>
          <w:szCs w:val="12"/>
          <w:color w:val="auto"/>
        </w:rPr>
      </w:pPr>
    </w:p>
    <w:p>
      <w:pPr>
        <w:ind w:left="900" w:right="40" w:firstLine="457"/>
        <w:spacing w:after="0" w:line="253" w:lineRule="auto"/>
        <w:tabs>
          <w:tab w:leader="none" w:pos="1833" w:val="left"/>
        </w:tabs>
        <w:numPr>
          <w:ilvl w:val="2"/>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 will be made pursuant to an exemption from the registration requirements of the Securities Act in accordance with Rule 144 under the Securities Act, a certificate in the form attached to the applicable Note;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6</w:t>
      </w:r>
    </w:p>
    <w:p>
      <w:pPr>
        <w:sectPr>
          <w:pgSz w:w="11900" w:h="16840" w:orient="portrait"/>
          <w:cols w:equalWidth="0" w:num="1">
            <w:col w:w="10600"/>
          </w:cols>
          <w:pgMar w:left="660" w:top="1440" w:right="640" w:bottom="1440" w:gutter="0" w:footer="0" w:header="0"/>
        </w:sectPr>
      </w:pPr>
    </w:p>
    <w:bookmarkStart w:id="411" w:name="page412"/>
    <w:bookmarkEnd w:id="411"/>
    <w:p>
      <w:pPr>
        <w:spacing w:after="0" w:line="148" w:lineRule="exact"/>
        <w:rPr>
          <w:sz w:val="20"/>
          <w:szCs w:val="20"/>
          <w:color w:val="auto"/>
        </w:rPr>
      </w:pPr>
    </w:p>
    <w:p>
      <w:pPr>
        <w:ind w:left="1860" w:hanging="483"/>
        <w:spacing w:after="0"/>
        <w:tabs>
          <w:tab w:leader="none" w:pos="1860" w:val="left"/>
        </w:tabs>
        <w:numPr>
          <w:ilvl w:val="1"/>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 and</w:t>
      </w:r>
    </w:p>
    <w:p>
      <w:pPr>
        <w:spacing w:after="0" w:line="138" w:lineRule="exact"/>
        <w:rPr>
          <w:rFonts w:ascii="Times New Roman" w:cs="Times New Roman" w:eastAsia="Times New Roman" w:hAnsi="Times New Roman"/>
          <w:sz w:val="12"/>
          <w:szCs w:val="12"/>
          <w:color w:val="auto"/>
        </w:rPr>
      </w:pPr>
    </w:p>
    <w:p>
      <w:pPr>
        <w:ind w:left="1860" w:hanging="483"/>
        <w:spacing w:after="0"/>
        <w:tabs>
          <w:tab w:leader="none" w:pos="1860" w:val="left"/>
        </w:tabs>
        <w:numPr>
          <w:ilvl w:val="1"/>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transfer will be made to the Issuers or a Subsidiary thereof, a certificate in the form attached to the applicable Note.</w:t>
      </w:r>
    </w:p>
    <w:p>
      <w:pPr>
        <w:spacing w:after="0" w:line="13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Restricted Definitive Notes to Unrestricted Definitive Notes</w:t>
      </w:r>
      <w:r>
        <w:rPr>
          <w:rFonts w:ascii="Times New Roman" w:cs="Times New Roman" w:eastAsia="Times New Roman" w:hAnsi="Times New Roman"/>
          <w:sz w:val="12"/>
          <w:szCs w:val="12"/>
          <w:color w:val="auto"/>
        </w:rPr>
        <w:t>. Any Transfer Restricted Definitive Note may be exchanged by the holder thereof for an Unrestricted Definitive Note or transferred to a Person who takes delivery thereof in the form of an Unrestricted Definitive Note if the Registrar receives the following:</w:t>
      </w:r>
    </w:p>
    <w:p>
      <w:pPr>
        <w:spacing w:after="0" w:line="108" w:lineRule="exact"/>
        <w:rPr>
          <w:rFonts w:ascii="Times New Roman" w:cs="Times New Roman" w:eastAsia="Times New Roman" w:hAnsi="Times New Roman"/>
          <w:sz w:val="12"/>
          <w:szCs w:val="12"/>
          <w:color w:val="auto"/>
        </w:rPr>
      </w:pPr>
    </w:p>
    <w:p>
      <w:pPr>
        <w:ind w:left="920" w:right="20" w:firstLine="457"/>
        <w:spacing w:after="0" w:line="253" w:lineRule="auto"/>
        <w:tabs>
          <w:tab w:leader="none" w:pos="1853" w:val="left"/>
        </w:tabs>
        <w:numPr>
          <w:ilvl w:val="1"/>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exchange such Transfer Restricted Definitive Note for an Unrestricted Definitive Note, a certificate from such holder in the form attached to the applicable Note; or</w:t>
      </w:r>
    </w:p>
    <w:p>
      <w:pPr>
        <w:spacing w:after="0" w:line="108" w:lineRule="exact"/>
        <w:rPr>
          <w:rFonts w:ascii="Times New Roman" w:cs="Times New Roman" w:eastAsia="Times New Roman" w:hAnsi="Times New Roman"/>
          <w:sz w:val="12"/>
          <w:szCs w:val="12"/>
          <w:color w:val="auto"/>
        </w:rPr>
      </w:pPr>
    </w:p>
    <w:p>
      <w:pPr>
        <w:jc w:val="both"/>
        <w:ind w:left="920" w:right="20" w:firstLine="457"/>
        <w:spacing w:after="0" w:line="231" w:lineRule="auto"/>
        <w:tabs>
          <w:tab w:leader="none" w:pos="1853" w:val="left"/>
        </w:tabs>
        <w:numPr>
          <w:ilvl w:val="1"/>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of such Transfer Restricted Definitive Note proposes to transfer such Notes to a Person who shall take delivery thereof in the form of an Unrestricted Definitive Note, a certificate from such holder in the form attached to the applicable Note, and, in each such case, if the Issuers or the Registrar so request, an Opinion of Counsel in form reasonably acceptable to the Issuers and the Registrar to the effect that such exchange or transfer is in compliance with the Securities Act and that the restrictions on transfer contained herein and in the Restricted Notes Legend are no longer required in order to maintain compliance with the Securities Act.</w:t>
      </w:r>
    </w:p>
    <w:p>
      <w:pPr>
        <w:spacing w:after="0" w:line="87" w:lineRule="exact"/>
        <w:rPr>
          <w:rFonts w:ascii="Times New Roman" w:cs="Times New Roman" w:eastAsia="Times New Roman" w:hAnsi="Times New Roman"/>
          <w:sz w:val="12"/>
          <w:szCs w:val="12"/>
          <w:color w:val="auto"/>
        </w:rPr>
      </w:pPr>
    </w:p>
    <w:p>
      <w:pPr>
        <w:jc w:val="both"/>
        <w:ind w:left="460" w:right="20" w:firstLine="460"/>
        <w:spacing w:after="0" w:line="236" w:lineRule="auto"/>
        <w:tabs>
          <w:tab w:leader="none" w:pos="1364"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Unrestricted Definitive Notes</w:t>
      </w:r>
      <w:r>
        <w:rPr>
          <w:rFonts w:ascii="Times New Roman" w:cs="Times New Roman" w:eastAsia="Times New Roman" w:hAnsi="Times New Roman"/>
          <w:sz w:val="12"/>
          <w:szCs w:val="12"/>
          <w:color w:val="auto"/>
        </w:rPr>
        <w:t>. A holder of an Unrestricted Definitive Note may transfer such Unrestricted Definitive Notes to a Person who takes delivery thereof in the form of an Unrestricted Definitive Note at any time. Upon receipt of a request to register such a transfer, the Registrar shall register the Unrestricted Definitive Notes pursuant to the instructions from the holder thereof.</w:t>
      </w:r>
    </w:p>
    <w:p>
      <w:pPr>
        <w:spacing w:after="0" w:line="116" w:lineRule="exact"/>
        <w:rPr>
          <w:rFonts w:ascii="Times New Roman" w:cs="Times New Roman" w:eastAsia="Times New Roman" w:hAnsi="Times New Roman"/>
          <w:sz w:val="12"/>
          <w:szCs w:val="12"/>
          <w:color w:val="auto"/>
        </w:rPr>
      </w:pPr>
    </w:p>
    <w:p>
      <w:pPr>
        <w:ind w:left="460" w:right="40" w:firstLine="460"/>
        <w:spacing w:after="0" w:line="253" w:lineRule="auto"/>
        <w:tabs>
          <w:tab w:leader="none" w:pos="1364"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Unrestricted Definitive Notes to Transfer Restricted Definitive Notes</w:t>
      </w:r>
      <w:r>
        <w:rPr>
          <w:rFonts w:ascii="Times New Roman" w:cs="Times New Roman" w:eastAsia="Times New Roman" w:hAnsi="Times New Roman"/>
          <w:sz w:val="12"/>
          <w:szCs w:val="12"/>
          <w:color w:val="auto"/>
        </w:rPr>
        <w:t>. An Unrestricted Definitive Note cannot be exchanged for, or transferred to a Person who takes delivery thereof in the form of, a Transfer Restricted Definitive Note.</w:t>
      </w:r>
    </w:p>
    <w:p>
      <w:pPr>
        <w:spacing w:after="0" w:line="118"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2"/>
          <w:szCs w:val="12"/>
          <w:color w:val="auto"/>
        </w:rPr>
        <w:t>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2.10 of the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spacing w:after="0" w:line="88" w:lineRule="exact"/>
        <w:rPr>
          <w:sz w:val="20"/>
          <w:szCs w:val="20"/>
          <w:color w:val="auto"/>
        </w:rPr>
      </w:pPr>
    </w:p>
    <w:p>
      <w:pPr>
        <w:ind w:left="920" w:hanging="457"/>
        <w:spacing w:after="0"/>
        <w:tabs>
          <w:tab w:leader="none" w:pos="920" w:val="left"/>
        </w:tabs>
        <w:numPr>
          <w:ilvl w:val="0"/>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Legend.</w:t>
      </w:r>
    </w:p>
    <w:p>
      <w:pPr>
        <w:spacing w:after="0" w:line="138" w:lineRule="exact"/>
        <w:rPr>
          <w:rFonts w:ascii="Times New Roman" w:cs="Times New Roman" w:eastAsia="Times New Roman" w:hAnsi="Times New Roman"/>
          <w:sz w:val="12"/>
          <w:szCs w:val="12"/>
          <w:color w:val="auto"/>
        </w:rPr>
      </w:pPr>
    </w:p>
    <w:p>
      <w:pPr>
        <w:ind w:left="460" w:right="20" w:firstLine="460"/>
        <w:spacing w:after="0" w:line="253" w:lineRule="auto"/>
        <w:tabs>
          <w:tab w:leader="none" w:pos="1364" w:val="left"/>
        </w:tabs>
        <w:numPr>
          <w:ilvl w:val="1"/>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permitted by the following paragraph (iii) or (iv), each Note certificate evidencing the Global Notes and any Definitive Notes (and all Notes issued in exchange therefor or in substitution thereof) shall bear a legend in substantially the following form (each defined term in the legend being defined as such for purposes of the legend only):</w:t>
      </w:r>
    </w:p>
    <w:p>
      <w:pPr>
        <w:spacing w:after="0" w:line="118" w:lineRule="exact"/>
        <w:rPr>
          <w:sz w:val="20"/>
          <w:szCs w:val="20"/>
          <w:color w:val="auto"/>
        </w:rPr>
      </w:pPr>
    </w:p>
    <w:p>
      <w:pPr>
        <w:jc w:val="both"/>
        <w:ind w:left="920" w:right="980"/>
        <w:spacing w:after="0" w:line="267" w:lineRule="auto"/>
        <w:rPr>
          <w:sz w:val="20"/>
          <w:szCs w:val="20"/>
          <w:color w:val="auto"/>
        </w:rPr>
      </w:pPr>
      <w:r>
        <w:rPr>
          <w:rFonts w:ascii="Times New Roman" w:cs="Times New Roman" w:eastAsia="Times New Roman" w:hAnsi="Times New Roman"/>
          <w:sz w:val="12"/>
          <w:szCs w:val="12"/>
          <w:color w:val="auto"/>
        </w:rPr>
        <w:t>“THIS SECURITY HAS NOT BEEN REGISTERED UNDER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7</w:t>
      </w:r>
    </w:p>
    <w:p>
      <w:pPr>
        <w:sectPr>
          <w:pgSz w:w="11900" w:h="16840" w:orient="portrait"/>
          <w:cols w:equalWidth="0" w:num="1">
            <w:col w:w="10620"/>
          </w:cols>
          <w:pgMar w:left="640" w:top="1440" w:right="640" w:bottom="1440" w:gutter="0" w:footer="0" w:header="0"/>
        </w:sectPr>
      </w:pPr>
    </w:p>
    <w:bookmarkStart w:id="412" w:name="page413"/>
    <w:bookmarkEnd w:id="412"/>
    <w:p>
      <w:pPr>
        <w:spacing w:after="0" w:line="157" w:lineRule="exact"/>
        <w:rPr>
          <w:sz w:val="20"/>
          <w:szCs w:val="20"/>
          <w:color w:val="auto"/>
        </w:rPr>
      </w:pPr>
    </w:p>
    <w:p>
      <w:pPr>
        <w:ind w:left="120" w:right="140"/>
        <w:spacing w:after="0" w:line="250" w:lineRule="auto"/>
        <w:rPr>
          <w:sz w:val="20"/>
          <w:szCs w:val="20"/>
          <w:color w:val="auto"/>
        </w:rPr>
      </w:pPr>
      <w:r>
        <w:rPr>
          <w:rFonts w:ascii="Times New Roman" w:cs="Times New Roman" w:eastAsia="Times New Roman" w:hAnsi="Times New Roman"/>
          <w:sz w:val="12"/>
          <w:szCs w:val="12"/>
          <w:color w:val="auto"/>
        </w:rPr>
        <w:t>OR NOT SUBJECT TO, SUCH REGISTRATION. THE HOLDER OF THIS SECURITY, BY ITS ACCEPTANCE HEREOF, AGREES ON ITS OWN BEHALF AND ON BEHALF OF ANY INVESTOR ACCOUNT FOR WHICH IT HAS PURCHASED SECURITIES, TO OFFER, SELL OR OTHERWISE TRANSFER SUCH SECURITY, PRIOR TO THE DATE (THE “</w:t>
      </w:r>
      <w:r>
        <w:rPr>
          <w:rFonts w:ascii="Times New Roman" w:cs="Times New Roman" w:eastAsia="Times New Roman" w:hAnsi="Times New Roman"/>
          <w:sz w:val="12"/>
          <w:szCs w:val="12"/>
          <w:u w:val="single" w:color="auto"/>
          <w:color w:val="auto"/>
        </w:rPr>
        <w:t>RESALE RESTRICTION TERMINATION DATE</w:t>
      </w:r>
      <w:r>
        <w:rPr>
          <w:rFonts w:ascii="Times New Roman" w:cs="Times New Roman" w:eastAsia="Times New Roman" w:hAnsi="Times New Roman"/>
          <w:sz w:val="12"/>
          <w:szCs w:val="12"/>
          <w:color w:val="auto"/>
        </w:rPr>
        <w:t xml:space="preserve"> ”) THAT IS, IN THE CASE OF RULE 144A NOTES, ONE YEAR AFTER THE LATER OF THE ORIGINAL ISSUE DATE HEREOF, THE ORIGINAL ISSUE DATE OF THE ISSUANCE OF ANY ADDITIONAL NOTES AND THE LAST DATE ON WHICH THE ISSUERS OR ANY AFFILIATE OF THE ISSUERS WAS THE OWNER OF THIS SECURITY (OR ANY PREDECESSOR OF SUCH SECURITY), OR, IN THE CASE OF REGULATION S NOTES, 40 DAYS AFTER THE LATER OF THE ORIGINAL ISSUE DATE HEREOF AND THE DATE ON WHICH THIS SECURITY (OR ANY PREDECESSOR OF SUCH SECURITY) WAS FIRST OFFERED TO PERSONS OTHER THAN DISTRIBUTORS (AS DEFINED IN RULE 902 OF REGULATION S) IN RELIANCE ON REGULATION S, ONLY (A) TO THE ISSUERS OR ANY SUBSIDIARY THEREOF, (B) PURSUANT TO A REGISTRATION STATEMENT THAT HAS BEEN DECLARED EFFECTIVE UNDER THE SECURITIES ACT, (C) FOR SO LONG AS THE SECURITIES ARE ELIGIBLE FOR RESALE PURSUANT TO RULE 144A UNDER THE SECURITIES ACT (“ </w:t>
      </w:r>
      <w:r>
        <w:rPr>
          <w:rFonts w:ascii="Times New Roman" w:cs="Times New Roman" w:eastAsia="Times New Roman" w:hAnsi="Times New Roman"/>
          <w:sz w:val="12"/>
          <w:szCs w:val="12"/>
          <w:u w:val="single" w:color="auto"/>
          <w:color w:val="auto"/>
        </w:rPr>
        <w:t>RULE 144A</w:t>
      </w:r>
      <w:r>
        <w:rPr>
          <w:rFonts w:ascii="Times New Roman" w:cs="Times New Roman" w:eastAsia="Times New Roman" w:hAnsi="Times New Roman"/>
          <w:sz w:val="12"/>
          <w:szCs w:val="12"/>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 U.S. PERSONS THAT OCCUR OUTSIDE THE UNITED STATES WITHIN THE MEANING OF REGULATION S UNDER THE SECURITIES ACT, OR (E) PURSUANT TO ANOTHER AVAILABLE EXEMPTION FROM THE REGISTRATION REQUIREMENTS OF THE SECURITIES ACT, SUBJECT TO THE ISSUERS’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Each Regulation S Note shall bear the following additional legend:</w:t>
      </w:r>
    </w:p>
    <w:p>
      <w:pPr>
        <w:spacing w:after="0" w:line="129" w:lineRule="exact"/>
        <w:rPr>
          <w:sz w:val="20"/>
          <w:szCs w:val="20"/>
          <w:color w:val="auto"/>
        </w:rPr>
      </w:pPr>
    </w:p>
    <w:p>
      <w:pPr>
        <w:jc w:val="both"/>
        <w:ind w:left="120" w:right="180"/>
        <w:spacing w:after="0" w:line="276" w:lineRule="auto"/>
        <w:rPr>
          <w:sz w:val="20"/>
          <w:szCs w:val="20"/>
          <w:color w:val="auto"/>
        </w:rPr>
      </w:pPr>
      <w:r>
        <w:rPr>
          <w:rFonts w:ascii="Times New Roman" w:cs="Times New Roman" w:eastAsia="Times New Roman" w:hAnsi="Times New Roman"/>
          <w:sz w:val="12"/>
          <w:szCs w:val="12"/>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Each Definitive Note shall bear the following additional legend:</w:t>
      </w:r>
    </w:p>
    <w:p>
      <w:pPr>
        <w:spacing w:after="0" w:line="129" w:lineRule="exact"/>
        <w:rPr>
          <w:sz w:val="20"/>
          <w:szCs w:val="20"/>
          <w:color w:val="auto"/>
        </w:rPr>
      </w:pPr>
    </w:p>
    <w:p>
      <w:pPr>
        <w:jc w:val="both"/>
        <w:ind w:left="120" w:right="180"/>
        <w:spacing w:after="0" w:line="267" w:lineRule="auto"/>
        <w:rPr>
          <w:sz w:val="20"/>
          <w:szCs w:val="20"/>
          <w:color w:val="auto"/>
        </w:rPr>
      </w:pPr>
      <w:r>
        <w:rPr>
          <w:rFonts w:ascii="Times New Roman" w:cs="Times New Roman" w:eastAsia="Times New Roman" w:hAnsi="Times New Roman"/>
          <w:sz w:val="12"/>
          <w:szCs w:val="12"/>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8</w:t>
      </w:r>
    </w:p>
    <w:p>
      <w:pPr>
        <w:sectPr>
          <w:pgSz w:w="11900" w:h="16840" w:orient="portrait"/>
          <w:cols w:equalWidth="0" w:num="1">
            <w:col w:w="9020"/>
          </w:cols>
          <w:pgMar w:left="1440" w:top="1440" w:right="1440" w:bottom="1440" w:gutter="0" w:footer="0" w:header="0"/>
        </w:sectPr>
      </w:pPr>
    </w:p>
    <w:bookmarkStart w:id="413" w:name="page414"/>
    <w:bookmarkEnd w:id="413"/>
    <w:p>
      <w:pPr>
        <w:spacing w:after="0" w:line="148" w:lineRule="exact"/>
        <w:rPr>
          <w:sz w:val="20"/>
          <w:szCs w:val="20"/>
          <w:color w:val="auto"/>
        </w:rPr>
      </w:pPr>
    </w:p>
    <w:p>
      <w:pPr>
        <w:jc w:val="both"/>
        <w:ind w:left="440" w:right="20" w:firstLine="460"/>
        <w:spacing w:after="0" w:line="236" w:lineRule="auto"/>
        <w:tabs>
          <w:tab w:leader="none" w:pos="1344" w:val="left"/>
        </w:tabs>
        <w:numPr>
          <w:ilvl w:val="1"/>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any sale or transfer of a Transfer Restricted Definitive Note, the Registrar shall permit the holder thereof to exchange such Transfer Restricted Note for a Definitive Note that does not bear the legends set forth above and rescind any restriction on the transfer of such Transfer Restricted Definitive Note if the holder certifies in writing to the Registrar that its request for such exchange was made in reliance on Rule 144 (such certification to be in the form set forth on the reverse of the Initial Note).</w:t>
      </w:r>
    </w:p>
    <w:p>
      <w:pPr>
        <w:spacing w:after="0" w:line="116" w:lineRule="exact"/>
        <w:rPr>
          <w:rFonts w:ascii="Times New Roman" w:cs="Times New Roman" w:eastAsia="Times New Roman" w:hAnsi="Times New Roman"/>
          <w:sz w:val="12"/>
          <w:szCs w:val="12"/>
          <w:color w:val="auto"/>
        </w:rPr>
      </w:pPr>
    </w:p>
    <w:p>
      <w:pPr>
        <w:ind w:left="440" w:right="20" w:firstLine="460"/>
        <w:spacing w:after="0" w:line="253" w:lineRule="auto"/>
        <w:tabs>
          <w:tab w:leader="none" w:pos="1344" w:val="left"/>
        </w:tabs>
        <w:numPr>
          <w:ilvl w:val="1"/>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a sale or transfer after the expiration of the Restricted Period of any Initial Note acquired pursuant to Regulation S, all requirements that such Initial Note bear the Restricted Notes Legend shall cease to apply and the requirements requiring any such Initial Note be issued in global form shall continue to apply.</w:t>
      </w:r>
    </w:p>
    <w:p>
      <w:pPr>
        <w:spacing w:after="0" w:line="108" w:lineRule="exact"/>
        <w:rPr>
          <w:rFonts w:ascii="Times New Roman" w:cs="Times New Roman" w:eastAsia="Times New Roman" w:hAnsi="Times New Roman"/>
          <w:sz w:val="12"/>
          <w:szCs w:val="12"/>
          <w:color w:val="auto"/>
        </w:rPr>
      </w:pPr>
    </w:p>
    <w:p>
      <w:pPr>
        <w:ind w:left="1340" w:hanging="440"/>
        <w:spacing w:after="0"/>
        <w:tabs>
          <w:tab w:leader="none" w:pos="1340" w:val="left"/>
        </w:tabs>
        <w:numPr>
          <w:ilvl w:val="1"/>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Additional Notes sold in a registered offering shall not be required to bear the Restricted Notes Legend.</w:t>
      </w:r>
    </w:p>
    <w:p>
      <w:pPr>
        <w:spacing w:after="0" w:line="138" w:lineRule="exact"/>
        <w:rPr>
          <w:rFonts w:ascii="Times New Roman" w:cs="Times New Roman" w:eastAsia="Times New Roman" w:hAnsi="Times New Roman"/>
          <w:sz w:val="12"/>
          <w:szCs w:val="12"/>
          <w:color w:val="auto"/>
        </w:rPr>
      </w:pPr>
    </w:p>
    <w:p>
      <w:pPr>
        <w:jc w:val="both"/>
        <w:ind w:left="-20" w:firstLine="463"/>
        <w:spacing w:after="0" w:line="225" w:lineRule="auto"/>
        <w:tabs>
          <w:tab w:leader="none" w:pos="884"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Cancellation or Adjustment of Global Note.</w:t>
      </w:r>
      <w:r>
        <w:rPr>
          <w:rFonts w:ascii="Times New Roman" w:cs="Times New Roman" w:eastAsia="Times New Roman" w:hAnsi="Times New Roman"/>
          <w:sz w:val="12"/>
          <w:szCs w:val="12"/>
          <w:color w:val="auto"/>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2.10 of this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spacing w:after="0" w:line="118" w:lineRule="exact"/>
        <w:rPr>
          <w:rFonts w:ascii="Times New Roman" w:cs="Times New Roman" w:eastAsia="Times New Roman" w:hAnsi="Times New Roman"/>
          <w:sz w:val="12"/>
          <w:szCs w:val="12"/>
          <w:color w:val="auto"/>
        </w:rPr>
      </w:pPr>
    </w:p>
    <w:p>
      <w:pPr>
        <w:ind w:left="900" w:hanging="457"/>
        <w:spacing w:after="0"/>
        <w:tabs>
          <w:tab w:leader="none" w:pos="900"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Obligations with Respect to Transfers and Exchanges of Notes.</w:t>
      </w:r>
    </w:p>
    <w:p>
      <w:pPr>
        <w:spacing w:after="0" w:line="138" w:lineRule="exact"/>
        <w:rPr>
          <w:rFonts w:ascii="Times New Roman" w:cs="Times New Roman" w:eastAsia="Times New Roman" w:hAnsi="Times New Roman"/>
          <w:sz w:val="12"/>
          <w:szCs w:val="12"/>
          <w:color w:val="auto"/>
        </w:rPr>
      </w:pPr>
    </w:p>
    <w:p>
      <w:pPr>
        <w:ind w:left="1340" w:hanging="440"/>
        <w:spacing w:after="0"/>
        <w:tabs>
          <w:tab w:leader="none" w:pos="1340" w:val="left"/>
        </w:tabs>
        <w:numPr>
          <w:ilvl w:val="1"/>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permit registrations of transfers and exchanges, the Issuers shall execute and the Trustee shall authenticate, Definitive Notes and Global Notes at the Registrar’s request.</w:t>
      </w:r>
    </w:p>
    <w:p>
      <w:pPr>
        <w:spacing w:after="0" w:line="138" w:lineRule="exact"/>
        <w:rPr>
          <w:rFonts w:ascii="Times New Roman" w:cs="Times New Roman" w:eastAsia="Times New Roman" w:hAnsi="Times New Roman"/>
          <w:sz w:val="12"/>
          <w:szCs w:val="12"/>
          <w:color w:val="auto"/>
        </w:rPr>
      </w:pPr>
    </w:p>
    <w:p>
      <w:pPr>
        <w:jc w:val="both"/>
        <w:ind w:left="440" w:right="20" w:firstLine="460"/>
        <w:spacing w:after="0" w:line="236" w:lineRule="auto"/>
        <w:tabs>
          <w:tab w:leader="none" w:pos="1344" w:val="left"/>
        </w:tabs>
        <w:numPr>
          <w:ilvl w:val="1"/>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service charge shall be made for any registration of transfer or exchange of Notes, but the Issuers may require payment of a sum sufficient to cover any transfer tax, assessments, or similar governmental charge payable in connection therewith (other than any such transfer taxes, assessments or similar governmental charge payable upon exchanges pursuant to Sections 3.06, 4.06, and 4.08 of this Indenture).</w:t>
      </w:r>
    </w:p>
    <w:p>
      <w:pPr>
        <w:spacing w:after="0" w:line="116" w:lineRule="exact"/>
        <w:rPr>
          <w:rFonts w:ascii="Times New Roman" w:cs="Times New Roman" w:eastAsia="Times New Roman" w:hAnsi="Times New Roman"/>
          <w:sz w:val="12"/>
          <w:szCs w:val="12"/>
          <w:color w:val="auto"/>
        </w:rPr>
      </w:pPr>
    </w:p>
    <w:p>
      <w:pPr>
        <w:jc w:val="both"/>
        <w:ind w:left="440" w:right="20" w:firstLine="460"/>
        <w:spacing w:after="0" w:line="236" w:lineRule="auto"/>
        <w:tabs>
          <w:tab w:leader="none" w:pos="1344" w:val="left"/>
        </w:tabs>
        <w:numPr>
          <w:ilvl w:val="1"/>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due presentation for registration of transfer of any Note, the Issuers, the Trustee, a Paying Agent or the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Issuers, the Trustee, the Paying Agent or the Registrar shall be affected by notice to the contrary.</w:t>
      </w:r>
    </w:p>
    <w:p>
      <w:pPr>
        <w:spacing w:after="0" w:line="116" w:lineRule="exact"/>
        <w:rPr>
          <w:rFonts w:ascii="Times New Roman" w:cs="Times New Roman" w:eastAsia="Times New Roman" w:hAnsi="Times New Roman"/>
          <w:sz w:val="12"/>
          <w:szCs w:val="12"/>
          <w:color w:val="auto"/>
        </w:rPr>
      </w:pPr>
    </w:p>
    <w:p>
      <w:pPr>
        <w:ind w:left="440" w:firstLine="460"/>
        <w:spacing w:after="0" w:line="253" w:lineRule="auto"/>
        <w:tabs>
          <w:tab w:leader="none" w:pos="1344" w:val="left"/>
        </w:tabs>
        <w:numPr>
          <w:ilvl w:val="1"/>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08" w:lineRule="exact"/>
        <w:rPr>
          <w:rFonts w:ascii="Times New Roman" w:cs="Times New Roman" w:eastAsia="Times New Roman" w:hAnsi="Times New Roman"/>
          <w:sz w:val="12"/>
          <w:szCs w:val="12"/>
          <w:color w:val="auto"/>
        </w:rPr>
      </w:pPr>
    </w:p>
    <w:p>
      <w:pPr>
        <w:ind w:left="900" w:hanging="457"/>
        <w:spacing w:after="0"/>
        <w:tabs>
          <w:tab w:leader="none" w:pos="900"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Obligation of the Trustee.</w:t>
      </w:r>
    </w:p>
    <w:p>
      <w:pPr>
        <w:spacing w:after="0" w:line="138" w:lineRule="exact"/>
        <w:rPr>
          <w:rFonts w:ascii="Times New Roman" w:cs="Times New Roman" w:eastAsia="Times New Roman" w:hAnsi="Times New Roman"/>
          <w:sz w:val="12"/>
          <w:szCs w:val="12"/>
          <w:color w:val="auto"/>
        </w:rPr>
      </w:pPr>
    </w:p>
    <w:p>
      <w:pPr>
        <w:jc w:val="both"/>
        <w:ind w:left="440" w:firstLine="460"/>
        <w:spacing w:after="0" w:line="225" w:lineRule="auto"/>
        <w:tabs>
          <w:tab w:leader="none" w:pos="1344" w:val="left"/>
        </w:tabs>
        <w:numPr>
          <w:ilvl w:val="1"/>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have no responsibility or obligation to any beneficial owner of a Global Note, a member of, or a participant in the Depository or any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repurchase) or the payment of any amount, under or with respect to such Notes. All notices and communications to be given to the holders and all payments to be made to the holders under the Notes shall be given or made only to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members, participants and any beneficial owners.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Appendix A - Page 9</w:t>
      </w:r>
    </w:p>
    <w:p>
      <w:pPr>
        <w:sectPr>
          <w:pgSz w:w="11900" w:h="16840" w:orient="portrait"/>
          <w:cols w:equalWidth="0" w:num="1">
            <w:col w:w="10600"/>
          </w:cols>
          <w:pgMar w:left="660" w:top="1440" w:right="640" w:bottom="1440" w:gutter="0" w:footer="0" w:header="0"/>
        </w:sectPr>
      </w:pPr>
    </w:p>
    <w:bookmarkStart w:id="414" w:name="page415"/>
    <w:bookmarkEnd w:id="414"/>
    <w:p>
      <w:pPr>
        <w:spacing w:after="0" w:line="148" w:lineRule="exact"/>
        <w:rPr>
          <w:sz w:val="20"/>
          <w:szCs w:val="20"/>
          <w:color w:val="auto"/>
        </w:rPr>
      </w:pPr>
    </w:p>
    <w:p>
      <w:pPr>
        <w:jc w:val="both"/>
        <w:ind w:left="460" w:firstLine="460"/>
        <w:spacing w:after="0" w:line="231" w:lineRule="auto"/>
        <w:tabs>
          <w:tab w:leader="none" w:pos="1364"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Depository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Appendix A - Page 10</w:t>
      </w:r>
    </w:p>
    <w:p>
      <w:pPr>
        <w:sectPr>
          <w:pgSz w:w="11900" w:h="16840" w:orient="portrait"/>
          <w:cols w:equalWidth="0" w:num="1">
            <w:col w:w="10620"/>
          </w:cols>
          <w:pgMar w:left="640" w:top="1440" w:right="640" w:bottom="1440" w:gutter="0" w:footer="0" w:header="0"/>
        </w:sectPr>
      </w:pPr>
    </w:p>
    <w:bookmarkStart w:id="415" w:name="page416"/>
    <w:bookmarkEnd w:id="415"/>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Schedule I</w:t>
      </w:r>
    </w:p>
    <w:p>
      <w:pPr>
        <w:spacing w:after="0" w:line="1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color w:val="auto"/>
        </w:rPr>
        <w:t>Agreed Guarantee and Security Principles</w:t>
      </w:r>
    </w:p>
    <w:p>
      <w:pPr>
        <w:spacing w:after="0" w:line="12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Schedule I- Page 1</w:t>
      </w:r>
    </w:p>
    <w:p>
      <w:pPr>
        <w:sectPr>
          <w:pgSz w:w="11900" w:h="16840" w:orient="portrait"/>
          <w:cols w:equalWidth="0" w:num="1">
            <w:col w:w="9800"/>
          </w:cols>
          <w:pgMar w:left="1440" w:top="1440" w:right="660" w:bottom="1440" w:gutter="0" w:footer="0" w:header="0"/>
        </w:sectPr>
      </w:pPr>
    </w:p>
    <w:bookmarkStart w:id="416" w:name="page417"/>
    <w:bookmarkEnd w:id="416"/>
    <w:p>
      <w:pPr>
        <w:spacing w:after="0" w:line="155"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FACE OF NOTE]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[Global Notes Legend]</w:t>
      </w:r>
    </w:p>
    <w:p>
      <w:pPr>
        <w:spacing w:after="0" w:line="129"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2"/>
          <w:szCs w:val="12"/>
          <w:color w:val="auto"/>
        </w:rPr>
        <w:t xml:space="preserve">UNLESS THIS CERTIFICATE IS PRESENTED BY AN AUTHORIZED REPRESENTATIVE OF THE DEPOSITORY TRUST COMPANY, A NEW YORK CORPORATION (“ </w:t>
      </w:r>
      <w:r>
        <w:rPr>
          <w:rFonts w:ascii="Times New Roman" w:cs="Times New Roman" w:eastAsia="Times New Roman" w:hAnsi="Times New Roman"/>
          <w:sz w:val="12"/>
          <w:szCs w:val="12"/>
          <w:u w:val="single" w:color="auto"/>
          <w:color w:val="auto"/>
        </w:rPr>
        <w:t>DTC</w:t>
      </w:r>
      <w:r>
        <w:rPr>
          <w:rFonts w:ascii="Times New Roman" w:cs="Times New Roman" w:eastAsia="Times New Roman" w:hAnsi="Times New Roman"/>
          <w:sz w:val="12"/>
          <w:szCs w:val="12"/>
          <w:color w:val="auto"/>
        </w:rPr>
        <w:t>”), NEW YORK, NEW YORK, TO THE ISSUERS OR THEIR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99" w:lineRule="exact"/>
        <w:rPr>
          <w:sz w:val="20"/>
          <w:szCs w:val="20"/>
          <w:color w:val="auto"/>
        </w:rPr>
      </w:pPr>
    </w:p>
    <w:p>
      <w:pPr>
        <w:jc w:val="both"/>
        <w:ind w:right="40" w:firstLine="457"/>
        <w:spacing w:after="0" w:line="267" w:lineRule="auto"/>
        <w:rPr>
          <w:sz w:val="20"/>
          <w:szCs w:val="20"/>
          <w:color w:val="auto"/>
        </w:rPr>
      </w:pPr>
      <w:r>
        <w:rPr>
          <w:rFonts w:ascii="Times New Roman" w:cs="Times New Roman" w:eastAsia="Times New Roman" w:hAnsi="Times New Roman"/>
          <w:sz w:val="12"/>
          <w:szCs w:val="12"/>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[Restricted Notes Legend for Notes Offered in Reliance on Regulation S]</w:t>
      </w:r>
    </w:p>
    <w:p>
      <w:pPr>
        <w:spacing w:after="0" w:line="129" w:lineRule="exact"/>
        <w:rPr>
          <w:sz w:val="20"/>
          <w:szCs w:val="20"/>
          <w:color w:val="auto"/>
        </w:rPr>
      </w:pPr>
    </w:p>
    <w:p>
      <w:pPr>
        <w:ind w:right="100" w:firstLine="457"/>
        <w:spacing w:after="0" w:line="287" w:lineRule="auto"/>
        <w:rPr>
          <w:sz w:val="20"/>
          <w:szCs w:val="20"/>
          <w:color w:val="auto"/>
        </w:rPr>
      </w:pPr>
      <w:r>
        <w:rPr>
          <w:rFonts w:ascii="Times New Roman" w:cs="Times New Roman" w:eastAsia="Times New Roman" w:hAnsi="Times New Roman"/>
          <w:sz w:val="12"/>
          <w:szCs w:val="12"/>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[Restricted Notes Legend]</w:t>
      </w:r>
    </w:p>
    <w:p>
      <w:pPr>
        <w:spacing w:after="0" w:line="129" w:lineRule="exact"/>
        <w:rPr>
          <w:sz w:val="20"/>
          <w:szCs w:val="20"/>
          <w:color w:val="auto"/>
        </w:rPr>
      </w:pPr>
    </w:p>
    <w:p>
      <w:pPr>
        <w:jc w:val="both"/>
        <w:ind w:right="40" w:firstLine="457"/>
        <w:spacing w:after="0" w:line="251" w:lineRule="auto"/>
        <w:rPr>
          <w:sz w:val="20"/>
          <w:szCs w:val="20"/>
          <w:color w:val="auto"/>
        </w:rPr>
      </w:pPr>
      <w:r>
        <w:rPr>
          <w:rFonts w:ascii="Times New Roman" w:cs="Times New Roman" w:eastAsia="Times New Roman" w:hAnsi="Times New Roman"/>
          <w:sz w:val="12"/>
          <w:szCs w:val="12"/>
          <w:color w:val="auto"/>
        </w:rPr>
        <w:t xml:space="preserve">THIS SECURITY HAS NOT BEEN REGISTERED UNDER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 </w:t>
      </w:r>
      <w:r>
        <w:rPr>
          <w:rFonts w:ascii="Times New Roman" w:cs="Times New Roman" w:eastAsia="Times New Roman" w:hAnsi="Times New Roman"/>
          <w:sz w:val="12"/>
          <w:szCs w:val="12"/>
          <w:u w:val="single" w:color="auto"/>
          <w:color w:val="auto"/>
        </w:rPr>
        <w:t>RESALE RESTRICTION TERMINATION DATE</w:t>
      </w:r>
      <w:r>
        <w:rPr>
          <w:rFonts w:ascii="Times New Roman" w:cs="Times New Roman" w:eastAsia="Times New Roman" w:hAnsi="Times New Roman"/>
          <w:sz w:val="12"/>
          <w:szCs w:val="12"/>
          <w:color w:val="auto"/>
        </w:rPr>
        <w:t xml:space="preserve">”) THAT IS, IN THE CASE OF RULE 144A NOTES, ONE YEAR AFTER THE LATER OF THE ORIGINAL ISSUE DATE HEREOF, THE ORIGINAL ISSUE DATE OF THE ISSUANCE OF ANY ADDITIONAL NOTES AND THE LAST DATE ON WHICH THE ISSUERS OR ANY AFFILIATE OF THE ISSUERS WAS THE OWNER OF THIS SECURITY (OR ANY PREDECESSOR OF SUCH SECURITY), OR, IN THE CASE OF REGULATION S NOTES, 40 DAYS AFTER THE LATER OF THE ORIGINAL ISSUE DATE HEREOF AND THE DATE ON WHICH THIS SECURITY (OR ANY PREDECESSOR OF SUCH SECURITY) WAS FIRST OFFERED TO PERSONS OTHER THAN DISTRIBUTORS (AS DEFINED IN RULE 902 OF REGULATION S) IN RELIANCE ON REGULATION S, ONLY (A) TO THE ISSUERS OR ANY SUBSIDIARY THEREOF, (B) PURSUANT TO A REGISTRATION STATEMENT THAT HAS BEEN DECLARED EFFECTIVE UNDER THE SECURITIES ACT, (C) FOR SO LONG AS THE SECURITIES ARE ELIGIBLE FOR RESALE PURSUANT TO RULE 144A UNDER THE SECURITIES ACT (“ </w:t>
      </w:r>
      <w:r>
        <w:rPr>
          <w:rFonts w:ascii="Times New Roman" w:cs="Times New Roman" w:eastAsia="Times New Roman" w:hAnsi="Times New Roman"/>
          <w:sz w:val="12"/>
          <w:szCs w:val="12"/>
          <w:u w:val="single" w:color="auto"/>
          <w:color w:val="auto"/>
        </w:rPr>
        <w:t>RULE 144A</w:t>
      </w:r>
      <w:r>
        <w:rPr>
          <w:rFonts w:ascii="Times New Roman" w:cs="Times New Roman" w:eastAsia="Times New Roman" w:hAnsi="Times New Roman"/>
          <w:sz w:val="12"/>
          <w:szCs w:val="12"/>
          <w:color w:val="auto"/>
        </w:rPr>
        <w: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w:t>
      </w:r>
    </w:p>
    <w:p>
      <w:pPr>
        <w:sectPr>
          <w:pgSz w:w="11900" w:h="16840" w:orient="portrait"/>
          <w:cols w:equalWidth="0" w:num="1">
            <w:col w:w="10620"/>
          </w:cols>
          <w:pgMar w:left="640" w:top="1440" w:right="640" w:bottom="1440" w:gutter="0" w:footer="0" w:header="0"/>
        </w:sectPr>
      </w:pPr>
    </w:p>
    <w:bookmarkStart w:id="417" w:name="page418"/>
    <w:bookmarkEnd w:id="417"/>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SALES TO NON-U.S. PERSONS THAT OCCUR OUTSIDE THE UNITED STATES WITHIN THE MEANING OF REGULATION S UNDER THE SECURITIES ACT, OR (E) PURSUANT TO ANOTHER AVAILABLE EXEMPTION FROM THE REGISTRATION REQUIREMENTS OF THE SECURITIES ACT, SUBJECT TO THE ISSUER’S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[Definitive Notes Legend]</w:t>
      </w:r>
    </w:p>
    <w:p>
      <w:pPr>
        <w:spacing w:after="0" w:line="129" w:lineRule="exact"/>
        <w:rPr>
          <w:sz w:val="20"/>
          <w:szCs w:val="20"/>
          <w:color w:val="auto"/>
        </w:rPr>
      </w:pPr>
    </w:p>
    <w:p>
      <w:pPr>
        <w:jc w:val="both"/>
        <w:ind w:firstLine="457"/>
        <w:spacing w:after="0" w:line="287" w:lineRule="auto"/>
        <w:rPr>
          <w:sz w:val="20"/>
          <w:szCs w:val="20"/>
          <w:color w:val="auto"/>
        </w:rPr>
      </w:pPr>
      <w:r>
        <w:rPr>
          <w:rFonts w:ascii="Times New Roman" w:cs="Times New Roman" w:eastAsia="Times New Roman" w:hAnsi="Times New Roman"/>
          <w:sz w:val="12"/>
          <w:szCs w:val="12"/>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Exhibit A - Page 2</w:t>
      </w:r>
    </w:p>
    <w:p>
      <w:pPr>
        <w:sectPr>
          <w:pgSz w:w="11900" w:h="16840" w:orient="portrait"/>
          <w:cols w:equalWidth="0" w:num="1">
            <w:col w:w="10540"/>
          </w:cols>
          <w:pgMar w:left="640" w:top="1440" w:right="720" w:bottom="1440" w:gutter="0" w:footer="0" w:header="0"/>
        </w:sectPr>
      </w:pPr>
    </w:p>
    <w:bookmarkStart w:id="418" w:name="page419"/>
    <w:bookmarkEnd w:id="418"/>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INITIAL NOTE]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GENMAB A/S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GENMAB FINANCE LLC</w:t>
      </w:r>
    </w:p>
    <w:p>
      <w:pPr>
        <w:sectPr>
          <w:pgSz w:w="11900" w:h="16840" w:orient="portrait"/>
          <w:cols w:equalWidth="0" w:num="1">
            <w:col w:w="10620"/>
          </w:cols>
          <w:pgMar w:left="640" w:top="1440" w:right="640" w:bottom="1440" w:gutter="0" w:footer="0" w:header="0"/>
        </w:sectPr>
      </w:pP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 [ ]</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[144A CUSIP No. 37230J AA0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144A ISIN No. US37230JAA07]</w:t>
      </w:r>
    </w:p>
    <w:p>
      <w:pPr>
        <w:spacing w:after="0" w:line="200" w:lineRule="exact"/>
        <w:rPr>
          <w:sz w:val="20"/>
          <w:szCs w:val="20"/>
          <w:color w:val="auto"/>
        </w:rPr>
      </w:pPr>
    </w:p>
    <w:p>
      <w:pPr>
        <w:sectPr>
          <w:pgSz w:w="11900" w:h="16840" w:orient="portrait"/>
          <w:cols w:equalWidth="0" w:num="2">
            <w:col w:w="8240" w:space="720"/>
            <w:col w:w="1660"/>
          </w:cols>
          <w:pgMar w:left="640" w:top="1440" w:right="640" w:bottom="1440" w:gutter="0" w:footer="0" w:header="0"/>
          <w:type w:val="continuous"/>
        </w:sectPr>
      </w:pPr>
    </w:p>
    <w:p>
      <w:pPr>
        <w:spacing w:after="0" w:line="14"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2"/>
          <w:szCs w:val="12"/>
          <w:color w:val="auto"/>
        </w:rPr>
        <w:t>[REG S CUSIP No. K3968J AA8</w:t>
      </w:r>
    </w:p>
    <w:p>
      <w:pPr>
        <w:spacing w:after="0" w:line="2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2"/>
          <w:szCs w:val="12"/>
          <w:color w:val="auto"/>
        </w:rPr>
        <w:t>REG S ISIN No. USK3968JAA80]</w:t>
      </w:r>
    </w:p>
    <w:p>
      <w:pPr>
        <w:sectPr>
          <w:pgSz w:w="11900" w:h="16840" w:orient="portrait"/>
          <w:cols w:equalWidth="0" w:num="1">
            <w:col w:w="10620"/>
          </w:cols>
          <w:pgMar w:left="640" w:top="1440" w:right="640" w:bottom="1440" w:gutter="0" w:footer="0" w:header="0"/>
          <w:type w:val="continuous"/>
        </w:sect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6.250% Senior Secured Note due 2032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Issuers promise to pay to Cede &amp; Co., or registered assigns, the principal sum set forth on the Schedule of Increases or Decreases in Global Note attached hereto on December 15, 2032.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Payment Dates: June 15 and December 15, commencing June 15,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Record Dates: June 1 and December 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 provisions of this Note are set forth on the other side of this Note.</w:t>
      </w:r>
    </w:p>
    <w:p>
      <w:pPr>
        <w:spacing w:after="0" w:line="157" w:lineRule="exact"/>
        <w:rPr>
          <w:sz w:val="20"/>
          <w:szCs w:val="20"/>
          <w:color w:val="auto"/>
        </w:rPr>
      </w:pPr>
    </w:p>
    <w:p>
      <w:pPr>
        <w:ind w:left="440" w:right="260" w:hanging="419"/>
        <w:spacing w:after="0" w:line="253" w:lineRule="auto"/>
        <w:tabs>
          <w:tab w:leader="none" w:pos="42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If the Note is to be issued in global form, add the Global Notes Legend and the attachment from Exhibit A captioned “TO BE ATTACHED TO GLOBAL NOTES - SCHEDULE OF INCREASES OR DECREASES IN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3</w:t>
      </w:r>
    </w:p>
    <w:p>
      <w:pPr>
        <w:sectPr>
          <w:pgSz w:w="11900" w:h="16840" w:orient="portrait"/>
          <w:cols w:equalWidth="0" w:num="1">
            <w:col w:w="10620"/>
          </w:cols>
          <w:pgMar w:left="640" w:top="1440" w:right="640" w:bottom="1440" w:gutter="0" w:footer="0" w:header="0"/>
          <w:type w:val="continuous"/>
        </w:sectPr>
      </w:pPr>
    </w:p>
    <w:bookmarkStart w:id="419" w:name="page420"/>
    <w:bookmarkEnd w:id="419"/>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Note is one of the Notes referred to in the within-mentioned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instrument to be duly executed.</w:t>
      </w:r>
    </w:p>
    <w:p>
      <w:pPr>
        <w:spacing w:after="0" w:line="15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GENMAB A/S</w:t>
      </w:r>
    </w:p>
    <w:p>
      <w:pPr>
        <w:spacing w:after="0" w:line="2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Name:</w:t>
      </w:r>
    </w:p>
    <w:p>
      <w:pPr>
        <w:spacing w:after="0" w:line="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Title:</w:t>
      </w:r>
    </w:p>
    <w:p>
      <w:pPr>
        <w:spacing w:after="0" w:line="22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GENMAB FINANCE LLC</w:t>
      </w:r>
    </w:p>
    <w:p>
      <w:pPr>
        <w:spacing w:after="0" w:line="2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2"/>
          <w:szCs w:val="12"/>
          <w:color w:val="auto"/>
        </w:rPr>
        <w:t>Exhibit A - Page 4</w:t>
      </w:r>
    </w:p>
    <w:p>
      <w:pPr>
        <w:sectPr>
          <w:pgSz w:w="11900" w:h="16840" w:orient="portrait"/>
          <w:cols w:equalWidth="0" w:num="1">
            <w:col w:w="9820"/>
          </w:cols>
          <w:pgMar w:left="640" w:top="1440" w:right="1440" w:bottom="1440" w:gutter="0" w:footer="0" w:header="0"/>
        </w:sectPr>
      </w:pPr>
    </w:p>
    <w:bookmarkStart w:id="420" w:name="page421"/>
    <w:bookmarkEnd w:id="420"/>
    <w:p>
      <w:pPr>
        <w:spacing w:after="0" w:line="157" w:lineRule="exact"/>
        <w:rPr>
          <w:sz w:val="20"/>
          <w:szCs w:val="20"/>
          <w:color w:val="auto"/>
        </w:rPr>
      </w:pPr>
    </w:p>
    <w:p>
      <w:pPr>
        <w:jc w:val="right"/>
        <w:ind w:right="3180"/>
        <w:spacing w:after="0"/>
        <w:rPr>
          <w:sz w:val="20"/>
          <w:szCs w:val="20"/>
          <w:color w:val="auto"/>
        </w:rPr>
      </w:pPr>
      <w:r>
        <w:rPr>
          <w:rFonts w:ascii="Times New Roman" w:cs="Times New Roman" w:eastAsia="Times New Roman" w:hAnsi="Times New Roman"/>
          <w:sz w:val="12"/>
          <w:szCs w:val="12"/>
          <w:color w:val="auto"/>
        </w:rPr>
        <w:t>TRUSTEE CERTIFICATE OF AUTHENTICATION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Note is one of the Notes referred to in the within-mentioned Indenture.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WILMINGTON TRUST, NATIONAL ASSOCIATION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color w:val="auto"/>
        </w:rPr>
        <w:t>Exhibit A - Page 5</w:t>
      </w:r>
    </w:p>
    <w:p>
      <w:pPr>
        <w:sectPr>
          <w:pgSz w:w="11900" w:h="16840" w:orient="portrait"/>
          <w:cols w:equalWidth="0" w:num="1">
            <w:col w:w="9820"/>
          </w:cols>
          <w:pgMar w:left="640" w:top="1440" w:right="1440" w:bottom="1440" w:gutter="0" w:footer="0" w:header="0"/>
        </w:sectPr>
      </w:pPr>
    </w:p>
    <w:bookmarkStart w:id="421" w:name="page422"/>
    <w:bookmarkEnd w:id="421"/>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REVERSE SIDE OF INITIAL NOTE]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6.250% Senior Secured Note Due 2032</w:t>
      </w:r>
    </w:p>
    <w:p>
      <w:pPr>
        <w:spacing w:after="0" w:line="129" w:lineRule="exact"/>
        <w:rPr>
          <w:sz w:val="20"/>
          <w:szCs w:val="20"/>
          <w:color w:val="auto"/>
        </w:rPr>
      </w:pPr>
    </w:p>
    <w:p>
      <w:pPr>
        <w:ind w:left="120" w:hanging="114"/>
        <w:spacing w:after="0"/>
        <w:tabs>
          <w:tab w:leader="none" w:pos="120" w:val="left"/>
        </w:tabs>
        <w:numPr>
          <w:ilvl w:val="0"/>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The Issuers promise to pay interest on the principal amount of this Note at the rate per annum shown above. The Issuers shall pay interest semiannually on June 15 and December 15 of each year (each an </w:t>
      </w: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Payment Date</w:t>
      </w:r>
      <w:r>
        <w:rPr>
          <w:rFonts w:ascii="Times New Roman" w:cs="Times New Roman" w:eastAsia="Times New Roman" w:hAnsi="Times New Roman"/>
          <w:sz w:val="12"/>
          <w:szCs w:val="12"/>
          <w:color w:val="auto"/>
        </w:rPr>
        <w:t>”), commencing June 15, 2026. Interest on the Notes shall accrue from the most recent date to which interest has been paid or duly provided for or, if no interest has been paid or duly provided for, from December 3, 2025, until the principal hereof is due. Interest shall be computed on the basis of a 360-day year comprised of twelve 30-day months. The Issuers shall pay interest on overdue principal at the rate borne by the Notes, and they shall pay interest on overdue installments of interest at the same rate to the extent lawful.</w:t>
      </w:r>
    </w:p>
    <w:p>
      <w:pPr>
        <w:spacing w:after="0" w:line="95" w:lineRule="exact"/>
        <w:rPr>
          <w:sz w:val="20"/>
          <w:szCs w:val="20"/>
          <w:color w:val="auto"/>
        </w:rPr>
      </w:pPr>
    </w:p>
    <w:p>
      <w:pPr>
        <w:ind w:left="120" w:hanging="114"/>
        <w:spacing w:after="0"/>
        <w:tabs>
          <w:tab w:leader="none" w:pos="120" w:val="left"/>
        </w:tabs>
        <w:numPr>
          <w:ilvl w:val="0"/>
          <w:numId w:val="4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Method of Payment</w:t>
      </w:r>
    </w:p>
    <w:p>
      <w:pPr>
        <w:spacing w:after="0" w:line="1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 xml:space="preserve">The Issuers shall pay interest on the Notes (except defaulted interest) to the Persons who are registered holders at the close of business on June 1 or December 1 (each a Record“ Date”) immediately preceding the Interest Payment Date even if Notes are canceled after the Record Date and on or before the Interest Payment Date (whether or not a Business Day). Holders must surrender Notes to the Paying Agent to collect principal payments. The Issuers shall pay principal, premium, if any, and interest in money of the United States of America that at the time of payment is legal tender for payment of public and private debts. Payments in respect of the Notes represented by a Global Note (including principal, premium, if any, and interest) shall be made by wire transfer of immediately available funds to the accounts specified by The Depository Trust Company or any successor depository. The Issuers shall make all payments in respect of a certificated Note (including principal, premium, if any, and interest) at the office of the Paying Agent, except that, at the option of the Issuers, payment of interest may be made by mailing a check to the registered address of each holder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payments on the Notes may also be made, in the case of a holder of at least $1,000,000 aggregate principal amount of Notes, by wire transfer to a U.S. dollar account maintained by the payee with a bank in the United States if such holder elects payment by wire transfer by giving written notice to the Trustee or Paying Agent to such effect designating such account no later than 30 days immediately preceding the relevant due date for payment (or such other date as the Trustee may accept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-653415</wp:posOffset>
            </wp:positionV>
            <wp:extent cx="39878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398780" cy="6350"/>
                    </a:xfrm>
                    <a:prstGeom prst="rect">
                      <a:avLst/>
                    </a:prstGeom>
                    <a:noFill/>
                  </pic:spPr>
                </pic:pic>
              </a:graphicData>
            </a:graphic>
          </wp:anchor>
        </w:drawing>
      </w:r>
    </w:p>
    <w:p>
      <w:pPr>
        <w:spacing w:after="0" w:line="225" w:lineRule="exact"/>
        <w:rPr>
          <w:sz w:val="20"/>
          <w:szCs w:val="20"/>
          <w:color w:val="auto"/>
        </w:rPr>
      </w:pPr>
    </w:p>
    <w:p>
      <w:pPr>
        <w:ind w:left="120" w:hanging="114"/>
        <w:spacing w:after="0"/>
        <w:tabs>
          <w:tab w:leader="none" w:pos="120"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Paying Agent and Registrar</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Initially, Wilmington Trust, National Association, as trustee under the Indenture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xml:space="preserve">”), will act as Paying Agent and Registrar. The Issuers may remove any Registrar or Paying Agent upon written notice to such Registrar or Paying Agent and to the Trustee;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removal shall become effective until (i) if applicable, acceptance of an appointment by a successor Registrar or Paying Agent, as the case may be, as evidenced by an appropriate agreement entered into by the Issuers and such successor Registrar or Paying Agent, as the case may be, and delivered to the Trustee or (ii) notification to the Trustee that the Trustee shall serve as Registrar or Paying Agent until the appointment of a successor in accordance with clause (i) above. The U.S. Co-Issuer, so long as it is organized in the United States, or any of the Subsidiaries of the Company organized in the United States may act as Paying Agent or Registrar.</w:t>
      </w:r>
    </w:p>
    <w:p>
      <w:pPr>
        <w:spacing w:after="0" w:line="99" w:lineRule="exact"/>
        <w:rPr>
          <w:sz w:val="20"/>
          <w:szCs w:val="20"/>
          <w:color w:val="auto"/>
        </w:rPr>
      </w:pPr>
    </w:p>
    <w:p>
      <w:pPr>
        <w:ind w:left="120" w:hanging="114"/>
        <w:spacing w:after="0"/>
        <w:tabs>
          <w:tab w:leader="none" w:pos="120"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Indenture</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 xml:space="preserve">The Issuers issued the Notes under an Indenture, dated as of December 3, 2025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by and among the Issuers, the Guarantors, the Trustee and the Notes Collateral Agent. Capitalized terms used herein are used as defined in the Indenture, unless otherwise indicated. The terms of the Notes include those stated in the Indenture. The Notes are subject to all terms and provisions of the Indenture, and the holders (as defined in the Indenture) are referred to the Indenture for a statement of such terms and provisions. If and to the extent that any provision of the Notes limits, qualifies or conflicts with a provision of the Indenture, such provision of the Indenture shall control.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Exhibit A - Page 6</w:t>
      </w:r>
    </w:p>
    <w:p>
      <w:pPr>
        <w:sectPr>
          <w:pgSz w:w="11900" w:h="16840" w:orient="portrait"/>
          <w:cols w:equalWidth="0" w:num="1">
            <w:col w:w="10640"/>
          </w:cols>
          <w:pgMar w:left="640" w:top="1440" w:right="620" w:bottom="1440" w:gutter="0" w:footer="0" w:header="0"/>
        </w:sectPr>
      </w:pPr>
    </w:p>
    <w:bookmarkStart w:id="422" w:name="page423"/>
    <w:bookmarkEnd w:id="422"/>
    <w:p>
      <w:pPr>
        <w:spacing w:after="0" w:line="1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 xml:space="preserve">The Notes are the unsubordinated obligations of the Issuers and Guarantors, secured by Liens on the Collateral, in each case to the extent set forth in the Indenture and the Collateral Documents. This Note is one of the Initial Notes referred to in the Indenture. The Notes include the Initial Notes and any Additional Notes. The Initial Notes and any Additional Notes shall be treated as a single class of securities for all purposes under the Indenture, including, without limitation, waivers, amendments, redemptions and offers to purchase;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Additional Notes are not fungible with the Initial Notes for U.S. federal income tax purposes, the Additional Notes will have a separate CUSIP number, if applicable. The Indenture imposes certain limitations on the ability of the Company and its Restricted Subsidiaries to, among other things, make certain Investments and other Restricted Payments, Incur Indebtedness, enter into consensual restrictions upon the payment of certain dividends and distributions, enter into or permit certain transactions with Affiliates, create or Incur Liens and make Asset Sales. The Indenture also imposes limitations on the ability of the Issuers and each Guarantor to consolidate or merge with or into any other Person or convey, transfer or lease all or substantially all of its property.</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The Guarantors (including each Restricted Subsidiary of the Company that is required to guarantee the Guaranteed Obligations pursuant to Section 4.11 of the Indenture) shall jointly and severally guarantee the Guaranteed Obligations pursuant to the terms of the Indenture.</w:t>
      </w:r>
    </w:p>
    <w:p>
      <w:pPr>
        <w:spacing w:after="0" w:line="79" w:lineRule="exact"/>
        <w:rPr>
          <w:sz w:val="20"/>
          <w:szCs w:val="20"/>
          <w:color w:val="auto"/>
        </w:rPr>
      </w:pPr>
    </w:p>
    <w:p>
      <w:pPr>
        <w:ind w:left="120" w:hanging="114"/>
        <w:spacing w:after="0"/>
        <w:tabs>
          <w:tab w:leader="none" w:pos="120"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Redemption</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 xml:space="preserve">On or after December 15, 2028, the Issuers may redeem the Notes at their option, in whole at any time or in part from time to time, upon not less than 10 days’ nor more than 60 days’ prior notice mailed by the Issuers by first-class mail, or delivered electronically if the Notes are held by DTC, to each holder’s registered address with a copy to the Trustee, at the following redemption prices (expressed as a percentage of principal amount),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redemption date (subject to the right of holders of record on the relevant Record Date to receive interest due on the relevant Interest Payment Date), if redeemed during the 12-month period commencing on December 15 of the years set forth below:</w:t>
      </w: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jc w:val="right"/>
              <w:ind w:right="4921"/>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Redemption Price</w:t>
            </w:r>
          </w:p>
        </w:tc>
        <w:tc>
          <w:tcPr>
            <w:tcW w:w="240" w:type="dxa"/>
            <w:vAlign w:val="bottom"/>
            <w:tcBorders>
              <w:bottom w:val="single" w:sz="8" w:color="CCEEFF"/>
            </w:tcBorders>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5300" w:type="dxa"/>
            <w:vAlign w:val="bottom"/>
            <w:shd w:val="clear" w:color="auto" w:fill="CCEEFF"/>
          </w:tcPr>
          <w:p>
            <w:pPr>
              <w:jc w:val="right"/>
              <w:ind w:right="5001"/>
              <w:spacing w:after="0"/>
              <w:rPr>
                <w:sz w:val="20"/>
                <w:szCs w:val="20"/>
                <w:color w:val="auto"/>
              </w:rPr>
            </w:pPr>
            <w:r>
              <w:rPr>
                <w:rFonts w:ascii="Times New Roman" w:cs="Times New Roman" w:eastAsia="Times New Roman" w:hAnsi="Times New Roman"/>
                <w:sz w:val="12"/>
                <w:szCs w:val="12"/>
                <w:color w:val="auto"/>
                <w:w w:val="91"/>
              </w:rPr>
              <w:t>2028</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103.125</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79"/>
              </w:rPr>
              <w:t>%</w:t>
            </w:r>
          </w:p>
        </w:tc>
      </w:tr>
      <w:tr>
        <w:trPr>
          <w:trHeight w:val="180"/>
        </w:trPr>
        <w:tc>
          <w:tcPr>
            <w:tcW w:w="5320" w:type="dxa"/>
            <w:vAlign w:val="bottom"/>
            <w:gridSpan w:val="2"/>
          </w:tcPr>
          <w:p>
            <w:pPr>
              <w:jc w:val="right"/>
              <w:ind w:right="5001"/>
              <w:spacing w:after="0"/>
              <w:rPr>
                <w:sz w:val="20"/>
                <w:szCs w:val="20"/>
                <w:color w:val="auto"/>
              </w:rPr>
            </w:pPr>
            <w:r>
              <w:rPr>
                <w:rFonts w:ascii="Times New Roman" w:cs="Times New Roman" w:eastAsia="Times New Roman" w:hAnsi="Times New Roman"/>
                <w:sz w:val="12"/>
                <w:szCs w:val="12"/>
                <w:color w:val="auto"/>
                <w:w w:val="99"/>
              </w:rPr>
              <w:t>2029</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101.563</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79"/>
              </w:rPr>
              <w:t>%</w:t>
            </w: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jc w:val="right"/>
              <w:ind w:right="4281"/>
              <w:spacing w:after="0"/>
              <w:rPr>
                <w:sz w:val="20"/>
                <w:szCs w:val="20"/>
                <w:color w:val="auto"/>
              </w:rPr>
            </w:pPr>
            <w:r>
              <w:rPr>
                <w:rFonts w:ascii="Times New Roman" w:cs="Times New Roman" w:eastAsia="Times New Roman" w:hAnsi="Times New Roman"/>
                <w:sz w:val="12"/>
                <w:szCs w:val="12"/>
                <w:color w:val="auto"/>
              </w:rPr>
              <w:t>2030 and thereafter</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100.000</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79"/>
              </w:rPr>
              <w:t>%</w:t>
            </w:r>
          </w:p>
        </w:tc>
      </w:tr>
    </w:tbl>
    <w:p>
      <w:pPr>
        <w:spacing w:after="0" w:line="2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 xml:space="preserve">In addition, prior to December 15, 2028, the Issuers may redeem the Notes at their option, in whole at any time or in part from time to time, upon not less than 10 days’ nor more than 60 days’ prior notice mailed by the Issuers by first-class mail, or delivered electronically if the Notes are held by DTC, to each holder’s registered address with a copy to the Trustee, at a redemption price equal to 100% of the principal amount of the Notes redeemed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the Applicable Premium as of, and accrued and unpaid interest, if any, to, but excluding, the applicable redemption date (subject to the right of holders of record on the relevant Record Date to receive interest due on the relevant Interest Payment Date).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In addition, during each of the first three consecutive twelve -month periods beginning on the Issue Date, the Issuers may redeem up to 10% of the original aggregate principal amount of the Notes (calculated after giving effect to the issuance of any Additional Notes), upon not less than 10 days’ nor more than 60 days’ prior notice mailed by the Issuers by first-class mail, or delivered electronically if the Notes are held by DTC, to each holder’s registered address with a copy to the Trustee, at a redemption price of 103% of the principal amount of such Notes being redeemed,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applicable redemption date, subject to the rights of holders of record on the relevant Record Date to receive interest due on the relevant Interest Payment Date that is on or prior to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7</w:t>
      </w:r>
    </w:p>
    <w:p>
      <w:pPr>
        <w:sectPr>
          <w:pgSz w:w="11900" w:h="16840" w:orient="portrait"/>
          <w:cols w:equalWidth="0" w:num="1">
            <w:col w:w="10620"/>
          </w:cols>
          <w:pgMar w:left="640" w:top="1440" w:right="640" w:bottom="1440" w:gutter="0" w:footer="0" w:header="0"/>
        </w:sectPr>
      </w:pPr>
    </w:p>
    <w:bookmarkStart w:id="423" w:name="page424"/>
    <w:bookmarkEnd w:id="423"/>
    <w:p>
      <w:pPr>
        <w:spacing w:after="0" w:line="1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 xml:space="preserve">Notwithstanding the foregoing, at any time and from time to time on or prior to December 15, 2028, the Issuers may redeem in the aggregate up to 40% of the original aggregate principal amount of the Notes (calculated after giving effect to any issuance of Additional Notes) with the net cash proceeds of one or more Equity Offerings by the Company at a redemption price of 106.250% of the principal amount of the Notes,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accrued and unpaid interest, if any, to, but excluding, the redemption date (subject to the right of holders of record on the relevant Record Date to receive interest due on the relevant Interest Payment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at least 50% of the original aggregate principal amount of the Notes (calculated after giving effect to any issuance of Additional Notes) must remain outstanding after each such redemption;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such redemption shall occur within 180 days after the date on which any such Equity Offering is consummated, in any such case upon not less than 10 days’ nor more than 60 days’ prior notice mailed, or delivered electronically if the Notes are held by DTC, by the Issuers to each holder of Notes with a copy to the Trustee and otherwise in accordance with the procedures set forth in the Indenture.</w:t>
      </w:r>
    </w:p>
    <w:p>
      <w:pPr>
        <w:spacing w:after="0" w:line="2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Notice of any redemption upon any Equity Offering may be given prior to the completion thereof. In addition, any redemption described above or notice thereof may, at the Issuers’ discretion, be subject to one or more conditions precedent, including, but not limited to, completion of the related Equity Offering in the case of a redemption upon completion of an Equity Offering. The Issuers may provide in such notice that payment of the redemption price and the performance of the Issuers’ obligations with respect to such redemption may be performed by another Person.</w:t>
      </w:r>
    </w:p>
    <w:p>
      <w:pPr>
        <w:spacing w:after="0" w:line="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If holders of not less than 90% in aggregate principal amount of the outstanding Notes validly tender and do not withdraw such Notes in a Change of Control Offer and the Issuers, or any third party making a Change of Control Offer in lieu of the Issuers as described above, purchase all of the Notes validly tendered and not withdrawn by such holders in accordance with Section 4.08 of the Indenture, the Issuers or such third party will have the right, upon not less than 10 days’ nor more than 60 days’ prior notice (provided that such notice was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excluding, the date of redemption.</w:t>
      </w:r>
    </w:p>
    <w:p>
      <w:pPr>
        <w:spacing w:after="0" w:line="2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 xml:space="preserve">The Issuers may, at their option, redeem, upon not less than 10 days’ nor more than 60 days’ prior notice mailed by the Issuers by first- class mail, or delivered electronically if the Notes are held by DTC, to each holder’s registered address with a copy to the Trustee, all (but not less than all) of the Notes then outstanding, at 100% of the principal amount of the Notes, plus accrued and unpaid interest to, but excluding, the applicable redemption date (subject to the right of the holders of record on the relevant Record Date to receive interest due on the relevant Interest Payment Date), and all Additional Amounts, if any, then due and which shall become due on the applicable redemption date as a result of the redemption or otherwise if, as a result of any change in, or amendment to, the laws or treaties (or any regulations or rulings of the Relevant Taxing Jurisdiction promulgated under such laws or treaties) of a Relevant Taxing Jurisdiction, or the official interpretation, administration or application thereof (including by virtue of a holding, judgment or order by a court of competent jurisdiction), which change or amendment is first publicly announced and becomes effective on or after the Issue Date (or, if the Relevant Taxing Jurisdiction became a Relevant Taxing Jurisdiction on a date after the Issue Date, after such later date) (each of the foregoing changes or amendments, a “ </w:t>
      </w:r>
      <w:r>
        <w:rPr>
          <w:rFonts w:ascii="Times New Roman" w:cs="Times New Roman" w:eastAsia="Times New Roman" w:hAnsi="Times New Roman"/>
          <w:sz w:val="12"/>
          <w:szCs w:val="12"/>
          <w:u w:val="single" w:color="auto"/>
          <w:color w:val="auto"/>
        </w:rPr>
        <w:t>Change in Tax Law</w:t>
      </w:r>
      <w:r>
        <w:rPr>
          <w:rFonts w:ascii="Times New Roman" w:cs="Times New Roman" w:eastAsia="Times New Roman" w:hAnsi="Times New Roman"/>
          <w:sz w:val="12"/>
          <w:szCs w:val="12"/>
          <w:color w:val="auto"/>
        </w:rPr>
        <w:t xml:space="preserve">”), any Issuer is, or on the next interest payment date in respect of the Notes would be, required to pay any Additional Amounts, and such obligation to pay Additional Amounts cannot be avoided by taking commercially reasonable measures available to such Issuer (including, for the avoidance of doubt, the appointment of a new paying agent);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changing any Issuer’s, Guarantors’ and/or any of their Affiliates’ jurisdiction of incorporation shall not qualify as a commercially reasonable measure for purposes of this paragraph. Notwithstanding the foregoing, no such notice of redemption will be given (a) earlier than 90 days prior to the earliest date on which such Issuer would be obligated to pay such Additional Amounts as a result of a Change in Tax Law and (b) unless, at the time such notice is given, such obligation to pay Additional Amounts remains in effect. Prior to any redemption of Notes pursuant to this paragraph, the Company shall deliver to the Trustee, (i) an Officer’s Certificate stating that such Issuer cannot avoid the payment of Additional Amounts by taking reasonable measures and setting forth a statement of facts showing that the conditions precedent to the right of redemption have occurred and (ii) an opinion of independent tax counsel of recognized standing qualified under the laws of the applicable Relevant Taxing Jurisdiction to the effect that as a result of a Change in Tax Law, such Issuer has or will become obligated to pay Additional Amounts (which opinion, for the avoidance of doubt,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8</w:t>
      </w:r>
    </w:p>
    <w:p>
      <w:pPr>
        <w:sectPr>
          <w:pgSz w:w="11900" w:h="16840" w:orient="portrait"/>
          <w:cols w:equalWidth="0" w:num="1">
            <w:col w:w="10620"/>
          </w:cols>
          <w:pgMar w:left="640" w:top="1440" w:right="640" w:bottom="1440" w:gutter="0" w:footer="0" w:header="0"/>
        </w:sectPr>
      </w:pPr>
    </w:p>
    <w:bookmarkStart w:id="424" w:name="page425"/>
    <w:bookmarkEnd w:id="424"/>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include an opinion as to whether commercially reasonable efforts could have been undertaken by such Issuer to avoid the otherwise applicable obligation to pay Additional Amounts) . The Trustee shall be entitled to rely on such Officer’s Certificate and Opinion of Counsel as sufficient evidence of the satisfaction of the conditions precedent described above, without further inquiry, in which event it will be conclusive and binding on the holders.</w:t>
      </w:r>
    </w:p>
    <w:p>
      <w:pPr>
        <w:spacing w:after="0" w:line="91" w:lineRule="exact"/>
        <w:rPr>
          <w:sz w:val="20"/>
          <w:szCs w:val="20"/>
          <w:color w:val="auto"/>
        </w:rPr>
      </w:pPr>
    </w:p>
    <w:p>
      <w:pPr>
        <w:ind w:left="120" w:hanging="114"/>
        <w:spacing w:after="0"/>
        <w:tabs>
          <w:tab w:leader="none" w:pos="120"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[Intentionally Omitted]</w:t>
      </w:r>
    </w:p>
    <w:p>
      <w:pPr>
        <w:spacing w:after="0" w:line="128" w:lineRule="exact"/>
        <w:rPr>
          <w:rFonts w:ascii="Times New Roman" w:cs="Times New Roman" w:eastAsia="Times New Roman" w:hAnsi="Times New Roman"/>
          <w:sz w:val="12"/>
          <w:szCs w:val="12"/>
          <w:color w:val="auto"/>
        </w:rPr>
      </w:pPr>
    </w:p>
    <w:p>
      <w:pPr>
        <w:ind w:left="120" w:hanging="114"/>
        <w:spacing w:after="0"/>
        <w:tabs>
          <w:tab w:leader="none" w:pos="120"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Redemption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as set forth in Section 3.09 of the Indenture, the Issuers will not be required to make any mandatory redemption or sinking fund payments with respect to the Notes.</w:t>
      </w:r>
    </w:p>
    <w:p>
      <w:pPr>
        <w:spacing w:after="0" w:line="129" w:lineRule="exact"/>
        <w:rPr>
          <w:sz w:val="20"/>
          <w:szCs w:val="20"/>
          <w:color w:val="auto"/>
        </w:rPr>
      </w:pPr>
    </w:p>
    <w:p>
      <w:pPr>
        <w:ind w:left="120" w:hanging="114"/>
        <w:spacing w:after="0"/>
        <w:tabs>
          <w:tab w:leader="none" w:pos="120" w:val="left"/>
        </w:tabs>
        <w:numPr>
          <w:ilvl w:val="0"/>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Redemption</w:t>
      </w:r>
    </w:p>
    <w:p>
      <w:pPr>
        <w:spacing w:after="0" w:line="1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Notices of redemption will be mailed (or caused to be mailed) by first-class mail, or delivered electronically if the Notes are held by DTC, at least 10 days (or, in the case of a notice of redemption in connection with a Change of Control or Asset Sale Offer, at least 30 days) but not more than 60 days before the redemption date, in each case, to each holder of Notes to be redeemed at its registered address (with a copy to the Trustee), except that redemption notices may be mailed or otherwise delivered more than 60 days prior to the redemption date if the notice is issued in connection with a defeasance of the Notes or a satisfaction and discharge of the Indenture pursuant to Article VIII thereof. On and after the redemption date, interest shall cease to accrue on Notes or portions thereof called for redemption so long as the Issuers have deposited with the Paying Agent (or, if the Company or a Subsidiary thereof is the Paying Agent, shall have segregated and held in trust) funds sufficient to pay the principal of, plus accrued and unpaid interest on, the Notes or portions thereof to be redeemed.</w:t>
      </w:r>
    </w:p>
    <w:p>
      <w:pPr>
        <w:spacing w:after="0" w:line="97" w:lineRule="exact"/>
        <w:rPr>
          <w:sz w:val="20"/>
          <w:szCs w:val="20"/>
          <w:color w:val="auto"/>
        </w:rPr>
      </w:pPr>
    </w:p>
    <w:p>
      <w:pPr>
        <w:ind w:left="120" w:hanging="114"/>
        <w:spacing w:after="0"/>
        <w:tabs>
          <w:tab w:leader="none" w:pos="120"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Repurchase of Notes at the Option of the Holders upon Change of Control and Asset Sale</w:t>
      </w:r>
      <w:r>
        <w:rPr>
          <w:rFonts w:ascii="Times New Roman" w:cs="Times New Roman" w:eastAsia="Times New Roman" w:hAnsi="Times New Roman"/>
          <w:sz w:val="12"/>
          <w:szCs w:val="12"/>
          <w:color w:val="auto"/>
        </w:rPr>
        <w:t>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Upon the occurrence of a Change of Control, subject to certain conditions specified in the Indenture, the Issuers will make an offer to repurchase all or any part of such holder’s Notes at a purchase price in cash equal to 101% of the principal amount thereof, plus accrued and unpaid interest, if any, to, but excluding, the date of repurchase (subject to the right of the holders of record on the relevant Record Date to receive interest due on the relevant Interest Payment Date), as provided in, and subject to the terms of, the Indenture. In accordance with Section 4.06 of the Indenture, the Issuers may be required to offer to purchase Notes with the Net Proceeds of certain Asset Sales.</w:t>
      </w:r>
    </w:p>
    <w:p>
      <w:pPr>
        <w:spacing w:after="0" w:line="95" w:lineRule="exact"/>
        <w:rPr>
          <w:sz w:val="20"/>
          <w:szCs w:val="20"/>
          <w:color w:val="auto"/>
        </w:rPr>
      </w:pPr>
    </w:p>
    <w:p>
      <w:pPr>
        <w:ind w:left="180" w:hanging="174"/>
        <w:spacing w:after="0"/>
        <w:tabs>
          <w:tab w:leader="none" w:pos="18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[Intentionally Omitted]</w:t>
      </w:r>
    </w:p>
    <w:p>
      <w:pPr>
        <w:spacing w:after="0" w:line="128" w:lineRule="exact"/>
        <w:rPr>
          <w:rFonts w:ascii="Times New Roman" w:cs="Times New Roman" w:eastAsia="Times New Roman" w:hAnsi="Times New Roman"/>
          <w:sz w:val="12"/>
          <w:szCs w:val="12"/>
          <w:color w:val="auto"/>
        </w:rPr>
      </w:pPr>
    </w:p>
    <w:p>
      <w:pPr>
        <w:ind w:left="180" w:hanging="174"/>
        <w:spacing w:after="0"/>
        <w:tabs>
          <w:tab w:leader="none" w:pos="18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Denominations; Transfer; Exchange</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The Notes are in registered form, without coupons, in denominations of $200,000 principal amount and integral multiples of $1,000 in excess thereof. A holder shall register the transfer of or exchange of the Notes in accordance with the Indenture. Upon any registration of transfer or exchange, the Registrar and the Trustee may require a holder, among other things, to furnish appropriate endorsements and transfer documents and the Issuers may require a holder to pay any taxes required by law and permitted by the Indenture. The Issuers shall not be required to make, and the Registrar need not register, transfers or exchanges of any Notes selected for redemption (except, in the case of a Note to be redeemed in part, the portion thereof not to be redeemed) or of any Notes for a period of 15 days before the mailing of a notice of redemption of Notes to be redeemed.</w:t>
      </w:r>
    </w:p>
    <w:p>
      <w:pPr>
        <w:spacing w:after="0" w:line="242" w:lineRule="exact"/>
        <w:rPr>
          <w:sz w:val="20"/>
          <w:szCs w:val="20"/>
          <w:color w:val="auto"/>
        </w:rPr>
      </w:pPr>
    </w:p>
    <w:p>
      <w:pPr>
        <w:ind w:left="180" w:hanging="174"/>
        <w:spacing w:after="0"/>
        <w:tabs>
          <w:tab w:leader="none" w:pos="180" w:val="left"/>
        </w:tabs>
        <w:numPr>
          <w:ilvl w:val="0"/>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Persons Deemed Owners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registered holder of this Note shall be treated as the owner of it for all purposes.</w:t>
      </w:r>
    </w:p>
    <w:p>
      <w:pPr>
        <w:spacing w:after="0" w:line="129" w:lineRule="exact"/>
        <w:rPr>
          <w:sz w:val="20"/>
          <w:szCs w:val="20"/>
          <w:color w:val="auto"/>
        </w:rPr>
      </w:pPr>
    </w:p>
    <w:p>
      <w:pPr>
        <w:ind w:left="180" w:hanging="174"/>
        <w:spacing w:after="0"/>
        <w:tabs>
          <w:tab w:leader="none" w:pos="180"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Unclaimed Money</w:t>
      </w:r>
    </w:p>
    <w:p>
      <w:pPr>
        <w:spacing w:after="0" w:line="12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2"/>
          <w:szCs w:val="12"/>
          <w:color w:val="auto"/>
        </w:rPr>
        <w:t>Subject to any applicable abandoned property law, the Trustee and each Paying Agent shall pay to the Issuers upon written request any money held by them for the payment of principal or interest that remains unclaimed for two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9</w:t>
      </w:r>
    </w:p>
    <w:p>
      <w:pPr>
        <w:sectPr>
          <w:pgSz w:w="11900" w:h="16840" w:orient="portrait"/>
          <w:cols w:equalWidth="0" w:num="1">
            <w:col w:w="10620"/>
          </w:cols>
          <w:pgMar w:left="640" w:top="1440" w:right="640" w:bottom="1440" w:gutter="0" w:footer="0" w:header="0"/>
        </w:sectPr>
      </w:pPr>
    </w:p>
    <w:bookmarkStart w:id="425" w:name="page426"/>
    <w:bookmarkEnd w:id="425"/>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years, and, thereafter, holders entitled to the money must look to the Issuers for payment as general creditors, and the Trustee and each Paying Agent shall have no further liability with respect to such monies.</w:t>
      </w:r>
    </w:p>
    <w:p>
      <w:pPr>
        <w:spacing w:after="0" w:line="129" w:lineRule="exact"/>
        <w:rPr>
          <w:sz w:val="20"/>
          <w:szCs w:val="20"/>
          <w:color w:val="auto"/>
        </w:rPr>
      </w:pPr>
    </w:p>
    <w:p>
      <w:pPr>
        <w:ind w:left="180" w:hanging="174"/>
        <w:spacing w:after="0"/>
        <w:tabs>
          <w:tab w:leader="none" w:pos="180"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Discharge and Defeasance</w:t>
      </w:r>
    </w:p>
    <w:p>
      <w:pPr>
        <w:spacing w:after="0" w:line="12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2"/>
          <w:szCs w:val="12"/>
          <w:color w:val="auto"/>
        </w:rPr>
        <w:t>Subject to certain conditions, the Issuers at any time may terminate some of or all their obligations under the Notes and the Indenture if the Issuers deposit with the Trustee cash in U.S. dollars or U.S. Government Obligations sufficient to pay the principal of and premium (if any) and interest on the Notes when due at maturity or redemption, as the case may be.</w:t>
      </w:r>
    </w:p>
    <w:p>
      <w:pPr>
        <w:spacing w:after="0" w:line="79" w:lineRule="exact"/>
        <w:rPr>
          <w:sz w:val="20"/>
          <w:szCs w:val="20"/>
          <w:color w:val="auto"/>
        </w:rPr>
      </w:pPr>
    </w:p>
    <w:p>
      <w:pPr>
        <w:ind w:left="180" w:hanging="174"/>
        <w:spacing w:after="0"/>
        <w:tabs>
          <w:tab w:leader="none" w:pos="180"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Waiver</w:t>
      </w:r>
    </w:p>
    <w:p>
      <w:pPr>
        <w:spacing w:after="0" w:line="1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Subject to certain exceptions set forth in the Indenture, (i) the Indenture, the Notes, the Guarantees and the Collateral Documents may be amended with the consent of the holders of a majority in principal amount of the Notes then outstanding and (ii) any past default or compliance with any provisions may be waived with the consent of the holders of a majority in principal amount of the Notes then outstanding.</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The Issuers, the Trustee and the Notes Collateral Agent may amend the Indenture, the Notes or the Guarantees, and the Issuers and the Notes Collateral Agent may amend the Collateral Documents, in each case without the consent of any holder (i) to cure any ambiguity, omission, mistake, defect or inconsistency; (ii) to provide for the assumption by a Successor Company (with respect to an Issuer) of the obligations of such Issuer under the Indenture, the Notes and any Collateral Document; (iii) to provide for the assumption by a Successor Person (with respect to any Guarantor) of the obligations of a Guarantor under the Indenture, its Guarantee and any Collateral Document; (iv) to provide for uncertificated Notes in addition to or in place of certificated Notes,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uncertificated Notes are issued in registered form for purposes of Section 163(f) of the Code, or in a manner such that the uncertificated Notes are described in Section 163(f)(2)(B) of the Code; (v) to add a Guarantee or Collateral with respect to the Notes;</w:t>
      </w:r>
    </w:p>
    <w:p>
      <w:pPr>
        <w:spacing w:after="0" w:line="1" w:lineRule="exact"/>
        <w:rPr>
          <w:sz w:val="20"/>
          <w:szCs w:val="20"/>
          <w:color w:val="auto"/>
        </w:rPr>
      </w:pPr>
    </w:p>
    <w:p>
      <w:pPr>
        <w:jc w:val="both"/>
        <w:ind w:firstLine="6"/>
        <w:spacing w:after="0" w:line="251" w:lineRule="auto"/>
        <w:tabs>
          <w:tab w:leader="none" w:pos="212"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release a Guarantee or Collateral as permitted by the Indenture; (vii) to add to the covenants of the Issuers for the benefit of the holders or to surrender any right or power conferred upon the Issuers; (viii) to include additional parallel debt provisions; (ix) to make any change that does not adversely affect the rights of any holder in any material respect; (x) to conform the text of the Indenture, the Guarantees, the Notes or the Collateral Documents to any provision of the “Description of the Secured Notes” in the Offering Memorandum to the extent that such provision was intended by the Company to be a verbatim recitation of a provision in the Indenture, the Guarantees, the Notes or the Collateral Documents, as stated in an Officer’s Certificate of the Issuers; (xi) to make changes to the Indenture to provide for the issuance of Additional Notes; or (xii) with respect to the Collateral Documents, to provide for the addition of any creditors to such agreements to the extent a pari passu lien or junior lien for the benefit of such creditor as permitted by the terms of the Indenture and any then-applicable Intercreditor Agreement.</w:t>
      </w:r>
    </w:p>
    <w:p>
      <w:pPr>
        <w:spacing w:after="0" w:line="100" w:lineRule="exact"/>
        <w:rPr>
          <w:sz w:val="20"/>
          <w:szCs w:val="20"/>
          <w:color w:val="auto"/>
        </w:rPr>
      </w:pPr>
    </w:p>
    <w:p>
      <w:pPr>
        <w:ind w:left="180" w:hanging="174"/>
        <w:spacing w:after="0"/>
        <w:tabs>
          <w:tab w:leader="none" w:pos="180"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Defaults and Remedies</w:t>
      </w:r>
    </w:p>
    <w:p>
      <w:pPr>
        <w:spacing w:after="0" w:line="12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If an Event of Default (other than an Event of Default specified in Section 6.01(f) or (g) of the Indenture with respect to an Issuer) occurs and is continuing, the Trustee by notice to the Issuers or the holders of at least 30% in principal amount of outstanding Notes by notice to the Issuers (with a copy to the Trustee) may declare the principal of, premium, if any, and accrued but unpaid interest on all the Notes to be due and payable. Upon such a declaration, such principal and interest shall be due and payable immediately. If an Event of Default specified in Section 6.01(f) or (g) of the Indenture with respect to an Issuer occurs, the principal of, premium, if any, and interest on all the Notes will become immediately due and payable without any declaration or other act on the part of the Trustee or any holders. The holders of a majority in principal amount of outstanding Notes may rescind any such acceleration with respect to the Notes and its consequences if:</w:t>
      </w:r>
    </w:p>
    <w:p>
      <w:pPr>
        <w:spacing w:after="0" w:line="99" w:lineRule="exact"/>
        <w:rPr>
          <w:sz w:val="20"/>
          <w:szCs w:val="20"/>
          <w:color w:val="auto"/>
        </w:rPr>
      </w:pPr>
    </w:p>
    <w:p>
      <w:pPr>
        <w:ind w:right="20" w:firstLine="6"/>
        <w:spacing w:after="0" w:line="263" w:lineRule="auto"/>
        <w:tabs>
          <w:tab w:leader="none" w:pos="16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existing Events of Default, other than the nonpayment of the principal of, premium, if any, and interest on the Notes that have become due solely by the declaration of acceleration, have been cured or waived; and</w:t>
      </w:r>
    </w:p>
    <w:p>
      <w:pPr>
        <w:spacing w:after="0" w:line="258" w:lineRule="exact"/>
        <w:rPr>
          <w:rFonts w:ascii="Times New Roman" w:cs="Times New Roman" w:eastAsia="Times New Roman" w:hAnsi="Times New Roman"/>
          <w:sz w:val="12"/>
          <w:szCs w:val="12"/>
          <w:color w:val="auto"/>
        </w:rPr>
      </w:pPr>
    </w:p>
    <w:p>
      <w:pPr>
        <w:ind w:left="180" w:hanging="174"/>
        <w:spacing w:after="0"/>
        <w:tabs>
          <w:tab w:leader="none" w:pos="180"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rescission would not conflict with any judgment or decree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10</w:t>
      </w:r>
    </w:p>
    <w:p>
      <w:pPr>
        <w:sectPr>
          <w:pgSz w:w="11900" w:h="16840" w:orient="portrait"/>
          <w:cols w:equalWidth="0" w:num="1">
            <w:col w:w="10620"/>
          </w:cols>
          <w:pgMar w:left="640" w:top="1440" w:right="640" w:bottom="1440" w:gutter="0" w:footer="0" w:header="0"/>
        </w:sectPr>
      </w:pPr>
    </w:p>
    <w:bookmarkStart w:id="426" w:name="page427"/>
    <w:bookmarkEnd w:id="426"/>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If an Event of Default occurs and is continuing, the Trustee and the Notes Collateral Agent shall be under no obligation to exercise any of the rights or powers under the Indenture or the Collateral Documents at the request or direction of any of the holders, unless such holders have offered to the Trustee and the Notes Collateral Agent, as applicable, indemnity or security satisfactory to it against any loss, liability or expense. Except to enforce the right to receive payment of principal, premium (if any) or interest when due, no holder may pursue any remedy with respect to the Indenture or the Notes unless (i) such holder has previously given the Trustee and the Notes Collateral Agent written notice that an Event of Default is continuing, (ii) holders of at least 30% in principal amount of the outstanding Notes have requested the Trustee or the Notes Collateral Agent to pursue the remedy, (iii) such holders have offered, and if requested, provided, the Trustee and the Notes Collateral Agent, as applicable, security or indemnity satisfactory to it against any loss, liability or expense, (iv) the Trustee or the Notes Collateral Agent, as applicable, has not complied with such request within 60 days after the receipt of the request and the offer of security or indemnity, and</w:t>
      </w:r>
    </w:p>
    <w:p>
      <w:pPr>
        <w:spacing w:after="0" w:line="1" w:lineRule="exact"/>
        <w:rPr>
          <w:sz w:val="20"/>
          <w:szCs w:val="20"/>
          <w:color w:val="auto"/>
        </w:rPr>
      </w:pPr>
    </w:p>
    <w:p>
      <w:pPr>
        <w:jc w:val="both"/>
        <w:ind w:right="20" w:firstLine="6"/>
        <w:spacing w:after="0" w:line="250" w:lineRule="auto"/>
        <w:tabs>
          <w:tab w:leader="none" w:pos="180"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a majority in principal amount of the outstanding Notes have not given the Trustee or the Notes Collateral Agent a direction inconsistent with such request within such 60-day period. Subject to any then-applicable Intercreditor Agreement, the holders of a majority in principal amount of outstanding Notes may direct the time, method and place of conducting any proceeding for any remedy available to the Trustee or the Notes Collateral Agent or of exercising any trust or power conferred on the Trustee or the Notes Collateral Agent. However, the Trustee or the Notes Collateral Agent, as applicable, may refuse to follow any direction that conflicts with law or the Indenture or the Collateral Documents, as applicable, or that the Trustee or the Notes Collateral Agent determines is unduly prejudicial to the rights of any other holder (it being understood that neither the Trustee nor the Notes Collateral Agent has an affirmative duty to ascertain whether or not any such directions are unduly prejudicial to any other holder) or that would involve the Trustee or the Notes Collateral Agent in personal liability. Prior to taking any action under the Indenture, the Trustee and the Notes Collateral Agent shall be entitled to security or indemnification satisfactory to it against all losses and expenses caused by taking or not taking such action.</w:t>
      </w:r>
    </w:p>
    <w:p>
      <w:pPr>
        <w:spacing w:after="0" w:line="103" w:lineRule="exact"/>
        <w:rPr>
          <w:sz w:val="20"/>
          <w:szCs w:val="20"/>
          <w:color w:val="auto"/>
        </w:rPr>
      </w:pPr>
    </w:p>
    <w:p>
      <w:pPr>
        <w:ind w:left="180" w:hanging="174"/>
        <w:spacing w:after="0"/>
        <w:tabs>
          <w:tab w:leader="none" w:pos="180"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Trustee Dealings with the Issuers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Trustee, in its individual or any other capacity, may become the owner or pledgee of Notes and may otherwise deal with the Issuers or their Affiliates with the same rights it would have if it were not Trustee.</w:t>
      </w:r>
    </w:p>
    <w:p>
      <w:pPr>
        <w:spacing w:after="0" w:line="129" w:lineRule="exact"/>
        <w:rPr>
          <w:sz w:val="20"/>
          <w:szCs w:val="20"/>
          <w:color w:val="auto"/>
        </w:rPr>
      </w:pPr>
    </w:p>
    <w:p>
      <w:pPr>
        <w:ind w:left="180" w:hanging="174"/>
        <w:spacing w:after="0"/>
        <w:tabs>
          <w:tab w:leader="none" w:pos="180"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Recourse Against Others</w:t>
      </w:r>
    </w:p>
    <w:p>
      <w:pPr>
        <w:spacing w:after="0" w:line="12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2"/>
          <w:szCs w:val="12"/>
          <w:color w:val="auto"/>
        </w:rPr>
        <w:t>No director, officer, employee, manager or incorporator of any Issuer or Guarantor and no holder of any Equity Interests in any Issuer or Guarantor, as such, will have any liability for any obligations of an Issuer or any Guarantor under the Notes, the Indenture, the Guarantees or the Collateral Documents, as applicable, or for any claim based on, in respect of, or by reason of, such obligations or their creation. Each holder of Notes by accepting a Note waives and releases all such liability.</w:t>
      </w:r>
    </w:p>
    <w:p>
      <w:pPr>
        <w:spacing w:after="0" w:line="91" w:lineRule="exact"/>
        <w:rPr>
          <w:sz w:val="20"/>
          <w:szCs w:val="20"/>
          <w:color w:val="auto"/>
        </w:rPr>
      </w:pPr>
    </w:p>
    <w:p>
      <w:pPr>
        <w:ind w:left="180" w:hanging="174"/>
        <w:spacing w:after="0"/>
        <w:tabs>
          <w:tab w:leader="none" w:pos="180"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Authentication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Note shall not be valid until an authorized signatory of the Trustee (or an authenticating agent) manually signs the certificate of authentication on the other side of this Note.</w:t>
      </w:r>
    </w:p>
    <w:p>
      <w:pPr>
        <w:spacing w:after="0" w:line="129" w:lineRule="exact"/>
        <w:rPr>
          <w:sz w:val="20"/>
          <w:szCs w:val="20"/>
          <w:color w:val="auto"/>
        </w:rPr>
      </w:pPr>
    </w:p>
    <w:p>
      <w:pPr>
        <w:ind w:left="180" w:hanging="174"/>
        <w:spacing w:after="0"/>
        <w:tabs>
          <w:tab w:leader="none" w:pos="180"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SECURITY SHALL BE GOVERNED BY, AND CONSTRUED IN ACCORDANCE WITH, THE LAWS OF THE STATE OF NEW YORK.</w:t>
      </w:r>
    </w:p>
    <w:p>
      <w:pPr>
        <w:spacing w:after="0" w:line="129" w:lineRule="exact"/>
        <w:rPr>
          <w:sz w:val="20"/>
          <w:szCs w:val="20"/>
          <w:color w:val="auto"/>
        </w:rPr>
      </w:pPr>
    </w:p>
    <w:p>
      <w:pPr>
        <w:ind w:left="180" w:hanging="174"/>
        <w:spacing w:after="0"/>
        <w:tabs>
          <w:tab w:leader="none" w:pos="180" w:val="left"/>
        </w:tabs>
        <w:numPr>
          <w:ilvl w:val="0"/>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CUSIP Numbers; ISINs</w:t>
      </w:r>
    </w:p>
    <w:p>
      <w:pPr>
        <w:spacing w:after="0" w:line="12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2"/>
          <w:szCs w:val="12"/>
          <w:color w:val="auto"/>
        </w:rPr>
        <w:t>The Issuers have caused CUSIP numbers and ISINs to be printed on the Notes and have directed the Trustee to use CUSIP numbers and ISINs in notices of redemption as a convenience to the holders. No representation is made as to the correctness of such numbers either as printed on the Notes or as contained in any notice of redemption and reliance may be placed only on the other identification numbers printed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11</w:t>
      </w:r>
    </w:p>
    <w:p>
      <w:pPr>
        <w:sectPr>
          <w:pgSz w:w="11900" w:h="16840" w:orient="portrait"/>
          <w:cols w:equalWidth="0" w:num="1">
            <w:col w:w="10620"/>
          </w:cols>
          <w:pgMar w:left="640" w:top="1440" w:right="640" w:bottom="1440" w:gutter="0" w:footer="0" w:header="0"/>
        </w:sectPr>
      </w:pPr>
    </w:p>
    <w:bookmarkStart w:id="427" w:name="page428"/>
    <w:bookmarkEnd w:id="427"/>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Issuers will furnish to any holder of Notes upon written request and without charge to the holder a copy of the Indenture which has in it the text of this Note.</w:t>
      </w:r>
    </w:p>
    <w:p>
      <w:pPr>
        <w:sectPr>
          <w:pgSz w:w="11900" w:h="16840" w:orient="portrait"/>
          <w:cols w:equalWidth="0" w:num="1">
            <w:col w:w="9820"/>
          </w:cols>
          <w:pgMar w:left="6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2"/>
          <w:szCs w:val="12"/>
          <w:color w:val="auto"/>
        </w:rPr>
        <w:t>Exhibit A - Page 12</w:t>
      </w:r>
    </w:p>
    <w:p>
      <w:pPr>
        <w:sectPr>
          <w:pgSz w:w="11900" w:h="16840" w:orient="portrait"/>
          <w:cols w:equalWidth="0" w:num="1">
            <w:col w:w="9820"/>
          </w:cols>
          <w:pgMar w:left="640" w:top="1440" w:right="1440" w:bottom="1440" w:gutter="0" w:footer="0" w:header="0"/>
          <w:type w:val="continuous"/>
        </w:sectPr>
      </w:pPr>
    </w:p>
    <w:bookmarkStart w:id="428" w:name="page429"/>
    <w:bookmarkEnd w:id="428"/>
    <w:p>
      <w:pPr>
        <w:spacing w:after="0" w:line="1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ASSIGNMENT FORM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assign this Note, fill in the form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or we assign and transfer this Note to:</w:t>
      </w:r>
    </w:p>
    <w:p>
      <w:pPr>
        <w:spacing w:after="0" w:line="12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2"/>
          <w:szCs w:val="12"/>
          <w:color w:val="auto"/>
        </w:rPr>
        <w:t>(Print or type assignee’s name, address and zip code)</w:t>
      </w:r>
    </w:p>
    <w:p>
      <w:pPr>
        <w:spacing w:after="0" w:line="1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2"/>
          <w:szCs w:val="12"/>
          <w:color w:val="auto"/>
        </w:rPr>
        <w:t>(Insert assignee’s soc. sec. or tax I.D. No.)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irrevocably appoint agent to transfer this Note on the books of the Issuers. The agent may substitute another to act for him.</w:t>
      </w:r>
    </w:p>
    <w:p>
      <w:pPr>
        <w:sectPr>
          <w:pgSz w:w="11900" w:h="16840" w:orient="portrait"/>
          <w:cols w:equalWidth="0" w:num="1">
            <w:col w:w="9820"/>
          </w:cols>
          <w:pgMar w:left="640" w:top="1440" w:right="1440" w:bottom="1440" w:gutter="0" w:footer="0" w:header="0"/>
        </w:sect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 Signature:</w:t>
      </w:r>
    </w:p>
    <w:p>
      <w:pPr>
        <w:spacing w:after="0" w:line="200" w:lineRule="exact"/>
        <w:rPr>
          <w:sz w:val="20"/>
          <w:szCs w:val="20"/>
          <w:color w:val="auto"/>
        </w:rPr>
      </w:pPr>
    </w:p>
    <w:p>
      <w:pPr>
        <w:sectPr>
          <w:pgSz w:w="11900" w:h="16840" w:orient="portrait"/>
          <w:cols w:equalWidth="0" w:num="2">
            <w:col w:w="6700" w:space="720"/>
            <w:col w:w="2400"/>
          </w:cols>
          <w:pgMar w:left="640" w:top="1440"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 exactly as your name appears on the other side of this Note.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Guarantee:</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ectPr>
          <w:pgSz w:w="11900" w:h="16840" w:orient="portrait"/>
          <w:cols w:equalWidth="0" w:num="1">
            <w:col w:w="9820"/>
          </w:cols>
          <w:pgMar w:left="640" w:top="1440" w:right="1440" w:bottom="1440" w:gutter="0" w:footer="0" w:header="0"/>
          <w:type w:val="continuous"/>
        </w:sectPr>
      </w:pPr>
    </w:p>
    <w:p>
      <w:pPr>
        <w:spacing w:after="0" w:line="24"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2"/>
          <w:szCs w:val="12"/>
          <w:color w:val="auto"/>
        </w:rPr>
        <w:t>Signature must be guaranteed by a participant in a recognized signature guaranty medallion program or other signature guarantor program reasonably acceptable to the Trustee.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Signature Guarantee</w:t>
      </w:r>
    </w:p>
    <w:p>
      <w:pPr>
        <w:spacing w:after="0" w:line="352" w:lineRule="exact"/>
        <w:rPr>
          <w:sz w:val="20"/>
          <w:szCs w:val="20"/>
          <w:color w:val="auto"/>
        </w:rPr>
      </w:pPr>
    </w:p>
    <w:p>
      <w:pPr>
        <w:sectPr>
          <w:pgSz w:w="11900" w:h="16840" w:orient="portrait"/>
          <w:cols w:equalWidth="0" w:num="2">
            <w:col w:w="5120" w:space="420"/>
            <w:col w:w="4280"/>
          </w:cols>
          <w:pgMar w:left="6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2"/>
          <w:szCs w:val="12"/>
          <w:color w:val="auto"/>
        </w:rPr>
        <w:t>Exhibit A - Page 13</w:t>
      </w:r>
    </w:p>
    <w:p>
      <w:pPr>
        <w:sectPr>
          <w:pgSz w:w="11900" w:h="16840" w:orient="portrait"/>
          <w:cols w:equalWidth="0" w:num="1">
            <w:col w:w="9820"/>
          </w:cols>
          <w:pgMar w:left="640" w:top="1440" w:right="1440" w:bottom="1440" w:gutter="0" w:footer="0" w:header="0"/>
          <w:type w:val="continuous"/>
        </w:sectPr>
      </w:pPr>
    </w:p>
    <w:bookmarkStart w:id="429" w:name="page430"/>
    <w:bookmarkEnd w:id="429"/>
    <w:p>
      <w:pPr>
        <w:spacing w:after="0" w:line="1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2"/>
          <w:szCs w:val="12"/>
          <w:color w:val="auto"/>
        </w:rPr>
        <w:t>CERTIFICATE TO BE DELIVERED UPON EXCHANGE OR</w:t>
      </w:r>
    </w:p>
    <w:p>
      <w:pPr>
        <w:spacing w:after="0" w:line="1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REGISTRATION OF TRANSFER OF RESTRICTED NOTE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certificate relates to $_________ principal amount of Notes held in (check applicable space) ____ book-entry or _____ definitive form by the undersigned.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undersigned (check one box below):</w:t>
      </w:r>
    </w:p>
    <w:p>
      <w:pPr>
        <w:spacing w:after="0" w:line="157" w:lineRule="exact"/>
        <w:rPr>
          <w:sz w:val="20"/>
          <w:szCs w:val="20"/>
          <w:color w:val="auto"/>
        </w:rPr>
      </w:pPr>
    </w:p>
    <w:p>
      <w:pPr>
        <w:ind w:left="460" w:right="20" w:hanging="444"/>
        <w:spacing w:after="0" w:line="253" w:lineRule="auto"/>
        <w:tabs>
          <w:tab w:leader="none" w:pos="460" w:val="left"/>
        </w:tabs>
        <w:numPr>
          <w:ilvl w:val="0"/>
          <w:numId w:val="44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has requested the Trustee by written order to deliver in exchange for its beneficial interest in the Global Note held by the Depository a Note or Notes in definitive, registered form of authorized denominations and an aggregate principal amount equal to its beneficial interest in such Global Note (or the portion thereof indicated above);</w:t>
      </w:r>
    </w:p>
    <w:p>
      <w:pPr>
        <w:spacing w:after="0" w:line="251" w:lineRule="exact"/>
        <w:rPr>
          <w:rFonts w:ascii="MS PGothic" w:cs="MS PGothic" w:eastAsia="MS PGothic" w:hAnsi="MS PGothic"/>
          <w:sz w:val="12"/>
          <w:szCs w:val="12"/>
          <w:color w:val="auto"/>
        </w:rPr>
      </w:pPr>
    </w:p>
    <w:p>
      <w:pPr>
        <w:ind w:left="460" w:hanging="444"/>
        <w:spacing w:after="0"/>
        <w:tabs>
          <w:tab w:leader="none" w:pos="460" w:val="left"/>
        </w:tabs>
        <w:numPr>
          <w:ilvl w:val="0"/>
          <w:numId w:val="44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has requested the Trustee by written order to exchange or register the transfer of a Note or Notes.</w:t>
      </w:r>
    </w:p>
    <w:p>
      <w:pPr>
        <w:spacing w:after="0" w:line="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color w:val="auto"/>
        </w:rPr>
        <w:t>In connection with any transfer of any of the Notes evidenced by this certificate occurring while this Note is still a Transfer Restricted Definitive Note or a Transfer Restricted Global Note, the undersigned confirms that such Notes are being transferred in accordance with its terms: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CHECK ONE BOX BELOW</w:t>
      </w:r>
    </w:p>
    <w:p>
      <w:pPr>
        <w:spacing w:after="0" w:line="197" w:lineRule="exact"/>
        <w:rPr>
          <w:sz w:val="20"/>
          <w:szCs w:val="20"/>
          <w:color w:val="auto"/>
        </w:rPr>
      </w:pPr>
    </w:p>
    <w:p>
      <w:pPr>
        <w:ind w:left="500" w:hanging="484"/>
        <w:spacing w:after="0" w:line="138" w:lineRule="exact"/>
        <w:tabs>
          <w:tab w:leader="none" w:pos="500" w:val="left"/>
        </w:tabs>
        <w:numPr>
          <w:ilvl w:val="0"/>
          <w:numId w:val="442"/>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to the Issuers; or</w:t>
      </w:r>
    </w:p>
    <w:p>
      <w:pPr>
        <w:spacing w:after="0" w:line="99" w:lineRule="exact"/>
        <w:rPr>
          <w:rFonts w:ascii="Times New Roman" w:cs="Times New Roman" w:eastAsia="Times New Roman" w:hAnsi="Times New Roman"/>
          <w:sz w:val="12"/>
          <w:szCs w:val="12"/>
          <w:color w:val="auto"/>
        </w:rPr>
      </w:pPr>
    </w:p>
    <w:p>
      <w:pPr>
        <w:ind w:left="500" w:hanging="484"/>
        <w:spacing w:after="0" w:line="138" w:lineRule="exact"/>
        <w:tabs>
          <w:tab w:leader="none" w:pos="500" w:val="left"/>
        </w:tabs>
        <w:numPr>
          <w:ilvl w:val="0"/>
          <w:numId w:val="442"/>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to the Registrar for registration in the name of the holder, without transfer; or</w:t>
      </w:r>
    </w:p>
    <w:p>
      <w:pPr>
        <w:spacing w:after="0" w:line="99" w:lineRule="exact"/>
        <w:rPr>
          <w:rFonts w:ascii="Times New Roman" w:cs="Times New Roman" w:eastAsia="Times New Roman" w:hAnsi="Times New Roman"/>
          <w:sz w:val="12"/>
          <w:szCs w:val="12"/>
          <w:color w:val="auto"/>
        </w:rPr>
      </w:pPr>
    </w:p>
    <w:p>
      <w:pPr>
        <w:ind w:left="500" w:hanging="484"/>
        <w:spacing w:after="0" w:line="138" w:lineRule="exact"/>
        <w:tabs>
          <w:tab w:leader="none" w:pos="500" w:val="left"/>
        </w:tabs>
        <w:numPr>
          <w:ilvl w:val="0"/>
          <w:numId w:val="442"/>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pursuant to an effective registration statement under the Securities Act of 1933; or</w:t>
      </w:r>
    </w:p>
    <w:p>
      <w:pPr>
        <w:spacing w:after="0" w:line="99" w:lineRule="exact"/>
        <w:rPr>
          <w:rFonts w:ascii="Times New Roman" w:cs="Times New Roman" w:eastAsia="Times New Roman" w:hAnsi="Times New Roman"/>
          <w:sz w:val="12"/>
          <w:szCs w:val="12"/>
          <w:color w:val="auto"/>
        </w:rPr>
      </w:pPr>
    </w:p>
    <w:p>
      <w:pPr>
        <w:ind w:left="900" w:right="40" w:hanging="884"/>
        <w:spacing w:after="0" w:line="136" w:lineRule="exact"/>
        <w:tabs>
          <w:tab w:leader="none" w:pos="500" w:val="left"/>
        </w:tabs>
        <w:numPr>
          <w:ilvl w:val="0"/>
          <w:numId w:val="442"/>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and in accordance with all applicable securities laws of any state of the United States or any other jurisdiction; or</w:t>
      </w:r>
    </w:p>
    <w:p>
      <w:pPr>
        <w:spacing w:after="0" w:line="78" w:lineRule="exact"/>
        <w:rPr>
          <w:rFonts w:ascii="Times New Roman" w:cs="Times New Roman" w:eastAsia="Times New Roman" w:hAnsi="Times New Roman"/>
          <w:sz w:val="12"/>
          <w:szCs w:val="12"/>
          <w:color w:val="auto"/>
        </w:rPr>
      </w:pPr>
    </w:p>
    <w:p>
      <w:pPr>
        <w:ind w:left="900" w:right="40" w:hanging="884"/>
        <w:spacing w:after="0" w:line="142" w:lineRule="exact"/>
        <w:tabs>
          <w:tab w:leader="none" w:pos="500" w:val="left"/>
        </w:tabs>
        <w:numPr>
          <w:ilvl w:val="0"/>
          <w:numId w:val="442"/>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outside the United States in an offshore transaction within the meaning of Regulation S under the Securities Act in compliance with Rule 903 or Rule 904 (or Rule 144 if available) under the Securities Act of 1933 and such Note shall be held immediately after the transfer through Euroclear or Clearstream until the expiration of the Restricted Period (as defined in the Indenture); or</w:t>
      </w:r>
    </w:p>
    <w:p>
      <w:pPr>
        <w:spacing w:after="0" w:line="78" w:lineRule="exact"/>
        <w:rPr>
          <w:rFonts w:ascii="Times New Roman" w:cs="Times New Roman" w:eastAsia="Times New Roman" w:hAnsi="Times New Roman"/>
          <w:sz w:val="12"/>
          <w:szCs w:val="12"/>
          <w:color w:val="auto"/>
        </w:rPr>
      </w:pPr>
    </w:p>
    <w:p>
      <w:pPr>
        <w:ind w:left="500" w:hanging="484"/>
        <w:spacing w:after="0" w:line="138" w:lineRule="exact"/>
        <w:tabs>
          <w:tab w:leader="none" w:pos="500" w:val="left"/>
        </w:tabs>
        <w:numPr>
          <w:ilvl w:val="0"/>
          <w:numId w:val="442"/>
        </w:numPr>
        <w:rPr>
          <w:rFonts w:ascii="Times New Roman" w:cs="Times New Roman" w:eastAsia="Times New Roman" w:hAnsi="Times New Roman"/>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pursuant to another available exemption from registration provided by Rule 144 under the Securities Act of 1933.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one of the boxes is checked, the Trustee will refuse to register any of the Notes evidenced by this certificate in the name of any Person other than the registered holder thereof</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box</w:t>
      </w:r>
    </w:p>
    <w:p>
      <w:pPr>
        <w:spacing w:after="0" w:line="19" w:lineRule="exact"/>
        <w:rPr>
          <w:sz w:val="20"/>
          <w:szCs w:val="20"/>
          <w:color w:val="auto"/>
        </w:rPr>
      </w:pPr>
    </w:p>
    <w:p>
      <w:pPr>
        <w:ind w:right="20" w:firstLine="6"/>
        <w:spacing w:after="0" w:line="262" w:lineRule="auto"/>
        <w:tabs>
          <w:tab w:leader="none" w:pos="17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(6) is checked, the Issuers or the Trustee may require, prior to registering any such transfer of the Notes, such legal opinions, certifications and other information as the Issuers or the Trustee have reasonably requested to confirm that such transfer is being made pursuant to an exemption from, or in a transaction not subject to, the registration requirements of the Securities Act of 1933.</w:t>
      </w:r>
    </w:p>
    <w:p>
      <w:pPr>
        <w:spacing w:after="0" w:line="189" w:lineRule="exact"/>
        <w:rPr>
          <w:sz w:val="20"/>
          <w:szCs w:val="20"/>
          <w:color w:val="auto"/>
        </w:rPr>
      </w:pPr>
    </w:p>
    <w:p>
      <w:pPr>
        <w:ind w:left="20"/>
        <w:spacing w:after="0"/>
        <w:tabs>
          <w:tab w:leader="none" w:pos="418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Your Signature: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14</w:t>
      </w:r>
    </w:p>
    <w:p>
      <w:pPr>
        <w:sectPr>
          <w:pgSz w:w="11900" w:h="16840" w:orient="portrait"/>
          <w:cols w:equalWidth="0" w:num="1">
            <w:col w:w="10620"/>
          </w:cols>
          <w:pgMar w:left="640" w:top="1440" w:right="640" w:bottom="1440" w:gutter="0" w:footer="0" w:header="0"/>
        </w:sectPr>
      </w:pPr>
    </w:p>
    <w:bookmarkStart w:id="430" w:name="page431"/>
    <w:bookmarkEnd w:id="430"/>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Signature Guarantee:</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ectPr>
          <w:pgSz w:w="11900" w:h="16840" w:orient="portrait"/>
          <w:cols w:equalWidth="0" w:num="1">
            <w:col w:w="10620"/>
          </w:cols>
          <w:pgMar w:left="640" w:top="1440" w:right="640" w:bottom="1440" w:gutter="0" w:footer="0" w:header="0"/>
        </w:sectPr>
      </w:pPr>
    </w:p>
    <w:p>
      <w:pPr>
        <w:spacing w:after="0" w:line="33"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2"/>
          <w:szCs w:val="12"/>
          <w:color w:val="auto"/>
        </w:rPr>
        <w:t>Signature must be guaranteed by a participant in a recognized signature guaranty medallion program or other signature guarantor program reasonably acceptable to the Trustee.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Signature Guarantee</w:t>
      </w:r>
    </w:p>
    <w:p>
      <w:pPr>
        <w:spacing w:after="0" w:line="352" w:lineRule="exact"/>
        <w:rPr>
          <w:sz w:val="20"/>
          <w:szCs w:val="20"/>
          <w:color w:val="auto"/>
        </w:rPr>
      </w:pPr>
    </w:p>
    <w:p>
      <w:pPr>
        <w:sectPr>
          <w:pgSz w:w="11900" w:h="16840" w:orient="portrait"/>
          <w:cols w:equalWidth="0" w:num="2">
            <w:col w:w="5120" w:space="420"/>
            <w:col w:w="5080"/>
          </w:cols>
          <w:pgMar w:left="640" w:top="1440" w:right="640" w:bottom="1440" w:gutter="0" w:footer="0" w:header="0"/>
          <w:type w:val="continuous"/>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TO BE COMPLETED BY PURCHASER IF (4) ABOVE IS CHECKED.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pacing w:after="0" w:line="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NOTICE: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15</w:t>
      </w:r>
    </w:p>
    <w:p>
      <w:pPr>
        <w:sectPr>
          <w:pgSz w:w="11900" w:h="16840" w:orient="portrait"/>
          <w:cols w:equalWidth="0" w:num="1">
            <w:col w:w="10620"/>
          </w:cols>
          <w:pgMar w:left="640" w:top="1440" w:right="640" w:bottom="1440" w:gutter="0" w:footer="0" w:header="0"/>
          <w:type w:val="continuous"/>
        </w:sectPr>
      </w:pPr>
    </w:p>
    <w:bookmarkStart w:id="431" w:name="page432"/>
    <w:bookmarkEnd w:id="431"/>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[TO BE ATTACHED TO GLOBAL NOTES]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SCHEDULE OF INCREASES OR DECREASES IN GLOBAL NOTE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initial principal amount of this Global Note is $______________. The following increases or decreases in this Global Note have been made:</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25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Principal amount</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Signature of</w:t>
            </w:r>
          </w:p>
        </w:tc>
      </w:tr>
      <w:tr>
        <w:trPr>
          <w:trHeight w:val="124"/>
        </w:trPr>
        <w:tc>
          <w:tcPr>
            <w:tcW w:w="256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14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Amount of increase</w:t>
            </w: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this Global</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authorized</w:t>
            </w:r>
          </w:p>
        </w:tc>
      </w:tr>
      <w:tr>
        <w:trPr>
          <w:trHeight w:val="124"/>
        </w:trPr>
        <w:tc>
          <w:tcPr>
            <w:tcW w:w="256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decrease in</w:t>
            </w:r>
          </w:p>
        </w:tc>
        <w:tc>
          <w:tcPr>
            <w:tcW w:w="14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Principal</w:t>
            </w: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Note following</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signatory of</w:t>
            </w:r>
          </w:p>
        </w:tc>
      </w:tr>
      <w:tr>
        <w:trPr>
          <w:trHeight w:val="124"/>
        </w:trPr>
        <w:tc>
          <w:tcPr>
            <w:tcW w:w="256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Principal Amount</w:t>
            </w:r>
          </w:p>
        </w:tc>
        <w:tc>
          <w:tcPr>
            <w:tcW w:w="140" w:type="dxa"/>
            <w:vAlign w:val="bottom"/>
          </w:tcPr>
          <w:p>
            <w:pPr>
              <w:spacing w:after="0"/>
              <w:rPr>
                <w:sz w:val="10"/>
                <w:szCs w:val="1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Amount of this</w:t>
            </w:r>
          </w:p>
        </w:tc>
        <w:tc>
          <w:tcPr>
            <w:tcW w:w="22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such decrease or</w:t>
            </w:r>
          </w:p>
        </w:tc>
        <w:tc>
          <w:tcPr>
            <w:tcW w:w="12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Trustee</w:t>
            </w:r>
          </w:p>
        </w:tc>
      </w:tr>
      <w:tr>
        <w:trPr>
          <w:trHeight w:val="152"/>
        </w:trPr>
        <w:tc>
          <w:tcPr>
            <w:tcW w:w="2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Date of Exchange</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of this Global Note</w:t>
            </w:r>
          </w:p>
        </w:tc>
        <w:tc>
          <w:tcPr>
            <w:tcW w:w="14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Global Note</w:t>
            </w:r>
          </w:p>
        </w:tc>
        <w:tc>
          <w:tcPr>
            <w:tcW w:w="22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increase</w:t>
            </w:r>
          </w:p>
        </w:tc>
        <w:tc>
          <w:tcPr>
            <w:tcW w:w="120" w:type="dxa"/>
            <w:vAlign w:val="bottom"/>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or Notes Custodian</w:t>
            </w:r>
          </w:p>
        </w:tc>
      </w:tr>
    </w:tbl>
    <w:p>
      <w:pPr>
        <w:spacing w:after="0" w:line="200" w:lineRule="exact"/>
        <w:rPr>
          <w:sz w:val="20"/>
          <w:szCs w:val="20"/>
          <w:color w:val="auto"/>
        </w:rPr>
      </w:pPr>
    </w:p>
    <w:p>
      <w:pPr>
        <w:spacing w:after="0" w:line="39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color w:val="auto"/>
        </w:rPr>
        <w:t>OPTION OF HOLDER TO ELECT PURCHASE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you want to elect to have this Note purchased by the Issuers pursuant to Section 4.06 (Asset Sale) or 4.08 (Change of Control) of the Indenture, check the box:</w:t>
      </w:r>
    </w:p>
    <w:p>
      <w:pPr>
        <w:spacing w:after="0" w:line="102"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Asset Sale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Change of Control </w:t>
      </w:r>
      <w:r>
        <w:rPr>
          <w:rFonts w:ascii="MS PGothic" w:cs="MS PGothic" w:eastAsia="MS PGothic" w:hAnsi="MS PGothic"/>
          <w:sz w:val="12"/>
          <w:szCs w:val="12"/>
          <w:color w:val="auto"/>
        </w:rPr>
        <w:t>☐</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If you want to elect to have only part of this Note purchased by the Issuers pursuant to Section 4.06 (Asset Sale) or 4.08 (Change of Control) of the Indenture, state the amount ($200,000 or any integral multiple of $1,000 in excess thereof):</w:t>
      </w:r>
    </w:p>
    <w:p>
      <w:pPr>
        <w:spacing w:after="0" w:line="2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t>
      </w:r>
    </w:p>
    <w:p>
      <w:pPr>
        <w:spacing w:after="0" w:line="24" w:lineRule="exact"/>
        <w:rPr>
          <w:sz w:val="20"/>
          <w:szCs w:val="20"/>
          <w:color w:val="auto"/>
        </w:rPr>
      </w:pPr>
    </w:p>
    <w:p>
      <w:pPr>
        <w:ind w:left="20"/>
        <w:spacing w:after="0"/>
        <w:tabs>
          <w:tab w:leader="none" w:pos="472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15240</wp:posOffset>
            </wp:positionV>
            <wp:extent cx="266509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7">
                      <a:extLst>
                        <a:ext uri="{28A0092B-C50C-407E-A947-70E740481C1C}"/>
                      </a:extLst>
                    </a:blip>
                    <a:srcRect/>
                    <a:stretch>
                      <a:fillRect/>
                    </a:stretch>
                  </pic:blipFill>
                  <pic:spPr bwMode="auto">
                    <a:xfrm>
                      <a:off x="0" y="0"/>
                      <a:ext cx="2665095" cy="6350"/>
                    </a:xfrm>
                    <a:prstGeom prst="rect">
                      <a:avLst/>
                    </a:prstGeom>
                    <a:noFill/>
                  </pic:spPr>
                </pic:pic>
              </a:graphicData>
            </a:graphic>
          </wp:anchor>
        </w:drawing>
      </w:r>
    </w:p>
    <w:p>
      <w:pPr>
        <w:spacing w:after="0" w:line="1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2"/>
          <w:szCs w:val="12"/>
          <w:color w:val="auto"/>
        </w:rPr>
        <w:t>(Sign exactly as your name appears on</w:t>
      </w:r>
    </w:p>
    <w:p>
      <w:pPr>
        <w:spacing w:after="0" w:line="2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2"/>
          <w:szCs w:val="12"/>
          <w:color w:val="auto"/>
        </w:rPr>
        <w:t>the other side of this Note)</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Signature Guarantee: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Signature must be guaranteed by a participant in a recognized signature guaranty medallion</w:t>
      </w:r>
    </w:p>
    <w:p>
      <w:pPr>
        <w:ind w:left="20"/>
        <w:spacing w:after="0"/>
        <w:rPr>
          <w:sz w:val="20"/>
          <w:szCs w:val="20"/>
          <w:color w:val="auto"/>
        </w:rPr>
      </w:pPr>
      <w:r>
        <w:rPr>
          <w:rFonts w:ascii="Times New Roman" w:cs="Times New Roman" w:eastAsia="Times New Roman" w:hAnsi="Times New Roman"/>
          <w:sz w:val="12"/>
          <w:szCs w:val="12"/>
          <w:color w:val="auto"/>
        </w:rPr>
        <w:t>program or other signature guarantor program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A - Page 16</w:t>
      </w:r>
    </w:p>
    <w:p>
      <w:pPr>
        <w:sectPr>
          <w:pgSz w:w="11900" w:h="16840" w:orient="portrait"/>
          <w:cols w:equalWidth="0" w:num="1">
            <w:col w:w="10600"/>
          </w:cols>
          <w:pgMar w:left="640" w:top="1440" w:right="660" w:bottom="1440" w:gutter="0" w:footer="0" w:header="0"/>
        </w:sectPr>
      </w:pPr>
    </w:p>
    <w:bookmarkStart w:id="432" w:name="page433"/>
    <w:bookmarkEnd w:id="432"/>
    <w:p>
      <w:pPr>
        <w:spacing w:after="0" w:line="15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OF] SUPPLEMENTAL INDENTURE</w:t>
      </w:r>
      <w:r>
        <w:rPr>
          <w:rFonts w:ascii="Times New Roman" w:cs="Times New Roman" w:eastAsia="Times New Roman" w:hAnsi="Times New Roman"/>
          <w:sz w:val="17"/>
          <w:szCs w:val="17"/>
          <w:b w:val="1"/>
          <w:bCs w:val="1"/>
          <w:color w:val="auto"/>
          <w:vertAlign w:val="superscript"/>
        </w:rPr>
        <w:t>1</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SUPPLEMENTAL INDENTURE (this “</w:t>
      </w:r>
      <w:r>
        <w:rPr>
          <w:rFonts w:ascii="Times New Roman" w:cs="Times New Roman" w:eastAsia="Times New Roman" w:hAnsi="Times New Roman"/>
          <w:sz w:val="12"/>
          <w:szCs w:val="12"/>
          <w:u w:val="single" w:color="auto"/>
          <w:color w:val="auto"/>
        </w:rPr>
        <w:t>Supplemental Indenture</w:t>
      </w:r>
      <w:r>
        <w:rPr>
          <w:rFonts w:ascii="Times New Roman" w:cs="Times New Roman" w:eastAsia="Times New Roman" w:hAnsi="Times New Roman"/>
          <w:sz w:val="12"/>
          <w:szCs w:val="12"/>
          <w:color w:val="auto"/>
        </w:rPr>
        <w:t>”) dated as of [ ], among [GUARANTOR] (the “</w:t>
      </w:r>
      <w:r>
        <w:rPr>
          <w:rFonts w:ascii="Times New Roman" w:cs="Times New Roman" w:eastAsia="Times New Roman" w:hAnsi="Times New Roman"/>
          <w:sz w:val="12"/>
          <w:szCs w:val="12"/>
          <w:u w:val="single" w:color="auto"/>
          <w:color w:val="auto"/>
        </w:rPr>
        <w:t>New Guarantor</w:t>
      </w:r>
      <w:r>
        <w:rPr>
          <w:rFonts w:ascii="Times New Roman" w:cs="Times New Roman" w:eastAsia="Times New Roman" w:hAnsi="Times New Roman"/>
          <w:sz w:val="12"/>
          <w:szCs w:val="12"/>
          <w:color w:val="auto"/>
        </w:rPr>
        <w:t>”), GENMAB A/S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GENMAB FINANCE LLC (the “</w:t>
      </w:r>
      <w:r>
        <w:rPr>
          <w:rFonts w:ascii="Times New Roman" w:cs="Times New Roman" w:eastAsia="Times New Roman" w:hAnsi="Times New Roman"/>
          <w:sz w:val="12"/>
          <w:szCs w:val="12"/>
          <w:u w:val="single" w:color="auto"/>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Co-Issuer</w:t>
      </w:r>
      <w:r>
        <w:rPr>
          <w:rFonts w:ascii="Times New Roman" w:cs="Times New Roman" w:eastAsia="Times New Roman" w:hAnsi="Times New Roman"/>
          <w:sz w:val="12"/>
          <w:szCs w:val="12"/>
          <w:color w:val="auto"/>
        </w:rPr>
        <w:t>” and, together with the Company and any successors thereto, the “</w:t>
      </w:r>
      <w:r>
        <w:rPr>
          <w:rFonts w:ascii="Times New Roman" w:cs="Times New Roman" w:eastAsia="Times New Roman" w:hAnsi="Times New Roman"/>
          <w:sz w:val="12"/>
          <w:szCs w:val="12"/>
          <w:u w:val="single" w:color="auto"/>
          <w:color w:val="auto"/>
        </w:rPr>
        <w:t>Issuers</w:t>
      </w:r>
      <w:r>
        <w:rPr>
          <w:rFonts w:ascii="Times New Roman" w:cs="Times New Roman" w:eastAsia="Times New Roman" w:hAnsi="Times New Roman"/>
          <w:sz w:val="12"/>
          <w:szCs w:val="12"/>
          <w:color w:val="auto"/>
        </w:rPr>
        <w:t>”), and Wilmington Trust, National Association, as trustee under the Indenture referred to below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 I T N E S S E T H :</w:t>
      </w:r>
    </w:p>
    <w:p>
      <w:pPr>
        <w:spacing w:after="0" w:line="129" w:lineRule="exact"/>
        <w:rPr>
          <w:sz w:val="20"/>
          <w:szCs w:val="20"/>
          <w:color w:val="auto"/>
        </w:rPr>
      </w:pPr>
    </w:p>
    <w:p>
      <w:pPr>
        <w:ind w:right="20" w:firstLine="274"/>
        <w:spacing w:after="0" w:line="287" w:lineRule="auto"/>
        <w:rPr>
          <w:sz w:val="20"/>
          <w:szCs w:val="20"/>
          <w:color w:val="auto"/>
        </w:rPr>
      </w:pPr>
      <w:r>
        <w:rPr>
          <w:rFonts w:ascii="Times New Roman" w:cs="Times New Roman" w:eastAsia="Times New Roman" w:hAnsi="Times New Roman"/>
          <w:sz w:val="12"/>
          <w:szCs w:val="12"/>
          <w:color w:val="auto"/>
        </w:rPr>
        <w:t xml:space="preserve">WHEREAS the Issuers and the Trustee have heretofore executed an indenture, dated as of December 3, 2025 (as amended, supplemented or otherwise modified,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providing for the issuance of the Issuers’ 6.250% Senior Secured Notes due 2032 (the “</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 initially in the aggregate principal amount of $1,500,000,000;</w:t>
      </w:r>
    </w:p>
    <w:p>
      <w:pPr>
        <w:spacing w:after="0" w:line="79" w:lineRule="exact"/>
        <w:rPr>
          <w:sz w:val="20"/>
          <w:szCs w:val="20"/>
          <w:color w:val="auto"/>
        </w:rPr>
      </w:pPr>
    </w:p>
    <w:p>
      <w:pPr>
        <w:ind w:right="20" w:firstLine="349"/>
        <w:spacing w:after="0" w:line="287" w:lineRule="auto"/>
        <w:rPr>
          <w:sz w:val="20"/>
          <w:szCs w:val="20"/>
          <w:color w:val="auto"/>
        </w:rPr>
      </w:pPr>
      <w:r>
        <w:rPr>
          <w:rFonts w:ascii="Times New Roman" w:cs="Times New Roman" w:eastAsia="Times New Roman" w:hAnsi="Times New Roman"/>
          <w:sz w:val="12"/>
          <w:szCs w:val="12"/>
          <w:color w:val="auto"/>
        </w:rPr>
        <w:t>WHEREAS Sections 4.11 and 12.07 of the Indenture provide that under certain circumstances the Issuers are required to cause the New Guarantor to execute and deliver to the Trustee a supplemental indenture pursuant to which the New Guarantor shall guarantee the Guaranteed Obligations; and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WHEREAS pursuant to Section 9.01(a)(v) of the Indenture, the Trustee and the Issuers are authorized to execute and deliver this Supplemental Indenture;</w:t>
      </w:r>
    </w:p>
    <w:p>
      <w:pPr>
        <w:spacing w:after="0" w:line="129" w:lineRule="exact"/>
        <w:rPr>
          <w:sz w:val="20"/>
          <w:szCs w:val="20"/>
          <w:color w:val="auto"/>
        </w:rPr>
      </w:pPr>
    </w:p>
    <w:p>
      <w:pPr>
        <w:ind w:right="20" w:firstLine="288"/>
        <w:spacing w:after="0" w:line="287" w:lineRule="auto"/>
        <w:rPr>
          <w:sz w:val="20"/>
          <w:szCs w:val="20"/>
          <w:color w:val="auto"/>
        </w:rPr>
      </w:pPr>
      <w:r>
        <w:rPr>
          <w:rFonts w:ascii="Times New Roman" w:cs="Times New Roman" w:eastAsia="Times New Roman" w:hAnsi="Times New Roman"/>
          <w:sz w:val="12"/>
          <w:szCs w:val="12"/>
          <w:color w:val="auto"/>
        </w:rPr>
        <w:t>NOW THEREFORE, in consideration of the foregoing and for other good and valuable consideration, the receipt of which is hereby acknowledged, the New Guarantor, the Issuers and the Trustee mutually covenant and agree for the equal and ratable benefit of the holders of the Notes as follows:</w:t>
      </w:r>
    </w:p>
    <w:p>
      <w:pPr>
        <w:spacing w:after="0" w:line="79" w:lineRule="exact"/>
        <w:rPr>
          <w:sz w:val="20"/>
          <w:szCs w:val="20"/>
          <w:color w:val="auto"/>
        </w:rPr>
      </w:pPr>
    </w:p>
    <w:p>
      <w:pPr>
        <w:ind w:firstLine="130"/>
        <w:spacing w:after="0" w:line="287" w:lineRule="auto"/>
        <w:tabs>
          <w:tab w:leader="none" w:pos="371"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Defined Terms</w:t>
      </w:r>
      <w:r>
        <w:rPr>
          <w:rFonts w:ascii="Times New Roman" w:cs="Times New Roman" w:eastAsia="Times New Roman" w:hAnsi="Times New Roman"/>
          <w:sz w:val="12"/>
          <w:szCs w:val="12"/>
          <w:color w:val="auto"/>
        </w:rPr>
        <w:t>. Capitalized terms used herein without definition shall have the meanings assigned to them in the Indenture. The words “herein,” “hereof” and “hereby” and other words of similar import used in this Supplemental Indenture refer to this Supplemental Indenture as a whole and not to any particular Section hereof.</w:t>
      </w:r>
    </w:p>
    <w:p>
      <w:pPr>
        <w:spacing w:after="0" w:line="79" w:lineRule="exact"/>
        <w:rPr>
          <w:rFonts w:ascii="Times New Roman" w:cs="Times New Roman" w:eastAsia="Times New Roman" w:hAnsi="Times New Roman"/>
          <w:sz w:val="12"/>
          <w:szCs w:val="12"/>
          <w:color w:val="auto"/>
        </w:rPr>
      </w:pPr>
    </w:p>
    <w:p>
      <w:pPr>
        <w:ind w:right="20" w:firstLine="149"/>
        <w:spacing w:after="0" w:line="287" w:lineRule="auto"/>
        <w:tabs>
          <w:tab w:leader="none" w:pos="390" w:val="left"/>
        </w:tabs>
        <w:numPr>
          <w:ilvl w:val="1"/>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Guarantee</w:t>
      </w:r>
      <w:r>
        <w:rPr>
          <w:rFonts w:ascii="Times New Roman" w:cs="Times New Roman" w:eastAsia="Times New Roman" w:hAnsi="Times New Roman"/>
          <w:sz w:val="12"/>
          <w:szCs w:val="12"/>
          <w:color w:val="auto"/>
        </w:rPr>
        <w:t>. The New Guarantor hereby, jointly and severally with all existing Guarantors (if any), guarantees the Guaranteed Obligations on the terms and subject to the conditions set forth in Article XII of the Indenture and agrees to be bound by all other applicable provisions of the Indenture and the Notes and to perform all of the obligations and agreements of a Guarantor under the Indenture.</w:t>
      </w:r>
    </w:p>
    <w:p>
      <w:pPr>
        <w:spacing w:after="0" w:line="79" w:lineRule="exact"/>
        <w:rPr>
          <w:sz w:val="20"/>
          <w:szCs w:val="20"/>
          <w:color w:val="auto"/>
        </w:rPr>
      </w:pPr>
    </w:p>
    <w:p>
      <w:pPr>
        <w:ind w:left="380" w:hanging="250"/>
        <w:spacing w:after="0"/>
        <w:tabs>
          <w:tab w:leader="none" w:pos="380"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or other communications to the New Guarantor shall be given to the Issuers as provided in Section 13.01 of the Indenture.</w:t>
      </w:r>
    </w:p>
    <w:p>
      <w:pPr>
        <w:spacing w:after="0" w:line="128" w:lineRule="exact"/>
        <w:rPr>
          <w:rFonts w:ascii="Times New Roman" w:cs="Times New Roman" w:eastAsia="Times New Roman" w:hAnsi="Times New Roman"/>
          <w:sz w:val="12"/>
          <w:szCs w:val="12"/>
          <w:color w:val="auto"/>
        </w:rPr>
      </w:pPr>
    </w:p>
    <w:p>
      <w:pPr>
        <w:jc w:val="both"/>
        <w:ind w:right="20" w:firstLine="149"/>
        <w:spacing w:after="0" w:line="276" w:lineRule="auto"/>
        <w:tabs>
          <w:tab w:leader="none" w:pos="390"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Ratification of Indenture; Supplemental Indentures Part of Indenture</w:t>
      </w:r>
      <w:r>
        <w:rPr>
          <w:rFonts w:ascii="Times New Roman" w:cs="Times New Roman" w:eastAsia="Times New Roman" w:hAnsi="Times New Roman"/>
          <w:sz w:val="12"/>
          <w:szCs w:val="1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33" w:lineRule="exact"/>
        <w:rPr>
          <w:sz w:val="20"/>
          <w:szCs w:val="20"/>
          <w:color w:val="auto"/>
        </w:rPr>
      </w:pPr>
    </w:p>
    <w:p>
      <w:pPr>
        <w:ind w:left="120"/>
        <w:spacing w:after="0"/>
        <w:tabs>
          <w:tab w:leader="none" w:pos="360" w:val="left"/>
        </w:tabs>
        <w:rPr>
          <w:sz w:val="20"/>
          <w:szCs w:val="20"/>
          <w:color w:val="auto"/>
        </w:rPr>
      </w:pPr>
      <w:r>
        <w:rPr>
          <w:rFonts w:ascii="Times New Roman" w:cs="Times New Roman" w:eastAsia="Times New Roman" w:hAnsi="Times New Roman"/>
          <w:sz w:val="12"/>
          <w:szCs w:val="12"/>
          <w:color w:val="auto"/>
        </w:rPr>
        <w:t>5.</w:t>
      </w:r>
      <w:r>
        <w:rPr>
          <w:sz w:val="20"/>
          <w:szCs w:val="20"/>
          <w:color w:val="auto"/>
        </w:rPr>
        <w:tab/>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THIS SUPPLEMENTAL INDENTURE SHALL BE GOVERNED BY, AND CONSTRUED IN ACCORDANCE WITH, THE LAWS OF THE STATE OF NEW YORK.</w:t>
      </w:r>
    </w:p>
    <w:p>
      <w:pPr>
        <w:spacing w:after="0" w:line="131"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2"/>
          <w:szCs w:val="12"/>
          <w:color w:val="auto"/>
        </w:rPr>
        <w:t xml:space="preserve">6. </w:t>
      </w:r>
      <w:r>
        <w:rPr>
          <w:rFonts w:ascii="Times New Roman" w:cs="Times New Roman" w:eastAsia="Times New Roman" w:hAnsi="Times New Roman"/>
          <w:sz w:val="12"/>
          <w:szCs w:val="12"/>
          <w:u w:val="single" w:color="auto"/>
          <w:color w:val="auto"/>
        </w:rPr>
        <w:t>Trustee Makes No Representation</w:t>
      </w:r>
      <w:r>
        <w:rPr>
          <w:rFonts w:ascii="Times New Roman" w:cs="Times New Roman" w:eastAsia="Times New Roman" w:hAnsi="Times New Roman"/>
          <w:sz w:val="12"/>
          <w:szCs w:val="12"/>
          <w:color w:val="auto"/>
        </w:rPr>
        <w:t>. The Trustee accepts the amendments of the Indenture effected by this Supplemental Indenture on the terms and conditions set forth in the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Issuers, or for or with</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In the case of any New Guarantor organized outside of the United States, local law provisions consistent with the Agreed Guarantee and Security Principles may be included.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B - Page 1</w:t>
      </w:r>
    </w:p>
    <w:p>
      <w:pPr>
        <w:sectPr>
          <w:pgSz w:w="11900" w:h="16840" w:orient="portrait"/>
          <w:cols w:equalWidth="0" w:num="1">
            <w:col w:w="10620"/>
          </w:cols>
          <w:pgMar w:left="640" w:top="1440" w:right="640" w:bottom="1440" w:gutter="0" w:footer="0" w:header="0"/>
        </w:sectPr>
      </w:pPr>
    </w:p>
    <w:bookmarkStart w:id="433" w:name="page434"/>
    <w:bookmarkEnd w:id="433"/>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2"/>
          <w:szCs w:val="12"/>
          <w:color w:val="auto"/>
        </w:rPr>
        <w:t>respect to (i) the validity or sufficiency of this Supplemental Indenture or any of the terms or provisions hereof, (ii) the proper authorization hereof by the Issuers and the New Guarantor, in each case, by action or otherwise, (iii) the due execution hereof by the Issuers and the New Guarantor or (iv) the consequences of any amendment herein provided for, and the Trustee makes no representation with respect to any such matters.</w:t>
      </w:r>
    </w:p>
    <w:p>
      <w:pPr>
        <w:spacing w:after="0" w:line="235" w:lineRule="exact"/>
        <w:rPr>
          <w:sz w:val="20"/>
          <w:szCs w:val="20"/>
          <w:color w:val="auto"/>
        </w:rPr>
      </w:pPr>
    </w:p>
    <w:p>
      <w:pPr>
        <w:jc w:val="both"/>
        <w:ind w:firstLine="149"/>
        <w:spacing w:after="0" w:line="256" w:lineRule="auto"/>
        <w:tabs>
          <w:tab w:leader="none" w:pos="390"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xml:space="preserve">. The parties may sign any number of copies of this Supplemental Indenture. Each signed copy shall be an original, but all of them together represent the same agreement. Any signature to this Supplemental Indenture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herein to the contrary, the Trustee is under no obligation to agree to accept electronic signatures in any form or in any format unless expressly agreed to by the Trustee pursuant to procedures approved by the Trustee. For the avoidance of doubt, the foregoing also applies to any amendment hereto. Each of the parties represents and warrants to the other parties that it has the corporate capacity and authority to execute this Supplemental Indenture through electronic means and there are no restrictions for doing so in that party’s constitutive documents.</w:t>
      </w:r>
    </w:p>
    <w:p>
      <w:pPr>
        <w:spacing w:after="0" w:line="97" w:lineRule="exact"/>
        <w:rPr>
          <w:rFonts w:ascii="Times New Roman" w:cs="Times New Roman" w:eastAsia="Times New Roman" w:hAnsi="Times New Roman"/>
          <w:sz w:val="12"/>
          <w:szCs w:val="12"/>
          <w:color w:val="auto"/>
        </w:rPr>
      </w:pPr>
    </w:p>
    <w:p>
      <w:pPr>
        <w:ind w:right="20" w:firstLine="139"/>
        <w:spacing w:after="0" w:line="287" w:lineRule="auto"/>
        <w:tabs>
          <w:tab w:leader="none" w:pos="381"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of this Supplemental Indenture have been inserted for convenience of reference only, are not intended to be considered a part hereof and shall not modify or restrict any of the terms or provisions here.</w:t>
      </w:r>
    </w:p>
    <w:p>
      <w:pPr>
        <w:spacing w:after="0" w:line="77" w:lineRule="exact"/>
        <w:rPr>
          <w:rFonts w:ascii="Times New Roman" w:cs="Times New Roman" w:eastAsia="Times New Roman" w:hAnsi="Times New Roman"/>
          <w:sz w:val="12"/>
          <w:szCs w:val="12"/>
          <w:color w:val="auto"/>
        </w:rPr>
      </w:pPr>
    </w:p>
    <w:p>
      <w:pPr>
        <w:ind w:left="720" w:hanging="257"/>
        <w:spacing w:after="0"/>
        <w:tabs>
          <w:tab w:leader="none" w:pos="720" w:val="left"/>
        </w:tabs>
        <w:numPr>
          <w:ilvl w:val="1"/>
          <w:numId w:val="446"/>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Limitations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Include any additional local limitation language required by the New Guarantor and reasonably acceptable to the Trustee</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B - Page 2</w:t>
      </w:r>
    </w:p>
    <w:p>
      <w:pPr>
        <w:sectPr>
          <w:pgSz w:w="11900" w:h="16840" w:orient="portrait"/>
          <w:cols w:equalWidth="0" w:num="1">
            <w:col w:w="10620"/>
          </w:cols>
          <w:pgMar w:left="640" w:top="1440" w:right="640" w:bottom="1440" w:gutter="0" w:footer="0" w:header="0"/>
        </w:sectPr>
      </w:pPr>
    </w:p>
    <w:bookmarkStart w:id="434" w:name="page435"/>
    <w:bookmarkEnd w:id="434"/>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Supplemental Indenture to be duly executed as of the date first written above.</w:t>
      </w:r>
    </w:p>
    <w:p>
      <w:pPr>
        <w:spacing w:after="0" w:line="35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A/S</w:t>
      </w:r>
      <w:r>
        <w:rPr>
          <w:rFonts w:ascii="Times New Roman" w:cs="Times New Roman" w:eastAsia="Times New Roman" w:hAnsi="Times New Roman"/>
          <w:sz w:val="12"/>
          <w:szCs w:val="12"/>
          <w:color w:val="auto"/>
        </w:rPr>
        <w:t>, as an Issuer</w:t>
      </w:r>
    </w:p>
    <w:p>
      <w:pPr>
        <w:spacing w:after="0" w:line="2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15240</wp:posOffset>
            </wp:positionV>
            <wp:extent cx="157734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1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7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FINANCE LLC</w:t>
      </w:r>
      <w:r>
        <w:rPr>
          <w:rFonts w:ascii="Times New Roman" w:cs="Times New Roman" w:eastAsia="Times New Roman" w:hAnsi="Times New Roman"/>
          <w:sz w:val="12"/>
          <w:szCs w:val="12"/>
          <w:color w:val="auto"/>
        </w:rPr>
        <w:t>, as an Issuer</w:t>
      </w:r>
    </w:p>
    <w:p>
      <w:pPr>
        <w:spacing w:after="0" w:line="2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15240</wp:posOffset>
            </wp:positionV>
            <wp:extent cx="157734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1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[NEW GUARANTOR]</w:t>
      </w:r>
      <w:r>
        <w:rPr>
          <w:rFonts w:ascii="Times New Roman" w:cs="Times New Roman" w:eastAsia="Times New Roman" w:hAnsi="Times New Roman"/>
          <w:sz w:val="12"/>
          <w:szCs w:val="12"/>
          <w:color w:val="auto"/>
        </w:rPr>
        <w:t>, as a Guarantor</w:t>
      </w:r>
    </w:p>
    <w:p>
      <w:pPr>
        <w:spacing w:after="0" w:line="2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15240</wp:posOffset>
            </wp:positionV>
            <wp:extent cx="153479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1534795" cy="6350"/>
                    </a:xfrm>
                    <a:prstGeom prst="rect">
                      <a:avLst/>
                    </a:prstGeom>
                    <a:noFill/>
                  </pic:spPr>
                </pic:pic>
              </a:graphicData>
            </a:graphic>
          </wp:anchor>
        </w:drawing>
      </w:r>
    </w:p>
    <w:p>
      <w:pPr>
        <w:spacing w:after="0" w:line="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2"/>
          <w:szCs w:val="12"/>
          <w:color w:val="auto"/>
        </w:rPr>
        <w:t>Exhibit B - Page 3</w:t>
      </w:r>
    </w:p>
    <w:p>
      <w:pPr>
        <w:sectPr>
          <w:pgSz w:w="11900" w:h="16840" w:orient="portrait"/>
          <w:cols w:equalWidth="0" w:num="1">
            <w:col w:w="9360"/>
          </w:cols>
          <w:pgMar w:left="1100" w:top="1440" w:right="1440" w:bottom="1440" w:gutter="0" w:footer="0" w:header="0"/>
        </w:sectPr>
      </w:pPr>
    </w:p>
    <w:bookmarkStart w:id="435" w:name="page436"/>
    <w:bookmarkEnd w:id="435"/>
    <w:p>
      <w:pPr>
        <w:spacing w:after="0" w:line="3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WILMINGTON TRUST, NATIONAL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ASSOCIATION</w:t>
      </w:r>
      <w:r>
        <w:rPr>
          <w:rFonts w:ascii="Times New Roman" w:cs="Times New Roman" w:eastAsia="Times New Roman" w:hAnsi="Times New Roman"/>
          <w:sz w:val="12"/>
          <w:szCs w:val="12"/>
          <w:color w:val="auto"/>
        </w:rPr>
        <w:t>, not in its individual capacity, but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solely as Trustee</w:t>
      </w: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15240</wp:posOffset>
            </wp:positionV>
            <wp:extent cx="152908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1529080" cy="6350"/>
                    </a:xfrm>
                    <a:prstGeom prst="rect">
                      <a:avLst/>
                    </a:prstGeom>
                    <a:noFill/>
                  </pic:spPr>
                </pic:pic>
              </a:graphicData>
            </a:graphic>
          </wp:anchor>
        </w:drawing>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Exhibit B - Page 4</w:t>
      </w:r>
    </w:p>
    <w:p>
      <w:pPr>
        <w:sectPr>
          <w:pgSz w:w="11900" w:h="16840" w:orient="portrait"/>
          <w:cols w:equalWidth="0" w:num="1">
            <w:col w:w="9020"/>
          </w:cols>
          <w:pgMar w:left="1440" w:top="1440" w:right="1440" w:bottom="1440" w:gutter="0" w:footer="0" w:header="0"/>
        </w:sectPr>
      </w:pPr>
    </w:p>
    <w:bookmarkStart w:id="436" w:name="page437"/>
    <w:bookmarkEnd w:id="436"/>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FIRST SUPPLEMENTAL INDENTURE</w:t>
      </w:r>
    </w:p>
    <w:p>
      <w:pPr>
        <w:spacing w:after="0" w:line="129" w:lineRule="exact"/>
        <w:rPr>
          <w:sz w:val="20"/>
          <w:szCs w:val="20"/>
          <w:color w:val="auto"/>
        </w:rPr>
      </w:pPr>
    </w:p>
    <w:p>
      <w:pPr>
        <w:jc w:val="both"/>
        <w:ind w:firstLine="368"/>
        <w:spacing w:after="0" w:line="260" w:lineRule="auto"/>
        <w:rPr>
          <w:sz w:val="20"/>
          <w:szCs w:val="20"/>
          <w:color w:val="auto"/>
        </w:rPr>
      </w:pPr>
      <w:r>
        <w:rPr>
          <w:rFonts w:ascii="Times New Roman" w:cs="Times New Roman" w:eastAsia="Times New Roman" w:hAnsi="Times New Roman"/>
          <w:sz w:val="12"/>
          <w:szCs w:val="12"/>
          <w:color w:val="auto"/>
        </w:rPr>
        <w:t>FIRST SUPPLEMENTAL INDENTURE (this “</w:t>
      </w:r>
      <w:r>
        <w:rPr>
          <w:rFonts w:ascii="Times New Roman" w:cs="Times New Roman" w:eastAsia="Times New Roman" w:hAnsi="Times New Roman"/>
          <w:sz w:val="12"/>
          <w:szCs w:val="12"/>
          <w:u w:val="single" w:color="auto"/>
          <w:color w:val="auto"/>
        </w:rPr>
        <w:t>Supplemental Indenture</w:t>
      </w:r>
      <w:r>
        <w:rPr>
          <w:rFonts w:ascii="Times New Roman" w:cs="Times New Roman" w:eastAsia="Times New Roman" w:hAnsi="Times New Roman"/>
          <w:sz w:val="12"/>
          <w:szCs w:val="12"/>
          <w:color w:val="auto"/>
        </w:rPr>
        <w:t>”), dated as of January 28, 2026, among (a) Merus B.V. a private limited liability company (</w:t>
      </w:r>
      <w:r>
        <w:rPr>
          <w:rFonts w:ascii="Times New Roman" w:cs="Times New Roman" w:eastAsia="Times New Roman" w:hAnsi="Times New Roman"/>
          <w:sz w:val="12"/>
          <w:szCs w:val="12"/>
          <w:i w:val="1"/>
          <w:iCs w:val="1"/>
          <w:color w:val="auto"/>
        </w:rPr>
        <w:t>besloten vennootschap met beperkte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aansprakelijkheid</w:t>
      </w:r>
      <w:r>
        <w:rPr>
          <w:rFonts w:ascii="Times New Roman" w:cs="Times New Roman" w:eastAsia="Times New Roman" w:hAnsi="Times New Roman"/>
          <w:sz w:val="12"/>
          <w:szCs w:val="12"/>
          <w:color w:val="auto"/>
        </w:rPr>
        <w:t>), having its corporate seat (</w:t>
      </w:r>
      <w:r>
        <w:rPr>
          <w:rFonts w:ascii="Times New Roman" w:cs="Times New Roman" w:eastAsia="Times New Roman" w:hAnsi="Times New Roman"/>
          <w:sz w:val="12"/>
          <w:szCs w:val="12"/>
          <w:i w:val="1"/>
          <w:iCs w:val="1"/>
          <w:color w:val="auto"/>
        </w:rPr>
        <w:t xml:space="preserve">statutaire zetel </w:t>
      </w:r>
      <w:r>
        <w:rPr>
          <w:rFonts w:ascii="Times New Roman" w:cs="Times New Roman" w:eastAsia="Times New Roman" w:hAnsi="Times New Roman"/>
          <w:sz w:val="12"/>
          <w:szCs w:val="12"/>
          <w:color w:val="auto"/>
        </w:rPr>
        <w:t>) in Utrecht, the Netherlands (address: Uppsalalaan 17, 3rd and 4th Floor, 3584 CT Utrecht, the Netherlands, trade register number: 98602152)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Merus US, Inc., a Delaware corporation (together, the “</w:t>
      </w:r>
      <w:r>
        <w:rPr>
          <w:rFonts w:ascii="Times New Roman" w:cs="Times New Roman" w:eastAsia="Times New Roman" w:hAnsi="Times New Roman"/>
          <w:sz w:val="12"/>
          <w:szCs w:val="12"/>
          <w:u w:val="single" w:color="auto"/>
          <w:color w:val="auto"/>
        </w:rPr>
        <w:t>New Guarantors</w:t>
      </w:r>
      <w:r>
        <w:rPr>
          <w:rFonts w:ascii="Times New Roman" w:cs="Times New Roman" w:eastAsia="Times New Roman" w:hAnsi="Times New Roman"/>
          <w:sz w:val="12"/>
          <w:szCs w:val="12"/>
          <w:color w:val="auto"/>
        </w:rPr>
        <w:t>”), (b) Genmab A/S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 Genmab Finance LLC (the “</w:t>
      </w:r>
      <w:r>
        <w:rPr>
          <w:rFonts w:ascii="Times New Roman" w:cs="Times New Roman" w:eastAsia="Times New Roman" w:hAnsi="Times New Roman"/>
          <w:sz w:val="12"/>
          <w:szCs w:val="12"/>
          <w:u w:val="single" w:color="auto"/>
          <w:color w:val="auto"/>
        </w:rPr>
        <w:t>U.S. Co-Issuer</w:t>
      </w:r>
      <w:r>
        <w:rPr>
          <w:rFonts w:ascii="Times New Roman" w:cs="Times New Roman" w:eastAsia="Times New Roman" w:hAnsi="Times New Roman"/>
          <w:sz w:val="12"/>
          <w:szCs w:val="12"/>
          <w:color w:val="auto"/>
        </w:rPr>
        <w:t>” and, together with the Company and any successors thereto, the “</w:t>
      </w:r>
      <w:r>
        <w:rPr>
          <w:rFonts w:ascii="Times New Roman" w:cs="Times New Roman" w:eastAsia="Times New Roman" w:hAnsi="Times New Roman"/>
          <w:sz w:val="12"/>
          <w:szCs w:val="12"/>
          <w:u w:val="single" w:color="auto"/>
          <w:color w:val="auto"/>
        </w:rPr>
        <w:t>Issuers</w:t>
      </w:r>
      <w:r>
        <w:rPr>
          <w:rFonts w:ascii="Times New Roman" w:cs="Times New Roman" w:eastAsia="Times New Roman" w:hAnsi="Times New Roman"/>
          <w:sz w:val="12"/>
          <w:szCs w:val="12"/>
          <w:color w:val="auto"/>
        </w:rPr>
        <w:t xml:space="preserve">”), and (d) Wilmington Trust, National Association, as trustee (in such capacity, the “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and as notes collateral agent (in such capacity, the “</w:t>
      </w:r>
      <w:r>
        <w:rPr>
          <w:rFonts w:ascii="Times New Roman" w:cs="Times New Roman" w:eastAsia="Times New Roman" w:hAnsi="Times New Roman"/>
          <w:sz w:val="12"/>
          <w:szCs w:val="12"/>
          <w:u w:val="single" w:color="auto"/>
          <w:color w:val="auto"/>
        </w:rPr>
        <w:t>Notes Collateral Agent</w:t>
      </w:r>
      <w:r>
        <w:rPr>
          <w:rFonts w:ascii="Times New Roman" w:cs="Times New Roman" w:eastAsia="Times New Roman" w:hAnsi="Times New Roman"/>
          <w:sz w:val="12"/>
          <w:szCs w:val="12"/>
          <w:color w:val="auto"/>
        </w:rPr>
        <w:t>”) under the Indenture referred to below.</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 I T N E S S E T H :</w:t>
      </w:r>
    </w:p>
    <w:p>
      <w:pPr>
        <w:spacing w:after="0" w:line="129" w:lineRule="exact"/>
        <w:rPr>
          <w:sz w:val="20"/>
          <w:szCs w:val="20"/>
          <w:color w:val="auto"/>
        </w:rPr>
      </w:pPr>
    </w:p>
    <w:p>
      <w:pPr>
        <w:jc w:val="both"/>
        <w:ind w:firstLine="294"/>
        <w:spacing w:after="0" w:line="287" w:lineRule="auto"/>
        <w:rPr>
          <w:sz w:val="20"/>
          <w:szCs w:val="20"/>
          <w:color w:val="auto"/>
        </w:rPr>
      </w:pPr>
      <w:r>
        <w:rPr>
          <w:rFonts w:ascii="Times New Roman" w:cs="Times New Roman" w:eastAsia="Times New Roman" w:hAnsi="Times New Roman"/>
          <w:sz w:val="12"/>
          <w:szCs w:val="12"/>
          <w:color w:val="auto"/>
        </w:rPr>
        <w:t xml:space="preserve">WHEREAS the Issuers, the Trustee and the Notes Collateral Agent have heretofore executed an indenture, dated as of December 3, 2025 (as amended, supplemented or otherwise modified,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providing for the issuance of the Issuers’ 6.250% Senior Secured Notes due 2032 (the “</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 initially in the aggregate principal amount of $1,500,000,000;</w:t>
      </w:r>
    </w:p>
    <w:p>
      <w:pPr>
        <w:spacing w:after="0" w:line="79" w:lineRule="exact"/>
        <w:rPr>
          <w:sz w:val="20"/>
          <w:szCs w:val="20"/>
          <w:color w:val="auto"/>
        </w:rPr>
      </w:pPr>
    </w:p>
    <w:p>
      <w:pPr>
        <w:jc w:val="both"/>
        <w:ind w:firstLine="351"/>
        <w:spacing w:after="0" w:line="287" w:lineRule="auto"/>
        <w:rPr>
          <w:sz w:val="20"/>
          <w:szCs w:val="20"/>
          <w:color w:val="auto"/>
        </w:rPr>
      </w:pPr>
      <w:r>
        <w:rPr>
          <w:rFonts w:ascii="Times New Roman" w:cs="Times New Roman" w:eastAsia="Times New Roman" w:hAnsi="Times New Roman"/>
          <w:sz w:val="12"/>
          <w:szCs w:val="12"/>
          <w:color w:val="auto"/>
        </w:rPr>
        <w:t>WHEREAS Sections 4.11 and 12.07 of the Indenture provide that under certain circumstances the Issuers are required to cause the New Guarantors to execute and deliver to the Trustee and the Notes Collateral Agent a supplemental indenture pursuant to which the New Guarantors shall guarantee the Guaranteed Obligations; and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WHEREAS pursuant to Section 9.01(a)(v) of the Indenture, the Trustee, the Notes Collateral Agent and the Issuers are authorized to execute and deliver this Supplemental Indenture;</w:t>
      </w:r>
    </w:p>
    <w:p>
      <w:pPr>
        <w:spacing w:after="0" w:line="129" w:lineRule="exact"/>
        <w:rPr>
          <w:sz w:val="20"/>
          <w:szCs w:val="20"/>
          <w:color w:val="auto"/>
        </w:rPr>
      </w:pPr>
    </w:p>
    <w:p>
      <w:pPr>
        <w:jc w:val="both"/>
        <w:ind w:firstLine="265"/>
        <w:spacing w:after="0" w:line="287" w:lineRule="auto"/>
        <w:rPr>
          <w:sz w:val="20"/>
          <w:szCs w:val="20"/>
          <w:color w:val="auto"/>
        </w:rPr>
      </w:pPr>
      <w:r>
        <w:rPr>
          <w:rFonts w:ascii="Times New Roman" w:cs="Times New Roman" w:eastAsia="Times New Roman" w:hAnsi="Times New Roman"/>
          <w:sz w:val="12"/>
          <w:szCs w:val="12"/>
          <w:color w:val="auto"/>
        </w:rPr>
        <w:t>NOW THEREFORE, in consideration of the foregoing and for other good and valuable consideration, the receipt of which is hereby acknowledged, the New Guarantors, the Issuers, the Trustee and the Notes Collateral Agent mutually covenant and agree for the equal and ratable benefit of the holders of the Notes as follows:</w:t>
      </w:r>
    </w:p>
    <w:p>
      <w:pPr>
        <w:spacing w:after="0" w:line="79" w:lineRule="exact"/>
        <w:rPr>
          <w:sz w:val="20"/>
          <w:szCs w:val="20"/>
          <w:color w:val="auto"/>
        </w:rPr>
      </w:pPr>
    </w:p>
    <w:p>
      <w:pPr>
        <w:ind w:firstLine="130"/>
        <w:spacing w:after="0" w:line="287" w:lineRule="auto"/>
        <w:tabs>
          <w:tab w:leader="none" w:pos="371"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Defined Terms</w:t>
      </w:r>
      <w:r>
        <w:rPr>
          <w:rFonts w:ascii="Times New Roman" w:cs="Times New Roman" w:eastAsia="Times New Roman" w:hAnsi="Times New Roman"/>
          <w:sz w:val="12"/>
          <w:szCs w:val="12"/>
          <w:color w:val="auto"/>
        </w:rPr>
        <w:t>. Capitalized terms used herein without definition shall have the meanings assigned to them in the Indenture. The words “herein,” “hereof” and “hereby” and other words of similar import used in this Supplemental Indenture refer to this Supplemental Indenture as a whole and not to any particular Section hereof.</w:t>
      </w:r>
    </w:p>
    <w:p>
      <w:pPr>
        <w:spacing w:after="0" w:line="79" w:lineRule="exact"/>
        <w:rPr>
          <w:rFonts w:ascii="Times New Roman" w:cs="Times New Roman" w:eastAsia="Times New Roman" w:hAnsi="Times New Roman"/>
          <w:sz w:val="12"/>
          <w:szCs w:val="12"/>
          <w:color w:val="auto"/>
        </w:rPr>
      </w:pPr>
    </w:p>
    <w:p>
      <w:pPr>
        <w:ind w:right="20" w:firstLine="244"/>
        <w:spacing w:after="0" w:line="287" w:lineRule="auto"/>
        <w:tabs>
          <w:tab w:leader="none" w:pos="485" w:val="left"/>
        </w:tabs>
        <w:numPr>
          <w:ilvl w:val="1"/>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Guarantee</w:t>
      </w:r>
      <w:r>
        <w:rPr>
          <w:rFonts w:ascii="Times New Roman" w:cs="Times New Roman" w:eastAsia="Times New Roman" w:hAnsi="Times New Roman"/>
          <w:sz w:val="12"/>
          <w:szCs w:val="12"/>
          <w:color w:val="auto"/>
        </w:rPr>
        <w:t>. The New Guarantors hereby, jointly and severally with all existing Guarantors, guarantee the Guaranteed Obligations on the terms and subject to the conditions set forth in Article XII of the Indenture and agrees to be bound by all other applicable provisions of the Indenture and the Notes and to perform all of the obligations and agreements of a Guarantor under the Indenture.</w:t>
      </w:r>
    </w:p>
    <w:p>
      <w:pPr>
        <w:spacing w:after="0" w:line="79" w:lineRule="exact"/>
        <w:rPr>
          <w:sz w:val="20"/>
          <w:szCs w:val="20"/>
          <w:color w:val="auto"/>
        </w:rPr>
      </w:pPr>
    </w:p>
    <w:p>
      <w:pPr>
        <w:ind w:left="380" w:hanging="250"/>
        <w:spacing w:after="0"/>
        <w:tabs>
          <w:tab w:leader="none" w:pos="380"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or other communications to the New Guarantors shall be given to the Issuers as provided in Section 13.01 of the Indenture.</w:t>
      </w:r>
    </w:p>
    <w:p>
      <w:pPr>
        <w:spacing w:after="0" w:line="128" w:lineRule="exact"/>
        <w:rPr>
          <w:rFonts w:ascii="Times New Roman" w:cs="Times New Roman" w:eastAsia="Times New Roman" w:hAnsi="Times New Roman"/>
          <w:sz w:val="12"/>
          <w:szCs w:val="12"/>
          <w:color w:val="auto"/>
        </w:rPr>
      </w:pPr>
    </w:p>
    <w:p>
      <w:pPr>
        <w:jc w:val="both"/>
        <w:ind w:right="20" w:firstLine="149"/>
        <w:spacing w:after="0" w:line="276" w:lineRule="auto"/>
        <w:tabs>
          <w:tab w:leader="none" w:pos="390" w:val="left"/>
        </w:tabs>
        <w:numPr>
          <w:ilvl w:val="1"/>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Ratification of Indenture; Supplemental Indentures Part of Indenture</w:t>
      </w:r>
      <w:r>
        <w:rPr>
          <w:rFonts w:ascii="Times New Roman" w:cs="Times New Roman" w:eastAsia="Times New Roman" w:hAnsi="Times New Roman"/>
          <w:sz w:val="12"/>
          <w:szCs w:val="1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33" w:lineRule="exact"/>
        <w:rPr>
          <w:sz w:val="20"/>
          <w:szCs w:val="20"/>
          <w:color w:val="auto"/>
        </w:rPr>
      </w:pPr>
    </w:p>
    <w:p>
      <w:pPr>
        <w:ind w:left="380" w:hanging="250"/>
        <w:spacing w:after="0"/>
        <w:tabs>
          <w:tab w:leader="none" w:pos="380"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THIS SUPPLEMENTAL INDENTURE SHALL BE GOVERNED BY, AND CONSTRUED IN ACCORDANCE WITH, THE LAWS OF THE STATE OF NEW YORK.</w:t>
      </w:r>
    </w:p>
    <w:p>
      <w:pPr>
        <w:spacing w:after="0" w:line="130" w:lineRule="exact"/>
        <w:rPr>
          <w:rFonts w:ascii="Times New Roman" w:cs="Times New Roman" w:eastAsia="Times New Roman" w:hAnsi="Times New Roman"/>
          <w:sz w:val="12"/>
          <w:szCs w:val="12"/>
          <w:color w:val="auto"/>
        </w:rPr>
      </w:pPr>
    </w:p>
    <w:p>
      <w:pPr>
        <w:jc w:val="both"/>
        <w:ind w:right="20" w:firstLine="177"/>
        <w:spacing w:after="0" w:line="267" w:lineRule="auto"/>
        <w:tabs>
          <w:tab w:leader="none" w:pos="419" w:val="left"/>
        </w:tabs>
        <w:numPr>
          <w:ilvl w:val="1"/>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Trustee and Notes Collateral Agent Make No Representation</w:t>
      </w:r>
      <w:r>
        <w:rPr>
          <w:rFonts w:ascii="Times New Roman" w:cs="Times New Roman" w:eastAsia="Times New Roman" w:hAnsi="Times New Roman"/>
          <w:sz w:val="12"/>
          <w:szCs w:val="12"/>
          <w:color w:val="auto"/>
        </w:rPr>
        <w:t>. Each of the Trustee and the Notes Collateral Agent accepts the amendments of the Indenture effected by this Supplemental Indenture on the terms and conditions set forth in the Indenture, including the terms and provisions defining and limiting the liabilities and responsibilities of the Trustee and the Notes Collateral Agent. Without limiting the generality of the foregoing, each of the Trustee and the Notes Collateral Agent shall not be responsible in any manner whatsoever for or with respect</w:t>
      </w:r>
    </w:p>
    <w:p>
      <w:pPr>
        <w:sectPr>
          <w:pgSz w:w="11900" w:h="16840" w:orient="portrait"/>
          <w:cols w:equalWidth="0" w:num="1">
            <w:col w:w="10620"/>
          </w:cols>
          <w:pgMar w:left="640" w:top="1440" w:right="640" w:bottom="1440" w:gutter="0" w:footer="0" w:header="0"/>
        </w:sectPr>
      </w:pPr>
    </w:p>
    <w:bookmarkStart w:id="437" w:name="page438"/>
    <w:bookmarkEnd w:id="437"/>
    <w:p>
      <w:pPr>
        <w:spacing w:after="0" w:line="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to any of the recitals or statements contained herein, all of which recitals or statements are made solely by the Issuers, or for or with respect to (i) the validity or sufficiency of this Supplemental Indenture or any of the terms or provisions hereof, (ii) the proper authorization hereof by the Issuers and the New Guarantors, in each case, by action or otherwise, (iii) the due execution hereof by the Issuers and the New Guarantors or</w:t>
      </w:r>
    </w:p>
    <w:p>
      <w:pPr>
        <w:spacing w:after="0" w:line="1" w:lineRule="exact"/>
        <w:rPr>
          <w:sz w:val="20"/>
          <w:szCs w:val="20"/>
          <w:color w:val="auto"/>
        </w:rPr>
      </w:pPr>
    </w:p>
    <w:p>
      <w:pPr>
        <w:ind w:left="220" w:hanging="214"/>
        <w:spacing w:after="0"/>
        <w:tabs>
          <w:tab w:leader="none" w:pos="220"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consequences of any amendment herein provided for, and each of the Trustee and the Notes Collateral Agent makes no representation with respect to any such matters.</w:t>
      </w:r>
    </w:p>
    <w:p>
      <w:pPr>
        <w:spacing w:after="0" w:line="114" w:lineRule="exact"/>
        <w:rPr>
          <w:rFonts w:ascii="Times New Roman" w:cs="Times New Roman" w:eastAsia="Times New Roman" w:hAnsi="Times New Roman"/>
          <w:sz w:val="12"/>
          <w:szCs w:val="12"/>
          <w:color w:val="auto"/>
        </w:rPr>
      </w:pPr>
    </w:p>
    <w:p>
      <w:pPr>
        <w:jc w:val="both"/>
        <w:ind w:firstLine="149"/>
        <w:spacing w:after="0" w:line="254" w:lineRule="auto"/>
        <w:tabs>
          <w:tab w:leader="none" w:pos="39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xml:space="preserve">. The parties may sign any number of copies of this Supplemental Indenture. Each signed copy shall be an original, but all of them together represent the same agreement. Any signature to this Supplemental Indenture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herein to the contrary, each of the Trustee and the Notes Collateral Agent is under no obligation to agree to accept electronic signatures in any form or in any format unless expressly agreed to by the Trustee and the Notes Collateral Agent pursuant to procedures approved by the Trustee and the Notes Collateral Agent. For the avoidance of doubt, the foregoing also applies to any amendment hereto. Each of the parties represents and warrants to the other parties that it has the corporate capacity and authority to execute this Supplemental Indenture through electronic means and there are no restrictions for doing so in that party’s constitutive documents.</w:t>
      </w:r>
    </w:p>
    <w:p>
      <w:pPr>
        <w:spacing w:after="0" w:line="100" w:lineRule="exact"/>
        <w:rPr>
          <w:rFonts w:ascii="Times New Roman" w:cs="Times New Roman" w:eastAsia="Times New Roman" w:hAnsi="Times New Roman"/>
          <w:sz w:val="12"/>
          <w:szCs w:val="12"/>
          <w:color w:val="auto"/>
        </w:rPr>
      </w:pPr>
    </w:p>
    <w:p>
      <w:pPr>
        <w:ind w:right="20" w:firstLine="139"/>
        <w:spacing w:after="0" w:line="287" w:lineRule="auto"/>
        <w:tabs>
          <w:tab w:leader="none" w:pos="381"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of this Supplemental Indenture have been inserted for convenience of reference only, are not intended to be considered a part hereof and shall not modify or restrict any of the terms or provisions here.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ectPr>
          <w:pgSz w:w="11900" w:h="16840" w:orient="portrait"/>
          <w:cols w:equalWidth="0" w:num="1">
            <w:col w:w="10620"/>
          </w:cols>
          <w:pgMar w:left="640" w:top="1440" w:right="640" w:bottom="1440" w:gutter="0" w:footer="0" w:header="0"/>
        </w:sectPr>
      </w:pPr>
    </w:p>
    <w:bookmarkStart w:id="438" w:name="page439"/>
    <w:bookmarkEnd w:id="438"/>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Supplemental Indenture to be duly executed as of the date first written above.</w:t>
      </w:r>
    </w:p>
    <w:p>
      <w:pPr>
        <w:sectPr>
          <w:pgSz w:w="11900" w:h="16840" w:orient="portrait"/>
          <w:cols w:equalWidth="0" w:num="1">
            <w:col w:w="9360"/>
          </w:cols>
          <w:pgMar w:left="1100" w:top="1440" w:right="1440" w:bottom="1440" w:gutter="0" w:footer="0" w:header="0"/>
        </w:sectPr>
      </w:pPr>
    </w:p>
    <w:p>
      <w:pPr>
        <w:spacing w:after="0" w:line="35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A/S</w:t>
      </w:r>
      <w:r>
        <w:rPr>
          <w:rFonts w:ascii="Times New Roman" w:cs="Times New Roman" w:eastAsia="Times New Roman" w:hAnsi="Times New Roman"/>
          <w:sz w:val="12"/>
          <w:szCs w:val="12"/>
          <w:color w:val="auto"/>
        </w:rPr>
        <w:t>, as an Issuer</w:t>
      </w:r>
    </w:p>
    <w:p>
      <w:pPr>
        <w:spacing w:after="0" w:line="245" w:lineRule="exact"/>
        <w:rPr>
          <w:sz w:val="20"/>
          <w:szCs w:val="20"/>
          <w:color w:val="auto"/>
        </w:rPr>
      </w:pPr>
    </w:p>
    <w:tbl>
      <w:tblPr>
        <w:tblLayout w:type="fixed"/>
        <w:tblInd w:w="3120" w:type="dxa"/>
        <w:tblCellMar>
          <w:top w:w="0" w:type="dxa"/>
          <w:left w:w="0" w:type="dxa"/>
          <w:bottom w:w="0" w:type="dxa"/>
          <w:right w:w="0" w:type="dxa"/>
        </w:tblCellMar>
      </w:tblP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Jan van de Winkel</w:t>
            </w:r>
          </w:p>
        </w:tc>
      </w:tr>
      <w:tr>
        <w:trPr>
          <w:trHeight w:val="21"/>
        </w:trPr>
        <w:tc>
          <w:tcPr>
            <w:tcW w:w="3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168"/>
        </w:trPr>
        <w:tc>
          <w:tcPr>
            <w:tcW w:w="3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Jan van de Winkel</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President and Chief Executive Officer</w:t>
            </w:r>
          </w:p>
        </w:tc>
      </w:tr>
      <w:tr>
        <w:trPr>
          <w:trHeight w:val="39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Anthony Pagano</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Anthony Pagano</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Executive Vice President and Chief</w:t>
            </w:r>
          </w:p>
        </w:tc>
      </w:tr>
      <w:tr>
        <w:trPr>
          <w:trHeight w:val="162"/>
        </w:trPr>
        <w:tc>
          <w:tcPr>
            <w:tcW w:w="3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Officer</w:t>
            </w:r>
          </w:p>
        </w:tc>
      </w:tr>
      <w:tr>
        <w:trPr>
          <w:trHeight w:val="39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Greg Mueller</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Greg Mueller</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Executive Vice President, General</w:t>
            </w:r>
          </w:p>
        </w:tc>
      </w:tr>
      <w:tr>
        <w:trPr>
          <w:trHeight w:val="200"/>
        </w:trPr>
        <w:tc>
          <w:tcPr>
            <w:tcW w:w="3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Counsel and Chief Legal Officer</w:t>
            </w:r>
          </w:p>
        </w:tc>
      </w:tr>
    </w:tbl>
    <w:p>
      <w:pPr>
        <w:spacing w:after="0" w:line="29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GENMAB FINANCE LLC</w:t>
      </w:r>
      <w:r>
        <w:rPr>
          <w:rFonts w:ascii="Times New Roman" w:cs="Times New Roman" w:eastAsia="Times New Roman" w:hAnsi="Times New Roman"/>
          <w:sz w:val="12"/>
          <w:szCs w:val="12"/>
          <w:color w:val="auto"/>
        </w:rPr>
        <w:t>, as an Issuer</w:t>
      </w:r>
    </w:p>
    <w:p>
      <w:pPr>
        <w:spacing w:after="0" w:line="245" w:lineRule="exact"/>
        <w:rPr>
          <w:sz w:val="20"/>
          <w:szCs w:val="20"/>
          <w:color w:val="auto"/>
        </w:rPr>
      </w:pPr>
    </w:p>
    <w:p>
      <w:pPr>
        <w:ind w:left="3120"/>
        <w:spacing w:after="0"/>
        <w:tabs>
          <w:tab w:leader="none" w:pos="34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27305</wp:posOffset>
            </wp:positionV>
            <wp:extent cx="157734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5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6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Title: Vice President and Chief Financial</w:t>
      </w:r>
    </w:p>
    <w:p>
      <w:pPr>
        <w:spacing w:after="0" w:line="6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2"/>
          <w:szCs w:val="12"/>
          <w:color w:val="auto"/>
        </w:rPr>
        <w:t>Officer</w:t>
      </w:r>
    </w:p>
    <w:p>
      <w:pPr>
        <w:spacing w:after="0" w:line="200" w:lineRule="exact"/>
        <w:rPr>
          <w:sz w:val="20"/>
          <w:szCs w:val="20"/>
          <w:color w:val="auto"/>
        </w:rPr>
      </w:pP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MERUS B.V.</w:t>
      </w:r>
      <w:r>
        <w:rPr>
          <w:rFonts w:ascii="Times New Roman" w:cs="Times New Roman" w:eastAsia="Times New Roman" w:hAnsi="Times New Roman"/>
          <w:sz w:val="12"/>
          <w:szCs w:val="12"/>
          <w:color w:val="auto"/>
        </w:rPr>
        <w:t>, as a Guarantor</w:t>
      </w:r>
    </w:p>
    <w:p>
      <w:pPr>
        <w:spacing w:after="0" w:line="245" w:lineRule="exact"/>
        <w:rPr>
          <w:sz w:val="20"/>
          <w:szCs w:val="20"/>
          <w:color w:val="auto"/>
        </w:rPr>
      </w:pPr>
    </w:p>
    <w:tbl>
      <w:tblPr>
        <w:tblLayout w:type="fixed"/>
        <w:tblInd w:w="3120" w:type="dxa"/>
        <w:tblCellMar>
          <w:top w:w="0" w:type="dxa"/>
          <w:left w:w="0" w:type="dxa"/>
          <w:bottom w:w="0" w:type="dxa"/>
          <w:right w:w="0" w:type="dxa"/>
        </w:tblCellMar>
      </w:tblP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Jan van de Winkle</w:t>
            </w:r>
          </w:p>
        </w:tc>
      </w:tr>
      <w:tr>
        <w:trPr>
          <w:trHeight w:val="21"/>
        </w:trPr>
        <w:tc>
          <w:tcPr>
            <w:tcW w:w="36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68"/>
        </w:trPr>
        <w:tc>
          <w:tcPr>
            <w:tcW w:w="36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Jan van de Winkle</w:t>
            </w:r>
          </w:p>
        </w:tc>
      </w:tr>
      <w:tr>
        <w:trPr>
          <w:trHeight w:val="200"/>
        </w:trPr>
        <w:tc>
          <w:tcPr>
            <w:tcW w:w="36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the Secured Notes Supplemental Indenture]</w:t>
      </w:r>
    </w:p>
    <w:p>
      <w:pPr>
        <w:sectPr>
          <w:pgSz w:w="11900" w:h="16840" w:orient="portrait"/>
          <w:cols w:equalWidth="0" w:num="1">
            <w:col w:w="9360"/>
          </w:cols>
          <w:pgMar w:left="1100" w:top="1440" w:right="1440" w:bottom="1440" w:gutter="0" w:footer="0" w:header="0"/>
          <w:type w:val="continuous"/>
        </w:sectPr>
      </w:pPr>
    </w:p>
    <w:bookmarkStart w:id="439" w:name="page440"/>
    <w:bookmarkEnd w:id="439"/>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MERUS US, INC.</w:t>
      </w:r>
      <w:r>
        <w:rPr>
          <w:rFonts w:ascii="Times New Roman" w:cs="Times New Roman" w:eastAsia="Times New Roman" w:hAnsi="Times New Roman"/>
          <w:sz w:val="12"/>
          <w:szCs w:val="12"/>
          <w:color w:val="auto"/>
        </w:rPr>
        <w:t>, as a Guarantor</w:t>
      </w:r>
    </w:p>
    <w:p>
      <w:pPr>
        <w:spacing w:after="0" w:line="245" w:lineRule="exact"/>
        <w:rPr>
          <w:sz w:val="20"/>
          <w:szCs w:val="20"/>
          <w:color w:val="auto"/>
        </w:rPr>
      </w:pPr>
    </w:p>
    <w:p>
      <w:pPr>
        <w:ind w:left="2780"/>
        <w:spacing w:after="0"/>
        <w:tabs>
          <w:tab w:leader="none" w:pos="31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27305</wp:posOffset>
            </wp:positionV>
            <wp:extent cx="157734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1577340" cy="6350"/>
                    </a:xfrm>
                    <a:prstGeom prst="rect">
                      <a:avLst/>
                    </a:prstGeom>
                    <a:noFill/>
                  </pic:spPr>
                </pic:pic>
              </a:graphicData>
            </a:graphic>
          </wp:anchor>
        </w:drawing>
      </w:r>
    </w:p>
    <w:p>
      <w:pPr>
        <w:spacing w:after="0" w:line="5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Name: Anthony Pagano</w:t>
      </w:r>
    </w:p>
    <w:p>
      <w:pPr>
        <w:spacing w:after="0" w:line="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Title: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WILMINGTON TRUST, NATIONAL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ASSOCIATION</w:t>
      </w:r>
      <w:r>
        <w:rPr>
          <w:rFonts w:ascii="Times New Roman" w:cs="Times New Roman" w:eastAsia="Times New Roman" w:hAnsi="Times New Roman"/>
          <w:sz w:val="12"/>
          <w:szCs w:val="12"/>
          <w:color w:val="auto"/>
        </w:rPr>
        <w:t>, not in its individual capacity, but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solely as Trustee</w:t>
      </w:r>
    </w:p>
    <w:p>
      <w:pPr>
        <w:spacing w:after="0" w:line="229"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27305</wp:posOffset>
            </wp:positionV>
            <wp:extent cx="158369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5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Latoya S. Elvin</w:t>
      </w:r>
    </w:p>
    <w:p>
      <w:pPr>
        <w:spacing w:after="0" w:line="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Vice President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WILMINGTON TRUST, NATIONAL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ASSOCIATION</w:t>
      </w:r>
      <w:r>
        <w:rPr>
          <w:rFonts w:ascii="Times New Roman" w:cs="Times New Roman" w:eastAsia="Times New Roman" w:hAnsi="Times New Roman"/>
          <w:sz w:val="12"/>
          <w:szCs w:val="12"/>
          <w:color w:val="auto"/>
        </w:rPr>
        <w:t>, not in its individual capacity, but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solely as Notes Collateral Agent</w:t>
      </w:r>
    </w:p>
    <w:p>
      <w:pPr>
        <w:spacing w:after="0" w:line="229" w:lineRule="exact"/>
        <w:rPr>
          <w:sz w:val="20"/>
          <w:szCs w:val="20"/>
          <w:color w:val="auto"/>
        </w:rPr>
      </w:pPr>
    </w:p>
    <w:p>
      <w:pPr>
        <w:ind w:left="2780"/>
        <w:spacing w:after="0"/>
        <w:tabs>
          <w:tab w:leader="none" w:pos="3120" w:val="left"/>
        </w:tabs>
        <w:rPr>
          <w:sz w:val="20"/>
          <w:szCs w:val="20"/>
          <w:color w:val="auto"/>
        </w:rPr>
      </w:pPr>
      <w:r>
        <w:rPr>
          <w:rFonts w:ascii="Times New Roman" w:cs="Times New Roman" w:eastAsia="Times New Roman" w:hAnsi="Times New Roman"/>
          <w:sz w:val="12"/>
          <w:szCs w:val="12"/>
          <w:color w:val="auto"/>
        </w:rPr>
        <w:t>By:</w:t>
        <w:tab/>
        <w:t>/s/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27305</wp:posOffset>
            </wp:positionV>
            <wp:extent cx="158369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1583690" cy="6350"/>
                    </a:xfrm>
                    <a:prstGeom prst="rect">
                      <a:avLst/>
                    </a:prstGeom>
                    <a:noFill/>
                  </pic:spPr>
                </pic:pic>
              </a:graphicData>
            </a:graphic>
          </wp:anchor>
        </w:drawing>
      </w:r>
    </w:p>
    <w:p>
      <w:pPr>
        <w:spacing w:after="0" w:line="5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Name: Latoya S. Elvin</w:t>
      </w:r>
    </w:p>
    <w:p>
      <w:pPr>
        <w:spacing w:after="0" w:line="6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the Secured Notes Supplemental Indenture]</w:t>
      </w:r>
    </w:p>
    <w:p>
      <w:pPr>
        <w:sectPr>
          <w:pgSz w:w="11900" w:h="16840" w:orient="portrait"/>
          <w:cols w:equalWidth="0" w:num="1">
            <w:col w:w="9020"/>
          </w:cols>
          <w:pgMar w:left="1440" w:top="1440" w:right="1440" w:bottom="1440" w:gutter="0" w:footer="0" w:header="0"/>
        </w:sectPr>
      </w:pPr>
    </w:p>
    <w:bookmarkStart w:id="440" w:name="page441"/>
    <w:bookmarkEnd w:id="440"/>
    <w:p>
      <w:pPr>
        <w:spacing w:after="0" w:line="200" w:lineRule="exact"/>
        <w:rPr>
          <w:sz w:val="20"/>
          <w:szCs w:val="20"/>
          <w:color w:val="auto"/>
        </w:rPr>
      </w:pPr>
    </w:p>
    <w:p>
      <w:pPr>
        <w:spacing w:after="0" w:line="212"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2"/>
          <w:szCs w:val="12"/>
          <w:b w:val="1"/>
          <w:bCs w:val="1"/>
          <w:color w:val="auto"/>
        </w:rPr>
        <w:t>Exhibit 2.7</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SECURITIES REGISTERED UNDER SECTION 12 OF THE EXCHANGE ACT</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Genmab A/S (“Genmab” or the “Company”) had the following securities registered pursuant to Section 12(b) of the Securities Exchange Act of 1934 (the “Exchange Act”):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280" w:type="dxa"/>
            <w:vAlign w:val="bottom"/>
          </w:tcPr>
          <w:p>
            <w:pPr>
              <w:spacing w:after="0"/>
              <w:rPr>
                <w:sz w:val="14"/>
                <w:szCs w:val="1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42"/>
        </w:trPr>
        <w:tc>
          <w:tcPr>
            <w:tcW w:w="3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American Depositary Shares, each representing one-tenth ordinary share</w:t>
            </w:r>
          </w:p>
        </w:tc>
        <w:tc>
          <w:tcPr>
            <w:tcW w:w="3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GMAB</w:t>
            </w:r>
          </w:p>
        </w:tc>
        <w:tc>
          <w:tcPr>
            <w:tcW w:w="280" w:type="dxa"/>
            <w:vAlign w:val="bottom"/>
          </w:tcPr>
          <w:p>
            <w:pPr>
              <w:spacing w:after="0"/>
              <w:rPr>
                <w:sz w:val="12"/>
                <w:szCs w:val="12"/>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c>
          <w:tcPr>
            <w:tcW w:w="0" w:type="dxa"/>
            <w:vAlign w:val="bottom"/>
          </w:tcPr>
          <w:p>
            <w:pPr>
              <w:spacing w:after="0"/>
              <w:rPr>
                <w:sz w:val="1"/>
                <w:szCs w:val="1"/>
                <w:color w:val="auto"/>
              </w:rPr>
            </w:pPr>
          </w:p>
        </w:tc>
      </w:tr>
      <w:tr>
        <w:trPr>
          <w:trHeight w:val="160"/>
        </w:trPr>
        <w:tc>
          <w:tcPr>
            <w:tcW w:w="3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Ordinary shares, nominal value DKK 1 per share</w:t>
            </w:r>
          </w:p>
        </w:tc>
        <w:tc>
          <w:tcPr>
            <w:tcW w:w="3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GMAB</w:t>
            </w:r>
          </w:p>
        </w:tc>
        <w:tc>
          <w:tcPr>
            <w:tcW w:w="280" w:type="dxa"/>
            <w:vAlign w:val="bottom"/>
          </w:tcPr>
          <w:p>
            <w:pPr>
              <w:spacing w:after="0"/>
              <w:rPr>
                <w:sz w:val="13"/>
                <w:szCs w:val="13"/>
                <w:color w:val="auto"/>
              </w:rPr>
            </w:pP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c>
          <w:tcPr>
            <w:tcW w:w="0" w:type="dxa"/>
            <w:vAlign w:val="bottom"/>
          </w:tcPr>
          <w:p>
            <w:pPr>
              <w:spacing w:after="0"/>
              <w:rPr>
                <w:sz w:val="1"/>
                <w:szCs w:val="1"/>
                <w:color w:val="auto"/>
              </w:rPr>
            </w:pPr>
          </w:p>
        </w:tc>
      </w:tr>
      <w:tr>
        <w:trPr>
          <w:trHeight w:val="143"/>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Not for trading, but only in connection with the registration of the American Depositary Shares on The Nasdaq Global Select Market.</w:t>
      </w:r>
    </w:p>
    <w:p>
      <w:pPr>
        <w:spacing w:after="0" w:line="81" w:lineRule="exact"/>
        <w:rPr>
          <w:sz w:val="20"/>
          <w:szCs w:val="20"/>
          <w:color w:val="auto"/>
        </w:rPr>
      </w:pPr>
    </w:p>
    <w:p>
      <w:pPr>
        <w:ind w:right="20" w:firstLine="124"/>
        <w:spacing w:after="0" w:line="257" w:lineRule="auto"/>
        <w:rPr>
          <w:sz w:val="20"/>
          <w:szCs w:val="20"/>
          <w:color w:val="auto"/>
        </w:rPr>
      </w:pPr>
      <w:r>
        <w:rPr>
          <w:rFonts w:ascii="Times New Roman" w:cs="Times New Roman" w:eastAsia="Times New Roman" w:hAnsi="Times New Roman"/>
          <w:sz w:val="12"/>
          <w:szCs w:val="12"/>
          <w:color w:val="auto"/>
        </w:rPr>
        <w:t>This exhibit contains a description of the rights of (i) the holders of ordinary shares and (ii) the holders of ADSs. The following summary is subject to and qualified in its entirety by (i) Genmab’s articles of association (the “Articles of Association”), (ii) applicable Danish law, particularly the Danish Companies Act (</w:t>
      </w:r>
      <w:r>
        <w:rPr>
          <w:rFonts w:ascii="Times New Roman" w:cs="Times New Roman" w:eastAsia="Times New Roman" w:hAnsi="Times New Roman"/>
          <w:sz w:val="12"/>
          <w:szCs w:val="12"/>
          <w:i w:val="1"/>
          <w:iCs w:val="1"/>
          <w:color w:val="auto"/>
        </w:rPr>
        <w:t>Selskabsloven</w:t>
      </w:r>
      <w:r>
        <w:rPr>
          <w:rFonts w:ascii="Times New Roman" w:cs="Times New Roman" w:eastAsia="Times New Roman" w:hAnsi="Times New Roman"/>
          <w:sz w:val="12"/>
          <w:szCs w:val="12"/>
          <w:color w:val="auto"/>
        </w:rPr>
        <w:t>) (the “DCA”) and (iii) the deposit agreement (the “Deposit Agreement”) and the form of ADR which are both filed as exhibits to the annual report on Form 20 -F to which this exhibit is attached. This is not a summary of all the significant provisions of the Articles of Association, of Danish law, of the Deposit Agreement or of the form of ADR and does not purport to be complete. Capitalized terms used but not defined herein have the meanings given to them in the Company’s annual report on Form 20-F to which this description of securities registered under section 12 of the Exchange Act (the “Description of Securities”) is an exhibit and in the Deposit Agreement.</w:t>
      </w:r>
    </w:p>
    <w:p>
      <w:pPr>
        <w:spacing w:after="0" w:line="4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2"/>
          <w:szCs w:val="12"/>
          <w:b w:val="1"/>
          <w:bCs w:val="1"/>
          <w:color w:val="auto"/>
        </w:rPr>
        <w:t>ORDINARY SHARES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9. General</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9.A.3 Pre-emptive rights</w:t>
      </w:r>
    </w:p>
    <w:p>
      <w:pPr>
        <w:spacing w:after="0" w:line="157" w:lineRule="exact"/>
        <w:rPr>
          <w:sz w:val="20"/>
          <w:szCs w:val="20"/>
          <w:color w:val="auto"/>
        </w:rPr>
      </w:pPr>
    </w:p>
    <w:p>
      <w:pPr>
        <w:ind w:firstLine="457"/>
        <w:spacing w:after="0" w:line="290"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As a general rule, shareholders of the Company are entitled to subscribe for new shares in proportion to their existing shareholdings in the event of a cash increase of the share capital. Such a cash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increase of the share capital can be resolved by the general meeting by at least two-thirds of the votes cast as well as at least two-thirds of the share capital represented at the general meeting.</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However, in the below-mentioned scenarios, the general meeting may resolve to depart from the shareholders’ right to proportionate subscription if the following voting requirements are met:</w:t>
      </w:r>
    </w:p>
    <w:p>
      <w:pPr>
        <w:spacing w:after="0" w:line="186" w:lineRule="exact"/>
        <w:rPr>
          <w:sz w:val="20"/>
          <w:szCs w:val="20"/>
          <w:color w:val="auto"/>
        </w:rPr>
      </w:pPr>
    </w:p>
    <w:p>
      <w:pPr>
        <w:ind w:left="1220" w:right="220" w:hanging="424"/>
        <w:spacing w:after="0" w:line="185" w:lineRule="auto"/>
        <w:tabs>
          <w:tab w:leader="none" w:pos="1220" w:val="left"/>
        </w:tabs>
        <w:numPr>
          <w:ilvl w:val="0"/>
          <w:numId w:val="451"/>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two-thirds majority requirement: if the new shares issued in connection with the capital increase are subscribed for at market price for the benefit of some of the existing shareholders, the above-mentioned two-thirds majority requirement applies;</w:t>
      </w:r>
    </w:p>
    <w:p>
      <w:pPr>
        <w:spacing w:after="0" w:line="258" w:lineRule="exact"/>
        <w:rPr>
          <w:rFonts w:ascii="Times New Roman" w:cs="Times New Roman" w:eastAsia="Times New Roman" w:hAnsi="Times New Roman"/>
          <w:sz w:val="21"/>
          <w:szCs w:val="21"/>
          <w:color w:val="auto"/>
          <w:vertAlign w:val="subscript"/>
        </w:rPr>
      </w:pPr>
    </w:p>
    <w:p>
      <w:pPr>
        <w:ind w:left="1220" w:right="240" w:hanging="424"/>
        <w:spacing w:after="0" w:line="185" w:lineRule="auto"/>
        <w:tabs>
          <w:tab w:leader="none" w:pos="1220" w:val="left"/>
        </w:tabs>
        <w:numPr>
          <w:ilvl w:val="0"/>
          <w:numId w:val="451"/>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consent requirement: if the new shares issued in connection with the capital increase are subscribed for at a discount for the benefit of some of the existing shareholders, consent from the shareholders who do not get an opportunity to participate in the capital increase must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w:t>
      </w:r>
    </w:p>
    <w:p>
      <w:pPr>
        <w:sectPr>
          <w:pgSz w:w="11900" w:h="16840" w:orient="portrait"/>
          <w:cols w:equalWidth="0" w:num="1">
            <w:col w:w="10640"/>
          </w:cols>
          <w:pgMar w:left="640" w:top="1440" w:right="620" w:bottom="1440" w:gutter="0" w:footer="0" w:header="0"/>
        </w:sectPr>
      </w:pPr>
    </w:p>
    <w:bookmarkStart w:id="441" w:name="page442"/>
    <w:bookmarkEnd w:id="441"/>
    <w:p>
      <w:pPr>
        <w:spacing w:after="0" w:line="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color w:val="auto"/>
        </w:rPr>
        <w:t>two-thirds majority requirement: if the new shares issued in connection with the capital increase are subscribed for at market price for the benefit of parties other than the existing</w:t>
      </w:r>
    </w:p>
    <w:p>
      <w:pPr>
        <w:spacing w:after="0" w:line="19" w:lineRule="exact"/>
        <w:rPr>
          <w:sz w:val="20"/>
          <w:szCs w:val="20"/>
          <w:color w:val="auto"/>
        </w:rPr>
      </w:pPr>
    </w:p>
    <w:p>
      <w:pPr>
        <w:ind w:left="1220" w:hanging="424"/>
        <w:spacing w:after="0"/>
        <w:tabs>
          <w:tab w:leader="none" w:pos="1220"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shareholders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a third party or employees of the company), the above-mentioned two-thirds majority requirement applies; and</w:t>
      </w:r>
    </w:p>
    <w:p>
      <w:pPr>
        <w:spacing w:after="0" w:line="200" w:lineRule="exact"/>
        <w:rPr>
          <w:rFonts w:ascii="Times New Roman" w:cs="Times New Roman" w:eastAsia="Times New Roman" w:hAnsi="Times New Roman"/>
          <w:sz w:val="12"/>
          <w:szCs w:val="12"/>
          <w:color w:val="auto"/>
        </w:rPr>
      </w:pPr>
    </w:p>
    <w:p>
      <w:pPr>
        <w:spacing w:after="0" w:line="228" w:lineRule="exact"/>
        <w:rPr>
          <w:rFonts w:ascii="Times New Roman" w:cs="Times New Roman" w:eastAsia="Times New Roman" w:hAnsi="Times New Roman"/>
          <w:sz w:val="12"/>
          <w:szCs w:val="12"/>
          <w:color w:val="auto"/>
        </w:rPr>
      </w:pPr>
    </w:p>
    <w:p>
      <w:pPr>
        <w:ind w:left="1220" w:right="100" w:hanging="424"/>
        <w:spacing w:after="0" w:line="185" w:lineRule="auto"/>
        <w:tabs>
          <w:tab w:leader="none" w:pos="1220" w:val="left"/>
        </w:tabs>
        <w:numPr>
          <w:ilvl w:val="0"/>
          <w:numId w:val="452"/>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nine-tenths majority requirement: if the new shares issued in connection with the capital increase are subscribed for at discount for the benefit of parties other than the existing shareholders or the employees of the company, the voting requirement is at least nine-tenths of the votes cast as well as at least nine-tenths of the share capital represented at the general meeting.</w:t>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board of directors may resolve to increase Genmab’s share capital without pre-emptive subscription rights for existing shareholders pursuant to the authorizations currently in force.</w:t>
      </w:r>
    </w:p>
    <w:p>
      <w:pPr>
        <w:spacing w:after="0" w:line="157" w:lineRule="exact"/>
        <w:rPr>
          <w:sz w:val="20"/>
          <w:szCs w:val="20"/>
          <w:color w:val="auto"/>
        </w:rPr>
      </w:pPr>
    </w:p>
    <w:p>
      <w:pPr>
        <w:ind w:right="80" w:firstLine="457"/>
        <w:spacing w:after="0" w:line="287" w:lineRule="auto"/>
        <w:rPr>
          <w:sz w:val="20"/>
          <w:szCs w:val="20"/>
          <w:color w:val="auto"/>
        </w:rPr>
      </w:pPr>
      <w:r>
        <w:rPr>
          <w:rFonts w:ascii="Times New Roman" w:cs="Times New Roman" w:eastAsia="Times New Roman" w:hAnsi="Times New Roman"/>
          <w:sz w:val="12"/>
          <w:szCs w:val="12"/>
          <w:color w:val="auto"/>
        </w:rPr>
        <w:t>Unless future issuances of new shares are registered under the Securities Act or with any authority outside Denmark, U.S. shareholders and shareholders in jurisdictions outside Denmark may be unable to exercise their pre-emptive subscription rights under U.S. securities law.</w:t>
      </w:r>
    </w:p>
    <w:p>
      <w:pPr>
        <w:spacing w:after="0" w:line="106" w:lineRule="exact"/>
        <w:rPr>
          <w:sz w:val="20"/>
          <w:szCs w:val="20"/>
          <w:color w:val="auto"/>
        </w:rPr>
      </w:pPr>
    </w:p>
    <w:p>
      <w:pPr>
        <w:ind w:right="60" w:firstLine="457"/>
        <w:spacing w:after="0" w:line="290"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the Delaware General Corporation Law, stockholders have no pre-emptive rights to subscribe for additional issues of stock or to any security convertible into such stock unless, and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extent that, such rights are expressly provided for in the certificate of incorporation.</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9.A.5 Type and class of securities</w:t>
      </w:r>
    </w:p>
    <w:p>
      <w:pPr>
        <w:spacing w:after="0" w:line="159" w:lineRule="exact"/>
        <w:rPr>
          <w:sz w:val="20"/>
          <w:szCs w:val="20"/>
          <w:color w:val="auto"/>
        </w:rPr>
      </w:pPr>
    </w:p>
    <w:p>
      <w:pPr>
        <w:ind w:firstLine="457"/>
        <w:spacing w:after="0" w:line="287" w:lineRule="auto"/>
        <w:rPr>
          <w:sz w:val="20"/>
          <w:szCs w:val="20"/>
          <w:color w:val="auto"/>
        </w:rPr>
      </w:pPr>
      <w:r>
        <w:rPr>
          <w:rFonts w:ascii="Times New Roman" w:cs="Times New Roman" w:eastAsia="Times New Roman" w:hAnsi="Times New Roman"/>
          <w:sz w:val="12"/>
          <w:szCs w:val="12"/>
          <w:color w:val="auto"/>
        </w:rPr>
        <w:t>The Company’s ordinary shares are listed on the Nasdaq Copenhagen and are registered under Section 12(b) of the Exchange Act in connection with the listing of the Company’s ADSs (but not for trading) and have a nominal value of DKK 1 per share. All ordinary shares are issued in registered form.</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9.A.6 Limitations or qualifications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9.A.7 Other rights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 Memorandum and articles of association</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10.B.3 Shareholder rights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Dividends</w:t>
      </w:r>
    </w:p>
    <w:p>
      <w:pPr>
        <w:spacing w:after="0" w:line="157" w:lineRule="exact"/>
        <w:rPr>
          <w:sz w:val="20"/>
          <w:szCs w:val="20"/>
          <w:color w:val="auto"/>
        </w:rPr>
      </w:pPr>
    </w:p>
    <w:p>
      <w:pPr>
        <w:ind w:right="80" w:firstLine="457"/>
        <w:spacing w:after="0" w:line="256"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Under Danish law, the distribution of ordinary and interim dividends requires the approval of a company’s shareholders at a company’s general meeting. In addition the shareholders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authorize the board of directors to distribute interim dividends. The shareholders may not resolve to the distribution of dividends in excess of the recommendation from the board of directors and Genmab may only pay out dividends from Genmab’s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determines whether it will be sufficient to use the statement of financial position from the annual report or if an interim statement of financial position for the period from the annual report period until the interim dividend payment shall be prepared. If interim dividends are paid out later than six months following the end of the financial year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w:t>
      </w:r>
    </w:p>
    <w:p>
      <w:pPr>
        <w:sectPr>
          <w:pgSz w:w="11900" w:h="16840" w:orient="portrait"/>
          <w:cols w:equalWidth="0" w:num="1">
            <w:col w:w="10620"/>
          </w:cols>
          <w:pgMar w:left="640" w:top="1440" w:right="640" w:bottom="1440" w:gutter="0" w:footer="0" w:header="0"/>
        </w:sectPr>
      </w:pPr>
    </w:p>
    <w:bookmarkStart w:id="442" w:name="page443"/>
    <w:bookmarkEnd w:id="442"/>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latest annual report, an audited interim balance sheet showing that there are sufficient funds shall always be prepared.</w:t>
      </w:r>
    </w:p>
    <w:p>
      <w:pPr>
        <w:spacing w:after="0" w:line="155"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the Delaware General Corporation Law, a Delaware corporation may pay dividends out of its surplus (the excess of net assets over capital), or in case there is no surplus, out of its net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Pursuant to the Articles of Association, each share with a nominal value of DKK 1 carries one vote at general meetings.</w:t>
      </w:r>
    </w:p>
    <w:p>
      <w:pPr>
        <w:spacing w:after="0" w:line="155" w:lineRule="exact"/>
        <w:rPr>
          <w:sz w:val="20"/>
          <w:szCs w:val="20"/>
          <w:color w:val="auto"/>
        </w:rPr>
      </w:pPr>
    </w:p>
    <w:p>
      <w:pPr>
        <w:ind w:right="20" w:firstLine="457"/>
        <w:spacing w:after="0" w:line="290"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Each share confers the right to cast one vote at the general meeting of shareholders, unless the Articles of Association provide otherwise. Each holder of shares may cast as many votes as it holds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Shares that are held by Genmab or its direct or indirect subsidiaries do not confer the right to vote.</w:t>
      </w:r>
    </w:p>
    <w:p>
      <w:pPr>
        <w:spacing w:after="0" w:line="104" w:lineRule="exact"/>
        <w:rPr>
          <w:sz w:val="20"/>
          <w:szCs w:val="20"/>
          <w:color w:val="auto"/>
        </w:rPr>
      </w:pPr>
    </w:p>
    <w:p>
      <w:pPr>
        <w:ind w:right="60" w:firstLine="457"/>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the Delaware General Corporation Law, each stockholder is entitled to one vote per share of stock, unless the certificate of incorporation provides otherwise. In addition, the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may provide for cumulative voting at all elections of directors of the corporation, or at elections held under specified circumstances. Either the certificate of incorporation or the by laws may specify the number of shares and/or the amount of other securities that must be represented at a meeting in order to constitute a quorum, but in no event can a quorum consist of less than one-third of the shares entitled to vote at a meeting.</w:t>
      </w:r>
    </w:p>
    <w:p>
      <w:pPr>
        <w:spacing w:after="0" w:line="1" w:lineRule="exact"/>
        <w:rPr>
          <w:sz w:val="20"/>
          <w:szCs w:val="20"/>
          <w:color w:val="auto"/>
        </w:rPr>
      </w:pPr>
    </w:p>
    <w:p>
      <w:pPr>
        <w:ind w:right="80" w:firstLine="457"/>
        <w:spacing w:after="0" w:line="253" w:lineRule="auto"/>
        <w:rPr>
          <w:sz w:val="20"/>
          <w:szCs w:val="20"/>
          <w:color w:val="auto"/>
        </w:rPr>
      </w:pPr>
      <w:r>
        <w:rPr>
          <w:rFonts w:ascii="Times New Roman" w:cs="Times New Roman" w:eastAsia="Times New Roman" w:hAnsi="Times New Roman"/>
          <w:sz w:val="12"/>
          <w:szCs w:val="12"/>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Adoption of Shareholder Resolutions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All resolutions put to the vote of shareholders at general meetings are subject to adoption by a simple majority of votes, unless the DCA or the Articles of Association prescribes other requirements.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Notice of Meeting</w:t>
      </w:r>
    </w:p>
    <w:p>
      <w:pPr>
        <w:spacing w:after="0" w:line="157" w:lineRule="exact"/>
        <w:rPr>
          <w:sz w:val="20"/>
          <w:szCs w:val="20"/>
          <w:color w:val="auto"/>
        </w:rPr>
      </w:pPr>
    </w:p>
    <w:p>
      <w:pPr>
        <w:ind w:right="20" w:firstLine="457"/>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According to the DCA and as implemented in the Articles of Association, general meetings in listed limited liability companies shall be convened by the board of directors with a minimum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weeks’ notice and a maximum of five weeks’ notice. A convening notice shall also be forwarded to shareholders recorded in Genmab’s shareholders’ register who have requested such notification. Further, the convening notice shall also be made available on Genmab's website.There are specific requirements as to the information and documentation required to be disclosed in connection with the convening notice.</w:t>
      </w:r>
    </w:p>
    <w:p>
      <w:pPr>
        <w:spacing w:after="0" w:line="117" w:lineRule="exact"/>
        <w:rPr>
          <w:sz w:val="20"/>
          <w:szCs w:val="20"/>
          <w:color w:val="auto"/>
        </w:rPr>
      </w:pPr>
    </w:p>
    <w:p>
      <w:pPr>
        <w:ind w:right="60" w:firstLine="457"/>
        <w:spacing w:after="0" w:line="290"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Delaware law, unless otherwise provided in the certificate of incorporation or bylaws, written notice of any meeting of the stockholders must be given to each stockholder entitled to vote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p>
    <w:p>
      <w:pPr>
        <w:sectPr>
          <w:pgSz w:w="11900" w:h="16840" w:orient="portrait"/>
          <w:cols w:equalWidth="0" w:num="1">
            <w:col w:w="10620"/>
          </w:cols>
          <w:pgMar w:left="640" w:top="1440" w:right="640" w:bottom="1440" w:gutter="0" w:footer="0" w:header="0"/>
        </w:sectPr>
      </w:pPr>
    </w:p>
    <w:bookmarkStart w:id="443" w:name="page444"/>
    <w:bookmarkEnd w:id="443"/>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Shareholder Proposals</w:t>
      </w:r>
    </w:p>
    <w:p>
      <w:pPr>
        <w:spacing w:after="0" w:line="157"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According to the DCA, extraordinary general meetings of shareholders will be held whenever Genmab’s board of directors or its appointed auditor requires. In addition, one or more shareholders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each representing at least 5% of the registered share capital of the company may, in writing, require that a general meeting be convened. If such a demand is made, the board of directors shall convene the general meeting within two weeks thereafter (after providing three to five weeks notice).</w:t>
      </w:r>
    </w:p>
    <w:p>
      <w:pPr>
        <w:spacing w:after="0" w:line="119" w:lineRule="exact"/>
        <w:rPr>
          <w:sz w:val="20"/>
          <w:szCs w:val="20"/>
          <w:color w:val="auto"/>
        </w:rPr>
      </w:pPr>
    </w:p>
    <w:p>
      <w:pPr>
        <w:ind w:right="20" w:firstLine="457"/>
        <w:spacing w:after="0" w:line="287" w:lineRule="auto"/>
        <w:rPr>
          <w:sz w:val="20"/>
          <w:szCs w:val="20"/>
          <w:color w:val="auto"/>
        </w:rPr>
      </w:pPr>
      <w:r>
        <w:rPr>
          <w:rFonts w:ascii="Times New Roman" w:cs="Times New Roman" w:eastAsia="Times New Roman" w:hAnsi="Times New Roman"/>
          <w:sz w:val="12"/>
          <w:szCs w:val="12"/>
          <w:color w:val="auto"/>
        </w:rPr>
        <w:t>All shareholders have the right to present proposals for adoption at the annual general meeting, provided that the proposals are submitted at least six weeks prior to the meeting. In the event that the request is made at a later date, the board of directors will determine whether the proposals were made in due time to be included on the agenda.</w:t>
      </w:r>
    </w:p>
    <w:p>
      <w:pPr>
        <w:spacing w:after="0" w:line="106" w:lineRule="exact"/>
        <w:rPr>
          <w:sz w:val="20"/>
          <w:szCs w:val="20"/>
          <w:color w:val="auto"/>
        </w:rPr>
      </w:pPr>
    </w:p>
    <w:p>
      <w:pPr>
        <w:ind w:right="40" w:firstLine="457"/>
        <w:spacing w:after="0" w:line="279"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Delaware law does not specifically grant stockholders the right to bring business before an annual or special meeting of stockholders. However, if a Delaware corporation is subject to the SEC’s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proxy rules, a stockholder who owns at least $2,000 in market value, or 1% of the corporation’s securities entitled to vote, may propose a matter for a vote at an annual or special meeting in accordance with those rules.</w:t>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Action by Written Consent</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Under Danish law, shareholders of listed companies may not pass resolutions by written consent.</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Although permitted by Delaware law, publicly listed companies do not typically permit stockholders of a corporation to take action by written consent.</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Appraisal Rights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The concept of appraisal rights does not exist under Danish law, except in connection with statutory redemption rights according to the DCA.</w:t>
      </w:r>
    </w:p>
    <w:p>
      <w:pPr>
        <w:spacing w:after="0" w:line="159" w:lineRule="exact"/>
        <w:rPr>
          <w:sz w:val="20"/>
          <w:szCs w:val="20"/>
          <w:color w:val="auto"/>
        </w:rPr>
      </w:pPr>
    </w:p>
    <w:p>
      <w:pPr>
        <w:ind w:right="80" w:firstLine="457"/>
        <w:spacing w:after="0" w:line="257" w:lineRule="auto"/>
        <w:rPr>
          <w:sz w:val="20"/>
          <w:szCs w:val="20"/>
          <w:color w:val="auto"/>
        </w:rPr>
      </w:pPr>
      <w:r>
        <w:rPr>
          <w:rFonts w:ascii="Times New Roman" w:cs="Times New Roman" w:eastAsia="Times New Roman" w:hAnsi="Times New Roman"/>
          <w:sz w:val="12"/>
          <w:szCs w:val="12"/>
          <w:color w:val="auto"/>
        </w:rPr>
        <w:t>According to Section 73 of the DCA,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DCA, squeeze out the minority shareholders. In the event that the parties cannot agree to the redemption squeeze out price, this shall be determined by an independent evaluator appointed by the court. Additionally, there are specific regulations in Sections 249, 267, 285 and 305 of the DCA that require compensation in the event of national or cross-border mergers and demergers. Moreover, shareholders who vote against a cross-border merger or demerger are, according to Sections 286 and 306 of the DCA, entitled to have their shares redeemed.</w:t>
      </w:r>
    </w:p>
    <w:p>
      <w:pPr>
        <w:spacing w:after="0" w:line="154" w:lineRule="exact"/>
        <w:rPr>
          <w:sz w:val="20"/>
          <w:szCs w:val="20"/>
          <w:color w:val="auto"/>
        </w:rPr>
      </w:pPr>
    </w:p>
    <w:p>
      <w:pPr>
        <w:ind w:right="160" w:firstLine="457"/>
        <w:spacing w:after="0" w:line="290"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The Delaware General Corporation Law provides for stockholder appraisal rights, or the right to demand payment in cash of the judicially determined fair value of the stockholder’s shares,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connection with certain mergers and consolidations.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Shareholder Suits</w:t>
      </w:r>
    </w:p>
    <w:p>
      <w:pPr>
        <w:spacing w:after="0" w:line="157" w:lineRule="exact"/>
        <w:rPr>
          <w:sz w:val="20"/>
          <w:szCs w:val="20"/>
          <w:color w:val="auto"/>
        </w:rPr>
      </w:pPr>
    </w:p>
    <w:p>
      <w:pPr>
        <w:ind w:right="180" w:firstLine="457"/>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Under Danish law, only a company itself can bring a civil action against a third party; an individual shareholder does not have the right to bring an action on behalf of a company. However, if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shareholders representing at least 10% of the share capital have opposed at a general meeting a decision to grant discharge to a member of Genmab’s board of directors or its registered managers or refrain from bringing law suits against, among other persons, a member of its board of directors or a registered manager, a shareholder may bring a derivative action on behalf of our company against, among other persons, a member of its board of directors or a registered manager. An individual shareholder may, in its own name, have an individual right to take action against such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w:t>
      </w:r>
    </w:p>
    <w:p>
      <w:pPr>
        <w:sectPr>
          <w:pgSz w:w="11900" w:h="16840" w:orient="portrait"/>
          <w:cols w:equalWidth="0" w:num="1">
            <w:col w:w="10600"/>
          </w:cols>
          <w:pgMar w:left="640" w:top="1440" w:right="660" w:bottom="1440" w:gutter="0" w:footer="0" w:header="0"/>
        </w:sectPr>
      </w:pPr>
    </w:p>
    <w:bookmarkStart w:id="444" w:name="page445"/>
    <w:bookmarkEnd w:id="444"/>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party in the event that the cause for the liability of that third party also constitutes a negligent act directly against such individual shareholder.</w:t>
      </w:r>
    </w:p>
    <w:p>
      <w:pPr>
        <w:spacing w:after="0" w:line="155" w:lineRule="exact"/>
        <w:rPr>
          <w:sz w:val="20"/>
          <w:szCs w:val="20"/>
          <w:color w:val="auto"/>
        </w:rPr>
      </w:pPr>
    </w:p>
    <w:p>
      <w:pPr>
        <w:ind w:right="60" w:firstLine="457"/>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the Delaware General Corporation Law, a stockholder may bring a derivative action on behalf of the corporation to enforce the rights of the corporation. An individual also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Inspection of Books and Records</w:t>
      </w:r>
    </w:p>
    <w:p>
      <w:pPr>
        <w:spacing w:after="0" w:line="157" w:lineRule="exact"/>
        <w:rPr>
          <w:sz w:val="20"/>
          <w:szCs w:val="20"/>
          <w:color w:val="auto"/>
        </w:rPr>
      </w:pPr>
    </w:p>
    <w:p>
      <w:pPr>
        <w:ind w:right="20" w:firstLine="457"/>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According to Section 150 of the DCA, a shareholder may, at the annual general meeting or at a general meeting whose agenda includes such item, request an inspection of the Company’s books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regarding specific issues concerning the management of the Company or specific annual reports. If approved by shareholders with a simple majority, one or more investigators are elected. If the proposal is not approved by a simple majority but 25% of the share capital votes in favor of the proposal, then the shareholder can request the court to appoint an investigator, however, the request will only be allowed if the court finds it to be based on reasonable grounds.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the Delaware General Corporation Law, any stockholder may inspect certain of the corporation’s books and records, for any proper purpose, during the corporation’s usual hours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business.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Notice Convening Annual and Extraordinary General Meetings</w:t>
      </w:r>
    </w:p>
    <w:p>
      <w:pPr>
        <w:spacing w:after="0" w:line="157" w:lineRule="exact"/>
        <w:rPr>
          <w:sz w:val="20"/>
          <w:szCs w:val="20"/>
          <w:color w:val="auto"/>
        </w:rPr>
      </w:pPr>
    </w:p>
    <w:p>
      <w:pPr>
        <w:ind w:right="40" w:firstLine="457"/>
        <w:spacing w:after="0" w:line="258" w:lineRule="auto"/>
        <w:rPr>
          <w:sz w:val="20"/>
          <w:szCs w:val="20"/>
          <w:color w:val="auto"/>
        </w:rPr>
      </w:pPr>
      <w:r>
        <w:rPr>
          <w:rFonts w:ascii="Times New Roman" w:cs="Times New Roman" w:eastAsia="Times New Roman" w:hAnsi="Times New Roman"/>
          <w:sz w:val="12"/>
          <w:szCs w:val="12"/>
          <w:color w:val="auto"/>
        </w:rPr>
        <w:t>General meetings shall be held in the municipality of Copenhagen or in the greater Copenhagen area (</w:t>
      </w:r>
      <w:r>
        <w:rPr>
          <w:rFonts w:ascii="Times New Roman" w:cs="Times New Roman" w:eastAsia="Times New Roman" w:hAnsi="Times New Roman"/>
          <w:sz w:val="12"/>
          <w:szCs w:val="12"/>
          <w:i w:val="1"/>
          <w:iCs w:val="1"/>
          <w:color w:val="auto"/>
        </w:rPr>
        <w:t>Storkøbenhavn</w:t>
      </w:r>
      <w:r>
        <w:rPr>
          <w:rFonts w:ascii="Times New Roman" w:cs="Times New Roman" w:eastAsia="Times New Roman" w:hAnsi="Times New Roman"/>
          <w:sz w:val="12"/>
          <w:szCs w:val="12"/>
          <w:color w:val="auto"/>
        </w:rPr>
        <w:t>). General meetings shall be convened by the board of directors giving not less than three weeks’ and not more than five weeks’ notice. General meetings shall be announced by notification to Nasdaq Copenhagen and through publication on our website. Furthermore, all shareholders registered in Genmab’s shareholders’ register who have so requested shall be notified by letter or email. The notice shall set out the time and place for the general meeting and the issues to be considered at the general meeting. If the general meeting is to consider a proposal to amend the Articles of Association, then the notice shall specify the material content of the proposal. The notice calling the general meeting as well as other documents prepared for and in connection with the general meeting shall be prepared in English and, if decided by Genmab’s board of directors, also in Danish.</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shareholder’s right to attend general meetings and to vote is determined on the basis of the shares that the shareholder owns on the registration date which date is one week before the general meeting 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held.</w:t>
      </w:r>
    </w:p>
    <w:p>
      <w:pPr>
        <w:spacing w:after="0" w:line="143" w:lineRule="exact"/>
        <w:rPr>
          <w:sz w:val="20"/>
          <w:szCs w:val="20"/>
          <w:color w:val="auto"/>
        </w:rPr>
      </w:pPr>
    </w:p>
    <w:p>
      <w:pPr>
        <w:ind w:firstLine="457"/>
        <w:spacing w:after="0" w:line="261" w:lineRule="auto"/>
        <w:rPr>
          <w:sz w:val="20"/>
          <w:szCs w:val="20"/>
          <w:color w:val="auto"/>
        </w:rPr>
      </w:pPr>
      <w:r>
        <w:rPr>
          <w:rFonts w:ascii="Times New Roman" w:cs="Times New Roman" w:eastAsia="Times New Roman" w:hAnsi="Times New Roman"/>
          <w:sz w:val="12"/>
          <w:szCs w:val="12"/>
          <w:color w:val="auto"/>
        </w:rPr>
        <w:t>Any shareholder shall be entitled to attend general meetings, provided he or she has requested an admission card from our offices not later than three days prior to the relevant meeting. The admission card will be issued to the shareholders registered in our shareholders’ register. The shareholder may attend in person or be represented by proxy, and a shareholder shall be entitled to attend together with an advisor. A shareholder may vote by proxy or by mail, and a form for this use shall be made available on Genmab’s website no later than three weeks prior to the general meeting. A vote by mail must be received by Genmab not later than three days prior to the general meeting in order to be counted at the general meeting.</w:t>
      </w:r>
    </w:p>
    <w:p>
      <w:pPr>
        <w:spacing w:after="0" w:line="152" w:lineRule="exact"/>
        <w:rPr>
          <w:sz w:val="20"/>
          <w:szCs w:val="20"/>
          <w:color w:val="auto"/>
        </w:rPr>
      </w:pPr>
    </w:p>
    <w:p>
      <w:pPr>
        <w:jc w:val="both"/>
        <w:ind w:right="20" w:firstLine="457"/>
        <w:spacing w:after="0" w:line="267" w:lineRule="auto"/>
        <w:rPr>
          <w:sz w:val="20"/>
          <w:szCs w:val="20"/>
          <w:color w:val="auto"/>
        </w:rPr>
      </w:pPr>
      <w:r>
        <w:rPr>
          <w:rFonts w:ascii="Times New Roman" w:cs="Times New Roman" w:eastAsia="Times New Roman" w:hAnsi="Times New Roman"/>
          <w:sz w:val="12"/>
          <w:szCs w:val="12"/>
          <w:color w:val="auto"/>
        </w:rPr>
        <w:t>Extraordinary general meetings shall be held as directed by the shareholders at the general meeting, the board of directors or an auditor, or upon a written request to the board of directors by shareholders holding not less than 5% of the share capital for consideration of a specific issue. The general meeting shall be convened (after providing three to five weeks notice) within 14 days after the proper request has been received by Genmab’s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w:t>
      </w:r>
    </w:p>
    <w:p>
      <w:pPr>
        <w:sectPr>
          <w:pgSz w:w="11900" w:h="16840" w:orient="portrait"/>
          <w:cols w:equalWidth="0" w:num="1">
            <w:col w:w="10560"/>
          </w:cols>
          <w:pgMar w:left="640" w:top="1440" w:right="700" w:bottom="1440" w:gutter="0" w:footer="0" w:header="0"/>
        </w:sectPr>
      </w:pPr>
    </w:p>
    <w:bookmarkStart w:id="445" w:name="page446"/>
    <w:bookmarkEnd w:id="445"/>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Shareholder Identification</w:t>
      </w:r>
    </w:p>
    <w:p>
      <w:pPr>
        <w:spacing w:after="0" w:line="159" w:lineRule="exact"/>
        <w:rPr>
          <w:sz w:val="20"/>
          <w:szCs w:val="20"/>
          <w:color w:val="auto"/>
        </w:rPr>
      </w:pPr>
    </w:p>
    <w:p>
      <w:pPr>
        <w:ind w:right="60" w:firstLine="457"/>
        <w:spacing w:after="0" w:line="261" w:lineRule="auto"/>
        <w:rPr>
          <w:sz w:val="20"/>
          <w:szCs w:val="20"/>
          <w:color w:val="auto"/>
        </w:rPr>
      </w:pPr>
      <w:r>
        <w:rPr>
          <w:rFonts w:ascii="Times New Roman" w:cs="Times New Roman" w:eastAsia="Times New Roman" w:hAnsi="Times New Roman"/>
          <w:sz w:val="12"/>
          <w:szCs w:val="12"/>
          <w:color w:val="auto"/>
        </w:rPr>
        <w:t>The EU has adopted an amendment to the shareholder rights directive, or Directive 2017/828. The amendment has been implemented in Denmark and entered into force on June 10, 2019. The main purpose of the rules is to strengthen shareholder participation in listed companies. Pursuant to these rules, Genmab may request from central security depositaries, or CSDs, depositaries and other intermediaries information about the identity of its shareholders and the number of shares, share class and date of acquisition of the shares held by its shareholders. The intermediaries will be required to transmit such requests on shareholder identification between them in order to provide Genmab with the requested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Redemption provisions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 shareholder shall be obliged to let his shares be redeemed in full or in part by Genmab or by any other party, except as provided in the DCA.</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Rights to share in any surplus in the event of liquidation</w:t>
      </w:r>
    </w:p>
    <w:p>
      <w:pPr>
        <w:spacing w:after="0" w:line="159" w:lineRule="exact"/>
        <w:rPr>
          <w:sz w:val="20"/>
          <w:szCs w:val="20"/>
          <w:color w:val="auto"/>
        </w:rPr>
      </w:pPr>
    </w:p>
    <w:p>
      <w:pPr>
        <w:ind w:firstLine="457"/>
        <w:spacing w:after="0" w:line="287" w:lineRule="auto"/>
        <w:rPr>
          <w:sz w:val="20"/>
          <w:szCs w:val="20"/>
          <w:color w:val="auto"/>
        </w:rPr>
      </w:pPr>
      <w:r>
        <w:rPr>
          <w:rFonts w:ascii="Times New Roman" w:cs="Times New Roman" w:eastAsia="Times New Roman" w:hAnsi="Times New Roman"/>
          <w:sz w:val="12"/>
          <w:szCs w:val="12"/>
          <w:color w:val="auto"/>
        </w:rPr>
        <w:t>If Genmab is liquidated, any assets remaining after payment of its debts, liquidation expenses and all of its remaining obligations will be distributed among shareholders proportionally to their shareholding in the Company.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10.B.4 Changes to shareholder rights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Shareholder Vote on Certain Reorganizations</w:t>
      </w:r>
    </w:p>
    <w:p>
      <w:pPr>
        <w:spacing w:after="0" w:line="157" w:lineRule="exact"/>
        <w:rPr>
          <w:sz w:val="20"/>
          <w:szCs w:val="20"/>
          <w:color w:val="auto"/>
        </w:rPr>
      </w:pPr>
    </w:p>
    <w:p>
      <w:pPr>
        <w:ind w:right="100" w:firstLine="457"/>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Under Danish law, all amendments to the Articles of Association shall be approved by the general meeting of shareholders with a minimum of two-thirds of the votes cast and two-thirds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 capital represented at the general meeting.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17" w:lineRule="exact"/>
        <w:rPr>
          <w:sz w:val="20"/>
          <w:szCs w:val="20"/>
          <w:color w:val="auto"/>
        </w:rPr>
      </w:pPr>
    </w:p>
    <w:p>
      <w:pPr>
        <w:ind w:right="40" w:firstLine="457"/>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the Delaware General Corporation Law, the vote of a majority of the outstanding shares of capital stock entitled to vote thereon generally is necessary to approve a merger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 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Amendments to Governing Documents</w:t>
      </w:r>
    </w:p>
    <w:p>
      <w:pPr>
        <w:spacing w:after="0" w:line="157" w:lineRule="exact"/>
        <w:rPr>
          <w:sz w:val="20"/>
          <w:szCs w:val="20"/>
          <w:color w:val="auto"/>
        </w:rPr>
      </w:pPr>
    </w:p>
    <w:p>
      <w:pPr>
        <w:ind w:right="40" w:firstLine="457"/>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Denmark. </w:t>
      </w:r>
      <w:r>
        <w:rPr>
          <w:rFonts w:ascii="Times New Roman" w:cs="Times New Roman" w:eastAsia="Times New Roman" w:hAnsi="Times New Roman"/>
          <w:sz w:val="12"/>
          <w:szCs w:val="12"/>
          <w:color w:val="auto"/>
        </w:rPr>
        <w:t>All resolutions made by the general meeting may be adopted by a simple majority of the votes, subject only to the mandatory provisions of the DCA and the Articles of Association. Resolutions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w:t>
      </w:r>
    </w:p>
    <w:p>
      <w:pPr>
        <w:sectPr>
          <w:pgSz w:w="11900" w:h="16840" w:orient="portrait"/>
          <w:cols w:equalWidth="0" w:num="1">
            <w:col w:w="10580"/>
          </w:cols>
          <w:pgMar w:left="640" w:top="1440" w:right="680" w:bottom="1440" w:gutter="0" w:footer="0" w:header="0"/>
        </w:sectPr>
      </w:pPr>
    </w:p>
    <w:bookmarkStart w:id="446" w:name="page447"/>
    <w:bookmarkEnd w:id="446"/>
    <w:p>
      <w:pPr>
        <w:spacing w:after="0" w:line="212" w:lineRule="exact"/>
        <w:rPr>
          <w:sz w:val="20"/>
          <w:szCs w:val="20"/>
          <w:color w:val="auto"/>
        </w:rPr>
      </w:pPr>
    </w:p>
    <w:p>
      <w:pPr>
        <w:jc w:val="both"/>
        <w:ind w:firstLine="124"/>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Delaware. </w:t>
      </w:r>
      <w:r>
        <w:rPr>
          <w:rFonts w:ascii="Times New Roman" w:cs="Times New Roman" w:eastAsia="Times New Roman" w:hAnsi="Times New Roman"/>
          <w:sz w:val="12"/>
          <w:szCs w:val="12"/>
          <w:color w:val="auto"/>
        </w:rPr>
        <w:t>Under the Delaware General Corporation Law, a corporation’s certificate of incorporation may be amended only if adopted and declared advisable by the board of directors and approved by a majority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3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10.B.6 Limitations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There are no restrictions on the rights of non-resident or foreign shareholders to hold or exercise voting rights with respect to Genmab’s shares.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10.B.7 Change in control</w:t>
      </w:r>
    </w:p>
    <w:p>
      <w:pPr>
        <w:spacing w:after="0" w:line="159" w:lineRule="exact"/>
        <w:rPr>
          <w:sz w:val="20"/>
          <w:szCs w:val="20"/>
          <w:color w:val="auto"/>
        </w:rPr>
      </w:pPr>
    </w:p>
    <w:p>
      <w:pPr>
        <w:ind w:right="80" w:firstLine="457"/>
        <w:spacing w:after="0" w:line="287" w:lineRule="auto"/>
        <w:rPr>
          <w:sz w:val="20"/>
          <w:szCs w:val="20"/>
          <w:color w:val="auto"/>
        </w:rPr>
      </w:pPr>
      <w:r>
        <w:rPr>
          <w:rFonts w:ascii="Times New Roman" w:cs="Times New Roman" w:eastAsia="Times New Roman" w:hAnsi="Times New Roman"/>
          <w:sz w:val="12"/>
          <w:szCs w:val="12"/>
          <w:color w:val="auto"/>
        </w:rPr>
        <w:t>The Articles of Association do not contain any provisions that would have the effect of delaying, deferring or preventing a change in control of the Company and that would operate only with respect to a merger, acquisition or corporate restructuring involving the Company (or any of its subsidiaries).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10.B.8 Disclosure of shareholdings</w:t>
      </w:r>
    </w:p>
    <w:p>
      <w:pPr>
        <w:spacing w:after="0" w:line="159" w:lineRule="exact"/>
        <w:rPr>
          <w:sz w:val="20"/>
          <w:szCs w:val="20"/>
          <w:color w:val="auto"/>
        </w:rPr>
      </w:pPr>
    </w:p>
    <w:p>
      <w:pPr>
        <w:ind w:right="40" w:firstLine="457"/>
        <w:spacing w:after="0" w:line="257" w:lineRule="auto"/>
        <w:rPr>
          <w:sz w:val="20"/>
          <w:szCs w:val="20"/>
          <w:color w:val="auto"/>
        </w:rPr>
      </w:pPr>
      <w:r>
        <w:rPr>
          <w:rFonts w:ascii="Times New Roman" w:cs="Times New Roman" w:eastAsia="Times New Roman" w:hAnsi="Times New Roman"/>
          <w:sz w:val="12"/>
          <w:szCs w:val="12"/>
          <w:color w:val="auto"/>
        </w:rPr>
        <w:t>Genmab’s constitutional documents do not contain any provisions governing the ownership threshold above which shareholder ownership must be disclosed. However, pursuant to the DCA, public and private limited liability companies are required to register with the Danish Business Authority information regarding shareholders who own at least 5% of the share capital or the voting rights. Pursuant to this provision, Genmab files registrations with the Danish Public Shareholders’ Register of the Danish Business Authority. Shareholders that exceed or fall below the ownership threshold must notify Genmab, and Genmab will subsequently file the information with the Danish Business Authority. Reporting is further required upon passing or falling below thresholds of 10%, 15%, 20%, 25%, 50%, 90%, and 100% as well as one third and two thirds of the votes or the share capital. This also applies to beneficial holders of Genmab’s shares, such as holders of the ADSs.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10.B.9 Differences in the law</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With respect to Items 10.B.2-10.B.8, Genmab has identified in the responses above where the Danish law applicable to Genmab is significantly different from the comparable Delaware law.</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10.B.10 Changes in capital</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requirements imposed by the Articles of Association governing changes in capital are not more stringent than is required by law.</w:t>
      </w:r>
    </w:p>
    <w:p>
      <w:pPr>
        <w:spacing w:after="0" w:line="1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AMERICAN DEPOSITARY SHARES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12.A Debt securities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12.B Warrants and Rights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12.C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w:t>
      </w:r>
    </w:p>
    <w:p>
      <w:pPr>
        <w:sectPr>
          <w:pgSz w:w="11900" w:h="16840" w:orient="portrait"/>
          <w:cols w:equalWidth="0" w:num="1">
            <w:col w:w="10580"/>
          </w:cols>
          <w:pgMar w:left="640" w:top="1440" w:right="680" w:bottom="1440" w:gutter="0" w:footer="0" w:header="0"/>
        </w:sectPr>
      </w:pPr>
    </w:p>
    <w:bookmarkStart w:id="447" w:name="page448"/>
    <w:bookmarkEnd w:id="447"/>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12.D.1 Depositary</w:t>
      </w:r>
    </w:p>
    <w:p>
      <w:pPr>
        <w:spacing w:after="0" w:line="159" w:lineRule="exact"/>
        <w:rPr>
          <w:sz w:val="20"/>
          <w:szCs w:val="20"/>
          <w:color w:val="auto"/>
        </w:rPr>
      </w:pPr>
    </w:p>
    <w:p>
      <w:pPr>
        <w:ind w:right="220" w:firstLine="457"/>
        <w:spacing w:after="0" w:line="287" w:lineRule="auto"/>
        <w:rPr>
          <w:sz w:val="20"/>
          <w:szCs w:val="20"/>
          <w:color w:val="auto"/>
        </w:rPr>
      </w:pPr>
      <w:r>
        <w:rPr>
          <w:rFonts w:ascii="Times New Roman" w:cs="Times New Roman" w:eastAsia="Times New Roman" w:hAnsi="Times New Roman"/>
          <w:sz w:val="12"/>
          <w:szCs w:val="12"/>
          <w:color w:val="auto"/>
        </w:rPr>
        <w:t>JPMorgan Chase Bank, N.A., has been appointed as the depositary pursuant to the Deposit Agreement. The depositary’s corporate office at which the ADSs are administered and the principal executive office is located at 383 Madison Avenue, Floor 11, New York, NY 10179, USA.</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Item 12.D.2 Description of the ADSs</w:t>
      </w:r>
    </w:p>
    <w:p>
      <w:pPr>
        <w:spacing w:after="0" w:line="340" w:lineRule="exact"/>
        <w:rPr>
          <w:sz w:val="20"/>
          <w:szCs w:val="20"/>
          <w:color w:val="auto"/>
        </w:rPr>
      </w:pPr>
    </w:p>
    <w:p>
      <w:pPr>
        <w:ind w:right="400" w:firstLine="457"/>
        <w:spacing w:after="0" w:line="287" w:lineRule="auto"/>
        <w:rPr>
          <w:sz w:val="20"/>
          <w:szCs w:val="20"/>
          <w:color w:val="auto"/>
        </w:rPr>
      </w:pPr>
      <w:r>
        <w:rPr>
          <w:rFonts w:ascii="Times New Roman" w:cs="Times New Roman" w:eastAsia="Times New Roman" w:hAnsi="Times New Roman"/>
          <w:sz w:val="12"/>
          <w:szCs w:val="12"/>
          <w:color w:val="auto"/>
        </w:rPr>
        <w:t>Genmab’s ADSs are listed on the Nasdaq Global Select Market and traded under the symbol ‘GMAB’. Each ADS represents ownership of one tenth of one ordinary share. Each ADS also represents ownership of any other securities, cash or other property which may be held by the depositary in respect of such shares.</w:t>
      </w:r>
    </w:p>
    <w:p>
      <w:pPr>
        <w:spacing w:after="0" w:line="108" w:lineRule="exact"/>
        <w:rPr>
          <w:sz w:val="20"/>
          <w:szCs w:val="20"/>
          <w:color w:val="auto"/>
        </w:rPr>
      </w:pPr>
    </w:p>
    <w:p>
      <w:pPr>
        <w:ind w:right="220" w:firstLine="457"/>
        <w:spacing w:after="0" w:line="287" w:lineRule="auto"/>
        <w:rPr>
          <w:sz w:val="20"/>
          <w:szCs w:val="20"/>
          <w:color w:val="auto"/>
        </w:rPr>
      </w:pPr>
      <w:r>
        <w:rPr>
          <w:rFonts w:ascii="Times New Roman" w:cs="Times New Roman" w:eastAsia="Times New Roman" w:hAnsi="Times New Roman"/>
          <w:sz w:val="12"/>
          <w:szCs w:val="12"/>
          <w:color w:val="auto"/>
        </w:rPr>
        <w:t>The following is a summary of the material provisions of the Deposit Agreement. For more complete information, holders should read the entire Deposit Agreement and the form of the ADR containing the terms of your ADSs. Copies of the Deposit Agreement and the form of ADR are filed as exhibits to the annual report on Form 20-F to which this exhibit is attached.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Dividends and Other Distributions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Receipt of Dividends and Other Distributions</w:t>
      </w:r>
    </w:p>
    <w:p>
      <w:pPr>
        <w:spacing w:after="0" w:line="159" w:lineRule="exact"/>
        <w:rPr>
          <w:sz w:val="20"/>
          <w:szCs w:val="20"/>
          <w:color w:val="auto"/>
        </w:rPr>
      </w:pPr>
    </w:p>
    <w:p>
      <w:pPr>
        <w:ind w:right="200" w:firstLine="457"/>
        <w:spacing w:after="0" w:line="267" w:lineRule="auto"/>
        <w:rPr>
          <w:sz w:val="20"/>
          <w:szCs w:val="20"/>
          <w:color w:val="auto"/>
        </w:rPr>
      </w:pPr>
      <w:r>
        <w:rPr>
          <w:rFonts w:ascii="Times New Roman" w:cs="Times New Roman" w:eastAsia="Times New Roman" w:hAnsi="Times New Roman"/>
          <w:sz w:val="12"/>
          <w:szCs w:val="12"/>
          <w:color w:val="auto"/>
        </w:rPr>
        <w:t>The depositary has agreed to pay to holders of the ADSs the cash dividends or other distributions it or the custodian receives on shares or other deposited securities, after deducting its fees and expenses. Holders will receive these distributions in proportion to the number of shares their ADSs represent as of the record date (which will be as close as practicable to the record date for Genmab’s shares) set by the depositary with respect to the ADSs.</w:t>
      </w:r>
    </w:p>
    <w:p>
      <w:pPr>
        <w:spacing w:after="0" w:line="118" w:lineRule="exact"/>
        <w:rPr>
          <w:sz w:val="20"/>
          <w:szCs w:val="20"/>
          <w:color w:val="auto"/>
        </w:rPr>
      </w:pPr>
    </w:p>
    <w:p>
      <w:pPr>
        <w:ind w:left="460" w:right="40" w:hanging="225"/>
        <w:spacing w:after="0" w:line="255" w:lineRule="auto"/>
        <w:tabs>
          <w:tab w:leader="none" w:pos="460"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Cash. </w:t>
      </w:r>
      <w:r>
        <w:rPr>
          <w:rFonts w:ascii="Times New Roman" w:cs="Times New Roman" w:eastAsia="Times New Roman" w:hAnsi="Times New Roman"/>
          <w:sz w:val="12"/>
          <w:szCs w:val="12"/>
          <w:color w:val="auto"/>
        </w:rPr>
        <w:t>The depositary will distribute any U.S. dollars available to it resulting from a cash dividend or other cash distribution Genmab pays on the shares or any net proceeds from the sale of any shares,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rights, securities or other entitlements under the terms of the Deposit Agreement, on an averaged or other practicable basis, subject to (i) appropriate adjustments for taxes withheld, (ii) such distribution being permissible or 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Times New Roman" w:cs="Times New Roman" w:eastAsia="Times New Roman" w:hAnsi="Times New Roman"/>
          <w:sz w:val="12"/>
          <w:szCs w:val="12"/>
          <w:i w:val="1"/>
          <w:iCs w:val="1"/>
          <w:color w:val="auto"/>
        </w:rPr>
        <w:t>If exchange rates fluctuate during a time when the depositary cannot convert a foreign currency, you may lose some or all of the value of the distribution.</w:t>
      </w:r>
    </w:p>
    <w:p>
      <w:pPr>
        <w:spacing w:after="0" w:line="127" w:lineRule="exact"/>
        <w:rPr>
          <w:sz w:val="20"/>
          <w:szCs w:val="20"/>
          <w:color w:val="auto"/>
        </w:rPr>
      </w:pPr>
    </w:p>
    <w:p>
      <w:pPr>
        <w:ind w:left="400"/>
        <w:spacing w:after="0" w:line="261" w:lineRule="auto"/>
        <w:rPr>
          <w:sz w:val="20"/>
          <w:szCs w:val="20"/>
          <w:color w:val="auto"/>
        </w:rPr>
      </w:pPr>
      <w:r>
        <w:rPr>
          <w:rFonts w:ascii="Times New Roman" w:cs="Times New Roman" w:eastAsia="Times New Roman" w:hAnsi="Times New Roman"/>
          <w:sz w:val="12"/>
          <w:szCs w:val="12"/>
          <w:color w:val="auto"/>
        </w:rPr>
        <w:t xml:space="preserve">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holders issued in respect of such deposited securities. </w:t>
      </w:r>
      <w:r>
        <w:rPr>
          <w:rFonts w:ascii="Times New Roman" w:cs="Times New Roman" w:eastAsia="Times New Roman" w:hAnsi="Times New Roman"/>
          <w:sz w:val="12"/>
          <w:szCs w:val="12"/>
          <w:i w:val="1"/>
          <w:iCs w:val="1"/>
          <w:color w:val="auto"/>
        </w:rPr>
        <w:t>To the extent Genmab or the depositary is required to withhold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from any cash dividend, distribution or net proceeds from sales in respect of any deposited securities an amount on account of taxes, the amount distributed on the ADSs issued in respect of such deposited securities shall be reduced accordingly.</w:t>
      </w:r>
    </w:p>
    <w:p>
      <w:pPr>
        <w:spacing w:after="0" w:line="123" w:lineRule="exact"/>
        <w:rPr>
          <w:sz w:val="20"/>
          <w:szCs w:val="20"/>
          <w:color w:val="auto"/>
        </w:rPr>
      </w:pPr>
    </w:p>
    <w:p>
      <w:pPr>
        <w:ind w:left="400" w:right="260"/>
        <w:spacing w:after="0" w:line="287" w:lineRule="auto"/>
        <w:rPr>
          <w:sz w:val="20"/>
          <w:szCs w:val="20"/>
          <w:color w:val="auto"/>
        </w:rPr>
      </w:pPr>
      <w:r>
        <w:rPr>
          <w:rFonts w:ascii="Times New Roman" w:cs="Times New Roman" w:eastAsia="Times New Roman" w:hAnsi="Times New Roman"/>
          <w:sz w:val="12"/>
          <w:szCs w:val="12"/>
          <w:color w:val="auto"/>
        </w:rPr>
        <w:t>To the extent the depositary determines in its discretion that it would not be permitted by applicable law, rule or regulation, or it would not otherwise be practicable, to convert foreign currency into U.S. dollars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8</w:t>
      </w:r>
    </w:p>
    <w:p>
      <w:pPr>
        <w:sectPr>
          <w:pgSz w:w="11900" w:h="16840" w:orient="portrait"/>
          <w:cols w:equalWidth="0" w:num="1">
            <w:col w:w="10640"/>
          </w:cols>
          <w:pgMar w:left="640" w:top="1440" w:right="620" w:bottom="1440" w:gutter="0" w:footer="0" w:header="0"/>
        </w:sectPr>
      </w:pPr>
    </w:p>
    <w:bookmarkStart w:id="448" w:name="page449"/>
    <w:bookmarkEnd w:id="448"/>
    <w:p>
      <w:pPr>
        <w:spacing w:after="0" w:line="34" w:lineRule="exact"/>
        <w:rPr>
          <w:sz w:val="20"/>
          <w:szCs w:val="20"/>
          <w:color w:val="auto"/>
        </w:rPr>
      </w:pPr>
    </w:p>
    <w:p>
      <w:pPr>
        <w:ind w:left="400" w:right="80"/>
        <w:spacing w:after="0" w:line="287" w:lineRule="auto"/>
        <w:rPr>
          <w:sz w:val="20"/>
          <w:szCs w:val="20"/>
          <w:color w:val="auto"/>
        </w:rPr>
      </w:pPr>
      <w:r>
        <w:rPr>
          <w:rFonts w:ascii="Times New Roman" w:cs="Times New Roman" w:eastAsia="Times New Roman" w:hAnsi="Times New Roman"/>
          <w:sz w:val="12"/>
          <w:szCs w:val="12"/>
          <w:color w:val="auto"/>
        </w:rPr>
        <w:t>or distribute such U.S. dollars to any or all of the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holders entitled to receive the same.</w:t>
      </w:r>
    </w:p>
    <w:p>
      <w:pPr>
        <w:spacing w:after="0" w:line="106" w:lineRule="exact"/>
        <w:rPr>
          <w:sz w:val="20"/>
          <w:szCs w:val="20"/>
          <w:color w:val="auto"/>
        </w:rPr>
      </w:pPr>
    </w:p>
    <w:p>
      <w:pPr>
        <w:ind w:left="460" w:right="140" w:hanging="225"/>
        <w:spacing w:after="0" w:line="290" w:lineRule="auto"/>
        <w:tabs>
          <w:tab w:leader="none" w:pos="460"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Shares. </w:t>
      </w:r>
      <w:r>
        <w:rPr>
          <w:rFonts w:ascii="Times New Roman" w:cs="Times New Roman" w:eastAsia="Times New Roman" w:hAnsi="Times New Roman"/>
          <w:sz w:val="12"/>
          <w:szCs w:val="12"/>
          <w:color w:val="auto"/>
        </w:rPr>
        <w:t>In the case of a distribution in any Genmab shares, the depositary will issue additional ADSs representing such shares. Only whole ADSs will be issued. Any shares that would result in fractional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ADSs will be sold and the net proceeds will be distributed in the same manner as cash to the holders entitled thereto.</w:t>
      </w:r>
    </w:p>
    <w:p>
      <w:pPr>
        <w:spacing w:after="0" w:line="132" w:lineRule="exact"/>
        <w:rPr>
          <w:rFonts w:ascii="Times New Roman" w:cs="Times New Roman" w:eastAsia="Times New Roman" w:hAnsi="Times New Roman"/>
          <w:sz w:val="12"/>
          <w:szCs w:val="12"/>
          <w:color w:val="auto"/>
        </w:rPr>
      </w:pPr>
    </w:p>
    <w:p>
      <w:pPr>
        <w:ind w:left="460" w:right="280" w:hanging="225"/>
        <w:spacing w:after="0" w:line="257" w:lineRule="auto"/>
        <w:tabs>
          <w:tab w:leader="none" w:pos="460"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Rights to receive additional shares. </w:t>
      </w:r>
      <w:r>
        <w:rPr>
          <w:rFonts w:ascii="Times New Roman" w:cs="Times New Roman" w:eastAsia="Times New Roman" w:hAnsi="Times New Roman"/>
          <w:sz w:val="12"/>
          <w:szCs w:val="12"/>
          <w:color w:val="auto"/>
        </w:rPr>
        <w:t>In the case of a distribution of rights to subscribe for additional shares or other rights, if Genmab timely provides evidence satisfactory to the depositary that it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lawfully distribute such rights, the depositary will distribute warrants or other instruments in the discretion of the depositary representing such rights. However, if Genmab does not timely furnish such evidence, the depositary may:</w:t>
      </w:r>
    </w:p>
    <w:p>
      <w:pPr>
        <w:spacing w:after="0" w:line="1" w:lineRule="exact"/>
        <w:rPr>
          <w:rFonts w:ascii="Times New Roman" w:cs="Times New Roman" w:eastAsia="Times New Roman" w:hAnsi="Times New Roman"/>
          <w:sz w:val="12"/>
          <w:szCs w:val="12"/>
          <w:color w:val="auto"/>
        </w:rPr>
      </w:pPr>
    </w:p>
    <w:p>
      <w:pPr>
        <w:ind w:left="1140" w:hanging="449"/>
        <w:spacing w:after="0"/>
        <w:tabs>
          <w:tab w:leader="none" w:pos="1140" w:val="left"/>
        </w:tabs>
        <w:numPr>
          <w:ilvl w:val="2"/>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such rights if practicable and distribute the net proceeds in the same manner as cash to the ADS holders entitled thereto; or</w:t>
      </w:r>
    </w:p>
    <w:p>
      <w:pPr>
        <w:spacing w:after="0" w:line="4" w:lineRule="exact"/>
        <w:rPr>
          <w:rFonts w:ascii="Times New Roman" w:cs="Times New Roman" w:eastAsia="Times New Roman" w:hAnsi="Times New Roman"/>
          <w:sz w:val="12"/>
          <w:szCs w:val="12"/>
          <w:color w:val="auto"/>
        </w:rPr>
      </w:pPr>
    </w:p>
    <w:p>
      <w:pPr>
        <w:ind w:left="1140" w:right="100" w:hanging="449"/>
        <w:spacing w:after="0" w:line="255" w:lineRule="auto"/>
        <w:tabs>
          <w:tab w:leader="none" w:pos="1131" w:val="left"/>
        </w:tabs>
        <w:numPr>
          <w:ilvl w:val="2"/>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is not practicable to sell such rights by reason of the non-transferability of the rights, limited markets therefor, their short duration or otherwise, do nothing and allow such rights to lapse, in which case ADS holders will receive nothing and the rights may lapse. Genmab has no obligation to file a registration statement under the Securities Act in order to make any rights available to ADS holders.</w:t>
      </w:r>
    </w:p>
    <w:p>
      <w:pPr>
        <w:spacing w:after="0" w:line="153" w:lineRule="exact"/>
        <w:rPr>
          <w:rFonts w:ascii="Times New Roman" w:cs="Times New Roman" w:eastAsia="Times New Roman" w:hAnsi="Times New Roman"/>
          <w:sz w:val="12"/>
          <w:szCs w:val="12"/>
          <w:color w:val="auto"/>
        </w:rPr>
      </w:pPr>
    </w:p>
    <w:p>
      <w:pPr>
        <w:jc w:val="both"/>
        <w:ind w:left="460" w:right="420" w:hanging="225"/>
        <w:spacing w:after="0" w:line="269" w:lineRule="auto"/>
        <w:tabs>
          <w:tab w:leader="none" w:pos="460"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Other Distributions. </w:t>
      </w:r>
      <w:r>
        <w:rPr>
          <w:rFonts w:ascii="Times New Roman" w:cs="Times New Roman" w:eastAsia="Times New Roman" w:hAnsi="Times New Roman"/>
          <w:sz w:val="12"/>
          <w:szCs w:val="12"/>
          <w:color w:val="auto"/>
        </w:rPr>
        <w:t>In the case of a distribution of securities or property other than those described above, the depositary may either (i) distribute such securities or property in any manner it deems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45" w:lineRule="exact"/>
        <w:rPr>
          <w:rFonts w:ascii="Times New Roman" w:cs="Times New Roman" w:eastAsia="Times New Roman" w:hAnsi="Times New Roman"/>
          <w:sz w:val="12"/>
          <w:szCs w:val="12"/>
          <w:color w:val="auto"/>
        </w:rPr>
      </w:pPr>
    </w:p>
    <w:p>
      <w:pPr>
        <w:ind w:left="460" w:right="220" w:hanging="225"/>
        <w:spacing w:after="0" w:line="262" w:lineRule="auto"/>
        <w:tabs>
          <w:tab w:leader="none" w:pos="460"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Elective Distributions. </w:t>
      </w:r>
      <w:r>
        <w:rPr>
          <w:rFonts w:ascii="Times New Roman" w:cs="Times New Roman" w:eastAsia="Times New Roman" w:hAnsi="Times New Roman"/>
          <w:sz w:val="12"/>
          <w:szCs w:val="12"/>
          <w:color w:val="auto"/>
        </w:rPr>
        <w:t>In the case of a dividend payable at the election of Genmab’s shareholders in cash or in additional shares, Genmab will notify the depositary at least 30 days prior to the proposed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distribution stating whether or not Genmab wishes such elective distribution to be made available to ADS holders. The depositary will make such elective distribution available to ADS holders only if</w:t>
      </w:r>
    </w:p>
    <w:p>
      <w:pPr>
        <w:ind w:left="460" w:firstLine="3"/>
        <w:spacing w:after="0" w:line="251" w:lineRule="auto"/>
        <w:tabs>
          <w:tab w:leader="none" w:pos="608" w:val="left"/>
        </w:tabs>
        <w:numPr>
          <w:ilvl w:val="1"/>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Genmab timely requests that the elective distribution is available to ADS holders, (ii) the depositary determines that such distribution is reasonably practicable and (iii) the depositary receives satisfactory documentation within the terms of the Deposit Agreement including any legal opinions of counsel that the depositary in its reasonable discretion may request. If the above conditions are not satisfied, the depositary will, to the extent permitted by law, distribute to the ADS holders, on the basis of the same determination as is made in the local market in respect of the shares for which no election is made, either (x) cash or (y) additional ADSs representing such additional shares. If the above conditions are satisfied, the depositary will establish procedures to enable ADS holders to elect the receipt of the proposed dividend in cash or in additional ADSs. There can be no assurance that ADS holders or beneficial owners of ADSs generally, or any ADS holder or beneficial owner of ADSs in particular, will be given the opportunity to receive elective distributions on the same terms and conditions as the holders of shares.</w:t>
      </w:r>
    </w:p>
    <w:p>
      <w:pPr>
        <w:spacing w:after="0" w:line="158" w:lineRule="exact"/>
        <w:rPr>
          <w:sz w:val="20"/>
          <w:szCs w:val="20"/>
          <w:color w:val="auto"/>
        </w:rPr>
      </w:pPr>
    </w:p>
    <w:p>
      <w:pPr>
        <w:ind w:right="20" w:firstLine="685"/>
        <w:spacing w:after="0" w:line="261" w:lineRule="auto"/>
        <w:rPr>
          <w:sz w:val="20"/>
          <w:szCs w:val="20"/>
          <w:color w:val="auto"/>
        </w:rPr>
      </w:pPr>
      <w:r>
        <w:rPr>
          <w:rFonts w:ascii="Times New Roman" w:cs="Times New Roman" w:eastAsia="Times New Roman" w:hAnsi="Times New Roman"/>
          <w:sz w:val="12"/>
          <w:szCs w:val="12"/>
          <w:color w:val="auto"/>
        </w:rPr>
        <w:t>To the extent that the depositary determines in its discretion that any distribution would not be permissible by applicable law, rule or regulation, or is not otherwise practicable with respect to any or all ADS holders, the depositary may in its discretion make such distribution as it so deems permissible and practicable, including the distribution of some or all of any cash, foreign currency, securities or other property (or appropriate documents evidencing the right to receive some or all of any such cash, foreign currency, securities or other property), or the depositary may retain and hold some or all of such cash, foreign currency, securities or other property as deposited securities with respect to the ADS holders’ ADSs (without liability for interest thereon or the investment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w:t>
      </w:r>
    </w:p>
    <w:p>
      <w:pPr>
        <w:sectPr>
          <w:pgSz w:w="11900" w:h="16840" w:orient="portrait"/>
          <w:cols w:equalWidth="0" w:num="1">
            <w:col w:w="10620"/>
          </w:cols>
          <w:pgMar w:left="640" w:top="1440" w:right="640" w:bottom="1440" w:gutter="0" w:footer="0" w:header="0"/>
        </w:sectPr>
      </w:pPr>
    </w:p>
    <w:bookmarkStart w:id="449" w:name="page450"/>
    <w:bookmarkEnd w:id="449"/>
    <w:p>
      <w:pPr>
        <w:spacing w:after="0" w:line="200" w:lineRule="exact"/>
        <w:rPr>
          <w:sz w:val="20"/>
          <w:szCs w:val="20"/>
          <w:color w:val="auto"/>
        </w:rPr>
      </w:pPr>
    </w:p>
    <w:p>
      <w:pPr>
        <w:spacing w:after="0" w:line="212" w:lineRule="exact"/>
        <w:rPr>
          <w:sz w:val="20"/>
          <w:szCs w:val="20"/>
          <w:color w:val="auto"/>
        </w:rPr>
      </w:pPr>
    </w:p>
    <w:p>
      <w:pPr>
        <w:ind w:right="280" w:firstLine="457"/>
        <w:spacing w:after="0" w:line="269" w:lineRule="auto"/>
        <w:rPr>
          <w:sz w:val="20"/>
          <w:szCs w:val="20"/>
          <w:color w:val="auto"/>
        </w:rPr>
      </w:pPr>
      <w:r>
        <w:rPr>
          <w:rFonts w:ascii="Times New Roman" w:cs="Times New Roman" w:eastAsia="Times New Roman" w:hAnsi="Times New Roman"/>
          <w:sz w:val="12"/>
          <w:szCs w:val="12"/>
          <w:i w:val="1"/>
          <w:iCs w:val="1"/>
          <w:color w:val="auto"/>
        </w:rPr>
        <w:t>To the extent the depositary retains and holds any cash, foreign currency, securities or other property as permitted under the Deposit Agreement, any and all fees, charges and expenses related to, or arising from, the holding thereof (including, but not limited to those described under “Item 12D Fees and Expenses” of the annual report on Form 20-F to which this exhibit is attached,) will be paid from such cash, foreign currency, securities or other property, or the net proceeds from the sale thereof, thereby reducing the amount so held.</w:t>
      </w:r>
    </w:p>
    <w:p>
      <w:pPr>
        <w:spacing w:after="0" w:line="347" w:lineRule="exact"/>
        <w:rPr>
          <w:sz w:val="20"/>
          <w:szCs w:val="20"/>
          <w:color w:val="auto"/>
        </w:rPr>
      </w:pPr>
    </w:p>
    <w:p>
      <w:pPr>
        <w:ind w:right="200" w:firstLine="457"/>
        <w:spacing w:after="0" w:line="287" w:lineRule="auto"/>
        <w:rPr>
          <w:sz w:val="20"/>
          <w:szCs w:val="20"/>
          <w:color w:val="auto"/>
        </w:rPr>
      </w:pPr>
      <w:r>
        <w:rPr>
          <w:rFonts w:ascii="Times New Roman" w:cs="Times New Roman" w:eastAsia="Times New Roman" w:hAnsi="Times New Roman"/>
          <w:sz w:val="12"/>
          <w:szCs w:val="12"/>
          <w:color w:val="auto"/>
        </w:rPr>
        <w:t>Sales of shares, other securities and property pursuant to the Deposit Agreement may be made in a block sale or single lot transaction by the depositary. The depositary will not be obligated to effect any sale of securities or property pursuant to the Deposit Agreement unless the securities to be sold are listed and publicly traded on a securities exchange or there is a public market for the property to be sold.</w:t>
      </w:r>
    </w:p>
    <w:p>
      <w:pPr>
        <w:spacing w:after="0" w:line="336" w:lineRule="exact"/>
        <w:rPr>
          <w:sz w:val="20"/>
          <w:szCs w:val="20"/>
          <w:color w:val="auto"/>
        </w:rPr>
      </w:pPr>
    </w:p>
    <w:p>
      <w:pPr>
        <w:ind w:right="320" w:firstLine="457"/>
        <w:spacing w:after="0" w:line="287" w:lineRule="auto"/>
        <w:rPr>
          <w:sz w:val="20"/>
          <w:szCs w:val="20"/>
          <w:color w:val="auto"/>
        </w:rPr>
      </w:pPr>
      <w:r>
        <w:rPr>
          <w:rFonts w:ascii="Times New Roman" w:cs="Times New Roman" w:eastAsia="Times New Roman" w:hAnsi="Times New Roman"/>
          <w:sz w:val="12"/>
          <w:szCs w:val="12"/>
          <w:color w:val="auto"/>
        </w:rPr>
        <w:t>Any U.S. dollars will be paid via wire transfer or distributed by checks drawn on a bank in the U.S. for whole dollars and cents. Fractional cents will be withheld without liability and dealt with by the depositary in accordance with its then current practices.</w:t>
      </w:r>
    </w:p>
    <w:p>
      <w:pPr>
        <w:spacing w:after="0" w:line="334" w:lineRule="exact"/>
        <w:rPr>
          <w:sz w:val="20"/>
          <w:szCs w:val="20"/>
          <w:color w:val="auto"/>
        </w:rPr>
      </w:pPr>
    </w:p>
    <w:p>
      <w:pPr>
        <w:jc w:val="both"/>
        <w:ind w:right="120" w:firstLine="457"/>
        <w:spacing w:after="0" w:line="269" w:lineRule="auto"/>
        <w:rPr>
          <w:sz w:val="20"/>
          <w:szCs w:val="20"/>
          <w:color w:val="auto"/>
        </w:rPr>
      </w:pPr>
      <w:r>
        <w:rPr>
          <w:rFonts w:ascii="Times New Roman" w:cs="Times New Roman" w:eastAsia="Times New Roman" w:hAnsi="Times New Roman"/>
          <w:sz w:val="12"/>
          <w:szCs w:val="12"/>
          <w:i w:val="1"/>
          <w:iCs w:val="1"/>
          <w:color w:val="auto"/>
        </w:rPr>
        <w:t>The depositary is not responsible if it determines that any distribution or action is not lawful or not reasonably practicable. The depositary also has no obligation to register ADSs, shares, rights or other securities under the Securities Act or to take any other action to permit the distribution of ADSs, shares, rights or any other property to ADS holders. This means that you may not receive the distributions Genmab makes on the shares or any value for them if Genmab or the depositary determines that it is illegal or not practicable for Genmab or the depositary to make them available to you.</w:t>
      </w:r>
    </w:p>
    <w:p>
      <w:pPr>
        <w:spacing w:after="0" w:line="345" w:lineRule="exact"/>
        <w:rPr>
          <w:sz w:val="20"/>
          <w:szCs w:val="20"/>
          <w:color w:val="auto"/>
        </w:rPr>
      </w:pPr>
    </w:p>
    <w:p>
      <w:pPr>
        <w:jc w:val="both"/>
        <w:ind w:right="160" w:firstLine="457"/>
        <w:spacing w:after="0" w:line="269" w:lineRule="auto"/>
        <w:rPr>
          <w:sz w:val="20"/>
          <w:szCs w:val="20"/>
          <w:color w:val="auto"/>
        </w:rPr>
      </w:pPr>
      <w:r>
        <w:rPr>
          <w:rFonts w:ascii="Times New Roman" w:cs="Times New Roman" w:eastAsia="Times New Roman" w:hAnsi="Times New Roman"/>
          <w:sz w:val="12"/>
          <w:szCs w:val="12"/>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Deposit, Withdrawal and Cancellation</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Deposit of Shares Against Issuance of ADSs</w:t>
      </w:r>
    </w:p>
    <w:p>
      <w:pPr>
        <w:spacing w:after="0" w:line="188" w:lineRule="exact"/>
        <w:rPr>
          <w:sz w:val="20"/>
          <w:szCs w:val="20"/>
          <w:color w:val="auto"/>
        </w:rPr>
      </w:pPr>
    </w:p>
    <w:p>
      <w:pPr>
        <w:ind w:firstLine="305"/>
        <w:spacing w:after="0" w:line="287" w:lineRule="auto"/>
        <w:rPr>
          <w:sz w:val="20"/>
          <w:szCs w:val="20"/>
          <w:color w:val="auto"/>
        </w:rPr>
      </w:pPr>
      <w:r>
        <w:rPr>
          <w:rFonts w:ascii="Times New Roman" w:cs="Times New Roman" w:eastAsia="Times New Roman" w:hAnsi="Times New Roman"/>
          <w:sz w:val="12"/>
          <w:szCs w:val="12"/>
          <w:color w:val="auto"/>
        </w:rPr>
        <w:t>The depositary will issue ADSs if you or your broker deposit shares or evidence of rights to receive Genmab shares with the custodian and pay the fees and expenses owing to the depositary in connection with such issuance.</w:t>
      </w:r>
    </w:p>
    <w:p>
      <w:pPr>
        <w:spacing w:after="0" w:line="136" w:lineRule="exact"/>
        <w:rPr>
          <w:sz w:val="20"/>
          <w:szCs w:val="20"/>
          <w:color w:val="auto"/>
        </w:rPr>
      </w:pPr>
    </w:p>
    <w:p>
      <w:pPr>
        <w:ind w:right="40" w:firstLine="305"/>
        <w:spacing w:after="0" w:line="287" w:lineRule="auto"/>
        <w:rPr>
          <w:sz w:val="20"/>
          <w:szCs w:val="20"/>
          <w:color w:val="auto"/>
        </w:rPr>
      </w:pPr>
      <w:r>
        <w:rPr>
          <w:rFonts w:ascii="Times New Roman" w:cs="Times New Roman" w:eastAsia="Times New Roman" w:hAnsi="Times New Roman"/>
          <w:sz w:val="12"/>
          <w:szCs w:val="12"/>
          <w:color w:val="auto"/>
        </w:rPr>
        <w:t>Shares deposited with the custodian must be accompanied by certain delivery documentation and will, at the time of such deposit, be registered in the name of JPMorgan Chase, as depositary for the benefit of ADS holders or in such other name as the depositary will direct.</w:t>
      </w:r>
    </w:p>
    <w:p>
      <w:pPr>
        <w:spacing w:after="0" w:line="136" w:lineRule="exact"/>
        <w:rPr>
          <w:sz w:val="20"/>
          <w:szCs w:val="20"/>
          <w:color w:val="auto"/>
        </w:rPr>
      </w:pPr>
    </w:p>
    <w:p>
      <w:pPr>
        <w:ind w:right="140" w:firstLine="305"/>
        <w:spacing w:after="0" w:line="267" w:lineRule="auto"/>
        <w:rPr>
          <w:sz w:val="20"/>
          <w:szCs w:val="20"/>
          <w:color w:val="auto"/>
        </w:rPr>
      </w:pPr>
      <w:r>
        <w:rPr>
          <w:rFonts w:ascii="Times New Roman" w:cs="Times New Roman" w:eastAsia="Times New Roman" w:hAnsi="Times New Roman"/>
          <w:sz w:val="12"/>
          <w:szCs w:val="12"/>
          <w:color w:val="auto"/>
        </w:rPr>
        <w:t>The custodian will hold all deposited shares for the account and to the order of the depositary, in each case for the benefit of ADS holders, to the extent not prohibited by applicable law. ADS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w:t>
      </w:r>
    </w:p>
    <w:p>
      <w:pPr>
        <w:spacing w:after="0" w:line="149" w:lineRule="exact"/>
        <w:rPr>
          <w:sz w:val="20"/>
          <w:szCs w:val="20"/>
          <w:color w:val="auto"/>
        </w:rPr>
      </w:pPr>
    </w:p>
    <w:p>
      <w:pPr>
        <w:ind w:right="120" w:firstLine="305"/>
        <w:spacing w:after="0" w:line="287" w:lineRule="auto"/>
        <w:rPr>
          <w:sz w:val="20"/>
          <w:szCs w:val="20"/>
          <w:color w:val="auto"/>
        </w:rPr>
      </w:pPr>
      <w:r>
        <w:rPr>
          <w:rFonts w:ascii="Times New Roman" w:cs="Times New Roman" w:eastAsia="Times New Roman" w:hAnsi="Times New Roman"/>
          <w:sz w:val="12"/>
          <w:szCs w:val="12"/>
          <w:color w:val="auto"/>
        </w:rPr>
        <w:t>Deposited securities are not intended to, and will not, constitute proprietary assets of the depositary, the custodian or their nominees. Beneficial ownership in deposited securities is intended to be, and will at all times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w:t>
      </w:r>
    </w:p>
    <w:p>
      <w:pPr>
        <w:sectPr>
          <w:pgSz w:w="11900" w:h="16840" w:orient="portrait"/>
          <w:cols w:equalWidth="0" w:num="1">
            <w:col w:w="10640"/>
          </w:cols>
          <w:pgMar w:left="640" w:top="1440" w:right="620" w:bottom="1440" w:gutter="0" w:footer="0" w:header="0"/>
        </w:sectPr>
      </w:pPr>
    </w:p>
    <w:bookmarkStart w:id="450" w:name="page451"/>
    <w:bookmarkEnd w:id="450"/>
    <w:p>
      <w:pPr>
        <w:spacing w:after="0" w:line="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during the terms of the Deposit Agreement continue to be, vested in the beneficial owners of the ADSs representing such deposited securities. Notwithstanding anything else contained herein, in the Deposit Agreement, in the form of ADR or in any outstanding ADSs, the depositary, the custodian and their respective nominees are intended to be, and will at all times during the term of the Deposit Agreement be, the record holder(s) only of the deposited securities represented by the ADSs for the benefit of the ADS holders. The depositary, on its own behalf and on behalf of the custodian and their respective nominees, disclaims any beneficial ownership interest in the deposited securities held on behalf of the ADS holders.</w:t>
      </w:r>
    </w:p>
    <w:p>
      <w:pPr>
        <w:spacing w:after="0" w:line="152" w:lineRule="exact"/>
        <w:rPr>
          <w:sz w:val="20"/>
          <w:szCs w:val="20"/>
          <w:color w:val="auto"/>
        </w:rPr>
      </w:pPr>
    </w:p>
    <w:p>
      <w:pPr>
        <w:ind w:firstLine="305"/>
        <w:spacing w:after="0" w:line="261" w:lineRule="auto"/>
        <w:rPr>
          <w:sz w:val="20"/>
          <w:szCs w:val="20"/>
          <w:color w:val="auto"/>
        </w:rPr>
      </w:pPr>
      <w:r>
        <w:rPr>
          <w:rFonts w:ascii="Times New Roman" w:cs="Times New Roman" w:eastAsia="Times New Roman" w:hAnsi="Times New Roman"/>
          <w:sz w:val="12"/>
          <w:szCs w:val="12"/>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ADSs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ADS holder can request that the ADSs not be held through the depositary’s direct registration system and that a certificated ADR be issued.</w:t>
      </w: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Withdrawal of Deposited Securities and Cancellation of ADSs</w:t>
      </w:r>
    </w:p>
    <w:p>
      <w:pPr>
        <w:spacing w:after="0" w:line="159" w:lineRule="exact"/>
        <w:rPr>
          <w:sz w:val="20"/>
          <w:szCs w:val="20"/>
          <w:color w:val="auto"/>
        </w:rPr>
      </w:pPr>
    </w:p>
    <w:p>
      <w:pPr>
        <w:jc w:val="both"/>
        <w:ind w:right="100" w:firstLine="457"/>
        <w:spacing w:after="0" w:line="261" w:lineRule="auto"/>
        <w:rPr>
          <w:sz w:val="20"/>
          <w:szCs w:val="20"/>
          <w:color w:val="auto"/>
        </w:rPr>
      </w:pPr>
      <w:r>
        <w:rPr>
          <w:rFonts w:ascii="Times New Roman" w:cs="Times New Roman" w:eastAsia="Times New Roman" w:hAnsi="Times New Roman"/>
          <w:sz w:val="12"/>
          <w:szCs w:val="12"/>
          <w:color w:val="auto"/>
        </w:rPr>
        <w:t>You may withdraw deposited securities by turning in your ADR certificate at the depositary’s office, or by providing proper instructions and documentation to your broker in the case of direct registration ADSs. The depositary will then, upon payment of applicable fees, charges and taxes, deliver the underlying shares to you or, upon your written order, another person. Delivery of deposited securities in certificated form will be made at the custodian’s office. As long as each ADS represents a fraction of one share, ADSs may only be cancelled in multiples of such number of ADSs as will permit whole shares to be delivered. At your request, risk and expense, the depositary may deliver deposited securities, including certificates therefor, at a place other than the depositary’s office.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depositary may only restrict the withdrawal of deposited securities in connection with:</w:t>
      </w:r>
    </w:p>
    <w:p>
      <w:pPr>
        <w:spacing w:after="0" w:line="157" w:lineRule="exact"/>
        <w:rPr>
          <w:sz w:val="20"/>
          <w:szCs w:val="20"/>
          <w:color w:val="auto"/>
        </w:rPr>
      </w:pPr>
    </w:p>
    <w:p>
      <w:pPr>
        <w:ind w:left="920" w:hanging="229"/>
        <w:spacing w:after="0"/>
        <w:tabs>
          <w:tab w:leader="none" w:pos="920"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temporary delays caused by closing Genmab’s share register or those of the depositary or the deposit of shares in connection with voting at a shareholders’ meeting, or the payment of dividends;</w:t>
      </w:r>
    </w:p>
    <w:p>
      <w:pPr>
        <w:spacing w:after="0" w:line="18"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fees, taxes and similar charges; or</w:t>
      </w:r>
    </w:p>
    <w:p>
      <w:pPr>
        <w:spacing w:after="0" w:line="4"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any U.S. or foreign laws or governmental regulations relating to the ADSs or to the withdrawal of deposited securities.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This right of withdrawal may not be limited by any other provision of the Deposit Agreement.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Record Dates</w:t>
      </w:r>
    </w:p>
    <w:p>
      <w:pPr>
        <w:spacing w:after="0" w:line="159" w:lineRule="exact"/>
        <w:rPr>
          <w:sz w:val="20"/>
          <w:szCs w:val="20"/>
          <w:color w:val="auto"/>
        </w:rPr>
      </w:pPr>
    </w:p>
    <w:p>
      <w:pPr>
        <w:ind w:right="60" w:firstLine="457"/>
        <w:spacing w:after="0" w:line="287" w:lineRule="auto"/>
        <w:rPr>
          <w:sz w:val="20"/>
          <w:szCs w:val="20"/>
          <w:color w:val="auto"/>
        </w:rPr>
      </w:pPr>
      <w:r>
        <w:rPr>
          <w:rFonts w:ascii="Times New Roman" w:cs="Times New Roman" w:eastAsia="Times New Roman" w:hAnsi="Times New Roman"/>
          <w:sz w:val="12"/>
          <w:szCs w:val="12"/>
          <w:color w:val="auto"/>
        </w:rPr>
        <w:t>The depositary may, after consultation with Genmab if practicable, fix a record date (which, to the extent applicable, shall be as near as practicable to any corresponding record date set by Genmab) for the determination of the holders who are entitled (or obligated, as the case may be):</w:t>
      </w:r>
    </w:p>
    <w:p>
      <w:pPr>
        <w:spacing w:after="0" w:line="108" w:lineRule="exact"/>
        <w:rPr>
          <w:sz w:val="20"/>
          <w:szCs w:val="20"/>
          <w:color w:val="auto"/>
        </w:rPr>
      </w:pPr>
    </w:p>
    <w:p>
      <w:pPr>
        <w:ind w:left="920" w:hanging="229"/>
        <w:spacing w:after="0"/>
        <w:tabs>
          <w:tab w:leader="none" w:pos="920"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receive any distribution on or in respect of the deposited securities;</w:t>
      </w:r>
    </w:p>
    <w:p>
      <w:pPr>
        <w:spacing w:after="0" w:line="18"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give instructions for the exercise of voting rights at a meeting of shareholders;</w:t>
      </w:r>
    </w:p>
    <w:p>
      <w:pPr>
        <w:spacing w:after="0" w:line="4"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any fees, expenses or charges assessed by, or owing to, the depositary for administration of the ADR program as provided for in the ADS; or</w:t>
      </w:r>
    </w:p>
    <w:p>
      <w:pPr>
        <w:spacing w:after="0" w:line="4"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receive any notice or to act in respect of other matters,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all subject to the provisions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11</w:t>
      </w:r>
    </w:p>
    <w:p>
      <w:pPr>
        <w:sectPr>
          <w:pgSz w:w="11900" w:h="16840" w:orient="portrait"/>
          <w:cols w:equalWidth="0" w:num="1">
            <w:col w:w="10620"/>
          </w:cols>
          <w:pgMar w:left="640" w:top="1440" w:right="640" w:bottom="1440" w:gutter="0" w:footer="0" w:header="0"/>
        </w:sectPr>
      </w:pPr>
    </w:p>
    <w:bookmarkStart w:id="451" w:name="page452"/>
    <w:bookmarkEnd w:id="451"/>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387"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2"/>
          <w:szCs w:val="12"/>
          <w:color w:val="auto"/>
        </w:rPr>
        <w:t>If you are an ADS holder and the depositary asks you to provide it with voting instructions, you may instruct the depositary how to exercise the voting rights for the shares underlying your ADSs. As soon as practicable after receipt from Genmab of notice of any meeting at which the shareholders are entitled to vote, of the record date of such a meeting, or of Genmab’s solicitation of consents or proxies from shareholders, the depositary will fix the ADS record date in accordance with the provisions of the Deposit Agreement, provided that if the depositary receives a written request from Genmab in a timely manner and at least 30 days prior to the date of such vote or meeting, the depositary will, at Genmab’s expense, distribute to the registered ADS holders a “voting notice” stating (i) final information particular to such vote and meeting and any solicitation materials, (ii) that each ADS holder on the record date set by the depositary will, subject to any applicable provisions of the laws of the Kingdom of Denmark and the Articles, be entitled to instruct the depositary as to the exercise of the voting rights, if any, pertaining to the deposited securities represented by such holder’s ADSs and (iii) the manner in which such instructions may be given, including instructions for giving a discretionary proxy to a person designated by Genmab. Each ADS holder will be solely responsible for the forwarding of voting notices to the beneficial owners of ADSs registered in such ADS holder’s name. There is no guarantee that ADS holders and beneficial owners generally or any holder or beneficial owner in particular will receive the notice described above with sufficient time to enable such ADS holder or beneficial owner to return any voting instructions to the depositary in a timely manner.</w:t>
      </w:r>
    </w:p>
    <w:p>
      <w:pPr>
        <w:spacing w:after="0" w:line="356" w:lineRule="exact"/>
        <w:rPr>
          <w:sz w:val="20"/>
          <w:szCs w:val="20"/>
          <w:color w:val="auto"/>
        </w:rPr>
      </w:pPr>
    </w:p>
    <w:p>
      <w:pPr>
        <w:ind w:right="40" w:firstLine="457"/>
        <w:spacing w:after="0" w:line="267" w:lineRule="auto"/>
        <w:rPr>
          <w:sz w:val="20"/>
          <w:szCs w:val="20"/>
          <w:color w:val="auto"/>
        </w:rPr>
      </w:pPr>
      <w:r>
        <w:rPr>
          <w:rFonts w:ascii="Times New Roman" w:cs="Times New Roman" w:eastAsia="Times New Roman" w:hAnsi="Times New Roman"/>
          <w:sz w:val="12"/>
          <w:szCs w:val="12"/>
          <w:color w:val="auto"/>
        </w:rPr>
        <w:t>Following actual receipt by the ADS department responsible for proxies and voting of ADS holders’ instructions (including, without limitation, instructions of any entity or entities acting on behalf of the nominee for DTC), the depositary will, in the manner and on or before the time established by the depositary for such purpose, endeavor to vote or cause to be voted the deposited securities represented by the ADSs in accordance with such instructions insofar as practicable and permitted under the provisions of or governing deposited securities.</w:t>
      </w:r>
    </w:p>
    <w:p>
      <w:pPr>
        <w:spacing w:after="0" w:line="348"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ADS holders are strongly encouraged to forward their voting instructions to the depositary as soon as possible. For instructions to be valid, the ADS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Genmab, for the manner in which any vote is cast, including, without limitation, any vote cast by a person to whom the depositary is instructed to grant a discretionary proxy, or for the effect of any such vote. Notwithstanding anything contained in the Deposit Agreement or any ADS,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ADS holders a notice that provides such ADS holders with or otherwise publicizes to such ADS holders instructions on how to retrieve such materials or receive such materials upon request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by reference to a website containing the materials for retrieval or a contact for requesting copies of the materials).</w:t>
      </w:r>
    </w:p>
    <w:p>
      <w:pPr>
        <w:spacing w:after="0" w:line="200" w:lineRule="exact"/>
        <w:rPr>
          <w:sz w:val="20"/>
          <w:szCs w:val="20"/>
          <w:color w:val="auto"/>
        </w:rPr>
      </w:pPr>
    </w:p>
    <w:p>
      <w:pPr>
        <w:spacing w:after="0" w:line="254" w:lineRule="exact"/>
        <w:rPr>
          <w:sz w:val="20"/>
          <w:szCs w:val="20"/>
          <w:color w:val="auto"/>
        </w:rPr>
      </w:pPr>
    </w:p>
    <w:p>
      <w:pPr>
        <w:ind w:right="380" w:firstLine="457"/>
        <w:spacing w:after="0" w:line="287" w:lineRule="auto"/>
        <w:rPr>
          <w:sz w:val="20"/>
          <w:szCs w:val="20"/>
          <w:color w:val="auto"/>
        </w:rPr>
      </w:pPr>
      <w:r>
        <w:rPr>
          <w:rFonts w:ascii="Times New Roman" w:cs="Times New Roman" w:eastAsia="Times New Roman" w:hAnsi="Times New Roman"/>
          <w:sz w:val="12"/>
          <w:szCs w:val="12"/>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Payment of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12</w:t>
      </w:r>
    </w:p>
    <w:p>
      <w:pPr>
        <w:sectPr>
          <w:pgSz w:w="11900" w:h="16840" w:orient="portrait"/>
          <w:cols w:equalWidth="0" w:num="1">
            <w:col w:w="10640"/>
          </w:cols>
          <w:pgMar w:left="640" w:top="1440" w:right="620" w:bottom="1440" w:gutter="0" w:footer="0" w:header="0"/>
        </w:sectPr>
      </w:pPr>
    </w:p>
    <w:bookmarkStart w:id="452" w:name="page453"/>
    <w:bookmarkEnd w:id="452"/>
    <w:p>
      <w:pPr>
        <w:spacing w:after="0" w:line="34" w:lineRule="exact"/>
        <w:rPr>
          <w:sz w:val="20"/>
          <w:szCs w:val="20"/>
          <w:color w:val="auto"/>
        </w:rPr>
      </w:pPr>
    </w:p>
    <w:p>
      <w:pPr>
        <w:ind w:right="80" w:firstLine="305"/>
        <w:spacing w:after="0" w:line="259" w:lineRule="auto"/>
        <w:rPr>
          <w:sz w:val="20"/>
          <w:szCs w:val="20"/>
          <w:color w:val="auto"/>
        </w:rPr>
      </w:pPr>
      <w:r>
        <w:rPr>
          <w:rFonts w:ascii="Times New Roman" w:cs="Times New Roman" w:eastAsia="Times New Roman" w:hAnsi="Times New Roman"/>
          <w:sz w:val="12"/>
          <w:szCs w:val="12"/>
          <w:color w:val="auto"/>
        </w:rPr>
        <w:t>ADS holders or beneficial owners must pay any tax or other governmental charge payable by the custodian or the depositary on any ADS or ADR, deposited security or distribution. If any taxes or other governmental charges (including any penalties or interest) becomes payable by or on behalf of the custodian or the depositary with respect to any ADS, any deposited securities represented by the ADSs evidenced thereby or any distribution thereon, such tax or other governmental charge will be paid by the holder thereof to the depositary and by holding or owning, or having held or owned, an ADS or, the holder and all beneficial owners thereof, and all prior holders and beneficial owners thereof, jointly and severally, agree to indemnify, defend and hold harmless each of the depositary and its agents in respect of such tax or governmental charge.</w:t>
      </w:r>
    </w:p>
    <w:p>
      <w:pPr>
        <w:spacing w:after="0" w:line="299" w:lineRule="exact"/>
        <w:rPr>
          <w:sz w:val="20"/>
          <w:szCs w:val="20"/>
          <w:color w:val="auto"/>
        </w:rPr>
      </w:pPr>
    </w:p>
    <w:p>
      <w:pPr>
        <w:jc w:val="both"/>
        <w:ind w:right="20" w:firstLine="305"/>
        <w:spacing w:after="0" w:line="267" w:lineRule="auto"/>
        <w:rPr>
          <w:sz w:val="20"/>
          <w:szCs w:val="20"/>
          <w:color w:val="auto"/>
        </w:rPr>
      </w:pPr>
      <w:r>
        <w:rPr>
          <w:rFonts w:ascii="Times New Roman" w:cs="Times New Roman" w:eastAsia="Times New Roman" w:hAnsi="Times New Roman"/>
          <w:sz w:val="12"/>
          <w:szCs w:val="12"/>
          <w:color w:val="auto"/>
        </w:rPr>
        <w:t>Neither the depositary, nor any of its agents, will be liable to holders or beneficial owners of the ADSs for failure of any of them to comply with applicable tax laws, rules or regulations. Notwithstanding the depositary’s right to seek payment from current and former ADS holders and beneficial owners, ADS holder(s) and beneficial owner(s) (and all prior ADS holder(s) and beneficial owner(s)) acknowledge and agree that the depositary has no obligation to seek payment of amounts owing for tax and other governmental charges from any current or former beneficial owner of ADSs.</w:t>
      </w:r>
    </w:p>
    <w:p>
      <w:pPr>
        <w:spacing w:after="0" w:line="149" w:lineRule="exact"/>
        <w:rPr>
          <w:sz w:val="20"/>
          <w:szCs w:val="20"/>
          <w:color w:val="auto"/>
        </w:rPr>
      </w:pPr>
    </w:p>
    <w:p>
      <w:pPr>
        <w:ind w:right="60" w:firstLine="305"/>
        <w:spacing w:after="0" w:line="256" w:lineRule="auto"/>
        <w:rPr>
          <w:sz w:val="20"/>
          <w:szCs w:val="20"/>
          <w:color w:val="auto"/>
        </w:rPr>
      </w:pPr>
      <w:r>
        <w:rPr>
          <w:rFonts w:ascii="Times New Roman" w:cs="Times New Roman" w:eastAsia="Times New Roman" w:hAnsi="Times New Roman"/>
          <w:sz w:val="12"/>
          <w:szCs w:val="12"/>
          <w:color w:val="auto"/>
        </w:rPr>
        <w:t>If a holder owes any tax or other governmental charge, the depositary may (i) deduct the amount thereof from any cash distributions, or (ii) sell deposited securities (by public or private sale) and deduct the amount owing from the net proceeds of such sale. In either case the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holders entitled thereto.</w:t>
      </w:r>
    </w:p>
    <w:p>
      <w:pPr>
        <w:spacing w:after="0" w:line="154" w:lineRule="exact"/>
        <w:rPr>
          <w:sz w:val="20"/>
          <w:szCs w:val="20"/>
          <w:color w:val="auto"/>
        </w:rPr>
      </w:pPr>
    </w:p>
    <w:p>
      <w:pPr>
        <w:ind w:firstLine="305"/>
        <w:spacing w:after="0" w:line="267" w:lineRule="auto"/>
        <w:rPr>
          <w:sz w:val="20"/>
          <w:szCs w:val="20"/>
          <w:color w:val="auto"/>
        </w:rPr>
      </w:pPr>
      <w:r>
        <w:rPr>
          <w:rFonts w:ascii="Times New Roman" w:cs="Times New Roman" w:eastAsia="Times New Roman" w:hAnsi="Times New Roman"/>
          <w:sz w:val="12"/>
          <w:szCs w:val="12"/>
          <w:color w:val="auto"/>
        </w:rPr>
        <w:t>As a holder or beneficial owner, you will be agreeing to indemnify Genmab, the depositary, its custodian and any of Genmab’s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Reports and Other Communications</w:t>
      </w:r>
    </w:p>
    <w:p>
      <w:pPr>
        <w:spacing w:after="0" w:line="159" w:lineRule="exact"/>
        <w:rPr>
          <w:sz w:val="20"/>
          <w:szCs w:val="20"/>
          <w:color w:val="auto"/>
        </w:rPr>
      </w:pPr>
    </w:p>
    <w:p>
      <w:pPr>
        <w:ind w:right="400" w:firstLine="305"/>
        <w:spacing w:after="0" w:line="287" w:lineRule="auto"/>
        <w:rPr>
          <w:sz w:val="20"/>
          <w:szCs w:val="20"/>
          <w:color w:val="auto"/>
        </w:rPr>
      </w:pPr>
      <w:r>
        <w:rPr>
          <w:rFonts w:ascii="Times New Roman" w:cs="Times New Roman" w:eastAsia="Times New Roman" w:hAnsi="Times New Roman"/>
          <w:sz w:val="12"/>
          <w:szCs w:val="12"/>
          <w:color w:val="auto"/>
        </w:rPr>
        <w:t>The depositary will make available for inspection by ADS holders at the offices of the depositary in the U.S. the deposit agreement, the provisions of or governing deposited securities, and any written communications from Genmab which are both received by the custodian or its nominee as a holder of deposited securities and made generally available to the holders of deposited securities.</w:t>
      </w:r>
    </w:p>
    <w:p>
      <w:pPr>
        <w:spacing w:after="0" w:line="136" w:lineRule="exact"/>
        <w:rPr>
          <w:sz w:val="20"/>
          <w:szCs w:val="20"/>
          <w:color w:val="auto"/>
        </w:rPr>
      </w:pPr>
    </w:p>
    <w:p>
      <w:pPr>
        <w:ind w:right="120" w:firstLine="305"/>
        <w:spacing w:after="0" w:line="287" w:lineRule="auto"/>
        <w:rPr>
          <w:sz w:val="20"/>
          <w:szCs w:val="20"/>
          <w:color w:val="auto"/>
        </w:rPr>
      </w:pPr>
      <w:r>
        <w:rPr>
          <w:rFonts w:ascii="Times New Roman" w:cs="Times New Roman" w:eastAsia="Times New Roman" w:hAnsi="Times New Roman"/>
          <w:sz w:val="12"/>
          <w:szCs w:val="12"/>
          <w:color w:val="auto"/>
        </w:rPr>
        <w:t>Additionally, if Genmab makes any written communications generally available to holders of the shareholders, and Genmab furnishes copies thereof (or English translations or summaries) to the depositary, the depositary will distribute the same to registered ADS 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Reclassifications, Recapitalizations and Mergers</w:t>
      </w:r>
    </w:p>
    <w:p>
      <w:pPr>
        <w:spacing w:after="0" w:line="159" w:lineRule="exact"/>
        <w:rPr>
          <w:sz w:val="20"/>
          <w:szCs w:val="20"/>
          <w:color w:val="auto"/>
        </w:rPr>
      </w:pPr>
    </w:p>
    <w:p>
      <w:pPr>
        <w:ind w:right="440" w:firstLine="305"/>
        <w:spacing w:after="0" w:line="256" w:lineRule="auto"/>
        <w:rPr>
          <w:sz w:val="20"/>
          <w:szCs w:val="20"/>
          <w:color w:val="auto"/>
        </w:rPr>
      </w:pPr>
      <w:r>
        <w:rPr>
          <w:rFonts w:ascii="Times New Roman" w:cs="Times New Roman" w:eastAsia="Times New Roman" w:hAnsi="Times New Roman"/>
          <w:sz w:val="12"/>
          <w:szCs w:val="12"/>
          <w:color w:val="auto"/>
        </w:rPr>
        <w:t>If Genmab takes certain actions that affect the deposited securities, including (i) any change in par value, split-up, consolidation, cancellation or other reclassification of deposited securities or (ii) any distributions of securities on the shares or other property not made to ADS holders or (iii) any recapitalization, reorganization, merger, consolidation, liquidation, receivership, bankruptcy or sale of all or substantially all of Genmab’s assets, then the depositary may choose to, and will if reasonably requested by Genmab:</w:t>
      </w:r>
    </w:p>
    <w:p>
      <w:pPr>
        <w:spacing w:after="0" w:line="1" w:lineRule="exact"/>
        <w:rPr>
          <w:sz w:val="20"/>
          <w:szCs w:val="20"/>
          <w:color w:val="auto"/>
        </w:rPr>
      </w:pPr>
    </w:p>
    <w:p>
      <w:pPr>
        <w:ind w:left="640" w:hanging="177"/>
        <w:spacing w:after="0"/>
        <w:tabs>
          <w:tab w:leader="none" w:pos="640"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the form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13</w:t>
      </w:r>
    </w:p>
    <w:p>
      <w:pPr>
        <w:sectPr>
          <w:pgSz w:w="11900" w:h="16840" w:orient="portrait"/>
          <w:cols w:equalWidth="0" w:num="1">
            <w:col w:w="10600"/>
          </w:cols>
          <w:pgMar w:left="640" w:top="1440" w:right="660" w:bottom="1440" w:gutter="0" w:footer="0" w:header="0"/>
        </w:sectPr>
      </w:pPr>
    </w:p>
    <w:bookmarkStart w:id="453" w:name="page454"/>
    <w:bookmarkEnd w:id="453"/>
    <w:p>
      <w:pPr>
        <w:spacing w:after="0" w:line="34" w:lineRule="exact"/>
        <w:rPr>
          <w:sz w:val="20"/>
          <w:szCs w:val="20"/>
          <w:color w:val="auto"/>
        </w:rPr>
      </w:pPr>
    </w:p>
    <w:p>
      <w:pPr>
        <w:ind w:left="640" w:hanging="177"/>
        <w:spacing w:after="0"/>
        <w:tabs>
          <w:tab w:leader="none" w:pos="64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distribute additional or amended ADSs;</w:t>
      </w:r>
    </w:p>
    <w:p>
      <w:pPr>
        <w:spacing w:after="0" w:line="157" w:lineRule="exact"/>
        <w:rPr>
          <w:rFonts w:ascii="Times New Roman" w:cs="Times New Roman" w:eastAsia="Times New Roman" w:hAnsi="Times New Roman"/>
          <w:sz w:val="12"/>
          <w:szCs w:val="12"/>
          <w:color w:val="auto"/>
        </w:rPr>
      </w:pPr>
    </w:p>
    <w:p>
      <w:pPr>
        <w:ind w:left="640" w:hanging="177"/>
        <w:spacing w:after="0"/>
        <w:tabs>
          <w:tab w:leader="none" w:pos="64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distribute cash, securities or other property it has received in connection with such actions;</w:t>
      </w:r>
    </w:p>
    <w:p>
      <w:pPr>
        <w:spacing w:after="0" w:line="157" w:lineRule="exact"/>
        <w:rPr>
          <w:rFonts w:ascii="Times New Roman" w:cs="Times New Roman" w:eastAsia="Times New Roman" w:hAnsi="Times New Roman"/>
          <w:sz w:val="12"/>
          <w:szCs w:val="12"/>
          <w:color w:val="auto"/>
        </w:rPr>
      </w:pPr>
    </w:p>
    <w:p>
      <w:pPr>
        <w:ind w:left="640" w:hanging="177"/>
        <w:spacing w:after="0"/>
        <w:tabs>
          <w:tab w:leader="none" w:pos="64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any securities or property received and distribute the proceeds as cash; or</w:t>
      </w:r>
    </w:p>
    <w:p>
      <w:pPr>
        <w:spacing w:after="0" w:line="157" w:lineRule="exact"/>
        <w:rPr>
          <w:rFonts w:ascii="Times New Roman" w:cs="Times New Roman" w:eastAsia="Times New Roman" w:hAnsi="Times New Roman"/>
          <w:sz w:val="12"/>
          <w:szCs w:val="12"/>
          <w:color w:val="auto"/>
        </w:rPr>
      </w:pPr>
    </w:p>
    <w:p>
      <w:pPr>
        <w:ind w:left="640" w:hanging="177"/>
        <w:spacing w:after="0"/>
        <w:tabs>
          <w:tab w:leader="none" w:pos="640"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above.</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2"/>
          <w:szCs w:val="12"/>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Amendment and Termination</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Amendment</w:t>
      </w:r>
    </w:p>
    <w:p>
      <w:pPr>
        <w:spacing w:after="0" w:line="159" w:lineRule="exact"/>
        <w:rPr>
          <w:sz w:val="20"/>
          <w:szCs w:val="20"/>
          <w:color w:val="auto"/>
        </w:rPr>
      </w:pPr>
    </w:p>
    <w:p>
      <w:pPr>
        <w:ind w:right="120" w:firstLine="457"/>
        <w:spacing w:after="0" w:line="256" w:lineRule="auto"/>
        <w:rPr>
          <w:sz w:val="20"/>
          <w:szCs w:val="20"/>
          <w:color w:val="auto"/>
        </w:rPr>
      </w:pPr>
      <w:r>
        <w:rPr>
          <w:rFonts w:ascii="Times New Roman" w:cs="Times New Roman" w:eastAsia="Times New Roman" w:hAnsi="Times New Roman"/>
          <w:sz w:val="12"/>
          <w:szCs w:val="12"/>
          <w:color w:val="auto"/>
        </w:rPr>
        <w:t>Genmab may agree with the depositary to amend the Deposit Agreement and the ADSs without your consent for any reason. ADS holders must be given at least 30 days’ notice of any amendment that imposes or increases any fees on a per ADS basis, charges or expenses (other than stock transfer or other taxes and other governmental charges, transfer or registration fees, the transaction fee per cancellation request (including any cancellation request made through SWIFT, facsimile transmission or any other method of communication described under “Item 12D Fees and Expenses” of the annual report on Form 20-F to which this exhibit is attached, applicable delivery expenses or other such fees, charges or expenses), or otherwise prejudices any substantial existing right of ADS holders or beneficial owners. If an ADS holder continues to hold an ADS after being so notified, such ADS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26"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2"/>
          <w:szCs w:val="12"/>
          <w:color w:val="auto"/>
        </w:rPr>
        <w:t>Any amendments or supplements that (i) are reasonably necessary (as agreed by Genmab and the depositary) in order for (a) the ADSs to be registered on Form F-6 under the Securities Act or (b) the ADSs or the shares to be traded solely in electronic book-entry form and (ii) do not in either such case impose or increase any fees or charges to be borne by the ADS holders, will be deemed not to prejudice any substantial rights of ADS holders or beneficial owners. Notwithstanding the foregoing, if any governmental body or regulatory body should adopt new laws, rules or regulations that would require amendment or supplement of the Deposit Agreement or the form of ADR to ensure compliance therewith, Genmab and the depositary may amend or supplement the Deposit Agreement and the form of ADR at any time in accordance with such changed laws, rules or regulations. Such amendment or supplement to the Deposit Agreement in such circumstances may become effective before a notice of such amendment or supplement is given to ADS holders or within any other period of time as required for compliance.</w:t>
      </w:r>
    </w:p>
    <w:p>
      <w:pPr>
        <w:spacing w:after="0" w:line="126" w:lineRule="exact"/>
        <w:rPr>
          <w:sz w:val="20"/>
          <w:szCs w:val="20"/>
          <w:color w:val="auto"/>
        </w:rPr>
      </w:pPr>
    </w:p>
    <w:p>
      <w:pPr>
        <w:jc w:val="both"/>
        <w:ind w:firstLine="457"/>
        <w:spacing w:after="0" w:line="267" w:lineRule="auto"/>
        <w:rPr>
          <w:sz w:val="20"/>
          <w:szCs w:val="20"/>
          <w:color w:val="auto"/>
        </w:rPr>
      </w:pPr>
      <w:r>
        <w:rPr>
          <w:rFonts w:ascii="Times New Roman" w:cs="Times New Roman" w:eastAsia="Times New Roman" w:hAnsi="Times New Roman"/>
          <w:sz w:val="12"/>
          <w:szCs w:val="12"/>
          <w:color w:val="auto"/>
        </w:rPr>
        <w:t>Notice of any amendment to the Deposit Agreement or the form of ADRs will not need to describe in detail the specific amendments effectuated thereby, and failure to describe the specific amendments in any such notice will not render such notice invalid, provided, however, that, in each such case, the notice given to the ADS holders identifies a means for ADS holders and beneficial owners to retrieve or receive the text of such amendment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upon retrieval from the SEC’s, the depositary’s or Genmab’s website or upon request from the depositary).</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Termination</w:t>
      </w:r>
    </w:p>
    <w:p>
      <w:pPr>
        <w:spacing w:after="0" w:line="159" w:lineRule="exact"/>
        <w:rPr>
          <w:sz w:val="20"/>
          <w:szCs w:val="20"/>
          <w:color w:val="auto"/>
        </w:rPr>
      </w:pPr>
    </w:p>
    <w:p>
      <w:pPr>
        <w:ind w:firstLine="457"/>
        <w:spacing w:after="0" w:line="267" w:lineRule="auto"/>
        <w:rPr>
          <w:sz w:val="20"/>
          <w:szCs w:val="20"/>
          <w:color w:val="auto"/>
        </w:rPr>
      </w:pPr>
      <w:r>
        <w:rPr>
          <w:rFonts w:ascii="Times New Roman" w:cs="Times New Roman" w:eastAsia="Times New Roman" w:hAnsi="Times New Roman"/>
          <w:sz w:val="12"/>
          <w:szCs w:val="12"/>
          <w:color w:val="auto"/>
        </w:rPr>
        <w:t>The depositary will terminate the Deposit Agreement upon Genmab’s written direction, in which case the depositary will mail notice to holders at least 30 days prior to termination. The depositary may also terminate the Deposit Agreement if the depositary has told Genmab that it would like to resign, or if Genmab has removed the depositary, and in either case Genmab has not appointed a new depositary within 90 days. In either such case, the depositary must notify holders at least 30 days before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14</w:t>
      </w:r>
    </w:p>
    <w:p>
      <w:pPr>
        <w:sectPr>
          <w:pgSz w:w="11900" w:h="16840" w:orient="portrait"/>
          <w:cols w:equalWidth="0" w:num="1">
            <w:col w:w="10620"/>
          </w:cols>
          <w:pgMar w:left="640" w:top="1440" w:right="640" w:bottom="1440" w:gutter="0" w:footer="0" w:header="0"/>
        </w:sectPr>
      </w:pPr>
    </w:p>
    <w:bookmarkStart w:id="454" w:name="page455"/>
    <w:bookmarkEnd w:id="454"/>
    <w:p>
      <w:pPr>
        <w:spacing w:after="0" w:line="34"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2"/>
          <w:szCs w:val="12"/>
          <w:color w:val="auto"/>
        </w:rPr>
        <w:t>The depositary may also terminate the Deposit Agreement by mailing notice of such termination to the ADS holders at least 30 days prior to the date fixed for termination in such notice if (i) 60 days have expired after the date on which the depositary provides notice of its resignation to Genmab and a successor depositary is not operating under the Deposit Agreement, (ii) 60 days have expired after the date on which Genmab provides notice of removal to the depositary and a successor depositary is not operating under the Deposit Agreement, (iii) Genmab is bankrupt, in liquidation proceedings or insolvent (iv) the ADRs are delisted from a “national securities exchange” (that has registered with the Commission under Section 6 of the Exchange Act) and/or the shares cease to be listed on an internationally recognized securities exchange,</w:t>
      </w:r>
    </w:p>
    <w:p>
      <w:pPr>
        <w:spacing w:after="0" w:line="1" w:lineRule="exact"/>
        <w:rPr>
          <w:sz w:val="20"/>
          <w:szCs w:val="20"/>
          <w:color w:val="auto"/>
        </w:rPr>
      </w:pPr>
    </w:p>
    <w:p>
      <w:pPr>
        <w:ind w:right="100" w:firstLine="6"/>
        <w:spacing w:after="0" w:line="251" w:lineRule="auto"/>
        <w:tabs>
          <w:tab w:leader="none" w:pos="175"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Genmab effects (or will effect) a redemption of all or substantially all of the deposited securities, or a cash or share distribution representing a return of all or substantially all of the value of the deposited securities, (vi) there are no deposited securities with respect to the ADSs remaining, including if the deposited securities are cancelled, or the deposited securities have been deemed to have no value or (vii) there occurs a merger, consolidation, sale of assets or other transaction as a result of which securities or other property are delivered in exchange for or in lieu of deposited securities. Additionally, the depositary may immediately terminate the Deposit Agreement, without prior notice to Genmab, any ADS holder or beneficial owner or any other person if (a) required by any law, rule or regulation relating to sanctions by any governmental authority or body, (b) the depositary would be subject to liability under or pursuant to any law, rule or regulation or (c) required by any governmental authority or body, in each case as determined by the depositary in its reasonable discretion.</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Effect of termination</w:t>
      </w:r>
    </w:p>
    <w:p>
      <w:pPr>
        <w:spacing w:after="0" w:line="159" w:lineRule="exact"/>
        <w:rPr>
          <w:sz w:val="20"/>
          <w:szCs w:val="20"/>
          <w:color w:val="auto"/>
        </w:rPr>
      </w:pPr>
    </w:p>
    <w:p>
      <w:pPr>
        <w:jc w:val="both"/>
        <w:ind w:right="220" w:firstLine="457"/>
        <w:spacing w:after="0" w:line="267" w:lineRule="auto"/>
        <w:rPr>
          <w:sz w:val="20"/>
          <w:szCs w:val="20"/>
          <w:color w:val="auto"/>
        </w:rPr>
      </w:pPr>
      <w:r>
        <w:rPr>
          <w:rFonts w:ascii="Times New Roman" w:cs="Times New Roman" w:eastAsia="Times New Roman" w:hAnsi="Times New Roman"/>
          <w:sz w:val="12"/>
          <w:szCs w:val="12"/>
          <w:color w:val="auto"/>
        </w:rPr>
        <w:t>After the termination date, the depositary and its agents will perform no further acts under the Deposit Agreement and this ADR, except to receive and hold (or sell) distributions on deposited securities, deliver deposited securities being withdrawn and to take such actions as provided in the next two paragraphs, in each case subject to payment to the depositary of the applicable fees and expenses provided in the Deposit Agreement.</w:t>
      </w:r>
    </w:p>
    <w:p>
      <w:pPr>
        <w:spacing w:after="0" w:line="120"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2"/>
          <w:szCs w:val="12"/>
          <w:color w:val="auto"/>
        </w:rPr>
        <w:t xml:space="preserve">After the termination date, if the deposited securities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w:t>
      </w:r>
      <w:r>
        <w:rPr>
          <w:rFonts w:ascii="Times New Roman" w:cs="Times New Roman" w:eastAsia="Times New Roman" w:hAnsi="Times New Roman"/>
          <w:sz w:val="12"/>
          <w:szCs w:val="12"/>
          <w:u w:val="single" w:color="auto"/>
          <w:color w:val="auto"/>
        </w:rPr>
        <w:t>pro rata</w:t>
      </w:r>
      <w:r>
        <w:rPr>
          <w:rFonts w:ascii="Times New Roman" w:cs="Times New Roman" w:eastAsia="Times New Roman" w:hAnsi="Times New Roman"/>
          <w:sz w:val="12"/>
          <w:szCs w:val="12"/>
          <w:color w:val="auto"/>
        </w:rPr>
        <w:t xml:space="preserve"> benefit of the holders entitled thereto. If the depositary sells the deposited securities, the depositary shall be discharged from all, and cease to have any, obligations under the Deposit Agreement and the ADRs after making such sale, except to account for such net proceeds and other cash.</w:t>
      </w:r>
    </w:p>
    <w:p>
      <w:pPr>
        <w:spacing w:after="0" w:line="126" w:lineRule="exact"/>
        <w:rPr>
          <w:sz w:val="20"/>
          <w:szCs w:val="20"/>
          <w:color w:val="auto"/>
        </w:rPr>
      </w:pPr>
    </w:p>
    <w:p>
      <w:pPr>
        <w:jc w:val="both"/>
        <w:ind w:right="340" w:firstLine="457"/>
        <w:spacing w:after="0" w:line="267" w:lineRule="auto"/>
        <w:rPr>
          <w:sz w:val="20"/>
          <w:szCs w:val="20"/>
          <w:color w:val="auto"/>
        </w:rPr>
      </w:pPr>
      <w:r>
        <w:rPr>
          <w:rFonts w:ascii="Times New Roman" w:cs="Times New Roman" w:eastAsia="Times New Roman" w:hAnsi="Times New Roman"/>
          <w:sz w:val="12"/>
          <w:szCs w:val="12"/>
          <w:color w:val="auto"/>
        </w:rPr>
        <w:t>However, if the deposited securities are not listed and publicly traded on a securities exchange after the termination date, or if, for any reason, the depositary does not sell the deposited securities, the depositary shall use its reasonable efforts to ensure that the ADSs cease to be DTC eligible and that neither DTC nor any of its nominees shall thereafter be a holder. At such time as the ADSs cease to be DTC eligible and/or neither DTC nor any of its nominees is a holder, to the extent Genmab is not, to the depositary’s knowledge, insolvent or in bankruptcy or liquidation, the depositary shall:</w:t>
      </w:r>
    </w:p>
    <w:p>
      <w:pPr>
        <w:spacing w:after="0" w:line="120" w:lineRule="exact"/>
        <w:rPr>
          <w:sz w:val="20"/>
          <w:szCs w:val="20"/>
          <w:color w:val="auto"/>
        </w:rPr>
      </w:pPr>
    </w:p>
    <w:p>
      <w:pPr>
        <w:ind w:left="760" w:hanging="297"/>
        <w:spacing w:after="0"/>
        <w:tabs>
          <w:tab w:leader="none" w:pos="760"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 all such outstanding ADSs,</w:t>
      </w:r>
    </w:p>
    <w:p>
      <w:pPr>
        <w:spacing w:after="0" w:line="157" w:lineRule="exact"/>
        <w:rPr>
          <w:rFonts w:ascii="Times New Roman" w:cs="Times New Roman" w:eastAsia="Times New Roman" w:hAnsi="Times New Roman"/>
          <w:sz w:val="12"/>
          <w:szCs w:val="12"/>
          <w:color w:val="auto"/>
        </w:rPr>
      </w:pPr>
    </w:p>
    <w:p>
      <w:pPr>
        <w:ind w:left="760" w:hanging="297"/>
        <w:spacing w:after="0"/>
        <w:tabs>
          <w:tab w:leader="none" w:pos="760"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request DTC to provide the depositary with information on those holding ADSs through DTC and, upon receipt thereof, revise the ADR register to reflect the information provided by DTC,</w:t>
      </w:r>
    </w:p>
    <w:p>
      <w:pPr>
        <w:spacing w:after="0" w:line="157" w:lineRule="exact"/>
        <w:rPr>
          <w:rFonts w:ascii="Times New Roman" w:cs="Times New Roman" w:eastAsia="Times New Roman" w:hAnsi="Times New Roman"/>
          <w:sz w:val="12"/>
          <w:szCs w:val="12"/>
          <w:color w:val="auto"/>
        </w:rPr>
      </w:pPr>
    </w:p>
    <w:p>
      <w:pPr>
        <w:ind w:right="40" w:firstLine="463"/>
        <w:spacing w:after="0" w:line="267" w:lineRule="auto"/>
        <w:tabs>
          <w:tab w:leader="none" w:pos="745"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 its custodian to deliver all deposited securities to Genmab, a subsidiary or affiliate or registered office provider of Genmab or an independent trust company engaged by Genmab to hold those deposited securities in trust for the beneficial owners of the ADRs if Genmab is not permitted to hold any of the deposited securities under applicable law or Genmab has directed the depositary to deliver such deposited securities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w:t>
      </w:r>
    </w:p>
    <w:p>
      <w:pPr>
        <w:sectPr>
          <w:pgSz w:w="11900" w:h="16840" w:orient="portrait"/>
          <w:cols w:equalWidth="0" w:num="1">
            <w:col w:w="10640"/>
          </w:cols>
          <w:pgMar w:left="640" w:top="1440" w:right="620" w:bottom="1440" w:gutter="0" w:footer="0" w:header="0"/>
        </w:sectPr>
      </w:pPr>
    </w:p>
    <w:bookmarkStart w:id="455" w:name="page456"/>
    <w:bookmarkEnd w:id="455"/>
    <w:p>
      <w:pPr>
        <w:spacing w:after="0" w:line="34" w:lineRule="exact"/>
        <w:rPr>
          <w:sz w:val="20"/>
          <w:szCs w:val="20"/>
          <w:color w:val="auto"/>
        </w:rPr>
      </w:pPr>
    </w:p>
    <w:p>
      <w:pPr>
        <w:ind w:left="760" w:hanging="297"/>
        <w:spacing w:after="0"/>
        <w:tabs>
          <w:tab w:leader="none" w:pos="760"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Genmab with a copy of the ADR register.</w:t>
      </w:r>
    </w:p>
    <w:p>
      <w:pPr>
        <w:spacing w:after="0" w:line="157" w:lineRule="exact"/>
        <w:rPr>
          <w:sz w:val="20"/>
          <w:szCs w:val="20"/>
          <w:color w:val="auto"/>
        </w:rPr>
      </w:pPr>
    </w:p>
    <w:p>
      <w:pPr>
        <w:ind w:right="100" w:firstLine="457"/>
        <w:spacing w:after="0" w:line="287" w:lineRule="auto"/>
        <w:rPr>
          <w:sz w:val="20"/>
          <w:szCs w:val="20"/>
          <w:color w:val="auto"/>
        </w:rPr>
      </w:pPr>
      <w:r>
        <w:rPr>
          <w:rFonts w:ascii="Times New Roman" w:cs="Times New Roman" w:eastAsia="Times New Roman" w:hAnsi="Times New Roman"/>
          <w:sz w:val="12"/>
          <w:szCs w:val="12"/>
          <w:color w:val="auto"/>
        </w:rPr>
        <w:t>Upon receipt of any instrument of transfer covering such deposited securities and the ADR register, Genmab will be required to transfer or procure the transfer to the persons listed on the ADR register of the deposited securities previously represented by the terminated ADSs.</w:t>
      </w:r>
    </w:p>
    <w:p>
      <w:pPr>
        <w:spacing w:after="0" w:line="108"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2"/>
          <w:szCs w:val="12"/>
          <w:color w:val="auto"/>
        </w:rPr>
        <w:t>To the extent the depositary reasonably believes that Genmab is insolvent, or if Genmab is in receivership, has filed for bankruptcy and/or is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holders shall be deemed to have instructed the depositary that the deposited securities have no value). The depositary may, but shall not be obligated to, and the holders irrevocably consent and agree that the depositary may, instruct its custodian to deliver all deposited securities to Genmab (acting, as applicable by its administrator, receiver, administrative receiver, liquidator, provisional liquidator, restructuring officer, interim restructuring officer, trustee, controller or other entity overseeing the bankruptcy, insolvency, administration, restructuring or liquidation process) for no consideration. Subject to applicable law, Genmab will promptly accept the surrender of the deposited securities for no consideration and deliver to the depositary a written notice confirming (A) the acceptance of the surrender of the deposited securities for no consideration and (B) the cancellation of such deposited securities. Thereafter, and irrespective of whether Genmab has complied with the immediately preceding sentence, the depositary shall notify holders that their ADSs have been cancelled with no consideration being payable to them, and the depositary and its agents will be discharged from all, and cease to have any, obligations under the Deposit Agreement and the ADSs.</w:t>
      </w:r>
    </w:p>
    <w:p>
      <w:pPr>
        <w:spacing w:after="0" w:line="126" w:lineRule="exact"/>
        <w:rPr>
          <w:sz w:val="20"/>
          <w:szCs w:val="20"/>
          <w:color w:val="auto"/>
        </w:rPr>
      </w:pPr>
    </w:p>
    <w:p>
      <w:pPr>
        <w:ind w:right="580" w:firstLine="457"/>
        <w:spacing w:after="0" w:line="290" w:lineRule="auto"/>
        <w:rPr>
          <w:sz w:val="20"/>
          <w:szCs w:val="20"/>
          <w:color w:val="auto"/>
        </w:rPr>
      </w:pPr>
      <w:r>
        <w:rPr>
          <w:rFonts w:ascii="Times New Roman" w:cs="Times New Roman" w:eastAsia="Times New Roman" w:hAnsi="Times New Roman"/>
          <w:sz w:val="12"/>
          <w:szCs w:val="12"/>
          <w:color w:val="auto"/>
        </w:rPr>
        <w:t>After the termination date, Genmab will be discharged from all obligations under the Deposit Agreement except for its obligations described under this heading “—</w:t>
      </w:r>
      <w:r>
        <w:rPr>
          <w:rFonts w:ascii="Times New Roman" w:cs="Times New Roman" w:eastAsia="Times New Roman" w:hAnsi="Times New Roman"/>
          <w:sz w:val="12"/>
          <w:szCs w:val="12"/>
          <w:i w:val="1"/>
          <w:iCs w:val="1"/>
          <w:color w:val="auto"/>
        </w:rPr>
        <w:t>Effect of Termination</w:t>
      </w:r>
      <w:r>
        <w:rPr>
          <w:rFonts w:ascii="Times New Roman" w:cs="Times New Roman" w:eastAsia="Times New Roman" w:hAnsi="Times New Roman"/>
          <w:sz w:val="12"/>
          <w:szCs w:val="12"/>
          <w:color w:val="auto"/>
        </w:rPr>
        <w:t>” and its obligations to the depositary and its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-125095</wp:posOffset>
            </wp:positionV>
            <wp:extent cx="761365"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86" w:lineRule="exact"/>
        <w:rPr>
          <w:sz w:val="20"/>
          <w:szCs w:val="20"/>
          <w:color w:val="auto"/>
        </w:rPr>
      </w:pPr>
    </w:p>
    <w:p>
      <w:pPr>
        <w:ind w:right="80" w:firstLine="457"/>
        <w:spacing w:after="0" w:line="261" w:lineRule="auto"/>
        <w:rPr>
          <w:sz w:val="20"/>
          <w:szCs w:val="20"/>
          <w:color w:val="auto"/>
        </w:rPr>
      </w:pPr>
      <w:r>
        <w:rPr>
          <w:rFonts w:ascii="Times New Roman" w:cs="Times New Roman" w:eastAsia="Times New Roman" w:hAnsi="Times New Roman"/>
          <w:sz w:val="12"/>
          <w:szCs w:val="12"/>
          <w:color w:val="auto"/>
        </w:rPr>
        <w:t>Notwithstanding anything to the contrary, in connection with any termination pursuant to this section, the depositary may, in its sole discretion and without notice to Genmab, establish an unsponsored American depositary share program (on such terms as the depositary may determine) for the shares and make available to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in the Deposit Agreement and the fees, charges and expenses applicable to the unsponsored American depositary share program.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Limitations on Obligations and Liability to ADS holders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Limits on Genmab’s Obligations and the Obligations of the Depositary; Limits on Liability to ADS holders</w:t>
      </w:r>
    </w:p>
    <w:p>
      <w:pPr>
        <w:spacing w:after="0" w:line="159" w:lineRule="exact"/>
        <w:rPr>
          <w:sz w:val="20"/>
          <w:szCs w:val="20"/>
          <w:color w:val="auto"/>
        </w:rPr>
      </w:pPr>
    </w:p>
    <w:p>
      <w:pPr>
        <w:ind w:right="340" w:firstLine="457"/>
        <w:spacing w:after="0" w:line="287" w:lineRule="auto"/>
        <w:rPr>
          <w:sz w:val="20"/>
          <w:szCs w:val="20"/>
          <w:color w:val="auto"/>
        </w:rPr>
      </w:pPr>
      <w:r>
        <w:rPr>
          <w:rFonts w:ascii="Times New Roman" w:cs="Times New Roman" w:eastAsia="Times New Roman" w:hAnsi="Times New Roman"/>
          <w:sz w:val="12"/>
          <w:szCs w:val="12"/>
          <w:color w:val="auto"/>
        </w:rPr>
        <w:t>Prior to the issue, registration, registration of transfer, split -up, combination or cancellation of any ADSs, or the delivery of any distribution in respect thereof, and from time to time in the case of the production of proofs as described below, Genmab or the depositary or its custodian may require:</w:t>
      </w:r>
    </w:p>
    <w:p>
      <w:pPr>
        <w:spacing w:after="0" w:line="108" w:lineRule="exact"/>
        <w:rPr>
          <w:sz w:val="20"/>
          <w:szCs w:val="20"/>
          <w:color w:val="auto"/>
        </w:rPr>
      </w:pPr>
    </w:p>
    <w:p>
      <w:pPr>
        <w:ind w:right="300" w:firstLine="463"/>
        <w:spacing w:after="0" w:line="287" w:lineRule="auto"/>
        <w:tabs>
          <w:tab w:leader="none" w:pos="624"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07" w:lineRule="exact"/>
        <w:rPr>
          <w:rFonts w:ascii="Times New Roman" w:cs="Times New Roman" w:eastAsia="Times New Roman" w:hAnsi="Times New Roman"/>
          <w:sz w:val="12"/>
          <w:szCs w:val="12"/>
          <w:color w:val="auto"/>
        </w:rPr>
      </w:pPr>
    </w:p>
    <w:p>
      <w:pPr>
        <w:ind w:right="100" w:firstLine="463"/>
        <w:spacing w:after="0" w:line="267" w:lineRule="auto"/>
        <w:tabs>
          <w:tab w:leader="none" w:pos="624"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ADSs, as it may deem necessary or proper;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16</w:t>
      </w:r>
    </w:p>
    <w:p>
      <w:pPr>
        <w:sectPr>
          <w:pgSz w:w="11900" w:h="16840" w:orient="portrait"/>
          <w:cols w:equalWidth="0" w:num="1">
            <w:col w:w="10600"/>
          </w:cols>
          <w:pgMar w:left="640" w:top="1440" w:right="660" w:bottom="1440" w:gutter="0" w:footer="0" w:header="0"/>
        </w:sectPr>
      </w:pPr>
    </w:p>
    <w:bookmarkStart w:id="456" w:name="page457"/>
    <w:bookmarkEnd w:id="456"/>
    <w:p>
      <w:pPr>
        <w:spacing w:after="0" w:line="34" w:lineRule="exact"/>
        <w:rPr>
          <w:sz w:val="20"/>
          <w:szCs w:val="20"/>
          <w:color w:val="auto"/>
        </w:rPr>
      </w:pPr>
    </w:p>
    <w:p>
      <w:pPr>
        <w:ind w:right="360" w:firstLine="463"/>
        <w:spacing w:after="0" w:line="287" w:lineRule="auto"/>
        <w:tabs>
          <w:tab w:leader="none" w:pos="624" w:val="left"/>
        </w:tabs>
        <w:numPr>
          <w:ilvl w:val="0"/>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such regulations as the depositary may establish consistent with the Deposit Agreement or as the depositary believes are required, necessary or advisable in order to comply with applicable laws, rules and regulations.</w:t>
      </w:r>
    </w:p>
    <w:p>
      <w:pPr>
        <w:spacing w:after="0" w:line="108" w:lineRule="exact"/>
        <w:rPr>
          <w:sz w:val="20"/>
          <w:szCs w:val="20"/>
          <w:color w:val="auto"/>
        </w:rPr>
      </w:pPr>
    </w:p>
    <w:p>
      <w:pPr>
        <w:ind w:right="80" w:firstLine="457"/>
        <w:spacing w:after="0" w:line="261" w:lineRule="auto"/>
        <w:rPr>
          <w:sz w:val="20"/>
          <w:szCs w:val="20"/>
          <w:color w:val="auto"/>
        </w:rPr>
      </w:pPr>
      <w:r>
        <w:rPr>
          <w:rFonts w:ascii="Times New Roman" w:cs="Times New Roman" w:eastAsia="Times New Roman" w:hAnsi="Times New Roman"/>
          <w:sz w:val="12"/>
          <w:szCs w:val="12"/>
          <w:color w:val="auto"/>
        </w:rPr>
        <w:t>The issuance of ADSs, the acceptance of deposits of shares, the registration, registration of transfer, split-up or combination of ADSs or the withdrawal and delivery of deposited securities may be suspended, generally or in particular instances, when the ADR register or any register for deposited securities is closed or when any such action is deemed required, necessary or advisable by the depositary for any reason; provided that the ability to withdraw shares may only be limited under the following circumstances: (i) temporary delays caused by closing transfer books of the depositary or Genmab’s share register, (ii) the payment of fees, taxes and similar charges, and (iii) compliance with any laws or governmental regulations relating to ADSs or to the withdrawal of deposited securities.</w:t>
      </w:r>
    </w:p>
    <w:p>
      <w:pPr>
        <w:spacing w:after="0" w:line="123" w:lineRule="exact"/>
        <w:rPr>
          <w:sz w:val="20"/>
          <w:szCs w:val="20"/>
          <w:color w:val="auto"/>
        </w:rPr>
      </w:pPr>
    </w:p>
    <w:p>
      <w:pPr>
        <w:ind w:right="80" w:firstLine="457"/>
        <w:spacing w:after="0" w:line="267" w:lineRule="auto"/>
        <w:rPr>
          <w:sz w:val="20"/>
          <w:szCs w:val="20"/>
          <w:color w:val="auto"/>
        </w:rPr>
      </w:pPr>
      <w:r>
        <w:rPr>
          <w:rFonts w:ascii="Times New Roman" w:cs="Times New Roman" w:eastAsia="Times New Roman" w:hAnsi="Times New Roman"/>
          <w:sz w:val="12"/>
          <w:szCs w:val="12"/>
          <w:color w:val="auto"/>
        </w:rPr>
        <w:t>The Deposit Agreement expressly limits the obligations and liability of the depositary, the depositary’s custodian or Genmab and each of Genmab’s and their respective agents, provided, however, that no provision of the Deposit Agreement is intended to constitute a waiver or limitation of any rights that ADS holders or beneficial owners may have under the Securities Act or the Exchange Act, to the extent applicable. The Deposit Agreement provides that each of Genmab, the depositary and Genmab’s respective agents will:</w:t>
      </w:r>
    </w:p>
    <w:p>
      <w:pPr>
        <w:spacing w:after="0" w:line="120" w:lineRule="exact"/>
        <w:rPr>
          <w:sz w:val="20"/>
          <w:szCs w:val="20"/>
          <w:color w:val="auto"/>
        </w:rPr>
      </w:pPr>
    </w:p>
    <w:p>
      <w:pPr>
        <w:ind w:right="20" w:firstLine="463"/>
        <w:spacing w:after="0" w:line="256" w:lineRule="auto"/>
        <w:tabs>
          <w:tab w:leader="none" w:pos="624"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or assume no liability (including, without limitation, to holders or beneficial owners) if any present or future law, rule, regulation, fiat, order or decree of the Kingdom of Denmark, the U.S. or any other country or jurisdiction, or of any governmental or regulatory authority or securities exchange or market or automated quotation system, the provisions of or governing any deposited securities, any present or future provision of Genmab’s charter, any act of God, war, terrorism, epidemic, pandemic, nationalization, expropriation, currency restrictions, extraordinary market conditions, work stoppage, strike, civil unrest, revolutions, rebellions, explosions, cyber, ransomware or malware attack, computer failure or circumstance beyond Genmab’s, the depositary’s or Genmab’s respective agents’ direct and immediate control will prevent or delay, or will cause any of them to be subject to any civil or criminal penalty in connection with, any act which the Deposit Agreement or the ADSs provide will be done or performed by Genmab, the depositary or Genmab’s respective agents (including, without limitation, voting);</w:t>
      </w:r>
    </w:p>
    <w:p>
      <w:pPr>
        <w:spacing w:after="0" w:line="125" w:lineRule="exact"/>
        <w:rPr>
          <w:rFonts w:ascii="Times New Roman" w:cs="Times New Roman" w:eastAsia="Times New Roman" w:hAnsi="Times New Roman"/>
          <w:sz w:val="12"/>
          <w:szCs w:val="12"/>
          <w:color w:val="auto"/>
        </w:rPr>
      </w:pPr>
    </w:p>
    <w:p>
      <w:pPr>
        <w:ind w:firstLine="463"/>
        <w:spacing w:after="0" w:line="267" w:lineRule="auto"/>
        <w:tabs>
          <w:tab w:leader="none" w:pos="624"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or assume no liability (including, without limitation, to ADS holders or beneficial owners) by reason of any non-performance or delay, caused as aforesaid, in the performance of any act or things which by the terms of the Deposit Agreement it is provided will or may be done or performed or any exercise or failure to exercise discretion under the Deposit Agreement or the ADSs including, without limitation, any determination that any distribution or action may be unlawful or not reasonably practicable;</w:t>
      </w:r>
    </w:p>
    <w:p>
      <w:pPr>
        <w:spacing w:after="0" w:line="120" w:lineRule="exact"/>
        <w:rPr>
          <w:rFonts w:ascii="Times New Roman" w:cs="Times New Roman" w:eastAsia="Times New Roman" w:hAnsi="Times New Roman"/>
          <w:sz w:val="12"/>
          <w:szCs w:val="12"/>
          <w:color w:val="auto"/>
        </w:rPr>
      </w:pPr>
    </w:p>
    <w:p>
      <w:pPr>
        <w:ind w:left="640" w:hanging="177"/>
        <w:spacing w:after="0"/>
        <w:tabs>
          <w:tab w:leader="none" w:pos="640"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or assume no liability (including, without limitation, to ADS holders or beneficial owners) if it performs its obligations under the Deposit Agreement and ADSs without gross negligence or willful</w:t>
      </w:r>
    </w:p>
    <w:p>
      <w:pPr>
        <w:spacing w:after="0" w:line="18"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misconduct;</w:t>
      </w:r>
    </w:p>
    <w:p>
      <w:pPr>
        <w:spacing w:after="0" w:line="143" w:lineRule="exact"/>
        <w:rPr>
          <w:rFonts w:ascii="Times New Roman" w:cs="Times New Roman" w:eastAsia="Times New Roman" w:hAnsi="Times New Roman"/>
          <w:sz w:val="12"/>
          <w:szCs w:val="12"/>
          <w:color w:val="auto"/>
        </w:rPr>
      </w:pPr>
    </w:p>
    <w:p>
      <w:pPr>
        <w:ind w:left="640" w:hanging="177"/>
        <w:spacing w:after="0"/>
        <w:tabs>
          <w:tab w:leader="none" w:pos="640"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depositary and its agents, be under no obligation to appear in, prosecute or defend any action, suit or other proceeding in respect of any deposited securities or the ADSs;</w:t>
      </w:r>
    </w:p>
    <w:p>
      <w:pPr>
        <w:spacing w:after="0" w:line="157" w:lineRule="exact"/>
        <w:rPr>
          <w:rFonts w:ascii="Times New Roman" w:cs="Times New Roman" w:eastAsia="Times New Roman" w:hAnsi="Times New Roman"/>
          <w:sz w:val="12"/>
          <w:szCs w:val="12"/>
          <w:color w:val="auto"/>
        </w:rPr>
      </w:pPr>
    </w:p>
    <w:p>
      <w:pPr>
        <w:ind w:right="40" w:firstLine="463"/>
        <w:spacing w:after="0" w:line="267" w:lineRule="auto"/>
        <w:tabs>
          <w:tab w:leader="none" w:pos="624"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under no obligation to appear in, prosecute or defend any action, suit or other proceeding in respect of any deposited securities or the ADSs, which in Genmab’s or its agents’, or the depositary’s and its agents, opinion, as the case may be, may involve Genmab or the depositary, as applicable, in expense or liability, unless indemnity satisfactory to Genmab, the depositary or their respective agents, as the case may be against all expense (including fees and disbursements of counsel) and liability be furnished as often as may be requested;</w:t>
      </w:r>
    </w:p>
    <w:p>
      <w:pPr>
        <w:spacing w:after="0" w:line="120" w:lineRule="exact"/>
        <w:rPr>
          <w:rFonts w:ascii="Times New Roman" w:cs="Times New Roman" w:eastAsia="Times New Roman" w:hAnsi="Times New Roman"/>
          <w:sz w:val="12"/>
          <w:szCs w:val="12"/>
          <w:color w:val="auto"/>
        </w:rPr>
      </w:pPr>
    </w:p>
    <w:p>
      <w:pPr>
        <w:ind w:right="240" w:firstLine="463"/>
        <w:spacing w:after="0" w:line="287" w:lineRule="auto"/>
        <w:tabs>
          <w:tab w:leader="none" w:pos="624"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ADSs, or any other person believed by it to be competent to give such advice or information or, in the case of the depositary, Genmab;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17</w:t>
      </w:r>
    </w:p>
    <w:p>
      <w:pPr>
        <w:sectPr>
          <w:pgSz w:w="11900" w:h="16840" w:orient="portrait"/>
          <w:cols w:equalWidth="0" w:num="1">
            <w:col w:w="10600"/>
          </w:cols>
          <w:pgMar w:left="640" w:top="1440" w:right="660" w:bottom="1440" w:gutter="0" w:footer="0" w:header="0"/>
        </w:sectPr>
      </w:pPr>
    </w:p>
    <w:bookmarkStart w:id="457" w:name="page458"/>
    <w:bookmarkEnd w:id="457"/>
    <w:p>
      <w:pPr>
        <w:spacing w:after="0" w:line="34" w:lineRule="exact"/>
        <w:rPr>
          <w:sz w:val="20"/>
          <w:szCs w:val="20"/>
          <w:color w:val="auto"/>
        </w:rPr>
      </w:pPr>
    </w:p>
    <w:p>
      <w:pPr>
        <w:ind w:left="640" w:hanging="177"/>
        <w:spacing w:after="0"/>
        <w:tabs>
          <w:tab w:leader="none" w:pos="640"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rely and will be protected in acting upon any written notice, request, direction, instruction or document believed by it to be genuine and to have been signed, presented or given by the proper party</w:t>
      </w:r>
    </w:p>
    <w:p>
      <w:pPr>
        <w:spacing w:after="0" w:line="18"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parties.</w:t>
      </w:r>
    </w:p>
    <w:p>
      <w:pPr>
        <w:spacing w:after="0" w:line="143"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2"/>
          <w:szCs w:val="12"/>
          <w:color w:val="auto"/>
        </w:rPr>
        <w:t>The depositary and its agents may fully respond to any and all demands or requests for information maintained by or on its behalf in connection with the Deposit Agreement , any registered holder or ADS holders or otherwise related to the Deposit Agreement or ADSs to the extent such information is requested or required by or pursuant to any lawful authority, including without limitation laws, rules, regulations, administrative or judicial process, banking, securities or other regulators. The depositary will not be responsible for, and will incur no liability in connection with or arising from, the insolvency of any custodian that is not a branch or affiliate of JPMorgan Chase. Notwithstanding anything to the contrary contained in the Deposit Agreement or any ADSs, the depositary will not be responsible for, and will incur no liability in connection with or arising from, any act or omission to act on the part of the custodian except to the extent that any registered ADS holder has incurred liability directly as a result of the custodian having</w:t>
      </w:r>
    </w:p>
    <w:p>
      <w:pPr>
        <w:spacing w:after="0" w:line="1" w:lineRule="exact"/>
        <w:rPr>
          <w:sz w:val="20"/>
          <w:szCs w:val="20"/>
          <w:color w:val="auto"/>
        </w:rPr>
      </w:pPr>
    </w:p>
    <w:p>
      <w:pPr>
        <w:ind w:right="80" w:firstLine="6"/>
        <w:spacing w:after="0" w:line="250" w:lineRule="auto"/>
        <w:tabs>
          <w:tab w:leader="none" w:pos="148"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Furthermore, the depositary will not be liable for the acts or omissions made by, or the insolvency of, any securities depository, clearing agency or settlement system. The depositary and the custodian(s) may use third-party delivery services and providers of information regarding matters such as, but not limited to, pricing, proxy voting, corporate actions, class action litigation and other services in connection with the ADSs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 The depositary will not have any liability for the price received in connection with any sale of securities, the timing thereof or any delay in action or omission to act nor will it be responsible for any error or delay in action, omission to act, default or negligence on the part of the party so retained in connection with any such sale or proposed sale.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depositary has no obligation to inform ADS holders or beneficial owners about the requirements of the laws, rules or regulations or any changes therein or thereto of the Kingdom of Denmark, the 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any other country or jurisdiction or of any governmental or regulatory authority or any securities exchange or market or automated quotation system.</w:t>
      </w:r>
    </w:p>
    <w:p>
      <w:pPr>
        <w:spacing w:after="0" w:line="143" w:lineRule="exact"/>
        <w:rPr>
          <w:sz w:val="20"/>
          <w:szCs w:val="20"/>
          <w:color w:val="auto"/>
        </w:rPr>
      </w:pPr>
    </w:p>
    <w:p>
      <w:pPr>
        <w:ind w:right="20" w:firstLine="457"/>
        <w:spacing w:after="0" w:line="261" w:lineRule="auto"/>
        <w:rPr>
          <w:sz w:val="20"/>
          <w:szCs w:val="20"/>
          <w:color w:val="auto"/>
        </w:rPr>
      </w:pPr>
      <w:r>
        <w:rPr>
          <w:rFonts w:ascii="Times New Roman" w:cs="Times New Roman" w:eastAsia="Times New Roman" w:hAnsi="Times New Roman"/>
          <w:sz w:val="12"/>
          <w:szCs w:val="12"/>
          <w:color w:val="auto"/>
        </w:rPr>
        <w:t>Additionally, none of the depositary, the custodian or Genmab, or any of their respective directors, officers, employees, agents or affiliates will be liable for the failure by any registered holder or beneficial owner of Genmab ADSs to obtain the benefits of credits or refunds of non-U.S. tax paid against such ADS holder’s or beneficial owner’s income tax liability. Neither the depositary, nor Genmab, nor any of their respective agents, are under any obligation to provide the ADS holders and beneficial owners, or any of them, with any information about Genmab’s tax status. Neither the depositary nor Genmab will incur any liability for any tax or tax consequences that may be incurred by registered ADS holders or beneficial owners on account of their ownership or disposition of ADSs.</w:t>
      </w:r>
    </w:p>
    <w:p>
      <w:pPr>
        <w:spacing w:after="0" w:line="123" w:lineRule="exact"/>
        <w:rPr>
          <w:sz w:val="20"/>
          <w:szCs w:val="20"/>
          <w:color w:val="auto"/>
        </w:rPr>
      </w:pPr>
    </w:p>
    <w:p>
      <w:pPr>
        <w:ind w:right="200" w:firstLine="457"/>
        <w:spacing w:after="0" w:line="267" w:lineRule="auto"/>
        <w:rPr>
          <w:sz w:val="20"/>
          <w:szCs w:val="20"/>
          <w:color w:val="auto"/>
        </w:rPr>
      </w:pPr>
      <w:r>
        <w:rPr>
          <w:rFonts w:ascii="Times New Roman" w:cs="Times New Roman" w:eastAsia="Times New Roman" w:hAnsi="Times New Roman"/>
          <w:sz w:val="12"/>
          <w:szCs w:val="12"/>
          <w:color w:val="auto"/>
        </w:rPr>
        <w:t>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Genmab, for the manner in which any vote is cast, including, without limitation, any vote cast by a person to whom the depositary is instructed to grant a discretionary proxy, or for the effect of any such vote.</w:t>
      </w:r>
    </w:p>
    <w:p>
      <w:pPr>
        <w:spacing w:after="0" w:line="120" w:lineRule="exact"/>
        <w:rPr>
          <w:sz w:val="20"/>
          <w:szCs w:val="20"/>
          <w:color w:val="auto"/>
        </w:rPr>
      </w:pPr>
    </w:p>
    <w:p>
      <w:pPr>
        <w:ind w:firstLine="457"/>
        <w:spacing w:after="0" w:line="257" w:lineRule="auto"/>
        <w:rPr>
          <w:sz w:val="20"/>
          <w:szCs w:val="20"/>
          <w:color w:val="auto"/>
        </w:rPr>
      </w:pPr>
      <w:r>
        <w:rPr>
          <w:rFonts w:ascii="Times New Roman" w:cs="Times New Roman" w:eastAsia="Times New Roman" w:hAnsi="Times New Roman"/>
          <w:sz w:val="12"/>
          <w:szCs w:val="12"/>
          <w:color w:val="auto"/>
        </w:rPr>
        <w:t>The depositary will endeavor to effect any sale of securities or other property and any conversion of currency, securities or other property, in each case as is referred to or contemplated in the Deposit Agreement or form of ADR, in accordance with the depositary’s normal practices and procedures under the circumstances applicable to such sale or conversion, but will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is practicable, or is not believed, deemed or determined to be practicable by the depositary. Specifically, the depositary will not have any liability for the price received in connection with any public or private sale of securities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18</w:t>
      </w:r>
    </w:p>
    <w:p>
      <w:pPr>
        <w:sectPr>
          <w:pgSz w:w="11900" w:h="16840" w:orient="portrait"/>
          <w:cols w:equalWidth="0" w:num="1">
            <w:col w:w="10620"/>
          </w:cols>
          <w:pgMar w:left="640" w:top="1440" w:right="640" w:bottom="1440" w:gutter="0" w:footer="0" w:header="0"/>
        </w:sectPr>
      </w:pPr>
    </w:p>
    <w:bookmarkStart w:id="458" w:name="page459"/>
    <w:bookmarkEnd w:id="458"/>
    <w:p>
      <w:pPr>
        <w:spacing w:after="0" w:line="3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color w:val="auto"/>
        </w:rPr>
        <w:t>without limitation, for any sale made at a nominal price), the timing thereof or any delay in action or omission to act nor will it be responsible for any error or delay in action, omission to act, default or negligence on the part of the party so retained in connection with any such sale or proposed sale.</w:t>
      </w:r>
    </w:p>
    <w:p>
      <w:pPr>
        <w:spacing w:after="0" w:line="108" w:lineRule="exact"/>
        <w:rPr>
          <w:sz w:val="20"/>
          <w:szCs w:val="20"/>
          <w:color w:val="auto"/>
        </w:rPr>
      </w:pPr>
    </w:p>
    <w:p>
      <w:pPr>
        <w:ind w:right="300" w:firstLine="457"/>
        <w:spacing w:after="0" w:line="267" w:lineRule="auto"/>
        <w:rPr>
          <w:sz w:val="20"/>
          <w:szCs w:val="20"/>
          <w:color w:val="auto"/>
        </w:rPr>
      </w:pPr>
      <w:r>
        <w:rPr>
          <w:rFonts w:ascii="Times New Roman" w:cs="Times New Roman" w:eastAsia="Times New Roman" w:hAnsi="Times New Roman"/>
          <w:sz w:val="12"/>
          <w:szCs w:val="12"/>
          <w:color w:val="auto"/>
        </w:rPr>
        <w:t>The depositary will not incur any liability in connection with or arising from any failure, inability or refusal by Genmab or any other party, including any share registrar or other agent appointed by Genmab, the depositary or any other party, to process any transfer, delivery or distribution of cash, the shares, other securities or other property, including without limitation upon the termination of the Deposit Agreement, or otherwise to comply with any provisions of the Deposit Agreement.</w:t>
      </w:r>
    </w:p>
    <w:p>
      <w:pPr>
        <w:spacing w:after="0" w:line="120" w:lineRule="exact"/>
        <w:rPr>
          <w:sz w:val="20"/>
          <w:szCs w:val="20"/>
          <w:color w:val="auto"/>
        </w:rPr>
      </w:pPr>
    </w:p>
    <w:p>
      <w:pPr>
        <w:ind w:right="40" w:firstLine="457"/>
        <w:spacing w:after="0" w:line="254" w:lineRule="auto"/>
        <w:rPr>
          <w:sz w:val="20"/>
          <w:szCs w:val="20"/>
          <w:color w:val="auto"/>
        </w:rPr>
      </w:pPr>
      <w:r>
        <w:rPr>
          <w:rFonts w:ascii="Times New Roman" w:cs="Times New Roman" w:eastAsia="Times New Roman" w:hAnsi="Times New Roman"/>
          <w:sz w:val="12"/>
          <w:szCs w:val="12"/>
          <w:color w:val="auto"/>
        </w:rPr>
        <w:t>The depositary may rely upon instructions from Genmab or its counsel in respect of any approval or license required for any currency conversion, transfer or distribution. The depositary will not incur any liability for the content of any information submitted to it by Genmab or on its behalf for distribution to ADS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Genmab. The depositary will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whether or not foreseeable and regardless of the type of action in which such a claim may be brought.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depositary and its agents may own and deal in any class of securities of Genmab’s company and its affiliates and in ADSs.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Disclosure of Interest in ADSs</w:t>
      </w:r>
    </w:p>
    <w:p>
      <w:pPr>
        <w:spacing w:after="0" w:line="21" w:lineRule="exact"/>
        <w:rPr>
          <w:sz w:val="20"/>
          <w:szCs w:val="20"/>
          <w:color w:val="auto"/>
        </w:rPr>
      </w:pPr>
    </w:p>
    <w:p>
      <w:pPr>
        <w:jc w:val="both"/>
        <w:ind w:right="80" w:firstLine="457"/>
        <w:spacing w:after="0" w:line="255" w:lineRule="auto"/>
        <w:rPr>
          <w:sz w:val="20"/>
          <w:szCs w:val="20"/>
          <w:color w:val="auto"/>
        </w:rPr>
      </w:pPr>
      <w:r>
        <w:rPr>
          <w:rFonts w:ascii="Times New Roman" w:cs="Times New Roman" w:eastAsia="Times New Roman" w:hAnsi="Times New Roman"/>
          <w:sz w:val="12"/>
          <w:szCs w:val="12"/>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ADS holders or beneficial owners agree to comply with all such disclosure requirements and ownership limitations and to comply with any reasonable instructions Genmab may provide in respect thereof.</w:t>
      </w:r>
    </w:p>
    <w:p>
      <w:pPr>
        <w:spacing w:after="0" w:line="155" w:lineRule="exact"/>
        <w:rPr>
          <w:sz w:val="20"/>
          <w:szCs w:val="20"/>
          <w:color w:val="auto"/>
        </w:rPr>
      </w:pPr>
    </w:p>
    <w:p>
      <w:pPr>
        <w:ind w:right="120" w:firstLine="457"/>
        <w:spacing w:after="0" w:line="252" w:lineRule="auto"/>
        <w:rPr>
          <w:sz w:val="20"/>
          <w:szCs w:val="20"/>
          <w:color w:val="auto"/>
        </w:rPr>
      </w:pPr>
      <w:r>
        <w:rPr>
          <w:rFonts w:ascii="Times New Roman" w:cs="Times New Roman" w:eastAsia="Times New Roman" w:hAnsi="Times New Roman"/>
          <w:sz w:val="12"/>
          <w:szCs w:val="12"/>
          <w:color w:val="auto"/>
        </w:rPr>
        <w:t>The depositary has no obligations, nor will it incur any liability, with respect to the determinations, requirements, obligations and approvals of holders and beneficial owners. Specifically, holders and beneficial owners are solely responsible for determining and complying with all reporting and ownership requirements and/or obtaining any approvals required under all applicable laws, rules and regulations and Genmab’s Articles of Association and any other applicable constituent documents as in effect from time to time, including, without limitation, those described herein. Each holder and each beneficial owner agrees to make such determinations, file such reports, and/or obtain any approvals to the extent and in the form required by all applicable laws, rules and regulations and Genmab’s Articles of Association and any other applicable constituent documents as in effect from time to time, including, without limitation, those set out in the Deposit Agreement. Neither the depositary, the custodian, Genmab nor any of their respective agents or affiliates will be required to take any actions whatsoever on behalf of holders or beneficial owners or otherwise to determine or satisfy any such reporting or ownership requirements or obtain any approvals required under any applicable law, rule or regulation or Genmab’s Articles of Association or any other applicable constituent document, including, without limitation, those described in the Deposit Agreement, and nothing herein shall be interpreted as obligating the depositary, the custodian or Genmab to ensure compliance with any such reporting and ownership requirements and/or receipt of any such applicable required approvals. By holding or owning any ADSs evidenced hereby or an interest therein, each holder and beneficial owner hereof and thereof, jointly and severally, agree to indemnify, defend and save harmless each of the depositary, the custodian and their respective agents for any failure by such holders and beneficial owners to make any of the determinations, or otherwise comply with, any of the requirements, obligations and approvals of holders and beneficial owners described in this in the Deposit Agreement.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19</w:t>
      </w:r>
    </w:p>
    <w:p>
      <w:pPr>
        <w:sectPr>
          <w:pgSz w:w="11900" w:h="16840" w:orient="portrait"/>
          <w:cols w:equalWidth="0" w:num="1">
            <w:col w:w="10640"/>
          </w:cols>
          <w:pgMar w:left="640" w:top="1440" w:right="620" w:bottom="1440" w:gutter="0" w:footer="0" w:header="0"/>
        </w:sectPr>
      </w:pPr>
    </w:p>
    <w:bookmarkStart w:id="459" w:name="page460"/>
    <w:bookmarkEnd w:id="459"/>
    <w:p>
      <w:pPr>
        <w:spacing w:after="0" w:line="215"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2"/>
          <w:szCs w:val="12"/>
          <w:color w:val="auto"/>
        </w:rPr>
        <w:t>Genmab may from time to time request holders or beneficial owners to provide information as to the capacity in which such holders own or owned ADRs and regarding the identity of any other persons then or previously having a beneficial interest in such ADRs and the nature of such interest and various other matters. Each holder and beneficial owner agrees to provide any information requested by Genmab pursuant to this paragraph. If requested by Genmab, the depositary agrees to cooperate and consult with, and provide reasonable assistance to, in each case, without risk, liability or expense on the part of the depositary, Genmab in its efforts to inform holders of Genmab’s exercise of its rights under this paragraph and its efforts to forward any such written requests to the holders and to forward to Genmab any responses to such written requests actually received in writing by the depositary; provided, however, for the avoidance of doubt, the depositary shall be indemnified by Genmab in connection with the foregoing pursuant to Section 15 of the Deposit Agreement.</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Books of Depositary</w:t>
      </w:r>
    </w:p>
    <w:p>
      <w:pPr>
        <w:spacing w:after="0" w:line="159" w:lineRule="exact"/>
        <w:rPr>
          <w:sz w:val="20"/>
          <w:szCs w:val="20"/>
          <w:color w:val="auto"/>
        </w:rPr>
      </w:pPr>
    </w:p>
    <w:p>
      <w:pPr>
        <w:ind w:right="40" w:firstLine="457"/>
        <w:spacing w:after="0" w:line="267" w:lineRule="auto"/>
        <w:rPr>
          <w:sz w:val="20"/>
          <w:szCs w:val="20"/>
          <w:color w:val="auto"/>
        </w:rPr>
      </w:pPr>
      <w:r>
        <w:rPr>
          <w:rFonts w:ascii="Times New Roman" w:cs="Times New Roman" w:eastAsia="Times New Roman" w:hAnsi="Times New Roman"/>
          <w:sz w:val="12"/>
          <w:szCs w:val="12"/>
          <w:color w:val="auto"/>
        </w:rPr>
        <w:t>The depositary or its agent maintains a register for the registration, registration of transfer, combination and split-up of ADSs, which register includes the depositary’s direct registration system. Registered ADS holders may inspect such records at the depositary’s office at all reasonable times, but solely for the purpose of communicating with other ADS holders in the interest of the business of Genmab or a matter relating to the Deposit Agreement. Such register (or any portion thereof) may be closed at any time or from time to time, when deemed expedient by the depositary.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depositary maintains facilities for the delivery and receipt of ADSs.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Appointment</w:t>
      </w:r>
    </w:p>
    <w:p>
      <w:pPr>
        <w:spacing w:after="0" w:line="188" w:lineRule="exact"/>
        <w:rPr>
          <w:sz w:val="20"/>
          <w:szCs w:val="20"/>
          <w:color w:val="auto"/>
        </w:rPr>
      </w:pPr>
    </w:p>
    <w:p>
      <w:pPr>
        <w:ind w:right="20" w:firstLine="305"/>
        <w:spacing w:after="0" w:line="260" w:lineRule="auto"/>
        <w:rPr>
          <w:sz w:val="20"/>
          <w:szCs w:val="20"/>
          <w:color w:val="auto"/>
        </w:rPr>
      </w:pPr>
      <w:r>
        <w:rPr>
          <w:rFonts w:ascii="Times New Roman" w:cs="Times New Roman" w:eastAsia="Times New Roman" w:hAnsi="Times New Roman"/>
          <w:sz w:val="12"/>
          <w:szCs w:val="12"/>
          <w:color w:val="auto"/>
        </w:rPr>
        <w:t>Under the deposit agreement, each registered holder and each beneficial owner, upon acceptance of any ADSs (or any interest in any of them) issued in accordance with the terms and conditions of the deposit agreement is deemed for all purposes to:</w:t>
      </w:r>
    </w:p>
    <w:p>
      <w:pPr>
        <w:spacing w:after="0" w:line="1" w:lineRule="exact"/>
        <w:rPr>
          <w:sz w:val="20"/>
          <w:szCs w:val="20"/>
          <w:color w:val="auto"/>
        </w:rPr>
      </w:pPr>
    </w:p>
    <w:p>
      <w:pPr>
        <w:ind w:left="380" w:hanging="69"/>
        <w:spacing w:after="0"/>
        <w:tabs>
          <w:tab w:leader="none" w:pos="380"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a party to and bound by the terms of the deposit agreement and the ADSs,</w:t>
      </w:r>
    </w:p>
    <w:p>
      <w:pPr>
        <w:spacing w:after="0" w:line="133" w:lineRule="exact"/>
        <w:rPr>
          <w:rFonts w:ascii="Times New Roman" w:cs="Times New Roman" w:eastAsia="Times New Roman" w:hAnsi="Times New Roman"/>
          <w:sz w:val="12"/>
          <w:szCs w:val="12"/>
          <w:color w:val="auto"/>
        </w:rPr>
      </w:pPr>
    </w:p>
    <w:p>
      <w:pPr>
        <w:ind w:left="320" w:right="120" w:hanging="9"/>
        <w:spacing w:after="0" w:line="267" w:lineRule="auto"/>
        <w:tabs>
          <w:tab w:leader="none" w:pos="394"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 the depositary as its attorney-in-fact, with full power to delegate, to act on its behalf and to take any and all actions contemplated in the deposit agreement and the ADSs, to adopt any and all procedures necessary to comply with applicable laws and to take such action as the depositary in its sole discretion may deem necessary or appropriate to carry out the purposes of the deposit agreement and the ADSs, the taking of such actions to be the conclusive determinant of the necessity and appropriateness thereof; and</w:t>
      </w:r>
    </w:p>
    <w:p>
      <w:pPr>
        <w:spacing w:after="0" w:line="148" w:lineRule="exact"/>
        <w:rPr>
          <w:rFonts w:ascii="Times New Roman" w:cs="Times New Roman" w:eastAsia="Times New Roman" w:hAnsi="Times New Roman"/>
          <w:sz w:val="12"/>
          <w:szCs w:val="12"/>
          <w:color w:val="auto"/>
        </w:rPr>
      </w:pPr>
    </w:p>
    <w:p>
      <w:pPr>
        <w:ind w:left="320" w:hanging="9"/>
        <w:spacing w:after="0" w:line="253" w:lineRule="auto"/>
        <w:tabs>
          <w:tab w:leader="none" w:pos="394"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acknowledge and agree that (i) nothing in the deposit agreement or ADS gives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Genmab, ADS holders, beneficial owners or their respective affiliates, (iii) the depositary and its divisions, branches and affiliates may at any time have multiple banking relationships with Genmab, ADS holders, beneficial owners or the affiliates of any of them, (iv) the depositary and its divisions, branches and affiliates may, from time to time, be engaged in transactions in which parties adverse to Genmab or ADS holders or beneficial owners or their respective affiliates may have interests, (v) nothing contained in the deposit agreement or any ADSs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will not be deemed to have knowledge of any information held by any branch, division or affiliate of the depositary and (vii) notice to an ADS holder will be deemed, for all purposes of the deposit agreement and the ADSs, to constitute notice to any and all beneficial owners of the ADSs. For all purposes under the deposit agreement and the ADSs, the ADS holders thereof are deemed to have all requisite authority to act on behalf of any and all beneficial owners of the ADSs.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w:t>
      </w:r>
    </w:p>
    <w:p>
      <w:pPr>
        <w:sectPr>
          <w:pgSz w:w="11900" w:h="16840" w:orient="portrait"/>
          <w:cols w:equalWidth="0" w:num="1">
            <w:col w:w="10600"/>
          </w:cols>
          <w:pgMar w:left="640" w:top="1440" w:right="660" w:bottom="1440" w:gutter="0" w:footer="0" w:header="0"/>
        </w:sectPr>
      </w:pPr>
    </w:p>
    <w:bookmarkStart w:id="460" w:name="page461"/>
    <w:bookmarkEnd w:id="460"/>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Governing Law and Jurisdiction</w:t>
      </w:r>
    </w:p>
    <w:p>
      <w:pPr>
        <w:spacing w:after="0" w:line="188" w:lineRule="exact"/>
        <w:rPr>
          <w:sz w:val="20"/>
          <w:szCs w:val="20"/>
          <w:color w:val="auto"/>
        </w:rPr>
      </w:pPr>
    </w:p>
    <w:p>
      <w:pPr>
        <w:ind w:right="160" w:firstLine="305"/>
        <w:spacing w:after="0" w:line="261" w:lineRule="auto"/>
        <w:rPr>
          <w:sz w:val="20"/>
          <w:szCs w:val="20"/>
          <w:color w:val="auto"/>
        </w:rPr>
      </w:pPr>
      <w:r>
        <w:rPr>
          <w:rFonts w:ascii="Times New Roman" w:cs="Times New Roman" w:eastAsia="Times New Roman" w:hAnsi="Times New Roman"/>
          <w:sz w:val="12"/>
          <w:szCs w:val="12"/>
          <w:color w:val="auto"/>
        </w:rPr>
        <w:t>The deposit agreement and the ADSs are governed by and construed in accordance with the internal laws of the State of New York. In the deposit agreement, Genmab has submitted to the non-exclusive jurisdiction of the courts of the State of New York and appointed an agent for service of process on Genmab’s behalf with regards to any proceedings against or involving Genmab brought by the depositary. Any action based on either of the deposit agreement or the ADSs or the transactions contemplated therein or thereby may also be instituted by the depositary against Genmab in any competent court in the Kingdom of Denmark, the US or any other court of competent jurisdiction.</w:t>
      </w:r>
    </w:p>
    <w:p>
      <w:pPr>
        <w:spacing w:after="0" w:line="152" w:lineRule="exact"/>
        <w:rPr>
          <w:sz w:val="20"/>
          <w:szCs w:val="20"/>
          <w:color w:val="auto"/>
        </w:rPr>
      </w:pPr>
    </w:p>
    <w:p>
      <w:pPr>
        <w:jc w:val="both"/>
        <w:ind w:right="20" w:firstLine="305"/>
        <w:spacing w:after="0" w:line="261" w:lineRule="auto"/>
        <w:rPr>
          <w:sz w:val="20"/>
          <w:szCs w:val="20"/>
          <w:color w:val="auto"/>
        </w:rPr>
      </w:pPr>
      <w:r>
        <w:rPr>
          <w:rFonts w:ascii="Times New Roman" w:cs="Times New Roman" w:eastAsia="Times New Roman" w:hAnsi="Times New Roman"/>
          <w:sz w:val="12"/>
          <w:szCs w:val="12"/>
          <w:color w:val="auto"/>
        </w:rPr>
        <w:t>Under the deposit agreement, by holding or owning an ADS or an interest therein, ADS holders and beneficial owners each irrevocably agree that any legal suit, action or proceeding against or involving ADS holders or beneficial owners brought by Genmab or the depositary, arising out of or based upon the deposit agreement, the ADSs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w:t>
      </w:r>
    </w:p>
    <w:p>
      <w:pPr>
        <w:spacing w:after="0" w:line="152" w:lineRule="exact"/>
        <w:rPr>
          <w:sz w:val="20"/>
          <w:szCs w:val="20"/>
          <w:color w:val="auto"/>
        </w:rPr>
      </w:pPr>
    </w:p>
    <w:p>
      <w:pPr>
        <w:ind w:right="180" w:firstLine="305"/>
        <w:spacing w:after="0" w:line="257" w:lineRule="auto"/>
        <w:rPr>
          <w:sz w:val="20"/>
          <w:szCs w:val="20"/>
          <w:color w:val="auto"/>
        </w:rPr>
      </w:pPr>
      <w:r>
        <w:rPr>
          <w:rFonts w:ascii="Times New Roman" w:cs="Times New Roman" w:eastAsia="Times New Roman" w:hAnsi="Times New Roman"/>
          <w:sz w:val="12"/>
          <w:szCs w:val="12"/>
          <w:color w:val="auto"/>
        </w:rPr>
        <w:t>By holding or owning an ADS or an interest therein, ADS holders and beneficial owners each also irrevocably agree that any legal suit, action or proceeding against or involving the depositary or Genmab brought by ADS holders or beneficial owners, arising out of or based upon the deposit agreement, the ADSs or the transactions contemplated therein or thereby, including, without limitation, claims under the Securities Act, may be instituted only in the US Court for the Southern District of New York (or in the state courts of New York County in New York if either (i) the US District Court for the Southern District of New York lacks subject matter jurisdiction over a particular dispute, or (ii) the designation of the US District Court for the Southern District of New York as the exclusive forum for any particular dispute is, or becomes, invalid, illegal or unenforceable).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Jury Trial Waiver</w:t>
      </w:r>
    </w:p>
    <w:p>
      <w:pPr>
        <w:spacing w:after="0" w:line="188" w:lineRule="exact"/>
        <w:rPr>
          <w:sz w:val="20"/>
          <w:szCs w:val="20"/>
          <w:color w:val="auto"/>
        </w:rPr>
      </w:pPr>
    </w:p>
    <w:p>
      <w:pPr>
        <w:ind w:firstLine="305"/>
        <w:spacing w:after="0" w:line="263" w:lineRule="auto"/>
        <w:rPr>
          <w:sz w:val="20"/>
          <w:szCs w:val="20"/>
          <w:color w:val="auto"/>
        </w:rPr>
      </w:pPr>
      <w:r>
        <w:rPr>
          <w:rFonts w:ascii="Times New Roman" w:cs="Times New Roman" w:eastAsia="Times New Roman" w:hAnsi="Times New Roman"/>
          <w:sz w:val="12"/>
          <w:szCs w:val="12"/>
          <w:color w:val="auto"/>
        </w:rPr>
        <w:t>Each party to the deposit agreement (including, for the avoidance of doubt, each holder and beneficial owner of, or holder of interests in, ADSs) irrevocably waives, to the fullest extent permitted by applicable law, any right it may have to a trial by jury in any suit, action or proceeding against the depositary or Genmab directly or indirectly arising out of, based on or relating in any way to the shares or other deposited securities, the ADSs, the deposit agreement or any transaction contemplated therein, or the breach thereof (whether based on contract, tort, common law or any other theory), including any claim under the US federal securities laws.</w:t>
      </w:r>
    </w:p>
    <w:p>
      <w:pPr>
        <w:spacing w:after="0" w:line="298" w:lineRule="exact"/>
        <w:rPr>
          <w:sz w:val="20"/>
          <w:szCs w:val="20"/>
          <w:color w:val="auto"/>
        </w:rPr>
      </w:pPr>
    </w:p>
    <w:p>
      <w:pPr>
        <w:ind w:right="140" w:firstLine="305"/>
        <w:spacing w:after="0" w:line="267" w:lineRule="auto"/>
        <w:rPr>
          <w:sz w:val="20"/>
          <w:szCs w:val="20"/>
          <w:color w:val="auto"/>
        </w:rPr>
      </w:pPr>
      <w:r>
        <w:rPr>
          <w:rFonts w:ascii="Times New Roman" w:cs="Times New Roman" w:eastAsia="Times New Roman" w:hAnsi="Times New Roman"/>
          <w:sz w:val="12"/>
          <w:szCs w:val="12"/>
          <w:color w:val="auto"/>
        </w:rPr>
        <w:t>If Genmab or the depositary were to oppose a jury trial demand based on such waiver, the court would determine whether the waiver was enforceable under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Genmab’s or the depositary’s compliance with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w:t>
      </w:r>
    </w:p>
    <w:p>
      <w:pPr>
        <w:sectPr>
          <w:pgSz w:w="11900" w:h="16840" w:orient="portrait"/>
          <w:cols w:equalWidth="0" w:num="1">
            <w:col w:w="10620"/>
          </w:cols>
          <w:pgMar w:left="640" w:top="1440" w:right="640" w:bottom="1440" w:gutter="0" w:footer="0" w:header="0"/>
        </w:sectPr>
      </w:pPr>
    </w:p>
    <w:bookmarkStart w:id="461" w:name="page462"/>
    <w:bookmarkEnd w:id="461"/>
    <w:p>
      <w:pPr>
        <w:jc w:val="right"/>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508635</wp:posOffset>
            </wp:positionV>
            <wp:extent cx="6732905" cy="120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673290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CREDIT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dated as of December 12, 2025,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GENMAB A/S,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Parent,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GENMAB FINANCE LLC,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U.S. Co-Borrower</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LENDERS and ISSUING BANKS from time to time party hereto</w:t>
      </w:r>
    </w:p>
    <w:p>
      <w:pPr>
        <w:spacing w:after="0" w:line="16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MORGAN STANLEY SENIOR FUNDING,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191135</wp:posOffset>
            </wp:positionV>
            <wp:extent cx="27178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271780" cy="63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MORGAN STANLEY SENIOR FUNDING, INC.,</w:t>
      </w:r>
    </w:p>
    <w:p>
      <w:pPr>
        <w:spacing w:after="0" w:line="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BANK OF AMERICA EUROPE DESIGNATED ACTIVITY COMPANY,</w:t>
      </w:r>
    </w:p>
    <w:p>
      <w:pPr>
        <w:spacing w:after="0" w:line="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GOLDMAN SACHS BANK USA,</w:t>
      </w:r>
    </w:p>
    <w:p>
      <w:pPr>
        <w:spacing w:after="0" w:line="1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DANSKE BANK A/S,</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DNB CARNEGIE, INC.,</w:t>
      </w:r>
    </w:p>
    <w:p>
      <w:pPr>
        <w:spacing w:after="0" w:line="1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NORDEA DANMARK, FILIAL AF NORDEA BANK ABP, FINLAND,</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PNC CAPITAL MARKETS LLC,</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TRUIST SECURITIES, INC.,</w:t>
      </w:r>
    </w:p>
    <w:p>
      <w:pPr>
        <w:spacing w:after="0" w:line="1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JPMORGAN CHASE BANK, N.A., LONDON BRANCH and</w:t>
      </w:r>
    </w:p>
    <w:p>
      <w:pPr>
        <w:spacing w:after="0" w:line="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JYSKE BANK A/S</w:t>
      </w:r>
    </w:p>
    <w:p>
      <w:pPr>
        <w:spacing w:after="0" w:line="1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6732905" cy="120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6732905" cy="120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306070</wp:posOffset>
            </wp:positionV>
            <wp:extent cx="6744970" cy="132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674497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560" w:right="660" w:bottom="1440" w:gutter="0" w:footer="0" w:header="0"/>
        </w:sectPr>
      </w:pPr>
    </w:p>
    <w:bookmarkStart w:id="462" w:name="page463"/>
    <w:bookmarkEnd w:id="462"/>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3"/>
          <w:szCs w:val="13"/>
          <w:b w:val="1"/>
          <w:bCs w:val="1"/>
          <w:u w:val="single" w:color="auto"/>
          <w:color w:val="auto"/>
        </w:rPr>
        <w:t>Page</w:t>
      </w:r>
    </w:p>
    <w:p>
      <w:pPr>
        <w:spacing w:after="0" w:line="46" w:lineRule="exact"/>
        <w:rPr>
          <w:sz w:val="20"/>
          <w:szCs w:val="20"/>
          <w:color w:val="auto"/>
        </w:rPr>
      </w:pPr>
    </w:p>
    <w:p>
      <w:pPr>
        <w:ind w:left="140" w:right="60"/>
        <w:spacing w:after="0" w:line="280" w:lineRule="auto"/>
        <w:rPr>
          <w:sz w:val="20"/>
          <w:szCs w:val="20"/>
          <w:color w:val="auto"/>
        </w:rPr>
      </w:pPr>
      <w:r>
        <w:rPr>
          <w:rFonts w:ascii="Arial" w:cs="Arial" w:eastAsia="Arial" w:hAnsi="Arial"/>
          <w:sz w:val="18"/>
          <w:szCs w:val="18"/>
          <w:color w:val="auto"/>
        </w:rPr>
        <w:t>The table of contents is empty. Heading styles must be applied in the document and be selected in the table of contents properties panel.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Exhibits and Schedules</w:t>
      </w:r>
    </w:p>
    <w:p>
      <w:pPr>
        <w:sectPr>
          <w:pgSz w:w="11900" w:h="16840" w:orient="portrait"/>
          <w:cols w:equalWidth="0" w:num="1">
            <w:col w:w="10600"/>
          </w:cols>
          <w:pgMar w:left="640" w:top="1440" w:right="660" w:bottom="1440" w:gutter="0" w:footer="0" w:header="0"/>
        </w:sectPr>
      </w:pP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Exhibit A-1 Exhibit A-2 Exhibit B-1 Exhibit B-2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Form of Junior Priority Intercreditor Agreement</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Form of Assignment and Acceptance</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Form of Designated Borrower Request and Joinder Agreement</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Form of Designated Borrower Notice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Form of Solvency Certificate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Form of Borrowing Request</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Form of Interest Election Request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Auction Procedures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[Reserved]</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Form of Promissory Note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Perfection Certificate</w:t>
      </w:r>
    </w:p>
    <w:p>
      <w:pPr>
        <w:spacing w:after="0" w:line="10" w:lineRule="exact"/>
        <w:rPr>
          <w:sz w:val="20"/>
          <w:szCs w:val="20"/>
          <w:color w:val="auto"/>
        </w:rPr>
      </w:pPr>
    </w:p>
    <w:p>
      <w:pPr>
        <w:sectPr>
          <w:pgSz w:w="11900" w:h="16840" w:orient="portrait"/>
          <w:cols w:equalWidth="0" w:num="2">
            <w:col w:w="680" w:space="160"/>
            <w:col w:w="9760"/>
          </w:cols>
          <w:pgMar w:left="640" w:top="1440" w:right="660" w:bottom="1440" w:gutter="0" w:footer="0" w:header="0"/>
          <w:type w:val="continuous"/>
        </w:sect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Exhibit J-1</w:t>
        <w:tab/>
        <w:t>Form of U.S. Tax Certificate (For Non-U.S. Lenders that are not Partnerships for U.S. Federal Income Tax Purposes)</w:t>
      </w:r>
    </w:p>
    <w:p>
      <w:pPr>
        <w:spacing w:after="0" w:line="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Exhibit J-2</w:t>
        <w:tab/>
        <w:t>Form of U.S. Tax Certificate (For Non-U.S. Lenders that are Partnerships for U.S. Federal Income Tax Purposes)</w:t>
      </w:r>
    </w:p>
    <w:p>
      <w:pPr>
        <w:spacing w:after="0" w:line="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Exhibit J-3</w:t>
        <w:tab/>
        <w:t>Form of U.S. Tax Certificate (For Non-U.S. Participants that are not Partnerships for U.S. Federal Income Tax Purposes)</w:t>
      </w:r>
    </w:p>
    <w:p>
      <w:pPr>
        <w:spacing w:after="0" w:line="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Exhibit J-4</w:t>
        <w:tab/>
        <w:t>Form of U.S. Tax Certificate (For Non-U.S. Participants that are Partnerships for U.S. Federal Income Tax Purposes)</w:t>
      </w:r>
    </w:p>
    <w:p>
      <w:pPr>
        <w:spacing w:after="0" w:line="1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Exhibit K</w:t>
      </w:r>
      <w:r>
        <w:rPr>
          <w:sz w:val="20"/>
          <w:szCs w:val="20"/>
          <w:color w:val="auto"/>
        </w:rPr>
        <w:tab/>
      </w:r>
      <w:r>
        <w:rPr>
          <w:rFonts w:ascii="Times New Roman" w:cs="Times New Roman" w:eastAsia="Times New Roman" w:hAnsi="Times New Roman"/>
          <w:sz w:val="14"/>
          <w:szCs w:val="14"/>
          <w:color w:val="auto"/>
        </w:rPr>
        <w:t>[Reserved]</w:t>
      </w:r>
    </w:p>
    <w:p>
      <w:pPr>
        <w:spacing w:after="0" w:line="17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4"/>
          <w:szCs w:val="14"/>
          <w:color w:val="auto"/>
        </w:rPr>
        <w:t>Schedule 1.01(A)</w:t>
        <w:tab/>
        <w:t>Agreed Guarantee and Security Principles</w:t>
      </w:r>
    </w:p>
    <w:p>
      <w:pPr>
        <w:spacing w:after="0" w:line="2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4"/>
          <w:szCs w:val="14"/>
          <w:color w:val="auto"/>
        </w:rPr>
        <w:t>Schedule 1.01(B)</w:t>
        <w:tab/>
        <w:t>Closing Date Foreign Collateral Documents</w:t>
      </w:r>
    </w:p>
    <w:p>
      <w:pPr>
        <w:sectPr>
          <w:pgSz w:w="11900" w:h="16840" w:orient="portrait"/>
          <w:cols w:equalWidth="0" w:num="1">
            <w:col w:w="10600"/>
          </w:cols>
          <w:pgMar w:left="640" w:top="1440" w:right="660" w:bottom="1440" w:gutter="0" w:footer="0" w:header="0"/>
          <w:type w:val="continuous"/>
        </w:sectPr>
      </w:pPr>
    </w:p>
    <w:p>
      <w:pPr>
        <w:spacing w:after="0" w:line="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Schedule 2.01 Schedule 3.04 Schedule 3.05 Schedule 3.08 Schedule 3.16 Schedule 3.20 Schedule 3.21 Schedule 5.15 Schedule 6.01(a) Schedule 6.02(a) Schedule 6.04 Schedule 6.07 Schedule 9.01</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Commitments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Governmental Approvals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Financial Statements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Subsidiaries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Environmental Matters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Insurance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Intellectual Property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Post-Closing Items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Indebtedness</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Liens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Investments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Transactions with Affiliates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Notice Information</w:t>
      </w:r>
    </w:p>
    <w:p>
      <w:pPr>
        <w:spacing w:after="0" w:line="215" w:lineRule="exact"/>
        <w:rPr>
          <w:sz w:val="20"/>
          <w:szCs w:val="20"/>
          <w:color w:val="auto"/>
        </w:rPr>
      </w:pPr>
    </w:p>
    <w:p>
      <w:pPr>
        <w:sectPr>
          <w:pgSz w:w="11900" w:h="16840" w:orient="portrait"/>
          <w:cols w:equalWidth="0" w:num="2">
            <w:col w:w="980" w:space="120"/>
            <w:col w:w="9500"/>
          </w:cols>
          <w:pgMar w:left="640" w:top="1440" w:right="6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[[DMS:8132210v39:12/11/2025--06:37 PM]]</w:t>
      </w:r>
    </w:p>
    <w:p>
      <w:pPr>
        <w:sectPr>
          <w:pgSz w:w="11900" w:h="16840" w:orient="portrait"/>
          <w:cols w:equalWidth="0" w:num="1">
            <w:col w:w="10600"/>
          </w:cols>
          <w:pgMar w:left="640" w:top="1440" w:right="660" w:bottom="1440" w:gutter="0" w:footer="0" w:header="0"/>
          <w:type w:val="continuous"/>
        </w:sectPr>
      </w:pPr>
    </w:p>
    <w:bookmarkStart w:id="463" w:name="page464"/>
    <w:bookmarkEnd w:id="463"/>
    <w:p>
      <w:pPr>
        <w:spacing w:after="0" w:line="34"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 xml:space="preserve">CREDIT AGREEMENT, dated as of December 12, 2025 (this “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among GENMAB A/S, registration no. (CVR) 21023884, a public limited liability company organized under the laws of Denmark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GENMAB FINANCE LLC, a Delaware limited liability company (the “ </w:t>
      </w:r>
      <w:r>
        <w:rPr>
          <w:rFonts w:ascii="Times New Roman" w:cs="Times New Roman" w:eastAsia="Times New Roman" w:hAnsi="Times New Roman"/>
          <w:sz w:val="14"/>
          <w:szCs w:val="14"/>
          <w:u w:val="single" w:color="auto"/>
          <w:color w:val="auto"/>
        </w:rPr>
        <w:t>U.S. Co-Borrower</w:t>
      </w:r>
      <w:r>
        <w:rPr>
          <w:rFonts w:ascii="Times New Roman" w:cs="Times New Roman" w:eastAsia="Times New Roman" w:hAnsi="Times New Roman"/>
          <w:sz w:val="14"/>
          <w:szCs w:val="14"/>
          <w:color w:val="auto"/>
        </w:rPr>
        <w:t>” and, together with the Parent, the “</w:t>
      </w:r>
      <w:r>
        <w:rPr>
          <w:rFonts w:ascii="Times New Roman" w:cs="Times New Roman" w:eastAsia="Times New Roman" w:hAnsi="Times New Roman"/>
          <w:sz w:val="14"/>
          <w:szCs w:val="14"/>
          <w:u w:val="single" w:color="auto"/>
          <w:color w:val="auto"/>
        </w:rPr>
        <w:t>Borrowers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the LENDERS and ISSUING BANKS from time to time party hereto and MORGAN STANLEY SENIOR FUNDING, INC., as the Administrative Agent and Collateral Agent.</w:t>
      </w:r>
    </w:p>
    <w:p>
      <w:pPr>
        <w:spacing w:after="0" w:line="121"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WHEREAS, the Parent, indirectly through Genmab Holding II B.V., will acquire all of the issued and outstanding equity interests of Merus N.V., a public limited liability company organized under the laws of The Netherlands (“</w:t>
      </w:r>
      <w:r>
        <w:rPr>
          <w:rFonts w:ascii="Times New Roman" w:cs="Times New Roman" w:eastAsia="Times New Roman" w:hAnsi="Times New Roman"/>
          <w:sz w:val="14"/>
          <w:szCs w:val="14"/>
          <w:u w:val="single" w:color="auto"/>
          <w:color w:val="auto"/>
        </w:rPr>
        <w:t>Merus</w:t>
      </w:r>
      <w:r>
        <w:rPr>
          <w:rFonts w:ascii="Times New Roman" w:cs="Times New Roman" w:eastAsia="Times New Roman" w:hAnsi="Times New Roman"/>
          <w:sz w:val="14"/>
          <w:szCs w:val="14"/>
          <w:color w:val="auto"/>
        </w:rPr>
        <w:t xml:space="preserve">”), pursuant to a Transaction Agreement, dated as of September 29, 2025 (the “ </w:t>
      </w:r>
      <w:r>
        <w:rPr>
          <w:rFonts w:ascii="Times New Roman" w:cs="Times New Roman" w:eastAsia="Times New Roman" w:hAnsi="Times New Roman"/>
          <w:sz w:val="14"/>
          <w:szCs w:val="14"/>
          <w:u w:val="single" w:color="auto"/>
          <w:color w:val="auto"/>
        </w:rPr>
        <w:t>Transaction Agreement</w:t>
      </w:r>
      <w:r>
        <w:rPr>
          <w:rFonts w:ascii="Times New Roman" w:cs="Times New Roman" w:eastAsia="Times New Roman" w:hAnsi="Times New Roman"/>
          <w:sz w:val="14"/>
          <w:szCs w:val="14"/>
          <w:color w:val="auto"/>
        </w:rPr>
        <w:t xml:space="preserve">”), by and among the Parent, Genmab Holding II B.V., a private limited liability company organized under the laws of The Netherlands and a wholly owned subsidiary of the Parent (“ </w:t>
      </w:r>
      <w:r>
        <w:rPr>
          <w:rFonts w:ascii="Times New Roman" w:cs="Times New Roman" w:eastAsia="Times New Roman" w:hAnsi="Times New Roman"/>
          <w:sz w:val="14"/>
          <w:szCs w:val="14"/>
          <w:u w:val="single" w:color="auto"/>
          <w:color w:val="auto"/>
        </w:rPr>
        <w:t>Genmab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Purchaser</w:t>
      </w:r>
      <w:r>
        <w:rPr>
          <w:rFonts w:ascii="Times New Roman" w:cs="Times New Roman" w:eastAsia="Times New Roman" w:hAnsi="Times New Roman"/>
          <w:sz w:val="14"/>
          <w:szCs w:val="14"/>
          <w:color w:val="auto"/>
        </w:rPr>
        <w:t>”), and Merus (the “</w:t>
      </w:r>
      <w:r>
        <w:rPr>
          <w:rFonts w:ascii="Times New Roman" w:cs="Times New Roman" w:eastAsia="Times New Roman" w:hAnsi="Times New Roman"/>
          <w:sz w:val="14"/>
          <w:szCs w:val="14"/>
          <w:u w:val="single" w:color="auto"/>
          <w:color w:val="auto"/>
        </w:rPr>
        <w:t>Acquisition</w:t>
      </w:r>
      <w:r>
        <w:rPr>
          <w:rFonts w:ascii="Times New Roman" w:cs="Times New Roman" w:eastAsia="Times New Roman" w:hAnsi="Times New Roman"/>
          <w:sz w:val="14"/>
          <w:szCs w:val="14"/>
          <w:color w:val="auto"/>
        </w:rPr>
        <w:t>”); and</w:t>
      </w:r>
    </w:p>
    <w:p>
      <w:pPr>
        <w:spacing w:after="0" w:line="12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WHEREAS, in connection with the consummation of the transactions contemplated by the Transaction Agreement and the other transactions contemplated hereby, each Borrower has requested the Lenders and Issuing Banks to extend credit as set forth herein.</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NOW, THEREFORE, the Lenders and the Issuing Banks are willing to extend such credit to the Borrowers on the terms and subject to the conditions set forth herein.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Accordingly, the parties hereto agree as follows:</w:t>
      </w:r>
    </w:p>
    <w:p>
      <w:pPr>
        <w:spacing w:after="0" w:line="1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I</w:t>
      </w:r>
    </w:p>
    <w:p>
      <w:pPr>
        <w:spacing w:after="0" w:line="1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u w:val="single" w:color="auto"/>
          <w:color w:val="auto"/>
        </w:rPr>
        <w:t>Definitions</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1.01.</w:t>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As used in this Agreement, the following terms shall have the meanings specified below:</w:t>
      </w:r>
    </w:p>
    <w:p>
      <w:pPr>
        <w:spacing w:after="0" w:line="142" w:lineRule="exact"/>
        <w:rPr>
          <w:sz w:val="20"/>
          <w:szCs w:val="20"/>
          <w:color w:val="auto"/>
        </w:rPr>
      </w:pPr>
    </w:p>
    <w:p>
      <w:pPr>
        <w:jc w:val="both"/>
        <w:ind w:firstLine="914"/>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ABR</w:t>
      </w:r>
      <w:r>
        <w:rPr>
          <w:rFonts w:ascii="Times New Roman" w:cs="Times New Roman" w:eastAsia="Times New Roman" w:hAnsi="Times New Roman"/>
          <w:sz w:val="14"/>
          <w:szCs w:val="14"/>
          <w:color w:val="auto"/>
        </w:rPr>
        <w:t xml:space="preserve">” shall mean, for any day, a fluctuating rate </w:t>
      </w:r>
      <w:r>
        <w:rPr>
          <w:rFonts w:ascii="Times New Roman" w:cs="Times New Roman" w:eastAsia="Times New Roman" w:hAnsi="Times New Roman"/>
          <w:sz w:val="14"/>
          <w:szCs w:val="14"/>
          <w:i w:val="1"/>
          <w:iCs w:val="1"/>
          <w:color w:val="auto"/>
        </w:rPr>
        <w:t>per annum</w:t>
      </w:r>
      <w:r>
        <w:rPr>
          <w:rFonts w:ascii="Times New Roman" w:cs="Times New Roman" w:eastAsia="Times New Roman" w:hAnsi="Times New Roman"/>
          <w:sz w:val="14"/>
          <w:szCs w:val="14"/>
          <w:color w:val="auto"/>
        </w:rPr>
        <w:t xml:space="preserve"> equal to the greatest of (a) the Prime Rate in effect on such day, (b) the Federal Funds Effective Rate in effect on such day plus 1⁄2 of 1%, (c) Term SOFR for a one month Interest Period plus 1.00% and (d) 1.00%. Any change in the ABR due to a change in the Prime Rate, the Federal Funds Effective Rate or Term SOFR shall be effective from and including the effective date of such change in the Prime Rate, the Federal Funds Effective Rate or Term SOFR, respectively. If the ABR is being used as an alternate rate of interest pursuant to Section 2.27 or 2.28 hereof, then the ABR shall be the greatest of clauses (a), (b) and (d) above and shall be determined without reference to clause (c) above.</w:t>
      </w:r>
    </w:p>
    <w:p>
      <w:pPr>
        <w:spacing w:after="0" w:line="122"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Equal Priority Intercreditor Agreement</w:t>
      </w:r>
      <w:r>
        <w:rPr>
          <w:rFonts w:ascii="Times New Roman" w:cs="Times New Roman" w:eastAsia="Times New Roman" w:hAnsi="Times New Roman"/>
          <w:sz w:val="14"/>
          <w:szCs w:val="14"/>
          <w:color w:val="auto"/>
        </w:rPr>
        <w:t xml:space="preserve"> ” shall mean the Closing Date Intercreditor Agreement or another intercreditor agreement in form and substance satisfactory to the Administrative Agent which provides that the Lien on the Collateral securing such Indebtedness shall rank equal in priority with the Lien on the Collateral securing the Obligations.</w:t>
      </w:r>
    </w:p>
    <w:p>
      <w:pPr>
        <w:spacing w:after="0" w:line="117"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Intercreditor Agreement</w:t>
      </w:r>
      <w:r>
        <w:rPr>
          <w:rFonts w:ascii="Times New Roman" w:cs="Times New Roman" w:eastAsia="Times New Roman" w:hAnsi="Times New Roman"/>
          <w:sz w:val="14"/>
          <w:szCs w:val="14"/>
          <w:color w:val="auto"/>
        </w:rPr>
        <w:t xml:space="preserve"> ” shall mean (a) with respect to any Indebtedness that is secured by a Lien on the Collateral intended to rank equal in priority with the Lien on the Collateral securing the Obligations, an Acceptable Equal Priority Intercreditor Agreement and (b) with respect to any Indebtedness secured by a Lien on the Collateral intended to rank junior in priority to the Lien on the Collateral securing the Obligations, an Acceptable Junior Priority Intercreditor Agreement.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464" w:name="page465"/>
    <w:bookmarkEnd w:id="464"/>
    <w:p>
      <w:pPr>
        <w:spacing w:after="0" w:line="34"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Junior Priority Intercreditor Agreement</w:t>
      </w:r>
      <w:r>
        <w:rPr>
          <w:rFonts w:ascii="Times New Roman" w:cs="Times New Roman" w:eastAsia="Times New Roman" w:hAnsi="Times New Roman"/>
          <w:sz w:val="14"/>
          <w:szCs w:val="14"/>
          <w:color w:val="auto"/>
        </w:rPr>
        <w:t xml:space="preserve"> ” shall mean an intercreditor agreement substantially in the form set forth in </w:t>
      </w:r>
      <w:r>
        <w:rPr>
          <w:rFonts w:ascii="Times New Roman" w:cs="Times New Roman" w:eastAsia="Times New Roman" w:hAnsi="Times New Roman"/>
          <w:sz w:val="14"/>
          <w:szCs w:val="14"/>
          <w:u w:val="single" w:color="auto"/>
          <w:color w:val="auto"/>
        </w:rPr>
        <w:t>Exhibit A-1</w:t>
      </w:r>
      <w:r>
        <w:rPr>
          <w:rFonts w:ascii="Times New Roman" w:cs="Times New Roman" w:eastAsia="Times New Roman" w:hAnsi="Times New Roman"/>
          <w:sz w:val="14"/>
          <w:szCs w:val="14"/>
          <w:color w:val="auto"/>
        </w:rPr>
        <w:t xml:space="preserve"> or another intercreditor agreement in form and substance satisfactory to the Administrative Agent which provides that the Lien on the Collateral securing such Indebtedness shall rank junior in priority to the Lien on the Collateral securing the Obligations.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Accepting Term Lender</w:t>
      </w:r>
      <w:r>
        <w:rPr>
          <w:rFonts w:ascii="Times New Roman" w:cs="Times New Roman" w:eastAsia="Times New Roman" w:hAnsi="Times New Roman"/>
          <w:sz w:val="14"/>
          <w:szCs w:val="14"/>
          <w:color w:val="auto"/>
        </w:rPr>
        <w:t>” shall have the meaning assigned to such term in Section 2.10(d).</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Acquisition</w:t>
      </w:r>
      <w:r>
        <w:rPr>
          <w:rFonts w:ascii="Times New Roman" w:cs="Times New Roman" w:eastAsia="Times New Roman" w:hAnsi="Times New Roman"/>
          <w:sz w:val="14"/>
          <w:szCs w:val="14"/>
          <w:color w:val="auto"/>
        </w:rPr>
        <w:t>” shall have the meaning assigned to such term in the recitals to this Agreement.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Commitment</w:t>
      </w:r>
      <w:r>
        <w:rPr>
          <w:rFonts w:ascii="Times New Roman" w:cs="Times New Roman" w:eastAsia="Times New Roman" w:hAnsi="Times New Roman"/>
          <w:sz w:val="14"/>
          <w:szCs w:val="14"/>
          <w:color w:val="auto"/>
        </w:rPr>
        <w:t>” shall mean any commitment established pursuant to Section 2.21, 2.22 or 2.23</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Adjusted Consolidated EBITDA</w:t>
      </w:r>
      <w:r>
        <w:rPr>
          <w:rFonts w:ascii="Times New Roman" w:cs="Times New Roman" w:eastAsia="Times New Roman" w:hAnsi="Times New Roman"/>
          <w:sz w:val="14"/>
          <w:szCs w:val="14"/>
          <w:color w:val="auto"/>
        </w:rPr>
        <w:t xml:space="preserve">” shall mean, with respect to any person and its Subsidiaries on a consolidated basis for any period, the Consolidated Net Income of such person and its Subsidiaries for such period </w:t>
      </w:r>
      <w:r>
        <w:rPr>
          <w:rFonts w:ascii="Times New Roman" w:cs="Times New Roman" w:eastAsia="Times New Roman" w:hAnsi="Times New Roman"/>
          <w:sz w:val="14"/>
          <w:szCs w:val="14"/>
          <w:u w:val="single" w:color="auto"/>
          <w:color w:val="auto"/>
        </w:rPr>
        <w:t>plus</w:t>
      </w:r>
    </w:p>
    <w:p>
      <w:pPr>
        <w:spacing w:after="0" w:line="95" w:lineRule="exact"/>
        <w:rPr>
          <w:sz w:val="20"/>
          <w:szCs w:val="20"/>
          <w:color w:val="auto"/>
        </w:rPr>
      </w:pPr>
    </w:p>
    <w:p>
      <w:pPr>
        <w:ind w:left="1380" w:hanging="460"/>
        <w:spacing w:after="0"/>
        <w:tabs>
          <w:tab w:leader="none" w:pos="138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without duplication, in each case, to the extent deducted in or otherwise reducing Consolidated Net Income of such person for such period:</w:t>
      </w:r>
    </w:p>
    <w:p>
      <w:pPr>
        <w:spacing w:after="0" w:line="134" w:lineRule="exact"/>
        <w:rPr>
          <w:sz w:val="20"/>
          <w:szCs w:val="20"/>
          <w:color w:val="auto"/>
        </w:rPr>
      </w:pPr>
    </w:p>
    <w:p>
      <w:pPr>
        <w:ind w:left="460" w:right="20" w:firstLine="460"/>
        <w:spacing w:after="0" w:line="248" w:lineRule="auto"/>
        <w:tabs>
          <w:tab w:leader="none" w:pos="1374"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provision for Taxes based on income, profits or capital of such person and its Subsidiaries for such period, without duplication, including, without limitation, state franchise and similar Taxes, and foreign withholding Taxes; </w:t>
      </w:r>
      <w:r>
        <w:rPr>
          <w:rFonts w:ascii="Times New Roman" w:cs="Times New Roman" w:eastAsia="Times New Roman" w:hAnsi="Times New Roman"/>
          <w:sz w:val="14"/>
          <w:szCs w:val="14"/>
          <w:u w:val="single" w:color="auto"/>
          <w:color w:val="auto"/>
        </w:rPr>
        <w:t>plus</w:t>
      </w:r>
    </w:p>
    <w:p>
      <w:pPr>
        <w:spacing w:after="0" w:line="105"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(x) Interest Expense of such person and its Subsidiaries for such period and (y) all cash dividend payments (excluding items eliminated in consolidation) on any series of preferred stock of any Subsidiary of such person or any Disqualified Stock of such person and its Subsidiaries; </w:t>
      </w:r>
      <w:r>
        <w:rPr>
          <w:rFonts w:ascii="Times New Roman" w:cs="Times New Roman" w:eastAsia="Times New Roman" w:hAnsi="Times New Roman"/>
          <w:sz w:val="14"/>
          <w:szCs w:val="14"/>
          <w:u w:val="single" w:color="auto"/>
          <w:color w:val="auto"/>
        </w:rPr>
        <w:t>plus</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28" w:lineRule="auto"/>
        <w:tabs>
          <w:tab w:leader="none" w:pos="1374"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depreciation, amortization (including amortization of intangibles, deferred financing fees and actuarial gains and losses related to pensions and other post-employment benefits, but excluding amortization of prepaid cash expenses that were paid in a prior period) and other non-cash charges or expenses (excluding any such non-cash charge or expense to the extent that it represents an accrual of or reserve for a cash expense in any future period or amortization of a prepaid cash expense that was paid in a prior period) of such person and its Subsidiaries for such period;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28" w:lineRule="auto"/>
        <w:tabs>
          <w:tab w:leader="none" w:pos="1374"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costs or expenses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such person or net cash proceeds of an issuance of Equity Interests of such person (other than Disqualified Stock) solely to the extent that such net cash proceeds are excluded from the calculation of the Available Amount;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ind w:left="460" w:firstLine="460"/>
        <w:spacing w:after="0" w:line="248" w:lineRule="auto"/>
        <w:tabs>
          <w:tab w:leader="none" w:pos="1364"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non-cash losses related to non-operational hedging, including, without limitation, resulting from hedging transactions for interest rate or currency exchange risks associated with this Agreement or the Senior Notes; </w:t>
      </w:r>
      <w:r>
        <w:rPr>
          <w:rFonts w:ascii="Times New Roman" w:cs="Times New Roman" w:eastAsia="Times New Roman" w:hAnsi="Times New Roman"/>
          <w:sz w:val="14"/>
          <w:szCs w:val="14"/>
          <w:u w:val="single" w:color="auto"/>
          <w:color w:val="auto"/>
        </w:rPr>
        <w:t>plus</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74"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one-time, non-recurring expenses with respect to milestone payments, upfront payments or other similar payments made in connection with any drug or pharmaceutical product research and development, collaboration arrangements or acquisition or option of any rights in respect of any drug or pharmaceutical product (and any related property or assets) to the extent</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65" w:name="page466"/>
    <w:bookmarkEnd w:id="465"/>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such expenses would have been capitalized but for a change in accounting policies or procedures; </w:t>
      </w:r>
      <w:r>
        <w:rPr>
          <w:rFonts w:ascii="Times New Roman" w:cs="Times New Roman" w:eastAsia="Times New Roman" w:hAnsi="Times New Roman"/>
          <w:sz w:val="14"/>
          <w:szCs w:val="14"/>
          <w:u w:val="single" w:color="auto"/>
          <w:color w:val="auto"/>
        </w:rPr>
        <w:t>plus</w:t>
      </w:r>
    </w:p>
    <w:p>
      <w:pPr>
        <w:spacing w:after="0" w:line="134" w:lineRule="exact"/>
        <w:rPr>
          <w:sz w:val="20"/>
          <w:szCs w:val="20"/>
          <w:color w:val="auto"/>
        </w:rPr>
      </w:pPr>
    </w:p>
    <w:p>
      <w:pPr>
        <w:ind w:left="460" w:right="20" w:firstLine="460"/>
        <w:spacing w:after="0" w:line="248" w:lineRule="auto"/>
        <w:tabs>
          <w:tab w:leader="none" w:pos="1374"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one-time, non-recurring acquired in process research and development expenses in connection with the acquisition by such person or any of its subsidiaries of any assets to the extent such expenses would have been capitalized but for a change in accounting policies or procedures; </w:t>
      </w:r>
      <w:r>
        <w:rPr>
          <w:rFonts w:ascii="Times New Roman" w:cs="Times New Roman" w:eastAsia="Times New Roman" w:hAnsi="Times New Roman"/>
          <w:sz w:val="14"/>
          <w:szCs w:val="14"/>
          <w:u w:val="single" w:color="auto"/>
          <w:color w:val="auto"/>
        </w:rPr>
        <w:t>plus</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adjustments relating to purchase (or asset acquisition method) accounting; </w:t>
      </w:r>
      <w:r>
        <w:rPr>
          <w:rFonts w:ascii="Times New Roman" w:cs="Times New Roman" w:eastAsia="Times New Roman" w:hAnsi="Times New Roman"/>
          <w:sz w:val="14"/>
          <w:szCs w:val="14"/>
          <w:u w:val="single" w:color="auto"/>
          <w:color w:val="auto"/>
        </w:rPr>
        <w:t>plus</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[reserved]; </w:t>
      </w:r>
      <w:r>
        <w:rPr>
          <w:rFonts w:ascii="Times New Roman" w:cs="Times New Roman" w:eastAsia="Times New Roman" w:hAnsi="Times New Roman"/>
          <w:sz w:val="14"/>
          <w:szCs w:val="14"/>
          <w:u w:val="single" w:color="auto"/>
          <w:color w:val="auto"/>
        </w:rPr>
        <w:t>plus</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costs paid and expenses incurred in connection with litigation settlements; </w:t>
      </w:r>
      <w:r>
        <w:rPr>
          <w:rFonts w:ascii="Times New Roman" w:cs="Times New Roman" w:eastAsia="Times New Roman" w:hAnsi="Times New Roman"/>
          <w:sz w:val="14"/>
          <w:szCs w:val="14"/>
          <w:u w:val="single" w:color="auto"/>
          <w:color w:val="auto"/>
        </w:rPr>
        <w:t>plus</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unrealized mark-to-market losses on equity and securities investments; </w:t>
      </w:r>
      <w:r>
        <w:rPr>
          <w:rFonts w:ascii="Times New Roman" w:cs="Times New Roman" w:eastAsia="Times New Roman" w:hAnsi="Times New Roman"/>
          <w:sz w:val="14"/>
          <w:szCs w:val="14"/>
          <w:u w:val="single" w:color="auto"/>
          <w:color w:val="auto"/>
        </w:rPr>
        <w:t>plus</w:t>
      </w:r>
    </w:p>
    <w:p>
      <w:pPr>
        <w:spacing w:after="0" w:line="134" w:lineRule="exact"/>
        <w:rPr>
          <w:rFonts w:ascii="Times New Roman" w:cs="Times New Roman" w:eastAsia="Times New Roman" w:hAnsi="Times New Roman"/>
          <w:sz w:val="14"/>
          <w:szCs w:val="14"/>
          <w:color w:val="auto"/>
        </w:rPr>
      </w:pPr>
    </w:p>
    <w:p>
      <w:pPr>
        <w:jc w:val="both"/>
        <w:ind w:left="460" w:firstLine="460"/>
        <w:spacing w:after="0" w:line="221" w:lineRule="auto"/>
        <w:tabs>
          <w:tab w:leader="none" w:pos="1374"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“run-rate” cost savings, operating expense reductions and cost synergies related to the Transactions or any other acquisition, disposition, restructuring, preopening, opening, closure, integration, cost saving initiative or other initiative, in each case, that are projected by a Financial Officer of such person in good faith to result from actions taken, committed to be taken or expected to be taken no later than 24 months after the Closing Date, the consummation of such other transaction or the initiation of such initiative, as applicable, which amounts are expected to have a continuing impact and are factually supportable and are determined by such Financial Officer in good faith and calculated on a pro forma basis as though such amounts had been realized on the first day of such period, net of the amount of actual benefits realized during such period from such 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amounts added back pursuant to this clause (xii) shall not exceed 25% of Adjusted Consolidated EBITDA for such period (as calculated before giving effect to this clause (xii)); </w:t>
      </w:r>
      <w:r>
        <w:rPr>
          <w:rFonts w:ascii="Times New Roman" w:cs="Times New Roman" w:eastAsia="Times New Roman" w:hAnsi="Times New Roman"/>
          <w:sz w:val="14"/>
          <w:szCs w:val="14"/>
          <w:u w:val="single" w:color="auto"/>
          <w:color w:val="auto"/>
        </w:rPr>
        <w:t>plus</w:t>
      </w:r>
    </w:p>
    <w:p>
      <w:pPr>
        <w:spacing w:after="0" w:line="113" w:lineRule="exact"/>
        <w:rPr>
          <w:rFonts w:ascii="Times New Roman" w:cs="Times New Roman" w:eastAsia="Times New Roman" w:hAnsi="Times New Roman"/>
          <w:sz w:val="14"/>
          <w:szCs w:val="14"/>
          <w:color w:val="auto"/>
        </w:rPr>
      </w:pPr>
    </w:p>
    <w:p>
      <w:pPr>
        <w:jc w:val="both"/>
        <w:ind w:left="460" w:right="20" w:firstLine="460"/>
        <w:spacing w:after="0" w:line="233" w:lineRule="auto"/>
        <w:tabs>
          <w:tab w:leader="none" w:pos="1374"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costs and expenses incurred in connection with the Transactions and costs and expenses incurred in connection with the consummation of any transaction (or any transaction proposed and not consummated), including any issuance or offering of Equity Interests or debt securities, any dispositions, any recapitalization, merger, consolidation or amalgamation, any incurrence, refinancing, amendment or modification of Indebtedness or any similar transaction and/or any investment, including acquisitions;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74"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costs relating to signing, retention and completion bonuses, severance, relocation expenses, recruiting expenses, costs and expenses incurred in connection with any strategic or new initiatives, transition costs, consolidation, integration and closing costs for facilities, information technology infrastructure and legal entities, business optimization expenses and new systems design and implementation costs;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jc w:val="both"/>
        <w:ind w:left="460" w:right="20" w:firstLine="460"/>
        <w:spacing w:after="0" w:line="233" w:lineRule="auto"/>
        <w:tabs>
          <w:tab w:leader="none" w:pos="1374"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cash receipts (or netting arrangements resulting in reduced cash expenditures) not representing Adjusted Consolidated EBITDA of such person or Consolidated Net Income of such person in such period to the extent non-cash gains relating to such income were deducted in the calculation of Adjusted Consolidated EBITDA of such person in a previous period and not added back;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28" w:lineRule="auto"/>
        <w:tabs>
          <w:tab w:leader="none" w:pos="1374"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charges, costs, expenses, accruals or reserves in connection with the rollover, acceleration or payout of Equity Interests held by officers or employees of such person and its Subsidiaries and all losses, charges and expenses related to payments made to holders of options or other derivative Equity Interests in the common Equity Interests of such person in connection with, or as a result of, any distribution being made to holders of Equity Interests in such person or any direct or indirect parent thereof, which payments are being made to compensate such option holders as though they were equity holders at the time of, and entitled to share in, such distribution; </w:t>
      </w:r>
      <w:r>
        <w:rPr>
          <w:rFonts w:ascii="Times New Roman" w:cs="Times New Roman" w:eastAsia="Times New Roman" w:hAnsi="Times New Roman"/>
          <w:sz w:val="14"/>
          <w:szCs w:val="14"/>
          <w:u w:val="single" w:color="auto"/>
          <w:color w:val="auto"/>
        </w:rPr>
        <w:t>plus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66" w:name="page467"/>
    <w:bookmarkEnd w:id="466"/>
    <w:p>
      <w:pPr>
        <w:spacing w:after="0" w:line="24" w:lineRule="exact"/>
        <w:rPr>
          <w:sz w:val="20"/>
          <w:szCs w:val="20"/>
          <w:color w:val="auto"/>
        </w:rPr>
      </w:pPr>
    </w:p>
    <w:p>
      <w:pPr>
        <w:ind w:left="460" w:right="20" w:firstLine="460"/>
        <w:spacing w:after="0" w:line="248" w:lineRule="auto"/>
        <w:tabs>
          <w:tab w:leader="none" w:pos="1374"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any expenses paid on behalf of any member of the Board of Directors of such person or reimbursable to such member of the Board of Directors of such person; </w:t>
      </w:r>
      <w:r>
        <w:rPr>
          <w:rFonts w:ascii="Times New Roman" w:cs="Times New Roman" w:eastAsia="Times New Roman" w:hAnsi="Times New Roman"/>
          <w:sz w:val="14"/>
          <w:szCs w:val="14"/>
          <w:u w:val="single" w:color="auto"/>
          <w:color w:val="auto"/>
        </w:rPr>
        <w:t>plus</w:t>
      </w:r>
    </w:p>
    <w:p>
      <w:pPr>
        <w:spacing w:after="0" w:line="102"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or discounts on any sale of Permitted Receivables Facility Assets and Permitted Receivables Related Assets in connection with any Qualified Receivables</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Facility; </w:t>
      </w:r>
      <w:r>
        <w:rPr>
          <w:rFonts w:ascii="Times New Roman" w:cs="Times New Roman" w:eastAsia="Times New Roman" w:hAnsi="Times New Roman"/>
          <w:sz w:val="14"/>
          <w:szCs w:val="14"/>
          <w:u w:val="single" w:color="auto"/>
          <w:color w:val="auto"/>
        </w:rPr>
        <w:t>plus</w:t>
      </w:r>
    </w:p>
    <w:p>
      <w:pPr>
        <w:spacing w:after="0" w:line="118"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any contingent payments in connection with the licensing of Intellectual Property or other assets; </w:t>
      </w:r>
      <w:r>
        <w:rPr>
          <w:rFonts w:ascii="Times New Roman" w:cs="Times New Roman" w:eastAsia="Times New Roman" w:hAnsi="Times New Roman"/>
          <w:sz w:val="14"/>
          <w:szCs w:val="14"/>
          <w:u w:val="single" w:color="auto"/>
          <w:color w:val="auto"/>
        </w:rPr>
        <w:t>plus</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adjustments consistent with Article 11 of Regulation S-X (other than “management adjustments” referred to therein); </w:t>
      </w:r>
      <w:r>
        <w:rPr>
          <w:rFonts w:ascii="Times New Roman" w:cs="Times New Roman" w:eastAsia="Times New Roman" w:hAnsi="Times New Roman"/>
          <w:sz w:val="14"/>
          <w:szCs w:val="14"/>
          <w:u w:val="single" w:color="auto"/>
          <w:color w:val="auto"/>
        </w:rPr>
        <w:t>minus</w:t>
      </w:r>
    </w:p>
    <w:p>
      <w:pPr>
        <w:spacing w:after="0" w:line="134" w:lineRule="exact"/>
        <w:rPr>
          <w:sz w:val="20"/>
          <w:szCs w:val="20"/>
          <w:color w:val="auto"/>
        </w:rPr>
      </w:pPr>
    </w:p>
    <w:p>
      <w:pPr>
        <w:ind w:left="1360" w:hanging="440"/>
        <w:spacing w:after="0"/>
        <w:tabs>
          <w:tab w:leader="none" w:pos="136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without duplication, in each case, to the extent added back in or otherwise increasing Consolidated Net Income of such person for such period:</w:t>
      </w:r>
    </w:p>
    <w:p>
      <w:pPr>
        <w:spacing w:after="0" w:line="134" w:lineRule="exact"/>
        <w:rPr>
          <w:sz w:val="20"/>
          <w:szCs w:val="20"/>
          <w:color w:val="auto"/>
        </w:rPr>
      </w:pPr>
    </w:p>
    <w:p>
      <w:pPr>
        <w:jc w:val="both"/>
        <w:ind w:left="460" w:firstLine="460"/>
        <w:spacing w:after="0" w:line="233" w:lineRule="auto"/>
        <w:tabs>
          <w:tab w:leader="none" w:pos="1374"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non-cash items increasing such Consolidated Net Income for such period (excluding the recognition of deferred revenue or any non-cash items which represent the reversal of any accrual of, or reserve for, anticipated cash charges in any prior period that reduced Adjusted Consolidated EBITDA of such person in an earlier period and any items for which cash was received in any prior period);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non-cash gains related to non-operational hedging, including, without limitation, resulting from hedging transactions for interest rate or currency exchange risks associated with this Agreement or the Senior Notes; </w:t>
      </w:r>
      <w:r>
        <w:rPr>
          <w:rFonts w:ascii="Times New Roman" w:cs="Times New Roman" w:eastAsia="Times New Roman" w:hAnsi="Times New Roman"/>
          <w:sz w:val="14"/>
          <w:szCs w:val="14"/>
          <w:u w:val="single" w:color="auto"/>
          <w:color w:val="auto"/>
        </w:rPr>
        <w:t>plus</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unrealized mark-to-market gains on equity and securities investments; </w:t>
      </w:r>
      <w:r>
        <w:rPr>
          <w:rFonts w:ascii="Times New Roman" w:cs="Times New Roman" w:eastAsia="Times New Roman" w:hAnsi="Times New Roman"/>
          <w:sz w:val="14"/>
          <w:szCs w:val="14"/>
          <w:u w:val="single" w:color="auto"/>
          <w:color w:val="auto"/>
        </w:rPr>
        <w:t>plus</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interest income (to the extent not netted against interest expense in the calculation of Interest Expense); </w:t>
      </w:r>
      <w:r>
        <w:rPr>
          <w:rFonts w:ascii="Times New Roman" w:cs="Times New Roman" w:eastAsia="Times New Roman" w:hAnsi="Times New Roman"/>
          <w:sz w:val="14"/>
          <w:szCs w:val="14"/>
          <w:u w:val="single" w:color="auto"/>
          <w:color w:val="auto"/>
        </w:rPr>
        <w:t>plus</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credits and refunds (to the extent not netted from Tax expense), in each case, on a consolidated basis and determined in accordance with IFRS.</w:t>
      </w:r>
    </w:p>
    <w:p>
      <w:pPr>
        <w:spacing w:after="0" w:line="144" w:lineRule="exact"/>
        <w:rPr>
          <w:sz w:val="20"/>
          <w:szCs w:val="20"/>
          <w:color w:val="auto"/>
        </w:rPr>
      </w:pPr>
    </w:p>
    <w:p>
      <w:pPr>
        <w:jc w:val="both"/>
        <w:ind w:firstLine="914"/>
        <w:spacing w:after="0" w:line="260" w:lineRule="auto"/>
        <w:rPr>
          <w:sz w:val="20"/>
          <w:szCs w:val="20"/>
          <w:color w:val="auto"/>
        </w:rPr>
      </w:pPr>
      <w:r>
        <w:rPr>
          <w:rFonts w:ascii="Times New Roman" w:cs="Times New Roman" w:eastAsia="Times New Roman" w:hAnsi="Times New Roman"/>
          <w:sz w:val="14"/>
          <w:szCs w:val="14"/>
          <w:color w:val="auto"/>
        </w:rPr>
        <w:t>Notwithstanding the foregoing, the provision for Taxes based on the income or profits of, the Interest Expense of, the depreciation and amortization and other non-cash expenses or non-cash items of and the restructuring charges or expenses of, a Subsidiary (other than any Wholly Owned Subsidiary) of a person will be added to (or subtracted from, in the case of non-cash items described in clause (b) above) Consolidated Net Income of such person to compute Adjusted Consolidated EBITDA of such person, (A) in the same proportion that the Net Income of such Subsidiary was added to compute the Consolidated Net Income of such person, and (B) only to the extent that a corresponding amount of the Net Income of such Subsidiary would be permitted at the date of determination to be dividended or distributed to such person by such Subsidiary without prior governmental approval (that has not been obtained), and without direct or indirect restriction pursuant to the terms of its Organizational Documents and all agreements, instruments, judgments, decrees, orders, statutes, rules and governmental regulations applicable to that Subsidiary or its equityholders. Unless otherwise specified, any reference herein to “Adjusted Consolidated EBITDA” means the Adjusted Consolidated EBITDA of the Parent and the Subsidiaries on a consolidated basis.</w:t>
      </w:r>
    </w:p>
    <w:p>
      <w:pPr>
        <w:spacing w:after="0" w:line="128" w:lineRule="exact"/>
        <w:rPr>
          <w:sz w:val="20"/>
          <w:szCs w:val="20"/>
          <w:color w:val="auto"/>
        </w:rPr>
      </w:pPr>
    </w:p>
    <w:p>
      <w:pPr>
        <w:ind w:right="40" w:firstLine="914"/>
        <w:spacing w:after="0" w:line="291" w:lineRule="auto"/>
        <w:rPr>
          <w:sz w:val="20"/>
          <w:szCs w:val="20"/>
          <w:color w:val="auto"/>
        </w:rPr>
      </w:pPr>
      <w:r>
        <w:rPr>
          <w:rFonts w:ascii="Times New Roman" w:cs="Times New Roman" w:eastAsia="Times New Roman" w:hAnsi="Times New Roman"/>
          <w:sz w:val="14"/>
          <w:szCs w:val="14"/>
          <w:color w:val="auto"/>
        </w:rPr>
        <w:t>Notwithstanding anything to the contrary herein, Adjusted Consolidated EBITDA shall be deemed to be $511,000,000 for the fiscal quarter ended September 30, 2025, $409,000,000 for the fiscal quarter ended June 30, 2025, $230,000,000 for the fiscal quarter ended March 31, 2025 and $364,000,000 for the fiscal quarter ended December 31, 2024.</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67" w:name="page468"/>
    <w:bookmarkEnd w:id="467"/>
    <w:p>
      <w:pPr>
        <w:spacing w:after="0" w:line="34"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xml:space="preserve"> ” shall mean Morgan Stanley Senior Funding, Inc. (through itself or one of its designated Affiliates or branch offices), in its capacity as administrative agent under any of the Loan Documents, or any successor administrative agent appointed in accordance with Article VIII.</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Agent Fees</w:t>
      </w:r>
      <w:r>
        <w:rPr>
          <w:rFonts w:ascii="Times New Roman" w:cs="Times New Roman" w:eastAsia="Times New Roman" w:hAnsi="Times New Roman"/>
          <w:sz w:val="14"/>
          <w:szCs w:val="14"/>
          <w:color w:val="auto"/>
        </w:rPr>
        <w:t>” shall have the meaning assigned to such term in Section 2.12(c).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Questionnaire</w:t>
      </w:r>
      <w:r>
        <w:rPr>
          <w:rFonts w:ascii="Times New Roman" w:cs="Times New Roman" w:eastAsia="Times New Roman" w:hAnsi="Times New Roman"/>
          <w:sz w:val="14"/>
          <w:szCs w:val="14"/>
          <w:color w:val="auto"/>
        </w:rPr>
        <w:t>” shall mean an administrative questionnaire in the form supplied by the Administrative Agent.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Affected Financial Institution</w:t>
      </w:r>
      <w:r>
        <w:rPr>
          <w:rFonts w:ascii="Times New Roman" w:cs="Times New Roman" w:eastAsia="Times New Roman" w:hAnsi="Times New Roman"/>
          <w:sz w:val="14"/>
          <w:szCs w:val="14"/>
          <w:color w:val="auto"/>
        </w:rPr>
        <w:t>” shall mean (a) any EEA Financial Institution or (b) any UK Financial Institution.</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 Fee Letter</w:t>
      </w:r>
      <w:r>
        <w:rPr>
          <w:rFonts w:ascii="Times New Roman" w:cs="Times New Roman" w:eastAsia="Times New Roman" w:hAnsi="Times New Roman"/>
          <w:sz w:val="14"/>
          <w:szCs w:val="14"/>
          <w:color w:val="auto"/>
        </w:rPr>
        <w:t>” shall mean that certain Agent Fee Letter, dated as of October 22, 2025, by and between the Parent and MSSF.</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Agent-Related Person</w:t>
      </w:r>
      <w:r>
        <w:rPr>
          <w:rFonts w:ascii="Times New Roman" w:cs="Times New Roman" w:eastAsia="Times New Roman" w:hAnsi="Times New Roman"/>
          <w:sz w:val="14"/>
          <w:szCs w:val="14"/>
          <w:color w:val="auto"/>
        </w:rPr>
        <w:t>” shall have the meaning assigned to such term in Section 9.05(d).</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Agents</w:t>
      </w:r>
      <w:r>
        <w:rPr>
          <w:rFonts w:ascii="Times New Roman" w:cs="Times New Roman" w:eastAsia="Times New Roman" w:hAnsi="Times New Roman"/>
          <w:sz w:val="14"/>
          <w:szCs w:val="14"/>
          <w:color w:val="auto"/>
        </w:rPr>
        <w:t>” shall mean the Administrative Agent and the Collateral Agent.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Agreed Currencies</w:t>
      </w:r>
      <w:r>
        <w:rPr>
          <w:rFonts w:ascii="Times New Roman" w:cs="Times New Roman" w:eastAsia="Times New Roman" w:hAnsi="Times New Roman"/>
          <w:sz w:val="14"/>
          <w:szCs w:val="14"/>
          <w:color w:val="auto"/>
        </w:rPr>
        <w:t>” shall mean Dollars and each Alternative Currency.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Agreed Guarantee and Security Principles</w:t>
      </w:r>
      <w:r>
        <w:rPr>
          <w:rFonts w:ascii="Times New Roman" w:cs="Times New Roman" w:eastAsia="Times New Roman" w:hAnsi="Times New Roman"/>
          <w:sz w:val="14"/>
          <w:szCs w:val="14"/>
          <w:color w:val="auto"/>
        </w:rPr>
        <w:t xml:space="preserve"> ” shall mean the agreed guarantee and security principles set forth on </w:t>
      </w:r>
      <w:r>
        <w:rPr>
          <w:rFonts w:ascii="Times New Roman" w:cs="Times New Roman" w:eastAsia="Times New Roman" w:hAnsi="Times New Roman"/>
          <w:sz w:val="14"/>
          <w:szCs w:val="14"/>
          <w:u w:val="single" w:color="auto"/>
          <w:color w:val="auto"/>
        </w:rPr>
        <w:t>Schedule 1.01(A)</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shall have the meaning assigned to such term in the introductory paragraph of this Agreement.</w:t>
      </w:r>
    </w:p>
    <w:p>
      <w:pPr>
        <w:spacing w:after="0" w:line="163" w:lineRule="exact"/>
        <w:rPr>
          <w:sz w:val="20"/>
          <w:szCs w:val="20"/>
          <w:color w:val="auto"/>
        </w:rPr>
      </w:pPr>
    </w:p>
    <w:p>
      <w:pPr>
        <w:jc w:val="both"/>
        <w:ind w:right="20"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All-in Yield</w:t>
      </w:r>
      <w:r>
        <w:rPr>
          <w:rFonts w:ascii="Times New Roman" w:cs="Times New Roman" w:eastAsia="Times New Roman" w:hAnsi="Times New Roman"/>
          <w:sz w:val="14"/>
          <w:szCs w:val="14"/>
          <w:color w:val="auto"/>
        </w:rPr>
        <w:t xml:space="preserve">” shall mean, as to any Loans (or other Indebtedness, if applicable), the yield thereon to Lenders (or other providers, as applicable) providing such Loans (or other Indebtedness, if applicable), as reasonably determined by the Administrative Agent in consultation with the Parent, whether in the form of interest rate, margin, original issue discount, upfront fees, rate floors or otherwise;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original issue discount and upfront fees shall be equated to interest rate based on an assumed four year average life;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“All-in Yield” shall not include arrangement, commitment, underwriting, structuring, ticking or similar fees and customary consent fees for an amendment paid generally to consenting lenders.</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Alternative Currencies</w:t>
      </w:r>
      <w:r>
        <w:rPr>
          <w:rFonts w:ascii="Times New Roman" w:cs="Times New Roman" w:eastAsia="Times New Roman" w:hAnsi="Times New Roman"/>
          <w:sz w:val="14"/>
          <w:szCs w:val="14"/>
          <w:color w:val="auto"/>
        </w:rPr>
        <w:t>” shall mean Euros and DKK.</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Borrower</w:t>
      </w:r>
      <w:r>
        <w:rPr>
          <w:rFonts w:ascii="Times New Roman" w:cs="Times New Roman" w:eastAsia="Times New Roman" w:hAnsi="Times New Roman"/>
          <w:sz w:val="14"/>
          <w:szCs w:val="14"/>
          <w:color w:val="auto"/>
        </w:rPr>
        <w:t>” shall mean (a) any Borrower and (b) any Guarantor approved by the applicable Ancillary Lender.</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Commencement Date</w:t>
      </w:r>
      <w:r>
        <w:rPr>
          <w:rFonts w:ascii="Times New Roman" w:cs="Times New Roman" w:eastAsia="Times New Roman" w:hAnsi="Times New Roman"/>
          <w:sz w:val="14"/>
          <w:szCs w:val="14"/>
          <w:color w:val="auto"/>
        </w:rPr>
        <w:t>” shall mean, with respect to any Ancillary Facility, the date (which must be a Business Day prior to the Maturity Date for the Revolving Facility related to such Ancillary Facility) on which such Ancillary Facility is first made available, whether or not drawn.</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68" w:name="page469"/>
    <w:bookmarkEnd w:id="468"/>
    <w:p>
      <w:pPr>
        <w:spacing w:after="0" w:line="34"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Commitment</w:t>
      </w:r>
      <w:r>
        <w:rPr>
          <w:rFonts w:ascii="Times New Roman" w:cs="Times New Roman" w:eastAsia="Times New Roman" w:hAnsi="Times New Roman"/>
          <w:sz w:val="14"/>
          <w:szCs w:val="14"/>
          <w:color w:val="auto"/>
        </w:rPr>
        <w:t>” shall mean, with respect to any Ancillary Lender and any Ancillary Facility, the Dollar Equivalent of the maximum amount which such Ancillary Lender has agreed (whether or not subject to the satisfaction of conditions precedent) to make available from time to time under such Ancillary Facility in accordance with Section 2.14 to the extent such amount has not been cancelled or reduced under this Agreement or the Ancillary Documents relating to such Ancillary Facility.</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Document</w:t>
      </w:r>
      <w:r>
        <w:rPr>
          <w:rFonts w:ascii="Times New Roman" w:cs="Times New Roman" w:eastAsia="Times New Roman" w:hAnsi="Times New Roman"/>
          <w:sz w:val="14"/>
          <w:szCs w:val="14"/>
          <w:color w:val="auto"/>
        </w:rPr>
        <w:t>” shall mean, with respect to any Ancillary Facility, each document or instrument relating to or evidencing the terms of such Ancillary Facility.</w:t>
      </w:r>
    </w:p>
    <w:p>
      <w:pPr>
        <w:spacing w:after="0" w:line="163"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Facility</w:t>
      </w:r>
      <w:r>
        <w:rPr>
          <w:rFonts w:ascii="Times New Roman" w:cs="Times New Roman" w:eastAsia="Times New Roman" w:hAnsi="Times New Roman"/>
          <w:sz w:val="14"/>
          <w:szCs w:val="14"/>
          <w:color w:val="auto"/>
        </w:rPr>
        <w:t>” shall mean (a) any overdraft, automated payment, check drawing and/or other current account facility, (b) any same day or short term loan facility in Dollars or local currencies, (c) any foreign exchange facility, (d) any letter of credit, suretyship, suretyship on first demand, guarantee and/or bonding facility, (e) any derivatives facility and/or (f) any other facility or financial accommodation that may be required or appropriate in connection with the business of the Parent and/or any Subsidiary, in each case, that is agreed by the applicable Ancillary Lender and made available in accordance with Section 2.14.</w:t>
      </w:r>
    </w:p>
    <w:p>
      <w:pPr>
        <w:spacing w:after="0" w:line="121"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Lender</w:t>
      </w:r>
      <w:r>
        <w:rPr>
          <w:rFonts w:ascii="Times New Roman" w:cs="Times New Roman" w:eastAsia="Times New Roman" w:hAnsi="Times New Roman"/>
          <w:sz w:val="14"/>
          <w:szCs w:val="14"/>
          <w:color w:val="auto"/>
        </w:rPr>
        <w:t>” shall mean each Revolving Lender (or Affiliate of a Revolving Lender or branch thereof) that makes available an Ancillary Facility in accordance with Section 2.14.</w:t>
      </w:r>
    </w:p>
    <w:p>
      <w:pPr>
        <w:spacing w:after="0" w:line="105"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Obligations</w:t>
      </w:r>
      <w:r>
        <w:rPr>
          <w:rFonts w:ascii="Times New Roman" w:cs="Times New Roman" w:eastAsia="Times New Roman" w:hAnsi="Times New Roman"/>
          <w:sz w:val="14"/>
          <w:szCs w:val="14"/>
          <w:color w:val="auto"/>
        </w:rPr>
        <w:t>” shall mean all obligations in respect of Ancillary Outstandings (including interest accruing during the pendency of any bankruptcy, insolvency, receivership or other similar proceeding, regardless of whether allowed or allowable in such proceeding).</w:t>
      </w:r>
    </w:p>
    <w:p>
      <w:pPr>
        <w:spacing w:after="0" w:line="105" w:lineRule="exact"/>
        <w:rPr>
          <w:sz w:val="20"/>
          <w:szCs w:val="20"/>
          <w:color w:val="auto"/>
        </w:rPr>
      </w:pPr>
    </w:p>
    <w:p>
      <w:pPr>
        <w:jc w:val="both"/>
        <w:ind w:right="20"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Outstandings</w:t>
      </w:r>
      <w:r>
        <w:rPr>
          <w:rFonts w:ascii="Times New Roman" w:cs="Times New Roman" w:eastAsia="Times New Roman" w:hAnsi="Times New Roman"/>
          <w:sz w:val="14"/>
          <w:szCs w:val="14"/>
          <w:color w:val="auto"/>
        </w:rPr>
        <w:t>” shall mean, at any time, with respect to any Ancillary Lender and any Ancillary Facility then in effect, without duplication, the amount of the sum of the Dollar Equivalent (as calculated in accordance with this Agreement) of the following amounts outstanding under such Ancillary Facility: (a) in the case of an Ancillary Facility constituting an overdraft facility or on demand short term loan facility, the principal amount owing thereunder, (b) the aggregate stated amount available to be drawn under each guaranty, bond and letter of credit provided or issued under such Ancillary Facility, (c) in the case of an Ancillary Facility constituting a derivatives facility, all net obligations owing to such Ancillary Lender under such Ancillary Facility and (d) the amount fairly representing the aggregate exposure (excluding interest and similar charges) of such Ancillary Lender under each other type of accommodation provided under such Ancillary Facility, in each case, (i) net of any cash cover for such Ancillary Facility and net of any credit balance on any account of any Ancillary Borrower under such Ancillary Facility with the applicable Ancillary Lender to the extent that such credit balance is freely available to be set-off by such Ancillary Lender against liabilities owing by such Ancillary Borrower under such Ancillary Facility and (ii) as determined by such Ancillary Lender, acting reasonably and in good faith, in accordance with the applicable Ancillary Document, or (if not provided for in the applicable Ancillary Document) after consultation with the applicable Ancillary Borrower, in accordance with its normal banking practice and in accordance with the applicable Ancillary Document.</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Anti-Corruption Laws</w:t>
      </w:r>
      <w:r>
        <w:rPr>
          <w:rFonts w:ascii="Times New Roman" w:cs="Times New Roman" w:eastAsia="Times New Roman" w:hAnsi="Times New Roman"/>
          <w:sz w:val="14"/>
          <w:szCs w:val="14"/>
          <w:color w:val="auto"/>
        </w:rPr>
        <w:t>” shall mean the FCPA, the UK Bribery Act 2010 and other applicable similar anti-corruption laws in any jurisdiction of the Parent and its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subsidiaries.</w:t>
      </w:r>
    </w:p>
    <w:p>
      <w:pPr>
        <w:spacing w:after="0" w:line="149"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Anti-Money Laundering Laws</w:t>
      </w:r>
      <w:r>
        <w:rPr>
          <w:rFonts w:ascii="Times New Roman" w:cs="Times New Roman" w:eastAsia="Times New Roman" w:hAnsi="Times New Roman"/>
          <w:sz w:val="14"/>
          <w:szCs w:val="14"/>
          <w:color w:val="auto"/>
        </w:rPr>
        <w:t>” shall mean any and all laws, statutes, regulations or obligatory government orders, decrees, ordinances or rules in any jurisdiction of the Parent or any of its subsidiaries applicable to a Loan Party, its Subsidiaries or Affiliates related to terrorism financing or</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69" w:name="page470"/>
    <w:bookmarkEnd w:id="469"/>
    <w:p>
      <w:pPr>
        <w:spacing w:after="0" w:line="34"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4"/>
          <w:szCs w:val="14"/>
          <w:color w:val="auto"/>
        </w:rPr>
        <w:t>money laundering, including any applicable provision of the USA PATRIOT Act and The Currency and Foreign Transactions Reporting Act (also known as the “Bank Secrecy Act,” 31 U.S.C. §§ 5311-5330 and 12 U.S.C. §§ 1818(s), 1820(b) and 1951-1959).</w:t>
      </w:r>
    </w:p>
    <w:p>
      <w:pPr>
        <w:spacing w:after="0" w:line="105"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Commitment Fee</w:t>
      </w:r>
      <w:r>
        <w:rPr>
          <w:rFonts w:ascii="Times New Roman" w:cs="Times New Roman" w:eastAsia="Times New Roman" w:hAnsi="Times New Roman"/>
          <w:sz w:val="14"/>
          <w:szCs w:val="14"/>
          <w:color w:val="auto"/>
        </w:rPr>
        <w:t>” shall mean, for any day, (a) with respect to any Initial Revolving Commitments, (x) from the Closing Date until the first Business Day that immediately follows the date on which a certificate is delivered pursuant to Section 5.04(c) in respect of the first full fiscal quarter ending after the Closing Date, 0.25% per annum and (y) thereafter, the applicable percentage per annum set forth below, as determined by reference to the First Lien Secured Net Leverage Ratio, as set forth in the then most recent certificate delivered to the Administrative Agent pursuant to Section 5.04(c); or (b) with respect to any Other Revolving Commitments, the “Applicable Commitment Fee” set forth in the applicable Incremental Assumption Agreement, Extension Amendment or Refinancing Amendment (as applicable) relating thereto.</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8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First Lien Secured Net Leverage Ratio</w:t>
            </w:r>
          </w:p>
        </w:tc>
        <w:tc>
          <w:tcPr>
            <w:tcW w:w="3300" w:type="dxa"/>
            <w:vAlign w:val="bottom"/>
          </w:tcPr>
          <w:p>
            <w:pPr>
              <w:jc w:val="right"/>
              <w:ind w:right="1349"/>
              <w:spacing w:after="0"/>
              <w:rPr>
                <w:sz w:val="20"/>
                <w:szCs w:val="20"/>
                <w:color w:val="auto"/>
              </w:rPr>
            </w:pPr>
            <w:r>
              <w:rPr>
                <w:rFonts w:ascii="Times New Roman" w:cs="Times New Roman" w:eastAsia="Times New Roman" w:hAnsi="Times New Roman"/>
                <w:sz w:val="14"/>
                <w:szCs w:val="14"/>
                <w:b w:val="1"/>
                <w:bCs w:val="1"/>
                <w:color w:val="auto"/>
              </w:rPr>
              <w:t>Commitment Fee</w:t>
            </w:r>
          </w:p>
        </w:tc>
      </w:tr>
      <w:tr>
        <w:trPr>
          <w:trHeight w:val="20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3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&gt; 3.75:1.00</w:t>
            </w:r>
          </w:p>
        </w:tc>
        <w:tc>
          <w:tcPr>
            <w:tcW w:w="3300" w:type="dxa"/>
            <w:vAlign w:val="bottom"/>
            <w:shd w:val="clear" w:color="auto" w:fill="CCEEFF"/>
          </w:tcPr>
          <w:p>
            <w:pPr>
              <w:jc w:val="right"/>
              <w:ind w:right="2009"/>
              <w:spacing w:after="0"/>
              <w:rPr>
                <w:sz w:val="20"/>
                <w:szCs w:val="20"/>
                <w:color w:val="auto"/>
              </w:rPr>
            </w:pPr>
            <w:r>
              <w:rPr>
                <w:rFonts w:ascii="Times New Roman" w:cs="Times New Roman" w:eastAsia="Times New Roman" w:hAnsi="Times New Roman"/>
                <w:sz w:val="14"/>
                <w:szCs w:val="14"/>
                <w:color w:val="auto"/>
              </w:rPr>
              <w:t>0.30%</w:t>
            </w:r>
          </w:p>
        </w:tc>
      </w:tr>
      <w:tr>
        <w:trPr>
          <w:trHeight w:val="202"/>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38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 3.75:1.00 and &gt; 3.00:1.00</w:t>
            </w:r>
          </w:p>
        </w:tc>
        <w:tc>
          <w:tcPr>
            <w:tcW w:w="3300" w:type="dxa"/>
            <w:vAlign w:val="bottom"/>
          </w:tcPr>
          <w:p>
            <w:pPr>
              <w:jc w:val="right"/>
              <w:ind w:right="2009"/>
              <w:spacing w:after="0"/>
              <w:rPr>
                <w:sz w:val="20"/>
                <w:szCs w:val="20"/>
                <w:color w:val="auto"/>
              </w:rPr>
            </w:pPr>
            <w:r>
              <w:rPr>
                <w:rFonts w:ascii="Times New Roman" w:cs="Times New Roman" w:eastAsia="Times New Roman" w:hAnsi="Times New Roman"/>
                <w:sz w:val="14"/>
                <w:szCs w:val="14"/>
                <w:color w:val="auto"/>
              </w:rPr>
              <w:t>0.25%</w:t>
            </w:r>
          </w:p>
        </w:tc>
      </w:tr>
      <w:tr>
        <w:trPr>
          <w:trHeight w:val="21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3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3.00:1.00 and &gt; 2.25:1.00</w:t>
            </w:r>
          </w:p>
        </w:tc>
        <w:tc>
          <w:tcPr>
            <w:tcW w:w="3300" w:type="dxa"/>
            <w:vAlign w:val="bottom"/>
            <w:shd w:val="clear" w:color="auto" w:fill="CCEEFF"/>
          </w:tcPr>
          <w:p>
            <w:pPr>
              <w:jc w:val="right"/>
              <w:ind w:right="2009"/>
              <w:spacing w:after="0"/>
              <w:rPr>
                <w:sz w:val="20"/>
                <w:szCs w:val="20"/>
                <w:color w:val="auto"/>
              </w:rPr>
            </w:pPr>
            <w:r>
              <w:rPr>
                <w:rFonts w:ascii="Times New Roman" w:cs="Times New Roman" w:eastAsia="Times New Roman" w:hAnsi="Times New Roman"/>
                <w:sz w:val="14"/>
                <w:szCs w:val="14"/>
                <w:color w:val="auto"/>
              </w:rPr>
              <w:t>0.20%</w:t>
            </w:r>
          </w:p>
        </w:tc>
      </w:tr>
      <w:tr>
        <w:trPr>
          <w:trHeight w:val="194"/>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38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 2.25:1.00</w:t>
            </w:r>
          </w:p>
        </w:tc>
        <w:tc>
          <w:tcPr>
            <w:tcW w:w="3300" w:type="dxa"/>
            <w:vAlign w:val="bottom"/>
          </w:tcPr>
          <w:p>
            <w:pPr>
              <w:jc w:val="right"/>
              <w:ind w:right="2009"/>
              <w:spacing w:after="0"/>
              <w:rPr>
                <w:sz w:val="20"/>
                <w:szCs w:val="20"/>
                <w:color w:val="auto"/>
              </w:rPr>
            </w:pPr>
            <w:r>
              <w:rPr>
                <w:rFonts w:ascii="Times New Roman" w:cs="Times New Roman" w:eastAsia="Times New Roman" w:hAnsi="Times New Roman"/>
                <w:sz w:val="14"/>
                <w:szCs w:val="14"/>
                <w:color w:val="auto"/>
              </w:rPr>
              <w:t>0.15%</w:t>
            </w:r>
          </w:p>
        </w:tc>
      </w:tr>
    </w:tbl>
    <w:p>
      <w:pPr>
        <w:spacing w:after="0" w:line="395" w:lineRule="exact"/>
        <w:rPr>
          <w:sz w:val="20"/>
          <w:szCs w:val="20"/>
          <w:color w:val="auto"/>
        </w:rPr>
      </w:pPr>
    </w:p>
    <w:p>
      <w:pPr>
        <w:ind w:right="60" w:firstLine="914"/>
        <w:spacing w:after="0" w:line="261" w:lineRule="auto"/>
        <w:rPr>
          <w:sz w:val="20"/>
          <w:szCs w:val="20"/>
          <w:color w:val="auto"/>
        </w:rPr>
      </w:pPr>
      <w:r>
        <w:rPr>
          <w:rFonts w:ascii="Times New Roman" w:cs="Times New Roman" w:eastAsia="Times New Roman" w:hAnsi="Times New Roman"/>
          <w:sz w:val="14"/>
          <w:szCs w:val="14"/>
          <w:color w:val="auto"/>
        </w:rPr>
        <w:t>In the event that any certificate delivered pursuant to Section 5.04(c) is determined to be inaccurate, and such inaccuracy, if corrected, would have led to the application of a higher Applicable Commitment Fee for any period than the Applicable Commitment Fee applied for such period, then (a) the Parent shall promptly (and in any event within five Business Days) following the determination of such inaccuracy deliver to the Administrative Agent the corrected certificate required pursuant by Section 5.04(c) for the applicable fiscal year or fiscal quarter, (b) the Applicable Commitment Fee for the applicable period shall be redetermined as if the First Lien Secured Net Leverage Ratio were determined based on the amounts set forth in such corrected certificate and (c) the Borrowers shall promptly (and in any event within 10 Business Days) following written demand of the Administrative Agent (which shall be made at the request of any Initial Revolving Lender) pay to the Administrative Agent, for the account of the Initial Revolving Lenders, the accrued additional amounts owing as a result of such increased Applicable Commitment Fee for such applicable period.</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Date</w:t>
      </w:r>
      <w:r>
        <w:rPr>
          <w:rFonts w:ascii="Times New Roman" w:cs="Times New Roman" w:eastAsia="Times New Roman" w:hAnsi="Times New Roman"/>
          <w:sz w:val="14"/>
          <w:szCs w:val="14"/>
          <w:color w:val="auto"/>
        </w:rPr>
        <w:t>” shall have the meaning assigned to such term in Section 9.08(f).</w:t>
      </w:r>
    </w:p>
    <w:p>
      <w:pPr>
        <w:spacing w:after="0" w:line="163" w:lineRule="exact"/>
        <w:rPr>
          <w:sz w:val="20"/>
          <w:szCs w:val="20"/>
          <w:color w:val="auto"/>
        </w:rPr>
      </w:pPr>
    </w:p>
    <w:p>
      <w:pPr>
        <w:jc w:val="both"/>
        <w:ind w:right="40" w:firstLine="914"/>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Margin</w:t>
      </w:r>
      <w:r>
        <w:rPr>
          <w:rFonts w:ascii="Times New Roman" w:cs="Times New Roman" w:eastAsia="Times New Roman" w:hAnsi="Times New Roman"/>
          <w:sz w:val="14"/>
          <w:szCs w:val="14"/>
          <w:color w:val="auto"/>
        </w:rPr>
        <w:t>” shall mean a percentage per annum equal to, (a) with respect to any Initial Term B Loan, (x) 3.00% per annum in the case of any Term SOFR Loan and (y) 2.00% per annum in the case of any ABR Loan, (b) with respect to any Initial Term A Loan, (i) from the Closing Date until the first Business Day that immediately follows the date on which a certificate is delivered pursuant to Section 5.04(c) in respect of the first full fiscal quarter ending after the Closing Date, (x) 1.75% per annum in the case of any Term SOFR Loan and (y) 0.75% per annum in the case of any ABR Loan; and (ii) thereafter, the applicable percentage per annum set forth below, as determined by reference to the First Lien Secured Net Leverage Ratio, as set forth in the then most recent certificate delivered to the Administrative Agent pursuant to Section 5.04(c), (c) with respect to any Initial Revolving Loan, (i) from the Closing Date until the first Business Day that immediately follows the date on which a certificate is delivered pursuant to Section 5.04(c) in respect of the first full fiscal quarter ending after the Closing Date, (x) 1.75% per annum in the case of any Term SOFR Loan, (y) 0.75% per annum in the case of any ABR Loan and (z) 1.75% per annum in the case of any Eurocurrency Rate Loan; and (ii) thereafter, the</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470" w:name="page471"/>
    <w:bookmarkEnd w:id="470"/>
    <w:p>
      <w:pPr>
        <w:spacing w:after="0" w:line="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applicable percentage per annum set forth below, as determined by reference to the First Lien Secured Net Leverage Ratio, as set forth in the then most recent certificate delivered to the Administrative Agent pursuant to Section 5.04(c), and (d) with respect to any Other Term Loan or Other Revolving Loan, the “Applicable Margin” set forth in the Incremental Assumption Agreement, Extension Amendment or Refinancing Amendment (as applicable) relating thereto.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First Lien Secured Net Leverage Ratio</w:t>
            </w:r>
          </w:p>
        </w:tc>
        <w:tc>
          <w:tcPr>
            <w:tcW w:w="24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5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ABR Loans</w:t>
            </w:r>
          </w:p>
        </w:tc>
        <w:tc>
          <w:tcPr>
            <w:tcW w:w="2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Eurocurrency Rate Loans</w:t>
            </w:r>
          </w:p>
        </w:tc>
      </w:tr>
      <w:tr>
        <w:trPr>
          <w:trHeight w:val="20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&gt; 3.75:1.00</w:t>
            </w:r>
          </w:p>
        </w:tc>
        <w:tc>
          <w:tcPr>
            <w:tcW w:w="24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2.00%</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1.00%</w:t>
            </w:r>
          </w:p>
        </w:tc>
        <w:tc>
          <w:tcPr>
            <w:tcW w:w="2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2.00%</w:t>
            </w:r>
          </w:p>
        </w:tc>
      </w:tr>
      <w:tr>
        <w:trPr>
          <w:trHeight w:val="202"/>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3.75:1.00 and &gt; 3.00:1.00</w:t>
            </w:r>
          </w:p>
        </w:tc>
        <w:tc>
          <w:tcPr>
            <w:tcW w:w="24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1.75%</w:t>
            </w:r>
          </w:p>
        </w:tc>
        <w:tc>
          <w:tcPr>
            <w:tcW w:w="15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0.75%</w:t>
            </w:r>
          </w:p>
        </w:tc>
        <w:tc>
          <w:tcPr>
            <w:tcW w:w="2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1.75%</w:t>
            </w:r>
          </w:p>
        </w:tc>
      </w:tr>
      <w:tr>
        <w:trPr>
          <w:trHeight w:val="217"/>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3.00:1.00 and &gt; 2.25:1.00</w:t>
            </w:r>
          </w:p>
        </w:tc>
        <w:tc>
          <w:tcPr>
            <w:tcW w:w="24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1.50%</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0.50%</w:t>
            </w:r>
          </w:p>
        </w:tc>
        <w:tc>
          <w:tcPr>
            <w:tcW w:w="2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1.50%</w:t>
            </w:r>
          </w:p>
        </w:tc>
      </w:tr>
      <w:tr>
        <w:trPr>
          <w:trHeight w:val="194"/>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2.25:1.00</w:t>
            </w:r>
          </w:p>
        </w:tc>
        <w:tc>
          <w:tcPr>
            <w:tcW w:w="24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1.25%</w:t>
            </w:r>
          </w:p>
        </w:tc>
        <w:tc>
          <w:tcPr>
            <w:tcW w:w="15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0.25%</w:t>
            </w:r>
          </w:p>
        </w:tc>
        <w:tc>
          <w:tcPr>
            <w:tcW w:w="2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1.25%</w:t>
            </w:r>
          </w:p>
        </w:tc>
      </w:tr>
    </w:tbl>
    <w:p>
      <w:pPr>
        <w:spacing w:after="0" w:line="200" w:lineRule="exact"/>
        <w:rPr>
          <w:sz w:val="20"/>
          <w:szCs w:val="20"/>
          <w:color w:val="auto"/>
        </w:rPr>
      </w:pPr>
    </w:p>
    <w:p>
      <w:pPr>
        <w:spacing w:after="0" w:line="329" w:lineRule="exact"/>
        <w:rPr>
          <w:sz w:val="20"/>
          <w:szCs w:val="20"/>
          <w:color w:val="auto"/>
        </w:rPr>
      </w:pPr>
    </w:p>
    <w:p>
      <w:pPr>
        <w:ind w:firstLine="914"/>
        <w:spacing w:after="0" w:line="261" w:lineRule="auto"/>
        <w:rPr>
          <w:sz w:val="20"/>
          <w:szCs w:val="20"/>
          <w:color w:val="auto"/>
        </w:rPr>
      </w:pPr>
      <w:r>
        <w:rPr>
          <w:rFonts w:ascii="Times New Roman" w:cs="Times New Roman" w:eastAsia="Times New Roman" w:hAnsi="Times New Roman"/>
          <w:sz w:val="14"/>
          <w:szCs w:val="14"/>
          <w:color w:val="auto"/>
        </w:rPr>
        <w:t>In the event that any certificate delivered pursuant to Section 5.04(c) is determined to be inaccurate, and such inaccuracy, if corrected, would have led to the application of a higher Applicable Margin for any period than the Applicable Margin applied for such period, then (a) the Parent shall promptly (and in any event within five Business Days) following the determination of such inaccuracy deliver to the Administrative Agent the corrected certificate required pursuant to Section 5.04(c) for the applicable fiscal year or fiscal quarter, (b) the Applicable Margin for the applicable period shall be redetermined as if the First Lien Secured Net Leverage Ratio were determined based on the amounts set forth in such corrected certificate and (c) the Borrowers shall promptly (and in any event within 10 Business Days) following written demand of the Administrative Agent (which shall be made at the request of any Initial Term A Lender or Initial Revolving Lender) pay to the Administrative Agent, for the ratable account of each Initial Term A Lender and Initial Revolving Lender, the accrued additional amounts owing as a result of such increased Applicable Margin for such applicable period.</w:t>
      </w:r>
    </w:p>
    <w:p>
      <w:pPr>
        <w:spacing w:after="0" w:line="126"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Percentage</w:t>
      </w:r>
      <w:r>
        <w:rPr>
          <w:rFonts w:ascii="Times New Roman" w:cs="Times New Roman" w:eastAsia="Times New Roman" w:hAnsi="Times New Roman"/>
          <w:sz w:val="14"/>
          <w:szCs w:val="14"/>
          <w:color w:val="auto"/>
        </w:rPr>
        <w:t xml:space="preserve">” shall mean, with respect to any Lender, the percentage of the total Commitments represented by such Lender’s Commitment;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Section 2.24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Transactions</w:t>
      </w:r>
      <w:r>
        <w:rPr>
          <w:rFonts w:ascii="Times New Roman" w:cs="Times New Roman" w:eastAsia="Times New Roman" w:hAnsi="Times New Roman"/>
          <w:sz w:val="14"/>
          <w:szCs w:val="14"/>
          <w:color w:val="auto"/>
        </w:rPr>
        <w:t>” shall have the meaning assigned to such term in Section 9.20.</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Applicant Borrower</w:t>
      </w:r>
      <w:r>
        <w:rPr>
          <w:rFonts w:ascii="Times New Roman" w:cs="Times New Roman" w:eastAsia="Times New Roman" w:hAnsi="Times New Roman"/>
          <w:sz w:val="14"/>
          <w:szCs w:val="14"/>
          <w:color w:val="auto"/>
        </w:rPr>
        <w:t>” shall have the meaning assigned to such term in Section 2.26(a).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Approved Fund</w:t>
      </w:r>
      <w:r>
        <w:rPr>
          <w:rFonts w:ascii="Times New Roman" w:cs="Times New Roman" w:eastAsia="Times New Roman" w:hAnsi="Times New Roman"/>
          <w:sz w:val="14"/>
          <w:szCs w:val="14"/>
          <w:color w:val="auto"/>
        </w:rPr>
        <w:t>” shall have the meaning assigned to such term in Section 9.04(b)(ii).</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Arrangers</w:t>
      </w:r>
      <w:r>
        <w:rPr>
          <w:rFonts w:ascii="Times New Roman" w:cs="Times New Roman" w:eastAsia="Times New Roman" w:hAnsi="Times New Roman"/>
          <w:sz w:val="14"/>
          <w:szCs w:val="14"/>
          <w:color w:val="auto"/>
        </w:rPr>
        <w:t>” shall mean, collectively, MSSF, Bank of America Europe Designated Activity Company, Goldman Sachs Bank USA, Danske Bank A/S, DNB Carnegie, Inc., Nordea Danmark, Filial af Nordea Bank Abp, Finland, PNC Capital Markets LLC, Truist Securities, Inc., JPMorgan Chase Bank, N.A., London Branch and Jyske Bank A/S in their respective capacities as lead arrangers and joint bookrunners.</w:t>
      </w:r>
    </w:p>
    <w:p>
      <w:pPr>
        <w:spacing w:after="0" w:line="117"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Asset Sale</w:t>
      </w:r>
      <w:r>
        <w:rPr>
          <w:rFonts w:ascii="Times New Roman" w:cs="Times New Roman" w:eastAsia="Times New Roman" w:hAnsi="Times New Roman"/>
          <w:sz w:val="14"/>
          <w:szCs w:val="14"/>
          <w:color w:val="auto"/>
        </w:rPr>
        <w:t>” shall mean (a) any Disposition (including any sale and lease-back of assets and any mortgage or lease of Real Property) to any person of any asset or assets of the Parent or any</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1" w:name="page472"/>
    <w:bookmarkEnd w:id="471"/>
    <w:p>
      <w:pPr>
        <w:spacing w:after="0" w:line="3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Subsidiary and (b) any sale of any Equity Interests by any Subsidiary to a person other than the Parent or a Subsidiary, in each case, in respect of which either the Fair Market Value of such asset exceeds $25,000,000.</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Assignee</w:t>
      </w:r>
      <w:r>
        <w:rPr>
          <w:rFonts w:ascii="Times New Roman" w:cs="Times New Roman" w:eastAsia="Times New Roman" w:hAnsi="Times New Roman"/>
          <w:sz w:val="14"/>
          <w:szCs w:val="14"/>
          <w:color w:val="auto"/>
        </w:rPr>
        <w:t>” shall have the meaning assigned to such term in Section 9.04(b)(i).</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Assignment and Acceptance</w:t>
      </w:r>
      <w:r>
        <w:rPr>
          <w:rFonts w:ascii="Times New Roman" w:cs="Times New Roman" w:eastAsia="Times New Roman" w:hAnsi="Times New Roman"/>
          <w:sz w:val="14"/>
          <w:szCs w:val="14"/>
          <w:color w:val="auto"/>
        </w:rPr>
        <w:t xml:space="preserve"> ” shall mean an assignment and acceptance entered into by a Lender and an Assignee, and accepted by the Administrative Agent and the Parent (if required by Section 9.04), in the form of </w:t>
      </w:r>
      <w:r>
        <w:rPr>
          <w:rFonts w:ascii="Times New Roman" w:cs="Times New Roman" w:eastAsia="Times New Roman" w:hAnsi="Times New Roman"/>
          <w:sz w:val="14"/>
          <w:szCs w:val="14"/>
          <w:u w:val="single" w:color="auto"/>
          <w:color w:val="auto"/>
        </w:rPr>
        <w:t>Exhibit A-2</w:t>
      </w:r>
      <w:r>
        <w:rPr>
          <w:rFonts w:ascii="Times New Roman" w:cs="Times New Roman" w:eastAsia="Times New Roman" w:hAnsi="Times New Roman"/>
          <w:sz w:val="14"/>
          <w:szCs w:val="14"/>
          <w:color w:val="auto"/>
        </w:rPr>
        <w:t xml:space="preserve"> or such other form (including electronic documentation generated by use of an electronic platform) as shall be approved by the Administrative Agent and reasonably satisfactory to the Parent.</w:t>
      </w:r>
    </w:p>
    <w:p>
      <w:pPr>
        <w:spacing w:after="0" w:line="117"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Attributable Receivables Indebtedness</w:t>
      </w:r>
      <w:r>
        <w:rPr>
          <w:rFonts w:ascii="Times New Roman" w:cs="Times New Roman" w:eastAsia="Times New Roman" w:hAnsi="Times New Roman"/>
          <w:sz w:val="14"/>
          <w:szCs w:val="14"/>
          <w:color w:val="auto"/>
        </w:rPr>
        <w:t>” shall mean the principal amount of Indebtedness (other than any Indebtedness subordinated in right of payment owing by a Receivables Entity to a Receivables Seller or by a Receivables Seller to another Receivables Seller in connection with the transfer, sale and/or pledge of Permitted Receivables Facility Assets) which (a) if a Qualified Receivables Facility is structured as a secured lending agreement or other similar agreement, constitutes the principal amount of such Indebtedness or (b)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Auction Manager</w:t>
      </w:r>
      <w:r>
        <w:rPr>
          <w:rFonts w:ascii="Times New Roman" w:cs="Times New Roman" w:eastAsia="Times New Roman" w:hAnsi="Times New Roman"/>
          <w:sz w:val="14"/>
          <w:szCs w:val="14"/>
          <w:color w:val="auto"/>
        </w:rPr>
        <w:t>” shall have the meaning assigned to such term in Section 2.25(a).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Auction Procedures</w:t>
      </w:r>
      <w:r>
        <w:rPr>
          <w:rFonts w:ascii="Times New Roman" w:cs="Times New Roman" w:eastAsia="Times New Roman" w:hAnsi="Times New Roman"/>
          <w:sz w:val="14"/>
          <w:szCs w:val="14"/>
          <w:color w:val="auto"/>
        </w:rPr>
        <w:t xml:space="preserve">” shall mean auction procedures with respect to Purchase Offers set forth in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xml:space="preserve"> hereto.</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Auto-Extension Letter of Credit</w:t>
      </w:r>
      <w:r>
        <w:rPr>
          <w:rFonts w:ascii="Times New Roman" w:cs="Times New Roman" w:eastAsia="Times New Roman" w:hAnsi="Times New Roman"/>
          <w:sz w:val="14"/>
          <w:szCs w:val="14"/>
          <w:color w:val="auto"/>
        </w:rPr>
        <w:t>” shall have the meaning assigned to such term in Section 2.05(b)(iii).</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Availability Period</w:t>
      </w:r>
      <w:r>
        <w:rPr>
          <w:rFonts w:ascii="Times New Roman" w:cs="Times New Roman" w:eastAsia="Times New Roman" w:hAnsi="Times New Roman"/>
          <w:sz w:val="14"/>
          <w:szCs w:val="14"/>
          <w:color w:val="auto"/>
        </w:rPr>
        <w:t>” shall mean, with respect to any Class of Revolving Commitments, the period from and including the Closing Date (or, if later, the effective date for such Class of Revolving Commitments) to but excluding the earlier of the Maturity Date for such Class and, in the case of each of the Revolving Loans, Revolving Borrowings and Letters of Credit, the date of termination of the Revolving Commitments of such Class.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Available Amount</w:t>
      </w:r>
      <w:r>
        <w:rPr>
          <w:rFonts w:ascii="Times New Roman" w:cs="Times New Roman" w:eastAsia="Times New Roman" w:hAnsi="Times New Roman"/>
          <w:sz w:val="14"/>
          <w:szCs w:val="14"/>
          <w:color w:val="auto"/>
        </w:rPr>
        <w:t xml:space="preserve"> ” shall mean, as at any time of determination, an amount, not less than zero in the aggregate, determined on a cumulative basis, equal to, without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duplication:</w:t>
      </w:r>
    </w:p>
    <w:p>
      <w:pPr>
        <w:spacing w:after="0" w:line="137" w:lineRule="exact"/>
        <w:rPr>
          <w:sz w:val="20"/>
          <w:szCs w:val="20"/>
          <w:color w:val="auto"/>
        </w:rPr>
      </w:pPr>
    </w:p>
    <w:p>
      <w:pPr>
        <w:jc w:val="both"/>
        <w:ind w:firstLine="920"/>
        <w:spacing w:after="0" w:line="234" w:lineRule="auto"/>
        <w:tabs>
          <w:tab w:leader="none" w:pos="137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(x) $400,000,000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(y) 50% of the Consolidated Net Income of the Parent for the period (taken as one accounting period) from the first day of the fiscal quarter in which the Closing Date occurred to the end of the Parent’s most recently ended fiscal quarter for which financial statements are available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calculated pursuant to this clause (y) shall in no event be less than $0 for such accounting period),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100% of the aggregate net proceeds, including cash and the Fair Market Value of property other than cash, received by the Parent after the Closing Date from the issue or sale of Equity Interests of the Parent (excluding Disqualified Stock), including Equity Interests issued upon exercise of warrants or options (other than an issuance or sale to a Subsidiary), </w:t>
      </w:r>
      <w:r>
        <w:rPr>
          <w:rFonts w:ascii="Times New Roman" w:cs="Times New Roman" w:eastAsia="Times New Roman" w:hAnsi="Times New Roman"/>
          <w:sz w:val="14"/>
          <w:szCs w:val="14"/>
          <w:u w:val="single" w:color="auto"/>
          <w:color w:val="auto"/>
        </w:rPr>
        <w:t>plus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2" w:name="page473"/>
    <w:bookmarkEnd w:id="472"/>
    <w:p>
      <w:pPr>
        <w:spacing w:after="0" w:line="24" w:lineRule="exact"/>
        <w:rPr>
          <w:sz w:val="20"/>
          <w:szCs w:val="20"/>
          <w:color w:val="auto"/>
        </w:rPr>
      </w:pPr>
    </w:p>
    <w:p>
      <w:pPr>
        <w:ind w:right="20" w:firstLine="920"/>
        <w:spacing w:after="0" w:line="248" w:lineRule="auto"/>
        <w:tabs>
          <w:tab w:leader="none" w:pos="137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100% of the aggregate amount of contributions to the capital of the Parent received in cash and the Fair Market Value of property other than cash received by the Parent after the Closing Date (other than Disqualified Stock), </w:t>
      </w:r>
      <w:r>
        <w:rPr>
          <w:rFonts w:ascii="Times New Roman" w:cs="Times New Roman" w:eastAsia="Times New Roman" w:hAnsi="Times New Roman"/>
          <w:sz w:val="14"/>
          <w:szCs w:val="14"/>
          <w:u w:val="single" w:color="auto"/>
          <w:color w:val="auto"/>
        </w:rPr>
        <w:t>plus</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100% of the principal amount of any Indebtedness, or the liquidation preference or maximum fixed repurchase price, as the case may be, of any Disqualified Stock of the Parent or any Subsidiary issued after the Closing Date (other than Indebtedness or Disqualified Stock issued to a Subsidiary) which has been converted into or exchanged for Equity Interests in the Parent (other than Disqualified Stock),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aggregate amount received by the Parent or any Subsidiary in cash and the Fair Market Value of property other than cash received by the Parent or any Subsidiary (and 100% of the amount of the reduction in the amount of any Guarantee by the Parent or any Subsidiary to the extent the provision of such Guarantee constituted an Investment or a Restricted Payment) from:</w:t>
      </w:r>
    </w:p>
    <w:p>
      <w:pPr>
        <w:spacing w:after="0" w:line="112" w:lineRule="exact"/>
        <w:rPr>
          <w:sz w:val="20"/>
          <w:szCs w:val="20"/>
          <w:color w:val="auto"/>
        </w:rPr>
      </w:pPr>
    </w:p>
    <w:p>
      <w:pPr>
        <w:jc w:val="both"/>
        <w:ind w:left="460" w:right="20" w:firstLine="460"/>
        <w:spacing w:after="0" w:line="233" w:lineRule="auto"/>
        <w:tabs>
          <w:tab w:leader="none" w:pos="1374"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other disposition (other than to the Parent or a Subsidiary) of Investments made in reliance on Section 6.04(j)(Y) by the Parent and the Subsidiaries and from repurchases and redemptions of such Investments made in reliance on Section 6.04(j)(Y) from the Parent and the Subsidiaries by any person (other than the Parent or any Subsidiary) and from repayments of loans or advances, and releases of guarantees, which constituted Investments made in reliance on Section 6.04(j)(Y),</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(other than to the Parent or a Subsidiary) of the Equity Interests of an Unrestricted Subsidiary, or</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distribution or dividend from an Unrestricted Subsidiary,</w:t>
      </w:r>
    </w:p>
    <w:p>
      <w:pPr>
        <w:spacing w:after="0" w:line="144"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14"/>
          <w:szCs w:val="14"/>
          <w:color w:val="auto"/>
        </w:rPr>
        <w:t xml:space="preserve">in the case of each of subclauses (i), (ii), and (iii), other than to the extent that the ability of the Parent or its Subsidiaries to make Restricted Payments permitted pursuant to Section 6.06 or Investments permitted pursuant to Section 6.04 would otherwise be increased by the receipt of such amount of cash or property or the release of such Guarantee, </w:t>
      </w:r>
      <w:r>
        <w:rPr>
          <w:rFonts w:ascii="Times New Roman" w:cs="Times New Roman" w:eastAsia="Times New Roman" w:hAnsi="Times New Roman"/>
          <w:sz w:val="14"/>
          <w:szCs w:val="14"/>
          <w:u w:val="single" w:color="auto"/>
          <w:color w:val="auto"/>
        </w:rPr>
        <w:t>plus</w:t>
      </w:r>
    </w:p>
    <w:p>
      <w:pPr>
        <w:spacing w:after="0" w:line="3" w:lineRule="exact"/>
        <w:rPr>
          <w:sz w:val="20"/>
          <w:szCs w:val="20"/>
          <w:color w:val="auto"/>
        </w:rPr>
      </w:pPr>
    </w:p>
    <w:p>
      <w:pPr>
        <w:jc w:val="both"/>
        <w:ind w:firstLine="920"/>
        <w:spacing w:after="0" w:line="225" w:lineRule="auto"/>
        <w:tabs>
          <w:tab w:leader="none" w:pos="137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any Unrestricted Subsidiary has been redesignated as a Subsidiary or has been merged, consolidated or amalgamated with or into, or transfers or conveys its assets to, or is liquidated into the Parent or a Subsidiary, the Fair Market Value of the Investment of the Parent or the Subsidiaries in such Unrestricted Subsidiary at the time of such redesignation, merger, consolidation or amalgamation (or of the assets transferred or conveyed, as applicable) (which, if the Fair Market Value of such Investment or assets shall exceed $75,000,000, shall be determined by the Board of Directors of the Parent) other than in each case to the extent that the ability of the Parent and the Subsidiaries to make Restricted Payments pursuant to Section 6.06 or Investments pursuant to Section 6.04 would otherwise be increased by such redesignation, </w:t>
      </w:r>
      <w:r>
        <w:rPr>
          <w:rFonts w:ascii="Times New Roman" w:cs="Times New Roman" w:eastAsia="Times New Roman" w:hAnsi="Times New Roman"/>
          <w:sz w:val="14"/>
          <w:szCs w:val="14"/>
          <w:u w:val="single" w:color="auto"/>
          <w:color w:val="auto"/>
        </w:rPr>
        <w:t>plus</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Declined Prepayment Amount, </w:t>
      </w:r>
      <w:r>
        <w:rPr>
          <w:rFonts w:ascii="Times New Roman" w:cs="Times New Roman" w:eastAsia="Times New Roman" w:hAnsi="Times New Roman"/>
          <w:sz w:val="14"/>
          <w:szCs w:val="14"/>
          <w:u w:val="single" w:color="auto"/>
          <w:color w:val="auto"/>
        </w:rPr>
        <w:t>minus</w:t>
      </w:r>
    </w:p>
    <w:p>
      <w:pPr>
        <w:spacing w:after="0" w:line="134" w:lineRule="exact"/>
        <w:rPr>
          <w:rFonts w:ascii="Times New Roman" w:cs="Times New Roman" w:eastAsia="Times New Roman" w:hAnsi="Times New Roman"/>
          <w:sz w:val="14"/>
          <w:szCs w:val="14"/>
          <w:color w:val="auto"/>
        </w:rPr>
      </w:pPr>
    </w:p>
    <w:p>
      <w:pPr>
        <w:ind w:right="40" w:firstLine="920"/>
        <w:spacing w:after="0" w:line="248" w:lineRule="auto"/>
        <w:tabs>
          <w:tab w:leader="none" w:pos="1361"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cumulative amount of Investments made with the Available Amount from and after the Closing Date and on or prior to such time (net of any return on such Investments not otherwise included in the Available Amount), </w:t>
      </w:r>
      <w:r>
        <w:rPr>
          <w:rFonts w:ascii="Times New Roman" w:cs="Times New Roman" w:eastAsia="Times New Roman" w:hAnsi="Times New Roman"/>
          <w:sz w:val="14"/>
          <w:szCs w:val="14"/>
          <w:u w:val="single" w:color="auto"/>
          <w:color w:val="auto"/>
        </w:rPr>
        <w:t>minus</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amount of Restricted Payments made with the Available Amount from and after the Closing Date and on or prior to such time.</w:t>
      </w:r>
    </w:p>
    <w:p>
      <w:pPr>
        <w:spacing w:after="0" w:line="144"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Available Tenor</w:t>
      </w:r>
      <w:r>
        <w:rPr>
          <w:rFonts w:ascii="Times New Roman" w:cs="Times New Roman" w:eastAsia="Times New Roman" w:hAnsi="Times New Roman"/>
          <w:sz w:val="14"/>
          <w:szCs w:val="14"/>
          <w:color w:val="auto"/>
        </w:rPr>
        <w:t xml:space="preserve"> ” shall mean, as of any date of determination and with respect to the then-current Benchmark for any Agreed Currency, as applicable, if such Benchmark is a term rate, any tenor for such Benchmark (or component thereof) that is or may be used for determining the length of an interest period pursuant to this Agreement as of such date and not including, for the avoidance of doubt,</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3" w:name="page474"/>
    <w:bookmarkEnd w:id="473"/>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tenor for such Benchmark that is then-removed from the definition of “Interest Period” pursuant to Section 2.28(d).</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Available Unused Commitment</w:t>
      </w:r>
      <w:r>
        <w:rPr>
          <w:rFonts w:ascii="Times New Roman" w:cs="Times New Roman" w:eastAsia="Times New Roman" w:hAnsi="Times New Roman"/>
          <w:sz w:val="14"/>
          <w:szCs w:val="14"/>
          <w:color w:val="auto"/>
        </w:rPr>
        <w:t>” shall mean, with respect to a Revolving Lender under any Class of Revolving Commitments at any time, an amount equal to the amount by which (a) the applicable Revolving Commitment of such Revolving Lender under such Class at such time exceeds (b) the applicable Revolving Credit Exposure of such Revolving Lender under such Class at such time.</w:t>
      </w:r>
    </w:p>
    <w:p>
      <w:pPr>
        <w:spacing w:after="0" w:line="117" w:lineRule="exact"/>
        <w:rPr>
          <w:sz w:val="20"/>
          <w:szCs w:val="20"/>
          <w:color w:val="auto"/>
        </w:rPr>
      </w:pPr>
    </w:p>
    <w:p>
      <w:pPr>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Action</w:t>
      </w:r>
      <w:r>
        <w:rPr>
          <w:rFonts w:ascii="Times New Roman" w:cs="Times New Roman" w:eastAsia="Times New Roman" w:hAnsi="Times New Roman"/>
          <w:sz w:val="14"/>
          <w:szCs w:val="14"/>
          <w:color w:val="auto"/>
        </w:rPr>
        <w:t>” shall mean the exercise of any Write-Down and Conversion Powers by the applicable Resolution Authority in respect of any liability of an Affected Financial Institution.</w:t>
      </w:r>
    </w:p>
    <w:p>
      <w:pPr>
        <w:spacing w:after="0" w:line="105" w:lineRule="exact"/>
        <w:rPr>
          <w:sz w:val="20"/>
          <w:szCs w:val="20"/>
          <w:color w:val="auto"/>
        </w:rPr>
      </w:pPr>
    </w:p>
    <w:p>
      <w:pPr>
        <w:jc w:val="both"/>
        <w:ind w:right="20"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Legislation</w:t>
      </w:r>
      <w:r>
        <w:rPr>
          <w:rFonts w:ascii="Times New Roman" w:cs="Times New Roman" w:eastAsia="Times New Roman" w:hAnsi="Times New Roman"/>
          <w:sz w:val="14"/>
          <w:szCs w:val="14"/>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(b) with respect to the United Kingdom, Part I of the United Kingdom Banking Act 2009 and any other law, regulation, or rule applicable in the United Kingdom relating to the resolution of unsound or failing banks, investment firms or other financial institutions or their affiliates (other than through liquidation, administration or other insolvency proceedings), and (c) 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Code</w:t>
      </w:r>
      <w:r>
        <w:rPr>
          <w:rFonts w:ascii="Times New Roman" w:cs="Times New Roman" w:eastAsia="Times New Roman" w:hAnsi="Times New Roman"/>
          <w:sz w:val="14"/>
          <w:szCs w:val="14"/>
          <w:color w:val="auto"/>
        </w:rPr>
        <w:t>” shall mean Title 11 of the United States Code entitled “Bankruptcy”.</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w:t>
      </w:r>
      <w:r>
        <w:rPr>
          <w:rFonts w:ascii="Times New Roman" w:cs="Times New Roman" w:eastAsia="Times New Roman" w:hAnsi="Times New Roman"/>
          <w:sz w:val="14"/>
          <w:szCs w:val="14"/>
          <w:color w:val="auto"/>
        </w:rPr>
        <w:t>” shall mean the Bankruptcy Code and all other liquidation, receivership, moratorium, conservatorship, assignment for the benefit of creditors, insolvency, examinership or similar federal, state or foreign law for the relief of debtors.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Plan</w:t>
      </w:r>
      <w:r>
        <w:rPr>
          <w:rFonts w:ascii="Times New Roman" w:cs="Times New Roman" w:eastAsia="Times New Roman" w:hAnsi="Times New Roman"/>
          <w:sz w:val="14"/>
          <w:szCs w:val="14"/>
          <w:color w:val="auto"/>
        </w:rPr>
        <w:t>” shall have the meaning assigned to such term in Section 9.04(i)(iii).</w:t>
      </w:r>
    </w:p>
    <w:p>
      <w:pPr>
        <w:spacing w:after="0" w:line="163"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w:t>
      </w:r>
      <w:r>
        <w:rPr>
          <w:rFonts w:ascii="Times New Roman" w:cs="Times New Roman" w:eastAsia="Times New Roman" w:hAnsi="Times New Roman"/>
          <w:sz w:val="14"/>
          <w:szCs w:val="14"/>
          <w:color w:val="auto"/>
        </w:rPr>
        <w:t xml:space="preserve">” shall mean, initially, with respect to any (a) Obligations, interest, fees, commissions or other amounts denominated in, or calculated with respect to, Dollars, the Term SOFR Reference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Benchmark Transition Event has occurred with respect to the Term SOFR Reference Rate or then-current Benchmark for Dollars, then “Benchmark” shall mean, with respect to such Obligations, interest, fees, commissions or other amounts, the applicable Benchmark Replacement to the extent that such Benchmark Replacement has replaced such prior benchmark rate pursuant to Section 2.28(a), (b) Obligations, interest, fees, commissions or other amounts denominated in, or calculated with respect to, Euros, EURIBOR;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Benchmark Transition Event has occurred with respect to EURIBOR, or the then-current Benchmark for Euros, then “Benchmark” shall mean, with respect to such Obligations, interest, fees, commissions or other amounts, the applicable Benchmark Replacement to the extent that such Benchmark Replacement has replaced such prior benchmark rate pursuant to Section 2.28(a) and (c) Obligations, interest, fees, commissions or other amounts denominated in, or calculated with respect to, DKK, CIBOR;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Benchmark Transition Event has occurred with respect to CIBOR, or the then-current Benchmark for DKK, then “Benchmark” shall mean, with respect to such Obligations, interest, fees, commissions or other amounts, the applicable Benchmark Replacement to the extent that such Benchmark Replacement has replaced such prior benchmark rate pursuant to Section 2.28(a).</w:t>
      </w:r>
    </w:p>
    <w:p>
      <w:pPr>
        <w:spacing w:after="0" w:line="302"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w:t>
      </w:r>
      <w:r>
        <w:rPr>
          <w:rFonts w:ascii="Times New Roman" w:cs="Times New Roman" w:eastAsia="Times New Roman" w:hAnsi="Times New Roman"/>
          <w:sz w:val="14"/>
          <w:szCs w:val="14"/>
          <w:color w:val="auto"/>
        </w:rPr>
        <w:t>” shall mean, with respect to any Benchmark Transition Event for any then-current Benchmark, the first alternative set forth in the order below that can be determined</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4" w:name="page475"/>
    <w:bookmarkEnd w:id="474"/>
    <w:p>
      <w:pPr>
        <w:spacing w:after="0" w:line="3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 xml:space="preserve">by the Administrative Agent for the applicable Benchmark Replacement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 respect to a Benchmark with respect to any Obligations, interest, fees, commissions or other amounts denominated in any Alternative Currency or calculated with respect thereto, the alternative set forth in clause (b) below:</w:t>
      </w:r>
    </w:p>
    <w:p>
      <w:pPr>
        <w:spacing w:after="0" w:line="105" w:lineRule="exact"/>
        <w:rPr>
          <w:sz w:val="20"/>
          <w:szCs w:val="20"/>
          <w:color w:val="auto"/>
        </w:rPr>
      </w:pPr>
    </w:p>
    <w:p>
      <w:pPr>
        <w:ind w:left="1120" w:hanging="200"/>
        <w:spacing w:after="0"/>
        <w:tabs>
          <w:tab w:leader="none" w:pos="112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Simple SOFR; or</w:t>
      </w:r>
    </w:p>
    <w:p>
      <w:pPr>
        <w:spacing w:after="0" w:line="162" w:lineRule="exact"/>
        <w:rPr>
          <w:rFonts w:ascii="Times New Roman" w:cs="Times New Roman" w:eastAsia="Times New Roman" w:hAnsi="Times New Roman"/>
          <w:sz w:val="14"/>
          <w:szCs w:val="14"/>
          <w:color w:val="auto"/>
        </w:rPr>
      </w:pPr>
    </w:p>
    <w:p>
      <w:pPr>
        <w:jc w:val="both"/>
        <w:ind w:firstLine="920"/>
        <w:spacing w:after="0" w:line="267" w:lineRule="auto"/>
        <w:tabs>
          <w:tab w:leader="none" w:pos="1126"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 the alternate benchmark rate that has been selected by the Administrative Agent and the Parent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Agreed Currency at such time and (ii) the related Benchmark Replacement Adjustment.</w:t>
      </w:r>
    </w:p>
    <w:p>
      <w:pPr>
        <w:spacing w:after="0" w:line="12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05" w:lineRule="exact"/>
        <w:rPr>
          <w:sz w:val="20"/>
          <w:szCs w:val="20"/>
          <w:color w:val="auto"/>
        </w:rPr>
      </w:pPr>
    </w:p>
    <w:p>
      <w:pPr>
        <w:jc w:val="both"/>
        <w:ind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Adjustment</w:t>
      </w:r>
      <w:r>
        <w:rPr>
          <w:rFonts w:ascii="Times New Roman" w:cs="Times New Roman" w:eastAsia="Times New Roman" w:hAnsi="Times New Roman"/>
          <w:sz w:val="14"/>
          <w:szCs w:val="14"/>
          <w:color w:val="auto"/>
        </w:rPr>
        <w:t>” shall mean,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Parent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26"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Date</w:t>
      </w:r>
      <w:r>
        <w:rPr>
          <w:rFonts w:ascii="Times New Roman" w:cs="Times New Roman" w:eastAsia="Times New Roman" w:hAnsi="Times New Roman"/>
          <w:sz w:val="14"/>
          <w:szCs w:val="14"/>
          <w:color w:val="auto"/>
        </w:rPr>
        <w:t>” shall mean a date and time determined by the Administrative Agent, which date shall be no later than the earliest to occur of the following events with respect to the then-current Benchmark for any Agreed Currency:</w:t>
      </w:r>
    </w:p>
    <w:p>
      <w:pPr>
        <w:spacing w:after="0" w:line="105" w:lineRule="exact"/>
        <w:rPr>
          <w:sz w:val="20"/>
          <w:szCs w:val="20"/>
          <w:color w:val="auto"/>
        </w:rPr>
      </w:pPr>
    </w:p>
    <w:p>
      <w:pPr>
        <w:jc w:val="both"/>
        <w:ind w:firstLine="920"/>
        <w:spacing w:after="0" w:line="273" w:lineRule="auto"/>
        <w:tabs>
          <w:tab w:leader="none" w:pos="1263"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40" w:lineRule="exact"/>
        <w:rPr>
          <w:rFonts w:ascii="Times New Roman" w:cs="Times New Roman" w:eastAsia="Times New Roman" w:hAnsi="Times New Roman"/>
          <w:sz w:val="14"/>
          <w:szCs w:val="14"/>
          <w:color w:val="auto"/>
        </w:rPr>
      </w:pPr>
    </w:p>
    <w:p>
      <w:pPr>
        <w:jc w:val="both"/>
        <w:ind w:firstLine="920"/>
        <w:spacing w:after="0" w:line="264" w:lineRule="auto"/>
        <w:tabs>
          <w:tab w:leader="none" w:pos="1283"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5" w:name="page476"/>
    <w:bookmarkEnd w:id="475"/>
    <w:p>
      <w:pPr>
        <w:spacing w:after="0" w:line="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17"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Transition Event</w:t>
      </w:r>
      <w:r>
        <w:rPr>
          <w:rFonts w:ascii="Times New Roman" w:cs="Times New Roman" w:eastAsia="Times New Roman" w:hAnsi="Times New Roman"/>
          <w:sz w:val="14"/>
          <w:szCs w:val="14"/>
          <w:color w:val="auto"/>
        </w:rPr>
        <w:t>” shall mean, with respect to the then-current Benchmark for any Agreed Currency, the occurrence of one or more of the following events with respect to such Benchmark:</w:t>
      </w:r>
    </w:p>
    <w:p>
      <w:pPr>
        <w:spacing w:after="0" w:line="105" w:lineRule="exact"/>
        <w:rPr>
          <w:sz w:val="20"/>
          <w:szCs w:val="20"/>
          <w:color w:val="auto"/>
        </w:rPr>
      </w:pPr>
    </w:p>
    <w:p>
      <w:pPr>
        <w:jc w:val="both"/>
        <w:ind w:right="20" w:firstLine="920"/>
        <w:spacing w:after="0" w:line="267" w:lineRule="auto"/>
        <w:tabs>
          <w:tab w:leader="none" w:pos="1279"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45" w:lineRule="exact"/>
        <w:rPr>
          <w:rFonts w:ascii="Times New Roman" w:cs="Times New Roman" w:eastAsia="Times New Roman" w:hAnsi="Times New Roman"/>
          <w:sz w:val="14"/>
          <w:szCs w:val="14"/>
          <w:color w:val="auto"/>
        </w:rPr>
      </w:pPr>
    </w:p>
    <w:p>
      <w:pPr>
        <w:jc w:val="both"/>
        <w:ind w:firstLine="920"/>
        <w:spacing w:after="0" w:line="261" w:lineRule="auto"/>
        <w:tabs>
          <w:tab w:leader="none" w:pos="1270"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49" w:lineRule="exact"/>
        <w:rPr>
          <w:rFonts w:ascii="Times New Roman" w:cs="Times New Roman" w:eastAsia="Times New Roman" w:hAnsi="Times New Roman"/>
          <w:sz w:val="14"/>
          <w:szCs w:val="14"/>
          <w:color w:val="auto"/>
        </w:rPr>
      </w:pPr>
    </w:p>
    <w:p>
      <w:pPr>
        <w:jc w:val="both"/>
        <w:ind w:right="20" w:firstLine="920"/>
        <w:spacing w:after="0" w:line="273" w:lineRule="auto"/>
        <w:tabs>
          <w:tab w:leader="none" w:pos="1264"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85"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Unavailability Period</w:t>
      </w:r>
      <w:r>
        <w:rPr>
          <w:rFonts w:ascii="Times New Roman" w:cs="Times New Roman" w:eastAsia="Times New Roman" w:hAnsi="Times New Roman"/>
          <w:sz w:val="14"/>
          <w:szCs w:val="14"/>
          <w:color w:val="auto"/>
        </w:rPr>
        <w:t>” shall mean, with respect to any then-current Benchmark for any Agreed Currency, the period (if any) (a) beginning at the time that a Benchmark Replacement Date with respect to such Benchmark has occurred if, at such time, no Benchmark Replacement has replaced such Benchmark for all purposes hereunder and under any Loan Document in accordance with Section 2.28 and (b) ending at the time that a Benchmark Replacement has replaced such Benchmark for all purposes hereunder and under any Loan Document in accordance with Section 2.28.</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6" w:name="page477"/>
    <w:bookmarkEnd w:id="476"/>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 Certification</w:t>
      </w:r>
      <w:r>
        <w:rPr>
          <w:rFonts w:ascii="Times New Roman" w:cs="Times New Roman" w:eastAsia="Times New Roman" w:hAnsi="Times New Roman"/>
          <w:sz w:val="14"/>
          <w:szCs w:val="14"/>
          <w:color w:val="auto"/>
        </w:rPr>
        <w:t>” shall mean a certification regarding beneficial ownership required by the Beneficial Ownership Regulation.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 Regulation</w:t>
      </w:r>
      <w:r>
        <w:rPr>
          <w:rFonts w:ascii="Times New Roman" w:cs="Times New Roman" w:eastAsia="Times New Roman" w:hAnsi="Times New Roman"/>
          <w:sz w:val="14"/>
          <w:szCs w:val="14"/>
          <w:color w:val="auto"/>
        </w:rPr>
        <w:t>” shall mean 31 C.F.R. § 1010.230.</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Benefit Plan</w:t>
      </w:r>
      <w:r>
        <w:rPr>
          <w:rFonts w:ascii="Times New Roman" w:cs="Times New Roman" w:eastAsia="Times New Roman" w:hAnsi="Times New Roman"/>
          <w:sz w:val="14"/>
          <w:szCs w:val="14"/>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17" w:lineRule="exact"/>
        <w:rPr>
          <w:sz w:val="20"/>
          <w:szCs w:val="20"/>
          <w:color w:val="auto"/>
        </w:rPr>
      </w:pPr>
    </w:p>
    <w:p>
      <w:pPr>
        <w:jc w:val="both"/>
        <w:ind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Big Boy Letter</w:t>
      </w:r>
      <w:r>
        <w:rPr>
          <w:rFonts w:ascii="Times New Roman" w:cs="Times New Roman" w:eastAsia="Times New Roman" w:hAnsi="Times New Roman"/>
          <w:sz w:val="14"/>
          <w:szCs w:val="14"/>
          <w:color w:val="auto"/>
        </w:rPr>
        <w:t xml:space="preserve">” shall mean (a) a letter from a Lender acknowledging that: (i) the Parent and the other Loan Parties may have information regarding the Parent and its Subsidiaries, their ability to perform the Obligations or any other material information that has not previously been disclosed to the Administrative Agent and the Lenders (“ </w:t>
      </w:r>
      <w:r>
        <w:rPr>
          <w:rFonts w:ascii="Times New Roman" w:cs="Times New Roman" w:eastAsia="Times New Roman" w:hAnsi="Times New Roman"/>
          <w:sz w:val="14"/>
          <w:szCs w:val="14"/>
          <w:u w:val="single" w:color="auto"/>
          <w:color w:val="auto"/>
        </w:rPr>
        <w:t>Excluded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(ii) the Excluded Information may not be available to such Lender, (iii) such Lender has independently and without reliance on any other party made its own analysis and determined to assign Term Loans to the Parent or one of its Subsidiaries notwithstanding its lack of knowledge of the Excluded Information and (iv) such Lender waives and releases any claims it may have against the Administrative Agent, the Parent, its Subsidiaries and their respective Affiliates with respect to the nondisclosure of the Excluded Information; or (b) a letter otherwise in form and substance reasonably satisfactory to the Parent and the assigning Lender.</w:t>
      </w:r>
    </w:p>
    <w:p>
      <w:pPr>
        <w:spacing w:after="0" w:line="126"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Blocking Law</w:t>
      </w:r>
      <w:r>
        <w:rPr>
          <w:rFonts w:ascii="Times New Roman" w:cs="Times New Roman" w:eastAsia="Times New Roman" w:hAnsi="Times New Roman"/>
          <w:sz w:val="14"/>
          <w:szCs w:val="14"/>
          <w:color w:val="auto"/>
        </w:rPr>
        <w:t>” shall mean: (a) the Council Regulation (EC) No. 2271/96 of 22 November 1996 protecting against the effects of the extraterritorial application of legislation adopted by a third country, and actions based thereon or resulting therefrom (including, but not limited to, any implementation of such regulation); (b) Council Regulation (EC) No 2271/96 of 22 November 1996 (as amended) as it forms part of the laws of the United Kingdom; and/or (c) section 7 of the German Foreign Trade Regulation (</w:t>
      </w:r>
      <w:r>
        <w:rPr>
          <w:rFonts w:ascii="Times New Roman" w:cs="Times New Roman" w:eastAsia="Times New Roman" w:hAnsi="Times New Roman"/>
          <w:sz w:val="14"/>
          <w:szCs w:val="14"/>
          <w:i w:val="1"/>
          <w:iCs w:val="1"/>
          <w:color w:val="auto"/>
        </w:rPr>
        <w:t>Außenwirtschaftsverordnung – AWV</w:t>
      </w:r>
      <w:r>
        <w:rPr>
          <w:rFonts w:ascii="Times New Roman" w:cs="Times New Roman" w:eastAsia="Times New Roman" w:hAnsi="Times New Roman"/>
          <w:sz w:val="14"/>
          <w:szCs w:val="14"/>
          <w:color w:val="auto"/>
        </w:rPr>
        <w:t xml:space="preserve">) (in connection with section 4 paragraph 1 a no. 3 of the German Foreign Trade Act ( </w:t>
      </w:r>
      <w:r>
        <w:rPr>
          <w:rFonts w:ascii="Times New Roman" w:cs="Times New Roman" w:eastAsia="Times New Roman" w:hAnsi="Times New Roman"/>
          <w:sz w:val="14"/>
          <w:szCs w:val="14"/>
          <w:i w:val="1"/>
          <w:iCs w:val="1"/>
          <w:color w:val="auto"/>
        </w:rPr>
        <w:t>Außenwirtschaftsgesetz – AWG</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shall mean the Board of Governors of the Federal Reserve System of the United States of America.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shall mean, as to any person, the board of directors, the board of managers, the sole manager or other governing body of such person.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 Materials</w:t>
      </w:r>
      <w:r>
        <w:rPr>
          <w:rFonts w:ascii="Times New Roman" w:cs="Times New Roman" w:eastAsia="Times New Roman" w:hAnsi="Times New Roman"/>
          <w:sz w:val="14"/>
          <w:szCs w:val="14"/>
          <w:color w:val="auto"/>
        </w:rPr>
        <w:t>” shall have the meaning assigned to such term in Section 5.04.</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Borrowers</w:t>
      </w:r>
      <w:r>
        <w:rPr>
          <w:rFonts w:ascii="Times New Roman" w:cs="Times New Roman" w:eastAsia="Times New Roman" w:hAnsi="Times New Roman"/>
          <w:sz w:val="14"/>
          <w:szCs w:val="14"/>
          <w:color w:val="auto"/>
        </w:rPr>
        <w:t>” shall have the meaning assigned to such term in the introductory paragraph of this Agreement.</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Borrowing</w:t>
      </w:r>
      <w:r>
        <w:rPr>
          <w:rFonts w:ascii="Times New Roman" w:cs="Times New Roman" w:eastAsia="Times New Roman" w:hAnsi="Times New Roman"/>
          <w:sz w:val="14"/>
          <w:szCs w:val="14"/>
          <w:color w:val="auto"/>
        </w:rPr>
        <w:t>” shall mean a group of Loans of a single Type, in the same currency, under a single Facility, and made on a single date and, in the case of Term SOFR Loans and Eurocurrency Rate Loans, as to which a single Interest Period is in effect.</w:t>
      </w:r>
    </w:p>
    <w:p>
      <w:pPr>
        <w:spacing w:after="0" w:line="105"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Borrowing Minimum</w:t>
      </w:r>
      <w:r>
        <w:rPr>
          <w:rFonts w:ascii="Times New Roman" w:cs="Times New Roman" w:eastAsia="Times New Roman" w:hAnsi="Times New Roman"/>
          <w:sz w:val="14"/>
          <w:szCs w:val="14"/>
          <w:color w:val="auto"/>
        </w:rPr>
        <w:t>” shall mean (a) in the case of Term SOFR Loans, $5,000,000, (b) in the case of Eurocurrency Rate Loans denominated in Euro, €5,000,000, (c) in the case of Eurocurrency Rate Loans denominated in DKK, DKK50,000,000, and (d) in the case of ABR Loans, $500,000.</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7" w:name="page478"/>
    <w:bookmarkEnd w:id="477"/>
    <w:p>
      <w:pPr>
        <w:spacing w:after="0" w:line="34"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Borrowing Multiple</w:t>
      </w:r>
      <w:r>
        <w:rPr>
          <w:rFonts w:ascii="Times New Roman" w:cs="Times New Roman" w:eastAsia="Times New Roman" w:hAnsi="Times New Roman"/>
          <w:sz w:val="14"/>
          <w:szCs w:val="14"/>
          <w:color w:val="auto"/>
        </w:rPr>
        <w:t>” shall mean (a) in the case of Term SOFR Loans, $1,000,000, (b) in the case of Eurocurrency Rate Loans denominated in Euros, €1,000,000, (c) in the case of Eurocurrency Rate Loans denominated in DKK, DKK10,000,000, and (d) in the case of ABR Loans, $100,000.</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Borrowing Request</w:t>
      </w:r>
      <w:r>
        <w:rPr>
          <w:rFonts w:ascii="Times New Roman" w:cs="Times New Roman" w:eastAsia="Times New Roman" w:hAnsi="Times New Roman"/>
          <w:sz w:val="14"/>
          <w:szCs w:val="14"/>
          <w:color w:val="auto"/>
        </w:rPr>
        <w:t xml:space="preserve">” shall mean a request by the Parent or the U.S. Co-Borrower requesting a Borrowing in accordance with the terms of Section 2.03 and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or another form (including any form on an electronic platform or electronic transmission system as shall be approved by the Administrative Agent) reasonably acceptable to the Administrative Agent and appropriately completed and signed by a Responsible Officer of the Parent or the U.S. Co-Borrower.</w:t>
      </w:r>
    </w:p>
    <w:p>
      <w:pPr>
        <w:spacing w:after="0" w:line="117" w:lineRule="exact"/>
        <w:rPr>
          <w:sz w:val="20"/>
          <w:szCs w:val="20"/>
          <w:color w:val="auto"/>
        </w:rPr>
      </w:pPr>
    </w:p>
    <w:p>
      <w:pPr>
        <w:jc w:val="both"/>
        <w:ind w:firstLine="91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xml:space="preserve">” shall mean any day that is not a Saturday, Sunday or other day on which commercial banks are authorized, required by law to remain or are in fact closed in New York City or the place of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when used in Section 2.05 with respect to any action taken by or with respect to any Issuing Bank, the term “Business Day” shall not include any day on which commercial banks are authorized to close under the laws of, or are in fact closed in, the jurisdiction where such Issuing Bank’s Lending Office is located, (b) when used in connection with a Term SOFR Loan, the term “Business Day” shall mean any such day that is a U.S. Government Securities Business Day, (c) when used in connection with a Eurocurrency Rate Loan denominated in Euros, the term “Business Day” shall mean any such day that is a T2 Day and (d) when used in connection with a Eurocurrency Rate Loan denominated in DKK, the term “Business Day” shall mean any such day on which the central bank responsible for administering DKK is open for business, as determined by the Administrative Agent in its discretion.</w:t>
      </w:r>
    </w:p>
    <w:p>
      <w:pPr>
        <w:spacing w:after="0" w:line="126"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Expenditures</w:t>
      </w:r>
      <w:r>
        <w:rPr>
          <w:rFonts w:ascii="Times New Roman" w:cs="Times New Roman" w:eastAsia="Times New Roman" w:hAnsi="Times New Roman"/>
          <w:sz w:val="14"/>
          <w:szCs w:val="14"/>
          <w:color w:val="auto"/>
        </w:rPr>
        <w:t xml:space="preserve">” shall mean, for any person in respect of any period, the aggregate of all expenditures incurred by such person during such period that, in accordance with IFRS, are or should be included in “additions to property, plant or equipment” or similar items reflected in the statement of cash flows of such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Capital Expenditures for the Parent and the Subsidiaries shall not include:</w:t>
      </w:r>
    </w:p>
    <w:p>
      <w:pPr>
        <w:spacing w:after="0" w:line="107" w:lineRule="exact"/>
        <w:rPr>
          <w:sz w:val="20"/>
          <w:szCs w:val="20"/>
          <w:color w:val="auto"/>
        </w:rPr>
      </w:pPr>
    </w:p>
    <w:p>
      <w:pPr>
        <w:jc w:val="both"/>
        <w:ind w:right="20" w:firstLine="920"/>
        <w:spacing w:after="0" w:line="233" w:lineRule="auto"/>
        <w:tabs>
          <w:tab w:leader="none" w:pos="1370"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to the extent made with proceeds of the issuance of Qualified Equity Interests of the Parent or capital contributions to the Parent or funds that would have constituted Net Proceeds under clause (a) of the definition of the term “Net Proceeds” (but that will not constitute Net Proceeds as a result of the first or second proviso to such clause (a));</w:t>
      </w:r>
    </w:p>
    <w:p>
      <w:pPr>
        <w:spacing w:after="0" w:line="111" w:lineRule="exact"/>
        <w:rPr>
          <w:rFonts w:ascii="Times New Roman" w:cs="Times New Roman" w:eastAsia="Times New Roman" w:hAnsi="Times New Roman"/>
          <w:sz w:val="14"/>
          <w:szCs w:val="14"/>
          <w:color w:val="auto"/>
        </w:rPr>
      </w:pPr>
    </w:p>
    <w:p>
      <w:pPr>
        <w:jc w:val="both"/>
        <w:ind w:firstLine="920"/>
        <w:spacing w:after="0" w:line="228" w:lineRule="auto"/>
        <w:tabs>
          <w:tab w:leader="none" w:pos="1361"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of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the Parent and the Subsidiaries to the extent such proceeds are not then required to be applied to prepay Term Loans pursuant to Section 2.11(b);</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capitalized during such period;</w:t>
      </w:r>
    </w:p>
    <w:p>
      <w:pPr>
        <w:spacing w:after="0" w:line="134"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are accounted for as capital expenditures of such person and that actually are paid for by a third party (excluding the Parent or any Subsidiary) and for which none of the Parent or any Subsidiary has provided or is required to provide or incur, directly or indirectly, any consideration or obligation to such third party or any other person (whether before, during or after such period);</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 value of any asset owned by such person prior to or during such period to the extent that such book value is included as a capital expenditure during such period as a result of such person reusing or beginning to reuse such asset during such period without a corresponding</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8" w:name="page479"/>
    <w:bookmarkEnd w:id="478"/>
    <w:p>
      <w:pPr>
        <w:spacing w:after="0" w:line="2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 xml:space="preserve">expenditure actually having been made in such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any expenditure necessary in order to permit such asset to be reused shall be included as a Capital Expenditure during the period that such expenditure actually is made and (ii) such book value shall have been included in Capital Expenditures when such asset was originally acquired;</w:t>
      </w:r>
    </w:p>
    <w:p>
      <w:pPr>
        <w:spacing w:after="0" w:line="105" w:lineRule="exact"/>
        <w:rPr>
          <w:sz w:val="20"/>
          <w:szCs w:val="20"/>
          <w:color w:val="auto"/>
        </w:rPr>
      </w:pPr>
    </w:p>
    <w:p>
      <w:pPr>
        <w:jc w:val="both"/>
        <w:ind w:right="20" w:firstLine="920"/>
        <w:spacing w:after="0" w:line="233" w:lineRule="auto"/>
        <w:tabs>
          <w:tab w:leader="none" w:pos="137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equipment purchased during such period to the extent that the consideration therefor consists of any combination of (i) used or surplus equipment traded in at the time of such purchase, (ii) the proceeds of a concurrent sale of used or surplus equipment, in each case, in the ordinary course of business or (iii) assets Disposed of pursuant to Section 6.05(m);</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respect of a Permitted Business Acquisition; or</w:t>
      </w:r>
    </w:p>
    <w:p>
      <w:pPr>
        <w:spacing w:after="0" w:line="134" w:lineRule="exact"/>
        <w:rPr>
          <w:rFonts w:ascii="Times New Roman" w:cs="Times New Roman" w:eastAsia="Times New Roman" w:hAnsi="Times New Roman"/>
          <w:sz w:val="14"/>
          <w:szCs w:val="14"/>
          <w:color w:val="auto"/>
        </w:rPr>
      </w:pPr>
    </w:p>
    <w:p>
      <w:pPr>
        <w:ind w:right="40" w:firstLine="920"/>
        <w:spacing w:after="0" w:line="248" w:lineRule="auto"/>
        <w:tabs>
          <w:tab w:leader="none" w:pos="1361"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of property, plant or equipment made with proceeds from any Asset Sale to the extent such proceeds are not then required to be applied to prepay Term Loans pursuant to Section 2.11(b).</w:t>
      </w:r>
    </w:p>
    <w:p>
      <w:pPr>
        <w:spacing w:after="0" w:line="115"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Capitalized Lease Obligations</w:t>
      </w:r>
      <w:r>
        <w:rPr>
          <w:rFonts w:ascii="Times New Roman" w:cs="Times New Roman" w:eastAsia="Times New Roman" w:hAnsi="Times New Roman"/>
          <w:sz w:val="14"/>
          <w:szCs w:val="14"/>
          <w:color w:val="auto"/>
        </w:rPr>
        <w:t xml:space="preserve">” shall mean, at the time any determination thereof is to be made, the amount of the liability in respect of a capital lease or a financing lease that would at such time be required to be capitalized and reflected as a liability on the balance sheet (excluding the footnotes thereto) in accordance with IFRS;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obligations in respect of leases which are of a type that would have been previously categorized as operating leases prior to the adoption of IFRS 16 shall not be categorized as Capitalized Lease Obligations for purposes of this Agreement.</w:t>
      </w:r>
    </w:p>
    <w:p>
      <w:pPr>
        <w:spacing w:after="0" w:line="121" w:lineRule="exact"/>
        <w:rPr>
          <w:sz w:val="20"/>
          <w:szCs w:val="20"/>
          <w:color w:val="auto"/>
        </w:rPr>
      </w:pPr>
    </w:p>
    <w:p>
      <w:pPr>
        <w:jc w:val="both"/>
        <w:ind w:right="20"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Collateralize</w:t>
      </w:r>
      <w:r>
        <w:rPr>
          <w:rFonts w:ascii="Times New Roman" w:cs="Times New Roman" w:eastAsia="Times New Roman" w:hAnsi="Times New Roman"/>
          <w:sz w:val="14"/>
          <w:szCs w:val="14"/>
          <w:color w:val="auto"/>
        </w:rPr>
        <w:t xml:space="preserve">” shall mean to pledge and deposit with or deliver to the Administrative Agent, for the benefit of one or more of the Issuing Banks or Lenders, as collateral for Revolving L/C Exposure or obligations of the Lenders to fund participations in respect of Revolving L/C Exposure, cash or deposit account balances or, if the Administrative Agent and each Issuing Bank shall agree in their sole discretion, other credit support, in each case pursuant to documentation in form and substance reasonably satisfactory to the Administrative Agent and each applicable Issuing Bank. “ </w:t>
      </w:r>
      <w:r>
        <w:rPr>
          <w:rFonts w:ascii="Times New Roman" w:cs="Times New Roman" w:eastAsia="Times New Roman" w:hAnsi="Times New Roman"/>
          <w:sz w:val="14"/>
          <w:szCs w:val="14"/>
          <w:u w:val="single" w:color="auto"/>
          <w:color w:val="auto"/>
        </w:rPr>
        <w:t>Cash Collateral</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u w:val="single" w:color="auto"/>
          <w:color w:val="auto"/>
        </w:rPr>
        <w:t>Cash Collateralization</w:t>
      </w:r>
      <w:r>
        <w:rPr>
          <w:rFonts w:ascii="Times New Roman" w:cs="Times New Roman" w:eastAsia="Times New Roman" w:hAnsi="Times New Roman"/>
          <w:sz w:val="14"/>
          <w:szCs w:val="14"/>
          <w:color w:val="auto"/>
        </w:rPr>
        <w:t>” shall have meanings correlative to the foregoing and shall include the proceeds of such cash collateral and other credit support.</w:t>
      </w:r>
    </w:p>
    <w:p>
      <w:pPr>
        <w:spacing w:after="0" w:line="123"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Management Agreement</w:t>
      </w:r>
      <w:r>
        <w:rPr>
          <w:rFonts w:ascii="Times New Roman" w:cs="Times New Roman" w:eastAsia="Times New Roman" w:hAnsi="Times New Roman"/>
          <w:sz w:val="14"/>
          <w:szCs w:val="14"/>
          <w:color w:val="auto"/>
        </w:rPr>
        <w:t xml:space="preserve"> ” shall mean any agreement to provide to the Parent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21"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Management Bank</w:t>
      </w:r>
      <w:r>
        <w:rPr>
          <w:rFonts w:ascii="Times New Roman" w:cs="Times New Roman" w:eastAsia="Times New Roman" w:hAnsi="Times New Roman"/>
          <w:sz w:val="14"/>
          <w:szCs w:val="14"/>
          <w:color w:val="auto"/>
        </w:rPr>
        <w:t>” shall mean any person that, at the time it enters into a Cash Management Agreement (or on the Closing Date) is an Agent, an Arranger, a Lender or an Affiliate of any such person, in each case, in its capacity as a party to such Cash Management Agreement.</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CFC</w:t>
      </w:r>
      <w:r>
        <w:rPr>
          <w:rFonts w:ascii="Times New Roman" w:cs="Times New Roman" w:eastAsia="Times New Roman" w:hAnsi="Times New Roman"/>
          <w:sz w:val="14"/>
          <w:szCs w:val="14"/>
          <w:color w:val="auto"/>
        </w:rPr>
        <w:t>” shall have the meaning assigned to such term in clause (k) of the definition of “Excluded Subsidiary.”</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Law</w:t>
      </w:r>
      <w:r>
        <w:rPr>
          <w:rFonts w:ascii="Times New Roman" w:cs="Times New Roman" w:eastAsia="Times New Roman" w:hAnsi="Times New Roman"/>
          <w:sz w:val="14"/>
          <w:szCs w:val="14"/>
          <w:color w:val="auto"/>
        </w:rPr>
        <w:t>” shall mean (a) the adoption of any law, rule or regulation after the Closing Date, (b) any change in law, rule or regulation or in the interpretation or application thereof by any Governmental Authority after the Closing Date or (c) compliance by any Lender or Issuing Bank (or, for purposes of Section 2.15(b), by any Lending Office of such Lender or Issuing Bank or by such Lender’s or Issuing Bank’s holding company, if any) with any written request, guideline or directive</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79" w:name="page480"/>
    <w:bookmarkEnd w:id="479"/>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(whether or not having the force of law) of any Governmental Authority made or issued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notwithstanding anything herein to the contrary,</w:t>
      </w:r>
    </w:p>
    <w:p>
      <w:pPr>
        <w:spacing w:after="0" w:line="24" w:lineRule="exact"/>
        <w:rPr>
          <w:sz w:val="20"/>
          <w:szCs w:val="20"/>
          <w:color w:val="auto"/>
        </w:rPr>
      </w:pPr>
    </w:p>
    <w:p>
      <w:pPr>
        <w:jc w:val="both"/>
        <w:ind w:firstLine="6"/>
        <w:spacing w:after="0" w:line="257" w:lineRule="auto"/>
        <w:tabs>
          <w:tab w:leader="none" w:pos="207"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but only to the extent it is the general policy of a Lender or Issuing Bank to impose applicable increased costs or costs in connection with capital adequacy requirements similar to those described in clauses (a) and (b) of Section 2.15 generally on other similarly situated borrowers under similar circumstances under agreements permitting such impositions.</w:t>
      </w:r>
    </w:p>
    <w:p>
      <w:pPr>
        <w:spacing w:after="0" w:line="131"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shall mean (a) the acquisition of ownership, directly or indirectly, beneficially or of record, by any person or group (within the meaning of the Exchange Act) of Equity Interests representing more than 35% of the aggregate ordinary voting power represented by the issued and outstanding Equity Interests of the Parent; or (b) occupation of a majority of the seats (other than vacant seats) on the Board of Directors of the Parent by persons who (i) were not members of the Board of Directors of the Parent on the Closing Date and (ii) whose election to the Board of Directors of the Parent or whose nomination for election by the stockholders of the Parent was not approved by a majority of the members of the Board of Directors of the Parent then still in office who were either members of the Board of Directors of the Parent on the Closing Date or whose election or nomination for election was previously so approved. Notwithstanding the foregoing, a transaction will be deemed not to involve a Change of Control if (1) the Parent becomes a direct or indirect wholly owned subsidiary of a parent entity and (2) the direct or indirect holders of the ordinary voting power represented by the issued and outstanding Equity Interests of the ultimate parent entity immediately following such transaction are substantially the same as the holders of the ordinary voting power represented by the issued and outstanding Equity Interests of the Parent immediately prior to such transaction.</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Charges</w:t>
      </w:r>
      <w:r>
        <w:rPr>
          <w:rFonts w:ascii="Times New Roman" w:cs="Times New Roman" w:eastAsia="Times New Roman" w:hAnsi="Times New Roman"/>
          <w:sz w:val="14"/>
          <w:szCs w:val="14"/>
          <w:color w:val="auto"/>
        </w:rPr>
        <w:t>” shall have the meaning assigned to such term in Section 9.09.</w:t>
      </w:r>
    </w:p>
    <w:p>
      <w:pPr>
        <w:spacing w:after="0" w:line="163" w:lineRule="exact"/>
        <w:rPr>
          <w:sz w:val="20"/>
          <w:szCs w:val="20"/>
          <w:color w:val="auto"/>
        </w:rPr>
      </w:pPr>
    </w:p>
    <w:p>
      <w:pPr>
        <w:jc w:val="both"/>
        <w:ind w:firstLine="914"/>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CIBOR</w:t>
      </w:r>
      <w:r>
        <w:rPr>
          <w:rFonts w:ascii="Times New Roman" w:cs="Times New Roman" w:eastAsia="Times New Roman" w:hAnsi="Times New Roman"/>
          <w:sz w:val="14"/>
          <w:szCs w:val="14"/>
          <w:color w:val="auto"/>
        </w:rPr>
        <w:t xml:space="preserve">” shall mean, with respect to any Interest Period, the rate per annum (carried out to the fourth decimal place) equal to the Copenhagen interbank offered rate administered and calculated by the Danish Financial Benchmark Facility ApS (or any other person which takes over the administration and calculation of that rate) for DKK for the relevant period determined by the Administrative Agent to be the offered rate that appears on the Bloomberg screen page or any applicable successor or substitute page providing rate quotations comparable to those currently provided on such page of such service equal to the rate determined by the Administrative Agent to be the offered rate that appears on at approximately 11:00 a.m. (Copenhagen time) two (2) Business Days prior to the beginning of such Interest Period for deposits in DKK with a term for the relevant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rate is not available at any such time for any reason, “CIBOR” shall be the rate at which DKK deposits of DKK5,000,000 and for a maturity equivalent to the applicable Interest Period are offered by the principal Copenhagen office of any bank (which may be the Administrative Agent) reasonably selected by the Administrative Agent in immediately available funds at approximately 11:00 a.m. (Copenhagen time) on the applicable day (or, if such day is not a Business Day, on the immediately preceding Business Day).</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Civil Asset Forfeiture Reform Act</w:t>
      </w:r>
      <w:r>
        <w:rPr>
          <w:rFonts w:ascii="Times New Roman" w:cs="Times New Roman" w:eastAsia="Times New Roman" w:hAnsi="Times New Roman"/>
          <w:sz w:val="14"/>
          <w:szCs w:val="14"/>
          <w:color w:val="auto"/>
        </w:rPr>
        <w:t>” shall mean the Civil Asset Forfeiture Reform Act of 2000 (18 U.S.C. Sections 983 et seq.).</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0" w:name="page481"/>
    <w:bookmarkEnd w:id="480"/>
    <w:p>
      <w:pPr>
        <w:spacing w:after="0" w:line="34" w:lineRule="exact"/>
        <w:rPr>
          <w:sz w:val="20"/>
          <w:szCs w:val="20"/>
          <w:color w:val="auto"/>
        </w:rPr>
      </w:pPr>
    </w:p>
    <w:p>
      <w:pPr>
        <w:jc w:val="both"/>
        <w:ind w:right="20" w:firstLine="91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w:t>
      </w:r>
      <w:r>
        <w:rPr>
          <w:rFonts w:ascii="Times New Roman" w:cs="Times New Roman" w:eastAsia="Times New Roman" w:hAnsi="Times New Roman"/>
          <w:sz w:val="14"/>
          <w:szCs w:val="14"/>
          <w:color w:val="auto"/>
        </w:rPr>
        <w:t>” shall mean, (a) when used in respect of any Loan or Borrowing, whether such Loan or the Loans comprising such Borrowing are Initial Term A Loans, Initial Term B Loans, Initial Revolving Loans, Other Incremental Term Loans, Extended Term Loans, Refinancing Term Loans, Other Incremental Revolving Loans, Extended Revolving Loans or Replacement Revolving Loans; and (b) when used in respect of any Commitment, whether such Commitment is in respect of a commitment to make Initial Term A Loans, Initial Term B Loans, Initial Revolving Loans, Other Incremental Term Loans, Extended Term Loans, Refinancing Term Loans, Other Incremental Revolving Loans, Extended Revolving Loans or Replacement Revolving Loans. Other Term Loans or Other Revolving Loans that have different terms and conditions (together with the Commitments in respect thereof) from the Initial Term A Loans, the Initial Term B Loans or the Initial Revolving Loans, respectively, or from other Other Term Loans or other Other Revolving Loans, as applicable, shall be construed to be in separate and distinct Classes.</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 Loans</w:t>
      </w:r>
      <w:r>
        <w:rPr>
          <w:rFonts w:ascii="Times New Roman" w:cs="Times New Roman" w:eastAsia="Times New Roman" w:hAnsi="Times New Roman"/>
          <w:sz w:val="14"/>
          <w:szCs w:val="14"/>
          <w:color w:val="auto"/>
        </w:rPr>
        <w:t>” shall have the meaning assigned to such term in Section 9.08(f).</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shall mean the first date on which the conditions set forth in Section 4.01 are satisfied (or waived in accordance with Section 9.08).</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 Foreign Collateral Documents</w:t>
      </w:r>
      <w:r>
        <w:rPr>
          <w:rFonts w:ascii="Times New Roman" w:cs="Times New Roman" w:eastAsia="Times New Roman" w:hAnsi="Times New Roman"/>
          <w:sz w:val="14"/>
          <w:szCs w:val="14"/>
          <w:color w:val="auto"/>
        </w:rPr>
        <w:t xml:space="preserve">” shall mean the Danish Security Documents, the Dutch Security Documents and each of the other documents set forth on </w:t>
      </w:r>
      <w:r>
        <w:rPr>
          <w:rFonts w:ascii="Times New Roman" w:cs="Times New Roman" w:eastAsia="Times New Roman" w:hAnsi="Times New Roman"/>
          <w:sz w:val="14"/>
          <w:szCs w:val="14"/>
          <w:u w:val="single" w:color="auto"/>
          <w:color w:val="auto"/>
        </w:rPr>
        <w:t>Schedule 1.01(B)</w:t>
      </w:r>
      <w:r>
        <w:rPr>
          <w:rFonts w:ascii="Times New Roman" w:cs="Times New Roman" w:eastAsia="Times New Roman" w:hAnsi="Times New Roman"/>
          <w:sz w:val="14"/>
          <w:szCs w:val="14"/>
          <w:color w:val="auto"/>
        </w:rPr>
        <w:t xml:space="preserve"> or entered into pursuant to the terms of this Agreement.</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 Intercompany Loan</w:t>
      </w:r>
      <w:r>
        <w:rPr>
          <w:rFonts w:ascii="Times New Roman" w:cs="Times New Roman" w:eastAsia="Times New Roman" w:hAnsi="Times New Roman"/>
          <w:sz w:val="14"/>
          <w:szCs w:val="14"/>
          <w:color w:val="auto"/>
        </w:rPr>
        <w:t>” shall mean the loan made under the Intercompany Loan Agreement, dated as of the Closing Date, between the Parent as lender and Genmab Holding II B.V. as borrower.</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 Intercreditor Agreement</w:t>
      </w:r>
      <w:r>
        <w:rPr>
          <w:rFonts w:ascii="Times New Roman" w:cs="Times New Roman" w:eastAsia="Times New Roman" w:hAnsi="Times New Roman"/>
          <w:sz w:val="14"/>
          <w:szCs w:val="14"/>
          <w:color w:val="auto"/>
        </w:rPr>
        <w:t xml:space="preserve"> ” shall mean the Equal Priority Intercreditor Agreement, dated as of the Closing Date, among the Parent, the U.S. Co-Borrower, the other grantors party thereto, Morgan Stanley Senior Funding, Inc. as Senior Credit Facilities Collateral Agent (as defined therein), Wilmington Trust, National Association, as Notes Collateral Agent (as defined therein), and each Additional Agent (as defined therein) from time to time party thereto.</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 Refinancing</w:t>
      </w:r>
      <w:r>
        <w:rPr>
          <w:rFonts w:ascii="Times New Roman" w:cs="Times New Roman" w:eastAsia="Times New Roman" w:hAnsi="Times New Roman"/>
          <w:sz w:val="14"/>
          <w:szCs w:val="14"/>
          <w:color w:val="auto"/>
        </w:rPr>
        <w:t>” shall mean the repayment in full of amounts outstanding under, and the termination of all commitments under, the Existing Credit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shall mean the U.S. Internal Revenue Code of 1986.</w:t>
      </w:r>
    </w:p>
    <w:p>
      <w:pPr>
        <w:spacing w:after="0" w:line="163"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w:t>
      </w:r>
      <w:r>
        <w:rPr>
          <w:rFonts w:ascii="Times New Roman" w:cs="Times New Roman" w:eastAsia="Times New Roman" w:hAnsi="Times New Roman"/>
          <w:sz w:val="14"/>
          <w:szCs w:val="14"/>
          <w:color w:val="auto"/>
        </w:rPr>
        <w:t xml:space="preserve">” shall mean all the “Collateral” (or equivalent term) as defined in any Security Document and shall also include all other property that is subject to any Lien in favor of the Collateral Agent or any subagent for the benefit of the Secured Parties (or, if applicable, in foreign jurisdictions, the Secured Parties in their capacities as such) pursuant to any Security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to the contrary herein or in any Security Document or other Loan Document, the Collateral shall be subject to the Agreed Guarantee and Security Principles, and in no case shall the Collateral include any Excluded Property.</w:t>
      </w:r>
    </w:p>
    <w:p>
      <w:pPr>
        <w:spacing w:after="0" w:line="12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 shall mean Morgan Stanley Senior Funding, Inc. (through itself or one of its designated Affiliates or branch offices), in its capacity as collateral agent under any of the Loan Documents, or any successor collateral agent appointed in accordance with Article VIII.</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1" w:name="page482"/>
    <w:bookmarkEnd w:id="481"/>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 and Guarantee Requirement</w:t>
      </w:r>
      <w:r>
        <w:rPr>
          <w:rFonts w:ascii="Times New Roman" w:cs="Times New Roman" w:eastAsia="Times New Roman" w:hAnsi="Times New Roman"/>
          <w:sz w:val="14"/>
          <w:szCs w:val="14"/>
          <w:color w:val="auto"/>
        </w:rPr>
        <w:t xml:space="preserve">” shall mean the requirement that (in each case, subject to (x) the last paragraph of Section 5.10, (y) </w:t>
      </w:r>
      <w:r>
        <w:rPr>
          <w:rFonts w:ascii="Times New Roman" w:cs="Times New Roman" w:eastAsia="Times New Roman" w:hAnsi="Times New Roman"/>
          <w:sz w:val="14"/>
          <w:szCs w:val="14"/>
          <w:u w:val="single" w:color="auto"/>
          <w:color w:val="auto"/>
        </w:rPr>
        <w:t>Schedule 5.15</w:t>
      </w:r>
      <w:r>
        <w:rPr>
          <w:rFonts w:ascii="Times New Roman" w:cs="Times New Roman" w:eastAsia="Times New Roman" w:hAnsi="Times New Roman"/>
          <w:sz w:val="14"/>
          <w:szCs w:val="14"/>
          <w:color w:val="auto"/>
        </w:rPr>
        <w:t xml:space="preserve"> and (z)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Agreed Guarantee and Security Principles):</w:t>
      </w:r>
    </w:p>
    <w:p>
      <w:pPr>
        <w:spacing w:after="0" w:line="139" w:lineRule="exact"/>
        <w:rPr>
          <w:sz w:val="20"/>
          <w:szCs w:val="20"/>
          <w:color w:val="auto"/>
        </w:rPr>
      </w:pPr>
    </w:p>
    <w:p>
      <w:pPr>
        <w:jc w:val="both"/>
        <w:ind w:right="20" w:firstLine="920"/>
        <w:spacing w:after="0" w:line="228" w:lineRule="auto"/>
        <w:tabs>
          <w:tab w:leader="none" w:pos="1370" w:val="left"/>
        </w:tabs>
        <w:numPr>
          <w:ilvl w:val="1"/>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Closing Date, the Administrative Agent shall have received (i) from each U.S. Loan Party and each Foreign Loan Party, and the Collateral Agent, a counterpart of the U.S. Collateral Agreement, (ii) from each applicable Loan Party and the Collateral Agent, a counterpart of each Closing Date Foreign Collateral Document applicable thereto, and (iii) from the Parent, the U.S. Co-Borrower and each other Wholly Owned Subsidiary as of the Closing Date (other than Excluded Subsidiaries), a counterpart of the Guarantee Agreement, in each case duly executed and delivered on behalf of such person;</w:t>
      </w:r>
    </w:p>
    <w:p>
      <w:pPr>
        <w:spacing w:after="0" w:line="111" w:lineRule="exact"/>
        <w:rPr>
          <w:rFonts w:ascii="Times New Roman" w:cs="Times New Roman" w:eastAsia="Times New Roman" w:hAnsi="Times New Roman"/>
          <w:sz w:val="14"/>
          <w:szCs w:val="14"/>
          <w:color w:val="auto"/>
        </w:rPr>
      </w:pPr>
    </w:p>
    <w:p>
      <w:pPr>
        <w:jc w:val="both"/>
        <w:ind w:firstLine="920"/>
        <w:spacing w:after="0"/>
        <w:tabs>
          <w:tab w:leader="none" w:pos="1361" w:val="left"/>
        </w:tabs>
        <w:numPr>
          <w:ilvl w:val="1"/>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Closing Date, (i)(x) all outstanding Equity Interests directly owned by the Loan Parties, other than Excluded Property, and (y) all Indebtedness owing to any Loan Party, other than Excluded Property, shall have been pledged or assigned for security purposes pursuant to the applicable Security Documents and (ii) the Collateral Agent shall have received (and the Administrative Agent shall have received copies of) certificates, updated share registers (where necessary under the laws of any applicable jurisdiction in order to create a perfected security interest in such Equity Interests) or other instruments (if any) representing such Equity Interests and any notes or other instruments required to be delivered on the Closing Date pursuant to the applicable Security Documents, together with stock powers, note powers or other instruments of transfer with respect thereto (as applicable) endorsed in blank;</w:t>
      </w:r>
    </w:p>
    <w:p>
      <w:pPr>
        <w:spacing w:after="0" w:line="203"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jc w:val="both"/>
        <w:ind w:firstLine="920"/>
        <w:spacing w:after="0" w:line="223" w:lineRule="auto"/>
        <w:tabs>
          <w:tab w:leader="none" w:pos="1361" w:val="left"/>
        </w:tabs>
        <w:numPr>
          <w:ilvl w:val="1"/>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person that becomes a Loan Party after the Closing Date, the Administrative Agent shall have received (i) a supplement to the Guarantee Agreement in the form specified therefor in the Guarantee Agreement or otherwise reasonably acceptable to the Administrative Agent, duly executed and delivered on behalf of such Loan Party; (ii) supplements or joinders to all applicable Security Documents then in existence or new Security Documents, in each case in the form specified therefor in the applicable Security Document or otherwise reasonably acceptable to the Administrative Agent, in each case, duly executed and delivered on behalf of such Loan Party and the Collateral Agent; (iii) supplements or joinders to each Intercreditor Agreement executed and delivered on behalf of such Loan Party and (iv) appropriate corporate resolutions, customary corporate documentation and customary Legal Opinions as may be reasonably requested by, and in form and substance reasonably satisfactory to, the Administrative Agent;</w:t>
      </w:r>
    </w:p>
    <w:p>
      <w:pPr>
        <w:spacing w:after="0" w:line="109"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Closing Date, (x) all outstanding Equity Interests of any person that becomes a Loan Party after the Closing Date and that are held by a Loan Party and</w:t>
      </w:r>
    </w:p>
    <w:p>
      <w:pPr>
        <w:jc w:val="both"/>
        <w:ind w:firstLine="6"/>
        <w:spacing w:after="0" w:line="222" w:lineRule="auto"/>
        <w:tabs>
          <w:tab w:leader="none" w:pos="207"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Equity Interests directly acquired by a Loan Party after the Closing Date, in each case other than Excluded Property, shall have been pledged pursuant to the applicable Security Documents, and the Collateral Agent shall have received updated share registers (where necessary under the laws of any applicable jurisdiction in order to create a perfected security interest in such Equity Interests) and the certificates or other instruments evidencing such Equity Interests, together with stock powers or other instruments of transfer with respect thereto (as applicable) endorsed in blank;</w:t>
      </w:r>
    </w:p>
    <w:p>
      <w:pPr>
        <w:spacing w:after="0" w:line="111" w:lineRule="exact"/>
        <w:rPr>
          <w:rFonts w:ascii="Times New Roman" w:cs="Times New Roman" w:eastAsia="Times New Roman" w:hAnsi="Times New Roman"/>
          <w:sz w:val="14"/>
          <w:szCs w:val="14"/>
          <w:color w:val="auto"/>
        </w:rPr>
      </w:pPr>
    </w:p>
    <w:p>
      <w:pPr>
        <w:jc w:val="both"/>
        <w:ind w:firstLine="920"/>
        <w:spacing w:after="0"/>
        <w:tabs>
          <w:tab w:leader="none" w:pos="1370" w:val="left"/>
        </w:tabs>
        <w:numPr>
          <w:ilvl w:val="1"/>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Administrative Agent or the Collateral Agent (including those required by applicable laws)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substantially concurrently with, or promptly following, the execution and delivery of each such Security Document (or in the case of after acquired assets not automatically subject to a valid and perfected Lien pursuant to the Security Documents upon the acquisition thereof, concurrently with, or promptly following, the acquisition thereof);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2" w:name="page483"/>
    <w:bookmarkEnd w:id="482"/>
    <w:p>
      <w:pPr>
        <w:spacing w:after="0" w:line="24" w:lineRule="exact"/>
        <w:rPr>
          <w:sz w:val="20"/>
          <w:szCs w:val="20"/>
          <w:color w:val="auto"/>
        </w:rPr>
      </w:pPr>
    </w:p>
    <w:p>
      <w:pPr>
        <w:ind w:left="1360" w:hanging="440"/>
        <w:spacing w:after="0"/>
        <w:tabs>
          <w:tab w:leader="none" w:pos="1360"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of the insurance (if any) required by the terms of Section 5.02 hereof shall have been received by the Administrative Agent; and</w:t>
      </w:r>
    </w:p>
    <w:p>
      <w:pPr>
        <w:spacing w:after="0" w:line="134"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61"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Closing Date, the Administrative Agent and the Collateral Agent shall have received (i) such other Security Documents as may be required to be delivered pursuant to Section 5.10 or the Security Documents, and (ii) upon reasonable request by the Administrative Agent or the Collateral Agent, evidence of compliance with any other requirements of Section 5.10.</w:t>
      </w:r>
    </w:p>
    <w:p>
      <w:pPr>
        <w:spacing w:after="0" w:line="12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Notwithstanding anything to the contrary in this Agreement or in the other Loan Documents, the requirements set forth above need not be satisfied with respect to any Excluded Property.</w:t>
      </w:r>
    </w:p>
    <w:p>
      <w:pPr>
        <w:spacing w:after="0" w:line="105" w:lineRule="exact"/>
        <w:rPr>
          <w:sz w:val="20"/>
          <w:szCs w:val="20"/>
          <w:color w:val="auto"/>
        </w:rPr>
      </w:pPr>
    </w:p>
    <w:p>
      <w:pPr>
        <w:jc w:val="both"/>
        <w:ind w:right="20" w:firstLine="914"/>
        <w:spacing w:after="0" w:line="262" w:lineRule="auto"/>
        <w:rPr>
          <w:sz w:val="20"/>
          <w:szCs w:val="20"/>
          <w:color w:val="auto"/>
        </w:rPr>
      </w:pPr>
      <w:r>
        <w:rPr>
          <w:rFonts w:ascii="Times New Roman" w:cs="Times New Roman" w:eastAsia="Times New Roman" w:hAnsi="Times New Roman"/>
          <w:sz w:val="14"/>
          <w:szCs w:val="14"/>
          <w:color w:val="auto"/>
        </w:rPr>
        <w:t>In addition, in no event shall (1) perfection by control (but not, for the avoidance of doubt, delivery of certificated securities or instruments evidencing Indebtedness) or through deposit or securities account control agreements or control, lockbox or similar arrangements be required with respect to any Collateral, including but not limited to deposit accounts, securities accounts or commodities accounts, (2) landlord, mortgagee and bailee waivers or subordination agreements be required or (3) notices be required to be sent to account debtors or other contractual third parties unless an Event of Default has occurred and is continuing (other than, in each case, customary notices or acknowledgments to create or perfect security solely to the extent necessary under any relevant non-U.S. law in order to grant a security interest in the applicable Collateral and subject in each case to the Agreed Guarantee and Security Principles).</w:t>
      </w:r>
    </w:p>
    <w:p>
      <w:pPr>
        <w:spacing w:after="0" w:line="126" w:lineRule="exact"/>
        <w:rPr>
          <w:sz w:val="20"/>
          <w:szCs w:val="20"/>
          <w:color w:val="auto"/>
        </w:rPr>
      </w:pPr>
    </w:p>
    <w:p>
      <w:pPr>
        <w:jc w:val="both"/>
        <w:ind w:firstLine="914"/>
        <w:spacing w:after="0" w:line="260" w:lineRule="auto"/>
        <w:rPr>
          <w:sz w:val="20"/>
          <w:szCs w:val="20"/>
          <w:color w:val="auto"/>
        </w:rPr>
      </w:pPr>
      <w:r>
        <w:rPr>
          <w:rFonts w:ascii="Times New Roman" w:cs="Times New Roman" w:eastAsia="Times New Roman" w:hAnsi="Times New Roman"/>
          <w:sz w:val="14"/>
          <w:szCs w:val="14"/>
          <w:color w:val="auto"/>
        </w:rPr>
        <w:t>Notwithstanding anything in this Agreement to the contrary, it is understood and agreed that, with respect to the Collateral (including the creation or perfection of any security interest) (other than (x) the creation of the security interest in the Collateral pursuant to the U.S. Collateral Agreement and (y) perfection to the extent possible by (1) the filing of one or more financing statements under the Uniform Commercial Code or (2) the delivery of physical stock or other equity certificates of any Domestic Subsidiary of any Loan Party (other than with respect to Equity Interests constituting Excluded Property) and accompanying stock powers, to the extent certificated), the creation and/or perfection of such Collateral shall not constitute a condition precedent to the availability and funding of the Initial Facilities on the Closing Date but may instead be delivered and/or perfected (i) with respect to the delivery of physical stock or other equity certificates of the Loan Parties’ Foreign Subsidiaries and accompanying stock powers, to the extent certificated, within 20 business days after the Closing Date or (ii) otherwise within 90 days after the Closing Date (or, in each case, such longer period as the Administrative Agent may agree in its reasonable discretion) pursuant to arrangements reasonably acceptable to the Administrative Agent.</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 Fee</w:t>
      </w:r>
      <w:r>
        <w:rPr>
          <w:rFonts w:ascii="Times New Roman" w:cs="Times New Roman" w:eastAsia="Times New Roman" w:hAnsi="Times New Roman"/>
          <w:sz w:val="14"/>
          <w:szCs w:val="14"/>
          <w:color w:val="auto"/>
        </w:rPr>
        <w:t>” shall have the meaning assigned to such term in Section 2.12(a).</w:t>
      </w:r>
    </w:p>
    <w:p>
      <w:pPr>
        <w:spacing w:after="0" w:line="163"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 Letter</w:t>
      </w:r>
      <w:r>
        <w:rPr>
          <w:rFonts w:ascii="Times New Roman" w:cs="Times New Roman" w:eastAsia="Times New Roman" w:hAnsi="Times New Roman"/>
          <w:sz w:val="14"/>
          <w:szCs w:val="14"/>
          <w:color w:val="auto"/>
        </w:rPr>
        <w:t>” shall mean that certain Second Amended and Restated Commitment Letter dated as of December 10, 2025, by and among the Parent, MSSF, Bank of America Europe Designated Activity Company, Goldman Sachs Bank USA, Danske Bank A/S, DNB Capital LLC, Nordea Danmark, Filial af Nordea Bank Abp, Finland, PNC Bank, National Association, PNC Capital Markets LLC, Truist Bank, Truist Securities, Inc., JPMorgan Chase Bank, N.A., London Branch and Jyske Bank A/S.</w:t>
      </w:r>
    </w:p>
    <w:p>
      <w:pPr>
        <w:spacing w:after="0" w:line="117" w:lineRule="exact"/>
        <w:rPr>
          <w:sz w:val="20"/>
          <w:szCs w:val="20"/>
          <w:color w:val="auto"/>
        </w:rPr>
      </w:pPr>
    </w:p>
    <w:p>
      <w:pPr>
        <w:ind w:right="6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Commitments</w:t>
      </w:r>
      <w:r>
        <w:rPr>
          <w:rFonts w:ascii="Times New Roman" w:cs="Times New Roman" w:eastAsia="Times New Roman" w:hAnsi="Times New Roman"/>
          <w:sz w:val="14"/>
          <w:szCs w:val="14"/>
          <w:color w:val="auto"/>
        </w:rPr>
        <w:t>” shall mean, with respect to any Lender, such Lender’s Initial Term A Commitment, Initial Term B Commitment, Initial Revolving Commitment, Ancillary Commitment or Additional Commitment, as applicable.</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3" w:name="page484"/>
    <w:bookmarkEnd w:id="483"/>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Commodity Exchange Act</w:t>
      </w:r>
      <w:r>
        <w:rPr>
          <w:rFonts w:ascii="Times New Roman" w:cs="Times New Roman" w:eastAsia="Times New Roman" w:hAnsi="Times New Roman"/>
          <w:sz w:val="14"/>
          <w:szCs w:val="14"/>
          <w:color w:val="auto"/>
        </w:rPr>
        <w:t>” shall mean the Commodity Exchange Act (7 U.S.C. § 1 et seq.).</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Communication</w:t>
      </w:r>
      <w:r>
        <w:rPr>
          <w:rFonts w:ascii="Times New Roman" w:cs="Times New Roman" w:eastAsia="Times New Roman" w:hAnsi="Times New Roman"/>
          <w:sz w:val="14"/>
          <w:szCs w:val="14"/>
          <w:color w:val="auto"/>
        </w:rPr>
        <w:t>” shall have the meaning assigned to such term in Section 9.13.</w:t>
      </w:r>
    </w:p>
    <w:p>
      <w:pPr>
        <w:spacing w:after="0" w:line="163" w:lineRule="exact"/>
        <w:rPr>
          <w:sz w:val="20"/>
          <w:szCs w:val="20"/>
          <w:color w:val="auto"/>
        </w:rPr>
      </w:pPr>
    </w:p>
    <w:p>
      <w:pPr>
        <w:jc w:val="both"/>
        <w:ind w:right="20"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Conforming Changes</w:t>
      </w:r>
      <w:r>
        <w:rPr>
          <w:rFonts w:ascii="Times New Roman" w:cs="Times New Roman" w:eastAsia="Times New Roman" w:hAnsi="Times New Roman"/>
          <w:sz w:val="14"/>
          <w:szCs w:val="14"/>
          <w:color w:val="auto"/>
        </w:rPr>
        <w:t>” shall mean, with respect to either the use or administration of an initial Benchmark or the use, administration, adoption or implementation of any Benchmark Replacement, any technical, administrative or operational changes (including changes to the definition of “ABR” (if applicable),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(in consultation with the Parent)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Parent) is reasonably necessary in connection with the administration of this Agreement and the other Loan Documents).</w:t>
      </w:r>
    </w:p>
    <w:p>
      <w:pPr>
        <w:spacing w:after="0" w:line="131" w:lineRule="exact"/>
        <w:rPr>
          <w:sz w:val="20"/>
          <w:szCs w:val="20"/>
          <w:color w:val="auto"/>
        </w:rPr>
      </w:pPr>
    </w:p>
    <w:p>
      <w:pPr>
        <w:jc w:val="both"/>
        <w:ind w:right="20" w:firstLine="914"/>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Cash Interest Expense</w:t>
      </w:r>
      <w:r>
        <w:rPr>
          <w:rFonts w:ascii="Times New Roman" w:cs="Times New Roman" w:eastAsia="Times New Roman" w:hAnsi="Times New Roman"/>
          <w:sz w:val="14"/>
          <w:szCs w:val="14"/>
          <w:color w:val="auto"/>
        </w:rPr>
        <w:t>” shall mean, with reference to any period, (a) the Interest Expense of the Parent and the Subsidiaries paid or payable in cash and calculated on a consolidated basis for such period but shall exclude, to the extent otherwise included in the calculation of Interest Expense for the applicable period, without duplication,</w:t>
      </w:r>
    </w:p>
    <w:p>
      <w:pPr>
        <w:spacing w:after="0" w:line="1" w:lineRule="exact"/>
        <w:rPr>
          <w:sz w:val="20"/>
          <w:szCs w:val="20"/>
          <w:color w:val="auto"/>
        </w:rPr>
      </w:pPr>
    </w:p>
    <w:p>
      <w:pPr>
        <w:jc w:val="both"/>
        <w:ind w:right="20" w:firstLine="6"/>
        <w:spacing w:after="0" w:line="260" w:lineRule="auto"/>
        <w:tabs>
          <w:tab w:leader="none" w:pos="176"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issuance costs, debt discount or premium and other financing fees and expenses, (ii) any cash costs associated with incurring or terminating Hedging Agreements or cash costs associated with breakage in respect of Hedging Agreements, (iii) annual agency or trustee fees, unused line fees and letter of credit fees and expenses, and (iv) all nonrecurring cash interest expense consisting of liquidated damages for failure to timely comply with registration rights obligations under any agreement governing Indebtedness, minus (b) interest income received or receivable in cash (to the extent not netted against interest expense in the calculation of Interest Expense).</w:t>
      </w:r>
    </w:p>
    <w:p>
      <w:pPr>
        <w:spacing w:after="0" w:line="126"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Debt</w:t>
      </w:r>
      <w:r>
        <w:rPr>
          <w:rFonts w:ascii="Times New Roman" w:cs="Times New Roman" w:eastAsia="Times New Roman" w:hAnsi="Times New Roman"/>
          <w:sz w:val="14"/>
          <w:szCs w:val="14"/>
          <w:color w:val="auto"/>
        </w:rPr>
        <w:t xml:space="preserve">” shall mean, as of any date of determination, the sum of (without duplication) the principal amount of all Indebtedness of the type set forth in clauses (a), (b), (e) (solely to the extent related to any Indebtedness specified in such clauses (a) and (b) of the definition of “Indebtedness”) and (f) of the definition of “Indebtedness” of the Parent and the Subsidiaries determined on a consolidated basis on such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any Indebtedness with respect to which the applicable obligors have entered into currency hedging arrangements shall be calculated giving effect to such currency hedging arrangements;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Consolidated Debt will include any convertible Indebtedness of the Parent and its Subsidiaries to the extent of the aggregate principal amount thereof.</w:t>
      </w:r>
    </w:p>
    <w:p>
      <w:pPr>
        <w:spacing w:after="0" w:line="123" w:lineRule="exact"/>
        <w:rPr>
          <w:sz w:val="20"/>
          <w:szCs w:val="20"/>
          <w:color w:val="auto"/>
        </w:rPr>
      </w:pPr>
    </w:p>
    <w:p>
      <w:pPr>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First Lien Debt</w:t>
      </w:r>
      <w:r>
        <w:rPr>
          <w:rFonts w:ascii="Times New Roman" w:cs="Times New Roman" w:eastAsia="Times New Roman" w:hAnsi="Times New Roman"/>
          <w:sz w:val="14"/>
          <w:szCs w:val="14"/>
          <w:color w:val="auto"/>
        </w:rPr>
        <w:t>” shall mean, on any date of determination, (a) the aggregate principal amount of Consolidated Secured Debt outstanding on such date minus (b) the aggregate principal amount of Consolidated Secured Debt outstanding on such date which is secured by a Junior Lien.</w:t>
      </w: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484" w:name="page485"/>
    <w:bookmarkEnd w:id="484"/>
    <w:p>
      <w:pPr>
        <w:spacing w:after="0" w:line="34" w:lineRule="exact"/>
        <w:rPr>
          <w:sz w:val="20"/>
          <w:szCs w:val="20"/>
          <w:color w:val="auto"/>
        </w:rPr>
      </w:pPr>
    </w:p>
    <w:p>
      <w:pPr>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Income</w:t>
      </w:r>
      <w:r>
        <w:rPr>
          <w:rFonts w:ascii="Times New Roman" w:cs="Times New Roman" w:eastAsia="Times New Roman" w:hAnsi="Times New Roman"/>
          <w:sz w:val="14"/>
          <w:szCs w:val="14"/>
          <w:color w:val="auto"/>
        </w:rPr>
        <w:t xml:space="preserve">” shall mean, with respect to any person for any period, the aggregate Net Income of such person and its Subsidiaries for such period, on a consolidated basis, in accordance with IFRS;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without duplication:</w:t>
      </w:r>
    </w:p>
    <w:p>
      <w:pPr>
        <w:spacing w:after="0" w:line="95" w:lineRule="exact"/>
        <w:rPr>
          <w:sz w:val="20"/>
          <w:szCs w:val="20"/>
          <w:color w:val="auto"/>
        </w:rPr>
      </w:pPr>
    </w:p>
    <w:p>
      <w:pPr>
        <w:ind w:left="1380" w:hanging="460"/>
        <w:spacing w:after="0"/>
        <w:tabs>
          <w:tab w:leader="none" w:pos="138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extraordinary, nonrecurring or unusual gains or losses (less all fees and expenses relating thereto) or expenses or charges shall be excluded;</w:t>
      </w:r>
    </w:p>
    <w:p>
      <w:pPr>
        <w:spacing w:after="0" w:line="134"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purchase (or asset acquisition method) accounting adjustments (including the effects of such adjustments pushed down to such person and such Subsidiaries) in amounts required or permitted by IFRS, resulting from the application of purchase (or asset acquisition method) accounting in relation to any consummated acquisition or the amortization or write-off of any amounts thereof, net of Taxes, shall be excluded;</w:t>
      </w:r>
    </w:p>
    <w:p>
      <w:pPr>
        <w:spacing w:after="0" w:line="111"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effect of a change in accounting principles (which shall in no case include any change in the comprehensive basis of accounting) during such period shall be excluded;</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21" w:lineRule="auto"/>
        <w:tabs>
          <w:tab w:leader="none" w:pos="1361"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any net after-Tax income or loss from disposed, abandoned, transferred, closed or discontinued operations,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to the contrary herein or in any classification under IFRS of any person, business, assets or operations in respect of which a definitive agreement for the disposition, abandonment, transfer, closure or discontinuation of operations thereof has been entered into as discontinued operations, at the Parent’s option, no pro forma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 (ii) any net after-Tax gain or loss on disposal of disposed, abandoned, transferred, closed or discontinued operations and (iii) any net after-Tax gains or losses (less all fees and expenses or charges relating thereto) attributable to business dispositions or asset dispositions other than in the ordinary course of business (as determined in good faith by the Parent) shall be excluded;</w:t>
      </w:r>
    </w:p>
    <w:p>
      <w:pPr>
        <w:spacing w:after="0" w:line="113"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gains or losses, or any subsequent charges or expenses (less all fees and expenses or charges relating thereto), attributable to the early extinguishment of Indebtedness, hedging obligations or other derivative instruments shall be excluded;</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for such period of any person that is not a subsidiary of such person, or is an Unrestricted Subsidiary, or that is accounted for by the equity method of accounting (other than a Guarantor), shall be included only to the extent of the amount of dividends or distributions or other payments actually paid in cash or cash equivalents (or to the extent converted into cash or cash equivalents) to the referent person or a Subsidiary thereof in respect of such period;</w:t>
      </w:r>
    </w:p>
    <w:p>
      <w:pPr>
        <w:spacing w:after="0" w:line="111" w:lineRule="exact"/>
        <w:rPr>
          <w:rFonts w:ascii="Times New Roman" w:cs="Times New Roman" w:eastAsia="Times New Roman" w:hAnsi="Times New Roman"/>
          <w:sz w:val="14"/>
          <w:szCs w:val="14"/>
          <w:color w:val="auto"/>
        </w:rPr>
      </w:pPr>
    </w:p>
    <w:p>
      <w:pPr>
        <w:jc w:val="both"/>
        <w:ind w:firstLine="920"/>
        <w:spacing w:after="0" w:line="223" w:lineRule="auto"/>
        <w:tabs>
          <w:tab w:leader="none" w:pos="1361"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solely for purposes of calculating the Available Amount, the Net Income for such period of any Subsidiary of such person shall be excluded to the extent that the declaration or payment of dividends or similar distributions by such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clause (g)), to the extent not already included therein;</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impairment charge or asset write-off with respect to long-term assets and amortization of intangibles, in each case pursuant to IFRS, shall be excluded;</w:t>
      </w:r>
    </w:p>
    <w:p>
      <w:pPr>
        <w:spacing w:after="0" w:line="13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non-cash expense realized or resulting from stock option plans, employee benefit plans or post-employment benefit plans, or grants or sales to employees,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officers or directors of</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5" w:name="page486"/>
    <w:bookmarkEnd w:id="485"/>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stock appreciation or similar rights, stock options, restricted stock, preferred stock or other rights shall be excluded;</w:t>
      </w:r>
    </w:p>
    <w:p>
      <w:pPr>
        <w:spacing w:after="0" w:line="134" w:lineRule="exact"/>
        <w:rPr>
          <w:sz w:val="20"/>
          <w:szCs w:val="20"/>
          <w:color w:val="auto"/>
        </w:rPr>
      </w:pPr>
    </w:p>
    <w:p>
      <w:pPr>
        <w:ind w:firstLine="920"/>
        <w:spacing w:after="0" w:line="248" w:lineRule="auto"/>
        <w:tabs>
          <w:tab w:leader="none" w:pos="1370"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 non-cash compensation charges and (ii) non-cash costs or expenses realized in connection with or resulting from stock appreciation or similar rights, stock options or other rights of officers, directors and employees, in each case of such person or any of its Subsidiaries, shall be excluded;</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accruals and reserves that are established or adjusted within 12 months after the Closing Date (excluding any such accruals or reserves to the extent that they represent an accrual of or reserve for cash expenses in any future period or amortization of a prepaid cash expense that was paid in a prior period) and that are so required to be established or adjusted in accordance with IFRS or as a result of adoption or modification of accounting policies shall be excluded;</w:t>
      </w:r>
    </w:p>
    <w:p>
      <w:pPr>
        <w:spacing w:after="0" w:line="111"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of any person and its Subsidiaries shall be calculated by deducting the income attributable to, or adding the losses attributable to, the minority equity interests of third parties in any non-Wholly Owned Subsidiary;</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unrealized gains and losses related to currency remeasurements of Indebtedness, and any unrealized net loss or gain resulting from hedging transactions for interest rates, commodities or currency exchange risk, shall be excluded;</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61"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109"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for deferred Tax asset valuation allowances shall be excluded (except to the extent reversing a previously recognized increase to Consolidated</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w:t>
      </w:r>
    </w:p>
    <w:p>
      <w:pPr>
        <w:spacing w:after="0" w:line="128"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Consolidated Net Income presented in a currency other than Dollars will be converted to Dollars based on the average exchange rate for such currency during, and applied to, each fiscal quarter or each fiscal month (at the Parent’s option) in the period for which Consolidated Net Income is being calculated.</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Secured Debt</w:t>
      </w:r>
      <w:r>
        <w:rPr>
          <w:rFonts w:ascii="Times New Roman" w:cs="Times New Roman" w:eastAsia="Times New Roman" w:hAnsi="Times New Roman"/>
          <w:sz w:val="14"/>
          <w:szCs w:val="14"/>
          <w:color w:val="auto"/>
        </w:rPr>
        <w:t>” shall mean, as of any date of determination, the aggregate principal amount of Consolidated Debt outstanding on such date that is secured by a Lien on all or any portion of the assets of the Parent or any of the Subsidiaries.</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Total Assets</w:t>
      </w:r>
      <w:r>
        <w:rPr>
          <w:rFonts w:ascii="Times New Roman" w:cs="Times New Roman" w:eastAsia="Times New Roman" w:hAnsi="Times New Roman"/>
          <w:sz w:val="14"/>
          <w:szCs w:val="14"/>
          <w:color w:val="auto"/>
        </w:rPr>
        <w:t xml:space="preserve"> ” shall mean, as of any date of determination, the total assets of the Parent and the Subsidiaries, determined on a consolidated basis in accordance with IFRS, but excluding amounts attributable to Investments in Unrestricted Subsidiaries, as set forth on the consolidated balance sheet of the Parent as of the last day of the Test Period ending immediately prior to such date.</w:t>
      </w:r>
    </w:p>
    <w:p>
      <w:pPr>
        <w:spacing w:after="0" w:line="117"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Working Capital</w:t>
      </w:r>
      <w:r>
        <w:rPr>
          <w:rFonts w:ascii="Times New Roman" w:cs="Times New Roman" w:eastAsia="Times New Roman" w:hAnsi="Times New Roman"/>
          <w:sz w:val="14"/>
          <w:szCs w:val="14"/>
          <w:color w:val="auto"/>
        </w:rPr>
        <w:t xml:space="preserve">” shall mean, with respect to the Parent and the Subsidiaries on a consolidated basis at any date of determination, Current Assets at such date of determination minus Current Liabilities at such date of determination;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increases or decreases in Consolidated Working Capital shall be calculated without regard to any changes in Current Assets or Current Liabilities as a result of (a) any reclassification in accordance with IFRS of assets or liabilities, as applicable, between current and noncurrent or (b) the effects of purchase (or asset acquisition method) accounting.</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6" w:name="page487"/>
    <w:bookmarkEnd w:id="486"/>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Continuing Letter of Credit</w:t>
      </w:r>
      <w:r>
        <w:rPr>
          <w:rFonts w:ascii="Times New Roman" w:cs="Times New Roman" w:eastAsia="Times New Roman" w:hAnsi="Times New Roman"/>
          <w:sz w:val="14"/>
          <w:szCs w:val="14"/>
          <w:color w:val="auto"/>
        </w:rPr>
        <w:t>” shall have the meaning assigned to such term in Section 2.05(k).</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 Consideration</w:t>
      </w:r>
      <w:r>
        <w:rPr>
          <w:rFonts w:ascii="Times New Roman" w:cs="Times New Roman" w:eastAsia="Times New Roman" w:hAnsi="Times New Roman"/>
          <w:sz w:val="14"/>
          <w:szCs w:val="14"/>
          <w:color w:val="auto"/>
        </w:rPr>
        <w:t>” shall have the meaning assigned to such term in the definition of the term “Excess Cash Flow.”</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Contractual Obligation</w:t>
      </w:r>
      <w:r>
        <w:rPr>
          <w:rFonts w:ascii="Times New Roman" w:cs="Times New Roman" w:eastAsia="Times New Roman" w:hAnsi="Times New Roman"/>
          <w:sz w:val="14"/>
          <w:szCs w:val="14"/>
          <w:color w:val="auto"/>
        </w:rPr>
        <w:t>” shall mean, as to any person, any provision of any security issued by such person or of any agreement, instrument or other undertaking to which such person is a party or by which it or any of its property is bound.</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shall mean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4"/>
          <w:szCs w:val="14"/>
          <w:u w:val="single" w:color="auto"/>
          <w:color w:val="auto"/>
        </w:rPr>
        <w:t>Controls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u w:val="single" w:color="auto"/>
          <w:color w:val="auto"/>
        </w:rPr>
        <w:t>Controlling</w:t>
      </w:r>
      <w:r>
        <w:rPr>
          <w:rFonts w:ascii="Times New Roman" w:cs="Times New Roman" w:eastAsia="Times New Roman" w:hAnsi="Times New Roman"/>
          <w:sz w:val="14"/>
          <w:szCs w:val="14"/>
          <w:color w:val="auto"/>
        </w:rPr>
        <w:t>” shall have meanings correlative thereto.</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Controlled Substances Act</w:t>
      </w:r>
      <w:r>
        <w:rPr>
          <w:rFonts w:ascii="Times New Roman" w:cs="Times New Roman" w:eastAsia="Times New Roman" w:hAnsi="Times New Roman"/>
          <w:sz w:val="14"/>
          <w:szCs w:val="14"/>
          <w:color w:val="auto"/>
        </w:rPr>
        <w:t>” shall mean the Controlled Substances Act (21 U.S.C. Sections 801 et seq.).</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Party</w:t>
      </w:r>
      <w:r>
        <w:rPr>
          <w:rFonts w:ascii="Times New Roman" w:cs="Times New Roman" w:eastAsia="Times New Roman" w:hAnsi="Times New Roman"/>
          <w:sz w:val="14"/>
          <w:szCs w:val="14"/>
          <w:color w:val="auto"/>
        </w:rPr>
        <w:t>” shall have the meaning assigned to such term in Section 9.23(a).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Event</w:t>
      </w:r>
      <w:r>
        <w:rPr>
          <w:rFonts w:ascii="Times New Roman" w:cs="Times New Roman" w:eastAsia="Times New Roman" w:hAnsi="Times New Roman"/>
          <w:sz w:val="14"/>
          <w:szCs w:val="14"/>
          <w:color w:val="auto"/>
        </w:rPr>
        <w:t>” shall have the meaning assigned to such term in Section 4.01.</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Current Assets</w:t>
      </w:r>
      <w:r>
        <w:rPr>
          <w:rFonts w:ascii="Times New Roman" w:cs="Times New Roman" w:eastAsia="Times New Roman" w:hAnsi="Times New Roman"/>
          <w:sz w:val="14"/>
          <w:szCs w:val="14"/>
          <w:color w:val="auto"/>
        </w:rPr>
        <w:t>” shall mean, with respect to the Parent and the Subsidiaries on a consolidated basis at any date of determination, the sum of (a) all assets (other than cash, Permitted Investments or other cash equivalents) that would, in accordance with IFRS, be classified on a consolidated balance sheet of the Parent and the Subsidiaries as current assets at such date of determination, other than amounts related to current or deferred Taxes based on income or profits, and (b) in the event that a Qualified Receivables Facility is accounted for off balance sheet, (x) gross accounts receivable comprising part of the Permitted Receivables Facility Assets subject to such Qualified Receivables Facility less (y) collections against the amounts sold pursuant to clause (x).</w:t>
      </w:r>
    </w:p>
    <w:p>
      <w:pPr>
        <w:spacing w:after="0" w:line="123" w:lineRule="exact"/>
        <w:rPr>
          <w:sz w:val="20"/>
          <w:szCs w:val="20"/>
          <w:color w:val="auto"/>
        </w:rPr>
      </w:pPr>
    </w:p>
    <w:p>
      <w:pPr>
        <w:jc w:val="both"/>
        <w:ind w:right="20"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Current Liabilities</w:t>
      </w:r>
      <w:r>
        <w:rPr>
          <w:rFonts w:ascii="Times New Roman" w:cs="Times New Roman" w:eastAsia="Times New Roman" w:hAnsi="Times New Roman"/>
          <w:sz w:val="14"/>
          <w:szCs w:val="14"/>
          <w:color w:val="auto"/>
        </w:rPr>
        <w:t>” shall mean, with respect to the Parent and the Subsidiaries on a consolidated basis at any date of determination, all liabilities that would, in accordance with IFRS, be classified on a consolidated balance sheet of the Parent and the Subsidiaries as current liabilities at such date of determination, other than (a) the current portion of any Indebtedness, (b) accruals of Interest Expense (excluding Interest Expense that is due and unpaid), (c) accruals for current or deferred Taxes based on income or profits,</w:t>
      </w:r>
    </w:p>
    <w:p>
      <w:pPr>
        <w:spacing w:after="0" w:line="1" w:lineRule="exact"/>
        <w:rPr>
          <w:sz w:val="20"/>
          <w:szCs w:val="20"/>
          <w:color w:val="auto"/>
        </w:rPr>
      </w:pPr>
    </w:p>
    <w:p>
      <w:pPr>
        <w:jc w:val="both"/>
        <w:ind w:right="20" w:firstLine="6"/>
        <w:spacing w:after="0" w:line="270" w:lineRule="auto"/>
        <w:tabs>
          <w:tab w:leader="none" w:pos="210"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accruals, if any, of transaction costs resulting from the Transactions, (e) accruals of any costs or expenses related to (i) severance or termination of employees prior to the Closing Date or (ii) bonuses, pension and other post-retirement benefit obligations, and (f) accruals for exclusions from Consolidated Net Income included in clause (a) of the definition of such term.</w:t>
      </w:r>
    </w:p>
    <w:p>
      <w:pPr>
        <w:spacing w:after="0" w:line="290"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Daily Simple SOFR</w:t>
      </w:r>
      <w:r>
        <w:rPr>
          <w:rFonts w:ascii="Times New Roman" w:cs="Times New Roman" w:eastAsia="Times New Roman" w:hAnsi="Times New Roman"/>
          <w:sz w:val="14"/>
          <w:szCs w:val="14"/>
          <w:color w:val="auto"/>
        </w:rPr>
        <w:t xml:space="preserve">” shall mean, for any day (a “ </w:t>
      </w:r>
      <w:r>
        <w:rPr>
          <w:rFonts w:ascii="Times New Roman" w:cs="Times New Roman" w:eastAsia="Times New Roman" w:hAnsi="Times New Roman"/>
          <w:sz w:val="14"/>
          <w:szCs w:val="14"/>
          <w:u w:val="single" w:color="auto"/>
          <w:color w:val="auto"/>
        </w:rPr>
        <w:t>SOFR Rate Day</w:t>
      </w:r>
      <w:r>
        <w:rPr>
          <w:rFonts w:ascii="Times New Roman" w:cs="Times New Roman" w:eastAsia="Times New Roman" w:hAnsi="Times New Roman"/>
          <w:sz w:val="14"/>
          <w:szCs w:val="14"/>
          <w:color w:val="auto"/>
        </w:rPr>
        <w:t>”), a rate per annum equal to SOFR for the day that is five U.S. Government Securities Business Day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19" w:lineRule="exact"/>
        <w:rPr>
          <w:sz w:val="20"/>
          <w:szCs w:val="20"/>
          <w:color w:val="auto"/>
        </w:rPr>
      </w:pPr>
    </w:p>
    <w:p>
      <w:pPr>
        <w:jc w:val="both"/>
        <w:ind w:right="20" w:firstLine="914"/>
        <w:spacing w:after="0" w:line="29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Danish Capital Markets Act</w:t>
      </w:r>
      <w:r>
        <w:rPr>
          <w:rFonts w:ascii="Times New Roman" w:cs="Times New Roman" w:eastAsia="Times New Roman" w:hAnsi="Times New Roman"/>
          <w:sz w:val="14"/>
          <w:szCs w:val="14"/>
          <w:color w:val="auto"/>
        </w:rPr>
        <w:t xml:space="preserve">” shall mean the consolidated act no. 652 of 10 June 2025 on capital markets (in Danish: </w:t>
      </w:r>
      <w:r>
        <w:rPr>
          <w:rFonts w:ascii="Times New Roman" w:cs="Times New Roman" w:eastAsia="Times New Roman" w:hAnsi="Times New Roman"/>
          <w:sz w:val="14"/>
          <w:szCs w:val="14"/>
          <w:i w:val="1"/>
          <w:iCs w:val="1"/>
          <w:color w:val="auto"/>
        </w:rPr>
        <w:t>kapitalmarkedsloven</w:t>
      </w:r>
      <w:r>
        <w:rPr>
          <w:rFonts w:ascii="Times New Roman" w:cs="Times New Roman" w:eastAsia="Times New Roman" w:hAnsi="Times New Roman"/>
          <w:sz w:val="14"/>
          <w:szCs w:val="14"/>
          <w:color w:val="auto"/>
        </w:rPr>
        <w:t>) as amended and/or supplemented from time to time.</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7" w:name="page488"/>
    <w:bookmarkEnd w:id="487"/>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Danish Loan Party</w:t>
      </w:r>
      <w:r>
        <w:rPr>
          <w:rFonts w:ascii="Times New Roman" w:cs="Times New Roman" w:eastAsia="Times New Roman" w:hAnsi="Times New Roman"/>
          <w:sz w:val="14"/>
          <w:szCs w:val="14"/>
          <w:color w:val="auto"/>
        </w:rPr>
        <w:t>” shall mean the Parent and any Loan Party that is a Danish Subsidiary.</w:t>
      </w:r>
    </w:p>
    <w:p>
      <w:pPr>
        <w:spacing w:after="0" w:line="163"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Danish Security Documents</w:t>
      </w:r>
      <w:r>
        <w:rPr>
          <w:rFonts w:ascii="Times New Roman" w:cs="Times New Roman" w:eastAsia="Times New Roman" w:hAnsi="Times New Roman"/>
          <w:sz w:val="14"/>
          <w:szCs w:val="14"/>
          <w:color w:val="auto"/>
        </w:rPr>
        <w:t>” shall mean (a) a first ranking assignment agreement of material intercompany receivables by the Parent as assignor and the Collateral Agent as assignee and as agent and representative for the Secured Parties and (b) a first ranking floating charge agreement relating to certain assets of the Parent by the Parent as chargor and the Collateral Agent as chargee and as agent and representative for the Secured Parties.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Danish Subsidiary</w:t>
      </w:r>
      <w:r>
        <w:rPr>
          <w:rFonts w:ascii="Times New Roman" w:cs="Times New Roman" w:eastAsia="Times New Roman" w:hAnsi="Times New Roman"/>
          <w:sz w:val="14"/>
          <w:szCs w:val="14"/>
          <w:color w:val="auto"/>
        </w:rPr>
        <w:t>” shall mean any Subsidiary that is organized, formed or registered (as applicable) under the laws of Denmark.</w:t>
      </w:r>
    </w:p>
    <w:p>
      <w:pPr>
        <w:spacing w:after="0" w:line="163" w:lineRule="exact"/>
        <w:rPr>
          <w:sz w:val="20"/>
          <w:szCs w:val="20"/>
          <w:color w:val="auto"/>
        </w:rPr>
      </w:pPr>
    </w:p>
    <w:p>
      <w:pPr>
        <w:jc w:val="both"/>
        <w:ind w:right="6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Privacy Laws</w:t>
      </w:r>
      <w:r>
        <w:rPr>
          <w:rFonts w:ascii="Times New Roman" w:cs="Times New Roman" w:eastAsia="Times New Roman" w:hAnsi="Times New Roman"/>
          <w:sz w:val="14"/>
          <w:szCs w:val="14"/>
          <w:color w:val="auto"/>
        </w:rPr>
        <w:t>” shall mean all applicable laws (including common law), rules, regulations, codes, ordinances, orders, decrees or judgments, promulgated or entered into by any Governmental Authority, governing the transmission, storage, security, use or protection of Personal Information.</w:t>
      </w:r>
    </w:p>
    <w:p>
      <w:pPr>
        <w:spacing w:after="0" w:line="105"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Debtor Relief Laws</w:t>
      </w:r>
      <w:r>
        <w:rPr>
          <w:rFonts w:ascii="Times New Roman" w:cs="Times New Roman" w:eastAsia="Times New Roman" w:hAnsi="Times New Roman"/>
          <w:sz w:val="14"/>
          <w:szCs w:val="14"/>
          <w:color w:val="auto"/>
        </w:rPr>
        <w:t>” shall mean the Bankruptcy Code and all other liquidation, conservatorship, bankruptcy, assignment for the benefit of creditors, moratorium, rearrangement, receivership, examinership, insolvency, reorganization or similar debtor relief laws of the United States of America, Denmark, The Netherlands or other applicable jurisdictions from time to time in effect.</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Declined Prepayment Amount</w:t>
      </w:r>
      <w:r>
        <w:rPr>
          <w:rFonts w:ascii="Times New Roman" w:cs="Times New Roman" w:eastAsia="Times New Roman" w:hAnsi="Times New Roman"/>
          <w:sz w:val="14"/>
          <w:szCs w:val="14"/>
          <w:color w:val="auto"/>
        </w:rPr>
        <w:t>” shall have the meaning assigned to such term in Section 2.10(d).</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Declining Term Lender</w:t>
      </w:r>
      <w:r>
        <w:rPr>
          <w:rFonts w:ascii="Times New Roman" w:cs="Times New Roman" w:eastAsia="Times New Roman" w:hAnsi="Times New Roman"/>
          <w:sz w:val="14"/>
          <w:szCs w:val="14"/>
          <w:color w:val="auto"/>
        </w:rPr>
        <w:t>” shall have the meaning assigned to such term in Section 2.10(d).</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shall mean any event or condition that upon notice, lapse of time or both would constitute an Event of Default.</w:t>
      </w:r>
    </w:p>
    <w:p>
      <w:pPr>
        <w:spacing w:after="0" w:line="163"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Defaulting Lender</w:t>
      </w:r>
      <w:r>
        <w:rPr>
          <w:rFonts w:ascii="Times New Roman" w:cs="Times New Roman" w:eastAsia="Times New Roman" w:hAnsi="Times New Roman"/>
          <w:sz w:val="14"/>
          <w:szCs w:val="14"/>
          <w:color w:val="auto"/>
        </w:rPr>
        <w:t>” shall mean, subject to Section 2.24, any Lender that (a) has failed to (i) fund all or any portion of its Loans within two (2) Business Days of the date such Loans were required to be funded hereunder or (ii) pay to the Administrative Agent, any Issuing Bank or any other Lender any other amount required to be paid by it hereunder (including in respect of its participation in Letters of Credit) within two (2) Business Days of the date when due, (b) has notified the Parent, the Administrative Agent or any Issuing Bank in writing that it does not intend or expect to comply with its funding obligations hereunder or generally under other agreements in which it commits to extend credit, or has made a public statement to that effect, (c) has failed, within three (3) Business Days after written request by the Administrative Agent or the Parent, to confirm in writing to the Administrative Agent and the Parent that it will comply with its prospective funding obligations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Lender shall cease to be a Defaulting Lender pursuant to this clause (c) upon receipt of such written confirmation by the Administrative Agent and the Parent)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w:t>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488" w:name="page489"/>
    <w:bookmarkEnd w:id="488"/>
    <w:p>
      <w:pPr>
        <w:spacing w:after="0" w:line="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 upon delivery of written notice of such determination by the Administrative Agent to the Parent, each Issuing Bank and each Lender.</w:t>
      </w:r>
    </w:p>
    <w:p>
      <w:pPr>
        <w:spacing w:after="0" w:line="2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Borrower Notice</w:t>
      </w:r>
      <w:r>
        <w:rPr>
          <w:rFonts w:ascii="Times New Roman" w:cs="Times New Roman" w:eastAsia="Times New Roman" w:hAnsi="Times New Roman"/>
          <w:sz w:val="14"/>
          <w:szCs w:val="14"/>
          <w:color w:val="auto"/>
        </w:rPr>
        <w:t>” shall have the meaning assigned to such term in Section 2.26(a).</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Borrower Request and Joinder Agreement</w:t>
      </w:r>
      <w:r>
        <w:rPr>
          <w:rFonts w:ascii="Times New Roman" w:cs="Times New Roman" w:eastAsia="Times New Roman" w:hAnsi="Times New Roman"/>
          <w:sz w:val="14"/>
          <w:szCs w:val="14"/>
          <w:color w:val="auto"/>
        </w:rPr>
        <w:t xml:space="preserve"> ” shall mean, with respect to any Designated Borrower, an agreement substantially in the form of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 xml:space="preserve"> hereto (or such other form as shall be approved by the Administrative Agent and the Parent (such approval not to be unreasonably withheld or delayed)) signed by such Designated Borrower and the Parent and countersigned by the Administrative Agent and each Revolving Lender.</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Borrower Requirements</w:t>
      </w:r>
      <w:r>
        <w:rPr>
          <w:rFonts w:ascii="Times New Roman" w:cs="Times New Roman" w:eastAsia="Times New Roman" w:hAnsi="Times New Roman"/>
          <w:sz w:val="14"/>
          <w:szCs w:val="14"/>
          <w:color w:val="auto"/>
        </w:rPr>
        <w:t>” shall have the meaning assigned to such term in Section 2.26(a).</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Borrowers</w:t>
      </w:r>
      <w:r>
        <w:rPr>
          <w:rFonts w:ascii="Times New Roman" w:cs="Times New Roman" w:eastAsia="Times New Roman" w:hAnsi="Times New Roman"/>
          <w:sz w:val="14"/>
          <w:szCs w:val="14"/>
          <w:color w:val="auto"/>
        </w:rPr>
        <w:t>” shall mean such Subsidiaries of the Parent (other than the U.S. Co-Borrower) as the Parent may designate in writing to the Administrative Agent from time to time subject to the terms and conditions set forth in Section 2.26 hereof.</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Gross Amount</w:t>
      </w:r>
      <w:r>
        <w:rPr>
          <w:rFonts w:ascii="Times New Roman" w:cs="Times New Roman" w:eastAsia="Times New Roman" w:hAnsi="Times New Roman"/>
          <w:sz w:val="14"/>
          <w:szCs w:val="14"/>
          <w:color w:val="auto"/>
        </w:rPr>
        <w:t>” shall have the meaning assigned to such term in Section 2.14(a)(ii)(4).</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Jurisdiction</w:t>
      </w:r>
      <w:r>
        <w:rPr>
          <w:rFonts w:ascii="Times New Roman" w:cs="Times New Roman" w:eastAsia="Times New Roman" w:hAnsi="Times New Roman"/>
          <w:sz w:val="14"/>
          <w:szCs w:val="14"/>
          <w:color w:val="auto"/>
        </w:rPr>
        <w:t>” shall mean each of the United States, the United Kingdom, Norway, Switzerland or any member state in the European Union.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Net Amount</w:t>
      </w:r>
      <w:r>
        <w:rPr>
          <w:rFonts w:ascii="Times New Roman" w:cs="Times New Roman" w:eastAsia="Times New Roman" w:hAnsi="Times New Roman"/>
          <w:sz w:val="14"/>
          <w:szCs w:val="14"/>
          <w:color w:val="auto"/>
        </w:rPr>
        <w:t>” shall have the meaning assigned to such term in Section 2.14(a)(ii)(4).</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Non-Cash Consideration</w:t>
      </w:r>
      <w:r>
        <w:rPr>
          <w:rFonts w:ascii="Times New Roman" w:cs="Times New Roman" w:eastAsia="Times New Roman" w:hAnsi="Times New Roman"/>
          <w:sz w:val="14"/>
          <w:szCs w:val="14"/>
          <w:color w:val="auto"/>
        </w:rPr>
        <w:t>” shall mean the Fair Market Value of non-cash consideration received by the Parent or one of the Subsidiaries in connection with an Asset Sale that is so designated as Designated Non-Cash Consideration pursuant to a certificate of a Responsible Officer of the Parent, setting forth such valuation, less the amount of cash and Permitted Investments received in connection with a subsequent disposition of such non-cash consideration.</w:t>
      </w:r>
    </w:p>
    <w:p>
      <w:pPr>
        <w:spacing w:after="0" w:line="117"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Disinterested Director</w:t>
      </w:r>
      <w:r>
        <w:rPr>
          <w:rFonts w:ascii="Times New Roman" w:cs="Times New Roman" w:eastAsia="Times New Roman" w:hAnsi="Times New Roman"/>
          <w:sz w:val="14"/>
          <w:szCs w:val="14"/>
          <w:color w:val="auto"/>
        </w:rPr>
        <w:t>” shall mean, with respect to any person and transaction, a member of the Board of Directors of such person who does not have any material direct or indirect financial interest in or with respect to such transaction.</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Dispose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Disposed of</w:t>
      </w:r>
      <w:r>
        <w:rPr>
          <w:rFonts w:ascii="Times New Roman" w:cs="Times New Roman" w:eastAsia="Times New Roman" w:hAnsi="Times New Roman"/>
          <w:sz w:val="14"/>
          <w:szCs w:val="14"/>
          <w:color w:val="auto"/>
        </w:rPr>
        <w:t>” shall mean to convey, sell, lease, sell and lease-back, assign, farm-out, transfer or otherwise dispose (not including Liens) of, or exclusively license, any property, business or asset. The term “</w:t>
      </w: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shall have a correlative meaning to the foregoing.</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Lender</w:t>
      </w:r>
      <w:r>
        <w:rPr>
          <w:rFonts w:ascii="Times New Roman" w:cs="Times New Roman" w:eastAsia="Times New Roman" w:hAnsi="Times New Roman"/>
          <w:sz w:val="14"/>
          <w:szCs w:val="14"/>
          <w:color w:val="auto"/>
        </w:rPr>
        <w:t>” shall mean (a) any person identified by the Parent in writing to MSSF on or prior to September 29, 2025, (b) competitors of the Parent or of any of its subsidiaries or</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89" w:name="page490"/>
    <w:bookmarkEnd w:id="489"/>
    <w:p>
      <w:pPr>
        <w:spacing w:after="0" w:line="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competitors of Merus or any of its subsidiaries (each, a “ </w:t>
      </w:r>
      <w:r>
        <w:rPr>
          <w:rFonts w:ascii="Times New Roman" w:cs="Times New Roman" w:eastAsia="Times New Roman" w:hAnsi="Times New Roman"/>
          <w:sz w:val="14"/>
          <w:szCs w:val="14"/>
          <w:u w:val="single" w:color="auto"/>
          <w:color w:val="auto"/>
        </w:rPr>
        <w:t>Competitor</w:t>
      </w:r>
      <w:r>
        <w:rPr>
          <w:rFonts w:ascii="Times New Roman" w:cs="Times New Roman" w:eastAsia="Times New Roman" w:hAnsi="Times New Roman"/>
          <w:sz w:val="14"/>
          <w:szCs w:val="14"/>
          <w:color w:val="auto"/>
        </w:rPr>
        <w:t xml:space="preserve">”) that are identified by the Parent in writing (i) to MSSF, on or prior to September 29, 2025 or from time to time after September 29, 2025 and prior to the Closing Date or (ii) to the Administrative Agent from time to time after the Closing Date or (c) an Affiliate of any person described in clause (a) or (b) above (other than, in the case of any Competitor, any of its Affiliates that is a bona fide debt fund that purchases commercial loans or debt securities in the ordinary course of business, other than debt funds excluded pursuant to clause (a) above) that is (i) reasonably identifiable as such an Affiliate solely on the basis of its name or (ii) identified by the Parent in writing (A) to MSSF, on or prior to September 29, 2025 or, in the case of Affiliates of Competitors, from time to time after September 29, 2025 and prior to the Closing Date or (B) to the Administrative Agent from time to time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designation of any person as a Disqualified Lender shall become effective two Business Days after such designation;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 such written identification of any Disqualified Lender pursuant to clause (a), (b) or (c) above after the Closing Date shall apply retroactively to disqualify any person from being a Lender to the extent that such person has already entered into a binding trade confirmation to become a Lender or is a party to a pending assignment or participation interest in any Loan or Commitment, in each case prior to such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none of the Initial Lenders or any of their respective affiliates shall be identified as a Disqualified Lender by the Parent.</w:t>
      </w:r>
    </w:p>
    <w:p>
      <w:pPr>
        <w:spacing w:after="0" w:line="128" w:lineRule="exact"/>
        <w:rPr>
          <w:sz w:val="20"/>
          <w:szCs w:val="20"/>
          <w:color w:val="auto"/>
        </w:rPr>
      </w:pPr>
    </w:p>
    <w:p>
      <w:pPr>
        <w:jc w:val="both"/>
        <w:ind w:right="20"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Stock</w:t>
      </w:r>
      <w:r>
        <w:rPr>
          <w:rFonts w:ascii="Times New Roman" w:cs="Times New Roman" w:eastAsia="Times New Roman" w:hAnsi="Times New Roman"/>
          <w:sz w:val="14"/>
          <w:szCs w:val="14"/>
          <w:color w:val="auto"/>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such person), pursuant to a sinking fund obligation or otherwise, (b) is redeemable at the option of the holder thereof (other than solely for Qualified Equity Interests of such person), in whole or in part, (c) provides for the scheduled, mandatory payments of dividends in cash, or (d) is or becomes convertible into or exchangeable for Indebtedness or any other Equity Interests that would constitute Disqualified Stock, in the case of each of the foregoing clauses (a), (b), (c) and (d), prior to the date that is ninety-one</w:t>
      </w:r>
    </w:p>
    <w:p>
      <w:pPr>
        <w:spacing w:after="0" w:line="2" w:lineRule="exact"/>
        <w:rPr>
          <w:sz w:val="20"/>
          <w:szCs w:val="20"/>
          <w:color w:val="auto"/>
        </w:rPr>
      </w:pPr>
    </w:p>
    <w:p>
      <w:pPr>
        <w:jc w:val="both"/>
        <w:ind w:right="20" w:firstLine="6"/>
        <w:spacing w:after="0" w:line="257" w:lineRule="auto"/>
        <w:tabs>
          <w:tab w:leader="none" w:pos="274" w:val="left"/>
        </w:tabs>
        <w:numPr>
          <w:ilvl w:val="0"/>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only the portion of the Equity Interests that so mature or are mandatorily redeemable, are so convertible or exchangeable or are so redeemable at the option of the holder thereof prior to such date shall be deemed to be Disqualified Stock). Notwithstanding the foregoing: (i) any Equity Interests issued to any employee or to any plan for the benefit of employees of a person or its subsidiaries or by any such plan to such employees shall not constitute Disqualified Stock solely because they may be required to be repurchased by such person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Stock shall not be deemed to be Disqualified Stock.</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DKK</w:t>
      </w:r>
      <w:r>
        <w:rPr>
          <w:rFonts w:ascii="Times New Roman" w:cs="Times New Roman" w:eastAsia="Times New Roman" w:hAnsi="Times New Roman"/>
          <w:sz w:val="14"/>
          <w:szCs w:val="14"/>
          <w:color w:val="auto"/>
        </w:rPr>
        <w:t>” shall mean the lawful money of Denmark.</w:t>
      </w:r>
    </w:p>
    <w:p>
      <w:pPr>
        <w:spacing w:after="0" w:line="163"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Dollar Equivalent</w:t>
      </w:r>
      <w:r>
        <w:rPr>
          <w:rFonts w:ascii="Times New Roman" w:cs="Times New Roman" w:eastAsia="Times New Roman" w:hAnsi="Times New Roman"/>
          <w:sz w:val="14"/>
          <w:szCs w:val="14"/>
          <w:color w:val="auto"/>
        </w:rPr>
        <w:t>” shall mean, for any amount, at the time of determination thereof, (a) if such amount is expressed in Dollars, such amount and (b) if such amount is expressed in a currency other than Dollars, the equivalent of such amount in Dollars determined by using the rate of exchange for the purchase of Dollars with such currency last provided (either by publication or otherwise provided to the Administrative Agent or the applicable Issuing Bank, as applicable) by the applicable Bloomberg source (or such other publicly available source for displaying exchange rates) on date that is two (2)</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490" w:name="page491"/>
    <w:bookmarkEnd w:id="490"/>
    <w:p>
      <w:pPr>
        <w:spacing w:after="0" w:line="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Business Days immediately preceding the date of determination (or if such service ceases to be available or ceases to provide such rate of exchange, the equivalent of such amount in Dollars as determined by the Administrative Agent or the applicable Issuing Bank, as applicable, using any method of determination it deems appropriate in its sole discretion). Any determination by the Administrative Agent or an Issuing Bank pursuant to clause (b) above shall be conclusive absent manifest error.</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Dollars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shall mean lawful money of the United States of America.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Domestic Subsidiary</w:t>
      </w:r>
      <w:r>
        <w:rPr>
          <w:rFonts w:ascii="Times New Roman" w:cs="Times New Roman" w:eastAsia="Times New Roman" w:hAnsi="Times New Roman"/>
          <w:sz w:val="14"/>
          <w:szCs w:val="14"/>
          <w:color w:val="auto"/>
        </w:rPr>
        <w:t>” shall mean any Subsidiary that is not a Foreign Subsidiary.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DQ List</w:t>
      </w:r>
      <w:r>
        <w:rPr>
          <w:rFonts w:ascii="Times New Roman" w:cs="Times New Roman" w:eastAsia="Times New Roman" w:hAnsi="Times New Roman"/>
          <w:sz w:val="14"/>
          <w:szCs w:val="14"/>
          <w:color w:val="auto"/>
        </w:rPr>
        <w:t>” shall have the meaning assigned to such term in Section 9.04(i)(iv).</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Dutch Loan Party</w:t>
      </w:r>
      <w:r>
        <w:rPr>
          <w:rFonts w:ascii="Times New Roman" w:cs="Times New Roman" w:eastAsia="Times New Roman" w:hAnsi="Times New Roman"/>
          <w:sz w:val="14"/>
          <w:szCs w:val="14"/>
          <w:color w:val="auto"/>
        </w:rPr>
        <w:t>” shall mean a Loan Party incorporated under the laws of The Netherlands.</w:t>
      </w:r>
    </w:p>
    <w:p>
      <w:pPr>
        <w:spacing w:after="0" w:line="163" w:lineRule="exact"/>
        <w:rPr>
          <w:sz w:val="20"/>
          <w:szCs w:val="20"/>
          <w:color w:val="auto"/>
        </w:rPr>
      </w:pPr>
    </w:p>
    <w:p>
      <w:pPr>
        <w:jc w:val="both"/>
        <w:ind w:firstLine="914"/>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Dutch Security Documents</w:t>
      </w:r>
      <w:r>
        <w:rPr>
          <w:rFonts w:ascii="Times New Roman" w:cs="Times New Roman" w:eastAsia="Times New Roman" w:hAnsi="Times New Roman"/>
          <w:sz w:val="14"/>
          <w:szCs w:val="14"/>
          <w:color w:val="auto"/>
        </w:rPr>
        <w:t>” shall mean (i) a first ranking notarial deed of pledge of shares relating to the shares in Genmab B.V. between Genmab Holding B.V. as pledgor, the Collateral Agent as pledgee and Genmab B.V. as company whose shares are being pledged, (ii) a first ranking notarial deed of pledge of shares relating to the shares in Genmab Holding B.V. between Genmab A/S as pledgor, the Collateral Agent as pledgee and Genmab Holding B.V. as the company whose shares are being pledged, (iii) a first ranking notarial deed of pledge of shares relating to the shares in Genmab Holding II B.V. between Genmab A/S as pledgor, the Collateral Agent as pledgee and Genmab Holding II B.V. as the company whose shares are being pledged, (iv) a first ranking omnibus security agreement pursuant to which each of Genmab B.V., Genmab Holding B.V., Genmab Holding II B.V. and any other Subsidiary to the extent it has assets in The Netherlands, pledges its movable assets, receivables (including in particular material bank account receivables, material intercompany receivables, trade receivables, and material insurance receivables) and Intellectual Property and (v) a first ranking pledge agreement relating to certain Intellectual Property owned by Genmab A/S between Genmab A/S as pledgor and the Collateral Agent, as pledgee.</w:t>
      </w:r>
    </w:p>
    <w:p>
      <w:pPr>
        <w:spacing w:after="0" w:line="128" w:lineRule="exact"/>
        <w:rPr>
          <w:sz w:val="20"/>
          <w:szCs w:val="20"/>
          <w:color w:val="auto"/>
        </w:rPr>
      </w:pPr>
    </w:p>
    <w:p>
      <w:pPr>
        <w:jc w:val="both"/>
        <w:ind w:firstLine="914"/>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Financial Institution</w:t>
      </w:r>
      <w:r>
        <w:rPr>
          <w:rFonts w:ascii="Times New Roman" w:cs="Times New Roman" w:eastAsia="Times New Roman" w:hAnsi="Times New Roman"/>
          <w:sz w:val="14"/>
          <w:szCs w:val="14"/>
          <w:color w:val="auto"/>
        </w:rPr>
        <w:t xml:space="preserve"> ”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Member Country</w:t>
      </w:r>
      <w:r>
        <w:rPr>
          <w:rFonts w:ascii="Times New Roman" w:cs="Times New Roman" w:eastAsia="Times New Roman" w:hAnsi="Times New Roman"/>
          <w:sz w:val="14"/>
          <w:szCs w:val="14"/>
          <w:color w:val="auto"/>
        </w:rPr>
        <w:t>” shall mean any of the member states of the European Union, Iceland, Liechtenstein, and Norway.</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Resolution Authority</w:t>
      </w:r>
      <w:r>
        <w:rPr>
          <w:rFonts w:ascii="Times New Roman" w:cs="Times New Roman" w:eastAsia="Times New Roman" w:hAnsi="Times New Roman"/>
          <w:sz w:val="14"/>
          <w:szCs w:val="14"/>
          <w:color w:val="auto"/>
        </w:rPr>
        <w:t xml:space="preserve"> ” shall mean any public administrative authority or any person entrusted with public administrative authority of any EEA Member Country (including any delegee) having responsibility for the resolution of any EEA Financial Institution.</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Copy</w:t>
      </w:r>
      <w:r>
        <w:rPr>
          <w:rFonts w:ascii="Times New Roman" w:cs="Times New Roman" w:eastAsia="Times New Roman" w:hAnsi="Times New Roman"/>
          <w:sz w:val="14"/>
          <w:szCs w:val="14"/>
          <w:color w:val="auto"/>
        </w:rPr>
        <w:t>” shall have the meaning assigned to such term in Section 9.13.</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w:t>
      </w:r>
      <w:r>
        <w:rPr>
          <w:rFonts w:ascii="Times New Roman" w:cs="Times New Roman" w:eastAsia="Times New Roman" w:hAnsi="Times New Roman"/>
          <w:sz w:val="14"/>
          <w:szCs w:val="14"/>
          <w:color w:val="auto"/>
        </w:rPr>
        <w:t>” shall mean ambient and indoor air, surface water and groundwater (including potable water, navigable water and wetlands), the land surface or subsurface strata, natural resources such as flora and fauna, or as otherwise defined in any Environmental Law.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491" w:name="page492"/>
    <w:bookmarkEnd w:id="491"/>
    <w:p>
      <w:pPr>
        <w:spacing w:after="0" w:line="34"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shall mean all applicable laws (including common law), rules, regulations, codes, ordinances, orders, binding agreements, decrees or judgments, promulgated or entered into by or with any Governmental Authority, relating in any way to the Environment, preservation or reclamation of natural resources, any Hazardous Materials or to public or employee health and safety matters (to the extent relating to the Environment or Hazardous Materials).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Permits</w:t>
      </w:r>
      <w:r>
        <w:rPr>
          <w:rFonts w:ascii="Times New Roman" w:cs="Times New Roman" w:eastAsia="Times New Roman" w:hAnsi="Times New Roman"/>
          <w:sz w:val="14"/>
          <w:szCs w:val="14"/>
          <w:color w:val="auto"/>
        </w:rPr>
        <w:t>” shall have the meaning assigned to such term in Section 3.16.</w:t>
      </w:r>
    </w:p>
    <w:p>
      <w:pPr>
        <w:spacing w:after="0" w:line="163"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any Indebtedness convertible into or exchangeable for such Equity Interests.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shall mean the Employee Retirement Income Security Act of 1974, as amended from time to time, and the regulations promulgated and rulings issued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thereunder.</w:t>
      </w:r>
    </w:p>
    <w:p>
      <w:pPr>
        <w:spacing w:after="0" w:line="149"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xml:space="preserve"> ” shall mean any trade or business (whether or not incorporated) that, together with the Parent or a Subsidiary, is treated as a single employer under Section 414(b) or (c) of the Code, or, solely for purposes of Section 302 of ERISA and Section 412 of the Code, is treated as a single employer under Section 414 of the Code.</w:t>
      </w:r>
    </w:p>
    <w:p>
      <w:pPr>
        <w:spacing w:after="0" w:line="105" w:lineRule="exact"/>
        <w:rPr>
          <w:sz w:val="20"/>
          <w:szCs w:val="20"/>
          <w:color w:val="auto"/>
        </w:rPr>
      </w:pPr>
    </w:p>
    <w:p>
      <w:pPr>
        <w:ind w:firstLine="914"/>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Event</w:t>
      </w:r>
      <w:r>
        <w:rPr>
          <w:rFonts w:ascii="Times New Roman" w:cs="Times New Roman" w:eastAsia="Times New Roman" w:hAnsi="Times New Roman"/>
          <w:sz w:val="14"/>
          <w:szCs w:val="14"/>
          <w:color w:val="auto"/>
        </w:rPr>
        <w:t>” 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reasonably expected to be, in “at-risk” status (as defined in Section 303(i)(4) of ERISA or Section 430(i)(4) of the Code); (d)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by its due date any required contribution to a Multiemployer Plan; (e) the incurrence by the Parent, a Subsidiary or any ERISA Affiliate of any liability under Title IV of ERISA with respect to the termination of any Plan or Multiemployer Plan; (f) the receipt by the Parent, a Subsidiary or any ERISA Affiliate from the PBGC or a plan administrator of any notice relating to an intention to terminate any Plan or to appoint a trustee to administer any Plan under Section 4042 of ERISA; (g) the incurrence by the Parent, a Subsidiary or any ERISA Affiliate of any liability with respect to the withdrawal or partial withdrawal from any Plan or Multiemployer Plan; (h) the receipt by the Parent, a Subsidiary or any ERISA Affiliate of any notice, or the receipt by any Multiemployer Plan from the Parent, a Subsidiary or any ERISA Affiliate of any notice, concerning the imposition of Withdrawal Liability or a determination that a Multiemployer Plan is, or is reasonably expected to be, insolvent or in reorganization, within the meaning of Title IV of ERISA, or in “endangered” or “critical” status, within the meaning of Section 432 of the Code or Section 305 of ERISA; (i) the conditions for imposition of a lien under Section 303(k) of ERISA shall have been met with respect to any Plan; or (j) the withdrawal of any of the Parent,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492" w:name="page493"/>
    <w:bookmarkEnd w:id="492"/>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Erroneous Payment</w:t>
      </w:r>
      <w:r>
        <w:rPr>
          <w:rFonts w:ascii="Times New Roman" w:cs="Times New Roman" w:eastAsia="Times New Roman" w:hAnsi="Times New Roman"/>
          <w:sz w:val="14"/>
          <w:szCs w:val="14"/>
          <w:color w:val="auto"/>
        </w:rPr>
        <w:t>” shall have the meaning assigned to such term in Section 8.17(a).</w:t>
      </w:r>
    </w:p>
    <w:p>
      <w:pPr>
        <w:spacing w:after="0" w:line="163"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Bail-In Legislation Schedule</w:t>
      </w:r>
      <w:r>
        <w:rPr>
          <w:rFonts w:ascii="Times New Roman" w:cs="Times New Roman" w:eastAsia="Times New Roman" w:hAnsi="Times New Roman"/>
          <w:sz w:val="14"/>
          <w:szCs w:val="14"/>
          <w:color w:val="auto"/>
        </w:rPr>
        <w:t>” shall mean the EU Bail-In Legislation Schedule published by the Loan Market Association (or any successor person), as in effect from time to time.</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Insolvency Regulation</w:t>
      </w:r>
      <w:r>
        <w:rPr>
          <w:rFonts w:ascii="Times New Roman" w:cs="Times New Roman" w:eastAsia="Times New Roman" w:hAnsi="Times New Roman"/>
          <w:sz w:val="14"/>
          <w:szCs w:val="14"/>
          <w:color w:val="auto"/>
        </w:rPr>
        <w:t>” shall mean Regulation (EU) 2015/848 of the European Parliament and of the Council of 20 May 2015 on insolvency proceedings (recast).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Loan Party</w:t>
      </w:r>
      <w:r>
        <w:rPr>
          <w:rFonts w:ascii="Times New Roman" w:cs="Times New Roman" w:eastAsia="Times New Roman" w:hAnsi="Times New Roman"/>
          <w:sz w:val="14"/>
          <w:szCs w:val="14"/>
          <w:color w:val="auto"/>
        </w:rPr>
        <w:t>” shall mean a Loan Party incorporated in, or under the laws of, a Member State of the European Union.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EURIBOR</w:t>
      </w:r>
      <w:r>
        <w:rPr>
          <w:rFonts w:ascii="Times New Roman" w:cs="Times New Roman" w:eastAsia="Times New Roman" w:hAnsi="Times New Roman"/>
          <w:sz w:val="14"/>
          <w:szCs w:val="14"/>
          <w:color w:val="auto"/>
        </w:rPr>
        <w:t>” shall have the meaning assigned to such term in the definition of “Eurocurrency Rate”.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Euro</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shall mean the single currency of the Participating Member States.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Eurocurrency Rate</w:t>
      </w:r>
      <w:r>
        <w:rPr>
          <w:rFonts w:ascii="Times New Roman" w:cs="Times New Roman" w:eastAsia="Times New Roman" w:hAnsi="Times New Roman"/>
          <w:sz w:val="14"/>
          <w:szCs w:val="14"/>
          <w:color w:val="auto"/>
        </w:rPr>
        <w:t>” shall mean, with respect to any Borrowing for any Interest Period:</w:t>
      </w:r>
    </w:p>
    <w:p>
      <w:pPr>
        <w:spacing w:after="0" w:line="163" w:lineRule="exact"/>
        <w:rPr>
          <w:sz w:val="20"/>
          <w:szCs w:val="20"/>
          <w:color w:val="auto"/>
        </w:rPr>
      </w:pPr>
    </w:p>
    <w:p>
      <w:pPr>
        <w:jc w:val="both"/>
        <w:ind w:firstLine="920"/>
        <w:spacing w:after="0" w:line="273" w:lineRule="auto"/>
        <w:tabs>
          <w:tab w:leader="none" w:pos="1272"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denominated in Euros, the greater of (i) the rate per annum equal to the Euro Interbank Offered Rate (“ </w:t>
      </w:r>
      <w:r>
        <w:rPr>
          <w:rFonts w:ascii="Times New Roman" w:cs="Times New Roman" w:eastAsia="Times New Roman" w:hAnsi="Times New Roman"/>
          <w:sz w:val="14"/>
          <w:szCs w:val="14"/>
          <w:u w:val="single" w:color="auto"/>
          <w:color w:val="auto"/>
        </w:rPr>
        <w:t>EURIBOR</w:t>
      </w:r>
      <w:r>
        <w:rPr>
          <w:rFonts w:ascii="Times New Roman" w:cs="Times New Roman" w:eastAsia="Times New Roman" w:hAnsi="Times New Roman"/>
          <w:sz w:val="14"/>
          <w:szCs w:val="14"/>
          <w:color w:val="auto"/>
        </w:rPr>
        <w:t>”) as administered by the European Money Markets Institute (or any other person that takes over the administration of such rate) for a period comparable in length to such Interest Period, at approximately 11:00 a.m. (Brussels time) two Business Days prior to the commencement of such Interest Period; and (ii) the Floor; and</w:t>
      </w:r>
    </w:p>
    <w:p>
      <w:pPr>
        <w:spacing w:after="0" w:line="116" w:lineRule="exact"/>
        <w:rPr>
          <w:rFonts w:ascii="Times New Roman" w:cs="Times New Roman" w:eastAsia="Times New Roman" w:hAnsi="Times New Roman"/>
          <w:sz w:val="14"/>
          <w:szCs w:val="14"/>
          <w:color w:val="auto"/>
        </w:rPr>
      </w:pPr>
    </w:p>
    <w:p>
      <w:pPr>
        <w:ind w:left="1260" w:hanging="340"/>
        <w:spacing w:after="0"/>
        <w:tabs>
          <w:tab w:leader="none" w:pos="1260"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denominated in DKK, the greater of (i) CIBOR and (ii) the Floor.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shall have the meaning assigned to such term in Section 7.01.</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Excess Cash Flow</w:t>
      </w:r>
      <w:r>
        <w:rPr>
          <w:rFonts w:ascii="Times New Roman" w:cs="Times New Roman" w:eastAsia="Times New Roman" w:hAnsi="Times New Roman"/>
          <w:sz w:val="14"/>
          <w:szCs w:val="14"/>
          <w:color w:val="auto"/>
        </w:rPr>
        <w:t>” shall mean, for any period, an amount equal to the excess of:</w:t>
      </w:r>
    </w:p>
    <w:p>
      <w:pPr>
        <w:spacing w:after="0" w:line="153" w:lineRule="exact"/>
        <w:rPr>
          <w:sz w:val="20"/>
          <w:szCs w:val="20"/>
          <w:color w:val="auto"/>
        </w:rPr>
      </w:pPr>
    </w:p>
    <w:p>
      <w:pPr>
        <w:ind w:left="1380" w:hanging="460"/>
        <w:spacing w:after="0"/>
        <w:tabs>
          <w:tab w:leader="none" w:pos="1380"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without duplication, of</w:t>
      </w:r>
    </w:p>
    <w:p>
      <w:pPr>
        <w:spacing w:after="0" w:line="134" w:lineRule="exact"/>
        <w:rPr>
          <w:sz w:val="20"/>
          <w:szCs w:val="20"/>
          <w:color w:val="auto"/>
        </w:rPr>
      </w:pPr>
    </w:p>
    <w:p>
      <w:pPr>
        <w:ind w:left="1380" w:hanging="460"/>
        <w:spacing w:after="0"/>
        <w:tabs>
          <w:tab w:leader="none" w:pos="1380"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of the Parent for such period;</w:t>
      </w:r>
    </w:p>
    <w:p>
      <w:pPr>
        <w:spacing w:after="0" w:line="134"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amount of all non-cash charges to the extent deducted in arriving at such Consolidated Net Income and cash receipts included in clauses (a), (d), (e), (j) and (n) of the definition of Consolidated Net Income and excluded in arriving at such Consolidated Net Income;</w:t>
      </w:r>
    </w:p>
    <w:p>
      <w:pPr>
        <w:spacing w:after="0" w:line="105"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Consolidated Working Capital for such period (other than any such decreases arising from dispositions outside the ordinary course of business by the Parent and the Subsidiaries completed during such period);</w:t>
      </w:r>
    </w:p>
    <w:p>
      <w:pPr>
        <w:spacing w:after="0" w:line="105"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receipts by the Parent and the Subsidiaries in respect of Hedging Agreements during such period to the extent not otherwise included in such Consolidated Net Income; and</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64"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by which Tax expense deducted in determining such Consolidated Net Income for such period exceeded Taxes (including penalties and interest) paid in cash or Tax reserves set aside or payable (without duplication) by the Parent and the Subsidiaries in such period,</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over</w:t>
      </w:r>
      <w:r>
        <w:rPr>
          <w:rFonts w:ascii="Times New Roman" w:cs="Times New Roman" w:eastAsia="Times New Roman" w:hAnsi="Times New Roman"/>
          <w:sz w:val="14"/>
          <w:szCs w:val="14"/>
          <w:color w:val="auto"/>
        </w:rPr>
        <w:t xml:space="preserve"> (b) the sum, without duplication,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93" w:name="page494"/>
    <w:bookmarkEnd w:id="493"/>
    <w:p>
      <w:pPr>
        <w:spacing w:after="0" w:line="22" w:lineRule="exact"/>
        <w:rPr>
          <w:sz w:val="20"/>
          <w:szCs w:val="20"/>
          <w:color w:val="auto"/>
        </w:rPr>
      </w:pPr>
    </w:p>
    <w:p>
      <w:pPr>
        <w:ind w:left="1380" w:hanging="460"/>
        <w:spacing w:after="0"/>
        <w:tabs>
          <w:tab w:leader="none" w:pos="1380" w:val="left"/>
        </w:tabs>
        <w:numPr>
          <w:ilvl w:val="1"/>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amount of all non-cash credits included in arriving at such Consolidated Net Income and cash charges included in clauses (a), (d), (e) and</w:t>
      </w:r>
    </w:p>
    <w:p>
      <w:pPr>
        <w:ind w:left="640" w:hanging="177"/>
        <w:spacing w:after="0"/>
        <w:tabs>
          <w:tab w:leader="none" w:pos="640" w:val="left"/>
        </w:tabs>
        <w:numPr>
          <w:ilvl w:val="0"/>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definition of Consolidated Net Income and included in arriving at such Consolidated Net Income;</w:t>
      </w:r>
    </w:p>
    <w:p>
      <w:pPr>
        <w:spacing w:after="0" w:line="118" w:lineRule="exact"/>
        <w:rPr>
          <w:rFonts w:ascii="Times New Roman" w:cs="Times New Roman" w:eastAsia="Times New Roman" w:hAnsi="Times New Roman"/>
          <w:sz w:val="14"/>
          <w:szCs w:val="14"/>
          <w:color w:val="auto"/>
        </w:rPr>
      </w:pPr>
    </w:p>
    <w:p>
      <w:pPr>
        <w:jc w:val="both"/>
        <w:ind w:left="460" w:right="20" w:firstLine="460"/>
        <w:spacing w:after="0" w:line="221" w:lineRule="auto"/>
        <w:tabs>
          <w:tab w:leader="none" w:pos="1374" w:val="left"/>
        </w:tabs>
        <w:numPr>
          <w:ilvl w:val="1"/>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amounts deducted pursuant to clause (viii) below in prior periods, the amount of Capital Expenditures made in cash during such period by the Parent and the Subsidiaries, except to the extent that such Capital Expenditures or acquisitions were financed with the proceeds of Indebtedness of the Parent or the Subsidiaries (other than under a Revolving Facility), the aggregate amount of all principal payments of Indebtedness of the Parent and the Subsidiaries (including (A) the principal component of payments in respect of Capitalized Lease Obligations and (B) the amount of any scheduled repayment of Term Loans, but excluding (x) all other prepayments of Term Loans, (y) all prepayments of Revolving Loans and (z) all prepayments in respect of loans under any other revolving credit facility, except in the case of clauses (y) and (z) to the extent there is an equivalent permanent reduction in commitments thereunder), except to the extent financed with the proceeds of other Indebtedness (other than under a Revolving Facility) of the Parent or the Subsidiaries;</w:t>
      </w:r>
    </w:p>
    <w:p>
      <w:pPr>
        <w:spacing w:after="0" w:line="114" w:lineRule="exact"/>
        <w:rPr>
          <w:sz w:val="20"/>
          <w:szCs w:val="20"/>
          <w:color w:val="auto"/>
        </w:rPr>
      </w:pPr>
    </w:p>
    <w:p>
      <w:pPr>
        <w:ind w:left="460" w:right="40" w:firstLine="460"/>
        <w:spacing w:after="0" w:line="248" w:lineRule="auto"/>
        <w:tabs>
          <w:tab w:leader="none" w:pos="1374"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Consolidated Working Capital for such period (other than any such increases arising from acquisitions by the Parent and the Subsidiaries completed during such period or the application of purchase (or asset acquisition method) accounting);</w:t>
      </w:r>
    </w:p>
    <w:p>
      <w:pPr>
        <w:spacing w:after="0" w:line="105"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by the Parent and the Subsidiaries during such period in respect of long-term liabilities of the Parent and the Subsidiaries other than Indebtedness, to the extent not already deducted from Consolidated Net Income;</w:t>
      </w:r>
    </w:p>
    <w:p>
      <w:pPr>
        <w:spacing w:after="0" w:line="105" w:lineRule="exact"/>
        <w:rPr>
          <w:rFonts w:ascii="Times New Roman" w:cs="Times New Roman" w:eastAsia="Times New Roman" w:hAnsi="Times New Roman"/>
          <w:sz w:val="14"/>
          <w:szCs w:val="14"/>
          <w:color w:val="auto"/>
        </w:rPr>
      </w:pPr>
    </w:p>
    <w:p>
      <w:pPr>
        <w:jc w:val="both"/>
        <w:ind w:left="460" w:right="20" w:firstLine="460"/>
        <w:spacing w:after="0" w:line="228" w:lineRule="auto"/>
        <w:tabs>
          <w:tab w:leader="none" w:pos="1364"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amounts deducted pursuant to clause (viii) below in prior fiscal years, the aggregate amount of cash consideration paid by the Parent and the Subsidiaries (on a consolidated basis) in connection with Investments (including acquisitions) made during such period pursuant to Section 6.04 (except for those Investments made under Section 6.04(b), (c), (e)(iii) and (j)(Y) (other than any Investments made in reliance on clause (a)(x) or (a)(y) of the definition of Available Amount)) to the extent that such Investments were financed with internally generated cash flow of the Parent and the Subsidiaries;</w:t>
      </w:r>
    </w:p>
    <w:p>
      <w:pPr>
        <w:spacing w:after="0" w:line="111"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Restricted Payments during such period (on a consolidated basis) by the Parent and the Subsidiaries made in compliance with Section 6.06 (other than Section 6.06(a), 6.06(b) and 6.06(c)) to the extent such Restricted Payments were financed with internally generated cash flow of the Parent and the Subsidiaries;</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any premium, make-whole or penalty payments actually paid in cash by the Parent and the Subsidiaries during such period that are made in connection with any prepayment of Indebtedness to the extent that such payments are not deducted in calculating Consolidated Net Income;</w:t>
      </w:r>
    </w:p>
    <w:p>
      <w:pPr>
        <w:spacing w:after="0" w:line="105" w:lineRule="exact"/>
        <w:rPr>
          <w:rFonts w:ascii="Times New Roman" w:cs="Times New Roman" w:eastAsia="Times New Roman" w:hAnsi="Times New Roman"/>
          <w:sz w:val="14"/>
          <w:szCs w:val="14"/>
          <w:color w:val="auto"/>
        </w:rPr>
      </w:pPr>
    </w:p>
    <w:p>
      <w:pPr>
        <w:jc w:val="both"/>
        <w:ind w:left="460" w:right="40" w:firstLine="460"/>
        <w:spacing w:after="0" w:line="223" w:lineRule="auto"/>
        <w:tabs>
          <w:tab w:leader="none" w:pos="1374"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amounts deducted from Excess Cash Flow in prior periods, the aggregate consideration required to be paid in cash by the Parent or any of the Subsidiaries pursuant to binding contracts (the “</w:t>
      </w:r>
      <w:r>
        <w:rPr>
          <w:rFonts w:ascii="Times New Roman" w:cs="Times New Roman" w:eastAsia="Times New Roman" w:hAnsi="Times New Roman"/>
          <w:sz w:val="14"/>
          <w:szCs w:val="14"/>
          <w:u w:val="single" w:color="auto"/>
          <w:color w:val="auto"/>
        </w:rPr>
        <w:t>Contract Consideration</w:t>
      </w:r>
      <w:r>
        <w:rPr>
          <w:rFonts w:ascii="Times New Roman" w:cs="Times New Roman" w:eastAsia="Times New Roman" w:hAnsi="Times New Roman"/>
          <w:sz w:val="14"/>
          <w:szCs w:val="14"/>
          <w:color w:val="auto"/>
        </w:rPr>
        <w:t xml:space="preserve">”) entered into prior to or during such period relating to Permitted Business Acquisitions, Capital Expenditures or acquisitions of Intellectual Property to be consummated or made during the period of four consecutive fiscal quarters of the Parent following the end of such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the aggregate amount of internally generated cash actually utilized to finance such Permitted Business Acquisitions, Capital Expenditures or acquisitions of Intellectual Property during such period of four consecutive fiscal quarters is less than the Contract Consideration, the amount of such shortfall shall be added to the calculation of Excess Cash Flow at the end of such period of four consecutive fiscal quarters;</w:t>
      </w:r>
    </w:p>
    <w:p>
      <w:pPr>
        <w:spacing w:after="0" w:line="111"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Taxes (including penalties and interest) paid in cash or Tax reserves set aside or payable (without duplication) in such period to the extent they exceed the amount of Tax expense deducted in determining Consolidated Net Income for such period; and</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494" w:name="page495"/>
    <w:bookmarkEnd w:id="494"/>
    <w:p>
      <w:pPr>
        <w:spacing w:after="0" w:line="24" w:lineRule="exact"/>
        <w:rPr>
          <w:sz w:val="20"/>
          <w:szCs w:val="20"/>
          <w:color w:val="auto"/>
        </w:rPr>
      </w:pPr>
    </w:p>
    <w:p>
      <w:pPr>
        <w:ind w:left="920" w:right="820"/>
        <w:spacing w:after="0" w:line="472" w:lineRule="auto"/>
        <w:tabs>
          <w:tab w:leader="none" w:pos="1367"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expenditures in respect of Hedging Agreements during such fiscal year to the extent not deducted in arriving at such Consolidated Net Income. “</w:t>
      </w:r>
      <w:r>
        <w:rPr>
          <w:rFonts w:ascii="Times New Roman" w:cs="Times New Roman" w:eastAsia="Times New Roman" w:hAnsi="Times New Roman"/>
          <w:sz w:val="14"/>
          <w:szCs w:val="14"/>
          <w:u w:val="single" w:color="auto"/>
          <w:color w:val="auto"/>
        </w:rPr>
        <w:t>Excess Cash Flow Period</w:t>
      </w:r>
      <w:r>
        <w:rPr>
          <w:rFonts w:ascii="Times New Roman" w:cs="Times New Roman" w:eastAsia="Times New Roman" w:hAnsi="Times New Roman"/>
          <w:sz w:val="14"/>
          <w:szCs w:val="14"/>
          <w:color w:val="auto"/>
        </w:rPr>
        <w:t>” shall mean each fiscal year of the Parent, commencing with the fiscal year of the Parent ending December 31, 2026.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shall mean the Securities Exchange Act of 1934.</w:t>
      </w:r>
    </w:p>
    <w:p>
      <w:pPr>
        <w:spacing w:after="0" w:line="1" w:lineRule="exact"/>
        <w:rPr>
          <w:rFonts w:ascii="Times New Roman" w:cs="Times New Roman" w:eastAsia="Times New Roman" w:hAnsi="Times New Roman"/>
          <w:sz w:val="14"/>
          <w:szCs w:val="14"/>
          <w:color w:val="auto"/>
        </w:rPr>
      </w:pPr>
    </w:p>
    <w:p>
      <w:pPr>
        <w:ind w:left="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Indebtedness</w:t>
      </w:r>
      <w:r>
        <w:rPr>
          <w:rFonts w:ascii="Times New Roman" w:cs="Times New Roman" w:eastAsia="Times New Roman" w:hAnsi="Times New Roman"/>
          <w:sz w:val="14"/>
          <w:szCs w:val="14"/>
          <w:color w:val="auto"/>
        </w:rPr>
        <w:t>” shall mean all Indebtedness not incurred in violation of Section 6.01.</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Property</w:t>
      </w:r>
      <w:r>
        <w:rPr>
          <w:rFonts w:ascii="Times New Roman" w:cs="Times New Roman" w:eastAsia="Times New Roman" w:hAnsi="Times New Roman"/>
          <w:sz w:val="14"/>
          <w:szCs w:val="14"/>
          <w:color w:val="auto"/>
        </w:rPr>
        <w:t>” shall, in all cases, subject to, and limited by, the Agreed Guarantee and Security Principles, mean (a) (x) any leasehold interest in Real Property and</w:t>
      </w:r>
    </w:p>
    <w:p>
      <w:pPr>
        <w:spacing w:after="0" w:line="24" w:lineRule="exact"/>
        <w:rPr>
          <w:sz w:val="20"/>
          <w:szCs w:val="20"/>
          <w:color w:val="auto"/>
        </w:rPr>
      </w:pPr>
    </w:p>
    <w:p>
      <w:pPr>
        <w:jc w:val="both"/>
        <w:ind w:firstLine="6"/>
        <w:spacing w:after="0" w:line="256" w:lineRule="auto"/>
        <w:tabs>
          <w:tab w:leader="none" w:pos="209"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in fee-owned Real Property (or such jurisdictional equivalent) owned by any Loan Party with a Fair Market Value less than $25,000,000; (b) motor vehicles and other assets subject to certificates of title (except to the extent perfection can be obtained by filing of financing statements or similar filing under applicable law, or automatically without any additional perfection steps); (c) letter of credit rights (except to the extent perfection can be obtained by filing of financing statements or similar filing under applicable law, or automatically without any additional perfection steps); (d) Commercial Tort Claims (as defined in the Uniform Commercial Code) with a value of less than $10,000,000 (except to the extent perfection can be obtained by filing of financing statements or similar filing under applicable law, or automatically without any additional perfection steps); (e) any lease, license or other similar agreement or any property subject to a purchase money security interest, capital lease or similar arrangement, in each case, not prohibited by this Agreement, to the extent that a grant of a security interest therein would violate or invalidate such lease, license or other agreement or purchase money arrangement, capital lease, or similar arrangement or create a right of termination in favor of any other party thereto (other than a Loan Party) after giving effect to the applicable anti-assignment provisions of the UCC or other applicable law and other than proceeds and receivables thereof, the assignment of which is expressly deemed effective under applicable law notwithstanding such prohibition; (f) any U.S. intent-to-use trademark application prior to the filing of a “Statement of Use” or “Amendment to Allege Use” with respect thereto; (g) any governmental licenses or state or local franchises, licenses, permits, charters and authorizations, to the extent security interests therein are prohibited or restricted thereby after giving effect to the applicable anti-assignment provisions of the UCC or other applicable law; (h) any Equity Interests of (i) any Unrestricted Subsidiary, (ii) any Immaterial Subsidiary, (iii) any Insurance Subsidiary, (iv) any not-for-profit subsidiary, (v) any employee benefit trust company, (vi) any special purpose entity and (vii) any person that is not a Wholly Owned Subsidiary to the extent the granting of a security interest therein would violate the terms of such person’s Organizational Documents or any shareholders’ agreement or joint venture agreement relating to such person (after giving effect to applicable anti-assignment provisions of the UCC or other applicable law); (i) receivables and related assets securing any Qualified Receivables Facility in compliance with Section 6.02(z); (j) any assets to the extent a pledge thereof would be prohibited by applicable law, rule or regulation after giving effect to the applicable anti-assignment provisions of the UCC or other applicable law, or by any applicable contractual requirement in existence on the Closing Date or otherwise not prohibited by this Agreement, that is binding on and related to such asset on the date of the acquisition of such subsidiary that owns such assets (not created in contemplation of the acquisition by the applicable Loan Party of such subsidiary), as applicable, or which would require the consent or approval of a third party that has not been obtained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such assets which are material (as determined by the Parent in good faith), the applicable Loan Party has taken reasonable steps to remove such applicable contractual requirements or obtain such consent (unless the Administrative Agent agrees in its reasonable discretion that such Loan Party is not required to take such steps)) (and in each case only for so long as such restriction or any replacement or renewal thereof is in effect)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495" w:name="page496"/>
    <w:bookmarkEnd w:id="495"/>
    <w:p>
      <w:pPr>
        <w:spacing w:after="0" w:line="3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 xml:space="preserve">applicable anti-assignment provisions of the UCC or other applicable law; (k) Margin Stock; (l) any assets as to which the Parent reasonably determines that (1) the grant of Liens securing the Obligations would result in material adverse regulatory consequences or (2) the costs or other consequences (including, without limitations, tax consequences) of granting Liens securing the Obligations would be excessive in relation to the value of the security afforded thereby; and (m) solely with respect to Loans to a U.S. Tax Obligor, voting Equity Interests (and any other interests constituting “voting stock” within the meaning of Treasury Regulations Section 1.956-2(c)(2)) in excess of 65 percent of all such voting Equity Interests (or any other interests) in any Foreign Subsidiary that is a CFC or any FSHCO;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Excluded Property shall not include any proceeds, substitutions or replacements of any Excluded Property referred to in clause (a) through (m) (unless such proceeds, substitutions or replacements would constitute Excluded Property referred to in clauses (a) through (m)).</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Subsidiary</w:t>
      </w:r>
      <w:r>
        <w:rPr>
          <w:rFonts w:ascii="Times New Roman" w:cs="Times New Roman" w:eastAsia="Times New Roman" w:hAnsi="Times New Roman"/>
          <w:sz w:val="14"/>
          <w:szCs w:val="14"/>
          <w:color w:val="auto"/>
        </w:rPr>
        <w:t>” shall, in all cases, subject to, and limited by, the Agreed Guarantee and Security Principles, mean any of the following:</w:t>
      </w:r>
    </w:p>
    <w:p>
      <w:pPr>
        <w:spacing w:after="0" w:line="153" w:lineRule="exact"/>
        <w:rPr>
          <w:sz w:val="20"/>
          <w:szCs w:val="20"/>
          <w:color w:val="auto"/>
        </w:rPr>
      </w:pPr>
    </w:p>
    <w:p>
      <w:pPr>
        <w:ind w:left="1380" w:hanging="460"/>
        <w:spacing w:after="0"/>
        <w:tabs>
          <w:tab w:leader="none" w:pos="138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Immaterial Subsidiary,</w:t>
      </w:r>
    </w:p>
    <w:p>
      <w:pPr>
        <w:spacing w:after="0" w:line="134" w:lineRule="exact"/>
        <w:rPr>
          <w:rFonts w:ascii="Times New Roman" w:cs="Times New Roman" w:eastAsia="Times New Roman" w:hAnsi="Times New Roman"/>
          <w:sz w:val="14"/>
          <w:szCs w:val="14"/>
          <w:color w:val="auto"/>
        </w:rPr>
      </w:pPr>
    </w:p>
    <w:p>
      <w:pPr>
        <w:jc w:val="both"/>
        <w:ind w:right="60" w:firstLine="920"/>
        <w:spacing w:after="0" w:line="228" w:lineRule="auto"/>
        <w:tabs>
          <w:tab w:leader="none" w:pos="1361"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Subsidiary that is not a Wholly Owned Subsidiary (but only for so long as such Subsidiary remains a non-Wholly Owned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person that becomes a non-Wholly Owned Subsidiary after the Closing Date shall be an Excluded Subsidiary pursuant to this clause (b) unless (x) such person also ceases to be a subsidiary or (y) such person becomes a non-Wholly Owned Subsidiary as a result of a bona fide transaction entered into by the Parent or any of its subsidiaries with a person that is not an Affiliate of the Parent or any of its subsidiaries and a purpose of such transaction is not the incurrence of Indebtedness and/or the release of such person’s Guarantee;</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Insurance Subsidiary,</w:t>
      </w:r>
    </w:p>
    <w:p>
      <w:pPr>
        <w:spacing w:after="0" w:line="134" w:lineRule="exact"/>
        <w:rPr>
          <w:rFonts w:ascii="Times New Roman" w:cs="Times New Roman" w:eastAsia="Times New Roman" w:hAnsi="Times New Roman"/>
          <w:sz w:val="14"/>
          <w:szCs w:val="14"/>
          <w:color w:val="auto"/>
        </w:rPr>
      </w:pPr>
    </w:p>
    <w:p>
      <w:pPr>
        <w:jc w:val="both"/>
        <w:ind w:right="80" w:firstLine="920"/>
        <w:spacing w:after="0" w:line="233" w:lineRule="auto"/>
        <w:tabs>
          <w:tab w:leader="none" w:pos="1361"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Subsidiary the provision of a Guarantee of the Obligations by which could reasonably be expected to result in any violation or breach of, or conflict with, fiduciary duties of such Foreign Subsidiary’s officers, directors or managers, but only if such Foreign Subsidiary and the Parent shall have used reasonable efforts to overcome any such obstacle to the provision of such Guarantee,</w:t>
      </w:r>
    </w:p>
    <w:p>
      <w:pPr>
        <w:spacing w:after="0" w:line="111" w:lineRule="exact"/>
        <w:rPr>
          <w:rFonts w:ascii="Times New Roman" w:cs="Times New Roman" w:eastAsia="Times New Roman" w:hAnsi="Times New Roman"/>
          <w:sz w:val="14"/>
          <w:szCs w:val="14"/>
          <w:color w:val="auto"/>
        </w:rPr>
      </w:pPr>
    </w:p>
    <w:p>
      <w:pPr>
        <w:ind w:right="60" w:firstLine="920"/>
        <w:spacing w:after="0" w:line="248" w:lineRule="auto"/>
        <w:tabs>
          <w:tab w:leader="none" w:pos="137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that (i) is prohibited from Guaranteeing the Obligations by any applicable law or (ii) would require consent, approval, license or authorization of a Governmental Authority to Guarantee the Obligations (unless such consent, approval, license or authorization has been received),</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subsidiary that is prohibited by any applicable contractual requirement not prohibited under this Agreement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applicable subsidiary has taken reasonable steps to remove such applicable contractual requirement) that is existing on the Closing Date or at the time such subsidiary becomes a subsidiary (not created in contemplation of the acquisition by the Parent of such subsidiary) from Guaranteeing the Obligations (and only for so long as such restriction or any replacement or renewal thereof is in effect),</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Receivables Entity,</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Unrestricted Subsidiary,</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ind w:right="100" w:firstLine="920"/>
        <w:spacing w:after="0" w:line="248" w:lineRule="auto"/>
        <w:tabs>
          <w:tab w:leader="none" w:pos="137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Subsidiary with respect to which the Administrative Agent reasonably agrees that the cost or other consequences (including, without limitations, tax consequences) of providing a Guarantee of the Obligations is likely to be excessive in relation to the value to be afforded thereby, and</w:t>
      </w: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80"/>
          </w:cols>
          <w:pgMar w:left="640" w:top="1440" w:right="580" w:bottom="1440" w:gutter="0" w:footer="0" w:header="0"/>
        </w:sectPr>
      </w:pPr>
    </w:p>
    <w:bookmarkStart w:id="496" w:name="page497"/>
    <w:bookmarkEnd w:id="496"/>
    <w:p>
      <w:pPr>
        <w:spacing w:after="0" w:line="24" w:lineRule="exact"/>
        <w:rPr>
          <w:sz w:val="20"/>
          <w:szCs w:val="20"/>
          <w:color w:val="auto"/>
        </w:rPr>
      </w:pPr>
    </w:p>
    <w:p>
      <w:pPr>
        <w:jc w:val="both"/>
        <w:ind w:firstLine="920"/>
        <w:spacing w:after="0" w:line="233" w:lineRule="auto"/>
        <w:tabs>
          <w:tab w:leader="none" w:pos="1361"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with respect to Loans to a U.S. Tax Obligor, (i) any Foreign Subsidiary that is a “controlled foreign corporation” within the meaning of Section 957(a) of the Code (a “</w:t>
      </w:r>
      <w:r>
        <w:rPr>
          <w:rFonts w:ascii="Times New Roman" w:cs="Times New Roman" w:eastAsia="Times New Roman" w:hAnsi="Times New Roman"/>
          <w:sz w:val="14"/>
          <w:szCs w:val="14"/>
          <w:u w:val="single" w:color="auto"/>
          <w:color w:val="auto"/>
        </w:rPr>
        <w:t>CFC</w:t>
      </w:r>
      <w:r>
        <w:rPr>
          <w:rFonts w:ascii="Times New Roman" w:cs="Times New Roman" w:eastAsia="Times New Roman" w:hAnsi="Times New Roman"/>
          <w:sz w:val="14"/>
          <w:szCs w:val="14"/>
          <w:color w:val="auto"/>
        </w:rPr>
        <w:t>”) or (ii) any Domestic Subsidiary that owns no material assets (directly or through subsidiaries) other than Equity Interests (or Equity Interests and indebtedness) of one or more Foreign Subsidiaries that are CFCs or Equity Interests of other such Domestic Subsidiaries (a “</w:t>
      </w:r>
      <w:r>
        <w:rPr>
          <w:rFonts w:ascii="Times New Roman" w:cs="Times New Roman" w:eastAsia="Times New Roman" w:hAnsi="Times New Roman"/>
          <w:sz w:val="14"/>
          <w:szCs w:val="14"/>
          <w:u w:val="single" w:color="auto"/>
          <w:color w:val="auto"/>
        </w:rPr>
        <w:t>FSHCO</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it is acknowledged that, as of the Closing Date, each Subsidiary of the Parent other than those incorporated or organized in Denmark (if any), The Netherlands or the United States or any state thereof is an Excluded Subsidiary pursuant to clause (j) above.</w:t>
      </w:r>
    </w:p>
    <w:p>
      <w:pPr>
        <w:spacing w:after="0" w:line="105" w:lineRule="exact"/>
        <w:rPr>
          <w:sz w:val="20"/>
          <w:szCs w:val="20"/>
          <w:color w:val="auto"/>
        </w:rPr>
      </w:pPr>
    </w:p>
    <w:p>
      <w:pPr>
        <w:jc w:val="both"/>
        <w:ind w:firstLine="914"/>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Swap Obligation</w:t>
      </w:r>
      <w:r>
        <w:rPr>
          <w:rFonts w:ascii="Times New Roman" w:cs="Times New Roman" w:eastAsia="Times New Roman" w:hAnsi="Times New Roman"/>
          <w:sz w:val="14"/>
          <w:szCs w:val="14"/>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Loan Party’s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Loan Party is a “financial entity,” as defined in Section 2(h)(7)(C)(i) of the Commodity Exchange Act (or any successor provision thereto), in each case at the time the Guarantee of such Loan Party or the grant of such security interest becomes effective with respect to such Swap Obligation, unless otherwise agreed between the Administrative Agent and the Parent.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99"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Taxes</w:t>
      </w:r>
      <w:r>
        <w:rPr>
          <w:rFonts w:ascii="Times New Roman" w:cs="Times New Roman" w:eastAsia="Times New Roman" w:hAnsi="Times New Roman"/>
          <w:sz w:val="14"/>
          <w:szCs w:val="14"/>
          <w:color w:val="auto"/>
        </w:rPr>
        <w:t>” shall mean, with respect to any Agent, any Lender Party or any other recipient of any payment made by or on account of any obligation of any Loan Party under any Loan Document,</w:t>
      </w:r>
    </w:p>
    <w:p>
      <w:pPr>
        <w:spacing w:after="0" w:line="95" w:lineRule="exact"/>
        <w:rPr>
          <w:sz w:val="20"/>
          <w:szCs w:val="20"/>
          <w:color w:val="auto"/>
        </w:rPr>
      </w:pPr>
    </w:p>
    <w:p>
      <w:pPr>
        <w:jc w:val="both"/>
        <w:ind w:right="20" w:firstLine="920"/>
        <w:spacing w:after="0" w:line="221" w:lineRule="auto"/>
        <w:tabs>
          <w:tab w:leader="none" w:pos="1370"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imposed on (or measured by) overall net income (however denominated), and including, for the avoidance of doubt, franchise and similar Taxes imposed (in lieu of net income Taxes), in each case, imposed as (i) a result of such recipient being organized under the laws of, having its principal office or, in the case of any Lender, its applicable lending office located in, being engaged in a trade or business in, being treated as resident or having a permanent establishment for tax purposes in, the jurisdiction imposing such Tax (including any political subdivision thereof), or (ii) a result of any other present or former connection between such recipient and the jurisdiction (or any political subdivision thereof) of the Governmental Authority imposing such Tax (other than a connection arising solely from such recipient having executed, delivered, performed its obligations or received a payment under, received or perfected a security interest under, having been a party to, having enforced, or having engaged in any other transaction pursuant to this Agreement or any other Loan Document and/or sold or assigned an interest in any Loan or Loan Document);</w:t>
      </w:r>
    </w:p>
    <w:p>
      <w:pPr>
        <w:spacing w:after="0" w:line="113"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61"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in respect of any Loan to a U.S. Tax Obligor, any U.S. federal withholding Taxes imposed on or with respect to amounts payable to a Lender by a law in effect on the date on which such Lender becomes a party hereto (or designates a new Lending Office), except (i) to the extent such Lender (or its assignor) was entitled, at the time of designation of a new Lending Office (or assignment), to receive additional amounts from the applicable Loan Party with respect to such withholding Tax pursuant to Section 2.17, or (ii) if such Lender is an assignee pursuant to a request by the U.S. Tax Obligor under Section 2.19;</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Danish withholding Taxes imposed on or with respect to amounts payable to a Lender by a law in effect on the date on which such Lender becomes a party hereto (or designates a new Lending Office), except (i) to the extent such Lender (or its assignor) was entitled, at the time of</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97" w:name="page498"/>
    <w:bookmarkEnd w:id="497"/>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designation of a new Lending Office (or assignment), to receive additional amounts from the applicable Loan Party with respect to such withholding Tax pursuant to Section 2.17, or (ii) if such Lender is an assignee pursuant to a request by a Borrower under Section 2.19;</w:t>
      </w:r>
    </w:p>
    <w:p>
      <w:pPr>
        <w:spacing w:after="0" w:line="105" w:lineRule="exact"/>
        <w:rPr>
          <w:sz w:val="20"/>
          <w:szCs w:val="20"/>
          <w:color w:val="auto"/>
        </w:rPr>
      </w:pPr>
    </w:p>
    <w:p>
      <w:pPr>
        <w:jc w:val="both"/>
        <w:ind w:firstLine="920"/>
        <w:spacing w:after="0"/>
        <w:tabs>
          <w:tab w:leader="none" w:pos="1361"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imposed, withheld, levied or deducted on or with respect to amounts payable to a Lender pursuant to the Dutch Conditional Withholding Tax Act 2021 (</w:t>
      </w:r>
      <w:r>
        <w:rPr>
          <w:rFonts w:ascii="Times New Roman" w:cs="Times New Roman" w:eastAsia="Times New Roman" w:hAnsi="Times New Roman"/>
          <w:sz w:val="14"/>
          <w:szCs w:val="14"/>
          <w:i w:val="1"/>
          <w:iCs w:val="1"/>
          <w:color w:val="auto"/>
        </w:rPr>
        <w:t>Wet bronbelasting 2021</w:t>
      </w:r>
      <w:r>
        <w:rPr>
          <w:rFonts w:ascii="Times New Roman" w:cs="Times New Roman" w:eastAsia="Times New Roman" w:hAnsi="Times New Roman"/>
          <w:sz w:val="14"/>
          <w:szCs w:val="14"/>
          <w:color w:val="auto"/>
        </w:rPr>
        <w:t xml:space="preserve"> ) together with the related ordinances, regulations and guidelines, in each case as in effect on the date on which such Lender becomes a party hereto (or designates a new Lending Office), except (i) to the extent such Lender (or its assignor) was entitled, at the time of designation of a new Lending Office (or assignment), to receive additional amounts from the applicable Loan Party with respect to such withholding Tax pursuant to Section 2.17, or (ii) if such Lender is an assignee pursuant to a request by a Borrower under Section 2.19;</w:t>
      </w:r>
    </w:p>
    <w:p>
      <w:pPr>
        <w:spacing w:after="0" w:line="222"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attributable to such recipient’s failure to timely comply with Section 2.17(f);</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branch profits Taxes under Section 884(a) of the Code, or any similar Taxes, imposed by a jurisdiction described in clause (a) of this definition; or</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withholding Taxes imposed under FATCA.</w:t>
      </w:r>
    </w:p>
    <w:p>
      <w:pPr>
        <w:spacing w:after="0" w:line="1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Class Loans</w:t>
      </w:r>
      <w:r>
        <w:rPr>
          <w:rFonts w:ascii="Times New Roman" w:cs="Times New Roman" w:eastAsia="Times New Roman" w:hAnsi="Times New Roman"/>
          <w:sz w:val="14"/>
          <w:szCs w:val="14"/>
          <w:color w:val="auto"/>
        </w:rPr>
        <w:t>” shall have the meaning assigned to such term in Section 9.08(f).</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shall mean that certain Facility Agreement, dated as of October 24, 2024, among the Parent, the lenders party thereto, Danske Bank A/S, as agent, and the other parties referred to therein.</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Letter of Credit</w:t>
      </w:r>
      <w:r>
        <w:rPr>
          <w:rFonts w:ascii="Times New Roman" w:cs="Times New Roman" w:eastAsia="Times New Roman" w:hAnsi="Times New Roman"/>
          <w:sz w:val="14"/>
          <w:szCs w:val="14"/>
          <w:color w:val="auto"/>
        </w:rPr>
        <w:t>” shall have the meaning assigned to such term in Section 2.05(a).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Extended Revolving Commitment</w:t>
      </w:r>
      <w:r>
        <w:rPr>
          <w:rFonts w:ascii="Times New Roman" w:cs="Times New Roman" w:eastAsia="Times New Roman" w:hAnsi="Times New Roman"/>
          <w:sz w:val="14"/>
          <w:szCs w:val="14"/>
          <w:color w:val="auto"/>
        </w:rPr>
        <w:t>” shall have the meaning assigned to such term in Section 2.22(a).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Extended Revolving Loan</w:t>
      </w:r>
      <w:r>
        <w:rPr>
          <w:rFonts w:ascii="Times New Roman" w:cs="Times New Roman" w:eastAsia="Times New Roman" w:hAnsi="Times New Roman"/>
          <w:sz w:val="14"/>
          <w:szCs w:val="14"/>
          <w:color w:val="auto"/>
        </w:rPr>
        <w:t>” shall have the meaning assigned to such term in Section 2.22(a).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Extended Term Loan</w:t>
      </w:r>
      <w:r>
        <w:rPr>
          <w:rFonts w:ascii="Times New Roman" w:cs="Times New Roman" w:eastAsia="Times New Roman" w:hAnsi="Times New Roman"/>
          <w:sz w:val="14"/>
          <w:szCs w:val="14"/>
          <w:color w:val="auto"/>
        </w:rPr>
        <w:t>” shall have the meaning assigned to such term in Section 2.22(a).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Extending Lender</w:t>
      </w:r>
      <w:r>
        <w:rPr>
          <w:rFonts w:ascii="Times New Roman" w:cs="Times New Roman" w:eastAsia="Times New Roman" w:hAnsi="Times New Roman"/>
          <w:sz w:val="14"/>
          <w:szCs w:val="14"/>
          <w:color w:val="auto"/>
        </w:rPr>
        <w:t>” shall have the meaning assigned to such term in Section 2.22(a).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Extension</w:t>
      </w:r>
      <w:r>
        <w:rPr>
          <w:rFonts w:ascii="Times New Roman" w:cs="Times New Roman" w:eastAsia="Times New Roman" w:hAnsi="Times New Roman"/>
          <w:sz w:val="14"/>
          <w:szCs w:val="14"/>
          <w:color w:val="auto"/>
        </w:rPr>
        <w:t>” shall have the meaning assigned to such term in Section 2.22(a).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Extension Amendment</w:t>
      </w:r>
      <w:r>
        <w:rPr>
          <w:rFonts w:ascii="Times New Roman" w:cs="Times New Roman" w:eastAsia="Times New Roman" w:hAnsi="Times New Roman"/>
          <w:sz w:val="14"/>
          <w:szCs w:val="14"/>
          <w:color w:val="auto"/>
        </w:rPr>
        <w:t>” shall have the meaning assigned to that term in Section 2.22(b).</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Facility</w:t>
      </w:r>
      <w:r>
        <w:rPr>
          <w:rFonts w:ascii="Times New Roman" w:cs="Times New Roman" w:eastAsia="Times New Roman" w:hAnsi="Times New Roman"/>
          <w:sz w:val="14"/>
          <w:szCs w:val="14"/>
          <w:color w:val="auto"/>
        </w:rPr>
        <w:t>” shall mean the applicable facility and commitments utilized in making Loans and credit extensions hereunder, it being understood that, as of the Closing Date there are three Facilities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Initial Term A Facility, the Initial Term B Facility and the Initial Revolving Facility) and thereafter, the term “Facility” shall include any other Class of Commitments and the extensions of credit thereunder.</w:t>
      </w:r>
    </w:p>
    <w:p>
      <w:pPr>
        <w:spacing w:after="0" w:line="117"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Facility Fee Letter</w:t>
      </w:r>
      <w:r>
        <w:rPr>
          <w:rFonts w:ascii="Times New Roman" w:cs="Times New Roman" w:eastAsia="Times New Roman" w:hAnsi="Times New Roman"/>
          <w:sz w:val="14"/>
          <w:szCs w:val="14"/>
          <w:color w:val="auto"/>
        </w:rPr>
        <w:t>” shall mean that certain Second Amended and Restated Fee Letter, dated as of December 10, 2025, by and among the Parent, MSSF, Bank of America Europe Designated Activity Company, Goldman Sachs Bank USA, Danske Bank A/S, DNB Capital LLC, Nordea Danmark,</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498" w:name="page499"/>
    <w:bookmarkEnd w:id="498"/>
    <w:p>
      <w:pPr>
        <w:spacing w:after="0" w:line="3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Filial af Nordea Bank Abp, Finland, PNC Bank, National Association, PNC Capital Markets LLC, Truist Bank, Truist Securities, Inc., JPMorgan Chase Bank, N.A., London Branch and Jyske Bank A/S.</w:t>
      </w:r>
    </w:p>
    <w:p>
      <w:pPr>
        <w:spacing w:after="0" w:line="105"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xml:space="preserve"> ” shall mean, with respect to any asset or property, the price that could be negotiated in an arms’-length transaction between a willing seller and a willing buyer, neither of whom is under undue pressure or compulsion to complete the transaction (as determined in good faith by the Parent).</w:t>
      </w:r>
    </w:p>
    <w:p>
      <w:pPr>
        <w:spacing w:after="0" w:line="105"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FATCA</w:t>
      </w:r>
      <w:r>
        <w:rPr>
          <w:rFonts w:ascii="Times New Roman" w:cs="Times New Roman" w:eastAsia="Times New Roman" w:hAnsi="Times New Roman"/>
          <w:sz w:val="14"/>
          <w:szCs w:val="14"/>
          <w:color w:val="auto"/>
        </w:rPr>
        <w:t>” shall mean Sections 1471 through 1474 of the Code, as of the date of this Agreement (or any amended or successor version that is substantively comparable and not materially more onerous to comply with), or any current or future Treasury Regulations promulgated thereunder or official administrative interpretations thereof and any agreements entered into pursuant to Section 1471(b)(1) of the Code, as of the date of this Agreement (or any amended or successor version described above) or any intergovernmental agreement (and related law or other official rules or administrative guidance) entered into in connection with the implementation of such Sections of the Code.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shall mean the Foreign Corrupt Practices Act of 1977.</w:t>
      </w:r>
    </w:p>
    <w:p>
      <w:pPr>
        <w:spacing w:after="0" w:line="163"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Federal Funds Effective Rate</w:t>
      </w:r>
      <w:r>
        <w:rPr>
          <w:rFonts w:ascii="Times New Roman" w:cs="Times New Roman" w:eastAsia="Times New Roman" w:hAnsi="Times New Roman"/>
          <w:sz w:val="14"/>
          <w:szCs w:val="14"/>
          <w:color w:val="auto"/>
        </w:rPr>
        <w:t xml:space="preserve">” shall mean, for any day, the rate per annum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Federal Funds Effective Rate as so determined would be less than zero, such rate shall be deemed to be zero for purposes of this Agreement.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Fee Letters</w:t>
      </w:r>
      <w:r>
        <w:rPr>
          <w:rFonts w:ascii="Times New Roman" w:cs="Times New Roman" w:eastAsia="Times New Roman" w:hAnsi="Times New Roman"/>
          <w:sz w:val="14"/>
          <w:szCs w:val="14"/>
          <w:color w:val="auto"/>
        </w:rPr>
        <w:t>” shall mean the Facility Fee Letter and the Agent Fee Letter.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shall mean the Commitment Fees, the L/C Participation Fees, the Issuing Bank Fees and the Administrative Agent Fees.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Financial Covenants</w:t>
      </w:r>
      <w:r>
        <w:rPr>
          <w:rFonts w:ascii="Times New Roman" w:cs="Times New Roman" w:eastAsia="Times New Roman" w:hAnsi="Times New Roman"/>
          <w:sz w:val="14"/>
          <w:szCs w:val="14"/>
          <w:color w:val="auto"/>
        </w:rPr>
        <w:t>” shall mean the covenants of the Parent set forth in Section 6.12.</w:t>
      </w:r>
    </w:p>
    <w:p>
      <w:pPr>
        <w:spacing w:after="0" w:line="163"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Financial Officer</w:t>
      </w:r>
      <w:r>
        <w:rPr>
          <w:rFonts w:ascii="Times New Roman" w:cs="Times New Roman" w:eastAsia="Times New Roman" w:hAnsi="Times New Roman"/>
          <w:sz w:val="14"/>
          <w:szCs w:val="14"/>
          <w:color w:val="auto"/>
        </w:rPr>
        <w:t>” of any person shall mean the chief financial officer, principal accounting officer, senior vice president of finance, treasurer, controller or other director or executive responsible for the financial affairs of such person.</w:t>
      </w:r>
    </w:p>
    <w:p>
      <w:pPr>
        <w:spacing w:after="0" w:line="105" w:lineRule="exact"/>
        <w:rPr>
          <w:sz w:val="20"/>
          <w:szCs w:val="20"/>
          <w:color w:val="auto"/>
        </w:rPr>
      </w:pPr>
    </w:p>
    <w:p>
      <w:pPr>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Lien Secured Net Leverage Ratio</w:t>
      </w:r>
      <w:r>
        <w:rPr>
          <w:rFonts w:ascii="Times New Roman" w:cs="Times New Roman" w:eastAsia="Times New Roman" w:hAnsi="Times New Roman"/>
          <w:sz w:val="14"/>
          <w:szCs w:val="14"/>
          <w:color w:val="auto"/>
        </w:rPr>
        <w:t>” shall mean, as of any date of determination, the ratio of (a) (i) Consolidated First Lien Debt as of such date less (ii) the Unrestricted Cash Amount as of such date to (b) Adjusted Consolidated EBITDA for the most recently ended Test Period.</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Fixed Amounts</w:t>
      </w:r>
      <w:r>
        <w:rPr>
          <w:rFonts w:ascii="Times New Roman" w:cs="Times New Roman" w:eastAsia="Times New Roman" w:hAnsi="Times New Roman"/>
          <w:sz w:val="14"/>
          <w:szCs w:val="14"/>
          <w:color w:val="auto"/>
        </w:rPr>
        <w:t>” shall have the meaning assigned to such term in Section 1.08(d).</w:t>
      </w:r>
    </w:p>
    <w:p>
      <w:pPr>
        <w:spacing w:after="0" w:line="163"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Fixed Incremental Amount</w:t>
      </w:r>
      <w:r>
        <w:rPr>
          <w:rFonts w:ascii="Times New Roman" w:cs="Times New Roman" w:eastAsia="Times New Roman" w:hAnsi="Times New Roman"/>
          <w:sz w:val="14"/>
          <w:szCs w:val="14"/>
          <w:color w:val="auto"/>
        </w:rPr>
        <w:t xml:space="preserve"> ” shall mean an amount equal to the greater of (x) $1,514,000,000 and (y) 100% of Adjusted Consolidated EBITDA for the most recently ended Test Period.</w:t>
      </w:r>
    </w:p>
    <w:p>
      <w:pPr>
        <w:spacing w:after="0" w:line="105" w:lineRule="exact"/>
        <w:rPr>
          <w:sz w:val="20"/>
          <w:szCs w:val="20"/>
          <w:color w:val="auto"/>
        </w:rPr>
      </w:pPr>
    </w:p>
    <w:p>
      <w:pPr>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Flood Insurance Laws</w:t>
      </w:r>
      <w:r>
        <w:rPr>
          <w:rFonts w:ascii="Times New Roman" w:cs="Times New Roman" w:eastAsia="Times New Roman" w:hAnsi="Times New Roman"/>
          <w:sz w:val="14"/>
          <w:szCs w:val="14"/>
          <w:color w:val="auto"/>
        </w:rPr>
        <w:t>” shall mean, collectively, (a) the National Flood Insurance Reform Act of 1994 (which comprehensively revised the National Flood Insurance Act of 1968 and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499" w:name="page500"/>
    <w:bookmarkEnd w:id="499"/>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Flood Disaster Protection Act of 1973), (b) the Flood Insurance Reform Act of 2004 and (c) the Biggert-Waters Flood Insurance Reform Act of 2012.</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Floor</w:t>
      </w:r>
      <w:r>
        <w:rPr>
          <w:rFonts w:ascii="Times New Roman" w:cs="Times New Roman" w:eastAsia="Times New Roman" w:hAnsi="Times New Roman"/>
          <w:sz w:val="14"/>
          <w:szCs w:val="14"/>
          <w:color w:val="auto"/>
        </w:rPr>
        <w:t>” shall mean a rate of interest equal to 0%.</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Guarantor</w:t>
      </w:r>
      <w:r>
        <w:rPr>
          <w:rFonts w:ascii="Times New Roman" w:cs="Times New Roman" w:eastAsia="Times New Roman" w:hAnsi="Times New Roman"/>
          <w:sz w:val="14"/>
          <w:szCs w:val="14"/>
          <w:color w:val="auto"/>
        </w:rPr>
        <w:t>” shall mean each Guarantor that is a Foreign Subsidiary.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Loan Party</w:t>
      </w:r>
      <w:r>
        <w:rPr>
          <w:rFonts w:ascii="Times New Roman" w:cs="Times New Roman" w:eastAsia="Times New Roman" w:hAnsi="Times New Roman"/>
          <w:sz w:val="14"/>
          <w:szCs w:val="14"/>
          <w:color w:val="auto"/>
        </w:rPr>
        <w:t>” shall mean the Parent and each Loan Party that is a Foreign Subsidiary.</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Pension Plan</w:t>
      </w:r>
      <w:r>
        <w:rPr>
          <w:rFonts w:ascii="Times New Roman" w:cs="Times New Roman" w:eastAsia="Times New Roman" w:hAnsi="Times New Roman"/>
          <w:sz w:val="14"/>
          <w:szCs w:val="14"/>
          <w:color w:val="auto"/>
        </w:rPr>
        <w:t>” shall mean any plan, fund (including, without limitation, any superannuation fund) or other similar program established or maintained outside the United States by the Parent or any Subsidiary primarily for the benefit of employees of the Parent or any Subsidiary residing outside the United States, which provides, or results in, retirement income, a deferral of income in contemplation of retirement or payments to be made upon termination of employment, and which is not subject to ERISA or the Code.</w:t>
      </w:r>
    </w:p>
    <w:p>
      <w:pPr>
        <w:spacing w:after="0" w:line="117"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Subsidiary</w:t>
      </w:r>
      <w:r>
        <w:rPr>
          <w:rFonts w:ascii="Times New Roman" w:cs="Times New Roman" w:eastAsia="Times New Roman" w:hAnsi="Times New Roman"/>
          <w:sz w:val="14"/>
          <w:szCs w:val="14"/>
          <w:color w:val="auto"/>
        </w:rPr>
        <w:t>” shall mean any Subsidiary that is incorporated, registered or organized under the laws of any jurisdiction other than the United States of America, any state thereof or the District of Columbia.</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Fronting Exposure</w:t>
      </w:r>
      <w:r>
        <w:rPr>
          <w:rFonts w:ascii="Times New Roman" w:cs="Times New Roman" w:eastAsia="Times New Roman" w:hAnsi="Times New Roman"/>
          <w:sz w:val="14"/>
          <w:szCs w:val="14"/>
          <w:color w:val="auto"/>
        </w:rPr>
        <w:t>” shall mean, at any time there is a Defaulting Lender, with respect to any Issuing Bank, such Defaulting Lender’s Revolving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FSHCO</w:t>
      </w:r>
      <w:r>
        <w:rPr>
          <w:rFonts w:ascii="Times New Roman" w:cs="Times New Roman" w:eastAsia="Times New Roman" w:hAnsi="Times New Roman"/>
          <w:sz w:val="14"/>
          <w:szCs w:val="14"/>
          <w:color w:val="auto"/>
        </w:rPr>
        <w:t>” shall have the meaning assigned to such term in clause (k) of the definition of “Excluded Subsidiary.”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shall mean generally accepted accounting principles in effect from time to time in the United States of America, applied on a consistent basis.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 Election</w:t>
      </w:r>
      <w:r>
        <w:rPr>
          <w:rFonts w:ascii="Times New Roman" w:cs="Times New Roman" w:eastAsia="Times New Roman" w:hAnsi="Times New Roman"/>
          <w:sz w:val="14"/>
          <w:szCs w:val="14"/>
          <w:color w:val="auto"/>
        </w:rPr>
        <w:t>” shall have the meaning assigned to such term in the definition of “IFRS”.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Genmab Purchaser</w:t>
      </w:r>
      <w:r>
        <w:rPr>
          <w:rFonts w:ascii="Times New Roman" w:cs="Times New Roman" w:eastAsia="Times New Roman" w:hAnsi="Times New Roman"/>
          <w:sz w:val="14"/>
          <w:szCs w:val="14"/>
          <w:color w:val="auto"/>
        </w:rPr>
        <w:t>” shall have the meaning assigned to such term in the recitals to this Agreement.</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shall mean any federal, state, local or foreign court or governmental agency, authority, instrumentality or regulatory or legislative body (including but not limited to any supra-national bodies such as the European Union or the European Central Bank).</w:t>
      </w:r>
    </w:p>
    <w:p>
      <w:pPr>
        <w:spacing w:after="0" w:line="105"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xml:space="preserve">” of or by any person (the “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shall mean (a) any obligation, contingent or otherwise, of the guarantor guaranteeing or having the economic effect of guaranteeing any Indebtedness or other monetary obligation payable or performable by another person (the “</w:t>
      </w:r>
      <w:r>
        <w:rPr>
          <w:rFonts w:ascii="Times New Roman" w:cs="Times New Roman" w:eastAsia="Times New Roman" w:hAnsi="Times New Roman"/>
          <w:sz w:val="14"/>
          <w:szCs w:val="14"/>
          <w:u w:val="single" w:color="auto"/>
          <w:color w:val="auto"/>
        </w:rPr>
        <w:t>primary obligor</w:t>
      </w:r>
      <w:r>
        <w:rPr>
          <w:rFonts w:ascii="Times New Roman" w:cs="Times New Roman" w:eastAsia="Times New Roman" w:hAnsi="Times New Roman"/>
          <w:sz w:val="14"/>
          <w:szCs w:val="14"/>
          <w:color w:val="auto"/>
        </w:rPr>
        <w:t>”)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00" w:name="page501"/>
    <w:bookmarkEnd w:id="500"/>
    <w:p>
      <w:pPr>
        <w:spacing w:after="0" w:line="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clause (b)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w:t>
      </w:r>
    </w:p>
    <w:p>
      <w:pPr>
        <w:spacing w:after="0" w:line="304"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 Agreement</w:t>
      </w:r>
      <w:r>
        <w:rPr>
          <w:rFonts w:ascii="Times New Roman" w:cs="Times New Roman" w:eastAsia="Times New Roman" w:hAnsi="Times New Roman"/>
          <w:sz w:val="14"/>
          <w:szCs w:val="14"/>
          <w:color w:val="auto"/>
        </w:rPr>
        <w:t xml:space="preserve"> ” shall mean the Guarantee Agreement, dated as of the Closing Date among the Loan Parties and the Administrative Agent. The Guarantee Agreement shall also be deemed to include any guaranty agreement prepared under applicable local law (in the case of a Foreign Loan Party) where the Administrative Agent has reasonably determined, based on the advice of counsel and subject to the Agreed Guarantee and Security Principles, that a separate Guarantee (or modified form of Guarantee) is preferable under relevant local law.</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shall have the meaning assigned to such term in the definition of the term “Guarantee.”</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xml:space="preserve">” shall mean (a) each Subsidiary of the Parent that (i) is a party to the Guarantee Agreement as of the Closing Date or (ii) becomes a party to the Guarantee Agreement after the Closing Date pursuant to Section 5.10, whether existing on the Closing Date or established, created or acquired after the Closing Date, in each case unless and until such time as such Subsidiary is released from its obligations under the Guarantee Agreement in accordance with the terms and provisions hereof and thereof and (b) with respect to the Obligations of any Loan Party, each Borrower (other than with respect to its own primary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to the contrary herein or in any other Loan Document, the Guarantees and obligations of the Guarantors shall be subject to the Agreed Guarantee and Security Principles.</w:t>
      </w:r>
    </w:p>
    <w:p>
      <w:pPr>
        <w:spacing w:after="0" w:line="12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shall mean all pollutants, contaminants, wastes, chemicals, materials, substances and constituents, including, without limitation,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01" w:name="page502"/>
    <w:bookmarkEnd w:id="501"/>
    <w:p>
      <w:pPr>
        <w:spacing w:after="0" w:line="34"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Hedge Bank</w:t>
      </w:r>
      <w:r>
        <w:rPr>
          <w:rFonts w:ascii="Times New Roman" w:cs="Times New Roman" w:eastAsia="Times New Roman" w:hAnsi="Times New Roman"/>
          <w:sz w:val="14"/>
          <w:szCs w:val="14"/>
          <w:color w:val="auto"/>
        </w:rPr>
        <w:t>” shall mean any person that, at the time it enters into a Hedging Agreement with the Parent or any of the Subsidiaries (or on the Closing Date), is an Agent, an Arranger, a Lender or an Affiliate of any such person, in each case, in its capacity as a party to such Hedging Agreement</w:t>
      </w:r>
    </w:p>
    <w:p>
      <w:pPr>
        <w:spacing w:after="0" w:line="105" w:lineRule="exact"/>
        <w:rPr>
          <w:sz w:val="20"/>
          <w:szCs w:val="20"/>
          <w:color w:val="auto"/>
        </w:rPr>
      </w:pPr>
    </w:p>
    <w:p>
      <w:pPr>
        <w:jc w:val="both"/>
        <w:ind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Hedging Agreement</w:t>
      </w:r>
      <w:r>
        <w:rPr>
          <w:rFonts w:ascii="Times New Roman" w:cs="Times New Roman" w:eastAsia="Times New Roman" w:hAnsi="Times New Roman"/>
          <w:sz w:val="14"/>
          <w:szCs w:val="14"/>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the case of each of the foregoing, whether or not exchange traded;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phantom stock or similar plan providing for payments only on account of services provided by current or former directors, officers, employees or consultants of the Parent or any of the Subsidiaries shall be a Hedging Agreement.</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Honor Date</w:t>
      </w:r>
      <w:r>
        <w:rPr>
          <w:rFonts w:ascii="Times New Roman" w:cs="Times New Roman" w:eastAsia="Times New Roman" w:hAnsi="Times New Roman"/>
          <w:sz w:val="14"/>
          <w:szCs w:val="14"/>
          <w:color w:val="auto"/>
        </w:rPr>
        <w:t>” shall have the meaning assigned to such term in Section 2.05(c)(i).</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IFRS</w:t>
      </w:r>
      <w:r>
        <w:rPr>
          <w:rFonts w:ascii="Times New Roman" w:cs="Times New Roman" w:eastAsia="Times New Roman" w:hAnsi="Times New Roman"/>
          <w:sz w:val="14"/>
          <w:szCs w:val="14"/>
          <w:color w:val="auto"/>
        </w:rPr>
        <w:t xml:space="preserve">” shall mean the International Financial Reporting Standards (formerly International Accounting Standards) as in effect from time to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Parent may elect, and notify the Administrative Agent of such election, that IFRS shall mean GAAP (a “ </w:t>
      </w:r>
      <w:r>
        <w:rPr>
          <w:rFonts w:ascii="Times New Roman" w:cs="Times New Roman" w:eastAsia="Times New Roman" w:hAnsi="Times New Roman"/>
          <w:sz w:val="14"/>
          <w:szCs w:val="14"/>
          <w:u w:val="single" w:color="auto"/>
          <w:color w:val="auto"/>
        </w:rPr>
        <w:t>GAAP Election</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following such election all computations based on IFRS and IFRS concepts contained in this Agreement will be computed in conformity with GAAP and GAAP concepts. Thereafter, the Parent shall apply GAAP and make all computations under this Agreement based on GAAP. Notwithstanding anything to the contrary in this Agreement, solely making an election (without any other action) referred to in this Agreement will not be treated as an incurrence of Indebtedness.</w:t>
      </w:r>
    </w:p>
    <w:p>
      <w:pPr>
        <w:spacing w:after="0" w:line="123" w:lineRule="exact"/>
        <w:rPr>
          <w:sz w:val="20"/>
          <w:szCs w:val="20"/>
          <w:color w:val="auto"/>
        </w:rPr>
      </w:pPr>
    </w:p>
    <w:p>
      <w:pPr>
        <w:jc w:val="both"/>
        <w:ind w:firstLine="91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Immaterial Subsidiary</w:t>
      </w:r>
      <w:r>
        <w:rPr>
          <w:rFonts w:ascii="Times New Roman" w:cs="Times New Roman" w:eastAsia="Times New Roman" w:hAnsi="Times New Roman"/>
          <w:sz w:val="14"/>
          <w:szCs w:val="14"/>
          <w:color w:val="auto"/>
        </w:rPr>
        <w:t xml:space="preserve">” shall mean, as of any date, any Subsidiary that (a) (i) did not have assets with a value in excess of 5.0% of the Consolidated Total Assets as of the last day of the Test Period ending immediately prior to such date and (ii) did not have revenues (excluding intercompany revenues) representing in excess of 5.0% of total revenues (excluding intercompany revenues) of the Parent and the Subsidiaries on a consolidated basis for the Test Period ending immediately prior to such date, and (b) taken together with all Subsidiaries described in clause (a) of this definition as of such date, (i) did not have assets with a value in excess of 10.0% of Consolidated Total Assets as of the last day of the Test Period ending immediately prior to such date and (ii) did not have revenues (excluding intercompany revenues) representing in excess of 10.0% of total revenues (excluding intercompany revenues) of the Parent and the Subsidiaries for the Test Period ending immediately prior to such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in no event shall the U.S. Co-Borrower be an Immaterial Subsidiary.</w:t>
      </w:r>
    </w:p>
    <w:p>
      <w:pPr>
        <w:spacing w:after="0" w:line="126"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Increased Amount</w:t>
      </w:r>
      <w:r>
        <w:rPr>
          <w:rFonts w:ascii="Times New Roman" w:cs="Times New Roman" w:eastAsia="Times New Roman" w:hAnsi="Times New Roman"/>
          <w:sz w:val="14"/>
          <w:szCs w:val="14"/>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Parent, the accretion of original issue discount or liquidation preference and increases in the amount of Indebtedness outstanding solely as a result of fluctuations in the exchange rate of currencies.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Amount</w:t>
      </w:r>
      <w:r>
        <w:rPr>
          <w:rFonts w:ascii="Times New Roman" w:cs="Times New Roman" w:eastAsia="Times New Roman" w:hAnsi="Times New Roman"/>
          <w:sz w:val="14"/>
          <w:szCs w:val="14"/>
          <w:color w:val="auto"/>
        </w:rPr>
        <w:t>” shall mean, at any time, the sum of:</w:t>
      </w:r>
    </w:p>
    <w:p>
      <w:pPr>
        <w:spacing w:after="0" w:line="153" w:lineRule="exact"/>
        <w:rPr>
          <w:sz w:val="20"/>
          <w:szCs w:val="20"/>
          <w:color w:val="auto"/>
        </w:rPr>
      </w:pPr>
    </w:p>
    <w:p>
      <w:pPr>
        <w:ind w:left="1380" w:hanging="460"/>
        <w:spacing w:after="0"/>
        <w:tabs>
          <w:tab w:leader="none" w:pos="1380"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Fixed Incremental Amount;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02" w:name="page503"/>
    <w:bookmarkEnd w:id="502"/>
    <w:p>
      <w:pPr>
        <w:spacing w:after="0" w:line="24" w:lineRule="exact"/>
        <w:rPr>
          <w:sz w:val="20"/>
          <w:szCs w:val="20"/>
          <w:color w:val="auto"/>
        </w:rPr>
      </w:pPr>
    </w:p>
    <w:p>
      <w:pPr>
        <w:ind w:left="1360" w:hanging="440"/>
        <w:spacing w:after="0"/>
        <w:tabs>
          <w:tab w:leader="none" w:pos="1360"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Prepayment-Based Incremental Amount; and</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Ratio-Based Incremental Amount;</w:t>
      </w:r>
    </w:p>
    <w:p>
      <w:pPr>
        <w:spacing w:after="0" w:line="144" w:lineRule="exact"/>
        <w:rPr>
          <w:sz w:val="20"/>
          <w:szCs w:val="20"/>
          <w:color w:val="auto"/>
        </w:rPr>
      </w:pPr>
    </w:p>
    <w:p>
      <w:pPr>
        <w:ind w:left="580"/>
        <w:spacing w:after="0" w:line="291"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for the avoidance of doubt, that the portion of the Incremental Amount specified in clauses (a) and (b) above shall be reduced by usage of such portion of the Incremental Amount pursuant to Section 2.21 and Section 6.01(v).</w:t>
      </w:r>
    </w:p>
    <w:p>
      <w:pPr>
        <w:spacing w:after="0" w:line="66"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Assumption Agreement</w:t>
      </w:r>
      <w:r>
        <w:rPr>
          <w:rFonts w:ascii="Times New Roman" w:cs="Times New Roman" w:eastAsia="Times New Roman" w:hAnsi="Times New Roman"/>
          <w:sz w:val="14"/>
          <w:szCs w:val="14"/>
          <w:color w:val="auto"/>
        </w:rPr>
        <w:t xml:space="preserve"> ” shall mean an amendment to this Agreement, in form and substance reasonably satisfactory to the Administrative Agent, among the applicable Borrower(s), the Administrative Agent and one or more Incremental Term Lenders and/or Incremental Revolving Lenders.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Commitment</w:t>
      </w:r>
      <w:r>
        <w:rPr>
          <w:rFonts w:ascii="Times New Roman" w:cs="Times New Roman" w:eastAsia="Times New Roman" w:hAnsi="Times New Roman"/>
          <w:sz w:val="14"/>
          <w:szCs w:val="14"/>
          <w:color w:val="auto"/>
        </w:rPr>
        <w:t>” shall mean an Incremental Term Commitment or an Incremental Revolving Commitment.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Facilities</w:t>
      </w:r>
      <w:r>
        <w:rPr>
          <w:rFonts w:ascii="Times New Roman" w:cs="Times New Roman" w:eastAsia="Times New Roman" w:hAnsi="Times New Roman"/>
          <w:sz w:val="14"/>
          <w:szCs w:val="14"/>
          <w:color w:val="auto"/>
        </w:rPr>
        <w:t>” shall have the meaning assigned to such term in Section 2.21(a).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Revolving Commitment</w:t>
      </w:r>
      <w:r>
        <w:rPr>
          <w:rFonts w:ascii="Times New Roman" w:cs="Times New Roman" w:eastAsia="Times New Roman" w:hAnsi="Times New Roman"/>
          <w:sz w:val="14"/>
          <w:szCs w:val="14"/>
          <w:color w:val="auto"/>
        </w:rPr>
        <w:t>” shall mean the commitment of a Lender under an Incremental Revolving Facility.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Revolving Facility</w:t>
      </w:r>
      <w:r>
        <w:rPr>
          <w:rFonts w:ascii="Times New Roman" w:cs="Times New Roman" w:eastAsia="Times New Roman" w:hAnsi="Times New Roman"/>
          <w:sz w:val="14"/>
          <w:szCs w:val="14"/>
          <w:color w:val="auto"/>
        </w:rPr>
        <w:t>” shall have the meaning assigned to such term in Section 2.21(a).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Revolving Increase</w:t>
      </w:r>
      <w:r>
        <w:rPr>
          <w:rFonts w:ascii="Times New Roman" w:cs="Times New Roman" w:eastAsia="Times New Roman" w:hAnsi="Times New Roman"/>
          <w:sz w:val="14"/>
          <w:szCs w:val="14"/>
          <w:color w:val="auto"/>
        </w:rPr>
        <w:t>” shall have the meaning assigned to such term in Section 2.21(a).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Revolving Lender</w:t>
      </w:r>
      <w:r>
        <w:rPr>
          <w:rFonts w:ascii="Times New Roman" w:cs="Times New Roman" w:eastAsia="Times New Roman" w:hAnsi="Times New Roman"/>
          <w:sz w:val="14"/>
          <w:szCs w:val="14"/>
          <w:color w:val="auto"/>
        </w:rPr>
        <w:t>” shall mean a Lender with an Incremental Revolving Commitment or an outstanding Incremental Revolving Loan.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Revolving Loans</w:t>
      </w:r>
      <w:r>
        <w:rPr>
          <w:rFonts w:ascii="Times New Roman" w:cs="Times New Roman" w:eastAsia="Times New Roman" w:hAnsi="Times New Roman"/>
          <w:sz w:val="14"/>
          <w:szCs w:val="14"/>
          <w:color w:val="auto"/>
        </w:rPr>
        <w:t>” shall mean loans made under an Incremental Revolving Facility.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Term Commitment</w:t>
      </w:r>
      <w:r>
        <w:rPr>
          <w:rFonts w:ascii="Times New Roman" w:cs="Times New Roman" w:eastAsia="Times New Roman" w:hAnsi="Times New Roman"/>
          <w:sz w:val="14"/>
          <w:szCs w:val="14"/>
          <w:color w:val="auto"/>
        </w:rPr>
        <w:t>” shall mean the commitment of a Lender under an Incremental Term Facility.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Term Facility</w:t>
      </w:r>
      <w:r>
        <w:rPr>
          <w:rFonts w:ascii="Times New Roman" w:cs="Times New Roman" w:eastAsia="Times New Roman" w:hAnsi="Times New Roman"/>
          <w:sz w:val="14"/>
          <w:szCs w:val="14"/>
          <w:color w:val="auto"/>
        </w:rPr>
        <w:t>” shall have the meaning assigned to such term in Section 2.21(a).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Term Increase</w:t>
      </w:r>
      <w:r>
        <w:rPr>
          <w:rFonts w:ascii="Times New Roman" w:cs="Times New Roman" w:eastAsia="Times New Roman" w:hAnsi="Times New Roman"/>
          <w:sz w:val="14"/>
          <w:szCs w:val="14"/>
          <w:color w:val="auto"/>
        </w:rPr>
        <w:t>” shall have the meaning assigned to such term in Section 2.21(a).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Term Lender</w:t>
      </w:r>
      <w:r>
        <w:rPr>
          <w:rFonts w:ascii="Times New Roman" w:cs="Times New Roman" w:eastAsia="Times New Roman" w:hAnsi="Times New Roman"/>
          <w:sz w:val="14"/>
          <w:szCs w:val="14"/>
          <w:color w:val="auto"/>
        </w:rPr>
        <w:t>” shall mean a Lender with an Incremental Term Commitment or an outstanding Incremental Term Loan.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Term Loans</w:t>
      </w:r>
      <w:r>
        <w:rPr>
          <w:rFonts w:ascii="Times New Roman" w:cs="Times New Roman" w:eastAsia="Times New Roman" w:hAnsi="Times New Roman"/>
          <w:sz w:val="14"/>
          <w:szCs w:val="14"/>
          <w:color w:val="auto"/>
        </w:rPr>
        <w:t>” shall mean loans made under an Incremental Term Facility.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Incurrence-Based Amounts</w:t>
      </w:r>
      <w:r>
        <w:rPr>
          <w:rFonts w:ascii="Times New Roman" w:cs="Times New Roman" w:eastAsia="Times New Roman" w:hAnsi="Times New Roman"/>
          <w:sz w:val="14"/>
          <w:szCs w:val="14"/>
          <w:color w:val="auto"/>
        </w:rPr>
        <w:t>” shall have the meaning assigned to such term in Section 1.08(d).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503" w:name="page504"/>
    <w:bookmarkEnd w:id="503"/>
    <w:p>
      <w:pPr>
        <w:spacing w:after="0" w:line="34" w:lineRule="exact"/>
        <w:rPr>
          <w:sz w:val="20"/>
          <w:szCs w:val="20"/>
          <w:color w:val="auto"/>
        </w:rPr>
      </w:pPr>
    </w:p>
    <w:p>
      <w:pPr>
        <w:jc w:val="both"/>
        <w:ind w:firstLine="914"/>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of any person shall mean, without duplication, (a) all obligations of such person for borrowed money, (b)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 (d) all obligations of such person issued or assumed as the deferred purchase price of property or services (except any such balance that (i) constitutes a trade payable or similar obligation to a trade creditor incurred in the ordinary course of business, (ii) any earn-out obligations until such obligation becomes a liability on the balance sheet of such person in accordance with IFRS and (iii) liabilities accrued in the ordinary course of business) which purchase price is due more than six months after the date of placing the property in service or taking delivery and title thereto, (e) all Guarantees by such person of Indebtedness of others, (f) all Capitalized Lease Obligations of such person, (g) obligations under any Hedging Agreements, to the extent the foregoing would appear on a balance sheet of such person as a liability, (h) the principal component of all obligations, contingent or otherwise, of such person as an account party in respect of letters of credit, (i) the principal component of all obligations of such person in respect of bankers’ acceptances, (j) the amount of all obligations of such person with respect to the redemption, repayment or other repurchase of any Disqualified Stock (excluding accrued dividends that have not increased the liquidation preference of such Disqualified Stock),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 (l) all Attributable Receivables Indebtedness with respect to a Qualified Receivables Facility. The amount of Indebtedness of any person for purposes of clause (k) above shall (unless such Indebtedness has been assumed by such person or is otherwise recourse to such person) be deemed to be equal to the lesser of (A) the aggregate unpaid amount of such Indebtedness and (B) the Fair Market Value of the property encumbered thereby. For the avoidance of doubt, and without limitation of the foregoing, convertible Indebtedness shall at all times prior to the repurchase, conversion or payment thereof be valued at the full stated principal amount thereof and shall not include any reduction or appreciation in value of the shares and/or cash deliverable upon conversion thereof. Notwithstanding anything in this description to the contrary, and to the extent applicable following a GAAP Election, (x)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(y) obligations under the Transaction Agreement and any other agreements or instruments contemplated thereby, shall not be deemed Indebtedness under this Agreement.</w:t>
      </w:r>
    </w:p>
    <w:p>
      <w:pPr>
        <w:spacing w:after="0" w:line="300" w:lineRule="exact"/>
        <w:rPr>
          <w:sz w:val="20"/>
          <w:szCs w:val="20"/>
          <w:color w:val="auto"/>
        </w:rPr>
      </w:pPr>
    </w:p>
    <w:p>
      <w:pPr>
        <w:ind w:right="6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Taxes</w:t>
      </w:r>
      <w:r>
        <w:rPr>
          <w:rFonts w:ascii="Times New Roman" w:cs="Times New Roman" w:eastAsia="Times New Roman" w:hAnsi="Times New Roman"/>
          <w:sz w:val="14"/>
          <w:szCs w:val="14"/>
          <w:color w:val="auto"/>
        </w:rPr>
        <w:t>” shall mean all (a) Taxes, other than Excluded Taxes, imposed on or with respect to any payment by or on account of any obligation of any Loan Party hereunder or under any other Loan Document and (b) to the extent not otherwise described in (a), Other Taxes.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shall have the meaning assigned to such term in Section 9.05(b).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shall have the meaning assigned to such term in Section 3.14(a).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04" w:name="page505"/>
    <w:bookmarkEnd w:id="504"/>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 Memorandum</w:t>
      </w:r>
      <w:r>
        <w:rPr>
          <w:rFonts w:ascii="Times New Roman" w:cs="Times New Roman" w:eastAsia="Times New Roman" w:hAnsi="Times New Roman"/>
          <w:sz w:val="14"/>
          <w:szCs w:val="14"/>
          <w:color w:val="auto"/>
        </w:rPr>
        <w:t>” shall mean the Lender Presentation dated November 10, 2025, as modified or supplemented prior to the Closing Date.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Facilities</w:t>
      </w:r>
      <w:r>
        <w:rPr>
          <w:rFonts w:ascii="Times New Roman" w:cs="Times New Roman" w:eastAsia="Times New Roman" w:hAnsi="Times New Roman"/>
          <w:sz w:val="14"/>
          <w:szCs w:val="14"/>
          <w:color w:val="auto"/>
        </w:rPr>
        <w:t>” shall mean the Initial Term A Facility, the Initial Term B Facility and the Initial Revolving Facility.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Lenders</w:t>
      </w:r>
      <w:r>
        <w:rPr>
          <w:rFonts w:ascii="Times New Roman" w:cs="Times New Roman" w:eastAsia="Times New Roman" w:hAnsi="Times New Roman"/>
          <w:sz w:val="14"/>
          <w:szCs w:val="14"/>
          <w:color w:val="auto"/>
        </w:rPr>
        <w:t>” shall have the meaning assigned to such term in the Commitment Letter.</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Revolving Commitment</w:t>
      </w:r>
      <w:r>
        <w:rPr>
          <w:rFonts w:ascii="Times New Roman" w:cs="Times New Roman" w:eastAsia="Times New Roman" w:hAnsi="Times New Roman"/>
          <w:sz w:val="14"/>
          <w:szCs w:val="14"/>
          <w:color w:val="auto"/>
        </w:rPr>
        <w:t xml:space="preserve">” shall mean, with respect to each Lender, the commitment of such Lender to make Initial Revolving Loans in the amount set forth opposite such Lender’s name in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under the heading “Initial Revolving Commitment” or in the Assignment and Acceptance or Incremental Assumption Agreement pursuant to which such Lender becomes a party hereto, as applicable, as such amount may be adjusted from time to time in accordance with this Agreement or, if such Lender is an Ancillary Lender, decreased by the amount of such Lender’s Ancillary Commitment (and increased to the extent that any such Ancillary Commitment is reduced, cancelled or terminated). The aggregate amount of the Lenders’ Initial Revolving Commitments on the Closing Date is $500,000,000.</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Revolving Facility</w:t>
      </w:r>
      <w:r>
        <w:rPr>
          <w:rFonts w:ascii="Times New Roman" w:cs="Times New Roman" w:eastAsia="Times New Roman" w:hAnsi="Times New Roman"/>
          <w:sz w:val="14"/>
          <w:szCs w:val="14"/>
          <w:color w:val="auto"/>
        </w:rPr>
        <w:t>” shall mean the Initial Revolving Commitments and the Initial Revolving Loans made hereunder.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Revolving Facility Maturity Date</w:t>
      </w:r>
      <w:r>
        <w:rPr>
          <w:rFonts w:ascii="Times New Roman" w:cs="Times New Roman" w:eastAsia="Times New Roman" w:hAnsi="Times New Roman"/>
          <w:sz w:val="14"/>
          <w:szCs w:val="14"/>
          <w:color w:val="auto"/>
        </w:rPr>
        <w:t>” shall mean the fifth anniversary of the Closing Date (which date is December 12, 2030).</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Revolving Lender</w:t>
      </w:r>
      <w:r>
        <w:rPr>
          <w:rFonts w:ascii="Times New Roman" w:cs="Times New Roman" w:eastAsia="Times New Roman" w:hAnsi="Times New Roman"/>
          <w:sz w:val="14"/>
          <w:szCs w:val="14"/>
          <w:color w:val="auto"/>
        </w:rPr>
        <w:t>” shall mean a Lender with an Initial Revolving Commitment or with outstanding Initial Revolving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Revolving Loans</w:t>
      </w:r>
      <w:r>
        <w:rPr>
          <w:rFonts w:ascii="Times New Roman" w:cs="Times New Roman" w:eastAsia="Times New Roman" w:hAnsi="Times New Roman"/>
          <w:sz w:val="14"/>
          <w:szCs w:val="14"/>
          <w:color w:val="auto"/>
        </w:rPr>
        <w:t>” shall have the meaning assigned to such term in Section 2.01(c).</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A Commitment</w:t>
      </w:r>
      <w:r>
        <w:rPr>
          <w:rFonts w:ascii="Times New Roman" w:cs="Times New Roman" w:eastAsia="Times New Roman" w:hAnsi="Times New Roman"/>
          <w:sz w:val="14"/>
          <w:szCs w:val="14"/>
          <w:color w:val="auto"/>
        </w:rPr>
        <w:t xml:space="preserve"> ” shall mean, with respect to each Lender, the amount set forth opposite such Lender’s name on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as such Lender’s “Initial Term A Commitment”. The aggregate amount of the Initial Term A Commitments as of the Closing Date is $1,000,000,000.</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A Facility</w:t>
      </w:r>
      <w:r>
        <w:rPr>
          <w:rFonts w:ascii="Times New Roman" w:cs="Times New Roman" w:eastAsia="Times New Roman" w:hAnsi="Times New Roman"/>
          <w:sz w:val="14"/>
          <w:szCs w:val="14"/>
          <w:color w:val="auto"/>
        </w:rPr>
        <w:t>” shall mean the Initial Term A Commitments and the Initial Term A Loans made hereunder.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A Facility Maturity Date</w:t>
      </w:r>
      <w:r>
        <w:rPr>
          <w:rFonts w:ascii="Times New Roman" w:cs="Times New Roman" w:eastAsia="Times New Roman" w:hAnsi="Times New Roman"/>
          <w:sz w:val="14"/>
          <w:szCs w:val="14"/>
          <w:color w:val="auto"/>
        </w:rPr>
        <w:t>” shall mean the fifth anniversary of the Closing Date (which date is December 12, 2030).</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A Lender</w:t>
      </w:r>
      <w:r>
        <w:rPr>
          <w:rFonts w:ascii="Times New Roman" w:cs="Times New Roman" w:eastAsia="Times New Roman" w:hAnsi="Times New Roman"/>
          <w:sz w:val="14"/>
          <w:szCs w:val="14"/>
          <w:color w:val="auto"/>
        </w:rPr>
        <w:t>” shall mean a Lender with an Initial Term A Commitment or with outstanding Initial Term A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A Loan Installment Date</w:t>
      </w:r>
      <w:r>
        <w:rPr>
          <w:rFonts w:ascii="Times New Roman" w:cs="Times New Roman" w:eastAsia="Times New Roman" w:hAnsi="Times New Roman"/>
          <w:sz w:val="14"/>
          <w:szCs w:val="14"/>
          <w:color w:val="auto"/>
        </w:rPr>
        <w:t>” shall have the meaning assigned to such term in Section 2.10(a)(i).</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A Loans</w:t>
      </w:r>
      <w:r>
        <w:rPr>
          <w:rFonts w:ascii="Times New Roman" w:cs="Times New Roman" w:eastAsia="Times New Roman" w:hAnsi="Times New Roman"/>
          <w:sz w:val="14"/>
          <w:szCs w:val="14"/>
          <w:color w:val="auto"/>
        </w:rPr>
        <w:t>” shall have the meaning assigned to such term in Section 2.01(a).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505" w:name="page506"/>
    <w:bookmarkEnd w:id="505"/>
    <w:p>
      <w:pPr>
        <w:spacing w:after="0" w:line="34"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B Commitment</w:t>
      </w:r>
      <w:r>
        <w:rPr>
          <w:rFonts w:ascii="Times New Roman" w:cs="Times New Roman" w:eastAsia="Times New Roman" w:hAnsi="Times New Roman"/>
          <w:sz w:val="14"/>
          <w:szCs w:val="14"/>
          <w:color w:val="auto"/>
        </w:rPr>
        <w:t xml:space="preserve">” shall mean, with respect to each Lender, the amount set forth opposite such Lender’s name on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as such Lender’s “Initial Term B Commitment”. The aggregate amount of the Initial Term B Commitments as of the Closing Date is $2,000,000,000.</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B Facility</w:t>
      </w:r>
      <w:r>
        <w:rPr>
          <w:rFonts w:ascii="Times New Roman" w:cs="Times New Roman" w:eastAsia="Times New Roman" w:hAnsi="Times New Roman"/>
          <w:sz w:val="14"/>
          <w:szCs w:val="14"/>
          <w:color w:val="auto"/>
        </w:rPr>
        <w:t>” shall mean the Initial Term B Commitments and the Initial Term B Loans made hereunder.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B Facility Maturity Date</w:t>
      </w:r>
      <w:r>
        <w:rPr>
          <w:rFonts w:ascii="Times New Roman" w:cs="Times New Roman" w:eastAsia="Times New Roman" w:hAnsi="Times New Roman"/>
          <w:sz w:val="14"/>
          <w:szCs w:val="14"/>
          <w:color w:val="auto"/>
        </w:rPr>
        <w:t>” shall mean the seventh anniversary of the Closing Date (which date is December 12, 2032).</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B Lender</w:t>
      </w:r>
      <w:r>
        <w:rPr>
          <w:rFonts w:ascii="Times New Roman" w:cs="Times New Roman" w:eastAsia="Times New Roman" w:hAnsi="Times New Roman"/>
          <w:sz w:val="14"/>
          <w:szCs w:val="14"/>
          <w:color w:val="auto"/>
        </w:rPr>
        <w:t>” shall mean a Lender with an Initial Term B Commitment or with outstanding Initial Term B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B Loan Installment Date</w:t>
      </w:r>
      <w:r>
        <w:rPr>
          <w:rFonts w:ascii="Times New Roman" w:cs="Times New Roman" w:eastAsia="Times New Roman" w:hAnsi="Times New Roman"/>
          <w:sz w:val="14"/>
          <w:szCs w:val="14"/>
          <w:color w:val="auto"/>
        </w:rPr>
        <w:t>” shall have the meaning assigned to such term in Section 2.10(a)(ii).</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B Loans</w:t>
      </w:r>
      <w:r>
        <w:rPr>
          <w:rFonts w:ascii="Times New Roman" w:cs="Times New Roman" w:eastAsia="Times New Roman" w:hAnsi="Times New Roman"/>
          <w:sz w:val="14"/>
          <w:szCs w:val="14"/>
          <w:color w:val="auto"/>
        </w:rPr>
        <w:t>” shall have the meaning assigned to such term in Section 2.01(b).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Facilities</w:t>
      </w:r>
      <w:r>
        <w:rPr>
          <w:rFonts w:ascii="Times New Roman" w:cs="Times New Roman" w:eastAsia="Times New Roman" w:hAnsi="Times New Roman"/>
          <w:sz w:val="14"/>
          <w:szCs w:val="14"/>
          <w:color w:val="auto"/>
        </w:rPr>
        <w:t>” shall mean the Initial Term A Facility and the Initial Term B Facility.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 Loans</w:t>
      </w:r>
      <w:r>
        <w:rPr>
          <w:rFonts w:ascii="Times New Roman" w:cs="Times New Roman" w:eastAsia="Times New Roman" w:hAnsi="Times New Roman"/>
          <w:sz w:val="14"/>
          <w:szCs w:val="14"/>
          <w:color w:val="auto"/>
        </w:rPr>
        <w:t>” shall mean (a) the Initial Term A Loans and (b) the Initial Term B Loans.</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Inside Maturity Amount</w:t>
      </w:r>
      <w:r>
        <w:rPr>
          <w:rFonts w:ascii="Times New Roman" w:cs="Times New Roman" w:eastAsia="Times New Roman" w:hAnsi="Times New Roman"/>
          <w:sz w:val="14"/>
          <w:szCs w:val="14"/>
          <w:color w:val="auto"/>
        </w:rPr>
        <w:t xml:space="preserve">” shall mean, at any time, (a) an amount equal to 50% of Adjusted Consolidated EBITDA for the most recently ended Test Period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(b) the sum, without duplication, of the aggregate outstanding principal amount of all Indebtedness incurred in reliance on the Inside Maturity Amount.</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Insurance Subsidiary</w:t>
      </w:r>
      <w:r>
        <w:rPr>
          <w:rFonts w:ascii="Times New Roman" w:cs="Times New Roman" w:eastAsia="Times New Roman" w:hAnsi="Times New Roman"/>
          <w:sz w:val="14"/>
          <w:szCs w:val="14"/>
          <w:color w:val="auto"/>
        </w:rPr>
        <w:t>” shall have the meaning assigned to such term in Section 6.04(y).</w:t>
      </w:r>
    </w:p>
    <w:p>
      <w:pPr>
        <w:spacing w:after="0" w:line="163" w:lineRule="exact"/>
        <w:rPr>
          <w:sz w:val="20"/>
          <w:szCs w:val="20"/>
          <w:color w:val="auto"/>
        </w:rPr>
      </w:pPr>
    </w:p>
    <w:p>
      <w:pPr>
        <w:jc w:val="both"/>
        <w:ind w:right="20"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shall mean all U.S. and non-U.S. intellectual property, whether based on statutory or common law rights, if applicable, including: (a) copyrights, registrations and applications for registration thereof (“</w:t>
      </w:r>
      <w:r>
        <w:rPr>
          <w:rFonts w:ascii="Times New Roman" w:cs="Times New Roman" w:eastAsia="Times New Roman" w:hAnsi="Times New Roman"/>
          <w:sz w:val="14"/>
          <w:szCs w:val="14"/>
          <w:u w:val="single" w:color="auto"/>
          <w:color w:val="auto"/>
        </w:rPr>
        <w:t>Copyrights</w:t>
      </w:r>
      <w:r>
        <w:rPr>
          <w:rFonts w:ascii="Times New Roman" w:cs="Times New Roman" w:eastAsia="Times New Roman" w:hAnsi="Times New Roman"/>
          <w:sz w:val="14"/>
          <w:szCs w:val="14"/>
          <w:color w:val="auto"/>
        </w:rPr>
        <w:t>”), (b) trademarks, service marks, trade names, brand names, domain names, trade dress and registrations and applications of registrations thereof, and other identifiers of source or goodwill (“</w:t>
      </w:r>
      <w:r>
        <w:rPr>
          <w:rFonts w:ascii="Times New Roman" w:cs="Times New Roman" w:eastAsia="Times New Roman" w:hAnsi="Times New Roman"/>
          <w:sz w:val="14"/>
          <w:szCs w:val="14"/>
          <w:u w:val="single" w:color="auto"/>
          <w:color w:val="auto"/>
        </w:rPr>
        <w:t>Trademarks</w:t>
      </w:r>
      <w:r>
        <w:rPr>
          <w:rFonts w:ascii="Times New Roman" w:cs="Times New Roman" w:eastAsia="Times New Roman" w:hAnsi="Times New Roman"/>
          <w:sz w:val="14"/>
          <w:szCs w:val="14"/>
          <w:color w:val="auto"/>
        </w:rPr>
        <w:t>”), (c) patents and patent applications, in any jurisdiction in the world, including all provisionals, divisionals, continuations, continuations-in-part, reissues, reexaminations, renewals and extensions of any of the foregoing, and all rights to claim priority of any of the foregoing (“</w:t>
      </w:r>
      <w:r>
        <w:rPr>
          <w:rFonts w:ascii="Times New Roman" w:cs="Times New Roman" w:eastAsia="Times New Roman" w:hAnsi="Times New Roman"/>
          <w:sz w:val="14"/>
          <w:szCs w:val="14"/>
          <w:u w:val="single" w:color="auto"/>
          <w:color w:val="auto"/>
        </w:rPr>
        <w:t>Patents</w:t>
      </w:r>
      <w:r>
        <w:rPr>
          <w:rFonts w:ascii="Times New Roman" w:cs="Times New Roman" w:eastAsia="Times New Roman" w:hAnsi="Times New Roman"/>
          <w:sz w:val="14"/>
          <w:szCs w:val="14"/>
          <w:color w:val="auto"/>
        </w:rPr>
        <w:t>”), (d) trade secrets and rights in confidential information, including rights in software, ideas, designs, concepts, compilations of information, methods, techniques, procedures, processes and other know-how, whether or not patentable and (e) any rights in databases.</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Intercreditor Agreement</w:t>
      </w:r>
      <w:r>
        <w:rPr>
          <w:rFonts w:ascii="Times New Roman" w:cs="Times New Roman" w:eastAsia="Times New Roman" w:hAnsi="Times New Roman"/>
          <w:sz w:val="14"/>
          <w:szCs w:val="14"/>
          <w:color w:val="auto"/>
        </w:rPr>
        <w:t>” shall mean, at any time, any Acceptable Intercreditor Agreement then in effect.</w:t>
      </w:r>
    </w:p>
    <w:p>
      <w:pPr>
        <w:spacing w:after="0" w:line="163" w:lineRule="exact"/>
        <w:rPr>
          <w:sz w:val="20"/>
          <w:szCs w:val="20"/>
          <w:color w:val="auto"/>
        </w:rPr>
      </w:pPr>
    </w:p>
    <w:p>
      <w:pPr>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Coverage Ratio</w:t>
      </w:r>
      <w:r>
        <w:rPr>
          <w:rFonts w:ascii="Times New Roman" w:cs="Times New Roman" w:eastAsia="Times New Roman" w:hAnsi="Times New Roman"/>
          <w:sz w:val="14"/>
          <w:szCs w:val="14"/>
          <w:color w:val="auto"/>
        </w:rPr>
        <w:t>” shall mean, as of any date of determination, the ratio of (a) Adjusted Consolidated EBITDA for the most recently ended Test Period to (b) Consolidated Cash Interest Expense for such Test Period.</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06" w:name="page507"/>
    <w:bookmarkEnd w:id="506"/>
    <w:p>
      <w:pPr>
        <w:spacing w:after="0" w:line="34"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Election Request</w:t>
      </w:r>
      <w:r>
        <w:rPr>
          <w:rFonts w:ascii="Times New Roman" w:cs="Times New Roman" w:eastAsia="Times New Roman" w:hAnsi="Times New Roman"/>
          <w:sz w:val="14"/>
          <w:szCs w:val="14"/>
          <w:color w:val="auto"/>
        </w:rPr>
        <w:t xml:space="preserve">” shall mean a request by the applicable Borrower to convert or continue a Borrowing in accordance with Section 2.07 and substantially in the form of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or another form (including any form on an electronic platform or electronic transmission system as shall be approved by the Administrative Agent) approved by the Administrative Agent.</w:t>
      </w:r>
    </w:p>
    <w:p>
      <w:pPr>
        <w:spacing w:after="0" w:line="117" w:lineRule="exact"/>
        <w:rPr>
          <w:sz w:val="20"/>
          <w:szCs w:val="20"/>
          <w:color w:val="auto"/>
        </w:rPr>
      </w:pPr>
    </w:p>
    <w:p>
      <w:pPr>
        <w:jc w:val="both"/>
        <w:ind w:right="20" w:firstLine="91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Expense</w:t>
      </w:r>
      <w:r>
        <w:rPr>
          <w:rFonts w:ascii="Times New Roman" w:cs="Times New Roman" w:eastAsia="Times New Roman" w:hAnsi="Times New Roman"/>
          <w:sz w:val="14"/>
          <w:szCs w:val="14"/>
          <w:color w:val="auto"/>
        </w:rPr>
        <w:t>” shall mean, with respect to any person for any period, the sum of, without duplication, (a) net interest expense of such person for such period on a consolidated basis, (i) including (A) the amortization of debt discounts, (B) the amortization of all fees (including fees with respect to Hedging Agreements) payable in connection with the incurrence of Indebtedness to the extent included in interest expense, (C) the portion of any payments or accruals with respect to Capitalized Lease Obligations allocable to interest expense and (D) net payments and receipts (if any) pursuant to interest rate hedging obligations, and (ii) excluding (A) unrealized mark-to-market gains and losses attributable to interest rate hedging obligations, (B) amortization of deferred financing fees and (C) expensing of any bridge or other financing fees, (b) capitalized interest of such person, whether paid or accrued, and (c) commissions, discounts, yield and other fees and charges incurred for such period, including any losses on sales of receivables and related assets, in connection with any receivables financing of such person or any of its Subsidiaries that are payable to persons other than such person and its Subsidiaries.</w:t>
      </w:r>
    </w:p>
    <w:p>
      <w:pPr>
        <w:spacing w:after="0" w:line="126" w:lineRule="exact"/>
        <w:rPr>
          <w:sz w:val="20"/>
          <w:szCs w:val="20"/>
          <w:color w:val="auto"/>
        </w:rPr>
      </w:pPr>
    </w:p>
    <w:p>
      <w:pPr>
        <w:jc w:val="both"/>
        <w:ind w:right="20"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xml:space="preserve">” shall mean, (a) as to any Eurocurrency Rate Loan, the last day of each Interest Period applicable to such Loan and the Maturity Date of the Facility under which such Loan was made;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any Interest Period for a Eurocurrency Rate Loan exceeds three months, the respective dates that fall every three months after the beginning of such Interest Period shall also be Interest Payment Dates; (b) as to any Term SOFR Loan, the last day of each Interest Period applicable to such Loan and the Maturity Date of the Facility under which such Loan was made;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any Interest Period for a Term SOFR Loan exceeds three months, the respective dates that fall every three months after the beginning of such Interest Period shall also be Interest Payment Dates; and (c) as to any ABR Loan, the last Business Day of each March, June, September and December and the Maturity Date of the Facility under which such Loan was made.</w:t>
      </w:r>
    </w:p>
    <w:p>
      <w:pPr>
        <w:spacing w:after="0" w:line="126" w:lineRule="exact"/>
        <w:rPr>
          <w:sz w:val="20"/>
          <w:szCs w:val="20"/>
          <w:color w:val="auto"/>
        </w:rPr>
      </w:pPr>
    </w:p>
    <w:p>
      <w:pPr>
        <w:jc w:val="both"/>
        <w:ind w:firstLine="91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Period</w:t>
      </w:r>
      <w:r>
        <w:rPr>
          <w:rFonts w:ascii="Times New Roman" w:cs="Times New Roman" w:eastAsia="Times New Roman" w:hAnsi="Times New Roman"/>
          <w:sz w:val="14"/>
          <w:szCs w:val="14"/>
          <w:color w:val="auto"/>
        </w:rPr>
        <w:t xml:space="preserve">” shall mean, (x) as to each Eurocurrency Rate Borrowing, the period commencing on the date such Eurocurrency Rate Borrowing is disbursed or converted to or continued as a Eurocurrency Rate Borrowing and ending on the date one, three or six months thereafter, as selected by the applicable Borrower in its Borrowing Request or Interest Election Request, as applicable, or such other shorter period that is requested by the applicable Borrower and consented to by the Administrative Agent and all the applicable Lenders (in each case, subject to availability for the interest rate applicable to the relevant currency) and (y) as to each Term SOFR Borrowing, the period commencing on the date such Term SOFR Borrowing is disbursed or converted to or continued as a Term SOFR Borrowing and ending on the date one, three or six months thereafter, as selected by the applicable Borrower in its Borrowing Request or Interest Election Request, as applicable, or such other shorter period that is requested by the applicable Borrower and consented to by the Administrative Agent and all the applicable Lenders (in each case, subject to availability);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116" w:lineRule="exact"/>
        <w:rPr>
          <w:sz w:val="20"/>
          <w:szCs w:val="20"/>
          <w:color w:val="auto"/>
        </w:rPr>
      </w:pPr>
    </w:p>
    <w:p>
      <w:pPr>
        <w:ind w:left="460" w:firstLine="460"/>
        <w:spacing w:after="0" w:line="248" w:lineRule="auto"/>
        <w:tabs>
          <w:tab w:leader="none" w:pos="1374"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05"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Period that begins on the last Business Day of a calendar month (or on a day for which there is no numerically corresponding day in the calendar month at the end of</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07" w:name="page508"/>
    <w:bookmarkEnd w:id="507"/>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such Interest Period) shall end on the last Business Day of the calendar month at the end of such Interest Period;</w:t>
      </w:r>
    </w:p>
    <w:p>
      <w:pPr>
        <w:spacing w:after="0" w:line="134" w:lineRule="exact"/>
        <w:rPr>
          <w:sz w:val="20"/>
          <w:szCs w:val="20"/>
          <w:color w:val="auto"/>
        </w:rPr>
      </w:pPr>
    </w:p>
    <w:p>
      <w:pPr>
        <w:ind w:left="1380" w:hanging="460"/>
        <w:spacing w:after="0"/>
        <w:tabs>
          <w:tab w:leader="none" w:pos="1380"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Interest Period shall extend beyond the applicable Maturity Date; and</w:t>
      </w:r>
    </w:p>
    <w:p>
      <w:pPr>
        <w:spacing w:after="0" w:line="134" w:lineRule="exact"/>
        <w:rPr>
          <w:rFonts w:ascii="Times New Roman" w:cs="Times New Roman" w:eastAsia="Times New Roman" w:hAnsi="Times New Roman"/>
          <w:sz w:val="14"/>
          <w:szCs w:val="14"/>
          <w:color w:val="auto"/>
        </w:rPr>
      </w:pPr>
    </w:p>
    <w:p>
      <w:pPr>
        <w:ind w:left="920" w:right="1160"/>
        <w:spacing w:after="0" w:line="468" w:lineRule="auto"/>
        <w:tabs>
          <w:tab w:leader="none" w:pos="1377"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tenor that has been removed from this definition pursuant to Section 2.28(d) shall be available for specification in any Borrowing Request. “</w:t>
      </w:r>
      <w:r>
        <w:rPr>
          <w:rFonts w:ascii="Times New Roman" w:cs="Times New Roman" w:eastAsia="Times New Roman" w:hAnsi="Times New Roman"/>
          <w:sz w:val="14"/>
          <w:szCs w:val="14"/>
          <w:u w:val="single" w:color="auto"/>
          <w:color w:val="auto"/>
        </w:rPr>
        <w:t>Investment</w:t>
      </w:r>
      <w:r>
        <w:rPr>
          <w:rFonts w:ascii="Times New Roman" w:cs="Times New Roman" w:eastAsia="Times New Roman" w:hAnsi="Times New Roman"/>
          <w:sz w:val="14"/>
          <w:szCs w:val="14"/>
          <w:color w:val="auto"/>
        </w:rPr>
        <w:t>” shall have the meaning assigned to such term in Section 6.04.</w:t>
      </w:r>
    </w:p>
    <w:p>
      <w:pPr>
        <w:ind w:left="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shall mean the United States Internal Revenue Service.</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ISP</w:t>
      </w:r>
      <w:r>
        <w:rPr>
          <w:rFonts w:ascii="Times New Roman" w:cs="Times New Roman" w:eastAsia="Times New Roman" w:hAnsi="Times New Roman"/>
          <w:sz w:val="14"/>
          <w:szCs w:val="14"/>
          <w:color w:val="auto"/>
        </w:rPr>
        <w:t>” shall mean the International Standby Practices, International Chamber of Commerce Publication No. 590 (or such later version thereof as may be in effect at the applicable time).</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Issuer Documents</w:t>
      </w:r>
      <w:r>
        <w:rPr>
          <w:rFonts w:ascii="Times New Roman" w:cs="Times New Roman" w:eastAsia="Times New Roman" w:hAnsi="Times New Roman"/>
          <w:sz w:val="14"/>
          <w:szCs w:val="14"/>
          <w:color w:val="auto"/>
        </w:rPr>
        <w:t>” shall mean, with respect to any Letter of Credit, the letter of credit application and any other document, agreement and instrument entered into by the applicable Issuing Bank and the applicable Borrower (or any Subsidiary) or in favor of such Issuing Bank and relating to such Letter of Credit.</w:t>
      </w:r>
    </w:p>
    <w:p>
      <w:pPr>
        <w:spacing w:after="0" w:line="105"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Issuing Bank</w:t>
      </w:r>
      <w:r>
        <w:rPr>
          <w:rFonts w:ascii="Times New Roman" w:cs="Times New Roman" w:eastAsia="Times New Roman" w:hAnsi="Times New Roman"/>
          <w:sz w:val="14"/>
          <w:szCs w:val="14"/>
          <w:color w:val="auto"/>
        </w:rPr>
        <w:t xml:space="preserve">” shall mean (a) each person listed as having a Letter of Credit Commitment on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and (b) each other person designated as an Issuing Bank pursuant to Section 2.05(l), in each case in its capacity as an issuer of Letters of Credit hereunder, and its successors in such capacity. If an Issuing Bank arranges for one more Letters of Credit to be issued by Affiliates or designated branch offices of such Issuing Bank as permitted by 2.05(a)(vii), the term “Issuing Bank” shall include any such Affiliate or branch office with respect to Letters of Credit issued by such Affiliate or branch office.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Issuing Bank Fees</w:t>
      </w:r>
      <w:r>
        <w:rPr>
          <w:rFonts w:ascii="Times New Roman" w:cs="Times New Roman" w:eastAsia="Times New Roman" w:hAnsi="Times New Roman"/>
          <w:sz w:val="14"/>
          <w:szCs w:val="14"/>
          <w:color w:val="auto"/>
        </w:rPr>
        <w:t>” shall have the meaning assigned to such term in Section 2.12(b).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 shall have the meaning assigned to such term in Section 9.25(a).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Judgment Currency Conversion Date</w:t>
      </w:r>
      <w:r>
        <w:rPr>
          <w:rFonts w:ascii="Times New Roman" w:cs="Times New Roman" w:eastAsia="Times New Roman" w:hAnsi="Times New Roman"/>
          <w:sz w:val="14"/>
          <w:szCs w:val="14"/>
          <w:color w:val="auto"/>
        </w:rPr>
        <w:t>” shall have the meaning assigned to such term in Section 9.25(a).</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Debt Restricted Payment</w:t>
      </w:r>
      <w:r>
        <w:rPr>
          <w:rFonts w:ascii="Times New Roman" w:cs="Times New Roman" w:eastAsia="Times New Roman" w:hAnsi="Times New Roman"/>
          <w:sz w:val="14"/>
          <w:szCs w:val="14"/>
          <w:color w:val="auto"/>
        </w:rPr>
        <w:t>” shall mean any payment or other distribution (whether in cash, securities or other property), directly or indirectly made by the Parent or any of the Subsidiaries, of or in respect of principal of or interest on any Indebtedness that is by its terms subordinated in right of payment to the Loan Obligations (each of the foregoing, a “</w:t>
      </w:r>
      <w:r>
        <w:rPr>
          <w:rFonts w:ascii="Times New Roman" w:cs="Times New Roman" w:eastAsia="Times New Roman" w:hAnsi="Times New Roman"/>
          <w:sz w:val="14"/>
          <w:szCs w:val="14"/>
          <w:u w:val="single" w:color="auto"/>
          <w:color w:val="auto"/>
        </w:rPr>
        <w:t>Junior 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following shall not constitute a Junior Debt Restricted Payment:</w:t>
      </w:r>
    </w:p>
    <w:p>
      <w:pPr>
        <w:spacing w:after="0" w:line="107" w:lineRule="exact"/>
        <w:rPr>
          <w:sz w:val="20"/>
          <w:szCs w:val="20"/>
          <w:color w:val="auto"/>
        </w:rPr>
      </w:pPr>
    </w:p>
    <w:p>
      <w:pPr>
        <w:ind w:left="1380" w:hanging="460"/>
        <w:spacing w:after="0"/>
        <w:tabs>
          <w:tab w:leader="none" w:pos="1380" w:val="left"/>
        </w:tabs>
        <w:numPr>
          <w:ilvl w:val="1"/>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Refinancings with any Permitted Refinancing Indebtedness permitted to be incurred under Section 6.01;</w:t>
      </w:r>
    </w:p>
    <w:p>
      <w:pPr>
        <w:spacing w:after="0" w:line="134" w:lineRule="exact"/>
        <w:rPr>
          <w:rFonts w:ascii="Times New Roman" w:cs="Times New Roman" w:eastAsia="Times New Roman" w:hAnsi="Times New Roman"/>
          <w:sz w:val="14"/>
          <w:szCs w:val="14"/>
          <w:color w:val="auto"/>
        </w:rPr>
      </w:pPr>
    </w:p>
    <w:p>
      <w:pPr>
        <w:jc w:val="both"/>
        <w:ind w:right="20" w:firstLine="920"/>
        <w:spacing w:after="0" w:line="224" w:lineRule="auto"/>
        <w:tabs>
          <w:tab w:leader="none" w:pos="1361" w:val="left"/>
        </w:tabs>
        <w:numPr>
          <w:ilvl w:val="1"/>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w:t>
      </w:r>
    </w:p>
    <w:p>
      <w:pPr>
        <w:spacing w:after="0" w:line="1"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5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Code, and, to the extent this Agreement is then in effect, principal on any date that is within one year of the scheduled maturity date of any such Junior Financing;</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08" w:name="page509"/>
    <w:bookmarkEnd w:id="508"/>
    <w:p>
      <w:pPr>
        <w:spacing w:after="0" w:line="24" w:lineRule="exact"/>
        <w:rPr>
          <w:sz w:val="20"/>
          <w:szCs w:val="20"/>
          <w:color w:val="auto"/>
        </w:rPr>
      </w:pPr>
    </w:p>
    <w:p>
      <w:pPr>
        <w:jc w:val="both"/>
        <w:ind w:right="20" w:firstLine="920"/>
        <w:spacing w:after="0" w:line="233" w:lineRule="auto"/>
        <w:tabs>
          <w:tab w:leader="none" w:pos="1370"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payments or distributions in respect of all or any portion of the Junior Financing with the proceeds from the issuance, sale or exchange by the Parent of Qualified Equity Interests within eighteen months prior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proceeds are not included in any determination of the Available Amount or the amount of Indebtedness that is permitted to be incurred pursuant to Section 6.01(ee); and</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conversion of any Junior Financing to Qualified Equity Interests of the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Qualified Equity Interests are not included in the calculation of the Available Amount.</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Financing</w:t>
      </w:r>
      <w:r>
        <w:rPr>
          <w:rFonts w:ascii="Times New Roman" w:cs="Times New Roman" w:eastAsia="Times New Roman" w:hAnsi="Times New Roman"/>
          <w:sz w:val="14"/>
          <w:szCs w:val="14"/>
          <w:color w:val="auto"/>
        </w:rPr>
        <w:t>” shall have the meaning assigned to such term in the definition of the term “Junior Debt Restricted Payment.”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Liens</w:t>
      </w:r>
      <w:r>
        <w:rPr>
          <w:rFonts w:ascii="Times New Roman" w:cs="Times New Roman" w:eastAsia="Times New Roman" w:hAnsi="Times New Roman"/>
          <w:sz w:val="14"/>
          <w:szCs w:val="14"/>
          <w:color w:val="auto"/>
        </w:rPr>
        <w:t>” shall mean Liens on the Collateral that are junior to the Liens thereon securing the Initial Facilities.</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Advance</w:t>
      </w:r>
      <w:r>
        <w:rPr>
          <w:rFonts w:ascii="Times New Roman" w:cs="Times New Roman" w:eastAsia="Times New Roman" w:hAnsi="Times New Roman"/>
          <w:sz w:val="14"/>
          <w:szCs w:val="14"/>
          <w:color w:val="auto"/>
        </w:rPr>
        <w:t>” shall mean, with respect to each Revolving Lender, such Revolving Lender’s funding of its participation in any L/C Borrowing in accordance with its Revolving Percentage. All L/C Advances shall be denominated in the applicable Agreed Currency in which such Letter of Credit is issued.</w:t>
      </w:r>
    </w:p>
    <w:p>
      <w:pPr>
        <w:spacing w:after="0" w:line="105"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Borrowing</w:t>
      </w:r>
      <w:r>
        <w:rPr>
          <w:rFonts w:ascii="Times New Roman" w:cs="Times New Roman" w:eastAsia="Times New Roman" w:hAnsi="Times New Roman"/>
          <w:sz w:val="14"/>
          <w:szCs w:val="14"/>
          <w:color w:val="auto"/>
        </w:rPr>
        <w:t>” shall mean an extension of credit resulting from a drawing under any Letter of Credit which has not been reimbursed on the date when made or refinanced as a Revolving Borrowing. All L/C Borrowings shall be denominated in the applicable Agreed Currency in which such Letter of Credit is issued.</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Credit Extension</w:t>
      </w:r>
      <w:r>
        <w:rPr>
          <w:rFonts w:ascii="Times New Roman" w:cs="Times New Roman" w:eastAsia="Times New Roman" w:hAnsi="Times New Roman"/>
          <w:sz w:val="14"/>
          <w:szCs w:val="14"/>
          <w:color w:val="auto"/>
        </w:rPr>
        <w:t>” shall mean, with respect to any Letter of Credit, the issuance thereof, an extension of the expiry date thereof or an increase in the amount thereof.</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Disbursement</w:t>
      </w:r>
      <w:r>
        <w:rPr>
          <w:rFonts w:ascii="Times New Roman" w:cs="Times New Roman" w:eastAsia="Times New Roman" w:hAnsi="Times New Roman"/>
          <w:sz w:val="14"/>
          <w:szCs w:val="14"/>
          <w:color w:val="auto"/>
        </w:rPr>
        <w:t>” shall mean a payment or disbursement made by an Issuing Bank pursuant to a Letter of Credit.</w:t>
      </w:r>
    </w:p>
    <w:p>
      <w:pPr>
        <w:spacing w:after="0" w:line="163"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Obligations</w:t>
      </w:r>
      <w:r>
        <w:rPr>
          <w:rFonts w:ascii="Times New Roman" w:cs="Times New Roman" w:eastAsia="Times New Roman" w:hAnsi="Times New Roman"/>
          <w:sz w:val="14"/>
          <w:szCs w:val="14"/>
          <w:color w:val="auto"/>
        </w:rPr>
        <w:t>” shall mean,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Section 1.07.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Participation Fee</w:t>
      </w:r>
      <w:r>
        <w:rPr>
          <w:rFonts w:ascii="Times New Roman" w:cs="Times New Roman" w:eastAsia="Times New Roman" w:hAnsi="Times New Roman"/>
          <w:sz w:val="14"/>
          <w:szCs w:val="14"/>
          <w:color w:val="auto"/>
        </w:rPr>
        <w:t>” shall have the meaning assigned to such term in Section 2.12(b).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Latest Maturity Date</w:t>
      </w:r>
      <w:r>
        <w:rPr>
          <w:rFonts w:ascii="Times New Roman" w:cs="Times New Roman" w:eastAsia="Times New Roman" w:hAnsi="Times New Roman"/>
          <w:sz w:val="14"/>
          <w:szCs w:val="14"/>
          <w:color w:val="auto"/>
        </w:rPr>
        <w:t>” shall mean, at any date of determination, the latest of the Maturity Dates then in effect on such date of determination.</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u w:val="single" w:color="auto"/>
          <w:color w:val="auto"/>
        </w:rPr>
        <w:t>laws</w:t>
      </w:r>
      <w:r>
        <w:rPr>
          <w:rFonts w:ascii="Times New Roman" w:cs="Times New Roman" w:eastAsia="Times New Roman" w:hAnsi="Times New Roman"/>
          <w:sz w:val="14"/>
          <w:szCs w:val="14"/>
          <w:color w:val="auto"/>
        </w:rPr>
        <w:t>” shall mean,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09" w:name="page510"/>
    <w:bookmarkEnd w:id="509"/>
    <w:p>
      <w:pPr>
        <w:spacing w:after="0" w:line="34"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administrative orders, directed duties, requests, licenses, authorizations and permits of, and agreements with, any Governmental Authority, in each case whether or not having the force of law.</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LCA Election</w:t>
      </w:r>
      <w:r>
        <w:rPr>
          <w:rFonts w:ascii="Times New Roman" w:cs="Times New Roman" w:eastAsia="Times New Roman" w:hAnsi="Times New Roman"/>
          <w:sz w:val="14"/>
          <w:szCs w:val="14"/>
          <w:color w:val="auto"/>
        </w:rPr>
        <w:t>” shall have the meaning assigned to such term in Section 1.08(c).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LCA Test Date</w:t>
      </w:r>
      <w:r>
        <w:rPr>
          <w:rFonts w:ascii="Times New Roman" w:cs="Times New Roman" w:eastAsia="Times New Roman" w:hAnsi="Times New Roman"/>
          <w:sz w:val="14"/>
          <w:szCs w:val="14"/>
          <w:color w:val="auto"/>
        </w:rPr>
        <w:t>” shall have the meaning assigned to such term in Section 1.08(c).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Opinion</w:t>
      </w:r>
      <w:r>
        <w:rPr>
          <w:rFonts w:ascii="Times New Roman" w:cs="Times New Roman" w:eastAsia="Times New Roman" w:hAnsi="Times New Roman"/>
          <w:sz w:val="14"/>
          <w:szCs w:val="14"/>
          <w:color w:val="auto"/>
        </w:rPr>
        <w:t>” shall mean any legal opinion delivered to the Administrative Agent pursuant to this Agreement.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Reservations</w:t>
      </w:r>
      <w:r>
        <w:rPr>
          <w:rFonts w:ascii="Times New Roman" w:cs="Times New Roman" w:eastAsia="Times New Roman" w:hAnsi="Times New Roman"/>
          <w:sz w:val="14"/>
          <w:szCs w:val="14"/>
          <w:color w:val="auto"/>
        </w:rPr>
        <w:t>” shall mean:</w:t>
      </w:r>
    </w:p>
    <w:p>
      <w:pPr>
        <w:spacing w:after="0" w:line="153" w:lineRule="exact"/>
        <w:rPr>
          <w:sz w:val="20"/>
          <w:szCs w:val="20"/>
          <w:color w:val="auto"/>
        </w:rPr>
      </w:pPr>
    </w:p>
    <w:p>
      <w:pPr>
        <w:ind w:left="1380" w:hanging="460"/>
        <w:spacing w:after="0"/>
        <w:tabs>
          <w:tab w:leader="none" w:pos="138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principles of equity (regardless of whether such enforceability is considered in a proceeding in equity or at law);</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implied covenants of good faith and fair dealing;</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for filings and registrations necessary to perfect the Liens on the Collateral granted by the Loan Parties in favor of the Collateral Agent;</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of relevant Debtor Relief Laws;</w:t>
      </w:r>
    </w:p>
    <w:p>
      <w:pPr>
        <w:spacing w:after="0" w:line="134"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barring of claims under applicable jurisdiction laws, the possibility that an undertaking to assume liability for or indemnify a person against non-payment of stamp duty may be void and defenses of acquiescence, set-off or counterclaim and similar principles or limitations under the laws of any applicable jurisdiction;</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similar principles, rights and defences under the laws of any relevant jurisdiction; and</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matters which are set out as qualifications or reservations as to matters of law of general application in the Legal Opinions.</w:t>
      </w:r>
    </w:p>
    <w:p>
      <w:pPr>
        <w:spacing w:after="0" w:line="144"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w:t>
      </w:r>
      <w:r>
        <w:rPr>
          <w:rFonts w:ascii="Times New Roman" w:cs="Times New Roman" w:eastAsia="Times New Roman" w:hAnsi="Times New Roman"/>
          <w:sz w:val="14"/>
          <w:szCs w:val="14"/>
          <w:color w:val="auto"/>
        </w:rPr>
        <w:t xml:space="preserve">” shall mean (a) each financial institution listed on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(other than any such person that has ceased to be a party hereto pursuant to an Assignment and Acceptance in accordance with Section 9.04), (b) any person that becomes a “Lender” hereunder pursuant to Section 9.04, Section 2.21, Section 2.22 or Section 2.23 and (c) each Ancillary Lender.</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 Party</w:t>
      </w:r>
      <w:r>
        <w:rPr>
          <w:rFonts w:ascii="Times New Roman" w:cs="Times New Roman" w:eastAsia="Times New Roman" w:hAnsi="Times New Roman"/>
          <w:sz w:val="14"/>
          <w:szCs w:val="14"/>
          <w:color w:val="auto"/>
        </w:rPr>
        <w:t>” shall mean any Lender or Issuing Bank.</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Lender-Related Person</w:t>
      </w:r>
      <w:r>
        <w:rPr>
          <w:rFonts w:ascii="Times New Roman" w:cs="Times New Roman" w:eastAsia="Times New Roman" w:hAnsi="Times New Roman"/>
          <w:sz w:val="14"/>
          <w:szCs w:val="14"/>
          <w:color w:val="auto"/>
        </w:rPr>
        <w:t>” shall have the meaning assigned to such term in Section 9.05(c).</w:t>
      </w:r>
    </w:p>
    <w:p>
      <w:pPr>
        <w:spacing w:after="0" w:line="163"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Lending Office</w:t>
      </w:r>
      <w:r>
        <w:rPr>
          <w:rFonts w:ascii="Times New Roman" w:cs="Times New Roman" w:eastAsia="Times New Roman" w:hAnsi="Times New Roman"/>
          <w:sz w:val="14"/>
          <w:szCs w:val="14"/>
          <w:color w:val="auto"/>
        </w:rPr>
        <w:t>” shall mean, as to any Lender or Issuing Bank, the applicable branch, office or Affiliate of such Lender designated by such Lender or Issuing Bank to make Loans or issue Letters of Credit.</w:t>
      </w:r>
    </w:p>
    <w:p>
      <w:pPr>
        <w:spacing w:after="0" w:line="105" w:lineRule="exact"/>
        <w:rPr>
          <w:sz w:val="20"/>
          <w:szCs w:val="20"/>
          <w:color w:val="auto"/>
        </w:rPr>
      </w:pPr>
    </w:p>
    <w:p>
      <w:pPr>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Credit</w:t>
      </w:r>
      <w:r>
        <w:rPr>
          <w:rFonts w:ascii="Times New Roman" w:cs="Times New Roman" w:eastAsia="Times New Roman" w:hAnsi="Times New Roman"/>
          <w:sz w:val="14"/>
          <w:szCs w:val="14"/>
          <w:color w:val="auto"/>
        </w:rPr>
        <w:t>” shall mean any standby letter of credit issued hereunder, providing for the payment of cash upon the honoring of a presentation thereunder, or any other type of letter of credit that an Issuing Bank, in its sole discretion, agrees to issue.</w:t>
      </w:r>
    </w:p>
    <w:p>
      <w:pPr>
        <w:spacing w:after="0" w:line="105" w:lineRule="exact"/>
        <w:rPr>
          <w:sz w:val="20"/>
          <w:szCs w:val="20"/>
          <w:color w:val="auto"/>
        </w:rPr>
      </w:pPr>
    </w:p>
    <w:p>
      <w:pPr>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Credit Commitment</w:t>
      </w:r>
      <w:r>
        <w:rPr>
          <w:rFonts w:ascii="Times New Roman" w:cs="Times New Roman" w:eastAsia="Times New Roman" w:hAnsi="Times New Roman"/>
          <w:sz w:val="14"/>
          <w:szCs w:val="14"/>
          <w:color w:val="auto"/>
        </w:rPr>
        <w:t xml:space="preserve">” shall mean, as to any Issuing Bank, (a) the amount set forth opposite such Issuing Bank’s name on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under the caption “Letter of Credit</w:t>
      </w: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10" w:name="page511"/>
    <w:bookmarkEnd w:id="510"/>
    <w:p>
      <w:pPr>
        <w:spacing w:after="0" w:line="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Commitment” or (b) if such Issuing Bank has entered into one or more Assignment and Acceptances, the amount set forth for such Issuing Bank in the Register as such Issuing Bank’s “Letter of Credit Commitment”, as such amount may be reduced from time to time pursuant to Section 2.08. The Letter of Credit Commitments are part of, and not in addition to, the Revolving Commitments.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Credit Expiration Date</w:t>
      </w:r>
      <w:r>
        <w:rPr>
          <w:rFonts w:ascii="Times New Roman" w:cs="Times New Roman" w:eastAsia="Times New Roman" w:hAnsi="Times New Roman"/>
          <w:sz w:val="14"/>
          <w:szCs w:val="14"/>
          <w:color w:val="auto"/>
        </w:rPr>
        <w:t>” shall mean, with respect to any Revolving Facility, the fifth Business Day prior to the Maturity Date for such Revolving Facility.</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Credit Request</w:t>
      </w:r>
      <w:r>
        <w:rPr>
          <w:rFonts w:ascii="Times New Roman" w:cs="Times New Roman" w:eastAsia="Times New Roman" w:hAnsi="Times New Roman"/>
          <w:sz w:val="14"/>
          <w:szCs w:val="14"/>
          <w:color w:val="auto"/>
        </w:rPr>
        <w:t>” shall mean a request by the applicable Borrower (for its own account or jointly for its account and the account of any of the Subsidiaries) for the issuance or amendment of a Letter of Credit in such form (including any form on an electronic platform or electronic transmission system) as shall be approved by the applicable Issuing Bank.</w:t>
      </w:r>
    </w:p>
    <w:p>
      <w:pPr>
        <w:spacing w:after="0" w:line="117"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Credit Sublimit</w:t>
      </w:r>
      <w:r>
        <w:rPr>
          <w:rFonts w:ascii="Times New Roman" w:cs="Times New Roman" w:eastAsia="Times New Roman" w:hAnsi="Times New Roman"/>
          <w:sz w:val="14"/>
          <w:szCs w:val="14"/>
          <w:color w:val="auto"/>
        </w:rPr>
        <w:t>” shall mean an amount equal to the lesser of (a) $30,000,000 and (b) the aggregate amount of the Issuing Banks’ Letter of Credit Commitments at such time, as such amount may be reduced pursuant to Section 2.08.</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Liabilities</w:t>
      </w:r>
      <w:r>
        <w:rPr>
          <w:rFonts w:ascii="Times New Roman" w:cs="Times New Roman" w:eastAsia="Times New Roman" w:hAnsi="Times New Roman"/>
          <w:sz w:val="14"/>
          <w:szCs w:val="14"/>
          <w:color w:val="auto"/>
        </w:rPr>
        <w:t>” shall mean any losses, claims (including intraparty claims), demands, damages or liabilities of any kind.</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no event shall an operating lease or an agreement to sell be deemed to constitute a Lien.</w:t>
      </w:r>
    </w:p>
    <w:p>
      <w:pPr>
        <w:spacing w:after="0" w:line="117"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Limited Condition Acquisition</w:t>
      </w:r>
      <w:r>
        <w:rPr>
          <w:rFonts w:ascii="Times New Roman" w:cs="Times New Roman" w:eastAsia="Times New Roman" w:hAnsi="Times New Roman"/>
          <w:sz w:val="14"/>
          <w:szCs w:val="14"/>
          <w:color w:val="auto"/>
        </w:rPr>
        <w:t>” shall mean any acquisition or other investment, including by means of a merger, amalgamation or consolidation, by the Parent or one or more of its subsidiaries, the consummation of which is not conditioned upon the availability of, or on obtaining, third party financing or in connection with which any fee or expense would be payable by the Parent or its subsidiaries to the seller or target in the event financing to consummate the acquisition is not obtained as contemplated by the definitive acquisition agreement.</w:t>
      </w:r>
    </w:p>
    <w:p>
      <w:pPr>
        <w:spacing w:after="0" w:line="121"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shall mean (a) this Agreement, (b) the Guarantee Agreement, (c) the Security Documents, (d) each Incremental Assumption Agreement, (e) each Extension Amendment, (f) each Refinancing Amendment, (g) each Intercreditor Agreement, (h) any Note issued under Section 2.09(e), (i) the Letters of Credit, (j) each Designated Borrower Request and Joinder Agreement, (k) the Ancillary Documents and (l) any other document or instrument designated by the Parent and the Administrative Agent as a “Loan Document”.</w:t>
      </w:r>
    </w:p>
    <w:p>
      <w:pPr>
        <w:spacing w:after="0" w:line="121" w:lineRule="exact"/>
        <w:rPr>
          <w:sz w:val="20"/>
          <w:szCs w:val="20"/>
          <w:color w:val="auto"/>
        </w:rPr>
      </w:pPr>
    </w:p>
    <w:p>
      <w:pPr>
        <w:jc w:val="both"/>
        <w:ind w:right="20" w:firstLine="914"/>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Obligations</w:t>
      </w:r>
      <w:r>
        <w:rPr>
          <w:rFonts w:ascii="Times New Roman" w:cs="Times New Roman" w:eastAsia="Times New Roman" w:hAnsi="Times New Roman"/>
          <w:sz w:val="14"/>
          <w:szCs w:val="14"/>
          <w:color w:val="auto"/>
        </w:rPr>
        <w:t>” shall mean (a) the due and punctual payment by each Borrower of (i) the unpaid principal of and interest, fees and expenses (including interest, fees and expenses accruing during the pendency of any bankruptcy, insolvency, receivership or other similar proceeding, regardless of whether allowed or allowable in such proceeding) on the Loans made to each Borrower under this Agreement, when and as due, whether at maturity, by acceleration, upon one or more dates set for prepayment or otherwise, (ii) each payment required to be made by each Borrower under this Agreement in respect of any Letter of Credit (including on behalf of any Subsidiary for which such Letter of Credit is issued on account of), when and as due, including payments in respect of reimbursement of disbursements, interest, fees and expenses thereon (including interest, fees and expenses accruing during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11" w:name="page512"/>
    <w:bookmarkEnd w:id="511"/>
    <w:p>
      <w:pPr>
        <w:spacing w:after="0" w:line="3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the pendency of any bankruptcy, insolvency, receivership or other similar proceeding, regardless of whether allowed or allowable in such proceeding) and obligations to provide Cash Collateral and (iii) all other monetary obligations of each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obligations of each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Parties</w:t>
      </w:r>
      <w:r>
        <w:rPr>
          <w:rFonts w:ascii="Times New Roman" w:cs="Times New Roman" w:eastAsia="Times New Roman" w:hAnsi="Times New Roman"/>
          <w:sz w:val="14"/>
          <w:szCs w:val="14"/>
          <w:color w:val="auto"/>
        </w:rPr>
        <w:t>” shall mean the Borrowers and the other Guarantors.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Loans</w:t>
      </w:r>
      <w:r>
        <w:rPr>
          <w:rFonts w:ascii="Times New Roman" w:cs="Times New Roman" w:eastAsia="Times New Roman" w:hAnsi="Times New Roman"/>
          <w:sz w:val="14"/>
          <w:szCs w:val="14"/>
          <w:color w:val="auto"/>
        </w:rPr>
        <w:t>” shall mean the Term Loans and the Revolving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Local Time</w:t>
      </w:r>
      <w:r>
        <w:rPr>
          <w:rFonts w:ascii="Times New Roman" w:cs="Times New Roman" w:eastAsia="Times New Roman" w:hAnsi="Times New Roman"/>
          <w:sz w:val="14"/>
          <w:szCs w:val="14"/>
          <w:color w:val="auto"/>
        </w:rPr>
        <w:t>” shall mean New York City time (daylight or standard, as applicable).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Margin Stock</w:t>
      </w:r>
      <w:r>
        <w:rPr>
          <w:rFonts w:ascii="Times New Roman" w:cs="Times New Roman" w:eastAsia="Times New Roman" w:hAnsi="Times New Roman"/>
          <w:sz w:val="14"/>
          <w:szCs w:val="14"/>
          <w:color w:val="auto"/>
        </w:rPr>
        <w:t>” shall have the meaning assigned to such term in Regulation U.</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Marketable Securities</w:t>
      </w:r>
      <w:r>
        <w:rPr>
          <w:rFonts w:ascii="Times New Roman" w:cs="Times New Roman" w:eastAsia="Times New Roman" w:hAnsi="Times New Roman"/>
          <w:sz w:val="14"/>
          <w:szCs w:val="14"/>
          <w:color w:val="auto"/>
        </w:rPr>
        <w:t>” shall mean securities of a type consistent with the Parent’s marketable securities portfolio as described in Note 4.4 of the Parent’s annual audited financial statements for the fiscal year ended December 31, 2024.</w:t>
      </w:r>
    </w:p>
    <w:p>
      <w:pPr>
        <w:spacing w:after="0" w:line="105"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xml:space="preserve"> ” shall mean (a) on the Closing Date, a “Company Material Adverse Effect” (as defined in the Transaction Agreement as in effect on the Transaction Agreement Date) and (b) after the Closing Date, a material adverse effect on (i) the business, results of operations or financial condition of the Parent and the Subsidiaries, taken as a whole, (ii) subject to the Legal Reservations, the rights and remedies (taken as a whole) of the Agents, the Issuing Banks and the Lenders or (iii) the ability of the Borrowers and the Guarantors (taken as a whole) to perform their payment obligations under the Loan Documents.</w:t>
      </w:r>
    </w:p>
    <w:p>
      <w:pPr>
        <w:spacing w:after="0" w:line="12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Indebtedness</w:t>
      </w:r>
      <w:r>
        <w:rPr>
          <w:rFonts w:ascii="Times New Roman" w:cs="Times New Roman" w:eastAsia="Times New Roman" w:hAnsi="Times New Roman"/>
          <w:sz w:val="14"/>
          <w:szCs w:val="14"/>
          <w:color w:val="auto"/>
        </w:rPr>
        <w:t xml:space="preserve">” shall mean Indebtedness (other than Loans and Letters of Credit) of any one or more of the Parent or any Subsidiary in an aggregate principal amount exceeding $125,000,000;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any Qualified Receivables Facility be considered Material Indebtedness.</w:t>
      </w:r>
    </w:p>
    <w:p>
      <w:pPr>
        <w:spacing w:after="0" w:line="105"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Intellectual Property</w:t>
      </w:r>
      <w:r>
        <w:rPr>
          <w:rFonts w:ascii="Times New Roman" w:cs="Times New Roman" w:eastAsia="Times New Roman" w:hAnsi="Times New Roman"/>
          <w:sz w:val="14"/>
          <w:szCs w:val="14"/>
          <w:color w:val="auto"/>
        </w:rPr>
        <w:t>” shall mean Intellectual Property that is owned by the Parent or any Subsidiary and that is material to the business of the Parent and the Subsidiaries, taken as a whole.</w:t>
      </w:r>
    </w:p>
    <w:p>
      <w:pPr>
        <w:spacing w:after="0" w:line="105" w:lineRule="exact"/>
        <w:rPr>
          <w:sz w:val="20"/>
          <w:szCs w:val="20"/>
          <w:color w:val="auto"/>
        </w:rPr>
      </w:pPr>
    </w:p>
    <w:p>
      <w:pPr>
        <w:jc w:val="both"/>
        <w:ind w:right="20"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Jurisdiction</w:t>
      </w:r>
      <w:r>
        <w:rPr>
          <w:rFonts w:ascii="Times New Roman" w:cs="Times New Roman" w:eastAsia="Times New Roman" w:hAnsi="Times New Roman"/>
          <w:sz w:val="14"/>
          <w:szCs w:val="14"/>
          <w:color w:val="auto"/>
        </w:rPr>
        <w:t>” shall mean (a) the United States, Denmark, The Netherlands and Japan, (b) any other country in which the Proprietary Patent Revenue generated from sales therein equals or exceeds 2.50% of the consolidated total revenue of the Parent and its subsidiaries for any fiscal year of the Parent and (c) with respect to Patents that are owned by Loan Parties for which Royalty Contracts are held by non-Loan Party Subsidiaries organized in any other country, if the revenue generated from Royalty Contracts held by non-Loan Party Subsidiaries organized in any other country equals or exceeds 2.50% of the consolidated total revenue of the Parent and its subsidiaries for any fiscal year of the Parent (such Royalty Contracts, “</w:t>
      </w:r>
      <w:r>
        <w:rPr>
          <w:rFonts w:ascii="Times New Roman" w:cs="Times New Roman" w:eastAsia="Times New Roman" w:hAnsi="Times New Roman"/>
          <w:sz w:val="14"/>
          <w:szCs w:val="14"/>
          <w:u w:val="single" w:color="auto"/>
          <w:color w:val="auto"/>
        </w:rPr>
        <w:t>Material Non-Loan Party Royalty Contracts</w:t>
      </w:r>
      <w:r>
        <w:rPr>
          <w:rFonts w:ascii="Times New Roman" w:cs="Times New Roman" w:eastAsia="Times New Roman" w:hAnsi="Times New Roman"/>
          <w:sz w:val="14"/>
          <w:szCs w:val="14"/>
          <w:color w:val="auto"/>
        </w:rPr>
        <w:t>”), such other country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jurisdiction described in this clause (c) shall only be a “Material Jurisdiction” with respect to the</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12" w:name="page513"/>
    <w:bookmarkEnd w:id="512"/>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Patents owned by Loan Parties that are subject to the applicable Material Non-Loan Party Royalty Contracts).</w:t>
      </w:r>
    </w:p>
    <w:p>
      <w:pPr>
        <w:spacing w:after="0" w:line="163"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Patents</w:t>
      </w:r>
      <w:r>
        <w:rPr>
          <w:rFonts w:ascii="Times New Roman" w:cs="Times New Roman" w:eastAsia="Times New Roman" w:hAnsi="Times New Roman"/>
          <w:sz w:val="14"/>
          <w:szCs w:val="14"/>
          <w:color w:val="auto"/>
        </w:rPr>
        <w:t>” shall mean all existing and future Patents owned by the Loan Parties that are registered in a Material Jurisdiction other than any such Patents that constitute Excluded Property.</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Subsidiary</w:t>
      </w:r>
      <w:r>
        <w:rPr>
          <w:rFonts w:ascii="Times New Roman" w:cs="Times New Roman" w:eastAsia="Times New Roman" w:hAnsi="Times New Roman"/>
          <w:sz w:val="14"/>
          <w:szCs w:val="14"/>
          <w:color w:val="auto"/>
        </w:rPr>
        <w:t>” shall mean any Wholly Owned Subsidiary, other than an Immaterial Subsidiary.</w:t>
      </w:r>
    </w:p>
    <w:p>
      <w:pPr>
        <w:spacing w:after="0" w:line="163" w:lineRule="exact"/>
        <w:rPr>
          <w:sz w:val="20"/>
          <w:szCs w:val="20"/>
          <w:color w:val="auto"/>
        </w:rPr>
      </w:pPr>
    </w:p>
    <w:p>
      <w:pPr>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 Date</w:t>
      </w:r>
      <w:r>
        <w:rPr>
          <w:rFonts w:ascii="Times New Roman" w:cs="Times New Roman" w:eastAsia="Times New Roman" w:hAnsi="Times New Roman"/>
          <w:sz w:val="14"/>
          <w:szCs w:val="14"/>
          <w:color w:val="auto"/>
        </w:rPr>
        <w:t>” shall mean (a) with respect to the Initial Term A Facility, the Initial Term A Facility Maturity Date, (b) with respect to the Initial Term B Facility, the Initial Term B Facility Maturity Date, (c) with respect to the Initial Revolving Facility, the Initial Revolving Facility Maturity Date and (d) with respect to any other Facility, the maturity date specified in the Incremental Assumption Agreement, Extension Amendment or Refinancing Amendment, as applicable.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shall have the meaning assigned to such term in Section 9.09.</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Merus</w:t>
      </w:r>
      <w:r>
        <w:rPr>
          <w:rFonts w:ascii="Times New Roman" w:cs="Times New Roman" w:eastAsia="Times New Roman" w:hAnsi="Times New Roman"/>
          <w:sz w:val="14"/>
          <w:szCs w:val="14"/>
          <w:color w:val="auto"/>
        </w:rPr>
        <w:t>” shall have the meaning assigned to such term in the recitals to this Agreement.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Merus Entity</w:t>
      </w:r>
      <w:r>
        <w:rPr>
          <w:rFonts w:ascii="Times New Roman" w:cs="Times New Roman" w:eastAsia="Times New Roman" w:hAnsi="Times New Roman"/>
          <w:sz w:val="14"/>
          <w:szCs w:val="14"/>
          <w:color w:val="auto"/>
        </w:rPr>
        <w:t>” shall mean each of Merus and each of its subsidiaries.</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Minimum L/C Collateral Amount</w:t>
      </w:r>
      <w:r>
        <w:rPr>
          <w:rFonts w:ascii="Times New Roman" w:cs="Times New Roman" w:eastAsia="Times New Roman" w:hAnsi="Times New Roman"/>
          <w:sz w:val="14"/>
          <w:szCs w:val="14"/>
          <w:color w:val="auto"/>
        </w:rPr>
        <w:t>” shall mean, at any time, in connection with any Letter of Credit, (a) with respect to Cash Collateral consisting of cash or deposit account balances, an amount equal to 102% of the Revolving L/C Exposure with respect to such Letter of Credit at such time and (b) otherwise, an amount sufficient to provide credit support with respect to such Revolving L/C Exposure as determined by the Administrative Agent and the Issuing Banks in their sole discretion.</w:t>
      </w:r>
    </w:p>
    <w:p>
      <w:pPr>
        <w:spacing w:after="0" w:line="117"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MIRE Event</w:t>
      </w:r>
      <w:r>
        <w:rPr>
          <w:rFonts w:ascii="Times New Roman" w:cs="Times New Roman" w:eastAsia="Times New Roman" w:hAnsi="Times New Roman"/>
          <w:sz w:val="14"/>
          <w:szCs w:val="14"/>
          <w:color w:val="auto"/>
        </w:rPr>
        <w:t>” shall mean, at any time, if there are any Mortgaged Properties at such time, any increase, extension of the maturity or renewal of any of the Commitments or Loans (including an Extension Amendment, but excluding (a) any continuation or conversion of Borrowings, (b) the making of any Loan and (c) the issuance, amendment or extension of Letters of Credit).</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shall mean Moody’s Investors Service, Inc.</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Mortgage</w:t>
      </w:r>
      <w:r>
        <w:rPr>
          <w:rFonts w:ascii="Times New Roman" w:cs="Times New Roman" w:eastAsia="Times New Roman" w:hAnsi="Times New Roman"/>
          <w:sz w:val="14"/>
          <w:szCs w:val="14"/>
          <w:color w:val="auto"/>
        </w:rPr>
        <w:t>” shall mean a mortgage, deed of trust, deed to secure debt, trust deed, or other security document entered into by the owner or holder of a Mortgaged Property for the benefit of the Collateral Agent and the Secured Parties in respect of that Mortgaged Property to secure the Obligations, in form and substance reasonably acceptable to the Collateral Agent and the Parent, together with such terms and provisions as may be required by local laws.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Mortgaged Property</w:t>
      </w:r>
      <w:r>
        <w:rPr>
          <w:rFonts w:ascii="Times New Roman" w:cs="Times New Roman" w:eastAsia="Times New Roman" w:hAnsi="Times New Roman"/>
          <w:sz w:val="14"/>
          <w:szCs w:val="14"/>
          <w:color w:val="auto"/>
        </w:rPr>
        <w:t>” shall mean Real Property with respect to which a Mortgage is required to be granted pursuant to Section 5.10(b).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MSSF</w:t>
      </w:r>
      <w:r>
        <w:rPr>
          <w:rFonts w:ascii="Times New Roman" w:cs="Times New Roman" w:eastAsia="Times New Roman" w:hAnsi="Times New Roman"/>
          <w:sz w:val="14"/>
          <w:szCs w:val="14"/>
          <w:color w:val="auto"/>
        </w:rPr>
        <w:t>” shall mean Morgan Stanley Senior Funding, Inc.</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Multiemployer Plan</w:t>
      </w:r>
      <w:r>
        <w:rPr>
          <w:rFonts w:ascii="Times New Roman" w:cs="Times New Roman" w:eastAsia="Times New Roman" w:hAnsi="Times New Roman"/>
          <w:sz w:val="14"/>
          <w:szCs w:val="14"/>
          <w:color w:val="auto"/>
        </w:rPr>
        <w:t>” shall mean a multiemployer plan as defined in Section 4001(a)(3) of ERISA to which the Parent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13" w:name="page514"/>
    <w:bookmarkEnd w:id="513"/>
    <w:p>
      <w:pPr>
        <w:spacing w:after="0" w:line="34" w:lineRule="exact"/>
        <w:rPr>
          <w:sz w:val="20"/>
          <w:szCs w:val="20"/>
          <w:color w:val="auto"/>
        </w:rPr>
      </w:pPr>
    </w:p>
    <w:p>
      <w:pPr>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Income</w:t>
      </w:r>
      <w:r>
        <w:rPr>
          <w:rFonts w:ascii="Times New Roman" w:cs="Times New Roman" w:eastAsia="Times New Roman" w:hAnsi="Times New Roman"/>
          <w:sz w:val="14"/>
          <w:szCs w:val="14"/>
          <w:color w:val="auto"/>
        </w:rPr>
        <w:t>” shall mean, with respect to any person, the net income (loss) of such person, determined in accordance with IFRS and before any reduction in respect of preferred stock dividends.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Proceeds</w:t>
      </w:r>
      <w:r>
        <w:rPr>
          <w:rFonts w:ascii="Times New Roman" w:cs="Times New Roman" w:eastAsia="Times New Roman" w:hAnsi="Times New Roman"/>
          <w:sz w:val="14"/>
          <w:szCs w:val="14"/>
          <w:color w:val="auto"/>
        </w:rPr>
        <w:t>” shall mean:</w:t>
      </w:r>
    </w:p>
    <w:p>
      <w:pPr>
        <w:spacing w:after="0" w:line="153" w:lineRule="exact"/>
        <w:rPr>
          <w:sz w:val="20"/>
          <w:szCs w:val="20"/>
          <w:color w:val="auto"/>
        </w:rPr>
      </w:pPr>
    </w:p>
    <w:p>
      <w:pPr>
        <w:ind w:firstLine="920"/>
        <w:spacing w:after="0" w:line="215" w:lineRule="auto"/>
        <w:tabs>
          <w:tab w:leader="none" w:pos="1370"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100% (or, if the First Lien Secured Net Leverage Ratio as of the date of such Asset Sale is (x) less than or equal to 2.15 to 1.00 but greater than 1.65 to 1.00, such percentage shall be 50% or (y) less than or equal to 1.65 to 1.00, such percentage shall be 0%) of the aggregate cash proceeds received by the Parent or any Subsidiary (including, without limitation, any cash received in respect of or upon the sale or other disposition of any Designated Non-cash Consideration received in any Asset Sale and any cash payments received by way of deferred payment of principal pursuant to a note or installment receivable or otherwise, but only as and when received, but excluding the assumption by the acquiring person of Indebtedness relating to the disposed assets or other consideration received in any other non-cash form) from any Asset Sale under Section 6.05(d) or Section 6.05(g), net of (i) the direct costs relating thereto (including, without limitation, legal, accounting and investment banking fees, and brokerage and sales commissions), any relocation expenses incurred in connection therewith, survey costs, title insurance premiums, and related search and recording charges, transfer Taxes, deed or mortgage recording Taxes, other customary expenses and consultant and other customary fees incurred in connection therewith, (ii) required payments of Indebtedness and other obligations relating to the applicable asset to the extent such Indebtedness or other obligations are secured by a Lien permitted hereunder (other than Indebtedness incurred under the Loan Documents, Other First Lien Debt and obligations secured by a Junior Lien), (iii) prepayments of any Other First Lien Debt the terms of which require the Parent to prepay (or make an offer to repurchase) such Other First Lien Debt with such cash proceeds (limited to its proportionate share of such prepayment, based on the then outstanding amount of such Other First Lien Debt as a percentage of all then outstanding Indebtedness incurred under the Loan Documents (other than Indebtedness incurred under the Loan Documents that rank junior in right of security to the Initial Facilities) and all applicable Other First Lien Debt), (iv) Taxes paid or payable (in the good faith determination of the Parent) as a result thereof (after taking into account any available Tax credits or deductions and any Tax sharing arrangements related solely thereto), and (v) any deduction of appropriate amounts to be provided by the Parent and the Subsidiaries as a reserve in accordance with IFRS against any liabilities (x) associated with any of the applicable assets and (y) retained by the Parent or any of the Subsidiaries including, without limitation, pension and other post-employment benefit liabilities and liabilities related to environmental matters or against any indemnification obligations associated with such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the Parent shall deliver a certificate of a Responsible Officer of the Parent to the Administrative Agent promptly following receipt of any such proceeds setting forth the Parent’s intention to use any portion of such proceeds, within 540 days of such receipt, to acquire, maintain, develop, construct, improve, upgrade or repair assets useful in the business of the Parent and the Subsidiaries or to make Permitted Business Acquisitions and other Investments permitted hereunder (excluding Permitted Investments or intercompany Investments in Subsidiaries)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investment is in the form of the acquisition of Equity Interests of a person that is not a Subsidiary, such acquisition results in such person becoming a Subsidiary of the Parent) or to fund capital expenditures (including to acquire a license of Intellectual Property), or research and development expenditures, in each case (x) used or useful in a Similar Business or (y) that replace the properties and assets that are the subject of such Asset Sale or to reimburse the cost of any of the foregoing incurred on or after the date on which the Asset Sale giving rise to such Net Proceeds was contractually committed, such portion of such proceeds shall not constitute Net Proceeds except to the extent not, within 540 days of such receipt, so used or contractually committed to be so used (it being understood that if any portion of such proceeds are not so used within such 540 day period but within such 540 day period are contractually committed to be used, then such remaining portion if not so used within 180 days following the end of such 540 day period shall constitute Net Proceeds as of such date without giving effect to this proviso);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net cash proceeds calculated in accordance with the foregoing shall constitute Net Proceeds unless such net cash proceeds shall exceed $150,000,000 in the applicable fiscal year (and thereafter only net cash proceeds in excess of such amount shall constitute Net Proceeds);</w:t>
      </w:r>
    </w:p>
    <w:p>
      <w:pPr>
        <w:spacing w:after="0" w:line="110"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(or, if the First Lien Secured Net Leverage Ratio as of the date of such Asset Sale is (x) less than or equal to 2.15 to 1.00 but greater than 1.65 to 1.00, such</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shall be</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14" w:name="page515"/>
    <w:bookmarkEnd w:id="514"/>
    <w:p>
      <w:pPr>
        <w:spacing w:after="0" w:line="2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 xml:space="preserve">50% or (y) less than or equal to 1.65 to 1.00, such percentage shall be 0%) of the aggregate cash proceeds received by the Parent or any Subsidiary (including casualty insurance settlements and condemnation awards, but only as and when received) from any Recovery Event, net of (i) the direct costs relating thereto (including, without limitation, legal, accounting and investment banking fees, and brokerage and sales commissions), any relocation expenses incurred in connection therewith, survey costs, title insurance premiums, and related search and recording charges, transfer Taxes, deed or mortgage recording Taxes, other customary expenses and consultant and other customary fees incurred in connection therewith, (ii) required payments of Indebtedness and other obligations relating to the applicable asset to the extent such Indebtedness or other obligations are secured by a Lien permitted hereunder (other than Indebtedness incurred under the Loan Documents, Other First Lien Debt and obligations secured by a Junior Lien), (iii) prepayments of any Other First Lien Debt the terms of which require the Parent to prepay (or make an offer to repurchase) such Other First Lien Debt with such cash proceeds (limited to its proportionate share of such prepayment, based on the then outstanding amount of such Other First Lien Debt as a percentage of all then outstanding Indebtedness incurred under the Loan Documents (other than Indebtedness incurred under the Loan Documents that rank junior in right of security to the Initial Facilities) and all applicable Other First Lien Debt), and (iv) Taxes paid or payable (in the good faith determination of the Parent) as a result thereof (after taking into account any available Tax credits or deductions and any Tax sharing arrangements related solely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Parent shall deliver a certificate of a Responsible Officer of the Parent to the Administrative Agent promptly following receipt of any such proceeds setting forth the Parent’s intention to use any portion of such proceeds, within 540 days of such receipt, to acquire, maintain, develop, construct, improve, upgrade or repair assets useful in the business of the Parent and the Subsidiaries or to make Permitted Business Acquisitions and other Investments permitted hereunder (excluding Permitted Investments or intercompany Investments in Subsidiaries) or to fund capital expenditures (including to acquire a license of Intellectual Property), or research and development expenditures, in each case (x) used or useful in a Similar Business or (y) that replace the properties and assets that are the subject of such Recovery Event or to reimburse the cost of any of the foregoing incurred on or after the date on which the Recovery Event giving rise to such proceeds was contractually committed, such portion of such proceeds shall not constitute Net Proceeds except to the extent not, within 540 days of such receipt, so used or contractually committed to be so used (it being understood that if any portion of such proceeds are not so used within such 540 day period but within such 540 day period are contractually committed to be used, then such remaining portion if not so used within 180 days following the end of such 540 day period shall constitute Net Proceeds as of such date without giving effect to this proviso);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net cash proceeds calculated in accordance with the foregoing shall constitute Net Proceeds unless such net cash proceeds shall exceed $150,000,000 in the applicable fiscal year (and thereafter only net cash proceeds in excess of such amount shall constitute Net Proceeds); and</w:t>
      </w:r>
    </w:p>
    <w:p>
      <w:pPr>
        <w:spacing w:after="0" w:line="110" w:lineRule="exact"/>
        <w:rPr>
          <w:sz w:val="20"/>
          <w:szCs w:val="20"/>
          <w:color w:val="auto"/>
        </w:rPr>
      </w:pPr>
    </w:p>
    <w:p>
      <w:pPr>
        <w:jc w:val="both"/>
        <w:ind w:right="20" w:firstLine="920"/>
        <w:spacing w:after="0" w:line="233" w:lineRule="auto"/>
        <w:tabs>
          <w:tab w:leader="none" w:pos="1370"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cash proceeds from the incurrence, issuance or sale by the Parent or any Subsidiary of any Indebtedness (other than Excluded Indebtedness, except for (x) Refinancing Term Loans and (y) Refinancing Indebtedness incurred to refinance all or a portion of any Class of Loans), net of all fees (including investment banking fees), commissions, costs and other expenses, in each case incurred in connection with such issuance or sale.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Class Loans</w:t>
      </w:r>
      <w:r>
        <w:rPr>
          <w:rFonts w:ascii="Times New Roman" w:cs="Times New Roman" w:eastAsia="Times New Roman" w:hAnsi="Times New Roman"/>
          <w:sz w:val="14"/>
          <w:szCs w:val="14"/>
          <w:color w:val="auto"/>
        </w:rPr>
        <w:t>” shall have the meaning assigned to such term in Section 9.08(f).</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Non-Consenting Lender</w:t>
      </w:r>
      <w:r>
        <w:rPr>
          <w:rFonts w:ascii="Times New Roman" w:cs="Times New Roman" w:eastAsia="Times New Roman" w:hAnsi="Times New Roman"/>
          <w:sz w:val="14"/>
          <w:szCs w:val="14"/>
          <w:color w:val="auto"/>
        </w:rPr>
        <w:t>” shall have the meaning assigned to such term in Section 2.19(c).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Non-Defaulting Lender</w:t>
      </w:r>
      <w:r>
        <w:rPr>
          <w:rFonts w:ascii="Times New Roman" w:cs="Times New Roman" w:eastAsia="Times New Roman" w:hAnsi="Times New Roman"/>
          <w:sz w:val="14"/>
          <w:szCs w:val="14"/>
          <w:color w:val="auto"/>
        </w:rPr>
        <w:t>” shall mean, at any time, each Lender that is not a Defaulting Lender at such time.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Non-Extension Notice Date</w:t>
      </w:r>
      <w:r>
        <w:rPr>
          <w:rFonts w:ascii="Times New Roman" w:cs="Times New Roman" w:eastAsia="Times New Roman" w:hAnsi="Times New Roman"/>
          <w:sz w:val="14"/>
          <w:szCs w:val="14"/>
          <w:color w:val="auto"/>
        </w:rPr>
        <w:t>” shall have the meaning assigned to such term in Section 2.05(b)(iii).</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Non-U.S. Lender</w:t>
      </w:r>
      <w:r>
        <w:rPr>
          <w:rFonts w:ascii="Times New Roman" w:cs="Times New Roman" w:eastAsia="Times New Roman" w:hAnsi="Times New Roman"/>
          <w:sz w:val="14"/>
          <w:szCs w:val="14"/>
          <w:color w:val="auto"/>
        </w:rPr>
        <w:t>” shall mean a Lender that is not a U.S. Person.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15" w:name="page516"/>
    <w:bookmarkEnd w:id="515"/>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Note</w:t>
      </w:r>
      <w:r>
        <w:rPr>
          <w:rFonts w:ascii="Times New Roman" w:cs="Times New Roman" w:eastAsia="Times New Roman" w:hAnsi="Times New Roman"/>
          <w:sz w:val="14"/>
          <w:szCs w:val="14"/>
          <w:color w:val="auto"/>
        </w:rPr>
        <w:t>” shall have the meaning assigned to such term in Section 2.09(e).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shall have the meaning assigned to such term in Section 9.13.</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Objecting Lender</w:t>
      </w:r>
      <w:r>
        <w:rPr>
          <w:rFonts w:ascii="Times New Roman" w:cs="Times New Roman" w:eastAsia="Times New Roman" w:hAnsi="Times New Roman"/>
          <w:sz w:val="14"/>
          <w:szCs w:val="14"/>
          <w:color w:val="auto"/>
        </w:rPr>
        <w:t>” shall have the meaning assigned to such term in Section 6.05(n).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Obligation Currency</w:t>
      </w:r>
      <w:r>
        <w:rPr>
          <w:rFonts w:ascii="Times New Roman" w:cs="Times New Roman" w:eastAsia="Times New Roman" w:hAnsi="Times New Roman"/>
          <w:sz w:val="14"/>
          <w:szCs w:val="14"/>
          <w:color w:val="auto"/>
        </w:rPr>
        <w:t>” shall have the meaning assigned to such term in Section 9.25(a).</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Obligations</w:t>
      </w:r>
      <w:r>
        <w:rPr>
          <w:rFonts w:ascii="Times New Roman" w:cs="Times New Roman" w:eastAsia="Times New Roman" w:hAnsi="Times New Roman"/>
          <w:sz w:val="14"/>
          <w:szCs w:val="14"/>
          <w:color w:val="auto"/>
        </w:rPr>
        <w:t>” shall mean, collectively, (a) the Loan Obligations, (b) obligations in respect of any Secured Cash Management Agreement, (c) obligations in respect of any Secured Hedge Agreement and (d) the Ancillary Obligations (including, in each case, monetary obligations incurred during the pendency of any bankruptcy, insolvency, receivership or other similar proceeding, regardless of whether allowed or allowable in such proceeding).</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Open Market Purchase</w:t>
      </w:r>
      <w:r>
        <w:rPr>
          <w:rFonts w:ascii="Times New Roman" w:cs="Times New Roman" w:eastAsia="Times New Roman" w:hAnsi="Times New Roman"/>
          <w:sz w:val="14"/>
          <w:szCs w:val="14"/>
          <w:color w:val="auto"/>
        </w:rPr>
        <w:t>” shall have the meaning assigned to such term in Section 2.25.</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shall mean (a) with respect to any corporation, its certificate or articles of incorporation or organization and its by-laws or equivalent,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(e) with respect to any Danish Loan Party, its articles of association and (f) with respect to any other form of entity, such other organizational documents required by local law or customary under such jurisdiction to document the formation and governance principles of such type of entity.</w:t>
      </w:r>
    </w:p>
    <w:p>
      <w:pPr>
        <w:spacing w:after="0" w:line="12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Connection Taxes</w:t>
      </w:r>
      <w:r>
        <w:rPr>
          <w:rFonts w:ascii="Times New Roman" w:cs="Times New Roman" w:eastAsia="Times New Roman" w:hAnsi="Times New Roman"/>
          <w:sz w:val="14"/>
          <w:szCs w:val="14"/>
          <w:color w:val="auto"/>
        </w:rPr>
        <w:t>” shall mean, with respect to any Agent, any Lender Party or any other recipient of any payment made by or on account of any obligation of any Loan Party hereunder or under any other Loan Document, Taxes imposed as a result of any present or former connection between such recipient and the jurisdiction (or any political subdivision thereof) of the Governmental Authority imposing such Tax (other than a connection arising solely from such recipient having executed, delivered, performed its obligations or received a payment under, received or perfected a security interest under, having been a party to, having enforced, or having engaged in any other transaction pursuant to this Agreement or any other Loan Document and/or sold or assigned an interest in any Loan or Loan Document).</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First Lien Debt</w:t>
      </w:r>
      <w:r>
        <w:rPr>
          <w:rFonts w:ascii="Times New Roman" w:cs="Times New Roman" w:eastAsia="Times New Roman" w:hAnsi="Times New Roman"/>
          <w:sz w:val="14"/>
          <w:szCs w:val="14"/>
          <w:color w:val="auto"/>
        </w:rPr>
        <w:t>” shall mean obligations secured by Other First Liens.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First Liens</w:t>
      </w:r>
      <w:r>
        <w:rPr>
          <w:rFonts w:ascii="Times New Roman" w:cs="Times New Roman" w:eastAsia="Times New Roman" w:hAnsi="Times New Roman"/>
          <w:sz w:val="14"/>
          <w:szCs w:val="14"/>
          <w:color w:val="auto"/>
        </w:rPr>
        <w:t>” shall mean Liens on the Collateral that are equal and ratable with the Liens (but without regard to control of remedies) thereon securing the Initial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Facilities.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Incremental Revolving Commitments</w:t>
      </w:r>
      <w:r>
        <w:rPr>
          <w:rFonts w:ascii="Times New Roman" w:cs="Times New Roman" w:eastAsia="Times New Roman" w:hAnsi="Times New Roman"/>
          <w:sz w:val="14"/>
          <w:szCs w:val="14"/>
          <w:color w:val="auto"/>
        </w:rPr>
        <w:t>” shall have the meaning assigned to such term in Section 2.21(a).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Incremental Revolving Loans</w:t>
      </w:r>
      <w:r>
        <w:rPr>
          <w:rFonts w:ascii="Times New Roman" w:cs="Times New Roman" w:eastAsia="Times New Roman" w:hAnsi="Times New Roman"/>
          <w:sz w:val="14"/>
          <w:szCs w:val="14"/>
          <w:color w:val="auto"/>
        </w:rPr>
        <w:t>” shall mean loans made under Other Incremental Revolving Commitments.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Incremental Term Loans</w:t>
      </w:r>
      <w:r>
        <w:rPr>
          <w:rFonts w:ascii="Times New Roman" w:cs="Times New Roman" w:eastAsia="Times New Roman" w:hAnsi="Times New Roman"/>
          <w:sz w:val="14"/>
          <w:szCs w:val="14"/>
          <w:color w:val="auto"/>
        </w:rPr>
        <w:t>” shall have the meaning assigned to such term in Section 2.21(a).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16" w:name="page517"/>
    <w:bookmarkEnd w:id="516"/>
    <w:p>
      <w:pPr>
        <w:spacing w:after="0" w:line="34"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Revolving Commitments</w:t>
      </w:r>
      <w:r>
        <w:rPr>
          <w:rFonts w:ascii="Times New Roman" w:cs="Times New Roman" w:eastAsia="Times New Roman" w:hAnsi="Times New Roman"/>
          <w:sz w:val="14"/>
          <w:szCs w:val="14"/>
          <w:color w:val="auto"/>
        </w:rPr>
        <w:t>” shall mean, collectively, (a) Other Incremental Revolving Commitments, (b) Extended Revolving Commitments and (c) Replacement Revolving Commitments.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Revolving Loans</w:t>
      </w:r>
      <w:r>
        <w:rPr>
          <w:rFonts w:ascii="Times New Roman" w:cs="Times New Roman" w:eastAsia="Times New Roman" w:hAnsi="Times New Roman"/>
          <w:sz w:val="14"/>
          <w:szCs w:val="14"/>
          <w:color w:val="auto"/>
        </w:rPr>
        <w:t>” shall mean, collectively (a) Other Incremental Revolving Loans, (b) Extended Revolving Loans and (c) Replacement Revolving Loans.</w:t>
      </w:r>
    </w:p>
    <w:p>
      <w:pPr>
        <w:spacing w:after="0" w:line="163"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Taxes</w:t>
      </w:r>
      <w:r>
        <w:rPr>
          <w:rFonts w:ascii="Times New Roman" w:cs="Times New Roman" w:eastAsia="Times New Roman" w:hAnsi="Times New Roman"/>
          <w:sz w:val="14"/>
          <w:szCs w:val="14"/>
          <w:color w:val="auto"/>
        </w:rPr>
        <w:t>” shall mean any and all present or future stamp, court or documentary Taxes or any other excise, transfer, mortgage, recording, filing, sales, property, intangible or similar Taxes arising from any payment made hereunder or under any other Loan Document or from the execution, registration, delivery or enforcement of, consummation or administration of, or receipt or perfection of a security interest under, or otherwise with respect to, any Loan Document, except any such Taxes that are Other Connection Taxes imposed with respect to an assignment (other than an assignment made pursuant to Section 2.19(b)) .</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Term A Loans</w:t>
      </w:r>
      <w:r>
        <w:rPr>
          <w:rFonts w:ascii="Times New Roman" w:cs="Times New Roman" w:eastAsia="Times New Roman" w:hAnsi="Times New Roman"/>
          <w:sz w:val="14"/>
          <w:szCs w:val="14"/>
          <w:color w:val="auto"/>
        </w:rPr>
        <w:t>” shall mean any Other Term Loans constituting term “A”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Term B Loans</w:t>
      </w:r>
      <w:r>
        <w:rPr>
          <w:rFonts w:ascii="Times New Roman" w:cs="Times New Roman" w:eastAsia="Times New Roman" w:hAnsi="Times New Roman"/>
          <w:sz w:val="14"/>
          <w:szCs w:val="14"/>
          <w:color w:val="auto"/>
        </w:rPr>
        <w:t>” shall mean any Other Term Loans constituting term “B”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Term Commitments</w:t>
      </w:r>
      <w:r>
        <w:rPr>
          <w:rFonts w:ascii="Times New Roman" w:cs="Times New Roman" w:eastAsia="Times New Roman" w:hAnsi="Times New Roman"/>
          <w:sz w:val="14"/>
          <w:szCs w:val="14"/>
          <w:color w:val="auto"/>
        </w:rPr>
        <w:t>” shall mean, collectively, (a) commitments to make Other Incremental Term Loans and (b) commitments to make Refinancing Term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Term Loan Installment Date</w:t>
      </w:r>
      <w:r>
        <w:rPr>
          <w:rFonts w:ascii="Times New Roman" w:cs="Times New Roman" w:eastAsia="Times New Roman" w:hAnsi="Times New Roman"/>
          <w:sz w:val="14"/>
          <w:szCs w:val="14"/>
          <w:color w:val="auto"/>
        </w:rPr>
        <w:t>” shall have the meaning assigned to such term in Section 2.10(a)(iii).</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Term Loans</w:t>
      </w:r>
      <w:r>
        <w:rPr>
          <w:rFonts w:ascii="Times New Roman" w:cs="Times New Roman" w:eastAsia="Times New Roman" w:hAnsi="Times New Roman"/>
          <w:sz w:val="14"/>
          <w:szCs w:val="14"/>
          <w:color w:val="auto"/>
        </w:rPr>
        <w:t>” shall mean, collectively, (a) Other Incremental Term Loans, (b) Extended Term Loans and (c) Refinancing Term Loans.</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Overnight Rate</w:t>
      </w:r>
      <w:r>
        <w:rPr>
          <w:rFonts w:ascii="Times New Roman" w:cs="Times New Roman" w:eastAsia="Times New Roman" w:hAnsi="Times New Roman"/>
          <w:sz w:val="14"/>
          <w:szCs w:val="14"/>
          <w:color w:val="auto"/>
        </w:rPr>
        <w:t>” shall mean, for any day, (a) with respect to any amount denominated in Dollars, the greater of (i) the Federal Funds Effective Rate and (ii) an overnight rate determined by the Administrative Agent or the applicable Issuing Bank, as the case may be, in accordance with banking industry rules on interbank compensation, and (b) with respect to any amount denominated in Euros or DKK, an overnight rate determined by the Administrative Agent in accordance with banking industry rules on interbank compensation.</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shall have the meaning assigned to such term in the introductory paragraph of this Agreement.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shall have the meaning assigned to such term in Section 9.04(c).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shall have the meaning assigned to such term in Section 9.04(c)(ii).</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Patents</w:t>
      </w:r>
      <w:r>
        <w:rPr>
          <w:rFonts w:ascii="Times New Roman" w:cs="Times New Roman" w:eastAsia="Times New Roman" w:hAnsi="Times New Roman"/>
          <w:sz w:val="14"/>
          <w:szCs w:val="14"/>
          <w:color w:val="auto"/>
        </w:rPr>
        <w:t>” shall have the meaning assigned to such term in the definition of “Intellectual Property”.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Payment Recipient</w:t>
      </w:r>
      <w:r>
        <w:rPr>
          <w:rFonts w:ascii="Times New Roman" w:cs="Times New Roman" w:eastAsia="Times New Roman" w:hAnsi="Times New Roman"/>
          <w:sz w:val="14"/>
          <w:szCs w:val="14"/>
          <w:color w:val="auto"/>
        </w:rPr>
        <w:t>” shall have the meaning assigned to such term in Section 8.17(a).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PBGC</w:t>
      </w:r>
      <w:r>
        <w:rPr>
          <w:rFonts w:ascii="Times New Roman" w:cs="Times New Roman" w:eastAsia="Times New Roman" w:hAnsi="Times New Roman"/>
          <w:sz w:val="14"/>
          <w:szCs w:val="14"/>
          <w:color w:val="auto"/>
        </w:rPr>
        <w:t>” shall mean the Pension Benefit Guaranty Corporation referred to and defined in ERISA.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517" w:name="page518"/>
    <w:bookmarkEnd w:id="517"/>
    <w:p>
      <w:pPr>
        <w:spacing w:after="0" w:line="34"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Perfection Certificate</w:t>
      </w:r>
      <w:r>
        <w:rPr>
          <w:rFonts w:ascii="Times New Roman" w:cs="Times New Roman" w:eastAsia="Times New Roman" w:hAnsi="Times New Roman"/>
          <w:sz w:val="14"/>
          <w:szCs w:val="14"/>
          <w:color w:val="auto"/>
        </w:rPr>
        <w:t xml:space="preserve">” shall mean the Perfection Certificate with respect to the Parent and the other Loan Parties in the form attached hereto as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or such other form as is reasonably satisfactory to the Administrative Agent.</w:t>
      </w:r>
    </w:p>
    <w:p>
      <w:pPr>
        <w:spacing w:after="0" w:line="105" w:lineRule="exact"/>
        <w:rPr>
          <w:sz w:val="20"/>
          <w:szCs w:val="20"/>
          <w:color w:val="auto"/>
        </w:rPr>
      </w:pPr>
    </w:p>
    <w:p>
      <w:pPr>
        <w:jc w:val="both"/>
        <w:ind w:firstLine="914"/>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Business Acquisition</w:t>
      </w:r>
      <w:r>
        <w:rPr>
          <w:rFonts w:ascii="Times New Roman" w:cs="Times New Roman" w:eastAsia="Times New Roman" w:hAnsi="Times New Roman"/>
          <w:sz w:val="14"/>
          <w:szCs w:val="14"/>
          <w:color w:val="auto"/>
        </w:rPr>
        <w:t>” shall mean any acquisition of all or substantially all the assets or business of, or all or substantially all the Equity Interests (other than directors’ qualifying shares) not previously held by the Parent and the Subsidiaries in, or merger, consolidation or amalgamation with, a person or business unit or division or line of business of a person (or any subsequent investment made in a person or business unit or division or line of business previously acquired in a Permitted Business Acquisition), if, in each case, (i) subject to Section 1.08, no Event of Default shall have occurred and be continuing immediately after giving effect thereto or would result therefrom; (ii) all transactions related thereto shall be consummated in accordance with applicable laws; (iii) the Parent shall be in Pro Forma Compliance with the Financial Covenants immediately after giving effect to such acquisition or investment and any related transactions; (iv) any acquired or newly formed Subsidiary shall not be liable for any Indebtedness except for Indebtedness permitted by Section 6.01; (v) to the extent and within the time periods required by Section 5.10, any person acquired in any such acquisition shall be merged into a Loan Party or become upon consummation of such acquisition a Guarantor; and (vi) the aggregate cash consideration in respect of all such acquisitions and investments in assets that are not owned by the Loan Parties or in Equity Interests in persons that are not Loan Parties or do not become Loan Parties, in each case upon consummation of such acquisition, shall not exceed the greater of $750,000,000 and 6.0% of Consolidated Total Assets, it being understood and agreed that (x) the foregoing cap shall not apply to any Permitted Business Acquisition in the event that the Acquired Loan Party Consolidated EBITDA Percentage (as defined below) with respect to such Permitted Business Acquisition is no lower than the lower of (1) 90% and (2) the percentage of Adjusted Consolidated EBITDA attributable to the Loan Parties immediately prior to giving effect to such Permitted Business Acquisition and (y) in the event that the amount available under the foregoing cap is reduced as a result of any Permitted Business Acquisition or other Investment made by Loan Parties in a person that is not (or does not become) a Loan Party or assets that are not (or do not become) owned by Loan Parties and such person subsequently becomes a Loan Party (or such assets are subsequently transferred to a Loan Party), the amount available under such cap shall be proportionately increased as a result thereof (up to the original amount of utilization of such cap). As used herein, “</w:t>
      </w:r>
      <w:r>
        <w:rPr>
          <w:rFonts w:ascii="Times New Roman" w:cs="Times New Roman" w:eastAsia="Times New Roman" w:hAnsi="Times New Roman"/>
          <w:sz w:val="14"/>
          <w:szCs w:val="14"/>
          <w:u w:val="single" w:color="auto"/>
          <w:color w:val="auto"/>
        </w:rPr>
        <w:t>Acquired Loan Party Consolidated EBITDA Percentage</w:t>
      </w:r>
      <w:r>
        <w:rPr>
          <w:rFonts w:ascii="Times New Roman" w:cs="Times New Roman" w:eastAsia="Times New Roman" w:hAnsi="Times New Roman"/>
          <w:sz w:val="14"/>
          <w:szCs w:val="14"/>
          <w:color w:val="auto"/>
        </w:rPr>
        <w:t xml:space="preserve"> ” shall mean, with respect to any Permitted Business Acquisition, expressed a percentage, (I) the Adjusted Consolidated EBITDA acquired in such Permitted Business Acquisition generated by persons that will become Loan Parties or assets that will become owned by Loan Parties divided by (II) the total Adjusted Consolidated EBITDA acquired in such Permitted Business Acquisition, in each case as determined on the date of consummation of such Permitted Business Acquisition (or, in the case of any such Permitted Business Acquisition that is a Limited Condition Acquisition, on the date that the definitive agreement for such Permitted Business Acquisition is entered into).</w:t>
      </w:r>
    </w:p>
    <w:p>
      <w:pPr>
        <w:spacing w:after="0" w:line="3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Debt</w:t>
      </w:r>
      <w:r>
        <w:rPr>
          <w:rFonts w:ascii="Times New Roman" w:cs="Times New Roman" w:eastAsia="Times New Roman" w:hAnsi="Times New Roman"/>
          <w:sz w:val="14"/>
          <w:szCs w:val="14"/>
          <w:color w:val="auto"/>
        </w:rPr>
        <w:t xml:space="preserve">” shall mean Indebtedness for borrowed money incurred by any Loan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153" w:lineRule="exact"/>
        <w:rPr>
          <w:sz w:val="20"/>
          <w:szCs w:val="20"/>
          <w:color w:val="auto"/>
        </w:rPr>
      </w:pPr>
    </w:p>
    <w:p>
      <w:pPr>
        <w:ind w:right="20" w:firstLine="920"/>
        <w:spacing w:after="0" w:line="248" w:lineRule="auto"/>
        <w:tabs>
          <w:tab w:leader="none" w:pos="1370"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Permitted Debt shall rank equally and ratably in right of security with the Initial Facilities or, at the option of the Parent, shall rank junior in right of security with the Initial Facilities or shall be unsecured (and, if secured, such Permitted Debt shall be subject to an Acceptable Intercreditor Agreement);</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final maturity date of any such Permitted Debt shall be no earlier than (x) in the case of Permitted Debt constituting term “A” loans, the Latest Maturity Date applicable to the then outstanding Initial Term A Loans and (y) in the case of any other Permitted Debt (other than Permitted</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18" w:name="page519"/>
    <w:bookmarkEnd w:id="518"/>
    <w:p>
      <w:pPr>
        <w:spacing w:after="0" w:line="2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4"/>
          <w:szCs w:val="14"/>
          <w:color w:val="auto"/>
        </w:rPr>
        <w:t>Debt in the form of revolving Indebtedness), the Latest Maturity Date applicable to the then outstanding Initial Term B Loans (in each case other than with respect to (1) the Inside Maturity Amount and (2) customary “bridge loan” facilities with a tenor of no longer than one year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facilities automatically convert or exchange into long-term Indebtedness otherwise meeting the requirements of this clause (b))), (ii) no Permitted Debt in the form of revolving Indebtedness shall mature prior to, or require scheduled commitment reductions prior to, the Latest Maturity Date applicable to the Initial Revolving Commitments and (iii) except as to pricing, fees, amortization, final maturity date, participation in mandatory prepayments and ranking as to security (which shall, subject to the other clauses of this proviso, be determined by the Parent and the providers of the applicable Permitted Debt in their sole discretion), any such Permitted Debt shall have (A) in the case of Permitted Debt constituting term “A” loans, terms that are consistent in all material respects with the Initial Term A Loans, (B) in the case of Permitted Debt constituting term “B” loans, terms that are consistent in all material respects with the Initial Term B Loans, (C) in the case of Permitted Debt constituting revolving Indebtedness, terms that are consistent in all material respects with the Initial Revolving Commitments or (D) such other terms as shall be reasonably satisfactory to the Administrative Agent (except for any such term that is (1) added for the benefit of all Term Loans or all Revolving Facilities then outstanding, as applicable, or (2) only applicable after the Latest Maturity Date then in effect);</w:t>
      </w:r>
    </w:p>
    <w:p>
      <w:pPr>
        <w:spacing w:after="0" w:line="111" w:lineRule="exact"/>
        <w:rPr>
          <w:sz w:val="20"/>
          <w:szCs w:val="20"/>
          <w:color w:val="auto"/>
        </w:rPr>
      </w:pPr>
    </w:p>
    <w:p>
      <w:pPr>
        <w:jc w:val="both"/>
        <w:ind w:firstLine="920"/>
        <w:spacing w:after="0" w:line="225" w:lineRule="auto"/>
        <w:tabs>
          <w:tab w:leader="none" w:pos="137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Life to Maturity of any Permitted Debt shall be no shorter than (x) in the case of Permitted Debt constituting term “A” loans, the remaining Weighted Average Life to Maturity of the Initial Term A Loans then outstanding and (y) in the case of any other Permitted Debt (other than Permitted Debt in the form of revolving Indebtedness), the remaining Weighted Average Life to Maturity of the Initial Term B Loans then outstanding (in each case other than with respect to (1) the Inside Maturity Amount and (2) customary “bridge loan” facilities with a tenor of no longer than one year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facilities automatically convert or exchange into long-term Indebtedness otherwise meeting the requirements of this clause (c)));</w:t>
      </w:r>
    </w:p>
    <w:p>
      <w:pPr>
        <w:spacing w:after="0" w:line="111" w:lineRule="exact"/>
        <w:rPr>
          <w:rFonts w:ascii="Times New Roman" w:cs="Times New Roman" w:eastAsia="Times New Roman" w:hAnsi="Times New Roman"/>
          <w:sz w:val="14"/>
          <w:szCs w:val="14"/>
          <w:color w:val="auto"/>
        </w:rPr>
      </w:pPr>
    </w:p>
    <w:p>
      <w:pPr>
        <w:jc w:val="both"/>
        <w:ind w:firstLine="920"/>
        <w:spacing w:after="0" w:line="228"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Permitted Debt (except for any Permitted Debt (1) incurred in connection with a Permitted Business Acquisition or other Investment permitted under this Agreement, (2) constituting term “A” loans, (3) with a maturity date no earlier than the date that is two years after the Latest Maturity Date applicable to the Initial Term Facilities, (4) that is not broadly syndicated or (5) that is not denominated in Dollars) that is Other First Lien Debt in the form of term loans and incurred prior to the date that is twelve months after the Closing Date shall be subject to Section 2.21(b)(v),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no borrower or issuer (other than the Borrowers) or guarantor (other than the Guarantors) in respect of any Permitted Debt; and</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Debt shall not be secured by any asset of the Parent or the Subsidiaries other than the Collateral.</w:t>
      </w:r>
    </w:p>
    <w:p>
      <w:pPr>
        <w:spacing w:after="0" w:line="1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Investments</w:t>
      </w:r>
      <w:r>
        <w:rPr>
          <w:rFonts w:ascii="Times New Roman" w:cs="Times New Roman" w:eastAsia="Times New Roman" w:hAnsi="Times New Roman"/>
          <w:sz w:val="14"/>
          <w:szCs w:val="14"/>
          <w:color w:val="auto"/>
        </w:rPr>
        <w:t>” shall mean:</w:t>
      </w:r>
    </w:p>
    <w:p>
      <w:pPr>
        <w:spacing w:after="0" w:line="153" w:lineRule="exact"/>
        <w:rPr>
          <w:sz w:val="20"/>
          <w:szCs w:val="20"/>
          <w:color w:val="auto"/>
        </w:rPr>
      </w:pPr>
    </w:p>
    <w:p>
      <w:pPr>
        <w:jc w:val="both"/>
        <w:ind w:right="20" w:firstLine="920"/>
        <w:spacing w:after="0" w:line="233" w:lineRule="auto"/>
        <w:tabs>
          <w:tab w:leader="none" w:pos="1370"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United States of America, the United Kingdom, Norway, Switzerland or any member of the European Union or any agency thereof, or obligations guaranteed by the United States of America, the United Kingdom, Norway, Switzerland or any member of the European Union or any agency thereof, in each case with maturities not exceeding two years from the date of acquisition thereof;</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61"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deposit accounts, certificates of deposit, money market deposits, banker’s acceptances and other bank deposits maturing within 180 days of the date of acquisition thereof issued by a bank or trust company having capital, surplus and undivided profits in excess of $250,000,000 and whose long-term debt, or whose parent holding company’s long-term debt, is rated at least A by S&amp;P or A2 by Moody’s (or such similar equivalent rating or higher by at least one nationally recognized statistical rating organization (as defined in Section 3(a)(62) of the Exchange Act));</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19" w:name="page520"/>
    <w:bookmarkEnd w:id="519"/>
    <w:p>
      <w:pPr>
        <w:spacing w:after="0" w:line="24" w:lineRule="exact"/>
        <w:rPr>
          <w:sz w:val="20"/>
          <w:szCs w:val="20"/>
          <w:color w:val="auto"/>
        </w:rPr>
      </w:pPr>
    </w:p>
    <w:p>
      <w:pPr>
        <w:ind w:firstLine="920"/>
        <w:spacing w:after="0" w:line="248" w:lineRule="auto"/>
        <w:tabs>
          <w:tab w:leader="none" w:pos="137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obligations with a term of not more than 180 days for underlying securities of the types described in clause (a) above entered into with a bank meeting the qualifications described in clause (b) above;</w:t>
      </w:r>
    </w:p>
    <w:p>
      <w:pPr>
        <w:spacing w:after="0" w:line="105"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61"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maturing not more than one year after the date of acquisition, issued by a corporation (other than an Affiliate of the Parent) with a rating at the time as of which any investment therein is made of P-1 (or higher) according to Moody’s, or A-1 (or higher) according to S&amp;P (or such similar equivalent rating or higher by at least one nationally recognized statistical rating organization (as defined in Section 3(a)(62) of the Exchange Act));</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7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with maturities of two years or less from the date of acquisition, issued or fully guaranteed by any State of the United States of America, or by any political subdivision or taxing authority thereof, and rated at least A by S&amp;P or A by Moody’s (or such similar equivalent rating or higher by at least one nationally recognized statistical rating organization (as defined in Section 3(a)(62) of the Exchange Act));</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mutual funds whose investment guidelines restrict 95% of such funds’ investments to those satisfying the provisions of clauses (a) through (e);</w:t>
      </w:r>
    </w:p>
    <w:p>
      <w:pPr>
        <w:spacing w:after="0" w:line="134" w:lineRule="exact"/>
        <w:rPr>
          <w:rFonts w:ascii="Times New Roman" w:cs="Times New Roman" w:eastAsia="Times New Roman" w:hAnsi="Times New Roman"/>
          <w:sz w:val="14"/>
          <w:szCs w:val="14"/>
          <w:color w:val="auto"/>
        </w:rPr>
      </w:pPr>
    </w:p>
    <w:p>
      <w:pPr>
        <w:ind w:right="60" w:firstLine="920"/>
        <w:spacing w:after="0" w:line="248" w:lineRule="auto"/>
        <w:tabs>
          <w:tab w:leader="none" w:pos="1361"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market funds that (i) comply with the criteria set forth in Rule 2a-7 under the Investment Company Act of 1940, (ii) are rated AAA by S&amp;P or Aaa by Moody’s and (iii) have portfolio assets of at least $1,000,000,000;</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deposit accounts, certificates of deposit, money market deposits, banker’s acceptances and other bank deposits in an aggregate face amount not in excess of 0.5% of Consolidated Total Assets;</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7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instruments equivalent to those referred to in clauses (a) through (h)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the Parent or any Subsidiary organized or incorporated in such jurisdiction; and</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for purposes of (x) calculating the First Lien Secured Net Leverage Ratio, the Secured Net Leverage Ratio or the Total Net Leverage Ratio and (y) satisfying the requirement that at least 75% of the proceeds of any Disposition of assets under Section 6.05(g) consist of cash or Permitted Investments, Marketable Securities.</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 shall have the meaning assigned to such term in Section 6.02.</w:t>
      </w:r>
    </w:p>
    <w:p>
      <w:pPr>
        <w:spacing w:after="0" w:line="163" w:lineRule="exact"/>
        <w:rPr>
          <w:sz w:val="20"/>
          <w:szCs w:val="20"/>
          <w:color w:val="auto"/>
        </w:rPr>
      </w:pPr>
    </w:p>
    <w:p>
      <w:pPr>
        <w:jc w:val="both"/>
        <w:ind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Receivables Facility Assets</w:t>
      </w:r>
      <w:r>
        <w:rPr>
          <w:rFonts w:ascii="Times New Roman" w:cs="Times New Roman" w:eastAsia="Times New Roman" w:hAnsi="Times New Roman"/>
          <w:sz w:val="14"/>
          <w:szCs w:val="14"/>
          <w:color w:val="auto"/>
        </w:rPr>
        <w:t>” shall mean (a) Receivables Assets (whether now existing or arising in the future) of the Parent and the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 and (b) loans to the Parent and the Subsidiaries secured by Receivables Assets (whether now existing or arising in the future) and any Permitted Receivables Related Assets of the Parent and the Subsidiaries which are made pursuant to a Qualified Receivables Facility.</w:t>
      </w:r>
    </w:p>
    <w:p>
      <w:pPr>
        <w:spacing w:after="0" w:line="126"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Receivables Facility Documents</w:t>
      </w:r>
      <w:r>
        <w:rPr>
          <w:rFonts w:ascii="Times New Roman" w:cs="Times New Roman" w:eastAsia="Times New Roman" w:hAnsi="Times New Roman"/>
          <w:sz w:val="14"/>
          <w:szCs w:val="14"/>
          <w:color w:val="auto"/>
        </w:rPr>
        <w:t>” shall mean each of the documents and agreements entered into in connection with any Qualified Receivables Facility, including all documents and agreements relating to the issuance, funding and/or purchase of certificates and purchased interests or the incurrence of loans, as applicable, in each case as such documents and agreements may be amended,</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0" w:name="page521"/>
    <w:bookmarkEnd w:id="520"/>
    <w:p>
      <w:pPr>
        <w:spacing w:after="0" w:line="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modified, supplemented, refinanced or replaced from time to time so long as the relevant Qualified Receivables Facility would still meet the requirements of the definition thereof after giving effect to such amendment, modification, supplement, refinancing or replacement.</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Receivables Related Assets</w:t>
      </w:r>
      <w:r>
        <w:rPr>
          <w:rFonts w:ascii="Times New Roman" w:cs="Times New Roman" w:eastAsia="Times New Roman" w:hAnsi="Times New Roman"/>
          <w:sz w:val="14"/>
          <w:szCs w:val="14"/>
          <w:color w:val="auto"/>
        </w:rPr>
        <w:t>”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without limitation, lock-boxes, deposit accounts, records in respect of Receivables Assets and collections in respect of Receivables Assets).</w:t>
      </w:r>
    </w:p>
    <w:p>
      <w:pPr>
        <w:spacing w:after="0" w:line="117" w:lineRule="exact"/>
        <w:rPr>
          <w:sz w:val="20"/>
          <w:szCs w:val="20"/>
          <w:color w:val="auto"/>
        </w:rPr>
      </w:pPr>
    </w:p>
    <w:p>
      <w:pPr>
        <w:ind w:firstLine="914"/>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Refinancing Indebtedness</w:t>
      </w:r>
      <w:r>
        <w:rPr>
          <w:rFonts w:ascii="Times New Roman" w:cs="Times New Roman" w:eastAsia="Times New Roman" w:hAnsi="Times New Roman"/>
          <w:sz w:val="14"/>
          <w:szCs w:val="14"/>
          <w:color w:val="auto"/>
        </w:rPr>
        <w:t>” shall mean any Indebtedness issued in exchange for, or the net proceeds of which are used to extend, refinance, renew, replace, defease or refund (collectively, to “</w:t>
      </w:r>
      <w:r>
        <w:rPr>
          <w:rFonts w:ascii="Times New Roman" w:cs="Times New Roman" w:eastAsia="Times New Roman" w:hAnsi="Times New Roman"/>
          <w:sz w:val="14"/>
          <w:szCs w:val="14"/>
          <w:u w:val="single" w:color="auto"/>
          <w:color w:val="auto"/>
        </w:rPr>
        <w:t>Refinance</w:t>
      </w:r>
      <w:r>
        <w:rPr>
          <w:rFonts w:ascii="Times New Roman" w:cs="Times New Roman" w:eastAsia="Times New Roman" w:hAnsi="Times New Roman"/>
          <w:sz w:val="14"/>
          <w:szCs w:val="14"/>
          <w:color w:val="auto"/>
        </w:rPr>
        <w:t xml:space="preserve">”), the Indebtedness being Refinanced (or previous refinancings thereof constituting Permitted Refinancing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(including tender premiums) thereon and underwriting discounts, defeasance costs, fees, commissions and expenses), (b) except with respect to Section 6.01(i), (i) the final maturity date of such Permitted Refinancing Indebtedness is on or after the earlier of (x) the final maturity date of the Indebtedness being Refinanced and (y) the 91st day following the Latest Maturity Date in effect at the time of incurrence thereof and (ii) the Weighted Average Life to Maturity of such Permitted Refinancing Indebtedness is greater than or equal to the lesser of (x) the Weighted Average Life to Maturity of the Indebtedness being Refinanced and (y) 91 days after the Weighted Average Life to Maturity of the Class of Term Loans then outstanding with the greatest remaining Weighted Average Life to Maturity, (c) if the Indebtedness being Refinanced is by its terms subordinated in right of payment to any Loan Obligations, such Permitted Refinancing Indebtedness shall be subordinated in right of payment to such Loan Obligations on terms in the aggregate not materially less favorable to the Lenders as those contained in the documentation governing the Indebtedness being Refinanced (as determined by the Parent in good faith), (d) no Permitted Refinancing Indebtedness shall have any borrower which is not a borrower or guarantor of the Indebtedness being so Refinanced or have guarantors that are not (or would not have been required to become) guarantors or borrowers with respect to the Indebtedness being so Refinanced (except that one or more Loan Parties may be added as additional guarantors or borrowers),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not materially less favorable to the Parent and the Subsidiaries than the Indebtedness being refinanced or on terms otherwise permitted by Section 6.02 (as determined by the Parent in good faith) and (f) if the Indebtedness being Refinanced was subject to an Intercreditor Agreement, and if the Permitted Refinancing Indebtedness in respect thereof is to be secured by the Collateral, the Permitted Refinancing Indebtedness shall likewise be subject to an Acceptable Intercreditor Agreement.</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Sale Lease-Back Transaction</w:t>
      </w:r>
      <w:r>
        <w:rPr>
          <w:rFonts w:ascii="Times New Roman" w:cs="Times New Roman" w:eastAsia="Times New Roman" w:hAnsi="Times New Roman"/>
          <w:sz w:val="14"/>
          <w:szCs w:val="14"/>
          <w:color w:val="auto"/>
        </w:rPr>
        <w:t>” shall mean any sale and lease-back transaction, the proceeds of which shall constitute Net Proceeds.</w:t>
      </w:r>
    </w:p>
    <w:p>
      <w:pPr>
        <w:spacing w:after="0" w:line="163"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1" w:name="page522"/>
    <w:bookmarkEnd w:id="521"/>
    <w:p>
      <w:pPr>
        <w:spacing w:after="0" w:line="34"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Information</w:t>
      </w:r>
      <w:r>
        <w:rPr>
          <w:rFonts w:ascii="Times New Roman" w:cs="Times New Roman" w:eastAsia="Times New Roman" w:hAnsi="Times New Roman"/>
          <w:sz w:val="14"/>
          <w:szCs w:val="14"/>
          <w:color w:val="auto"/>
        </w:rPr>
        <w:t>” shall mean any information that (a) identifies or could reasonably be used, alone or in combination with other information held by Parent or any of its Subsidiaries, to identify an individual or household, or (b) is defined as “personally identifiable information,” “personal information,” “personal data,” or any term similar to any of the foregoing under applicable laws or Data Privacy Laws.</w:t>
      </w:r>
    </w:p>
    <w:p>
      <w:pPr>
        <w:spacing w:after="0" w:line="117"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shall mean any “employee pension benefit plan” (as defined in Section 3(2) of ERISA, other than a Multiemployer Plan) (a) that is subject to the provisions of Title IV of ERISA or Section 412 of the Code or Section 302 of ERISA, (b) that is sponsored or maintained (at the time of determination or at any time within the five years prior thereto) by the Parent, any Subsidiary or any ERISA Affiliate, and (c) in respect of which the Parent, any Subsidiary or any ERISA Affiliate is (or, if such plan were terminated, would under Section 4069 of ERISA be deemed to be) an “employer” as defined in Section 3(5) of ERISA.</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shall have the meaning assigned to such term in Section 5.04.</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Pledged Collateral</w:t>
      </w:r>
      <w:r>
        <w:rPr>
          <w:rFonts w:ascii="Times New Roman" w:cs="Times New Roman" w:eastAsia="Times New Roman" w:hAnsi="Times New Roman"/>
          <w:sz w:val="14"/>
          <w:szCs w:val="14"/>
          <w:color w:val="auto"/>
        </w:rPr>
        <w:t>” shall have the meaning assigned to such term in the U.S. Collateral Agreement.</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Prepayment-Based Incremental Amount</w:t>
      </w:r>
      <w:r>
        <w:rPr>
          <w:rFonts w:ascii="Times New Roman" w:cs="Times New Roman" w:eastAsia="Times New Roman" w:hAnsi="Times New Roman"/>
          <w:sz w:val="14"/>
          <w:szCs w:val="14"/>
          <w:color w:val="auto"/>
        </w:rPr>
        <w:t xml:space="preserve"> ” shall mean an amount equal to (a) the amount of cash actually paid in connection with all par or below-par Term Loan buybacks (to the extent such Term Loans are cancelled) plus (b) the amount of all voluntary prepayments of Term Loans, Revolving Loans and Permitted Debt incurred pursuant to Section 6.01(v), in each case (x) with respect to any revolving Indebtedness, to the extent accompanied by a permanent reduction in the applicable revolving commitments, (y) to the extent not funded with the proceeds of Indebtedness constituting long-term Indebtedness (other than revolving Indebtedness) and (z) so long as such Indebtedness that is repurchased or prepaid pursuant to the foregoing clause (a) or (b) is secured on an equal or ratable basis with the Initial Facilities.</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primary obligor</w:t>
      </w:r>
      <w:r>
        <w:rPr>
          <w:rFonts w:ascii="Times New Roman" w:cs="Times New Roman" w:eastAsia="Times New Roman" w:hAnsi="Times New Roman"/>
          <w:sz w:val="14"/>
          <w:szCs w:val="14"/>
          <w:color w:val="auto"/>
        </w:rPr>
        <w:t>” shall have the meaning assigned to such term in the definition of the term “Guarantee.”</w:t>
      </w:r>
    </w:p>
    <w:p>
      <w:pPr>
        <w:spacing w:after="0" w:line="163"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Prime Rate</w:t>
      </w:r>
      <w:r>
        <w:rPr>
          <w:rFonts w:ascii="Times New Roman" w:cs="Times New Roman" w:eastAsia="Times New Roman" w:hAnsi="Times New Roman"/>
          <w:sz w:val="14"/>
          <w:szCs w:val="14"/>
          <w:color w:val="auto"/>
        </w:rPr>
        <w:t>” shall mean the rate of interest per annum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Any change in the Prime Rate shall take effect at the opening of business on the day such change is publicly announced or quoted as being effective.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Private Side Information</w:t>
      </w:r>
      <w:r>
        <w:rPr>
          <w:rFonts w:ascii="Times New Roman" w:cs="Times New Roman" w:eastAsia="Times New Roman" w:hAnsi="Times New Roman"/>
          <w:sz w:val="14"/>
          <w:szCs w:val="14"/>
          <w:color w:val="auto"/>
        </w:rPr>
        <w:t>” shall have the meaning assigned to such term in Section 5.04.</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Forma Basis</w:t>
      </w:r>
      <w:r>
        <w:rPr>
          <w:rFonts w:ascii="Times New Roman" w:cs="Times New Roman" w:eastAsia="Times New Roman" w:hAnsi="Times New Roman"/>
          <w:sz w:val="14"/>
          <w:szCs w:val="14"/>
          <w:color w:val="auto"/>
        </w:rPr>
        <w:t xml:space="preserve">” shall mean, as to any person, for any events as described below (each, a “ </w:t>
      </w:r>
      <w:r>
        <w:rPr>
          <w:rFonts w:ascii="Times New Roman" w:cs="Times New Roman" w:eastAsia="Times New Roman" w:hAnsi="Times New Roman"/>
          <w:sz w:val="14"/>
          <w:szCs w:val="14"/>
          <w:u w:val="single" w:color="auto"/>
          <w:color w:val="auto"/>
        </w:rPr>
        <w:t>Subject Transaction</w:t>
      </w:r>
      <w:r>
        <w:rPr>
          <w:rFonts w:ascii="Times New Roman" w:cs="Times New Roman" w:eastAsia="Times New Roman" w:hAnsi="Times New Roman"/>
          <w:sz w:val="14"/>
          <w:szCs w:val="14"/>
          <w:color w:val="auto"/>
        </w:rPr>
        <w:t xml:space="preserve"> ”)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(or, in the case of a calculation of Consolidated Total Assets, as of the last day of such Test Period): (a) any Asset Sale and any asset acquisition, Investment (or series of related Investments) in excess of $25,000,000, merger, amalgamation, consolidation (including the Transactions) (or any similar transaction or transactions), any</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2" w:name="page523"/>
    <w:bookmarkEnd w:id="522"/>
    <w:p>
      <w:pPr>
        <w:spacing w:after="0" w:line="3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4"/>
          <w:szCs w:val="14"/>
          <w:color w:val="auto"/>
        </w:rPr>
        <w:t xml:space="preserve">dividend, distribution or other similar payment, (b) the designation of any Subsidiary as an Unrestricted Subsidiary or of any Unrestricted Subsidiary as a Subsidiary and (c) any incurrence, repayment, repurchase or redemption of Indebtedness (or any issuance, repurchase or redemption of Disqualified Stock or preferred stock), other than fluctuations in revolving borrowings in the ordinary course of business (and not resulting from a transaction as described in clause (a)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to the contrary herein, the Parent’s Acquisition of all or any part of the Equity Interests of Merus shall not be given pro forma effect (but, for the avoidance of doubt, Indebtedness incurred in connection therewith shall be given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Pro forma calculations made pursuant to the definition of this term “Pro Forma Basis” shall be determined in good faith by a Responsible Officer of the Parent.</w:t>
      </w:r>
    </w:p>
    <w:p>
      <w:pPr>
        <w:spacing w:after="0" w:line="298"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Financial Officer of the Parent to be the rate of interest implicit in such Capitalized Lease Obligation in accordance with IFRS. For purposes of making the computation referred to above, interest on any Indebtedness under a revolving credit facility computed on a pro forma basis shall be computed based upon the average daily balance of such Indebtedness during the applicable period, except to the extent the outstandings thereunder are reasonably expected to increase as a result of any transactions described in clause (a)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Parent may designate.</w:t>
      </w:r>
    </w:p>
    <w:p>
      <w:pPr>
        <w:spacing w:after="0" w:line="131"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Forma Compliance</w:t>
      </w:r>
      <w:r>
        <w:rPr>
          <w:rFonts w:ascii="Times New Roman" w:cs="Times New Roman" w:eastAsia="Times New Roman" w:hAnsi="Times New Roman"/>
          <w:sz w:val="14"/>
          <w:szCs w:val="14"/>
          <w:color w:val="auto"/>
        </w:rPr>
        <w:t>” shall mean, at any date of determination, that the Parent and the Subsidiaries shall be in compliance, on a Pro Forma Basis after giving effect on a Pro Forma Basis to the relevant transactions (including the assumption, issuance, incurrence and permanent repayment of Indebtedness), with the Financial Covenants recomputed as at the last day of the most recently ended Test Period.</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Rata Extension Offers</w:t>
      </w:r>
      <w:r>
        <w:rPr>
          <w:rFonts w:ascii="Times New Roman" w:cs="Times New Roman" w:eastAsia="Times New Roman" w:hAnsi="Times New Roman"/>
          <w:sz w:val="14"/>
          <w:szCs w:val="14"/>
          <w:color w:val="auto"/>
        </w:rPr>
        <w:t>” shall have the meaning assigned to such term in Section 2.22(a).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Rata Share</w:t>
      </w:r>
      <w:r>
        <w:rPr>
          <w:rFonts w:ascii="Times New Roman" w:cs="Times New Roman" w:eastAsia="Times New Roman" w:hAnsi="Times New Roman"/>
          <w:sz w:val="14"/>
          <w:szCs w:val="14"/>
          <w:color w:val="auto"/>
        </w:rPr>
        <w:t>” shall have the meaning assigned to such term in Section 9.08(f).</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Proceeding</w:t>
      </w:r>
      <w:r>
        <w:rPr>
          <w:rFonts w:ascii="Times New Roman" w:cs="Times New Roman" w:eastAsia="Times New Roman" w:hAnsi="Times New Roman"/>
          <w:sz w:val="14"/>
          <w:szCs w:val="14"/>
          <w:color w:val="auto"/>
        </w:rPr>
        <w:t>” shall mean any claim, litigation, investigation, action, suit, arbitration or administrative, judicial or regulatory action or proceeding in any jurisdiction.</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Projections</w:t>
      </w:r>
      <w:r>
        <w:rPr>
          <w:rFonts w:ascii="Times New Roman" w:cs="Times New Roman" w:eastAsia="Times New Roman" w:hAnsi="Times New Roman"/>
          <w:sz w:val="14"/>
          <w:szCs w:val="14"/>
          <w:color w:val="auto"/>
        </w:rPr>
        <w:t>” shall mean the projections of the Parent and the Subsidiaries included in the Information Memorandum and any other projections, financial estimates, forecast and any other forward-looking statements (including statements with respect to booked business) of such entities furnished to the Lenders or the Administrative Agent by or on behalf of the Parent or any of the Subsidiaries prior to the Closing Date.</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3" w:name="page524"/>
    <w:bookmarkEnd w:id="523"/>
    <w:p>
      <w:pPr>
        <w:spacing w:after="0" w:line="34"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Proprietary Patent Revenue</w:t>
      </w:r>
      <w:r>
        <w:rPr>
          <w:rFonts w:ascii="Times New Roman" w:cs="Times New Roman" w:eastAsia="Times New Roman" w:hAnsi="Times New Roman"/>
          <w:sz w:val="14"/>
          <w:szCs w:val="14"/>
          <w:color w:val="auto"/>
        </w:rPr>
        <w:t>” shall mean revenue of the Parent and its subsidiaries that is attributable to Patents owned by the Parent or any of its subsidiaries (other than any such revenue that is attributable to Royalty Contracts).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PTE</w:t>
      </w:r>
      <w:r>
        <w:rPr>
          <w:rFonts w:ascii="Times New Roman" w:cs="Times New Roman" w:eastAsia="Times New Roman" w:hAnsi="Times New Roman"/>
          <w:sz w:val="14"/>
          <w:szCs w:val="14"/>
          <w:color w:val="auto"/>
        </w:rPr>
        <w:t>” shall mean a prohibited transaction class exemption issued by the U.S. Department of Labor, as any such exemption may be amended from time to time.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Public Lender</w:t>
      </w:r>
      <w:r>
        <w:rPr>
          <w:rFonts w:ascii="Times New Roman" w:cs="Times New Roman" w:eastAsia="Times New Roman" w:hAnsi="Times New Roman"/>
          <w:sz w:val="14"/>
          <w:szCs w:val="14"/>
          <w:color w:val="auto"/>
        </w:rPr>
        <w:t>” shall have the meaning assigned to such term in Section 5.04.</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Public Side Information</w:t>
      </w:r>
      <w:r>
        <w:rPr>
          <w:rFonts w:ascii="Times New Roman" w:cs="Times New Roman" w:eastAsia="Times New Roman" w:hAnsi="Times New Roman"/>
          <w:sz w:val="14"/>
          <w:szCs w:val="14"/>
          <w:color w:val="auto"/>
        </w:rPr>
        <w:t>” shall have the meaning assigned to such term in Section 5.04.</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Published Patents</w:t>
      </w:r>
      <w:r>
        <w:rPr>
          <w:rFonts w:ascii="Times New Roman" w:cs="Times New Roman" w:eastAsia="Times New Roman" w:hAnsi="Times New Roman"/>
          <w:sz w:val="14"/>
          <w:szCs w:val="14"/>
          <w:color w:val="auto"/>
        </w:rPr>
        <w:t>” shall have the meaning assigned to such term in Section 5.04(h).</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Purchase Offer</w:t>
      </w:r>
      <w:r>
        <w:rPr>
          <w:rFonts w:ascii="Times New Roman" w:cs="Times New Roman" w:eastAsia="Times New Roman" w:hAnsi="Times New Roman"/>
          <w:sz w:val="14"/>
          <w:szCs w:val="14"/>
          <w:color w:val="auto"/>
        </w:rPr>
        <w:t>” shall have the meaning assigned to such term in Section 2.25(a).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 Credit Support</w:t>
      </w:r>
      <w:r>
        <w:rPr>
          <w:rFonts w:ascii="Times New Roman" w:cs="Times New Roman" w:eastAsia="Times New Roman" w:hAnsi="Times New Roman"/>
          <w:sz w:val="14"/>
          <w:szCs w:val="14"/>
          <w:color w:val="auto"/>
        </w:rPr>
        <w:t>” shall have the meaning assigned to such term in Section 9.23.</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Equity Interests</w:t>
      </w:r>
      <w:r>
        <w:rPr>
          <w:rFonts w:ascii="Times New Roman" w:cs="Times New Roman" w:eastAsia="Times New Roman" w:hAnsi="Times New Roman"/>
          <w:sz w:val="14"/>
          <w:szCs w:val="14"/>
          <w:color w:val="auto"/>
        </w:rPr>
        <w:t>” shall mean any Equity Interests other than Disqualified Stock.</w:t>
      </w:r>
    </w:p>
    <w:p>
      <w:pPr>
        <w:spacing w:after="0" w:line="163"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Receivables Facility</w:t>
      </w:r>
      <w:r>
        <w:rPr>
          <w:rFonts w:ascii="Times New Roman" w:cs="Times New Roman" w:eastAsia="Times New Roman" w:hAnsi="Times New Roman"/>
          <w:sz w:val="14"/>
          <w:szCs w:val="14"/>
          <w:color w:val="auto"/>
        </w:rPr>
        <w:t>” shall mean a receivables financing or factoring facility which is designated as a “Qualified Receivables Facility” (as provided below), providing for the transfer, sale and/or pledge by the Parent and/or one or more other Receivables Sellers of Permitted Receivables Facility Assets (thereby providing financing to the Parent and/or the Receivables Sellers) to (a)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(b) a bank or other financial institution, which shall finance, directly or indirectly, the Permitted Receivables Facility Assets, so long as, in the case of each of clause (a) and clause (b), no portion of the Indebtedness or any other obligations (contingent or otherwise) under such receivables facility or facilities (x) is guaranteed by the Parent or any Subsidiary (excluding guarantees of obligations pursuant to Standard Securitization Undertakings), (y) is recourse to or obligates the Parent or any Subsidiary in any way (other than pursuant to Standard Securitization Undertakings) or (z) subjects any property or asset (other than Permitted Receivables Facility Assets, Permitted Receivables Related Assets or the Equity Interests of any Receivables Entity) of the Parent or any Subsidiary (other than a Receivables Entity), directly or indirectly, contingently or otherwise, to the satisfaction thereof (other than pursuant to Standard Securitization Undertakings). Any such designation shall be evidenced to the Administrative Agent by filing with the Administrative Agent a certificate signed by a Financial Officer of the Parent certifying that, to such officer’s knowledge and belief after consultation with counsel, such designation complied with the foregoing conditions.</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Rate</w:t>
      </w:r>
      <w:r>
        <w:rPr>
          <w:rFonts w:ascii="Times New Roman" w:cs="Times New Roman" w:eastAsia="Times New Roman" w:hAnsi="Times New Roman"/>
          <w:sz w:val="14"/>
          <w:szCs w:val="14"/>
          <w:color w:val="auto"/>
        </w:rPr>
        <w:t>” shall have the meaning assigned to such term in the definition of the term “Type.”</w:t>
      </w:r>
    </w:p>
    <w:p>
      <w:pPr>
        <w:spacing w:after="0" w:line="163" w:lineRule="exact"/>
        <w:rPr>
          <w:sz w:val="20"/>
          <w:szCs w:val="20"/>
          <w:color w:val="auto"/>
        </w:rPr>
      </w:pPr>
    </w:p>
    <w:p>
      <w:pPr>
        <w:jc w:val="both"/>
        <w:ind w:right="20" w:firstLine="914"/>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Ratio-Based Incremental Amount</w:t>
      </w:r>
      <w:r>
        <w:rPr>
          <w:rFonts w:ascii="Times New Roman" w:cs="Times New Roman" w:eastAsia="Times New Roman" w:hAnsi="Times New Roman"/>
          <w:sz w:val="14"/>
          <w:szCs w:val="14"/>
          <w:color w:val="auto"/>
        </w:rPr>
        <w:t xml:space="preserve"> ” shall mean (a) with respect to any Indebtedness that is secured by Other First Liens, an unlimited amount so long as, upon the incurrence thereof, the First Lien Secured Net Leverage Ratio would not exceed the greater of (x) 2.90 to 1.00 and (y) the First Lien Secured Net Leverage Ratio immediately prior to giving effect to such incurrence, (b) with respect to any Indebtedness that is secured by Junior Liens, an unlimited amount so long as, upon the incurrence thereof, the Secured Net Leverage Ratio would not exceed the greater of (x) 3.15 to 1.00 and (y) the Secured Net Leverage Ratio immediately prior to giving effect to such incurrence, (c) with respect to any Indebtedness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4" w:name="page525"/>
    <w:bookmarkEnd w:id="524"/>
    <w:p>
      <w:pPr>
        <w:spacing w:after="0" w:line="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that is unsecured, an unlimited amount so long as, upon the incurrence thereof, (i) the Total Net Leverage Ratio would not exceed the greater of (x) 3.80 to 1.00 and (y) the Total Net Leverage Ratio immediately prior to giving effect to such incurrence or (ii) the Interest Coverage Ratio would not be lower than the lower of (x) 2.00 to 1.00 and (y) the Interest Coverage Ratio immediately prior to giving effect to such incurrence, in each case where such First Lien Secured Net Leverage Ratio, Secured Net Leverage Ratio, Total Net Leverage Ratio and/or Interest Coverage Ratio, as applicable, is calculated on a Pro Forma Basis (after giving effect to all related transactions (including any acquisition or investment consummated with the proceeds of the applicable Incremental Facility and any other application of the proceeds thereof), but without giving effect to the cash proceeds received from such Indebtedness that remain on the balance sheet, and assuming that the commitments under any Incremental Revolving Facility then being incurred were fully drawn and incurred as of the effective date) as of the most recently completed Test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if, as part of the same transaction or series of related transactions, the Parent incurs Indebtedness pursuant to the Ratio-Based Incremental Amount and substantially concurrently also incurs Indebtedness (x) pursuant to the Prepayment-Based Incremental Amount or the Fixed Incremental Amount or (y) otherwise constituting a Fixed Amount, then the First Lien Secured Net Leverage Ratio, Secured Net Leverage Ratio, Total Net Leverage Ratio and/or Interest Coverage Ratio, as applicable, will be calculated with respect to such incurrence pursuant to the Ratio-Based Incremental Amount without regard to any such substantially concurrent incurrence of Indebtedness under the Prepayment-Based Incremental Amount, the Fixed Incremental Amount or any other Fixed Amount.</w:t>
      </w:r>
    </w:p>
    <w:p>
      <w:pPr>
        <w:spacing w:after="0" w:line="126"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 shall mean, collectively, all right, title and interest (including any leasehold estate) in and to any and all parcels of or interests in real property owned in fee (or such jurisdictional equivalent) or freehold or leased by any Loan Party, whether by lease, license or other means, located in the United States or any other country or jurisdiction outside of the United States, together with, in each case, all easements, hereditaments and appurtenances relating thereto, all improvements and appurtenant fixtures and equipment, incidental to the ownership, lease or operation thereof.</w:t>
      </w:r>
    </w:p>
    <w:p>
      <w:pPr>
        <w:spacing w:after="0" w:line="12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Receivables Assets</w:t>
      </w:r>
      <w:r>
        <w:rPr>
          <w:rFonts w:ascii="Times New Roman" w:cs="Times New Roman" w:eastAsia="Times New Roman" w:hAnsi="Times New Roman"/>
          <w:sz w:val="14"/>
          <w:szCs w:val="14"/>
          <w:color w:val="auto"/>
        </w:rPr>
        <w:t>” shall mean any right to payment created by or arising from royalties, sales of goods, lease of goods or the rendition of services rendered no matter how evidenced whether or not earned by performance (whether constituting accounts, general intangibles, chattel paper or otherwise).</w:t>
      </w:r>
    </w:p>
    <w:p>
      <w:pPr>
        <w:spacing w:after="0" w:line="105" w:lineRule="exact"/>
        <w:rPr>
          <w:sz w:val="20"/>
          <w:szCs w:val="20"/>
          <w:color w:val="auto"/>
        </w:rPr>
      </w:pPr>
    </w:p>
    <w:p>
      <w:pPr>
        <w:jc w:val="both"/>
        <w:ind w:firstLine="914"/>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Receivables Entity</w:t>
      </w:r>
      <w:r>
        <w:rPr>
          <w:rFonts w:ascii="Times New Roman" w:cs="Times New Roman" w:eastAsia="Times New Roman" w:hAnsi="Times New Roman"/>
          <w:sz w:val="14"/>
          <w:szCs w:val="14"/>
          <w:color w:val="auto"/>
        </w:rPr>
        <w:t>” shall mean any direct or indirect Wholly Owned Subsidiary of the Parent which engages in no activities other than in connection with the financing of accounts receivable of the Receivables Sellers and which is designated (as provided below) as a “Receivables Entity” (a) with which neither the Parent nor any of the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Parent or such Subsidiary than those that might be obtained at the time from persons that are not Affiliates of the Parent (as determined by the Parent in good faith) and (b) to which neither the Parent nor any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filing with the Administrative Agent a certificate of a Responsible Officer of the Parent certifying that, to such officer’s knowledge and belief after consultation with counsel, such designation complied with the foregoing conditions.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5" w:name="page526"/>
    <w:bookmarkEnd w:id="525"/>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Receivables Seller</w:t>
      </w:r>
      <w:r>
        <w:rPr>
          <w:rFonts w:ascii="Times New Roman" w:cs="Times New Roman" w:eastAsia="Times New Roman" w:hAnsi="Times New Roman"/>
          <w:sz w:val="14"/>
          <w:szCs w:val="14"/>
          <w:color w:val="auto"/>
        </w:rPr>
        <w:t>” shall mean the Parent or any Subsidiary that is from time to time party to the Permitted Receivables Facility Documents (other than any Receivables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Entity).</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Recipient</w:t>
      </w:r>
      <w:r>
        <w:rPr>
          <w:rFonts w:ascii="Times New Roman" w:cs="Times New Roman" w:eastAsia="Times New Roman" w:hAnsi="Times New Roman"/>
          <w:sz w:val="14"/>
          <w:szCs w:val="14"/>
          <w:color w:val="auto"/>
        </w:rPr>
        <w:t>” shall have the meaning assigned to such term in Section 2.17(g)(ii).</w:t>
      </w:r>
    </w:p>
    <w:p>
      <w:pPr>
        <w:spacing w:after="0" w:line="163" w:lineRule="exact"/>
        <w:rPr>
          <w:sz w:val="20"/>
          <w:szCs w:val="20"/>
          <w:color w:val="auto"/>
        </w:rPr>
      </w:pPr>
    </w:p>
    <w:p>
      <w:pPr>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Recovery Event</w:t>
      </w:r>
      <w:r>
        <w:rPr>
          <w:rFonts w:ascii="Times New Roman" w:cs="Times New Roman" w:eastAsia="Times New Roman" w:hAnsi="Times New Roman"/>
          <w:sz w:val="14"/>
          <w:szCs w:val="14"/>
          <w:color w:val="auto"/>
        </w:rPr>
        <w:t>” shall mean any event that gives rise to the receipt by the Parent or any of the Subsidiaries of any insurance proceeds or condemnation awards in respect of any equipment, fixed assets or Real Property (including any improvements thereon).</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Refinance</w:t>
      </w:r>
      <w:r>
        <w:rPr>
          <w:rFonts w:ascii="Times New Roman" w:cs="Times New Roman" w:eastAsia="Times New Roman" w:hAnsi="Times New Roman"/>
          <w:sz w:val="14"/>
          <w:szCs w:val="14"/>
          <w:color w:val="auto"/>
        </w:rPr>
        <w:t xml:space="preserve">” shall have the meaning assigned to such term in the definition of the term “Permitted Refinancing Indebtedness,” and “ </w:t>
      </w:r>
      <w:r>
        <w:rPr>
          <w:rFonts w:ascii="Times New Roman" w:cs="Times New Roman" w:eastAsia="Times New Roman" w:hAnsi="Times New Roman"/>
          <w:sz w:val="14"/>
          <w:szCs w:val="14"/>
          <w:u w:val="single" w:color="auto"/>
          <w:color w:val="auto"/>
        </w:rPr>
        <w:t>Refinanced</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u w:val="single" w:color="auto"/>
          <w:color w:val="auto"/>
        </w:rPr>
        <w:t>Refinancing</w:t>
      </w:r>
      <w:r>
        <w:rPr>
          <w:rFonts w:ascii="Times New Roman" w:cs="Times New Roman" w:eastAsia="Times New Roman" w:hAnsi="Times New Roman"/>
          <w:sz w:val="14"/>
          <w:szCs w:val="14"/>
          <w:color w:val="auto"/>
        </w:rPr>
        <w:t>” shall have meanings correlative thereto.</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Refinancing Amendment</w:t>
      </w:r>
      <w:r>
        <w:rPr>
          <w:rFonts w:ascii="Times New Roman" w:cs="Times New Roman" w:eastAsia="Times New Roman" w:hAnsi="Times New Roman"/>
          <w:sz w:val="14"/>
          <w:szCs w:val="14"/>
          <w:color w:val="auto"/>
        </w:rPr>
        <w:t>” shall have the meaning assigned to such term in Section 2.23(g).</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Refinancing Effective Date</w:t>
      </w:r>
      <w:r>
        <w:rPr>
          <w:rFonts w:ascii="Times New Roman" w:cs="Times New Roman" w:eastAsia="Times New Roman" w:hAnsi="Times New Roman"/>
          <w:sz w:val="14"/>
          <w:szCs w:val="14"/>
          <w:color w:val="auto"/>
        </w:rPr>
        <w:t>” shall have the meaning assigned to such term in Section 2.23(a).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Refinancing Term Loans</w:t>
      </w:r>
      <w:r>
        <w:rPr>
          <w:rFonts w:ascii="Times New Roman" w:cs="Times New Roman" w:eastAsia="Times New Roman" w:hAnsi="Times New Roman"/>
          <w:sz w:val="14"/>
          <w:szCs w:val="14"/>
          <w:color w:val="auto"/>
        </w:rPr>
        <w:t>” shall have the meaning assigned to such term in Section 2.23(a).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shall have the meaning assigned to such term in Section 9.04(b)(iv).</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T</w:t>
      </w:r>
      <w:r>
        <w:rPr>
          <w:rFonts w:ascii="Times New Roman" w:cs="Times New Roman" w:eastAsia="Times New Roman" w:hAnsi="Times New Roman"/>
          <w:sz w:val="14"/>
          <w:szCs w:val="14"/>
          <w:color w:val="auto"/>
        </w:rPr>
        <w:t>” shall mean Regulation T of the Board.</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U</w:t>
      </w:r>
      <w:r>
        <w:rPr>
          <w:rFonts w:ascii="Times New Roman" w:cs="Times New Roman" w:eastAsia="Times New Roman" w:hAnsi="Times New Roman"/>
          <w:sz w:val="14"/>
          <w:szCs w:val="14"/>
          <w:color w:val="auto"/>
        </w:rPr>
        <w:t>” shall mean Regulation U of the Board.</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X</w:t>
      </w:r>
      <w:r>
        <w:rPr>
          <w:rFonts w:ascii="Times New Roman" w:cs="Times New Roman" w:eastAsia="Times New Roman" w:hAnsi="Times New Roman"/>
          <w:sz w:val="14"/>
          <w:szCs w:val="14"/>
          <w:color w:val="auto"/>
        </w:rPr>
        <w:t>” shall mean Regulation X of the Board.</w:t>
      </w:r>
    </w:p>
    <w:p>
      <w:pPr>
        <w:spacing w:after="0" w:line="163"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Fund</w:t>
      </w:r>
      <w:r>
        <w:rPr>
          <w:rFonts w:ascii="Times New Roman" w:cs="Times New Roman" w:eastAsia="Times New Roman" w:hAnsi="Times New Roman"/>
          <w:sz w:val="14"/>
          <w:szCs w:val="14"/>
          <w:color w:val="auto"/>
        </w:rPr>
        <w:t>” shall mean, with respect to any Lender that is a fund that makes, purchases or holds bank or commercial loans and similar extensions of credit, any other fund that makes, purchases or holds bank or commercial loans and similar extensions of credit and is advised or managed by (a) such Lender, (b) an Affiliate of such Lender or (c) an entity (or an Affiliate of such entity) that administers, advises or manages such Lender.</w:t>
      </w:r>
    </w:p>
    <w:p>
      <w:pPr>
        <w:spacing w:after="0" w:line="117"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Parties</w:t>
      </w:r>
      <w:r>
        <w:rPr>
          <w:rFonts w:ascii="Times New Roman" w:cs="Times New Roman" w:eastAsia="Times New Roman" w:hAnsi="Times New Roman"/>
          <w:sz w:val="14"/>
          <w:szCs w:val="14"/>
          <w:color w:val="auto"/>
        </w:rPr>
        <w:t>” shall mean, with respect to any specified person, such person’s controlled and controlling Affiliates and the respective directors, trustees, officers, employees, agents, representatives, advisors and members of such person and such person’s controlled and controlling Affiliates.</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shall mean any spilling, leaking, seepage, pumping, pouring, emitting, emptying, discharging, injecting, escaping, leaching, dumping, disposing, depositing, emanating or migrating in, into, onto or through the Environment or any manmade structure.</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Governmental Body</w:t>
      </w:r>
      <w:r>
        <w:rPr>
          <w:rFonts w:ascii="Times New Roman" w:cs="Times New Roman" w:eastAsia="Times New Roman" w:hAnsi="Times New Roman"/>
          <w:sz w:val="14"/>
          <w:szCs w:val="14"/>
          <w:color w:val="auto"/>
        </w:rPr>
        <w:t>” shall mean (a) with respect to a Benchmark Replacement in respect of Obligations, interest, fees, commissions or other amounts denominated in, or calculated with respect to, Dollars, the Federal Reserve Board or the Federal Reserve Bank of New York, or a committee officially endorsed or convened by the Federal Reserve Board or the Federal Reserve Bank of New York, or any successor thereto and (b) with respect to a Benchmark Replacement in respect of Obligations,</w:t>
      </w: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26" w:name="page527"/>
    <w:bookmarkEnd w:id="526"/>
    <w:p>
      <w:pPr>
        <w:spacing w:after="0" w:line="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interest, fees, commissions or other amounts denominated in, or calculated with respect to, any Alternative Currency, (i) the central bank for the Alternative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Alternative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Party</w:t>
      </w:r>
      <w:r>
        <w:rPr>
          <w:rFonts w:ascii="Times New Roman" w:cs="Times New Roman" w:eastAsia="Times New Roman" w:hAnsi="Times New Roman"/>
          <w:sz w:val="14"/>
          <w:szCs w:val="14"/>
          <w:color w:val="auto"/>
        </w:rPr>
        <w:t>” shall have the meaning assigned to such term in Section 2.17(g)(ii).</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Works Council</w:t>
      </w:r>
      <w:r>
        <w:rPr>
          <w:rFonts w:ascii="Times New Roman" w:cs="Times New Roman" w:eastAsia="Times New Roman" w:hAnsi="Times New Roman"/>
          <w:sz w:val="14"/>
          <w:szCs w:val="14"/>
          <w:color w:val="auto"/>
        </w:rPr>
        <w:t>” shall have the meaning assigned to such term in Section 5.14.</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Replacement Revolving Commitments</w:t>
      </w:r>
      <w:r>
        <w:rPr>
          <w:rFonts w:ascii="Times New Roman" w:cs="Times New Roman" w:eastAsia="Times New Roman" w:hAnsi="Times New Roman"/>
          <w:sz w:val="14"/>
          <w:szCs w:val="14"/>
          <w:color w:val="auto"/>
        </w:rPr>
        <w:t>” shall have the meaning assigned to such term in Section 2.23(c).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Replacement Revolving Facilities</w:t>
      </w:r>
      <w:r>
        <w:rPr>
          <w:rFonts w:ascii="Times New Roman" w:cs="Times New Roman" w:eastAsia="Times New Roman" w:hAnsi="Times New Roman"/>
          <w:sz w:val="14"/>
          <w:szCs w:val="14"/>
          <w:color w:val="auto"/>
        </w:rPr>
        <w:t>” shall have the meaning assigned to such term in Section 2.23(c).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Replacement Revolving Facility Effective Date</w:t>
      </w:r>
      <w:r>
        <w:rPr>
          <w:rFonts w:ascii="Times New Roman" w:cs="Times New Roman" w:eastAsia="Times New Roman" w:hAnsi="Times New Roman"/>
          <w:sz w:val="14"/>
          <w:szCs w:val="14"/>
          <w:color w:val="auto"/>
        </w:rPr>
        <w:t>” shall have the meaning assigned to such term in Section 2.23(c).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Replacement Revolving Loans</w:t>
      </w:r>
      <w:r>
        <w:rPr>
          <w:rFonts w:ascii="Times New Roman" w:cs="Times New Roman" w:eastAsia="Times New Roman" w:hAnsi="Times New Roman"/>
          <w:sz w:val="14"/>
          <w:szCs w:val="14"/>
          <w:color w:val="auto"/>
        </w:rPr>
        <w:t>” shall have the meaning assigned to such term in Section 2.23(c).</w:t>
      </w:r>
    </w:p>
    <w:p>
      <w:pPr>
        <w:spacing w:after="0" w:line="163"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Reportable Event</w:t>
      </w:r>
      <w:r>
        <w:rPr>
          <w:rFonts w:ascii="Times New Roman" w:cs="Times New Roman" w:eastAsia="Times New Roman" w:hAnsi="Times New Roman"/>
          <w:sz w:val="14"/>
          <w:szCs w:val="14"/>
          <w:color w:val="auto"/>
        </w:rPr>
        <w:t>”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w:t>
      </w:r>
    </w:p>
    <w:p>
      <w:pPr>
        <w:spacing w:after="0" w:line="117" w:lineRule="exact"/>
        <w:rPr>
          <w:sz w:val="20"/>
          <w:szCs w:val="20"/>
          <w:color w:val="auto"/>
        </w:rPr>
      </w:pPr>
    </w:p>
    <w:p>
      <w:pPr>
        <w:jc w:val="both"/>
        <w:ind w:right="20" w:firstLine="914"/>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Repricing Event</w:t>
      </w:r>
      <w:r>
        <w:rPr>
          <w:rFonts w:ascii="Times New Roman" w:cs="Times New Roman" w:eastAsia="Times New Roman" w:hAnsi="Times New Roman"/>
          <w:sz w:val="14"/>
          <w:szCs w:val="14"/>
          <w:color w:val="auto"/>
        </w:rPr>
        <w:t>” shall mean (a) any repayment, prepayment, refinancing or repurchase of all or a portion of the Initial Term B Loans with the proceeds of, or any conversion of all or any portion of the Initial Term B Loans into, any new or replacement Indebtedness bearing interest with an All-in Yield less than the All-in Yield applicable to the Initial Term B Loans and (b) any amendment (including pursuant to a replacement term loan) to the Initial Term B Loans, in the case of each of clauses (a) and (b) above, if the primary purpose of such repayment, prepayment, refinancing, repurchase or amendment (as reasonably determined by the Administrative Agent in consultation with the Parent) is to lower the All-in Yield applicable to the Initial Term B Loans that are repaid, prepaid, refinanced or repurchased using the proceeds thereof or amended thereby. It is understood that “Repricing Events” shall not include any repayment, prepayment, refinancing, repurchase or amendment of all or a portion of the Initial Term B Loans in connection with a Change of Control or a Specified Acquisition. It is understood that any prepayment premium with respect to a Repricing Event shall apply to any required assignment by a Non-Consenting Lender in connection with any such amendment pursuant to Section 2.19(c).</w:t>
      </w:r>
    </w:p>
    <w:p>
      <w:pPr>
        <w:spacing w:after="0" w:line="128"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Facility Lenders</w:t>
      </w:r>
      <w:r>
        <w:rPr>
          <w:rFonts w:ascii="Times New Roman" w:cs="Times New Roman" w:eastAsia="Times New Roman" w:hAnsi="Times New Roman"/>
          <w:sz w:val="14"/>
          <w:szCs w:val="14"/>
          <w:color w:val="auto"/>
        </w:rPr>
        <w:t>” shall mean, at any time, with respect to one or more Facilities, Lenders having Term Loans and Revolving Commitments (or, if the Revolving Commitments have terminated, Revolving Credit Exposure) under such Facility or Facilities that, taken together,</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7" w:name="page528"/>
    <w:bookmarkEnd w:id="527"/>
    <w:p>
      <w:pPr>
        <w:spacing w:after="0" w:line="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 xml:space="preserve">represent more than 50% of the sum of (x) all Term Loans and (y) all Revolving Commitments (or, if the Revolving Commitments have terminated, Revolving Credit Exposure) under such Facility or Facilities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Term Loans, Revolving Commitments and Revolving Credit Exposure of any Defaulting Lender shall be disregarded in determining Required Facility Lenders at any time.</w:t>
      </w:r>
    </w:p>
    <w:p>
      <w:pPr>
        <w:spacing w:after="0" w:line="117"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Lenders</w:t>
      </w:r>
      <w:r>
        <w:rPr>
          <w:rFonts w:ascii="Times New Roman" w:cs="Times New Roman" w:eastAsia="Times New Roman" w:hAnsi="Times New Roman"/>
          <w:sz w:val="14"/>
          <w:szCs w:val="14"/>
          <w:color w:val="auto"/>
        </w:rPr>
        <w:t xml:space="preserve">” shall mean, at any time, Lenders having Term Loans and Revolving Commitments (or, if the Revolving Commitments have terminated, Revolving Credit Exposure) that, taken together, represent more than 50% of the sum of (x) all Term Loans and (y) all Revolving Commitments (or, if the Revolving Commitments have terminated, Revolving Credit Exposure)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Term Loans, Revolving Commitments and Revolving Credit Exposure of any Defaulting Lender shall be disregarded in determining Required Lenders at any time.</w:t>
      </w:r>
    </w:p>
    <w:p>
      <w:pPr>
        <w:spacing w:after="0" w:line="121"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Percentage</w:t>
      </w:r>
      <w:r>
        <w:rPr>
          <w:rFonts w:ascii="Times New Roman" w:cs="Times New Roman" w:eastAsia="Times New Roman" w:hAnsi="Times New Roman"/>
          <w:sz w:val="14"/>
          <w:szCs w:val="14"/>
          <w:color w:val="auto"/>
        </w:rPr>
        <w:t xml:space="preserve">” shall mean, with respect to any Excess Cash Flow Period, 50%;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the First Lien Secured Net Leverage Ratio as of the end of such Excess Cash Flow Period is (x) less than or equal to 2.15 to 1.00 but greater than 1.65 to 1.00, such percentage shall be 25% or (y) less than or equal to 1.65 to 1.00, such percentage shall be 0%.</w:t>
      </w:r>
    </w:p>
    <w:p>
      <w:pPr>
        <w:spacing w:after="0" w:line="117" w:lineRule="exact"/>
        <w:rPr>
          <w:sz w:val="20"/>
          <w:szCs w:val="20"/>
          <w:color w:val="auto"/>
        </w:rPr>
      </w:pPr>
    </w:p>
    <w:p>
      <w:pPr>
        <w:jc w:val="both"/>
        <w:ind w:right="4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TLA/RCF Lenders</w:t>
      </w:r>
      <w:r>
        <w:rPr>
          <w:rFonts w:ascii="Times New Roman" w:cs="Times New Roman" w:eastAsia="Times New Roman" w:hAnsi="Times New Roman"/>
          <w:sz w:val="14"/>
          <w:szCs w:val="14"/>
          <w:color w:val="auto"/>
        </w:rPr>
        <w:t xml:space="preserve">” shall mean, at any time, Lenders having Term A Loans and Revolving Commitments (or, if the Revolving Commitments have terminated, Revolving Credit Exposure) that, taken together, represent more than 50% of the sum of (x) all Term A Loans and (y) all Revolving Commitments (or, if the Revolving Commitments have terminated, Revolving Credit Exposure)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Term A Loans, Revolving Commitments and Revolving Credit Exposure of any Defaulting Lender shall be disregarded in determining Required TLA/RCF Lenders at any time.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Resolution Authority</w:t>
      </w:r>
      <w:r>
        <w:rPr>
          <w:rFonts w:ascii="Times New Roman" w:cs="Times New Roman" w:eastAsia="Times New Roman" w:hAnsi="Times New Roman"/>
          <w:sz w:val="14"/>
          <w:szCs w:val="14"/>
          <w:color w:val="auto"/>
        </w:rPr>
        <w:t>” shall mean an EEA Resolution Authority or, with respect to any UK Financial Institution, a UK Resolution Authority.</w:t>
      </w:r>
    </w:p>
    <w:p>
      <w:pPr>
        <w:spacing w:after="0" w:line="163" w:lineRule="exact"/>
        <w:rPr>
          <w:sz w:val="20"/>
          <w:szCs w:val="20"/>
          <w:color w:val="auto"/>
        </w:rPr>
      </w:pPr>
    </w:p>
    <w:p>
      <w:pPr>
        <w:jc w:val="both"/>
        <w:ind w:right="20"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of any Loan Party shall mean the chief executive officer, president, senior vice president, vice president, chief financial officer, treasurer or controller of such Loan Party or, in the case of a Foreign Guarantor, any duly appointed authorized signatory or any director or managing member of such person that has been designated in writing by the Parent as being so authorized, and solely for purposes of notices given pursuant to Article II, any other officer or employees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w:t>
      </w:r>
    </w:p>
    <w:p>
      <w:pPr>
        <w:spacing w:after="0" w:line="12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Margin Stock</w:t>
      </w:r>
      <w:r>
        <w:rPr>
          <w:rFonts w:ascii="Times New Roman" w:cs="Times New Roman" w:eastAsia="Times New Roman" w:hAnsi="Times New Roman"/>
          <w:sz w:val="14"/>
          <w:szCs w:val="14"/>
          <w:color w:val="auto"/>
        </w:rPr>
        <w:t>” shall mean any Margin Stock owned by the Parent or a Subsidiary the value of which (determined in accordance with clause (2)(i) of the definition of “indirectly secured” set forth in Regulation U) represents not more than 25% of the value of the assets of the Parent and the Subsidiaries (determined in accordance with clause (2)(i) of the definition of “indirectly secured” set forth in Regulation U).</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Payments</w:t>
      </w:r>
      <w:r>
        <w:rPr>
          <w:rFonts w:ascii="Times New Roman" w:cs="Times New Roman" w:eastAsia="Times New Roman" w:hAnsi="Times New Roman"/>
          <w:sz w:val="14"/>
          <w:szCs w:val="14"/>
          <w:color w:val="auto"/>
        </w:rPr>
        <w:t>” shall have the meaning assigned to such term in Section 6.06.</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Return of Scheduled Equity</w:t>
      </w:r>
      <w:r>
        <w:rPr>
          <w:rFonts w:ascii="Times New Roman" w:cs="Times New Roman" w:eastAsia="Times New Roman" w:hAnsi="Times New Roman"/>
          <w:sz w:val="14"/>
          <w:szCs w:val="14"/>
          <w:color w:val="auto"/>
        </w:rPr>
        <w:t>” shall have the meaning assigned to such term in Section 6.04(b).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Commitments</w:t>
      </w:r>
      <w:r>
        <w:rPr>
          <w:rFonts w:ascii="Times New Roman" w:cs="Times New Roman" w:eastAsia="Times New Roman" w:hAnsi="Times New Roman"/>
          <w:sz w:val="14"/>
          <w:szCs w:val="14"/>
          <w:color w:val="auto"/>
        </w:rPr>
        <w:t>” shall mean the Initial Revolving Commitments, the Ancillary Commitments and any Other Revolving Commitments.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8" w:name="page529"/>
    <w:bookmarkEnd w:id="528"/>
    <w:p>
      <w:pPr>
        <w:spacing w:after="0" w:line="34"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Credit Exposure</w:t>
      </w:r>
      <w:r>
        <w:rPr>
          <w:rFonts w:ascii="Times New Roman" w:cs="Times New Roman" w:eastAsia="Times New Roman" w:hAnsi="Times New Roman"/>
          <w:sz w:val="14"/>
          <w:szCs w:val="14"/>
          <w:color w:val="auto"/>
        </w:rPr>
        <w:t>” shall mean, at any time with respect to any Class of Revolving Commitments, the sum of (a) the aggregate principal amount of the Revolving Loans of such Class outstanding at such time and (b) the Revolving L/C Exposure applicable to such Class at such time. The Revolving Credit Exposure of any Revolving Lender at any time shall be the product of (x) such Revolving Lender’s Revolving Facility Percentage of the applicable Class and (y) the aggregate Revolving Credit Exposure of all Revolving Lenders of such Class, collectively, at such time.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Facility</w:t>
      </w:r>
      <w:r>
        <w:rPr>
          <w:rFonts w:ascii="Times New Roman" w:cs="Times New Roman" w:eastAsia="Times New Roman" w:hAnsi="Times New Roman"/>
          <w:sz w:val="14"/>
          <w:szCs w:val="14"/>
          <w:color w:val="auto"/>
        </w:rPr>
        <w:t>” shall mean the Revolving Commitments of any Class and the extensions of credit made thereunder.</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Facility Percentage</w:t>
      </w:r>
      <w:r>
        <w:rPr>
          <w:rFonts w:ascii="Times New Roman" w:cs="Times New Roman" w:eastAsia="Times New Roman" w:hAnsi="Times New Roman"/>
          <w:sz w:val="14"/>
          <w:szCs w:val="14"/>
          <w:color w:val="auto"/>
        </w:rPr>
        <w:t>” shall mean, with respect to any Revolving Lender of any Class, the percentage of the total Revolving Commitments of such Class represented by such Lender’s Revolving Commitment of such Class. If the Revolving Commitments of such Class have terminated or expired, the Revolving Facility Percentages of such Class shall be determined based upon the Revolving Commitments of such Class most recently in effect, giving effect to any assignments pursuant to Section 9.04.</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Facility Termination Event</w:t>
      </w:r>
      <w:r>
        <w:rPr>
          <w:rFonts w:ascii="Times New Roman" w:cs="Times New Roman" w:eastAsia="Times New Roman" w:hAnsi="Times New Roman"/>
          <w:sz w:val="14"/>
          <w:szCs w:val="14"/>
          <w:color w:val="auto"/>
        </w:rPr>
        <w:t>” shall have the meaning assigned to such term in Section 2.05(k).</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L/C Exposure</w:t>
      </w:r>
      <w:r>
        <w:rPr>
          <w:rFonts w:ascii="Times New Roman" w:cs="Times New Roman" w:eastAsia="Times New Roman" w:hAnsi="Times New Roman"/>
          <w:sz w:val="14"/>
          <w:szCs w:val="14"/>
          <w:color w:val="auto"/>
        </w:rPr>
        <w:t>” shall mean, with respect to any Revolving Facility, the aggregate L/C Obligations under such Revolving Facility at such time. The Revolving L/C Exposure of any Revolving Lender under any Revolving Facility at any time shall mean its applicable Revolving Facility Percentage of the aggregate Revolving L/C Exposure under such Revolving Facility at such time.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Lender</w:t>
      </w:r>
      <w:r>
        <w:rPr>
          <w:rFonts w:ascii="Times New Roman" w:cs="Times New Roman" w:eastAsia="Times New Roman" w:hAnsi="Times New Roman"/>
          <w:sz w:val="14"/>
          <w:szCs w:val="14"/>
          <w:color w:val="auto"/>
        </w:rPr>
        <w:t>” shall mean a Lender with a Revolving Commitment or with outstanding Revolving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Loans</w:t>
      </w:r>
      <w:r>
        <w:rPr>
          <w:rFonts w:ascii="Times New Roman" w:cs="Times New Roman" w:eastAsia="Times New Roman" w:hAnsi="Times New Roman"/>
          <w:sz w:val="14"/>
          <w:szCs w:val="14"/>
          <w:color w:val="auto"/>
        </w:rPr>
        <w:t>” shall mean the Initial Revolving Loans, the Ancillary Outstandings and the Other Revolving Loans.</w:t>
      </w:r>
    </w:p>
    <w:p>
      <w:pPr>
        <w:spacing w:after="0" w:line="163"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Royalty Contract</w:t>
      </w:r>
      <w:r>
        <w:rPr>
          <w:rFonts w:ascii="Times New Roman" w:cs="Times New Roman" w:eastAsia="Times New Roman" w:hAnsi="Times New Roman"/>
          <w:sz w:val="14"/>
          <w:szCs w:val="14"/>
          <w:color w:val="auto"/>
        </w:rPr>
        <w:t>” shall mean any agreement between the Parent or any of its Subsidiaries and a third party whereby the Parent or any of its Subsidiaries licenses or grants to a third party the right to use, or a covenant not to sue or enforce in respect of, Intellectual Property for consideration of licensing payments, royalties, earnouts, upfront payments, collaboration payments, milestone payments, contingent payments, back-end payments, profit sharing, other deferred payments or any other rights to payment of any kind.</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shall mean Standard &amp; Poor’s Financial Services LLC, a subsidiary of S&amp;P Global Inc.</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Sanctioned Territory</w:t>
      </w:r>
      <w:r>
        <w:rPr>
          <w:rFonts w:ascii="Times New Roman" w:cs="Times New Roman" w:eastAsia="Times New Roman" w:hAnsi="Times New Roman"/>
          <w:sz w:val="14"/>
          <w:szCs w:val="14"/>
          <w:color w:val="auto"/>
        </w:rPr>
        <w:t>” shall mean, at any time, a country or territory which is, or whose government is, the target of comprehensive Sanctions Laws (being, as at the date of this Agreement, the so-called Donetsk People’s Republic, the so-called Luhansk People’s Republic, the Crimea region of Ukraine, the Zaporizhzhia province of Ukraine, the Kherson province of Ukraine, Cuba, Iran and North Korea).</w:t>
      </w:r>
    </w:p>
    <w:p>
      <w:pPr>
        <w:spacing w:after="0" w:line="117"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 Authority</w:t>
      </w:r>
      <w:r>
        <w:rPr>
          <w:rFonts w:ascii="Times New Roman" w:cs="Times New Roman" w:eastAsia="Times New Roman" w:hAnsi="Times New Roman"/>
          <w:sz w:val="14"/>
          <w:szCs w:val="14"/>
          <w:color w:val="auto"/>
        </w:rPr>
        <w:t>” shall mean (i) the United States, (ii) the European Union, (iii) the United Kingdom, (iv) the United Nations and (v) the governments and official institutions or agencies of any of (i) to (iv), including but not limited to the Office of Foreign Assets Control of the U.S. Department</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29" w:name="page530"/>
    <w:bookmarkEnd w:id="529"/>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Treasury, the U.S. Department of State and the U.S. Department of Commerce, HMT and the U.K. Department of Business Innovation and Skills.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 Laws</w:t>
      </w:r>
      <w:r>
        <w:rPr>
          <w:rFonts w:ascii="Times New Roman" w:cs="Times New Roman" w:eastAsia="Times New Roman" w:hAnsi="Times New Roman"/>
          <w:sz w:val="14"/>
          <w:szCs w:val="14"/>
          <w:color w:val="auto"/>
        </w:rPr>
        <w:t>” shall mean the economic sanctions laws, regulations, embargoes or restrictive measures administered, enacted or enforced by any Sanctions Authority.</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 Restricted Person</w:t>
      </w:r>
      <w:r>
        <w:rPr>
          <w:rFonts w:ascii="Times New Roman" w:cs="Times New Roman" w:eastAsia="Times New Roman" w:hAnsi="Times New Roman"/>
          <w:sz w:val="14"/>
          <w:szCs w:val="14"/>
          <w:color w:val="auto"/>
        </w:rPr>
        <w:t>” shall mean a person that is: (i) designated on any list maintained by any Sanctions Authority; (ii) located in or resident in or organized under the laws of Sanctioned Territory; (iii) otherwise the target of any Sanctions Law; or (iv) owned or controlled (as defined in the relevant Sanctions Law) by a person falling within (i), (ii) or (iii).</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Scheduled Loans</w:t>
      </w:r>
      <w:r>
        <w:rPr>
          <w:rFonts w:ascii="Times New Roman" w:cs="Times New Roman" w:eastAsia="Times New Roman" w:hAnsi="Times New Roman"/>
          <w:sz w:val="14"/>
          <w:szCs w:val="14"/>
          <w:color w:val="auto"/>
        </w:rPr>
        <w:t>” shall have the meaning assigned to such term in Section 6.04(b).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shall mean the Securities and Exchange Commission.</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Cash Management Agreement</w:t>
      </w:r>
      <w:r>
        <w:rPr>
          <w:rFonts w:ascii="Times New Roman" w:cs="Times New Roman" w:eastAsia="Times New Roman" w:hAnsi="Times New Roman"/>
          <w:sz w:val="14"/>
          <w:szCs w:val="14"/>
          <w:color w:val="auto"/>
        </w:rPr>
        <w:t xml:space="preserve"> ” shall mean any Cash Management Agreement that is entered into by and between the Parent or any Subsidiary and any Cash Management Bank, including any such Cash Management Agreement that is in effect on the Closing Date, unless, when entered into, such Secured Cash Management Agreement is designated in writing by the Parent and such Cash Management Bank to the Administrative Agent to not be included as a Secured Cash Management Agreement.</w:t>
      </w:r>
    </w:p>
    <w:p>
      <w:pPr>
        <w:spacing w:after="0" w:line="117"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Hedge Agreement</w:t>
      </w:r>
      <w:r>
        <w:rPr>
          <w:rFonts w:ascii="Times New Roman" w:cs="Times New Roman" w:eastAsia="Times New Roman" w:hAnsi="Times New Roman"/>
          <w:sz w:val="14"/>
          <w:szCs w:val="14"/>
          <w:color w:val="auto"/>
        </w:rPr>
        <w:t>” shall mean any Hedging Agreement that is entered into by and between any Loan Party and any Hedge Bank, including any such Hedging Agreement that is in effect on the Closing Date, unless, when entered into, such Secured Hedge Agreement is designated in writing by the Parent and such Hedge Bank to the Administrative Agent to not be included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Guarantors.</w:t>
      </w:r>
    </w:p>
    <w:p>
      <w:pPr>
        <w:spacing w:after="0" w:line="121"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Net Leverage Ratio</w:t>
      </w:r>
      <w:r>
        <w:rPr>
          <w:rFonts w:ascii="Times New Roman" w:cs="Times New Roman" w:eastAsia="Times New Roman" w:hAnsi="Times New Roman"/>
          <w:sz w:val="14"/>
          <w:szCs w:val="14"/>
          <w:color w:val="auto"/>
        </w:rPr>
        <w:t>” shall mean, as of any date of determination, the ratio of (a) (i) Consolidated Secured Debt as of such date less (ii) the Unrestricted Cash Amount as of such date to (b) Adjusted Consolidated EBITDA for the most recently ended Test Period.</w:t>
      </w:r>
    </w:p>
    <w:p>
      <w:pPr>
        <w:spacing w:after="0" w:line="105"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Notes</w:t>
      </w:r>
      <w:r>
        <w:rPr>
          <w:rFonts w:ascii="Times New Roman" w:cs="Times New Roman" w:eastAsia="Times New Roman" w:hAnsi="Times New Roman"/>
          <w:sz w:val="14"/>
          <w:szCs w:val="14"/>
          <w:color w:val="auto"/>
        </w:rPr>
        <w:t>” shall mean the $1,500,000,000 of 6.250% senior secured notes due 2032 issued by the Parent and the U.S. Co-Borrower. For the avoidance of doubt, Secured Notes shall not include any “additional notes” issued under the terms of the Secured Notes Indenture.</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Notes Indenture</w:t>
      </w:r>
      <w:r>
        <w:rPr>
          <w:rFonts w:ascii="Times New Roman" w:cs="Times New Roman" w:eastAsia="Times New Roman" w:hAnsi="Times New Roman"/>
          <w:sz w:val="14"/>
          <w:szCs w:val="14"/>
          <w:color w:val="auto"/>
        </w:rPr>
        <w:t>” shall mean the Indenture, dated as of December 3, 2025, among the Parent and the U.S. Co-Borrower, as issuers, and Wilmington Trust, National Association, as trustee and collateral trustee, governing the Secured Notes.</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Parties</w:t>
      </w:r>
      <w:r>
        <w:rPr>
          <w:rFonts w:ascii="Times New Roman" w:cs="Times New Roman" w:eastAsia="Times New Roman" w:hAnsi="Times New Roman"/>
          <w:sz w:val="14"/>
          <w:szCs w:val="14"/>
          <w:color w:val="auto"/>
        </w:rPr>
        <w:t>” shall mean, collectively, the Administrative Agent, the Collateral Agent, each Lender, each Issuing Bank, each Hedge Bank that is party to any Secured Hedge Agreement, each Cash Management Bank that is party to any Secured Cash Management Agreement and each subagent appointed pursuant to Section 8.03 by an Agent with respect to matters relating to the Loan Documents.</w:t>
      </w:r>
    </w:p>
    <w:p>
      <w:pPr>
        <w:spacing w:after="0" w:line="117"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Documents</w:t>
      </w:r>
      <w:r>
        <w:rPr>
          <w:rFonts w:ascii="Times New Roman" w:cs="Times New Roman" w:eastAsia="Times New Roman" w:hAnsi="Times New Roman"/>
          <w:sz w:val="14"/>
          <w:szCs w:val="14"/>
          <w:color w:val="auto"/>
        </w:rPr>
        <w:t>” shall mean the U.S. Collateral Agreement, the Closing Date Foreign Collateral Documents, each Notice of Grant of Security Interest in Intellectual Property (as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530" w:name="page531"/>
    <w:bookmarkEnd w:id="530"/>
    <w:p>
      <w:pPr>
        <w:spacing w:after="0" w:line="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4"/>
          <w:szCs w:val="14"/>
          <w:color w:val="auto"/>
        </w:rPr>
        <w:t>defined in the U.S. Collateral Agreement), the Mortgages, if any, and each other security agreement, pledge agreement or other instruments or documents executed and delivered pursuant to the foregoing or entered into or delivered after the Closing Date to the extent required by this Agreement or any other Loan Document.</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Notes</w:t>
      </w:r>
      <w:r>
        <w:rPr>
          <w:rFonts w:ascii="Times New Roman" w:cs="Times New Roman" w:eastAsia="Times New Roman" w:hAnsi="Times New Roman"/>
          <w:sz w:val="14"/>
          <w:szCs w:val="14"/>
          <w:color w:val="auto"/>
        </w:rPr>
        <w:t>” shall mean the Secured Notes and the Unsecured Notes.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Notes Indentures</w:t>
      </w:r>
      <w:r>
        <w:rPr>
          <w:rFonts w:ascii="Times New Roman" w:cs="Times New Roman" w:eastAsia="Times New Roman" w:hAnsi="Times New Roman"/>
          <w:sz w:val="14"/>
          <w:szCs w:val="14"/>
          <w:color w:val="auto"/>
        </w:rPr>
        <w:t>” shall mean the Secured Notes Indenture and the Unsecured Notes Indenture.</w:t>
      </w:r>
    </w:p>
    <w:p>
      <w:pPr>
        <w:spacing w:after="0" w:line="163"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Similar Business</w:t>
      </w:r>
      <w:r>
        <w:rPr>
          <w:rFonts w:ascii="Times New Roman" w:cs="Times New Roman" w:eastAsia="Times New Roman" w:hAnsi="Times New Roman"/>
          <w:sz w:val="14"/>
          <w:szCs w:val="14"/>
          <w:color w:val="auto"/>
        </w:rPr>
        <w:t>” shall mean (a) any business the majority of whose revenues are derived from business or activities conducted by the Parent and the Subsidiaries on the Closing Date, (b) any business that is a natural outgrowth or reasonable extension, development or expansion of any such business or any business similar, reasonably related, incidental, complementary or ancillary to any of the foregoing or (c) any business that in the Parent’s good faith business judgment constitutes a reasonable diversification of businesses conducted by the Parent and the Subsidiaries.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w:t>
      </w:r>
      <w:r>
        <w:rPr>
          <w:rFonts w:ascii="Times New Roman" w:cs="Times New Roman" w:eastAsia="Times New Roman" w:hAnsi="Times New Roman"/>
          <w:sz w:val="14"/>
          <w:szCs w:val="14"/>
          <w:color w:val="auto"/>
        </w:rPr>
        <w:t>” shall mean a rate equal to the secured overnight financing rate as administered by the SOFR Administrator.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Administrator</w:t>
      </w:r>
      <w:r>
        <w:rPr>
          <w:rFonts w:ascii="Times New Roman" w:cs="Times New Roman" w:eastAsia="Times New Roman" w:hAnsi="Times New Roman"/>
          <w:sz w:val="14"/>
          <w:szCs w:val="14"/>
          <w:color w:val="auto"/>
        </w:rPr>
        <w:t>” shall mean the Federal Reserve Bank of New York (or a successor administrator of the secured overnight financing rate).</w:t>
      </w:r>
    </w:p>
    <w:p>
      <w:pPr>
        <w:spacing w:after="0" w:line="163"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Administrator’s Website</w:t>
      </w:r>
      <w:r>
        <w:rPr>
          <w:rFonts w:ascii="Times New Roman" w:cs="Times New Roman" w:eastAsia="Times New Roman" w:hAnsi="Times New Roman"/>
          <w:sz w:val="14"/>
          <w:szCs w:val="14"/>
          <w:color w:val="auto"/>
        </w:rPr>
        <w:t>” shall mean the website of the Federal Reserve Bank of New York, currently at http://www.newyorkfed.org, or any successor source for the secured overnight financing rate identified as such by the SOFR Administrator from time to time.</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“Special Flood Hazard Area” shall mean a “special flood hazard area” as designated by the United States Federal Emergency Management Agency or its successor.</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Acquisition</w:t>
      </w:r>
      <w:r>
        <w:rPr>
          <w:rFonts w:ascii="Times New Roman" w:cs="Times New Roman" w:eastAsia="Times New Roman" w:hAnsi="Times New Roman"/>
          <w:sz w:val="14"/>
          <w:szCs w:val="14"/>
          <w:color w:val="auto"/>
        </w:rPr>
        <w:t>” shall mean any acquisition that is either (a) not permitted by this Agreement immediately prior to the consummation of such acquisition or (b) if permitted by this Agreement immediately prior to the consummation of such acquisition, would not provide the Parent and the Subsidiaries with adequate flexibility under this Agreement for the continuation and/or expansion of their combined operations following such consummation, as determined by the Parent acting in good faith.</w:t>
      </w:r>
    </w:p>
    <w:p>
      <w:pPr>
        <w:spacing w:after="0" w:line="117" w:lineRule="exact"/>
        <w:rPr>
          <w:sz w:val="20"/>
          <w:szCs w:val="20"/>
          <w:color w:val="auto"/>
        </w:rPr>
      </w:pPr>
    </w:p>
    <w:p>
      <w:pPr>
        <w:jc w:val="both"/>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Representations</w:t>
      </w:r>
      <w:r>
        <w:rPr>
          <w:rFonts w:ascii="Times New Roman" w:cs="Times New Roman" w:eastAsia="Times New Roman" w:hAnsi="Times New Roman"/>
          <w:sz w:val="14"/>
          <w:szCs w:val="14"/>
          <w:color w:val="auto"/>
        </w:rPr>
        <w:t>” shall mean those representations and warranties set forth in Sections 3.01(a), 3.01(d), 3.02(a), 3.02(b)(i)(B), 3.03, 3.10, 3.11, 3.17, 3.18 and 3.23 (solely as such representation relates to use of proceeds of Loans made on the Closing Date).</w:t>
      </w:r>
    </w:p>
    <w:p>
      <w:pPr>
        <w:spacing w:after="0" w:line="105"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Standard Securitization Undertakings</w:t>
      </w:r>
      <w:r>
        <w:rPr>
          <w:rFonts w:ascii="Times New Roman" w:cs="Times New Roman" w:eastAsia="Times New Roman" w:hAnsi="Times New Roman"/>
          <w:sz w:val="14"/>
          <w:szCs w:val="14"/>
          <w:color w:val="auto"/>
        </w:rPr>
        <w:t>” shall mean representations, warranties, covenants, indemnities and guarantees of performance entered into by the Parent or any Subsidiary in connection with a Qualified Receivables Facility which are reasonably customary (as determined in good faith by the Parent) in an accounts receivable financing transaction in the commercial paper, term securitization or structured lending market.</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Step-Up Letter of Credit</w:t>
      </w:r>
      <w:r>
        <w:rPr>
          <w:rFonts w:ascii="Times New Roman" w:cs="Times New Roman" w:eastAsia="Times New Roman" w:hAnsi="Times New Roman"/>
          <w:sz w:val="14"/>
          <w:szCs w:val="14"/>
          <w:color w:val="auto"/>
        </w:rPr>
        <w:t>” shall have the meaning assigned to such term in Section 1.10.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531" w:name="page532"/>
    <w:bookmarkEnd w:id="531"/>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Subject Transaction</w:t>
      </w:r>
      <w:r>
        <w:rPr>
          <w:rFonts w:ascii="Times New Roman" w:cs="Times New Roman" w:eastAsia="Times New Roman" w:hAnsi="Times New Roman"/>
          <w:sz w:val="14"/>
          <w:szCs w:val="14"/>
          <w:color w:val="auto"/>
        </w:rPr>
        <w:t>” shall have the meaning assigned to such term in the definition of “Pro Forma Basis”.</w:t>
      </w:r>
    </w:p>
    <w:p>
      <w:pPr>
        <w:spacing w:after="0" w:line="163"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shall mean, with respect to any person (referred to in this definition as the “parent”), any corporation, limited liability company,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 Unless otherwise specified, “subsidiary” shall mean any subsidiary of the Parent.</w:t>
      </w:r>
    </w:p>
    <w:p>
      <w:pPr>
        <w:spacing w:after="0" w:line="12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shall mean, with respect to any person, any subsidiary of such person that is not an Unrestricted Subsidiary. Unless otherwise indicated herein, all references to Subsidiaries shall mean Subsidiaries of the Parent (including the U.S. Co-Borrower).</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 Redesignation</w:t>
      </w:r>
      <w:r>
        <w:rPr>
          <w:rFonts w:ascii="Times New Roman" w:cs="Times New Roman" w:eastAsia="Times New Roman" w:hAnsi="Times New Roman"/>
          <w:sz w:val="14"/>
          <w:szCs w:val="14"/>
          <w:color w:val="auto"/>
        </w:rPr>
        <w:t>” shall have the meaning assigned to such term in Section 5.12(b).</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Successor Borrower</w:t>
      </w:r>
      <w:r>
        <w:rPr>
          <w:rFonts w:ascii="Times New Roman" w:cs="Times New Roman" w:eastAsia="Times New Roman" w:hAnsi="Times New Roman"/>
          <w:sz w:val="14"/>
          <w:szCs w:val="14"/>
          <w:color w:val="auto"/>
        </w:rPr>
        <w:t>” shall have the meaning assigned to such term in Section 6.05(n).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Successor Borrower Transaction</w:t>
      </w:r>
      <w:r>
        <w:rPr>
          <w:rFonts w:ascii="Times New Roman" w:cs="Times New Roman" w:eastAsia="Times New Roman" w:hAnsi="Times New Roman"/>
          <w:sz w:val="14"/>
          <w:szCs w:val="14"/>
          <w:color w:val="auto"/>
        </w:rPr>
        <w:t>” shall have the meaning assigned to such term in Section 6.05(n).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Successor Borrower Transaction Notice</w:t>
      </w:r>
      <w:r>
        <w:rPr>
          <w:rFonts w:ascii="Times New Roman" w:cs="Times New Roman" w:eastAsia="Times New Roman" w:hAnsi="Times New Roman"/>
          <w:sz w:val="14"/>
          <w:szCs w:val="14"/>
          <w:color w:val="auto"/>
        </w:rPr>
        <w:t>” shall have the meaning assigned to such term in Section 6.05(n).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Supplier</w:t>
      </w:r>
      <w:r>
        <w:rPr>
          <w:rFonts w:ascii="Times New Roman" w:cs="Times New Roman" w:eastAsia="Times New Roman" w:hAnsi="Times New Roman"/>
          <w:sz w:val="14"/>
          <w:szCs w:val="14"/>
          <w:color w:val="auto"/>
        </w:rPr>
        <w:t>” shall have the meaning assigned to such term in Section 2.17(g)(ii).</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Supported QFC</w:t>
      </w:r>
      <w:r>
        <w:rPr>
          <w:rFonts w:ascii="Times New Roman" w:cs="Times New Roman" w:eastAsia="Times New Roman" w:hAnsi="Times New Roman"/>
          <w:sz w:val="14"/>
          <w:szCs w:val="14"/>
          <w:color w:val="auto"/>
        </w:rPr>
        <w:t>” shall have the meaning assigned to such term in Section 9.23.</w:t>
      </w:r>
    </w:p>
    <w:p>
      <w:pPr>
        <w:spacing w:after="0" w:line="163" w:lineRule="exact"/>
        <w:rPr>
          <w:sz w:val="20"/>
          <w:szCs w:val="20"/>
          <w:color w:val="auto"/>
        </w:rPr>
      </w:pPr>
    </w:p>
    <w:p>
      <w:pPr>
        <w:jc w:val="both"/>
        <w:ind w:firstLine="914"/>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Contract</w:t>
      </w:r>
      <w:r>
        <w:rPr>
          <w:rFonts w:ascii="Times New Roman" w:cs="Times New Roman" w:eastAsia="Times New Roman" w:hAnsi="Times New Roman"/>
          <w:sz w:val="14"/>
          <w:szCs w:val="14"/>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4"/>
          <w:szCs w:val="14"/>
          <w:u w:val="single" w:color="auto"/>
          <w:color w:val="auto"/>
        </w:rPr>
        <w:t>Master Agreement</w:t>
      </w:r>
      <w:r>
        <w:rPr>
          <w:rFonts w:ascii="Times New Roman" w:cs="Times New Roman" w:eastAsia="Times New Roman" w:hAnsi="Times New Roman"/>
          <w:sz w:val="14"/>
          <w:szCs w:val="14"/>
          <w:color w:val="auto"/>
        </w:rPr>
        <w:t>”), including any such obligations or liabilities under any Master Agreement.</w:t>
      </w:r>
    </w:p>
    <w:p>
      <w:pPr>
        <w:spacing w:after="0" w:line="128"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Obligation</w:t>
      </w:r>
      <w:r>
        <w:rPr>
          <w:rFonts w:ascii="Times New Roman" w:cs="Times New Roman" w:eastAsia="Times New Roman" w:hAnsi="Times New Roman"/>
          <w:sz w:val="14"/>
          <w:szCs w:val="14"/>
          <w:color w:val="auto"/>
        </w:rPr>
        <w:t>” shall mean,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32" w:name="page533"/>
    <w:bookmarkEnd w:id="532"/>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T2</w:t>
      </w:r>
      <w:r>
        <w:rPr>
          <w:rFonts w:ascii="Times New Roman" w:cs="Times New Roman" w:eastAsia="Times New Roman" w:hAnsi="Times New Roman"/>
          <w:sz w:val="14"/>
          <w:szCs w:val="14"/>
          <w:color w:val="auto"/>
        </w:rPr>
        <w:t>” shall mean the the real time gross settlement system operated by the Eurosystem or any successor or replacement of that system.</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T2 Day</w:t>
      </w:r>
      <w:r>
        <w:rPr>
          <w:rFonts w:ascii="Times New Roman" w:cs="Times New Roman" w:eastAsia="Times New Roman" w:hAnsi="Times New Roman"/>
          <w:sz w:val="14"/>
          <w:szCs w:val="14"/>
          <w:color w:val="auto"/>
        </w:rPr>
        <w:t>” shall mean any day on which T2 is open for the settlement of payments in euro.</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shall mean present or future taxes, duties, levies, imposts, assessments, deductions, withholdings (including backup withholding), fees or other charges imposed by any Governmental Authority, whether computed on a separate, consolidated, unitary, combined or other basis and any interest, fines, penalties or additions to tax with respect to the foregoing.</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A Lender</w:t>
      </w:r>
      <w:r>
        <w:rPr>
          <w:rFonts w:ascii="Times New Roman" w:cs="Times New Roman" w:eastAsia="Times New Roman" w:hAnsi="Times New Roman"/>
          <w:sz w:val="14"/>
          <w:szCs w:val="14"/>
          <w:color w:val="auto"/>
        </w:rPr>
        <w:t>” shall mean a Lender with Term A Loans or commitments in respect thereof.</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A Loans</w:t>
      </w:r>
      <w:r>
        <w:rPr>
          <w:rFonts w:ascii="Times New Roman" w:cs="Times New Roman" w:eastAsia="Times New Roman" w:hAnsi="Times New Roman"/>
          <w:sz w:val="14"/>
          <w:szCs w:val="14"/>
          <w:color w:val="auto"/>
        </w:rPr>
        <w:t>” shall mean the Initial Term A Loans and any Other Term A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B Lender</w:t>
      </w:r>
      <w:r>
        <w:rPr>
          <w:rFonts w:ascii="Times New Roman" w:cs="Times New Roman" w:eastAsia="Times New Roman" w:hAnsi="Times New Roman"/>
          <w:sz w:val="14"/>
          <w:szCs w:val="14"/>
          <w:color w:val="auto"/>
        </w:rPr>
        <w:t>” shall mean a Lender with Term B Loans or commitments in respect thereof.</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B Loans</w:t>
      </w:r>
      <w:r>
        <w:rPr>
          <w:rFonts w:ascii="Times New Roman" w:cs="Times New Roman" w:eastAsia="Times New Roman" w:hAnsi="Times New Roman"/>
          <w:sz w:val="14"/>
          <w:szCs w:val="14"/>
          <w:color w:val="auto"/>
        </w:rPr>
        <w:t>” shall mean the Initial Term B Loans and any Other Term B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Commitments</w:t>
      </w:r>
      <w:r>
        <w:rPr>
          <w:rFonts w:ascii="Times New Roman" w:cs="Times New Roman" w:eastAsia="Times New Roman" w:hAnsi="Times New Roman"/>
          <w:sz w:val="14"/>
          <w:szCs w:val="14"/>
          <w:color w:val="auto"/>
        </w:rPr>
        <w:t>” shall mean the Initial Term A Commitments, the Initial Term B Commitments and any Other Term Commitments.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Facility</w:t>
      </w:r>
      <w:r>
        <w:rPr>
          <w:rFonts w:ascii="Times New Roman" w:cs="Times New Roman" w:eastAsia="Times New Roman" w:hAnsi="Times New Roman"/>
          <w:sz w:val="14"/>
          <w:szCs w:val="14"/>
          <w:color w:val="auto"/>
        </w:rPr>
        <w:t>” shall mean the Term Commitments and Term Loans of any Class.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Lender</w:t>
      </w:r>
      <w:r>
        <w:rPr>
          <w:rFonts w:ascii="Times New Roman" w:cs="Times New Roman" w:eastAsia="Times New Roman" w:hAnsi="Times New Roman"/>
          <w:sz w:val="14"/>
          <w:szCs w:val="14"/>
          <w:color w:val="auto"/>
        </w:rPr>
        <w:t>” shall mean a Lender with a Term Commitment or with outstanding Term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Loan Installment Date</w:t>
      </w:r>
      <w:r>
        <w:rPr>
          <w:rFonts w:ascii="Times New Roman" w:cs="Times New Roman" w:eastAsia="Times New Roman" w:hAnsi="Times New Roman"/>
          <w:sz w:val="14"/>
          <w:szCs w:val="14"/>
          <w:color w:val="auto"/>
        </w:rPr>
        <w:t>” shall mean any Initial Term A Loan Installment Date, any Initial Term B Loan Installment Date and any Other Term Loan Installment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Loans</w:t>
      </w:r>
      <w:r>
        <w:rPr>
          <w:rFonts w:ascii="Times New Roman" w:cs="Times New Roman" w:eastAsia="Times New Roman" w:hAnsi="Times New Roman"/>
          <w:sz w:val="14"/>
          <w:szCs w:val="14"/>
          <w:color w:val="auto"/>
        </w:rPr>
        <w:t>” shall mean the Initial Term A Loans, the Initial Term B Loans and the Other Term Loans.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w:t>
      </w:r>
      <w:r>
        <w:rPr>
          <w:rFonts w:ascii="Times New Roman" w:cs="Times New Roman" w:eastAsia="Times New Roman" w:hAnsi="Times New Roman"/>
          <w:sz w:val="14"/>
          <w:szCs w:val="14"/>
          <w:color w:val="auto"/>
        </w:rPr>
        <w:t>” shall mean,</w:t>
      </w:r>
    </w:p>
    <w:p>
      <w:pPr>
        <w:spacing w:after="0" w:line="163" w:lineRule="exact"/>
        <w:rPr>
          <w:sz w:val="20"/>
          <w:szCs w:val="20"/>
          <w:color w:val="auto"/>
        </w:rPr>
      </w:pPr>
    </w:p>
    <w:p>
      <w:pPr>
        <w:jc w:val="both"/>
        <w:ind w:right="20" w:firstLine="920"/>
        <w:spacing w:after="0" w:line="261" w:lineRule="auto"/>
        <w:tabs>
          <w:tab w:leader="none" w:pos="1244"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4"/>
          <w:szCs w:val="14"/>
          <w:u w:val="single" w:color="auto"/>
          <w:color w:val="auto"/>
        </w:rPr>
        <w:t>Periodic Term SOFR Determination Day</w:t>
      </w:r>
      <w:r>
        <w:rPr>
          <w:rFonts w:ascii="Times New Roman" w:cs="Times New Roman" w:eastAsia="Times New Roman" w:hAnsi="Times New Roman"/>
          <w:sz w:val="14"/>
          <w:szCs w:val="14"/>
          <w:color w:val="auto"/>
        </w:rPr>
        <w:t xml:space="preserve"> ”) that is two U.S. Government Securities Business Days prior to the first day of such Interest Period, as such rate is published by the Term SOFR Administrator;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33" w:name="page534"/>
    <w:bookmarkEnd w:id="533"/>
    <w:p>
      <w:pPr>
        <w:spacing w:after="0" w:line="34" w:lineRule="exact"/>
        <w:rPr>
          <w:sz w:val="20"/>
          <w:szCs w:val="20"/>
          <w:color w:val="auto"/>
        </w:rPr>
      </w:pPr>
    </w:p>
    <w:p>
      <w:pPr>
        <w:jc w:val="both"/>
        <w:ind w:firstLine="920"/>
        <w:spacing w:after="0" w:line="262" w:lineRule="auto"/>
        <w:tabs>
          <w:tab w:leader="none" w:pos="1223"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any calculation with respect to an ABR Loan on any day, the Term SOFR Reference Rate for a tenor of one month on the day (such day, the “ </w:t>
      </w:r>
      <w:r>
        <w:rPr>
          <w:rFonts w:ascii="Times New Roman" w:cs="Times New Roman" w:eastAsia="Times New Roman" w:hAnsi="Times New Roman"/>
          <w:sz w:val="14"/>
          <w:szCs w:val="14"/>
          <w:u w:val="single" w:color="auto"/>
          <w:color w:val="auto"/>
        </w:rPr>
        <w:t>ABR Term SOFR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Determination Day</w:t>
      </w:r>
      <w:r>
        <w:rPr>
          <w:rFonts w:ascii="Times New Roman" w:cs="Times New Roman" w:eastAsia="Times New Roman" w:hAnsi="Times New Roman"/>
          <w:sz w:val="14"/>
          <w:szCs w:val="14"/>
          <w:color w:val="auto"/>
        </w:rPr>
        <w:t xml:space="preserve">”) that is two U.S. Government Securities Business Days prior to such day, as such rate is published by the Term SOFR Administrator;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as of 5:00 p.m.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ABR SOFR Determination Day;</w:t>
      </w:r>
    </w:p>
    <w:p>
      <w:pPr>
        <w:spacing w:after="0" w:line="297"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if Term SOFR determined as provided above (including pursuant to the proviso under clause (a) or clause (b) above) shall ever be less than the Floor, then Term SOFR shall be deemed to be the Floor.</w:t>
      </w:r>
    </w:p>
    <w:p>
      <w:pPr>
        <w:spacing w:after="0" w:line="105"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Administrator</w:t>
      </w:r>
      <w:r>
        <w:rPr>
          <w:rFonts w:ascii="Times New Roman" w:cs="Times New Roman" w:eastAsia="Times New Roman" w:hAnsi="Times New Roman"/>
          <w:sz w:val="14"/>
          <w:szCs w:val="14"/>
          <w:color w:val="auto"/>
        </w:rPr>
        <w:t>” shall mean CME Group Benchmark Administration Limited (CBA) (or a successor administrator of the Term SOFR Reference Rate selected by the Administrative Agent in its reasonable discretion).</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Reference Rate</w:t>
      </w:r>
      <w:r>
        <w:rPr>
          <w:rFonts w:ascii="Times New Roman" w:cs="Times New Roman" w:eastAsia="Times New Roman" w:hAnsi="Times New Roman"/>
          <w:sz w:val="14"/>
          <w:szCs w:val="14"/>
          <w:color w:val="auto"/>
        </w:rPr>
        <w:t>” shall mean the forward-looking term rate based on SOFR.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Yield Differential</w:t>
      </w:r>
      <w:r>
        <w:rPr>
          <w:rFonts w:ascii="Times New Roman" w:cs="Times New Roman" w:eastAsia="Times New Roman" w:hAnsi="Times New Roman"/>
          <w:sz w:val="14"/>
          <w:szCs w:val="14"/>
          <w:color w:val="auto"/>
        </w:rPr>
        <w:t>” shall have the meaning assigned to such term in Section 2.21(b)(v).</w:t>
      </w:r>
    </w:p>
    <w:p>
      <w:pPr>
        <w:spacing w:after="0" w:line="163" w:lineRule="exact"/>
        <w:rPr>
          <w:sz w:val="20"/>
          <w:szCs w:val="20"/>
          <w:color w:val="auto"/>
        </w:rPr>
      </w:pPr>
    </w:p>
    <w:p>
      <w:pPr>
        <w:jc w:val="both"/>
        <w:ind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shall mean the date on which (a) all Commitments shall have been terminated, (b) the principal of and interest on each Loan and L/C Borrowing, all Fees and all other expenses, obligations or amounts payable under any Loan Document and all Loan Obligations shall have been paid in full in cash (other than in respect of contingent indemnification and expense reimbursement claims not then due), (c) all Letters of Credit (other than those that have been Cash Collateralized with the Minimum L/C Collateral Amount in accordance with Section 2.05(k)) have been cancelled or have expired and all amounts drawn or paid thereunder have been reimbursed in full in cash and (d) all letters of credit and bank guarantees issued pursuant to Ancillary Facilities (other than such other letters of credit or bank guarantees which have been, in each case, Cash Collateralized or as to which arrangements satisfactory to such Ancillary Lender that issued such letter of credit or bank guarantee shall have been made) have expired without any pending drawing or been terminated.</w:t>
      </w:r>
    </w:p>
    <w:p>
      <w:pPr>
        <w:spacing w:after="0" w:line="297" w:lineRule="exact"/>
        <w:rPr>
          <w:sz w:val="20"/>
          <w:szCs w:val="20"/>
          <w:color w:val="auto"/>
        </w:rPr>
      </w:pPr>
    </w:p>
    <w:p>
      <w:pPr>
        <w:jc w:val="both"/>
        <w:ind w:firstLine="914"/>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Test Period</w:t>
      </w:r>
      <w:r>
        <w:rPr>
          <w:rFonts w:ascii="Times New Roman" w:cs="Times New Roman" w:eastAsia="Times New Roman" w:hAnsi="Times New Roman"/>
          <w:sz w:val="14"/>
          <w:szCs w:val="14"/>
          <w:color w:val="auto"/>
        </w:rPr>
        <w:t xml:space="preserve">” shall mean, on any date of determination, (a) except for purposes of determining whether there has been a breach of any Financial Covenant, the period of four consecutive fiscal quarters of the Parent then most recently ended (taken as one accounting period) for which financial statements have been (or were required to be) delivered pursuant to Section 5.04(a) or 5.04(b);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prior to the first date financial statements have been delivered pursuant to Section 5.04(a) or 5.04(b), the Test Period in effect shall be the most recently ended full four fiscal quarter period prior to the Closing Date for which financial statements would have been required to be delivered hereunder had the Closing Date occurred prior to the end of such period and (b) for purposes of determining whether there has been a breach of any Financial Covenant, the period of four consecutive fiscal quarters of the Parent ending on the date specified in such Financial Covenant (taken as one accounting period).</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34" w:name="page535"/>
    <w:bookmarkEnd w:id="534"/>
    <w:p>
      <w:pPr>
        <w:spacing w:after="0" w:line="34" w:lineRule="exact"/>
        <w:rPr>
          <w:sz w:val="20"/>
          <w:szCs w:val="20"/>
          <w:color w:val="auto"/>
        </w:rPr>
      </w:pPr>
    </w:p>
    <w:p>
      <w:pPr>
        <w:ind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 Funds</w:t>
      </w:r>
      <w:r>
        <w:rPr>
          <w:rFonts w:ascii="Times New Roman" w:cs="Times New Roman" w:eastAsia="Times New Roman" w:hAnsi="Times New Roman"/>
          <w:sz w:val="14"/>
          <w:szCs w:val="14"/>
          <w:color w:val="auto"/>
        </w:rPr>
        <w:t>” shall mean any accounts or funds, or any portion thereof, received by the Parent or any of the Subsidiaries as agent on behalf of third parties in accordance with a written agreement that imposes a duty upon the Parent or one or more of the Subsidiaries to collect and remit those funds to such third parties.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Title Policy</w:t>
      </w:r>
      <w:r>
        <w:rPr>
          <w:rFonts w:ascii="Times New Roman" w:cs="Times New Roman" w:eastAsia="Times New Roman" w:hAnsi="Times New Roman"/>
          <w:sz w:val="14"/>
          <w:szCs w:val="14"/>
          <w:color w:val="auto"/>
        </w:rPr>
        <w:t>” shall have the meaning assigned to such term in Section 5.10(e).</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Total Net Leverage Ratio</w:t>
      </w:r>
      <w:r>
        <w:rPr>
          <w:rFonts w:ascii="Times New Roman" w:cs="Times New Roman" w:eastAsia="Times New Roman" w:hAnsi="Times New Roman"/>
          <w:sz w:val="14"/>
          <w:szCs w:val="14"/>
          <w:color w:val="auto"/>
        </w:rPr>
        <w:t>” shall mean, as of any date of determination, the ratio of (a) (i) Consolidated Debt as of such date less (ii) the Unrestricted Cash Amount as of such date to (b) Adjusted Consolidated EBITDA for the most recently ended Test Period.</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Trademarks</w:t>
      </w:r>
      <w:r>
        <w:rPr>
          <w:rFonts w:ascii="Times New Roman" w:cs="Times New Roman" w:eastAsia="Times New Roman" w:hAnsi="Times New Roman"/>
          <w:sz w:val="14"/>
          <w:szCs w:val="14"/>
          <w:color w:val="auto"/>
        </w:rPr>
        <w:t>” shall have the meaning assigned to such term in the definition of “Intellectual Property”.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Agreement</w:t>
      </w:r>
      <w:r>
        <w:rPr>
          <w:rFonts w:ascii="Times New Roman" w:cs="Times New Roman" w:eastAsia="Times New Roman" w:hAnsi="Times New Roman"/>
          <w:sz w:val="14"/>
          <w:szCs w:val="14"/>
          <w:color w:val="auto"/>
        </w:rPr>
        <w:t>” shall have the meaning assigned to such term in the recitals to this Agreement.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Agreement Date</w:t>
      </w:r>
      <w:r>
        <w:rPr>
          <w:rFonts w:ascii="Times New Roman" w:cs="Times New Roman" w:eastAsia="Times New Roman" w:hAnsi="Times New Roman"/>
          <w:sz w:val="14"/>
          <w:szCs w:val="14"/>
          <w:color w:val="auto"/>
        </w:rPr>
        <w:t>” shall mean September 29, 2025.</w:t>
      </w:r>
    </w:p>
    <w:p>
      <w:pPr>
        <w:spacing w:after="0" w:line="163" w:lineRule="exact"/>
        <w:rPr>
          <w:sz w:val="20"/>
          <w:szCs w:val="20"/>
          <w:color w:val="auto"/>
        </w:rPr>
      </w:pPr>
    </w:p>
    <w:p>
      <w:pPr>
        <w:jc w:val="both"/>
        <w:ind w:right="4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Agreement Representations</w:t>
      </w:r>
      <w:r>
        <w:rPr>
          <w:rFonts w:ascii="Times New Roman" w:cs="Times New Roman" w:eastAsia="Times New Roman" w:hAnsi="Times New Roman"/>
          <w:sz w:val="14"/>
          <w:szCs w:val="14"/>
          <w:color w:val="auto"/>
        </w:rPr>
        <w:t>” shall mean representations made by or on behalf of Merus in the Transaction Agreement as are material to the interests of the Lenders, but only to the extent that the Parent or its applicable Affiliate has the right (taking into account any cure periods) to terminate the Parent’s or such Affiliate’s obligations under the Transaction Agreement or refuse to consummate the Offer (as defined in the Transaction Agreement) as a result of a breach of such representations.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shall mean the Transaction Agreement and the Loan Documents.</w:t>
      </w:r>
    </w:p>
    <w:p>
      <w:pPr>
        <w:spacing w:after="0" w:line="163" w:lineRule="exact"/>
        <w:rPr>
          <w:sz w:val="20"/>
          <w:szCs w:val="20"/>
          <w:color w:val="auto"/>
        </w:rPr>
      </w:pPr>
    </w:p>
    <w:p>
      <w:pPr>
        <w:jc w:val="both"/>
        <w:ind w:right="20" w:firstLine="914"/>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shall mean, collectively (a) the consummation of the Offer (as defined in the Transaction Agreement); (b) the issuance of the Senior Notes on or prior to the Closing Date, (c) the Closing Date Refinancing; (d) the execution, delivery and performance by the Parent and the other Loan Parties of the Loan Documents to which they are a party and the borrowing of Loans and issuance of Letters of Credit (if any) hereunder on the Closing Date; (e) the other transactions to occur pursuant to or in connection with the Transaction Documents on or prior to the Closing Date; (f) the making of a loan by the Parent to the Genmab Purchaser for the purpose of the consummation of the Acquisition; and (g) the payment of all fees and expenses to be paid and owing in connection with the foregoing.</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Regulations</w:t>
      </w:r>
      <w:r>
        <w:rPr>
          <w:rFonts w:ascii="Times New Roman" w:cs="Times New Roman" w:eastAsia="Times New Roman" w:hAnsi="Times New Roman"/>
          <w:sz w:val="14"/>
          <w:szCs w:val="14"/>
          <w:color w:val="auto"/>
        </w:rPr>
        <w:t>” shall mean the U.S. Treasury regulations promulgated under the Code.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Treaty</w:t>
      </w:r>
      <w:r>
        <w:rPr>
          <w:rFonts w:ascii="Times New Roman" w:cs="Times New Roman" w:eastAsia="Times New Roman" w:hAnsi="Times New Roman"/>
          <w:sz w:val="14"/>
          <w:szCs w:val="14"/>
          <w:color w:val="auto"/>
        </w:rPr>
        <w:t>” shall mean a double taxation agreement.</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Type</w:t>
      </w:r>
      <w:r>
        <w:rPr>
          <w:rFonts w:ascii="Times New Roman" w:cs="Times New Roman" w:eastAsia="Times New Roman" w:hAnsi="Times New Roman"/>
          <w:sz w:val="14"/>
          <w:szCs w:val="14"/>
          <w:color w:val="auto"/>
        </w:rPr>
        <w:t>” shall mean, when used in respect of any Loan or Borrowing, the Rate by reference to which interest on such Loan or on the Loans comprising such Borrowing is determined. For purposes hereof, the term “</w:t>
      </w:r>
      <w:r>
        <w:rPr>
          <w:rFonts w:ascii="Times New Roman" w:cs="Times New Roman" w:eastAsia="Times New Roman" w:hAnsi="Times New Roman"/>
          <w:sz w:val="14"/>
          <w:szCs w:val="14"/>
          <w:u w:val="single" w:color="auto"/>
          <w:color w:val="auto"/>
        </w:rPr>
        <w:t>Rate</w:t>
      </w:r>
      <w:r>
        <w:rPr>
          <w:rFonts w:ascii="Times New Roman" w:cs="Times New Roman" w:eastAsia="Times New Roman" w:hAnsi="Times New Roman"/>
          <w:sz w:val="14"/>
          <w:szCs w:val="14"/>
          <w:color w:val="auto"/>
        </w:rPr>
        <w:t>” shall include the Eurocurrency Rate, Term SOFR and the ABR.</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Co-Borrower</w:t>
      </w:r>
      <w:r>
        <w:rPr>
          <w:rFonts w:ascii="Times New Roman" w:cs="Times New Roman" w:eastAsia="Times New Roman" w:hAnsi="Times New Roman"/>
          <w:sz w:val="14"/>
          <w:szCs w:val="14"/>
          <w:color w:val="auto"/>
        </w:rPr>
        <w:t>” shall have the meaning assigned to such term in the introductory paragraph of this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35" w:name="page536"/>
    <w:bookmarkEnd w:id="535"/>
    <w:p>
      <w:pPr>
        <w:spacing w:after="0" w:line="34"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Collateral Agreement</w:t>
      </w:r>
      <w:r>
        <w:rPr>
          <w:rFonts w:ascii="Times New Roman" w:cs="Times New Roman" w:eastAsia="Times New Roman" w:hAnsi="Times New Roman"/>
          <w:sz w:val="14"/>
          <w:szCs w:val="14"/>
          <w:color w:val="auto"/>
        </w:rPr>
        <w:t xml:space="preserve"> ” shall mean the U.S. Collateral Agreement, dated as of the Closing Date, among the U.S. Loan Parties, the other Loan Parties party thereto and the Collateral Agent.</w:t>
      </w:r>
    </w:p>
    <w:p>
      <w:pPr>
        <w:spacing w:after="0" w:line="105"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Government Securities Business Day</w:t>
      </w:r>
      <w:r>
        <w:rPr>
          <w:rFonts w:ascii="Times New Roman" w:cs="Times New Roman" w:eastAsia="Times New Roman" w:hAnsi="Times New Roman"/>
          <w:sz w:val="14"/>
          <w:szCs w:val="14"/>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Loan Parties</w:t>
      </w:r>
      <w:r>
        <w:rPr>
          <w:rFonts w:ascii="Times New Roman" w:cs="Times New Roman" w:eastAsia="Times New Roman" w:hAnsi="Times New Roman"/>
          <w:sz w:val="14"/>
          <w:szCs w:val="14"/>
          <w:color w:val="auto"/>
        </w:rPr>
        <w:t>” shall mean each Loan Party that is a Domestic Subsidiary.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Person</w:t>
      </w:r>
      <w:r>
        <w:rPr>
          <w:rFonts w:ascii="Times New Roman" w:cs="Times New Roman" w:eastAsia="Times New Roman" w:hAnsi="Times New Roman"/>
          <w:sz w:val="14"/>
          <w:szCs w:val="14"/>
          <w:color w:val="auto"/>
        </w:rPr>
        <w:t>” shall mean any person that is a “United States Person” as defined in Section 7701(a)(30) of the Code.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shall have the meaning assigned to such term in Section 9.23.</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shall have the meaning assigned to such term in Section 2.17(f)(ii)(D).</w:t>
      </w:r>
    </w:p>
    <w:p>
      <w:pPr>
        <w:spacing w:after="0" w:line="163"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Tax Obligor</w:t>
      </w:r>
      <w:r>
        <w:rPr>
          <w:rFonts w:ascii="Times New Roman" w:cs="Times New Roman" w:eastAsia="Times New Roman" w:hAnsi="Times New Roman"/>
          <w:sz w:val="14"/>
          <w:szCs w:val="14"/>
          <w:color w:val="auto"/>
        </w:rPr>
        <w:t xml:space="preserve"> ” shall mean any Loan Party that is resident for tax purposes in the United States or some or all of whose payments under the Loan Documents are from sources within the United States for U.S. federal income tax purposes.</w:t>
      </w:r>
    </w:p>
    <w:p>
      <w:pPr>
        <w:spacing w:after="0" w:line="105"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Financial Institution</w:t>
      </w:r>
      <w:r>
        <w:rPr>
          <w:rFonts w:ascii="Times New Roman" w:cs="Times New Roman" w:eastAsia="Times New Roman" w:hAnsi="Times New Roman"/>
          <w:sz w:val="14"/>
          <w:szCs w:val="14"/>
          <w:color w:val="auto"/>
        </w:rPr>
        <w:t>” shall mean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Resolution Authority</w:t>
      </w:r>
      <w:r>
        <w:rPr>
          <w:rFonts w:ascii="Times New Roman" w:cs="Times New Roman" w:eastAsia="Times New Roman" w:hAnsi="Times New Roman"/>
          <w:sz w:val="14"/>
          <w:szCs w:val="14"/>
          <w:color w:val="auto"/>
        </w:rPr>
        <w:t xml:space="preserve"> ” shall mean the Bank of England or any other public administrative authority having responsibility for the resolution of any UK Financial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Institution.</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Unadjusted Benchmark Replacement</w:t>
      </w:r>
      <w:r>
        <w:rPr>
          <w:rFonts w:ascii="Times New Roman" w:cs="Times New Roman" w:eastAsia="Times New Roman" w:hAnsi="Times New Roman"/>
          <w:sz w:val="14"/>
          <w:szCs w:val="14"/>
          <w:color w:val="auto"/>
        </w:rPr>
        <w:t>” shall mean the applicable Benchmark Replacement excluding the related Benchmark Replacement Adjustment.</w:t>
      </w:r>
    </w:p>
    <w:p>
      <w:pPr>
        <w:spacing w:after="0" w:line="163"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Uniform Commercial Code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UCC</w:t>
      </w:r>
      <w:r>
        <w:rPr>
          <w:rFonts w:ascii="Times New Roman" w:cs="Times New Roman" w:eastAsia="Times New Roman" w:hAnsi="Times New Roman"/>
          <w:sz w:val="14"/>
          <w:szCs w:val="14"/>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United States</w:t>
      </w:r>
      <w:r>
        <w:rPr>
          <w:rFonts w:ascii="Times New Roman" w:cs="Times New Roman" w:eastAsia="Times New Roman" w:hAnsi="Times New Roman"/>
          <w:sz w:val="14"/>
          <w:szCs w:val="14"/>
          <w:color w:val="auto"/>
        </w:rPr>
        <w:t>” shall mean the United States of America.</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Unreimbursed Amount</w:t>
      </w:r>
      <w:r>
        <w:rPr>
          <w:rFonts w:ascii="Times New Roman" w:cs="Times New Roman" w:eastAsia="Times New Roman" w:hAnsi="Times New Roman"/>
          <w:sz w:val="14"/>
          <w:szCs w:val="14"/>
          <w:color w:val="auto"/>
        </w:rPr>
        <w:t>” shall have the meaning assigned to such term in Section 2.05(c)(i).</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Cash</w:t>
      </w:r>
      <w:r>
        <w:rPr>
          <w:rFonts w:ascii="Times New Roman" w:cs="Times New Roman" w:eastAsia="Times New Roman" w:hAnsi="Times New Roman"/>
          <w:sz w:val="14"/>
          <w:szCs w:val="14"/>
          <w:color w:val="auto"/>
        </w:rPr>
        <w:t>” shall mean cash or Permitted Investments of the Parent or any of the Subsidiaries that would not appear as “restricted” on a consolidated balance sheet of the Parent or any of the Subsidiaries or appears as “restricted” only as a result of having been pledged in support of the Obligations and obligations under the Secured Notes and any other Indebtedness that is secured by a Lien</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36" w:name="page537"/>
    <w:bookmarkEnd w:id="536"/>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Collateral intended to rank equal in priority with the Lien on the Collateral securing the Obligations hereunder.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Cash Amount</w:t>
      </w:r>
      <w:r>
        <w:rPr>
          <w:rFonts w:ascii="Times New Roman" w:cs="Times New Roman" w:eastAsia="Times New Roman" w:hAnsi="Times New Roman"/>
          <w:sz w:val="14"/>
          <w:szCs w:val="14"/>
          <w:color w:val="auto"/>
        </w:rPr>
        <w:t>” shall mean, on any date, the lesser of (a) $500,000,000 and (b) the aggregate amount of Unrestricted Cash of the Parent and the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such date.</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Margin Stock</w:t>
      </w:r>
      <w:r>
        <w:rPr>
          <w:rFonts w:ascii="Times New Roman" w:cs="Times New Roman" w:eastAsia="Times New Roman" w:hAnsi="Times New Roman"/>
          <w:sz w:val="14"/>
          <w:szCs w:val="14"/>
          <w:color w:val="auto"/>
        </w:rPr>
        <w:t>” shall mean any Margin Stock that is not Restricted Margin Stock.</w:t>
      </w:r>
    </w:p>
    <w:p>
      <w:pPr>
        <w:spacing w:after="0" w:line="163"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Subsidiary</w:t>
      </w:r>
      <w:r>
        <w:rPr>
          <w:rFonts w:ascii="Times New Roman" w:cs="Times New Roman" w:eastAsia="Times New Roman" w:hAnsi="Times New Roman"/>
          <w:sz w:val="14"/>
          <w:szCs w:val="14"/>
          <w:color w:val="auto"/>
        </w:rPr>
        <w:t>” shall mean (a) any subsidiary designated as an “Unrestricted Subsidiary” pursuant to Section 5.12 and (b) any person that is a subsidiary of an Unrestricted Subsidiary (for purposes of this clause (b), the “parent entity”) (unless the Equity Interests of such person are transferred to such parent entity or any of its subsidiaries by the Parent or one or more of the Subsidiaries after the date of the designation of such parent entity as a “Unrestricted Subsidiary” hereunder, in which case the person so transferred shall be required to be independently designated in accordance with preceding clause (a)).</w:t>
      </w:r>
    </w:p>
    <w:p>
      <w:pPr>
        <w:spacing w:after="0" w:line="12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Unsecured Notes</w:t>
      </w:r>
      <w:r>
        <w:rPr>
          <w:rFonts w:ascii="Times New Roman" w:cs="Times New Roman" w:eastAsia="Times New Roman" w:hAnsi="Times New Roman"/>
          <w:sz w:val="14"/>
          <w:szCs w:val="14"/>
          <w:color w:val="auto"/>
        </w:rPr>
        <w:t>” shall mean the $1,000,000,000 of 7.250% senior unsecured notes due 2033 issued by the Parent and the U.S. Co-Borrower. For the avoidance of doubt, Unsecured Notes shall not include any “additional notes” issued under the terms of the Unsecured Notes Indenture.</w:t>
      </w:r>
    </w:p>
    <w:p>
      <w:pPr>
        <w:spacing w:after="0" w:line="105" w:lineRule="exact"/>
        <w:rPr>
          <w:sz w:val="20"/>
          <w:szCs w:val="20"/>
          <w:color w:val="auto"/>
        </w:rPr>
      </w:pPr>
    </w:p>
    <w:p>
      <w:pPr>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Unsecured Notes Indenture</w:t>
      </w:r>
      <w:r>
        <w:rPr>
          <w:rFonts w:ascii="Times New Roman" w:cs="Times New Roman" w:eastAsia="Times New Roman" w:hAnsi="Times New Roman"/>
          <w:sz w:val="14"/>
          <w:szCs w:val="14"/>
          <w:color w:val="auto"/>
        </w:rPr>
        <w:t>” shall mean the Indenture, dated as of December 3, 2025, among the Parent and the U.S. Co-Borrower, as issuers, and Wilmington Trust, National Association, as trustee, governing the Unsecured Notes.</w:t>
      </w:r>
    </w:p>
    <w:p>
      <w:pPr>
        <w:spacing w:after="0" w:line="105" w:lineRule="exact"/>
        <w:rPr>
          <w:sz w:val="20"/>
          <w:szCs w:val="20"/>
          <w:color w:val="auto"/>
        </w:rPr>
      </w:pPr>
    </w:p>
    <w:p>
      <w:pPr>
        <w:ind w:right="6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 xml:space="preserve"> ” shall mean the Uniting and Strengthening America by Providing Appropriate Tools Required to Intercept and Obstruct Terrorism Act of 2001 (Title III of Pub. L. No. 107 56 (signed into law October 26, 2001)).</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VAT</w:t>
      </w:r>
      <w:r>
        <w:rPr>
          <w:rFonts w:ascii="Times New Roman" w:cs="Times New Roman" w:eastAsia="Times New Roman" w:hAnsi="Times New Roman"/>
          <w:sz w:val="14"/>
          <w:szCs w:val="14"/>
          <w:color w:val="auto"/>
        </w:rPr>
        <w:t>” shall mean:</w:t>
      </w:r>
    </w:p>
    <w:p>
      <w:pPr>
        <w:spacing w:after="0" w:line="153" w:lineRule="exact"/>
        <w:rPr>
          <w:sz w:val="20"/>
          <w:szCs w:val="20"/>
          <w:color w:val="auto"/>
        </w:rPr>
      </w:pPr>
    </w:p>
    <w:p>
      <w:pPr>
        <w:ind w:left="1380" w:hanging="460"/>
        <w:spacing w:after="0"/>
        <w:tabs>
          <w:tab w:leader="none" w:pos="1380"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 imposed in compliance with the Council Directive of 28 November 2006 on the common system of value added tax (EC Directive 2006/112); and</w:t>
      </w:r>
    </w:p>
    <w:p>
      <w:pPr>
        <w:spacing w:after="0" w:line="134"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tax of a similar nature, whether imposed in a member state of the European Union in substitution for, or levied in addition to, such tax referred to in clause (a) above, or imposed elsewhere.</w:t>
      </w:r>
    </w:p>
    <w:p>
      <w:pPr>
        <w:spacing w:after="0" w:line="115" w:lineRule="exact"/>
        <w:rPr>
          <w:sz w:val="20"/>
          <w:szCs w:val="20"/>
          <w:color w:val="auto"/>
        </w:rPr>
      </w:pPr>
    </w:p>
    <w:p>
      <w:pPr>
        <w:jc w:val="both"/>
        <w:ind w:right="20" w:firstLine="914"/>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Weighted Average Life to Maturity</w:t>
      </w:r>
      <w:r>
        <w:rPr>
          <w:rFonts w:ascii="Times New Roman" w:cs="Times New Roman" w:eastAsia="Times New Roman" w:hAnsi="Times New Roman"/>
          <w:sz w:val="14"/>
          <w:szCs w:val="14"/>
          <w:color w:val="auto"/>
        </w:rPr>
        <w:t xml:space="preserve"> ” shall mean, when applied to any Indebtedness at any date, the number of years obtained by </w:t>
      </w:r>
      <w:r>
        <w:rPr>
          <w:rFonts w:ascii="Times New Roman" w:cs="Times New Roman" w:eastAsia="Times New Roman" w:hAnsi="Times New Roman"/>
          <w:sz w:val="14"/>
          <w:szCs w:val="14"/>
          <w:u w:val="single" w:color="auto"/>
          <w:color w:val="auto"/>
        </w:rPr>
        <w:t>dividing</w:t>
      </w:r>
      <w:r>
        <w:rPr>
          <w:rFonts w:ascii="Times New Roman" w:cs="Times New Roman" w:eastAsia="Times New Roman" w:hAnsi="Times New Roman"/>
          <w:sz w:val="14"/>
          <w:szCs w:val="14"/>
          <w:color w:val="auto"/>
        </w:rPr>
        <w:t xml:space="preserve">: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Times New Roman" w:cs="Times New Roman" w:eastAsia="Times New Roman" w:hAnsi="Times New Roman"/>
          <w:sz w:val="14"/>
          <w:szCs w:val="14"/>
          <w:u w:val="single" w:color="auto"/>
          <w:color w:val="auto"/>
        </w:rPr>
        <w:t>by</w:t>
      </w:r>
      <w:r>
        <w:rPr>
          <w:rFonts w:ascii="Times New Roman" w:cs="Times New Roman" w:eastAsia="Times New Roman" w:hAnsi="Times New Roman"/>
          <w:sz w:val="14"/>
          <w:szCs w:val="14"/>
          <w:color w:val="auto"/>
        </w:rPr>
        <w:t xml:space="preserve"> (b) the then outstanding principal amount of such Indebtedness.</w:t>
      </w:r>
    </w:p>
    <w:p>
      <w:pPr>
        <w:spacing w:after="0" w:line="121"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Wholly Owned Subsidiary</w:t>
      </w:r>
      <w:r>
        <w:rPr>
          <w:rFonts w:ascii="Times New Roman" w:cs="Times New Roman" w:eastAsia="Times New Roman" w:hAnsi="Times New Roman"/>
          <w:sz w:val="14"/>
          <w:szCs w:val="14"/>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t>
      </w:r>
      <w:r>
        <w:rPr>
          <w:rFonts w:ascii="Times New Roman" w:cs="Times New Roman" w:eastAsia="Times New Roman" w:hAnsi="Times New Roman"/>
          <w:sz w:val="14"/>
          <w:szCs w:val="14"/>
          <w:u w:val="single" w:color="auto"/>
          <w:color w:val="auto"/>
        </w:rPr>
        <w:t>Wholly Owned Subsidiary</w:t>
      </w:r>
      <w:r>
        <w:rPr>
          <w:rFonts w:ascii="Times New Roman" w:cs="Times New Roman" w:eastAsia="Times New Roman" w:hAnsi="Times New Roman"/>
          <w:sz w:val="14"/>
          <w:szCs w:val="14"/>
          <w:color w:val="auto"/>
        </w:rPr>
        <w:t>” shall mean a Subsidiary of the Parent that is a Wholly Owned Subsidiary of the Parent.</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37" w:name="page538"/>
    <w:bookmarkEnd w:id="537"/>
    <w:p>
      <w:pPr>
        <w:spacing w:after="0" w:line="34" w:lineRule="exact"/>
        <w:rPr>
          <w:sz w:val="20"/>
          <w:szCs w:val="20"/>
          <w:color w:val="auto"/>
        </w:rPr>
      </w:pPr>
    </w:p>
    <w:p>
      <w:pPr>
        <w:jc w:val="both"/>
        <w:ind w:right="40" w:firstLine="914"/>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Withdrawal Liability</w:t>
      </w:r>
      <w:r>
        <w:rPr>
          <w:rFonts w:ascii="Times New Roman" w:cs="Times New Roman" w:eastAsia="Times New Roman" w:hAnsi="Times New Roman"/>
          <w:sz w:val="14"/>
          <w:szCs w:val="14"/>
          <w:color w:val="auto"/>
        </w:rPr>
        <w:t xml:space="preserve"> ” shall mean liability to a Multiemployer Plan as a result of a complete or partial withdrawal from such Multiemployer Plan, as such terms are defined in Part I of Subtitle E of Title IV of ERISA.</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Works Council Condition</w:t>
      </w:r>
      <w:r>
        <w:rPr>
          <w:rFonts w:ascii="Times New Roman" w:cs="Times New Roman" w:eastAsia="Times New Roman" w:hAnsi="Times New Roman"/>
          <w:sz w:val="14"/>
          <w:szCs w:val="14"/>
          <w:color w:val="auto"/>
        </w:rPr>
        <w:t>” shall have the meaning assigned to such term in Section 5.14.</w:t>
      </w:r>
    </w:p>
    <w:p>
      <w:pPr>
        <w:spacing w:after="0" w:line="163" w:lineRule="exact"/>
        <w:rPr>
          <w:sz w:val="20"/>
          <w:szCs w:val="20"/>
          <w:color w:val="auto"/>
        </w:rPr>
      </w:pPr>
    </w:p>
    <w:p>
      <w:pPr>
        <w:jc w:val="both"/>
        <w:ind w:right="20" w:firstLine="91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Write-Down and Conversion Powers</w:t>
      </w:r>
      <w:r>
        <w:rPr>
          <w:rFonts w:ascii="Times New Roman" w:cs="Times New Roman" w:eastAsia="Times New Roman" w:hAnsi="Times New Roman"/>
          <w:sz w:val="14"/>
          <w:szCs w:val="14"/>
          <w:color w:val="auto"/>
        </w:rPr>
        <w:t xml:space="preserve"> ”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(c) in relation to any other applicable Bail-In Legislation: (i) any powers under that Bail-In Legislation to cancel, transfer or dilute shares issued by a person that is a bank or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w:t>
      </w:r>
    </w:p>
    <w:p>
      <w:pPr>
        <w:spacing w:after="0" w:line="119" w:lineRule="exact"/>
        <w:rPr>
          <w:sz w:val="20"/>
          <w:szCs w:val="20"/>
          <w:color w:val="auto"/>
        </w:rPr>
      </w:pPr>
    </w:p>
    <w:p>
      <w:pPr>
        <w:jc w:val="both"/>
        <w:ind w:right="20" w:firstLine="914"/>
        <w:spacing w:after="0" w:line="218" w:lineRule="auto"/>
        <w:rPr>
          <w:sz w:val="20"/>
          <w:szCs w:val="20"/>
          <w:color w:val="auto"/>
        </w:rPr>
      </w:pPr>
      <w:r>
        <w:rPr>
          <w:rFonts w:ascii="Times New Roman" w:cs="Times New Roman" w:eastAsia="Times New Roman" w:hAnsi="Times New Roman"/>
          <w:sz w:val="14"/>
          <w:szCs w:val="14"/>
          <w:color w:val="auto"/>
        </w:rPr>
        <w:t>SECTION 1.02.</w:t>
      </w:r>
      <w:r>
        <w:rPr>
          <w:rFonts w:ascii="Times New Roman" w:cs="Times New Roman" w:eastAsia="Times New Roman" w:hAnsi="Times New Roman"/>
          <w:sz w:val="14"/>
          <w:szCs w:val="14"/>
          <w:u w:val="single" w:color="auto"/>
          <w:color w:val="auto"/>
        </w:rPr>
        <w:t>Terms Generally; IFRS</w:t>
      </w:r>
      <w:r>
        <w:rPr>
          <w:rFonts w:ascii="Times New Roman" w:cs="Times New Roman" w:eastAsia="Times New Roman" w:hAnsi="Times New Roman"/>
          <w:sz w:val="14"/>
          <w:szCs w:val="14"/>
          <w:color w:val="auto"/>
        </w:rPr>
        <w:t>.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all references herein to Articles, Sections, Exhibits and Schedules shall be deemed references to Articles and Sections of, and Exhibits and Schedules to, this Agreement,</w:t>
      </w:r>
    </w:p>
    <w:p>
      <w:pPr>
        <w:spacing w:after="0" w:line="2" w:lineRule="exact"/>
        <w:rPr>
          <w:sz w:val="20"/>
          <w:szCs w:val="20"/>
          <w:color w:val="auto"/>
        </w:rPr>
      </w:pPr>
    </w:p>
    <w:p>
      <w:pPr>
        <w:ind w:firstLine="6"/>
        <w:spacing w:after="0" w:line="216" w:lineRule="auto"/>
        <w:tabs>
          <w:tab w:leader="none" w:pos="205" w:val="left"/>
        </w:tabs>
        <w:numPr>
          <w:ilvl w:val="0"/>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definition of or reference to any agreement, instrument or other document herein or in any other Loan Document (including any Loan Document) shall be construed as referring to such agreement, instrument or other document as from time to time amended, restated, supplemented or otherwise modified (subject to any restrictions or qualifications on such amendments, restatements, supplements or modifications set forth herein), (c) any definition of or reference to any statute, rule or regulation in any Loan Document shall be construed as referring thereto as from time to time amended, supplemented or otherwise modified (including by succession of comparable successor laws), and all references to any statute shall be construed as referring to all rules, regulations, rulings and official interpretations promulgated or issued thereunder, (d) any reference herein or in any other Loan Document to any person shall be construed to include such person’s successors and permitted assigns and, in the case of any Governmental Authority, any other Governmental Authority that shall have succeeded to any or all functions thereof, (e) the words “herein”, “hereof” and “hereunder”, and words of similar import, when used in any Loan Document, shall be construed to refer to such Loan Document in its entirety and not to any particular provision thereof, (f) in the computation of periods of time in any Loan Document from a specified date to a later specified date, the word “from” means “from and including”, the words “to” and “until” mean “to but excluding” and the word “through” means “to and including” and (g) the words “asset” and “property” shall be construed to have the same meaning and effect and to refer to any and all tangible and intangible assets and properties, including cash, securities, accounts and contract rights. Except as otherwise expressly provided herein, all terms of an accounting or financial nature shall be construed in accordance with IFRS, as in effect from time to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at any time, any change in IFRS would affect the computation of any financial ratio or requirement in the Loan</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38" w:name="page539"/>
    <w:bookmarkEnd w:id="538"/>
    <w:p>
      <w:pPr>
        <w:spacing w:after="0" w:line="2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4"/>
          <w:szCs w:val="14"/>
          <w:color w:val="auto"/>
        </w:rPr>
        <w:t xml:space="preserve">Documents and the Parent notifies the Administrative Agent that the Parent requests an amendment (or if the Administrative Agent notifies the Parent that the Required Lenders request an amendment), regardless of whether any such notice is given before or after such change in IFRS or in the application thereof, then such financial ratio or requirement shall be interpreted on the basis of IFRS as in effect and applied immediately before such change shall have become effective until such provision is amended in accordance herewith;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if such an amendment is requested by the Parent or the Required Lenders, then the Administrative Agent, the Lenders and the Parent shall negotiate in good faith (without the payment of any amendment or similar fee to the Lenders) to amend such ratio or requirement to preserve the original intent thereof in light of such change in IFRS (subject to the approval of the Required Lenders) . Notwithstanding any other provision contained herein, all terms of an accounting or financial nature used herein shall be construed, and all computations of amounts and ratios referred to herein shall be made, for the avoidance of doubt, except as provided in the definition of “Consolidated Net Income”, without giving effect to the financial condition, results and performance of the Unrestricted Subsidiaries. Unless otherwise specified, an amount borrowed includes any amount utilized under an Ancillary Facility.</w:t>
      </w:r>
    </w:p>
    <w:p>
      <w:pPr>
        <w:spacing w:after="0" w:line="149" w:lineRule="exact"/>
        <w:rPr>
          <w:sz w:val="20"/>
          <w:szCs w:val="20"/>
          <w:color w:val="auto"/>
        </w:rPr>
      </w:pPr>
    </w:p>
    <w:p>
      <w:pPr>
        <w:ind w:firstLine="914"/>
        <w:spacing w:after="0" w:line="248" w:lineRule="auto"/>
        <w:rPr>
          <w:sz w:val="20"/>
          <w:szCs w:val="20"/>
          <w:color w:val="auto"/>
        </w:rPr>
      </w:pPr>
      <w:r>
        <w:rPr>
          <w:rFonts w:ascii="Times New Roman" w:cs="Times New Roman" w:eastAsia="Times New Roman" w:hAnsi="Times New Roman"/>
          <w:sz w:val="14"/>
          <w:szCs w:val="14"/>
          <w:color w:val="auto"/>
        </w:rPr>
        <w:t>SECTION 1.03.</w:t>
      </w:r>
      <w:r>
        <w:rPr>
          <w:rFonts w:ascii="Times New Roman" w:cs="Times New Roman" w:eastAsia="Times New Roman" w:hAnsi="Times New Roman"/>
          <w:sz w:val="14"/>
          <w:szCs w:val="14"/>
          <w:u w:val="single" w:color="auto"/>
          <w:color w:val="auto"/>
        </w:rPr>
        <w:t>Effectuation of Transactions</w:t>
      </w:r>
      <w:r>
        <w:rPr>
          <w:rFonts w:ascii="Times New Roman" w:cs="Times New Roman" w:eastAsia="Times New Roman" w:hAnsi="Times New Roman"/>
          <w:sz w:val="14"/>
          <w:szCs w:val="14"/>
          <w:color w:val="auto"/>
        </w:rPr>
        <w:t>. Each of the representations and warranties of the Borrowers contained in this Agreement (and all corresponding definitions) are made after giving effect to the Transactions, unless the context otherwise requires.</w:t>
      </w:r>
    </w:p>
    <w:p>
      <w:pPr>
        <w:spacing w:after="0" w:line="105" w:lineRule="exact"/>
        <w:rPr>
          <w:sz w:val="20"/>
          <w:szCs w:val="20"/>
          <w:color w:val="auto"/>
        </w:rPr>
      </w:pPr>
    </w:p>
    <w:p>
      <w:pPr>
        <w:jc w:val="both"/>
        <w:ind w:right="40" w:firstLine="914"/>
        <w:spacing w:after="0" w:line="233" w:lineRule="auto"/>
        <w:rPr>
          <w:sz w:val="20"/>
          <w:szCs w:val="20"/>
          <w:color w:val="auto"/>
        </w:rPr>
      </w:pPr>
      <w:r>
        <w:rPr>
          <w:rFonts w:ascii="Times New Roman" w:cs="Times New Roman" w:eastAsia="Times New Roman" w:hAnsi="Times New Roman"/>
          <w:sz w:val="14"/>
          <w:szCs w:val="14"/>
          <w:color w:val="auto"/>
        </w:rPr>
        <w:t>SECTION 1.04.</w:t>
      </w:r>
      <w:r>
        <w:rPr>
          <w:rFonts w:ascii="Times New Roman" w:cs="Times New Roman" w:eastAsia="Times New Roman" w:hAnsi="Times New Roman"/>
          <w:sz w:val="14"/>
          <w:szCs w:val="14"/>
          <w:u w:val="single" w:color="auto"/>
          <w:color w:val="auto"/>
        </w:rPr>
        <w:t>Timing of Payment or Performance</w:t>
      </w:r>
      <w:r>
        <w:rPr>
          <w:rFonts w:ascii="Times New Roman" w:cs="Times New Roman" w:eastAsia="Times New Roman" w:hAnsi="Times New Roman"/>
          <w:sz w:val="14"/>
          <w:szCs w:val="14"/>
          <w:color w:val="auto"/>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1.05.</w:t>
      </w:r>
      <w:r>
        <w:rPr>
          <w:rFonts w:ascii="Times New Roman" w:cs="Times New Roman" w:eastAsia="Times New Roman" w:hAnsi="Times New Roman"/>
          <w:sz w:val="14"/>
          <w:szCs w:val="14"/>
          <w:u w:val="single" w:color="auto"/>
          <w:color w:val="auto"/>
        </w:rPr>
        <w:t>Times of Day</w:t>
      </w:r>
      <w:r>
        <w:rPr>
          <w:rFonts w:ascii="Times New Roman" w:cs="Times New Roman" w:eastAsia="Times New Roman" w:hAnsi="Times New Roman"/>
          <w:sz w:val="14"/>
          <w:szCs w:val="14"/>
          <w:color w:val="auto"/>
        </w:rPr>
        <w:t>. Unless otherwise specified herein, all references herein to times of day shall be references to Local Time.</w:t>
      </w:r>
    </w:p>
    <w:p>
      <w:pPr>
        <w:spacing w:after="0" w:line="134" w:lineRule="exact"/>
        <w:rPr>
          <w:sz w:val="20"/>
          <w:szCs w:val="20"/>
          <w:color w:val="auto"/>
        </w:rPr>
      </w:pPr>
    </w:p>
    <w:p>
      <w:pPr>
        <w:jc w:val="both"/>
        <w:ind w:right="40" w:firstLine="914"/>
        <w:spacing w:after="0" w:line="228" w:lineRule="auto"/>
        <w:rPr>
          <w:sz w:val="20"/>
          <w:szCs w:val="20"/>
          <w:color w:val="auto"/>
        </w:rPr>
      </w:pPr>
      <w:r>
        <w:rPr>
          <w:rFonts w:ascii="Times New Roman" w:cs="Times New Roman" w:eastAsia="Times New Roman" w:hAnsi="Times New Roman"/>
          <w:sz w:val="14"/>
          <w:szCs w:val="14"/>
          <w:color w:val="auto"/>
        </w:rPr>
        <w:t>SECTION 1.06.</w:t>
      </w:r>
      <w:r>
        <w:rPr>
          <w:rFonts w:ascii="Times New Roman" w:cs="Times New Roman" w:eastAsia="Times New Roman" w:hAnsi="Times New Roman"/>
          <w:sz w:val="14"/>
          <w:szCs w:val="14"/>
          <w:u w:val="single" w:color="auto"/>
          <w:color w:val="auto"/>
        </w:rPr>
        <w:t>Classification of Loans and Borrowings</w:t>
      </w:r>
      <w:r>
        <w:rPr>
          <w:rFonts w:ascii="Times New Roman" w:cs="Times New Roman" w:eastAsia="Times New Roman" w:hAnsi="Times New Roman"/>
          <w:sz w:val="14"/>
          <w:szCs w:val="14"/>
          <w:color w:val="auto"/>
        </w:rPr>
        <w:t>. For purposes of this Agreement, Loans may be classified and referred to by Class (e.g., an “</w:t>
      </w:r>
      <w:r>
        <w:rPr>
          <w:rFonts w:ascii="Times New Roman" w:cs="Times New Roman" w:eastAsia="Times New Roman" w:hAnsi="Times New Roman"/>
          <w:sz w:val="14"/>
          <w:szCs w:val="14"/>
          <w:u w:val="single" w:color="auto"/>
          <w:color w:val="auto"/>
        </w:rPr>
        <w:t>Initial Revolving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Loan</w:t>
      </w:r>
      <w:r>
        <w:rPr>
          <w:rFonts w:ascii="Times New Roman" w:cs="Times New Roman" w:eastAsia="Times New Roman" w:hAnsi="Times New Roman"/>
          <w:sz w:val="14"/>
          <w:szCs w:val="14"/>
          <w:color w:val="auto"/>
        </w:rPr>
        <w:t xml:space="preserve">”) or by Type (e.g., a “ </w:t>
      </w:r>
      <w:r>
        <w:rPr>
          <w:rFonts w:ascii="Times New Roman" w:cs="Times New Roman" w:eastAsia="Times New Roman" w:hAnsi="Times New Roman"/>
          <w:sz w:val="14"/>
          <w:szCs w:val="14"/>
          <w:u w:val="single" w:color="auto"/>
          <w:color w:val="auto"/>
        </w:rPr>
        <w:t>Eurocurrency Rate Loan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Term SOFR Loan</w:t>
      </w:r>
      <w:r>
        <w:rPr>
          <w:rFonts w:ascii="Times New Roman" w:cs="Times New Roman" w:eastAsia="Times New Roman" w:hAnsi="Times New Roman"/>
          <w:sz w:val="14"/>
          <w:szCs w:val="14"/>
          <w:color w:val="auto"/>
        </w:rPr>
        <w:t xml:space="preserve">”) or by Class and Type (e.g., a “ </w:t>
      </w:r>
      <w:r>
        <w:rPr>
          <w:rFonts w:ascii="Times New Roman" w:cs="Times New Roman" w:eastAsia="Times New Roman" w:hAnsi="Times New Roman"/>
          <w:sz w:val="14"/>
          <w:szCs w:val="14"/>
          <w:u w:val="single" w:color="auto"/>
          <w:color w:val="auto"/>
        </w:rPr>
        <w:t>Term SOFR Initial Revolving Loan</w:t>
      </w:r>
      <w:r>
        <w:rPr>
          <w:rFonts w:ascii="Times New Roman" w:cs="Times New Roman" w:eastAsia="Times New Roman" w:hAnsi="Times New Roman"/>
          <w:sz w:val="14"/>
          <w:szCs w:val="14"/>
          <w:color w:val="auto"/>
        </w:rPr>
        <w:t>”). Borrowings also may be classified and referred to by Class (e.g., an “</w:t>
      </w:r>
      <w:r>
        <w:rPr>
          <w:rFonts w:ascii="Times New Roman" w:cs="Times New Roman" w:eastAsia="Times New Roman" w:hAnsi="Times New Roman"/>
          <w:sz w:val="14"/>
          <w:szCs w:val="14"/>
          <w:u w:val="single" w:color="auto"/>
          <w:color w:val="auto"/>
        </w:rPr>
        <w:t>Initial Revolving Borrowing</w:t>
      </w:r>
      <w:r>
        <w:rPr>
          <w:rFonts w:ascii="Times New Roman" w:cs="Times New Roman" w:eastAsia="Times New Roman" w:hAnsi="Times New Roman"/>
          <w:sz w:val="14"/>
          <w:szCs w:val="14"/>
          <w:color w:val="auto"/>
        </w:rPr>
        <w:t xml:space="preserve">”) or by Type (e.g., a “ </w:t>
      </w:r>
      <w:r>
        <w:rPr>
          <w:rFonts w:ascii="Times New Roman" w:cs="Times New Roman" w:eastAsia="Times New Roman" w:hAnsi="Times New Roman"/>
          <w:sz w:val="14"/>
          <w:szCs w:val="14"/>
          <w:u w:val="single" w:color="auto"/>
          <w:color w:val="auto"/>
        </w:rPr>
        <w:t>Eurocurrency Rate Borrowing</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Term SOFR Borrowing</w:t>
      </w:r>
      <w:r>
        <w:rPr>
          <w:rFonts w:ascii="Times New Roman" w:cs="Times New Roman" w:eastAsia="Times New Roman" w:hAnsi="Times New Roman"/>
          <w:sz w:val="14"/>
          <w:szCs w:val="14"/>
          <w:color w:val="auto"/>
        </w:rPr>
        <w:t xml:space="preserve">”) or by Class and Type (e.g., a “ </w:t>
      </w:r>
      <w:r>
        <w:rPr>
          <w:rFonts w:ascii="Times New Roman" w:cs="Times New Roman" w:eastAsia="Times New Roman" w:hAnsi="Times New Roman"/>
          <w:sz w:val="14"/>
          <w:szCs w:val="14"/>
          <w:u w:val="single" w:color="auto"/>
          <w:color w:val="auto"/>
        </w:rPr>
        <w:t>Initial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 SOFR Revolving Borrowing</w:t>
      </w:r>
      <w:r>
        <w:rPr>
          <w:rFonts w:ascii="Times New Roman" w:cs="Times New Roman" w:eastAsia="Times New Roman" w:hAnsi="Times New Roman"/>
          <w:sz w:val="14"/>
          <w:szCs w:val="14"/>
          <w:color w:val="auto"/>
        </w:rPr>
        <w:t>”).</w:t>
      </w:r>
    </w:p>
    <w:p>
      <w:pPr>
        <w:spacing w:after="0" w:line="112" w:lineRule="exact"/>
        <w:rPr>
          <w:sz w:val="20"/>
          <w:szCs w:val="20"/>
          <w:color w:val="auto"/>
        </w:rPr>
      </w:pPr>
    </w:p>
    <w:p>
      <w:pPr>
        <w:jc w:val="both"/>
        <w:ind w:right="40" w:firstLine="914"/>
        <w:spacing w:after="0" w:line="233" w:lineRule="auto"/>
        <w:rPr>
          <w:sz w:val="20"/>
          <w:szCs w:val="20"/>
          <w:color w:val="auto"/>
        </w:rPr>
      </w:pPr>
      <w:r>
        <w:rPr>
          <w:rFonts w:ascii="Times New Roman" w:cs="Times New Roman" w:eastAsia="Times New Roman" w:hAnsi="Times New Roman"/>
          <w:sz w:val="14"/>
          <w:szCs w:val="14"/>
          <w:color w:val="auto"/>
        </w:rPr>
        <w:t>SECTION 1.07.</w:t>
      </w:r>
      <w:r>
        <w:rPr>
          <w:rFonts w:ascii="Times New Roman" w:cs="Times New Roman" w:eastAsia="Times New Roman" w:hAnsi="Times New Roman"/>
          <w:sz w:val="14"/>
          <w:szCs w:val="14"/>
          <w:u w:val="single" w:color="auto"/>
          <w:color w:val="auto"/>
        </w:rPr>
        <w:t>Currency Translation</w:t>
      </w:r>
      <w:r>
        <w:rPr>
          <w:rFonts w:ascii="Times New Roman" w:cs="Times New Roman" w:eastAsia="Times New Roman" w:hAnsi="Times New Roman"/>
          <w:sz w:val="14"/>
          <w:szCs w:val="14"/>
          <w:color w:val="auto"/>
        </w:rPr>
        <w:t>. For purposes of any determination under Article V, Article VI (other than Section 6.12) or Article VII or any determination under any other provision of this Agreement expressly requiring the use of a current exchange rate, all amounts incurred, outstanding or proposed to be incurred or outstanding in currencies other than Dollars shall be translated into Dollars at currency exchange rates in effect on the date of such determination.</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1.08.</w:t>
      </w:r>
      <w:r>
        <w:rPr>
          <w:rFonts w:ascii="Times New Roman" w:cs="Times New Roman" w:eastAsia="Times New Roman" w:hAnsi="Times New Roman"/>
          <w:sz w:val="14"/>
          <w:szCs w:val="14"/>
          <w:u w:val="single" w:color="auto"/>
          <w:color w:val="auto"/>
        </w:rPr>
        <w:t>Pro Forma Calculations; Certain Calculations and Tests</w:t>
      </w:r>
      <w:r>
        <w:rPr>
          <w:rFonts w:ascii="Times New Roman" w:cs="Times New Roman" w:eastAsia="Times New Roman" w:hAnsi="Times New Roman"/>
          <w:sz w:val="14"/>
          <w:szCs w:val="14"/>
          <w:color w:val="auto"/>
        </w:rPr>
        <w:t xml:space="preserve"> .</w:t>
      </w:r>
    </w:p>
    <w:p>
      <w:pPr>
        <w:spacing w:after="0" w:line="134" w:lineRule="exact"/>
        <w:rPr>
          <w:sz w:val="20"/>
          <w:szCs w:val="20"/>
          <w:color w:val="auto"/>
        </w:rPr>
      </w:pPr>
    </w:p>
    <w:p>
      <w:pPr>
        <w:ind w:right="20" w:firstLine="920"/>
        <w:spacing w:after="0" w:line="219" w:lineRule="auto"/>
        <w:tabs>
          <w:tab w:leader="none" w:pos="1370" w:val="left"/>
        </w:tabs>
        <w:numPr>
          <w:ilvl w:val="0"/>
          <w:numId w:val="5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herein, all financial ratios and tests (including the First Lien Secured Net Leverage Ratio, the Secured Net Leverage Ratio, the Total Net Leverage Ratio, the Interest Coverage Ratio and the amount of Consolidated Total Assets, Adjusted Consolidated EBITDA and Consolidated Net Income) contained in this Agreement that are calculated with respect to any Test Period during which any Subject Transaction occurs (or with respect to any Test Period to determine whether any Subject Transaction is permitted to be consummated or any Indebtedness to be incurred in connection therewith is permitted to be incurred) shall be calculated with respect to such Test Period and such Subject Transaction (including such Subject Transaction that is to be consummated) on a Pro Forma Basis. Further, if since the beginning of any Test Period and on or prior to the date of any required calculation of any financial ratio or test, any Subject Transaction has occurred, then, in each case, any applicable financial ratio or test shall be calculated on a Pro Forma Basis for such Test Period as if such Subject Transaction had occurred as of the first day of the applicable Test Period (or, in the case of Consolidated Total Assets, as of the last day of such Test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when calculating the First Lien Secured Net Leverage Ratio for purposes of the definitions of “Applicable Commitment Fee”, “Applicable Margin” and “Required Percentage” and for purposes of the Financial Covenant in Section</w:t>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39" w:name="page540"/>
    <w:bookmarkEnd w:id="539"/>
    <w:p>
      <w:pPr>
        <w:spacing w:after="0" w:line="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6.12(a) (other than for the purpose of determining compliance with the Financial Covenant in Section 6.12(a) on a Pro Forma Basis as a condition to taking any action in accordance with this Agreement), the Subject Transactions that occurred subsequent to the end of the applicable Test Period shall not be given pro forma effect.</w:t>
      </w:r>
    </w:p>
    <w:p>
      <w:pPr>
        <w:spacing w:after="0" w:line="105" w:lineRule="exact"/>
        <w:rPr>
          <w:sz w:val="20"/>
          <w:szCs w:val="20"/>
          <w:color w:val="auto"/>
        </w:rPr>
      </w:pPr>
    </w:p>
    <w:p>
      <w:pPr>
        <w:jc w:val="both"/>
        <w:ind w:right="40" w:firstLine="920"/>
        <w:spacing w:after="0" w:line="219" w:lineRule="auto"/>
        <w:tabs>
          <w:tab w:leader="none" w:pos="1361"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action being taken in connection with a Limited Condition Acquisition, for purposes of determining (i) compliance with any provision of this Agreement which requires that no Default or Event of Default, as applicable, has occurred, is continuing or would result from any such action, as applicable, such condition shall, at the option of the Parent, be deemed satisfied, so long as no such Default or Event of Default, as applicable, exists on the date the definitive agreement for such Limited Condition Acquisition is entered into (for the avoidance of doubt, if the Parent has exercised such option and any Default or Event of Default occurs following the date the definitive agreement for the applicable Limited Condition Acquisition was entered into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 and (ii) the accuracy of representations and warranties, such determination shall, at the option of the Parent, be made on the date the definitive agreement for such Limited Condition Acquisition is entered into (for the avoidance of doubt, if the Parent has exercised such option and any representation or warranty becomes inaccurate following the date the definitive agreement for the applicable Limited Condition Acquisition was entered into and prior to the consummation of such Limited Condition Acquisition, any such inaccuracy shall be deemed to not have occurred or be continuing for purposes of determining whether any action being taken in connection with such Limited Condition Acquisition is permitted hereunder).</w:t>
      </w:r>
    </w:p>
    <w:p>
      <w:pPr>
        <w:spacing w:after="0" w:line="110" w:lineRule="exact"/>
        <w:rPr>
          <w:rFonts w:ascii="Times New Roman" w:cs="Times New Roman" w:eastAsia="Times New Roman" w:hAnsi="Times New Roman"/>
          <w:sz w:val="14"/>
          <w:szCs w:val="14"/>
          <w:color w:val="auto"/>
        </w:rPr>
      </w:pPr>
    </w:p>
    <w:p>
      <w:pPr>
        <w:ind w:right="60" w:firstLine="920"/>
        <w:spacing w:after="0" w:line="248" w:lineRule="auto"/>
        <w:tabs>
          <w:tab w:leader="none" w:pos="1370"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Limited Condition Acquisition and any incurrence of any Indebtedness, Liens or obligations to make any Investment in connection with a Limited Condition Acquisition, for purposes of:</w:t>
      </w:r>
    </w:p>
    <w:p>
      <w:pPr>
        <w:spacing w:after="0" w:line="105" w:lineRule="exact"/>
        <w:rPr>
          <w:sz w:val="20"/>
          <w:szCs w:val="20"/>
          <w:color w:val="auto"/>
        </w:rPr>
      </w:pPr>
    </w:p>
    <w:p>
      <w:pPr>
        <w:ind w:left="460" w:right="60" w:firstLine="460"/>
        <w:spacing w:after="0" w:line="248" w:lineRule="auto"/>
        <w:tabs>
          <w:tab w:leader="none" w:pos="1374" w:val="left"/>
        </w:tabs>
        <w:numPr>
          <w:ilvl w:val="1"/>
          <w:numId w:val="5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compliance with any provision of this Agreement which requires the calculation of the First Lien Secured Net Leverage Ratio, the Secured Net Leverage Ratio, the Total Net Leverage Ratio or the Interest Coverage Ratio; or</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5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baskets set forth in this Agreement (including baskets measured as a percentage of Consolidated Total Assets or Adjusted Consolidated EBITDA);</w:t>
      </w:r>
    </w:p>
    <w:p>
      <w:pPr>
        <w:spacing w:after="0" w:line="143" w:lineRule="exact"/>
        <w:rPr>
          <w:rFonts w:ascii="Times New Roman" w:cs="Times New Roman" w:eastAsia="Times New Roman" w:hAnsi="Times New Roman"/>
          <w:sz w:val="14"/>
          <w:szCs w:val="14"/>
          <w:color w:val="auto"/>
        </w:rPr>
      </w:pPr>
    </w:p>
    <w:p>
      <w:pPr>
        <w:jc w:val="both"/>
        <w:ind w:left="460" w:firstLine="3"/>
        <w:spacing w:after="0" w:line="259" w:lineRule="auto"/>
        <w:tabs>
          <w:tab w:leader="none" w:pos="907"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each case, at the option of the Parent (the Parent’s election to exercise such option in connection with any Limited Condition Acquisition, an “ </w:t>
      </w:r>
      <w:r>
        <w:rPr>
          <w:rFonts w:ascii="Times New Roman" w:cs="Times New Roman" w:eastAsia="Times New Roman" w:hAnsi="Times New Roman"/>
          <w:sz w:val="14"/>
          <w:szCs w:val="14"/>
          <w:u w:val="single" w:color="auto"/>
          <w:color w:val="auto"/>
        </w:rPr>
        <w:t>LCA Election</w:t>
      </w:r>
      <w:r>
        <w:rPr>
          <w:rFonts w:ascii="Times New Roman" w:cs="Times New Roman" w:eastAsia="Times New Roman" w:hAnsi="Times New Roman"/>
          <w:sz w:val="14"/>
          <w:szCs w:val="14"/>
          <w:color w:val="auto"/>
        </w:rPr>
        <w:t>”), the date of determination of whether any such action is permitted hereunder shall be deemed to be the date the definitive agreement for such Limited Condition Acquisition is entered into (the “</w:t>
      </w:r>
      <w:r>
        <w:rPr>
          <w:rFonts w:ascii="Times New Roman" w:cs="Times New Roman" w:eastAsia="Times New Roman" w:hAnsi="Times New Roman"/>
          <w:sz w:val="14"/>
          <w:szCs w:val="14"/>
          <w:u w:val="single" w:color="auto"/>
          <w:color w:val="auto"/>
        </w:rPr>
        <w:t>LCA Test Date</w:t>
      </w:r>
      <w:r>
        <w:rPr>
          <w:rFonts w:ascii="Times New Roman" w:cs="Times New Roman" w:eastAsia="Times New Roman" w:hAnsi="Times New Roman"/>
          <w:sz w:val="14"/>
          <w:szCs w:val="14"/>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recently completed Test Period ending prior to the LCA Test Date, the Parent could have taken such action on the relevant LCA Test Date in compliance with such ratio or basket, such ratio or basket shall be deemed to have been complied with. For the avoidance of doubt, if the Parent has made an LCA Election and any of the ratios or baskets for which compliance was determined or tested as of the LCA Test Date are exceeded as a result of fluctuations in any such ratio or basket, including due to fluctuations in Adjusted Consolidated EBITDA or Consolidated Total Assets of the Parent or the person subject to such Limited Condition Acquisition, at or prior to the consummation of the relevant transaction or action, such baskets or ratios will not be deemed to have been exceeded as a result of such fluctuations solely for purposes of determining whether the applicable Limited Condition Acquisition (and any incurrence of any Indebtedness, Liens or obligations to make any Investment in connection with a Limited Condition Acquisition) is permitted hereunder. If the Parent has made an LCA Election for any Limited Condition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77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60"/>
          </w:cols>
          <w:pgMar w:left="640" w:top="1440" w:right="600" w:bottom="1440" w:gutter="0" w:footer="0" w:header="0"/>
        </w:sectPr>
      </w:pPr>
    </w:p>
    <w:bookmarkStart w:id="540" w:name="page541"/>
    <w:bookmarkEnd w:id="540"/>
    <w:p>
      <w:pPr>
        <w:spacing w:after="0" w:line="34" w:lineRule="exact"/>
        <w:rPr>
          <w:sz w:val="20"/>
          <w:szCs w:val="20"/>
          <w:color w:val="auto"/>
        </w:rPr>
      </w:pPr>
    </w:p>
    <w:p>
      <w:pPr>
        <w:jc w:val="both"/>
        <w:ind w:left="460"/>
        <w:spacing w:after="0" w:line="260" w:lineRule="auto"/>
        <w:rPr>
          <w:sz w:val="20"/>
          <w:szCs w:val="20"/>
          <w:color w:val="auto"/>
        </w:rPr>
      </w:pPr>
      <w:r>
        <w:rPr>
          <w:rFonts w:ascii="Times New Roman" w:cs="Times New Roman" w:eastAsia="Times New Roman" w:hAnsi="Times New Roman"/>
          <w:sz w:val="14"/>
          <w:szCs w:val="14"/>
          <w:color w:val="auto"/>
        </w:rPr>
        <w:t>Acquisition, then in connection with any subsequent calculation of any ratio or basket hereunder on or following the relevant LCA Test Date and until after the earlier of the consummation of such Limited Condition Acquisition or termination or expiration of the definitive agreement for such Limited Condition Acquisition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except to the extent such calculation would result in a</w:t>
      </w:r>
    </w:p>
    <w:p>
      <w:pPr>
        <w:spacing w:after="0" w:line="2" w:lineRule="exact"/>
        <w:rPr>
          <w:sz w:val="20"/>
          <w:szCs w:val="20"/>
          <w:color w:val="auto"/>
        </w:rPr>
      </w:pPr>
    </w:p>
    <w:p>
      <w:pPr>
        <w:jc w:val="both"/>
        <w:ind w:left="460" w:right="20" w:firstLine="3"/>
        <w:spacing w:after="0" w:line="270" w:lineRule="auto"/>
        <w:tabs>
          <w:tab w:leader="none" w:pos="691" w:val="left"/>
        </w:tabs>
        <w:numPr>
          <w:ilvl w:val="0"/>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Total Net Leverage Ratio, Secured Net Leverage Ratio or First Lien Secured Net Leverage Ratio, (y) higher Interest Coverage Ratio or (z) higher Adjusted Consolidated EBITDA or Consolidated Total Assets, in each case than would apply if such calculation was made without giving pro forma effect to such Limited Condition Acquisition.</w:t>
      </w:r>
    </w:p>
    <w:p>
      <w:pPr>
        <w:spacing w:after="0" w:line="280" w:lineRule="exact"/>
        <w:rPr>
          <w:rFonts w:ascii="Times New Roman" w:cs="Times New Roman" w:eastAsia="Times New Roman" w:hAnsi="Times New Roman"/>
          <w:sz w:val="14"/>
          <w:szCs w:val="14"/>
          <w:color w:val="auto"/>
        </w:rPr>
      </w:pPr>
    </w:p>
    <w:p>
      <w:pPr>
        <w:jc w:val="both"/>
        <w:ind w:firstLine="920"/>
        <w:spacing w:after="0" w:line="218" w:lineRule="auto"/>
        <w:tabs>
          <w:tab w:leader="none" w:pos="1370" w:val="left"/>
        </w:tabs>
        <w:numPr>
          <w:ilvl w:val="1"/>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with respect to any amounts incurred or transactions (or series of transactions) entered into (or consummated) in reliance on a provision within the same covenant of this Agreement that does not require compliance with a financial ratio or test (any such amounts, the “</w:t>
      </w:r>
      <w:r>
        <w:rPr>
          <w:rFonts w:ascii="Times New Roman" w:cs="Times New Roman" w:eastAsia="Times New Roman" w:hAnsi="Times New Roman"/>
          <w:sz w:val="14"/>
          <w:szCs w:val="14"/>
          <w:u w:val="single" w:color="auto"/>
          <w:color w:val="auto"/>
        </w:rPr>
        <w:t>Fixed Amounts</w:t>
      </w:r>
      <w:r>
        <w:rPr>
          <w:rFonts w:ascii="Times New Roman" w:cs="Times New Roman" w:eastAsia="Times New Roman" w:hAnsi="Times New Roman"/>
          <w:sz w:val="14"/>
          <w:szCs w:val="14"/>
          <w:color w:val="auto"/>
        </w:rPr>
        <w:t>”) substantially concurrently or in a series of related transactions with any amounts incurred or transactions entered into (or consummated) in reliance on a provision within the same covenant of this Agreement that requires compliance with any such financial ratio or test (including any First Lien Secured Net Leverage Ratio test, any Secured Net Leverage Ratio test, any Total Net Leverage Ratio test or any Interest Coverage Ratio test) (any such amounts, the “</w:t>
      </w:r>
      <w:r>
        <w:rPr>
          <w:rFonts w:ascii="Times New Roman" w:cs="Times New Roman" w:eastAsia="Times New Roman" w:hAnsi="Times New Roman"/>
          <w:sz w:val="14"/>
          <w:szCs w:val="14"/>
          <w:u w:val="single" w:color="auto"/>
          <w:color w:val="auto"/>
        </w:rPr>
        <w:t>Incurrence-Based Amounts</w:t>
      </w:r>
      <w:r>
        <w:rPr>
          <w:rFonts w:ascii="Times New Roman" w:cs="Times New Roman" w:eastAsia="Times New Roman" w:hAnsi="Times New Roman"/>
          <w:sz w:val="14"/>
          <w:szCs w:val="14"/>
          <w:color w:val="auto"/>
        </w:rPr>
        <w:t xml:space="preserve"> ”), it is understood and agreed that (i) the Fixed Amounts under such covenant shall be disregarded in the calculation of the financial ratio or test applicable to any substantially concurrent utilization of the Incurrence-Based Amounts and (ii) the entire transaction (or series of related transactions) shall be calculated on a Pro Forma Basis (including the use of proceeds of all Indebtedness to be incurred and any repayments, repurchases and redemptions of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purposes of such calculations, the Unrestricted Cash Amount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w:t>
      </w:r>
    </w:p>
    <w:p>
      <w:pPr>
        <w:spacing w:after="0" w:line="111" w:lineRule="exact"/>
        <w:rPr>
          <w:sz w:val="20"/>
          <w:szCs w:val="20"/>
          <w:color w:val="auto"/>
        </w:rPr>
      </w:pPr>
    </w:p>
    <w:p>
      <w:pPr>
        <w:jc w:val="both"/>
        <w:ind w:firstLine="914"/>
        <w:spacing w:after="0" w:line="218" w:lineRule="auto"/>
        <w:rPr>
          <w:sz w:val="20"/>
          <w:szCs w:val="20"/>
          <w:color w:val="auto"/>
        </w:rPr>
      </w:pPr>
      <w:r>
        <w:rPr>
          <w:rFonts w:ascii="Times New Roman" w:cs="Times New Roman" w:eastAsia="Times New Roman" w:hAnsi="Times New Roman"/>
          <w:sz w:val="14"/>
          <w:szCs w:val="14"/>
          <w:color w:val="auto"/>
        </w:rPr>
        <w:t>SECTION 1.09.</w:t>
      </w:r>
      <w:r>
        <w:rPr>
          <w:rFonts w:ascii="Times New Roman" w:cs="Times New Roman" w:eastAsia="Times New Roman" w:hAnsi="Times New Roman"/>
          <w:sz w:val="14"/>
          <w:szCs w:val="14"/>
          <w:u w:val="single" w:color="auto"/>
          <w:color w:val="auto"/>
        </w:rPr>
        <w:t>Interest Rates</w:t>
      </w:r>
      <w:r>
        <w:rPr>
          <w:rFonts w:ascii="Times New Roman" w:cs="Times New Roman" w:eastAsia="Times New Roman" w:hAnsi="Times New Roman"/>
          <w:sz w:val="14"/>
          <w:szCs w:val="14"/>
          <w:color w:val="auto"/>
        </w:rPr>
        <w:t xml:space="preserve"> . The Administrative Agent does not warrant or accept any responsibility for, and shall not have any liability with respect to, (a) the continuation of, administration of, submission of, calculation of or any other matter related to the ABR, the Term SOFR Reference Rate, Term SOFR, the Eurocurrency Rate or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Term SOFR, the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ABR or a Benchmark, any alternative, successor or replacement rate (including any Benchmark Replacement) or any relevant adjustments thereto, in each case, in a manner adverse to the Borrowers. The Administrative Agent may select information sources or services in its reasonable discretion to ascertain ABR, any Benchmark, any component definition thereof or rates referred to in the definition thereof, in each case pursuant to the terms of this Agreement, and shall have no liability to the Parent or any of its subsidiaries,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41" w:name="page542"/>
    <w:bookmarkEnd w:id="541"/>
    <w:p>
      <w:pPr>
        <w:spacing w:after="0" w:line="24" w:lineRule="exact"/>
        <w:rPr>
          <w:sz w:val="20"/>
          <w:szCs w:val="20"/>
          <w:color w:val="auto"/>
        </w:rPr>
      </w:pPr>
    </w:p>
    <w:p>
      <w:pPr>
        <w:jc w:val="both"/>
        <w:ind w:right="20" w:firstLine="914"/>
        <w:spacing w:after="0" w:line="228" w:lineRule="auto"/>
        <w:rPr>
          <w:sz w:val="20"/>
          <w:szCs w:val="20"/>
          <w:color w:val="auto"/>
        </w:rPr>
      </w:pPr>
      <w:r>
        <w:rPr>
          <w:rFonts w:ascii="Times New Roman" w:cs="Times New Roman" w:eastAsia="Times New Roman" w:hAnsi="Times New Roman"/>
          <w:sz w:val="14"/>
          <w:szCs w:val="14"/>
          <w:color w:val="auto"/>
        </w:rPr>
        <w:t xml:space="preserve">SECTION 1.10. </w:t>
      </w:r>
      <w:r>
        <w:rPr>
          <w:rFonts w:ascii="Times New Roman" w:cs="Times New Roman" w:eastAsia="Times New Roman" w:hAnsi="Times New Roman"/>
          <w:sz w:val="14"/>
          <w:szCs w:val="14"/>
          <w:u w:val="single" w:color="auto"/>
          <w:color w:val="auto"/>
        </w:rPr>
        <w:t>Letter of Credit Amounts</w:t>
      </w:r>
      <w:r>
        <w:rPr>
          <w:rFonts w:ascii="Times New Roman" w:cs="Times New Roman" w:eastAsia="Times New Roman" w:hAnsi="Times New Roman"/>
          <w:sz w:val="14"/>
          <w:szCs w:val="14"/>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 that with respect to any Letter of Credit that, by its terms or the terms of any Issuer Document related thereto, provides for one or more automatic increases in the stated amount thereof (any such letter, a “ </w:t>
      </w:r>
      <w:r>
        <w:rPr>
          <w:rFonts w:ascii="Times New Roman" w:cs="Times New Roman" w:eastAsia="Times New Roman" w:hAnsi="Times New Roman"/>
          <w:sz w:val="14"/>
          <w:szCs w:val="14"/>
          <w:u w:val="single" w:color="auto"/>
          <w:color w:val="auto"/>
        </w:rPr>
        <w:t>Step - Up Letter of Credit</w:t>
      </w:r>
      <w:r>
        <w:rPr>
          <w:rFonts w:ascii="Times New Roman" w:cs="Times New Roman" w:eastAsia="Times New Roman" w:hAnsi="Times New Roman"/>
          <w:sz w:val="14"/>
          <w:szCs w:val="14"/>
          <w:color w:val="auto"/>
        </w:rPr>
        <w:t>”), the amount of such Letter of Credit shall be deemed to be the maximum stated amount of such Letter of Credit after giving effect to all such increases, whether or not such maximum stated amount is in effect at such time.</w:t>
      </w:r>
    </w:p>
    <w:p>
      <w:pPr>
        <w:spacing w:after="0" w:line="112" w:lineRule="exact"/>
        <w:rPr>
          <w:sz w:val="20"/>
          <w:szCs w:val="20"/>
          <w:color w:val="auto"/>
        </w:rPr>
      </w:pPr>
    </w:p>
    <w:p>
      <w:pPr>
        <w:jc w:val="both"/>
        <w:ind w:firstLine="914"/>
        <w:spacing w:after="0" w:line="225" w:lineRule="auto"/>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u w:val="single" w:color="auto"/>
          <w:color w:val="auto"/>
        </w:rPr>
        <w:t>Divisions</w:t>
      </w:r>
      <w:r>
        <w:rPr>
          <w:rFonts w:ascii="Times New Roman" w:cs="Times New Roman" w:eastAsia="Times New Roman" w:hAnsi="Times New Roman"/>
          <w:sz w:val="14"/>
          <w:szCs w:val="14"/>
          <w:color w:val="auto"/>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1.12.</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14"/>
        <w:spacing w:after="0" w:line="228" w:lineRule="auto"/>
        <w:rPr>
          <w:sz w:val="20"/>
          <w:szCs w:val="20"/>
          <w:color w:val="auto"/>
        </w:rPr>
      </w:pPr>
      <w:r>
        <w:rPr>
          <w:rFonts w:ascii="Times New Roman" w:cs="Times New Roman" w:eastAsia="Times New Roman" w:hAnsi="Times New Roman"/>
          <w:sz w:val="14"/>
          <w:szCs w:val="14"/>
          <w:color w:val="auto"/>
        </w:rPr>
        <w:t>SECTION 1.13.</w:t>
      </w:r>
      <w:r>
        <w:rPr>
          <w:rFonts w:ascii="Times New Roman" w:cs="Times New Roman" w:eastAsia="Times New Roman" w:hAnsi="Times New Roman"/>
          <w:sz w:val="14"/>
          <w:szCs w:val="14"/>
          <w:u w:val="single" w:color="auto"/>
          <w:color w:val="auto"/>
        </w:rPr>
        <w:t>Currency Fluctuations</w:t>
      </w:r>
      <w:r>
        <w:rPr>
          <w:rFonts w:ascii="Times New Roman" w:cs="Times New Roman" w:eastAsia="Times New Roman" w:hAnsi="Times New Roman"/>
          <w:sz w:val="14"/>
          <w:szCs w:val="14"/>
          <w:color w:val="auto"/>
        </w:rPr>
        <w:t xml:space="preserve"> . Notwithstanding anything to the contrary in this Agreement, (a) any representation or warranty that would be untrue or inaccurate, (b) any undertaking that would be breached or (c) any event that would constitute a Default or an Event of Default, in each case, solely as a result of fluctuations in applicable currency exchange rates, shall not be deemed to be untrue, inaccurate, breached or so constituted, as applicable, solely as a result of such fluctuations in currency exchange rates;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Section 1.13 shall not apply with respect to any inaccuracy, breach, Default or Event of Default relating to Section 6.12.</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1.14.</w:t>
      </w:r>
      <w:r>
        <w:rPr>
          <w:rFonts w:ascii="Times New Roman" w:cs="Times New Roman" w:eastAsia="Times New Roman" w:hAnsi="Times New Roman"/>
          <w:sz w:val="14"/>
          <w:szCs w:val="14"/>
          <w:u w:val="single" w:color="auto"/>
          <w:color w:val="auto"/>
        </w:rPr>
        <w:t>Danish Terms</w:t>
      </w:r>
      <w:r>
        <w:rPr>
          <w:rFonts w:ascii="Times New Roman" w:cs="Times New Roman" w:eastAsia="Times New Roman" w:hAnsi="Times New Roman"/>
          <w:sz w:val="14"/>
          <w:szCs w:val="14"/>
          <w:color w:val="auto"/>
        </w:rPr>
        <w:t>. In this Agreement, where it relates to a person incorporated in Denmark or other applicable term, a reference to:</w:t>
      </w:r>
    </w:p>
    <w:p>
      <w:pPr>
        <w:spacing w:after="0" w:line="132" w:lineRule="exact"/>
        <w:rPr>
          <w:sz w:val="20"/>
          <w:szCs w:val="20"/>
          <w:color w:val="auto"/>
        </w:rPr>
      </w:pPr>
    </w:p>
    <w:p>
      <w:pPr>
        <w:ind w:left="1380" w:hanging="460"/>
        <w:spacing w:after="0"/>
        <w:tabs>
          <w:tab w:leader="none" w:pos="138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composition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similar arrangement</w:t>
      </w:r>
      <w:r>
        <w:rPr>
          <w:rFonts w:ascii="Times New Roman" w:cs="Times New Roman" w:eastAsia="Times New Roman" w:hAnsi="Times New Roman"/>
          <w:sz w:val="14"/>
          <w:szCs w:val="14"/>
          <w:color w:val="auto"/>
        </w:rPr>
        <w:t xml:space="preserve">” with any creditor includes a </w:t>
      </w:r>
      <w:r>
        <w:rPr>
          <w:rFonts w:ascii="Times New Roman" w:cs="Times New Roman" w:eastAsia="Times New Roman" w:hAnsi="Times New Roman"/>
          <w:sz w:val="14"/>
          <w:szCs w:val="14"/>
          <w:i w:val="1"/>
          <w:iCs w:val="1"/>
          <w:color w:val="auto"/>
        </w:rPr>
        <w:t>rekonstruktion</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konkursbehandling</w:t>
      </w:r>
      <w:r>
        <w:rPr>
          <w:rFonts w:ascii="Times New Roman" w:cs="Times New Roman" w:eastAsia="Times New Roman" w:hAnsi="Times New Roman"/>
          <w:sz w:val="14"/>
          <w:szCs w:val="14"/>
          <w:color w:val="auto"/>
        </w:rPr>
        <w:t xml:space="preserve"> under Danish law;</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receiver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liqudator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compulsory manager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administrator</w:t>
      </w:r>
      <w:r>
        <w:rPr>
          <w:rFonts w:ascii="Times New Roman" w:cs="Times New Roman" w:eastAsia="Times New Roman" w:hAnsi="Times New Roman"/>
          <w:sz w:val="14"/>
          <w:szCs w:val="14"/>
          <w:color w:val="auto"/>
        </w:rPr>
        <w:t xml:space="preserve">” includes a </w:t>
      </w:r>
      <w:r>
        <w:rPr>
          <w:rFonts w:ascii="Times New Roman" w:cs="Times New Roman" w:eastAsia="Times New Roman" w:hAnsi="Times New Roman"/>
          <w:sz w:val="14"/>
          <w:szCs w:val="14"/>
          <w:i w:val="1"/>
          <w:iCs w:val="1"/>
          <w:color w:val="auto"/>
        </w:rPr>
        <w:t>rekonstruktør</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i w:val="1"/>
          <w:iCs w:val="1"/>
          <w:color w:val="auto"/>
        </w:rPr>
        <w:t>kurator</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likvidator</w:t>
      </w:r>
      <w:r>
        <w:rPr>
          <w:rFonts w:ascii="Times New Roman" w:cs="Times New Roman" w:eastAsia="Times New Roman" w:hAnsi="Times New Roman"/>
          <w:sz w:val="14"/>
          <w:szCs w:val="14"/>
          <w:color w:val="auto"/>
        </w:rPr>
        <w:t xml:space="preserve"> under Danish law;</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gross negligence</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i w:val="1"/>
          <w:iCs w:val="1"/>
          <w:color w:val="auto"/>
        </w:rPr>
        <w:t>grov uagtsomhed</w:t>
      </w:r>
      <w:r>
        <w:rPr>
          <w:rFonts w:ascii="Times New Roman" w:cs="Times New Roman" w:eastAsia="Times New Roman" w:hAnsi="Times New Roman"/>
          <w:sz w:val="14"/>
          <w:szCs w:val="14"/>
          <w:color w:val="auto"/>
        </w:rPr>
        <w:t xml:space="preserve"> under Danish law;</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wilful misconduct</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i w:val="1"/>
          <w:iCs w:val="1"/>
          <w:color w:val="auto"/>
        </w:rPr>
        <w:t>forsæt</w:t>
      </w:r>
      <w:r>
        <w:rPr>
          <w:rFonts w:ascii="Times New Roman" w:cs="Times New Roman" w:eastAsia="Times New Roman" w:hAnsi="Times New Roman"/>
          <w:sz w:val="14"/>
          <w:szCs w:val="14"/>
          <w:color w:val="auto"/>
        </w:rPr>
        <w:t xml:space="preserve"> under Danish law;</w:t>
      </w:r>
    </w:p>
    <w:p>
      <w:pPr>
        <w:spacing w:after="0" w:line="134" w:lineRule="exact"/>
        <w:rPr>
          <w:rFonts w:ascii="Times New Roman" w:cs="Times New Roman" w:eastAsia="Times New Roman" w:hAnsi="Times New Roman"/>
          <w:sz w:val="14"/>
          <w:szCs w:val="14"/>
          <w:color w:val="auto"/>
        </w:rPr>
      </w:pPr>
    </w:p>
    <w:p>
      <w:pPr>
        <w:ind w:right="20" w:firstLine="920"/>
        <w:spacing w:after="0" w:line="251" w:lineRule="auto"/>
        <w:tabs>
          <w:tab w:leader="none" w:pos="137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xml:space="preserve">” includes any </w:t>
      </w:r>
      <w:r>
        <w:rPr>
          <w:rFonts w:ascii="Times New Roman" w:cs="Times New Roman" w:eastAsia="Times New Roman" w:hAnsi="Times New Roman"/>
          <w:sz w:val="14"/>
          <w:szCs w:val="14"/>
          <w:i w:val="1"/>
          <w:iCs w:val="1"/>
          <w:color w:val="auto"/>
        </w:rPr>
        <w:t>garanti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kaution</w:t>
      </w:r>
      <w:r>
        <w:rPr>
          <w:rFonts w:ascii="Times New Roman" w:cs="Times New Roman" w:eastAsia="Times New Roman" w:hAnsi="Times New Roman"/>
          <w:sz w:val="14"/>
          <w:szCs w:val="14"/>
          <w:color w:val="auto"/>
        </w:rPr>
        <w:t xml:space="preserve"> under Danish law which is independent from the debt to which it relates and means, for the purpose of a guarantee granted by a Guarantor incorporated in Denmark, a first demand guarantee (in Danish: </w:t>
      </w:r>
      <w:r>
        <w:rPr>
          <w:rFonts w:ascii="Times New Roman" w:cs="Times New Roman" w:eastAsia="Times New Roman" w:hAnsi="Times New Roman"/>
          <w:sz w:val="14"/>
          <w:szCs w:val="14"/>
          <w:i w:val="1"/>
          <w:iCs w:val="1"/>
          <w:color w:val="auto"/>
        </w:rPr>
        <w:t>anfordringsgaranti</w:t>
      </w:r>
      <w:r>
        <w:rPr>
          <w:rFonts w:ascii="Times New Roman" w:cs="Times New Roman" w:eastAsia="Times New Roman" w:hAnsi="Times New Roman"/>
          <w:sz w:val="14"/>
          <w:szCs w:val="14"/>
          <w:color w:val="auto"/>
        </w:rPr>
        <w:t>) and not a surety;</w:t>
      </w:r>
    </w:p>
    <w:p>
      <w:pPr>
        <w:spacing w:after="0" w:line="10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xml:space="preserve">” includes any </w:t>
      </w:r>
      <w:r>
        <w:rPr>
          <w:rFonts w:ascii="Times New Roman" w:cs="Times New Roman" w:eastAsia="Times New Roman" w:hAnsi="Times New Roman"/>
          <w:sz w:val="14"/>
          <w:szCs w:val="14"/>
          <w:i w:val="1"/>
          <w:iCs w:val="1"/>
          <w:color w:val="auto"/>
        </w:rPr>
        <w:t>fusion</w:t>
      </w:r>
      <w:r>
        <w:rPr>
          <w:rFonts w:ascii="Times New Roman" w:cs="Times New Roman" w:eastAsia="Times New Roman" w:hAnsi="Times New Roman"/>
          <w:sz w:val="14"/>
          <w:szCs w:val="14"/>
          <w:color w:val="auto"/>
        </w:rPr>
        <w:t xml:space="preserve"> under Danish law;</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demerger</w:t>
      </w:r>
      <w:r>
        <w:rPr>
          <w:rFonts w:ascii="Times New Roman" w:cs="Times New Roman" w:eastAsia="Times New Roman" w:hAnsi="Times New Roman"/>
          <w:sz w:val="14"/>
          <w:szCs w:val="14"/>
          <w:color w:val="auto"/>
        </w:rPr>
        <w:t xml:space="preserve">” includes any </w:t>
      </w:r>
      <w:r>
        <w:rPr>
          <w:rFonts w:ascii="Times New Roman" w:cs="Times New Roman" w:eastAsia="Times New Roman" w:hAnsi="Times New Roman"/>
          <w:sz w:val="14"/>
          <w:szCs w:val="14"/>
          <w:i w:val="1"/>
          <w:iCs w:val="1"/>
          <w:color w:val="auto"/>
        </w:rPr>
        <w:t>spaltning</w:t>
      </w:r>
      <w:r>
        <w:rPr>
          <w:rFonts w:ascii="Times New Roman" w:cs="Times New Roman" w:eastAsia="Times New Roman" w:hAnsi="Times New Roman"/>
          <w:sz w:val="14"/>
          <w:szCs w:val="14"/>
          <w:color w:val="auto"/>
        </w:rPr>
        <w:t xml:space="preserve"> under Danish law;</w:t>
      </w:r>
    </w:p>
    <w:p>
      <w:pPr>
        <w:spacing w:after="0" w:line="134" w:lineRule="exact"/>
        <w:rPr>
          <w:rFonts w:ascii="Times New Roman" w:cs="Times New Roman" w:eastAsia="Times New Roman" w:hAnsi="Times New Roman"/>
          <w:sz w:val="14"/>
          <w:szCs w:val="14"/>
          <w:color w:val="auto"/>
        </w:rPr>
      </w:pPr>
    </w:p>
    <w:p>
      <w:pPr>
        <w:ind w:right="40" w:firstLine="920"/>
        <w:spacing w:after="0" w:line="251" w:lineRule="auto"/>
        <w:tabs>
          <w:tab w:leader="none" w:pos="1361"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insolvency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inability to pay its debts as they fall due</w:t>
      </w:r>
      <w:r>
        <w:rPr>
          <w:rFonts w:ascii="Times New Roman" w:cs="Times New Roman" w:eastAsia="Times New Roman" w:hAnsi="Times New Roman"/>
          <w:sz w:val="14"/>
          <w:szCs w:val="14"/>
          <w:color w:val="auto"/>
        </w:rPr>
        <w:t xml:space="preserve"> ” shall be construed in accordance with section 17(2) of the Danish Bankruptcy Act ( </w:t>
      </w:r>
      <w:r>
        <w:rPr>
          <w:rFonts w:ascii="Times New Roman" w:cs="Times New Roman" w:eastAsia="Times New Roman" w:hAnsi="Times New Roman"/>
          <w:sz w:val="14"/>
          <w:szCs w:val="14"/>
          <w:i w:val="1"/>
          <w:iCs w:val="1"/>
          <w:color w:val="auto"/>
        </w:rPr>
        <w:t>konkursloven</w:t>
      </w:r>
      <w:r>
        <w:rPr>
          <w:rFonts w:ascii="Times New Roman" w:cs="Times New Roman" w:eastAsia="Times New Roman" w:hAnsi="Times New Roman"/>
          <w:sz w:val="14"/>
          <w:szCs w:val="14"/>
          <w:color w:val="auto"/>
        </w:rPr>
        <w:t>), as amended, restated or supplemented from time to time;</w:t>
      </w:r>
    </w:p>
    <w:p>
      <w:pPr>
        <w:spacing w:after="0" w:line="101" w:lineRule="exact"/>
        <w:rPr>
          <w:rFonts w:ascii="Times New Roman" w:cs="Times New Roman" w:eastAsia="Times New Roman" w:hAnsi="Times New Roman"/>
          <w:sz w:val="14"/>
          <w:szCs w:val="14"/>
          <w:color w:val="auto"/>
        </w:rPr>
      </w:pPr>
    </w:p>
    <w:p>
      <w:pPr>
        <w:ind w:right="40" w:firstLine="920"/>
        <w:spacing w:after="0" w:line="251" w:lineRule="auto"/>
        <w:tabs>
          <w:tab w:leader="none" w:pos="137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winding up</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liquidation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dissolution</w:t>
      </w:r>
      <w:r>
        <w:rPr>
          <w:rFonts w:ascii="Times New Roman" w:cs="Times New Roman" w:eastAsia="Times New Roman" w:hAnsi="Times New Roman"/>
          <w:sz w:val="14"/>
          <w:szCs w:val="14"/>
          <w:color w:val="auto"/>
        </w:rPr>
        <w:t xml:space="preserve">” includes a </w:t>
      </w:r>
      <w:r>
        <w:rPr>
          <w:rFonts w:ascii="Times New Roman" w:cs="Times New Roman" w:eastAsia="Times New Roman" w:hAnsi="Times New Roman"/>
          <w:sz w:val="14"/>
          <w:szCs w:val="14"/>
          <w:i w:val="1"/>
          <w:iCs w:val="1"/>
          <w:color w:val="auto"/>
        </w:rPr>
        <w:t>likvidation, opløsning på grundlag af betalingserklæring</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tvangsopløsning ved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likvidationsbehandling </w:t>
      </w:r>
      <w:r>
        <w:rPr>
          <w:rFonts w:ascii="Times New Roman" w:cs="Times New Roman" w:eastAsia="Times New Roman" w:hAnsi="Times New Roman"/>
          <w:sz w:val="14"/>
          <w:szCs w:val="14"/>
          <w:color w:val="auto"/>
        </w:rPr>
        <w:t>under Danish law;</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42" w:name="page543"/>
    <w:bookmarkEnd w:id="542"/>
    <w:p>
      <w:pPr>
        <w:spacing w:after="0" w:line="22" w:lineRule="exact"/>
        <w:rPr>
          <w:sz w:val="20"/>
          <w:szCs w:val="20"/>
          <w:color w:val="auto"/>
        </w:rPr>
      </w:pPr>
    </w:p>
    <w:p>
      <w:pPr>
        <w:ind w:left="1380" w:hanging="460"/>
        <w:spacing w:after="0"/>
        <w:tabs>
          <w:tab w:leader="none" w:pos="1380"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constitutional documents</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i w:val="1"/>
          <w:iCs w:val="1"/>
          <w:color w:val="auto"/>
        </w:rPr>
        <w:t>vedtægter</w:t>
      </w:r>
      <w:r>
        <w:rPr>
          <w:rFonts w:ascii="Times New Roman" w:cs="Times New Roman" w:eastAsia="Times New Roman" w:hAnsi="Times New Roman"/>
          <w:sz w:val="14"/>
          <w:szCs w:val="14"/>
          <w:color w:val="auto"/>
        </w:rPr>
        <w:t>; and</w:t>
      </w:r>
    </w:p>
    <w:p>
      <w:pPr>
        <w:spacing w:after="0" w:line="136"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relation to any Danish Security Document or other security rights or security assets governed by Danish law or located in Denmark, such Collateral shall be granted by the relevant security provider to the Collateral Agent as agent and representative (in Danish: </w:t>
      </w:r>
      <w:r>
        <w:rPr>
          <w:rFonts w:ascii="Times New Roman" w:cs="Times New Roman" w:eastAsia="Times New Roman" w:hAnsi="Times New Roman"/>
          <w:sz w:val="14"/>
          <w:szCs w:val="14"/>
          <w:i w:val="1"/>
          <w:iCs w:val="1"/>
          <w:color w:val="auto"/>
        </w:rPr>
        <w:t>fuldmægtig og repræsentant</w:t>
      </w:r>
      <w:r>
        <w:rPr>
          <w:rFonts w:ascii="Times New Roman" w:cs="Times New Roman" w:eastAsia="Times New Roman" w:hAnsi="Times New Roman"/>
          <w:sz w:val="14"/>
          <w:szCs w:val="14"/>
          <w:color w:val="auto"/>
        </w:rPr>
        <w:t>) for the Secured Parties in accordance with Section 18(1), cf. Section 1 (2), of the Danish Capital Markets Act.</w:t>
      </w:r>
    </w:p>
    <w:p>
      <w:pPr>
        <w:spacing w:after="0" w:line="1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II</w:t>
      </w:r>
    </w:p>
    <w:p>
      <w:pPr>
        <w:spacing w:after="0" w:line="1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u w:val="single" w:color="auto"/>
          <w:color w:val="auto"/>
        </w:rPr>
        <w:t>The Credits</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2.01.</w:t>
      </w:r>
      <w:r>
        <w:rPr>
          <w:rFonts w:ascii="Times New Roman" w:cs="Times New Roman" w:eastAsia="Times New Roman" w:hAnsi="Times New Roman"/>
          <w:sz w:val="14"/>
          <w:szCs w:val="14"/>
          <w:u w:val="single" w:color="auto"/>
          <w:color w:val="auto"/>
        </w:rPr>
        <w:t>Commitments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40" w:firstLine="920"/>
        <w:spacing w:after="0" w:line="228" w:lineRule="auto"/>
        <w:tabs>
          <w:tab w:leader="none" w:pos="1370"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set forth herein, each Lender having an Initial Term A Commitment agrees, severally and not jointly, to make a loan denominated in Dollars to the Borrowers (each, an “</w:t>
      </w:r>
      <w:r>
        <w:rPr>
          <w:rFonts w:ascii="Times New Roman" w:cs="Times New Roman" w:eastAsia="Times New Roman" w:hAnsi="Times New Roman"/>
          <w:sz w:val="14"/>
          <w:szCs w:val="14"/>
          <w:u w:val="single" w:color="auto"/>
          <w:color w:val="auto"/>
        </w:rPr>
        <w:t>Initial Term A Loan</w:t>
      </w:r>
      <w:r>
        <w:rPr>
          <w:rFonts w:ascii="Times New Roman" w:cs="Times New Roman" w:eastAsia="Times New Roman" w:hAnsi="Times New Roman"/>
          <w:sz w:val="14"/>
          <w:szCs w:val="14"/>
          <w:color w:val="auto"/>
        </w:rPr>
        <w:t xml:space="preserve"> ”) on the Closing Date in an aggregate principal amount not to exceed the Initial Term A Commitment of such Lender. The full amount of the Initial Term A Commitments must be drawn in a single drawing on the Closing Date. Initial Term A Loans borrowed under this Section 2.01(a) that are repaid or prepaid may not be reborrowed.</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61"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set forth herein, each Lender having an Initial Term B Commitment agrees, severally and not jointly, to make a loan denominated in Dollars to the Borrowers (each, an “</w:t>
      </w:r>
      <w:r>
        <w:rPr>
          <w:rFonts w:ascii="Times New Roman" w:cs="Times New Roman" w:eastAsia="Times New Roman" w:hAnsi="Times New Roman"/>
          <w:sz w:val="14"/>
          <w:szCs w:val="14"/>
          <w:u w:val="single" w:color="auto"/>
          <w:color w:val="auto"/>
        </w:rPr>
        <w:t>Initial Term B Loan</w:t>
      </w:r>
      <w:r>
        <w:rPr>
          <w:rFonts w:ascii="Times New Roman" w:cs="Times New Roman" w:eastAsia="Times New Roman" w:hAnsi="Times New Roman"/>
          <w:sz w:val="14"/>
          <w:szCs w:val="14"/>
          <w:color w:val="auto"/>
        </w:rPr>
        <w:t xml:space="preserve"> ”) on the Closing Date in an aggregate principal amount not to exceed the Initial Term B Commitment of such Lender. The full amount of the Initial Term B Commitments must be drawn in a single drawing on the Closing Date. Initial Term B Loans borrowed under this Section 2.01(b) that are repaid or prepaid may not be reborrowed.</w:t>
      </w:r>
    </w:p>
    <w:p>
      <w:pPr>
        <w:spacing w:after="0" w:line="111" w:lineRule="exact"/>
        <w:rPr>
          <w:rFonts w:ascii="Times New Roman" w:cs="Times New Roman" w:eastAsia="Times New Roman" w:hAnsi="Times New Roman"/>
          <w:sz w:val="14"/>
          <w:szCs w:val="14"/>
          <w:color w:val="auto"/>
        </w:rPr>
      </w:pPr>
    </w:p>
    <w:p>
      <w:pPr>
        <w:jc w:val="both"/>
        <w:ind w:firstLine="920"/>
        <w:spacing w:after="0" w:line="225" w:lineRule="auto"/>
        <w:tabs>
          <w:tab w:leader="none" w:pos="1370"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set forth herein, each Lender having an Initial Revolving Commitment agrees, severally and not jointly, to make loans denominated in any Agreed Currency to the Borrowers (each, an “</w:t>
      </w:r>
      <w:r>
        <w:rPr>
          <w:rFonts w:ascii="Times New Roman" w:cs="Times New Roman" w:eastAsia="Times New Roman" w:hAnsi="Times New Roman"/>
          <w:sz w:val="14"/>
          <w:szCs w:val="14"/>
          <w:u w:val="single" w:color="auto"/>
          <w:color w:val="auto"/>
        </w:rPr>
        <w:t>Initial Revolving Loan</w:t>
      </w:r>
      <w:r>
        <w:rPr>
          <w:rFonts w:ascii="Times New Roman" w:cs="Times New Roman" w:eastAsia="Times New Roman" w:hAnsi="Times New Roman"/>
          <w:sz w:val="14"/>
          <w:szCs w:val="14"/>
          <w:color w:val="auto"/>
        </w:rPr>
        <w:t>”) from time to time during the Availability Period in an aggregate principal amount that will not result in (i) such Lender’s Revolving Credit Exposure with respect to the Initial Revolving Facility exceeding such Lender’s Revolving Commitment under the Initial Revolving Facility, or (ii) the total Revolving Credit Exposure with respect to the Initial Revolving Facility exceeding the total Revolving Commitments under the Initial Revolving Facility. Within the foregoing limits and subject to the terms and conditions set forth herein, the Borrowers may borrow, prepay and reborrow Initial Revolving Loans.</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2.02.</w:t>
      </w:r>
      <w:r>
        <w:rPr>
          <w:rFonts w:ascii="Times New Roman" w:cs="Times New Roman" w:eastAsia="Times New Roman" w:hAnsi="Times New Roman"/>
          <w:sz w:val="14"/>
          <w:szCs w:val="14"/>
          <w:u w:val="single" w:color="auto"/>
          <w:color w:val="auto"/>
        </w:rPr>
        <w:t>Loans and Borrowings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5" w:lineRule="auto"/>
        <w:tabs>
          <w:tab w:leader="none" w:pos="1370"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Loan shall be made as part of a Borrowing consisting of Loans under the same Facility and of the same Type made by the Lenders ratably in accordance with their respective Commitments under the applicable Facility;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Revolving Loans of any Class shall be made by the Revolving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Commitments of the Lenders are several and no Lender shall be responsible for any other Lender’s failure to make Loans as required.</w:t>
      </w:r>
    </w:p>
    <w:p>
      <w:pPr>
        <w:spacing w:after="0" w:line="111" w:lineRule="exact"/>
        <w:rPr>
          <w:rFonts w:ascii="Times New Roman" w:cs="Times New Roman" w:eastAsia="Times New Roman" w:hAnsi="Times New Roman"/>
          <w:sz w:val="14"/>
          <w:szCs w:val="14"/>
          <w:color w:val="auto"/>
        </w:rPr>
      </w:pPr>
    </w:p>
    <w:p>
      <w:pPr>
        <w:jc w:val="both"/>
        <w:ind w:firstLine="920"/>
        <w:spacing w:after="0"/>
        <w:tabs>
          <w:tab w:leader="none" w:pos="1361"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Sections 2.27 and 2.28 , (i) each Initial Term A Borrowing shall consist entirely of ABR Loans or Term SOFR Loans, (ii) each Initial Term B Borrowing shall consist entirely of ABR Loans or Term SOFR Loans and (iii) each Initial Revolving Borrowing shall consist entirely of (A) in the case of an Initial Revolving Borrowing denominated in Dollars, ABR Loans or Term SOFR Loans and (B) in the case of an Initial Revolving Borrowing denominated in Euros or DKK, Eurocurrency Rate Loans, in each case as the Borrowers may request in accordance herewith. Each Lender at its option may make any ABR Loan, Term SOFR Loan or Eurocurrency Rate Loan by causing any domestic or foreign branch or Affiliate of such Lender to make such Loan (and in the case of an Affiliate, the provisions of Sections 2.15, 2.16 and 2.17 shall apply to such Affiliate to the same extent as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43" w:name="page544"/>
    <w:bookmarkEnd w:id="543"/>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 xml:space="preserve">to such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exercise of such option shall not affect the obligation of the Borrowers to repay such Loan in accordance with the terms of this Agreement and such Lender shall not be entitled to any amounts payable under Section 2.15 or 2.17 solely in respect of increased costs resulting from such exercise and existing at the time of such exercise.</w:t>
      </w:r>
    </w:p>
    <w:p>
      <w:pPr>
        <w:spacing w:after="0" w:line="105" w:lineRule="exact"/>
        <w:rPr>
          <w:sz w:val="20"/>
          <w:szCs w:val="20"/>
          <w:color w:val="auto"/>
        </w:rPr>
      </w:pPr>
    </w:p>
    <w:p>
      <w:pPr>
        <w:ind w:left="1380" w:hanging="460"/>
        <w:spacing w:after="0"/>
        <w:tabs>
          <w:tab w:leader="none" w:pos="138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jc w:val="both"/>
        <w:ind w:firstLine="920"/>
        <w:spacing w:after="0" w:line="220" w:lineRule="auto"/>
        <w:tabs>
          <w:tab w:leader="none" w:pos="1361"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the commencement of each Interest Period for any Term SOFR Revolving Borrowing or Eurocurrency Rate Revolving Borrowing, such Borrowing shall be in an aggregate amount that is an integral multiple of the Borrowing Multiple and not less than the Borrowing Minimum. At the time that each ABR Revolving Borrowing is made, such Borrowing shall be in an aggregate amount that is an integral multiple of the Borrowing Multiple and not less than the Borrowing Minimum;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 ABR Revolving Borrowing may be in an aggregate amount that is equal to the entire unused available balance of the Revolving Commitments of the applicable Class or that is required to finance the reimbursement of an L/C Disbursement as contemplated by Section 2.05(c). Borrowings of more than one Type and Class may be outstanding at the same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Borrower shall be entitled to request any Borrowing that, if made, and after giving effect to all Borrowings, all conversions of Loans from one type to another, and all continuations of Loans of the same type, would result in more than 12 (or such greater number as may be agreed by the Administrative Agent) Term SOFR Borrowings and Eurocurrency Rate Borrowings outstanding at any time. Borrowings having different Interest Periods, regardless of whether they commence on the same date, shall be considered separate Borrowings.</w:t>
      </w:r>
    </w:p>
    <w:p>
      <w:pPr>
        <w:spacing w:after="0" w:line="113"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Agreement, no Borrower shall be entitled to request, or to elect to convert or continue, any Borrowing of any Class if the Interest Period requested with respect thereto would end after the applicable Maturity Date.</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2.03.</w:t>
      </w:r>
      <w:r>
        <w:rPr>
          <w:rFonts w:ascii="Times New Roman" w:cs="Times New Roman" w:eastAsia="Times New Roman" w:hAnsi="Times New Roman"/>
          <w:sz w:val="14"/>
          <w:szCs w:val="14"/>
          <w:u w:val="single" w:color="auto"/>
          <w:color w:val="auto"/>
        </w:rPr>
        <w:t>Requests for Borrowings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18" w:lineRule="auto"/>
        <w:tabs>
          <w:tab w:leader="none" w:pos="1370"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request a Borrowing, the applicable Borrower shall deliver by electronic means to the Administrative Agent a written Borrowing Request signed by a Responsible Officer of applicable Borrower (x) in the case of a Term SOFR Borrowing or a Eurocurrency Rate Borrowing, not later than 1:00 p.m., three (3) Business Days before such Borrowing (or, in the case of any Term SOFR Borrowing to be made on the Closing Date, not later than 12:00 p.m., one (1) Business Day before such Borrowing)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applicable Borrower wishes to request an Interest Period for such Borrowing other than one, three or six months in duration as provided in the definition of “Interest Period,” the applicable Borrower shall notify the Administrative Agent not later than 1:00 p.m., four (4) Business Days before such Borrowing, and the Administrative Agent shall notify the applicable Borrower (which notice may be by telephone) not later than 1:00 p.m., three (3) Business Days before such Borrowing whether or not the requested Interest Period has been consented to by all the applicable Lenders) or (y) in the case of an ABR Borrowing, not later than 11:00 a.m. on the Business Day of the proposed Borrowing, whereupon the Administrative Agent shall give prompt notice to the applicable Lenders of such request. Each such Borrowing Request shall be irrevocable,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Borrowing Request may state that it is conditioned upon the effectiveness of other credit facilities, indentures or similar agreements or other transactions (including, in the case of any Borrowing on the Closing Date, the consummation of the Offer (as defined in the Transaction Agreement)), in which case such notice may be revoked by the applicable Borrower (by notice to the Administrative Agent on or prior to the specified effective date) if such condition is not satisfied. Each such Borrowing Request shall specify the following information in compliance with Section 2.02:</w:t>
      </w:r>
    </w:p>
    <w:p>
      <w:pPr>
        <w:spacing w:after="0" w:line="114" w:lineRule="exact"/>
        <w:rPr>
          <w:sz w:val="20"/>
          <w:szCs w:val="20"/>
          <w:color w:val="auto"/>
        </w:rPr>
      </w:pPr>
    </w:p>
    <w:p>
      <w:pPr>
        <w:ind w:left="1380" w:hanging="460"/>
        <w:spacing w:after="0"/>
        <w:tabs>
          <w:tab w:leader="none" w:pos="1380"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Borrowing is to be a Borrowing of Initial Term A Loans, Initial Term B Loans, Initial Revolving Loans or Loans of another Class, as applicable;</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and aggregate amount of the requested Borrowing;</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such Borrowing, which shall be a Business Day;</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Borrowing is to be an ABR Borrowing, a Term SOFR Borrowing or a Eurocurrency Rate Borrowing;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44" w:name="page545"/>
    <w:bookmarkEnd w:id="544"/>
    <w:p>
      <w:pPr>
        <w:spacing w:after="0" w:line="24" w:lineRule="exact"/>
        <w:rPr>
          <w:sz w:val="20"/>
          <w:szCs w:val="20"/>
          <w:color w:val="auto"/>
        </w:rPr>
      </w:pPr>
    </w:p>
    <w:p>
      <w:pPr>
        <w:ind w:left="460" w:firstLine="460"/>
        <w:spacing w:after="0" w:line="248" w:lineRule="auto"/>
        <w:tabs>
          <w:tab w:leader="none" w:pos="1364"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Eurocurrency Rate Borrowing or Term SOFR Borrowing, the initial Interest Period to be applicable thereto, which shall be a period contemplated by the definition of the term “Interest Period”; and</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location and number of such Borrower’s account, to which funds are to be disbursed.</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If no election as to the Type of Borrowing denominated in Dollars is specified, then the requested Borrowing shall be a Term SOFR Borrowing. If no Interest Period is specified with respect to any requested Eurocurrency Rate Borrowing or Term SOFR Borrowing then the applicable Borrower shall be deemed to have selected an Interest Period of one month’s duration. Promptly following receipt of a Borrowing Request in accordance with this Section 2.03, the Administrative Agent shall advise each applicable Lender of the details thereof and of the amount of such Lender’s Loan to be made as part of the requested Borrowing.</w:t>
      </w:r>
    </w:p>
    <w:p>
      <w:pPr>
        <w:spacing w:after="0" w:line="112" w:lineRule="exact"/>
        <w:rPr>
          <w:sz w:val="20"/>
          <w:szCs w:val="20"/>
          <w:color w:val="auto"/>
        </w:rPr>
      </w:pPr>
    </w:p>
    <w:p>
      <w:pPr>
        <w:ind w:right="20" w:firstLine="920"/>
        <w:spacing w:after="0" w:line="248" w:lineRule="auto"/>
        <w:tabs>
          <w:tab w:leader="none" w:pos="1361"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 may, at its option, make any Loan available to the Borrowers by causing any foreign or domestic branch or Affiliate of such Lender to make such Loan;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exercise of such option shall not affect the obligation of the Borrowers to repay such Loan in accordance with the terms of this Agreement.</w:t>
      </w:r>
    </w:p>
    <w:p>
      <w:pPr>
        <w:spacing w:after="0" w:line="105" w:lineRule="exact"/>
        <w:rPr>
          <w:rFonts w:ascii="Times New Roman" w:cs="Times New Roman" w:eastAsia="Times New Roman" w:hAnsi="Times New Roman"/>
          <w:sz w:val="14"/>
          <w:szCs w:val="14"/>
          <w:color w:val="auto"/>
        </w:rPr>
      </w:pPr>
    </w:p>
    <w:p>
      <w:pPr>
        <w:jc w:val="both"/>
        <w:ind w:firstLine="920"/>
        <w:spacing w:after="0" w:line="228" w:lineRule="auto"/>
        <w:tabs>
          <w:tab w:leader="none" w:pos="1370"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applicable Borrower, the Administrative Agent, and such Lender and such mechanism shall satisfy any applicable requirement that the applicable Loans be repaid “in cash”, “in Dollars” or any other words of similar import.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2.04.</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2.05.</w:t>
      </w:r>
      <w:r>
        <w:rPr>
          <w:rFonts w:ascii="Times New Roman" w:cs="Times New Roman" w:eastAsia="Times New Roman" w:hAnsi="Times New Roman"/>
          <w:sz w:val="14"/>
          <w:szCs w:val="14"/>
          <w:u w:val="single" w:color="auto"/>
          <w:color w:val="auto"/>
        </w:rPr>
        <w:t>Letters of Credit.</w:t>
      </w:r>
    </w:p>
    <w:p>
      <w:pPr>
        <w:spacing w:after="0" w:line="134" w:lineRule="exact"/>
        <w:rPr>
          <w:sz w:val="20"/>
          <w:szCs w:val="20"/>
          <w:color w:val="auto"/>
        </w:rPr>
      </w:pPr>
    </w:p>
    <w:p>
      <w:pPr>
        <w:jc w:val="both"/>
        <w:ind w:firstLine="920"/>
        <w:spacing w:after="0" w:line="232" w:lineRule="auto"/>
        <w:tabs>
          <w:tab w:leader="none" w:pos="1370"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Letter of Credit Commitment</w:t>
      </w:r>
      <w:r>
        <w:rPr>
          <w:rFonts w:ascii="Times New Roman" w:cs="Times New Roman" w:eastAsia="Times New Roman" w:hAnsi="Times New Roman"/>
          <w:sz w:val="14"/>
          <w:szCs w:val="14"/>
          <w:color w:val="auto"/>
        </w:rPr>
        <w:t xml:space="preserve">. (i) Subject to the terms and conditions set forth herein, (A) each Issuing Bank agrees, in reliance upon the agreements of the Revolving Lenders set forth in this Section 2.05, (1) from time to time on any Business Day during the period from the Closing Date until the Letter of Credit Expiration Date for the applicable Revolving Facility, to issue Letters of Credit for the account of a Borrower or jointly for the account of a Borrower and any of the Subsidiaries under any Revolving Facility, and to amend or extend Letters of Credit previously issued by it, in accordance with Section 2.05(b), and (2) to honor drawings under the Letters of Credit; and (B) the Revolving Lenders under each Revolving Facility severally agree to participate in Letters of Credit issued for the account of a Borrower or jointly for the account of a Borrower and any of the Subsidiaries under such Revolving Facility and any drawings thereunder;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effect to any L/C Credit Extension with respect to any Letter of Credit, (w) the Revolving Credit Exposure under the applicable Revolving Facility shall not exceed the Revolving Commitments thereunder, (x) the Revolving Credit Exposure of any Lender under the applicable Revolving Facility shall not exceed such Lender’s Revolving Commitment thereunder, (y) the outstanding amount of the L/C Obligations under a Revolving Facility shall not exceed (1) in the case of the Initial Revolving Facility, the Letter of Credit Sublimit and (2) in the case of any other Revolving Facility, the applicable letter of credit sublimit and (z) unless otherwise agreed by such Issuing Bank in its sole discretion, the outstanding amount of the L/C Obligations in respect of Letters of Credit issued by any Issuing Bank under a Revolving Facility shall not exceed (1) in the case of the Initial Revolving Facility, such Issuing Bank’s Letter of Credit Commitment and (2) in the case of any other Revolving Facility, such Issuing Bank’s letter of credit commitment thereunder.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and the Subsidiaries’ ability to obtain Letters of Credit shall be fully revolving, and accordingly a Borrower may (for its account or jointly for the account of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00"/>
          </w:cols>
          <w:pgMar w:left="640" w:top="1440" w:right="660" w:bottom="1440" w:gutter="0" w:footer="0" w:header="0"/>
        </w:sectPr>
      </w:pPr>
    </w:p>
    <w:bookmarkStart w:id="545" w:name="page546"/>
    <w:bookmarkEnd w:id="545"/>
    <w:p>
      <w:pPr>
        <w:spacing w:after="0" w:line="2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4"/>
          <w:szCs w:val="14"/>
          <w:color w:val="auto"/>
        </w:rPr>
        <w:t>applicable Borrower and any of the Subsidiaries), during the foregoing period, obtain Letters of Credit to replace Letters of Credit that have expired or that have been drawn upon and reimbursed. Any letter of credit issued by a person that is or becomes an Issuing Bank hereunder but which letter of credit was not originally a Letter of Credit but the terms of which then comply with the requirements applicable to Letters of Credit hereunder may, if agreed in writing by the applicable Borrower, such Issuing Bank and the Administrative Agent, be designated as a Letter of Credit hereunder (any such letter of credit subject to the foregoing, an “</w:t>
      </w:r>
      <w:r>
        <w:rPr>
          <w:rFonts w:ascii="Times New Roman" w:cs="Times New Roman" w:eastAsia="Times New Roman" w:hAnsi="Times New Roman"/>
          <w:sz w:val="14"/>
          <w:szCs w:val="14"/>
          <w:u w:val="single" w:color="auto"/>
          <w:color w:val="auto"/>
        </w:rPr>
        <w:t>Existing Letter of Credit</w:t>
      </w:r>
      <w:r>
        <w:rPr>
          <w:rFonts w:ascii="Times New Roman" w:cs="Times New Roman" w:eastAsia="Times New Roman" w:hAnsi="Times New Roman"/>
          <w:sz w:val="14"/>
          <w:szCs w:val="14"/>
          <w:color w:val="auto"/>
        </w:rPr>
        <w:t xml:space="preserve"> ”), in which event, such Existing Letter of Credit shall, subject to the satisfaction of the applicable conditions set forth in Article IV, be deemed to be a Letter of Credit under this Agreement as of the date that is on or after the Closing Date that is specified in such written agreement.</w:t>
      </w:r>
    </w:p>
    <w:p>
      <w:pPr>
        <w:spacing w:after="0" w:line="111" w:lineRule="exact"/>
        <w:rPr>
          <w:sz w:val="20"/>
          <w:szCs w:val="20"/>
          <w:color w:val="auto"/>
        </w:rPr>
      </w:pPr>
    </w:p>
    <w:p>
      <w:pPr>
        <w:ind w:left="1380" w:hanging="460"/>
        <w:spacing w:after="0"/>
        <w:tabs>
          <w:tab w:leader="none" w:pos="1380"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Issuing Bank shall issue any Letter of Credit under any Revolving Facility if:</w:t>
      </w:r>
    </w:p>
    <w:p>
      <w:pPr>
        <w:spacing w:after="0" w:line="134" w:lineRule="exact"/>
        <w:rPr>
          <w:rFonts w:ascii="Times New Roman" w:cs="Times New Roman" w:eastAsia="Times New Roman" w:hAnsi="Times New Roman"/>
          <w:sz w:val="14"/>
          <w:szCs w:val="14"/>
          <w:color w:val="auto"/>
        </w:rPr>
      </w:pPr>
    </w:p>
    <w:p>
      <w:pPr>
        <w:ind w:left="920" w:right="40" w:firstLine="457"/>
        <w:spacing w:after="0" w:line="248" w:lineRule="auto"/>
        <w:tabs>
          <w:tab w:leader="none" w:pos="1834"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2.05(b)(iii), the expiry date of the requested Letter of Credit would occur more than twelve months after the date of issuance or last extension, unless the Required Facility Lenders under such Revolving Facility have approved such expiry date; or</w:t>
      </w:r>
    </w:p>
    <w:p>
      <w:pPr>
        <w:spacing w:after="0" w:line="105" w:lineRule="exact"/>
        <w:rPr>
          <w:rFonts w:ascii="Times New Roman" w:cs="Times New Roman" w:eastAsia="Times New Roman" w:hAnsi="Times New Roman"/>
          <w:sz w:val="14"/>
          <w:szCs w:val="14"/>
          <w:color w:val="auto"/>
        </w:rPr>
      </w:pPr>
    </w:p>
    <w:p>
      <w:pPr>
        <w:jc w:val="both"/>
        <w:ind w:left="920" w:right="40" w:firstLine="457"/>
        <w:spacing w:after="0" w:line="233" w:lineRule="auto"/>
        <w:tabs>
          <w:tab w:leader="none" w:pos="1834"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expiry date of the requested Letter of Credit would occur after the Letter of Credit Expiration Date for such Revolving Facility, unless (x) all the Revolving Lenders under such Revolving Facility and such Issuing Bank have approved such expiry date or (y) such Letter of Credit is Cash Collateralized on terms and pursuant to arrangements satisfactory to the applicable Issuing Bank.</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Issuing Bank shall be under any obligation to issue any Letter of Credit if:</w:t>
      </w:r>
    </w:p>
    <w:p>
      <w:pPr>
        <w:spacing w:after="0" w:line="134" w:lineRule="exact"/>
        <w:rPr>
          <w:rFonts w:ascii="Times New Roman" w:cs="Times New Roman" w:eastAsia="Times New Roman" w:hAnsi="Times New Roman"/>
          <w:sz w:val="14"/>
          <w:szCs w:val="14"/>
          <w:color w:val="auto"/>
        </w:rPr>
      </w:pPr>
    </w:p>
    <w:p>
      <w:pPr>
        <w:jc w:val="both"/>
        <w:ind w:left="920" w:right="40" w:firstLine="457"/>
        <w:spacing w:after="0" w:line="223" w:lineRule="auto"/>
        <w:tabs>
          <w:tab w:leader="none" w:pos="1834"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111" w:lineRule="exact"/>
        <w:rPr>
          <w:rFonts w:ascii="Times New Roman" w:cs="Times New Roman" w:eastAsia="Times New Roman" w:hAnsi="Times New Roman"/>
          <w:sz w:val="14"/>
          <w:szCs w:val="14"/>
          <w:color w:val="auto"/>
        </w:rPr>
      </w:pPr>
    </w:p>
    <w:p>
      <w:pPr>
        <w:ind w:left="1840" w:hanging="463"/>
        <w:spacing w:after="0"/>
        <w:tabs>
          <w:tab w:leader="none" w:pos="1840"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such Letter of Credit would violate one or more policies of such Issuing Bank applicable to letters of credit generally;</w:t>
      </w:r>
    </w:p>
    <w:p>
      <w:pPr>
        <w:spacing w:after="0" w:line="134" w:lineRule="exact"/>
        <w:rPr>
          <w:rFonts w:ascii="Times New Roman" w:cs="Times New Roman" w:eastAsia="Times New Roman" w:hAnsi="Times New Roman"/>
          <w:sz w:val="14"/>
          <w:szCs w:val="14"/>
          <w:color w:val="auto"/>
        </w:rPr>
      </w:pPr>
    </w:p>
    <w:p>
      <w:pPr>
        <w:ind w:left="1840" w:hanging="463"/>
        <w:spacing w:after="0"/>
        <w:tabs>
          <w:tab w:leader="none" w:pos="1840"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agreed by the Administrative Agent and such Issuing Bank, the Letter of Credit is in an initial stated amount of less than $250,000;</w:t>
      </w:r>
    </w:p>
    <w:p>
      <w:pPr>
        <w:spacing w:after="0" w:line="134" w:lineRule="exact"/>
        <w:rPr>
          <w:rFonts w:ascii="Times New Roman" w:cs="Times New Roman" w:eastAsia="Times New Roman" w:hAnsi="Times New Roman"/>
          <w:sz w:val="14"/>
          <w:szCs w:val="14"/>
          <w:color w:val="auto"/>
        </w:rPr>
      </w:pPr>
    </w:p>
    <w:p>
      <w:pPr>
        <w:ind w:left="1840" w:hanging="463"/>
        <w:spacing w:after="0"/>
        <w:tabs>
          <w:tab w:leader="none" w:pos="1840"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Letter of Credit is to be denominated in a currency that is not an Agreed Currency;</w:t>
      </w:r>
    </w:p>
    <w:p>
      <w:pPr>
        <w:spacing w:after="0" w:line="134" w:lineRule="exact"/>
        <w:rPr>
          <w:rFonts w:ascii="Times New Roman" w:cs="Times New Roman" w:eastAsia="Times New Roman" w:hAnsi="Times New Roman"/>
          <w:sz w:val="14"/>
          <w:szCs w:val="14"/>
          <w:color w:val="auto"/>
        </w:rPr>
      </w:pPr>
    </w:p>
    <w:p>
      <w:pPr>
        <w:jc w:val="both"/>
        <w:ind w:left="920" w:right="20" w:firstLine="457"/>
        <w:spacing w:after="0" w:line="225" w:lineRule="auto"/>
        <w:tabs>
          <w:tab w:leader="none" w:pos="1834"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Revolving Lender under the applicable Revolving Facility is at that time a Defaulting Lender, unless such Issuing Bank has entered into arrangements, including for the delivery of Cash Collateral, satisfactory to such Issuing Bank (in its sole discretion) with the applicable Borrower or such Lender to eliminate such Issuing Bank’s actual or reasonably determined potential Fronting Exposure (after giving effect to Section 2.24(a)(iv) with respect to the Defaulting Lender arising from either the Letter of Credit then proposed to be issued or that Letter of Credit and all other L/C Obligations as to which such Issuing Bank has actual or reasonably determined potential Fronting Exposure, as it may elect in its sole discretion);</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83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46" w:name="page547"/>
    <w:bookmarkEnd w:id="546"/>
    <w:p>
      <w:pPr>
        <w:spacing w:after="0" w:line="24" w:lineRule="exact"/>
        <w:rPr>
          <w:sz w:val="20"/>
          <w:szCs w:val="20"/>
          <w:color w:val="auto"/>
        </w:rPr>
      </w:pPr>
    </w:p>
    <w:p>
      <w:pPr>
        <w:ind w:left="1840" w:hanging="463"/>
        <w:spacing w:after="0"/>
        <w:tabs>
          <w:tab w:leader="none" w:pos="1840" w:val="left"/>
        </w:tabs>
        <w:numPr>
          <w:ilvl w:val="2"/>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Letter of Credit contains any provisions for automatic reinstatement of the stated amount after any drawing thereunder; or</w:t>
      </w:r>
    </w:p>
    <w:p>
      <w:pPr>
        <w:spacing w:after="0" w:line="134" w:lineRule="exact"/>
        <w:rPr>
          <w:rFonts w:ascii="Times New Roman" w:cs="Times New Roman" w:eastAsia="Times New Roman" w:hAnsi="Times New Roman"/>
          <w:sz w:val="14"/>
          <w:szCs w:val="14"/>
          <w:color w:val="auto"/>
        </w:rPr>
      </w:pPr>
    </w:p>
    <w:p>
      <w:pPr>
        <w:ind w:left="1840" w:hanging="463"/>
        <w:spacing w:after="0"/>
        <w:tabs>
          <w:tab w:leader="none" w:pos="1840" w:val="left"/>
        </w:tabs>
        <w:numPr>
          <w:ilvl w:val="2"/>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Letter of Credit is to be a Step-Up Letter of Credit.</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24" w:lineRule="auto"/>
        <w:tabs>
          <w:tab w:leader="none" w:pos="1364"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2.05(f), each Issuing Bank shall act on behalf of the Revolving Lenders under the applicable Revolving Facility with respect to any Letters of Credit issued by it under such Revolving Facility and the documents associated therewith, and each Issuing Bank shall have all of the benefits and immunities</w:t>
      </w:r>
    </w:p>
    <w:p>
      <w:pPr>
        <w:spacing w:after="0" w:line="1" w:lineRule="exact"/>
        <w:rPr>
          <w:rFonts w:ascii="Times New Roman" w:cs="Times New Roman" w:eastAsia="Times New Roman" w:hAnsi="Times New Roman"/>
          <w:sz w:val="14"/>
          <w:szCs w:val="14"/>
          <w:color w:val="auto"/>
        </w:rPr>
      </w:pPr>
    </w:p>
    <w:p>
      <w:pPr>
        <w:jc w:val="both"/>
        <w:ind w:left="460" w:right="20" w:firstLine="3"/>
        <w:spacing w:after="0" w:line="225" w:lineRule="auto"/>
        <w:tabs>
          <w:tab w:leader="none" w:pos="694"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to the Administrative Agent in Article IX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the Issuing Banks.</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Issuing Bank may, in its discretion, arrange for one or more Letters of Credit to be issued by Affiliates or designated branch offices of such Issuing Bank.</w:t>
      </w:r>
    </w:p>
    <w:p>
      <w:pPr>
        <w:spacing w:after="0" w:line="134" w:lineRule="exact"/>
        <w:rPr>
          <w:sz w:val="20"/>
          <w:szCs w:val="20"/>
          <w:color w:val="auto"/>
        </w:rPr>
      </w:pPr>
    </w:p>
    <w:p>
      <w:pPr>
        <w:ind w:left="1360" w:hanging="440"/>
        <w:spacing w:after="0"/>
        <w:tabs>
          <w:tab w:leader="none" w:pos="136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Procedures for Issuance and Amendment of Letters of Credit; Auto-Extension Letters of Credit</w:t>
      </w:r>
      <w:r>
        <w:rPr>
          <w:rFonts w:ascii="Times New Roman" w:cs="Times New Roman" w:eastAsia="Times New Roman" w:hAnsi="Times New Roman"/>
          <w:sz w:val="14"/>
          <w:szCs w:val="14"/>
          <w:color w:val="auto"/>
        </w:rPr>
        <w:t xml:space="preserve"> .</w:t>
      </w:r>
    </w:p>
    <w:p>
      <w:pPr>
        <w:spacing w:after="0" w:line="134" w:lineRule="exact"/>
        <w:rPr>
          <w:sz w:val="20"/>
          <w:szCs w:val="20"/>
          <w:color w:val="auto"/>
        </w:rPr>
      </w:pPr>
    </w:p>
    <w:p>
      <w:pPr>
        <w:jc w:val="both"/>
        <w:ind w:left="460" w:right="20" w:firstLine="460"/>
        <w:spacing w:after="0" w:line="215" w:lineRule="auto"/>
        <w:tabs>
          <w:tab w:leader="none" w:pos="1374"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Letter of Credit shall be issued, amended, extended, reinstated or renewed, as applicable, upon the request of the applicable Borrower delivered to the applicable Issuing Bank (with a copy to the Administrative Agent) in the form of a Letter of Credit Request, appropriately completed and signed by a Responsible Officer of the applicable Borrower. Such Letter of Credit Request may be sent by facsimile, by United States mail, by overnight courier, by electronic transmission using the system provided by the applicable Issuing Bank, by personal delivery or by any other means acceptable to such Issuing Bank. Such Letter of Credit Request must be received by the applicable Issuing Bank and the Administrative Agent not later than 11:00 a.m. at least three Business Days (or such later date and time as the Administrative Agent and such Issuing Bank may agree in a particular instance in their sole discretion) prior to the proposed issuance date or date of amendment, as the case may be. In the case of a request for an initial issuance of a Letter of Credit, such Letter of Credit Request shall specify in form and detail reasonably satisfactory to the applicable Issuing Bank: (A) the proposed issuance date of the requested Letter of Credit (which shall be a Business Day); (B) the amount thereof; (C) the expiry date thereof; (D) the name and address of the beneficiary thereof;</w:t>
      </w:r>
    </w:p>
    <w:p>
      <w:pPr>
        <w:spacing w:after="0" w:line="4" w:lineRule="exact"/>
        <w:rPr>
          <w:rFonts w:ascii="Times New Roman" w:cs="Times New Roman" w:eastAsia="Times New Roman" w:hAnsi="Times New Roman"/>
          <w:sz w:val="14"/>
          <w:szCs w:val="14"/>
          <w:color w:val="auto"/>
        </w:rPr>
      </w:pPr>
    </w:p>
    <w:p>
      <w:pPr>
        <w:jc w:val="both"/>
        <w:ind w:left="460" w:firstLine="3"/>
        <w:spacing w:after="0" w:line="217" w:lineRule="auto"/>
        <w:tabs>
          <w:tab w:leader="none" w:pos="686"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to be presented by such beneficiary in case of any drawing thereunder; (F) the full text of any certificate to be presented by such beneficiary in case of any drawing thereunder; (G) the purpose and nature of the requested Letter of Credit; (H) if more than one Revolving Facility is then in effect, the Revolving Facility under which such Letter of Credit is to be issued; and (I) such other matters as the applicable Issuing Bank may reasonably request. In the case of a request for an amendment, extension, reinstatement or renewal, as applicable, of any outstanding Letter of Credit, such Letter of Credit Request shall specify in form and detail reasonably satisfactory to the applicable Issuing Bank (1) the Letter of Credit to be amended, extended, reinstated or renewed, as applicable; (2) the proposed date of amendment, extension, reinstatement or renewal thereof, as applicable (which shall be a Business Day); (3) the nature of the proposed amendment, extension, reinstatement or renewal, as applicable; and (4) such other matters as the applicable Issuing Bank may reasonably request. Additionally, the applicable Borrower shall furnish to the applicable Issuing Bank and the Administrative Agent such other documents and information pertaining to such requested Letter of Credit issuance or amendment, including any Issuer Documents, as such Issuing Bank or the Administrative Agent may reasonably request pursuant</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47" w:name="page548"/>
    <w:bookmarkEnd w:id="547"/>
    <w:p>
      <w:pPr>
        <w:spacing w:after="0" w:line="24" w:lineRule="exact"/>
        <w:rPr>
          <w:sz w:val="20"/>
          <w:szCs w:val="20"/>
          <w:color w:val="auto"/>
        </w:rPr>
      </w:pPr>
    </w:p>
    <w:p>
      <w:pPr>
        <w:jc w:val="both"/>
        <w:ind w:left="460"/>
        <w:spacing w:after="0"/>
        <w:rPr>
          <w:sz w:val="20"/>
          <w:szCs w:val="20"/>
          <w:color w:val="auto"/>
        </w:rPr>
      </w:pPr>
      <w:r>
        <w:rPr>
          <w:rFonts w:ascii="Times New Roman" w:cs="Times New Roman" w:eastAsia="Times New Roman" w:hAnsi="Times New Roman"/>
          <w:sz w:val="14"/>
          <w:szCs w:val="14"/>
          <w:color w:val="auto"/>
        </w:rPr>
        <w:t>to its policies of general applicability to other account parties for whom such Issuing Bank issues letters of credit. In the event of any inconsistency between the terms and conditions of this Agreement and the terms and conditions of any form of letter of credit application and reimbursement agreement or other agreement submitted by the applicable Borrower to, or entered into by the applicable Borrower with, an Issuing Bank relating to any Letter of Credit, the terms and conditions of this Agreement shall control.</w:t>
      </w:r>
    </w:p>
    <w:p>
      <w:pPr>
        <w:spacing w:after="0" w:line="240" w:lineRule="exact"/>
        <w:rPr>
          <w:sz w:val="20"/>
          <w:szCs w:val="20"/>
          <w:color w:val="auto"/>
        </w:rPr>
      </w:pPr>
    </w:p>
    <w:p>
      <w:pPr>
        <w:jc w:val="both"/>
        <w:ind w:left="460" w:firstLine="460"/>
        <w:spacing w:after="0" w:line="219" w:lineRule="auto"/>
        <w:tabs>
          <w:tab w:leader="none" w:pos="1374"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receipt of any Letter of Credit Request, the applicable Issuing Bank will confirm with the Administrative Agent (by telephone or in writing) that the Administrative Agent has received the pertinent details of such Letter of Credit Request from the applicable Borrower and, if not, such Issuing Bank will provide the Administrative Agent with such pertinent details. Unless the applicable Issuing Bank has received written notice from the Required Facility Lenders under the applicable Revolving Facility,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applicable Borrower (or jointly for the applicable Borrower and the applicable Subsidiary) or enter into the applicable amendment, as the case may be, in each case in accordance with such Issuing Bank’s usual and customary business practices. Immediately upon the issuance of each Letter of Credit under a Revolving Facility, each Revolving Lender under such Revolving Facility shall be deemed to, and hereby irrevocably and unconditionally agrees to, purchase from the applicable Issuing Bank a risk participation in such Letter of Credit in an amount equal to the product of such Revolving Lender’s Revolving Facility Percentage of such Revolving Facility </w:t>
      </w:r>
      <w:r>
        <w:rPr>
          <w:rFonts w:ascii="Times New Roman" w:cs="Times New Roman" w:eastAsia="Times New Roman" w:hAnsi="Times New Roman"/>
          <w:sz w:val="14"/>
          <w:szCs w:val="14"/>
          <w:u w:val="single" w:color="auto"/>
          <w:color w:val="auto"/>
        </w:rPr>
        <w:t>times</w:t>
      </w:r>
      <w:r>
        <w:rPr>
          <w:rFonts w:ascii="Times New Roman" w:cs="Times New Roman" w:eastAsia="Times New Roman" w:hAnsi="Times New Roman"/>
          <w:sz w:val="14"/>
          <w:szCs w:val="14"/>
          <w:color w:val="auto"/>
        </w:rPr>
        <w:t xml:space="preserve"> the amount of such Letter of Credit.</w:t>
      </w:r>
    </w:p>
    <w:p>
      <w:pPr>
        <w:spacing w:after="0" w:line="110" w:lineRule="exact"/>
        <w:rPr>
          <w:rFonts w:ascii="Times New Roman" w:cs="Times New Roman" w:eastAsia="Times New Roman" w:hAnsi="Times New Roman"/>
          <w:sz w:val="14"/>
          <w:szCs w:val="14"/>
          <w:color w:val="auto"/>
        </w:rPr>
      </w:pPr>
    </w:p>
    <w:p>
      <w:pPr>
        <w:jc w:val="both"/>
        <w:ind w:left="460" w:firstLine="460"/>
        <w:spacing w:after="0" w:line="218" w:lineRule="auto"/>
        <w:tabs>
          <w:tab w:leader="none" w:pos="1374"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applicable Borrower so requests in any applicable Letter of Credit Request, an Issuing Bank may, in its discretion, agree to issue a Letter of Credit that has automatic extension provisions (each, an “</w:t>
      </w:r>
      <w:r>
        <w:rPr>
          <w:rFonts w:ascii="Times New Roman" w:cs="Times New Roman" w:eastAsia="Times New Roman" w:hAnsi="Times New Roman"/>
          <w:sz w:val="14"/>
          <w:szCs w:val="14"/>
          <w:u w:val="single" w:color="auto"/>
          <w:color w:val="auto"/>
        </w:rPr>
        <w:t>Auto-Extension Letter of Credit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4"/>
          <w:szCs w:val="14"/>
          <w:u w:val="single" w:color="auto"/>
          <w:color w:val="auto"/>
        </w:rPr>
        <w:t>Non-Extension Notice Date</w:t>
      </w:r>
      <w:r>
        <w:rPr>
          <w:rFonts w:ascii="Times New Roman" w:cs="Times New Roman" w:eastAsia="Times New Roman" w:hAnsi="Times New Roman"/>
          <w:sz w:val="14"/>
          <w:szCs w:val="14"/>
          <w:color w:val="auto"/>
        </w:rPr>
        <w:t xml:space="preserve">”) in each such twelve-month period to be agreed upon at the time such Letter of Credit is issued. Unless otherwise directed by the applicable Issuing Bank, the applicable Borrower shall not be required to make a specific request to such Issuing Bank for any such extension. Once an Auto-Extension Letter of Credit has been issued, the Revolving Lenders under the applicable Revolving Facility shall be deemed to have authorized (but may not require) such Issuing Bank to permit the extension of such Letter of Credit at any time to an expiry date not later than the Letter of Credit Expiration Date of the applicable Revolving Facility;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seven Business Days before the Non-Extension Notice Date (1) from the Administrative Agent that the Required Facility Lenders under the applicable Revolving Facility have elected not to permit such extension or (2) from the Administrative Agent or the applicable Borrower that one or more of the applicable conditions specified in Article IV is not then satisfied, and in each such case directing such Issuing Bank not to permit such extension.</w:t>
      </w:r>
    </w:p>
    <w:p>
      <w:pPr>
        <w:spacing w:after="0" w:line="110"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74"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its delivery of any Letter of Credit or any amendment, extension, reinstatement or renewal, as applicable, relating to a Letter of Credit to an advising bank with respect thereto or to the beneficiary thereof, each Issuing Bank will also deliver to the applicable Borrower a true and complete copy of such Letter of Credit or amendment, extension, reinstatement or renewal, as applicable.</w:t>
      </w:r>
    </w:p>
    <w:p>
      <w:pPr>
        <w:spacing w:after="0" w:line="112" w:lineRule="exact"/>
        <w:rPr>
          <w:sz w:val="20"/>
          <w:szCs w:val="20"/>
          <w:color w:val="auto"/>
        </w:rPr>
      </w:pPr>
    </w:p>
    <w:p>
      <w:pPr>
        <w:ind w:left="1380" w:hanging="460"/>
        <w:spacing w:after="0"/>
        <w:tabs>
          <w:tab w:leader="none" w:pos="1380"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Drawings and Reimbursements; Funding of Participations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48" w:name="page549"/>
    <w:bookmarkEnd w:id="548"/>
    <w:p>
      <w:pPr>
        <w:spacing w:after="0" w:line="24" w:lineRule="exact"/>
        <w:rPr>
          <w:sz w:val="20"/>
          <w:szCs w:val="20"/>
          <w:color w:val="auto"/>
        </w:rPr>
      </w:pPr>
    </w:p>
    <w:p>
      <w:pPr>
        <w:jc w:val="both"/>
        <w:ind w:left="460" w:firstLine="460"/>
        <w:spacing w:after="0" w:line="217" w:lineRule="auto"/>
        <w:tabs>
          <w:tab w:leader="none" w:pos="1374"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receipt from the beneficiary of any Letter of Credit of any notice of a drawing under such Letter of Credit, the applicable Issuing Bank shall, within the period stipulated by the terms and conditions of the Letter of Credit, examine the drawing document(s). After such examination and provided the drawing documents are compliant, the applicable Issuing Bank shall notify the applicable Borrower and the Administrative Agent thereof. Not later than 11:00 a.m. one Business Day after the date of notice of any payment by an Issuing Bank under a Letter of Credit or, if the applicable Borrower shall have received such notice from the Issuing Bank later than 11:00 a.m. on any Business Day, not later than 4:00 p.m. on the next Business Day (each such date of payment by an Issuing Bank, an “</w:t>
      </w:r>
      <w:r>
        <w:rPr>
          <w:rFonts w:ascii="Times New Roman" w:cs="Times New Roman" w:eastAsia="Times New Roman" w:hAnsi="Times New Roman"/>
          <w:sz w:val="14"/>
          <w:szCs w:val="14"/>
          <w:u w:val="single" w:color="auto"/>
          <w:color w:val="auto"/>
        </w:rPr>
        <w:t>Honor Date</w:t>
      </w:r>
      <w:r>
        <w:rPr>
          <w:rFonts w:ascii="Times New Roman" w:cs="Times New Roman" w:eastAsia="Times New Roman" w:hAnsi="Times New Roman"/>
          <w:sz w:val="14"/>
          <w:szCs w:val="14"/>
          <w:color w:val="auto"/>
        </w:rPr>
        <w:t>”), the applicable Borrower shall reimburse such Issuing Bank through the Administrative Agent in an amount equal to the amount of such drawing. If the applicable Borrower fails to so reimburse the applicable Issuing Bank by such time, the Administrative Agent shall promptly notify each Revolving Lender under the applicable Revolving Facility of the Honor Date, the amount of the unreimbursed drawing (the “</w:t>
      </w:r>
      <w:r>
        <w:rPr>
          <w:rFonts w:ascii="Times New Roman" w:cs="Times New Roman" w:eastAsia="Times New Roman" w:hAnsi="Times New Roman"/>
          <w:sz w:val="14"/>
          <w:szCs w:val="14"/>
          <w:u w:val="single" w:color="auto"/>
          <w:color w:val="auto"/>
        </w:rPr>
        <w:t>Unreimbursed Amount</w:t>
      </w:r>
      <w:r>
        <w:rPr>
          <w:rFonts w:ascii="Times New Roman" w:cs="Times New Roman" w:eastAsia="Times New Roman" w:hAnsi="Times New Roman"/>
          <w:sz w:val="14"/>
          <w:szCs w:val="14"/>
          <w:color w:val="auto"/>
        </w:rPr>
        <w:t xml:space="preserve">”), and the amount of such Revolving Lender’s Revolving Facility Percentage thereof. In such event, the applicable Borrower shall be deemed to have requested an ABR Revolving Borrowing under the applicable Revolving Facility to be disbursed on such date in an amount equal to the Unreimbursed Amount, without regard to the minimum and multiples specified in Section 2.02 for the principal amount of ABR Loans, but subject to the amount of the unutilized portion of the Revolving Commitments under such Revolving Facility and the conditions set forth in Section 4.02 (other than the delivery of a Borrowing Request). Any notice given by an Issuing Bank or the Administrative Agent pursuant to this Section 2.05(c)(i) may be given by telephone if immediately confirmed in writing;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lack of such an immediate confirmation shall not affect the conclusiveness or binding effect of such notice.</w:t>
      </w:r>
    </w:p>
    <w:p>
      <w:pPr>
        <w:spacing w:after="0" w:line="115" w:lineRule="exact"/>
        <w:rPr>
          <w:rFonts w:ascii="Times New Roman" w:cs="Times New Roman" w:eastAsia="Times New Roman" w:hAnsi="Times New Roman"/>
          <w:sz w:val="14"/>
          <w:szCs w:val="14"/>
          <w:color w:val="auto"/>
        </w:rPr>
      </w:pPr>
    </w:p>
    <w:p>
      <w:pPr>
        <w:jc w:val="both"/>
        <w:ind w:left="460" w:right="20" w:firstLine="460"/>
        <w:spacing w:after="0" w:line="225" w:lineRule="auto"/>
        <w:tabs>
          <w:tab w:leader="none" w:pos="1374"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Revolving Lender under the applicable Revolving Facility shall upon any notice pursuant to Section 2.05(c)(i) make funds available (and the Administrative Agent may apply Cash Collateral provided for this purpose) for the account of the applicable Issuing Bank to Administrative Agent in an amount equal to its applicable Revolving Facility Percentage of the Unreimbursed Amount not later than 1:00 p.m. on the Business Day specified in such notice by the Administrative Agent, whereupon, subject to the provisions of Section 2.05(c)(iii), each Revolving Lender that so makes funds available shall be deemed to have made an ABR Loan to the applicable Borrower in such amount. The Administrative Agent shall remit the funds so received to the applicable Issuing Bank.</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21" w:lineRule="auto"/>
        <w:tabs>
          <w:tab w:leader="none" w:pos="1374"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any Unreimbursed Amount that is not fully refinanced by a Revolving Borrowing of ABR Loans because the conditions set forth in Section 4.02 cannot be satisfied or for any other reason, the applicable Borrower shall be deemed to have incurred from the applicable Issuing Bank an L/C Borrowing in the amount of the Unreimbursed Amount that is not so refinanced, which L/C Borrowing shall be due and payable on demand (together with interest) and shall bear interest at the rate applicable to ABR Loans of the applicable Class. In such event, each Revolving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any drawing that is not reimbursed on the Honor Date shall bear interest at the rate applicable to ABR Loans from and including the date of drawing to but excluding the date such amount becomes an Unreimbursed Amount.</w:t>
      </w:r>
    </w:p>
    <w:p>
      <w:pPr>
        <w:spacing w:after="0" w:line="113" w:lineRule="exact"/>
        <w:rPr>
          <w:rFonts w:ascii="Times New Roman" w:cs="Times New Roman" w:eastAsia="Times New Roman" w:hAnsi="Times New Roman"/>
          <w:sz w:val="14"/>
          <w:szCs w:val="14"/>
          <w:color w:val="auto"/>
        </w:rPr>
      </w:pPr>
    </w:p>
    <w:p>
      <w:pPr>
        <w:jc w:val="both"/>
        <w:ind w:left="460" w:right="20" w:firstLine="460"/>
        <w:spacing w:after="0" w:line="233" w:lineRule="auto"/>
        <w:tabs>
          <w:tab w:leader="none" w:pos="1374"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each Revolving Lender under the applicable Revolving Facility funds its Revolving Loan or L/C Advance pursuant to this Section 2.05(c) to reimburse an Issuing Bank for any amount drawn under any Letter of Credit, interest in respect of such Lender’s Revolving Facility Percentage of such amount shall be solely for the account of such Issuing Bank.</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64"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Revolving Lender’s obligation to make Revolving Loans or L/C Advances to reimburse the Issuing Banks for amounts drawn under Letters of Credit, as contemplated by this Section 2.05(c), shall be absolute and unconditional and shall not be affected by any circumstance, including (A) any setoff, counterclaim, recoupment, defense or other right which</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49" w:name="page550"/>
    <w:bookmarkEnd w:id="549"/>
    <w:p>
      <w:pPr>
        <w:spacing w:after="0" w:line="24" w:lineRule="exact"/>
        <w:rPr>
          <w:sz w:val="20"/>
          <w:szCs w:val="20"/>
          <w:color w:val="auto"/>
        </w:rPr>
      </w:pPr>
    </w:p>
    <w:p>
      <w:pPr>
        <w:jc w:val="both"/>
        <w:ind w:left="460"/>
        <w:spacing w:after="0" w:line="225" w:lineRule="auto"/>
        <w:rPr>
          <w:sz w:val="20"/>
          <w:szCs w:val="20"/>
          <w:color w:val="auto"/>
        </w:rPr>
      </w:pPr>
      <w:r>
        <w:rPr>
          <w:rFonts w:ascii="Times New Roman" w:cs="Times New Roman" w:eastAsia="Times New Roman" w:hAnsi="Times New Roman"/>
          <w:sz w:val="14"/>
          <w:szCs w:val="14"/>
          <w:color w:val="auto"/>
        </w:rPr>
        <w:t xml:space="preserve">such Lender may have against any Issuing Bank,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 that each Revolving Lender’s obligation to make Revolving Loans pursuant to this Section 2.05(c) is subject to the conditions set forth in Section 4.02 (other than delivery by the applicable Borrower of a Borrowing Request). No such making of an L/C Advance shall relieve or otherwise impair the obligation of the Borrowers to reimburse any Issuing Bank for the amount of any payment made by such Issuing Bank under any Letter of Credit, together with interest as provided herein.</w:t>
      </w:r>
    </w:p>
    <w:p>
      <w:pPr>
        <w:spacing w:after="0" w:line="111" w:lineRule="exact"/>
        <w:rPr>
          <w:sz w:val="20"/>
          <w:szCs w:val="20"/>
          <w:color w:val="auto"/>
        </w:rPr>
      </w:pPr>
    </w:p>
    <w:p>
      <w:pPr>
        <w:jc w:val="both"/>
        <w:ind w:left="460" w:firstLine="460"/>
        <w:spacing w:after="0" w:line="219" w:lineRule="auto"/>
        <w:tabs>
          <w:tab w:leader="none" w:pos="1374"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Revolving Lender fails to make available to the Administrative Agent for the account of an Issuing Bank any amount required to be paid by such Lender pursuant to the foregoing provisions of this Section 2.05(c) by the time specified in Section 2.05(c)(ii),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(minus the foregoing interest and fees) shall constitute such Lender’s Revolving Loan included in the relevant Revolving Borrowing or L/C Advance in respect of the relevant L/C Borrowing, as the case may be. A certificate of an Issuing Bank submitted to any Revolving Lender (through the Administrative Agent) with respect to any amounts owing under this Section 2.05(c)(vi) shall be conclusive absent manifest error.</w:t>
      </w:r>
    </w:p>
    <w:p>
      <w:pPr>
        <w:spacing w:after="0" w:line="115" w:lineRule="exact"/>
        <w:rPr>
          <w:sz w:val="20"/>
          <w:szCs w:val="20"/>
          <w:color w:val="auto"/>
        </w:rPr>
      </w:pPr>
    </w:p>
    <w:p>
      <w:pPr>
        <w:ind w:left="1360" w:hanging="440"/>
        <w:spacing w:after="0"/>
        <w:tabs>
          <w:tab w:leader="none" w:pos="1360" w:val="left"/>
        </w:tabs>
        <w:numPr>
          <w:ilvl w:val="0"/>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Repayment of Participations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460" w:right="20" w:firstLine="460"/>
        <w:spacing w:after="0" w:line="228" w:lineRule="auto"/>
        <w:tabs>
          <w:tab w:leader="none" w:pos="1374"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after an Issuing Bank has made a payment under any Letter of Credit and has received from any Revolving Lender such Lender’s L/C Advance in respect of such payment in accordance with Section 2.05(c), if the Administrative Agent receives for the account of such Issuing Bank any payment in respect of the related Unreimbursed Amount or interest thereon (whether directly from a Borrower or otherwise, including proceeds of Cash Collateral applied thereto by the Administrative Agent), the Administrative Agent will distribute to such Lender its Revolving Facility Percentage thereof in the same funds as those received by the Administrative Agent.</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25" w:lineRule="auto"/>
        <w:tabs>
          <w:tab w:leader="none" w:pos="1374"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payment received by the Administrative Agent for the account of an Issuing Bank pursuant to Section 2.05(c)(i) is required to be returned under any of the circumstances described in Section 9.21 (including pursuant to any settlement entered into by such Issuing Bank in its discretion), each Revolving Lender shall pay to the Administrative Agent for the account of such Issuing Bank its Revolving Facility Percentage thereof on demand of the Administrative Agent,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interest thereon from the date of such demand to the date such amount is returned by such Lender, at a rate per annum equal to the Federal Funds Effective Rate from time to time in effect. The obligations of the Lenders under this clause shall survive the payment in full of the Obligations and the termination of this Agreement.</w:t>
      </w:r>
    </w:p>
    <w:p>
      <w:pPr>
        <w:spacing w:after="0" w:line="111" w:lineRule="exact"/>
        <w:rPr>
          <w:sz w:val="20"/>
          <w:szCs w:val="20"/>
          <w:color w:val="auto"/>
        </w:rPr>
      </w:pPr>
    </w:p>
    <w:p>
      <w:pPr>
        <w:ind w:firstLine="920"/>
        <w:spacing w:after="0" w:line="248" w:lineRule="auto"/>
        <w:tabs>
          <w:tab w:leader="none" w:pos="137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Absolute</w:t>
      </w:r>
      <w:r>
        <w:rPr>
          <w:rFonts w:ascii="Times New Roman" w:cs="Times New Roman" w:eastAsia="Times New Roman" w:hAnsi="Times New Roman"/>
          <w:sz w:val="14"/>
          <w:szCs w:val="14"/>
          <w:color w:val="auto"/>
        </w:rPr>
        <w:t>. The obligation of the Borrowers to reimburse the relevant Issuing Bank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05" w:lineRule="exact"/>
        <w:rPr>
          <w:sz w:val="20"/>
          <w:szCs w:val="20"/>
          <w:color w:val="auto"/>
        </w:rPr>
      </w:pPr>
    </w:p>
    <w:p>
      <w:pPr>
        <w:ind w:left="1380" w:hanging="460"/>
        <w:spacing w:after="0"/>
        <w:tabs>
          <w:tab w:leader="none" w:pos="1380"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lack of validity or enforceability of such Letter of Credit, this Agreement, or any other Loan Document;</w:t>
      </w:r>
    </w:p>
    <w:p>
      <w:pPr>
        <w:spacing w:after="0" w:line="134"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0" w:name="page551"/>
    <w:bookmarkEnd w:id="550"/>
    <w:p>
      <w:pPr>
        <w:spacing w:after="0" w:line="24" w:lineRule="exact"/>
        <w:rPr>
          <w:sz w:val="20"/>
          <w:szCs w:val="20"/>
          <w:color w:val="auto"/>
        </w:rPr>
      </w:pPr>
    </w:p>
    <w:p>
      <w:pPr>
        <w:ind w:left="460" w:right="20"/>
        <w:spacing w:after="0" w:line="248" w:lineRule="auto"/>
        <w:rPr>
          <w:sz w:val="20"/>
          <w:szCs w:val="20"/>
          <w:color w:val="auto"/>
        </w:rPr>
      </w:pPr>
      <w:r>
        <w:rPr>
          <w:rFonts w:ascii="Times New Roman" w:cs="Times New Roman" w:eastAsia="Times New Roman" w:hAnsi="Times New Roman"/>
          <w:sz w:val="14"/>
          <w:szCs w:val="14"/>
          <w:color w:val="auto"/>
        </w:rPr>
        <w:t>acting), such Issuing Bank or any other person, whether in connection with this Agreement, the transactions contemplated hereby or by such Letter of Credit or any agreement or instrument relating thereto, or any unrelated transaction;</w:t>
      </w:r>
    </w:p>
    <w:p>
      <w:pPr>
        <w:spacing w:after="0" w:line="105" w:lineRule="exact"/>
        <w:rPr>
          <w:sz w:val="20"/>
          <w:szCs w:val="20"/>
          <w:color w:val="auto"/>
        </w:rPr>
      </w:pPr>
    </w:p>
    <w:p>
      <w:pPr>
        <w:jc w:val="both"/>
        <w:ind w:left="460" w:firstLine="460"/>
        <w:spacing w:after="0" w:line="233" w:lineRule="auto"/>
        <w:tabs>
          <w:tab w:leader="none" w:pos="1374"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11"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waiver by such Issuing Bank of any requirement that exists for such Issuing Bank’s protection and not the protection of the Borrowers or any waiver by such Issuing Bank which does not in fact materially prejudice the Borrowers;</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honor of a demand for payment presented electronically even if such Letter of Credit requires that demand be in the form of a draft;</w:t>
      </w:r>
    </w:p>
    <w:p>
      <w:pPr>
        <w:spacing w:after="0" w:line="134"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made by such Issuing Bank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05" w:lineRule="exact"/>
        <w:rPr>
          <w:rFonts w:ascii="Times New Roman" w:cs="Times New Roman" w:eastAsia="Times New Roman" w:hAnsi="Times New Roman"/>
          <w:sz w:val="14"/>
          <w:szCs w:val="14"/>
          <w:color w:val="auto"/>
        </w:rPr>
      </w:pPr>
    </w:p>
    <w:p>
      <w:pPr>
        <w:jc w:val="both"/>
        <w:ind w:left="460" w:right="20" w:firstLine="460"/>
        <w:spacing w:after="0" w:line="228" w:lineRule="auto"/>
        <w:tabs>
          <w:tab w:leader="none" w:pos="1374"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examiner, receiver or other representative of or successor to any beneficiary or any transferee of such Letter of Credit, including any arising in connection with any proceeding under any Debtor Relief Law; or</w:t>
      </w:r>
    </w:p>
    <w:p>
      <w:pPr>
        <w:spacing w:after="0" w:line="111"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circumstance or happening whatsoever, whether or not similar to any of the foregoing, including any other circumstance that might otherwise constitute a defense available to, or a discharge of, any Borrower or any of the Subsidiaries.</w:t>
      </w:r>
    </w:p>
    <w:p>
      <w:pPr>
        <w:spacing w:after="0" w:line="115"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The applicable Borrower shall promptly examine a copy of each Letter of Credit and each amendment thereto that is delivered to it and, in the event of any claim of noncompliance with the applicable Borrower’s instructions or other irregularity, the applicable Borrower will promptly notify the relevant Issuing Bank. The applicable Borrower shall be conclusively deemed to have waived any such claim against the relevant Issuing Bank and its correspondents unless such notice is given as aforesaid.</w:t>
      </w:r>
    </w:p>
    <w:p>
      <w:pPr>
        <w:spacing w:after="0" w:line="107" w:lineRule="exact"/>
        <w:rPr>
          <w:sz w:val="20"/>
          <w:szCs w:val="20"/>
          <w:color w:val="auto"/>
        </w:rPr>
      </w:pPr>
    </w:p>
    <w:p>
      <w:pPr>
        <w:jc w:val="both"/>
        <w:ind w:firstLine="920"/>
        <w:spacing w:after="0"/>
        <w:tabs>
          <w:tab w:leader="none" w:pos="1370" w:val="left"/>
        </w:tabs>
        <w:numPr>
          <w:ilvl w:val="0"/>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Role of Issuing Banks</w:t>
      </w:r>
      <w:r>
        <w:rPr>
          <w:rFonts w:ascii="Times New Roman" w:cs="Times New Roman" w:eastAsia="Times New Roman" w:hAnsi="Times New Roman"/>
          <w:sz w:val="14"/>
          <w:szCs w:val="14"/>
          <w:color w:val="auto"/>
        </w:rPr>
        <w:t xml:space="preserve">. Each Lender and each Borrower agree that, in paying any drawing under a Letter of Credit, other than in respect of any sight draft, certificates and documents expressly required by the Letter of Credit, no Issuing Bank shall have any responsibility to obtain any document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the Issuing Banks shall be liable to any Lender for (i) any action taken or omitted in connection herewith at the request or with the approval of the Revolving Lenders or the Required Facility Lenders under the applicable Revolving Facility, as applicable; (ii) any action taken or omitted in the absence of gross negligence or willful misconduct as finally determined by a court of competent jurisdiction;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(viii) of Section 2.05(e);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anything in such clauses to the</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1" w:name="page552"/>
    <w:bookmarkEnd w:id="551"/>
    <w:p>
      <w:pPr>
        <w:spacing w:after="0" w:line="24" w:lineRule="exact"/>
        <w:rPr>
          <w:sz w:val="20"/>
          <w:szCs w:val="20"/>
          <w:color w:val="auto"/>
        </w:rPr>
      </w:pPr>
    </w:p>
    <w:p>
      <w:pPr>
        <w:jc w:val="both"/>
        <w:ind w:right="40"/>
        <w:spacing w:after="0" w:line="219" w:lineRule="auto"/>
        <w:rPr>
          <w:sz w:val="20"/>
          <w:szCs w:val="20"/>
          <w:color w:val="auto"/>
        </w:rPr>
      </w:pPr>
      <w:r>
        <w:rPr>
          <w:rFonts w:ascii="Times New Roman" w:cs="Times New Roman" w:eastAsia="Times New Roman" w:hAnsi="Times New Roman"/>
          <w:sz w:val="14"/>
          <w:szCs w:val="14"/>
          <w:color w:val="auto"/>
        </w:rPr>
        <w:t>contrary notwithstanding, a Borrower may have a claim against an Issuing Bank, and such Issuing Bank may be liable to such Borrower, to the extent, but only to the extent, of any direct, as opposed to consequential or exemplary, damages suffered by such Borrower which such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each case, as finally determined by a court of competent jurisdiction. In furtherance and not in limitation of the foregoing, each Issuing Bank may accept documents that appear on their face to be in compliance with the terms of the Letter of Credit,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Any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15" w:lineRule="exact"/>
        <w:rPr>
          <w:sz w:val="20"/>
          <w:szCs w:val="20"/>
          <w:color w:val="auto"/>
        </w:rPr>
      </w:pPr>
    </w:p>
    <w:p>
      <w:pPr>
        <w:jc w:val="both"/>
        <w:ind w:firstLine="920"/>
        <w:spacing w:after="0" w:line="221" w:lineRule="auto"/>
        <w:tabs>
          <w:tab w:leader="none" w:pos="1361"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Applicability of ISP</w:t>
      </w:r>
      <w:r>
        <w:rPr>
          <w:rFonts w:ascii="Times New Roman" w:cs="Times New Roman" w:eastAsia="Times New Roman" w:hAnsi="Times New Roman"/>
          <w:sz w:val="14"/>
          <w:szCs w:val="14"/>
          <w:color w:val="auto"/>
        </w:rPr>
        <w:t>. Unless otherwise expressly agreed by the relevant Issuing Bank and the applicable Borrower when a Letter of Credit is issued (including any such agreement applicable to an Existing Letter of Credit), (i) the rules of the ISP shall apply to each Letter of Credit. Notwithstanding the foregoing, no Issuing Bank shall be responsible to the Borrowers for, and no Issuing Bank’s rights and remedies against the Borrowers shall be impaired by, any action or inaction of such Issuing Bank required or permitted under any law, order, or practice that is required or permitted to be applied to any Letter of Credit or this Agreement, including any law or any order of a jurisdiction where such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13"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Conflict with Issuer Documents</w:t>
      </w:r>
      <w:r>
        <w:rPr>
          <w:rFonts w:ascii="Times New Roman" w:cs="Times New Roman" w:eastAsia="Times New Roman" w:hAnsi="Times New Roman"/>
          <w:sz w:val="14"/>
          <w:szCs w:val="14"/>
          <w:color w:val="auto"/>
        </w:rPr>
        <w:t>. In the event of any conflict between the terms hereof and the terms of any Issuer Document, the terms hereof shall control.</w:t>
      </w:r>
    </w:p>
    <w:p>
      <w:pPr>
        <w:spacing w:after="0" w:line="134" w:lineRule="exact"/>
        <w:rPr>
          <w:rFonts w:ascii="Times New Roman" w:cs="Times New Roman" w:eastAsia="Times New Roman" w:hAnsi="Times New Roman"/>
          <w:sz w:val="14"/>
          <w:szCs w:val="14"/>
          <w:color w:val="auto"/>
        </w:rPr>
      </w:pPr>
    </w:p>
    <w:p>
      <w:pPr>
        <w:jc w:val="both"/>
        <w:ind w:right="40" w:firstLine="920"/>
        <w:spacing w:after="0" w:line="228" w:lineRule="auto"/>
        <w:tabs>
          <w:tab w:leader="none" w:pos="1370"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Letters of Credit Issued for Subsidiaries</w:t>
      </w:r>
      <w:r>
        <w:rPr>
          <w:rFonts w:ascii="Times New Roman" w:cs="Times New Roman" w:eastAsia="Times New Roman" w:hAnsi="Times New Roman"/>
          <w:sz w:val="14"/>
          <w:szCs w:val="14"/>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Each Borrower hereby acknowledges that the issuance of Letters of Credit for the account of Subsidiaries inures to the benefit of the Parent, and that the Parent’s business derives substantial benefits from the businesses of such Subsidiaries.</w:t>
      </w:r>
    </w:p>
    <w:p>
      <w:pPr>
        <w:spacing w:after="0" w:line="111" w:lineRule="exact"/>
        <w:rPr>
          <w:rFonts w:ascii="Times New Roman" w:cs="Times New Roman" w:eastAsia="Times New Roman" w:hAnsi="Times New Roman"/>
          <w:sz w:val="14"/>
          <w:szCs w:val="14"/>
          <w:color w:val="auto"/>
        </w:rPr>
      </w:pPr>
    </w:p>
    <w:p>
      <w:pPr>
        <w:ind w:firstLine="920"/>
        <w:spacing w:after="0" w:line="237" w:lineRule="auto"/>
        <w:tabs>
          <w:tab w:leader="none" w:pos="1370"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Collateralization Following Certain Events</w:t>
      </w:r>
      <w:r>
        <w:rPr>
          <w:rFonts w:ascii="Times New Roman" w:cs="Times New Roman" w:eastAsia="Times New Roman" w:hAnsi="Times New Roman"/>
          <w:sz w:val="14"/>
          <w:szCs w:val="14"/>
          <w:color w:val="auto"/>
        </w:rPr>
        <w:t xml:space="preserve"> . If and when a Borrower is required to Cash Collateralize any Revolving L/C Exposure relating to any outstanding Letters of Credit pursuant to any of Section 2.11(d), 2.11(e), 2.24(a)(v) or 7.01, the applicable Borrower shall deposit in an account with or at the direction of the Administrative Agent, in the name of the Administrative Agent and for the benefit of the Revolving Lenders under each Revolving Facility, an amount in cash equal to 102% of the Revolving L/C Exposure under such Revolving Facility as of such date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any accrued but unpaid interest thereon (or, in the case of Sections 2.11(d), 2.11(e) and 2.24(a)(v), the portion thereof required by such sections). Each deposit of Cash Collateral (x) made pursuant to this paragraph or (y) made by the Administrative Agent pursuant to Section 2.24(a)(ii), in each case, shall be held by the Administrative Agent as collateral for the payment and performance of the obligations of the Borrowers under this Agreement. The Administrative Agent shall have exclusive dominion and control, including the exclusive right of withdrawal, over such account and each Borrower hereby grants the Administrative Agent, for the benefit of the Secured Parties, a security interest in such account. Other than any interest earned on the investment of such deposits, which investments shall be made (unless an Event of Default shall be continuing) at the Parent’s request in certain Permitted Investments reasonably acceptable to the Administrative Agent and at the risk and expense of the Parent, such deposits shall not bear interest. Interest or profits, if any, on such investments shall accumulate in such account. Moneys in such account shall be applied by the Administrative Agent to reimburse each Issuing Bank for any disbursements under any Letter of Credit for which such Issuing Bank has not been reimbursed and, to the extent not so applied, shall be held for the satisfaction of the reimbursement obligations of the Borrowers for the</w:t>
      </w: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89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52" w:name="page553"/>
    <w:bookmarkEnd w:id="552"/>
    <w:p>
      <w:pPr>
        <w:spacing w:after="0" w:line="2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Revolving L/C Exposure at such time or, if the maturity of the Loans has been accelerated (but subject to the consent of Lenders with Revolving L/C Exposure representing greater than 50% of the total Revolving L/C Exposure), be applied to satisfy other Loan Obligations. If a Borrower is required to provide an amount of Cash Collateral hereunder as a result of the occurrence of an Event of Default or the existence of a Defaulting Lender or the occurrence of a limit under Section 2.11(d) or 2.11(e) being exceeded, such amount (to the extent not applied as aforesaid) shall be returned to such Borrower within three (3) Business Days after all Events of Default have been cured or waived or the termination of the Defaulting Lender status or the limits under Sections 2.11(d) and 2.11(e) no longer being exceeded, as applicable.</w:t>
      </w:r>
    </w:p>
    <w:p>
      <w:pPr>
        <w:spacing w:after="0" w:line="111" w:lineRule="exact"/>
        <w:rPr>
          <w:sz w:val="20"/>
          <w:szCs w:val="20"/>
          <w:color w:val="auto"/>
        </w:rPr>
      </w:pPr>
    </w:p>
    <w:p>
      <w:pPr>
        <w:jc w:val="both"/>
        <w:ind w:firstLine="920"/>
        <w:spacing w:after="0" w:line="223" w:lineRule="auto"/>
        <w:tabs>
          <w:tab w:leader="none" w:pos="1361"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Collateralization Following Termination of Revolving Facilities</w:t>
      </w:r>
      <w:r>
        <w:rPr>
          <w:rFonts w:ascii="Times New Roman" w:cs="Times New Roman" w:eastAsia="Times New Roman" w:hAnsi="Times New Roman"/>
          <w:sz w:val="14"/>
          <w:szCs w:val="14"/>
          <w:color w:val="auto"/>
        </w:rPr>
        <w:t xml:space="preserve"> . Notwithstanding anything to the contrary herein, in the event of the prepayment in full of all outstanding Revolving Loans and the termination of all Revolving Commitments (a “</w:t>
      </w:r>
      <w:r>
        <w:rPr>
          <w:rFonts w:ascii="Times New Roman" w:cs="Times New Roman" w:eastAsia="Times New Roman" w:hAnsi="Times New Roman"/>
          <w:sz w:val="14"/>
          <w:szCs w:val="14"/>
          <w:u w:val="single" w:color="auto"/>
          <w:color w:val="auto"/>
        </w:rPr>
        <w:t>Revolving Facility Termination Event</w:t>
      </w:r>
      <w:r>
        <w:rPr>
          <w:rFonts w:ascii="Times New Roman" w:cs="Times New Roman" w:eastAsia="Times New Roman" w:hAnsi="Times New Roman"/>
          <w:sz w:val="14"/>
          <w:szCs w:val="14"/>
          <w:color w:val="auto"/>
        </w:rPr>
        <w:t>”) in connection with which the applicable Borrower notifies any one or more Issuing Banks that it intends to maintain one or more Letters of Credit initially issued under this Agreement in effect after the date of such Revolving Facility Termination Event (each, a “</w:t>
      </w:r>
      <w:r>
        <w:rPr>
          <w:rFonts w:ascii="Times New Roman" w:cs="Times New Roman" w:eastAsia="Times New Roman" w:hAnsi="Times New Roman"/>
          <w:sz w:val="14"/>
          <w:szCs w:val="14"/>
          <w:u w:val="single" w:color="auto"/>
          <w:color w:val="auto"/>
        </w:rPr>
        <w:t>Continuing Letter of Credit</w:t>
      </w:r>
      <w:r>
        <w:rPr>
          <w:rFonts w:ascii="Times New Roman" w:cs="Times New Roman" w:eastAsia="Times New Roman" w:hAnsi="Times New Roman"/>
          <w:sz w:val="14"/>
          <w:szCs w:val="14"/>
          <w:color w:val="auto"/>
        </w:rPr>
        <w:t>”), then the security interest of the Collateral Agent in the Collateral under the Security Documents may be terminated in accordance with Section 9.18 if each such Continuing Letter of Credit is Cash Collateralized (in the same currency in which such Continuing Letter of Credit is denominated) in an amount equal to the Minimum L/C Collateral Amount, which shall be deposited with or at the direction of each such Issuing Bank.</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28" w:lineRule="auto"/>
        <w:tabs>
          <w:tab w:leader="none" w:pos="1370"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Issuing Banks</w:t>
      </w:r>
      <w:r>
        <w:rPr>
          <w:rFonts w:ascii="Times New Roman" w:cs="Times New Roman" w:eastAsia="Times New Roman" w:hAnsi="Times New Roman"/>
          <w:sz w:val="14"/>
          <w:szCs w:val="14"/>
          <w:color w:val="auto"/>
        </w:rPr>
        <w:t>. From time to time, the Parent may by notice to the Administrative Agent designate any Revolving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1" w:lineRule="auto"/>
        <w:tabs>
          <w:tab w:leader="none" w:pos="1370"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Reporting</w:t>
      </w:r>
      <w:r>
        <w:rPr>
          <w:rFonts w:ascii="Times New Roman" w:cs="Times New Roman" w:eastAsia="Times New Roman" w:hAnsi="Times New Roman"/>
          <w:sz w:val="14"/>
          <w:szCs w:val="14"/>
          <w:color w:val="auto"/>
        </w:rPr>
        <w:t>. Unless otherwise requested by the Administrative Agent, each Issuing Bank (other than any Issuing Bank that is the Administrative Agent or an Affiliate thereof) shall (i) provide to the Administrative Agent copies of any notice received from the Parent pursuant to Section 2.05(b) no later than the next Business Day after receipt thereof (or, if earlier, the time specified thereon) and (ii) report in writing to the Administrative Agent (A) promptly (and in any event within three Business Days) following any issuance, amendment or extension of any Letter of Credit, the date of such issuance, amendment or extension, and the aggregate face amount of the Letter of Credit issued, amended or extended by it and outstanding after giving effect to such issuance, amendment or extension (and whether the amount thereof changed), (B) on each Business Day on which such Issuing Bank makes any disbursement under any Letter of Credit, the date of such disbursement and the amount of such disbursement and (C) on any other Business Day, such other information with respect to the outstanding Letters of Credit issued by such Issuing Bank as the Administrative Agent shall reasonably request.</w:t>
      </w:r>
    </w:p>
    <w:p>
      <w:pPr>
        <w:spacing w:after="0" w:line="113" w:lineRule="exact"/>
        <w:rPr>
          <w:rFonts w:ascii="Times New Roman" w:cs="Times New Roman" w:eastAsia="Times New Roman" w:hAnsi="Times New Roman"/>
          <w:sz w:val="14"/>
          <w:szCs w:val="14"/>
          <w:color w:val="auto"/>
        </w:rPr>
      </w:pPr>
    </w:p>
    <w:p>
      <w:pPr>
        <w:jc w:val="both"/>
        <w:ind w:firstLine="920"/>
        <w:spacing w:after="0" w:line="219" w:lineRule="auto"/>
        <w:tabs>
          <w:tab w:leader="none" w:pos="1361"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Resignation</w:t>
      </w:r>
      <w:r>
        <w:rPr>
          <w:rFonts w:ascii="Times New Roman" w:cs="Times New Roman" w:eastAsia="Times New Roman" w:hAnsi="Times New Roman"/>
          <w:sz w:val="14"/>
          <w:szCs w:val="14"/>
          <w:color w:val="auto"/>
        </w:rPr>
        <w:t>. Notwithstanding anything to the contrary contained herein, any Issuing Bank may, upon thirty (30) days’ prior written notice to the Parent and the Administrative Agent, resign as Issuing Bank, which resignation shall be effective as of the date referenced in such notice (but in no event less than thirty (30) days after the delivery of such written notice); it being understood that in the event of any such resignation, any Letter of Credit then outstanding shall remain outstanding (irrespective of whether any amount has been drawn at such time as a Letter of Credit hereunder) and continue to be entitled to all of the provisions of the Loan Documents concerning Letters of Credit. In the event of any such resignation as an Issuing Bank, the applicable Borrower shall be entitled to appoint any Revolving Lender that accepts such appointment in writing as successor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 After the resignation of any Issuing Bank hereunder, the resigning Issuing Bank shall remain a party hereto and shall continue to have all rights (including all rights to payments pursuant to Section 2.12(b)) and obligations of an Issuing Bank under this Agreement with respect to Letters of Credit issued by it prior to</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3" w:name="page554"/>
    <w:bookmarkEnd w:id="553"/>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resignation, but shall not be required to issue additional or amend previously issued Letters of Credit.</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2.06.</w:t>
      </w:r>
      <w:r>
        <w:rPr>
          <w:rFonts w:ascii="Times New Roman" w:cs="Times New Roman" w:eastAsia="Times New Roman" w:hAnsi="Times New Roman"/>
          <w:sz w:val="14"/>
          <w:szCs w:val="14"/>
          <w:u w:val="single" w:color="auto"/>
          <w:color w:val="auto"/>
        </w:rPr>
        <w:t>Funding of Borrowings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25" w:lineRule="auto"/>
        <w:tabs>
          <w:tab w:leader="none" w:pos="1370"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 shall make each Loan to be made by it hereunder on the proposed date thereof by wire transfer of immediately available funds by 1:00 p.m., to the account of the Administrative Agent most recently designated by it for such purpose by notice to the Lenders. The Administrative Agent will make such Loans available to the applicable Borrower by promptly crediting the amounts so received, in like funds, to an account of the applicable Borrower as specified in the applicable Borrowing Request;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Borrowings made to finance the reimbursement of a L/C Disbursement and reimbursements as provided in Section 2.05(c) shall be remitted by the Administrative Agent to the applicable Issuing Bank.</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19" w:lineRule="auto"/>
        <w:tabs>
          <w:tab w:leader="none" w:pos="1361"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Administrative Agent shall have received notice from a Lender prior to the proposed date of any Borrowing of Eurocurrency Rate Loans or Term SOFR Loans (or, in the case of any Borrowing of ABR Loans, prior to 1:00 p.m., on the date of such Borrowing) that such Lender will not make available to the Administrative Agent such Lender’s share of such Borrowing, the Administrative Agent may assume that such Lender has made such share available on such date in accordance with clause (a) of this Section 2.06 and may, in reliance upon such assumption, make available to the applicable Borrower a corresponding amount. In such event, if a Lender has not in fact made its share of the Borrowing available to the Administrative Agent, then the applicable Lender and the Borrowers severally agree to pay to the Administrative Agent forthwith on demand such amount with interest thereon, for each day from and including the date such amount is made available to the applicable Borrower to but excluding the date of payment to the Administrative Agent, at (i) in the case of a payment to be made by such Lender, the applicable Overnight Rate or (ii) in the case of a payment to be made by the Borrowers, the interest rate then applicable to ABR Loans, or, in the case of Loans denominated in Euro or DKK, in accordance with such market practice, as applicable. If such Lender pays such amount to the Administrative Agent, then such amount shall constitute such Lender’s Loan included in such Borrowing. The foregoing shall be without prejudice to any claim the Borrowers may have against a Lender that shall have failed to make such payment to the Administrative Agent.</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2.07.</w:t>
      </w:r>
      <w:r>
        <w:rPr>
          <w:rFonts w:ascii="Times New Roman" w:cs="Times New Roman" w:eastAsia="Times New Roman" w:hAnsi="Times New Roman"/>
          <w:sz w:val="14"/>
          <w:szCs w:val="14"/>
          <w:u w:val="single" w:color="auto"/>
          <w:color w:val="auto"/>
        </w:rPr>
        <w:t>Interest Elections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3" w:lineRule="auto"/>
        <w:tabs>
          <w:tab w:leader="none" w:pos="1370" w:val="left"/>
        </w:tabs>
        <w:numPr>
          <w:ilvl w:val="0"/>
          <w:numId w:val="5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Borrowing initially shall be of the Type, and under the applicable Class, specified in the applicable Borrowing Request and, in the case of a Eurocurrency Rate Borrowing or Term SOFR Borrowing, shall have an initial Interest Period as specified in such Borrowing Request. Thereafter, the applicable Borrower may elect to convert such Borrowing to a different Type or to continue such Borrowing and, in the case of a Eurocurrency Rate Borrowing or Term SOFR Borrowing, may elect Interest Periods therefor, all as provided in this Section 2.07.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 other provision of this Section 2.07, the applicable Borrower shall not be permitted to change the Class of any Borrowing.</w:t>
      </w:r>
    </w:p>
    <w:p>
      <w:pPr>
        <w:spacing w:after="0" w:line="111" w:lineRule="exact"/>
        <w:rPr>
          <w:rFonts w:ascii="Times New Roman" w:cs="Times New Roman" w:eastAsia="Times New Roman" w:hAnsi="Times New Roman"/>
          <w:sz w:val="14"/>
          <w:szCs w:val="14"/>
          <w:color w:val="auto"/>
        </w:rPr>
      </w:pPr>
    </w:p>
    <w:p>
      <w:pPr>
        <w:jc w:val="both"/>
        <w:ind w:firstLine="920"/>
        <w:spacing w:after="0" w:line="223" w:lineRule="auto"/>
        <w:tabs>
          <w:tab w:leader="none" w:pos="1361" w:val="left"/>
        </w:tabs>
        <w:numPr>
          <w:ilvl w:val="0"/>
          <w:numId w:val="5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 election pursuant to this Section 2.07, the applicable Borrower shall deliver by electronic means to the Administrative Agent a written Interest Election Request signed by a Responsible Officer of the applicable Borrower, by the time that a Borrowing Request would be required under Section 2.03 if the applicable Borrower were requesting a Borrowing of the Type and Class resulting from such election to be made on the effective date of such election. Each such Interest Election Request shall be irrevocable. Notwithstanding any contrary provision herein, this Section 2.07 shall not be construed to permit the applicable Borrower to (i) elect an Interest Period for Eurocurrency Rate Loans or Term SOFR Loans that does not comply with Section 2.02(e) or (ii) convert any Borrowing to a Borrowing of a Type not available under the Class of Commitments or Loans pursuant to which such Borrowing was made.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4" w:name="page555"/>
    <w:bookmarkEnd w:id="554"/>
    <w:p>
      <w:pPr>
        <w:spacing w:after="0" w:line="24" w:lineRule="exact"/>
        <w:rPr>
          <w:sz w:val="20"/>
          <w:szCs w:val="20"/>
          <w:color w:val="auto"/>
        </w:rPr>
      </w:pPr>
    </w:p>
    <w:p>
      <w:pPr>
        <w:ind w:left="1380" w:hanging="460"/>
        <w:spacing w:after="0"/>
        <w:tabs>
          <w:tab w:leader="none" w:pos="1380" w:val="left"/>
        </w:tabs>
        <w:numPr>
          <w:ilvl w:val="0"/>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Interest Election Request shall specify the following information in compliance with Section 2.02:</w:t>
      </w:r>
    </w:p>
    <w:p>
      <w:pPr>
        <w:spacing w:after="0" w:line="134" w:lineRule="exact"/>
        <w:rPr>
          <w:sz w:val="20"/>
          <w:szCs w:val="20"/>
          <w:color w:val="auto"/>
        </w:rPr>
      </w:pPr>
    </w:p>
    <w:p>
      <w:pPr>
        <w:jc w:val="both"/>
        <w:ind w:left="460" w:firstLine="460"/>
        <w:spacing w:after="0" w:line="233" w:lineRule="auto"/>
        <w:tabs>
          <w:tab w:leader="none" w:pos="1374"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date of the election made pursuant to such Interest Election Request, which shall be a Business Day;</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resulting Borrowing is to be an ABR Borrowing, a Term SOFR Borrowing or a Eurocurrency Rate Borrowing; and</w:t>
      </w:r>
    </w:p>
    <w:p>
      <w:pPr>
        <w:spacing w:after="0" w:line="134"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resulting Borrowing is a Eurocurrency Rate Borrowing or Term SOFR Borrowing, the Interest Period to be applicable thereto after giving effect to such election, which Interest Period shall be a period contemplated by the definition of the term “Interest Period.”</w:t>
      </w:r>
    </w:p>
    <w:p>
      <w:pPr>
        <w:spacing w:after="0" w:line="11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4"/>
          <w:szCs w:val="14"/>
          <w:color w:val="auto"/>
        </w:rPr>
        <w:t>If any such Interest Election Request requests a Eurocurrency Rate Borrowing or Term SOFR Borrowing but does not specify an Interest Period, then the applicable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 2.02(d) regarding the maximum number of Borrowings of the relevant Type.</w:t>
      </w:r>
    </w:p>
    <w:p>
      <w:pPr>
        <w:spacing w:after="0" w:line="112" w:lineRule="exact"/>
        <w:rPr>
          <w:sz w:val="20"/>
          <w:szCs w:val="20"/>
          <w:color w:val="auto"/>
        </w:rPr>
      </w:pPr>
    </w:p>
    <w:p>
      <w:pPr>
        <w:ind w:right="40" w:firstLine="920"/>
        <w:spacing w:after="0" w:line="248" w:lineRule="auto"/>
        <w:tabs>
          <w:tab w:leader="none" w:pos="1361"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21" w:lineRule="auto"/>
        <w:tabs>
          <w:tab w:leader="none" w:pos="1370"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applicable Borrower fails to deliver a timely Interest Election Request with respect to a Eurocurrency Rate Borrowing or Term SOFR Borrowing prior to the end of the Interest Period applicable thereto, then, unless such Borrowing is repaid as provided herein, at the end of such Interest Period such Borrowing shall be continued as a Eurocurrency Rate Borrowing or Term SOFR Borrowing, as applicable, in each case with a one month Interest Period. Notwithstanding any contrary provision hereof, if an Event of Default has occurred and is continuing and the Administrative Agent, at the written request (including a request through electronic means) of the Required Lenders, so notifies the applicable Borrower, then, so long as an Event of Default is continuing (i) no outstanding Borrowing may be converted to or continued as a Eurocurrency Rate Borrowing or Term SOFR Borrowing and (ii) unless repaid, each Eurocurrency Rate Borrowing and Term SOFR Borrowing shall be converted to an ABR Borrowing (in the case of any Eurocurrency Rate Borrowing, in an amount equal to the Dollar Equivalent of such Borrowing) at the end of the then-current Interest Period.</w:t>
      </w:r>
    </w:p>
    <w:p>
      <w:pPr>
        <w:spacing w:after="0" w:line="1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2.08.</w:t>
      </w:r>
      <w:r>
        <w:rPr>
          <w:rFonts w:ascii="Times New Roman" w:cs="Times New Roman" w:eastAsia="Times New Roman" w:hAnsi="Times New Roman"/>
          <w:sz w:val="14"/>
          <w:szCs w:val="14"/>
          <w:u w:val="single" w:color="auto"/>
          <w:color w:val="auto"/>
        </w:rPr>
        <w:t>Termination and Reduction of Commitments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right="20" w:firstLine="920"/>
        <w:spacing w:after="0" w:line="228" w:lineRule="auto"/>
        <w:tabs>
          <w:tab w:leader="none" w:pos="1370"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previously terminated, the Revolving Commitments of each Class shall automatically and permanently terminate on the applicable Maturity Date for such Class. On the Closing Date (after giving effect to the funding of the Initial Term A Loans), the Initial Term A Commitment of each Lender with an Initial Term A Commitment as of the Closing Date will automatically and permanently terminate. On the Closing Date (after giving effect to the funding of the Initial Term B Loans), the Initial Term B Commitment of each Lender with an Initial Term B Commitment as of the Closing Date will automatically and permanently terminate.</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may at any time terminate, or from time to time reduce, the Revolving Commitments of any Class;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 each reduction of the Revolving Commitments of any Class shall be in an amount that is an integral multiple of the Dollar Equivalent of $1,000,000 and not less than the Dollar Equivalent of $5,000,000 (or, if less, the remaining amount of the Revolving Commitments of</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5" w:name="page556"/>
    <w:bookmarkEnd w:id="555"/>
    <w:p>
      <w:pPr>
        <w:spacing w:after="0" w:line="2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such Class) and (ii) the Parent shall not terminate or reduce the Revolving Commitments of any Class if, after giving effect to any concurrent prepayment of the Revolving Loans in accordance with Section 2.11 and any Cash Collateralization of Letters of Credit in accordance with Section 2.05(j), as applicable, the Revolving Credit Exposure of such Class (excluding any Cash Collateralized Letter of Credit, to the extent so Cash Collateralized) would exceed the total Revolving Commitments of such Class.</w:t>
      </w:r>
    </w:p>
    <w:p>
      <w:pPr>
        <w:spacing w:after="0" w:line="112" w:lineRule="exact"/>
        <w:rPr>
          <w:sz w:val="20"/>
          <w:szCs w:val="20"/>
          <w:color w:val="auto"/>
        </w:rPr>
      </w:pPr>
    </w:p>
    <w:p>
      <w:pPr>
        <w:jc w:val="both"/>
        <w:ind w:right="20" w:firstLine="920"/>
        <w:spacing w:after="0" w:line="221" w:lineRule="auto"/>
        <w:tabs>
          <w:tab w:leader="none" w:pos="1370" w:val="left"/>
        </w:tabs>
        <w:numPr>
          <w:ilvl w:val="0"/>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shall notify the Administrative Agent of any election to terminate or reduce the Revolving Commitments of any Class under clause (b) of this Section 2.08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Parent pursuant to this Section 2.08 shall be irrevocable;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notice of termination or reduction of the Revolving Commitments of any Class delivered by the Parent may state that such notice is conditioned upon the effectiveness of other credit facilities, indentures or similar agreements or other transactions, in which case such notice may be revoked by the Parent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w:t>
      </w:r>
    </w:p>
    <w:p>
      <w:pPr>
        <w:spacing w:after="0" w:line="1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2.09.</w:t>
      </w:r>
      <w:r>
        <w:rPr>
          <w:rFonts w:ascii="Times New Roman" w:cs="Times New Roman" w:eastAsia="Times New Roman" w:hAnsi="Times New Roman"/>
          <w:sz w:val="14"/>
          <w:szCs w:val="14"/>
          <w:u w:val="single" w:color="auto"/>
          <w:color w:val="auto"/>
        </w:rPr>
        <w:t>Evidence of Debt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80" w:hanging="460"/>
        <w:spacing w:after="0"/>
        <w:tabs>
          <w:tab w:leader="none" w:pos="1380"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ind w:right="40" w:firstLine="920"/>
        <w:spacing w:after="0" w:line="248" w:lineRule="auto"/>
        <w:tabs>
          <w:tab w:leader="none" w:pos="1361"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05" w:lineRule="exact"/>
        <w:rPr>
          <w:rFonts w:ascii="Times New Roman" w:cs="Times New Roman" w:eastAsia="Times New Roman" w:hAnsi="Times New Roman"/>
          <w:sz w:val="14"/>
          <w:szCs w:val="14"/>
          <w:color w:val="auto"/>
        </w:rPr>
      </w:pPr>
    </w:p>
    <w:p>
      <w:pPr>
        <w:ind w:firstLine="920"/>
        <w:spacing w:after="0" w:line="224" w:lineRule="auto"/>
        <w:tabs>
          <w:tab w:leader="none" w:pos="1370"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Borrowers to each Lender hereunder and</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received by the Administrative Agent hereunder for the account of the Lenders and each Lender’s share thereof.</w:t>
      </w:r>
    </w:p>
    <w:p>
      <w:pPr>
        <w:spacing w:after="0" w:line="116" w:lineRule="exact"/>
        <w:rPr>
          <w:rFonts w:ascii="Times New Roman" w:cs="Times New Roman" w:eastAsia="Times New Roman" w:hAnsi="Times New Roman"/>
          <w:sz w:val="14"/>
          <w:szCs w:val="14"/>
          <w:color w:val="auto"/>
        </w:rPr>
      </w:pPr>
    </w:p>
    <w:p>
      <w:pPr>
        <w:jc w:val="both"/>
        <w:ind w:right="40" w:firstLine="920"/>
        <w:spacing w:after="0" w:line="234" w:lineRule="auto"/>
        <w:tabs>
          <w:tab w:leader="none" w:pos="136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entries made in the accounts maintained pursuant to clause (b) or (c) of this Section 2.09 shall be </w:t>
      </w:r>
      <w:r>
        <w:rPr>
          <w:rFonts w:ascii="Times New Roman" w:cs="Times New Roman" w:eastAsia="Times New Roman" w:hAnsi="Times New Roman"/>
          <w:sz w:val="14"/>
          <w:szCs w:val="14"/>
          <w:i w:val="1"/>
          <w:iCs w:val="1"/>
          <w:color w:val="auto"/>
        </w:rPr>
        <w:t>prima facie</w:t>
      </w:r>
      <w:r>
        <w:rPr>
          <w:rFonts w:ascii="Times New Roman" w:cs="Times New Roman" w:eastAsia="Times New Roman" w:hAnsi="Times New Roman"/>
          <w:sz w:val="14"/>
          <w:szCs w:val="14"/>
          <w:color w:val="auto"/>
        </w:rPr>
        <w:t xml:space="preserve"> evidence of the existence and amounts of the obligations recorded therein;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of any Lender or the Administrative Agent to maintain such accounts or any error therein shall not in any manner affect the obligation of the Borrowers to repay its Loans in accordance with the terms of this Agreement.</w:t>
      </w:r>
    </w:p>
    <w:p>
      <w:pPr>
        <w:spacing w:after="0" w:line="111" w:lineRule="exact"/>
        <w:rPr>
          <w:rFonts w:ascii="Times New Roman" w:cs="Times New Roman" w:eastAsia="Times New Roman" w:hAnsi="Times New Roman"/>
          <w:sz w:val="14"/>
          <w:szCs w:val="14"/>
          <w:color w:val="auto"/>
        </w:rPr>
      </w:pPr>
    </w:p>
    <w:p>
      <w:pPr>
        <w:ind w:right="20" w:firstLine="920"/>
        <w:spacing w:after="0" w:line="225" w:lineRule="auto"/>
        <w:tabs>
          <w:tab w:leader="none" w:pos="1370"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Lender may request that Loans made by it be evidenced by a promissory note (a “ </w:t>
      </w:r>
      <w:r>
        <w:rPr>
          <w:rFonts w:ascii="Times New Roman" w:cs="Times New Roman" w:eastAsia="Times New Roman" w:hAnsi="Times New Roman"/>
          <w:sz w:val="14"/>
          <w:szCs w:val="14"/>
          <w:u w:val="single" w:color="auto"/>
          <w:color w:val="auto"/>
        </w:rPr>
        <w:t>Note</w:t>
      </w:r>
      <w:r>
        <w:rPr>
          <w:rFonts w:ascii="Times New Roman" w:cs="Times New Roman" w:eastAsia="Times New Roman" w:hAnsi="Times New Roman"/>
          <w:sz w:val="14"/>
          <w:szCs w:val="14"/>
          <w:color w:val="auto"/>
        </w:rPr>
        <w:t xml:space="preserve">”). In such event, the Borrowers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14"/>
          <w:szCs w:val="14"/>
          <w:u w:val="single" w:color="auto"/>
          <w:color w:val="auto"/>
        </w:rPr>
        <w:t>Exhibit H</w:t>
      </w:r>
      <w:r>
        <w:rPr>
          <w:rFonts w:ascii="Times New Roman" w:cs="Times New Roman" w:eastAsia="Times New Roman" w:hAnsi="Times New Roman"/>
          <w:sz w:val="14"/>
          <w:szCs w:val="14"/>
          <w:color w:val="auto"/>
        </w:rPr>
        <w:t>, or in another form approved by such Lender, the Administrative Agent and the Parent in their sole discretion.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2.10.</w:t>
      </w:r>
      <w:r>
        <w:rPr>
          <w:rFonts w:ascii="Times New Roman" w:cs="Times New Roman" w:eastAsia="Times New Roman" w:hAnsi="Times New Roman"/>
          <w:sz w:val="14"/>
          <w:szCs w:val="14"/>
          <w:u w:val="single" w:color="auto"/>
          <w:color w:val="auto"/>
        </w:rPr>
        <w:t>Repayment of Loans; Prepayment Requirements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80" w:hanging="460"/>
        <w:spacing w:after="0"/>
        <w:tabs>
          <w:tab w:leader="none" w:pos="1380"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other clauses of this Section 2.10 and to Section 9.08(e),</w:t>
      </w:r>
    </w:p>
    <w:p>
      <w:pPr>
        <w:spacing w:after="0" w:line="134" w:lineRule="exact"/>
        <w:rPr>
          <w:sz w:val="20"/>
          <w:szCs w:val="20"/>
          <w:color w:val="auto"/>
        </w:rPr>
      </w:pPr>
    </w:p>
    <w:p>
      <w:pPr>
        <w:ind w:left="460" w:right="60" w:firstLine="460"/>
        <w:spacing w:after="0" w:line="248" w:lineRule="auto"/>
        <w:tabs>
          <w:tab w:leader="none" w:pos="1374"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hereby unconditionally promise to repay principal of outstanding Initial Term A Loans (A) on the last Business Day of each March, June, September and December of each year (commencing on the last Business Day of March 2026) (each such date,</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56" w:name="page557"/>
    <w:bookmarkEnd w:id="556"/>
    <w:p>
      <w:pPr>
        <w:spacing w:after="0" w:line="24" w:lineRule="exact"/>
        <w:rPr>
          <w:sz w:val="20"/>
          <w:szCs w:val="20"/>
          <w:color w:val="auto"/>
        </w:rPr>
      </w:pPr>
    </w:p>
    <w:p>
      <w:pPr>
        <w:jc w:val="both"/>
        <w:ind w:left="460" w:right="20"/>
        <w:spacing w:after="0" w:line="228" w:lineRule="auto"/>
        <w:rPr>
          <w:sz w:val="20"/>
          <w:szCs w:val="20"/>
          <w:color w:val="auto"/>
        </w:rPr>
      </w:pPr>
      <w:r>
        <w:rPr>
          <w:rFonts w:ascii="Times New Roman" w:cs="Times New Roman" w:eastAsia="Times New Roman" w:hAnsi="Times New Roman"/>
          <w:sz w:val="14"/>
          <w:szCs w:val="14"/>
          <w:color w:val="auto"/>
        </w:rPr>
        <w:t xml:space="preserve">together with the Initial Term A Facility Maturity Date, being referred to as an “ </w:t>
      </w:r>
      <w:r>
        <w:rPr>
          <w:rFonts w:ascii="Times New Roman" w:cs="Times New Roman" w:eastAsia="Times New Roman" w:hAnsi="Times New Roman"/>
          <w:sz w:val="14"/>
          <w:szCs w:val="14"/>
          <w:u w:val="single" w:color="auto"/>
          <w:color w:val="auto"/>
        </w:rPr>
        <w:t>Initial Term A Loan Installment Date</w:t>
      </w:r>
      <w:r>
        <w:rPr>
          <w:rFonts w:ascii="Times New Roman" w:cs="Times New Roman" w:eastAsia="Times New Roman" w:hAnsi="Times New Roman"/>
          <w:sz w:val="14"/>
          <w:szCs w:val="14"/>
          <w:color w:val="auto"/>
        </w:rPr>
        <w:t>”), in an aggregate principal amount of such Initial Term A Loans equal to 1.25% of the original aggregate principal amount of the Initial Term A Loans made on the Closing Date and (B) on the Initial Term A Facility Maturity Date, in an amount equal to the then unpaid principal amount of the Initial Term A Loans outstanding on such date, together with, in each case, accrued and unpaid interest on the principal amount to be paid but excluding the date of such payment;</w:t>
      </w:r>
    </w:p>
    <w:p>
      <w:pPr>
        <w:spacing w:after="0" w:line="112" w:lineRule="exact"/>
        <w:rPr>
          <w:sz w:val="20"/>
          <w:szCs w:val="20"/>
          <w:color w:val="auto"/>
        </w:rPr>
      </w:pPr>
    </w:p>
    <w:p>
      <w:pPr>
        <w:ind w:left="1380" w:hanging="460"/>
        <w:spacing w:after="0"/>
        <w:tabs>
          <w:tab w:leader="none" w:pos="1380"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hereby unconditionally promise to repay principal of outstanding Initial Term B Loans:</w:t>
      </w:r>
    </w:p>
    <w:p>
      <w:pPr>
        <w:spacing w:after="0" w:line="143" w:lineRule="exact"/>
        <w:rPr>
          <w:rFonts w:ascii="Times New Roman" w:cs="Times New Roman" w:eastAsia="Times New Roman" w:hAnsi="Times New Roman"/>
          <w:sz w:val="14"/>
          <w:szCs w:val="14"/>
          <w:color w:val="auto"/>
        </w:rPr>
      </w:pPr>
    </w:p>
    <w:p>
      <w:pPr>
        <w:jc w:val="both"/>
        <w:ind w:left="460" w:firstLine="3"/>
        <w:spacing w:after="0" w:line="270" w:lineRule="auto"/>
        <w:tabs>
          <w:tab w:leader="none" w:pos="1086" w:val="left"/>
        </w:tabs>
        <w:numPr>
          <w:ilvl w:val="0"/>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on the last Business Day of each March, June, September and December of each calendar year set forth below (commencing on the last Business Day of March 2026) (each such date, together with the Initial Term B Facility Maturity Date, being referred to as an “</w:t>
      </w:r>
      <w:r>
        <w:rPr>
          <w:rFonts w:ascii="Times New Roman" w:cs="Times New Roman" w:eastAsia="Times New Roman" w:hAnsi="Times New Roman"/>
          <w:sz w:val="14"/>
          <w:szCs w:val="14"/>
          <w:u w:val="single" w:color="auto"/>
          <w:color w:val="auto"/>
        </w:rPr>
        <w:t>Initial Term B Loan Installment Date</w:t>
      </w:r>
      <w:r>
        <w:rPr>
          <w:rFonts w:ascii="Times New Roman" w:cs="Times New Roman" w:eastAsia="Times New Roman" w:hAnsi="Times New Roman"/>
          <w:sz w:val="14"/>
          <w:szCs w:val="14"/>
          <w:color w:val="auto"/>
        </w:rPr>
        <w:t xml:space="preserve"> ”), in an aggregate principal amount of such Initial Term B Loans equal to the percentage set forth below for such calendar year of the original aggregate principal amount of the Initial Term B Loans made on the Closing Date:</w:t>
      </w:r>
    </w:p>
    <w:p>
      <w:pPr>
        <w:spacing w:after="0" w:line="368"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Quarterly Amortization Percentage</w:t>
            </w:r>
          </w:p>
        </w:tc>
      </w:tr>
      <w:tr>
        <w:trPr>
          <w:trHeight w:val="286"/>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2.50%</w:t>
            </w:r>
          </w:p>
        </w:tc>
      </w:tr>
      <w:tr>
        <w:trPr>
          <w:trHeight w:val="286"/>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3.75%</w:t>
            </w:r>
          </w:p>
        </w:tc>
      </w:tr>
      <w:tr>
        <w:trPr>
          <w:trHeight w:val="286"/>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3.75%</w:t>
            </w:r>
          </w:p>
        </w:tc>
      </w:tr>
      <w:tr>
        <w:trPr>
          <w:trHeight w:val="286"/>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2.50%</w:t>
            </w:r>
          </w:p>
        </w:tc>
      </w:tr>
      <w:tr>
        <w:trPr>
          <w:trHeight w:val="286"/>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2030</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1.25%</w:t>
            </w:r>
          </w:p>
        </w:tc>
      </w:tr>
      <w:tr>
        <w:trPr>
          <w:trHeight w:val="286"/>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2031</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1.25%</w:t>
            </w:r>
          </w:p>
        </w:tc>
      </w:tr>
      <w:tr>
        <w:trPr>
          <w:trHeight w:val="286"/>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2032</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1.25%</w:t>
            </w:r>
          </w:p>
        </w:tc>
      </w:tr>
    </w:tbl>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(iv)</w:t>
      </w:r>
    </w:p>
    <w:p>
      <w:pPr>
        <w:spacing w:after="0" w:line="24" w:lineRule="exact"/>
        <w:rPr>
          <w:sz w:val="20"/>
          <w:szCs w:val="20"/>
          <w:color w:val="auto"/>
        </w:rPr>
      </w:pPr>
    </w:p>
    <w:p>
      <w:pPr>
        <w:ind w:left="460" w:right="40" w:firstLine="3"/>
        <w:spacing w:after="0" w:line="270" w:lineRule="auto"/>
        <w:tabs>
          <w:tab w:leader="none" w:pos="1112"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on the Initial Term B Facility Maturity Date, in an amount equal to the then unpaid principal amount of the Initial Term B Loans outstanding on such date, together with, in each case, accrued and unpaid interest on the principal amount to be paid to but excluding the date of such payment; and</w:t>
      </w:r>
    </w:p>
    <w:p>
      <w:pPr>
        <w:spacing w:after="0" w:line="109"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1"/>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Other Term Loans are made, the Borrowers shall repay such Other Term Loans on the dates and in the amounts set forth in the related Incremental Assumption Agreement, Extension Amendment or Refinancing Amendment (each such date being referred to as an “</w:t>
      </w:r>
      <w:r>
        <w:rPr>
          <w:rFonts w:ascii="Times New Roman" w:cs="Times New Roman" w:eastAsia="Times New Roman" w:hAnsi="Times New Roman"/>
          <w:sz w:val="14"/>
          <w:szCs w:val="14"/>
          <w:u w:val="single" w:color="auto"/>
          <w:color w:val="auto"/>
        </w:rPr>
        <w:t>Other Term Loan Installment Date</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ind w:right="40" w:firstLine="920"/>
        <w:spacing w:after="0" w:line="248" w:lineRule="auto"/>
        <w:tabs>
          <w:tab w:leader="none" w:pos="1361"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hereby unconditionally promise to pay to the Administrative Agent for the account of each Revolving Lender the then unpaid principal amount of each Revolving Loan on the Maturity Date applicable to such Revolving Loans.</w:t>
      </w:r>
    </w:p>
    <w:p>
      <w:pPr>
        <w:spacing w:after="0" w:line="105" w:lineRule="exact"/>
        <w:rPr>
          <w:rFonts w:ascii="Times New Roman" w:cs="Times New Roman" w:eastAsia="Times New Roman" w:hAnsi="Times New Roman"/>
          <w:sz w:val="14"/>
          <w:szCs w:val="14"/>
          <w:color w:val="auto"/>
        </w:rPr>
      </w:pPr>
    </w:p>
    <w:p>
      <w:pPr>
        <w:jc w:val="both"/>
        <w:ind w:firstLine="920"/>
        <w:spacing w:after="0" w:line="224" w:lineRule="auto"/>
        <w:tabs>
          <w:tab w:leader="none" w:pos="1370"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mandatory prepayment of Term Loans pursuant to Section 2.11(b) shall be applied so that the aggregate amount of such prepayment is allocated among the Initial Term A Loans, the Initial Term B Loans and the Other Term Loans constituting Other First Lien Debt, if any,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based on the aggregate principal amount of outstanding</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4"/>
          <w:szCs w:val="14"/>
          <w:color w:val="auto"/>
        </w:rPr>
        <w:t xml:space="preserve">Initial Term A Loans, Initial Term B Loans and such Other Term Loans, if any, to reduce amounts due on the succeeding Term Loan Installment Dates for such Classes;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subject to the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application to Loans outstanding within any respective Class of Loans, (x) with respect to mandatory prepayments of Term Loans pursuant to Section 2.11(b), any Class of Other Term Loans may receive less than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thereof (so long as the amount by</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7" w:name="page558"/>
    <w:bookmarkEnd w:id="557"/>
    <w:p>
      <w:pPr>
        <w:spacing w:after="0" w:line="2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4"/>
          <w:szCs w:val="14"/>
          <w:color w:val="auto"/>
        </w:rPr>
        <w:t xml:space="preserve">which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exceeds the amount actually applied to such Class is applied to repay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the outstanding Initial Term A Loans, the Initial Term B Loans and any other Classes of then outstanding Other Term Loans), in each case to the extent the respective Class receiving less than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has consented thereto and (y) the Borrowers shall allocate any repayments pursuant to Section 2.11(b)(2) to repay the respective Class or Classes being refinanced, as provided in said Section 2.11(b)(2). Any mandatory prepayment of Term Loans pursuant to Section 2.11(c) shall be applied so that the aggregate amount of such prepayment is allocated among the Initial Term B Loans and the Other Term B Loans constituting Other First Lien Debt, if any,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based on the aggregate principal amount of outstanding Initial Term B Loans and such Other Term B Loans, if any, to reduce amounts due on the succeeding Term Loan Installment Dates for such Classes;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subject to the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application to Loans outstanding within any respective Class of Loans, with respect to mandatory prepayments of Term Loans pursuant to Section 2.11(c), any Class of Other Term B Loans may receive less than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thereof (so long as the amount by which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exceeds the amount actually applied to such Class is applied to repay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the outstanding Initial Term B Loans and any other Classes of then outstanding Other Term B Loans), in each case to the extent the respective Class receiving less than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has consented thereto. Any optional prepayments of the Term Loans pursuant to Section 2.11(a) shall be applied to the remaining installments of the Term Loans under the applicable Class or Classes in direct order of maturity or otherwise as the Parent may in each case direct.</w:t>
      </w:r>
    </w:p>
    <w:p>
      <w:pPr>
        <w:spacing w:after="0" w:line="126"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 xml:space="preserve">Prior to any prepayment of any Loan under any Facility hereunder pursuant to Section 2.11(a), the applicable Borrower shall select the Borrowing or Borrowings under the applicable Facility to be prepaid and shall notify the Administrative Agent by electronic means of such selection, (i) in the case of an ABR Borrowing, not later than 12:00 p.m., noon, on the scheduled date of such prepayment and (ii) in the case of a Term SOFR Borrowing or Eurocurrency Rate Borrowing, not later than 1:00 p.m., at least three (3) Business Days before the scheduled date of such prepayment (or, in each case, such shorter period acceptable to the Administrative Agent). Each such notice shall be irrevocable;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notice of prepayment may state that such notice is conditioned upon the effectiveness of other credit facilities, indentures or similar agreements or other transactions, in which case such notice may be revoked by the applicable Borrower (by notice to the Administrative Agent on or prior to the specified effective date) if such condition is not satisfied. Each prepayment of a Borrowing pursuant to Section 2.11(a) (x) in the case of a Revolving Borrowing, shall be applied to the Revolving Loans included in the repaid Borrowing such that each Revolving Lender under the applicable Revolving Facility receives its ratable share of such repayment (based upon the respective Revolving Credit Exposures of the Revolving Lenders of such Class at the time of such repayment) and (y) in all other cases, shall be applied ratably to the Loans included in the repaid Borrowing.</w:t>
      </w:r>
    </w:p>
    <w:p>
      <w:pPr>
        <w:spacing w:after="0" w:line="13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All repayments of Loans hereunder shall be accompanied by (1) accrued interest on the amount repaid to the extent required by Section 2.13(d) and (2) break funding payments pursuant to Section 2.16.</w:t>
      </w:r>
    </w:p>
    <w:p>
      <w:pPr>
        <w:spacing w:after="0" w:line="95" w:lineRule="exact"/>
        <w:rPr>
          <w:sz w:val="20"/>
          <w:szCs w:val="20"/>
          <w:color w:val="auto"/>
        </w:rPr>
      </w:pPr>
    </w:p>
    <w:p>
      <w:pPr>
        <w:jc w:val="both"/>
        <w:ind w:right="20" w:firstLine="920"/>
        <w:spacing w:after="0" w:line="220" w:lineRule="auto"/>
        <w:tabs>
          <w:tab w:leader="none" w:pos="1361" w:val="left"/>
        </w:tabs>
        <w:numPr>
          <w:ilvl w:val="0"/>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shall notify the Administrative Agent in writing of any mandatory prepayment of Term Loans required to be made pursuant to Section 2.11(b) or 2.11(c) at least five (5) Business Days prior to the date of such prepayment. Each such notice shall specify the date of such prepayment and provide a reasonably detailed calculation of the amount and currency of such prepayment. The Administrative Agent will promptly notify each applicable Term Lender of the contents of any such prepayment notice and of such Term Lender’s ratable portion of such prepayment (based on such Lender’s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each relevant Class of Term Loans). Any Term Lender (a “ </w:t>
      </w:r>
      <w:r>
        <w:rPr>
          <w:rFonts w:ascii="Times New Roman" w:cs="Times New Roman" w:eastAsia="Times New Roman" w:hAnsi="Times New Roman"/>
          <w:sz w:val="14"/>
          <w:szCs w:val="14"/>
          <w:u w:val="single" w:color="auto"/>
          <w:color w:val="auto"/>
        </w:rPr>
        <w:t>Declining Term Lender</w:t>
      </w:r>
      <w:r>
        <w:rPr>
          <w:rFonts w:ascii="Times New Roman" w:cs="Times New Roman" w:eastAsia="Times New Roman" w:hAnsi="Times New Roman"/>
          <w:sz w:val="14"/>
          <w:szCs w:val="14"/>
          <w:color w:val="auto"/>
        </w:rPr>
        <w:t xml:space="preserve">”, and any Term Lender which is not a Declining Term Lender, an “ </w:t>
      </w:r>
      <w:r>
        <w:rPr>
          <w:rFonts w:ascii="Times New Roman" w:cs="Times New Roman" w:eastAsia="Times New Roman" w:hAnsi="Times New Roman"/>
          <w:sz w:val="14"/>
          <w:szCs w:val="14"/>
          <w:u w:val="single" w:color="auto"/>
          <w:color w:val="auto"/>
        </w:rPr>
        <w:t>Accepting Term Lender</w:t>
      </w:r>
      <w:r>
        <w:rPr>
          <w:rFonts w:ascii="Times New Roman" w:cs="Times New Roman" w:eastAsia="Times New Roman" w:hAnsi="Times New Roman"/>
          <w:sz w:val="14"/>
          <w:szCs w:val="14"/>
          <w:color w:val="auto"/>
        </w:rPr>
        <w:t>”) may elect, by delivering written notice to the Administrative Agent and the Parent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2.11(b)(1) or 2.11(c) not be made (the aggregate amount of such prepayments declined by the</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8" w:name="page559"/>
    <w:bookmarkEnd w:id="558"/>
    <w:p>
      <w:pPr>
        <w:spacing w:after="0" w:line="24"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4"/>
          <w:szCs w:val="14"/>
          <w:color w:val="auto"/>
        </w:rPr>
        <w:t xml:space="preserve">Declining Term Lenders, the “ </w:t>
      </w:r>
      <w:r>
        <w:rPr>
          <w:rFonts w:ascii="Times New Roman" w:cs="Times New Roman" w:eastAsia="Times New Roman" w:hAnsi="Times New Roman"/>
          <w:sz w:val="14"/>
          <w:szCs w:val="14"/>
          <w:u w:val="single" w:color="auto"/>
          <w:color w:val="auto"/>
        </w:rPr>
        <w:t>Declined Prepayment Amount</w:t>
      </w:r>
      <w:r>
        <w:rPr>
          <w:rFonts w:ascii="Times New Roman" w:cs="Times New Roman" w:eastAsia="Times New Roman" w:hAnsi="Times New Roman"/>
          <w:sz w:val="14"/>
          <w:szCs w:val="14"/>
          <w:color w:val="auto"/>
        </w:rPr>
        <w:t xml:space="preserve"> ”).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The Declined Prepayment Amount shall be retained by the applicable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the applicable Borrower may, at its option, apply any amounts so retained to prepay loans in accordance with Section 2.11(a).</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2.11.</w:t>
      </w:r>
      <w:r>
        <w:rPr>
          <w:rFonts w:ascii="Times New Roman" w:cs="Times New Roman" w:eastAsia="Times New Roman" w:hAnsi="Times New Roman"/>
          <w:sz w:val="14"/>
          <w:szCs w:val="14"/>
          <w:u w:val="single" w:color="auto"/>
          <w:color w:val="auto"/>
        </w:rPr>
        <w:t>Prepayment of Loans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33" w:lineRule="auto"/>
        <w:tabs>
          <w:tab w:leader="none" w:pos="1370" w:val="left"/>
        </w:tabs>
        <w:numPr>
          <w:ilvl w:val="1"/>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shall have the right at any time and from time to time to prepay any Loan of which it is a Borrower in whole or in part, without premium or penalty (but subject to Section 2.12(e) and Section 2.16 and subject to prior notice in accordance with the second paragraph of Section 2.10(c)), in an aggregate principal amount that is an integral multiple of the Borrowing Multiple and not less than the Borrowing Minimum or, if less, the amount outstanding.</w:t>
      </w:r>
    </w:p>
    <w:p>
      <w:pPr>
        <w:spacing w:after="0" w:line="109"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on the Closing Date, the Parent shall apply (1) all Net Proceeds (other than Net Proceeds of the kind described in the following clause (2)) within five</w:t>
      </w:r>
    </w:p>
    <w:p>
      <w:pPr>
        <w:jc w:val="both"/>
        <w:ind w:right="20" w:firstLine="6"/>
        <w:spacing w:after="0" w:line="225" w:lineRule="auto"/>
        <w:tabs>
          <w:tab w:leader="none" w:pos="221"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after receipt thereof to prepay Term Loans in accordance with clauses (c) and (d) of Section 2.10 and (2) all Net Proceeds from any issuance or incurrence of Refinancing Term Loans, Replacement Revolving Loans or Refinancing Indebtedness incurred to refinance all or a portion of any Class of Loans on the date on which such Refinancing Term Loans, Replacement Revolving Loans or Refinancing Indebtedness are or is incurred, to prepay the applicable Term Loans or Revolving Loans.</w:t>
      </w:r>
    </w:p>
    <w:p>
      <w:pPr>
        <w:spacing w:after="0" w:line="111" w:lineRule="exact"/>
        <w:rPr>
          <w:rFonts w:ascii="Times New Roman" w:cs="Times New Roman" w:eastAsia="Times New Roman" w:hAnsi="Times New Roman"/>
          <w:sz w:val="14"/>
          <w:szCs w:val="14"/>
          <w:color w:val="auto"/>
        </w:rPr>
      </w:pPr>
    </w:p>
    <w:p>
      <w:pPr>
        <w:jc w:val="both"/>
        <w:ind w:firstLine="920"/>
        <w:spacing w:after="0" w:line="217" w:lineRule="auto"/>
        <w:tabs>
          <w:tab w:leader="none" w:pos="1370" w:val="left"/>
        </w:tabs>
        <w:numPr>
          <w:ilvl w:val="1"/>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 later than five (5) Business Days after the date on which the annual financial statements are, or are required to be, delivered under Section 5.04(a) with respect to each Excess Cash Flow Period (commencing with the Excess Cash Flow Period ending December 31, 2026), the Parent shall calculate Excess Cash Flow for such Excess Cash Flow Period and, if and to the extent the amount of such Excess Cash Flow exceeds $150,000,000, the Parent shall apply such excess amount to prepay Initial Term B Loans, Other Term B Loans and Other First Lien Debt (if applicable) equal to (i) the Required Percentage of such excess amount of Excess Cash Flow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 the sum of (A) to the extent not financed using the proceeds of long-term funded Indebtedness, the amount of any voluntary payments of Term Loans and Other First Lien Debt (in the case of Other First Lien Debt constituting revolving Indebtedness, only to the extent that the commitments with respect to such revolving Indebtedness are terminated or reduced) and amounts used to repurchase outstanding principal of Term Loans and Other First Lien Debt during such Excess Cash Flow Period (plus, without duplication of any amounts previously deducted under this clause (ii), the amount of any such voluntary payments and amounts so used to repurchase principal of Term Loans and Other First Lien Debt (in the case of Other First Lien Debt constituting revolving Indebtedness, only to the extent that the commitments with respect to such revolving Indebtedness are terminated or reduced) after the end of such Excess Cash Flow Period but before the date of prepayment under this clause (c)) pursuant to Sections 2.11(a) and Section 2.25 (it being understood that the amount of any such payments pursuant to Section 2.25 shall be calculated to equal the amount of cash used to repay principal and not the principal amount deemed prepaid therewith) and (B) to the extent not financed using the proceeds of long-term funded Indebtedness, the amount of any voluntary payments of Revolving Loans to the extent that Revolving Commitments are terminated or reduced pursuant to Section 2.08 by the amount of such payments (in the case of each of clauses (A) and clause (B), without duplication of any amounts deducted pursuant to the definition of “Excess Cash Flow”). Such calculation will be set forth in a certificate signed by a Financial Officer of the Parent delivered to the Administrative Agent setting forth the amount, if any, of Excess Cash Flow for such fiscal year, the amount of any required prepayment in respect thereof and the calculation thereof in reasonable detail.</w:t>
      </w:r>
    </w:p>
    <w:p>
      <w:pPr>
        <w:spacing w:after="0" w:line="110"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1"/>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aggregate amount of Revolving Credit Exposure of any Class exceeds the total Revolving Commitments of such Class, the Borrowers shall prepay Revolving Borrowings of such Class (or, if no such Borrowings are outstanding, the Borrowers shall provide Cash Collateral in respect of outstanding Letters of Credit issued under such Class pursuant to Section 2.05(j)) in an aggregate amount equal to such excess.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59" w:name="page560"/>
    <w:bookmarkEnd w:id="559"/>
    <w:p>
      <w:pPr>
        <w:spacing w:after="0" w:line="24" w:lineRule="exact"/>
        <w:rPr>
          <w:sz w:val="20"/>
          <w:szCs w:val="20"/>
          <w:color w:val="auto"/>
        </w:rPr>
      </w:pPr>
    </w:p>
    <w:p>
      <w:pPr>
        <w:ind w:right="40" w:firstLine="920"/>
        <w:spacing w:after="0" w:line="248" w:lineRule="auto"/>
        <w:tabs>
          <w:tab w:leader="none" w:pos="1370"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aggregate amount of Revolving L/C Exposure of any Class exceeds the total Revolving Commitments of such Class, the Borrowers shall provide Cash Collateral in respect of outstanding Letters of Credit issued under such Class pursuant to Section 2.05(j) in an aggregate amount equal to such excess.</w:t>
      </w:r>
    </w:p>
    <w:p>
      <w:pPr>
        <w:spacing w:after="0" w:line="105" w:lineRule="exact"/>
        <w:rPr>
          <w:rFonts w:ascii="Times New Roman" w:cs="Times New Roman" w:eastAsia="Times New Roman" w:hAnsi="Times New Roman"/>
          <w:sz w:val="14"/>
          <w:szCs w:val="14"/>
          <w:color w:val="auto"/>
        </w:rPr>
      </w:pPr>
    </w:p>
    <w:p>
      <w:pPr>
        <w:jc w:val="both"/>
        <w:ind w:right="40" w:firstLine="920"/>
        <w:spacing w:after="0" w:line="218" w:lineRule="auto"/>
        <w:tabs>
          <w:tab w:leader="none" w:pos="1370"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Section 2.10 or this Section 2.11 to the contrary, the Borrowers shall not be required to prepay any amount that would otherwise be required to be paid pursuant to Section 2.11(b)(1) or 2.11(c) to the extent that (as determined by the Parent in good faith) the relevant Net Proceeds are received by any Subsidiary or the relevant Excess Cash Flow is generated by any Subsidiary, as the case may be, for so long as the repatriation to the Parent of any such amount would, in the good faith determination of the Parent, result in material adverse Tax consequences to the Parent, be prohibited or delayed under any applicable law or conflict with the fiduciary duties of such Subsidiary’s directors, or result in, or could reasonably be expected to result in, a material risk of personal or criminal liability for any officer, director, employee, manager or member of management of such Subsidiary (the Parent hereby agreeing to cause the applicable Subsidiary to promptly take all commercially reasonable actions to permit such repatriation); it being understood that if the repatriation of the relevant affected Net Proceeds or Excess Cash Flow, as the case may be, is permitted under the applicable law and, to the extent applicable, would not result in material adverse Tax consequences to the Parent, would no longer conflict with the fiduciary duties of such director, or result in, or be reasonably expected to result in, a material risk of personal or criminal liability for the persons described above, the relevant Subsidiary will promptly repatriate the relevant Net Proceeds or Excess Cash Flow, as the case may be, and the repatriated Net Proceeds or Excess Cash Flow, as the case may be, will be promptly (and in any event not later than two Business Days after such repatriation) applied (net of additional Taxes payable or reserved against such Net Proceeds or Excess Cash Flow as a result thereof) to the repayment of the Term Loans pursuant to Section 2.11(b)(1) or 2.11(c), as applicable, to the extent required therein (without regard to this clause (f)).</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2.12.</w:t>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1" w:lineRule="auto"/>
        <w:tabs>
          <w:tab w:leader="none" w:pos="1370"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agree to pay to the Administrative Agent for the account of each Lender, on the last Business Day of each fiscal quarter (commencing on the last Business Day of the fiscal quarter in which the Closing Date occurs) and on the date on which the Initial Revolving Commitments of all the Lenders shall be terminated as provided herein, a commitment fee (a “</w:t>
      </w:r>
      <w:r>
        <w:rPr>
          <w:rFonts w:ascii="Times New Roman" w:cs="Times New Roman" w:eastAsia="Times New Roman" w:hAnsi="Times New Roman"/>
          <w:sz w:val="14"/>
          <w:szCs w:val="14"/>
          <w:u w:val="single" w:color="auto"/>
          <w:color w:val="auto"/>
        </w:rPr>
        <w:t>Commitment Fee</w:t>
      </w:r>
      <w:r>
        <w:rPr>
          <w:rFonts w:ascii="Times New Roman" w:cs="Times New Roman" w:eastAsia="Times New Roman" w:hAnsi="Times New Roman"/>
          <w:sz w:val="14"/>
          <w:szCs w:val="14"/>
          <w:color w:val="auto"/>
        </w:rPr>
        <w:t>”) in Dollars on the daily amount of the applicable Available Unused Commitment of such Lender under the Initial Revolving Facility during the preceding quarter (or other period commencing with the Closing Date or ending with the date on which the last of the Initial Revolving Commitments of such Lender shall be terminated) at a rate equal to the Applicable Commitment Fee. All Commitment Fees shall be computed on the basis of the actual number of days elapsed in a year of 360 days. The Commitment Fee due to each Lender shall commence to accrue on the Closing Date and shall cease to accrue on the date on which the last of the Initial Revolving Commitments of such Lender shall be terminated as provided herein.</w:t>
      </w:r>
    </w:p>
    <w:p>
      <w:pPr>
        <w:spacing w:after="0" w:line="113" w:lineRule="exact"/>
        <w:rPr>
          <w:rFonts w:ascii="Times New Roman" w:cs="Times New Roman" w:eastAsia="Times New Roman" w:hAnsi="Times New Roman"/>
          <w:sz w:val="14"/>
          <w:szCs w:val="14"/>
          <w:color w:val="auto"/>
        </w:rPr>
      </w:pPr>
    </w:p>
    <w:p>
      <w:pPr>
        <w:jc w:val="both"/>
        <w:ind w:firstLine="920"/>
        <w:spacing w:after="0"/>
        <w:tabs>
          <w:tab w:leader="none" w:pos="1361"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agree to pay from time to time (i) to the Administrative Agent for the account of each Lender under the Initial Revolving Facility, on the last Business Day of each fiscal quarter (commencing on the last Business Day of the fiscal in which the Closing Date occurs) and on the date on which all of the Initial Revolving Commitments shall be terminated as provided herein, a fee (an “</w:t>
      </w:r>
      <w:r>
        <w:rPr>
          <w:rFonts w:ascii="Times New Roman" w:cs="Times New Roman" w:eastAsia="Times New Roman" w:hAnsi="Times New Roman"/>
          <w:sz w:val="14"/>
          <w:szCs w:val="14"/>
          <w:u w:val="single" w:color="auto"/>
          <w:color w:val="auto"/>
        </w:rPr>
        <w:t>L/C Participation Fee</w:t>
      </w:r>
      <w:r>
        <w:rPr>
          <w:rFonts w:ascii="Times New Roman" w:cs="Times New Roman" w:eastAsia="Times New Roman" w:hAnsi="Times New Roman"/>
          <w:sz w:val="14"/>
          <w:szCs w:val="14"/>
          <w:color w:val="auto"/>
        </w:rPr>
        <w:t xml:space="preserve">”) on such Lender’s Revolving Facility Percentage of the daily average Revolving L/C Exposure (excluding the portion thereof attributable to unreimbursed L/C Disbursements) of the Initial Revolving Facility, during the preceding quarter (or other period commencing with the Closing Date or ending with the Initial Revolving Facility Maturity Date or the date on which the Initial Revolving Commitments shall be terminated;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such fees accruing after the date on which such Initial Revolving Commitments terminate shall be payable on demand) at the rate per annum equal to the Applicable Margin for Term SOFR Revolving Borrowings effective for each day in such period, and (ii) to each Issuing Bank, for its own account (x) on the last Business Day of each fiscal quarter (commencing on the last Business Day of the fiscal in which the Closing Date occurs) and on the date on which all of the Initial Revolving Commitments shall be terminated, a fronting fee in Dollars in respect of each Letter of Credit issued by such Issuing Bank for the period from and including the date of issuance of such Letter of Credit to and including the termination of such Letter of Credit, computed at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60" w:name="page561"/>
    <w:bookmarkEnd w:id="560"/>
    <w:p>
      <w:pPr>
        <w:spacing w:after="0" w:line="24"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14"/>
          <w:szCs w:val="14"/>
          <w:color w:val="auto"/>
        </w:rPr>
        <w:t>rate equal to 0.125% per annum of the daily stated amount of such Letter of Credit, plus (y) in connection with the issuance, amendment, cancellation, negotiation, presentment, renewal, extension or transfer of any such Letter of Credit or any L/C Disbursement thereunder, as applicable, such Issuing Bank’s customary documentary and processing fees and charges (collectively, “</w:t>
      </w:r>
      <w:r>
        <w:rPr>
          <w:rFonts w:ascii="Times New Roman" w:cs="Times New Roman" w:eastAsia="Times New Roman" w:hAnsi="Times New Roman"/>
          <w:sz w:val="14"/>
          <w:szCs w:val="14"/>
          <w:u w:val="single" w:color="auto"/>
          <w:color w:val="auto"/>
        </w:rPr>
        <w:t>Issuing Bank Fees</w:t>
      </w:r>
      <w:r>
        <w:rPr>
          <w:rFonts w:ascii="Times New Roman" w:cs="Times New Roman" w:eastAsia="Times New Roman" w:hAnsi="Times New Roman"/>
          <w:sz w:val="14"/>
          <w:szCs w:val="14"/>
          <w:color w:val="auto"/>
        </w:rPr>
        <w:t>”). All L/C Participation Fees and Issuing Bank Fees that are payable on a per annum basis shall be computed on the basis of the actual number of days elapsed in a year of 360 days.</w:t>
      </w:r>
    </w:p>
    <w:p>
      <w:pPr>
        <w:spacing w:after="0" w:line="112" w:lineRule="exact"/>
        <w:rPr>
          <w:sz w:val="20"/>
          <w:szCs w:val="20"/>
          <w:color w:val="auto"/>
        </w:rPr>
      </w:pPr>
    </w:p>
    <w:p>
      <w:pPr>
        <w:ind w:right="100" w:firstLine="920"/>
        <w:spacing w:after="0" w:line="248" w:lineRule="auto"/>
        <w:tabs>
          <w:tab w:leader="none" w:pos="137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agree to pay to the Administrative Agent, for the account of the Administrative Agent, the administration fee as set forth in the Agent Fee Letter, in the amounts and, at the times specified therein (the “</w:t>
      </w:r>
      <w:r>
        <w:rPr>
          <w:rFonts w:ascii="Times New Roman" w:cs="Times New Roman" w:eastAsia="Times New Roman" w:hAnsi="Times New Roman"/>
          <w:sz w:val="14"/>
          <w:szCs w:val="14"/>
          <w:u w:val="single" w:color="auto"/>
          <w:color w:val="auto"/>
        </w:rPr>
        <w:t>Administrative Agent Fees</w:t>
      </w:r>
      <w:r>
        <w:rPr>
          <w:rFonts w:ascii="Times New Roman" w:cs="Times New Roman" w:eastAsia="Times New Roman" w:hAnsi="Times New Roman"/>
          <w:sz w:val="14"/>
          <w:szCs w:val="14"/>
          <w:color w:val="auto"/>
        </w:rPr>
        <w:t>”).</w:t>
      </w:r>
    </w:p>
    <w:p>
      <w:pPr>
        <w:spacing w:after="0" w:line="105" w:lineRule="exact"/>
        <w:rPr>
          <w:rFonts w:ascii="Times New Roman" w:cs="Times New Roman" w:eastAsia="Times New Roman" w:hAnsi="Times New Roman"/>
          <w:sz w:val="14"/>
          <w:szCs w:val="14"/>
          <w:color w:val="auto"/>
        </w:rPr>
      </w:pPr>
    </w:p>
    <w:p>
      <w:pPr>
        <w:ind w:right="60" w:firstLine="920"/>
        <w:spacing w:after="0" w:line="248" w:lineRule="auto"/>
        <w:tabs>
          <w:tab w:leader="none" w:pos="1361"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payment of fees in respect of any Ancillary Facility shall be agreed by the applicable Ancillary Lender and the applicable Ancillary Borrower under such Ancillary Facility.</w:t>
      </w:r>
    </w:p>
    <w:p>
      <w:pPr>
        <w:spacing w:after="0" w:line="105" w:lineRule="exact"/>
        <w:rPr>
          <w:rFonts w:ascii="Times New Roman" w:cs="Times New Roman" w:eastAsia="Times New Roman" w:hAnsi="Times New Roman"/>
          <w:sz w:val="14"/>
          <w:szCs w:val="14"/>
          <w:color w:val="auto"/>
        </w:rPr>
      </w:pPr>
    </w:p>
    <w:p>
      <w:pPr>
        <w:jc w:val="both"/>
        <w:ind w:right="40" w:firstLine="920"/>
        <w:spacing w:after="0" w:line="225" w:lineRule="auto"/>
        <w:tabs>
          <w:tab w:leader="none" w:pos="137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prior to the date that is six months after the Closing Date, any Borrower (i) makes any repayment, prepayment, or purchase of Initial Term B Loans in connection with any Repricing Event or (ii) effects any amendment of this Agreement resulting in a Repricing Event with respect to the Initial Term B Loans, the Borrowers shall pay to the Administrative Agent on the date of effectiveness of such Repricing Event, for the ratable account of each Initial Term B Lender (x) in the case of clause (i), a prepayment premium of 1.00% of the aggregate principal amount of the Initial Term B Loans so being prepaid, repaid, refinanced or purchased and (y) in the case of clause (ii), an amount equal to 1.00% of the aggregate principal amount of the Initial Term B Loans that are the subject of such Repricing Event and outstanding immediately prior to such amendment.</w:t>
      </w:r>
    </w:p>
    <w:p>
      <w:pPr>
        <w:spacing w:after="0" w:line="111" w:lineRule="exact"/>
        <w:rPr>
          <w:rFonts w:ascii="Times New Roman" w:cs="Times New Roman" w:eastAsia="Times New Roman" w:hAnsi="Times New Roman"/>
          <w:sz w:val="14"/>
          <w:szCs w:val="14"/>
          <w:color w:val="auto"/>
        </w:rPr>
      </w:pPr>
    </w:p>
    <w:p>
      <w:pPr>
        <w:ind w:right="60" w:firstLine="920"/>
        <w:spacing w:after="0" w:line="248" w:lineRule="auto"/>
        <w:tabs>
          <w:tab w:leader="none" w:pos="137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2.13.</w:t>
      </w:r>
      <w:r>
        <w:rPr>
          <w:rFonts w:ascii="Times New Roman" w:cs="Times New Roman" w:eastAsia="Times New Roman" w:hAnsi="Times New Roman"/>
          <w:sz w:val="14"/>
          <w:szCs w:val="14"/>
          <w:u w:val="single" w:color="auto"/>
          <w:color w:val="auto"/>
        </w:rPr>
        <w:t>Interest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80" w:hanging="460"/>
        <w:spacing w:after="0"/>
        <w:tabs>
          <w:tab w:leader="none" w:pos="1380"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comprising each ABR Borrowing shall bear interest at the ABR plus the Applicable Margin.</w:t>
      </w:r>
    </w:p>
    <w:p>
      <w:pPr>
        <w:spacing w:after="0" w:line="134"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61"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comprising each Eurocurrency Rate Borrowing shall bear interest at the Eurocurrency Rate for the Interest Period in effect for such Borrowing plus the Applicable Margin. The Loans comprising each Term SOFR Borrowing shall bear interest at the Term SOFR for the Interest Period in effect for such Borrowing plus the Applicable Margin.</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25" w:lineRule="auto"/>
        <w:tabs>
          <w:tab w:leader="none" w:pos="1370"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if any principal of or interest on any Loan or any Fees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clauses of this Section 2.13 or (ii) in the case of any other overdue amount, 2.00% plus the rate applicable to Revolving Loans that are ABR Loans as provided in clause (a) of this Section 2.13;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clause (c) shall not apply to any Event of Default that has been waived by the Lenders pursuant to Section 9.08.</w:t>
      </w:r>
    </w:p>
    <w:p>
      <w:pPr>
        <w:spacing w:after="0" w:line="111" w:lineRule="exact"/>
        <w:rPr>
          <w:rFonts w:ascii="Times New Roman" w:cs="Times New Roman" w:eastAsia="Times New Roman" w:hAnsi="Times New Roman"/>
          <w:sz w:val="14"/>
          <w:szCs w:val="14"/>
          <w:color w:val="auto"/>
        </w:rPr>
      </w:pPr>
    </w:p>
    <w:p>
      <w:pPr>
        <w:jc w:val="both"/>
        <w:ind w:firstLine="920"/>
        <w:spacing w:after="0" w:line="225" w:lineRule="auto"/>
        <w:tabs>
          <w:tab w:leader="none" w:pos="1361"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Accrued interest on each Loan shall be payable in Dollars, Euros or DKK, as applicable, in arrears on each Interest Payment Date for such Loan and on the applicable Maturity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interest accrued pursuant to clause (c) of this Section 2.13 shall be payable on demand, (ii) in the event of any repayment or prepayment of any Loan (other than a prepayment of a Revolving Loan that is an ABR Loan that is not made in conjunction with a permanent commitment reduction), accrued interest on the principal amount repaid or prepaid shall be payable on the date of such repayment or prepayment, (iii) in the event of any conversion of any Eurocurrency Rate Loan or Term SOFR Loan prior to the end of the current Interest Period therefor, accrued interest on such Loan shall be payable on</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61" w:name="page562"/>
    <w:bookmarkEnd w:id="561"/>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effective date of such conversion and (iv) any Loan that is repaid on the same day on which it is made shall bear interest for one day.</w:t>
      </w:r>
    </w:p>
    <w:p>
      <w:pPr>
        <w:spacing w:after="0" w:line="134" w:lineRule="exact"/>
        <w:rPr>
          <w:sz w:val="20"/>
          <w:szCs w:val="20"/>
          <w:color w:val="auto"/>
        </w:rPr>
      </w:pPr>
    </w:p>
    <w:p>
      <w:pPr>
        <w:jc w:val="both"/>
        <w:ind w:firstLine="920"/>
        <w:spacing w:after="0" w:line="233" w:lineRule="auto"/>
        <w:tabs>
          <w:tab w:leader="none" w:pos="1370" w:val="left"/>
        </w:tabs>
        <w:numPr>
          <w:ilvl w:val="0"/>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interest hereunder shall be computed on the basis of a year of 360 days, except that interest computed by reference to the ABR (when ABR is based on the Prime Rate) shall be computed on the basis of a year of 365 days (or 366 days in a leap year), and in each case shall be payable for the actual number of days elapsed. The applicable ABR, Term SOFR or Eurocurrency Rate shall be determined by the Administrative Agent, and such determination shall be conclusive absent manifest error.</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2.14.</w:t>
      </w:r>
      <w:r>
        <w:rPr>
          <w:rFonts w:ascii="Times New Roman" w:cs="Times New Roman" w:eastAsia="Times New Roman" w:hAnsi="Times New Roman"/>
          <w:sz w:val="14"/>
          <w:szCs w:val="14"/>
          <w:u w:val="single" w:color="auto"/>
          <w:color w:val="auto"/>
        </w:rPr>
        <w:t>Ancillary Facilities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80" w:hanging="460"/>
        <w:spacing w:after="0"/>
        <w:tabs>
          <w:tab w:leader="none" w:pos="138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Availability of Ancillary Facilities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460" w:firstLine="460"/>
        <w:spacing w:after="0" w:line="248" w:lineRule="auto"/>
        <w:tabs>
          <w:tab w:leader="none" w:pos="1374"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Revolving Lender may, upon the agreement of any Ancillary Borrower and such Revolving Lender, provide, directly or indirectly through one or more of its Affiliates, one or more Ancillary Facilities on a bilateral basis in place of all or a portion of such Revolving Lender’s unused Revolving Commitment of any Class.</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Borrower may implement any Ancillary Facility by providing, not less than five Business Days (or such shorter period as the Administrative Agent may agree) prior to the Ancillary Commencement Date with respect thereto, notice to the Administrative Agent that such Ancillary Facility has been established and specifying:</w:t>
      </w:r>
    </w:p>
    <w:p>
      <w:pPr>
        <w:spacing w:after="0" w:line="105"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Ancillary Borrower(s);</w:t>
      </w:r>
    </w:p>
    <w:p>
      <w:pPr>
        <w:spacing w:after="0" w:line="134"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Ancillary Commencement Date for such Ancillary Facility and the scheduled expiration date thereof;</w:t>
      </w:r>
    </w:p>
    <w:p>
      <w:pPr>
        <w:spacing w:after="0" w:line="134"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type of such Ancillary Facility;</w:t>
      </w:r>
    </w:p>
    <w:p>
      <w:pPr>
        <w:spacing w:after="0" w:line="134" w:lineRule="exact"/>
        <w:rPr>
          <w:rFonts w:ascii="Times New Roman" w:cs="Times New Roman" w:eastAsia="Times New Roman" w:hAnsi="Times New Roman"/>
          <w:sz w:val="14"/>
          <w:szCs w:val="14"/>
          <w:color w:val="auto"/>
        </w:rPr>
      </w:pPr>
    </w:p>
    <w:p>
      <w:pPr>
        <w:jc w:val="both"/>
        <w:ind w:left="920" w:right="20" w:firstLine="457"/>
        <w:spacing w:after="0" w:line="233" w:lineRule="auto"/>
        <w:tabs>
          <w:tab w:leader="none" w:pos="1824"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Ancillary Commitment (including the maximum amount of such Ancillary Facility) and, if such Ancillary Facility is an overdraft facility comprising more than one account, the maximum gross amount at any time outstanding under the overdraft facility (the “</w:t>
      </w:r>
      <w:r>
        <w:rPr>
          <w:rFonts w:ascii="Times New Roman" w:cs="Times New Roman" w:eastAsia="Times New Roman" w:hAnsi="Times New Roman"/>
          <w:sz w:val="14"/>
          <w:szCs w:val="14"/>
          <w:u w:val="single" w:color="auto"/>
          <w:color w:val="auto"/>
        </w:rPr>
        <w:t>Designated Gross Amount</w:t>
      </w:r>
      <w:r>
        <w:rPr>
          <w:rFonts w:ascii="Times New Roman" w:cs="Times New Roman" w:eastAsia="Times New Roman" w:hAnsi="Times New Roman"/>
          <w:sz w:val="14"/>
          <w:szCs w:val="14"/>
          <w:color w:val="auto"/>
        </w:rPr>
        <w:t>”) and maximum net amount at any time outstanding under the overdraft facility (the “</w:t>
      </w:r>
      <w:r>
        <w:rPr>
          <w:rFonts w:ascii="Times New Roman" w:cs="Times New Roman" w:eastAsia="Times New Roman" w:hAnsi="Times New Roman"/>
          <w:sz w:val="14"/>
          <w:szCs w:val="14"/>
          <w:u w:val="single" w:color="auto"/>
          <w:color w:val="auto"/>
        </w:rPr>
        <w:t>Designated Net Amount</w:t>
      </w:r>
      <w:r>
        <w:rPr>
          <w:rFonts w:ascii="Times New Roman" w:cs="Times New Roman" w:eastAsia="Times New Roman" w:hAnsi="Times New Roman"/>
          <w:sz w:val="14"/>
          <w:szCs w:val="14"/>
          <w:color w:val="auto"/>
        </w:rPr>
        <w:t>”) thereof;</w:t>
      </w:r>
    </w:p>
    <w:p>
      <w:pPr>
        <w:spacing w:after="0" w:line="111"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currency(-ies) of such Ancillary Facility;</w:t>
      </w:r>
    </w:p>
    <w:p>
      <w:pPr>
        <w:spacing w:after="0" w:line="131"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applicable Ancillary Lender(s) (including whether such Ancillary Lender is a Revolving Lender or an Affiliate of a Revolving Lender);</w:t>
      </w:r>
    </w:p>
    <w:p>
      <w:pPr>
        <w:ind w:left="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w:t>
      </w:r>
    </w:p>
    <w:p>
      <w:pPr>
        <w:spacing w:after="0" w:line="118" w:lineRule="exact"/>
        <w:rPr>
          <w:rFonts w:ascii="Times New Roman" w:cs="Times New Roman" w:eastAsia="Times New Roman" w:hAnsi="Times New Roman"/>
          <w:sz w:val="14"/>
          <w:szCs w:val="14"/>
          <w:color w:val="auto"/>
        </w:rPr>
      </w:pPr>
    </w:p>
    <w:p>
      <w:pPr>
        <w:ind w:left="920" w:right="20" w:firstLine="457"/>
        <w:spacing w:after="0" w:line="248" w:lineRule="auto"/>
        <w:tabs>
          <w:tab w:leader="none" w:pos="1824"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more than one Class of Revolving Commitments, (x) the Class of Revolving Commitments to which such Ancillary Facility relates and (y) if such Ancillary Facility is replacing another Ancillary Facility which relates to another Class of Revolving Commitments.</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25" w:lineRule="auto"/>
        <w:tabs>
          <w:tab w:leader="none" w:pos="1374"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Ancillary Borrower shall provide such other customary information as the Administrative Agent may reasonably request in connection with any Ancillary Facility. Without limiting the generality of the foregoing, upon the reasonable request of any applicable Ancillary Lender or the Administrative Agent, the applicable Ancillary Borrower shall provide to such Ancillary Lender or the Administrative Agent, as applicable, and such Ancillary Lender shall be reasonably satisfied with, the documentation and other information so requested in connection with applicable “know your customer” and anti-money-laundering rules and regulations, including, without limitation, the USA PATRIOT Act, and any Ancillary Borrower that qualifies as a “legal entity customer” under the Beneficial Ownership</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62" w:name="page563"/>
    <w:bookmarkEnd w:id="562"/>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Regulation shall have delivered to each such Ancillary Lender that so requests a Beneficial Ownership Certification in relation to such Ancillary Borrower.</w:t>
      </w:r>
    </w:p>
    <w:p>
      <w:pPr>
        <w:spacing w:after="0" w:line="134" w:lineRule="exact"/>
        <w:rPr>
          <w:sz w:val="20"/>
          <w:szCs w:val="20"/>
          <w:color w:val="auto"/>
        </w:rPr>
      </w:pPr>
    </w:p>
    <w:p>
      <w:pPr>
        <w:jc w:val="both"/>
        <w:ind w:left="460" w:firstLine="460"/>
        <w:spacing w:after="0" w:line="228" w:lineRule="auto"/>
        <w:tabs>
          <w:tab w:leader="none" w:pos="1374"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promptly notify the Revolving Lender proposing to provide such Ancillary Facility and the other Revolving Lenders of the establishment of any Ancillary Facility and, subject to the satisfaction of the requirements set forth in Section 2.14(b) below, (A) the applicable Revolving Lender (or its Affiliate if appointed pursuant to clause (f) of this Section 2.14) will constitute an Ancillary Lender and (B) such Ancillary Facility will be deemed to be made available hereunder, in each case, as of the Ancillary Commencement Date.</w:t>
      </w:r>
    </w:p>
    <w:p>
      <w:pPr>
        <w:spacing w:after="0" w:line="111" w:lineRule="exact"/>
        <w:rPr>
          <w:rFonts w:ascii="Times New Roman" w:cs="Times New Roman" w:eastAsia="Times New Roman" w:hAnsi="Times New Roman"/>
          <w:sz w:val="14"/>
          <w:szCs w:val="14"/>
          <w:color w:val="auto"/>
        </w:rPr>
      </w:pPr>
    </w:p>
    <w:p>
      <w:pPr>
        <w:jc w:val="both"/>
        <w:ind w:left="460" w:right="40" w:firstLine="460"/>
        <w:spacing w:after="0" w:line="228" w:lineRule="auto"/>
        <w:tabs>
          <w:tab w:leader="none" w:pos="1364"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or in any other Loan Document (including Section 9.08), no amendment or waiver of any term of any Ancillary Facility shall require the consent of any Lender or other Secured Party other than the applicable Ancillary Lender except to the extent that such amendment or waiver otherwise gives rise to a matter that would require an amendment of or waiver under this Agreement (including, for the avoidance of doubt, under this Section 2.14), in which case the provisions of Section 9.08 shall apply thereto.</w:t>
      </w:r>
    </w:p>
    <w:p>
      <w:pPr>
        <w:spacing w:after="0" w:line="112" w:lineRule="exact"/>
        <w:rPr>
          <w:sz w:val="20"/>
          <w:szCs w:val="20"/>
          <w:color w:val="auto"/>
        </w:rPr>
      </w:pPr>
    </w:p>
    <w:p>
      <w:pPr>
        <w:ind w:left="1360" w:hanging="440"/>
        <w:spacing w:after="0"/>
        <w:tabs>
          <w:tab w:leader="none" w:pos="1360" w:val="left"/>
        </w:tabs>
        <w:numPr>
          <w:ilvl w:val="0"/>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of Ancillary Facilities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460" w:right="20" w:firstLine="460"/>
        <w:spacing w:after="0" w:line="219" w:lineRule="auto"/>
        <w:tabs>
          <w:tab w:leader="none" w:pos="1374"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provided below in this Section 2.14, the terms of any Ancillary Facility will be agreed by the applicable Ancillary Lender and the applicable Ancillary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terms (A) may only allow the applicable Ancillary Borrower to use the Ancillary Facility, (B) may not permit the amount of Ancillary Outstandings under such Ancillary Facility to exceed the Ancillary Commitment with respect to such Ancillary Facility, except as a result of currency fluctuations, (C) may not allow the Ancillary Commitment of the Ancillary Lender under such Ancillary Facility to exceed the unused Revolving Commitment of such Ancillary Lender (or its Affiliate) before taking into account the effect of the Ancillary Facility on such unused Revolving Commitment, except as a result of currency fluctuations, (D) shall require that the Ancillary Commitment in respect of such Ancillary Facility will be reduced to zero, and that all Ancillary Outstandings will be repaid (or cash collateralized or back-stopped by a letter of credit or otherwise in a manner satisfactory to the relevant Ancillary Lender) on or prior to the Maturity Date for the Revolving Facility to which such Ancillary Facility relates (or such date as the Revolving Commitment of the applicable Ancillary Lender (or its Affiliate) is reduced to zero) and (E) shall otherwise be based upon normal commercial terms at the time such Ancillary Facility is entered into (except as varied by this Agreement).</w:t>
      </w:r>
    </w:p>
    <w:p>
      <w:pPr>
        <w:spacing w:after="0" w:line="115" w:lineRule="exact"/>
        <w:rPr>
          <w:rFonts w:ascii="Times New Roman" w:cs="Times New Roman" w:eastAsia="Times New Roman" w:hAnsi="Times New Roman"/>
          <w:sz w:val="14"/>
          <w:szCs w:val="14"/>
          <w:color w:val="auto"/>
        </w:rPr>
      </w:pPr>
    </w:p>
    <w:p>
      <w:pPr>
        <w:jc w:val="both"/>
        <w:ind w:left="460" w:right="40" w:firstLine="460"/>
        <w:spacing w:after="0" w:line="223" w:lineRule="auto"/>
        <w:tabs>
          <w:tab w:leader="none" w:pos="1374"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an inconsistency between any term of any Ancillary Facility and any term of this Agreement, this Agreement shall prevail, except for (A) the sentences of Section 2.12 and Section 2.13 that relate to the computations of fees and interest being made on the basis of a year of a certain number of days, which shall not prevail for purposes of calculating fees, interest, or commission relating to any Ancillary Facility, (B) any Ancillary Facility comprising more than one account, where the terms of the applicable Ancillary Documents shall prevail to the extent required to permit the netting of balances in respect of the relevant accounts and (C) where the applicable term of this Agreement would be contrary to, or inconsistent with, the law governing the applicable Ancillary Document, in which case the applicable term of this Agreement shall be superseded by the terms of the applicable Ancillary Document to the extent necessary to eliminate the subject conflict or inconsistency.</w:t>
      </w:r>
    </w:p>
    <w:p>
      <w:pPr>
        <w:spacing w:after="0" w:line="111" w:lineRule="exact"/>
        <w:rPr>
          <w:sz w:val="20"/>
          <w:szCs w:val="20"/>
          <w:color w:val="auto"/>
        </w:rPr>
      </w:pPr>
    </w:p>
    <w:p>
      <w:pPr>
        <w:ind w:left="1380" w:hanging="460"/>
        <w:spacing w:after="0"/>
        <w:tabs>
          <w:tab w:leader="none" w:pos="1380" w:val="left"/>
        </w:tabs>
        <w:numPr>
          <w:ilvl w:val="0"/>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Repayment of Ancillary Facilities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460" w:firstLine="460"/>
        <w:spacing w:after="0" w:line="225" w:lineRule="auto"/>
        <w:tabs>
          <w:tab w:leader="none" w:pos="1374" w:val="left"/>
        </w:tabs>
        <w:numPr>
          <w:ilvl w:val="0"/>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Ancillary Commitment shall terminate and cease to be available on the Maturity Date for the Revolving Facility to which the relevant Ancillary Facility relates or such earlier date on which its expiry date occurs or on which it is cancelled in accordance with the terms of this Agreement or any Ancillary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 Ancillary Borrower and an Ancillary Lender may, as between themselves only, agree that any Ancillary Facility will continue to remain available on a bilateral basis following the Maturity Date for the applicable Revolving Facility or, as the case may be, the date the Revolving Commitments of the applicable Class are otherwise cancelled under this Agreement. If any arrangement contemplated in the</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63" w:name="page564"/>
    <w:bookmarkEnd w:id="563"/>
    <w:p>
      <w:pPr>
        <w:spacing w:after="0" w:line="24" w:lineRule="exact"/>
        <w:rPr>
          <w:sz w:val="20"/>
          <w:szCs w:val="20"/>
          <w:color w:val="auto"/>
        </w:rPr>
      </w:pPr>
    </w:p>
    <w:p>
      <w:pPr>
        <w:jc w:val="both"/>
        <w:ind w:left="460" w:right="40"/>
        <w:spacing w:after="0" w:line="225" w:lineRule="auto"/>
        <w:rPr>
          <w:sz w:val="20"/>
          <w:szCs w:val="20"/>
          <w:color w:val="auto"/>
        </w:rPr>
      </w:pPr>
      <w:r>
        <w:rPr>
          <w:rFonts w:ascii="Times New Roman" w:cs="Times New Roman" w:eastAsia="Times New Roman" w:hAnsi="Times New Roman"/>
          <w:sz w:val="14"/>
          <w:szCs w:val="14"/>
          <w:color w:val="auto"/>
        </w:rPr>
        <w:t>foregoing sentence is to occur, the applicable Ancillary Borrower and the applicable Ancillary Lender shall each confirm that to be the case in writing to the Administrative Agent. Upon such Maturity Date or, as the case may be, date of cancellation, any such Ancillary Facility shall continue as between the said entities on a bilateral basis and not as part of, or under, the Loan Documents. Save for any rights and obligations under the Loan Documents arising prior to such Maturity Date or, as the case may be, date of cancellation, no such rights or obligations in respect of such Ancillary Facility shall continue and the Collateral shall not support any such Ancillary Facility in respect of any matters that arise after such Maturity Date or, as the case may be, date of cancellation.</w:t>
      </w:r>
    </w:p>
    <w:p>
      <w:pPr>
        <w:spacing w:after="0" w:line="111" w:lineRule="exact"/>
        <w:rPr>
          <w:sz w:val="20"/>
          <w:szCs w:val="20"/>
          <w:color w:val="auto"/>
        </w:rPr>
      </w:pPr>
    </w:p>
    <w:p>
      <w:pPr>
        <w:jc w:val="both"/>
        <w:ind w:left="460" w:right="20" w:firstLine="460"/>
        <w:spacing w:after="0" w:line="228" w:lineRule="auto"/>
        <w:tabs>
          <w:tab w:leader="none" w:pos="1374" w:val="left"/>
        </w:tabs>
        <w:numPr>
          <w:ilvl w:val="1"/>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expiration or cancellation of any Ancillary Facility in accordance with its terms or this Agreement, the Ancillary Commitment of the applicable Ancillary Lender shall be reduced to zero (or by such amount that expires or has been cancelled) and the unused Revolving Commitment of such Ancillary Lender (or its Affiliate) shall be increased accordingly by the same amount. Upon the making of one or more Revolving Loans as provided below in an amount sufficient to repay the Ancillary Outstandings under any Ancillary Facility, such Ancillary Facility shall be cancelled upon receipt by the applicable Ancillary Lender of the proceeds thereof.</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20" w:lineRule="auto"/>
        <w:tabs>
          <w:tab w:leader="none" w:pos="1374" w:val="left"/>
        </w:tabs>
        <w:numPr>
          <w:ilvl w:val="1"/>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Ancillary Lender may demand repayment, prepayment or cash collateralization of any amounts made available or liabilities incurred by it under any Ancillary Facility or otherwise take any action to terminate prior to its scheduled final expiry date any Ancillary Facility (except where the applicable Ancillary Facility is provided on a net limit basis to the extent required to reduce the amount of the gross outstandings to or towards an amount equal to its net outstandings) unless (A) (x) the Commitments of the applicable Revolving Facility have been cancelled in full or all outstanding Loans under the applicable Revolving Facility have become due and payable in accordance with the terms of this Agreement, (B) it becomes unlawful in any applicable jurisdiction for the applicable Ancillary Lender to perform its obligations under this Agreement or to fund, issue or maintain its participation in the relevant Ancillary Facility, or (C) the Ancillary Outstandings (if any) under the applicable Ancillary Facility may be refinanced in an equivalent amount by a Revolving Loan and the applicable Ancillary Lender (or its relevant Affiliate, if applicable) provides sufficient notice to permit the refinancing of such Ancillary Outstandings with a Revolving Loan.</w:t>
      </w:r>
    </w:p>
    <w:p>
      <w:pPr>
        <w:spacing w:after="0" w:line="113" w:lineRule="exact"/>
        <w:rPr>
          <w:rFonts w:ascii="Times New Roman" w:cs="Times New Roman" w:eastAsia="Times New Roman" w:hAnsi="Times New Roman"/>
          <w:sz w:val="14"/>
          <w:szCs w:val="14"/>
          <w:color w:val="auto"/>
        </w:rPr>
      </w:pPr>
    </w:p>
    <w:p>
      <w:pPr>
        <w:jc w:val="both"/>
        <w:ind w:left="460" w:right="40" w:firstLine="460"/>
        <w:spacing w:after="0" w:line="220" w:lineRule="auto"/>
        <w:tabs>
          <w:tab w:leader="none" w:pos="1374" w:val="left"/>
        </w:tabs>
        <w:numPr>
          <w:ilvl w:val="1"/>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for the purposes of determining whether or not the Ancillary Outstandings under any Ancillary Facility referenced in clause (c)(iii)(C) above may be refinanced by a Revolving Loan, (A) the Ancillary Commitment of the applicable Ancillary Lender shall be reduced to zero and the unused Revolving Commitment of the applicable Ancillary Lender (or its Affiliate) will be increased accordingly and (B) unless the circumstances described in clause (c)(iii)(A)</w:t>
      </w:r>
    </w:p>
    <w:p>
      <w:pPr>
        <w:spacing w:after="0" w:line="1" w:lineRule="exact"/>
        <w:rPr>
          <w:rFonts w:ascii="Times New Roman" w:cs="Times New Roman" w:eastAsia="Times New Roman" w:hAnsi="Times New Roman"/>
          <w:sz w:val="14"/>
          <w:szCs w:val="14"/>
          <w:color w:val="auto"/>
        </w:rPr>
      </w:pPr>
    </w:p>
    <w:p>
      <w:pPr>
        <w:jc w:val="both"/>
        <w:ind w:left="460" w:right="20" w:firstLine="3"/>
        <w:spacing w:after="0" w:line="222" w:lineRule="auto"/>
        <w:tabs>
          <w:tab w:leader="none" w:pos="663"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or (y) above then exist, each Revolving Lender under the applicable Revolving Facility shall be obligated to make a Revolving Loan to the applicable Ancillary Borrower for the purpose of refinancing the relevant Ancillary Outstandings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in accordance with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the Revolving Commitments under such Revolving Facility (determined for such purpose as if such Ancillary Outstanding had already been repaid) whether or not a Default or Event of Default exists or any other applicable condition precedent is not satisfied and irrespective of whether any Borrower has delivered a borrowing notice.</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28" w:lineRule="auto"/>
        <w:tabs>
          <w:tab w:leader="none" w:pos="1364" w:val="left"/>
        </w:tabs>
        <w:numPr>
          <w:ilvl w:val="1"/>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Ancillary Facility that comprises an overdraft facility in which a Designated Net Amount has been established, for purposes of calculating compliance with the Designated Net Amount, the Ancillary Lender providing such Ancillary Facility shall only be obligated to take into account the credit balances which it is permitted to take into account by then applicable law and regulations relating to its reporting of exposures to applicable regulatory authorities as netted for capital adequacy purposes.</w:t>
      </w:r>
    </w:p>
    <w:p>
      <w:pPr>
        <w:spacing w:after="0" w:line="111"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1"/>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an Ancillary Borrower shall be permitted to repay or prepay any Ancillary Facility and cancel any Ancillary Commitments pursuant to the terms of such Ancillary Facility.</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64" w:name="page565"/>
    <w:bookmarkEnd w:id="564"/>
    <w:p>
      <w:pPr>
        <w:spacing w:after="0" w:line="24" w:lineRule="exact"/>
        <w:rPr>
          <w:sz w:val="20"/>
          <w:szCs w:val="20"/>
          <w:color w:val="auto"/>
        </w:rPr>
      </w:pPr>
    </w:p>
    <w:p>
      <w:pPr>
        <w:ind w:firstLine="920"/>
        <w:spacing w:after="0" w:line="220" w:lineRule="auto"/>
        <w:tabs>
          <w:tab w:leader="none" w:pos="1361"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Ancillary Outstandings</w:t>
      </w:r>
      <w:r>
        <w:rPr>
          <w:rFonts w:ascii="Times New Roman" w:cs="Times New Roman" w:eastAsia="Times New Roman" w:hAnsi="Times New Roman"/>
          <w:sz w:val="14"/>
          <w:szCs w:val="14"/>
          <w:color w:val="auto"/>
        </w:rPr>
        <w:t>. Each Ancillary Borrower and each Ancillary Lender agrees with and for the benefit of each Revolving Lender that (i) the Ancillary Outstandings under any Ancillary Facility or provided by such Ancillary Lender shall not exceed the Ancillary Commitment applicable to such Ancillary Facility, (ii) where such Ancillary Facility is a multi-account overdraft facility, (x) the Ancillary Outstandings under such Ancillary Facility shall not exceed the Designated Net Amount applicable to such multi-account overdraft facility and (y) the gross outstandings shall not exceed the Designated Gross Amount applicable to such Ancillary Facility, and (iii) with respect to any Ancillary Facility that comprises an overdraft facility in which a Designated Net Amount has been established, for the purposes of calculating compliance with the Designated Net Amount, the Ancillary Lender providing such Ancillary Facility shall only be obligated to take into account the credit balances which it is permitted to take into account by then applicable law relating to its reporting of exposures to applicable Governmental Authorities as netted for capital adequacy purposes. Notwithstanding any other term of this Agreement, each applicable Revolving Lender shall ensure that at all times its Revolving Commitment is not less than its (or its Affiliates’) Ancillary Commitment.</w:t>
      </w:r>
    </w:p>
    <w:p>
      <w:pPr>
        <w:spacing w:after="0" w:line="113"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70"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Each Ancillary Borrower and each Ancillary Lender shall, promptly upon the request of the Administrative Agent, provide the Administrative Agent with any information relating to the operation of the applicable Ancillary Facility (including the amount of Ancillary Outstandings and Ancillary Commitments) as the Administrative Agent may from time to time reasonably request (which information shall be subject to compliance with Section 9.16 hereof).</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Affiliates of Lenders as Ancillary Lenders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460" w:right="40" w:firstLine="460"/>
        <w:spacing w:after="0" w:line="233" w:lineRule="auto"/>
        <w:tabs>
          <w:tab w:leader="none" w:pos="1374"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of this Agreement, an Affiliate of any Revolving Lender may become an Ancillary Lender, in which case, such Revolving Lender and such Affiliate shall be treated as a single Revolving Lender whose Revolving Commitment is as set forth in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or in the Assignment and Assumption pursuant to which such Revolving Lender assumed its Revolving Commitment.</w:t>
      </w:r>
    </w:p>
    <w:p>
      <w:pPr>
        <w:spacing w:after="0" w:line="111"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Revolving Lender assigns all of its rights and benefits to a new lender which is not an Affiliate or Related Fund of such Revolving Lender, pursuant to this Agreement, its Affiliate shall cease to have any obligations under this Agreement or any Ancillary Document.</w:t>
      </w:r>
    </w:p>
    <w:p>
      <w:pPr>
        <w:spacing w:after="0" w:line="105" w:lineRule="exact"/>
        <w:rPr>
          <w:rFonts w:ascii="Times New Roman" w:cs="Times New Roman" w:eastAsia="Times New Roman" w:hAnsi="Times New Roman"/>
          <w:sz w:val="14"/>
          <w:szCs w:val="14"/>
          <w:color w:val="auto"/>
        </w:rPr>
      </w:pPr>
    </w:p>
    <w:p>
      <w:pPr>
        <w:ind w:left="460" w:firstLine="460"/>
        <w:spacing w:after="0" w:line="233" w:lineRule="auto"/>
        <w:tabs>
          <w:tab w:leader="none" w:pos="1374"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this Agreement or any other Loan Document imposes any obligation on any Ancillary Lender and such Ancillary Lender is an Affiliate of a Revolving Lender and not a party thereto, the applicable Revolving Lender shall ensure that such obligation is performed by such Affiliate in compliance with the terms hereof or such other Loan Document.</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Ancillary Lender in its capacity as such, hereby appoints the Administrative Agent as its agent for purposes of the Loan Documents.</w:t>
      </w:r>
    </w:p>
    <w:p>
      <w:pPr>
        <w:spacing w:after="0" w:line="134" w:lineRule="exact"/>
        <w:rPr>
          <w:sz w:val="20"/>
          <w:szCs w:val="20"/>
          <w:color w:val="auto"/>
        </w:rPr>
      </w:pPr>
    </w:p>
    <w:p>
      <w:pPr>
        <w:ind w:left="1360" w:hanging="440"/>
        <w:spacing w:after="0"/>
        <w:tabs>
          <w:tab w:leader="none" w:pos="1360"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for Ancillary Facilities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460" w:firstLine="460"/>
        <w:spacing w:after="0"/>
        <w:tabs>
          <w:tab w:leader="none" w:pos="1374" w:val="left"/>
        </w:tabs>
        <w:numPr>
          <w:ilvl w:val="0"/>
          <w:numId w:val="5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notice of acceleration is delivered pursuant to Section 7.01 (other than a notice declaring Loans and/or Obligations in respect of Letters of Credit to be due on demand) or Commitments are automatically accelerated under the proviso in Section 7.01, each Revolving Lender and each Ancillary Lender shall promptly adjust (by making or receiving (as the case may be) corresponding transfers of rights and obligations under the Loan Documents and Ancillary Documents relating to Revolving Loans) their claims in respect of amounts outstanding to them under the Revolving Facility of any Class and each Ancillary Facility of such Class to the extent necessary to ensure that after such transfers the Revolving Loans of each Revolving Lender for such Class bear the same proportion to the total Revolving Loans for such Class as such Revolving Lender’s Revolving Commitment of such Class bears to the total Revolving Commitment for such Class, each as at the earlier of (x) the date the notice is served under Section 7.01 or (y) the date of automatic acceleration under the proviso in Section 7.01 (and ignoring, for the purpose of the calculation of a Revolving Lender’s Revolving Commitment of such Class and the total Revolving Commitment of such Class for this purpose, any reduction of a Revolving Lender’s Revolving Commitment of such Class pursuant to Section 2.14(a)); </w:t>
      </w:r>
      <w:r>
        <w:rPr>
          <w:rFonts w:ascii="Times New Roman" w:cs="Times New Roman" w:eastAsia="Times New Roman" w:hAnsi="Times New Roman"/>
          <w:sz w:val="14"/>
          <w:szCs w:val="14"/>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65" w:name="page566"/>
    <w:bookmarkEnd w:id="565"/>
    <w:p>
      <w:pPr>
        <w:spacing w:after="0" w:line="24" w:lineRule="exact"/>
        <w:rPr>
          <w:sz w:val="20"/>
          <w:szCs w:val="20"/>
          <w:color w:val="auto"/>
        </w:rPr>
      </w:pPr>
    </w:p>
    <w:p>
      <w:pPr>
        <w:ind w:left="460" w:right="40"/>
        <w:spacing w:after="0" w:line="248" w:lineRule="auto"/>
        <w:rPr>
          <w:sz w:val="20"/>
          <w:szCs w:val="20"/>
          <w:color w:val="auto"/>
        </w:rPr>
      </w:pPr>
      <w:r>
        <w:rPr>
          <w:rFonts w:ascii="Times New Roman" w:cs="Times New Roman" w:eastAsia="Times New Roman" w:hAnsi="Times New Roman"/>
          <w:sz w:val="14"/>
          <w:szCs w:val="14"/>
          <w:color w:val="auto"/>
        </w:rPr>
        <w:t>that in the event that the Ancillary Outstandings under any Ancillary Facility exceed the Ancillary Commitment therefor at such earlier time in violation of Section 2.14(b)(i)(C), such excess amount shall be excluded from such transfers and the calculation of such proportion.</w:t>
      </w:r>
    </w:p>
    <w:p>
      <w:pPr>
        <w:spacing w:after="0" w:line="105" w:lineRule="exact"/>
        <w:rPr>
          <w:sz w:val="20"/>
          <w:szCs w:val="20"/>
          <w:color w:val="auto"/>
        </w:rPr>
      </w:pPr>
    </w:p>
    <w:p>
      <w:pPr>
        <w:jc w:val="both"/>
        <w:ind w:left="460" w:right="20" w:firstLine="460"/>
        <w:spacing w:after="0" w:line="225" w:lineRule="auto"/>
        <w:tabs>
          <w:tab w:leader="none" w:pos="1374"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amount outstanding under an Ancillary Facility is a contingent liability and such contingent liability becomes an actual liability or is reduced to zero after the original adjustment is made under clause (g)(i) above, then each Revolving Lender and Ancillary Lender will make a further adjustment (by making or receiving (as the case may be) corresponding transfers of rights and obligations under the Loan Documents and the Ancillary Documents relating to Revolving Loans to the extent necessary) to put themselves in the position they would have been in had the original adjustment been determined by reference to the actual liability or, as the case may be, zero liability and not the contingent liability.</w:t>
      </w:r>
    </w:p>
    <w:p>
      <w:pPr>
        <w:spacing w:after="0" w:line="111"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of rights and obligations relating to Revolving Loans made pursuant to this Section 2.14(g) shall be made for a purchase price in cash, payable at the time of transfer, in an amount equal to such Revolving Loans.</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calculations to be made pursuant to this Section 2.14(g) shall be made by the Administrative Agent based upon information provided to it by the Revolving Lenders and Ancillary Lenders and the spot rate for the applicable currency in relation to Dollars in effect on the date of determination.</w:t>
      </w:r>
    </w:p>
    <w:p>
      <w:pPr>
        <w:spacing w:after="0" w:line="105" w:lineRule="exact"/>
        <w:rPr>
          <w:rFonts w:ascii="Times New Roman" w:cs="Times New Roman" w:eastAsia="Times New Roman" w:hAnsi="Times New Roman"/>
          <w:sz w:val="14"/>
          <w:szCs w:val="14"/>
          <w:color w:val="auto"/>
        </w:rPr>
      </w:pPr>
    </w:p>
    <w:p>
      <w:pPr>
        <w:jc w:val="both"/>
        <w:ind w:left="460" w:right="20" w:firstLine="460"/>
        <w:spacing w:after="0" w:line="233" w:lineRule="auto"/>
        <w:tabs>
          <w:tab w:leader="none" w:pos="1364"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Section 2.14(g) shall not oblige any Lender to accept the transfer of a claim relating to an amount outstanding under an Ancillary Facility which is not denominated (pursuant to the relevant Ancillary Document) in either Dollars or an Alternative Currency for the purpose of the Revolving Facility related to such Ancillary Facility or in another currency which is acceptable to such Lender.</w:t>
      </w:r>
    </w:p>
    <w:p>
      <w:pPr>
        <w:spacing w:after="0" w:line="111"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application of the provisions of clause (g)(i) above, an Ancillary Lender that has provided a multi-account overdraft facility shall set off any available credit balance on any account comprised in such multi-account overdraft facility.</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2.15.</w:t>
      </w:r>
      <w:r>
        <w:rPr>
          <w:rFonts w:ascii="Times New Roman" w:cs="Times New Roman" w:eastAsia="Times New Roman" w:hAnsi="Times New Roman"/>
          <w:sz w:val="14"/>
          <w:szCs w:val="14"/>
          <w:u w:val="single" w:color="auto"/>
          <w:color w:val="auto"/>
        </w:rPr>
        <w:t>Increased Costs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80" w:hanging="460"/>
        <w:spacing w:after="0"/>
        <w:tabs>
          <w:tab w:leader="none" w:pos="1380"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Change in Law shall:</w:t>
      </w:r>
    </w:p>
    <w:p>
      <w:pPr>
        <w:spacing w:after="0" w:line="134" w:lineRule="exact"/>
        <w:rPr>
          <w:sz w:val="20"/>
          <w:szCs w:val="20"/>
          <w:color w:val="auto"/>
        </w:rPr>
      </w:pPr>
    </w:p>
    <w:p>
      <w:pPr>
        <w:ind w:left="460" w:right="20" w:firstLine="460"/>
        <w:spacing w:after="0" w:line="248" w:lineRule="auto"/>
        <w:tabs>
          <w:tab w:leader="none" w:pos="1374"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modify or deem applicable any reserve, special deposit compulsory loan, insurance charge or similar requirement against assets of, deposits with or for the account of, or credit extended by, any Lender or Issuing Bank; or</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the Administrative Agent, any Lender or any Issuing Bank to any Tax on or in respect of its loans, letters of credit, commitments, or other obligations, or its deposits, reserves, other liabilities or capital attributable thereto (other than (i) Indemnified Taxes and (ii) Excluded Taxes); or</w:t>
      </w:r>
    </w:p>
    <w:p>
      <w:pPr>
        <w:spacing w:after="0" w:line="105"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on any Lender or Issuing Bank or the relevant interbank market any other condition affecting this Agreement or Term SOFR Loans or Eurocurrency Rate Loans made by such Lender or any Letter of Credit or participation therein;</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and the result of any of the foregoing shall be to increase the cost to such Lender or Issuing Bank or Administrative Agent, as applicable, of making or maintaining any Term SOFR Loan or Eurocurrency Rate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Borrowers will pay to such Lender or Issuing Bank or the Administrative Agent, as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66" w:name="page567"/>
    <w:bookmarkEnd w:id="566"/>
    <w:p>
      <w:pPr>
        <w:spacing w:after="0" w:line="3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applicable, such additional amount or amounts as will compensate such Lender or Issuing Bank or the Administrative Agent, as applicable, for such additional costs incurred or reduction suffered.</w:t>
      </w:r>
    </w:p>
    <w:p>
      <w:pPr>
        <w:spacing w:after="0" w:line="95" w:lineRule="exact"/>
        <w:rPr>
          <w:sz w:val="20"/>
          <w:szCs w:val="20"/>
          <w:color w:val="auto"/>
        </w:rPr>
      </w:pPr>
    </w:p>
    <w:p>
      <w:pPr>
        <w:ind w:firstLine="920"/>
        <w:spacing w:after="0" w:line="221" w:lineRule="auto"/>
        <w:tabs>
          <w:tab w:leader="none" w:pos="1361"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Borrowers shall pay to such Lender or such Issuing Bank, as applicable, such additional amount or amounts as will compensate such Lender or such Issuing Bank or such Lender’s or such Issuing Bank’s holding company for any such reduction suffered.</w:t>
      </w:r>
    </w:p>
    <w:p>
      <w:pPr>
        <w:spacing w:after="0" w:line="113" w:lineRule="exact"/>
        <w:rPr>
          <w:rFonts w:ascii="Times New Roman" w:cs="Times New Roman" w:eastAsia="Times New Roman" w:hAnsi="Times New Roman"/>
          <w:sz w:val="14"/>
          <w:szCs w:val="14"/>
          <w:color w:val="auto"/>
        </w:rPr>
      </w:pPr>
    </w:p>
    <w:p>
      <w:pPr>
        <w:jc w:val="both"/>
        <w:ind w:firstLine="920"/>
        <w:spacing w:after="0" w:line="223" w:lineRule="auto"/>
        <w:tabs>
          <w:tab w:leader="none" w:pos="1370"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certificate of a Lender or an Issuing Bank setting forth the amount or amounts necessary to compensate such Lender or Issuing Bank or its holding company, as applicable, as specified in clause (a) or (b) of this Section 2.15 shall be delivered to the Parent and shall be conclusive absent manifest error;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applicable Borrower and which are subject to similar provisions. The Borrowers shall pay such Lender or Issuing Bank, as applicable, the amount shown as due on any such certificate within 10 days after receipt thereof.</w:t>
      </w:r>
    </w:p>
    <w:p>
      <w:pPr>
        <w:spacing w:after="0" w:line="111" w:lineRule="exact"/>
        <w:rPr>
          <w:rFonts w:ascii="Times New Roman" w:cs="Times New Roman" w:eastAsia="Times New Roman" w:hAnsi="Times New Roman"/>
          <w:sz w:val="14"/>
          <w:szCs w:val="14"/>
          <w:color w:val="auto"/>
        </w:rPr>
      </w:pPr>
    </w:p>
    <w:p>
      <w:pPr>
        <w:jc w:val="both"/>
        <w:ind w:firstLine="920"/>
        <w:spacing w:after="0" w:line="223" w:lineRule="auto"/>
        <w:tabs>
          <w:tab w:leader="none" w:pos="1361"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any Lender or Issuing Bank has determined that it will make a request for increased compensation pursuant to this Section 2.15, such Lender or Issuing Bank shall notify the Parent. Failure or delay on the part of any Lender or Issuing Bank to demand compensation pursuant to this Section 2.15 shall not constitute a waiver of such Lender’s or Issuing Bank’s right to demand such compensation;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Borrowers shall not be required to compensate a Lender or an Issuing Bank pursuant to this Section 2.15 for any increased costs or reductions incurred more than 180 days prior to the date that such Lender or Issuing Bank, as applicable, notifies the Parent of the Change in Law giving rise to such increased costs or reductions and of such Lender’s or Issuing Bank’s intention to claim compensation therefor;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if the Change in Law giving rise to such increased costs or reductions is retroactive, then the 180-day period referred to above shall be extended to include the period of retroactive effect thereof.</w:t>
      </w:r>
    </w:p>
    <w:p>
      <w:pPr>
        <w:spacing w:after="0" w:line="111" w:lineRule="exact"/>
        <w:rPr>
          <w:sz w:val="20"/>
          <w:szCs w:val="20"/>
          <w:color w:val="auto"/>
        </w:rPr>
      </w:pPr>
    </w:p>
    <w:p>
      <w:pPr>
        <w:jc w:val="both"/>
        <w:ind w:firstLine="914"/>
        <w:spacing w:after="0" w:line="218" w:lineRule="auto"/>
        <w:rPr>
          <w:sz w:val="20"/>
          <w:szCs w:val="20"/>
          <w:color w:val="auto"/>
        </w:rPr>
      </w:pPr>
      <w:r>
        <w:rPr>
          <w:rFonts w:ascii="Times New Roman" w:cs="Times New Roman" w:eastAsia="Times New Roman" w:hAnsi="Times New Roman"/>
          <w:sz w:val="14"/>
          <w:szCs w:val="14"/>
          <w:color w:val="auto"/>
        </w:rPr>
        <w:t>SECTION 2.16.</w:t>
      </w:r>
      <w:r>
        <w:rPr>
          <w:rFonts w:ascii="Times New Roman" w:cs="Times New Roman" w:eastAsia="Times New Roman" w:hAnsi="Times New Roman"/>
          <w:sz w:val="14"/>
          <w:szCs w:val="14"/>
          <w:u w:val="single" w:color="auto"/>
          <w:color w:val="auto"/>
        </w:rPr>
        <w:t>Break Funding Payments</w:t>
      </w:r>
      <w:r>
        <w:rPr>
          <w:rFonts w:ascii="Times New Roman" w:cs="Times New Roman" w:eastAsia="Times New Roman" w:hAnsi="Times New Roman"/>
          <w:sz w:val="14"/>
          <w:szCs w:val="14"/>
          <w:color w:val="auto"/>
        </w:rPr>
        <w:t>. In the event of (a) the payment of any principal of any Eurocurrency Rate Loan or Term SOFR Loan, as applicable, other than on the last day of an Interest Period applicable thereto (including as a result of an Event of Default or as a result of any prepayment pursuant to Section 2.11), (b) the conversion of any Eurocurrency Rate Loan or Term SOFR Loan, as applicable, other than on the last day of the Interest Period applicable thereto, (c) the failure to borrow, convert, continue or prepay any Eurocurrency Rate Loan or Term SOFR Loan, as applicable, on the date specified in any notice delivered pursuant hereto (whether or not such notice may be revoked) or (d) the assignment of any Eurocurrency Rate Loan or Term SOFR Loan, as applicable, other than on the last day of the Interest Period applicable thereto as a result of a request by a Borrower pursuant to Section 2.19, then, in any such event, the Borrowers shall compensate each Lender for the loss, cost and expense attributable to such event. Such loss, cost or expense to any Lender shall be deemed to include an amount determined by such Lender (it being understood that the deemed amount shall not exceed the actual amount) to be the excess, if any, of (i) the amount of interest that would have accrued on the principal amount of such Loan had such event not occurred, at the Eurocurrency Rate or the Term SOFR,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deposits in Dollars of a comparable</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67" w:name="page568"/>
    <w:bookmarkEnd w:id="567"/>
    <w:p>
      <w:pPr>
        <w:spacing w:after="0" w:line="2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amount and period from other banks in the interbank market. A certificate of any Lender setting forth any amount or amounts that such Lender is entitled to receive pursuant to this Section 2.16 shall be delivered to the Parent and shall be conclusive absent manifest error. The Borrowers shall pay such Lender the amount shown as due on any such certificate within 10 days after receipt thereof.</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2.17.</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0" w:lineRule="auto"/>
        <w:tabs>
          <w:tab w:leader="none" w:pos="1370"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Free of Taxes</w:t>
      </w:r>
      <w:r>
        <w:rPr>
          <w:rFonts w:ascii="Times New Roman" w:cs="Times New Roman" w:eastAsia="Times New Roman" w:hAnsi="Times New Roman"/>
          <w:sz w:val="14"/>
          <w:szCs w:val="14"/>
          <w:color w:val="auto"/>
        </w:rPr>
        <w:t xml:space="preserve"> . All payments by or on account of any Loan Party under any Loan Document shall be made free and clear of, and without deduction or withholding for or on account of, any Taxes, unless otherwise required by law. If any applicable withholding agent shall be required by law to withhold or deduct any Taxes from or in respect of any sum payable under any Loan Document to any Lender Party or any Agent, (i) the applicable withholding agent shall make all such deductions or withholdings, (ii) the applicable withholding agent shall timely pay the full amount deducted or withheld to the relevant Governmental Authority in accordance with applicable law, and (iii) to the extent the deduction or withholding is on account of Indemnified Taxes, the amounts so payable by the applicable Loan Party shall be increased as may be necessary so that, after such withholding agent has made all required deductions or withholdings of Indemnified Taxes (including deductions or withholdings applicable to additional sums payable under this Section 2.17), such Lender Party (or, in the case of any amount received by an Agent for its own account, such Agent) shall have received an amount equal to the sum it would have received had no such deductions or withholdings been made.</w:t>
      </w:r>
    </w:p>
    <w:p>
      <w:pPr>
        <w:spacing w:after="0" w:line="113"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Other Taxes by each Borrower</w:t>
      </w:r>
      <w:r>
        <w:rPr>
          <w:rFonts w:ascii="Times New Roman" w:cs="Times New Roman" w:eastAsia="Times New Roman" w:hAnsi="Times New Roman"/>
          <w:sz w:val="14"/>
          <w:szCs w:val="14"/>
          <w:color w:val="auto"/>
        </w:rPr>
        <w:t>. Without limiting the provisions of Section 2.17(a) above, each Borrower shall timely pay any Other Taxes to the relevant Governmental Authority in accordance with applicable law.</w:t>
      </w:r>
    </w:p>
    <w:p>
      <w:pPr>
        <w:spacing w:after="0" w:line="105"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70"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Evidence of Payments</w:t>
      </w:r>
      <w:r>
        <w:rPr>
          <w:rFonts w:ascii="Times New Roman" w:cs="Times New Roman" w:eastAsia="Times New Roman" w:hAnsi="Times New Roman"/>
          <w:sz w:val="14"/>
          <w:szCs w:val="14"/>
          <w:color w:val="auto"/>
        </w:rPr>
        <w:t>. Within 45 days after the date of any payment of Indemnified Taxes or Other Taxes by a Loan Party to a Governmental Authority, such Loan Party shall deliver to the Administrative Agent a copy of an official receipt issued by such Governmental Authority evidencing such payment (or other evidence acceptable to the Administrative Agent, acting reasonably).</w:t>
      </w:r>
    </w:p>
    <w:p>
      <w:pPr>
        <w:spacing w:after="0" w:line="111" w:lineRule="exact"/>
        <w:rPr>
          <w:rFonts w:ascii="Times New Roman" w:cs="Times New Roman" w:eastAsia="Times New Roman" w:hAnsi="Times New Roman"/>
          <w:sz w:val="14"/>
          <w:szCs w:val="14"/>
          <w:color w:val="auto"/>
        </w:rPr>
      </w:pPr>
    </w:p>
    <w:p>
      <w:pPr>
        <w:jc w:val="both"/>
        <w:ind w:firstLine="920"/>
        <w:spacing w:after="0" w:line="221" w:lineRule="auto"/>
        <w:tabs>
          <w:tab w:leader="none" w:pos="1361"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each Borrower</w:t>
      </w:r>
      <w:r>
        <w:rPr>
          <w:rFonts w:ascii="Times New Roman" w:cs="Times New Roman" w:eastAsia="Times New Roman" w:hAnsi="Times New Roman"/>
          <w:sz w:val="14"/>
          <w:szCs w:val="14"/>
          <w:color w:val="auto"/>
        </w:rPr>
        <w:t>. Each Borrower shall, without duplication of any additional amounts paid pursuant to Section 2.17(a) or any amounts paid pursuant to Section 2.17(b), indemnify each Agent and each Lender Party for and hold them harmless against the full amount of Indemnified Taxes payable in connection with any payments made by or on account of any Loan Party under any Loan Document (including Indemnified Taxes imposed or asserted on or attributable to amounts payable under this Section 2.17), and any reasonable out-of-pocket expenses arising therefrom or with respect thereto, whether or not such Indemnified Taxes were correctly or legally imposed or asserted by the relevant Governmental Authority. This indemnification shall be made within 20 days after written demand therefor. A certificate setting forth in reasonable detail the basis, calculation and amount of such payment or liability delivered to the applicable Borrower by a Lender Party (with a copy to the Administrative Agent), or by an Agent on its own behalf, shall be conclusive absent manifest error.</w:t>
      </w:r>
    </w:p>
    <w:p>
      <w:pPr>
        <w:spacing w:after="0" w:line="113" w:lineRule="exact"/>
        <w:rPr>
          <w:rFonts w:ascii="Times New Roman" w:cs="Times New Roman" w:eastAsia="Times New Roman" w:hAnsi="Times New Roman"/>
          <w:sz w:val="14"/>
          <w:szCs w:val="14"/>
          <w:color w:val="auto"/>
        </w:rPr>
      </w:pPr>
    </w:p>
    <w:p>
      <w:pPr>
        <w:jc w:val="both"/>
        <w:ind w:right="20" w:firstLine="920"/>
        <w:spacing w:after="0"/>
        <w:tabs>
          <w:tab w:leader="none" w:pos="1370"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Refunds</w:t>
      </w:r>
      <w:r>
        <w:rPr>
          <w:rFonts w:ascii="Times New Roman" w:cs="Times New Roman" w:eastAsia="Times New Roman" w:hAnsi="Times New Roman"/>
          <w:sz w:val="14"/>
          <w:szCs w:val="14"/>
          <w:color w:val="auto"/>
        </w:rPr>
        <w:t xml:space="preserve">. If the Administrative Agent, the Collateral Agent or any Lender Party determines, in its good faith discretion, that it has received a refund (in cash or as an offset against other Taxes otherwise due and payable) of any Indemnified Taxes as to which it has been indemnified by any Loan Party or with respect to which any Loan Party has paid additional amounts pursuant to this Section 2.17, it shall pay to the applicable Borrower an amount equal to such refund (but only to the extent of indemnity payments made, or additional amount paid, by the Loan Party under this Section 2.17 with respect to the Indemnified Taxes giving rise to such refund), net of all reasonable out-of-pocket expenses (including Taxes) of the Administrative Agent, the Collateral Agent or such Lender Party, attributable to such refund and without interest (other than any interest paid by the relevant Governmental Authority with respect to such refund);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Loan Party, upon the request of the Administrative Agent or such Lender Party, agrees to repay the amount paid over to the applicable Borrower (plus any penalties, interest or other charges imposed by the relevant Governmental Authority) to the Administrative Agent or such Lender Party in the event the Administrative Agent or such Lender Party is required to repay such amount to such Governmental Authority. In such event, such Lender Party or the Administrative Agent, as the case may be, shall, at the Loan Party’s request, provide the Loan Party with a copy of any notice of assessment or other evidence of the requirement to repay such refund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68" w:name="page569"/>
    <w:bookmarkEnd w:id="568"/>
    <w:p>
      <w:pPr>
        <w:spacing w:after="0" w:line="24"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4"/>
          <w:szCs w:val="14"/>
          <w:color w:val="auto"/>
        </w:rPr>
        <w:t xml:space="preserve">received from the relevant Governmental Authority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Lender Party or the Administrative Agent may delete any information therein that it deems confidential). This Section 2.17(e) shall not be construed to require the Administrative Agent or any Lender Party to make available its Tax returns (or any other information relating to its Taxes that it deems confidential) to any Loan Party or any other person.</w:t>
      </w:r>
    </w:p>
    <w:p>
      <w:pPr>
        <w:spacing w:after="0" w:line="110" w:lineRule="exact"/>
        <w:rPr>
          <w:sz w:val="20"/>
          <w:szCs w:val="20"/>
          <w:color w:val="auto"/>
        </w:rPr>
      </w:pPr>
    </w:p>
    <w:p>
      <w:pPr>
        <w:ind w:left="1380" w:hanging="460"/>
        <w:spacing w:after="0"/>
        <w:tabs>
          <w:tab w:leader="none" w:pos="1380"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Status of Lenders</w:t>
      </w:r>
      <w:r>
        <w:rPr>
          <w:rFonts w:ascii="Times New Roman" w:cs="Times New Roman" w:eastAsia="Times New Roman" w:hAnsi="Times New Roman"/>
          <w:sz w:val="14"/>
          <w:szCs w:val="14"/>
          <w:i w:val="1"/>
          <w:iCs w:val="1"/>
          <w:color w:val="auto"/>
        </w:rPr>
        <w:t>.</w:t>
      </w:r>
    </w:p>
    <w:p>
      <w:pPr>
        <w:spacing w:after="0" w:line="136" w:lineRule="exact"/>
        <w:rPr>
          <w:sz w:val="20"/>
          <w:szCs w:val="20"/>
          <w:color w:val="auto"/>
        </w:rPr>
      </w:pPr>
    </w:p>
    <w:p>
      <w:pPr>
        <w:ind w:left="460" w:firstLine="460"/>
        <w:spacing w:after="0" w:line="219" w:lineRule="auto"/>
        <w:tabs>
          <w:tab w:leader="none" w:pos="1374" w:val="left"/>
        </w:tabs>
        <w:numPr>
          <w:ilvl w:val="0"/>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Party that is entitled to an exemption from or reduction of any applicable withholding Tax with respect to payments made under any Loan Document shall deliver to the applicable Borrower and the Administrative Agent, at the time or times prescribed by law or reasonably requested by the applicable Borrower or the Administrative Agent, such properly completed and executed documentation reasonably requested by the applicable Borrower or the Administrative Agent as will permit such payments to be made without withholding or at a reduced rate of withholding. In addition, any Lender Party, if reasonably requested by the applicable Borrower or the Administrative Agent, shall deliver such other documentation prescribed by applicable law or reasonably requested by the applicable Borrower or the Administrative Agent to determine whether or not such Lender is subject to backup withholding or information reporting requirements. Each Lender Party shall, whenever a lapse in time or change in circumstances renders such documentation (including any specific documents required below in this Section 2.17(f)) obsolete, expired or inaccurate in any material respect, deliver promptly to the applicable Borrower and the Administrative Agent updated or other appropriate documentation (including any new documentation reasonably requested by the applicable Borrower or the Administrative Agent) or promptly notify the applicable Borrower and the Administrative Agent in writing of its ineligibility to do so.</w:t>
      </w:r>
    </w:p>
    <w:p>
      <w:pPr>
        <w:spacing w:after="0" w:line="115" w:lineRule="exact"/>
        <w:rPr>
          <w:rFonts w:ascii="Times New Roman" w:cs="Times New Roman" w:eastAsia="Times New Roman" w:hAnsi="Times New Roman"/>
          <w:sz w:val="14"/>
          <w:szCs w:val="14"/>
          <w:color w:val="auto"/>
        </w:rPr>
      </w:pPr>
    </w:p>
    <w:p>
      <w:pPr>
        <w:jc w:val="both"/>
        <w:ind w:left="460" w:right="60" w:firstLine="460"/>
        <w:spacing w:after="0" w:line="233" w:lineRule="auto"/>
        <w:tabs>
          <w:tab w:leader="none" w:pos="1374" w:val="left"/>
        </w:tabs>
        <w:numPr>
          <w:ilvl w:val="0"/>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each Lender Party (or, if a Lender is disregarded as an entity separate from its owner for U.S. federal tax purposes, the person treated as its owner for U.S. federal tax purposes) shall, if it is legally eligible to do so, deliver to the U.S. Co-Borrower and the Administrative Agent on or prior to the date on which such Lender Party becomes a party hereto, two duly completed and executed copies of whichever of the following is applicable:</w:t>
      </w:r>
    </w:p>
    <w:p>
      <w:pPr>
        <w:spacing w:after="0" w:line="111" w:lineRule="exact"/>
        <w:rPr>
          <w:rFonts w:ascii="Times New Roman" w:cs="Times New Roman" w:eastAsia="Times New Roman" w:hAnsi="Times New Roman"/>
          <w:sz w:val="14"/>
          <w:szCs w:val="14"/>
          <w:color w:val="auto"/>
        </w:rPr>
      </w:pPr>
    </w:p>
    <w:p>
      <w:pPr>
        <w:ind w:left="920" w:right="40" w:firstLine="457"/>
        <w:spacing w:after="0" w:line="248" w:lineRule="auto"/>
        <w:tabs>
          <w:tab w:leader="none" w:pos="1834" w:val="left"/>
        </w:tabs>
        <w:numPr>
          <w:ilvl w:val="1"/>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Lender Party that is a U.S. Person, IRS Form W-9 or any successor form certifying that such Lender Party is exempt from U.S. federal backup withholding;</w:t>
      </w:r>
    </w:p>
    <w:p>
      <w:pPr>
        <w:spacing w:after="0" w:line="105" w:lineRule="exact"/>
        <w:rPr>
          <w:rFonts w:ascii="Times New Roman" w:cs="Times New Roman" w:eastAsia="Times New Roman" w:hAnsi="Times New Roman"/>
          <w:sz w:val="14"/>
          <w:szCs w:val="14"/>
          <w:color w:val="auto"/>
        </w:rPr>
      </w:pPr>
    </w:p>
    <w:p>
      <w:pPr>
        <w:ind w:left="920" w:right="60" w:firstLine="457"/>
        <w:spacing w:after="0" w:line="248" w:lineRule="auto"/>
        <w:tabs>
          <w:tab w:leader="none" w:pos="1834" w:val="left"/>
        </w:tabs>
        <w:numPr>
          <w:ilvl w:val="1"/>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Non-U.S. Lender eligible to claim the benefits of an income tax treaty to which the United States is a party, IRS Form W-8BEN or IRS Form W-8BEN-E, as applicable, establishing an exemption from, or reduction of, U.S. federal withholding Tax pursuant to such tax treaty;</w:t>
      </w:r>
    </w:p>
    <w:p>
      <w:pPr>
        <w:spacing w:after="0" w:line="105" w:lineRule="exact"/>
        <w:rPr>
          <w:rFonts w:ascii="Times New Roman" w:cs="Times New Roman" w:eastAsia="Times New Roman" w:hAnsi="Times New Roman"/>
          <w:sz w:val="14"/>
          <w:szCs w:val="14"/>
          <w:color w:val="auto"/>
        </w:rPr>
      </w:pPr>
    </w:p>
    <w:p>
      <w:pPr>
        <w:ind w:left="920" w:right="40" w:firstLine="457"/>
        <w:spacing w:after="0" w:line="248" w:lineRule="auto"/>
        <w:tabs>
          <w:tab w:leader="none" w:pos="1834" w:val="left"/>
        </w:tabs>
        <w:numPr>
          <w:ilvl w:val="1"/>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Non-U.S. Lender eligible to claim an exemption from U.S. federal withholding Taxes for income that is effectively connected with a U.S. trade or business, IRS Form W-8ECI;</w:t>
      </w:r>
    </w:p>
    <w:p>
      <w:pPr>
        <w:spacing w:after="0" w:line="105" w:lineRule="exact"/>
        <w:rPr>
          <w:rFonts w:ascii="Times New Roman" w:cs="Times New Roman" w:eastAsia="Times New Roman" w:hAnsi="Times New Roman"/>
          <w:sz w:val="14"/>
          <w:szCs w:val="14"/>
          <w:color w:val="auto"/>
        </w:rPr>
      </w:pPr>
    </w:p>
    <w:p>
      <w:pPr>
        <w:jc w:val="both"/>
        <w:ind w:left="920" w:right="20" w:firstLine="457"/>
        <w:spacing w:after="0" w:line="225" w:lineRule="auto"/>
        <w:tabs>
          <w:tab w:leader="none" w:pos="1834" w:val="left"/>
        </w:tabs>
        <w:numPr>
          <w:ilvl w:val="1"/>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Non-U.S. Lender eligible to claim the benefits of the exemption for portfolio interest under Section 881(c) of the Code, (x) a certificate substantially in the form of </w:t>
      </w:r>
      <w:r>
        <w:rPr>
          <w:rFonts w:ascii="Times New Roman" w:cs="Times New Roman" w:eastAsia="Times New Roman" w:hAnsi="Times New Roman"/>
          <w:sz w:val="14"/>
          <w:szCs w:val="14"/>
          <w:u w:val="single" w:color="auto"/>
          <w:color w:val="auto"/>
        </w:rPr>
        <w:t>Exhibit J-1</w:t>
      </w:r>
      <w:r>
        <w:rPr>
          <w:rFonts w:ascii="Times New Roman" w:cs="Times New Roman" w:eastAsia="Times New Roman" w:hAnsi="Times New Roman"/>
          <w:sz w:val="14"/>
          <w:szCs w:val="14"/>
          <w:color w:val="auto"/>
        </w:rPr>
        <w:t xml:space="preserve"> to the effect that such Non-U.S. Lender is not a “bank” within the meaning of Section 881(c)(3)(A) of the Code, a “10 percent shareholder” of the U.S. Co-Borrower within the meaning of Section 881(c)(3)(B) of the Code, or a “controlled foreign corporation” that is related to the U.S. Co-Borrower as described in Section 881(c)(3)(C) of the Code and that no payment under any Loan Document is effectively connected with such Non-U.S. Lender’s conduct of a U.S. trade or business (a “</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and (y) IRS Form W-8BEN or IRS Form W-8BEN-E, as applicable;</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106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69" w:name="page570"/>
    <w:bookmarkEnd w:id="569"/>
    <w:p>
      <w:pPr>
        <w:spacing w:after="0" w:line="24" w:lineRule="exact"/>
        <w:rPr>
          <w:sz w:val="20"/>
          <w:szCs w:val="20"/>
          <w:color w:val="auto"/>
        </w:rPr>
      </w:pPr>
    </w:p>
    <w:p>
      <w:pPr>
        <w:ind w:left="920" w:firstLine="457"/>
        <w:spacing w:after="0" w:line="223" w:lineRule="auto"/>
        <w:tabs>
          <w:tab w:leader="none" w:pos="1834" w:val="left"/>
        </w:tabs>
        <w:numPr>
          <w:ilvl w:val="1"/>
          <w:numId w:val="6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that a Non-U.S. Lender is not the beneficial owner (for example, where the Non-U.S. Lender is a partnership or participating Lender), IRS Form W-8IMY of the Non-U.S. Lender, accompanied by IRS Form W-8ECI, IRS Form W-8BEN or IRS Form W-8BEN-E, a U.S. Tax Compliance Certificate substantially in the form of </w:t>
      </w:r>
      <w:r>
        <w:rPr>
          <w:rFonts w:ascii="Times New Roman" w:cs="Times New Roman" w:eastAsia="Times New Roman" w:hAnsi="Times New Roman"/>
          <w:sz w:val="14"/>
          <w:szCs w:val="14"/>
          <w:u w:val="single" w:color="auto"/>
          <w:color w:val="auto"/>
        </w:rPr>
        <w:t>Exhibit J-1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Exhibit J-3</w:t>
      </w:r>
      <w:r>
        <w:rPr>
          <w:rFonts w:ascii="Times New Roman" w:cs="Times New Roman" w:eastAsia="Times New Roman" w:hAnsi="Times New Roman"/>
          <w:sz w:val="14"/>
          <w:szCs w:val="14"/>
          <w:color w:val="auto"/>
        </w:rPr>
        <w:t xml:space="preserve">, IRS Form W-9, and/or other certification documents from each beneficial owner that would be required under this Section 2.17(f) if such beneficial owner were a Lender,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Non-U.S. Lender is a partnership (and not a participating Lender) and one or more beneficial owners are claiming the portfolio interest exemption, such Non-U.S. Lender may provide a U.S. Tax Compliance Certificate substantially in the form of </w:t>
      </w:r>
      <w:r>
        <w:rPr>
          <w:rFonts w:ascii="Times New Roman" w:cs="Times New Roman" w:eastAsia="Times New Roman" w:hAnsi="Times New Roman"/>
          <w:sz w:val="14"/>
          <w:szCs w:val="14"/>
          <w:u w:val="single" w:color="auto"/>
          <w:color w:val="auto"/>
        </w:rPr>
        <w:t>Exhibit J-2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Exhibit J-4</w:t>
      </w:r>
      <w:r>
        <w:rPr>
          <w:rFonts w:ascii="Times New Roman" w:cs="Times New Roman" w:eastAsia="Times New Roman" w:hAnsi="Times New Roman"/>
          <w:sz w:val="14"/>
          <w:szCs w:val="14"/>
          <w:color w:val="auto"/>
        </w:rPr>
        <w:t xml:space="preserve"> on behalf of such beneficial owner(s); or</w:t>
      </w:r>
    </w:p>
    <w:p>
      <w:pPr>
        <w:spacing w:after="0" w:line="111" w:lineRule="exact"/>
        <w:rPr>
          <w:rFonts w:ascii="Times New Roman" w:cs="Times New Roman" w:eastAsia="Times New Roman" w:hAnsi="Times New Roman"/>
          <w:sz w:val="14"/>
          <w:szCs w:val="14"/>
          <w:color w:val="auto"/>
        </w:rPr>
      </w:pPr>
    </w:p>
    <w:p>
      <w:pPr>
        <w:jc w:val="both"/>
        <w:ind w:left="920" w:right="20" w:firstLine="457"/>
        <w:spacing w:after="0" w:line="233" w:lineRule="auto"/>
        <w:tabs>
          <w:tab w:leader="none" w:pos="1834" w:val="left"/>
        </w:tabs>
        <w:numPr>
          <w:ilvl w:val="1"/>
          <w:numId w:val="6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form prescribed by applicable law as a basis for claiming exemption from or a reduction in U.S. federal withholding Taxes, together with such supplementary documentation as may be prescribed by applicable law to permit the U.S. Co-Borrower or the Administrative Agent to reasonably determine the withholding or deduction required to be made.</w:t>
      </w:r>
    </w:p>
    <w:p>
      <w:pPr>
        <w:spacing w:after="0" w:line="111" w:lineRule="exact"/>
        <w:rPr>
          <w:rFonts w:ascii="Times New Roman" w:cs="Times New Roman" w:eastAsia="Times New Roman" w:hAnsi="Times New Roman"/>
          <w:sz w:val="14"/>
          <w:szCs w:val="14"/>
          <w:color w:val="auto"/>
        </w:rPr>
      </w:pPr>
    </w:p>
    <w:p>
      <w:pPr>
        <w:jc w:val="both"/>
        <w:ind w:left="460" w:right="20" w:firstLine="460"/>
        <w:spacing w:after="0"/>
        <w:tabs>
          <w:tab w:leader="none" w:pos="1374" w:val="left"/>
        </w:tabs>
        <w:numPr>
          <w:ilvl w:val="0"/>
          <w:numId w:val="6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payment made to a Lender Party under any Loan Document would be subject to U.S. federal withholding Tax imposed under FATCA if the Lender Party were to fail to comply with the applicable reporting requirements of FATCA (including those contained in Section 1471(b) or 1472(b) of the Code, as applicable), such Lender Party shall deliver to the Administrative Agent and the U.S. Co-Borrower at the time or times prescribed by law, and at such other time or times reasonably requested by the Administrative Agent or the U.S. Co-Borrower, the documentation prescribed by applicable law (including as prescribed by Section 1471(b)(3)(C)(i) of the Code) and such additional documentation reasonably requested by the Administrative Agent or the U.S. Co-Borrower as may be necessary for the Administrative Agent or the U.S. Co-Borrower to comply with its obligations under FATCA and to determine whether the Lender Party has complied with the Lender Party obligations under FATCA, or to determine the amount, if any, to deduct and withhold from the payment. Solely for purposes of this clause (iii), “FATCA” shall include any amendments made to FATCA after the date of this Agreement.</w:t>
      </w:r>
    </w:p>
    <w:p>
      <w:pPr>
        <w:spacing w:after="0" w:line="167" w:lineRule="exact"/>
        <w:rPr>
          <w:rFonts w:ascii="Times New Roman" w:cs="Times New Roman" w:eastAsia="Times New Roman" w:hAnsi="Times New Roman"/>
          <w:sz w:val="14"/>
          <w:szCs w:val="14"/>
          <w:color w:val="auto"/>
        </w:rPr>
      </w:pPr>
    </w:p>
    <w:p>
      <w:pPr>
        <w:ind w:left="460" w:right="60" w:firstLine="460"/>
        <w:spacing w:after="0" w:line="248" w:lineRule="auto"/>
        <w:tabs>
          <w:tab w:leader="none" w:pos="1374" w:val="left"/>
        </w:tabs>
        <w:numPr>
          <w:ilvl w:val="0"/>
          <w:numId w:val="6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Party hereby authorizes the Administrative Agent to deliver to the Loan Parties and to any successor Administrative Agent any documentation provided by such Lender Party to the Administrative Agent pursuant to this Section 2.17.</w:t>
      </w:r>
    </w:p>
    <w:p>
      <w:pPr>
        <w:spacing w:after="0" w:line="105"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64" w:val="left"/>
        </w:tabs>
        <w:numPr>
          <w:ilvl w:val="0"/>
          <w:numId w:val="6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Section 2.17, a Lender Party shall not be required to deliver any form or other documentation that such Lender Party is not legally eligible to deliver.</w:t>
      </w:r>
    </w:p>
    <w:p>
      <w:pPr>
        <w:spacing w:after="0" w:line="105" w:lineRule="exact"/>
        <w:rPr>
          <w:sz w:val="20"/>
          <w:szCs w:val="20"/>
          <w:color w:val="auto"/>
        </w:rPr>
      </w:pPr>
    </w:p>
    <w:p>
      <w:pPr>
        <w:ind w:left="1360" w:hanging="440"/>
        <w:spacing w:after="0"/>
        <w:tabs>
          <w:tab w:leader="none" w:pos="1360" w:val="left"/>
        </w:tabs>
        <w:numPr>
          <w:ilvl w:val="0"/>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VAT.</w:t>
      </w:r>
    </w:p>
    <w:p>
      <w:pPr>
        <w:spacing w:after="0" w:line="134" w:lineRule="exact"/>
        <w:rPr>
          <w:sz w:val="20"/>
          <w:szCs w:val="20"/>
          <w:color w:val="auto"/>
        </w:rPr>
      </w:pPr>
    </w:p>
    <w:p>
      <w:pPr>
        <w:ind w:left="460" w:firstLine="460"/>
        <w:spacing w:after="0" w:line="225" w:lineRule="auto"/>
        <w:tabs>
          <w:tab w:leader="none" w:pos="1374" w:val="left"/>
        </w:tabs>
        <w:numPr>
          <w:ilvl w:val="0"/>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expressed to be payable under a Loan Document by any party to a Secured Party which constitute consideration for any supply for VAT purposes are deemed to be exclusive of any VAT which is chargeable on that supply, and accordingly, subject to clause 2.17(g)(ii) below, if VAT is or becomes chargeable on any supply made by any Secured Party to any party in connection with a Loan Document, that party shall (except where the reverse charge mechanism applies and the Secured Party is not obliged to account to the relevant taxation authority for such VAT) pay to such Secured Party (in addition to and at the same time as paying any other consideration for such supply) an amount equal to the amount of the VAT.</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74" w:val="left"/>
        </w:tabs>
        <w:numPr>
          <w:ilvl w:val="0"/>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VAT is or becomes chargeable on any supply made by any Secured Party (the “ </w:t>
      </w:r>
      <w:r>
        <w:rPr>
          <w:rFonts w:ascii="Times New Roman" w:cs="Times New Roman" w:eastAsia="Times New Roman" w:hAnsi="Times New Roman"/>
          <w:sz w:val="14"/>
          <w:szCs w:val="14"/>
          <w:u w:val="single" w:color="auto"/>
          <w:color w:val="auto"/>
        </w:rPr>
        <w:t>Supplier</w:t>
      </w:r>
      <w:r>
        <w:rPr>
          <w:rFonts w:ascii="Times New Roman" w:cs="Times New Roman" w:eastAsia="Times New Roman" w:hAnsi="Times New Roman"/>
          <w:sz w:val="14"/>
          <w:szCs w:val="14"/>
          <w:color w:val="auto"/>
        </w:rPr>
        <w:t xml:space="preserve">”) to any other Secured Party (the “ </w:t>
      </w:r>
      <w:r>
        <w:rPr>
          <w:rFonts w:ascii="Times New Roman" w:cs="Times New Roman" w:eastAsia="Times New Roman" w:hAnsi="Times New Roman"/>
          <w:sz w:val="14"/>
          <w:szCs w:val="14"/>
          <w:u w:val="single" w:color="auto"/>
          <w:color w:val="auto"/>
        </w:rPr>
        <w:t>Recipient</w:t>
      </w:r>
      <w:r>
        <w:rPr>
          <w:rFonts w:ascii="Times New Roman" w:cs="Times New Roman" w:eastAsia="Times New Roman" w:hAnsi="Times New Roman"/>
          <w:sz w:val="14"/>
          <w:szCs w:val="14"/>
          <w:color w:val="auto"/>
        </w:rPr>
        <w:t>”) in connection with a Loan Document, and any party other than the Recipient (the “</w:t>
      </w:r>
      <w:r>
        <w:rPr>
          <w:rFonts w:ascii="Times New Roman" w:cs="Times New Roman" w:eastAsia="Times New Roman" w:hAnsi="Times New Roman"/>
          <w:sz w:val="14"/>
          <w:szCs w:val="14"/>
          <w:u w:val="single" w:color="auto"/>
          <w:color w:val="auto"/>
        </w:rPr>
        <w:t>Relevant Party</w:t>
      </w:r>
      <w:r>
        <w:rPr>
          <w:rFonts w:ascii="Times New Roman" w:cs="Times New Roman" w:eastAsia="Times New Roman" w:hAnsi="Times New Roman"/>
          <w:sz w:val="14"/>
          <w:szCs w:val="14"/>
          <w:color w:val="auto"/>
        </w:rPr>
        <w:t>”) is required by the terms of any Loan Document to pay an amount equal to the consideration for that supply to the Supplier:</w:t>
      </w:r>
    </w:p>
    <w:p>
      <w:pPr>
        <w:spacing w:after="0" w:line="109" w:lineRule="exact"/>
        <w:rPr>
          <w:rFonts w:ascii="Times New Roman" w:cs="Times New Roman" w:eastAsia="Times New Roman" w:hAnsi="Times New Roman"/>
          <w:sz w:val="14"/>
          <w:szCs w:val="14"/>
          <w:color w:val="auto"/>
        </w:rPr>
      </w:pPr>
    </w:p>
    <w:p>
      <w:pPr>
        <w:ind w:left="1840" w:hanging="463"/>
        <w:spacing w:after="0"/>
        <w:tabs>
          <w:tab w:leader="none" w:pos="1840" w:val="left"/>
        </w:tabs>
        <w:numPr>
          <w:ilvl w:val="1"/>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Supplier is the person required to account to the relevant tax authority for the VAT, the Relevant Party shall also pay to the Supplier (at the</w:t>
      </w:r>
    </w:p>
    <w:p>
      <w:pPr>
        <w:ind w:left="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 time</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70" w:name="page571"/>
    <w:bookmarkEnd w:id="570"/>
    <w:p>
      <w:pPr>
        <w:spacing w:after="0" w:line="24" w:lineRule="exact"/>
        <w:rPr>
          <w:sz w:val="20"/>
          <w:szCs w:val="20"/>
          <w:color w:val="auto"/>
        </w:rPr>
      </w:pPr>
    </w:p>
    <w:p>
      <w:pPr>
        <w:jc w:val="both"/>
        <w:ind w:left="920" w:right="40"/>
        <w:spacing w:after="0" w:line="233" w:lineRule="auto"/>
        <w:rPr>
          <w:sz w:val="20"/>
          <w:szCs w:val="20"/>
          <w:color w:val="auto"/>
        </w:rPr>
      </w:pPr>
      <w:r>
        <w:rPr>
          <w:rFonts w:ascii="Times New Roman" w:cs="Times New Roman" w:eastAsia="Times New Roman" w:hAnsi="Times New Roman"/>
          <w:sz w:val="14"/>
          <w:szCs w:val="14"/>
          <w:color w:val="auto"/>
        </w:rPr>
        <w:t>as paying that amount) an additional amount equal to the amount of the VAT. The Recipient shall (where this Section 2.17(g)(ii)(A) applies) promptly pay to the Relevant Party an amount equal to any credit or repayment the Recipient receives from the relevant tax authority which the Recipient determines relates to the VAT chargeable on that supply; and</w:t>
      </w:r>
    </w:p>
    <w:p>
      <w:pPr>
        <w:spacing w:after="0" w:line="112" w:lineRule="exact"/>
        <w:rPr>
          <w:sz w:val="20"/>
          <w:szCs w:val="20"/>
          <w:color w:val="auto"/>
        </w:rPr>
      </w:pPr>
    </w:p>
    <w:p>
      <w:pPr>
        <w:jc w:val="both"/>
        <w:ind w:left="920" w:right="40" w:firstLine="457"/>
        <w:spacing w:after="0" w:line="233" w:lineRule="auto"/>
        <w:tabs>
          <w:tab w:leader="none" w:pos="1834" w:val="left"/>
        </w:tabs>
        <w:numPr>
          <w:ilvl w:val="1"/>
          <w:numId w:val="6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Recipient is the person required to account to the relevant tax authority for the VAT, the Relevant Party shall promptly, following demand from the Recipient, pay to the Recipient an amount equal to the VAT chargeable on that supply but only to the extent that the Recipient determines that it is not entitled to credit or repayment from the relevant tax authority in respect of that VAT.</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74" w:val="left"/>
        </w:tabs>
        <w:numPr>
          <w:ilvl w:val="0"/>
          <w:numId w:val="6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 Loan Document requires any party to reimburse or indemnify a Secured Party for any cost or expense, that party shall reimburse or indemnify (as the case may be) such Secured Party for the full amount of such cost or expense, including such part thereof as represents VAT, save to the extent that such Secured Party determines that it is entitled to credit or repayment in respect of such VAT from the relevant tax authority.</w:t>
      </w:r>
    </w:p>
    <w:p>
      <w:pPr>
        <w:spacing w:after="0" w:line="111" w:lineRule="exact"/>
        <w:rPr>
          <w:rFonts w:ascii="Times New Roman" w:cs="Times New Roman" w:eastAsia="Times New Roman" w:hAnsi="Times New Roman"/>
          <w:sz w:val="14"/>
          <w:szCs w:val="14"/>
          <w:color w:val="auto"/>
        </w:rPr>
      </w:pPr>
    </w:p>
    <w:p>
      <w:pPr>
        <w:ind w:left="460" w:firstLine="460"/>
        <w:spacing w:after="0" w:line="223" w:lineRule="auto"/>
        <w:tabs>
          <w:tab w:leader="none" w:pos="1374" w:val="left"/>
        </w:tabs>
        <w:numPr>
          <w:ilvl w:val="0"/>
          <w:numId w:val="6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in this Section 2.17(g)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111" w:lineRule="exact"/>
        <w:rPr>
          <w:rFonts w:ascii="Times New Roman" w:cs="Times New Roman" w:eastAsia="Times New Roman" w:hAnsi="Times New Roman"/>
          <w:sz w:val="14"/>
          <w:szCs w:val="14"/>
          <w:color w:val="auto"/>
        </w:rPr>
      </w:pPr>
    </w:p>
    <w:p>
      <w:pPr>
        <w:jc w:val="both"/>
        <w:ind w:left="460" w:right="20" w:firstLine="460"/>
        <w:spacing w:after="0" w:line="233" w:lineRule="auto"/>
        <w:tabs>
          <w:tab w:leader="none" w:pos="1364" w:val="left"/>
        </w:tabs>
        <w:numPr>
          <w:ilvl w:val="0"/>
          <w:numId w:val="6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any supply made by a Secured Party to any party under a Loan Document, if requested by such Secured Party, that party shall promptly provide such Secured Party with details of that party’s VAT registration (if applicable) and such other information as is requested in connection with such Secured Party’s VAT reporting requirements in relation to such supply.</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2.18.</w:t>
      </w:r>
      <w:r>
        <w:rPr>
          <w:rFonts w:ascii="Times New Roman" w:cs="Times New Roman" w:eastAsia="Times New Roman" w:hAnsi="Times New Roman"/>
          <w:sz w:val="14"/>
          <w:szCs w:val="14"/>
          <w:u w:val="single" w:color="auto"/>
          <w:color w:val="auto"/>
        </w:rPr>
        <w:t>Payments Generally; Pro Rata Treatment; Sharing of Set-offs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18" w:lineRule="auto"/>
        <w:tabs>
          <w:tab w:leader="none" w:pos="1370" w:val="left"/>
        </w:tabs>
        <w:numPr>
          <w:ilvl w:val="0"/>
          <w:numId w:val="6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the Borrowers shall make each payment required to be made by them hereunder (whether of principal, interest, fees or reimbursement of L/C Disbursements, or of amounts payable under Sections 2.15, 2.16 or 2.17, or otherwise) prior to 2:00 p.m.,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Parent by the Administrative Agent, except payments to be made directly to the applicable Issuing Bank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Except with respect to payments of principal of and interest on Loans denominated in Euros or DKK, which payments shall be made in Euros or DKK, as applicable, all payments made under the Loan Documents shall be made in Dollars. If, for any reason, a Borrower is prohibited by any law from making any required payment hereunder in Euros or DKK, such Borrower shall make such payment in Dollars in the Dollar Equivalent of the Euro payment amount or DKK payment amount, as applicable. Any payment required to be made by the Administrative Agent hereunder shall be deemed to have been made by the time required if the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71" w:name="page572"/>
    <w:bookmarkEnd w:id="571"/>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05" w:lineRule="exact"/>
        <w:rPr>
          <w:sz w:val="20"/>
          <w:szCs w:val="20"/>
          <w:color w:val="auto"/>
        </w:rPr>
      </w:pPr>
    </w:p>
    <w:p>
      <w:pPr>
        <w:ind w:left="1360" w:hanging="440"/>
        <w:spacing w:after="0"/>
        <w:tabs>
          <w:tab w:leader="none" w:pos="1360" w:val="left"/>
        </w:tabs>
        <w:numPr>
          <w:ilvl w:val="0"/>
          <w:numId w:val="6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jc w:val="both"/>
        <w:ind w:firstLine="920"/>
        <w:spacing w:after="0" w:line="217" w:lineRule="auto"/>
        <w:tabs>
          <w:tab w:leader="none" w:pos="1370" w:val="left"/>
        </w:tabs>
        <w:numPr>
          <w:ilvl w:val="0"/>
          <w:numId w:val="6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Lender shall, by exercising any right of set-off or counterclaim or otherwise, obtain payment in respect of any principal of, or interest on, any of its Term Loans, Revolving Loans or participations in L/C Disbursements of a given Class resulting in such Lender receiving payment of a greater proportion of the aggregate amount of its Term Loans, Revolving Loans and participations in L/C Disbursements of such Class and accrued interest thereon than the proportion received by any other Lender entitled to receive the same proportion of such payment, then the Lender receiving such greater proportion shall purchase (for cash at face value) participations in the Term Loans, Revolving Loans and participations in L/C Disbursements of such Class of such other Lenders to the extent necessary so that the benefit of all such payments shall be shared by all such Lenders ratably in accordance with the principal amount of each such Lender’s respective Term Loans, Revolving Loans and participations in L/C Disbursements of such Class and accrued interest thereon;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 if any such participations are purchased and all or any portion of the payment giving rise thereto is recovered, such participations shall be rescinded and the purchase price restored to the extent of such recovery, without interest, (ii) the provisions of this clause (c)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and (iii) nothing in this Section 2.18(c) shall be construed to limit the applicability of Section 7.03 in the circumstances where Section 7.03 is applicable in accordance with its terms.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15"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61" w:val="left"/>
        </w:tabs>
        <w:numPr>
          <w:ilvl w:val="0"/>
          <w:numId w:val="6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Administrative Agent shall have received notice from the Parent prior to the date on which any payment is due to the Administrative Agent for the account of the relevant Lenders or the applicable Issuing Bank hereunder that the Borrowers will not make such payment, the Administrative Agent may assume that the Borrowers have made such payment on such date in accordance herewith and may, in reliance upon such assumption, distribute to the relevant Lenders or the applicable Issuing Bank, as applicable, the amount due.</w:t>
      </w:r>
    </w:p>
    <w:p>
      <w:pPr>
        <w:spacing w:after="0" w:line="111" w:lineRule="exact"/>
        <w:rPr>
          <w:rFonts w:ascii="Times New Roman" w:cs="Times New Roman" w:eastAsia="Times New Roman" w:hAnsi="Times New Roman"/>
          <w:sz w:val="14"/>
          <w:szCs w:val="14"/>
          <w:color w:val="auto"/>
        </w:rPr>
      </w:pPr>
    </w:p>
    <w:p>
      <w:pPr>
        <w:jc w:val="both"/>
        <w:ind w:firstLine="920"/>
        <w:spacing w:after="0" w:line="225" w:lineRule="auto"/>
        <w:tabs>
          <w:tab w:leader="none" w:pos="1370" w:val="left"/>
        </w:tabs>
        <w:numPr>
          <w:ilvl w:val="0"/>
          <w:numId w:val="6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2.24, if any Lender shall fail to make any payment required to be made by it pursuant to Section 2.05(c), 2.05(d), 2.06, or 2.18(c),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2.19.</w:t>
      </w:r>
      <w:r>
        <w:rPr>
          <w:rFonts w:ascii="Times New Roman" w:cs="Times New Roman" w:eastAsia="Times New Roman" w:hAnsi="Times New Roman"/>
          <w:sz w:val="14"/>
          <w:szCs w:val="14"/>
          <w:u w:val="single" w:color="auto"/>
          <w:color w:val="auto"/>
        </w:rPr>
        <w:t>Mitigation Obligations; Replacement of Lenders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23" w:lineRule="auto"/>
        <w:tabs>
          <w:tab w:leader="none" w:pos="1370" w:val="left"/>
        </w:tabs>
        <w:numPr>
          <w:ilvl w:val="0"/>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Lender requests compensation under Section 2.15, or if a Borrower is required to pay any additional amount to any Lender or any Governmental Authority for the account of any Lender pursuant to Section 2.17 or mitigate the applicability of Section 2.20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applicable, in the future and (ii) would not subject such Lender to any material unreimbursed cost or expense and would not otherwise be disadvantageous to such Lender in any material respect. Each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72" w:name="page573"/>
    <w:bookmarkEnd w:id="572"/>
    <w:p>
      <w:pPr>
        <w:spacing w:after="0" w:line="24" w:lineRule="exact"/>
        <w:rPr>
          <w:sz w:val="20"/>
          <w:szCs w:val="20"/>
          <w:color w:val="auto"/>
        </w:rPr>
      </w:pPr>
    </w:p>
    <w:p>
      <w:pPr>
        <w:jc w:val="both"/>
        <w:ind w:firstLine="920"/>
        <w:spacing w:after="0" w:line="230" w:lineRule="auto"/>
        <w:tabs>
          <w:tab w:leader="none" w:pos="1361" w:val="left"/>
        </w:tabs>
        <w:numPr>
          <w:ilvl w:val="0"/>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(i) any Lender requests compensation under Section 2.15 (in a material amount in excess of that being charged by other Lenders) or gives notice under Section 2.20, (ii) the Borrowers are required to pay any additional amount to any Lender or any Governmental Authority for the account of any Lender pursuant to Section 2.17 (in a material amount in excess of that being charged by other Lenders), or (iii) any Lender is a Defaulting Lender, then the Parent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Parent shall have received the prior written consent of the Administrative Agent (and, if in respect of any Revolving Commitment or Revolving Loan, each Issuing Bank),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Borrowers (in the case of all other amounts), (iii) in the case of any such assignment resulting from a claim for compensation under Section 2.15, payments required to be made pursuant to Section 2.17 or a notice given under Section 2.20, such assignment will result in a reduction in such compensation or payments and (iv) such assignment does not conflict with any applicable law. A Lender shall not be required to make any such assignment and delegation if, prior thereto, as a result of a waiver by such Lender or otherwise, the circumstances entitling the Parent to require such assignment and delegation cease to apply. Nothing in this Section 2.19 shall be deemed to prejudice any rights that the Borrowers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Parent, Administrative Agent, such removed Lender and the replacement Lender shall otherwise comply with Section 9.04,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such removed Lender does not comply with Section 9.04 within one Business Day after the Parent’s request, compliance with Section 9.04 shall not be required to effect such assignment.</w:t>
      </w:r>
    </w:p>
    <w:p>
      <w:pPr>
        <w:spacing w:after="0" w:line="110" w:lineRule="exact"/>
        <w:rPr>
          <w:rFonts w:ascii="Times New Roman" w:cs="Times New Roman" w:eastAsia="Times New Roman" w:hAnsi="Times New Roman"/>
          <w:sz w:val="14"/>
          <w:szCs w:val="14"/>
          <w:color w:val="auto"/>
        </w:rPr>
      </w:pPr>
    </w:p>
    <w:p>
      <w:pPr>
        <w:jc w:val="both"/>
        <w:ind w:firstLine="920"/>
        <w:spacing w:after="0" w:line="231" w:lineRule="auto"/>
        <w:tabs>
          <w:tab w:leader="none" w:pos="1370" w:val="left"/>
        </w:tabs>
        <w:numPr>
          <w:ilvl w:val="0"/>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Lender (such Lender, a “ </w:t>
      </w:r>
      <w:r>
        <w:rPr>
          <w:rFonts w:ascii="Times New Roman" w:cs="Times New Roman" w:eastAsia="Times New Roman" w:hAnsi="Times New Roman"/>
          <w:sz w:val="14"/>
          <w:szCs w:val="14"/>
          <w:u w:val="single" w:color="auto"/>
          <w:color w:val="auto"/>
        </w:rPr>
        <w:t>Non-Consenting Lender</w:t>
      </w:r>
      <w:r>
        <w:rPr>
          <w:rFonts w:ascii="Times New Roman" w:cs="Times New Roman" w:eastAsia="Times New Roman" w:hAnsi="Times New Roman"/>
          <w:sz w:val="14"/>
          <w:szCs w:val="14"/>
          <w:color w:val="auto"/>
        </w:rPr>
        <w:t xml:space="preserve">”) (x) has failed to consent to a proposed amendment, waiver or consent which pursuant to the terms of Section 9.08 requires the consent of all of the Lenders (or all of the Lenders of any Class or Classes), all of the Lenders (or all of the Lenders of any Class or Classes) directly and adversely affected or all of the Lenders (or all of the Lenders of any Class or Classes) adversely affected and with respect to which the Required Lenders (or the Required Facility Lenders or Required TLA/RCF Lenders, as applicable) shall have granted their consent or (y) becomes an Objecting Lender, then the Parent shall have the right (unless such Non-Consenting Lender grants such consent) at its sole expense (including with respect to the processing and recordation fee referred to in Section 9.04(b)(ii)) to replace such Non-Consenting Lender by requiring such Non-Consenting Lender to (and any such Non-Consenting Lender agrees that it shall, upon the Parent’s request) assign its Loans and its Commitments (or, at the Parent’s option, the Loans and Commitments under the Facility that is the subject of the proposed amendment, waiver or consent) hereunder to one or more assignees reasonably acceptable to (i) the Administrative Agent (unless such assignee is a Lender, an Affiliate of a Lender or an Approved Fund) and (ii) if in respect of any Revolving Commitment or Revolving Loan, each Issuing Bank;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all Loan Obligations of the Borrowers owing to such Non-Consenting Lender being replaced in respect of the assigned interest shall be paid in full in same day funds to such Non-Consenting Lender concurrently with such assignment, (ii) the replacement Lender shall purchase the foregoing by paying to such Non-Consenting Lender a price equal to the principal amount thereof plus accrued and unpaid interest thereon and the replacement Lender or, at the option of the Parent, the Borrowers shall pay any amount required by Section 2.12(e), if applicable,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Parent, the Administrative Agent, such Non-Consenting Lender and the replacement Lender shall otherwise comply with Section 9.04;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Non-Consenting Lender does not comply with Section 9.04 within one Business Day after the Parent’s request, compliance with Section 9.04 shall not be required to effect such assignment.</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110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73" w:name="page574"/>
    <w:bookmarkEnd w:id="573"/>
    <w:p>
      <w:pPr>
        <w:spacing w:after="0" w:line="24" w:lineRule="exact"/>
        <w:rPr>
          <w:sz w:val="20"/>
          <w:szCs w:val="20"/>
          <w:color w:val="auto"/>
        </w:rPr>
      </w:pPr>
    </w:p>
    <w:p>
      <w:pPr>
        <w:jc w:val="both"/>
        <w:ind w:right="60" w:firstLine="914"/>
        <w:spacing w:after="0" w:line="216" w:lineRule="auto"/>
        <w:rPr>
          <w:sz w:val="20"/>
          <w:szCs w:val="20"/>
          <w:color w:val="auto"/>
        </w:rPr>
      </w:pPr>
      <w:r>
        <w:rPr>
          <w:rFonts w:ascii="Times New Roman" w:cs="Times New Roman" w:eastAsia="Times New Roman" w:hAnsi="Times New Roman"/>
          <w:sz w:val="14"/>
          <w:szCs w:val="14"/>
          <w:color w:val="auto"/>
        </w:rPr>
        <w:t>SECTION 2.20.</w:t>
      </w:r>
      <w:r>
        <w:rPr>
          <w:rFonts w:ascii="Times New Roman" w:cs="Times New Roman" w:eastAsia="Times New Roman" w:hAnsi="Times New Roman"/>
          <w:sz w:val="14"/>
          <w:szCs w:val="14"/>
          <w:u w:val="single" w:color="auto"/>
          <w:color w:val="auto"/>
        </w:rPr>
        <w:t>Illegality</w:t>
      </w:r>
      <w:r>
        <w:rPr>
          <w:rFonts w:ascii="Times New Roman" w:cs="Times New Roman" w:eastAsia="Times New Roman" w:hAnsi="Times New Roman"/>
          <w:sz w:val="14"/>
          <w:szCs w:val="14"/>
          <w:color w:val="auto"/>
        </w:rPr>
        <w:t>. If any Lender reasonably determines that any Change in Law has made it unlawful, or that any Governmental Authority has asserted after the Closing Date that it is unlawful, for any Lender or its applicable lending office to make, maintain or fund any Eurocurrency Rate Loans or Term SOFR Loans, as applicable, or to determine or charge interest rates based upon the Eurocurrency Rate or Term SOFR, as applicable, or any Governmental Authority has imposed material restrictions on the authority of such Lender to purchase or sell, or to take deposits of, Dollars, Euros or DKK in the applicable interbank market then, on notice thereof by such Lender to the Parent through the Administrative Agent, (i) any obligations of such Lender to make or continue Eurocurrency Rate Loans or Term SOFR Loans, as applicable, in the affected currency or currencies or, in the case of Term SOFR Loans, to convert ABR Borrowings to Term SOFR Borrowings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 case until such Lender notifies the Administrative Agent and the Parent that the circumstances giving rise to such determination no longer exist. Upon receipt of such notice, (x) the Borrowers shall upon demand from such Lender and at such Lender’s election (with a copy to the Administrative Agent), prepay all Eurocurrency Rate Borrowings or Term SOFR Borrowings, as applicable, of such Lender, or convert all Term SOFR and/or Eurocurrency Rate Borrowings of such Lender to ABR Borrowings (the interest rate on such ABR Loans of such Lender shall, if necessary to avoid such illegality, be determined by the Administrative Agent without reference to the Term SOFR component of the ABR), either on the last day of the Interest Period therefor, if such Lender may lawfully continue to maintain such Eurocurrency Rate Borrowings or Term SOFR Borrowings, as applicable, to such day, or immediately, if such Lender may not lawfully continue to maintain such Loans and (y) if such notice asserts the illegality of such Lender determining or charging interest rates based upon Term SOFR, the Administrative Agent shall during the period of such suspension compute the ABR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Borrowers shall also pay accrued interest on the amount so prepaid or converted.</w:t>
      </w:r>
    </w:p>
    <w:p>
      <w:pPr>
        <w:spacing w:after="0" w:line="1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2.21.</w:t>
      </w:r>
      <w:r>
        <w:rPr>
          <w:rFonts w:ascii="Times New Roman" w:cs="Times New Roman" w:eastAsia="Times New Roman" w:hAnsi="Times New Roman"/>
          <w:sz w:val="14"/>
          <w:szCs w:val="14"/>
          <w:u w:val="single" w:color="auto"/>
          <w:color w:val="auto"/>
        </w:rPr>
        <w:t>Incremental Commitments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firstLine="920"/>
        <w:spacing w:after="0" w:line="217" w:lineRule="auto"/>
        <w:tabs>
          <w:tab w:leader="none" w:pos="1370" w:val="left"/>
        </w:tabs>
        <w:numPr>
          <w:ilvl w:val="0"/>
          <w:numId w:val="6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Closing Date has occurred, each Borrower may, by written notice to the Administrative Agent from time to time, (w) add one or more new Classes of incremental term loans (any such incremental term loans, “</w:t>
      </w:r>
      <w:r>
        <w:rPr>
          <w:rFonts w:ascii="Times New Roman" w:cs="Times New Roman" w:eastAsia="Times New Roman" w:hAnsi="Times New Roman"/>
          <w:sz w:val="14"/>
          <w:szCs w:val="14"/>
          <w:u w:val="single" w:color="auto"/>
          <w:color w:val="auto"/>
        </w:rPr>
        <w:t>Other Incremental Term Loans</w:t>
      </w:r>
      <w:r>
        <w:rPr>
          <w:rFonts w:ascii="Times New Roman" w:cs="Times New Roman" w:eastAsia="Times New Roman" w:hAnsi="Times New Roman"/>
          <w:sz w:val="14"/>
          <w:szCs w:val="14"/>
          <w:color w:val="auto"/>
        </w:rPr>
        <w:t>”), (x) increase the principal amount of the Term Loans of any existing Class (any such increase, an “</w:t>
      </w:r>
      <w:r>
        <w:rPr>
          <w:rFonts w:ascii="Times New Roman" w:cs="Times New Roman" w:eastAsia="Times New Roman" w:hAnsi="Times New Roman"/>
          <w:sz w:val="14"/>
          <w:szCs w:val="14"/>
          <w:u w:val="single" w:color="auto"/>
          <w:color w:val="auto"/>
        </w:rPr>
        <w:t>Incremental Term Increase</w:t>
      </w:r>
      <w:r>
        <w:rPr>
          <w:rFonts w:ascii="Times New Roman" w:cs="Times New Roman" w:eastAsia="Times New Roman" w:hAnsi="Times New Roman"/>
          <w:sz w:val="14"/>
          <w:szCs w:val="14"/>
          <w:color w:val="auto"/>
        </w:rPr>
        <w:t xml:space="preserve"> ” and, together with any Other Incremental Term Loans, “ </w:t>
      </w:r>
      <w:r>
        <w:rPr>
          <w:rFonts w:ascii="Times New Roman" w:cs="Times New Roman" w:eastAsia="Times New Roman" w:hAnsi="Times New Roman"/>
          <w:sz w:val="14"/>
          <w:szCs w:val="14"/>
          <w:u w:val="single" w:color="auto"/>
          <w:color w:val="auto"/>
        </w:rPr>
        <w:t>Incremental Term Facilities</w:t>
      </w:r>
      <w:r>
        <w:rPr>
          <w:rFonts w:ascii="Times New Roman" w:cs="Times New Roman" w:eastAsia="Times New Roman" w:hAnsi="Times New Roman"/>
          <w:sz w:val="14"/>
          <w:szCs w:val="14"/>
          <w:color w:val="auto"/>
        </w:rPr>
        <w:t xml:space="preserve"> ”), (y) add one or more new Classes of revolving credit commitments (any such revolving credit commitments, “</w:t>
      </w:r>
      <w:r>
        <w:rPr>
          <w:rFonts w:ascii="Times New Roman" w:cs="Times New Roman" w:eastAsia="Times New Roman" w:hAnsi="Times New Roman"/>
          <w:sz w:val="14"/>
          <w:szCs w:val="14"/>
          <w:u w:val="single" w:color="auto"/>
          <w:color w:val="auto"/>
        </w:rPr>
        <w:t>Other Incremental Revolving Commitments</w:t>
      </w:r>
      <w:r>
        <w:rPr>
          <w:rFonts w:ascii="Times New Roman" w:cs="Times New Roman" w:eastAsia="Times New Roman" w:hAnsi="Times New Roman"/>
          <w:sz w:val="14"/>
          <w:szCs w:val="14"/>
          <w:color w:val="auto"/>
        </w:rPr>
        <w:t>”) and/or (z) increase the aggregate amount of the Revolving Commitments of any existing Class (any such increase, an “</w:t>
      </w:r>
      <w:r>
        <w:rPr>
          <w:rFonts w:ascii="Times New Roman" w:cs="Times New Roman" w:eastAsia="Times New Roman" w:hAnsi="Times New Roman"/>
          <w:sz w:val="14"/>
          <w:szCs w:val="14"/>
          <w:u w:val="single" w:color="auto"/>
          <w:color w:val="auto"/>
        </w:rPr>
        <w:t>Incremental Revolving Increase</w:t>
      </w:r>
      <w:r>
        <w:rPr>
          <w:rFonts w:ascii="Times New Roman" w:cs="Times New Roman" w:eastAsia="Times New Roman" w:hAnsi="Times New Roman"/>
          <w:sz w:val="14"/>
          <w:szCs w:val="14"/>
          <w:color w:val="auto"/>
        </w:rPr>
        <w:t xml:space="preserve">” and, together with any Other Incremental Revolving Commitments, “ </w:t>
      </w:r>
      <w:r>
        <w:rPr>
          <w:rFonts w:ascii="Times New Roman" w:cs="Times New Roman" w:eastAsia="Times New Roman" w:hAnsi="Times New Roman"/>
          <w:sz w:val="14"/>
          <w:szCs w:val="14"/>
          <w:u w:val="single" w:color="auto"/>
          <w:color w:val="auto"/>
        </w:rPr>
        <w:t>Incremental Revolving Facilities</w:t>
      </w:r>
      <w:r>
        <w:rPr>
          <w:rFonts w:ascii="Times New Roman" w:cs="Times New Roman" w:eastAsia="Times New Roman" w:hAnsi="Times New Roman"/>
          <w:sz w:val="14"/>
          <w:szCs w:val="14"/>
          <w:color w:val="auto"/>
        </w:rPr>
        <w:t xml:space="preserve">”; Incremental Revolving Facilities and Incremental Term Facilities, collectively, “ </w:t>
      </w:r>
      <w:r>
        <w:rPr>
          <w:rFonts w:ascii="Times New Roman" w:cs="Times New Roman" w:eastAsia="Times New Roman" w:hAnsi="Times New Roman"/>
          <w:sz w:val="14"/>
          <w:szCs w:val="14"/>
          <w:u w:val="single" w:color="auto"/>
          <w:color w:val="auto"/>
        </w:rPr>
        <w:t>Incremental Facilities</w:t>
      </w:r>
      <w:r>
        <w:rPr>
          <w:rFonts w:ascii="Times New Roman" w:cs="Times New Roman" w:eastAsia="Times New Roman" w:hAnsi="Times New Roman"/>
          <w:sz w:val="14"/>
          <w:szCs w:val="14"/>
          <w:color w:val="auto"/>
        </w:rPr>
        <w:t xml:space="preserve">”), in an aggregate amount not to exceed the Incremental Amount available at the time such Incremental Term Facility is funded or Incremental Revolving Facility is established (subject to Section 1.08), from one or more Incremental Term Lenders and/or Incremental Revolving Lenders (which, in each case, may include any existing Lender (it being understood that no Lender shall be obligated to provide any Incremental Facility unless it shall have consented thereto), as applicable, but shall be required to be persons which would qualify as assignees of a Lender in accordance with Section 9.04) willing to provide such Incremental Facility in their sole 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Incremental Revolving Lender shall be subject to the approval of the Administrative Agent and, to the extent the same would be required for an assignment under Section 9.04, each Issuing Bank (which approvals shall not be unreasonably withheld, conditioned or delayed). Such notice shall set forth (i) the amount of the Incremental Facility being requested (which shall be in minimum increments of the Dollar Equivalent of $5,000,000 and a minimum amount of the Dollar Equivalent of $10,000,000, or equal to the remaining Incremental Amount or, in each case, such lesser amount approved by the Administrative Agent), (ii) the date on which such Incremental Term Facility is requested to be funded and/or such Incremental Revolving Facility is requested to become effective, (iii) in the case of an Incremental Term Facility, whether such Incremental Term Facility is to comprise Other Incremental Term Loans or an Incremental Term Increase and (iv) in the case of an Incremental</w:t>
      </w: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111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60"/>
          </w:cols>
          <w:pgMar w:left="640" w:top="1440" w:right="600" w:bottom="1440" w:gutter="0" w:footer="0" w:header="0"/>
        </w:sectPr>
      </w:pPr>
    </w:p>
    <w:bookmarkStart w:id="574" w:name="page575"/>
    <w:bookmarkEnd w:id="574"/>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Revolving Facility, whether such Incremental Revolving Facility is to comprise Other Incremental Revolving Commitments or an Incremental Revolving Increase.</w:t>
      </w:r>
    </w:p>
    <w:p>
      <w:pPr>
        <w:spacing w:after="0" w:line="134" w:lineRule="exact"/>
        <w:rPr>
          <w:sz w:val="20"/>
          <w:szCs w:val="20"/>
          <w:color w:val="auto"/>
        </w:rPr>
      </w:pPr>
    </w:p>
    <w:p>
      <w:pPr>
        <w:jc w:val="both"/>
        <w:ind w:right="60" w:firstLine="920"/>
        <w:spacing w:after="0" w:line="233" w:lineRule="auto"/>
        <w:tabs>
          <w:tab w:leader="none" w:pos="1361" w:val="left"/>
        </w:tabs>
        <w:numPr>
          <w:ilvl w:val="0"/>
          <w:numId w:val="6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applicable Borrower and each Incremental Term Lender and/or Incremental Revolving Lender shall execute and deliver to the Administrative Agent an Incremental Assumption Agreement and such other documentation as the Administrative Agent shall reasonably specify to evidence the terms of the applicable Incremental Facility;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112" w:lineRule="exact"/>
        <w:rPr>
          <w:sz w:val="20"/>
          <w:szCs w:val="20"/>
          <w:color w:val="auto"/>
        </w:rPr>
      </w:pPr>
    </w:p>
    <w:p>
      <w:pPr>
        <w:ind w:left="460" w:right="20" w:firstLine="460"/>
        <w:spacing w:after="0" w:line="248" w:lineRule="auto"/>
        <w:tabs>
          <w:tab w:leader="none" w:pos="1374" w:val="left"/>
        </w:tabs>
        <w:numPr>
          <w:ilvl w:val="0"/>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 Incremental Term Increase shall have the same terms as the applicable Class of Term Loans, and shall form part of the same Class as the applicable Term Loans and (B) Incremental Revolving Increase shall have the same terms as the applicable Class of Revolving Commitments,</w:t>
      </w:r>
    </w:p>
    <w:p>
      <w:pPr>
        <w:spacing w:after="0" w:line="105" w:lineRule="exact"/>
        <w:rPr>
          <w:rFonts w:ascii="Times New Roman" w:cs="Times New Roman" w:eastAsia="Times New Roman" w:hAnsi="Times New Roman"/>
          <w:sz w:val="14"/>
          <w:szCs w:val="14"/>
          <w:color w:val="auto"/>
        </w:rPr>
      </w:pPr>
    </w:p>
    <w:p>
      <w:pPr>
        <w:jc w:val="both"/>
        <w:ind w:left="460" w:right="40" w:firstLine="460"/>
        <w:spacing w:after="0" w:line="228" w:lineRule="auto"/>
        <w:tabs>
          <w:tab w:leader="none" w:pos="1374" w:val="left"/>
        </w:tabs>
        <w:numPr>
          <w:ilvl w:val="0"/>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Other Incremental Term Loans incurred pursuant to clause (a) of this Section 2.21 shall (x) rank equally and ratably in right of security with the Initial Facilities or, at the option of the applicable Borrower, shall rank junior in right of security to the Initial Facilities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Other Incremental Term Loans rank junior in right of security to the Initial Facilities, such Other Incremental Term Loans shall be subject to an Acceptable Intercreditor Agreement and, for the avoidance of doubt, shall not be subject to clause (v) below) or (y) be unsecured,</w:t>
      </w:r>
    </w:p>
    <w:p>
      <w:pPr>
        <w:spacing w:after="0" w:line="111" w:lineRule="exact"/>
        <w:rPr>
          <w:rFonts w:ascii="Times New Roman" w:cs="Times New Roman" w:eastAsia="Times New Roman" w:hAnsi="Times New Roman"/>
          <w:sz w:val="14"/>
          <w:szCs w:val="14"/>
          <w:color w:val="auto"/>
        </w:rPr>
      </w:pPr>
    </w:p>
    <w:p>
      <w:pPr>
        <w:jc w:val="both"/>
        <w:ind w:left="460" w:firstLine="460"/>
        <w:spacing w:after="0" w:line="234" w:lineRule="auto"/>
        <w:tabs>
          <w:tab w:leader="none" w:pos="1374" w:val="left"/>
        </w:tabs>
        <w:numPr>
          <w:ilvl w:val="0"/>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final maturity date of any such Other Incremental Term Loans shall be no earlier than (x) in the case of Other Incremental Term Loans constituting term “A” loans, the Latest Maturity Date applicable to the then outstanding Initial Term A Loans and (y) in the case of Other Incremental Term Loans constituting term “B” loans, the Latest Maturity Date applicable to the then outstanding Initial Term B Loans (in each case other than with respect to (I) Other Incremental Term Loans in an amount not to exceed the Inside Maturity Amount, and (II) customary “bridge loan” facilities with a tenor of no longer than one year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facilities automatically convert or exchange into long-term Indebtedness otherwise meeting the requirements of this clause (iii))), (B) no Other Incremental Revolving Commitments shall mature prior to, or require scheduled commitment reduction prior to, the Latest Maturity Date applicable to the then outstanding Initial Revolving Commitments and (C) except as to pricing, fees, amortization, final maturity date, participation in mandatory prepayments and ranking as to security (which shall, subject to the other clauses of this proviso, be determined by the applicable Borrower and the Incremental Term Lenders or Incremental Revolving Lenders, as applicable, in their sole discretion), Other Incremental Term Loans and Other Incremental Revolving Commitments shall have (1) in the case of Other Incremental Term Loans constituting term “A” loans, terms that are consistent in all material respects with the Initial Term A Loans, (2) in the case of Other Incremental Term Loans constituting term “B” loans, terms that are consistent in all material respects with the Initial Term B Loans, (3) in the case of Other Incremental Revolving Commitments, terms that are consistent in all material respects with the Initial Revolving Commitments or (4) such other terms as shall be reasonably satisfactory to the Administrative Agent (except for any such term that is (I) added for the benefit of all Term Facilities or all Revolving Facilities then outstanding, as applicable, or (II) only applicable after the Latest Maturity Date applicable to the Initial Term A Facility, the Initial Term B Facility or the Initial Revolving Facility, as applicable),</w:t>
      </w:r>
    </w:p>
    <w:p>
      <w:pPr>
        <w:spacing w:after="0" w:line="110" w:lineRule="exact"/>
        <w:rPr>
          <w:rFonts w:ascii="Times New Roman" w:cs="Times New Roman" w:eastAsia="Times New Roman" w:hAnsi="Times New Roman"/>
          <w:sz w:val="14"/>
          <w:szCs w:val="14"/>
          <w:color w:val="auto"/>
        </w:rPr>
      </w:pPr>
    </w:p>
    <w:p>
      <w:pPr>
        <w:ind w:left="460" w:right="80" w:firstLine="460"/>
        <w:spacing w:after="0" w:line="224" w:lineRule="auto"/>
        <w:tabs>
          <w:tab w:leader="none" w:pos="1374" w:val="left"/>
        </w:tabs>
        <w:numPr>
          <w:ilvl w:val="0"/>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Life to Maturity of any Other Incremental Term Loans shall be no shorter than (x) in the case of Other Incremental Term Loans constituting term “A”</w:t>
      </w:r>
    </w:p>
    <w:p>
      <w:pPr>
        <w:spacing w:after="0" w:line="1" w:lineRule="exact"/>
        <w:rPr>
          <w:rFonts w:ascii="Times New Roman" w:cs="Times New Roman" w:eastAsia="Times New Roman" w:hAnsi="Times New Roman"/>
          <w:sz w:val="14"/>
          <w:szCs w:val="14"/>
          <w:color w:val="auto"/>
        </w:rPr>
      </w:pPr>
    </w:p>
    <w:p>
      <w:pPr>
        <w:jc w:val="both"/>
        <w:ind w:left="460" w:right="40"/>
        <w:spacing w:after="0" w:line="22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the remaining Weighted Average Life to Maturity of the Initial Term A Loans then outstanding and (y) in the case of Other Incremental Term Loans constituting term “B” loans, the remaining Weighted Average Life to Maturity of the Initial Term B Loans then outstanding (in each case other than with respect to (I) Other Incremental Term Loans in an amount not to exceed the Inside Maturity Amount, and (II) customary “bridge loan” facilities with a tenor of no longer than one year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facilities automatically convert or exchange into long-term Indebtedness otherwise meeting the requirements of this clause (iv))),</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75" w:name="page576"/>
    <w:bookmarkEnd w:id="575"/>
    <w:p>
      <w:pPr>
        <w:spacing w:after="0" w:line="24" w:lineRule="exact"/>
        <w:rPr>
          <w:sz w:val="20"/>
          <w:szCs w:val="20"/>
          <w:color w:val="auto"/>
        </w:rPr>
      </w:pPr>
    </w:p>
    <w:p>
      <w:pPr>
        <w:ind w:left="460" w:firstLine="460"/>
        <w:spacing w:after="0" w:line="218" w:lineRule="auto"/>
        <w:tabs>
          <w:tab w:leader="none" w:pos="1364"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any Other Incremental Term Loans, the All-in Yield shall be as agreed by the respective Incremental Term Lenders and the applicable Borrower, except that the All-in Yield in respect of any such Other Incremental Term Loans (except for any Other Incremental Term Loans (1) incurred in connection with a Permitted Business Acquisition or other Investment permitted under this Agreement, (2) constituting term “A” loans, (3) with a maturity date no earlier than the date that is two years after the Latest Maturity Date applicable to the Initial Term Facilities, (4) that are not broadly syndicated or (5) that are not denominated in Dollars) that are Other First Lien Debt and incurred prior to the date that is twelve months after the Closing Date may exceed the All-in Yield in respect of the Initial Term B Loans by no more than 0.50%, or if it does so exceed such All-in Yield (such difference, the “ </w:t>
      </w:r>
      <w:r>
        <w:rPr>
          <w:rFonts w:ascii="Times New Roman" w:cs="Times New Roman" w:eastAsia="Times New Roman" w:hAnsi="Times New Roman"/>
          <w:sz w:val="14"/>
          <w:szCs w:val="14"/>
          <w:u w:val="single" w:color="auto"/>
          <w:color w:val="auto"/>
        </w:rPr>
        <w:t>Term Yield Differential</w:t>
      </w:r>
      <w:r>
        <w:rPr>
          <w:rFonts w:ascii="Times New Roman" w:cs="Times New Roman" w:eastAsia="Times New Roman" w:hAnsi="Times New Roman"/>
          <w:sz w:val="14"/>
          <w:szCs w:val="14"/>
          <w:color w:val="auto"/>
        </w:rPr>
        <w:t xml:space="preserve"> ”) then the Applicable Margin (or the “floor” as provided in the following proviso) applicable to such Initial Term B Loans shall be increased such that after giving effect to such increase, the Term Yield Differential shall not exceed 0.50%;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any portion of the Term Yield Differential is attributable to a higher “floor” being applicable to such Other Incremental Term Loans, such floor shall only be included in the calculation of the Term Yield Differential to the extent such floor is greater than the Term SOFR in effect for an Interest Period of three months’ duration at such time, and, with respect to such excess, the Floor with respect to the Initial Term B Loans shall be increased to an amount not to exceed the “floor” applicable to such Other Incremental Term Loans prior to any increase in the Applicable Margin applicable to such Initial Term B Loans then outstanding,</w:t>
      </w:r>
    </w:p>
    <w:p>
      <w:pPr>
        <w:spacing w:after="0" w:line="112" w:lineRule="exact"/>
        <w:rPr>
          <w:rFonts w:ascii="Times New Roman" w:cs="Times New Roman" w:eastAsia="Times New Roman" w:hAnsi="Times New Roman"/>
          <w:sz w:val="14"/>
          <w:szCs w:val="14"/>
          <w:color w:val="auto"/>
        </w:rPr>
      </w:pPr>
    </w:p>
    <w:p>
      <w:pPr>
        <w:jc w:val="both"/>
        <w:ind w:left="460" w:right="20" w:firstLine="460"/>
        <w:spacing w:after="0" w:line="234" w:lineRule="auto"/>
        <w:tabs>
          <w:tab w:leader="none" w:pos="1374"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Incremental Term Loans may participate in any mandatory prepayment hereunder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with or a less than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(but not a greater than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except with respect to any prepayment pursuant to Section 2.11(b)(2)) than (x) in the case of Other Incremental Term Loans constituting term “A” loans, the Initial Term A Loans and (y) in the case of Other Incremental Term Loans constituting term “B” loans, the Initial Term B Loans,</w:t>
      </w:r>
    </w:p>
    <w:p>
      <w:pPr>
        <w:spacing w:after="0" w:line="111"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no borrower (other than the Borrowers) or guarantor (other than the Guarantors) in respect of any Other Incremental Term Loans or Other Incremental Revolving Commitments,</w:t>
      </w:r>
    </w:p>
    <w:p>
      <w:pPr>
        <w:spacing w:after="0" w:line="102"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Incremental Term Loans and Other Incremental Revolving Commitments shall not be secured by any asset of the Parent or the Subsidiaries other than the</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and</w:t>
      </w:r>
    </w:p>
    <w:p>
      <w:pPr>
        <w:spacing w:after="0" w:line="118"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1.08, the Parent shall be in Pro Forma Compliance with the Financial Covenants.</w:t>
      </w:r>
    </w:p>
    <w:p>
      <w:pPr>
        <w:spacing w:after="0" w:line="14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4"/>
          <w:szCs w:val="14"/>
          <w:color w:val="auto"/>
        </w:rPr>
        <w:t>Each party hereto hereby agrees that, upon the effectiveness of any Incremental Assumption Agreement, this Agreement shall be amended to the extent (but only to the extent) necessary to reflect the existence and terms of the Incremental Facility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Parent’s consent (not to be unreasonably withheld, conditioned or delayed) and furnished to the other parties hereto.</w:t>
      </w:r>
    </w:p>
    <w:p>
      <w:pPr>
        <w:spacing w:after="0" w:line="112" w:lineRule="exact"/>
        <w:rPr>
          <w:sz w:val="20"/>
          <w:szCs w:val="20"/>
          <w:color w:val="auto"/>
        </w:rPr>
      </w:pPr>
    </w:p>
    <w:p>
      <w:pPr>
        <w:jc w:val="both"/>
        <w:ind w:right="20" w:firstLine="920"/>
        <w:spacing w:after="0" w:line="220" w:lineRule="auto"/>
        <w:tabs>
          <w:tab w:leader="none" w:pos="1370" w:val="left"/>
        </w:tabs>
        <w:numPr>
          <w:ilvl w:val="1"/>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no Incremental Facility shall become effective under this Section 2.21 unless (i) subject to Section 1.08, no Event of Default shall exist;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event that an Incremental Facility is used to finance a Limited Condition Acquisition and to the extent the Incremental Term Lenders or Incremental Revolving Lenders participating in such Incremental Facility agree, the conditions set forth in this clause (i) shall be limited to no Event of Default under Section 7.01(b), 7.01(c), 7.01(h) or 7.01(i);</w:t>
      </w:r>
    </w:p>
    <w:p>
      <w:pPr>
        <w:spacing w:after="0" w:line="1" w:lineRule="exact"/>
        <w:rPr>
          <w:rFonts w:ascii="Times New Roman" w:cs="Times New Roman" w:eastAsia="Times New Roman" w:hAnsi="Times New Roman"/>
          <w:sz w:val="14"/>
          <w:szCs w:val="14"/>
          <w:color w:val="auto"/>
        </w:rPr>
      </w:pPr>
    </w:p>
    <w:p>
      <w:pPr>
        <w:jc w:val="both"/>
        <w:ind w:right="20" w:firstLine="6"/>
        <w:spacing w:after="0" w:line="222" w:lineRule="auto"/>
        <w:tabs>
          <w:tab w:leader="none" w:pos="217" w:val="left"/>
        </w:tabs>
        <w:numPr>
          <w:ilvl w:val="0"/>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of the Borrowers set forth in this Agreement shall be true and correct in all material respects (other than to the extent qualified by materiality or “Material Adverse Effect”, in which case, such representations and warranties shall be true and correct);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that an Incremental Facility is used to finance a Limited Condition Acquisition and to the extent the Incremental Term Lenders or Incremental Revolving Lenders participating in such Incremental Facility agree, the condition set forth in this clause (ii) shall be limited</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113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76" w:name="page577"/>
    <w:bookmarkEnd w:id="576"/>
    <w:p>
      <w:pPr>
        <w:spacing w:after="0" w:line="24" w:lineRule="exact"/>
        <w:rPr>
          <w:sz w:val="20"/>
          <w:szCs w:val="20"/>
          <w:color w:val="auto"/>
        </w:rPr>
      </w:pPr>
    </w:p>
    <w:p>
      <w:pPr>
        <w:jc w:val="both"/>
        <w:ind w:right="40"/>
        <w:spacing w:after="0" w:line="223" w:lineRule="auto"/>
        <w:rPr>
          <w:sz w:val="20"/>
          <w:szCs w:val="20"/>
          <w:color w:val="auto"/>
        </w:rPr>
      </w:pPr>
      <w:r>
        <w:rPr>
          <w:rFonts w:ascii="Times New Roman" w:cs="Times New Roman" w:eastAsia="Times New Roman" w:hAnsi="Times New Roman"/>
          <w:sz w:val="14"/>
          <w:szCs w:val="14"/>
          <w:color w:val="auto"/>
        </w:rPr>
        <w:t xml:space="preserve">to the Specified Representations and those representations of the seller or the target company (as applicable) included in the acquisition agreement related to such Limited Condition Acquisition that are material to the interests of the Lenders and only to the extent that the Parent or its applicable Affiliate has the right to terminate its obligations under such acquisition agreement or refuse to consummate the transaction contemplated by such acquisition agreement as a result of a failure of such representations to be accurate;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conditions set forth in the foregoing clauses (i) and (ii) may be waived by the applicable Incremental Term Lenders or Incremental Revolving Lenders; and (iii) the Administrative Agent shall have received documents and Legal Opinions consistent with those delivered on the Closing Date as to such matters as are reasonably requested by the Administrative Agent. The Administrative Agent shall promptly notify each Lender as to the effectiveness of each Incremental Assumption Agreement.</w:t>
      </w:r>
    </w:p>
    <w:p>
      <w:pPr>
        <w:spacing w:after="0" w:line="111" w:lineRule="exact"/>
        <w:rPr>
          <w:sz w:val="20"/>
          <w:szCs w:val="20"/>
          <w:color w:val="auto"/>
        </w:rPr>
      </w:pPr>
    </w:p>
    <w:p>
      <w:pPr>
        <w:jc w:val="both"/>
        <w:ind w:right="40" w:firstLine="920"/>
        <w:spacing w:after="0"/>
        <w:tabs>
          <w:tab w:leader="none" w:pos="1361" w:val="left"/>
        </w:tabs>
        <w:numPr>
          <w:ilvl w:val="0"/>
          <w:numId w:val="6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parties hereto hereby agrees that the Administrative Agent may take any and all action as may be reasonably necessary to ensure that (i) all Loans under an Incremental Term Increase, when originally made, are included in each outstanding Borrowing under the applicable Class of Term Loans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and (ii) all Loans under an Incremental Revolving Increase, when originally made, are included in each outstanding Borrowing under the applicable Class of Revolving Loans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The Parent agrees that Section 2.16 shall apply to any conversion of Term SOFR Loans or Eurocurrency Rate Loans to ABR Loans reasonably required by the Administrative Agent to effect the foregoing.</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2.22.</w:t>
      </w:r>
      <w:r>
        <w:rPr>
          <w:rFonts w:ascii="Times New Roman" w:cs="Times New Roman" w:eastAsia="Times New Roman" w:hAnsi="Times New Roman"/>
          <w:sz w:val="14"/>
          <w:szCs w:val="14"/>
          <w:u w:val="single" w:color="auto"/>
          <w:color w:val="auto"/>
        </w:rPr>
        <w:t>Extensions of Loans and Commitments</w:t>
      </w:r>
      <w:r>
        <w:rPr>
          <w:rFonts w:ascii="Times New Roman" w:cs="Times New Roman" w:eastAsia="Times New Roman" w:hAnsi="Times New Roman"/>
          <w:sz w:val="14"/>
          <w:szCs w:val="14"/>
          <w:color w:val="auto"/>
        </w:rPr>
        <w:t xml:space="preserve"> .</w:t>
      </w:r>
    </w:p>
    <w:p>
      <w:pPr>
        <w:spacing w:after="0" w:line="134" w:lineRule="exact"/>
        <w:rPr>
          <w:sz w:val="20"/>
          <w:szCs w:val="20"/>
          <w:color w:val="auto"/>
        </w:rPr>
      </w:pPr>
    </w:p>
    <w:p>
      <w:pPr>
        <w:ind w:firstLine="920"/>
        <w:spacing w:after="0" w:line="216" w:lineRule="auto"/>
        <w:tabs>
          <w:tab w:leader="none" w:pos="1370" w:val="left"/>
        </w:tabs>
        <w:numPr>
          <w:ilvl w:val="0"/>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Agreement, including Section 2.18(c) (which provisions shall not be applicable to this Section 2.22), pursuant to one or more offers made from time to time by a Borrower to all Lenders of any Class of Term Loans and/or Revolving Commitments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(based, in the case of an offer to the Lenders under any Class of Term Loans, on the aggregate outstanding Term Loans of such Class and, in the case of an offer to the Lenders under any Revolving Facility, on the aggregate outstanding Revolving Commitments under such Revolving Facility, as applicable), and on the same terms to each such Lender (each, a “</w:t>
      </w:r>
      <w:r>
        <w:rPr>
          <w:rFonts w:ascii="Times New Roman" w:cs="Times New Roman" w:eastAsia="Times New Roman" w:hAnsi="Times New Roman"/>
          <w:sz w:val="14"/>
          <w:szCs w:val="14"/>
          <w:u w:val="single" w:color="auto"/>
          <w:color w:val="auto"/>
        </w:rPr>
        <w:t>Pro Rata Extension Offer</w:t>
      </w:r>
      <w:r>
        <w:rPr>
          <w:rFonts w:ascii="Times New Roman" w:cs="Times New Roman" w:eastAsia="Times New Roman" w:hAnsi="Times New Roman"/>
          <w:sz w:val="14"/>
          <w:szCs w:val="14"/>
          <w:color w:val="auto"/>
        </w:rPr>
        <w:t>”), the applicable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(it being understood that no Lender shall be obligated to participate in any Extension unless it shall have consented thereto).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Commitments of such Facility are offered to be extended for the same amount of time and that the interest rate changes and fees payable with respect to such extension are the same. Any such extension (an “</w:t>
      </w:r>
      <w:r>
        <w:rPr>
          <w:rFonts w:ascii="Times New Roman" w:cs="Times New Roman" w:eastAsia="Times New Roman" w:hAnsi="Times New Roman"/>
          <w:sz w:val="14"/>
          <w:szCs w:val="14"/>
          <w:u w:val="single" w:color="auto"/>
          <w:color w:val="auto"/>
        </w:rPr>
        <w:t>Extension</w:t>
      </w:r>
      <w:r>
        <w:rPr>
          <w:rFonts w:ascii="Times New Roman" w:cs="Times New Roman" w:eastAsia="Times New Roman" w:hAnsi="Times New Roman"/>
          <w:sz w:val="14"/>
          <w:szCs w:val="14"/>
          <w:color w:val="auto"/>
        </w:rPr>
        <w:t>”) agreed to between the applicable Borrower and any such Lender (an “</w:t>
      </w:r>
      <w:r>
        <w:rPr>
          <w:rFonts w:ascii="Times New Roman" w:cs="Times New Roman" w:eastAsia="Times New Roman" w:hAnsi="Times New Roman"/>
          <w:sz w:val="14"/>
          <w:szCs w:val="14"/>
          <w:u w:val="single" w:color="auto"/>
          <w:color w:val="auto"/>
        </w:rPr>
        <w:t>Extending Lender</w:t>
      </w:r>
      <w:r>
        <w:rPr>
          <w:rFonts w:ascii="Times New Roman" w:cs="Times New Roman" w:eastAsia="Times New Roman" w:hAnsi="Times New Roman"/>
          <w:sz w:val="14"/>
          <w:szCs w:val="14"/>
          <w:color w:val="auto"/>
        </w:rPr>
        <w:t xml:space="preserve">”) will be established under this Agreement by extending such Lender’s existing Term Loan (such extended Term Loan, an “ </w:t>
      </w:r>
      <w:r>
        <w:rPr>
          <w:rFonts w:ascii="Times New Roman" w:cs="Times New Roman" w:eastAsia="Times New Roman" w:hAnsi="Times New Roman"/>
          <w:sz w:val="14"/>
          <w:szCs w:val="14"/>
          <w:u w:val="single" w:color="auto"/>
          <w:color w:val="auto"/>
        </w:rPr>
        <w:t>Extended Term Loan</w:t>
      </w:r>
      <w:r>
        <w:rPr>
          <w:rFonts w:ascii="Times New Roman" w:cs="Times New Roman" w:eastAsia="Times New Roman" w:hAnsi="Times New Roman"/>
          <w:sz w:val="14"/>
          <w:szCs w:val="14"/>
          <w:color w:val="auto"/>
        </w:rPr>
        <w:t xml:space="preserve"> ”) or extending such Lender’s existing Revolving Commitment (such extended Revolving Commitment, an “</w:t>
      </w:r>
      <w:r>
        <w:rPr>
          <w:rFonts w:ascii="Times New Roman" w:cs="Times New Roman" w:eastAsia="Times New Roman" w:hAnsi="Times New Roman"/>
          <w:sz w:val="14"/>
          <w:szCs w:val="14"/>
          <w:u w:val="single" w:color="auto"/>
          <w:color w:val="auto"/>
        </w:rPr>
        <w:t>Extended Revolving Commitment</w:t>
      </w:r>
      <w:r>
        <w:rPr>
          <w:rFonts w:ascii="Times New Roman" w:cs="Times New Roman" w:eastAsia="Times New Roman" w:hAnsi="Times New Roman"/>
          <w:sz w:val="14"/>
          <w:szCs w:val="14"/>
          <w:color w:val="auto"/>
        </w:rPr>
        <w:t>”, and any Revolving Loan made pursuant to such Extended Revolving Commitment, an “</w:t>
      </w:r>
      <w:r>
        <w:rPr>
          <w:rFonts w:ascii="Times New Roman" w:cs="Times New Roman" w:eastAsia="Times New Roman" w:hAnsi="Times New Roman"/>
          <w:sz w:val="14"/>
          <w:szCs w:val="14"/>
          <w:u w:val="single" w:color="auto"/>
          <w:color w:val="auto"/>
        </w:rPr>
        <w:t>Extended Revolving Loan</w:t>
      </w:r>
      <w:r>
        <w:rPr>
          <w:rFonts w:ascii="Times New Roman" w:cs="Times New Roman" w:eastAsia="Times New Roman" w:hAnsi="Times New Roman"/>
          <w:sz w:val="14"/>
          <w:szCs w:val="14"/>
          <w:color w:val="auto"/>
        </w:rPr>
        <w:t>”), as applicable. Each Pro Rata Extension Offer shall specify the date on which the applicable Borrower proposes that the Extended Term Loan shall be made or the Extended Revolving Commitment shall become effective, which shall be a date not earlier than five (5) Business Days after the date on which notice is delivered to the Administrative Agent (or such shorter period agreed to by the Administrative Agent in its reasonable discretion).</w:t>
      </w:r>
    </w:p>
    <w:p>
      <w:pPr>
        <w:spacing w:after="0" w:line="116" w:lineRule="exact"/>
        <w:rPr>
          <w:rFonts w:ascii="Times New Roman" w:cs="Times New Roman" w:eastAsia="Times New Roman" w:hAnsi="Times New Roman"/>
          <w:sz w:val="14"/>
          <w:szCs w:val="14"/>
          <w:color w:val="auto"/>
        </w:rPr>
      </w:pPr>
    </w:p>
    <w:p>
      <w:pPr>
        <w:jc w:val="both"/>
        <w:ind w:right="60" w:firstLine="920"/>
        <w:spacing w:after="0" w:line="233" w:lineRule="auto"/>
        <w:tabs>
          <w:tab w:leader="none" w:pos="1361" w:val="left"/>
        </w:tabs>
        <w:numPr>
          <w:ilvl w:val="0"/>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applicable Borrower and each Extending Lender shall execute and deliver to the Administrative Agent an amendment to this Agreement (an “ </w:t>
      </w:r>
      <w:r>
        <w:rPr>
          <w:rFonts w:ascii="Times New Roman" w:cs="Times New Roman" w:eastAsia="Times New Roman" w:hAnsi="Times New Roman"/>
          <w:sz w:val="14"/>
          <w:szCs w:val="14"/>
          <w:u w:val="single" w:color="auto"/>
          <w:color w:val="auto"/>
        </w:rPr>
        <w:t>Extension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and such other documentation as the Administrative Agent shall reasonably specify to evidence the Extended Term Loans and/or Extended Revolving Commitments of such Extending Lender. Each Extension Amendment</w:t>
      </w: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114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60"/>
          </w:cols>
          <w:pgMar w:left="640" w:top="1440" w:right="600" w:bottom="1440" w:gutter="0" w:footer="0" w:header="0"/>
        </w:sectPr>
      </w:pPr>
    </w:p>
    <w:bookmarkStart w:id="577" w:name="page578"/>
    <w:bookmarkEnd w:id="577"/>
    <w:p>
      <w:pPr>
        <w:spacing w:after="0" w:line="2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4"/>
          <w:szCs w:val="14"/>
          <w:color w:val="auto"/>
        </w:rPr>
        <w:t xml:space="preserve">shall specify the terms of the applicable Extended Term Loans and/or Extended Revolving Commitments;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except as to interest rates, fees, other pricing terms, amortization, final maturity date and participation in prepayments (which shall, subject to clauses (ii) and (iii) of this proviso, be determined by the applicable Borrower and set forth in the applicable Pro Rata Extension Offer), any Extended Term Loans shall have (x) the same terms as the existing Class of Term Loans subject to the Pro Rata Extension Offer, except for any terms which shall not apply until after the Latest Maturity Date then in effect, or (y) such other terms as shall be reasonably satisfactory to the Administrative Agent, (ii) the final maturity date of any Extended Term Loans shall be no earlier than the Latest Maturity Date with respect to Term Loans in effect on the date of incurrence, (iii) the Weighted Average Life to Maturity of any Extended Term Loans shall be no shorter than the remaining Weighted Average Life to Maturity of the Class of Term Loans subject to the Pro Rata Extension Offer, (iv) except as to interest rates, fees, other pricing terms, final maturity and commitment reductions (which shall be determined by the applicable Borrower and set forth in the applicable Pro Rata Extension Offer), any Extended Revolving Commitments shall have (x) the same terms as the existing Class of Revolving Commitments subject to the Pro Rata Extension Offer, except for any terms which shall not apply until after the Latest Maturity Date then in effect, or (y) such other terms as shall be reasonably satisfactory to the Administrative Agent and, in respect of any such other terms that would affect the rights or duties of any Issuing Bank, such terms as shall be reasonably satisfactory to such Issuing Bank, (v) any Extended Term Loans may participate in any mandatory prepayment hereunder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with or a less than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(but not a greater than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except with respect to any prepayment pursuant to Section 2.11(b)(2)) than (x) in the case of Extended Term Loans constituting term “A” loans, the Initial Term A Loans and (y) in the case of Extended Term Loans constituting term “B” loans, the Initial Term B Loans and (vi) before and after giving effect to such Extension Amendment each of the conditions set forth in Sections 4.02(b) and 4.02(c) shall be satisfied. Upon the effectiveness of any Extension Amendment, this Agreement shall be amended to the extent (but only to the extent) necessary to reflect the existence and terms of the Extended Term Loans and/or Extended Revolving Commitments evidenced thereby as provided for in Section 9.08(e). Any such deemed amendment may be memorialized in writing by the Administrative Agent with the applicable Borrower’s consent (not to be unreasonably withheld, conditioned or delayed) and furnished to the other parties hereto. If provided in any Extension Amendment with respect to any Extended Revolving Commitments, and with the consent of each Issuing Bank, participations in Letters of Credit shall be reallocated to Lenders holding such Extended Revolving Commitments in the manner specified in such Extension Amendment, including upon effectiveness of such Extended Revolving Commitments or upon or prior to the maturity date for any Class of Revolving Commitments.</w:t>
      </w:r>
    </w:p>
    <w:p>
      <w:pPr>
        <w:spacing w:after="0" w:line="112" w:lineRule="exact"/>
        <w:rPr>
          <w:sz w:val="20"/>
          <w:szCs w:val="20"/>
          <w:color w:val="auto"/>
        </w:rPr>
      </w:pPr>
    </w:p>
    <w:p>
      <w:pPr>
        <w:ind w:firstLine="920"/>
        <w:spacing w:after="0" w:line="248" w:lineRule="auto"/>
        <w:tabs>
          <w:tab w:leader="none" w:pos="1370" w:val="left"/>
        </w:tabs>
        <w:numPr>
          <w:ilvl w:val="0"/>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effectiveness of any Extension, (i) any Term Loans extended pursuant to such Extension will be automatically designated Extended Term Loans (ii) any Revolving Commitments extended pursuant to such Extension will be automatically designated Extended Revolving Commitments.</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20" w:lineRule="auto"/>
        <w:tabs>
          <w:tab w:leader="none" w:pos="1361" w:val="left"/>
        </w:tabs>
        <w:numPr>
          <w:ilvl w:val="0"/>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set forth in this Agreement or any other Loan Document (including without limitation this Section 2.22), (i) no Extended Term Loan or Extended Revolving Commitment is required to be in any minimum amount or any minimum increment, (ii) any Extending Lender may extend all or any portion of its Term Loans and/or Revolving Commitment pursuant to one or more Pro Rata Extension Offers (subject to applicable proration in the case of over participation) (including the extension of any Extended Term Loan and/or Extended Revolving Commitment), (iii) there shall be no condition to any Extension of any Loan or Commitment at any time or from time to time other than notice to the Administrative Agent of such Extension and the terms of the Extended Term Loan or Extended Revolving Commitment implemented thereby, (iv) all Extended Term Loans, Extended Revolving Commitments and all obligations in respect thereof shall be Loan Obligations that have the same ranking as to security as the Class being extended, (v) no Issuing Bank shall be obligated to issue Letters of Credit under any Extended Revolving Commitments unless it shall have consented thereto and (vi) there shall be no borrower (other than a Borrower) and no guarantors (other than the Guarantors) in respect of any Extended Term Loans or Extended Revolving Commitments.</w:t>
      </w:r>
    </w:p>
    <w:p>
      <w:pPr>
        <w:spacing w:after="0" w:line="113"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0"/>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Extension shall be consummated pursuant to procedures set forth in the associated Pro Rata Extension Offer;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applicable Borrower shall cooperate with the Administrative Agent prior to making any Pro Rata Extension Offer to establish reasonable procedures</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115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78" w:name="page579"/>
    <w:bookmarkEnd w:id="578"/>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respect to mechanical provisions relating to such Extension, including, without limitation, timing, rounding and other adjustments.</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2.23.</w:t>
      </w:r>
      <w:r>
        <w:rPr>
          <w:rFonts w:ascii="Times New Roman" w:cs="Times New Roman" w:eastAsia="Times New Roman" w:hAnsi="Times New Roman"/>
          <w:sz w:val="14"/>
          <w:szCs w:val="14"/>
          <w:u w:val="single" w:color="auto"/>
          <w:color w:val="auto"/>
        </w:rPr>
        <w:t>Refinancing Amendments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25" w:lineRule="auto"/>
        <w:tabs>
          <w:tab w:leader="none" w:pos="1370" w:val="left"/>
        </w:tabs>
        <w:numPr>
          <w:ilvl w:val="0"/>
          <w:numId w:val="6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Agreement, including Section 2.18(c) (which provisions shall not be applicable to this Section 2.23), each Borrower may by written notice to the Administrative Agent establish one or more additional tranches of term loans under this Agreement (such loans, “ </w:t>
      </w:r>
      <w:r>
        <w:rPr>
          <w:rFonts w:ascii="Times New Roman" w:cs="Times New Roman" w:eastAsia="Times New Roman" w:hAnsi="Times New Roman"/>
          <w:sz w:val="14"/>
          <w:szCs w:val="14"/>
          <w:u w:val="single" w:color="auto"/>
          <w:color w:val="auto"/>
        </w:rPr>
        <w:t>Refinancing Term Loans</w:t>
      </w:r>
      <w:r>
        <w:rPr>
          <w:rFonts w:ascii="Times New Roman" w:cs="Times New Roman" w:eastAsia="Times New Roman" w:hAnsi="Times New Roman"/>
          <w:sz w:val="14"/>
          <w:szCs w:val="14"/>
          <w:color w:val="auto"/>
        </w:rPr>
        <w:t xml:space="preserve">”), all Net Proceeds of which are used to Refinance in whole or in part any Class of Term Loans pursuant to Section 2.11(b)(2). Each such notice shall specify the date (each, a “ </w:t>
      </w:r>
      <w:r>
        <w:rPr>
          <w:rFonts w:ascii="Times New Roman" w:cs="Times New Roman" w:eastAsia="Times New Roman" w:hAnsi="Times New Roman"/>
          <w:sz w:val="14"/>
          <w:szCs w:val="14"/>
          <w:u w:val="single" w:color="auto"/>
          <w:color w:val="auto"/>
        </w:rPr>
        <w:t>Refinancing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xml:space="preserve">”) on which the applicable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111" w:lineRule="exact"/>
        <w:rPr>
          <w:sz w:val="20"/>
          <w:szCs w:val="20"/>
          <w:color w:val="auto"/>
        </w:rPr>
      </w:pPr>
    </w:p>
    <w:p>
      <w:pPr>
        <w:ind w:left="460" w:right="20" w:firstLine="460"/>
        <w:spacing w:after="0" w:line="248" w:lineRule="auto"/>
        <w:tabs>
          <w:tab w:leader="none" w:pos="1374"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and after giving effect to the borrowing of such Refinancing Term Loans on the Refinancing Effective Date each of the conditions set forth in Sections 4.02(b) and 4.02(c) shall be satisfied;</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final maturity date of the Refinancing Term Loans shall be no earlier than the Maturity Date of the refinanced Term Loans;</w:t>
      </w:r>
    </w:p>
    <w:p>
      <w:pPr>
        <w:spacing w:after="0" w:line="134" w:lineRule="exact"/>
        <w:rPr>
          <w:rFonts w:ascii="Times New Roman" w:cs="Times New Roman" w:eastAsia="Times New Roman" w:hAnsi="Times New Roman"/>
          <w:sz w:val="14"/>
          <w:szCs w:val="14"/>
          <w:color w:val="auto"/>
        </w:rPr>
      </w:pPr>
    </w:p>
    <w:p>
      <w:pPr>
        <w:ind w:left="460" w:right="80" w:firstLine="460"/>
        <w:spacing w:after="0" w:line="248" w:lineRule="auto"/>
        <w:tabs>
          <w:tab w:leader="none" w:pos="1374"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Life to Maturity of such Refinancing Term Loans shall be no shorter than the then-remaining Weighted Average Life to Maturity of the refinanced Term Loans;</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Refinancing Term Loans shall not exceed the outstanding principal amount of the refinanced Term Loans plus amounts used to pay fees, premiums, costs and expenses (including original issue discount) and accrued interest associated therewith;</w:t>
      </w:r>
    </w:p>
    <w:p>
      <w:pPr>
        <w:spacing w:after="0" w:line="105" w:lineRule="exact"/>
        <w:rPr>
          <w:rFonts w:ascii="Times New Roman" w:cs="Times New Roman" w:eastAsia="Times New Roman" w:hAnsi="Times New Roman"/>
          <w:sz w:val="14"/>
          <w:szCs w:val="14"/>
          <w:color w:val="auto"/>
        </w:rPr>
      </w:pPr>
    </w:p>
    <w:p>
      <w:pPr>
        <w:jc w:val="both"/>
        <w:ind w:left="460" w:right="20" w:firstLine="460"/>
        <w:spacing w:after="0" w:line="221" w:lineRule="auto"/>
        <w:tabs>
          <w:tab w:leader="none" w:pos="1364"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2.21(b)(v)) and optional prepayment or mandatory prepayment terms, which shall be as agreed between the applicable Borrower and the Lenders providing such Refinancing Term Loans) taken as a whole shall be substantially similar to, or not materially more restrictive (as reasonably determined by the Parent in good faith) to the Parent and the Subsidiaries than, the terms, taken as a whole, applicable to the Term Loans being refinanced (except to the extent such covenants and other terms (1) are added for the benefit of all Term Lenders, (2) apply solely to any period after the Latest Maturity Date, (3) are on then-current market terms (taken as a whole and as reasonably determined by the Parent in good faith) for the applicable type of Indebtedness or (4) are otherwise reasonably acceptable to the Administrative Agent);</w:t>
      </w:r>
    </w:p>
    <w:p>
      <w:pPr>
        <w:spacing w:after="0" w:line="113"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no borrower (other than the Borrowers) and no guarantors (other than the Guarantors) in respect of such Refinancing Term Loans;</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Refinancing Term Loans shall not be secured by any asset of the Parent and its subsidiaries other than the Collateral;</w:t>
      </w:r>
    </w:p>
    <w:p>
      <w:pPr>
        <w:spacing w:after="0" w:line="134"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Refinancing Term Loans secured by Liens on the Collateral that rank junior in right of security to the Initial Facilities, such Liens will be subject to an Acceptable Intercreditor Agreement;</w:t>
      </w:r>
    </w:p>
    <w:p>
      <w:pPr>
        <w:spacing w:after="0" w:line="103" w:lineRule="exact"/>
        <w:rPr>
          <w:rFonts w:ascii="Times New Roman" w:cs="Times New Roman" w:eastAsia="Times New Roman" w:hAnsi="Times New Roman"/>
          <w:sz w:val="14"/>
          <w:szCs w:val="14"/>
          <w:color w:val="auto"/>
        </w:rPr>
      </w:pPr>
    </w:p>
    <w:p>
      <w:pPr>
        <w:ind w:left="460" w:firstLine="460"/>
        <w:spacing w:after="0" w:line="251" w:lineRule="auto"/>
        <w:tabs>
          <w:tab w:leader="none" w:pos="1374"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Refinancing Term Loans may participate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or on a less than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(but not on a greater than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in any mandatory prepayments hereunder (other than as provided otherwise in the case of such prepayments pursuant to Section 2.11(b)(2))</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79" w:name="page580"/>
    <w:bookmarkEnd w:id="579"/>
    <w:p>
      <w:pPr>
        <w:spacing w:after="0" w:line="24" w:lineRule="exact"/>
        <w:rPr>
          <w:sz w:val="20"/>
          <w:szCs w:val="20"/>
          <w:color w:val="auto"/>
        </w:rPr>
      </w:pPr>
    </w:p>
    <w:p>
      <w:pPr>
        <w:ind w:left="460" w:right="60"/>
        <w:spacing w:after="0" w:line="248" w:lineRule="auto"/>
        <w:rPr>
          <w:sz w:val="20"/>
          <w:szCs w:val="20"/>
          <w:color w:val="auto"/>
        </w:rPr>
      </w:pPr>
      <w:r>
        <w:rPr>
          <w:rFonts w:ascii="Times New Roman" w:cs="Times New Roman" w:eastAsia="Times New Roman" w:hAnsi="Times New Roman"/>
          <w:sz w:val="14"/>
          <w:szCs w:val="14"/>
          <w:color w:val="auto"/>
        </w:rPr>
        <w:t>than (x) in the case of Refinancing Term Loans constituting term “A” loans, the Initial Term A Loans and (y) in the case of Refinancing Term Loans constituting term “B” loans, the Initial Term B Loans, as specified in the applicable Refinancing Amendment; and</w:t>
      </w:r>
    </w:p>
    <w:p>
      <w:pPr>
        <w:spacing w:after="0" w:line="105" w:lineRule="exact"/>
        <w:rPr>
          <w:sz w:val="20"/>
          <w:szCs w:val="20"/>
          <w:color w:val="auto"/>
        </w:rPr>
      </w:pPr>
    </w:p>
    <w:p>
      <w:pPr>
        <w:ind w:left="1360" w:hanging="440"/>
        <w:spacing w:after="0"/>
        <w:tabs>
          <w:tab w:leader="none" w:pos="1360" w:val="left"/>
        </w:tabs>
        <w:numPr>
          <w:ilvl w:val="0"/>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Loans being refinanced shall be repaid substantially simultaneously with the borrowing of the Refinancing Term Loans.</w:t>
      </w:r>
    </w:p>
    <w:p>
      <w:pPr>
        <w:spacing w:after="0" w:line="134" w:lineRule="exact"/>
        <w:rPr>
          <w:sz w:val="20"/>
          <w:szCs w:val="20"/>
          <w:color w:val="auto"/>
        </w:rPr>
      </w:pPr>
    </w:p>
    <w:p>
      <w:pPr>
        <w:jc w:val="both"/>
        <w:ind w:right="20" w:firstLine="920"/>
        <w:spacing w:after="0" w:line="225" w:lineRule="auto"/>
        <w:tabs>
          <w:tab w:leader="none" w:pos="1361"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applicable Borrower may approach any Lender or any other person that would be a permitted Assignee pursuant to Section 9.04 to provide all or a portion of the Refinancing Term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Refinancing Term Loans may, to the extent provided in the applicable Refinancing Amendment governing such Refinancing Term Loans, be designated as an increase in any previously established Class of Term Loans made to the applicable Borrower.</w:t>
      </w:r>
    </w:p>
    <w:p>
      <w:pPr>
        <w:spacing w:after="0" w:line="111" w:lineRule="exact"/>
        <w:rPr>
          <w:rFonts w:ascii="Times New Roman" w:cs="Times New Roman" w:eastAsia="Times New Roman" w:hAnsi="Times New Roman"/>
          <w:sz w:val="14"/>
          <w:szCs w:val="14"/>
          <w:color w:val="auto"/>
        </w:rPr>
      </w:pPr>
    </w:p>
    <w:p>
      <w:pPr>
        <w:jc w:val="both"/>
        <w:ind w:firstLine="920"/>
        <w:spacing w:after="0" w:line="223" w:lineRule="auto"/>
        <w:tabs>
          <w:tab w:leader="none" w:pos="1370"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Agreement, including Section 2.18(c) (which provisions shall not be applicable to this Section 2.23), the applicable Borrower may by written notice to the Administrative Agent establish one or more additional facilities (“ </w:t>
      </w:r>
      <w:r>
        <w:rPr>
          <w:rFonts w:ascii="Times New Roman" w:cs="Times New Roman" w:eastAsia="Times New Roman" w:hAnsi="Times New Roman"/>
          <w:sz w:val="14"/>
          <w:szCs w:val="14"/>
          <w:u w:val="single" w:color="auto"/>
          <w:color w:val="auto"/>
        </w:rPr>
        <w:t>Replacement Revolving Facilities</w:t>
      </w:r>
      <w:r>
        <w:rPr>
          <w:rFonts w:ascii="Times New Roman" w:cs="Times New Roman" w:eastAsia="Times New Roman" w:hAnsi="Times New Roman"/>
          <w:sz w:val="14"/>
          <w:szCs w:val="14"/>
          <w:color w:val="auto"/>
        </w:rPr>
        <w:t>”) providing for revolving commitments (“</w:t>
      </w:r>
      <w:r>
        <w:rPr>
          <w:rFonts w:ascii="Times New Roman" w:cs="Times New Roman" w:eastAsia="Times New Roman" w:hAnsi="Times New Roman"/>
          <w:sz w:val="14"/>
          <w:szCs w:val="14"/>
          <w:u w:val="single" w:color="auto"/>
          <w:color w:val="auto"/>
        </w:rPr>
        <w:t>Replacement Revolving Commitments</w:t>
      </w:r>
      <w:r>
        <w:rPr>
          <w:rFonts w:ascii="Times New Roman" w:cs="Times New Roman" w:eastAsia="Times New Roman" w:hAnsi="Times New Roman"/>
          <w:sz w:val="14"/>
          <w:szCs w:val="14"/>
          <w:color w:val="auto"/>
        </w:rPr>
        <w:t xml:space="preserve">” and the revolving loans thereunder, “ </w:t>
      </w:r>
      <w:r>
        <w:rPr>
          <w:rFonts w:ascii="Times New Roman" w:cs="Times New Roman" w:eastAsia="Times New Roman" w:hAnsi="Times New Roman"/>
          <w:sz w:val="14"/>
          <w:szCs w:val="14"/>
          <w:u w:val="single" w:color="auto"/>
          <w:color w:val="auto"/>
        </w:rPr>
        <w:t>Replacement Revolving Loans</w:t>
      </w:r>
      <w:r>
        <w:rPr>
          <w:rFonts w:ascii="Times New Roman" w:cs="Times New Roman" w:eastAsia="Times New Roman" w:hAnsi="Times New Roman"/>
          <w:sz w:val="14"/>
          <w:szCs w:val="14"/>
          <w:color w:val="auto"/>
        </w:rPr>
        <w:t>”), which replace in whole or in part any Class of Revolving Commitments under this Agreement. Each such notice shall specify the date (each, a “</w:t>
      </w:r>
      <w:r>
        <w:rPr>
          <w:rFonts w:ascii="Times New Roman" w:cs="Times New Roman" w:eastAsia="Times New Roman" w:hAnsi="Times New Roman"/>
          <w:sz w:val="14"/>
          <w:szCs w:val="14"/>
          <w:u w:val="single" w:color="auto"/>
          <w:color w:val="auto"/>
        </w:rPr>
        <w:t>Replacement Revolving Facility Effective Date</w:t>
      </w:r>
      <w:r>
        <w:rPr>
          <w:rFonts w:ascii="Times New Roman" w:cs="Times New Roman" w:eastAsia="Times New Roman" w:hAnsi="Times New Roman"/>
          <w:sz w:val="14"/>
          <w:szCs w:val="14"/>
          <w:color w:val="auto"/>
        </w:rPr>
        <w:t xml:space="preserve">”) on which the applicable Borrower proposes that the Replacement Revolving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w:t>
      </w:r>
    </w:p>
    <w:p>
      <w:pPr>
        <w:spacing w:after="0" w:line="111" w:lineRule="exact"/>
        <w:rPr>
          <w:sz w:val="20"/>
          <w:szCs w:val="20"/>
          <w:color w:val="auto"/>
        </w:rPr>
      </w:pPr>
    </w:p>
    <w:p>
      <w:pPr>
        <w:ind w:left="460" w:firstLine="460"/>
        <w:spacing w:after="0" w:line="248" w:lineRule="auto"/>
        <w:tabs>
          <w:tab w:leader="none" w:pos="1374"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and after giving effect to the establishment of such Replacement Revolving Commitments on the Replacement Revolving Facility Effective Date, each of the conditions set forth in Section 4.02 shall be satisfied;</w:t>
      </w:r>
    </w:p>
    <w:p>
      <w:pPr>
        <w:spacing w:after="0" w:line="105"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Replacement Revolving Commitments shall have a final maturity date (or require scheduled commitment reductions) prior to the Maturity Date for the Revolving Commitments being replaced;</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28" w:lineRule="auto"/>
        <w:tabs>
          <w:tab w:leader="none" w:pos="1374"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giving effect to the establishment of any Replacement Revolving Commitments and any concurrent reduction in the aggregate amount of any other Revolving Commitments, the aggregate amount of Revolving Commitments shall not exceed the aggregate amount of the Revolving Commitments outstanding immediately prior to the applicable Replacement Revolving Facility Effective Date plus amounts used to pay fees, premiums, costs and expenses (including original issue discount) and accrued interest associated therewith;</w:t>
      </w:r>
    </w:p>
    <w:p>
      <w:pPr>
        <w:spacing w:after="0" w:line="111" w:lineRule="exact"/>
        <w:rPr>
          <w:rFonts w:ascii="Times New Roman" w:cs="Times New Roman" w:eastAsia="Times New Roman" w:hAnsi="Times New Roman"/>
          <w:sz w:val="14"/>
          <w:szCs w:val="14"/>
          <w:color w:val="auto"/>
        </w:rPr>
      </w:pPr>
    </w:p>
    <w:p>
      <w:pPr>
        <w:jc w:val="both"/>
        <w:ind w:left="460" w:firstLine="460"/>
        <w:spacing w:after="0"/>
        <w:tabs>
          <w:tab w:leader="none" w:pos="1374"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terms applicable to such Replacement Revolving Facility (other than provisions relating to (x) fees, interest rates and other pricing terms and prepayment and commitment reduction terms, which shall be as agreed between the applicable Borrower and the Lenders providing such Replacement Revolving Commitments, and (y) the amount of any letter of credit sublimit under such Replacement Revolving Facility, which shall be as agreed between the applicable Borrower, the Lenders providing such Replacement Revolving Commitments, the Administrative Agent and the replacement issuing bank or issuing banks, if any, under such Replacement Revolving Commitments) taken as a whole shall (as reasonably determined by the Parent in good faith) be substantially similar to, or not materially more restrictive to the Parent and the Subsidiaries than, those, taken as a whole, applicable to the Revolving Commitments so replaced (except to the extent such covenants and other terms (1) are added for the benefit of all Revolving Lenders, (2) apply solely to any period after the Latest Maturity Date applicable to the Revolving Commitments then outstanding, (3) are on then-current market terms (taken as a whole and as reasonably determined by the Parent in good faith) for the applicable type of Indebtedness or (4) are otherwise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80" w:name="page581"/>
    <w:bookmarkEnd w:id="580"/>
    <w:p>
      <w:pPr>
        <w:spacing w:after="0" w:line="24" w:lineRule="exact"/>
        <w:rPr>
          <w:sz w:val="20"/>
          <w:szCs w:val="20"/>
          <w:color w:val="auto"/>
        </w:rPr>
      </w:pPr>
    </w:p>
    <w:p>
      <w:pPr>
        <w:ind w:left="1400" w:hanging="480"/>
        <w:spacing w:after="0"/>
        <w:tabs>
          <w:tab w:leader="none" w:pos="1400"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no borrower (other than the Borrowers) and no guarantors (other than the Guarantors) in respect of such Replacement Revolving Facility;</w:t>
      </w:r>
    </w:p>
    <w:p>
      <w:pPr>
        <w:spacing w:after="0" w:line="13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Replacement Revolving Commitments and extensions of credit thereunder shall not be secured by any asset of the Parent and its subsidiaries other than the</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w:t>
      </w:r>
    </w:p>
    <w:p>
      <w:pPr>
        <w:spacing w:after="0" w:line="118"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Replacement Revolving Facility is secured by Liens on the Collateral that rank junior in right of security to the Initial Facilities, such Liens will be subject to an Acceptable Intercreditor Agreement; and</w:t>
      </w:r>
    </w:p>
    <w:p>
      <w:pPr>
        <w:spacing w:after="0" w:line="102"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Revolving Commitments being replaced shall be permanently reduced substantially concurrently with the establishment of the Replacement Revolving</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w:t>
      </w:r>
    </w:p>
    <w:p>
      <w:pPr>
        <w:spacing w:after="0" w:line="118" w:lineRule="exact"/>
        <w:rPr>
          <w:sz w:val="20"/>
          <w:szCs w:val="20"/>
          <w:color w:val="auto"/>
        </w:rPr>
      </w:pPr>
    </w:p>
    <w:p>
      <w:pPr>
        <w:jc w:val="both"/>
        <w:ind w:firstLine="920"/>
        <w:spacing w:after="0" w:line="233" w:lineRule="auto"/>
        <w:tabs>
          <w:tab w:leader="none" w:pos="1361" w:val="left"/>
        </w:tabs>
        <w:numPr>
          <w:ilvl w:val="0"/>
          <w:numId w:val="6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applicable Borrower may establish Replacement Revolving Commitments to refinance and/or replace all or any portion of a Class of Term Loans hereunder (regardless of whether such Term Loans are repaid with the proceeds of Replacement Revolving Loans or otherwise, and it being understood that such Replacement Revolving Commitments may be provided by the Lenders holding the Term Loans being repaid and/or by any other person that would be a permitted Assignee hereunder), so long as:</w:t>
      </w:r>
    </w:p>
    <w:p>
      <w:pPr>
        <w:spacing w:after="0" w:line="112" w:lineRule="exact"/>
        <w:rPr>
          <w:sz w:val="20"/>
          <w:szCs w:val="20"/>
          <w:color w:val="auto"/>
        </w:rPr>
      </w:pPr>
    </w:p>
    <w:p>
      <w:pPr>
        <w:ind w:left="460" w:firstLine="460"/>
        <w:spacing w:after="0" w:line="248" w:lineRule="auto"/>
        <w:tabs>
          <w:tab w:leader="none" w:pos="1374"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and after giving effect to the establishment such Replacement Revolving Commitments on the Replacement Revolving Facility Effective Date each of the conditions set forth in Section 4.02 shall be satisfied;</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life to termination of such Replacement Revolving Commitments shall be no shorter than the then remaining Weighted Average Life to Maturity of the refinanced Term Loans;</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final termination date of the Replacement Revolving Commitments shall be no earlier than the Maturity Date of the refinanced Term Loans;</w:t>
      </w:r>
    </w:p>
    <w:p>
      <w:pPr>
        <w:spacing w:after="0" w:line="134"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416"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such Replacement Revolving Commitments shall not exceed the aggregate amount of Term Loans repaid at the time of establishment thereof plus amounts used to pay fees, premiums, costs and expenses (including original issue discount) and accrued interest associated therewith;</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20" w:lineRule="auto"/>
        <w:tabs>
          <w:tab w:leader="none" w:pos="1364"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terms applicable to such Replacement Revolving Facility (other than provisions relating to (x) fees, interest rates and other pricing terms and prepayment and commitment reduction terms which shall be as agreed between the applicable Borrower and the Lenders providing such Replacement Revolving Commitments and (y) the amount of any letter of credit sublimit under such Replacement Revolving Facility, which shall be as agreed between the applicable Borrower, the Lenders providing such Replacement Revolving Commitments, the Administrative Agent and the replacement issuing bank or issuing banks, if any, under such Replacement Revolving Commitments) taken as a whole shall (as reasonably determined by the Parent in good faith) be substantially similar to, or not materially more restrictive to the Parent and the Subsidiaries than, those, taken as a whole, applicable to the Term Loans being refinanced (except to the extent such covenants and other terms (1) are added for the benefit of all Term Lenders, (2) apply solely to any period after the Latest Maturity Date, (3) are on then-current market terms (taken as a whole and as reasonably determined by the Parent in good faith) for the applicable type of Indebtedness or (4) are otherwise reasonably acceptable to the Administrative Agent);</w:t>
      </w:r>
    </w:p>
    <w:p>
      <w:pPr>
        <w:spacing w:after="0" w:line="113"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no borrower (other than a Borrower) and no guarantors (other than the Guarantors) in respect of such Replacement Revolving Facility;</w:t>
      </w:r>
    </w:p>
    <w:p>
      <w:pPr>
        <w:spacing w:after="0" w:line="13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Replacement Revolving Commitments and extensions of credit thereunder shall not be secured by any asset of the Parent and its subsidiaries other than the</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and</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81" w:name="page582"/>
    <w:bookmarkEnd w:id="581"/>
    <w:p>
      <w:pPr>
        <w:spacing w:after="0" w:line="24" w:lineRule="exact"/>
        <w:rPr>
          <w:sz w:val="20"/>
          <w:szCs w:val="20"/>
          <w:color w:val="auto"/>
        </w:rPr>
      </w:pPr>
    </w:p>
    <w:p>
      <w:pPr>
        <w:ind w:left="460" w:firstLine="460"/>
        <w:spacing w:after="0" w:line="248" w:lineRule="auto"/>
        <w:tabs>
          <w:tab w:leader="none" w:pos="1374" w:val="left"/>
        </w:tabs>
        <w:numPr>
          <w:ilvl w:val="0"/>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Replacement Revolving Loans secured by Liens on Collateral that rank junior in right of security to the Initial Facilities, such Liens will be subject to an Acceptable Intercreditor Agreement.</w:t>
      </w:r>
    </w:p>
    <w:p>
      <w:pPr>
        <w:spacing w:after="0" w:line="105" w:lineRule="exact"/>
        <w:rPr>
          <w:sz w:val="20"/>
          <w:szCs w:val="20"/>
          <w:color w:val="auto"/>
        </w:rPr>
      </w:pPr>
    </w:p>
    <w:p>
      <w:pPr>
        <w:jc w:val="both"/>
        <w:ind w:firstLine="920"/>
        <w:spacing w:after="0" w:line="225" w:lineRule="auto"/>
        <w:tabs>
          <w:tab w:leader="none" w:pos="1370" w:val="left"/>
        </w:tabs>
        <w:numPr>
          <w:ilvl w:val="0"/>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to the extent that an Issuing Bank is not a replacement issuing bank, as the case may be, under a Replacement Revolving Facility, it is understood and agreed that such Issuing Bank shall not be required to issue any letters of credit under such Replacement Revolving Facility and, to the extent it is necessary for such Issuing Bank to withdraw as an Issuing Bank, as the case may be, at the time of the establishment of such Replacement Revolving Facility, such withdrawal shall be on terms and conditions reasonably satisfactory to such Issuing Bank, as the case may be, in its sole discretion. The Borrower agrees to reimburse each Issuing Bank, as the case may be, in full upon demand, for any reasonable and documented out-of-pocket cost or expense attributable to such withdrawal.</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5" w:lineRule="auto"/>
        <w:tabs>
          <w:tab w:leader="none" w:pos="1370" w:val="left"/>
        </w:tabs>
        <w:numPr>
          <w:ilvl w:val="0"/>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Borrowers may approach any Lender or any other person that would be a permitted Assignee of a Revolving Commitment pursuant to Section 9.04 to provide all or a portion of the Replacement Revolving Commitments;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Lender offered or approached to provide all or a portion of the Replacement Revolving Commitments may elect or decline, in its sole discretion, to provide a Replacement Revolving Commitment. Any Replacement Revolving Commitment made on any Replacement Revolving Facility Effective Date shall be designated an additional Class of Revolving Commitments for all purposes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Replacement Revolving Commitments may, to the extent provided in the applicable Refinancing Amendment, be designated as an increase in any previously established Class of Revolving Commitments.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19" w:lineRule="auto"/>
        <w:tabs>
          <w:tab w:leader="none" w:pos="1361" w:val="left"/>
        </w:tabs>
        <w:numPr>
          <w:ilvl w:val="0"/>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applicable Borrower and each Lender providing the applicable Refinancing Term Loans and/or Replacement Revolving Commitments (as applicable) shall execute and deliver to the Administrative Agent an amendment to this Agreement (a “ </w:t>
      </w:r>
      <w:r>
        <w:rPr>
          <w:rFonts w:ascii="Times New Roman" w:cs="Times New Roman" w:eastAsia="Times New Roman" w:hAnsi="Times New Roman"/>
          <w:sz w:val="14"/>
          <w:szCs w:val="14"/>
          <w:u w:val="single" w:color="auto"/>
          <w:color w:val="auto"/>
        </w:rPr>
        <w:t>Refinancing Amendment</w:t>
      </w:r>
      <w:r>
        <w:rPr>
          <w:rFonts w:ascii="Times New Roman" w:cs="Times New Roman" w:eastAsia="Times New Roman" w:hAnsi="Times New Roman"/>
          <w:sz w:val="14"/>
          <w:szCs w:val="14"/>
          <w:color w:val="auto"/>
        </w:rPr>
        <w:t>”) and such other documentation as the Administrative Agent shall reasonably specify to evidence such Refinancing Term Loans and/or Replacement Revolving Commitments (as applicable). Notwithstanding anything to the contrary set forth in this Agreement or any other Loan Document (including without limitation this Section 2.23), (i) no Refinancing Term Loan or Replacement Revolving Commitment is required to be in any minimum amount or any minimum increment, (ii) there shall be no condition to any incurrence of any Refinancing Term Loan or Replacement Revolving Commitment at any time or from time to time other than those set forth in clause (a), (c) or (d) above, as applicable, and (iii) all Refinancing Term Loans, Replacement Revolving Commitments and all obligations in respect thereof shall be Loan Obligations under this Agreement and the other Loan Documents that have the same ranking as to security with the Term Loans or Revolving Commitments, as applicable, being refinanced. For the avoidance of doubt, any Refinancing Amendment of any nature that creates an obligation with respect to the Collateral Agent or affects any rights thereof shall require the execution of such Refinancing Amendment by the Collateral Agent.</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2.24.</w:t>
      </w:r>
      <w:r>
        <w:rPr>
          <w:rFonts w:ascii="Times New Roman" w:cs="Times New Roman" w:eastAsia="Times New Roman" w:hAnsi="Times New Roman"/>
          <w:sz w:val="14"/>
          <w:szCs w:val="14"/>
          <w:u w:val="single" w:color="auto"/>
          <w:color w:val="auto"/>
        </w:rPr>
        <w:t>Defaulting Lender</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ind w:right="20" w:firstLine="920"/>
        <w:spacing w:after="0" w:line="251" w:lineRule="auto"/>
        <w:tabs>
          <w:tab w:leader="none" w:pos="1370"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Defaulting Lender Adjustments</w:t>
      </w:r>
      <w:r>
        <w:rPr>
          <w:rFonts w:ascii="Times New Roman" w:cs="Times New Roman" w:eastAsia="Times New Roman" w:hAnsi="Times New Roman"/>
          <w:sz w:val="14"/>
          <w:szCs w:val="14"/>
          <w:color w:val="auto"/>
        </w:rPr>
        <w:t>. Notwithstanding anything to the contrary contained in this Agreement, if any Lender becomes a Defaulting Lender, then, until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time as such Lender is no longer a Defaulting Lender, to the extent permitted by applicable law:</w:t>
      </w:r>
    </w:p>
    <w:p>
      <w:pPr>
        <w:spacing w:after="0" w:line="101" w:lineRule="exact"/>
        <w:rPr>
          <w:sz w:val="20"/>
          <w:szCs w:val="20"/>
          <w:color w:val="auto"/>
        </w:rPr>
      </w:pPr>
    </w:p>
    <w:p>
      <w:pPr>
        <w:ind w:left="460" w:right="20" w:firstLine="460"/>
        <w:spacing w:after="0" w:line="251" w:lineRule="auto"/>
        <w:tabs>
          <w:tab w:leader="none" w:pos="1374"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Waivers and Amendments </w:t>
      </w:r>
      <w:r>
        <w:rPr>
          <w:rFonts w:ascii="Times New Roman" w:cs="Times New Roman" w:eastAsia="Times New Roman" w:hAnsi="Times New Roman"/>
          <w:sz w:val="14"/>
          <w:szCs w:val="14"/>
          <w:color w:val="auto"/>
        </w:rPr>
        <w:t>. Such Defaulting Lender’s right to approve or disapprove any amendment, waiver or consent with respect to this Agreement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restricted as set forth in the definitions of “Required Lenders”, “Required Facility Lenders” or “Required TLA/RCF Lenders”, as applicable, and Section 9.08.</w:t>
      </w:r>
    </w:p>
    <w:p>
      <w:pPr>
        <w:spacing w:after="0" w:line="101" w:lineRule="exact"/>
        <w:rPr>
          <w:rFonts w:ascii="Times New Roman" w:cs="Times New Roman" w:eastAsia="Times New Roman" w:hAnsi="Times New Roman"/>
          <w:sz w:val="14"/>
          <w:szCs w:val="14"/>
          <w:color w:val="auto"/>
        </w:rPr>
      </w:pPr>
    </w:p>
    <w:p>
      <w:pPr>
        <w:jc w:val="both"/>
        <w:ind w:left="460" w:right="20" w:firstLine="460"/>
        <w:spacing w:after="0" w:line="229" w:lineRule="auto"/>
        <w:tabs>
          <w:tab w:leader="none" w:pos="1374"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Defaulting Lender Waterfall</w:t>
      </w:r>
      <w:r>
        <w:rPr>
          <w:rFonts w:ascii="Times New Roman" w:cs="Times New Roman" w:eastAsia="Times New Roman" w:hAnsi="Times New Roman"/>
          <w:sz w:val="14"/>
          <w:szCs w:val="14"/>
          <w:color w:val="auto"/>
        </w:rPr>
        <w:t>. Any payment of principal, interest, fees or other amounts received by the Administrative Agent for the account of such Defaulting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xml:space="preserve">, to the payment of any amounts owing by such Defaulting Lender to the Administrative Agent hereunder,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to the payment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of any amounts owing by such Defaulting</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82" w:name="page583"/>
    <w:bookmarkEnd w:id="582"/>
    <w:p>
      <w:pPr>
        <w:spacing w:after="0" w:line="24" w:lineRule="exact"/>
        <w:rPr>
          <w:sz w:val="20"/>
          <w:szCs w:val="20"/>
          <w:color w:val="auto"/>
        </w:rPr>
      </w:pPr>
    </w:p>
    <w:p>
      <w:pPr>
        <w:jc w:val="both"/>
        <w:ind w:left="460"/>
        <w:spacing w:after="0" w:line="218" w:lineRule="auto"/>
        <w:rPr>
          <w:sz w:val="20"/>
          <w:szCs w:val="20"/>
          <w:color w:val="auto"/>
        </w:rPr>
      </w:pPr>
      <w:r>
        <w:rPr>
          <w:rFonts w:ascii="Times New Roman" w:cs="Times New Roman" w:eastAsia="Times New Roman" w:hAnsi="Times New Roman"/>
          <w:sz w:val="14"/>
          <w:szCs w:val="14"/>
          <w:color w:val="auto"/>
        </w:rPr>
        <w:t xml:space="preserve">Lender to any Issuing Bank hereunder, </w:t>
      </w:r>
      <w:r>
        <w:rPr>
          <w:rFonts w:ascii="Times New Roman" w:cs="Times New Roman" w:eastAsia="Times New Roman" w:hAnsi="Times New Roman"/>
          <w:sz w:val="14"/>
          <w:szCs w:val="14"/>
          <w:u w:val="single" w:color="auto"/>
          <w:color w:val="auto"/>
        </w:rPr>
        <w:t>third</w:t>
      </w:r>
      <w:r>
        <w:rPr>
          <w:rFonts w:ascii="Times New Roman" w:cs="Times New Roman" w:eastAsia="Times New Roman" w:hAnsi="Times New Roman"/>
          <w:sz w:val="14"/>
          <w:szCs w:val="14"/>
          <w:color w:val="auto"/>
        </w:rPr>
        <w:t xml:space="preserve">, to Cash Collateralize the Issuing Banks’ Fronting Exposure with respect to such Defaulting Lender in accordance with Section 2.05(j), </w:t>
      </w:r>
      <w:r>
        <w:rPr>
          <w:rFonts w:ascii="Times New Roman" w:cs="Times New Roman" w:eastAsia="Times New Roman" w:hAnsi="Times New Roman"/>
          <w:sz w:val="14"/>
          <w:szCs w:val="14"/>
          <w:u w:val="single" w:color="auto"/>
          <w:color w:val="auto"/>
        </w:rPr>
        <w:t>fourth</w:t>
      </w:r>
      <w:r>
        <w:rPr>
          <w:rFonts w:ascii="Times New Roman" w:cs="Times New Roman" w:eastAsia="Times New Roman" w:hAnsi="Times New Roman"/>
          <w:sz w:val="14"/>
          <w:szCs w:val="14"/>
          <w:color w:val="auto"/>
        </w:rPr>
        <w:t xml:space="preserve">, as the Parent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4"/>
          <w:szCs w:val="14"/>
          <w:u w:val="single" w:color="auto"/>
          <w:color w:val="auto"/>
        </w:rPr>
        <w:t>fifth</w:t>
      </w:r>
      <w:r>
        <w:rPr>
          <w:rFonts w:ascii="Times New Roman" w:cs="Times New Roman" w:eastAsia="Times New Roman" w:hAnsi="Times New Roman"/>
          <w:sz w:val="14"/>
          <w:szCs w:val="14"/>
          <w:color w:val="auto"/>
        </w:rPr>
        <w:t xml:space="preserve">, if so determined by the Administrative Agent and the Parent, to be held in a deposit account and released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Times New Roman" w:cs="Times New Roman" w:eastAsia="Times New Roman" w:hAnsi="Times New Roman"/>
          <w:sz w:val="14"/>
          <w:szCs w:val="14"/>
          <w:u w:val="single" w:color="auto"/>
          <w:color w:val="auto"/>
        </w:rPr>
        <w:t>sixth</w:t>
      </w:r>
      <w:r>
        <w:rPr>
          <w:rFonts w:ascii="Times New Roman" w:cs="Times New Roman" w:eastAsia="Times New Roman" w:hAnsi="Times New Roman"/>
          <w:sz w:val="14"/>
          <w:szCs w:val="14"/>
          <w:color w:val="auto"/>
        </w:rPr>
        <w:t xml:space="preserve">, to the payment of any amounts owing to the Lenders and the Issuing Banks as a result of any judgment of a court of competent jurisdiction obtained by any Lender or Issuing Bank against such Defaulting Lender as a result of such Defaulting Lender’s breach of its obligations under this Agreement, </w:t>
      </w:r>
      <w:r>
        <w:rPr>
          <w:rFonts w:ascii="Times New Roman" w:cs="Times New Roman" w:eastAsia="Times New Roman" w:hAnsi="Times New Roman"/>
          <w:sz w:val="14"/>
          <w:szCs w:val="14"/>
          <w:u w:val="single" w:color="auto"/>
          <w:color w:val="auto"/>
        </w:rPr>
        <w:t>seventh</w:t>
      </w:r>
      <w:r>
        <w:rPr>
          <w:rFonts w:ascii="Times New Roman" w:cs="Times New Roman" w:eastAsia="Times New Roman" w:hAnsi="Times New Roman"/>
          <w:sz w:val="14"/>
          <w:szCs w:val="14"/>
          <w:color w:val="auto"/>
        </w:rPr>
        <w:t xml:space="preserve">, so long as no Default or Event of Default exists, to the payment of any amounts owing to the applicable Borrower as a result of any judgment of a court of competent jurisdiction obtained by the applicable Borrower against such Defaulting Lender as a result of such Defaulting Lender’s breach of its obligations under this Agreement, and </w:t>
      </w:r>
      <w:r>
        <w:rPr>
          <w:rFonts w:ascii="Times New Roman" w:cs="Times New Roman" w:eastAsia="Times New Roman" w:hAnsi="Times New Roman"/>
          <w:sz w:val="14"/>
          <w:szCs w:val="14"/>
          <w:u w:val="single" w:color="auto"/>
          <w:color w:val="auto"/>
        </w:rPr>
        <w:t>eighth</w:t>
      </w:r>
      <w:r>
        <w:rPr>
          <w:rFonts w:ascii="Times New Roman" w:cs="Times New Roman" w:eastAsia="Times New Roman" w:hAnsi="Times New Roman"/>
          <w:sz w:val="14"/>
          <w:szCs w:val="14"/>
          <w:color w:val="auto"/>
        </w:rPr>
        <w:t>,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2.24 shall be deemed paid to and redirected by such Defaulting Lender, and each Lender irrevocably consents hereto.</w:t>
      </w:r>
    </w:p>
    <w:p>
      <w:pPr>
        <w:spacing w:after="0" w:line="109" w:lineRule="exact"/>
        <w:rPr>
          <w:sz w:val="20"/>
          <w:szCs w:val="20"/>
          <w:color w:val="auto"/>
        </w:rPr>
      </w:pPr>
    </w:p>
    <w:p>
      <w:pPr>
        <w:ind w:left="460" w:right="20" w:firstLine="460"/>
        <w:spacing w:after="0" w:line="251" w:lineRule="auto"/>
        <w:tabs>
          <w:tab w:leader="none" w:pos="1374" w:val="left"/>
        </w:tabs>
        <w:numPr>
          <w:ilvl w:val="0"/>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Certain Fees</w:t>
      </w:r>
      <w:r>
        <w:rPr>
          <w:rFonts w:ascii="Times New Roman" w:cs="Times New Roman" w:eastAsia="Times New Roman" w:hAnsi="Times New Roman"/>
          <w:sz w:val="14"/>
          <w:szCs w:val="14"/>
          <w:color w:val="auto"/>
        </w:rPr>
        <w:t>. (A) No Defaulting Lender shall be entitled to receive any Commitment Fee for any period during which that Lender is a Defaulting Lender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except as provided in clause (C) below, the Borrowers shall not be required to pay any such fee that otherwise would have been paid to that Defaulting Lender).</w:t>
      </w:r>
    </w:p>
    <w:p>
      <w:pPr>
        <w:spacing w:after="0" w:line="103" w:lineRule="exact"/>
        <w:rPr>
          <w:rFonts w:ascii="Times New Roman" w:cs="Times New Roman" w:eastAsia="Times New Roman" w:hAnsi="Times New Roman"/>
          <w:sz w:val="14"/>
          <w:szCs w:val="14"/>
          <w:color w:val="auto"/>
        </w:rPr>
      </w:pPr>
    </w:p>
    <w:p>
      <w:pPr>
        <w:ind w:left="920" w:right="20" w:firstLine="457"/>
        <w:spacing w:after="0" w:line="248" w:lineRule="auto"/>
        <w:tabs>
          <w:tab w:leader="none" w:pos="1834" w:val="left"/>
        </w:tabs>
        <w:numPr>
          <w:ilvl w:val="1"/>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Defaulting Lender shall be entitled to receive L/C Participation Fees for any period during which that Lender is a Defaulting Lender only to the extent allocable to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the stated amount of Letters of Credit for which it has provided Cash Collateral.</w:t>
      </w:r>
    </w:p>
    <w:p>
      <w:pPr>
        <w:spacing w:after="0" w:line="105" w:lineRule="exact"/>
        <w:rPr>
          <w:rFonts w:ascii="Times New Roman" w:cs="Times New Roman" w:eastAsia="Times New Roman" w:hAnsi="Times New Roman"/>
          <w:sz w:val="14"/>
          <w:szCs w:val="14"/>
          <w:color w:val="auto"/>
        </w:rPr>
      </w:pPr>
    </w:p>
    <w:p>
      <w:pPr>
        <w:jc w:val="both"/>
        <w:ind w:left="920" w:right="20" w:firstLine="457"/>
        <w:spacing w:after="0" w:line="225" w:lineRule="auto"/>
        <w:tabs>
          <w:tab w:leader="none" w:pos="1834" w:val="left"/>
        </w:tabs>
        <w:numPr>
          <w:ilvl w:val="1"/>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Commitment Fee or L/C Participation Fee not required to be paid to any Defaulting Lender pursuant to clause (A) or (B) above, the Borrowers shall (x) pay to each Non-Defaulting Lender of the applicable Class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09" w:lineRule="exact"/>
        <w:rPr>
          <w:rFonts w:ascii="Times New Roman" w:cs="Times New Roman" w:eastAsia="Times New Roman" w:hAnsi="Times New Roman"/>
          <w:sz w:val="14"/>
          <w:szCs w:val="14"/>
          <w:color w:val="auto"/>
        </w:rPr>
      </w:pPr>
    </w:p>
    <w:p>
      <w:pPr>
        <w:jc w:val="both"/>
        <w:ind w:left="460" w:firstLine="460"/>
        <w:spacing w:after="0" w:line="223" w:lineRule="auto"/>
        <w:tabs>
          <w:tab w:leader="none" w:pos="1374" w:val="left"/>
        </w:tabs>
        <w:numPr>
          <w:ilvl w:val="0"/>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Reallocation of Participations to Reduce Fronting Exposure </w:t>
      </w:r>
      <w:r>
        <w:rPr>
          <w:rFonts w:ascii="Times New Roman" w:cs="Times New Roman" w:eastAsia="Times New Roman" w:hAnsi="Times New Roman"/>
          <w:sz w:val="14"/>
          <w:szCs w:val="14"/>
          <w:color w:val="auto"/>
        </w:rPr>
        <w:t>. All or any part of such Defaulting Lender’s participation in Letters of Credit shall be reallocated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among the Non-Defaulting Lenders of the applicable Class in accordance with their respective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Commitments under such Class (calculated without regard to such Defaulting Lender’s Commitment) but only to the extent that such reallocation does not cause the aggregate Revolving Credit Exposure of any Non-Defaulting Lender under such Class to exceed such Non-Defaulting Lender’s Revolving Commitment under such Class.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1" w:lineRule="exact"/>
        <w:rPr>
          <w:rFonts w:ascii="Times New Roman" w:cs="Times New Roman" w:eastAsia="Times New Roman" w:hAnsi="Times New Roman"/>
          <w:sz w:val="14"/>
          <w:szCs w:val="14"/>
          <w:color w:val="auto"/>
        </w:rPr>
      </w:pPr>
    </w:p>
    <w:p>
      <w:pPr>
        <w:jc w:val="both"/>
        <w:ind w:left="460" w:right="20" w:firstLine="460"/>
        <w:spacing w:after="0" w:line="234" w:lineRule="auto"/>
        <w:tabs>
          <w:tab w:leader="none" w:pos="1364" w:val="left"/>
        </w:tabs>
        <w:numPr>
          <w:ilvl w:val="0"/>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Cash Collateral</w:t>
      </w:r>
      <w:r>
        <w:rPr>
          <w:rFonts w:ascii="Times New Roman" w:cs="Times New Roman" w:eastAsia="Times New Roman" w:hAnsi="Times New Roman"/>
          <w:sz w:val="14"/>
          <w:szCs w:val="14"/>
          <w:color w:val="auto"/>
        </w:rPr>
        <w:t>. If the reallocation described in clause (iv) above cannot, or can only partially, be effected, the Borrowers shall, without prejudice to any right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remedy available to it hereunder or under law, within three (3) Business Days following the written request of the (i) Administrative Agent or (ii) any Issuing Bank, as applicable (with a copy to the</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83" w:name="page584"/>
    <w:bookmarkEnd w:id="583"/>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Administrative Agent), Cash Collateralize the Issuing Banks’ Fronting Exposure in accordance with the procedures set forth in Section 2.05(j).</w:t>
      </w:r>
    </w:p>
    <w:p>
      <w:pPr>
        <w:spacing w:after="0" w:line="132" w:lineRule="exact"/>
        <w:rPr>
          <w:sz w:val="20"/>
          <w:szCs w:val="20"/>
          <w:color w:val="auto"/>
        </w:rPr>
      </w:pPr>
    </w:p>
    <w:p>
      <w:pPr>
        <w:jc w:val="both"/>
        <w:ind w:right="20" w:firstLine="920"/>
        <w:spacing w:after="0" w:line="220" w:lineRule="auto"/>
        <w:tabs>
          <w:tab w:leader="none" w:pos="1361" w:val="left"/>
        </w:tabs>
        <w:numPr>
          <w:ilvl w:val="0"/>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Defaulting Lender Cure</w:t>
      </w:r>
      <w:r>
        <w:rPr>
          <w:rFonts w:ascii="Times New Roman" w:cs="Times New Roman" w:eastAsia="Times New Roman" w:hAnsi="Times New Roman"/>
          <w:sz w:val="14"/>
          <w:szCs w:val="14"/>
          <w:color w:val="auto"/>
        </w:rPr>
        <w:t>. If the Parent, the Administrative Agent and each Issuing Bank agree in writing that a Lender is no longer a Defaulting Lender,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of the applicable Class as a result of such purchase) that portion of outstanding Revolving Loans of the other Lenders of the applicable Class or take such other actions as the Administrative Agent may determine to be necessary to cause the Loans and funded and unfunded participations in Letters of Credit to be held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by the Lenders of the applicable Class in accordance with their Revolving Commitments under the applicable Class (without giving effect to Section 2.24(a)(iv)), whereupon such Lender will cease to be a Defaulting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adjustments will be made retroactively with respect to fees accrued or payments made by or on behalf of the applicable Borrower while that Lender was a Defaulting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09" w:lineRule="exact"/>
        <w:rPr>
          <w:rFonts w:ascii="Times New Roman" w:cs="Times New Roman" w:eastAsia="Times New Roman" w:hAnsi="Times New Roman"/>
          <w:sz w:val="14"/>
          <w:szCs w:val="14"/>
          <w:color w:val="auto"/>
        </w:rPr>
      </w:pPr>
    </w:p>
    <w:p>
      <w:pPr>
        <w:ind w:firstLine="920"/>
        <w:spacing w:after="0" w:line="251" w:lineRule="auto"/>
        <w:tabs>
          <w:tab w:leader="none" w:pos="1370" w:val="left"/>
        </w:tabs>
        <w:numPr>
          <w:ilvl w:val="0"/>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New Letters of Credit </w:t>
      </w:r>
      <w:r>
        <w:rPr>
          <w:rFonts w:ascii="Times New Roman" w:cs="Times New Roman" w:eastAsia="Times New Roman" w:hAnsi="Times New Roman"/>
          <w:sz w:val="14"/>
          <w:szCs w:val="14"/>
          <w:color w:val="auto"/>
        </w:rPr>
        <w:t>. So long as any Lender is a Defaulting Lender, the Issuing Banks shall not be required to issue, extend, renew, amend or increase any Letter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Credit, as applicable, unless it is satisfied that it will have no Fronting Exposure after giving effect thereto.</w:t>
      </w: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2.25.</w:t>
      </w:r>
      <w:r>
        <w:rPr>
          <w:rFonts w:ascii="Times New Roman" w:cs="Times New Roman" w:eastAsia="Times New Roman" w:hAnsi="Times New Roman"/>
          <w:sz w:val="14"/>
          <w:szCs w:val="14"/>
          <w:u w:val="single" w:color="auto"/>
          <w:color w:val="auto"/>
        </w:rPr>
        <w:t>Loan Repurchases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5" w:lineRule="auto"/>
        <w:tabs>
          <w:tab w:leader="none" w:pos="1370"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set forth or referred to below, each Borrower may from time to time, at its discretion, purchase Term Loans of one or more Classes (as determined by such Borrower) through (x) modified Dutch auctions (each, a “</w:t>
      </w:r>
      <w:r>
        <w:rPr>
          <w:rFonts w:ascii="Times New Roman" w:cs="Times New Roman" w:eastAsia="Times New Roman" w:hAnsi="Times New Roman"/>
          <w:sz w:val="14"/>
          <w:szCs w:val="14"/>
          <w:u w:val="single" w:color="auto"/>
          <w:color w:val="auto"/>
        </w:rPr>
        <w:t>Purchase Offer</w:t>
      </w:r>
      <w:r>
        <w:rPr>
          <w:rFonts w:ascii="Times New Roman" w:cs="Times New Roman" w:eastAsia="Times New Roman" w:hAnsi="Times New Roman"/>
          <w:sz w:val="14"/>
          <w:szCs w:val="14"/>
          <w:color w:val="auto"/>
        </w:rPr>
        <w:t xml:space="preserve">”), each such Purchase Offer to be managed exclusively by the Administrative Agent (or such other financial institution chosen by such Borrower and reasonably acceptable to the Administrative Agent) (in such capacity, the “ </w:t>
      </w:r>
      <w:r>
        <w:rPr>
          <w:rFonts w:ascii="Times New Roman" w:cs="Times New Roman" w:eastAsia="Times New Roman" w:hAnsi="Times New Roman"/>
          <w:sz w:val="14"/>
          <w:szCs w:val="14"/>
          <w:u w:val="single" w:color="auto"/>
          <w:color w:val="auto"/>
        </w:rPr>
        <w:t>Auction Manager</w:t>
      </w:r>
      <w:r>
        <w:rPr>
          <w:rFonts w:ascii="Times New Roman" w:cs="Times New Roman" w:eastAsia="Times New Roman" w:hAnsi="Times New Roman"/>
          <w:sz w:val="14"/>
          <w:szCs w:val="14"/>
          <w:color w:val="auto"/>
        </w:rPr>
        <w:t>”) or (y) open market purchases (each, a “</w:t>
      </w:r>
      <w:r>
        <w:rPr>
          <w:rFonts w:ascii="Times New Roman" w:cs="Times New Roman" w:eastAsia="Times New Roman" w:hAnsi="Times New Roman"/>
          <w:sz w:val="14"/>
          <w:szCs w:val="14"/>
          <w:u w:val="single" w:color="auto"/>
          <w:color w:val="auto"/>
        </w:rPr>
        <w:t>Open Market Purchase</w:t>
      </w:r>
      <w:r>
        <w:rPr>
          <w:rFonts w:ascii="Times New Roman" w:cs="Times New Roman" w:eastAsia="Times New Roman" w:hAnsi="Times New Roman"/>
          <w:sz w:val="14"/>
          <w:szCs w:val="14"/>
          <w:color w:val="auto"/>
        </w:rPr>
        <w:t>”) on a non-</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so long as, with respect to any Purchase Offer, the conditions (i) through (x) below, as applicable, and, with respect to Open Market Purchases, the conditions (ii), (iv), (vi), (vii), (ix) and (x), as applicable, are satisfied:</w:t>
      </w:r>
    </w:p>
    <w:p>
      <w:pPr>
        <w:spacing w:after="0" w:line="111" w:lineRule="exact"/>
        <w:rPr>
          <w:sz w:val="20"/>
          <w:szCs w:val="20"/>
          <w:color w:val="auto"/>
        </w:rPr>
      </w:pPr>
    </w:p>
    <w:p>
      <w:pPr>
        <w:ind w:left="1380" w:hanging="460"/>
        <w:spacing w:after="0"/>
        <w:tabs>
          <w:tab w:leader="none" w:pos="1380" w:val="left"/>
        </w:tabs>
        <w:numPr>
          <w:ilvl w:val="0"/>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Purchase Offer shall be conducted in accordance with the procedures, terms and conditions set forth in this Section 2.25 and the Auction Procedures;</w:t>
      </w:r>
    </w:p>
    <w:p>
      <w:pPr>
        <w:spacing w:after="0" w:line="134" w:lineRule="exact"/>
        <w:rPr>
          <w:rFonts w:ascii="Times New Roman" w:cs="Times New Roman" w:eastAsia="Times New Roman" w:hAnsi="Times New Roman"/>
          <w:sz w:val="14"/>
          <w:szCs w:val="14"/>
          <w:color w:val="auto"/>
        </w:rPr>
      </w:pPr>
    </w:p>
    <w:p>
      <w:pPr>
        <w:jc w:val="both"/>
        <w:ind w:left="460" w:right="40" w:firstLine="460"/>
        <w:spacing w:after="0" w:line="233" w:lineRule="auto"/>
        <w:tabs>
          <w:tab w:leader="none" w:pos="1374" w:val="left"/>
        </w:tabs>
        <w:numPr>
          <w:ilvl w:val="0"/>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shall have occurred and be continuing, with respect to any Purchase Offer, on the date of the delivery of each notice of an auction and at the time of (and immediately after giving effect to) the purchase of any Term Loans pursuant to this Section 2.25 or, with respect to Open Market Purchases, at the time of and immediately following any Open Market Purchase pursuant to this Section 2.25;</w:t>
      </w:r>
    </w:p>
    <w:p>
      <w:pPr>
        <w:spacing w:after="0" w:line="111"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(calculated on the face amount thereof) of each and all Classes of Term Loans that such Borrower offers to purchase in any such Purchase Offer shall be no less than $25,000,000 (unless another amount is agreed to by the Administrative Agent) (across all such Classes);</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74" w:val="left"/>
        </w:tabs>
        <w:numPr>
          <w:ilvl w:val="0"/>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(calculated on the face amount thereof) of all Term Loans of the applicable Class or Classes so purchased by such Borrower shall automatically be cancelled and retired by such Borrower on the settlement date of the relevant purchase (and may not be resold) (without any increase to Adjusted Consolidated EBITDA as a result of any gains associated with cancellation of debt), and in no event shall such Borrower be entitled to any vote hereunder in connection with such Term Loans;</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84" w:name="page585"/>
    <w:bookmarkEnd w:id="584"/>
    <w:p>
      <w:pPr>
        <w:spacing w:after="0" w:line="24" w:lineRule="exact"/>
        <w:rPr>
          <w:sz w:val="20"/>
          <w:szCs w:val="20"/>
          <w:color w:val="auto"/>
        </w:rPr>
      </w:pPr>
    </w:p>
    <w:p>
      <w:pPr>
        <w:ind w:left="1360" w:hanging="440"/>
        <w:spacing w:after="0"/>
        <w:tabs>
          <w:tab w:leader="none" w:pos="1360"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one Purchase Offer with respect to any Class may be ongoing at any one time;</w:t>
      </w:r>
    </w:p>
    <w:p>
      <w:pPr>
        <w:spacing w:after="0" w:line="134" w:lineRule="exact"/>
        <w:rPr>
          <w:rFonts w:ascii="Times New Roman" w:cs="Times New Roman" w:eastAsia="Times New Roman" w:hAnsi="Times New Roman"/>
          <w:sz w:val="14"/>
          <w:szCs w:val="14"/>
          <w:color w:val="auto"/>
        </w:rPr>
      </w:pPr>
    </w:p>
    <w:p>
      <w:pPr>
        <w:jc w:val="both"/>
        <w:ind w:left="460" w:right="20" w:firstLine="460"/>
        <w:spacing w:after="0" w:line="225" w:lineRule="auto"/>
        <w:tabs>
          <w:tab w:leader="none" w:pos="1374"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(x) the Parent represents and warrants that no Loan Party shall have any material non-public information with respect to the Loan Parties or their respective Subsidiaries, or with respect to the Loans or the securities of any such person, that (A) has not been previously disclosed in writing to the Administrative Agent and the Lenders (other than because such Lender does not wish to receive such material non-public information) prior to such time and (B) could reasonably be expected to have a material effect upon, or otherwise be material to, a Lender’s decision to assign Term Loans to such Borrower pursuant to this Section 2.25 or (y) such Lender assigning its Term Loans to the Parent or one of its subsidiaries hereunder shall deliver to the Administrative Agent and the Parent a Big Boy Letter;</w:t>
      </w:r>
    </w:p>
    <w:p>
      <w:pPr>
        <w:spacing w:after="0" w:line="111"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each purchase of Term Loans through a Purchase Offer or Open Market Purchase, as applicable, the Parent shall have delivered to the Auction Manager or the Administrative Agent, as applicable, an officer’s certificate of a Responsible Officer certifying as to compliance with the preceding clause (vi);</w:t>
      </w:r>
    </w:p>
    <w:p>
      <w:pPr>
        <w:spacing w:after="0" w:line="103"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Purchase Offer with respect to any Class shall be offered to all Term Lenders holding Term Loans of such Class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w:t>
      </w:r>
    </w:p>
    <w:p>
      <w:pPr>
        <w:spacing w:after="0" w:line="133"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purchase of any Term Loans through any Purchase Offer or any Open Market Purchase, as applicable, shall be made from the proceeds of any Revolving</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and</w:t>
      </w:r>
    </w:p>
    <w:p>
      <w:pPr>
        <w:spacing w:after="0" w:line="118"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shall be in Pro Forma Compliance with the Financial Covenants.</w:t>
      </w:r>
    </w:p>
    <w:p>
      <w:pPr>
        <w:spacing w:after="0" w:line="134" w:lineRule="exact"/>
        <w:rPr>
          <w:sz w:val="20"/>
          <w:szCs w:val="20"/>
          <w:color w:val="auto"/>
        </w:rPr>
      </w:pPr>
    </w:p>
    <w:p>
      <w:pPr>
        <w:jc w:val="both"/>
        <w:ind w:right="20" w:firstLine="920"/>
        <w:spacing w:after="0" w:line="219" w:lineRule="auto"/>
        <w:tabs>
          <w:tab w:leader="none" w:pos="1361"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Borrower must terminate any Purchase Offer if it fails to satisfy one or more of the conditions set forth above which are required to be met at the time which otherwise would have been the time of purchase of Term Loans pursuant to such Purchase Offer. If a Borrower commences any Purchase Offer (and all relevant requirements set forth above which are required to be satisfied at the time of the commencement of such Purchase Offer have in fact been satisfied), and if at such time of commencement such Borrower reasonably believes that all required conditions set forth above which are required to be satisfied at the time of the consummation of such Purchase Offer shall be satisfied, then such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such Borrower pursuant to this Section 2.25, (x) such Borrower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such Borrower and the cancellation of the purchased Loans, in each case in connection therewith) shall not constitute voluntary or mandatory payments or prepayments for purposes of Section 2.10 hereof.</w:t>
      </w:r>
    </w:p>
    <w:p>
      <w:pPr>
        <w:spacing w:after="0" w:line="110" w:lineRule="exact"/>
        <w:rPr>
          <w:rFonts w:ascii="Times New Roman" w:cs="Times New Roman" w:eastAsia="Times New Roman" w:hAnsi="Times New Roman"/>
          <w:sz w:val="14"/>
          <w:szCs w:val="14"/>
          <w:color w:val="auto"/>
        </w:rPr>
      </w:pPr>
    </w:p>
    <w:p>
      <w:pPr>
        <w:ind w:firstLine="920"/>
        <w:spacing w:after="0" w:line="223" w:lineRule="auto"/>
        <w:tabs>
          <w:tab w:leader="none" w:pos="1370"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Administrative Agent and the Lenders hereby consent to the Purchase Offers and the other transactions effected pursuant to and in accordance with the terms of this Section 2.25;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notwithstanding anything to the contrary contained herein, no Lender shall have an obligation to participate in any such Purchase Offer. For the avoidance of doubt, it is understood and agreed that the provisions of Sections 2.16, 2.18 and 9.04 will not apply to the purchases of Term Loans made pursuant to and in accordance with the provisions of this Section 2.25. The Auction Manager acting in its capacity as such hereunder shall be entitled to the benefits of the provisions of Article VIII and Section 9.05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85" w:name="page586"/>
    <w:bookmarkEnd w:id="585"/>
    <w:p>
      <w:pPr>
        <w:spacing w:after="0" w:line="24" w:lineRule="exact"/>
        <w:rPr>
          <w:sz w:val="20"/>
          <w:szCs w:val="20"/>
          <w:color w:val="auto"/>
        </w:rPr>
      </w:pPr>
    </w:p>
    <w:p>
      <w:pPr>
        <w:ind w:left="920" w:right="4240"/>
        <w:spacing w:after="0" w:line="439" w:lineRule="auto"/>
        <w:tabs>
          <w:tab w:leader="none" w:pos="1367" w:val="left"/>
        </w:tabs>
        <w:numPr>
          <w:ilvl w:val="0"/>
          <w:numId w:val="6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Section 2.25 shall supersede any provisions in Section 2.18 or 9.06 to the contrary. SECTION 2.26.</w:t>
      </w:r>
      <w:r>
        <w:rPr>
          <w:rFonts w:ascii="Times New Roman" w:cs="Times New Roman" w:eastAsia="Times New Roman" w:hAnsi="Times New Roman"/>
          <w:sz w:val="14"/>
          <w:szCs w:val="14"/>
          <w:u w:val="single" w:color="auto"/>
          <w:color w:val="auto"/>
        </w:rPr>
        <w:t>Designated Borrowers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firstLine="920"/>
        <w:spacing w:after="0" w:line="215" w:lineRule="auto"/>
        <w:tabs>
          <w:tab w:leader="none" w:pos="1370"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may at any time, and from time to time on or after the Closing Date, upon not less than 10 Business Days’ written notice from the Parent to the Administrative Agent (or such shorter period as may be agreed by the Administrative Agent in its sole discretion), request to designate any of the Parent’s Wholly Owned Subsidiaries (each, an “</w:t>
      </w:r>
      <w:r>
        <w:rPr>
          <w:rFonts w:ascii="Times New Roman" w:cs="Times New Roman" w:eastAsia="Times New Roman" w:hAnsi="Times New Roman"/>
          <w:sz w:val="14"/>
          <w:szCs w:val="14"/>
          <w:u w:val="single" w:color="auto"/>
          <w:color w:val="auto"/>
        </w:rPr>
        <w:t>Applicant Borrower</w:t>
      </w:r>
      <w:r>
        <w:rPr>
          <w:rFonts w:ascii="Times New Roman" w:cs="Times New Roman" w:eastAsia="Times New Roman" w:hAnsi="Times New Roman"/>
          <w:sz w:val="14"/>
          <w:szCs w:val="14"/>
          <w:color w:val="auto"/>
        </w:rPr>
        <w:t>”) as a “Designated Borrower” to receive Revolving Loans for purposes of this Agreement by delivering to the Administrative Agent (which shall promptly deliver counterparts thereof to each Revolving Lender under the applicable Revolving Facility) a duly executed Designated Borrower Request and Joinder Agreement. The parties hereto acknowledge and agree that prior to any Applicant Borrower becoming entitled to utilize any Revolving Facility provided for herein, (i) the Administrative Agent and each Revolving Lender under such Revolving Facility must each agree to such Applicant Borrower becoming a Designated Borrower (it being understood, for the avoidance of doubt, that no Revolving Lender shall be required to agree under this clause (i) to any Applicant Borrower becoming a Designated Borrower if such Revolving Lender is not legally permitted to make loans and other extensions of credit to such Subsidiary), (ii) the Administrative Agent and such Revolving Lenders shall have received such supporting resolutions, incumbency certificates, opinions of counsel and other documents or information, in form, content and scope reasonably satisfactory to the Administrative Agent, as may be reasonably required by the Administrative Agent, and Notes signed by such new Designated Borrower to the extent any such Revolving Lender so requires, (iii) upon the reasonable request of any such Revolving Lender or the Administrative Agent, the Applicant Borrower shall have provided to such Revolving Lender or the Administrative Agent, as applicable, and such Revolving Lender shall be reasonably satisfied with, the documentation and other information so requested in connection with applicable “know your customer” and anti-money-laundering rules and regulations, including, without limitation, the USA PATRIOT Act, and any Applicant Borrower that qualifies as a “legal entity customer” under the Beneficial Ownership Regulation shall have delivered to each such Revolving Lender that so requests a Beneficial Ownership Certification in relation to such Applicant Borrower, and (iv) the Administrative Agent and such Revolving Lenders shall have received supporting documentation that the Applicant Borrower is an entity organized or existing under the laws of a Designated Jurisdiction (the requirements in clauses (i), (ii), (iii) and (iv) hereof, the “</w:t>
      </w:r>
      <w:r>
        <w:rPr>
          <w:rFonts w:ascii="Times New Roman" w:cs="Times New Roman" w:eastAsia="Times New Roman" w:hAnsi="Times New Roman"/>
          <w:sz w:val="14"/>
          <w:szCs w:val="14"/>
          <w:u w:val="single" w:color="auto"/>
          <w:color w:val="auto"/>
        </w:rPr>
        <w:t>Designated Borrower Requirements</w:t>
      </w:r>
      <w:r>
        <w:rPr>
          <w:rFonts w:ascii="Times New Roman" w:cs="Times New Roman" w:eastAsia="Times New Roman" w:hAnsi="Times New Roman"/>
          <w:sz w:val="14"/>
          <w:szCs w:val="14"/>
          <w:color w:val="auto"/>
        </w:rPr>
        <w:t xml:space="preserve">”). If the Designated Borrower Requirements are met, the Administrative Agent shall send a notice in substantially the form of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u w:val="single" w:color="auto"/>
          <w:color w:val="auto"/>
        </w:rPr>
        <w:t>Designated Borrower Notice</w:t>
      </w:r>
      <w:r>
        <w:rPr>
          <w:rFonts w:ascii="Times New Roman" w:cs="Times New Roman" w:eastAsia="Times New Roman" w:hAnsi="Times New Roman"/>
          <w:sz w:val="14"/>
          <w:szCs w:val="14"/>
          <w:color w:val="auto"/>
        </w:rPr>
        <w:t xml:space="preserve">”) to the Parent and the Revolving Lenders under the applicable Revolving Facility specifying the effective date upon which the Applicant Borrower shall constitute a Designated Borrower for purposes hereof, whereupon each of the Revolving Lenders under the applicable Revolving Facility agrees to permit such Designated Borrower to receive Revolving Loans hereunder under the applicable Revolving Facility,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Borrowing Request or Letter of Credit Request may be submitted by or on behalf of such Designated Borrower until the date five (5) Business Days after such effective date or such shorter period as the Administrative Agent may agree. Notwithstanding anything to the contrary in Section 9.08, in connection with any designation of a Designated Borrower pursuant to this Section 2.26, the Administrative Agent and the Parent shall be permitted to make technical amendments to this Agreement and the other Loan Documents, without the consent of any Lender or Issuing Bank, as may be necessary or appropriate to reflect the addition of a new “Borrower”.</w:t>
      </w:r>
    </w:p>
    <w:p>
      <w:pPr>
        <w:spacing w:after="0" w:line="117" w:lineRule="exact"/>
        <w:rPr>
          <w:rFonts w:ascii="Times New Roman" w:cs="Times New Roman" w:eastAsia="Times New Roman" w:hAnsi="Times New Roman"/>
          <w:sz w:val="14"/>
          <w:szCs w:val="14"/>
          <w:color w:val="auto"/>
        </w:rPr>
      </w:pPr>
    </w:p>
    <w:p>
      <w:pPr>
        <w:jc w:val="both"/>
        <w:ind w:firstLine="920"/>
        <w:spacing w:after="0"/>
        <w:tabs>
          <w:tab w:leader="none" w:pos="1361"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may from time to time, upon not less than 10 Business Days’ written notice from the Parent to the Administrative Agent (or such shorter period as may be agreed by the Administrative Agent in its sole discretion), terminate a Designated Borrower’s status as such under any Revolving Facility;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there are no outstanding Loan Obligations payable by such Designated Borrower, or other amounts payable by such Designated Borrower on account of any Loans made to it or Letters of Credit issued on its behalf, as of the effective date of such termination, which written notice of termination shall be executed by such Designated Borrower, and shall include an affirmation and ratification by such Designated Borrower of its continuing obligations as a Guarantor under the Loan Documents after giving effect to such termination. The Administrative Agent will promptly notify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86" w:name="page587"/>
    <w:bookmarkEnd w:id="586"/>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Revolving Lenders under the applicable Revolving Facility of any such termination of a Designated Borrower’s status.</w:t>
      </w:r>
    </w:p>
    <w:p>
      <w:pPr>
        <w:spacing w:after="0" w:line="134" w:lineRule="exact"/>
        <w:rPr>
          <w:sz w:val="20"/>
          <w:szCs w:val="20"/>
          <w:color w:val="auto"/>
        </w:rPr>
      </w:pPr>
    </w:p>
    <w:p>
      <w:pPr>
        <w:jc w:val="both"/>
        <w:ind w:right="40" w:firstLine="920"/>
        <w:spacing w:after="0" w:line="225" w:lineRule="auto"/>
        <w:tabs>
          <w:tab w:leader="none" w:pos="1370" w:val="left"/>
        </w:tabs>
        <w:numPr>
          <w:ilvl w:val="0"/>
          <w:numId w:val="6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Wholly Owned Subsidiary of the Parent that becomes a “Designated Borrower” pursuant to this Section 2.26 hereby irrevocably appoints the Parent to act as its agent for all purposes of this Agreement and the other Loan Documents and agrees that (i) the Parent may execute such documents on behalf of such Designated Borrower as the Parent deems appropriate in its sole discretion and each Designated Borrower shall be obligated by all of the terms of any such document executed on its behalf, (ii) any notice or communication delivered by the Administrative Agent to the Parent shall be deemed delivered to each Designated Borrower and (iii) the Administrative Agent or the Lenders may accept, and be permitted to rely on, any document, instrument or agreement executed by the Parent on behalf of each of the Loan Parties.</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2.27.</w:t>
      </w:r>
      <w:r>
        <w:rPr>
          <w:rFonts w:ascii="Times New Roman" w:cs="Times New Roman" w:eastAsia="Times New Roman" w:hAnsi="Times New Roman"/>
          <w:sz w:val="14"/>
          <w:szCs w:val="14"/>
          <w:u w:val="single" w:color="auto"/>
          <w:color w:val="auto"/>
        </w:rPr>
        <w:t>Inability to Determine Rates</w:t>
      </w:r>
      <w:r>
        <w:rPr>
          <w:rFonts w:ascii="Times New Roman" w:cs="Times New Roman" w:eastAsia="Times New Roman" w:hAnsi="Times New Roman"/>
          <w:sz w:val="14"/>
          <w:szCs w:val="14"/>
          <w:color w:val="auto"/>
        </w:rPr>
        <w:t>. With respect to any Term SOFR Loan or Eurocurrency Rate Loan, subject to Section 2.28, if:</w:t>
      </w:r>
    </w:p>
    <w:p>
      <w:pPr>
        <w:spacing w:after="0" w:line="134" w:lineRule="exact"/>
        <w:rPr>
          <w:sz w:val="20"/>
          <w:szCs w:val="20"/>
          <w:color w:val="auto"/>
        </w:rPr>
      </w:pPr>
    </w:p>
    <w:p>
      <w:pPr>
        <w:ind w:left="1380" w:hanging="460"/>
        <w:spacing w:after="0"/>
        <w:tabs>
          <w:tab w:leader="none" w:pos="1380" w:val="left"/>
        </w:tabs>
        <w:numPr>
          <w:ilvl w:val="0"/>
          <w:numId w:val="6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determines (which determination shall be conclusive and binding absent manifest error) that:</w:t>
      </w:r>
    </w:p>
    <w:p>
      <w:pPr>
        <w:spacing w:after="0" w:line="134" w:lineRule="exact"/>
        <w:rPr>
          <w:sz w:val="20"/>
          <w:szCs w:val="20"/>
          <w:color w:val="auto"/>
        </w:rPr>
      </w:pPr>
    </w:p>
    <w:p>
      <w:pPr>
        <w:jc w:val="both"/>
        <w:ind w:right="60" w:firstLine="920"/>
        <w:spacing w:after="0" w:line="233" w:lineRule="auto"/>
        <w:tabs>
          <w:tab w:leader="none" w:pos="1370" w:val="left"/>
        </w:tabs>
        <w:numPr>
          <w:ilvl w:val="0"/>
          <w:numId w:val="6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Term SOFR or the Eurocurrency Rate is utilized in any calculations hereunder or under any other Loan Document with respect to any Obligations, interest, fees, commissions or other amounts, “Term SOFR” or the “Eurocurrency Rate”, as applicable, cannot be determined pursuant to the definition thereof on or prior to the first day of any Interest Period; or</w:t>
      </w:r>
    </w:p>
    <w:p>
      <w:pPr>
        <w:spacing w:after="0" w:line="111" w:lineRule="exact"/>
        <w:rPr>
          <w:rFonts w:ascii="Times New Roman" w:cs="Times New Roman" w:eastAsia="Times New Roman" w:hAnsi="Times New Roman"/>
          <w:sz w:val="14"/>
          <w:szCs w:val="14"/>
          <w:color w:val="auto"/>
        </w:rPr>
      </w:pPr>
    </w:p>
    <w:p>
      <w:pPr>
        <w:ind w:right="80" w:firstLine="920"/>
        <w:spacing w:after="0" w:line="248" w:lineRule="auto"/>
        <w:tabs>
          <w:tab w:leader="none" w:pos="1370" w:val="left"/>
        </w:tabs>
        <w:numPr>
          <w:ilvl w:val="0"/>
          <w:numId w:val="6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such Loan denominated in an Alternative Currency, a fundamental change has occurred in the foreign exchange or interbank markets with respect to such Alternative Currency (including changes in national or international financial, political or economic conditions or currency exchange rates or exchange controls);</w:t>
      </w:r>
    </w:p>
    <w:p>
      <w:pPr>
        <w:spacing w:after="0" w:line="105" w:lineRule="exact"/>
        <w:rPr>
          <w:sz w:val="20"/>
          <w:szCs w:val="20"/>
          <w:color w:val="auto"/>
        </w:rPr>
      </w:pPr>
    </w:p>
    <w:p>
      <w:pPr>
        <w:jc w:val="both"/>
        <w:ind w:right="40" w:firstLine="920"/>
        <w:spacing w:after="0" w:line="228" w:lineRule="auto"/>
        <w:tabs>
          <w:tab w:leader="none" w:pos="1361" w:val="left"/>
        </w:tabs>
        <w:numPr>
          <w:ilvl w:val="0"/>
          <w:numId w:val="6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Eurocurrency Rate Loan or any request therefor or a conversion thereto or a continuation thereof, the Required Lenders determine (which determination shall be conclusive and binding absent manifest error) that deposits in the applicable Agreed Currency are not being offered to banks in the applicable offshore interbank market for the applicable Agreed Currency, amount or Interest Period of such Eurocurrency Rate Loan, and the Required Lenders have provided notice of such determination to the Administrative Agent; or</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28" w:lineRule="auto"/>
        <w:tabs>
          <w:tab w:leader="none" w:pos="1370" w:val="left"/>
        </w:tabs>
        <w:numPr>
          <w:ilvl w:val="0"/>
          <w:numId w:val="6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Lenders determine that for any reason in connection with any request for such Loan or a conversion thereto or a continuation thereof that if Term SOFR or the Eurocurrency Rate is utilized in any calculations hereunder or under any other Loan Document with respect to any Obligations, interest, fees, commissions or other amounts, Term SOFR or the Eurocurrency Rate, as applicable, does not adequately and fairly reflect the cost to such Lenders of making or maintaining such Loan during the applicable Interest Period, and the Required Lenders have provided notice of such determination to the Administrative Agent,</w:t>
      </w:r>
    </w:p>
    <w:p>
      <w:pPr>
        <w:spacing w:after="0" w:line="121" w:lineRule="exact"/>
        <w:rPr>
          <w:rFonts w:ascii="Times New Roman" w:cs="Times New Roman" w:eastAsia="Times New Roman" w:hAnsi="Times New Roman"/>
          <w:sz w:val="14"/>
          <w:szCs w:val="14"/>
          <w:color w:val="auto"/>
        </w:rPr>
      </w:pPr>
    </w:p>
    <w:p>
      <w:pPr>
        <w:ind w:firstLine="920"/>
        <w:spacing w:after="0" w:line="261" w:lineRule="auto"/>
        <w:tabs>
          <w:tab w:leader="none" w:pos="1361" w:val="left"/>
        </w:tabs>
        <w:numPr>
          <w:ilvl w:val="0"/>
          <w:numId w:val="6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then, in each case, the Administrative Agent will promptly so notify the Parent and each applicable Lender. Upon notice thereof by the Administrative Agent to the Parent, any obligation of the Lenders to make Term SOFR Loans or Eurocurrency Rate Loans, as applicable, in each such Agreed Currency, and any right of the Borrowers to convert any Loan in each such Agreed Currency (if applicable) to or continue any Loan as a Term SOFR Loan or a Eurocurrency Rate Loan, as applicable, in each such Agreed Currency, shall be suspended (to the extent of the affected Term SOFR Loans or Eurocurrency Rate Loans or, in the case of Term SOFR Loans or Eurocurrency Rate Loans, the affected Interest Periods) until the Administrative Agent (with respect to clause (b) or (c), at the instruction of the Required Lenders) revokes such notice. Upon receipt of such notice, (A) the Borrowers may revoke any pending request for a borrowing of, conversion to or continuation of Term SOFR Loans or Eurocurrency Rate Loans in each such affected Agreed Currency (to the extent of the affected Term SOFR Loans or Eurocurrency Rate Loans or, in the case of Term SOFR Loans or Eurocurrency Rate Loans, the affected</w:t>
      </w: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60"/>
          </w:cols>
          <w:pgMar w:left="640" w:top="1440" w:right="600" w:bottom="1440" w:gutter="0" w:footer="0" w:header="0"/>
        </w:sectPr>
      </w:pPr>
    </w:p>
    <w:bookmarkStart w:id="587" w:name="page588"/>
    <w:bookmarkEnd w:id="587"/>
    <w:p>
      <w:pPr>
        <w:spacing w:after="0" w:line="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Interest Periods) or, failing that, (I) in the case of any request for an affected Term SOFR Borrowing, the applicable Borrower will be deemed to have converted any such request into a request for a Borrowing of or conversion to ABR Loans in the amount specified therein and (II) in the case of any request for an affected Eurocurrency Rate Borrowing, then such request shall be ineffective and (B)(I) any outstanding affected Term SOFR Loans will be deemed to have been converted into ABR Loans at the end of the applicable Interest Period and</w:t>
      </w:r>
    </w:p>
    <w:p>
      <w:pPr>
        <w:spacing w:after="0" w:line="1" w:lineRule="exact"/>
        <w:rPr>
          <w:sz w:val="20"/>
          <w:szCs w:val="20"/>
          <w:color w:val="auto"/>
        </w:rPr>
      </w:pPr>
    </w:p>
    <w:p>
      <w:pPr>
        <w:jc w:val="both"/>
        <w:ind w:right="20" w:firstLine="6"/>
        <w:spacing w:after="0" w:line="257" w:lineRule="auto"/>
        <w:tabs>
          <w:tab w:leader="none" w:pos="230" w:val="left"/>
        </w:tabs>
        <w:numPr>
          <w:ilvl w:val="0"/>
          <w:numId w:val="6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outstanding affected Eurocurrency Rate Loans, at the applicable Borrower’s election, shall either (1) be converted into ABR Loans denominated in Dollars (in an amount equal to the Dollar Equivalent of such Alternative Currency) at the end of the applicable Interest Period or (2) be prepaid in full at the end of the applicable Interest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no election is made by the applicable Borrower by the date that is the earlier of (x) three Business Days after receipt by the Parent of such notice and (y) the last day of the current Interest Period, the applicable Borrower shall be deemed to have elected clause (1) above. Upon any such prepayment or conversion, the Borrowers shall also pay accrued interest on the amount so prepaid or converted, together with any additional amounts required pursuant to Section 2.16. Subject to Section 2.28,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“ABR” until the Administrative Agent revokes such determination.</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2.28.</w:t>
      </w:r>
      <w:r>
        <w:rPr>
          <w:rFonts w:ascii="Times New Roman" w:cs="Times New Roman" w:eastAsia="Times New Roman" w:hAnsi="Times New Roman"/>
          <w:sz w:val="14"/>
          <w:szCs w:val="14"/>
          <w:u w:val="single" w:color="auto"/>
          <w:color w:val="auto"/>
        </w:rPr>
        <w:t>Benchmark Replacement Setting</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11" w:lineRule="auto"/>
        <w:tabs>
          <w:tab w:leader="none" w:pos="1370" w:val="left"/>
        </w:tabs>
        <w:numPr>
          <w:ilvl w:val="0"/>
          <w:numId w:val="6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Benchmark Replacement</w:t>
      </w:r>
      <w:r>
        <w:rPr>
          <w:rFonts w:ascii="Times New Roman" w:cs="Times New Roman" w:eastAsia="Times New Roman" w:hAnsi="Times New Roman"/>
          <w:sz w:val="14"/>
          <w:szCs w:val="14"/>
          <w:color w:val="auto"/>
        </w:rPr>
        <w:t>. Notwithstanding anything to the contrary herein or in any other Loan Document, if a Benchmark Transition Event and its related Benchmark Replacement Date have occurred prior to any setting of any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on the fifth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based upon Daily Simple SOFR, all interest payments will be payable on a quarterly basis.</w:t>
      </w:r>
    </w:p>
    <w:p>
      <w:pPr>
        <w:spacing w:after="0" w:line="112"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61" w:val="left"/>
        </w:tabs>
        <w:numPr>
          <w:ilvl w:val="0"/>
          <w:numId w:val="6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Benchmark Replacement Conforming Changes</w:t>
      </w:r>
      <w:r>
        <w:rPr>
          <w:rFonts w:ascii="Times New Roman" w:cs="Times New Roman" w:eastAsia="Times New Roman" w:hAnsi="Times New Roman"/>
          <w:sz w:val="14"/>
          <w:szCs w:val="14"/>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23" w:lineRule="auto"/>
        <w:tabs>
          <w:tab w:leader="none" w:pos="1370" w:val="left"/>
        </w:tabs>
        <w:numPr>
          <w:ilvl w:val="0"/>
          <w:numId w:val="6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 Standards for Decisions and Determinations</w:t>
      </w:r>
      <w:r>
        <w:rPr>
          <w:rFonts w:ascii="Times New Roman" w:cs="Times New Roman" w:eastAsia="Times New Roman" w:hAnsi="Times New Roman"/>
          <w:sz w:val="14"/>
          <w:szCs w:val="14"/>
          <w:color w:val="auto"/>
        </w:rPr>
        <w:t>. The Administrative Agent will promptly notify the Parent and the Lenders of (i) the implementation of any Benchmark Replacement and (ii) the effectiveness of any Conforming Changes in connection with the use, administration, adoption or implementation of a Benchmark Replacement. The Administrative Agent will notify the Parent of (x) the removal or reinstatement of any tenor of a Benchmark pursuant to Section 2.28(d) and (y) the commencement of any Benchmark Unavailability Period. Any determination, decision or election that may be made by the Administrative Agent or, if applicable, any Lender (or group of Lenders) pursuant to this Section 2.28, including any determination with respect to a tenor, rate or adjustment or of the occurrence or non-occurrence of an event, circumstance or date and any decision to take or refrain from</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88" w:name="page589"/>
    <w:bookmarkEnd w:id="588"/>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2.28.</w:t>
      </w:r>
    </w:p>
    <w:p>
      <w:pPr>
        <w:spacing w:after="0" w:line="105" w:lineRule="exact"/>
        <w:rPr>
          <w:sz w:val="20"/>
          <w:szCs w:val="20"/>
          <w:color w:val="auto"/>
        </w:rPr>
      </w:pPr>
    </w:p>
    <w:p>
      <w:pPr>
        <w:jc w:val="both"/>
        <w:ind w:firstLine="920"/>
        <w:spacing w:after="0" w:line="224" w:lineRule="auto"/>
        <w:tabs>
          <w:tab w:leader="none" w:pos="1361" w:val="left"/>
        </w:tabs>
        <w:numPr>
          <w:ilvl w:val="1"/>
          <w:numId w:val="6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Unavailability of Tenor of Benchmark</w:t>
      </w:r>
      <w:r>
        <w:rPr>
          <w:rFonts w:ascii="Times New Roman" w:cs="Times New Roman" w:eastAsia="Times New Roman" w:hAnsi="Times New Roman"/>
          <w:sz w:val="14"/>
          <w:szCs w:val="14"/>
          <w:color w:val="auto"/>
        </w:rPr>
        <w:t>. Notwithstanding anything to the contrary herein or in any other Loan Document, at any time (including in connection with the implementation of a Benchmark Replacement), (i) if any then-current Benchmark is a term rate (including the Term SOFR Reference Rate, EURIBOR or CIBOR) and either</w:t>
      </w:r>
    </w:p>
    <w:p>
      <w:pPr>
        <w:spacing w:after="0" w:line="1" w:lineRule="exact"/>
        <w:rPr>
          <w:rFonts w:ascii="Times New Roman" w:cs="Times New Roman" w:eastAsia="Times New Roman" w:hAnsi="Times New Roman"/>
          <w:sz w:val="14"/>
          <w:szCs w:val="14"/>
          <w:color w:val="auto"/>
        </w:rPr>
      </w:pPr>
    </w:p>
    <w:p>
      <w:pPr>
        <w:jc w:val="both"/>
        <w:ind w:firstLine="6"/>
        <w:spacing w:after="0" w:line="218" w:lineRule="auto"/>
        <w:tabs>
          <w:tab w:leader="none" w:pos="245" w:val="left"/>
        </w:tabs>
        <w:numPr>
          <w:ilvl w:val="0"/>
          <w:numId w:val="6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12" w:lineRule="exact"/>
        <w:rPr>
          <w:rFonts w:ascii="Times New Roman" w:cs="Times New Roman" w:eastAsia="Times New Roman" w:hAnsi="Times New Roman"/>
          <w:sz w:val="14"/>
          <w:szCs w:val="14"/>
          <w:color w:val="auto"/>
        </w:rPr>
      </w:pPr>
    </w:p>
    <w:p>
      <w:pPr>
        <w:jc w:val="both"/>
        <w:ind w:firstLine="920"/>
        <w:spacing w:after="0" w:line="217" w:lineRule="auto"/>
        <w:tabs>
          <w:tab w:leader="none" w:pos="1370" w:val="left"/>
        </w:tabs>
        <w:numPr>
          <w:ilvl w:val="1"/>
          <w:numId w:val="6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Benchmark Unavailability Period</w:t>
      </w:r>
      <w:r>
        <w:rPr>
          <w:rFonts w:ascii="Times New Roman" w:cs="Times New Roman" w:eastAsia="Times New Roman" w:hAnsi="Times New Roman"/>
          <w:sz w:val="14"/>
          <w:szCs w:val="14"/>
          <w:color w:val="auto"/>
        </w:rPr>
        <w:t xml:space="preserve">. Upon the Parent’s receipt of notice of the commencement of a Benchmark Unavailability Period with respect to a given Benchmark, (i) the Borrowers may revoke any pending request for a Term SOFR Borrowing of, conversion to or continuation of Term SOFR Loans, or a Eurocurrency Rate Borrowing of, or continuation of Eurocurrency Rate Loans, in each case, to be made, converted or continued during any Benchmark Unavailability Period denominated in the applicable Agreed Currency and, failing that, (A) in the case of any request for any affected Term SOFR Borrowing, if applicable, the applicable Borrower will be deemed to have converted any such request into a request for an ABR Borrowing or conversion to ABR Loans in the amount specified therein and (B) in the case of any request for any affected Eurocurrency Rate Borrowing, if applicable, such request shall be ineffective and (ii)(A) any outstanding affected Term SOFR Loans, if applicable, will be deemed to have been converted into ABR Loans at the end of the applicable Interest Period and (B) any outstanding affected Eurocurrency Rate Loans, at the applicable Borrower’s election, shall either (I) be converted into ABR Loans denominated in Dollars (in an amount equal to the Dollar Equivalent of such Alternative Currency) at the end of the applicable Interest Period or (II) be prepaid in full at the end of the applicable Interest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any Eurocurrency Rate Loan, if no election is made by the applicable Borrower by the earlier of (x) the date that is three Business Days after receipt by the Parent of such notice and (y) the last day of the current Interest Period for the applicable Eurocurrency Rate Loan, the applicable Borrower shall be deemed to have elected clause (I) above. Upon any such prepayment or conversion, the Borrowers shall also pay accrued interest on the amount so prepaid or converted, together with any additional amounts required pursuant to Section 2.16. During a Benchmark Unavailability Period with respect to any Benchmark or at any time that a tenor for any then-current Benchmark is not an Available Tenor, the component of ABR based upon the then-current Benchmark that is the subject of such Benchmark Unavailability Period or such tenor for such Benchmark, as applicable, will not be used in any determination of ABR.</w:t>
      </w:r>
    </w:p>
    <w:p>
      <w:pPr>
        <w:spacing w:after="0" w:line="113" w:lineRule="exact"/>
        <w:rPr>
          <w:sz w:val="20"/>
          <w:szCs w:val="20"/>
          <w:color w:val="auto"/>
        </w:rPr>
      </w:pPr>
    </w:p>
    <w:p>
      <w:pPr>
        <w:jc w:val="both"/>
        <w:ind w:right="20" w:firstLine="914"/>
        <w:spacing w:after="0"/>
        <w:rPr>
          <w:sz w:val="20"/>
          <w:szCs w:val="20"/>
          <w:color w:val="auto"/>
        </w:rPr>
      </w:pPr>
      <w:r>
        <w:rPr>
          <w:rFonts w:ascii="Times New Roman" w:cs="Times New Roman" w:eastAsia="Times New Roman" w:hAnsi="Times New Roman"/>
          <w:sz w:val="14"/>
          <w:szCs w:val="14"/>
          <w:color w:val="auto"/>
        </w:rPr>
        <w:t>SECTION 2.29.</w:t>
      </w:r>
      <w:r>
        <w:rPr>
          <w:rFonts w:ascii="Times New Roman" w:cs="Times New Roman" w:eastAsia="Times New Roman" w:hAnsi="Times New Roman"/>
          <w:sz w:val="14"/>
          <w:szCs w:val="14"/>
          <w:u w:val="single" w:color="auto"/>
          <w:color w:val="auto"/>
        </w:rPr>
        <w:t>MIRE Events</w:t>
      </w:r>
      <w:r>
        <w:rPr>
          <w:rFonts w:ascii="Times New Roman" w:cs="Times New Roman" w:eastAsia="Times New Roman" w:hAnsi="Times New Roman"/>
          <w:sz w:val="14"/>
          <w:szCs w:val="14"/>
          <w:color w:val="auto"/>
        </w:rPr>
        <w:t xml:space="preserve"> . Prior to the occurrence of a MIRE Event, (a) the Administrative Agent shall provide a completed “Life-of-Loan” Federal Emergency Management Agency Standard Flood Hazard Determination in respect of any Mortgaged Property and (b) the Parent shall provide (and shall use commercially reasonable efforts to provide as promptly as reasonably possible prior to such MIRE Event) to the Administrative Agent (and authorize the Administrative Agent to provide to the Lenders) the following documents in respect of any Mortgaged Property: (i) if such improved real property is located in a Special Flood Hazard Area, (A) a notification to the applicable Loan Party of that fact and (if applicable) notification to the applicable Loan Party that flood insurance coverage is not available and (B) evidence of the receipt by the applicable Loan Party of such notice; (ii) if required by Flood Insurance Laws, evidence of required flood insurance as required by Section 5.02(a)(ii), in form and substance reasonably satisfactory to the Administrative Agent; and (iii) other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89" w:name="page590"/>
    <w:bookmarkEnd w:id="589"/>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customary documentation that may be reasonably requested by the Administrative Agent in connection with any flood diligence.</w:t>
      </w:r>
    </w:p>
    <w:p>
      <w:pPr>
        <w:spacing w:after="0" w:line="1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III</w:t>
      </w:r>
    </w:p>
    <w:p>
      <w:pPr>
        <w:spacing w:after="0" w:line="1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u w:val="single" w:color="auto"/>
          <w:color w:val="auto"/>
        </w:rPr>
        <w:t>Representations and Warranties</w:t>
      </w:r>
    </w:p>
    <w:p>
      <w:pPr>
        <w:spacing w:after="0" w:line="1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On (i) the Closing Date (after giving effect to the Transactions), solely with respect to the Specified Representations, and (ii) the date of each Credit Event (other than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Closing Date), as provided in Section 4.02, each Borrower (on behalf of itself and the other Loan Parties) represents and warrants to the Lenders and the Issuing Banks that:</w:t>
      </w:r>
    </w:p>
    <w:p>
      <w:pPr>
        <w:spacing w:after="0" w:line="139" w:lineRule="exact"/>
        <w:rPr>
          <w:sz w:val="20"/>
          <w:szCs w:val="20"/>
          <w:color w:val="auto"/>
        </w:rPr>
      </w:pPr>
    </w:p>
    <w:p>
      <w:pPr>
        <w:jc w:val="both"/>
        <w:ind w:firstLine="914"/>
        <w:spacing w:after="0" w:line="220" w:lineRule="auto"/>
        <w:rPr>
          <w:sz w:val="20"/>
          <w:szCs w:val="20"/>
          <w:color w:val="auto"/>
        </w:rPr>
      </w:pPr>
      <w:r>
        <w:rPr>
          <w:rFonts w:ascii="Times New Roman" w:cs="Times New Roman" w:eastAsia="Times New Roman" w:hAnsi="Times New Roman"/>
          <w:sz w:val="14"/>
          <w:szCs w:val="14"/>
          <w:color w:val="auto"/>
        </w:rPr>
        <w:t>SECTION 3.01.</w:t>
      </w:r>
      <w:r>
        <w:rPr>
          <w:rFonts w:ascii="Times New Roman" w:cs="Times New Roman" w:eastAsia="Times New Roman" w:hAnsi="Times New Roman"/>
          <w:sz w:val="14"/>
          <w:szCs w:val="14"/>
          <w:u w:val="single" w:color="auto"/>
          <w:color w:val="auto"/>
        </w:rPr>
        <w:t>Organization; Powers</w:t>
      </w:r>
      <w:r>
        <w:rPr>
          <w:rFonts w:ascii="Times New Roman" w:cs="Times New Roman" w:eastAsia="Times New Roman" w:hAnsi="Times New Roman"/>
          <w:sz w:val="14"/>
          <w:szCs w:val="14"/>
          <w:color w:val="auto"/>
        </w:rPr>
        <w:t>. Each Loan Party and each Material Subsidiary (a) is a partnership, limited liability company, corporation or other entity duly organized, registered or incorporated, validly existing and in good standing (or comparable status) under the laws of the jurisdiction of its organization or registration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clause (a) (other than with respect to each Borrower), clause (b) (other than with respect to each Borrower), and clause (c),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each Borrower, to borrow and otherwise obtain credit hereunder. In case of a Danish Loan Party, a reference in paragraph (a) above to it being “in good standing” shall mean that such Danish Loan Party is validly existing and has its register status in the Danish Business Authority’s register as “normal”.</w:t>
      </w:r>
    </w:p>
    <w:p>
      <w:pPr>
        <w:spacing w:after="0" w:line="114" w:lineRule="exact"/>
        <w:rPr>
          <w:sz w:val="20"/>
          <w:szCs w:val="20"/>
          <w:color w:val="auto"/>
        </w:rPr>
      </w:pPr>
    </w:p>
    <w:p>
      <w:pPr>
        <w:jc w:val="both"/>
        <w:ind w:firstLine="914"/>
        <w:spacing w:after="0" w:line="218" w:lineRule="auto"/>
        <w:rPr>
          <w:sz w:val="20"/>
          <w:szCs w:val="20"/>
          <w:color w:val="auto"/>
        </w:rPr>
      </w:pPr>
      <w:r>
        <w:rPr>
          <w:rFonts w:ascii="Times New Roman" w:cs="Times New Roman" w:eastAsia="Times New Roman" w:hAnsi="Times New Roman"/>
          <w:sz w:val="14"/>
          <w:szCs w:val="14"/>
          <w:color w:val="auto"/>
        </w:rPr>
        <w:t>SECTION 3.02.</w:t>
      </w: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 The execution, delivery and performance by each Loan Party of each of the Loan Documents to which it is a party and the borrowings and other extensions of credit hereunder (a) have been duly authorized by all corporate, stockholder, partnership, limited liability company or other organizational action required to be obtained by such Loan Parties and (b) will not (i) violate (A) any provision of law, statute, rule or regulation applicable to such Loan Party, (B) the Organizational Documents of such Loan Party, (C) any applicable order of any court or any law, rule, regulation or order of any Governmental Authority applicable to such Loan Party or (D) any provision of any indenture, certificate of designation for preferred stock, agreement or other instrument to which such Loan Party is a party or by which any of them or any of their property is or may be bound (including, without limitation, each Senior Notes Indenture, to the extent such document remains in effect),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(including, without limitation, each Senior Notes Indenture, to the extent such document remains in effect), where any such conflict, violation, breach or default referred to in clause (b)(i)(A), (b)(i)(C), (b)(i)(D) or (b)(ii) of this Section 3.02, would reasonably be expected to have, individually or in the aggregate, a Material Adverse Effect, or (iii) result in the creation or imposition of any Lien upon or with respect to any property or assets now owned or hereafter acquired by such Loan Party, other than the Liens created by the Loan Documents and Permitted Liens.</w:t>
      </w:r>
    </w:p>
    <w:p>
      <w:pPr>
        <w:spacing w:after="0" w:line="114" w:lineRule="exact"/>
        <w:rPr>
          <w:sz w:val="20"/>
          <w:szCs w:val="20"/>
          <w:color w:val="auto"/>
        </w:rPr>
      </w:pPr>
    </w:p>
    <w:p>
      <w:pPr>
        <w:jc w:val="both"/>
        <w:ind w:firstLine="914"/>
        <w:spacing w:after="0" w:line="233" w:lineRule="auto"/>
        <w:rPr>
          <w:sz w:val="20"/>
          <w:szCs w:val="20"/>
          <w:color w:val="auto"/>
        </w:rPr>
      </w:pPr>
      <w:r>
        <w:rPr>
          <w:rFonts w:ascii="Times New Roman" w:cs="Times New Roman" w:eastAsia="Times New Roman" w:hAnsi="Times New Roman"/>
          <w:sz w:val="14"/>
          <w:szCs w:val="14"/>
          <w:color w:val="auto"/>
        </w:rPr>
        <w:t>SECTION 3.03.</w:t>
      </w:r>
      <w:r>
        <w:rPr>
          <w:rFonts w:ascii="Times New Roman" w:cs="Times New Roman" w:eastAsia="Times New Roman" w:hAnsi="Times New Roman"/>
          <w:sz w:val="14"/>
          <w:szCs w:val="14"/>
          <w:u w:val="single" w:color="auto"/>
          <w:color w:val="auto"/>
        </w:rPr>
        <w:t>Enforceability</w:t>
      </w:r>
      <w:r>
        <w:rPr>
          <w:rFonts w:ascii="Times New Roman" w:cs="Times New Roman" w:eastAsia="Times New Roman" w:hAnsi="Times New Roman"/>
          <w:sz w:val="14"/>
          <w:szCs w:val="14"/>
          <w:color w:val="auto"/>
        </w:rPr>
        <w:t xml:space="preserve"> . This Agreement has been duly executed and delivered by each Borrower and constitutes, and each other Loan Document when executed and delivered by each Loan Party that is party thereto will constitute, a legal, valid and binding obligation of such Loan Party enforceable against such Loan Party in accordance with its terms, subject to the Legal Reservations.</w:t>
      </w:r>
    </w:p>
    <w:p>
      <w:pPr>
        <w:spacing w:after="0" w:line="112" w:lineRule="exact"/>
        <w:rPr>
          <w:sz w:val="20"/>
          <w:szCs w:val="20"/>
          <w:color w:val="auto"/>
        </w:rPr>
      </w:pPr>
    </w:p>
    <w:p>
      <w:pPr>
        <w:jc w:val="both"/>
        <w:ind w:right="20" w:firstLine="914"/>
        <w:spacing w:after="0" w:line="233" w:lineRule="auto"/>
        <w:rPr>
          <w:sz w:val="20"/>
          <w:szCs w:val="20"/>
          <w:color w:val="auto"/>
        </w:rPr>
      </w:pPr>
      <w:r>
        <w:rPr>
          <w:rFonts w:ascii="Times New Roman" w:cs="Times New Roman" w:eastAsia="Times New Roman" w:hAnsi="Times New Roman"/>
          <w:sz w:val="14"/>
          <w:szCs w:val="14"/>
          <w:color w:val="auto"/>
        </w:rPr>
        <w:t>SECTION 3.04.</w:t>
      </w:r>
      <w:r>
        <w:rPr>
          <w:rFonts w:ascii="Times New Roman" w:cs="Times New Roman" w:eastAsia="Times New Roman" w:hAnsi="Times New Roman"/>
          <w:sz w:val="14"/>
          <w:szCs w:val="14"/>
          <w:u w:val="single" w:color="auto"/>
          <w:color w:val="auto"/>
        </w:rPr>
        <w:t>Governmental Approvals</w:t>
      </w:r>
      <w:r>
        <w:rPr>
          <w:rFonts w:ascii="Times New Roman" w:cs="Times New Roman" w:eastAsia="Times New Roman" w:hAnsi="Times New Roman"/>
          <w:sz w:val="14"/>
          <w:szCs w:val="14"/>
          <w:color w:val="auto"/>
        </w:rPr>
        <w:t>. No action, consent or approval of, registration or filing with or any other action by any Governmental Authority is or will be required for the execution, delivery or performance of each Loan Document to which any Loan Party is a party, except for (a) the filing of Uniform Commercial Code financing statements, (b) filings with the United States Patent and Trademark Office and the United States Copyright Office and comparable offices in foreign jurisdictions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90" w:name="page591"/>
    <w:bookmarkEnd w:id="590"/>
    <w:p>
      <w:pPr>
        <w:spacing w:after="0" w:line="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and equivalent filings in foreign jurisdictions, (c) [reserved], (d) such as have been made or obtained and are in full force and effect, (e) such actions, consents and approvals the failure of which to be obtained or made would not reasonably be expected to have a Material Adverse Effect and (f) filings or other actions listed on Schedule 3.04 and any other filings or registrations required to perfect Liens created by the Security Documents.</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3.05.</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1" w:lineRule="auto"/>
        <w:tabs>
          <w:tab w:leader="none" w:pos="1370" w:val="left"/>
        </w:tabs>
        <w:numPr>
          <w:ilvl w:val="0"/>
          <w:numId w:val="6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audited consolidated balance sheets and the related audited consolidated statements of comprehensive income, cash flows and changes in equity of the Parent and its consolidated subsidiaries as of and for the fiscal year for which financial statements are required to be delivered pursuant to Section 4.01(i)(i) and (ii) the unaudited consolidated balance sheet and the related unaudited consolidated statements of comprehensive income, cash flows and changes in equity of the Parent as of and for the fiscal quarter for which financial statements are required to be delivered pursuant to Section 4.01(i)(ii) present fairly in all material respects the consolidated financial position of the Parent and its consolidated subsidiaries as of the dates and for the periods referred to therein and the results of operations and cash flows for the periods then ended, and were prepared in accordance with IFRS applied on a consistent basis throughout the periods covered thereby, except, in the case of interim period financial statements, for the absence of notes and for normal year-end adjustments and except as otherwise noted therein.</w:t>
      </w:r>
    </w:p>
    <w:p>
      <w:pPr>
        <w:spacing w:after="0" w:line="113" w:lineRule="exact"/>
        <w:rPr>
          <w:rFonts w:ascii="Times New Roman" w:cs="Times New Roman" w:eastAsia="Times New Roman" w:hAnsi="Times New Roman"/>
          <w:sz w:val="14"/>
          <w:szCs w:val="14"/>
          <w:color w:val="auto"/>
        </w:rPr>
      </w:pPr>
    </w:p>
    <w:p>
      <w:pPr>
        <w:jc w:val="both"/>
        <w:ind w:right="40" w:firstLine="920"/>
        <w:spacing w:after="0" w:line="228" w:lineRule="auto"/>
        <w:tabs>
          <w:tab w:leader="none" w:pos="1361" w:val="left"/>
        </w:tabs>
        <w:numPr>
          <w:ilvl w:val="0"/>
          <w:numId w:val="6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pro forma consolidated balance sheet of the Parent and its consolidated subsidiaries as at September 30, 2025 and the related pro forma consolidated statement of income of the Parent and its consolidated subsidiaries for the 12-month period ended September 30, 2025 have been prepared in good faith, based on assumptions believed by the Parent to be reasonable as of the date of delivery thereof, assuming that the consummation of the Transactions had actually occurred at such date (in the case of such balance sheet) or at the beginning of such period (in the case of such statement of income).</w:t>
      </w:r>
    </w:p>
    <w:p>
      <w:pPr>
        <w:spacing w:after="0" w:line="112" w:lineRule="exact"/>
        <w:rPr>
          <w:sz w:val="20"/>
          <w:szCs w:val="20"/>
          <w:color w:val="auto"/>
        </w:rPr>
      </w:pPr>
    </w:p>
    <w:p>
      <w:pPr>
        <w:jc w:val="both"/>
        <w:ind w:right="40" w:firstLine="914"/>
        <w:spacing w:after="0" w:line="248" w:lineRule="auto"/>
        <w:rPr>
          <w:sz w:val="20"/>
          <w:szCs w:val="20"/>
          <w:color w:val="auto"/>
        </w:rPr>
      </w:pPr>
      <w:r>
        <w:rPr>
          <w:rFonts w:ascii="Times New Roman" w:cs="Times New Roman" w:eastAsia="Times New Roman" w:hAnsi="Times New Roman"/>
          <w:sz w:val="14"/>
          <w:szCs w:val="14"/>
          <w:color w:val="auto"/>
        </w:rPr>
        <w:t>SECTION 3.06.</w:t>
      </w:r>
      <w:r>
        <w:rPr>
          <w:rFonts w:ascii="Times New Roman" w:cs="Times New Roman" w:eastAsia="Times New Roman" w:hAnsi="Times New Roman"/>
          <w:sz w:val="14"/>
          <w:szCs w:val="14"/>
          <w:u w:val="single" w:color="auto"/>
          <w:color w:val="auto"/>
        </w:rPr>
        <w:t>No Material Adverse Effect</w:t>
      </w:r>
      <w:r>
        <w:rPr>
          <w:rFonts w:ascii="Times New Roman" w:cs="Times New Roman" w:eastAsia="Times New Roman" w:hAnsi="Times New Roman"/>
          <w:sz w:val="14"/>
          <w:szCs w:val="14"/>
          <w:color w:val="auto"/>
        </w:rPr>
        <w:t>. Since December 31, 2024 (for this purpose, assuming that the Transactions had been consummated before such date), there has been no event or circumstance that, individually or in the aggregate with other events or circumstances, has had or would reasonably be expected to have a Material Adverse Effect.</w:t>
      </w:r>
    </w:p>
    <w:p>
      <w:pPr>
        <w:spacing w:after="0" w:line="105" w:lineRule="exact"/>
        <w:rPr>
          <w:sz w:val="20"/>
          <w:szCs w:val="20"/>
          <w:color w:val="auto"/>
        </w:rPr>
      </w:pPr>
    </w:p>
    <w:p>
      <w:pPr>
        <w:jc w:val="both"/>
        <w:ind w:right="40" w:firstLine="914"/>
        <w:spacing w:after="0" w:line="225" w:lineRule="auto"/>
        <w:rPr>
          <w:sz w:val="20"/>
          <w:szCs w:val="20"/>
          <w:color w:val="auto"/>
        </w:rPr>
      </w:pPr>
      <w:r>
        <w:rPr>
          <w:rFonts w:ascii="Times New Roman" w:cs="Times New Roman" w:eastAsia="Times New Roman" w:hAnsi="Times New Roman"/>
          <w:sz w:val="14"/>
          <w:szCs w:val="14"/>
          <w:color w:val="auto"/>
        </w:rPr>
        <w:t>SECTION 3.07.</w:t>
      </w:r>
      <w:r>
        <w:rPr>
          <w:rFonts w:ascii="Times New Roman" w:cs="Times New Roman" w:eastAsia="Times New Roman" w:hAnsi="Times New Roman"/>
          <w:sz w:val="14"/>
          <w:szCs w:val="14"/>
          <w:u w:val="single" w:color="auto"/>
          <w:color w:val="auto"/>
        </w:rPr>
        <w:t>Title to Properties; Possession Under Leases</w:t>
      </w:r>
      <w:r>
        <w:rPr>
          <w:rFonts w:ascii="Times New Roman" w:cs="Times New Roman" w:eastAsia="Times New Roman" w:hAnsi="Times New Roman"/>
          <w:sz w:val="14"/>
          <w:szCs w:val="14"/>
          <w:color w:val="auto"/>
        </w:rPr>
        <w:t xml:space="preserve"> . Each of the Borrowers and each of the Subsidiaries has valid title in fee simple (or such jurisdictional equivalent to), or valid leasehold interests in, or easements or other limited property interests in, all its Real Properties and has valid title to its personal property and assets, in each case, subject to Permitted Liens and except for defects in title that do not materially interfere with its ability to conduct its business as currently conducted or to utilize such properties and assets for their intended purposes and except where the failures to have such title would not reasonably be expected to have, individually or in the aggregate, a Material Adverse Effect. All such properties and assets are free and clear of Liens, other than Permitted Liens and Liens arising by operation of law.</w:t>
      </w:r>
    </w:p>
    <w:p>
      <w:pPr>
        <w:spacing w:after="0" w:line="111" w:lineRule="exact"/>
        <w:rPr>
          <w:sz w:val="20"/>
          <w:szCs w:val="20"/>
          <w:color w:val="auto"/>
        </w:rPr>
      </w:pPr>
    </w:p>
    <w:p>
      <w:pPr>
        <w:jc w:val="both"/>
        <w:ind w:right="20" w:firstLine="914"/>
        <w:spacing w:after="0" w:line="248" w:lineRule="auto"/>
        <w:rPr>
          <w:sz w:val="20"/>
          <w:szCs w:val="20"/>
          <w:color w:val="auto"/>
        </w:rPr>
      </w:pPr>
      <w:r>
        <w:rPr>
          <w:rFonts w:ascii="Times New Roman" w:cs="Times New Roman" w:eastAsia="Times New Roman" w:hAnsi="Times New Roman"/>
          <w:sz w:val="14"/>
          <w:szCs w:val="14"/>
          <w:color w:val="auto"/>
        </w:rPr>
        <w:t>SECTION 3.08.</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Schedule 3.08</w:t>
      </w:r>
      <w:r>
        <w:rPr>
          <w:rFonts w:ascii="Times New Roman" w:cs="Times New Roman" w:eastAsia="Times New Roman" w:hAnsi="Times New Roman"/>
          <w:sz w:val="14"/>
          <w:szCs w:val="14"/>
          <w:color w:val="auto"/>
        </w:rPr>
        <w:t xml:space="preserve"> sets forth, as of the Closing Date, a correct and complete list of the legal name of the Parent and each subsidiary of the Parent, the type of entity and the jurisdiction of organization thereof and, in the case of subsidiaries, the ownership interest therein held by the Parent or its other subsidiaries.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3.09.</w:t>
      </w:r>
      <w:r>
        <w:rPr>
          <w:rFonts w:ascii="Times New Roman" w:cs="Times New Roman" w:eastAsia="Times New Roman" w:hAnsi="Times New Roman"/>
          <w:sz w:val="14"/>
          <w:szCs w:val="14"/>
          <w:u w:val="single" w:color="auto"/>
          <w:color w:val="auto"/>
        </w:rPr>
        <w:t>Litigation; Compliance with Laws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8" w:lineRule="auto"/>
        <w:tabs>
          <w:tab w:leader="none" w:pos="1370" w:val="left"/>
        </w:tabs>
        <w:numPr>
          <w:ilvl w:val="0"/>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actions, suits, proceedings or investigations at law or in equity or by or on behalf of any Governmental Authority or in arbitration now pending, or, to the knowledge of the Parent, threatened in writing against the Parent or any of the Subsidiaries or any business, property or rights of any such person (i) that involve any Loan Document, to the extent that the applicable action, suit, proceeding or investigation is brought by the Parent or any of the Subsidiaries or (ii) that would reasonably be expected to have, individually or in the aggregate, a Material Adverse Effect, except for any action, suit, proceeding or investigation at law or in equity or by or on behalf of any Governmental</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91" w:name="page592"/>
    <w:bookmarkEnd w:id="591"/>
    <w:p>
      <w:pPr>
        <w:spacing w:after="0" w:line="24"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4"/>
          <w:szCs w:val="14"/>
          <w:color w:val="auto"/>
        </w:rPr>
        <w:t>Authority or in arbitration which has been disclosed in the Parent’s Annual Report on Form 20- F for the year ended December 31, 2024. Since December 31, 2024, there have been no developments in any such matter disclosed in the Annual Report described above which would reasonably be expected, individually or in the aggregate with any such other matters or any additional actions, suits, proceedings or investigations, to result in a Material Adverse Effect.</w:t>
      </w:r>
    </w:p>
    <w:p>
      <w:pPr>
        <w:spacing w:after="0" w:line="112" w:lineRule="exact"/>
        <w:rPr>
          <w:sz w:val="20"/>
          <w:szCs w:val="20"/>
          <w:color w:val="auto"/>
        </w:rPr>
      </w:pPr>
    </w:p>
    <w:p>
      <w:pPr>
        <w:ind w:right="20" w:firstLine="920"/>
        <w:spacing w:after="0" w:line="219" w:lineRule="auto"/>
        <w:tabs>
          <w:tab w:leader="none" w:pos="1361" w:val="left"/>
        </w:tabs>
        <w:numPr>
          <w:ilvl w:val="0"/>
          <w:numId w:val="6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Parent,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 Except as would not, individually or in the aggregate, reasonably be expected to result in a Material Adverse Effect, (i) each Loan Party and each Subsidiary is in compliance with the Controlled Substances Act and (ii) no action, suit or proceeding by or before any court or governmental agency, authority or body or any arbitrator involving any Loan Party or any Subsidiary or properties with respect to the Controlled Substances Act or the Civil Asset Forfeiture Reform Act is pending or, to the knowledge of the Parent, threatened in writing. To the knowledge of Parent, Parent and the Subsidiaries are in compliance in all respects with all applicable Data Privacy Laws, except, in each case, where a failure to comply would not reasonably be expected to have, individually or in the aggregate, a Material Adverse Effect.</w:t>
      </w:r>
    </w:p>
    <w:p>
      <w:pPr>
        <w:spacing w:after="0" w:line="115" w:lineRule="exact"/>
        <w:rPr>
          <w:sz w:val="20"/>
          <w:szCs w:val="20"/>
          <w:color w:val="auto"/>
        </w:rPr>
      </w:pPr>
    </w:p>
    <w:p>
      <w:pPr>
        <w:ind w:right="20" w:firstLine="914"/>
        <w:spacing w:after="0" w:line="248" w:lineRule="auto"/>
        <w:rPr>
          <w:sz w:val="20"/>
          <w:szCs w:val="20"/>
          <w:color w:val="auto"/>
        </w:rPr>
      </w:pPr>
      <w:r>
        <w:rPr>
          <w:rFonts w:ascii="Times New Roman" w:cs="Times New Roman" w:eastAsia="Times New Roman" w:hAnsi="Times New Roman"/>
          <w:sz w:val="14"/>
          <w:szCs w:val="14"/>
          <w:color w:val="auto"/>
        </w:rPr>
        <w:t>SECTION 3.10.</w:t>
      </w:r>
      <w:r>
        <w:rPr>
          <w:rFonts w:ascii="Times New Roman" w:cs="Times New Roman" w:eastAsia="Times New Roman" w:hAnsi="Times New Roman"/>
          <w:sz w:val="14"/>
          <w:szCs w:val="14"/>
          <w:u w:val="single" w:color="auto"/>
          <w:color w:val="auto"/>
        </w:rPr>
        <w:t>Federal Reserve Regulations</w:t>
      </w:r>
      <w:r>
        <w:rPr>
          <w:rFonts w:ascii="Times New Roman" w:cs="Times New Roman" w:eastAsia="Times New Roman" w:hAnsi="Times New Roman"/>
          <w:sz w:val="14"/>
          <w:szCs w:val="14"/>
          <w:color w:val="auto"/>
        </w:rPr>
        <w:t>. No part of the proceeds of any Loans or any Letter of Credit will be used by the Parent and the Subsidiaries in any manner that would result in a violation of Regulation T, Regulation U or Regulation X.</w:t>
      </w:r>
    </w:p>
    <w:p>
      <w:pPr>
        <w:spacing w:after="0" w:line="105" w:lineRule="exact"/>
        <w:rPr>
          <w:sz w:val="20"/>
          <w:szCs w:val="20"/>
          <w:color w:val="auto"/>
        </w:rPr>
      </w:pPr>
    </w:p>
    <w:p>
      <w:pPr>
        <w:ind w:right="20" w:firstLine="914"/>
        <w:spacing w:after="0" w:line="248" w:lineRule="auto"/>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Investment Company Act</w:t>
      </w:r>
      <w:r>
        <w:rPr>
          <w:rFonts w:ascii="Times New Roman" w:cs="Times New Roman" w:eastAsia="Times New Roman" w:hAnsi="Times New Roman"/>
          <w:sz w:val="14"/>
          <w:szCs w:val="14"/>
          <w:color w:val="auto"/>
        </w:rPr>
        <w:t xml:space="preserve"> . None of the Loan Parties is required to be registered as an “investment company” within the meaning of the Investment Company Act of 1940.</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3.12.</w:t>
      </w: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8" w:lineRule="auto"/>
        <w:tabs>
          <w:tab w:leader="none" w:pos="1370" w:val="left"/>
        </w:tabs>
        <w:numPr>
          <w:ilvl w:val="0"/>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will use the proceeds of the Revolving Loans, at the applicable Borrower’s election, (i) on the Closing Date (A) to fund certain upfront fees or original issue discount and (B) to otherwise fund a portion of the Transactions (in the case of this clause (B), in an aggregate amount not to exceed $100,000,000) and (ii) on and after the Closing Date for the working capital and general corporate purposes of the Parent and the Subsidiaries (including, without limitation, for capital expenditures, Permitted Business Acquisitions and permitted Restricted Payments).</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will use the proceeds of Letters of Credit for general corporate purposes, including supporting transactions not prohibited by the Loan Documents.</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will use the proceeds of the Initial Term A Loans incurred on the Closing Date to finance a portion of the Transactions.</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will use the proceeds of the Initial Term B Loans incurred on the Closing Date to finance a portion of the Transactions.</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3.13.</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Except as would not, individually or in the aggregate, reasonably be expected to result in a Material Adverse Effect, the Parent and each of the</w:t>
      </w:r>
    </w:p>
    <w:p>
      <w:pPr>
        <w:spacing w:after="0" w:line="212" w:lineRule="auto"/>
        <w:rPr>
          <w:sz w:val="20"/>
          <w:szCs w:val="20"/>
          <w:color w:val="auto"/>
        </w:rPr>
      </w:pPr>
      <w:r>
        <w:rPr>
          <w:rFonts w:ascii="Times New Roman" w:cs="Times New Roman" w:eastAsia="Times New Roman" w:hAnsi="Times New Roman"/>
          <w:sz w:val="14"/>
          <w:szCs w:val="14"/>
          <w:color w:val="auto"/>
        </w:rPr>
        <w:t>Subsidiaries: (a) has filed or caused to be filed all U.S. federal, state, local and non-U.S. Tax returns required to have been filed by it (including in its capacity as withholding agent) and</w:t>
      </w:r>
    </w:p>
    <w:p>
      <w:pPr>
        <w:spacing w:after="0" w:line="213" w:lineRule="auto"/>
        <w:rPr>
          <w:sz w:val="20"/>
          <w:szCs w:val="20"/>
          <w:color w:val="auto"/>
        </w:rPr>
      </w:pPr>
      <w:r>
        <w:rPr>
          <w:rFonts w:ascii="Times New Roman" w:cs="Times New Roman" w:eastAsia="Times New Roman" w:hAnsi="Times New Roman"/>
          <w:sz w:val="14"/>
          <w:szCs w:val="14"/>
          <w:color w:val="auto"/>
        </w:rPr>
        <w:t>each such Tax return is true and correct; (b) has timely paid or caused to be timely paid all Taxes shown to be due and payable by it on the returns referred to in clause (a) and all other</w:t>
      </w:r>
    </w:p>
    <w:p>
      <w:pPr>
        <w:spacing w:after="0" w:line="213" w:lineRule="auto"/>
        <w:rPr>
          <w:sz w:val="20"/>
          <w:szCs w:val="20"/>
          <w:color w:val="auto"/>
        </w:rPr>
      </w:pPr>
      <w:r>
        <w:rPr>
          <w:rFonts w:ascii="Times New Roman" w:cs="Times New Roman" w:eastAsia="Times New Roman" w:hAnsi="Times New Roman"/>
          <w:sz w:val="14"/>
          <w:szCs w:val="14"/>
          <w:color w:val="auto"/>
        </w:rPr>
        <w:t>Taxes (or made adequate provision (in accordance with IFRS) for the payment of all Taxes due), except Taxes for which the Parent or any of the Subsidiaries (as the case may be) has set</w:t>
      </w:r>
    </w:p>
    <w:p>
      <w:pPr>
        <w:spacing w:after="0" w:line="213" w:lineRule="auto"/>
        <w:rPr>
          <w:sz w:val="20"/>
          <w:szCs w:val="20"/>
          <w:color w:val="auto"/>
        </w:rPr>
      </w:pPr>
      <w:r>
        <w:rPr>
          <w:rFonts w:ascii="Times New Roman" w:cs="Times New Roman" w:eastAsia="Times New Roman" w:hAnsi="Times New Roman"/>
          <w:sz w:val="14"/>
          <w:szCs w:val="14"/>
          <w:color w:val="auto"/>
        </w:rPr>
        <w:t>aside on its books adequate reserves in accordance with IFRS and, to the extent such Taxes are due and payable pursuant to a governmental assessment, the validity or the amount thereof</w:t>
      </w:r>
    </w:p>
    <w:p>
      <w:pPr>
        <w:spacing w:after="0"/>
        <w:rPr>
          <w:sz w:val="20"/>
          <w:szCs w:val="20"/>
          <w:color w:val="auto"/>
        </w:rPr>
      </w:pPr>
      <w:r>
        <w:rPr>
          <w:rFonts w:ascii="Times New Roman" w:cs="Times New Roman" w:eastAsia="Times New Roman" w:hAnsi="Times New Roman"/>
          <w:sz w:val="14"/>
          <w:szCs w:val="14"/>
          <w:color w:val="auto"/>
        </w:rPr>
        <w:t>is being</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92" w:name="page593"/>
    <w:bookmarkEnd w:id="592"/>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contested in good faith by appropriate proceedings; and (c) as of the Closing Date, has no claims being asserted against it in writing with respect to any Taxes.</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3.14.</w:t>
      </w:r>
      <w:r>
        <w:rPr>
          <w:rFonts w:ascii="Times New Roman" w:cs="Times New Roman" w:eastAsia="Times New Roman" w:hAnsi="Times New Roman"/>
          <w:sz w:val="14"/>
          <w:szCs w:val="14"/>
          <w:u w:val="single" w:color="auto"/>
          <w:color w:val="auto"/>
        </w:rPr>
        <w:t>No Material Misstatements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20" w:lineRule="auto"/>
        <w:tabs>
          <w:tab w:leader="none" w:pos="1370" w:val="left"/>
        </w:tabs>
        <w:numPr>
          <w:ilvl w:val="0"/>
          <w:numId w:val="6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written information (other than the Projections, forward looking information and information of a general economic or industry specific nature) (the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concerning the Parent, the Subsidiaries, the Transactions and any other transactions contemplated hereby included in the Information Memorandum or otherwise prepared by or on behalf of the foregoing or their representatives and made available to any Lenders or the Administrative Agent in connection with the Transactions or the other transactions contemplated hereby (to the extent such Information relates to Merus on or prior to the Closing Date, to the Parent’s knowledge), when taken as a whole and in light of the circumstances when furnished, was true and correct in all material respects, as of the date such Information was furnished to the Lenders (and as of the Closing Date, with respect to Information provided prior thereto)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provided thereto).</w:t>
      </w:r>
    </w:p>
    <w:p>
      <w:pPr>
        <w:spacing w:after="0" w:line="113" w:lineRule="exact"/>
        <w:rPr>
          <w:rFonts w:ascii="Times New Roman" w:cs="Times New Roman" w:eastAsia="Times New Roman" w:hAnsi="Times New Roman"/>
          <w:sz w:val="14"/>
          <w:szCs w:val="14"/>
          <w:color w:val="auto"/>
        </w:rPr>
      </w:pPr>
    </w:p>
    <w:p>
      <w:pPr>
        <w:jc w:val="both"/>
        <w:ind w:right="20" w:firstLine="920"/>
        <w:spacing w:after="0"/>
        <w:tabs>
          <w:tab w:leader="none" w:pos="1361" w:val="left"/>
        </w:tabs>
        <w:numPr>
          <w:ilvl w:val="0"/>
          <w:numId w:val="6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Projections prepared by or on behalf of the Parent or any of its representatives and that have been made available to any Lenders or the Administrative Agent in connection with the Transactions or the other transactions contemplated hereby have been prepared in good faith based upon assumptions believed by the Parent to be reasonable as of the time made and at the date thereof (it being understood that such Projections are as to inherently uncertain future events and are not to be viewed as facts, such Projections are subject to significant uncertainties and contingencies and that actual results during the period or periods covered by any such Projections or other forward looking information may differ significantly from the projected results, and that no assurance can be given or is being given that the projected results will be realized), as of the date such Projections were furnished to the Lenders.</w:t>
      </w:r>
    </w:p>
    <w:p>
      <w:pPr>
        <w:spacing w:after="0" w:line="2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3.15.</w:t>
      </w:r>
      <w:r>
        <w:rPr>
          <w:rFonts w:ascii="Times New Roman" w:cs="Times New Roman" w:eastAsia="Times New Roman" w:hAnsi="Times New Roman"/>
          <w:sz w:val="14"/>
          <w:szCs w:val="14"/>
          <w:u w:val="single" w:color="auto"/>
          <w:color w:val="auto"/>
        </w:rPr>
        <w:t>Employee Benefit Plans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8" w:lineRule="auto"/>
        <w:tabs>
          <w:tab w:leader="none" w:pos="1370" w:val="left"/>
        </w:tabs>
        <w:numPr>
          <w:ilvl w:val="0"/>
          <w:numId w:val="6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have a Material Adverse Effect: (i) no Reportable Event has occurred during the past five years as to which the Parent, any of the Subsidiaries or any ERISA Affiliate was required to file a report with the PBGC; (ii) no ERISA Event has occurred or is reasonably expected to occur; and (iii) none of the Parent, the Subsidiaries or any of their ERISA Affiliates has received any written notification that any Multiemployer Plan is in reorganization or has been terminated within the meaning of Title IV of ERISA.</w:t>
      </w:r>
    </w:p>
    <w:p>
      <w:pPr>
        <w:spacing w:after="0" w:line="111" w:lineRule="exact"/>
        <w:rPr>
          <w:rFonts w:ascii="Times New Roman" w:cs="Times New Roman" w:eastAsia="Times New Roman" w:hAnsi="Times New Roman"/>
          <w:sz w:val="14"/>
          <w:szCs w:val="14"/>
          <w:color w:val="auto"/>
        </w:rPr>
      </w:pPr>
    </w:p>
    <w:p>
      <w:pPr>
        <w:jc w:val="both"/>
        <w:ind w:firstLine="920"/>
        <w:spacing w:after="0" w:line="228" w:lineRule="auto"/>
        <w:tabs>
          <w:tab w:leader="none" w:pos="1361" w:val="left"/>
        </w:tabs>
        <w:numPr>
          <w:ilvl w:val="0"/>
          <w:numId w:val="6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have a Material Adverse Effect, each Foreign Pension Plan has been maintained in compliance with its terms and with the requirements of any and all applicable laws, statutes, rules, regulations and orders and has been maintained, where required, in good standing with applicable regulatory authorities. Neither the Parent nor any of the Subsidiaries has incurred or reasonably expects to incur any obligation in an amount that would reasonably be expected to have a Material Adverse Effect in connection with the termination of or withdrawal from any Foreign Pension Plan.</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3.16.</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Except as to matters that would not reasonably be expected to have, individually or in the aggregate, a Material Adverse Effect:</w:t>
      </w:r>
    </w:p>
    <w:p>
      <w:pPr>
        <w:jc w:val="both"/>
        <w:ind w:firstLine="6"/>
        <w:spacing w:after="0" w:line="219" w:lineRule="auto"/>
        <w:tabs>
          <w:tab w:leader="none" w:pos="203" w:val="left"/>
        </w:tabs>
        <w:numPr>
          <w:ilvl w:val="0"/>
          <w:numId w:val="6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written notice, request for information, order, complaint or penalty has been received by the Parent or any of the Subsidiaries, and there are no judicial, administrative or other actions, suits or proceedings pending or, to the Parent’s knowledge, threatened which allege a violation of or liability under any Environmental Laws, in each case relating to the Parent or any of the Subsidiaries, (b) each of the Parent and the Subsidiaries has all environmental permits, licenses, authorizations and other approvals necessary for its operations to comply with all Environmental Laws (“</w:t>
      </w:r>
      <w:r>
        <w:rPr>
          <w:rFonts w:ascii="Times New Roman" w:cs="Times New Roman" w:eastAsia="Times New Roman" w:hAnsi="Times New Roman"/>
          <w:sz w:val="14"/>
          <w:szCs w:val="14"/>
          <w:u w:val="single" w:color="auto"/>
          <w:color w:val="auto"/>
        </w:rPr>
        <w:t>Environmental Permits</w:t>
      </w:r>
      <w:r>
        <w:rPr>
          <w:rFonts w:ascii="Times New Roman" w:cs="Times New Roman" w:eastAsia="Times New Roman" w:hAnsi="Times New Roman"/>
          <w:sz w:val="14"/>
          <w:szCs w:val="14"/>
          <w:color w:val="auto"/>
        </w:rPr>
        <w:t>”) and is, and in the prior eighteen (18) month period has been, in compliance with the terms of such Environmental Permits and with all other Environmental Laws, (c) except as set forth on Schedule 3.16, no Hazardous Material is located at, on or under any property currently or, to the Parent’s knowledge, formerly owned, operated or leased by the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93" w:name="page594"/>
    <w:bookmarkEnd w:id="593"/>
    <w:p>
      <w:pPr>
        <w:spacing w:after="0" w:line="2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Parent or any of the Subsidiaries that would reasonably be expected to give rise to any cost, liability or obligation of the Parent or any of the Subsidiaries under any Environmental Laws or Environmental Permits, and no Hazardous Material has been generated, used, treated, stored, handled, disposed of or controlled, transported or released by the Parent or any of the Subsidiaries, or to the Parent’s knowledge, by any other person, at any location in a manner that would reasonably be expected to give rise to any cost, liability or obligation of the Parent or any of the Subsidiaries under any Environmental Laws or Environmental Permits, (d) there are no agreements in which the Parent or any of the Subsidiaries has expressly assumed or undertaken responsibility for any known or reasonably likely liability or obligation of any other person arising under or relating to Environmental Laws and (e) there has been no written environmental assessment or audit conducted (other than customary assessments not revealing anything that would reasonably be expected to result in a Material Adverse Effect), by or on behalf of the Parent or any of the Subsidiaries of any property currently or, to the Parent’s knowledge, formerly owned, operated or leased by the Parent or any of the Subsidiaries that has not been made available to the Administrative Agent prior to the Closing Date.</w:t>
      </w:r>
    </w:p>
    <w:p>
      <w:pPr>
        <w:spacing w:after="0" w:line="1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3.17.</w:t>
      </w:r>
      <w:r>
        <w:rPr>
          <w:rFonts w:ascii="Times New Roman" w:cs="Times New Roman" w:eastAsia="Times New Roman" w:hAnsi="Times New Roman"/>
          <w:sz w:val="14"/>
          <w:szCs w:val="14"/>
          <w:u w:val="single" w:color="auto"/>
          <w:color w:val="auto"/>
        </w:rPr>
        <w:t>Security Documents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right="20" w:firstLine="920"/>
        <w:spacing w:after="0" w:line="248" w:lineRule="auto"/>
        <w:tabs>
          <w:tab w:leader="none" w:pos="1370"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Legal Reservations, each Security Document is effective to create in favor of the Collateral Agent for the benefit of the Secured Parties a legal, valid and enforceable security interest in the Collateral described therein and proceeds thereof.</w:t>
      </w:r>
    </w:p>
    <w:p>
      <w:pPr>
        <w:spacing w:after="0" w:line="105" w:lineRule="exact"/>
        <w:rPr>
          <w:rFonts w:ascii="Times New Roman" w:cs="Times New Roman" w:eastAsia="Times New Roman" w:hAnsi="Times New Roman"/>
          <w:sz w:val="14"/>
          <w:szCs w:val="14"/>
          <w:color w:val="auto"/>
        </w:rPr>
      </w:pPr>
    </w:p>
    <w:p>
      <w:pPr>
        <w:jc w:val="both"/>
        <w:ind w:firstLine="920"/>
        <w:spacing w:after="0" w:line="218" w:lineRule="auto"/>
        <w:tabs>
          <w:tab w:leader="none" w:pos="1361"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Pledged Collateral described in the U.S. Collateral Agreement, when certificates or promissory notes, as applicable, representing such Pledged Collateral and required to be delivered under the U.S. Collateral Agreement are delivered to the Collateral Agent, and in the case of the other Collateral described in the U.S. Collateral Agreement (other than the registered or applied for Intellectual Property), when financing statements and other filings specified in the Perfection Certificate are filed in the offices specified in the Perfection Certificate, the Collateral Agent (for the benefit of the Secured Parties) shall have a fully perfected first priority Lien (subject, in the case of priority, (x) with respect to Collateral (other than Collateral representing certificated Equity Interests) to Permitted Liens which are prior as a matter of law or contract and (y) with respect to Collateral representing certificated Equity Interests, Permitted Liens referred to in Section 6.02(a), Section 6.02(c), Section 6.02(d), Section 6.02(e), Section 6.02(x) or Section 6.02(kk))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or control, in each case prior and superior in right to the Lien of any other person (except, in the case of priority, (x) with respect to Collateral (other than Collateral representing certificated Equity Interests) to Permitted Liens which are prior as a matter of law or contract and (y) with respect to Collateral representing certificated Equity Interests, Permitted Liens referred to in Section 6.02(a), Section 6.02(c), Section 6.02(d), Section 6.02(e), Section 6.02(x) or Section 6.02(kk)).</w:t>
      </w:r>
    </w:p>
    <w:p>
      <w:pPr>
        <w:spacing w:after="0" w:line="114" w:lineRule="exact"/>
        <w:rPr>
          <w:rFonts w:ascii="Times New Roman" w:cs="Times New Roman" w:eastAsia="Times New Roman" w:hAnsi="Times New Roman"/>
          <w:sz w:val="14"/>
          <w:szCs w:val="14"/>
          <w:color w:val="auto"/>
        </w:rPr>
      </w:pPr>
    </w:p>
    <w:p>
      <w:pPr>
        <w:jc w:val="both"/>
        <w:ind w:firstLine="920"/>
        <w:spacing w:after="0" w:line="223" w:lineRule="auto"/>
        <w:tabs>
          <w:tab w:leader="none" w:pos="1370"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U.S.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(b) above, the Collateral Agent (for the benefit of the Secured Parties) shall have a fully perfected Lien on, and security interest in, all right, title and interest of the Loan Parties thereunder in the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Trademarks and Patents, Trademark and Patent applications and Copyrights acquired by the Loan Parties after the Closing Date).</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perfection actions required to be taken pursuant to terms of each Security Document are taken, the Collateral Agent for the benefit of the Secured Parties (or where required under local law, in favor of the Secured Parties) shall have perfected Liens on and security interests in, all right, title and interest of the Loan Parties in the Collateral described therein, in each case with the priority such Liens are expressed to have within the relevant Security Documents, in each case to</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94" w:name="page595"/>
    <w:bookmarkEnd w:id="594"/>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extent, and subject to the provisions, limitations and/or exceptions, set forth therein, and the Legal Reservations.</w:t>
      </w:r>
    </w:p>
    <w:p>
      <w:pPr>
        <w:spacing w:after="0" w:line="134" w:lineRule="exact"/>
        <w:rPr>
          <w:sz w:val="20"/>
          <w:szCs w:val="20"/>
          <w:color w:val="auto"/>
        </w:rPr>
      </w:pPr>
    </w:p>
    <w:p>
      <w:pPr>
        <w:jc w:val="both"/>
        <w:ind w:firstLine="914"/>
        <w:spacing w:after="0"/>
        <w:rPr>
          <w:sz w:val="20"/>
          <w:szCs w:val="20"/>
          <w:color w:val="auto"/>
        </w:rPr>
      </w:pPr>
      <w:r>
        <w:rPr>
          <w:rFonts w:ascii="Times New Roman" w:cs="Times New Roman" w:eastAsia="Times New Roman" w:hAnsi="Times New Roman"/>
          <w:sz w:val="14"/>
          <w:szCs w:val="14"/>
          <w:color w:val="auto"/>
        </w:rPr>
        <w:t>SECTION 3.18.</w:t>
      </w:r>
      <w:r>
        <w:rPr>
          <w:rFonts w:ascii="Times New Roman" w:cs="Times New Roman" w:eastAsia="Times New Roman" w:hAnsi="Times New Roman"/>
          <w:sz w:val="14"/>
          <w:szCs w:val="14"/>
          <w:u w:val="single" w:color="auto"/>
          <w:color w:val="auto"/>
        </w:rPr>
        <w:t>Solvency</w:t>
      </w:r>
      <w:r>
        <w:rPr>
          <w:rFonts w:ascii="Times New Roman" w:cs="Times New Roman" w:eastAsia="Times New Roman" w:hAnsi="Times New Roman"/>
          <w:sz w:val="14"/>
          <w:szCs w:val="14"/>
          <w:color w:val="auto"/>
        </w:rPr>
        <w:t>. Immediately after giving effect to the consummation of the Transactions on the Closing Date, including the making of any applicable Loans on the Closing Date, and after giving effect to the application of the proceeds of such Loans, (i) the sum of the debt (including contingent liabilities) of the Parent and the Subsidiaries, taken as a whole, does not exceed the fair value of the assets of the Parent and the Subsidiaries, taken as a whole; (ii) the present fair saleable value of the assets of the Parent and the Subsidiaries, taken as a whole, is not less than the amount that will be required to pay the probable liabilities of the Parent and the Subsidiaries, taken as a whole, on their debts as they become absolute and matured; (iii) the Parent and the Subsidiaries, taken as a whole, are able to pay their debts and liabilities, subordinated, contingent or otherwise, as such liabilities become absolute and matured in the ordinary course of business; and (iv) the capital of the Parent and the Subsidiaries, taken as a whole, is not unreasonably small in relation to the business of the Parent and the Subsidiaries, taken as a whole, contemplated as of the date hereof. For the purposes hereof,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49" w:lineRule="exact"/>
        <w:rPr>
          <w:sz w:val="20"/>
          <w:szCs w:val="20"/>
          <w:color w:val="auto"/>
        </w:rPr>
      </w:pPr>
    </w:p>
    <w:p>
      <w:pPr>
        <w:jc w:val="both"/>
        <w:ind w:firstLine="914"/>
        <w:spacing w:after="0" w:line="221" w:lineRule="auto"/>
        <w:rPr>
          <w:sz w:val="20"/>
          <w:szCs w:val="20"/>
          <w:color w:val="auto"/>
        </w:rPr>
      </w:pPr>
      <w:r>
        <w:rPr>
          <w:rFonts w:ascii="Times New Roman" w:cs="Times New Roman" w:eastAsia="Times New Roman" w:hAnsi="Times New Roman"/>
          <w:sz w:val="14"/>
          <w:szCs w:val="14"/>
          <w:color w:val="auto"/>
        </w:rPr>
        <w:t>SECTION 3.19.</w:t>
      </w:r>
      <w:r>
        <w:rPr>
          <w:rFonts w:ascii="Times New Roman" w:cs="Times New Roman" w:eastAsia="Times New Roman" w:hAnsi="Times New Roman"/>
          <w:sz w:val="14"/>
          <w:szCs w:val="14"/>
          <w:u w:val="single" w:color="auto"/>
          <w:color w:val="auto"/>
        </w:rPr>
        <w:t>Labor Matters</w:t>
      </w:r>
      <w:r>
        <w:rPr>
          <w:rFonts w:ascii="Times New Roman" w:cs="Times New Roman" w:eastAsia="Times New Roman" w:hAnsi="Times New Roman"/>
          <w:sz w:val="14"/>
          <w:szCs w:val="14"/>
          <w:color w:val="auto"/>
        </w:rPr>
        <w:t>. Except as, individually or in the aggregate, would not reasonably be expected to have a Material Adverse Effect: (a) there are no strikes or other labor disputes pending or threatened against the Parent or any of the Subsidiaries; (b) the hours worked and payments made to employees of the Parent and the Subsidiaries have not been in violation of the Fair Labor Standards Act or any other applicable law dealing with such matters; and (c) all payments due from the Parent or any of the Subsidiaries or for which any claim may be made against the Parent or any of the Subsidiaries, on account of wages and employee health and welfare insurance and other benefits have been paid or accrued as a liability on the books of the Parent or such Subsidiary to the extent required by IFRS.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Parent or any of the Subsidiaries (or any predecessor) is a party or by which the Parent or any of the Subsidiaries (or any predecessor) is bound.</w:t>
      </w:r>
    </w:p>
    <w:p>
      <w:pPr>
        <w:spacing w:after="0" w:line="114" w:lineRule="exact"/>
        <w:rPr>
          <w:sz w:val="20"/>
          <w:szCs w:val="20"/>
          <w:color w:val="auto"/>
        </w:rPr>
      </w:pPr>
    </w:p>
    <w:p>
      <w:pPr>
        <w:jc w:val="both"/>
        <w:ind w:right="20" w:firstLine="914"/>
        <w:spacing w:after="0" w:line="248" w:lineRule="auto"/>
        <w:rPr>
          <w:sz w:val="20"/>
          <w:szCs w:val="20"/>
          <w:color w:val="auto"/>
        </w:rPr>
      </w:pPr>
      <w:r>
        <w:rPr>
          <w:rFonts w:ascii="Times New Roman" w:cs="Times New Roman" w:eastAsia="Times New Roman" w:hAnsi="Times New Roman"/>
          <w:sz w:val="14"/>
          <w:szCs w:val="14"/>
          <w:color w:val="auto"/>
        </w:rPr>
        <w:t>SECTION 3.20.</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Schedule 3.20 sets forth a true, complete and correct description, in all material respects, of all material insurance (excluding any title insurance) maintained by or on behalf of the Parent or the Subsidiaries as of the Closing Date. As of such date, such insurance is in full force and effect.</w:t>
      </w:r>
    </w:p>
    <w:p>
      <w:pPr>
        <w:spacing w:after="0" w:line="105" w:lineRule="exact"/>
        <w:rPr>
          <w:sz w:val="20"/>
          <w:szCs w:val="20"/>
          <w:color w:val="auto"/>
        </w:rPr>
      </w:pPr>
    </w:p>
    <w:p>
      <w:pPr>
        <w:jc w:val="both"/>
        <w:ind w:firstLine="914"/>
        <w:spacing w:after="0" w:line="221" w:lineRule="auto"/>
        <w:rPr>
          <w:sz w:val="20"/>
          <w:szCs w:val="20"/>
          <w:color w:val="auto"/>
        </w:rPr>
      </w:pPr>
      <w:r>
        <w:rPr>
          <w:rFonts w:ascii="Times New Roman" w:cs="Times New Roman" w:eastAsia="Times New Roman" w:hAnsi="Times New Roman"/>
          <w:sz w:val="14"/>
          <w:szCs w:val="14"/>
          <w:color w:val="auto"/>
        </w:rPr>
        <w:t>SECTION 3.21.</w:t>
      </w:r>
      <w:r>
        <w:rPr>
          <w:rFonts w:ascii="Times New Roman" w:cs="Times New Roman" w:eastAsia="Times New Roman" w:hAnsi="Times New Roman"/>
          <w:sz w:val="14"/>
          <w:szCs w:val="14"/>
          <w:u w:val="single" w:color="auto"/>
          <w:color w:val="auto"/>
        </w:rPr>
        <w:t>Intellectual Property; Licenses, Etc</w:t>
      </w:r>
      <w:r>
        <w:rPr>
          <w:rFonts w:ascii="Times New Roman" w:cs="Times New Roman" w:eastAsia="Times New Roman" w:hAnsi="Times New Roman"/>
          <w:sz w:val="14"/>
          <w:szCs w:val="14"/>
          <w:color w:val="auto"/>
        </w:rPr>
        <w:t>. Except as would not reasonably be expected to have a Material Adverse Effect or as set forth in Schedule 3.21, (a) the Parent and each of the Subsidiaries owns, or possesses the right to use, all Intellectual Property that are used or held for use or is otherwise reasonably necessary in the operation of their respective businesses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clause (a) shall not be interpreted as a representation or warranty with respect to the infringement, misappropriation or other violation of the Intellectual Property of any person, which is covered in clause (b)), (b) to the knowledge of the Parent, the Parent and the Subsidiaries are not interfering with, infringing upon, misappropriating or otherwise violating the Intellectual Property of any person, (c) to the knowledge of the Parent, no person is interfering with, infringing upon, misappropriating or otherwise violating any Intellectual Property owned by the Parent or its Subsidiaries and (d) no claim or litigation regarding any of the foregoing is pending or, to the knowledge of the Parent, threatened against the Parent or its Subsidiaries.</w:t>
      </w:r>
    </w:p>
    <w:p>
      <w:pPr>
        <w:spacing w:after="0" w:line="114" w:lineRule="exact"/>
        <w:rPr>
          <w:sz w:val="20"/>
          <w:szCs w:val="20"/>
          <w:color w:val="auto"/>
        </w:rPr>
      </w:pPr>
    </w:p>
    <w:p>
      <w:pPr>
        <w:ind w:right="20" w:firstLine="914"/>
        <w:spacing w:after="0" w:line="248" w:lineRule="auto"/>
        <w:rPr>
          <w:sz w:val="20"/>
          <w:szCs w:val="20"/>
          <w:color w:val="auto"/>
        </w:rPr>
      </w:pPr>
      <w:r>
        <w:rPr>
          <w:rFonts w:ascii="Times New Roman" w:cs="Times New Roman" w:eastAsia="Times New Roman" w:hAnsi="Times New Roman"/>
          <w:sz w:val="14"/>
          <w:szCs w:val="14"/>
          <w:color w:val="auto"/>
        </w:rPr>
        <w:t>SECTION 3.22.</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 xml:space="preserve"> . Except as would not reasonably be expected to have a Material Adverse Effect, the Parent and each of the Subsidiaries is in compliance with the USA PATRIOT Act.</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3.23.</w:t>
      </w:r>
      <w:r>
        <w:rPr>
          <w:rFonts w:ascii="Times New Roman" w:cs="Times New Roman" w:eastAsia="Times New Roman" w:hAnsi="Times New Roman"/>
          <w:sz w:val="14"/>
          <w:szCs w:val="14"/>
          <w:u w:val="single" w:color="auto"/>
          <w:color w:val="auto"/>
        </w:rPr>
        <w:t>Anti-Money Laundering Laws; Sanctions; Anti-Corruption Laws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95" w:name="page596"/>
    <w:bookmarkEnd w:id="595"/>
    <w:p>
      <w:pPr>
        <w:spacing w:after="0" w:line="24" w:lineRule="exact"/>
        <w:rPr>
          <w:sz w:val="20"/>
          <w:szCs w:val="20"/>
          <w:color w:val="auto"/>
        </w:rPr>
      </w:pPr>
    </w:p>
    <w:p>
      <w:pPr>
        <w:jc w:val="both"/>
        <w:ind w:right="40" w:firstLine="920"/>
        <w:spacing w:after="0" w:line="233" w:lineRule="auto"/>
        <w:tabs>
          <w:tab w:leader="none" w:pos="1370" w:val="left"/>
        </w:tabs>
        <w:numPr>
          <w:ilvl w:val="0"/>
          <w:numId w:val="6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Parent nor any Subsidiary, nor any of their respective directors, officers or, to the knowledge of the Parent, employees, in each case that will act in any capacity in connection with this Agreement, is in violation, in any material respect, of any Anti-Corruption Laws, or Anti-Money Laundering Laws. No part of the proceeds of the Loans and no Letter of Credit shall be used, directly or knowingly indirectly, by the Parent or any Subsidiary in violation of Anti-Corruption Laws or Anti-Money Laundering Laws.</w:t>
      </w:r>
    </w:p>
    <w:p>
      <w:pPr>
        <w:spacing w:after="0" w:line="111" w:lineRule="exact"/>
        <w:rPr>
          <w:rFonts w:ascii="Times New Roman" w:cs="Times New Roman" w:eastAsia="Times New Roman" w:hAnsi="Times New Roman"/>
          <w:sz w:val="14"/>
          <w:szCs w:val="14"/>
          <w:color w:val="auto"/>
        </w:rPr>
      </w:pPr>
    </w:p>
    <w:p>
      <w:pPr>
        <w:jc w:val="both"/>
        <w:ind w:firstLine="920"/>
        <w:spacing w:after="0" w:line="225" w:lineRule="auto"/>
        <w:tabs>
          <w:tab w:leader="none" w:pos="1361" w:val="left"/>
        </w:tabs>
        <w:numPr>
          <w:ilvl w:val="0"/>
          <w:numId w:val="6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Parent nor any Subsidiary, nor, to the knowledge and belief of the Parent, any of their respective directors, officers, employees or agents: (i) is a Sanctions Restricted Person; (ii) has violated, or is violating, any applicable Sanctions Laws; or (iii) is subject to any claim, proceeding, formal notice or investigation, by a Sanctions Authority in respect of a breach of Sanctions Laws. No part of the proceeds of the Loans and no Letter of Credit shall be used, directly or indirectly, by the Parent or any Subsidiary in violation of Sanctions Laws. This clause (b) shall not apply to any person if and to the extent that the application of those provisions would result in any violation of, conflict with or liability under, any Blocking Law (as notified to the Administrative Agent by the applicable person).</w:t>
      </w:r>
    </w:p>
    <w:p>
      <w:pPr>
        <w:spacing w:after="0" w:line="111" w:lineRule="exact"/>
        <w:rPr>
          <w:sz w:val="20"/>
          <w:szCs w:val="20"/>
          <w:color w:val="auto"/>
        </w:rPr>
      </w:pPr>
    </w:p>
    <w:p>
      <w:pPr>
        <w:jc w:val="both"/>
        <w:ind w:right="20" w:firstLine="914"/>
        <w:spacing w:after="0" w:line="228" w:lineRule="auto"/>
        <w:rPr>
          <w:sz w:val="20"/>
          <w:szCs w:val="20"/>
          <w:color w:val="auto"/>
        </w:rPr>
      </w:pPr>
      <w:r>
        <w:rPr>
          <w:rFonts w:ascii="Times New Roman" w:cs="Times New Roman" w:eastAsia="Times New Roman" w:hAnsi="Times New Roman"/>
          <w:sz w:val="14"/>
          <w:szCs w:val="14"/>
          <w:color w:val="auto"/>
        </w:rPr>
        <w:t>SECTION 3.24.</w:t>
      </w:r>
      <w:r>
        <w:rPr>
          <w:rFonts w:ascii="Times New Roman" w:cs="Times New Roman" w:eastAsia="Times New Roman" w:hAnsi="Times New Roman"/>
          <w:sz w:val="14"/>
          <w:szCs w:val="14"/>
          <w:u w:val="single" w:color="auto"/>
          <w:color w:val="auto"/>
        </w:rPr>
        <w:t>Centre of Main Interests</w:t>
      </w:r>
      <w:r>
        <w:rPr>
          <w:rFonts w:ascii="Times New Roman" w:cs="Times New Roman" w:eastAsia="Times New Roman" w:hAnsi="Times New Roman"/>
          <w:sz w:val="14"/>
          <w:szCs w:val="14"/>
          <w:color w:val="auto"/>
        </w:rPr>
        <w:t>. For the purposes of the EU Insolvency Regulation, each EU Loan Party’s centre of main interests (as that term is used in Article 3(1) of the EU Insolvency Regulation) is situated in its jurisdiction of organization, registration or incorporation and it has no “establishment” (as that term is used in Article 2(10) of the EU Insolvency Regulation) in any other jurisdiction. For the purpose of a Danish Loan Party, the centre of main interests (as that term is used in Article 3(1) of EU Insolvency Regulation) is situated in its jurisdiction of incorporation.</w:t>
      </w:r>
    </w:p>
    <w:p>
      <w:pPr>
        <w:spacing w:after="0" w:line="1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IV</w:t>
      </w:r>
    </w:p>
    <w:p>
      <w:pPr>
        <w:spacing w:after="0" w:line="1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u w:val="single" w:color="auto"/>
          <w:color w:val="auto"/>
        </w:rPr>
        <w:t>Conditions of Lending</w:t>
      </w:r>
    </w:p>
    <w:p>
      <w:pPr>
        <w:spacing w:after="0" w:line="134" w:lineRule="exact"/>
        <w:rPr>
          <w:sz w:val="20"/>
          <w:szCs w:val="20"/>
          <w:color w:val="auto"/>
        </w:rPr>
      </w:pPr>
    </w:p>
    <w:p>
      <w:pPr>
        <w:jc w:val="both"/>
        <w:ind w:firstLine="914"/>
        <w:spacing w:after="0" w:line="228" w:lineRule="auto"/>
        <w:rPr>
          <w:sz w:val="20"/>
          <w:szCs w:val="20"/>
          <w:color w:val="auto"/>
        </w:rPr>
      </w:pPr>
      <w:r>
        <w:rPr>
          <w:rFonts w:ascii="Times New Roman" w:cs="Times New Roman" w:eastAsia="Times New Roman" w:hAnsi="Times New Roman"/>
          <w:sz w:val="14"/>
          <w:szCs w:val="14"/>
          <w:color w:val="auto"/>
        </w:rPr>
        <w:t>SECTION 4.01.</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The effectiveness of this Agreement and the obligations of (a) each Lender with an Initial Term A Commitment to make Initial Term A Loans to the Borrowers, (b) each Lender with an Initial Term B Commitment to make Initial Term B Loans to the Borrowers, (c) each Lender with an Initial Revolving Commitment to make Initial Revolving Loans to the Borrowers and (d) any Issuing Bank to issue, amend, extend or renew Letters of Credit, as applicable, or increase the stated amounts of Letters of Credit hereunder (each, a “</w:t>
      </w:r>
      <w:r>
        <w:rPr>
          <w:rFonts w:ascii="Times New Roman" w:cs="Times New Roman" w:eastAsia="Times New Roman" w:hAnsi="Times New Roman"/>
          <w:sz w:val="14"/>
          <w:szCs w:val="14"/>
          <w:u w:val="single" w:color="auto"/>
          <w:color w:val="auto"/>
        </w:rPr>
        <w:t>Credit Event</w:t>
      </w:r>
      <w:r>
        <w:rPr>
          <w:rFonts w:ascii="Times New Roman" w:cs="Times New Roman" w:eastAsia="Times New Roman" w:hAnsi="Times New Roman"/>
          <w:sz w:val="14"/>
          <w:szCs w:val="14"/>
          <w:color w:val="auto"/>
        </w:rPr>
        <w:t>”), in each case, on the Closing Date, are subject to the satisfaction (or waiver in accordance with Section 9.08) of the following conditions:</w:t>
      </w:r>
    </w:p>
    <w:p>
      <w:pPr>
        <w:spacing w:after="0" w:line="112" w:lineRule="exact"/>
        <w:rPr>
          <w:sz w:val="20"/>
          <w:szCs w:val="20"/>
          <w:color w:val="auto"/>
        </w:rPr>
      </w:pPr>
    </w:p>
    <w:p>
      <w:pPr>
        <w:jc w:val="both"/>
        <w:ind w:right="40" w:firstLine="920"/>
        <w:spacing w:after="0" w:line="233" w:lineRule="auto"/>
        <w:tabs>
          <w:tab w:leader="none" w:pos="1370" w:val="left"/>
        </w:tabs>
        <w:numPr>
          <w:ilvl w:val="0"/>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(i) from the Borrowers, the Lenders, the Issuing Banks and the Collateral Agent a counterpart of this Agreement signed on behalf of such party and (ii) from each of the Collateral Agent, Wilmington Trust, National Association, as trustee under the Secured Notes Indenture, and the Loan Parties a counterpart of the Closing Date Intercreditor Agreement signed on behalf of such party.</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a Borrowing Request as required by Section 2.03.</w:t>
      </w:r>
    </w:p>
    <w:p>
      <w:pPr>
        <w:spacing w:after="0" w:line="134"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required to be satisfied on the Closing Date, the Collateral and Guarantee Requirement shall be satisfied (or waived in accordance with Section 9.08) as of the Closing Date.</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and after giving effect to the Transactions on the Closing Date, (i) the Transaction Agreement Representations shall be true and correct in all material respects (unless already qualified by materiality or “material adverse effect”, in which case they shall be true and correct in all respects) and (b) the Specified Representations shall be true and correct in all material respects (unless already qualified by materiality or “material adverse effect”, in which case they shall be true and correct in all respects).</w:t>
      </w:r>
    </w:p>
    <w:p>
      <w:pPr>
        <w:spacing w:after="0" w:line="109"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Administrative Agent shall have received a solvency certificate substantially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and signed by the chief financial officer (or other</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officer with reasonably</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96" w:name="page597"/>
    <w:bookmarkEnd w:id="596"/>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equivalent responsibilities) of the Parent confirming the solvency of the Parent and the Subsidiaries on a consolidated basis after giving effect to the Transactions on the Closing Date.</w:t>
      </w:r>
    </w:p>
    <w:p>
      <w:pPr>
        <w:spacing w:after="0" w:line="134" w:lineRule="exact"/>
        <w:rPr>
          <w:sz w:val="20"/>
          <w:szCs w:val="20"/>
          <w:color w:val="auto"/>
        </w:rPr>
      </w:pPr>
    </w:p>
    <w:p>
      <w:pPr>
        <w:ind w:firstLine="920"/>
        <w:spacing w:after="0"/>
        <w:tabs>
          <w:tab w:leader="none" w:pos="1370" w:val="left"/>
        </w:tabs>
        <w:numPr>
          <w:ilvl w:val="0"/>
          <w:numId w:val="6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5.15, the Administrative Agent shall have received, on behalf of itself, the Lenders and each Issuing Bank, a written opinion of (i) Allen Overy Shearman Sterling US LLP, as special New York counsel for the Loan Parties, (ii) Kromann Reumert, Danish counsel to the Loan Parties and (iii) Stibbe London B.V., Dutch counsel to the Administrative Agent, in each case (A) dated the Closing Date, (B) addressed to the Lenders, each Issuing Bank, the Administrative Agent and the Collateral Agent on the Closing Date and (C) in form and substance reasonably satisfactory to the Administrative Agent covering such matters relating to the Loan Documents as the Administrative Agent shall reasonably request.</w:t>
      </w:r>
    </w:p>
    <w:p>
      <w:pPr>
        <w:spacing w:after="0" w:line="219"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a certificate of the Secretary or Assistant Secretary or similar officer of each Loan Party dated the Closing Date and</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certifying:</w:t>
      </w:r>
    </w:p>
    <w:p>
      <w:pPr>
        <w:spacing w:after="0" w:line="118" w:lineRule="exact"/>
        <w:rPr>
          <w:sz w:val="20"/>
          <w:szCs w:val="20"/>
          <w:color w:val="auto"/>
        </w:rPr>
      </w:pPr>
    </w:p>
    <w:p>
      <w:pPr>
        <w:ind w:left="1380" w:hanging="460"/>
        <w:spacing w:after="0"/>
        <w:tabs>
          <w:tab w:leader="none" w:pos="1380" w:val="left"/>
        </w:tabs>
        <w:numPr>
          <w:ilvl w:val="0"/>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Dutch Loan Party:</w:t>
      </w:r>
    </w:p>
    <w:p>
      <w:pPr>
        <w:spacing w:after="0" w:line="134" w:lineRule="exact"/>
        <w:rPr>
          <w:rFonts w:ascii="Times New Roman" w:cs="Times New Roman" w:eastAsia="Times New Roman" w:hAnsi="Times New Roman"/>
          <w:sz w:val="14"/>
          <w:szCs w:val="14"/>
          <w:color w:val="auto"/>
        </w:rPr>
      </w:pPr>
    </w:p>
    <w:p>
      <w:pPr>
        <w:ind w:left="920" w:right="20" w:firstLine="457"/>
        <w:spacing w:after="0" w:line="248" w:lineRule="auto"/>
        <w:tabs>
          <w:tab w:leader="none" w:pos="1824" w:val="left"/>
        </w:tabs>
        <w:numPr>
          <w:ilvl w:val="1"/>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attached thereto is a true and complete copy of (A) its deed of incorporation, (B) its up-to-date articles of association and (C) an up-to-date extract of the Dutch trade register relating to that Dutch Loan Party; and</w:t>
      </w:r>
    </w:p>
    <w:p>
      <w:pPr>
        <w:spacing w:after="0" w:line="103" w:lineRule="exact"/>
        <w:rPr>
          <w:rFonts w:ascii="Times New Roman" w:cs="Times New Roman" w:eastAsia="Times New Roman" w:hAnsi="Times New Roman"/>
          <w:sz w:val="14"/>
          <w:szCs w:val="14"/>
          <w:color w:val="auto"/>
        </w:rPr>
      </w:pPr>
    </w:p>
    <w:p>
      <w:pPr>
        <w:jc w:val="both"/>
        <w:ind w:left="920" w:firstLine="457"/>
        <w:spacing w:after="0" w:line="226" w:lineRule="auto"/>
        <w:tabs>
          <w:tab w:leader="none" w:pos="1824" w:val="left"/>
        </w:tabs>
        <w:numPr>
          <w:ilvl w:val="1"/>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evidence that all consultation procedures required pursuant to the Dutch Works Council Act ( </w:t>
      </w:r>
      <w:r>
        <w:rPr>
          <w:rFonts w:ascii="Times New Roman" w:cs="Times New Roman" w:eastAsia="Times New Roman" w:hAnsi="Times New Roman"/>
          <w:sz w:val="14"/>
          <w:szCs w:val="14"/>
          <w:i w:val="1"/>
          <w:iCs w:val="1"/>
          <w:color w:val="auto"/>
        </w:rPr>
        <w:t>Wet op de ondernemingsraden</w:t>
      </w:r>
      <w:r>
        <w:rPr>
          <w:rFonts w:ascii="Times New Roman" w:cs="Times New Roman" w:eastAsia="Times New Roman" w:hAnsi="Times New Roman"/>
          <w:sz w:val="14"/>
          <w:szCs w:val="14"/>
          <w:color w:val="auto"/>
        </w:rPr>
        <w:t>) have been fulfilled and that the (central) works council either has rendered a neutral or positive advice in relation to the transactions contemplated by the Loan Documents (which, if conditional, contains conditions which can reasonably be complied with and would not cause and are not reasonably likely to cause a breach of any term of any Loan Document) or has waived any objection thereto, or (B) confirmation that the Dutch Loan Party does not have a (central) works council or European works council having jurisdiction over the relevant Dutch Loan Party and no works council will be installed in the foreseeable future,</w:t>
      </w:r>
    </w:p>
    <w:p>
      <w:pPr>
        <w:spacing w:after="0" w:line="110"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U.S. Loan Party:</w:t>
      </w:r>
    </w:p>
    <w:p>
      <w:pPr>
        <w:spacing w:after="0" w:line="134" w:lineRule="exact"/>
        <w:rPr>
          <w:rFonts w:ascii="Times New Roman" w:cs="Times New Roman" w:eastAsia="Times New Roman" w:hAnsi="Times New Roman"/>
          <w:sz w:val="14"/>
          <w:szCs w:val="14"/>
          <w:color w:val="auto"/>
        </w:rPr>
      </w:pPr>
    </w:p>
    <w:p>
      <w:pPr>
        <w:jc w:val="both"/>
        <w:ind w:left="920" w:right="20" w:firstLine="457"/>
        <w:spacing w:after="0" w:line="233" w:lineRule="auto"/>
        <w:tabs>
          <w:tab w:leader="none" w:pos="1824" w:val="left"/>
        </w:tabs>
        <w:numPr>
          <w:ilvl w:val="1"/>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attached thereto is a true and complete copy of the certificate or articles of incorporation, certificate of limited partnership, certificate of formation or other equivalent constituent and governing documents, including all amendments thereto, of such U.S. Loan Party, certified as of a recent date by the Secretary of State (or other similar official or Governmental Authority) of the jurisdiction of its organization;</w:t>
      </w:r>
    </w:p>
    <w:p>
      <w:pPr>
        <w:spacing w:after="0" w:line="111" w:lineRule="exact"/>
        <w:rPr>
          <w:rFonts w:ascii="Times New Roman" w:cs="Times New Roman" w:eastAsia="Times New Roman" w:hAnsi="Times New Roman"/>
          <w:sz w:val="14"/>
          <w:szCs w:val="14"/>
          <w:color w:val="auto"/>
        </w:rPr>
      </w:pPr>
    </w:p>
    <w:p>
      <w:pPr>
        <w:jc w:val="both"/>
        <w:ind w:left="920" w:firstLine="457"/>
        <w:spacing w:after="0" w:line="233" w:lineRule="auto"/>
        <w:tabs>
          <w:tab w:leader="none" w:pos="1824" w:val="left"/>
        </w:tabs>
        <w:numPr>
          <w:ilvl w:val="1"/>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attached thereto is a true and complete copy of a certificate as to the good standing (or comparable status) of each Loan Party (to the extent that such concept exists in such jurisdiction) as of a recent date from such Secretary of State (or other similar official or Governmental Authority) of the jurisdiction of its organization; and</w:t>
      </w:r>
    </w:p>
    <w:p>
      <w:pPr>
        <w:spacing w:after="0" w:line="111" w:lineRule="exact"/>
        <w:rPr>
          <w:rFonts w:ascii="Times New Roman" w:cs="Times New Roman" w:eastAsia="Times New Roman" w:hAnsi="Times New Roman"/>
          <w:sz w:val="14"/>
          <w:szCs w:val="14"/>
          <w:color w:val="auto"/>
        </w:rPr>
      </w:pPr>
    </w:p>
    <w:p>
      <w:pPr>
        <w:jc w:val="both"/>
        <w:ind w:left="920" w:right="20" w:firstLine="457"/>
        <w:spacing w:after="0" w:line="233" w:lineRule="auto"/>
        <w:tabs>
          <w:tab w:leader="none" w:pos="1824" w:val="left"/>
        </w:tabs>
        <w:numPr>
          <w:ilvl w:val="1"/>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attached thereto is a true and complete copy of the by-laws (or partnership agreement, limited liability company agreement or other equivalent constituent and governing documents) which is in effect on the Closing Date and at all times since a date prior to the date of the resolutions described in the clause (iv) below,</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Danish Loan Party:</w:t>
      </w:r>
    </w:p>
    <w:p>
      <w:pPr>
        <w:spacing w:after="0" w:line="132" w:lineRule="exact"/>
        <w:rPr>
          <w:rFonts w:ascii="Times New Roman" w:cs="Times New Roman" w:eastAsia="Times New Roman" w:hAnsi="Times New Roman"/>
          <w:sz w:val="14"/>
          <w:szCs w:val="14"/>
          <w:color w:val="auto"/>
        </w:rPr>
      </w:pPr>
    </w:p>
    <w:p>
      <w:pPr>
        <w:ind w:left="920" w:right="20" w:firstLine="457"/>
        <w:spacing w:after="0" w:line="251" w:lineRule="auto"/>
        <w:tabs>
          <w:tab w:leader="none" w:pos="1824" w:val="left"/>
        </w:tabs>
        <w:numPr>
          <w:ilvl w:val="1"/>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attached thereto is a true, complete and up-to-date transcript (in Danish: </w:t>
      </w:r>
      <w:r>
        <w:rPr>
          <w:rFonts w:ascii="Times New Roman" w:cs="Times New Roman" w:eastAsia="Times New Roman" w:hAnsi="Times New Roman"/>
          <w:sz w:val="14"/>
          <w:szCs w:val="14"/>
          <w:i w:val="1"/>
          <w:iCs w:val="1"/>
          <w:color w:val="auto"/>
        </w:rPr>
        <w:t>fuld visning</w:t>
      </w:r>
      <w:r>
        <w:rPr>
          <w:rFonts w:ascii="Times New Roman" w:cs="Times New Roman" w:eastAsia="Times New Roman" w:hAnsi="Times New Roman"/>
          <w:sz w:val="14"/>
          <w:szCs w:val="14"/>
          <w:color w:val="auto"/>
        </w:rPr>
        <w:t xml:space="preserve">) from the Danish Business Authority (in Danish: </w:t>
      </w:r>
      <w:r>
        <w:rPr>
          <w:rFonts w:ascii="Times New Roman" w:cs="Times New Roman" w:eastAsia="Times New Roman" w:hAnsi="Times New Roman"/>
          <w:sz w:val="14"/>
          <w:szCs w:val="14"/>
          <w:i w:val="1"/>
          <w:iCs w:val="1"/>
          <w:color w:val="auto"/>
        </w:rPr>
        <w:t>Erhvervsstyrelsen</w:t>
      </w:r>
      <w:r>
        <w:rPr>
          <w:rFonts w:ascii="Times New Roman" w:cs="Times New Roman" w:eastAsia="Times New Roman" w:hAnsi="Times New Roman"/>
          <w:sz w:val="14"/>
          <w:szCs w:val="14"/>
          <w:color w:val="auto"/>
        </w:rPr>
        <w:t>) for such Loan Party; and</w:t>
      </w:r>
    </w:p>
    <w:p>
      <w:pPr>
        <w:spacing w:after="0" w:line="103"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attached thereto is a true and complete copy of its Organizational Documents, all of which are in effect on the Closing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97" w:name="page598"/>
    <w:bookmarkEnd w:id="597"/>
    <w:p>
      <w:pPr>
        <w:spacing w:after="0" w:line="22" w:lineRule="exact"/>
        <w:rPr>
          <w:sz w:val="20"/>
          <w:szCs w:val="20"/>
          <w:color w:val="auto"/>
        </w:rPr>
      </w:pPr>
    </w:p>
    <w:p>
      <w:pPr>
        <w:ind w:left="1380" w:hanging="460"/>
        <w:spacing w:after="0"/>
        <w:tabs>
          <w:tab w:leader="none" w:pos="1380" w:val="left"/>
        </w:tabs>
        <w:numPr>
          <w:ilvl w:val="1"/>
          <w:numId w:val="6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attached thereto is a true and complete copy of resolutions duly adopted by (x) the Board of Directors (or equivalent governing body) of each Loan Party,</w:t>
      </w:r>
    </w:p>
    <w:p>
      <w:pPr>
        <w:jc w:val="both"/>
        <w:ind w:left="460" w:right="40" w:firstLine="3"/>
        <w:spacing w:after="0" w:line="225" w:lineRule="auto"/>
        <w:tabs>
          <w:tab w:leader="none" w:pos="662" w:val="left"/>
        </w:tabs>
        <w:numPr>
          <w:ilvl w:val="0"/>
          <w:numId w:val="6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required, any supervisory board and (z) to the extent required, the general meeting of shareholders of the relevant Loan Party, authorizing the execution, delivery and performance by such Loan Party of this Agreement and each of the other Loan Documents to be executed and delivered by such Loan Party and the borrowings hereunder and that such resolutions have not been modified, rescinded or amended and are in full force and effect on the Closing Date,</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certain other customary certifications with respect to Foreign Loan Parties, and</w:t>
      </w:r>
    </w:p>
    <w:p>
      <w:pPr>
        <w:spacing w:after="0" w:line="134" w:lineRule="exact"/>
        <w:rPr>
          <w:rFonts w:ascii="Times New Roman" w:cs="Times New Roman" w:eastAsia="Times New Roman" w:hAnsi="Times New Roman"/>
          <w:sz w:val="14"/>
          <w:szCs w:val="14"/>
          <w:color w:val="auto"/>
        </w:rPr>
      </w:pPr>
    </w:p>
    <w:p>
      <w:pPr>
        <w:ind w:left="460" w:right="60" w:firstLine="460"/>
        <w:spacing w:after="0" w:line="248" w:lineRule="auto"/>
        <w:tabs>
          <w:tab w:leader="none" w:pos="1374" w:val="left"/>
        </w:tabs>
        <w:numPr>
          <w:ilvl w:val="1"/>
          <w:numId w:val="6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the incumbency and specimen signature of each officer, director or authorized signatory, as applicable, executing this Agreement or any other Loan Document delivered in connection herewith on behalf of each Loan Party.</w:t>
      </w:r>
    </w:p>
    <w:p>
      <w:pPr>
        <w:spacing w:after="0" w:line="105" w:lineRule="exact"/>
        <w:rPr>
          <w:sz w:val="20"/>
          <w:szCs w:val="20"/>
          <w:color w:val="auto"/>
        </w:rPr>
      </w:pPr>
    </w:p>
    <w:p>
      <w:pPr>
        <w:jc w:val="both"/>
        <w:ind w:firstLine="920"/>
        <w:spacing w:after="0" w:line="228" w:lineRule="auto"/>
        <w:tabs>
          <w:tab w:leader="none" w:pos="1361" w:val="left"/>
        </w:tabs>
        <w:numPr>
          <w:ilvl w:val="0"/>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substantially concurrently with the availability and initial funding of the Initial Facilities on the Closing Date, the Offer (as defined in the Transaction Agreement as in effect on the Transaction Agreement Date) shall be consummated in accordance in all material respects with the terms of the Transaction Agreement, but without giving effect to any amendments, waivers or consents by the Parent or its applicable Affiliate that are materially adverse to the interests of the Initial Lenders or the Arrangers, in their respective capacities as such.</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23" w:lineRule="auto"/>
        <w:tabs>
          <w:tab w:leader="none" w:pos="1370" w:val="left"/>
        </w:tabs>
        <w:numPr>
          <w:ilvl w:val="0"/>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Arrangers shall have received, in each case prepared in accordance with IFRS, (i) an audited consolidated balance sheet and the related audited consolidated statements of comprehensive income, cash flows and changes in equity of the Parent and its consolidated subsidiaries as of and for (A) the fiscal years ended December 31, 2023 and December 31, 2024 and (B) each subsequent fiscal year ending at least 60 days prior to the Closing Date, in each case setting forth in comparative form, as applicable, the figures for the previous fiscal year and (ii) an unaudited consolidated balance sheet and the related unaudited consolidated statements of comprehensive income, cash flows and changes in equity of the Parent for (A) the fiscal quarters ended March 31, 2025 and June 30, 2025 and (B) each subsequent fiscal quarter ending at least 40 days prior to the Closing Date (other than any fiscal fourth quarter).</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3" w:lineRule="auto"/>
        <w:tabs>
          <w:tab w:leader="none" w:pos="1370" w:val="left"/>
        </w:tabs>
        <w:numPr>
          <w:ilvl w:val="0"/>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Arrangers shall have received, in each case prepared in accordance with GAAP, (i) an audited consolidated balance sheet and the related audited consolidated statements of operations and comprehensive loss, cash flows and shareholders’ equity of Merus for (A) the fiscal years ended December 31, 2023 and December 31, 2024 and (B) each subsequent fiscal year ending at least 60 days prior to the Closing Date, in each case setting forth in comparative form, as applicable, the figures for the previous fiscal year and (ii) an unaudited condensed consolidated balance sheet and the related unaudited condensed consolidated statements of operations and comprehensive loss, cash flows and shareholders’ equity of Merus for (A) fiscal quarters ended March 31, 2025 and June 30, 2025 and (B) each subsequent fiscal quarter ending at least 40 days prior to the Closing Date (other than any fiscal fourth quarter).</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25" w:lineRule="auto"/>
        <w:tabs>
          <w:tab w:leader="none" w:pos="1361" w:val="left"/>
        </w:tabs>
        <w:numPr>
          <w:ilvl w:val="0"/>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Arrangers shall have received (i) unaudited pro forma statements of income of the Parent and its subsidiaries giving effect to the Transactions and any other significant acquisitions effected during or subsequent to such period, prepared in accordance with Article 11 of Regulation S-X, for each of (A) the most recent fiscal year of the Parent for which audited consolidated financial statements are required to be delivered under Section 4.01(i)(i) above and (B) the most recent interim period of the Parent for which unaudited consolidated financial statements are required to be delivered under Section 4.01(i)(ii) above and (ii) an unaudited pro forma consolidated balance sheet of the Parent giving effect to the Transactions, prepared in accordance with Article 11 of Regulation S-X, as of the date of the most recent balance sheet required to be delivered under Section 4.01(i).</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70" w:val="left"/>
        </w:tabs>
        <w:numPr>
          <w:ilvl w:val="0"/>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and each Lender shall have received at least three Business Days prior to the Closing Date (x) all documentation and other information required by regulatory authorities under applicable “know your customer” and anti-money laundering rules and regulations, including, without limitation, the USA PATRIOT Act, that has been reasonably requested by</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135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598" w:name="page599"/>
    <w:bookmarkEnd w:id="598"/>
    <w:p>
      <w:pPr>
        <w:spacing w:after="0" w:line="2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the Administrative Agent or such Lender at least ten Business Days in advance of the Closing Date and (y) with respect to the Parent, to the extent that it qualifies as a “legal entity customer” under the Beneficial Ownership Regulation, a certification regarding beneficial ownership as required by the Beneficial Ownership Regulation to the extent requested in writing by the Administrative Agent and/or a Lender at least 10 Business Days prior to the Closing Date.</w:t>
      </w:r>
    </w:p>
    <w:p>
      <w:pPr>
        <w:spacing w:after="0" w:line="112" w:lineRule="exact"/>
        <w:rPr>
          <w:sz w:val="20"/>
          <w:szCs w:val="20"/>
          <w:color w:val="auto"/>
        </w:rPr>
      </w:pPr>
    </w:p>
    <w:p>
      <w:pPr>
        <w:ind w:right="20" w:firstLine="920"/>
        <w:spacing w:after="0" w:line="248" w:lineRule="auto"/>
        <w:tabs>
          <w:tab w:leader="none" w:pos="1370" w:val="left"/>
        </w:tabs>
        <w:numPr>
          <w:ilvl w:val="0"/>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a certificate, dated the Closing Date and signed by a Responsible Officer of the Parent on behalf of each Loan Party, confirming compliance with the conditions precedent set forth in Sections 4.01(d), (h), (n) and (p).</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0"/>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substantially concurrently with, the availability and, if applicable, funding of the Initial Facilities on the Closing Date, the Closing Date Refinancing shall have been consummated.</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fees and expenses required to be paid by the Parent to the Agents, the Arrangers and the Lenders on the Closing Date, in the case of expenses to the extent invoiced at least three Business Days prior to the Closing Date, shall be paid prior to or substantially concurrently with the availability of and initial funding of the Initial Facilities.</w:t>
      </w:r>
    </w:p>
    <w:p>
      <w:pPr>
        <w:spacing w:after="0" w:line="105" w:lineRule="exact"/>
        <w:rPr>
          <w:rFonts w:ascii="Times New Roman" w:cs="Times New Roman" w:eastAsia="Times New Roman" w:hAnsi="Times New Roman"/>
          <w:sz w:val="14"/>
          <w:szCs w:val="14"/>
          <w:color w:val="auto"/>
        </w:rPr>
      </w:pPr>
    </w:p>
    <w:p>
      <w:pPr>
        <w:ind w:right="60" w:firstLine="920"/>
        <w:spacing w:after="0" w:line="248" w:lineRule="auto"/>
        <w:tabs>
          <w:tab w:leader="none" w:pos="1361" w:val="left"/>
        </w:tabs>
        <w:numPr>
          <w:ilvl w:val="0"/>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Transaction Agreement, there shall not have occurred a Company Material Adverse Effect (as defined in the Transaction Agreement as in effect on the Transaction Agreement Date).</w:t>
      </w: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4.02.</w:t>
      </w:r>
      <w:r>
        <w:rPr>
          <w:rFonts w:ascii="Times New Roman" w:cs="Times New Roman" w:eastAsia="Times New Roman" w:hAnsi="Times New Roman"/>
          <w:sz w:val="14"/>
          <w:szCs w:val="14"/>
          <w:u w:val="single" w:color="auto"/>
          <w:color w:val="auto"/>
        </w:rPr>
        <w:t>Subsequent Credit Events</w:t>
      </w:r>
      <w:r>
        <w:rPr>
          <w:rFonts w:ascii="Times New Roman" w:cs="Times New Roman" w:eastAsia="Times New Roman" w:hAnsi="Times New Roman"/>
          <w:sz w:val="14"/>
          <w:szCs w:val="14"/>
          <w:color w:val="auto"/>
        </w:rPr>
        <w:t>. Subject to Section 1.08, each Credit Event after the Closing Date is subject to the satisfaction (or waiver in accordance with</w:t>
      </w:r>
    </w:p>
    <w:p>
      <w:pPr>
        <w:spacing w:after="0"/>
        <w:rPr>
          <w:sz w:val="20"/>
          <w:szCs w:val="20"/>
          <w:color w:val="auto"/>
        </w:rPr>
      </w:pPr>
      <w:r>
        <w:rPr>
          <w:rFonts w:ascii="Times New Roman" w:cs="Times New Roman" w:eastAsia="Times New Roman" w:hAnsi="Times New Roman"/>
          <w:sz w:val="14"/>
          <w:szCs w:val="14"/>
          <w:color w:val="auto"/>
        </w:rPr>
        <w:t>Section 9.08) of the following conditions on the date of such Credit Event:</w:t>
      </w:r>
    </w:p>
    <w:p>
      <w:pPr>
        <w:spacing w:after="0" w:line="118" w:lineRule="exact"/>
        <w:rPr>
          <w:sz w:val="20"/>
          <w:szCs w:val="20"/>
          <w:color w:val="auto"/>
        </w:rPr>
      </w:pPr>
    </w:p>
    <w:p>
      <w:pPr>
        <w:ind w:right="40" w:firstLine="920"/>
        <w:spacing w:after="0" w:line="248" w:lineRule="auto"/>
        <w:tabs>
          <w:tab w:leader="none" w:pos="1370" w:val="left"/>
        </w:tabs>
        <w:numPr>
          <w:ilvl w:val="0"/>
          <w:numId w:val="6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in the case of a Borrowing, a Borrowing Request as required by Section 2.03 or, in the case of the issuance of a Letter of Credit, the applicable Issuing Bank and the Administrative Agent shall have received a notice requesting the issuance of such Letter of Credit as required by Section 2.05(b).</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25" w:lineRule="auto"/>
        <w:tabs>
          <w:tab w:leader="none" w:pos="1361" w:val="left"/>
        </w:tabs>
        <w:numPr>
          <w:ilvl w:val="0"/>
          <w:numId w:val="6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Section 2.21(c) with respect to Incremental Term Loans used to finance a Limited Condition Acquisition, the representations and warranties of the Parent and each other Loan Party contained in Article III or any other Loan Document shall be true and correct in all material respects on and as of the date of such Credit Event;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6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2.21(c) with respect to Incremental Term Loans used to finance a Limited Condition Acquisition, at the time of and immediately after such Credit Event (other than an amendment, extension or renewal, as applicable, of a Letter of Credit without any increase in the stated amount of such Letter of Credit), as applicable, no Event of Default or Default shall have occurred and be continuing.</w:t>
      </w:r>
    </w:p>
    <w:p>
      <w:pPr>
        <w:spacing w:after="0" w:line="112" w:lineRule="exact"/>
        <w:rPr>
          <w:sz w:val="20"/>
          <w:szCs w:val="20"/>
          <w:color w:val="auto"/>
        </w:rPr>
      </w:pPr>
    </w:p>
    <w:p>
      <w:pPr>
        <w:jc w:val="both"/>
        <w:ind w:firstLine="914"/>
        <w:spacing w:after="0" w:line="225" w:lineRule="auto"/>
        <w:rPr>
          <w:sz w:val="20"/>
          <w:szCs w:val="20"/>
          <w:color w:val="auto"/>
        </w:rPr>
      </w:pPr>
      <w:r>
        <w:rPr>
          <w:rFonts w:ascii="Times New Roman" w:cs="Times New Roman" w:eastAsia="Times New Roman" w:hAnsi="Times New Roman"/>
          <w:sz w:val="14"/>
          <w:szCs w:val="14"/>
          <w:color w:val="auto"/>
        </w:rPr>
        <w:t>SECTION 4.03.</w:t>
      </w:r>
      <w:r>
        <w:rPr>
          <w:rFonts w:ascii="Times New Roman" w:cs="Times New Roman" w:eastAsia="Times New Roman" w:hAnsi="Times New Roman"/>
          <w:sz w:val="14"/>
          <w:szCs w:val="14"/>
          <w:u w:val="single" w:color="auto"/>
          <w:color w:val="auto"/>
        </w:rPr>
        <w:t>Determinations Under Section 4.01</w:t>
      </w:r>
      <w:r>
        <w:rPr>
          <w:rFonts w:ascii="Times New Roman" w:cs="Times New Roman" w:eastAsia="Times New Roman" w:hAnsi="Times New Roman"/>
          <w:sz w:val="14"/>
          <w:szCs w:val="14"/>
          <w:color w:val="auto"/>
        </w:rPr>
        <w:t>. For purposes of determining compliance with the conditions specified in Section 4.01,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the Closing Date, specifying its objection thereto in reasonable detail. The Administrative Agent shall promptly notify the Lenders and the Parent in writing of the occurrence of the Closing Date and such notification shall be conclusive and binding.</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599" w:name="page600"/>
    <w:bookmarkEnd w:id="599"/>
    <w:p>
      <w:pPr>
        <w:spacing w:after="0" w:line="2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V</w:t>
      </w:r>
    </w:p>
    <w:p>
      <w:pPr>
        <w:spacing w:after="0" w:line="1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u w:val="single" w:color="auto"/>
          <w:color w:val="auto"/>
        </w:rPr>
        <w:t>Affirmative Covenants</w:t>
      </w:r>
    </w:p>
    <w:p>
      <w:pPr>
        <w:spacing w:after="0" w:line="144"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Each Borrower covenants and agrees with each Lender and each Issuing Bank that from and after the Closing Date until the Termination Date, each Borrower will, and will cause each of the Subsidiaries to:</w:t>
      </w:r>
    </w:p>
    <w:p>
      <w:pPr>
        <w:spacing w:after="0" w:line="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5.01.</w:t>
      </w:r>
      <w:r>
        <w:rPr>
          <w:rFonts w:ascii="Times New Roman" w:cs="Times New Roman" w:eastAsia="Times New Roman" w:hAnsi="Times New Roman"/>
          <w:sz w:val="14"/>
          <w:szCs w:val="14"/>
          <w:u w:val="single" w:color="auto"/>
          <w:color w:val="auto"/>
        </w:rPr>
        <w:t>Existence; Business and Properties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25" w:lineRule="auto"/>
        <w:tabs>
          <w:tab w:leader="none" w:pos="1370" w:val="left"/>
        </w:tabs>
        <w:numPr>
          <w:ilvl w:val="0"/>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Do or cause to be done all things necessary to preserve, renew and keep in full force and effect its legal existence, except (i) in the case of a Subsidiary, where the failure to do so would not reasonably be expected to have a Material Adverse Effect, (ii) as otherwise permitted under Section 6.05, and (iii) for the liquidation or dissolution of Subsidiaries if the assets of such Subsidiaries to the extent they exceed estimated liabilities are acquired by the Parent or a Wholly Owned Subsidiary of the Parent in such liquidation or dissolution;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Loan Parties may not be liquidated into Subsidiaries that are not Loan Parties and (y) Domestic Subsidiaries may not be liquidated into Foreign Subsidiaries (except in each case as permitted under Section 6.05).</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5" w:lineRule="auto"/>
        <w:tabs>
          <w:tab w:leader="none" w:pos="1361" w:val="left"/>
        </w:tabs>
        <w:numPr>
          <w:ilvl w:val="0"/>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where the failure to do so would not reasonably be expected to have a Material Adverse Effect, do or cause to be done all things necessary to (i) lawfully obtain, preserve, renew, extend and keep in full force and effect the permits, franchises, authorizations, Material Intellectual Property, licenses and rights with respect thereto used in the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5.02.</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19" w:lineRule="auto"/>
        <w:tabs>
          <w:tab w:leader="none" w:pos="1370" w:val="left"/>
        </w:tabs>
        <w:numPr>
          <w:ilvl w:val="0"/>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and within sixty (60) days after the Closing Date (or such later date as the Administrative Agent may agree in its reasonable discretion), cause the Collateral Agent to be (and provide evidence to the Administrative Agent that the Collateral Agent has been) listed as a lender loss payee on property and casualty policies in the United States with respect to tangible personal property and assets constituting Collateral located in the United States of America and as an additional insured on all liability policies and (ii) with respect to any improved Mortgaged Property located in a Special Flood Hazard Area, obtain flood insurance on all structures and contents thereof in such total amount as required by the Flood Insurance Laws and otherwise comply with the Flood Insurance Laws. Notwithstanding the foregoing, the Parent and the Subsidiaries may (x) maintain all such insurance with any combination of primary and excess insurance, (y) maintain any or all such insurance pursuant to master or so-called “blanket policies” insuring any or all Collateral and/or other Real Property which does not constitute Collateral (and in such event the co-payee endorsement shall be limited or otherwise modified accordingly), and/or (z) self-insure with respect to such risks with respect to which companies of established reputation engaged in the same general line of business in the same general area usually self-insure.</w:t>
      </w:r>
    </w:p>
    <w:p>
      <w:pPr>
        <w:spacing w:after="0" w:line="110"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covenants set forth in this Section 5.02, it is understood and agreed that:</w:t>
      </w:r>
    </w:p>
    <w:p>
      <w:pPr>
        <w:spacing w:after="0" w:line="134" w:lineRule="exact"/>
        <w:rPr>
          <w:sz w:val="20"/>
          <w:szCs w:val="20"/>
          <w:color w:val="auto"/>
        </w:rPr>
      </w:pPr>
    </w:p>
    <w:p>
      <w:pPr>
        <w:jc w:val="both"/>
        <w:ind w:left="460" w:firstLine="460"/>
        <w:spacing w:after="0" w:line="233" w:lineRule="auto"/>
        <w:tabs>
          <w:tab w:leader="none" w:pos="1374" w:val="left"/>
        </w:tabs>
        <w:numPr>
          <w:ilvl w:val="0"/>
          <w:numId w:val="6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the Collateral Agent, the Lenders, the Issuing Banks and their respective agents or employees shall not be liable for any loss or damage insured by the insurance policies required to be maintained under this Section 5.02, it being understood that (A) the Loan Parties shall look solely to their insurance companies or any other parties other than the</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00" w:name="page601"/>
    <w:bookmarkEnd w:id="600"/>
    <w:p>
      <w:pPr>
        <w:spacing w:after="0" w:line="24" w:lineRule="exact"/>
        <w:rPr>
          <w:sz w:val="20"/>
          <w:szCs w:val="20"/>
          <w:color w:val="auto"/>
        </w:rPr>
      </w:pPr>
    </w:p>
    <w:p>
      <w:pPr>
        <w:jc w:val="both"/>
        <w:ind w:left="460" w:right="20"/>
        <w:spacing w:after="0" w:line="225" w:lineRule="auto"/>
        <w:rPr>
          <w:sz w:val="20"/>
          <w:szCs w:val="20"/>
          <w:color w:val="auto"/>
        </w:rPr>
      </w:pPr>
      <w:r>
        <w:rPr>
          <w:rFonts w:ascii="Times New Roman" w:cs="Times New Roman" w:eastAsia="Times New Roman" w:hAnsi="Times New Roman"/>
          <w:sz w:val="14"/>
          <w:szCs w:val="14"/>
          <w:color w:val="auto"/>
        </w:rPr>
        <w:t>aforesaid parties for the recovery of such loss or damage and (B) such insurance companies shall have no rights of subrogation against the Administrative Agent, the Collateral Agent, the Lenders, any Issuing Bank or their agents or employees. If, however, the insurance policies, as a matter of the internal policy of such insurer, do not provide waiver of subrogation rights against such parties, as required above, then the Parent, on behalf of itself and behalf of each of the Subsidiaries, hereby agrees, to the extent permitted by law, to waive, and further agrees to cause each of the Subsidiaries to waive, its right of recovery, if any, against the Administrative Agent, the Collateral Agent, the Lenders, any Issuing Bank and their agents and employees;</w:t>
      </w:r>
    </w:p>
    <w:p>
      <w:pPr>
        <w:spacing w:after="0" w:line="111" w:lineRule="exact"/>
        <w:rPr>
          <w:sz w:val="20"/>
          <w:szCs w:val="20"/>
          <w:color w:val="auto"/>
        </w:rPr>
      </w:pPr>
    </w:p>
    <w:p>
      <w:pPr>
        <w:jc w:val="both"/>
        <w:ind w:left="460" w:right="40" w:firstLine="460"/>
        <w:spacing w:after="0" w:line="233" w:lineRule="auto"/>
        <w:tabs>
          <w:tab w:leader="none" w:pos="1374" w:val="left"/>
        </w:tabs>
        <w:numPr>
          <w:ilvl w:val="0"/>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any form, type or amount of insurance coverage by the Administrative Agent or the Collateral Agent under this Section 5.02 shall in no event be deemed a representation, warranty or advice by the Administrative Agent or the Collateral Agent or the Lenders that such insurance is adequate for the purposes of the business of the Parent and the Subsidiaries or the protection of their properties; and</w:t>
      </w:r>
    </w:p>
    <w:p>
      <w:pPr>
        <w:spacing w:after="0" w:line="111"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type of insurance that the Parent and the Subsidiaries have in effect as of the Closing Date and the certificates listing the Collateral Agent as a co-loss payee or additional insured, as the case may be, satisfy for all purposes the requirements of this Section 5.02.</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5.03.</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33" w:lineRule="auto"/>
        <w:tabs>
          <w:tab w:leader="none" w:pos="1370" w:val="left"/>
        </w:tabs>
        <w:numPr>
          <w:ilvl w:val="0"/>
          <w:numId w:val="6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its obligations in respect of all Taxes, before the same shall become delinquent or in default, except where (i) the Parent or a Subsidiary has set aside on its books adequate reserves therefor in accordance with IFRS and, to the extent due and payable pursuant to a governmental assessment, the validity or amount thereof is being contested in good faith by appropriate proceedings or (ii) the failure to make payment could not reasonably be expected, individually or in the aggregate, to result in a Material Adverse Effect; and</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6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all Tax returns required to be filed by it within the time periods permitted by the relevant legislation without suffering the imposition of material penalties, where failure to do so would reasonably be expected to have a Material Adverse Effect.</w:t>
      </w:r>
    </w:p>
    <w:p>
      <w:pPr>
        <w:spacing w:after="0" w:line="1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SECTION 5.04.</w:t>
      </w:r>
      <w:r>
        <w:rPr>
          <w:rFonts w:ascii="Times New Roman" w:cs="Times New Roman" w:eastAsia="Times New Roman" w:hAnsi="Times New Roman"/>
          <w:sz w:val="14"/>
          <w:szCs w:val="14"/>
          <w:u w:val="single" w:color="auto"/>
          <w:color w:val="auto"/>
        </w:rPr>
        <w:t>Financial Statements, Reports, Etc</w:t>
      </w:r>
      <w:r>
        <w:rPr>
          <w:rFonts w:ascii="Times New Roman" w:cs="Times New Roman" w:eastAsia="Times New Roman" w:hAnsi="Times New Roman"/>
          <w:sz w:val="14"/>
          <w:szCs w:val="14"/>
          <w:color w:val="auto"/>
        </w:rPr>
        <w:t>. Furnish to the Administrative Agent (which will promptly furnish such information to the Lenders):</w:t>
      </w:r>
    </w:p>
    <w:p>
      <w:pPr>
        <w:spacing w:after="0" w:line="134" w:lineRule="exact"/>
        <w:rPr>
          <w:sz w:val="20"/>
          <w:szCs w:val="20"/>
          <w:color w:val="auto"/>
        </w:rPr>
      </w:pPr>
    </w:p>
    <w:p>
      <w:pPr>
        <w:jc w:val="both"/>
        <w:ind w:firstLine="920"/>
        <w:spacing w:after="0" w:line="219" w:lineRule="auto"/>
        <w:tabs>
          <w:tab w:leader="none" w:pos="1370" w:val="left"/>
        </w:tabs>
        <w:numPr>
          <w:ilvl w:val="0"/>
          <w:numId w:val="6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90 days after the end of each fiscal year (commencing with the fiscal year ending December 31, 2025), a consolidated balance sheet and related statements of comprehensive income, cash flows and changes in equity showing the financial position of the Parent and its subsidiaries as of the close of such fiscal year and the consolidated results of their operations during such year and setting forth in comparative form the corresponding figures for the prior fiscal year, which consolidated balance sheet and related statements of comprehensive income, cash flows and changes in equity shall be accompanied by customary management’s discussion and analysis and audited by independent public accountants of recognized national standing and accompanied by an opinion of such accountants (which opinion shall not be qualified as to scope of audit or as to the status of the Parent or any Material Subsidiary as a going concern, other than solely with respect to, or resulting solely from, an anticipated or actual financial covenant default under this Agreement or any other Indebtedness or an upcoming maturity date) to the effect that such consolidated financial statements fairly present, in all material respects, the financial position and results of operations of the Parent and its subsidiaries on a consolidated basis in accordance with IFRS (it being understood that the delivery by the Parent of annual reports on Form 20-F of the Parent and its consolidated subsidiaries shall satisfy the requirements of this Section 5.04(a) to the extent such annual reports include the information specified herein and are delivered within the time period specified above);</w:t>
      </w:r>
    </w:p>
    <w:p>
      <w:pPr>
        <w:spacing w:after="0" w:line="110"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6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45 days after the end of each of the first three fiscal quarters of each fiscal year (commencing with the fiscal quarter ending on March 31, 2026), a consolidated balance sheet and related statements of comprehensive income, cash flows and changes in equity showing the financial position of the Parent and its subsidiaries as of the close of such fiscal quarter and the consolidated results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01" w:name="page602"/>
    <w:bookmarkEnd w:id="601"/>
    <w:p>
      <w:pPr>
        <w:spacing w:after="0" w:line="2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of their operations during such fiscal quarter and the then-elapsed portion of the fiscal year and setting forth in comparative form the corresponding figures for the corresponding periods of the prior fiscal year, all of which shall be in reasonable detail, which consolidated balance sheet and related statements of comprehensive income, cash flows and changes in equity shall be accompanied by customary management’s discussion and analysis and which consolidated balance sheet and related statements of comprehensive income and cash flows shall be certified by a Financial Officer of the Parent on behalf of the Parent as fairly presenting, in all material respects, the financial position and results of operations of the Parent and the Subsidiaries on a consolidated basis in accordance with IFRS (subject to normal year- end audit adjustments and the absence of footnotes) and (it being understood that a quarterly report that is substantially consistent in format, level of detail and management’s discussion and analysis with the Parent’s financial report for the third quarter of 2025 or a quarterly report on Form 10-Q (or any successor or comparable form) shall be deemed to satisfy all the requirements of this Section 5.04(b));</w:t>
      </w:r>
    </w:p>
    <w:p>
      <w:pPr>
        <w:spacing w:after="0" w:line="112" w:lineRule="exact"/>
        <w:rPr>
          <w:sz w:val="20"/>
          <w:szCs w:val="20"/>
          <w:color w:val="auto"/>
        </w:rPr>
      </w:pPr>
    </w:p>
    <w:p>
      <w:pPr>
        <w:ind w:left="1380" w:hanging="460"/>
        <w:spacing w:after="0"/>
        <w:tabs>
          <w:tab w:leader="none" w:pos="1380" w:val="left"/>
        </w:tabs>
        <w:numPr>
          <w:ilvl w:val="1"/>
          <w:numId w:val="6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prior to the tenth Business Day following any delivery of financial statements under clause (a) or (b) above, a certificate of a Financial Officer of the Parent</w:t>
      </w:r>
    </w:p>
    <w:p>
      <w:pPr>
        <w:ind w:firstLine="6"/>
        <w:spacing w:after="0" w:line="218" w:lineRule="auto"/>
        <w:tabs>
          <w:tab w:leader="none" w:pos="175" w:val="left"/>
        </w:tabs>
        <w:numPr>
          <w:ilvl w:val="0"/>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certifying that no Event of Default or Default has occurred since the date of the last certificate delivered pursuant to this Section 5.04(c) (or since the Closing Date in the case of the first such certificate) or, if such an Event of Default or Default has occurred, specifying the nature and extent thereof and any corrective action taken or proposed to be taken with respect thereto, (ii) commencing with the first full fiscal quarter ending after the Closing Date, setting forth computations in reasonable detail satisfactory to the Administrative Agent demonstrating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 xml:space="preserve"> compliance with the Financial Covenants and (y) the First Lien Secured Net Leverage Ratio for purposes of the “Applicable Commitment Fee” and the “Applicable Margin”, (iii) setting forth the calculation and uses of the Available Amount for the fiscal period then ended if the Parent shall have used the Available Amount for any purpose during such fiscal period and (iv) commencing with the end of the first full fiscal year ending after the Closing Date (and only if the Required Percentage with respect to such fiscal year is above 0%), set forth the Excess Cash Flow for such fiscal year and the underlying calculations in reasonable detail satisfactory to the Administrative Agent.</w:t>
      </w:r>
    </w:p>
    <w:p>
      <w:pPr>
        <w:spacing w:after="0" w:line="112" w:lineRule="exact"/>
        <w:rPr>
          <w:rFonts w:ascii="Times New Roman" w:cs="Times New Roman" w:eastAsia="Times New Roman" w:hAnsi="Times New Roman"/>
          <w:sz w:val="14"/>
          <w:szCs w:val="14"/>
          <w:color w:val="auto"/>
        </w:rPr>
      </w:pPr>
    </w:p>
    <w:p>
      <w:pPr>
        <w:jc w:val="both"/>
        <w:ind w:firstLine="920"/>
        <w:spacing w:after="0" w:line="215" w:lineRule="auto"/>
        <w:tabs>
          <w:tab w:leader="none" w:pos="1361" w:val="left"/>
        </w:tabs>
        <w:numPr>
          <w:ilvl w:val="1"/>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if any direct or indirect parent entity of the Parent files reports with the SEC in accordance with Section 13 or 15(d) of the Exchange Act, whether voluntarily or otherwise, in compliance with this Section 5.04, then the Parent will be deemed to comply with this Section 5.04. For the avoidance of doubt, such reports need not include separate financial information required by Rule 3-10 and Rule 3-16 or Article 13 of Regulation S-X;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direct or indirect parent entity of the Parent has more than de minimis operations separate and apart from its ownership in the Parent, then the financial statements of such parent entity will provide consolidating information, which need not be audited, that explains in reasonable detail the differences between the information relating to such parent entity and its Subsidiaries, on the one hand, and the information relating to the Parent and the Subsidiaries on a standalone basis, on the other hand; and (ii) promptly after the same become publicly available, copies of all periodic and other publicly available reports, proxy statements and, to the extent requested by the Administrative Agent, other materials filed by the Parent (or any parent entity thereof) or any of the Subsidiaries with the SEC, or distributed to its stockholders generally,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reports, proxy statements, filings and other materials required to be delivered pursuant to this clause</w:t>
      </w:r>
    </w:p>
    <w:p>
      <w:pPr>
        <w:spacing w:after="0" w:line="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deemed delivered for purposes of this Agreement when posted to the website of the Parent (or any parent entity thereof) or the website of the SEC;</w:t>
      </w:r>
    </w:p>
    <w:p>
      <w:pPr>
        <w:spacing w:after="0" w:line="118"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1"/>
          <w:numId w:val="6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that there are Unrestricted Subsidiaries, not later than the tenth Business Day following any delivery of financial statements under clause (a) or (b) above, the related summary reconciliations (which may be in a footnote form) reflecting the adjustments necessary to eliminate the accounts of any Unrestricted Subsidiaries from such consolidated financial statements (it being acknowledged, for the avoidance of doubt, that such reconciliations are not required to be audited);</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70" w:val="left"/>
        </w:tabs>
        <w:numPr>
          <w:ilvl w:val="1"/>
          <w:numId w:val="6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following a request by the Administrative Agent, the Collateral Agent or any Lender, all documentation and other information that the Administrative Agent, the Collateral Agent or such Lender requests in order to comply with its ongoing obligations under applicable “know your customer” an anti-money laundering rules and regulations, including the USA PATRIOT Act;</w:t>
      </w:r>
    </w:p>
    <w:p>
      <w:pPr>
        <w:spacing w:after="0" w:line="109"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from time to time, such other information regarding the operations, business affairs and financial condition of the Parent or any of the Subsidiaries, or</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02" w:name="page603"/>
    <w:bookmarkEnd w:id="602"/>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terms of any Loan Document as in each case the Administrative Agent may reasonably request (for itself or on behalf of any Lender); and</w:t>
      </w:r>
    </w:p>
    <w:p>
      <w:pPr>
        <w:spacing w:after="0" w:line="134" w:lineRule="exact"/>
        <w:rPr>
          <w:sz w:val="20"/>
          <w:szCs w:val="20"/>
          <w:color w:val="auto"/>
        </w:rPr>
      </w:pPr>
    </w:p>
    <w:p>
      <w:pPr>
        <w:jc w:val="both"/>
        <w:ind w:right="20" w:firstLine="920"/>
        <w:spacing w:after="0" w:line="218" w:lineRule="auto"/>
        <w:tabs>
          <w:tab w:leader="none" w:pos="1361"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90 days after the end of each fiscal year (commencing with the fiscal year ending December 31, 2026), a certificate of a Financial Officer of the Parent, setting forth (i) for purposes of determining whether any jurisdiction qualifies as a new Material Jurisdiction, a breakdown of consolidated total revenue by jurisdiction based on (x) Proprietary Patent Revenue in each jurisdiction that is not a Material Jurisdiction (as a percentage of the consolidated total revenue of the Parent and its subsidiaries) and (y) revenue attributable to Royalty Contracts (relating to Patents that are owned by Loan Parties) held by non-Loan Party Subsidiaries organized in each jurisdiction that is not a Material Jurisdiction (as a percentage of the consolidated total revenue of the Parent and its subsidiaries), (ii) a list of Material Patents (excluding Patents included within the Collateral that are pending applications that have not yet published) which were not previously identified to the Administrative Agent, (iii) a list of the Patents included within the Collateral that were pending applications that had not yet published which were not previously identified to the Administrative Agent and which have published since the certificate previously provided pursuant to this clause (h) (“</w:t>
      </w:r>
      <w:r>
        <w:rPr>
          <w:rFonts w:ascii="Times New Roman" w:cs="Times New Roman" w:eastAsia="Times New Roman" w:hAnsi="Times New Roman"/>
          <w:sz w:val="14"/>
          <w:szCs w:val="14"/>
          <w:u w:val="single" w:color="auto"/>
          <w:color w:val="auto"/>
        </w:rPr>
        <w:t>Published Patents</w:t>
      </w:r>
      <w:r>
        <w:rPr>
          <w:rFonts w:ascii="Times New Roman" w:cs="Times New Roman" w:eastAsia="Times New Roman" w:hAnsi="Times New Roman"/>
          <w:sz w:val="14"/>
          <w:szCs w:val="14"/>
          <w:color w:val="auto"/>
        </w:rPr>
        <w:t>”), (iv) a list of Trademarks and Copyrights (in each case to the extent constituting (x) Collateral and (y) Recordable Intellectual Property (as defined in the U.S. Collateral Agreement)) which have been filed by or on behalf of, or issued to, or acquired by, any Loan Party since the delivery of the last certificate pursuant to this Section 5.04(h) (or, in the case of the first certificate to be delivered pursuant to this Section 5.04(h) following the Closing Date, since the Closing Date) and (v) a list of the Patents included in the Collateral that were pending in Japan for which Parent has been notified by the Japanese Patent Office of issuance since the certificate previously provided pursuant to this clause (h).</w:t>
      </w:r>
    </w:p>
    <w:p>
      <w:pPr>
        <w:spacing w:after="0" w:line="124"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The Borrowers hereby acknowledge that (a) the Administrative Agent and/or the Arrangers may, but shall not be obligated to, make available to the Lenders and the Issuing Banks materials and/or information provided by or on behalf of the Borrowers hereunder (collectively, “</w:t>
      </w:r>
      <w:r>
        <w:rPr>
          <w:rFonts w:ascii="Times New Roman" w:cs="Times New Roman" w:eastAsia="Times New Roman" w:hAnsi="Times New Roman"/>
          <w:sz w:val="14"/>
          <w:szCs w:val="14"/>
          <w:u w:val="single" w:color="auto"/>
          <w:color w:val="auto"/>
        </w:rPr>
        <w:t>Borrower Materials</w:t>
      </w:r>
      <w:r>
        <w:rPr>
          <w:rFonts w:ascii="Times New Roman" w:cs="Times New Roman" w:eastAsia="Times New Roman" w:hAnsi="Times New Roman"/>
          <w:sz w:val="14"/>
          <w:szCs w:val="14"/>
          <w:color w:val="auto"/>
        </w:rPr>
        <w:t>”) by posting the Borrower Materials on IntraLinks, Debtdomain, Syndtrak, ClearPar, or a substantially similar electronic transmission system (the “</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xml:space="preserve">”) and (b) certain of the Lenders (each, a “ </w:t>
      </w:r>
      <w:r>
        <w:rPr>
          <w:rFonts w:ascii="Times New Roman" w:cs="Times New Roman" w:eastAsia="Times New Roman" w:hAnsi="Times New Roman"/>
          <w:sz w:val="14"/>
          <w:szCs w:val="14"/>
          <w:u w:val="single" w:color="auto"/>
          <w:color w:val="auto"/>
        </w:rPr>
        <w:t>Public Lender</w:t>
      </w:r>
      <w:r>
        <w:rPr>
          <w:rFonts w:ascii="Times New Roman" w:cs="Times New Roman" w:eastAsia="Times New Roman" w:hAnsi="Times New Roman"/>
          <w:sz w:val="14"/>
          <w:szCs w:val="14"/>
          <w:color w:val="auto"/>
        </w:rPr>
        <w:t>”) may be Lenders that wish to receive only information that is either publicly available or not material with respect to the Parent or its Affiliates or their respective securities for purposes of United States federal or state securities laws (collectively, the “</w:t>
      </w:r>
      <w:r>
        <w:rPr>
          <w:rFonts w:ascii="Times New Roman" w:cs="Times New Roman" w:eastAsia="Times New Roman" w:hAnsi="Times New Roman"/>
          <w:sz w:val="14"/>
          <w:szCs w:val="14"/>
          <w:u w:val="single" w:color="auto"/>
          <w:color w:val="auto"/>
        </w:rPr>
        <w:t>Public Side Information</w:t>
      </w:r>
      <w:r>
        <w:rPr>
          <w:rFonts w:ascii="Times New Roman" w:cs="Times New Roman" w:eastAsia="Times New Roman" w:hAnsi="Times New Roman"/>
          <w:sz w:val="14"/>
          <w:szCs w:val="14"/>
          <w:color w:val="auto"/>
        </w:rPr>
        <w:t xml:space="preserve">”; any information that is not Public Side Information, “ </w:t>
      </w:r>
      <w:r>
        <w:rPr>
          <w:rFonts w:ascii="Times New Roman" w:cs="Times New Roman" w:eastAsia="Times New Roman" w:hAnsi="Times New Roman"/>
          <w:sz w:val="14"/>
          <w:szCs w:val="14"/>
          <w:u w:val="single" w:color="auto"/>
          <w:color w:val="auto"/>
        </w:rPr>
        <w:t>Private Side Information</w:t>
      </w:r>
      <w:r>
        <w:rPr>
          <w:rFonts w:ascii="Times New Roman" w:cs="Times New Roman" w:eastAsia="Times New Roman" w:hAnsi="Times New Roman"/>
          <w:sz w:val="14"/>
          <w:szCs w:val="14"/>
          <w:color w:val="auto"/>
        </w:rPr>
        <w:t>”). The Borrowers hereby agree that (w) the Borrower Materials that are to be distributed to the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Arrangers, the Issuing Banks and the Lenders to treat such Borrower Materials as not containing any Private Side Information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Borrower Materials shall be treated as set forth in Section 9.16, to the extent such Borrower Materials constitute information subject to the terms thereof);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26" w:lineRule="exact"/>
        <w:rPr>
          <w:sz w:val="20"/>
          <w:szCs w:val="20"/>
          <w:color w:val="auto"/>
        </w:rPr>
      </w:pPr>
    </w:p>
    <w:p>
      <w:pPr>
        <w:jc w:val="both"/>
        <w:ind w:right="40" w:firstLine="914"/>
        <w:spacing w:after="0" w:line="270" w:lineRule="auto"/>
        <w:rPr>
          <w:sz w:val="20"/>
          <w:szCs w:val="20"/>
          <w:color w:val="auto"/>
        </w:rPr>
      </w:pPr>
      <w:r>
        <w:rPr>
          <w:rFonts w:ascii="Times New Roman" w:cs="Times New Roman" w:eastAsia="Times New Roman" w:hAnsi="Times New Roman"/>
          <w:sz w:val="14"/>
          <w:szCs w:val="14"/>
          <w:color w:val="auto"/>
        </w:rPr>
        <w:t>The Parent acknowledges and agrees that all financial statements furnished pursuant to clauses 5.04(a), 5.04(b) and 5.04(d) above are hereby deemed to be Borrower Materials suitable for distribution, and to be made available, to Public Lenders as contemplated above and may be treated by the Administrative Agent and the Lenders as if the same had been marked “PUBLIC” in accordance with the immediately preceding paragraph (unless the Parent otherwise notifies the Administrative Agent in writing on or prior to delivery thereof).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140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03" w:name="page604"/>
    <w:bookmarkEnd w:id="603"/>
    <w:p>
      <w:pPr>
        <w:spacing w:after="0" w:line="24" w:lineRule="exact"/>
        <w:rPr>
          <w:sz w:val="20"/>
          <w:szCs w:val="20"/>
          <w:color w:val="auto"/>
        </w:rPr>
      </w:pPr>
    </w:p>
    <w:p>
      <w:pPr>
        <w:ind w:right="20" w:firstLine="914"/>
        <w:spacing w:after="0" w:line="248" w:lineRule="auto"/>
        <w:rPr>
          <w:sz w:val="20"/>
          <w:szCs w:val="20"/>
          <w:color w:val="auto"/>
        </w:rPr>
      </w:pPr>
      <w:r>
        <w:rPr>
          <w:rFonts w:ascii="Times New Roman" w:cs="Times New Roman" w:eastAsia="Times New Roman" w:hAnsi="Times New Roman"/>
          <w:sz w:val="14"/>
          <w:szCs w:val="14"/>
          <w:color w:val="auto"/>
        </w:rPr>
        <w:t>SECTION 5.05.</w:t>
      </w:r>
      <w:r>
        <w:rPr>
          <w:rFonts w:ascii="Times New Roman" w:cs="Times New Roman" w:eastAsia="Times New Roman" w:hAnsi="Times New Roman"/>
          <w:sz w:val="14"/>
          <w:szCs w:val="14"/>
          <w:u w:val="single" w:color="auto"/>
          <w:color w:val="auto"/>
        </w:rPr>
        <w:t>Litigation and Other Notices</w:t>
      </w:r>
      <w:r>
        <w:rPr>
          <w:rFonts w:ascii="Times New Roman" w:cs="Times New Roman" w:eastAsia="Times New Roman" w:hAnsi="Times New Roman"/>
          <w:sz w:val="14"/>
          <w:szCs w:val="14"/>
          <w:color w:val="auto"/>
        </w:rPr>
        <w:t xml:space="preserve"> . Furnish to the Administrative Agent (which will promptly thereafter furnish to the Lenders) written notice of the following promptly after any Responsible Officer of the Parent obtains actual knowledge thereof:</w:t>
      </w:r>
    </w:p>
    <w:p>
      <w:pPr>
        <w:spacing w:after="0" w:line="105" w:lineRule="exact"/>
        <w:rPr>
          <w:sz w:val="20"/>
          <w:szCs w:val="20"/>
          <w:color w:val="auto"/>
        </w:rPr>
      </w:pPr>
    </w:p>
    <w:p>
      <w:pPr>
        <w:ind w:left="1380" w:hanging="460"/>
        <w:spacing w:after="0"/>
        <w:tabs>
          <w:tab w:leader="none" w:pos="138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 of Default or Default, specifying the nature and extent thereof and the corrective action (if any) proposed to be taken with respect thereto;</w:t>
      </w:r>
    </w:p>
    <w:p>
      <w:pPr>
        <w:spacing w:after="0" w:line="134"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or commencement of, or any written threat or notice of intention of any person to file or commence, any action, suit or proceeding, whether at law or in equity or by or before any Governmental Authority or in arbitration, against the Parent or any of the Subsidiaries as to which an adverse determination is reasonably probable and which, if adversely determined, would reasonably be expected to have a Material Adverse Effect;</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development specific to the Parent or any of the Subsidiaries that is not a matter of general public knowledge and that has had, or would reasonably be expected to have, a Material Adverse Effect; and</w:t>
      </w:r>
    </w:p>
    <w:p>
      <w:pPr>
        <w:spacing w:after="0" w:line="102"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ERISA Event that, together with all other ERISA Events that have occurred, would reasonably be expected to have a Material Adverse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w:t>
      </w:r>
    </w:p>
    <w:p>
      <w:pPr>
        <w:spacing w:after="0" w:line="128" w:lineRule="exact"/>
        <w:rPr>
          <w:sz w:val="20"/>
          <w:szCs w:val="20"/>
          <w:color w:val="auto"/>
        </w:rPr>
      </w:pPr>
    </w:p>
    <w:p>
      <w:pPr>
        <w:ind w:firstLine="914"/>
        <w:spacing w:after="0" w:line="291" w:lineRule="auto"/>
        <w:rPr>
          <w:sz w:val="20"/>
          <w:szCs w:val="20"/>
          <w:color w:val="auto"/>
        </w:rPr>
      </w:pPr>
      <w:r>
        <w:rPr>
          <w:rFonts w:ascii="Times New Roman" w:cs="Times New Roman" w:eastAsia="Times New Roman" w:hAnsi="Times New Roman"/>
          <w:sz w:val="14"/>
          <w:szCs w:val="14"/>
          <w:color w:val="auto"/>
        </w:rPr>
        <w:t>Each notice delivered under this Section 5.05 shall be accompanied by a statement of a Responsible Officer of the Parent setting forth the details of the event or development requiring such notice and any action taken or proposed to be taken with respect thereto.</w:t>
      </w:r>
    </w:p>
    <w:p>
      <w:pPr>
        <w:spacing w:after="0" w:line="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5.06.</w:t>
      </w: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33" w:lineRule="auto"/>
        <w:tabs>
          <w:tab w:leader="none" w:pos="1370" w:val="left"/>
        </w:tabs>
        <w:numPr>
          <w:ilvl w:val="0"/>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Comply with all applicable laws, rules, regulations and orders of any Governmental Authority, including any applicable Anti-Corruption Laws or Anti-Money Laundering Laws, except where the failure to do so, individually or in the aggregate, would not reasonably be expected to result in a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Section 5.06(a) shall not apply to Environmental Laws, which are the subject of Section 5.09, or to laws related to Taxes, which are the subject of Section 5.03.</w:t>
      </w:r>
    </w:p>
    <w:p>
      <w:pPr>
        <w:spacing w:after="0" w:line="111" w:lineRule="exact"/>
        <w:rPr>
          <w:rFonts w:ascii="Times New Roman" w:cs="Times New Roman" w:eastAsia="Times New Roman" w:hAnsi="Times New Roman"/>
          <w:sz w:val="14"/>
          <w:szCs w:val="14"/>
          <w:color w:val="auto"/>
        </w:rPr>
      </w:pPr>
    </w:p>
    <w:p>
      <w:pPr>
        <w:jc w:val="both"/>
        <w:ind w:firstLine="920"/>
        <w:spacing w:after="0" w:line="223" w:lineRule="auto"/>
        <w:tabs>
          <w:tab w:leader="none" w:pos="1361" w:val="left"/>
        </w:tabs>
        <w:numPr>
          <w:ilvl w:val="0"/>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Not directly (or deliberately indirectly): (A) engage in any transaction that evades or avoids, or has the purpose of evading or avoiding, or breaches or attempts to breach, directly or (to the best of the Parent’s knowledge or belief) indirectly, any applicable Sanctions Laws; (B) fund all or part of any payment in connection with a Loan Document out of proceeds derived from business or transactions with a Sanctions Restricted Person, or from any action which is in breach of any applicable Sanctions Laws; or (C) engage in any conduct that would reasonably be expected to cause the applicable Borrower or Subsidiary to become a target of Sanctions Laws and (ii) maintain policies and procedures designed to promote and achieve compliance with applicable Sanctions Laws;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clause (b) shall not apply to any person if and to the extent that the application of those provisions would result in any violation of, conflict with or liability under, any Blocking Law (as notified to the Administrative Agent by the applicable person).</w:t>
      </w:r>
    </w:p>
    <w:p>
      <w:pPr>
        <w:spacing w:after="0" w:line="111" w:lineRule="exact"/>
        <w:rPr>
          <w:sz w:val="20"/>
          <w:szCs w:val="20"/>
          <w:color w:val="auto"/>
        </w:rPr>
      </w:pPr>
    </w:p>
    <w:p>
      <w:pPr>
        <w:jc w:val="both"/>
        <w:ind w:firstLine="914"/>
        <w:spacing w:after="0" w:line="221" w:lineRule="auto"/>
        <w:rPr>
          <w:sz w:val="20"/>
          <w:szCs w:val="20"/>
          <w:color w:val="auto"/>
        </w:rPr>
      </w:pPr>
      <w:r>
        <w:rPr>
          <w:rFonts w:ascii="Times New Roman" w:cs="Times New Roman" w:eastAsia="Times New Roman" w:hAnsi="Times New Roman"/>
          <w:sz w:val="14"/>
          <w:szCs w:val="14"/>
          <w:color w:val="auto"/>
        </w:rPr>
        <w:t>SECTION 5.07.</w:t>
      </w:r>
      <w:r>
        <w:rPr>
          <w:rFonts w:ascii="Times New Roman" w:cs="Times New Roman" w:eastAsia="Times New Roman" w:hAnsi="Times New Roman"/>
          <w:sz w:val="14"/>
          <w:szCs w:val="14"/>
          <w:u w:val="single" w:color="auto"/>
          <w:color w:val="auto"/>
        </w:rPr>
        <w:t>Maintaining Records; Access to Properties and Inspections</w:t>
      </w:r>
      <w:r>
        <w:rPr>
          <w:rFonts w:ascii="Times New Roman" w:cs="Times New Roman" w:eastAsia="Times New Roman" w:hAnsi="Times New Roman"/>
          <w:sz w:val="14"/>
          <w:szCs w:val="14"/>
          <w:color w:val="auto"/>
        </w:rPr>
        <w:t>. Maintain all financial records in accordance with IFRS and permit any persons designated by the Administrative Agent or, upon the occurrence and during the continuance of an Event of Default, any Lender to visit and inspect the financial records and the properties of the Parent or any of the Subsidiaries at reasonable times, upon reasonable prior notice to the Parent, and as often as reasonably requested and to make extracts from and copies of such financial records, and permit any persons designated by the Administrative Agent or, upon the occurrence and during the continuance of an Event of Default, any Lender upon reasonable prior notice to the Parent to discuss the affairs, finances and condition of the Parent or any of the Subsidiaries with the officers thereof and independent accountants therefor (so long as the Parent has the opportunity to participate in any such discussions with such accountants), in each case, subject to reasonable requirements of confidentiality, including requirements imposed by law or by contract.</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04" w:name="page605"/>
    <w:bookmarkEnd w:id="604"/>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5.08.</w:t>
      </w: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 Use the proceeds of the Loans made and Letters of Credit issued in the manner contemplated by Section 3.12.</w:t>
      </w:r>
    </w:p>
    <w:p>
      <w:pPr>
        <w:spacing w:after="0" w:line="134" w:lineRule="exact"/>
        <w:rPr>
          <w:sz w:val="20"/>
          <w:szCs w:val="20"/>
          <w:color w:val="auto"/>
        </w:rPr>
      </w:pPr>
    </w:p>
    <w:p>
      <w:pPr>
        <w:jc w:val="both"/>
        <w:ind w:right="20" w:firstLine="914"/>
        <w:spacing w:after="0" w:line="233" w:lineRule="auto"/>
        <w:rPr>
          <w:sz w:val="20"/>
          <w:szCs w:val="20"/>
          <w:color w:val="auto"/>
        </w:rPr>
      </w:pPr>
      <w:r>
        <w:rPr>
          <w:rFonts w:ascii="Times New Roman" w:cs="Times New Roman" w:eastAsia="Times New Roman" w:hAnsi="Times New Roman"/>
          <w:sz w:val="14"/>
          <w:szCs w:val="14"/>
          <w:color w:val="auto"/>
        </w:rPr>
        <w:t>SECTION 5.09.</w:t>
      </w:r>
      <w:r>
        <w:rPr>
          <w:rFonts w:ascii="Times New Roman" w:cs="Times New Roman" w:eastAsia="Times New Roman" w:hAnsi="Times New Roman"/>
          <w:sz w:val="14"/>
          <w:szCs w:val="14"/>
          <w:u w:val="single" w:color="auto"/>
          <w:color w:val="auto"/>
        </w:rPr>
        <w:t>Compliance with Environmental Laws</w:t>
      </w:r>
      <w:r>
        <w:rPr>
          <w:rFonts w:ascii="Times New Roman" w:cs="Times New Roman" w:eastAsia="Times New Roman" w:hAnsi="Times New Roman"/>
          <w:sz w:val="14"/>
          <w:szCs w:val="14"/>
          <w:color w:val="auto"/>
        </w:rPr>
        <w:t>. Comply, and make reasonable efforts to cause all lessees and other persons occupying its properties to comply, with all applicable Environmental Laws; and obtain and renew all required Environmental Permits, except, in each case with respect to this Section 5.09, to the extent the failure to do so would not reasonably be expected to have, individually or in the aggregate, a Material Adverse Effect.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5.10.</w:t>
      </w:r>
      <w:r>
        <w:rPr>
          <w:rFonts w:ascii="Times New Roman" w:cs="Times New Roman" w:eastAsia="Times New Roman" w:hAnsi="Times New Roman"/>
          <w:sz w:val="14"/>
          <w:szCs w:val="14"/>
          <w:u w:val="single" w:color="auto"/>
          <w:color w:val="auto"/>
        </w:rPr>
        <w:t>Further Assurances; Additional Security</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40" w:firstLine="920"/>
        <w:spacing w:after="0" w:line="225" w:lineRule="auto"/>
        <w:tabs>
          <w:tab w:leader="none" w:pos="1370" w:val="left"/>
        </w:tabs>
        <w:numPr>
          <w:ilvl w:val="0"/>
          <w:numId w:val="6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any and all further documents, financing statements, agreements and instruments, and take all such further actions (including the filing and recording of financing statements and other documents), that are required or that the Administrative Agent or the Collateral Agent may reasonably request (including, without limitation, those required by applicable law), to satisfy the Collateral and Guarantee Requirement and to cause the Collateral and Guarantee Requirement to be and remain satisfied, all at the expense of the Loan Parties and provide to the Collateral Agent and the Administrative Agent, from time to time upon reasonable request, evidence reasonably satisfactory to the Collateral Agent and the Administrative Agent as to the perfection and priority of the Liens created or intended to be created by the Security Documents.</w:t>
      </w:r>
    </w:p>
    <w:p>
      <w:pPr>
        <w:spacing w:after="0" w:line="111" w:lineRule="exact"/>
        <w:rPr>
          <w:rFonts w:ascii="Times New Roman" w:cs="Times New Roman" w:eastAsia="Times New Roman" w:hAnsi="Times New Roman"/>
          <w:sz w:val="14"/>
          <w:szCs w:val="14"/>
          <w:color w:val="auto"/>
        </w:rPr>
      </w:pPr>
    </w:p>
    <w:p>
      <w:pPr>
        <w:jc w:val="both"/>
        <w:ind w:firstLine="920"/>
        <w:spacing w:after="0" w:line="219" w:lineRule="auto"/>
        <w:tabs>
          <w:tab w:leader="none" w:pos="1361" w:val="left"/>
        </w:tabs>
        <w:numPr>
          <w:ilvl w:val="0"/>
          <w:numId w:val="6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5.14 (with respect to any Merus Entity), if any asset is acquired by any Loan Party after the Closing Date or owned by an entity at the time it becomes a Loan Party (in each case other than (x) assets constituting Collateral under a Security Document that automatically become subject to the Lien of such Security Document upon acquisition thereof, (y) assets constituting Excluded Property and (z) any additional direct or indirect Subsidiary), such Loan Party will (i) notify the Collateral Agent and the Administrative Agent of such acquisition or ownership and (ii) with respect to any asset acquired by any Loan Party after the Closing Date, within the later of (A) the time periods set forth in the applicable Security Documents or (B) solely in the case of the Equity Interests, property or assets of, or actions required to be taken by any Foreign Subsidiary, ninety (90) days after the date of such acquisition or that such entity becomes a Loan Party (or such longer period as the Administrative Agent may agree in its sole discretion), cause such asset to be subjected to a Lien (subject to any Permitted Liens) securing the Obligations, and take, and cause the Loan Parties to take, such actions as shall be required or reasonably requested by the Collateral Agent or the Administrative Agent to cause the Collateral and Guarantee Requirement to be satisfied with respect to such asset, including actions described in clause (a) of this Section 5.10, all at the expense of the Loan Parties, subject to the last paragraph of this Section 5.10.</w:t>
      </w:r>
    </w:p>
    <w:p>
      <w:pPr>
        <w:spacing w:after="0" w:line="115" w:lineRule="exact"/>
        <w:rPr>
          <w:rFonts w:ascii="Times New Roman" w:cs="Times New Roman" w:eastAsia="Times New Roman" w:hAnsi="Times New Roman"/>
          <w:sz w:val="14"/>
          <w:szCs w:val="14"/>
          <w:color w:val="auto"/>
        </w:rPr>
      </w:pPr>
    </w:p>
    <w:p>
      <w:pPr>
        <w:jc w:val="both"/>
        <w:ind w:right="20" w:firstLine="920"/>
        <w:spacing w:after="0" w:line="219" w:lineRule="auto"/>
        <w:tabs>
          <w:tab w:leader="none" w:pos="1370" w:val="left"/>
        </w:tabs>
        <w:numPr>
          <w:ilvl w:val="0"/>
          <w:numId w:val="6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5.14, if any additional direct or indirect Subsidiary of the Parent is formed, acquired (with any Subsidiary Redesignation resulting in an Unrestricted Subsidiary becoming a Subsidiary being deemed to constitute the acquisition of a Subsidiary) or ceases to constitute an Excluded Subsidiary following the Closing Date and such Subsidiary is (1) a Wholly Owned Subsidiary of the Parent that is not an Excluded Subsidiary or (2) any other Subsidiary of the Parent that may be designated by the Parent in its sole discretion, within thirty (30) days after the date such Subsidiary is formed or acquired or meets such criteria (or first becomes subject to such requirement) (or such longer period as the Administrative Agent may agree in its sole discretion), notify the Collateral Agent and the Administrative Agent thereof and, within sixty (60) days after the date such Subsidiary is formed or acquired or meets such criteria (or first becomes subject to such requirement) or one hundred and twenty (120) days with respect to Foreign Loan Parties, in each case or such longer period as the Administrative Agent may agree in its sole discretion, subject in the case of a Subsidiary that is a Foreign Subsidiary, to the Agreed Guarantee and Security Principles, cause such Subsidiary to become a Guarantor and cause the Collateral and Guarantee Requirement to be satisfied with respect to such Subsidiary and with respect to any Equity Interest in or Indebtedness of such Subsidiary owned by or on behalf of any Loan Party. Notwithstanding anything to the contrary herein, in no circumstance shall an Excluded Subsidiary become a Guarantor unless designated as a Guarantor by the Parent in its sole discretion.</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142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05" w:name="page606"/>
    <w:bookmarkEnd w:id="605"/>
    <w:p>
      <w:pPr>
        <w:spacing w:after="0" w:line="24" w:lineRule="exact"/>
        <w:rPr>
          <w:sz w:val="20"/>
          <w:szCs w:val="20"/>
          <w:color w:val="auto"/>
        </w:rPr>
      </w:pPr>
    </w:p>
    <w:p>
      <w:pPr>
        <w:jc w:val="both"/>
        <w:ind w:firstLine="920"/>
        <w:spacing w:after="0" w:line="233" w:lineRule="auto"/>
        <w:tabs>
          <w:tab w:leader="none" w:pos="1361" w:val="left"/>
        </w:tabs>
        <w:numPr>
          <w:ilvl w:val="0"/>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the Collateral Agent and the Administrative Agent prompt (and in any event within thirty (30) days) written notice of any change (i) in any Loan Party’s legal name, as set forth in its Organizational Documents, (ii) in any Loan Party’s form of organization, (iii) in any Loan Party’s organizational identification number (to the extent relevant in the applicable jurisdiction of organization), (iv) in any Loan Party’s jurisdiction of organization or (v) the location of the chief executive office of any Loan Party.</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Real Property that is acquired by a Loan Party after the Closing Date or owned by an entity at the time it becomes a Loan Party (in each case, other than Excluded Property), deliver within ninety (90) days (except as set forth in clause (b) of this Section 5.10) of the acquisition of such Real Property or the joinder of such Loan Party, as applicable:</w:t>
      </w:r>
    </w:p>
    <w:p>
      <w:pPr>
        <w:spacing w:after="0" w:line="112" w:lineRule="exact"/>
        <w:rPr>
          <w:sz w:val="20"/>
          <w:szCs w:val="20"/>
          <w:color w:val="auto"/>
        </w:rPr>
      </w:pPr>
    </w:p>
    <w:p>
      <w:pPr>
        <w:jc w:val="both"/>
        <w:ind w:left="460" w:right="20" w:firstLine="460"/>
        <w:spacing w:after="0" w:line="225" w:lineRule="auto"/>
        <w:tabs>
          <w:tab w:leader="none" w:pos="1374"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that (A) counterparts of a Mortgage have been duly executed, acknowledged and delivered and such Mortgage and any corresponding UCC or equivalent fixture filing are in form suitable for filing or recording in all filing or recording offices that the Collateral Agent may deem reasonably necessary in order to create a valid and subsisting first priority Lien (subject to Permitted Liens) on such Mortgaged Property in favor of the Collateral Agent for the benefit of the Secured Parties, (B) such Mortgage and any corresponding UCC or equivalent fixture filings have been duly recorded or filed, as applicable, and (C) all filing and recording taxes and fees have been paid or otherwise provided for in a manner reasonably satisfactory to the Collateral Agent;</w:t>
      </w:r>
    </w:p>
    <w:p>
      <w:pPr>
        <w:spacing w:after="0" w:line="111" w:lineRule="exact"/>
        <w:rPr>
          <w:rFonts w:ascii="Times New Roman" w:cs="Times New Roman" w:eastAsia="Times New Roman" w:hAnsi="Times New Roman"/>
          <w:sz w:val="14"/>
          <w:szCs w:val="14"/>
          <w:color w:val="auto"/>
        </w:rPr>
      </w:pPr>
    </w:p>
    <w:p>
      <w:pPr>
        <w:jc w:val="both"/>
        <w:ind w:left="460" w:right="20" w:firstLine="460"/>
        <w:spacing w:after="0" w:line="225" w:lineRule="auto"/>
        <w:tabs>
          <w:tab w:leader="none" w:pos="1374"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fully paid policy or policies (or an unconditional binding commitment therefor to be replaced by a final title policy) of title insurance issued by a nationally recognized title insurance company insuring the Lien of the applicable Mortgage as a valid first priority Lien on the Mortgaged Property described therein, in such amounts as reasonably acceptable to the Collateral Agent not to exceed the Fair Market Value of the applicable Mortgaged Property, free of any Liens other than Permitted Liens, and otherwise in form and substance reasonably acceptable to the Collateral Agent and the Parent, together with such endorsements, co-insurance and reinsurance as the Collateral Agent may reasonably request but only to the extent such endorsements are available in the relevant jurisdiction (each such policy, a “</w:t>
      </w:r>
      <w:r>
        <w:rPr>
          <w:rFonts w:ascii="Times New Roman" w:cs="Times New Roman" w:eastAsia="Times New Roman" w:hAnsi="Times New Roman"/>
          <w:sz w:val="14"/>
          <w:szCs w:val="14"/>
          <w:u w:val="single" w:color="auto"/>
          <w:color w:val="auto"/>
        </w:rPr>
        <w:t>Title Policy</w:t>
      </w:r>
      <w:r>
        <w:rPr>
          <w:rFonts w:ascii="Times New Roman" w:cs="Times New Roman" w:eastAsia="Times New Roman" w:hAnsi="Times New Roman"/>
          <w:sz w:val="14"/>
          <w:szCs w:val="14"/>
          <w:color w:val="auto"/>
        </w:rPr>
        <w:t>”);</w:t>
      </w:r>
    </w:p>
    <w:p>
      <w:pPr>
        <w:spacing w:after="0" w:line="111"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customary legal opinion of local counsel, as to enforceability, due authorization, and execution and delivery of the applicable Mortgage and other customary matters, to the applicable Loan Party, in form and substance reasonably acceptable to the Collateral Agent;</w:t>
      </w:r>
    </w:p>
    <w:p>
      <w:pPr>
        <w:spacing w:after="0" w:line="105" w:lineRule="exact"/>
        <w:rPr>
          <w:rFonts w:ascii="Times New Roman" w:cs="Times New Roman" w:eastAsia="Times New Roman" w:hAnsi="Times New Roman"/>
          <w:sz w:val="14"/>
          <w:szCs w:val="14"/>
          <w:color w:val="auto"/>
        </w:rPr>
      </w:pPr>
    </w:p>
    <w:p>
      <w:pPr>
        <w:ind w:left="460" w:right="60" w:firstLine="460"/>
        <w:spacing w:after="0" w:line="248" w:lineRule="auto"/>
        <w:tabs>
          <w:tab w:leader="none" w:pos="1374"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clause (ii) above;</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28" w:lineRule="auto"/>
        <w:tabs>
          <w:tab w:leader="none" w:pos="1364"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completed “Life-of-Loan” Federal Emergency Management Agency Standard Flood Hazard Determination, and if any improvements on such Mortgaged Property are located in a Special Flood Hazard Area, (A) a notification to the applicable Loan Parties of that fact and (if applicable) notification to the applicable Loan Parties that flood insurance coverage is not available, (B) evidence of the receipt by the applicable Loan Parties of such notice; and (C) if required by Flood Insurance Laws, evidence of required flood insurance as required by Section 5.02(a)(ii), in form and substance reasonably satisfactory to the Administrative Agent; and</w:t>
      </w:r>
    </w:p>
    <w:p>
      <w:pPr>
        <w:spacing w:after="0" w:line="111" w:lineRule="exact"/>
        <w:rPr>
          <w:rFonts w:ascii="Times New Roman" w:cs="Times New Roman" w:eastAsia="Times New Roman" w:hAnsi="Times New Roman"/>
          <w:sz w:val="14"/>
          <w:szCs w:val="14"/>
          <w:color w:val="auto"/>
        </w:rPr>
      </w:pPr>
    </w:p>
    <w:p>
      <w:pPr>
        <w:jc w:val="both"/>
        <w:ind w:left="460" w:right="20" w:firstLine="460"/>
        <w:spacing w:after="0" w:line="233" w:lineRule="auto"/>
        <w:tabs>
          <w:tab w:leader="none" w:pos="1374"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further agreement, instrument, affidavit, appraisal, zoning report, property condition report, Phase I environmental report, subordination, estoppel or document as the Collateral Agent may reasonably request in connection with the foregoing or as shall be required by the title company to induce the title company to issue the Title Policy and to further grant, preserve, protect, and perfect the Liens intended to be provided herein;</w:t>
      </w:r>
    </w:p>
    <w:p>
      <w:pPr>
        <w:spacing w:after="0" w:line="121"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or any provision of any Loan Document to the contrary, no Loan Party shall execute and deliver to the Collateral Agent, and the Collateral Agent shall not accept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06" w:name="page607"/>
    <w:bookmarkEnd w:id="606"/>
    <w:p>
      <w:pPr>
        <w:spacing w:after="0" w:line="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execution and delivery of, any Mortgage in respect of any Real Property acquired by any Loan Party after the Closing Date or to be mortgaged based on any appraisal of the real property assets of the Loan Parties in connection with a MIRE Event, unless the Collateral Agent shall have received the certificates and other documentation referred to in subclause (e)(v) of this Section 5.10 and shall have provided the same to the Lenders at least ten (10) Business Days prior to the execution and delivery of such Mortgage;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Default of Event of Default shall arise out of the failure to deliver a Mortgage in reliance on the immediately preceding proviso. Notwithstanding the foregoing, a Loan Party’s inability to deliver such certificates and other documentation due to the location of any such Mortgaged Property shall not be a default by any Loan Party hereunder.</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Notwithstanding anything herein or in any other Loan Document to the contrary, (A) the Administrative Agent may grant extensions of time or waiver or modification of the requirement for the creation or perfection of security interests in or the obtaining of insurance with respect to particular assets (including extensions beyond the Closing Date for the perfection of security interests in the assets of the Loan Parties on such date) where it reasonably determines, in consultation with the Parent, that perfection or obtaining of such items cannot reasonably be accomplished without undue effort or expense or is otherwise impracticable by the time or times at and/or in the form or manner in which it would otherwise be required by this Agreement or the other Loan Documents, (B) Liens required to be granted from time to time pursuant to, or any other requirements of, the Collateral and Guarantee Requirement and the Security Documents shall be subject to exceptions and limitations set forth in the Security Documents and (C) the provisions of this Section 5.10 and the Collateral and Guarantee Requirement shall in all cases be subject to, and limited by, the Agreed Guarantee and Security Principles.</w:t>
      </w:r>
    </w:p>
    <w:p>
      <w:pPr>
        <w:spacing w:after="0" w:line="1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5.11.</w:t>
      </w:r>
      <w:r>
        <w:rPr>
          <w:rFonts w:ascii="Times New Roman" w:cs="Times New Roman" w:eastAsia="Times New Roman" w:hAnsi="Times New Roman"/>
          <w:sz w:val="14"/>
          <w:szCs w:val="14"/>
          <w:u w:val="single" w:color="auto"/>
          <w:color w:val="auto"/>
        </w:rPr>
        <w:t>Rating</w:t>
      </w:r>
      <w:r>
        <w:rPr>
          <w:rFonts w:ascii="Times New Roman" w:cs="Times New Roman" w:eastAsia="Times New Roman" w:hAnsi="Times New Roman"/>
          <w:sz w:val="14"/>
          <w:szCs w:val="14"/>
          <w:color w:val="auto"/>
        </w:rPr>
        <w:t>. Use commercially reasonable efforts to obtain and to maintain (a) public ratings from each of Moody’s and S&amp;P for the Initial Term B Loans and</w:t>
      </w:r>
    </w:p>
    <w:p>
      <w:pPr>
        <w:ind w:firstLine="6"/>
        <w:spacing w:after="0" w:line="232" w:lineRule="auto"/>
        <w:tabs>
          <w:tab w:leader="none" w:pos="202" w:val="left"/>
        </w:tabs>
        <w:numPr>
          <w:ilvl w:val="0"/>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public corporate credit ratings or corporate family ratings, as applicable, from each of Moody’s and S&amp;P in respect of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each case, that the Parent and the Subsidiaries shall not be required to obtain or maintain any specific rating.</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5.12.</w:t>
      </w:r>
      <w:r>
        <w:rPr>
          <w:rFonts w:ascii="Times New Roman" w:cs="Times New Roman" w:eastAsia="Times New Roman" w:hAnsi="Times New Roman"/>
          <w:sz w:val="14"/>
          <w:szCs w:val="14"/>
          <w:u w:val="single" w:color="auto"/>
          <w:color w:val="auto"/>
        </w:rPr>
        <w:t>Restricted and Unrestricted Subsidiaries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18" w:lineRule="auto"/>
        <w:tabs>
          <w:tab w:leader="none" w:pos="1370" w:val="left"/>
        </w:tabs>
        <w:numPr>
          <w:ilvl w:val="0"/>
          <w:numId w:val="6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may designate any subsidiary of the Parent (other than the U.S. Co-Borrower), whether now owned or acquired or created after the Closing Date, as an Unrestricted Subsidiary hereunder by written notice to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Parent shall only be permitted to so designate a new Unrestricted Subsidiary on or after the Closing Date so long as (a) no Event of Default has occurred and is continuing or would result therefrom, (b) immediately after giving effect to such designation, the Parent shall be in Pro Forma Compliance with the Financial Covenants as of the last day of the then most recently ended Test Period, (c) all Investments in such Unrestricted Subsidiary at the time of designation (as contemplated by the immediately following sentence) are permitted in accordance with the relevant requirements of Section 6.04, (d) such subsidiary being designated as an “Unrestricted Subsidiary” shall also, concurrently with such designation and thereafter, constitute an “unrestricted subsidiary” under any Material Indebtedness issued or incurred on or after the Closing Date, (e) such subsidiary was not previously designated as an Unrestricted Subsidiary and thereafter re-designated as a Subsidiary, (f) if such designation is on the Closing Date, the designation shall not occur until the conditions set forth in Section 4.01 are satisfied (or waived in accordance with Section 9.08) and the funding of the Initial Term Loans has occurred and (g) neither such subsidiary nor any of its subsidiaries owns or exclusively licenses Material Intellectual Property. The designation of any subsidiary as an Unrestricted Subsidiary shall constitute an Investment by the Parent (or the applicable Subsidiary) therein at the date of designation in an amount equal to the Fair Market Value of the Parent’s (or such Subsidiary’s) Investments therein, which shall be required to be permitted on such date in accordance with Section 6.04 (and not as an Investment permitted thereby in a Subsidiary). For the avoidance of doubt, neither the Parent nor the U.S. Co-Borrower shall, at any time, be an Unrestricted Subsidiary.</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07" w:name="page608"/>
    <w:bookmarkEnd w:id="607"/>
    <w:p>
      <w:pPr>
        <w:spacing w:after="0" w:line="24" w:lineRule="exact"/>
        <w:rPr>
          <w:sz w:val="20"/>
          <w:szCs w:val="20"/>
          <w:color w:val="auto"/>
        </w:rPr>
      </w:pPr>
    </w:p>
    <w:p>
      <w:pPr>
        <w:jc w:val="both"/>
        <w:ind w:firstLine="920"/>
        <w:spacing w:after="0" w:line="220" w:lineRule="auto"/>
        <w:tabs>
          <w:tab w:leader="none" w:pos="1361" w:val="left"/>
        </w:tabs>
        <w:numPr>
          <w:ilvl w:val="0"/>
          <w:numId w:val="6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may designate any Unrestricted Subsidiary to be a Subsidiary for purposes of this Agreement (each, a “ </w:t>
      </w:r>
      <w:r>
        <w:rPr>
          <w:rFonts w:ascii="Times New Roman" w:cs="Times New Roman" w:eastAsia="Times New Roman" w:hAnsi="Times New Roman"/>
          <w:sz w:val="14"/>
          <w:szCs w:val="14"/>
          <w:u w:val="single" w:color="auto"/>
          <w:color w:val="auto"/>
        </w:rPr>
        <w:t>Subsidiary Redesignation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 Event of Default has occurred and is continuing or would result therefrom (after giving effect to the provisions of the immediately succeeding sentence), (ii) immediately after giving effect to such redesignation, the Parent shall be in Pro Forma Compliance with the Financial Covenants as of the last day of the most recently ended Test Period and (iii) the Parent shall have delivered to the Administrative Agent an officer’s certificate executed by a Responsible Officer of the Parent, certifying to such officer’s knowledge, compliance with the requirements of the preceding clause (i). The designation of any Unrestricted Subsidiary as a Subsidiary on or after the Closing Date shall constitute (x) the incurrence at the time of designation of any Investment, Indebtedness or Liens of such Unrestricted Subsidiary existing at such time and (y) a return on any Investment by the applicable Loan Party (or its applicable Subsidiary) in such Unrestricted Subsidiary made pursuant to Section 5.12(a) in an amount equal to the Fair Market Value at the date of such designation of such Loan Party’s (or its applicable Subsidiary’s) Investment in such Unrestricted Subsidiary.</w:t>
      </w:r>
    </w:p>
    <w:p>
      <w:pPr>
        <w:spacing w:after="0" w:line="114" w:lineRule="exact"/>
        <w:rPr>
          <w:sz w:val="20"/>
          <w:szCs w:val="20"/>
          <w:color w:val="auto"/>
        </w:rPr>
      </w:pPr>
    </w:p>
    <w:p>
      <w:pPr>
        <w:jc w:val="both"/>
        <w:ind w:firstLine="914"/>
        <w:spacing w:after="0" w:line="225" w:lineRule="auto"/>
        <w:rPr>
          <w:sz w:val="20"/>
          <w:szCs w:val="20"/>
          <w:color w:val="auto"/>
        </w:rPr>
      </w:pPr>
      <w:r>
        <w:rPr>
          <w:rFonts w:ascii="Times New Roman" w:cs="Times New Roman" w:eastAsia="Times New Roman" w:hAnsi="Times New Roman"/>
          <w:sz w:val="14"/>
          <w:szCs w:val="14"/>
          <w:color w:val="auto"/>
        </w:rPr>
        <w:t>SECTION 5.13.</w:t>
      </w:r>
      <w:r>
        <w:rPr>
          <w:rFonts w:ascii="Times New Roman" w:cs="Times New Roman" w:eastAsia="Times New Roman" w:hAnsi="Times New Roman"/>
          <w:sz w:val="14"/>
          <w:szCs w:val="14"/>
          <w:u w:val="single" w:color="auto"/>
          <w:color w:val="auto"/>
        </w:rPr>
        <w:t>Lender Calls</w:t>
      </w:r>
      <w:r>
        <w:rPr>
          <w:rFonts w:ascii="Times New Roman" w:cs="Times New Roman" w:eastAsia="Times New Roman" w:hAnsi="Times New Roman"/>
          <w:sz w:val="14"/>
          <w:szCs w:val="14"/>
          <w:color w:val="auto"/>
        </w:rPr>
        <w:t>. No later than ten Business Days following delivery of the financial statements (or the date such financial statements were required to be delivered) pursuant to Section 5.04, or such later date as may be agreed by the Administrative Agent, hold a conference call with management of the Parent to review the financial results of the most recently ended fiscal quarter and the financial condition and business of the Parent and the Subsidiaries, and the Parent shall invite the Lenders to attend the same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posting of a press release on the Parent’s website shall constitute an invitation for such purpose),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holding of a quarterly conference call for the holders of the Parent’s securities shall satisfy for all purposes the requirements of this Section 5.13.</w:t>
      </w:r>
    </w:p>
    <w:p>
      <w:pPr>
        <w:spacing w:after="0" w:line="111" w:lineRule="exact"/>
        <w:rPr>
          <w:sz w:val="20"/>
          <w:szCs w:val="20"/>
          <w:color w:val="auto"/>
        </w:rPr>
      </w:pPr>
    </w:p>
    <w:p>
      <w:pPr>
        <w:jc w:val="both"/>
        <w:ind w:firstLine="914"/>
        <w:spacing w:after="0" w:line="216" w:lineRule="auto"/>
        <w:rPr>
          <w:sz w:val="20"/>
          <w:szCs w:val="20"/>
          <w:color w:val="auto"/>
        </w:rPr>
      </w:pPr>
      <w:r>
        <w:rPr>
          <w:rFonts w:ascii="Times New Roman" w:cs="Times New Roman" w:eastAsia="Times New Roman" w:hAnsi="Times New Roman"/>
          <w:sz w:val="14"/>
          <w:szCs w:val="14"/>
          <w:color w:val="auto"/>
        </w:rPr>
        <w:t>SECTION 5.14.</w:t>
      </w:r>
      <w:r>
        <w:rPr>
          <w:rFonts w:ascii="Times New Roman" w:cs="Times New Roman" w:eastAsia="Times New Roman" w:hAnsi="Times New Roman"/>
          <w:sz w:val="14"/>
          <w:szCs w:val="14"/>
          <w:u w:val="single" w:color="auto"/>
          <w:color w:val="auto"/>
        </w:rPr>
        <w:t>Merus Joinder</w:t>
      </w:r>
      <w:r>
        <w:rPr>
          <w:rFonts w:ascii="Times New Roman" w:cs="Times New Roman" w:eastAsia="Times New Roman" w:hAnsi="Times New Roman"/>
          <w:sz w:val="14"/>
          <w:szCs w:val="14"/>
          <w:color w:val="auto"/>
        </w:rPr>
        <w:t xml:space="preserve">. Notwithstanding anything to the contrary herein, and in all cases, subject to, and limited by, the Agreed Guarantee and Security Principles, (a) no Merus Entity shall be required to become a Guarantor or grant a Lien on its assets to secure the Obligations, and no Loan Party shall be required to pledge the Equity Interests of any Merus Entity to secure the Obligations, in each case unless and until Merus becomes a Wholly Owned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that Genmab Purchaser commences a Back-End Compulsory Acquisition (as defined in the Transaction Agreement), the Parent shall cause the Collateral and Guarantee Requirement to be satisfied with respect to Merus and, to the extent not constituting an Excluded Subsidiary (other than pursuant to clause (b) of the definition of “</w:t>
      </w:r>
      <w:r>
        <w:rPr>
          <w:rFonts w:ascii="Times New Roman" w:cs="Times New Roman" w:eastAsia="Times New Roman" w:hAnsi="Times New Roman"/>
          <w:sz w:val="14"/>
          <w:szCs w:val="14"/>
          <w:u w:val="single" w:color="auto"/>
          <w:color w:val="auto"/>
        </w:rPr>
        <w:t>Excluded Subsidiary</w:t>
      </w:r>
      <w:r>
        <w:rPr>
          <w:rFonts w:ascii="Times New Roman" w:cs="Times New Roman" w:eastAsia="Times New Roman" w:hAnsi="Times New Roman"/>
          <w:sz w:val="14"/>
          <w:szCs w:val="14"/>
          <w:color w:val="auto"/>
        </w:rPr>
        <w:t>”), each subsidiary of Merus within 30 days after the commencement of the Back-End Compulsory Acquisition (as defined in the Transaction Agreement), to the extent that (i) the applicable Guarantees, Liens and pledges are not subject to a Legal Restraint (as defined in the Transaction Agreement), (y) the Back-End Conversion and Amendment (as defined in the Transaction Agreement) has been executed and (z) the Company Works Council (as defined in the Transaction Agreement), or any other competent works council that has jurisdiction over a relevant subsidiary of Merus (each, a “</w:t>
      </w:r>
      <w:r>
        <w:rPr>
          <w:rFonts w:ascii="Times New Roman" w:cs="Times New Roman" w:eastAsia="Times New Roman" w:hAnsi="Times New Roman"/>
          <w:sz w:val="14"/>
          <w:szCs w:val="14"/>
          <w:u w:val="single" w:color="auto"/>
          <w:color w:val="auto"/>
        </w:rPr>
        <w:t>Relevant Works Council</w:t>
      </w:r>
      <w:r>
        <w:rPr>
          <w:rFonts w:ascii="Times New Roman" w:cs="Times New Roman" w:eastAsia="Times New Roman" w:hAnsi="Times New Roman"/>
          <w:sz w:val="14"/>
          <w:szCs w:val="14"/>
          <w:color w:val="auto"/>
        </w:rPr>
        <w:t>”), has rendered a positive or neutral unconditional (or conditional with such conditions that are reasonably acceptable to the Parent and Merus (as determined by the Parent and Merus pursuant to Section 5.19(b)(ii) of the Transaction Agreement)) advice with respect to such Guarantees, Liens and pledges (or the Relevant Works Council has unconditionally or irrevocably waived its right to render advice) or, if the Relevant Works Council provides a negative advice in respect of such Guarantees, Liens and/or pledges, the Relevant Works Council has unconditionally and irrevocably waived its right to initiate legal proceedings, a period of one month has lapsed from the date of the Relevant Works Council’s advice and no legal proceedings have been commenced by the Relevant Works Council or if the Relevant Works Council commences legal proceedings within that period, the competent court rules that Merus or the relevant subsidiary of Merus (as the case may be) can implement the decision to provide such Guarantees, Liens and pledges (this clause (z), the “</w:t>
      </w:r>
      <w:r>
        <w:rPr>
          <w:rFonts w:ascii="Times New Roman" w:cs="Times New Roman" w:eastAsia="Times New Roman" w:hAnsi="Times New Roman"/>
          <w:sz w:val="14"/>
          <w:szCs w:val="14"/>
          <w:u w:val="single" w:color="auto"/>
          <w:color w:val="auto"/>
        </w:rPr>
        <w:t>Works Council Condition</w:t>
      </w:r>
      <w:r>
        <w:rPr>
          <w:rFonts w:ascii="Times New Roman" w:cs="Times New Roman" w:eastAsia="Times New Roman" w:hAnsi="Times New Roman"/>
          <w:sz w:val="14"/>
          <w:szCs w:val="14"/>
          <w:color w:val="auto"/>
        </w:rPr>
        <w:t>”) and (b) once Merus becomes a Wholly Owned Subsidiary, the Parent shall cause the Collateral and Guarantee Requirements to be satisfied with respect to Merus and, to the extent not constituting an Excluded Subsidiary, each subsidiary of Merus within 30 days after the date on which Merus becomes a Wholly Owned Subsidiary to the extent (x) such Guarantees, Liens and pledges are not subject to a Legal Restraint (as defined in the Transaction Agreement) and (y) the Works Council Condition has been satisfied.</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08" w:name="page609"/>
    <w:bookmarkEnd w:id="608"/>
    <w:p>
      <w:pPr>
        <w:spacing w:after="0" w:line="24" w:lineRule="exact"/>
        <w:rPr>
          <w:sz w:val="20"/>
          <w:szCs w:val="20"/>
          <w:color w:val="auto"/>
        </w:rPr>
      </w:pPr>
    </w:p>
    <w:p>
      <w:pPr>
        <w:ind w:right="60" w:firstLine="914"/>
        <w:spacing w:after="0" w:line="248" w:lineRule="auto"/>
        <w:rPr>
          <w:sz w:val="20"/>
          <w:szCs w:val="20"/>
          <w:color w:val="auto"/>
        </w:rPr>
      </w:pPr>
      <w:r>
        <w:rPr>
          <w:rFonts w:ascii="Times New Roman" w:cs="Times New Roman" w:eastAsia="Times New Roman" w:hAnsi="Times New Roman"/>
          <w:sz w:val="14"/>
          <w:szCs w:val="14"/>
          <w:color w:val="auto"/>
        </w:rPr>
        <w:t>SECTION 5.15.</w:t>
      </w:r>
      <w:r>
        <w:rPr>
          <w:rFonts w:ascii="Times New Roman" w:cs="Times New Roman" w:eastAsia="Times New Roman" w:hAnsi="Times New Roman"/>
          <w:sz w:val="14"/>
          <w:szCs w:val="14"/>
          <w:u w:val="single" w:color="auto"/>
          <w:color w:val="auto"/>
        </w:rPr>
        <w:t>Post-Closing</w:t>
      </w:r>
      <w:r>
        <w:rPr>
          <w:rFonts w:ascii="Times New Roman" w:cs="Times New Roman" w:eastAsia="Times New Roman" w:hAnsi="Times New Roman"/>
          <w:sz w:val="14"/>
          <w:szCs w:val="14"/>
          <w:color w:val="auto"/>
        </w:rPr>
        <w:t>. Take all necessary actions to satisfy the items described on Schedule 5.15 within the applicable period of time specified in such Schedule (or such longer period as the Administrative Agent may agree in its sole discretion) .</w:t>
      </w:r>
    </w:p>
    <w:p>
      <w:pPr>
        <w:spacing w:after="0" w:line="1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VI</w:t>
      </w:r>
    </w:p>
    <w:p>
      <w:pPr>
        <w:spacing w:after="0" w:line="1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u w:val="single" w:color="auto"/>
          <w:color w:val="auto"/>
        </w:rPr>
        <w:t>Negative Covenants</w:t>
      </w:r>
    </w:p>
    <w:p>
      <w:pPr>
        <w:spacing w:after="0" w:line="144"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The Parent covenants and agrees with each Lender and Issuing Bank that from the Closing Date until the Termination Date, the Parent will not, and will not permit any of the Subsidiaries to:</w:t>
      </w:r>
    </w:p>
    <w:p>
      <w:pPr>
        <w:spacing w:after="0" w:line="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6.01.</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Incur, create, assume or permit to exist any Indebtedness, except:</w:t>
      </w:r>
    </w:p>
    <w:p>
      <w:pPr>
        <w:spacing w:after="0" w:line="134" w:lineRule="exact"/>
        <w:rPr>
          <w:sz w:val="20"/>
          <w:szCs w:val="20"/>
          <w:color w:val="auto"/>
        </w:rPr>
      </w:pPr>
    </w:p>
    <w:p>
      <w:pPr>
        <w:jc w:val="both"/>
        <w:ind w:firstLine="920"/>
        <w:spacing w:after="0" w:line="221" w:lineRule="auto"/>
        <w:tabs>
          <w:tab w:leader="none" w:pos="137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(other than as described in Section 6.01(b) below) existing or committed on the Closing Date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Indebtedness (x) that is owed to any person other than the Parent or one or more of the Subsidiaries, in an aggregate amount in excess of $5,000,000 shall be set forth in </w:t>
      </w:r>
      <w:r>
        <w:rPr>
          <w:rFonts w:ascii="Times New Roman" w:cs="Times New Roman" w:eastAsia="Times New Roman" w:hAnsi="Times New Roman"/>
          <w:sz w:val="14"/>
          <w:szCs w:val="14"/>
          <w:u w:val="single" w:color="auto"/>
          <w:color w:val="auto"/>
        </w:rPr>
        <w:t>Part 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Schedule 6.01(a)</w:t>
      </w:r>
      <w:r>
        <w:rPr>
          <w:rFonts w:ascii="Times New Roman" w:cs="Times New Roman" w:eastAsia="Times New Roman" w:hAnsi="Times New Roman"/>
          <w:sz w:val="14"/>
          <w:szCs w:val="14"/>
          <w:color w:val="auto"/>
        </w:rPr>
        <w:t xml:space="preserve"> and (y) that is owed to the Parent or one or more of the Subsidiaries in excess of $10,000,000 shall be set forth on </w:t>
      </w:r>
      <w:r>
        <w:rPr>
          <w:rFonts w:ascii="Times New Roman" w:cs="Times New Roman" w:eastAsia="Times New Roman" w:hAnsi="Times New Roman"/>
          <w:sz w:val="14"/>
          <w:szCs w:val="14"/>
          <w:u w:val="single" w:color="auto"/>
          <w:color w:val="auto"/>
        </w:rPr>
        <w:t>Part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Schedule 6.01(a)</w:t>
      </w:r>
      <w:r>
        <w:rPr>
          <w:rFonts w:ascii="Times New Roman" w:cs="Times New Roman" w:eastAsia="Times New Roman" w:hAnsi="Times New Roman"/>
          <w:sz w:val="14"/>
          <w:szCs w:val="14"/>
          <w:color w:val="auto"/>
        </w:rPr>
        <w:t xml:space="preserve">) and any Permitted Refinancing Indebtedness in respect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(1) any Indebtedness outstanding pursuant to this clause (a) which is owed by a Loan Party to any Subsidiary that is not a Loan Party shall be subordinated in right of payment to the same extent required pursuant to Section 6.01(e) and (2) any Permitted Refinancing Indebtedness at any time incurred with respect to any Indebtedness described in this Section 6.01(a) outstanding on the Closing Date (or any Permitted Refinancing Indebtedness in respect thereof) that is owing to the Parent or a Subsidiary may only be owed to the Parent or the applicable Subsidiary to which the Indebtedness described in clause (y) above outstanding on the Closing Date was owed;</w:t>
      </w:r>
    </w:p>
    <w:p>
      <w:pPr>
        <w:spacing w:after="0" w:line="113" w:lineRule="exact"/>
        <w:rPr>
          <w:rFonts w:ascii="Times New Roman" w:cs="Times New Roman" w:eastAsia="Times New Roman" w:hAnsi="Times New Roman"/>
          <w:sz w:val="14"/>
          <w:szCs w:val="14"/>
          <w:color w:val="auto"/>
        </w:rPr>
      </w:pPr>
    </w:p>
    <w:p>
      <w:pPr>
        <w:ind w:right="60" w:firstLine="920"/>
        <w:spacing w:after="0" w:line="248" w:lineRule="auto"/>
        <w:tabs>
          <w:tab w:leader="none" w:pos="1361"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Indebtedness created hereunder (including pursuant to Section 2.21, Section 2.22 and Section 2.23) and under the other Loan Documents and (y) any Permitted Refinancing Indebtedness in respect thereof;</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Parent or any Subsidiary pursuant to Hedging Agreements entered into for non-speculative purposes;</w:t>
      </w:r>
    </w:p>
    <w:p>
      <w:pPr>
        <w:spacing w:after="0" w:line="134" w:lineRule="exact"/>
        <w:rPr>
          <w:rFonts w:ascii="Times New Roman" w:cs="Times New Roman" w:eastAsia="Times New Roman" w:hAnsi="Times New Roman"/>
          <w:sz w:val="14"/>
          <w:szCs w:val="14"/>
          <w:color w:val="auto"/>
        </w:rPr>
      </w:pPr>
    </w:p>
    <w:p>
      <w:pPr>
        <w:jc w:val="both"/>
        <w:ind w:right="60" w:firstLine="920"/>
        <w:spacing w:after="0" w:line="233" w:lineRule="auto"/>
        <w:tabs>
          <w:tab w:leader="none" w:pos="1361"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the Parent or any Subsidiary, pursuant to reimbursement or indemnification obligations to such person, in each case in the ordinary course of business or consistent with past practice or industry practices;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7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of the Parent to any Subsidiary and of any Subsidiary to the Parent or any other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Indebtedness of any Subsidiary that is not a Loan Party owing to a Loan Party incurred pursuant to this Section 6.01(e) shall be subject to Section 6.04(b) and (ii) Indebtedness owed by any Loan Party to any Subsidiary that is not a Loan Party incurred pursuant to this Section 6.01(e) shall be subordinated in right of payment to the Obligations on terms reasonably satisfactory to the Administrative Agent;</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7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146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60"/>
          </w:cols>
          <w:pgMar w:left="640" w:top="1440" w:right="600" w:bottom="1440" w:gutter="0" w:footer="0" w:header="0"/>
        </w:sectPr>
      </w:pPr>
    </w:p>
    <w:bookmarkStart w:id="609" w:name="page610"/>
    <w:bookmarkEnd w:id="609"/>
    <w:p>
      <w:pPr>
        <w:spacing w:after="0" w:line="24" w:lineRule="exact"/>
        <w:rPr>
          <w:sz w:val="20"/>
          <w:szCs w:val="20"/>
          <w:color w:val="auto"/>
        </w:rPr>
      </w:pPr>
    </w:p>
    <w:p>
      <w:pPr>
        <w:ind w:right="20" w:firstLine="920"/>
        <w:spacing w:after="0" w:line="248" w:lineRule="auto"/>
        <w:tabs>
          <w:tab w:leader="none" w:pos="1361"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arising from the honoring by a bank or other financial institution of a check, draft or similar instrument drawn against insufficient funds in the ordinary course of business or other cash management services, in each case incurred in the ordinary course of business;</w:t>
      </w:r>
    </w:p>
    <w:p>
      <w:pPr>
        <w:spacing w:after="0" w:line="105" w:lineRule="exact"/>
        <w:rPr>
          <w:rFonts w:ascii="Times New Roman" w:cs="Times New Roman" w:eastAsia="Times New Roman" w:hAnsi="Times New Roman"/>
          <w:sz w:val="14"/>
          <w:szCs w:val="14"/>
          <w:color w:val="auto"/>
        </w:rPr>
      </w:pPr>
    </w:p>
    <w:p>
      <w:pPr>
        <w:jc w:val="both"/>
        <w:ind w:firstLine="920"/>
        <w:spacing w:after="0" w:line="220" w:lineRule="auto"/>
        <w:tabs>
          <w:tab w:leader="none" w:pos="1361"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Indebtedness of a Subsidiary acquired after the Closing Date or a person merged or consolidated with the Parent or any Subsidiary after the Closing Date and Indebtedness otherwise assumed by any Loan Party in connection with the acquisition of assets or Equity Interests (including a Permitted Business Acquisition), where such acquisition, merger, amalgamation or consolidation is not prohibited by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Indebtedness incurred pursuant to the preceding sub clause (h)(i) shall be in existence prior to the applicable acquisition of assets or Equity Interests (including a Permitted Business Acquisition) and shall not have been created in contemplation thereof or in connection therewith, and (y) after giving effect to the incurrence of such Indebtedness, the aggregate principal amount of any Indebtedness outstanding pursuant to this Section 6.01(h) would not exceed an amount equal to the sum of (1) $250,000,000 and (2) an additional amount so long as (A) the Parent shall be in Pro Forma Compliance with the Financial Covenants and (B) the Total Net Leverage Ratio shall not be greater than the greater of (1) 3.05 to 1.00 and (2) the Total Net Leverage Ratio immediately prior to giving effect to such incurrence of Indebtedness; and (ii) any Permitted Refinancing Indebtedness in respect thereof;</w:t>
      </w:r>
    </w:p>
    <w:p>
      <w:pPr>
        <w:spacing w:after="0" w:line="113" w:lineRule="exact"/>
        <w:rPr>
          <w:rFonts w:ascii="Times New Roman" w:cs="Times New Roman" w:eastAsia="Times New Roman" w:hAnsi="Times New Roman"/>
          <w:sz w:val="14"/>
          <w:szCs w:val="14"/>
          <w:color w:val="auto"/>
        </w:rPr>
      </w:pPr>
    </w:p>
    <w:p>
      <w:pPr>
        <w:jc w:val="both"/>
        <w:ind w:firstLine="920"/>
        <w:spacing w:after="0" w:line="223" w:lineRule="auto"/>
        <w:tabs>
          <w:tab w:leader="none" w:pos="1370"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Capitalized Lease Obligations, mortgage financings and other Indebtedness incurred by the Parent or any Subsidiary prior to or within 360 days after the acquisition, lease, construction, repair, replacement or improvement of the respective property (real or personal, and whether through the direct purchase of property or the Equity Interest of any person owning such property) permitted under this Agreement in order to finance such acquisition, lease, construction, repair, replacement or improvement, in an aggregate principal amount that immediately after giving effect to the incurrence of such Indebtedness and the use of proceeds thereof, together with the aggregate principal amount of any other Indebtedness outstanding pursuant to this Section 6.01(i), would not exceed the greater of $300,000,000 and 2.4% of Consolidated Total Assets when incurred, created or assumed, and (y) any Permitted Refinancing Indebtedness in respect thereof;</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Capitalized Lease Obligations and any other Indebtedness incurred by the Parent or any Subsidiary arising from any Permitted Sale Lease-Back Transaction, and (y) any Permitted Refinancing Indebtedness in respect thereof;</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other Indebtedness of the Parent or any Subsidiary, in an aggregate principal amount that, immediately after giving effect to the incurrence of such Indebtedness and the use of proceeds thereof, together with the aggregate principal amount of any other Indebtedness outstanding pursuant to this Section 6.01(k), would not exceed the greater of $700,000,000 and 5.6% of Consolidated Total Assets when incurred, created or assumed and (y) any Permitted Refinancing Indebtedness in respect of thereof;</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Notes and any Permitted Refinancing Indebtedness in respect thereof;</w:t>
      </w:r>
    </w:p>
    <w:p>
      <w:pPr>
        <w:spacing w:after="0" w:line="134" w:lineRule="exact"/>
        <w:rPr>
          <w:rFonts w:ascii="Times New Roman" w:cs="Times New Roman" w:eastAsia="Times New Roman" w:hAnsi="Times New Roman"/>
          <w:sz w:val="14"/>
          <w:szCs w:val="14"/>
          <w:color w:val="auto"/>
        </w:rPr>
      </w:pPr>
    </w:p>
    <w:p>
      <w:pPr>
        <w:jc w:val="both"/>
        <w:ind w:firstLine="920"/>
        <w:spacing w:after="0"/>
        <w:tabs>
          <w:tab w:leader="none" w:pos="1370"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Guarantees (i) by any Loan Party of any Indebtedness of any Loan Party permitted to be incurred under this Agreement, (ii) by any Loan Party of Indebtedness otherwise permitted hereunder of any Subsidiary that is not a Guarantor to the extent such Guarantees are permitted by Section 6.04, (iii) by any Subsidiary that is not a Guarantor of Indebtedness of another Subsidiary that is not a Guarantor, and (iv) by any Loan Party of Indebtedness of Subsidiaries that are not Guarantors incurred for working capital purposes in the ordinary course of business on ordinary business terms so long as such Indebtedness is permitted to be incurred under Section 6.01(q) and to the extent such Guarantees are permitted by Section 6.04;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Guarantees by any Loan Party under this Section 6.01(m) of any other Indebtedness of a person that is subordinated in right of payment to other Indebtedness of such person shall be expressly subordinated in right of payment to the Obligations to at least the same extent as such underlying Indebtedness is subordinated in right of payment;</w:t>
      </w:r>
    </w:p>
    <w:p>
      <w:pPr>
        <w:spacing w:after="0" w:line="185"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arising from agreements of the Parent or any Subsidiary providing for indemnification, milestone or royalty payments, adjustment of purchase or acquisition price or similar obligations (including earn-outs), in each case, incurred or assumed in connection with the Transactions,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10" w:name="page611"/>
    <w:bookmarkEnd w:id="610"/>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Permitted Business Acquisition, other Investments or the disposition of any business, assets or a Subsidiary not prohibited by this Agreement;</w:t>
      </w:r>
    </w:p>
    <w:p>
      <w:pPr>
        <w:spacing w:after="0" w:line="134" w:lineRule="exact"/>
        <w:rPr>
          <w:sz w:val="20"/>
          <w:szCs w:val="20"/>
          <w:color w:val="auto"/>
        </w:rPr>
      </w:pPr>
    </w:p>
    <w:p>
      <w:pPr>
        <w:ind w:firstLine="920"/>
        <w:spacing w:after="0" w:line="248" w:lineRule="auto"/>
        <w:tabs>
          <w:tab w:leader="none" w:pos="1361" w:val="left"/>
        </w:tabs>
        <w:numPr>
          <w:ilvl w:val="1"/>
          <w:numId w:val="6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spacing w:after="0" w:line="105" w:lineRule="exact"/>
        <w:rPr>
          <w:rFonts w:ascii="Times New Roman" w:cs="Times New Roman" w:eastAsia="Times New Roman" w:hAnsi="Times New Roman"/>
          <w:sz w:val="14"/>
          <w:szCs w:val="14"/>
          <w:color w:val="auto"/>
        </w:rPr>
      </w:pPr>
    </w:p>
    <w:p>
      <w:pPr>
        <w:jc w:val="both"/>
        <w:ind w:firstLine="920"/>
        <w:spacing w:after="0" w:line="217" w:lineRule="auto"/>
        <w:tabs>
          <w:tab w:leader="none" w:pos="1361" w:val="left"/>
        </w:tabs>
        <w:numPr>
          <w:ilvl w:val="1"/>
          <w:numId w:val="6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Permitted Debt so long as immediately after giving effect to the incurrence of such Permitted Debt and the use of proceeds thereof, (A) (1) with respect to any Permitted Debt that is secured by Other First Liens, the First Lien Secured Net Leverage Ratio is not greater than the greater of (x) 2.90 to 1.00 and (y) the First Lien Secured Net Leverage Ratio immediately prior to giving effect to such incurrence, (2) with respect to any Permitted Debt that is secured by Junior Liens, the Secured Net Leverage Ratio is not greater than the greater of (x) 3.15 to 1.00 and (y) the Secured Net Leverage Ratio immediately prior to giving effect to such incurrence and (3) with respect to any Permitted Debt that is unsecured, (I) the Total Net Leverage Ratio is not greater than the greater of (x) 3.80 to 1.00 and (y) the Total Net Leverage Ratio immediately prior to giving effect to such incurrence or</w:t>
      </w:r>
    </w:p>
    <w:p>
      <w:pPr>
        <w:spacing w:after="0" w:line="2" w:lineRule="exact"/>
        <w:rPr>
          <w:rFonts w:ascii="Times New Roman" w:cs="Times New Roman" w:eastAsia="Times New Roman" w:hAnsi="Times New Roman"/>
          <w:sz w:val="14"/>
          <w:szCs w:val="14"/>
          <w:color w:val="auto"/>
        </w:rPr>
      </w:pPr>
    </w:p>
    <w:p>
      <w:pPr>
        <w:ind w:right="20" w:firstLine="6"/>
        <w:spacing w:after="0" w:line="232" w:lineRule="auto"/>
        <w:tabs>
          <w:tab w:leader="none" w:pos="227" w:val="left"/>
        </w:tabs>
        <w:numPr>
          <w:ilvl w:val="0"/>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Coverage Ratio is not lower than the lower of (x) 2.00 to 1.00 and (y) the Interest Coverage Ratio immediately prior to giving effect to such incurrence and (B) no Event of Default shall have occurred and be continuing or shall result therefrom, and (ii) any Permitted Refinancing Indebtedness in respect thereof;</w:t>
      </w:r>
    </w:p>
    <w:p>
      <w:pPr>
        <w:spacing w:after="0" w:line="110"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Indebtedness of Subsidiaries that are not Loan Parties in an aggregate principal amount outstanding that, immediately after giving effect to the incurrence of such Indebtedness and the use of proceeds thereof, together with the aggregate principal amount of any other Indebtedness outstanding pursuant to this Section 6.01(q), would not exceed the greater of $350,000,000 and 2.8% of Consolidated Total Assets when incurred, created or assumed and (y) any Permitted Refinancing Indebtedness in respect thereof;</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incurred in the ordinary course of business in respect of obligations of the Parent or any Subsidiary to pay the deferred purchase price of goods or services or progress payments in connection with such goods and services;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obligations are incurred in connection with open accounts extended by suppliers on customary trade terms in the ordinary course of business and not in connection with the borrowing of money or any Hedging Agreements;</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representing deferred compensation to employees, consultants or independent contractors of the Parent or any Subsidiary incurred in the ordinary course of business or in connection with a permitted Investment;</w:t>
      </w:r>
    </w:p>
    <w:p>
      <w:pPr>
        <w:spacing w:after="0" w:line="105" w:lineRule="exact"/>
        <w:rPr>
          <w:rFonts w:ascii="Times New Roman" w:cs="Times New Roman" w:eastAsia="Times New Roman" w:hAnsi="Times New Roman"/>
          <w:sz w:val="14"/>
          <w:szCs w:val="14"/>
          <w:color w:val="auto"/>
        </w:rPr>
      </w:pPr>
    </w:p>
    <w:p>
      <w:pPr>
        <w:jc w:val="both"/>
        <w:ind w:right="20" w:firstLine="920"/>
        <w:spacing w:after="0"/>
        <w:tabs>
          <w:tab w:leader="none" w:pos="1370"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Indebtedness in connection with Qualified Receivables Facilities in an aggregate principal amount outstanding that, immediately after giving effect to the incurrence of such Indebtedness and the use of proceeds thereof, together with the aggregate principal amount of any other Indebtedness outstanding pursuant to this Section 6.01(t), would not exceed the greater of $225,000,000 and 1.8% of Consolidated Total Assets when incurred, created or assumed, and (y) any Permitted Refinancing Indebtedness in respect thereof;</w:t>
      </w:r>
    </w:p>
    <w:p>
      <w:pPr>
        <w:spacing w:after="0" w:line="240"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in respect of Cash Management Agreements;</w:t>
      </w:r>
    </w:p>
    <w:p>
      <w:pPr>
        <w:spacing w:after="0" w:line="134"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(x) Permitted Debt secured by Other First Liens or Junior Liens on the Collateral in an aggregate principal amount, together with all other Indebtedness outstanding utilizing the Incremental Amount and/or pursuant to this clause (v), not to exceed at the time of incurrence the Incremental Amount available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Permitted Debt shall count as a usage of the Incremental Amount for purposes of Section 2.21, and (y) Permitted Refinancing Indebtedness in respect thereof;</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Indebtedness of, incurred on behalf of, or representing Guarantees of Indebtedness of, joint ventures that, immediately after giving effect to the incurrence of such Indebtedness and the use of proceeds thereof, together with the aggregate principal amount of any other Indebtedness outstanding pursuant to this Section 6.01(w), would not exceed the greater of $150,000,000 and 1.2% of</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11" w:name="page612"/>
    <w:bookmarkEnd w:id="611"/>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Total Assets when incurred, created or assumed, and (y) Permitted Refinancing Indebtedness in respect thereof ;</w:t>
      </w:r>
    </w:p>
    <w:p>
      <w:pPr>
        <w:spacing w:after="0" w:line="134" w:lineRule="exact"/>
        <w:rPr>
          <w:sz w:val="20"/>
          <w:szCs w:val="20"/>
          <w:color w:val="auto"/>
        </w:rPr>
      </w:pPr>
    </w:p>
    <w:p>
      <w:pPr>
        <w:ind w:right="40" w:firstLine="920"/>
        <w:spacing w:after="0" w:line="248" w:lineRule="auto"/>
        <w:tabs>
          <w:tab w:leader="none" w:pos="1361" w:val="left"/>
        </w:tabs>
        <w:numPr>
          <w:ilvl w:val="0"/>
          <w:numId w:val="6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issued by the Parent or any Subsidiary to current or former officers, directors and employees, their respective estates, spouses or former spouses to finance the purchase or redemption of Equity Interests of the Parent or any direct or indirect parent entity of the Parent permitted by Section 6.06;</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6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consisting of obligations of the Parent or any Subsidiary under deferred compensation or other similar arrangements incurred by such person in connection with the Transactions and Permitted Business Acquisitions or any other Investment permitted hereunder;</w:t>
      </w:r>
    </w:p>
    <w:p>
      <w:pPr>
        <w:spacing w:after="0" w:line="105"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0"/>
          <w:numId w:val="6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Parent or any Subsidiary to or on behalf of any joint venture (regardless of the form of legal entity) that is not a Subsidiary arising in the ordinary course of business in connection with the cash management operations (including with respect to intercompany self insurance arrangements) of the Parent and the Subsidiaries;</w:t>
      </w:r>
    </w:p>
    <w:p>
      <w:pPr>
        <w:spacing w:after="0" w:line="103" w:lineRule="exact"/>
        <w:rPr>
          <w:sz w:val="20"/>
          <w:szCs w:val="20"/>
          <w:color w:val="auto"/>
        </w:rPr>
      </w:pPr>
    </w:p>
    <w:p>
      <w:pPr>
        <w:ind w:left="1380" w:hanging="460"/>
        <w:spacing w:after="0"/>
        <w:tabs>
          <w:tab w:leader="none" w:pos="1380" w:val="left"/>
        </w:tabs>
        <w:numPr>
          <w:ilvl w:val="0"/>
          <w:numId w:val="6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consisting of (i) the financing of insurance premiums or (ii) take-or-pay obligations contained in supply arrangements, in each case, in the ordinary</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course of business;</w:t>
      </w:r>
    </w:p>
    <w:p>
      <w:pPr>
        <w:spacing w:after="0" w:line="118" w:lineRule="exact"/>
        <w:rPr>
          <w:sz w:val="20"/>
          <w:szCs w:val="20"/>
          <w:color w:val="auto"/>
        </w:rPr>
      </w:pPr>
    </w:p>
    <w:p>
      <w:pPr>
        <w:jc w:val="both"/>
        <w:ind w:right="40" w:firstLine="914"/>
        <w:spacing w:after="0" w:line="228" w:lineRule="auto"/>
        <w:rPr>
          <w:sz w:val="20"/>
          <w:szCs w:val="20"/>
          <w:color w:val="auto"/>
        </w:rPr>
      </w:pPr>
      <w:r>
        <w:rPr>
          <w:rFonts w:ascii="Times New Roman" w:cs="Times New Roman" w:eastAsia="Times New Roman" w:hAnsi="Times New Roman"/>
          <w:sz w:val="14"/>
          <w:szCs w:val="14"/>
          <w:color w:val="auto"/>
        </w:rPr>
        <w:t>(ab) (x) Indebtedness of Foreign Subsidiaries, and guarantees thereof by Foreign Subsidiaries, in respect of local lines of credit, letters of credit, bank guarantees and similar extensions of credit, in an aggregate principal amount that, immediately after giving effect to the incurrence of such Indebtedness and the use of proceeds thereof, together with the aggregate principal amount of any other Indebtedness outstanding pursuant to this Section 6.01(bb), would not exceed the greater of $150,000,000 and 1.2% of Consolidated Total Assets when incurred, created or assumed and (y) any Permitted Refinancing Indebtedness in respect thereof;</w:t>
      </w:r>
    </w:p>
    <w:p>
      <w:pPr>
        <w:spacing w:after="0" w:line="112" w:lineRule="exact"/>
        <w:rPr>
          <w:sz w:val="20"/>
          <w:szCs w:val="20"/>
          <w:color w:val="auto"/>
        </w:rPr>
      </w:pPr>
    </w:p>
    <w:p>
      <w:pPr>
        <w:jc w:val="both"/>
        <w:ind w:firstLine="914"/>
        <w:spacing w:after="0"/>
        <w:rPr>
          <w:sz w:val="20"/>
          <w:szCs w:val="20"/>
          <w:color w:val="auto"/>
        </w:rPr>
      </w:pPr>
      <w:r>
        <w:rPr>
          <w:rFonts w:ascii="Times New Roman" w:cs="Times New Roman" w:eastAsia="Times New Roman" w:hAnsi="Times New Roman"/>
          <w:sz w:val="14"/>
          <w:szCs w:val="14"/>
          <w:color w:val="auto"/>
        </w:rPr>
        <w:t>(ac) Guarantees of Indebtedness of directors, officers, employees, agents and advisors of the Parent or any of the Subsidiaries in respect of expenses of such persons in connection with relocations and other ordinary course of business purposes, if the aggregate amount of Indebtedness so Guaranteed, when added to the aggregate amount of unreimbursed payments theretofore made in respect of such Guarantees and the amount of loans and advances then outstanding under Section 6.04(e)(i), would not at any time exceed $20,000,000;</w:t>
      </w:r>
    </w:p>
    <w:p>
      <w:pPr>
        <w:spacing w:after="0" w:line="240" w:lineRule="exact"/>
        <w:rPr>
          <w:sz w:val="20"/>
          <w:szCs w:val="20"/>
          <w:color w:val="auto"/>
        </w:rPr>
      </w:pPr>
    </w:p>
    <w:p>
      <w:pPr>
        <w:jc w:val="both"/>
        <w:ind w:right="20" w:firstLine="914"/>
        <w:spacing w:after="0" w:line="248" w:lineRule="auto"/>
        <w:rPr>
          <w:sz w:val="20"/>
          <w:szCs w:val="20"/>
          <w:color w:val="auto"/>
        </w:rPr>
      </w:pPr>
      <w:r>
        <w:rPr>
          <w:rFonts w:ascii="Times New Roman" w:cs="Times New Roman" w:eastAsia="Times New Roman" w:hAnsi="Times New Roman"/>
          <w:sz w:val="14"/>
          <w:szCs w:val="14"/>
          <w:color w:val="auto"/>
        </w:rPr>
        <w:t>(ad) (x) letters of credit (whether secured or unsecured) issued on behalf of any Subsidiary for the benefit of any Insurance Subsidiary in aggregate principal amount outstanding at any time not to exceed the greater of $150,000,000 and 1.2% of Consolidated Total Assets and (y) any Permitted Refinancing Indebtedness in respect thereof;</w:t>
      </w:r>
    </w:p>
    <w:p>
      <w:pPr>
        <w:spacing w:after="0" w:line="105" w:lineRule="exact"/>
        <w:rPr>
          <w:sz w:val="20"/>
          <w:szCs w:val="20"/>
          <w:color w:val="auto"/>
        </w:rPr>
      </w:pPr>
    </w:p>
    <w:p>
      <w:pPr>
        <w:jc w:val="both"/>
        <w:ind w:right="20" w:firstLine="914"/>
        <w:spacing w:after="0" w:line="223" w:lineRule="auto"/>
        <w:rPr>
          <w:sz w:val="20"/>
          <w:szCs w:val="20"/>
          <w:color w:val="auto"/>
        </w:rPr>
      </w:pPr>
      <w:r>
        <w:rPr>
          <w:rFonts w:ascii="Times New Roman" w:cs="Times New Roman" w:eastAsia="Times New Roman" w:hAnsi="Times New Roman"/>
          <w:sz w:val="14"/>
          <w:szCs w:val="14"/>
          <w:color w:val="auto"/>
        </w:rPr>
        <w:t>(ae) (x) Indebtedness of the Parent or any Subsidiary, in an aggregate principal amount that, immediately after giving effect to the incurrence of such Indebtedness and the use of proceeds thereof, together with the aggregate principal amount of any other Indebtedness outstanding pursuant to this Section 6.01(ee), would not exceed 100% of the aggregate net proceeds, including cash and the Fair Market Value of property other than cash, received by the Parent after the Closing Date from the issue or sale of Equity Interests of the Parent or any direct or indirect parent entity of the Parent (excluding Disqualified Stock), including Equity Interests issued upon exercise of warrants or options (other than an issuance or sale to a Subsidiary), in each case to the extent the relevant net proceeds have not otherwise been applied to make Investments or Restricted Payments hereunder and (y) any Permitted Refinancing Indebtedness in respect thereof;</w:t>
      </w:r>
    </w:p>
    <w:p>
      <w:pPr>
        <w:spacing w:after="0" w:line="111" w:lineRule="exact"/>
        <w:rPr>
          <w:sz w:val="20"/>
          <w:szCs w:val="20"/>
          <w:color w:val="auto"/>
        </w:rPr>
      </w:pPr>
    </w:p>
    <w:p>
      <w:pPr>
        <w:jc w:val="both"/>
        <w:ind w:right="20" w:firstLine="914"/>
        <w:spacing w:after="0" w:line="233" w:lineRule="auto"/>
        <w:rPr>
          <w:sz w:val="20"/>
          <w:szCs w:val="20"/>
          <w:color w:val="auto"/>
        </w:rPr>
      </w:pPr>
      <w:r>
        <w:rPr>
          <w:rFonts w:ascii="Times New Roman" w:cs="Times New Roman" w:eastAsia="Times New Roman" w:hAnsi="Times New Roman"/>
          <w:sz w:val="14"/>
          <w:szCs w:val="14"/>
          <w:color w:val="auto"/>
        </w:rPr>
        <w:t>(af) Indebtedness in connection with any joint and several liability and any netting or set-off arrangement arising (i) in each case by operation of law as a result of the existence, establishment or expansion of an affiliated, consolidated, combined, unitary or similar group for tax purposes to the extent such group consists solely of Loan Parties and any Subsidiaries thereof or (ii) arising under a declaration of joint and several liability (</w:t>
      </w:r>
      <w:r>
        <w:rPr>
          <w:rFonts w:ascii="Times New Roman" w:cs="Times New Roman" w:eastAsia="Times New Roman" w:hAnsi="Times New Roman"/>
          <w:sz w:val="14"/>
          <w:szCs w:val="14"/>
          <w:i w:val="1"/>
          <w:iCs w:val="1"/>
          <w:color w:val="auto"/>
        </w:rPr>
        <w:t>hoofdelijke aansprakelijkheid</w:t>
      </w:r>
      <w:r>
        <w:rPr>
          <w:rFonts w:ascii="Times New Roman" w:cs="Times New Roman" w:eastAsia="Times New Roman" w:hAnsi="Times New Roman"/>
          <w:sz w:val="14"/>
          <w:szCs w:val="14"/>
          <w:color w:val="auto"/>
        </w:rPr>
        <w:t>) as referred to in Section 2:403 of the Dutch Civil Code;</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149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12" w:name="page613"/>
    <w:bookmarkEnd w:id="612"/>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(ag)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customer deposits and advance payments received in the ordinary course of business from customers for goods purchased in the ordinary course of business;</w:t>
      </w:r>
    </w:p>
    <w:p>
      <w:pPr>
        <w:spacing w:after="0" w:line="134" w:lineRule="exact"/>
        <w:rPr>
          <w:sz w:val="20"/>
          <w:szCs w:val="20"/>
          <w:color w:val="auto"/>
        </w:rPr>
      </w:pPr>
    </w:p>
    <w:p>
      <w:pPr>
        <w:sectPr>
          <w:pgSz w:w="11900" w:h="16840" w:orient="portrait"/>
          <w:cols w:equalWidth="0" w:num="2">
            <w:col w:w="1140" w:space="240"/>
            <w:col w:w="9240"/>
          </w:cols>
          <w:pgMar w:left="640" w:top="1440" w:right="640" w:bottom="1440" w:gutter="0" w:footer="0" w:header="0"/>
        </w:sectPr>
      </w:pPr>
    </w:p>
    <w:p>
      <w:pPr>
        <w:ind w:right="20" w:firstLine="914"/>
        <w:spacing w:after="0" w:line="248" w:lineRule="auto"/>
        <w:rPr>
          <w:sz w:val="20"/>
          <w:szCs w:val="20"/>
          <w:color w:val="auto"/>
        </w:rPr>
      </w:pPr>
      <w:r>
        <w:rPr>
          <w:rFonts w:ascii="Times New Roman" w:cs="Times New Roman" w:eastAsia="Times New Roman" w:hAnsi="Times New Roman"/>
          <w:sz w:val="14"/>
          <w:szCs w:val="14"/>
          <w:color w:val="auto"/>
        </w:rPr>
        <w:t>(ah) Indebtedness incurred by the Parent or any Subsidiary in connection with bankers’ acceptances, discounted bills of exchange, warehouse receipts or similar facilities or the discounting or factoring of receivables for credit management purposes, in each case incurred or undertaken in the ordinary course of business; and</w:t>
      </w:r>
    </w:p>
    <w:p>
      <w:pPr>
        <w:sectPr>
          <w:pgSz w:w="11900" w:h="16840" w:orient="portrait"/>
          <w:cols w:equalWidth="0" w:num="1">
            <w:col w:w="10620"/>
          </w:cols>
          <w:pgMar w:left="640" w:top="1440" w:right="640" w:bottom="1440" w:gutter="0" w:footer="0" w:header="0"/>
          <w:type w:val="continuous"/>
        </w:sectPr>
      </w:pP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(ai)</w:t>
      </w:r>
    </w:p>
    <w:p>
      <w:pPr>
        <w:spacing w:after="0"/>
        <w:rPr>
          <w:sz w:val="20"/>
          <w:szCs w:val="20"/>
          <w:color w:val="auto"/>
        </w:rPr>
      </w:pPr>
      <w:r>
        <w:rPr>
          <w:rFonts w:ascii="Times New Roman" w:cs="Times New Roman" w:eastAsia="Times New Roman" w:hAnsi="Times New Roman"/>
          <w:sz w:val="14"/>
          <w:szCs w:val="14"/>
          <w:color w:val="auto"/>
        </w:rPr>
        <w:t>(a) through (hh) above.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premiums (if any), interest (including post-petition interest), fees, expenses, charges and additional or contingent interest on obligations described in clauses</w:t>
      </w:r>
    </w:p>
    <w:p>
      <w:pPr>
        <w:spacing w:after="0" w:line="286" w:lineRule="exact"/>
        <w:rPr>
          <w:sz w:val="20"/>
          <w:szCs w:val="20"/>
          <w:color w:val="auto"/>
        </w:rPr>
      </w:pPr>
    </w:p>
    <w:p>
      <w:pPr>
        <w:sectPr>
          <w:pgSz w:w="11900" w:h="16840" w:orient="portrait"/>
          <w:cols w:equalWidth="0" w:num="2">
            <w:col w:w="1320" w:space="60"/>
            <w:col w:w="9240"/>
          </w:cols>
          <w:pgMar w:left="640" w:top="1440" w:right="640" w:bottom="1440" w:gutter="0" w:footer="0" w:header="0"/>
          <w:type w:val="continuous"/>
        </w:sect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 xml:space="preserve">For purposes of determining compliance with this Section 6.01 or Section 6.02,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spacing w:after="0" w:line="131" w:lineRule="exact"/>
        <w:rPr>
          <w:sz w:val="20"/>
          <w:szCs w:val="20"/>
          <w:color w:val="auto"/>
        </w:rPr>
      </w:pPr>
    </w:p>
    <w:p>
      <w:pPr>
        <w:jc w:val="both"/>
        <w:ind w:firstLine="914"/>
        <w:spacing w:after="0" w:line="259" w:lineRule="auto"/>
        <w:rPr>
          <w:sz w:val="20"/>
          <w:szCs w:val="20"/>
          <w:color w:val="auto"/>
        </w:rPr>
      </w:pPr>
      <w:r>
        <w:rPr>
          <w:rFonts w:ascii="Times New Roman" w:cs="Times New Roman" w:eastAsia="Times New Roman" w:hAnsi="Times New Roman"/>
          <w:sz w:val="14"/>
          <w:szCs w:val="14"/>
          <w:color w:val="auto"/>
        </w:rPr>
        <w:t xml:space="preserve">Further, for purposes of determining compliance with this Section 6.01, (A) Indebtedness need not be permitted solely by reference to one category of permitted Indebtedness (or any portion thereof) described in Sections 6.01(a) through (ii) but may be permitted in part under any relevant combination thereof (and subject to compliance, where relevant, with Section 6.02) and (B) in the event that an item of Indebtedness (or any portion thereof) meets the criteria of one or more of the categories of permitted Indebtedness (or any portion thereof) described in Sections 6.01(a) through (ii), the Parent may, in its sole discretion, classify or divide such item of Indebtedness (or any portion thereof) in any manner that complies with this Section 6.01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Indebtedness outstanding under this Agreement shall at all times be deemed to have been incurred pursuant to clause (b) of this Section 6.01. In addition, with respect to any Indebtedness that was permitted to be incurred hereunder on the date of such incurrence, any Increased Amount of such Indebtedness shall also be permitted hereunder after the date of such incurrence.</w:t>
      </w:r>
    </w:p>
    <w:p>
      <w:pPr>
        <w:spacing w:after="0" w:line="131"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95" w:lineRule="exact"/>
        <w:rPr>
          <w:sz w:val="20"/>
          <w:szCs w:val="20"/>
          <w:color w:val="auto"/>
        </w:rPr>
      </w:pPr>
    </w:p>
    <w:p>
      <w:pPr>
        <w:jc w:val="both"/>
        <w:ind w:right="20" w:firstLine="914"/>
        <w:spacing w:after="0" w:line="248" w:lineRule="auto"/>
        <w:rPr>
          <w:sz w:val="20"/>
          <w:szCs w:val="20"/>
          <w:color w:val="auto"/>
        </w:rPr>
      </w:pPr>
      <w:r>
        <w:rPr>
          <w:rFonts w:ascii="Times New Roman" w:cs="Times New Roman" w:eastAsia="Times New Roman" w:hAnsi="Times New Roman"/>
          <w:sz w:val="14"/>
          <w:szCs w:val="14"/>
          <w:color w:val="auto"/>
        </w:rPr>
        <w:t>SECTION 6.02.</w:t>
      </w:r>
      <w:r>
        <w:rPr>
          <w:rFonts w:ascii="Times New Roman" w:cs="Times New Roman" w:eastAsia="Times New Roman" w:hAnsi="Times New Roman"/>
          <w:sz w:val="14"/>
          <w:szCs w:val="14"/>
          <w:u w:val="single" w:color="auto"/>
          <w:color w:val="auto"/>
        </w:rPr>
        <w:t>Liens</w:t>
      </w:r>
      <w:r>
        <w:rPr>
          <w:rFonts w:ascii="Times New Roman" w:cs="Times New Roman" w:eastAsia="Times New Roman" w:hAnsi="Times New Roman"/>
          <w:sz w:val="14"/>
          <w:szCs w:val="14"/>
          <w:color w:val="auto"/>
        </w:rPr>
        <w:t>. Create, incur, assume or permit to exist any Lien on any property or assets (including stock or other securities of any person) of the Parent or any Subsidiary now owned or</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type w:val="continuous"/>
        </w:sectPr>
      </w:pPr>
    </w:p>
    <w:bookmarkStart w:id="613" w:name="page614"/>
    <w:bookmarkEnd w:id="613"/>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hereafter acquired by it or on any income or revenues or rights in respect of any thereof, except the following (collectively, “ </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25" w:lineRule="auto"/>
        <w:tabs>
          <w:tab w:leader="none" w:pos="1370"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property or assets of the Parent and the Subsidiaries existing on the Closing Date and, to the extent securing Indebtedness in an aggregate principal amount in excess of $10,000,000, set forth on </w:t>
      </w:r>
      <w:r>
        <w:rPr>
          <w:rFonts w:ascii="Times New Roman" w:cs="Times New Roman" w:eastAsia="Times New Roman" w:hAnsi="Times New Roman"/>
          <w:sz w:val="14"/>
          <w:szCs w:val="14"/>
          <w:u w:val="single" w:color="auto"/>
          <w:color w:val="auto"/>
        </w:rPr>
        <w:t>Schedule 6.02(a)</w:t>
      </w:r>
      <w:r>
        <w:rPr>
          <w:rFonts w:ascii="Times New Roman" w:cs="Times New Roman" w:eastAsia="Times New Roman" w:hAnsi="Times New Roman"/>
          <w:sz w:val="14"/>
          <w:szCs w:val="14"/>
          <w:color w:val="auto"/>
        </w:rPr>
        <w:t xml:space="preserve"> and any modifications, replacements, renewals or extensions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Liens shall secure only those obligations that they secure on the Closing Date (and any Permitted Refinancing Indebtedness in respect of such obligations permitted by Section 6.01) and shall not subsequently apply to any other property or assets of the Parent or any Subsidiary other than (A) after-acquired property that is affixed or incorporated into the property covered by such Lien and (B) proceeds and products thereof;</w:t>
      </w:r>
    </w:p>
    <w:p>
      <w:pPr>
        <w:spacing w:after="0" w:line="111"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created under the Loan Documents (including Liens created under the Security Documents securing obligations in respect of Secured Hedge Agreements and Secured Cash Management Agreements) and under any obligations with respect to any Permitted Refinancing Indebtedness with respect thereto;</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23" w:lineRule="auto"/>
        <w:tabs>
          <w:tab w:leader="none" w:pos="1370"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Lien on any property or asset of the Parent or any Subsidiary securing Indebtedness or Permitted Refinancing Indebtedness permitted by Section 6.01(h);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Lien is not created in contemplation of or in connection with such acquisition or such person becoming a Subsidiary, as the case may be, and (ii) such Lien does not apply to any other property or assets of the Parent or any of the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the Parent or any other Loan Party, including any Loan Party into which such acquired entity is merged) required to be subjected to such Lien pursuant to the terms of such Indebtedness (and refinancings thereof));</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governmental charges or levies not yet delinquent by more than 30 days or that are being contested in good faith in compliance with Section 5.03;</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70"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imposed by law, constituting landlord’s, carriers’, warehousemen’s, mechanics’, materialmen’s, repairmen’s, supplier’s, construction or other like Liens, securing obligations that are not overdue by more than 30 days or that are being contested in good faith by appropriate proceedings and in respect of which, if applicable, the Parent or any Subsidiary shall have set aside on its books reserves in accordance with IFRS;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70"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Parent or any Subsidiary;</w:t>
      </w:r>
    </w:p>
    <w:p>
      <w:pPr>
        <w:spacing w:after="0" w:line="111" w:lineRule="exact"/>
        <w:rPr>
          <w:rFonts w:ascii="Times New Roman" w:cs="Times New Roman" w:eastAsia="Times New Roman" w:hAnsi="Times New Roman"/>
          <w:sz w:val="14"/>
          <w:szCs w:val="14"/>
          <w:color w:val="auto"/>
        </w:rPr>
      </w:pPr>
    </w:p>
    <w:p>
      <w:pPr>
        <w:jc w:val="both"/>
        <w:ind w:firstLine="920"/>
        <w:spacing w:after="0" w:line="228" w:lineRule="auto"/>
        <w:tabs>
          <w:tab w:leader="none" w:pos="1361"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incurred in the ordinary course of business, including those incurred to secure health, safety and environmental obligations in the ordinary course of business;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14" w:name="page615"/>
    <w:bookmarkEnd w:id="614"/>
    <w:p>
      <w:pPr>
        <w:spacing w:after="0" w:line="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use of Real Property, reservations, restrictions and leases of or with respect to oil, gas, mineral, riparian and water rights and water usage,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the Parent or any Subsidiary;</w:t>
      </w:r>
    </w:p>
    <w:p>
      <w:pPr>
        <w:spacing w:after="0" w:line="112" w:lineRule="exact"/>
        <w:rPr>
          <w:sz w:val="20"/>
          <w:szCs w:val="20"/>
          <w:color w:val="auto"/>
        </w:rPr>
      </w:pPr>
    </w:p>
    <w:p>
      <w:pPr>
        <w:jc w:val="both"/>
        <w:ind w:right="20" w:firstLine="920"/>
        <w:spacing w:after="0" w:line="223" w:lineRule="auto"/>
        <w:tabs>
          <w:tab w:leader="none" w:pos="1370"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permitted by Section 6.01(i);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Liens do not apply to any property or assets of the Parent 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individual financings provided by one lender may be cross-collateralized to other financings provided by such lender (and its Affiliates) (it being understood that with respect to any Liens on the Collateral being incurred under this clause (i) to secure Permitted Refinancing Indebtedness, if Liens on the Collateral securing the Indebtedness being Refinanced (if any) were Junior Liens, then any Liens on such Collateral being incurred under this clause (i) to secure Permitted Refinancing Indebtedness shall also be Junior Liens);</w:t>
      </w:r>
    </w:p>
    <w:p>
      <w:pPr>
        <w:spacing w:after="0" w:line="111"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out of any Permitted Sale Lease-Back Transaction, so long as such Liens attach only to the property sold and being leased in such transaction and any accessions and additions thereto or proceeds and products thereof and related property;</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non-consensual Liens securing judgments that do not constitute an Event of Default under Section 7.01(j) and notices of lis pendens or similar notices and associated rights related to litigation being contested in good faith by appropriate proceedings and in respect of which, if applicable, the Parent or any affected Subsidiary has set aside on its books reserves in accordance with IFRS with respect thereto;</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70"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or title of a ground lessor or any other lessor, sublessor or licensor under any ground leases or any other leases, subleases or licenses entered into by the Parent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70"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Parent or any Subsidiary to permit satisfaction of overdraft or similar obligations incurred in the ordinary course of business of the Parent or any Subsidiary, including with respect to credit card charge-backs and similar obligations, or (iii) relating to purchase orders and other agreements entered into with customers, suppliers or service providers of the Parent or any Subsidiary in the ordinary course of business;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5" w:lineRule="auto"/>
        <w:tabs>
          <w:tab w:leader="none" w:pos="1361"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 arising solely by virtue of any statutory or common law provision relating to banker’s liens, rights of set-off or similar rights, (ii) 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(v) in favor of credit card companies pursuant to agreements therewith or (vi) arising from the general terms and conditions (</w:t>
      </w:r>
      <w:r>
        <w:rPr>
          <w:rFonts w:ascii="Times New Roman" w:cs="Times New Roman" w:eastAsia="Times New Roman" w:hAnsi="Times New Roman"/>
          <w:sz w:val="14"/>
          <w:szCs w:val="14"/>
          <w:i w:val="1"/>
          <w:iCs w:val="1"/>
          <w:color w:val="auto"/>
        </w:rPr>
        <w:t>algemene bankvoorwaarden</w:t>
      </w:r>
      <w:r>
        <w:rPr>
          <w:rFonts w:ascii="Times New Roman" w:cs="Times New Roman" w:eastAsia="Times New Roman" w:hAnsi="Times New Roman"/>
          <w:sz w:val="14"/>
          <w:szCs w:val="14"/>
          <w:color w:val="auto"/>
        </w:rPr>
        <w:t>) of any member of the Dutch Bankers’ Association (</w:t>
      </w:r>
      <w:r>
        <w:rPr>
          <w:rFonts w:ascii="Times New Roman" w:cs="Times New Roman" w:eastAsia="Times New Roman" w:hAnsi="Times New Roman"/>
          <w:sz w:val="14"/>
          <w:szCs w:val="14"/>
          <w:i w:val="1"/>
          <w:iCs w:val="1"/>
          <w:color w:val="auto"/>
        </w:rPr>
        <w:t>Nederlandse Vereniging van Banken</w:t>
      </w:r>
      <w:r>
        <w:rPr>
          <w:rFonts w:ascii="Times New Roman" w:cs="Times New Roman" w:eastAsia="Times New Roman" w:hAnsi="Times New Roman"/>
          <w:sz w:val="14"/>
          <w:szCs w:val="14"/>
          <w:color w:val="auto"/>
        </w:rPr>
        <w:t xml:space="preserve"> ) or any foreign equivalent thereof;</w:t>
      </w:r>
    </w:p>
    <w:p>
      <w:pPr>
        <w:spacing w:after="0" w:line="111" w:lineRule="exact"/>
        <w:rPr>
          <w:rFonts w:ascii="Times New Roman" w:cs="Times New Roman" w:eastAsia="Times New Roman" w:hAnsi="Times New Roman"/>
          <w:sz w:val="14"/>
          <w:szCs w:val="14"/>
          <w:color w:val="auto"/>
        </w:rPr>
      </w:pPr>
    </w:p>
    <w:p>
      <w:pPr>
        <w:ind w:right="40" w:firstLine="920"/>
        <w:spacing w:after="0" w:line="248" w:lineRule="auto"/>
        <w:tabs>
          <w:tab w:leader="none" w:pos="1361"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obligations in respect of letters of credit, bank guarantees, warehouse receipts or similar obligations permitted under Section 6.01(f) or 6.01(o) and incurred in the ordinary course of business or consistent with past practice or industry practices and not supporting obligations in respect of Indebtedness for borrowed money;</w:t>
      </w:r>
    </w:p>
    <w:p>
      <w:pPr>
        <w:spacing w:after="0" w:line="102"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or subleases, and licenses or sublicenses (including with respect to any fixtures, furnishings, equipment, vehicles or other personal property, or Intellectual</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granted to</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152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15" w:name="page616"/>
    <w:bookmarkEnd w:id="615"/>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others in the ordinary course of business not interfering in any material respect with the business of the Parent and the Subsidiaries, taken as a whole;</w:t>
      </w:r>
    </w:p>
    <w:p>
      <w:pPr>
        <w:spacing w:after="0" w:line="134" w:lineRule="exact"/>
        <w:rPr>
          <w:sz w:val="20"/>
          <w:szCs w:val="20"/>
          <w:color w:val="auto"/>
        </w:rPr>
      </w:pPr>
    </w:p>
    <w:p>
      <w:pPr>
        <w:ind w:left="1360" w:hanging="440"/>
        <w:spacing w:after="0"/>
        <w:tabs>
          <w:tab w:leader="none" w:pos="136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customs and revenue authorities arising as a matter of law to secure payment of customs duties in connection with the importation of goods;</w:t>
      </w:r>
    </w:p>
    <w:p>
      <w:pPr>
        <w:spacing w:after="0" w:line="134"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solely on any cash earnest money deposits made by the Parent or any of the Subsidiaries in connection with any letter of intent or purchase agreement in respect of any Investment permitted hereunder;</w:t>
      </w:r>
    </w:p>
    <w:p>
      <w:pPr>
        <w:spacing w:after="0" w:line="102"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with respect to property or assets of any Subsidiary that is not a Loan Party securing obligations of a Subsidiary that is not a Loan Party permitted under</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6.01;</w:t>
      </w:r>
    </w:p>
    <w:p>
      <w:pPr>
        <w:spacing w:after="0" w:line="118"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any amounts or property held by a trustee under any indenture or other debt agreement issued in escrow pursuant to customary escrow arrangements pending the release thereof, or under any indenture or other debt agreement pursuant to customary discharge, redemption or defeasance provisions;</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 rights of consignees and their lenders under consignment arrangements entered into in the ordinary course of business;</w:t>
      </w:r>
    </w:p>
    <w:p>
      <w:pPr>
        <w:spacing w:after="0" w:line="134"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to subordinate any interest of the Parent or any Subsidiary in any accounts receivable or other proceeds arising from inventory consigned by the Parent or any Subsidiary pursuant to an agreement entered into in the ordinary course of business;</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from precautionary Uniform Commercial Code financing statements regarding operating leases or other obligations not constituting Indebtedness;</w:t>
      </w:r>
    </w:p>
    <w:p>
      <w:pPr>
        <w:spacing w:after="0" w:line="13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 on Equity Interests in joint ventures (to the extent such Equity Interests constitute Excluded Property) (A) securing obligations of such joint venture or</w:t>
      </w:r>
    </w:p>
    <w:p>
      <w:pPr>
        <w:ind w:left="240" w:hanging="234"/>
        <w:spacing w:after="0"/>
        <w:tabs>
          <w:tab w:leader="none" w:pos="240" w:val="left"/>
        </w:tabs>
        <w:numPr>
          <w:ilvl w:val="0"/>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relevant joint venture agreement or arrangement and (ii) on Equity Interests in Unrestricted Subsidiaries;</w:t>
      </w:r>
    </w:p>
    <w:p>
      <w:pPr>
        <w:spacing w:after="0" w:line="118"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securities that are the subject of repurchase agreements constituting Permitted Investments under clause (c) of the definition thereof;</w:t>
      </w:r>
    </w:p>
    <w:p>
      <w:pPr>
        <w:spacing w:after="0" w:line="134"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1"/>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respect of Qualified Receivables Facilities entered into in reliance on Section 6.01(t) that extend only to Permitted Receivables Facility Assets, Permitted Receivables Related Assets or the Equity Interests of any Receivables Entity;</w:t>
      </w:r>
    </w:p>
    <w:p>
      <w:pPr>
        <w:spacing w:after="0" w:line="105" w:lineRule="exact"/>
        <w:rPr>
          <w:sz w:val="20"/>
          <w:szCs w:val="20"/>
          <w:color w:val="auto"/>
        </w:rPr>
      </w:pPr>
    </w:p>
    <w:p>
      <w:pPr>
        <w:ind w:left="1380" w:hanging="460"/>
        <w:spacing w:after="0"/>
        <w:tabs>
          <w:tab w:leader="none" w:pos="1380" w:val="left"/>
        </w:tabs>
        <w:numPr>
          <w:ilvl w:val="0"/>
          <w:numId w:val="6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insurance premiums financing arrangements;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Liens are limited to the applicable unearned insurance premiums;</w:t>
      </w:r>
    </w:p>
    <w:p>
      <w:pPr>
        <w:sectPr>
          <w:pgSz w:w="11900" w:h="16840" w:orient="portrait"/>
          <w:cols w:equalWidth="0" w:num="1">
            <w:col w:w="10620"/>
          </w:cols>
          <w:pgMar w:left="640" w:top="1440" w:right="640" w:bottom="1440" w:gutter="0" w:footer="0" w:header="0"/>
        </w:sectPr>
      </w:pP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(ab)</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case of Real Property that constitutes a leasehold interest, any Lien to which the fee simple or freehold interest (or any superior leasehold interest) is</w:t>
      </w:r>
    </w:p>
    <w:p>
      <w:pPr>
        <w:spacing w:after="0" w:line="6" w:lineRule="exact"/>
        <w:rPr>
          <w:sz w:val="20"/>
          <w:szCs w:val="20"/>
          <w:color w:val="auto"/>
        </w:rPr>
      </w:pPr>
    </w:p>
    <w:p>
      <w:pPr>
        <w:sectPr>
          <w:pgSz w:w="11900" w:h="16840" w:orient="portrait"/>
          <w:cols w:equalWidth="0" w:num="2">
            <w:col w:w="1140" w:space="240"/>
            <w:col w:w="9240"/>
          </w:cols>
          <w:pgMar w:left="640" w:top="1440" w:right="6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subject;</w:t>
      </w:r>
    </w:p>
    <w:p>
      <w:pPr>
        <w:spacing w:after="0" w:line="110" w:lineRule="exact"/>
        <w:rPr>
          <w:sz w:val="20"/>
          <w:szCs w:val="20"/>
          <w:color w:val="auto"/>
        </w:rPr>
      </w:pPr>
    </w:p>
    <w:p>
      <w:pPr>
        <w:ind w:firstLine="914"/>
        <w:spacing w:after="0" w:line="248" w:lineRule="auto"/>
        <w:rPr>
          <w:sz w:val="20"/>
          <w:szCs w:val="20"/>
          <w:color w:val="auto"/>
        </w:rPr>
      </w:pPr>
      <w:r>
        <w:rPr>
          <w:rFonts w:ascii="Times New Roman" w:cs="Times New Roman" w:eastAsia="Times New Roman" w:hAnsi="Times New Roman"/>
          <w:sz w:val="14"/>
          <w:szCs w:val="14"/>
          <w:color w:val="auto"/>
        </w:rPr>
        <w:t>(ac) Liens securing Indebtedness or other obligations (i) of the Parent or a Subsidiary in favor of any Loan Party and (ii) of any Subsidiary that is not a Guarantor in favor of any Subsidiary that is not a Guarantor;</w:t>
      </w:r>
    </w:p>
    <w:p>
      <w:pPr>
        <w:sectPr>
          <w:pgSz w:w="11900" w:h="16840" w:orient="portrait"/>
          <w:cols w:equalWidth="0" w:num="1">
            <w:col w:w="10620"/>
          </w:cols>
          <w:pgMar w:left="640" w:top="1440" w:right="640" w:bottom="1440" w:gutter="0" w:footer="0" w:header="0"/>
          <w:type w:val="continuous"/>
        </w:sectPr>
      </w:pP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(ad)</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Liens on cash or Permitted Investments securing Hedging Agreements in the ordinary course of business submitted for clearing in accordance with applicable</w:t>
      </w:r>
    </w:p>
    <w:p>
      <w:pPr>
        <w:spacing w:after="0" w:line="6" w:lineRule="exact"/>
        <w:rPr>
          <w:sz w:val="20"/>
          <w:szCs w:val="20"/>
          <w:color w:val="auto"/>
        </w:rPr>
      </w:pPr>
    </w:p>
    <w:p>
      <w:pPr>
        <w:sectPr>
          <w:pgSz w:w="11900" w:h="16840" w:orient="portrait"/>
          <w:cols w:equalWidth="0" w:num="2">
            <w:col w:w="1140" w:space="240"/>
            <w:col w:w="9240"/>
          </w:cols>
          <w:pgMar w:left="640" w:top="1440" w:right="6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laws;</w:t>
      </w:r>
    </w:p>
    <w:p>
      <w:pPr>
        <w:spacing w:after="0" w:line="110" w:lineRule="exact"/>
        <w:rPr>
          <w:sz w:val="20"/>
          <w:szCs w:val="20"/>
          <w:color w:val="auto"/>
        </w:rPr>
      </w:pPr>
    </w:p>
    <w:p>
      <w:pPr>
        <w:ind w:left="920"/>
        <w:spacing w:after="0"/>
        <w:tabs>
          <w:tab w:leader="none" w:pos="1360" w:val="left"/>
        </w:tabs>
        <w:rPr>
          <w:sz w:val="20"/>
          <w:szCs w:val="20"/>
          <w:color w:val="auto"/>
        </w:rPr>
      </w:pPr>
      <w:r>
        <w:rPr>
          <w:rFonts w:ascii="Times New Roman" w:cs="Times New Roman" w:eastAsia="Times New Roman" w:hAnsi="Times New Roman"/>
          <w:sz w:val="14"/>
          <w:szCs w:val="14"/>
          <w:color w:val="auto"/>
        </w:rPr>
        <w:t>(ae)</w:t>
      </w:r>
      <w:r>
        <w:rPr>
          <w:sz w:val="20"/>
          <w:szCs w:val="20"/>
          <w:color w:val="auto"/>
        </w:rPr>
        <w:tab/>
      </w:r>
      <w:r>
        <w:rPr>
          <w:rFonts w:ascii="Times New Roman" w:cs="Times New Roman" w:eastAsia="Times New Roman" w:hAnsi="Times New Roman"/>
          <w:sz w:val="14"/>
          <w:szCs w:val="14"/>
          <w:color w:val="auto"/>
        </w:rPr>
        <w:t>Liens on goods or inventory the purchase, shipment or storage price of which is financed by a documentary letter of credit or bank guarantee issued or created for</w:t>
      </w:r>
    </w:p>
    <w:p>
      <w:pPr>
        <w:sectPr>
          <w:pgSz w:w="11900" w:h="16840" w:orient="portrait"/>
          <w:cols w:equalWidth="0" w:num="1">
            <w:col w:w="10620"/>
          </w:cols>
          <w:pgMar w:left="640" w:top="1440" w:right="640" w:bottom="1440" w:gutter="0" w:footer="0" w:header="0"/>
          <w:type w:val="continuous"/>
        </w:sectPr>
      </w:pPr>
    </w:p>
    <w:p>
      <w:pPr>
        <w:spacing w:after="0" w:line="24"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4"/>
          <w:szCs w:val="14"/>
          <w:color w:val="auto"/>
        </w:rPr>
        <w:t xml:space="preserve">the account of the Parent or any Subsidiary in the ordinary course of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Lien secures only the obligations of the Parent or such Subsidiaries in respect of such letter of credit, bank guarantee or banker’s acceptance to the extent permitted under Section 6.01;</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type w:val="continuous"/>
        </w:sectPr>
      </w:pPr>
    </w:p>
    <w:bookmarkStart w:id="616" w:name="page617"/>
    <w:bookmarkEnd w:id="616"/>
    <w:p>
      <w:pPr>
        <w:spacing w:after="0" w:line="24" w:lineRule="exact"/>
        <w:rPr>
          <w:sz w:val="20"/>
          <w:szCs w:val="20"/>
          <w:color w:val="auto"/>
        </w:rPr>
      </w:pPr>
    </w:p>
    <w:p>
      <w:pPr>
        <w:jc w:val="both"/>
        <w:ind w:firstLine="914"/>
        <w:spacing w:after="0" w:line="248" w:lineRule="auto"/>
        <w:rPr>
          <w:sz w:val="20"/>
          <w:szCs w:val="20"/>
          <w:color w:val="auto"/>
        </w:rPr>
      </w:pPr>
      <w:r>
        <w:rPr>
          <w:rFonts w:ascii="Times New Roman" w:cs="Times New Roman" w:eastAsia="Times New Roman" w:hAnsi="Times New Roman"/>
          <w:sz w:val="14"/>
          <w:szCs w:val="14"/>
          <w:color w:val="auto"/>
        </w:rPr>
        <w:t>(af) Subordination, non-disturbance and/or attornment agreements with any ground lessor, lessor or any mortgagor of any of the foregoing, with respect to any ground lease or other lease or sublease entered into by the Parent or any Subsidiary;</w:t>
      </w:r>
    </w:p>
    <w:p>
      <w:pPr>
        <w:spacing w:after="0" w:line="105" w:lineRule="exact"/>
        <w:rPr>
          <w:sz w:val="20"/>
          <w:szCs w:val="20"/>
          <w:color w:val="auto"/>
        </w:rPr>
      </w:pPr>
    </w:p>
    <w:p>
      <w:pPr>
        <w:jc w:val="both"/>
        <w:ind w:right="20" w:firstLine="914"/>
        <w:spacing w:after="0" w:line="248" w:lineRule="auto"/>
        <w:rPr>
          <w:sz w:val="20"/>
          <w:szCs w:val="20"/>
          <w:color w:val="auto"/>
        </w:rPr>
      </w:pPr>
      <w:r>
        <w:rPr>
          <w:rFonts w:ascii="Times New Roman" w:cs="Times New Roman" w:eastAsia="Times New Roman" w:hAnsi="Times New Roman"/>
          <w:sz w:val="14"/>
          <w:szCs w:val="14"/>
          <w:color w:val="auto"/>
        </w:rPr>
        <w:t>(ag) Liens on Collateral that are Other First Liens or Junior Liens, so long as such Other First Liens or Junior Liens secure Indebtedness permitted by Section 6.01(b), Section 6.01(l), Section 6.01(p) or 6.01(v) and guarantees thereof permitted by Section 6.01(m);</w:t>
      </w:r>
    </w:p>
    <w:p>
      <w:pPr>
        <w:spacing w:after="0" w:line="105" w:lineRule="exact"/>
        <w:rPr>
          <w:sz w:val="20"/>
          <w:szCs w:val="20"/>
          <w:color w:val="auto"/>
        </w:rPr>
      </w:pPr>
    </w:p>
    <w:p>
      <w:pPr>
        <w:jc w:val="both"/>
        <w:ind w:right="20" w:firstLine="914"/>
        <w:spacing w:after="0" w:line="248" w:lineRule="auto"/>
        <w:rPr>
          <w:sz w:val="20"/>
          <w:szCs w:val="20"/>
          <w:color w:val="auto"/>
        </w:rPr>
      </w:pPr>
      <w:r>
        <w:rPr>
          <w:rFonts w:ascii="Times New Roman" w:cs="Times New Roman" w:eastAsia="Times New Roman" w:hAnsi="Times New Roman"/>
          <w:sz w:val="14"/>
          <w:szCs w:val="14"/>
          <w:color w:val="auto"/>
        </w:rPr>
        <w:t>(ah) Liens arising out of conditional sale, title retention or similar arrangements for the sale or purchase of goods by the Parent or any of the Subsidiaries in the ordinary course of business;</w:t>
      </w:r>
    </w:p>
    <w:p>
      <w:pPr>
        <w:spacing w:after="0" w:line="105" w:lineRule="exact"/>
        <w:rPr>
          <w:sz w:val="20"/>
          <w:szCs w:val="20"/>
          <w:color w:val="auto"/>
        </w:rPr>
      </w:pPr>
    </w:p>
    <w:p>
      <w:pPr>
        <w:jc w:val="both"/>
        <w:ind w:firstLine="914"/>
        <w:spacing w:after="0" w:line="233" w:lineRule="auto"/>
        <w:rPr>
          <w:sz w:val="20"/>
          <w:szCs w:val="20"/>
          <w:color w:val="auto"/>
        </w:rPr>
      </w:pPr>
      <w:r>
        <w:rPr>
          <w:rFonts w:ascii="Times New Roman" w:cs="Times New Roman" w:eastAsia="Times New Roman" w:hAnsi="Times New Roman"/>
          <w:sz w:val="14"/>
          <w:szCs w:val="14"/>
          <w:color w:val="auto"/>
        </w:rPr>
        <w:t xml:space="preserve">(ai) with respect to any Real Property which is acquired in fee after the Closing Date, Liens which exist immediately prior to the date of acquisition, excluding any Liens securing Indebtedness that is not otherwise permitted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Lien is not created in contemplation of or in connection with such acquisition and (ii) such Lien does not apply to any other property or assets of the Parent or any of the Subsidiaries;</w:t>
      </w:r>
    </w:p>
    <w:p>
      <w:pPr>
        <w:spacing w:after="0" w:line="112" w:lineRule="exact"/>
        <w:rPr>
          <w:sz w:val="20"/>
          <w:szCs w:val="20"/>
          <w:color w:val="auto"/>
        </w:rPr>
      </w:pPr>
    </w:p>
    <w:p>
      <w:pPr>
        <w:jc w:val="both"/>
        <w:ind w:firstLine="914"/>
        <w:spacing w:after="0" w:line="228" w:lineRule="auto"/>
        <w:rPr>
          <w:sz w:val="20"/>
          <w:szCs w:val="20"/>
          <w:color w:val="auto"/>
        </w:rPr>
      </w:pPr>
      <w:r>
        <w:rPr>
          <w:rFonts w:ascii="Times New Roman" w:cs="Times New Roman" w:eastAsia="Times New Roman" w:hAnsi="Times New Roman"/>
          <w:sz w:val="14"/>
          <w:szCs w:val="14"/>
          <w:color w:val="auto"/>
        </w:rPr>
        <w:t>(aj) other Liens with respect to property or assets of the Parent or any Subsidiary securing (x) obligations in an aggregate outstanding principal amount that, together with the aggregate principal amount of other obligations that are secured pursuant to this clause (jj), immediately after giving effect to the incurrence of such Liens, would not exceed the greater of $ 700,000,000 and 5.6% of Consolidated Total Assets when incurred, created or assumed and (y) Permitted Refinancing Indebtedness incurred to Refinance obligations secured pursuant to the preceding clause (x);</w:t>
      </w:r>
    </w:p>
    <w:p>
      <w:pPr>
        <w:spacing w:after="0" w:line="112" w:lineRule="exact"/>
        <w:rPr>
          <w:sz w:val="20"/>
          <w:szCs w:val="20"/>
          <w:color w:val="auto"/>
        </w:rPr>
      </w:pPr>
    </w:p>
    <w:p>
      <w:pPr>
        <w:jc w:val="both"/>
        <w:ind w:right="20" w:firstLine="914"/>
        <w:spacing w:after="0" w:line="233" w:lineRule="auto"/>
        <w:rPr>
          <w:sz w:val="20"/>
          <w:szCs w:val="20"/>
          <w:color w:val="auto"/>
        </w:rPr>
      </w:pPr>
      <w:r>
        <w:rPr>
          <w:rFonts w:ascii="Times New Roman" w:cs="Times New Roman" w:eastAsia="Times New Roman" w:hAnsi="Times New Roman"/>
          <w:sz w:val="14"/>
          <w:szCs w:val="14"/>
          <w:color w:val="auto"/>
        </w:rPr>
        <w:t>(ak) in the case of (A) any subsidiary of the Parent that is not a Wholly Owned Subsidiary or (B) any person that is not a subsidiary of the Parent,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ectPr>
          <w:pgSz w:w="11900" w:h="16840" w:orient="portrait"/>
          <w:cols w:equalWidth="0" w:num="1">
            <w:col w:w="10620"/>
          </w:cols>
          <w:pgMar w:left="640" w:top="1440" w:right="640" w:bottom="1440" w:gutter="0" w:footer="0" w:header="0"/>
        </w:sectPr>
      </w:pP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(al)</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Liens to secure Indebtedness permitted under Section 6.01(dd);</w:t>
      </w:r>
    </w:p>
    <w:p>
      <w:pPr>
        <w:spacing w:after="0" w:line="134" w:lineRule="exact"/>
        <w:rPr>
          <w:sz w:val="20"/>
          <w:szCs w:val="20"/>
          <w:color w:val="auto"/>
        </w:rPr>
      </w:pPr>
    </w:p>
    <w:p>
      <w:pPr>
        <w:sectPr>
          <w:pgSz w:w="11900" w:h="16840" w:orient="portrait"/>
          <w:cols w:equalWidth="0" w:num="2">
            <w:col w:w="1120" w:space="260"/>
            <w:col w:w="9240"/>
          </w:cols>
          <w:pgMar w:left="640" w:top="1440" w:right="640" w:bottom="1440" w:gutter="0" w:footer="0" w:header="0"/>
          <w:type w:val="continuous"/>
        </w:sectPr>
      </w:pPr>
    </w:p>
    <w:p>
      <w:pPr>
        <w:ind w:left="920"/>
        <w:spacing w:after="0"/>
        <w:tabs>
          <w:tab w:leader="none" w:pos="1360" w:val="left"/>
        </w:tabs>
        <w:rPr>
          <w:sz w:val="20"/>
          <w:szCs w:val="20"/>
          <w:color w:val="auto"/>
        </w:rPr>
      </w:pPr>
      <w:r>
        <w:rPr>
          <w:rFonts w:ascii="Times New Roman" w:cs="Times New Roman" w:eastAsia="Times New Roman" w:hAnsi="Times New Roman"/>
          <w:sz w:val="14"/>
          <w:szCs w:val="14"/>
          <w:color w:val="auto"/>
        </w:rPr>
        <w:t>(am)</w:t>
        <w:tab/>
        <w:t>Liens with respect to property or assets of any Subsidiary that is not a Loan Party or otherwise not constituting Collateral securing obligations in an aggregate</w:t>
      </w:r>
    </w:p>
    <w:p>
      <w:pPr>
        <w:sectPr>
          <w:pgSz w:w="11900" w:h="16840" w:orient="portrait"/>
          <w:cols w:equalWidth="0" w:num="1">
            <w:col w:w="10620"/>
          </w:cols>
          <w:pgMar w:left="640" w:top="1440" w:right="640" w:bottom="1440" w:gutter="0" w:footer="0" w:header="0"/>
          <w:type w:val="continuous"/>
        </w:sectPr>
      </w:pPr>
    </w:p>
    <w:p>
      <w:pPr>
        <w:spacing w:after="0" w:line="24"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4"/>
          <w:szCs w:val="14"/>
          <w:color w:val="auto"/>
        </w:rPr>
        <w:t>outstanding principal amount that, together with the aggregate principal amount of other obligations that are secured pursuant to this clause (mm), immediately after giving effect to the incurrence of such Liens, would not exceed the greater of $265,000,000 and 2.2% of Consolidated Total Assets when incurred, created or assumed;</w:t>
      </w:r>
    </w:p>
    <w:p>
      <w:pPr>
        <w:sectPr>
          <w:pgSz w:w="11900" w:h="16840" w:orient="portrait"/>
          <w:cols w:equalWidth="0" w:num="1">
            <w:col w:w="10620"/>
          </w:cols>
          <w:pgMar w:left="640" w:top="1440" w:right="640" w:bottom="1440" w:gutter="0" w:footer="0" w:header="0"/>
          <w:type w:val="continuous"/>
        </w:sectPr>
      </w:pP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(an)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Liens on Unrestricted Margin Stock;</w:t>
      </w:r>
    </w:p>
    <w:p>
      <w:pPr>
        <w:spacing w:after="0" w:line="134" w:lineRule="exact"/>
        <w:rPr>
          <w:sz w:val="20"/>
          <w:szCs w:val="20"/>
          <w:color w:val="auto"/>
        </w:rPr>
      </w:pPr>
    </w:p>
    <w:p>
      <w:pPr>
        <w:sectPr>
          <w:pgSz w:w="11900" w:h="16840" w:orient="portrait"/>
          <w:cols w:equalWidth="0" w:num="2">
            <w:col w:w="1140" w:space="240"/>
            <w:col w:w="9240"/>
          </w:cols>
          <w:pgMar w:left="640" w:top="1440" w:right="640" w:bottom="1440" w:gutter="0" w:footer="0" w:header="0"/>
          <w:type w:val="continuous"/>
        </w:sectPr>
      </w:pPr>
    </w:p>
    <w:p>
      <w:pPr>
        <w:ind w:right="20" w:firstLine="914"/>
        <w:spacing w:after="0" w:line="248" w:lineRule="auto"/>
        <w:rPr>
          <w:sz w:val="20"/>
          <w:szCs w:val="20"/>
          <w:color w:val="auto"/>
        </w:rPr>
      </w:pPr>
      <w:r>
        <w:rPr>
          <w:rFonts w:ascii="Times New Roman" w:cs="Times New Roman" w:eastAsia="Times New Roman" w:hAnsi="Times New Roman"/>
          <w:sz w:val="14"/>
          <w:szCs w:val="14"/>
          <w:color w:val="auto"/>
        </w:rPr>
        <w:t>(ao) Liens (i) consisting of an agreement to Dispose of any property or (ii) imposed by law or incurred pursuant to customary reservations or retentions of title (including contractual Liens in favor of sellers and suppliers of goods) incurred in the ordinary course of business;</w:t>
      </w:r>
    </w:p>
    <w:p>
      <w:pPr>
        <w:spacing w:after="0" w:line="105" w:lineRule="exact"/>
        <w:rPr>
          <w:sz w:val="20"/>
          <w:szCs w:val="20"/>
          <w:color w:val="auto"/>
        </w:rPr>
      </w:pPr>
    </w:p>
    <w:p>
      <w:pPr>
        <w:ind w:left="920"/>
        <w:spacing w:after="0"/>
        <w:tabs>
          <w:tab w:leader="none" w:pos="1360" w:val="left"/>
        </w:tabs>
        <w:rPr>
          <w:sz w:val="20"/>
          <w:szCs w:val="20"/>
          <w:color w:val="auto"/>
        </w:rPr>
      </w:pPr>
      <w:r>
        <w:rPr>
          <w:rFonts w:ascii="Times New Roman" w:cs="Times New Roman" w:eastAsia="Times New Roman" w:hAnsi="Times New Roman"/>
          <w:sz w:val="14"/>
          <w:szCs w:val="14"/>
          <w:color w:val="auto"/>
        </w:rPr>
        <w:t>(ap)</w:t>
      </w:r>
      <w:r>
        <w:rPr>
          <w:sz w:val="20"/>
          <w:szCs w:val="20"/>
          <w:color w:val="auto"/>
        </w:rPr>
        <w:tab/>
      </w:r>
      <w:r>
        <w:rPr>
          <w:rFonts w:ascii="Times New Roman" w:cs="Times New Roman" w:eastAsia="Times New Roman" w:hAnsi="Times New Roman"/>
          <w:sz w:val="14"/>
          <w:szCs w:val="14"/>
          <w:color w:val="auto"/>
        </w:rPr>
        <w:t xml:space="preserve">the modification, replacement, renewal or extension of any Lien permitted by this Section 6.02;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Lien does not extend to any additional property</w:t>
      </w:r>
    </w:p>
    <w:p>
      <w:pPr>
        <w:sectPr>
          <w:pgSz w:w="11900" w:h="16840" w:orient="portrait"/>
          <w:cols w:equalWidth="0" w:num="1">
            <w:col w:w="10620"/>
          </w:cols>
          <w:pgMar w:left="640" w:top="1440" w:right="640" w:bottom="1440" w:gutter="0" w:footer="0" w:header="0"/>
          <w:type w:val="continuous"/>
        </w:sectPr>
      </w:pPr>
    </w:p>
    <w:p>
      <w:pPr>
        <w:spacing w:after="0" w:line="2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4"/>
          <w:szCs w:val="14"/>
          <w:color w:val="auto"/>
        </w:rPr>
        <w:t xml:space="preserve">other than property that is affixed or incorporated into the property covered by such Lien and replacements, improvements, proceeds and products thereof;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the modification, replacement, renewal, extension or refinancing of the obligations secured or benefited by such Liens is permitted by Section 6.01;</w:t>
      </w:r>
    </w:p>
    <w:p>
      <w:pPr>
        <w:spacing w:after="0" w:line="111" w:lineRule="exact"/>
        <w:rPr>
          <w:sz w:val="20"/>
          <w:szCs w:val="20"/>
          <w:color w:val="auto"/>
        </w:rPr>
      </w:pPr>
    </w:p>
    <w:p>
      <w:pPr>
        <w:jc w:val="both"/>
        <w:ind w:firstLine="914"/>
        <w:spacing w:after="0" w:line="233" w:lineRule="auto"/>
        <w:rPr>
          <w:sz w:val="20"/>
          <w:szCs w:val="20"/>
          <w:color w:val="auto"/>
        </w:rPr>
      </w:pPr>
      <w:r>
        <w:rPr>
          <w:rFonts w:ascii="Times New Roman" w:cs="Times New Roman" w:eastAsia="Times New Roman" w:hAnsi="Times New Roman"/>
          <w:sz w:val="14"/>
          <w:szCs w:val="14"/>
          <w:color w:val="auto"/>
        </w:rPr>
        <w:t>(aq) Liens arising in connection with any joint and several liability and any netting or set-off arrangement arising (i) in each case by operation of law as a result of the existence, establishment or expansion of an affiliated, consolidated, combined, unitary or similar group tax purposes to the extent such group consists solely of Loan Parties and any Subsidiaries thereof or (ii) arising under a declaration of joint and several liability (</w:t>
      </w:r>
      <w:r>
        <w:rPr>
          <w:rFonts w:ascii="Times New Roman" w:cs="Times New Roman" w:eastAsia="Times New Roman" w:hAnsi="Times New Roman"/>
          <w:sz w:val="14"/>
          <w:szCs w:val="14"/>
          <w:i w:val="1"/>
          <w:iCs w:val="1"/>
          <w:color w:val="auto"/>
        </w:rPr>
        <w:t>hoofdelijke aansprakelijkheid</w:t>
      </w:r>
      <w:r>
        <w:rPr>
          <w:rFonts w:ascii="Times New Roman" w:cs="Times New Roman" w:eastAsia="Times New Roman" w:hAnsi="Times New Roman"/>
          <w:sz w:val="14"/>
          <w:szCs w:val="14"/>
          <w:color w:val="auto"/>
        </w:rPr>
        <w:t>) as referred to in Section 2:403 of the Dutch Civil Code; and</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type w:val="continuous"/>
        </w:sectPr>
      </w:pPr>
    </w:p>
    <w:bookmarkStart w:id="617" w:name="page618"/>
    <w:bookmarkEnd w:id="617"/>
    <w:p>
      <w:pPr>
        <w:spacing w:after="0" w:line="22" w:lineRule="exact"/>
        <w:rPr>
          <w:sz w:val="20"/>
          <w:szCs w:val="20"/>
          <w:color w:val="auto"/>
        </w:rPr>
      </w:pPr>
    </w:p>
    <w:p>
      <w:pPr>
        <w:ind w:left="920"/>
        <w:spacing w:after="0"/>
        <w:tabs>
          <w:tab w:leader="none" w:pos="1360" w:val="left"/>
        </w:tabs>
        <w:rPr>
          <w:sz w:val="20"/>
          <w:szCs w:val="20"/>
          <w:color w:val="auto"/>
        </w:rPr>
      </w:pPr>
      <w:r>
        <w:rPr>
          <w:rFonts w:ascii="Times New Roman" w:cs="Times New Roman" w:eastAsia="Times New Roman" w:hAnsi="Times New Roman"/>
          <w:sz w:val="14"/>
          <w:szCs w:val="14"/>
          <w:color w:val="auto"/>
        </w:rPr>
        <w:t>(ar)</w:t>
      </w:r>
      <w:r>
        <w:rPr>
          <w:sz w:val="20"/>
          <w:szCs w:val="20"/>
          <w:color w:val="auto"/>
        </w:rPr>
        <w:tab/>
      </w:r>
      <w:r>
        <w:rPr>
          <w:rFonts w:ascii="Times New Roman" w:cs="Times New Roman" w:eastAsia="Times New Roman" w:hAnsi="Times New Roman"/>
          <w:sz w:val="14"/>
          <w:szCs w:val="14"/>
          <w:color w:val="auto"/>
        </w:rPr>
        <w:t>Liens on equipment of the Parent or any Subsidiary granted in the ordinary course of business to the Parent’s or such Subsidiary’s client at which such equipment</w:t>
      </w:r>
    </w:p>
    <w:p>
      <w:pPr>
        <w:spacing w:after="0"/>
        <w:rPr>
          <w:sz w:val="20"/>
          <w:szCs w:val="20"/>
          <w:color w:val="auto"/>
        </w:rPr>
      </w:pPr>
      <w:r>
        <w:rPr>
          <w:rFonts w:ascii="Times New Roman" w:cs="Times New Roman" w:eastAsia="Times New Roman" w:hAnsi="Times New Roman"/>
          <w:sz w:val="14"/>
          <w:szCs w:val="14"/>
          <w:color w:val="auto"/>
        </w:rPr>
        <w:t>is located.</w:t>
      </w:r>
    </w:p>
    <w:p>
      <w:pPr>
        <w:spacing w:after="0" w:line="128" w:lineRule="exact"/>
        <w:rPr>
          <w:sz w:val="20"/>
          <w:szCs w:val="20"/>
          <w:color w:val="auto"/>
        </w:rPr>
      </w:pPr>
    </w:p>
    <w:p>
      <w:pPr>
        <w:jc w:val="both"/>
        <w:ind w:firstLine="914"/>
        <w:spacing w:after="0" w:line="261" w:lineRule="auto"/>
        <w:rPr>
          <w:sz w:val="20"/>
          <w:szCs w:val="20"/>
          <w:color w:val="auto"/>
        </w:rPr>
      </w:pPr>
      <w:r>
        <w:rPr>
          <w:rFonts w:ascii="Times New Roman" w:cs="Times New Roman" w:eastAsia="Times New Roman" w:hAnsi="Times New Roman"/>
          <w:sz w:val="14"/>
          <w:szCs w:val="14"/>
          <w:color w:val="auto"/>
        </w:rPr>
        <w:t xml:space="preserve">For purposes of determining compliance with this Section 6.02, (A) a Lien securing an item of Indebtedness need not be permitted solely by reference to one category of permitted Liens (or any portion thereof) described in Sections 6.02(a) through (rr) but may be permitted in part under any combination thereof and (B) in the event that a Lien securing an item of Indebtedness (or any portion thereof) meets the criteria of one or more of the categories of permitted Liens (or any portion thereof) described in Sections 6.02(a) through (rr), the Parent may, in its sole discretion, classify or divide such Lien securing such item of Indebtedness (or any portion thereof) in any manner that complies with this Section 6.02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Liens created under the Loan Documents shall at all times be deemed to have been incurred pursuant to clause (b) of this Section 6.02.</w:t>
      </w:r>
    </w:p>
    <w:p>
      <w:pPr>
        <w:spacing w:after="0" w:line="1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6.03.</w:t>
      </w:r>
      <w:r>
        <w:rPr>
          <w:rFonts w:ascii="Times New Roman" w:cs="Times New Roman" w:eastAsia="Times New Roman" w:hAnsi="Times New Roman"/>
          <w:sz w:val="14"/>
          <w:szCs w:val="14"/>
          <w:u w:val="single" w:color="auto"/>
          <w:color w:val="auto"/>
        </w:rPr>
        <w:t>Limitations on Dispositions and other Transfers of Material Intellectual Property</w:t>
      </w:r>
      <w:r>
        <w:rPr>
          <w:rFonts w:ascii="Times New Roman" w:cs="Times New Roman" w:eastAsia="Times New Roman" w:hAnsi="Times New Roman"/>
          <w:sz w:val="14"/>
          <w:szCs w:val="14"/>
          <w:color w:val="auto"/>
        </w:rPr>
        <w:t xml:space="preserve"> .</w:t>
      </w:r>
    </w:p>
    <w:p>
      <w:pPr>
        <w:spacing w:after="0" w:line="134" w:lineRule="exact"/>
        <w:rPr>
          <w:sz w:val="20"/>
          <w:szCs w:val="20"/>
          <w:color w:val="auto"/>
        </w:rPr>
      </w:pPr>
    </w:p>
    <w:p>
      <w:pPr>
        <w:jc w:val="both"/>
        <w:ind w:right="40" w:firstLine="920"/>
        <w:spacing w:after="0" w:line="233" w:lineRule="auto"/>
        <w:tabs>
          <w:tab w:leader="none" w:pos="1370" w:val="left"/>
        </w:tabs>
        <w:numPr>
          <w:ilvl w:val="0"/>
          <w:numId w:val="6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Loan Party, Dispose (including pursuant to an Investment) of any Material Intellectual Property that is owned by, or exclusively licensed to, such Loan Party to any Subsidiary that is not a Loan Party, except pursuant to a bona fide transaction entered into by such Loan Party with a person that is not an Affiliate of such Loan Party and a purpose of which is not the incurrence of Indebtedness.</w:t>
      </w:r>
    </w:p>
    <w:p>
      <w:pPr>
        <w:spacing w:after="0" w:line="111" w:lineRule="exact"/>
        <w:rPr>
          <w:rFonts w:ascii="Times New Roman" w:cs="Times New Roman" w:eastAsia="Times New Roman" w:hAnsi="Times New Roman"/>
          <w:sz w:val="14"/>
          <w:szCs w:val="14"/>
          <w:color w:val="auto"/>
        </w:rPr>
      </w:pPr>
    </w:p>
    <w:p>
      <w:pPr>
        <w:ind w:right="40" w:firstLine="920"/>
        <w:spacing w:after="0" w:line="248" w:lineRule="auto"/>
        <w:tabs>
          <w:tab w:leader="none" w:pos="1361" w:val="left"/>
        </w:tabs>
        <w:numPr>
          <w:ilvl w:val="0"/>
          <w:numId w:val="6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Parent and the Subsidiaries, Dispose (including pursuant to an Investment) of any Material Intellectual Property that is owned by, or exclusively licensed to, the Parent or any Subsidiary to any Unrestricted Subsidiary.</w:t>
      </w:r>
    </w:p>
    <w:p>
      <w:pPr>
        <w:spacing w:after="0" w:line="114" w:lineRule="exact"/>
        <w:rPr>
          <w:rFonts w:ascii="Times New Roman" w:cs="Times New Roman" w:eastAsia="Times New Roman" w:hAnsi="Times New Roman"/>
          <w:sz w:val="14"/>
          <w:szCs w:val="14"/>
          <w:color w:val="auto"/>
        </w:rPr>
      </w:pPr>
    </w:p>
    <w:p>
      <w:pPr>
        <w:ind w:left="920" w:right="40"/>
        <w:spacing w:after="0" w:line="291" w:lineRule="auto"/>
        <w:tabs>
          <w:tab w:leader="none" w:pos="1377" w:val="left"/>
        </w:tabs>
        <w:numPr>
          <w:ilvl w:val="0"/>
          <w:numId w:val="6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covenants in this Section 6.03 apply to the Parent and any of its Subsidiaries notwithstanding anything to the contrary in this Agreement or any other Loan Documents.</w:t>
      </w:r>
    </w:p>
    <w:p>
      <w:pPr>
        <w:spacing w:after="0" w:line="95" w:lineRule="exact"/>
        <w:rPr>
          <w:sz w:val="20"/>
          <w:szCs w:val="20"/>
          <w:color w:val="auto"/>
        </w:rPr>
      </w:pPr>
    </w:p>
    <w:p>
      <w:pPr>
        <w:jc w:val="both"/>
        <w:ind w:right="20" w:firstLine="914"/>
        <w:spacing w:after="0" w:line="228" w:lineRule="auto"/>
        <w:rPr>
          <w:sz w:val="20"/>
          <w:szCs w:val="20"/>
          <w:color w:val="auto"/>
        </w:rPr>
      </w:pPr>
      <w:r>
        <w:rPr>
          <w:rFonts w:ascii="Times New Roman" w:cs="Times New Roman" w:eastAsia="Times New Roman" w:hAnsi="Times New Roman"/>
          <w:sz w:val="14"/>
          <w:szCs w:val="14"/>
          <w:color w:val="auto"/>
        </w:rPr>
        <w:t>SECTION 6.04.</w:t>
      </w:r>
      <w:r>
        <w:rPr>
          <w:rFonts w:ascii="Times New Roman" w:cs="Times New Roman" w:eastAsia="Times New Roman" w:hAnsi="Times New Roman"/>
          <w:sz w:val="14"/>
          <w:szCs w:val="14"/>
          <w:u w:val="single" w:color="auto"/>
          <w:color w:val="auto"/>
        </w:rPr>
        <w:t>Investments, Loans and Advances</w:t>
      </w:r>
      <w:r>
        <w:rPr>
          <w:rFonts w:ascii="Times New Roman" w:cs="Times New Roman" w:eastAsia="Times New Roman" w:hAnsi="Times New Roman"/>
          <w:sz w:val="14"/>
          <w:szCs w:val="14"/>
          <w:color w:val="auto"/>
        </w:rPr>
        <w:t xml:space="preserve"> . (i) Purchase or acquire (including pursuant to any merger with a person that is not a Wholly Owned Subsidiary immediately prior to such merger) any Equity Interests, evidences of Indebtedness or other securities of any other person, (ii) 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Times New Roman" w:cs="Times New Roman" w:eastAsia="Times New Roman" w:hAnsi="Times New Roman"/>
          <w:sz w:val="14"/>
          <w:szCs w:val="14"/>
          <w:u w:val="single" w:color="auto"/>
          <w:color w:val="auto"/>
        </w:rPr>
        <w:t>Investment</w:t>
      </w:r>
      <w:r>
        <w:rPr>
          <w:rFonts w:ascii="Times New Roman" w:cs="Times New Roman" w:eastAsia="Times New Roman" w:hAnsi="Times New Roman"/>
          <w:sz w:val="14"/>
          <w:szCs w:val="14"/>
          <w:color w:val="auto"/>
        </w:rPr>
        <w:t>”), except:</w:t>
      </w:r>
    </w:p>
    <w:p>
      <w:pPr>
        <w:spacing w:after="0" w:line="112" w:lineRule="exact"/>
        <w:rPr>
          <w:sz w:val="20"/>
          <w:szCs w:val="20"/>
          <w:color w:val="auto"/>
        </w:rPr>
      </w:pPr>
    </w:p>
    <w:p>
      <w:pPr>
        <w:ind w:left="1380" w:hanging="460"/>
        <w:spacing w:after="0"/>
        <w:tabs>
          <w:tab w:leader="none" w:pos="1380" w:val="left"/>
        </w:tabs>
        <w:numPr>
          <w:ilvl w:val="1"/>
          <w:numId w:val="6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to effect the Transactions;</w:t>
      </w:r>
    </w:p>
    <w:p>
      <w:pPr>
        <w:spacing w:after="0" w:line="13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Investments (x) by the Parent or any Subsidiary in the Equity Interests of any Subsidiary as of the Closing Date and set forth on </w:t>
      </w:r>
      <w:r>
        <w:rPr>
          <w:rFonts w:ascii="Times New Roman" w:cs="Times New Roman" w:eastAsia="Times New Roman" w:hAnsi="Times New Roman"/>
          <w:sz w:val="14"/>
          <w:szCs w:val="14"/>
          <w:u w:val="single" w:color="auto"/>
          <w:color w:val="auto"/>
        </w:rPr>
        <w:t>Part 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Schedule 6.04</w:t>
      </w:r>
      <w:r>
        <w:rPr>
          <w:rFonts w:ascii="Times New Roman" w:cs="Times New Roman" w:eastAsia="Times New Roman" w:hAnsi="Times New Roman"/>
          <w:sz w:val="14"/>
          <w:szCs w:val="14"/>
          <w:color w:val="auto"/>
        </w:rPr>
        <w:t xml:space="preserve"> and</w:t>
      </w:r>
    </w:p>
    <w:p>
      <w:pPr>
        <w:jc w:val="both"/>
        <w:ind w:right="20" w:firstLine="6"/>
        <w:spacing w:after="0" w:line="219" w:lineRule="auto"/>
        <w:tabs>
          <w:tab w:leader="none" w:pos="207" w:val="left"/>
        </w:tabs>
        <w:numPr>
          <w:ilvl w:val="0"/>
          <w:numId w:val="6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Parent or any Subsidiary consisting of intercompany loans in excess of $10,000,000 from the Parent or any Subsidiary to the Parent or any Subsidiary as of the Closing Date and set forth on </w:t>
      </w:r>
      <w:r>
        <w:rPr>
          <w:rFonts w:ascii="Times New Roman" w:cs="Times New Roman" w:eastAsia="Times New Roman" w:hAnsi="Times New Roman"/>
          <w:sz w:val="14"/>
          <w:szCs w:val="14"/>
          <w:u w:val="single" w:color="auto"/>
          <w:color w:val="auto"/>
        </w:rPr>
        <w:t>Part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Schedule 6.04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any such intercompany loan that is owing by a non-Guarantor to any Loan Party (the “ </w:t>
      </w:r>
      <w:r>
        <w:rPr>
          <w:rFonts w:ascii="Times New Roman" w:cs="Times New Roman" w:eastAsia="Times New Roman" w:hAnsi="Times New Roman"/>
          <w:sz w:val="14"/>
          <w:szCs w:val="14"/>
          <w:u w:val="single" w:color="auto"/>
          <w:color w:val="auto"/>
        </w:rPr>
        <w:t>Scheduled Loans</w:t>
      </w:r>
      <w:r>
        <w:rPr>
          <w:rFonts w:ascii="Times New Roman" w:cs="Times New Roman" w:eastAsia="Times New Roman" w:hAnsi="Times New Roman"/>
          <w:sz w:val="14"/>
          <w:szCs w:val="14"/>
          <w:color w:val="auto"/>
        </w:rPr>
        <w:t>”) (or any additional Investments made by any Loan Party pursuant to this proviso) is repaid after the Closing Date or any Loan Party receives, after the Closing Date, any dividend, distribution, interest payment, return of capital, repayment or other amount in respect of any scheduled Investment in the Equity Interests of any non-Guarantor (a “</w:t>
      </w:r>
      <w:r>
        <w:rPr>
          <w:rFonts w:ascii="Times New Roman" w:cs="Times New Roman" w:eastAsia="Times New Roman" w:hAnsi="Times New Roman"/>
          <w:sz w:val="14"/>
          <w:szCs w:val="14"/>
          <w:u w:val="single" w:color="auto"/>
          <w:color w:val="auto"/>
        </w:rPr>
        <w:t>Return of Scheduled Equity</w:t>
      </w:r>
      <w:r>
        <w:rPr>
          <w:rFonts w:ascii="Times New Roman" w:cs="Times New Roman" w:eastAsia="Times New Roman" w:hAnsi="Times New Roman"/>
          <w:sz w:val="14"/>
          <w:szCs w:val="14"/>
          <w:color w:val="auto"/>
        </w:rPr>
        <w:t>”), then additional Investments may be made by any Loan Party in any non-Guarantor in an aggregate amount up to the amount actually received by any Loan Party after the Closing Date as payment in respect of such</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155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18" w:name="page619"/>
    <w:bookmarkEnd w:id="618"/>
    <w:p>
      <w:pPr>
        <w:spacing w:after="0" w:line="2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in no event will the aggregate amount of additional Investments made by any Loan Party in non-Guarantors pursuant to this proviso exceed the sum of the original principal amount of the Scheduled Loans on the Closing Date and the aggregate amount of Returns of Scheduled Equity; (ii) Investments in any Loan Party; (iii) Investments by any Subsidiary that is not a Loan Party in any other Subsidiary that is not a Loan Party; (iv) Investments by any Loan Party in any Subsidiary that is not Loan Party (x) to fund ordinary course business operations or to fund Investments by such non-Loan Party Subsidiary that are otherwise permitted by this Agreement or (y) in an aggregate amount for all such outstanding Investments made after the Closing Date not to exceed the greater of $500,000,000 and 4.0% of Consolidated Total Assets when made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to the extent such amounts do not increase the Available Amount; (v) other intercompany liabilities amongst the Loan Parties incurred in the ordinary course of business; (vi) other intercompany liabilities amongst Subsidiaries that are not Loan Parties incurred in the ordinary course of business in connection with the cash management operations of such Subsidiaries; and (vii) Investments by any Loan Party in any Subsidiary that is not a Loan Party consisting solely of</w:t>
      </w:r>
    </w:p>
    <w:p>
      <w:pPr>
        <w:spacing w:after="0" w:line="3" w:lineRule="exact"/>
        <w:rPr>
          <w:sz w:val="20"/>
          <w:szCs w:val="20"/>
          <w:color w:val="auto"/>
        </w:rPr>
      </w:pPr>
    </w:p>
    <w:p>
      <w:pPr>
        <w:jc w:val="both"/>
        <w:ind w:right="20" w:firstLine="6"/>
        <w:spacing w:after="0"/>
        <w:tabs>
          <w:tab w:leader="none" w:pos="227" w:val="left"/>
        </w:tabs>
        <w:numPr>
          <w:ilvl w:val="0"/>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contribution or other Disposition of Equity Interests or Indebtedness of any other Subsidiary that is not a Loan Party held directly by such Loan Party in exchange for Indebtedness, Equity Interests (or additional share premium or paid in capital in respect of Equity Interests) or a combination thereof of the Subsidiary to which such contribution or other Disposition is made or (y) an exchange of Equity Interests of any other Subsidiary that is not a Loan Party for Indebtedness of such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immediately following the consummation of an Investment pursuant to the preceding clause (x) or (y), the Subsidiary whose Equity Interests or Indebtedness are the subject of such Investment remains a Subsidiary;</w:t>
      </w:r>
    </w:p>
    <w:p>
      <w:pPr>
        <w:spacing w:after="0" w:line="206"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Investments and Investments that were Permitted Investments when made;</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arising out of the receipt by the Parent or any Subsidiary of non-cash consideration for the Disposition of assets permitted under Section 6.05;</w:t>
      </w:r>
    </w:p>
    <w:p>
      <w:pPr>
        <w:spacing w:after="0" w:line="134" w:lineRule="exact"/>
        <w:rPr>
          <w:rFonts w:ascii="Times New Roman" w:cs="Times New Roman" w:eastAsia="Times New Roman" w:hAnsi="Times New Roman"/>
          <w:sz w:val="14"/>
          <w:szCs w:val="14"/>
          <w:color w:val="auto"/>
        </w:rPr>
      </w:pPr>
    </w:p>
    <w:p>
      <w:pPr>
        <w:jc w:val="both"/>
        <w:ind w:right="20" w:firstLine="920"/>
        <w:spacing w:after="0"/>
        <w:tabs>
          <w:tab w:leader="none" w:pos="1370"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and advances to officers, directors, employees or consultants of the Parent or any Subsidiary (i) in the ordinary course of business in an aggregate outstanding amount (valued at the time of the making thereof, and without giving effect to any write-downs or write-offs thereof) not to exceed $40,000,000, (ii) in respect of payroll payments and expenses in the ordinary course of business and (iii) in connection with such person’s purchase of Equity Interests of the Parent or any direct or indirect parent entity of the Parent;</w:t>
      </w:r>
    </w:p>
    <w:p>
      <w:pPr>
        <w:spacing w:after="0" w:line="240"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70"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Agreements entered into for non-speculative purposes;</w:t>
      </w:r>
    </w:p>
    <w:p>
      <w:pPr>
        <w:spacing w:after="0" w:line="134"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61"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(not in Subsidiaries, which are provided in clause (b) above) existing on, or contractually committed as of, the Closing Date that have a book value in excess of $10,000,000 and set forth on </w:t>
      </w:r>
      <w:r>
        <w:rPr>
          <w:rFonts w:ascii="Times New Roman" w:cs="Times New Roman" w:eastAsia="Times New Roman" w:hAnsi="Times New Roman"/>
          <w:sz w:val="14"/>
          <w:szCs w:val="14"/>
          <w:u w:val="single" w:color="auto"/>
          <w:color w:val="auto"/>
        </w:rPr>
        <w:t>Part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Schedule 6.04</w:t>
      </w:r>
      <w:r>
        <w:rPr>
          <w:rFonts w:ascii="Times New Roman" w:cs="Times New Roman" w:eastAsia="Times New Roman" w:hAnsi="Times New Roman"/>
          <w:sz w:val="14"/>
          <w:szCs w:val="14"/>
          <w:color w:val="auto"/>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resulting from pledges and deposits under Sections 6.02(f), 6.02(g), 6.02(n), 6.02(q), 6.02(r) and 6.02(dd);</w:t>
      </w:r>
    </w:p>
    <w:p>
      <w:pPr>
        <w:spacing w:after="0" w:line="13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Investments by the Parent or any Subsidiary in an aggregate outstanding amount (valued at the time of the making thereof, and without giving effect to any</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write-downs or write-</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156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19" w:name="page620"/>
    <w:bookmarkEnd w:id="619"/>
    <w:p>
      <w:pPr>
        <w:spacing w:after="0" w:line="24"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4"/>
          <w:szCs w:val="14"/>
          <w:color w:val="auto"/>
        </w:rPr>
        <w:t xml:space="preserve">offs thereof) not to exceed the sum of (X) the greater of $700,000,000 and 5.6% of Consolidated Total Assets when made,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(Y) so long as no Event of Default shall have occurred and be continuing, any portion of the Available Amount on the date of such election that the Parent elects to apply to this Section 6.04(j)(Y) in a written notice of a Responsible Officer thereof, which notice shall set forth calculations in reasonable detail the amount of Available Amount immediately prior to such election and the amount thereof elected to be so applied,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(Z) an amount equal to any cash returns (including dividends, interest, distributions, returns of principal, profits on sale, repayments, income and similar amounts) actually received in respect of any such Investment (excluding any returns in excess of the amount originally invested) pursuant to clause (X) to the extent such amounts do not increase the Available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Investment pursuant to this Section 6.04(j) is made in any person that was not a Subsidiary on the date on which such Investment was made but becomes a Subsidiary thereafter, then such Investment may, at the option of the Parent, upon such person becoming a Subsidiary and so long as such person remains a Subsidiary, be deemed to have been made pursuant to Section 6.04(k) (to the extent permitted by the provisions thereof) and not in reliance on this Section 6.04(j);</w:t>
      </w:r>
    </w:p>
    <w:p>
      <w:pPr>
        <w:spacing w:after="0" w:line="114" w:lineRule="exact"/>
        <w:rPr>
          <w:sz w:val="20"/>
          <w:szCs w:val="20"/>
          <w:color w:val="auto"/>
        </w:rPr>
      </w:pPr>
    </w:p>
    <w:p>
      <w:pPr>
        <w:ind w:left="1360" w:hanging="440"/>
        <w:spacing w:after="0"/>
        <w:tabs>
          <w:tab w:leader="none" w:pos="1360"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constituting Permitted Business Acquisitions;</w:t>
      </w:r>
    </w:p>
    <w:p>
      <w:pPr>
        <w:spacing w:after="0" w:line="134" w:lineRule="exact"/>
        <w:rPr>
          <w:rFonts w:ascii="Times New Roman" w:cs="Times New Roman" w:eastAsia="Times New Roman" w:hAnsi="Times New Roman"/>
          <w:sz w:val="14"/>
          <w:szCs w:val="14"/>
          <w:color w:val="auto"/>
        </w:rPr>
      </w:pPr>
    </w:p>
    <w:p>
      <w:pPr>
        <w:jc w:val="both"/>
        <w:ind w:firstLine="920"/>
        <w:spacing w:after="0" w:line="223" w:lineRule="auto"/>
        <w:tabs>
          <w:tab w:leader="none" w:pos="1370"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Investments received in connection with the bankruptcy or reorganization of, or settlement of delinquent accounts and disputes with or judgments against, customers and suppliers, in each case in the ordinary course of business, (ii) Investments consisting of accounts or notes receivable, security deposits and prepayments and other credits granted or made in the ordinary course of business and any Investments received in satisfaction or partial satisfaction thereof from financially troubled account debtors and others, including in connection with the bankruptcy or reorganization of, or settlement of delinquent accounts and disputes with or judgments against, such account debtors and others, in each case in the ordinary course of business or (iii) Investments acquired by the Parent or a Subsidiary as a result of a foreclosure by the Parent or any of the Subsidiaries with respect to any secured Investments or other transfer of title with respect to any secured Investment in default;</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70"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of a Subsidiary acquired after the Closing Date or of a person merged into the Parent or merged into or consolidated with a Subsidiary after the Closing Date, in each case, (i) to the extent such acquisition, merger, amalgamation or consolidation is permitted under this Section 6.04 and/or Section 6.05 and (ii) to the extent that such Investments were not made in contemplation of such acquisition, merger, amalgamation or consolidation and were in existence on the date of such acquisition, merger, amalgamation or consolidation;</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by the Parent of obligations of one or more officers or other employees of the Parent or its Subsidiaries in connection with such officer’s or employee’s acquisition of Equity Interests of the Parent, so long as no cash is actually advanced by the Parent or any of the Subsidiaries to such officers or employees in connection with the acquisition of any such obligations;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tabs>
          <w:tab w:leader="none" w:pos="1361"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by the Parent or any Subsidiary of operating leases (other than Capitalized Lease Obligations) or of other obligations that do not constitute Indebtedness of the kind described in clause (a), (b), (e), (f), (g), (h), (i), (j), (k) or (l) of the definition thereof, in each case entered into by the Parent or any Subsidiary in the ordinary course of business;</w:t>
      </w:r>
    </w:p>
    <w:p>
      <w:pPr>
        <w:spacing w:after="0" w:line="258"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to the extent that payment for such Investments is made with Qualified Equity Interests of the Parent (or of any direct or indirect parent entity of the Parent) or with the proceeds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issuance of such Equity Interests (or the proceeds thereof) are not included in any determination of the Available Amount or calculation of the amount of Indebtedness that is permitted to be incurred pursuant to Section 6.01(ee);</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the ordinary course of business consisting of Uniform Commercial Code Article 3 endorsements for collection or deposit and Uniform Commercial Code Article 4 customary trade arrangements with customers;</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customary upfront milestone, marketing or other funding payment consistent with past and/or industry practice to another person in connection with obtaining a right to receive royalty or other payments in the future;</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20" w:name="page621"/>
    <w:bookmarkEnd w:id="620"/>
    <w:p>
      <w:pPr>
        <w:spacing w:after="0" w:line="22" w:lineRule="exact"/>
        <w:rPr>
          <w:sz w:val="20"/>
          <w:szCs w:val="20"/>
          <w:color w:val="auto"/>
        </w:rPr>
      </w:pPr>
    </w:p>
    <w:p>
      <w:pPr>
        <w:ind w:left="1380" w:hanging="460"/>
        <w:spacing w:after="0"/>
        <w:tabs>
          <w:tab w:leader="none" w:pos="1380" w:val="left"/>
        </w:tabs>
        <w:numPr>
          <w:ilvl w:val="0"/>
          <w:numId w:val="6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the form of a prepayment of expenses, so long as such expenses are being paid in accordance with customary trade terms of the Parent or such</w:t>
      </w:r>
    </w:p>
    <w:p>
      <w:pPr>
        <w:spacing w:after="0"/>
        <w:rPr>
          <w:sz w:val="20"/>
          <w:szCs w:val="20"/>
          <w:color w:val="auto"/>
        </w:rPr>
      </w:pPr>
      <w:r>
        <w:rPr>
          <w:rFonts w:ascii="Times New Roman" w:cs="Times New Roman" w:eastAsia="Times New Roman" w:hAnsi="Times New Roman"/>
          <w:sz w:val="14"/>
          <w:szCs w:val="14"/>
          <w:color w:val="auto"/>
        </w:rPr>
        <w:t>Subsidiary;</w:t>
      </w:r>
    </w:p>
    <w:p>
      <w:pPr>
        <w:spacing w:after="0" w:line="118" w:lineRule="exact"/>
        <w:rPr>
          <w:sz w:val="20"/>
          <w:szCs w:val="20"/>
          <w:color w:val="auto"/>
        </w:rPr>
      </w:pPr>
    </w:p>
    <w:p>
      <w:pPr>
        <w:ind w:right="20" w:firstLine="920"/>
        <w:spacing w:after="0" w:line="248" w:lineRule="auto"/>
        <w:tabs>
          <w:tab w:leader="none" w:pos="1370"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by the Parent and the Subsidiaries, if the Parent or any Subsidiary would otherwise be permitted to make a Restricted Payment under Section 6.06(g) in such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any such Investment shall also be deemed to be a Restricted Payment under Section 6.06(g) for all purposes of this Agreement);</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transfers of Permitted Receivables Facility Assets or arising as a result of Qualified Receivables Facilities;</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the licensing or contribution of Intellectual Property pursuant to joint marketing or other similar arrangements with other persons;</w:t>
      </w:r>
    </w:p>
    <w:p>
      <w:pPr>
        <w:spacing w:after="0" w:line="134"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exclusive licenses from a Subsidiary that is not a Loan Party to a Loan Party of rights to a drug or other pharmaceutical products, diagnostics, delivery technologies, medical devices or biotechnology businesses;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drug or other pharmaceutical products, diagnostics, delivery technologies, medical devices or biotechnology businesses was not acquired by such Subsidiary in an acquisition prohibited by Section 6.03 or Section 6.05;</w:t>
      </w:r>
    </w:p>
    <w:p>
      <w:pPr>
        <w:spacing w:after="0" w:line="111"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Investment in fixed income or other assets by any Subsidiary that is a so-called “captive” insurance company or insurance “cell” (each, an “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consistent with customary practices of portfolio management;</w:t>
      </w:r>
    </w:p>
    <w:p>
      <w:pPr>
        <w:spacing w:after="0" w:line="105" w:lineRule="exact"/>
        <w:rPr>
          <w:rFonts w:ascii="Times New Roman" w:cs="Times New Roman" w:eastAsia="Times New Roman" w:hAnsi="Times New Roman"/>
          <w:sz w:val="14"/>
          <w:szCs w:val="14"/>
          <w:color w:val="auto"/>
        </w:rPr>
      </w:pPr>
    </w:p>
    <w:p>
      <w:pPr>
        <w:jc w:val="both"/>
        <w:ind w:firstLine="920"/>
        <w:spacing w:after="0" w:line="228" w:lineRule="auto"/>
        <w:tabs>
          <w:tab w:leader="none" w:pos="1370"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Insurance Subsidiaries (i) that are required by law or applicable regulators, (ii) (A) in an aggregate amount for all such Investments not to exceed the greater of $50,000,000 and 0.4% of Consolidated Total Assets when made plus (B)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pursuant to clause (ii)(A) to the extent such amounts do not increase the Available Amount or (iii) constituting letters of credit permitted under Section 6.01(dd);</w:t>
      </w:r>
    </w:p>
    <w:p>
      <w:pPr>
        <w:spacing w:after="0" w:line="112" w:lineRule="exact"/>
        <w:rPr>
          <w:sz w:val="20"/>
          <w:szCs w:val="20"/>
          <w:color w:val="auto"/>
        </w:rPr>
      </w:pPr>
    </w:p>
    <w:p>
      <w:pPr>
        <w:jc w:val="both"/>
        <w:ind w:firstLine="920"/>
        <w:spacing w:after="0" w:line="223" w:lineRule="auto"/>
        <w:tabs>
          <w:tab w:leader="none" w:pos="1370" w:val="left"/>
        </w:tabs>
        <w:numPr>
          <w:ilvl w:val="0"/>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in joint ventures and acquisitions of Equity Interests that would constitute Permitted Business Acquisitions but for the fact that persons in which such Equity Interests are acquired do not become Wholly Owned Subsidiaries of the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sum of the aggregate amount of such Investments, plus the aggregate consideration paid in all such acquisitions, made under this clause (aa) after the Closing Date shall not exceed (A) the greater of $350,000,000 and 2.8% of Consolidated Total Assets at any time outstanding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to the extent such amounts do not increase the Available Amount;</w:t>
      </w:r>
    </w:p>
    <w:p>
      <w:pPr>
        <w:spacing w:after="0" w:line="111" w:lineRule="exact"/>
        <w:rPr>
          <w:sz w:val="20"/>
          <w:szCs w:val="20"/>
          <w:color w:val="auto"/>
        </w:rPr>
      </w:pPr>
    </w:p>
    <w:p>
      <w:pPr>
        <w:ind w:firstLine="914"/>
        <w:spacing w:after="0" w:line="248" w:lineRule="auto"/>
        <w:rPr>
          <w:sz w:val="20"/>
          <w:szCs w:val="20"/>
          <w:color w:val="auto"/>
        </w:rPr>
      </w:pPr>
      <w:r>
        <w:rPr>
          <w:rFonts w:ascii="Times New Roman" w:cs="Times New Roman" w:eastAsia="Times New Roman" w:hAnsi="Times New Roman"/>
          <w:sz w:val="14"/>
          <w:szCs w:val="14"/>
          <w:color w:val="auto"/>
        </w:rPr>
        <w:t>(ab) additional Investments, so long as, at the time any such Investment is made and immediately after giving effect thereto, (x) no Event of Default shall have occurred and is continuing and (y) the Total Net Leverage Ratio is not greater than 2.80 to 1.00;</w:t>
      </w:r>
    </w:p>
    <w:p>
      <w:pPr>
        <w:spacing w:after="0" w:line="103" w:lineRule="exact"/>
        <w:rPr>
          <w:sz w:val="20"/>
          <w:szCs w:val="20"/>
          <w:color w:val="auto"/>
        </w:rPr>
      </w:pPr>
    </w:p>
    <w:p>
      <w:pPr>
        <w:jc w:val="both"/>
        <w:ind w:firstLine="914"/>
        <w:spacing w:after="0" w:line="234" w:lineRule="auto"/>
        <w:rPr>
          <w:sz w:val="20"/>
          <w:szCs w:val="20"/>
          <w:color w:val="auto"/>
        </w:rPr>
      </w:pPr>
      <w:r>
        <w:rPr>
          <w:rFonts w:ascii="Times New Roman" w:cs="Times New Roman" w:eastAsia="Times New Roman" w:hAnsi="Times New Roman"/>
          <w:sz w:val="14"/>
          <w:szCs w:val="14"/>
          <w:color w:val="auto"/>
        </w:rPr>
        <w:t xml:space="preserve">(ac) Investments in Similar Businesses in an aggregate amount not to exceed (A) the greater of $300,000,000 and 2.4% of Consolidated Total Assets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to the extent such amounts do not increase the Available Amount;</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21" w:name="page622"/>
    <w:bookmarkEnd w:id="621"/>
    <w:p>
      <w:pPr>
        <w:spacing w:after="0" w:line="24" w:lineRule="exact"/>
        <w:rPr>
          <w:sz w:val="20"/>
          <w:szCs w:val="20"/>
          <w:color w:val="auto"/>
        </w:rPr>
      </w:pPr>
    </w:p>
    <w:p>
      <w:pPr>
        <w:jc w:val="both"/>
        <w:ind w:right="20" w:firstLine="914"/>
        <w:spacing w:after="0" w:line="233" w:lineRule="auto"/>
        <w:rPr>
          <w:sz w:val="20"/>
          <w:szCs w:val="20"/>
          <w:color w:val="auto"/>
        </w:rPr>
      </w:pPr>
      <w:r>
        <w:rPr>
          <w:rFonts w:ascii="Times New Roman" w:cs="Times New Roman" w:eastAsia="Times New Roman" w:hAnsi="Times New Roman"/>
          <w:sz w:val="14"/>
          <w:szCs w:val="14"/>
          <w:color w:val="auto"/>
        </w:rPr>
        <w:t>(ad) Investments consisting of licensing (or equivalent thereof), acquisition, sale or contribution of Intellectual Property rights or proprietary materials pursuant to pharmaceutical or therapeutic product licensing, collaboration, development, promotion, distribution, marketing, supply, research or similar arrangements with other persons made in the ordinary course of business, in a manner consistent with industry practice (in the Parent’s good faith judgment);</w:t>
      </w:r>
    </w:p>
    <w:p>
      <w:pPr>
        <w:sectPr>
          <w:pgSz w:w="11900" w:h="16840" w:orient="portrait"/>
          <w:cols w:equalWidth="0" w:num="1">
            <w:col w:w="10620"/>
          </w:cols>
          <w:pgMar w:left="640" w:top="1440" w:right="640" w:bottom="1440" w:gutter="0" w:footer="0" w:header="0"/>
        </w:sectPr>
      </w:pP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[reserved]; and</w:t>
      </w:r>
    </w:p>
    <w:p>
      <w:pPr>
        <w:spacing w:after="0" w:line="134" w:lineRule="exact"/>
        <w:rPr>
          <w:sz w:val="20"/>
          <w:szCs w:val="20"/>
          <w:color w:val="auto"/>
        </w:rPr>
      </w:pPr>
    </w:p>
    <w:p>
      <w:pPr>
        <w:sectPr>
          <w:pgSz w:w="11900" w:h="16840" w:orient="portrait"/>
          <w:cols w:equalWidth="0" w:num="2">
            <w:col w:w="1140" w:space="240"/>
            <w:col w:w="9240"/>
          </w:cols>
          <w:pgMar w:left="640" w:top="1440" w:right="640" w:bottom="1440" w:gutter="0" w:footer="0" w:header="0"/>
          <w:type w:val="continuous"/>
        </w:sectPr>
      </w:pPr>
    </w:p>
    <w:p>
      <w:pPr>
        <w:ind w:left="920"/>
        <w:spacing w:after="0"/>
        <w:tabs>
          <w:tab w:leader="none" w:pos="1360" w:val="left"/>
        </w:tabs>
        <w:rPr>
          <w:sz w:val="20"/>
          <w:szCs w:val="20"/>
          <w:color w:val="auto"/>
        </w:rPr>
      </w:pPr>
      <w:r>
        <w:rPr>
          <w:rFonts w:ascii="Times New Roman" w:cs="Times New Roman" w:eastAsia="Times New Roman" w:hAnsi="Times New Roman"/>
          <w:sz w:val="14"/>
          <w:szCs w:val="14"/>
          <w:color w:val="auto"/>
        </w:rPr>
        <w:t>(af)</w:t>
      </w:r>
      <w:r>
        <w:rPr>
          <w:sz w:val="20"/>
          <w:szCs w:val="20"/>
          <w:color w:val="auto"/>
        </w:rPr>
        <w:tab/>
      </w:r>
      <w:r>
        <w:rPr>
          <w:rFonts w:ascii="Times New Roman" w:cs="Times New Roman" w:eastAsia="Times New Roman" w:hAnsi="Times New Roman"/>
          <w:sz w:val="14"/>
          <w:szCs w:val="14"/>
          <w:color w:val="auto"/>
        </w:rPr>
        <w:t>intercompany current liabilities owed to Unrestricted Subsidiaries or joint ventures incurred in the ordinary course of business in connection with the cash</w:t>
      </w:r>
    </w:p>
    <w:p>
      <w:pPr>
        <w:sectPr>
          <w:pgSz w:w="11900" w:h="16840" w:orient="portrait"/>
          <w:cols w:equalWidth="0" w:num="1">
            <w:col w:w="10620"/>
          </w:cols>
          <w:pgMar w:left="640" w:top="1440" w:right="6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operations of the Parent and its subsidiaries.</w:t>
      </w:r>
    </w:p>
    <w:p>
      <w:pPr>
        <w:spacing w:after="0" w:line="119" w:lineRule="exact"/>
        <w:rPr>
          <w:sz w:val="20"/>
          <w:szCs w:val="20"/>
          <w:color w:val="auto"/>
        </w:rPr>
      </w:pPr>
    </w:p>
    <w:p>
      <w:pPr>
        <w:jc w:val="both"/>
        <w:ind w:firstLine="914"/>
        <w:spacing w:after="0" w:line="261" w:lineRule="auto"/>
        <w:rPr>
          <w:sz w:val="20"/>
          <w:szCs w:val="20"/>
          <w:color w:val="auto"/>
        </w:rPr>
      </w:pPr>
      <w:r>
        <w:rPr>
          <w:rFonts w:ascii="Times New Roman" w:cs="Times New Roman" w:eastAsia="Times New Roman" w:hAnsi="Times New Roman"/>
          <w:sz w:val="14"/>
          <w:szCs w:val="14"/>
          <w:color w:val="auto"/>
        </w:rPr>
        <w:t xml:space="preserve">For purposes of determining compliance with this Section 6.04, (A) an Investment need not be permitted solely by reference to one category of permitted Investments (or any portion thereof) described in Sections 6.04(a) through (ff) but may be permitted in part under any relevant combination thereof and (B) in the event that an Investment (or any portion thereof) meets the criteria of one or more of the categories of permitted Investments (or any portion thereof) described in Sections 6.04(a) through (ff) the Parent may, in its sole discretion, classify or divide such Investment (or any portion thereof) in any manner that complies with this Section 6.04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Investments described in </w:t>
      </w:r>
      <w:r>
        <w:rPr>
          <w:rFonts w:ascii="Times New Roman" w:cs="Times New Roman" w:eastAsia="Times New Roman" w:hAnsi="Times New Roman"/>
          <w:sz w:val="14"/>
          <w:szCs w:val="14"/>
          <w:u w:val="single" w:color="auto"/>
          <w:color w:val="auto"/>
        </w:rPr>
        <w:t>Schedule 6.04</w:t>
      </w:r>
      <w:r>
        <w:rPr>
          <w:rFonts w:ascii="Times New Roman" w:cs="Times New Roman" w:eastAsia="Times New Roman" w:hAnsi="Times New Roman"/>
          <w:sz w:val="14"/>
          <w:szCs w:val="14"/>
          <w:color w:val="auto"/>
        </w:rPr>
        <w:t xml:space="preserve"> shall be deemed outstanding under Section 6.04(b) or Section 6.04(h), as applicable.</w:t>
      </w:r>
    </w:p>
    <w:p>
      <w:pPr>
        <w:spacing w:after="0" w:line="126"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Any Investment in any person other than a Loan Party that is otherwise permitted by this Section 6.04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w:t>
      </w:r>
    </w:p>
    <w:p>
      <w:pPr>
        <w:spacing w:after="0" w:line="121" w:lineRule="exact"/>
        <w:rPr>
          <w:sz w:val="20"/>
          <w:szCs w:val="20"/>
          <w:color w:val="auto"/>
        </w:rPr>
      </w:pPr>
    </w:p>
    <w:p>
      <w:pPr>
        <w:jc w:val="both"/>
        <w:ind w:firstLine="914"/>
        <w:spacing w:after="0" w:line="267" w:lineRule="auto"/>
        <w:rPr>
          <w:sz w:val="20"/>
          <w:szCs w:val="20"/>
          <w:color w:val="auto"/>
        </w:rPr>
      </w:pPr>
      <w:r>
        <w:rPr>
          <w:rFonts w:ascii="Times New Roman" w:cs="Times New Roman" w:eastAsia="Times New Roman" w:hAnsi="Times New Roman"/>
          <w:sz w:val="14"/>
          <w:szCs w:val="14"/>
          <w:color w:val="auto"/>
        </w:rPr>
        <w:t>For purposes of determining compliance with this Section 6.04, if and to the extent any exclusive license may constitute an “Investment” hereunder, the amount of such Investment shall be limited to the aggregate cash paid by the Parent or any Subsidiary on or prior to the consummation of the license (and, for the avoidance of doubt, shall not include any purchase price adjustment, licensing payment, royalty, earnout, milestone payment, contingent payment, back-end payment or any other deferred payment or any payments related to profit sharing).</w:t>
      </w:r>
    </w:p>
    <w:p>
      <w:pPr>
        <w:spacing w:after="0" w:line="112" w:lineRule="exact"/>
        <w:rPr>
          <w:sz w:val="20"/>
          <w:szCs w:val="20"/>
          <w:color w:val="auto"/>
        </w:rPr>
      </w:pPr>
    </w:p>
    <w:p>
      <w:pPr>
        <w:jc w:val="both"/>
        <w:ind w:right="20" w:firstLine="914"/>
        <w:spacing w:after="0" w:line="228" w:lineRule="auto"/>
        <w:rPr>
          <w:sz w:val="20"/>
          <w:szCs w:val="20"/>
          <w:color w:val="auto"/>
        </w:rPr>
      </w:pPr>
      <w:r>
        <w:rPr>
          <w:rFonts w:ascii="Times New Roman" w:cs="Times New Roman" w:eastAsia="Times New Roman" w:hAnsi="Times New Roman"/>
          <w:sz w:val="14"/>
          <w:szCs w:val="14"/>
          <w:color w:val="auto"/>
        </w:rPr>
        <w:t>SECTION 6.05.</w:t>
      </w:r>
      <w:r>
        <w:rPr>
          <w:rFonts w:ascii="Times New Roman" w:cs="Times New Roman" w:eastAsia="Times New Roman" w:hAnsi="Times New Roman"/>
          <w:sz w:val="14"/>
          <w:szCs w:val="14"/>
          <w:u w:val="single" w:color="auto"/>
          <w:color w:val="auto"/>
        </w:rPr>
        <w:t>Mergers, Consolidations, Sales of Assets and Acquisitions</w:t>
      </w:r>
      <w:r>
        <w:rPr>
          <w:rFonts w:ascii="Times New Roman" w:cs="Times New Roman" w:eastAsia="Times New Roman" w:hAnsi="Times New Roman"/>
          <w:sz w:val="14"/>
          <w:szCs w:val="14"/>
          <w:color w:val="auto"/>
        </w:rPr>
        <w:t xml:space="preserve"> . Merge into, amalgamate with or consolidate with any other person, or permit any other person to merge into, amalgamate with or consolidate with it, or Dispose of (in one transaction or in a series of related transactions) all or any part of its assets (whether now owned or hereafter acquired) in excess of $ 25,000,000, or Dispose of any Equity Interests of any Subsidiary, or purchase, lease or otherwise acquire (in one transaction or a series of related transactions) all or substantially all of the assets of any other person or division or line of business of a person, except that this Section 6.05 shall not prohibit:</w:t>
      </w:r>
    </w:p>
    <w:p>
      <w:pPr>
        <w:spacing w:after="0" w:line="112" w:lineRule="exact"/>
        <w:rPr>
          <w:sz w:val="20"/>
          <w:szCs w:val="20"/>
          <w:color w:val="auto"/>
        </w:rPr>
      </w:pPr>
    </w:p>
    <w:p>
      <w:pPr>
        <w:jc w:val="both"/>
        <w:ind w:right="20" w:firstLine="920"/>
        <w:spacing w:after="0" w:line="228" w:lineRule="auto"/>
        <w:tabs>
          <w:tab w:leader="none" w:pos="1370" w:val="left"/>
        </w:tabs>
        <w:numPr>
          <w:ilvl w:val="0"/>
          <w:numId w:val="7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purchase and Disposition of inventory in the ordinary course of business by the Parent or any Subsidiary, (ii) the acquisition or lease (pursuant to an operating lease) of any other asset in the ordinary course of business by the Parent or any Subsidiary or, with respect to operating leases, otherwise for Fair Market Value on market terms (as determined in good faith by the Parent), (iii) the Disposition of surplus, obsolete, damaged or worn out equipment or other property in the ordinary course of business by the Parent or any Subsidiary, (iv) the Disposition of Permitted Investments in the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type w:val="continuous"/>
        </w:sectPr>
      </w:pPr>
    </w:p>
    <w:bookmarkStart w:id="622" w:name="page623"/>
    <w:bookmarkEnd w:id="622"/>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ordinary course of business or (v) foreclosure or any similar action with respect to any property or other asset of the Parent or any Subsidiary;</w:t>
      </w:r>
    </w:p>
    <w:p>
      <w:pPr>
        <w:spacing w:after="0" w:line="134" w:lineRule="exact"/>
        <w:rPr>
          <w:sz w:val="20"/>
          <w:szCs w:val="20"/>
          <w:color w:val="auto"/>
        </w:rPr>
      </w:pPr>
    </w:p>
    <w:p>
      <w:pPr>
        <w:jc w:val="both"/>
        <w:ind w:right="20" w:firstLine="920"/>
        <w:spacing w:after="0"/>
        <w:tabs>
          <w:tab w:leader="none" w:pos="1361" w:val="left"/>
        </w:tabs>
        <w:numPr>
          <w:ilvl w:val="0"/>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the time thereof and immediately after giving effect thereto no Event of Default shall have occurred and be continuing or would result therefrom, (i) the merger, amalgamation or consolidation of any Subsidiary (other than the U.S. Co-Borrower) with or into any Guarantor in a transaction in which the surviving or resulting entity is or becomes a Guarantor and no person other than a Borrower or a Guarantor receives any consideration (unless otherwise permitted by Section 6.04), (ii) the merger, amalgamation or consolidation of any Subsidiary that is not a Borrower or a Guarantor with or into any other Subsidiary that is not a Borrower or a Guarantor, (iii) the liquidation or dissolution or change in form of entity of any Subsidiary (other than the U.S. Co-Borrower) if (x) the Parent determines in good faith that such liquidation, dissolution or change in form is in the best interests of the Parent and is not materially disadvantageous to the Lenders and (y) the same meets the requirements contained in the proviso to Section 5.01(a), (iv) the merger, amalgamation or consolidation by a Subsidiary (other than the U.S. Co-Borrower) with any other person in order to effect an Investment permitted pursuant to Section 6.04 so long as the continuing or surviving person shall be a Subsidiary (unless otherwise permitted by Section 6.04 (other than Section 6.04(m))), which shall be a Loan Party if the merging, amalgamating or consolidating Subsidiary was a Loan Party and which together with each of its Subsidiaries shall have complied with any applicable requirements of Section 5.10 or (v) the merger, amalgamation or consolidation of any Subsidiary (other than the U.S. Co-Borrower) with any other person in order to effect an Asset Sale otherwise permitted pursuant to this Section 6.05;</w:t>
      </w:r>
    </w:p>
    <w:p>
      <w:pPr>
        <w:spacing w:after="0" w:line="112"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0"/>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Dispositions to the Parent or a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Dispositions by a Loan Party to a Subsidiary that is not a Loan Party in reliance on this clause (c) shall be made in compliance with Section 6.04;</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any property subject to a Permitted Sale Lease-Back Transaction;</w:t>
      </w:r>
    </w:p>
    <w:p>
      <w:pPr>
        <w:spacing w:after="0" w:line="134"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0"/>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Investments permitted by Section 6.04 (other than Section 6.04(m)), Permitted Liens, and Restricted Payments permitted by Section 6.06 and (ii) the Transactions to the extent otherwise prohibited by this Section 6.05;</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spacing w:after="0" w:line="105" w:lineRule="exact"/>
        <w:rPr>
          <w:rFonts w:ascii="Times New Roman" w:cs="Times New Roman" w:eastAsia="Times New Roman" w:hAnsi="Times New Roman"/>
          <w:sz w:val="14"/>
          <w:szCs w:val="14"/>
          <w:color w:val="auto"/>
        </w:rPr>
      </w:pPr>
    </w:p>
    <w:p>
      <w:pPr>
        <w:jc w:val="both"/>
        <w:ind w:firstLine="920"/>
        <w:spacing w:after="0" w:line="218" w:lineRule="auto"/>
        <w:tabs>
          <w:tab w:leader="none" w:pos="1361" w:val="left"/>
        </w:tabs>
        <w:numPr>
          <w:ilvl w:val="0"/>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Dispositions of assets;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Net Proceeds thereof, if any, are applied in accordance with Section 2.11(b)(1) to the extent required thereby, (ii) any such Dispositions shall comply with the final sentence of this Section 6.05 and (iii) no Borrower may dispose of all or substantially all of the assets of such Borrower and its Subsidiaries taken as a whole pursuant to this clause (g) unless, at the time thereof and immediately after giving effect thereto (A) no Event of Default shall have occurred and be continuing or would result therefrom, (B) the transferee Person shall be an entity organized or existing under the laws of the United States, Denmark or The Netherlands;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effect to any such transaction, an entity that is organized or existing under the laws of the United States, any state thereof or the District of Columbia, shall be or become a borrower hereunder, (C) the transferee Person shall expressly assume all the obligations of the Parent under this Agreement and the other Loan Documents pursuant to a supplement hereto or thereto in form reasonably satisfactory to the Administrative Agent, (D) each Guarantor, unless it is the other party to such transaction, shall have by a supplement to the Guarantee Agreement, as applicable, confirmed that its guarantee thereunder shall apply to any transferee Person’s obligations under this Agreement, (E) each Guarantor, unless it is the other party to such transaction, shall have by a supplement to any applicable Security Document affirmed that its obligations thereunder shall apply to its guarantee as reaffirmed pursuant to clause (D), and (F) the transferee Person shall have delivered to the Administrative Agent (x) a certificate of a Responsible Officer stating that such transaction does not violate this Agreement or any other Loan Document and (y) if requested by the Administrative Agent, an opinion of counsel to the effect that such transaction does not violate this Agreement or any other Loan Document and covering such other matters as are contemplated by the Collateral and Guarantee Requirement to be covered in opinions of counsel;</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160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23" w:name="page624"/>
    <w:bookmarkEnd w:id="623"/>
    <w:p>
      <w:pPr>
        <w:spacing w:after="0" w:line="2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such disposition by a Borrower of all or substantially all of the assets of such Borrower and its Subsidiaries taken as a whole pursuant to this clause (g) shall be deemed to be a Successor Borrower Transaction that is subject to the last proviso of Section 6.05(n) (it being understood that if the foregoing are satisfied, the transferee Person will succeed to, and be substituted for, the applicable Borrower under this Agreement);</w:t>
      </w:r>
    </w:p>
    <w:p>
      <w:pPr>
        <w:spacing w:after="0" w:line="112" w:lineRule="exact"/>
        <w:rPr>
          <w:sz w:val="20"/>
          <w:szCs w:val="20"/>
          <w:color w:val="auto"/>
        </w:rPr>
      </w:pPr>
    </w:p>
    <w:p>
      <w:pPr>
        <w:jc w:val="both"/>
        <w:ind w:right="40" w:firstLine="920"/>
        <w:spacing w:after="0"/>
        <w:tabs>
          <w:tab w:leader="none" w:pos="1361"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Permitted Business Acquisitions (including any merger, consolidation or amalgamation in order to effect a Permitted Business Acquisition);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following any such merger, consolidation or amalgamation involving a Borrower, such Borrower is the surviving entity or the requirements of Section 6.05(n) are otherwise complied with;</w:t>
      </w:r>
    </w:p>
    <w:p>
      <w:pPr>
        <w:spacing w:after="0" w:line="258"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assignments, licenses or subleases or sublicenses of any real or personal property in the ordinary course of business;</w:t>
      </w:r>
    </w:p>
    <w:p>
      <w:pPr>
        <w:spacing w:after="0" w:line="134"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inventory or Dispositions or abandonment of Intellectual Property of the Parent and the Subsidiaries, or Dispositions of assets acquired by the Parent or a Subsidiary in a permitted Investment, in any such case that are determined in good faith by the management of the Parent to be no longer economically practicable to maintain or useful or necessary in the operation of the business of the Parent or any of the Subsidiaries;</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Unrestricted Margin Stock;</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and Disposition (including by capital contribution) of Permitted Receivables Facility Assets including pursuant to Qualified Receivables Facilities;</w:t>
      </w:r>
    </w:p>
    <w:p>
      <w:pPr>
        <w:spacing w:after="0" w:line="134"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 or swap of assets (other than cash and Permitted Investments) for other assets (other than cash and Permitted Investments) of comparable or greater value or usefulness to the business of the Parent and the Subsidiaries as a whole, determined in good faith by the management of the Parent;</w:t>
      </w:r>
    </w:p>
    <w:p>
      <w:pPr>
        <w:spacing w:after="0" w:line="105" w:lineRule="exact"/>
        <w:rPr>
          <w:rFonts w:ascii="Times New Roman" w:cs="Times New Roman" w:eastAsia="Times New Roman" w:hAnsi="Times New Roman"/>
          <w:sz w:val="14"/>
          <w:szCs w:val="14"/>
          <w:color w:val="auto"/>
        </w:rPr>
      </w:pPr>
    </w:p>
    <w:p>
      <w:pPr>
        <w:jc w:val="both"/>
        <w:ind w:firstLine="920"/>
        <w:spacing w:after="0" w:line="216" w:lineRule="auto"/>
        <w:tabs>
          <w:tab w:leader="none" w:pos="1361"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the time thereof and immediately after giving effect thereto no Event of Default shall have occurred and be continuing or would result therefrom, any Subsidiary or any other person may be merged, amalgamated or consolidated with or into the Parent or the U.S. Co-Borrower (a “</w:t>
      </w:r>
      <w:r>
        <w:rPr>
          <w:rFonts w:ascii="Times New Roman" w:cs="Times New Roman" w:eastAsia="Times New Roman" w:hAnsi="Times New Roman"/>
          <w:sz w:val="14"/>
          <w:szCs w:val="14"/>
          <w:u w:val="single" w:color="auto"/>
          <w:color w:val="auto"/>
        </w:rPr>
        <w:t>Successor Borrower Transaction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Parent or the U.S. Co-Borrower shall be the surviving entity or (B) if the surviving entity is not the Parent or the U.S. Co-Borrower (such other person, the “</w:t>
      </w:r>
      <w:r>
        <w:rPr>
          <w:rFonts w:ascii="Times New Roman" w:cs="Times New Roman" w:eastAsia="Times New Roman" w:hAnsi="Times New Roman"/>
          <w:sz w:val="14"/>
          <w:szCs w:val="14"/>
          <w:u w:val="single" w:color="auto"/>
          <w:color w:val="auto"/>
        </w:rPr>
        <w:t>Successor Borrower</w:t>
      </w:r>
      <w:r>
        <w:rPr>
          <w:rFonts w:ascii="Times New Roman" w:cs="Times New Roman" w:eastAsia="Times New Roman" w:hAnsi="Times New Roman"/>
          <w:sz w:val="14"/>
          <w:szCs w:val="14"/>
          <w:color w:val="auto"/>
        </w:rPr>
        <w:t xml:space="preserve">”), (1) the Successor Borrower shall be an entity organized or existing under the laws of the United States, Denmark or The Netherlands;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effect to any such transaction, an entity that is organized or existing under the laws of the United States, any state thereof or the District of Columbia, shall be or become a borrower hereunder, (2) the Successor Borrower shall expressly assume all the obligations of the Parent or the U.S. Co-Borrower, as applicable, under this Agreement and the other Loan Documents pursuant to a supplement hereto or thereto in form reasonably satisfactory to the Administrative Agent, (3) each Guarantor, unless it is the other party to such transaction, shall have by a supplement to the Guarantee Agreement, as applicable, confirmed that its guarantee thereunder shall apply to any Successor Borrower’s obligations under this Agreement, (4) each Guarantor, unless it is the other party to such transaction, shall have by a supplement to any applicable Security Document affirmed that its obligations thereunder shall apply to its guarantee as reaffirmed pursuant to clause (3), and (5) the Successor Borrower shall have delivered to the Administrative Agent (x) a certificate of a Responsible Officer stating that such transaction does not violate this Agreement or any other Loan Document and (y) if requested by the Administrative Agent, an opinion of counsel to the effect that such transaction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applicable Borrower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notwithstanding anything to the contrary herein, (I) the Parent shall deliver to the Administrative Agent a notice (the “ </w:t>
      </w:r>
      <w:r>
        <w:rPr>
          <w:rFonts w:ascii="Times New Roman" w:cs="Times New Roman" w:eastAsia="Times New Roman" w:hAnsi="Times New Roman"/>
          <w:sz w:val="14"/>
          <w:szCs w:val="14"/>
          <w:u w:val="single" w:color="auto"/>
          <w:color w:val="auto"/>
        </w:rPr>
        <w:t>Successor Borrower Transaction Notice</w:t>
      </w:r>
      <w:r>
        <w:rPr>
          <w:rFonts w:ascii="Times New Roman" w:cs="Times New Roman" w:eastAsia="Times New Roman" w:hAnsi="Times New Roman"/>
          <w:sz w:val="14"/>
          <w:szCs w:val="14"/>
          <w:color w:val="auto"/>
        </w:rPr>
        <w:t xml:space="preserve"> ”) no less than 30 days (or such later date as the Administrative Agent may reasonably agree) prior to the consummation of the proposed Successor Borrower Transaction and (II) in the event that the Administrative Agent receives a notice no later than the 10th day following the receipt of the related Successor Borrower Transaction Notice, from any Lender</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161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24" w:name="page625"/>
    <w:bookmarkEnd w:id="624"/>
    <w:p>
      <w:pPr>
        <w:spacing w:after="0" w:line="2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(each an “</w:t>
      </w:r>
      <w:r>
        <w:rPr>
          <w:rFonts w:ascii="Times New Roman" w:cs="Times New Roman" w:eastAsia="Times New Roman" w:hAnsi="Times New Roman"/>
          <w:sz w:val="14"/>
          <w:szCs w:val="14"/>
          <w:u w:val="single" w:color="auto"/>
          <w:color w:val="auto"/>
        </w:rPr>
        <w:t>Objecting Lender</w:t>
      </w:r>
      <w:r>
        <w:rPr>
          <w:rFonts w:ascii="Times New Roman" w:cs="Times New Roman" w:eastAsia="Times New Roman" w:hAnsi="Times New Roman"/>
          <w:sz w:val="14"/>
          <w:szCs w:val="14"/>
          <w:color w:val="auto"/>
        </w:rPr>
        <w:t>”) that, solely in connection with a proposed Successor Borrower Transaction where the Successor Borrower will be organized in Denmark or The Netherlands, the extension of credit to such Successor Borrower will contravene any policy, law, rule or regulation applicable to such Lender, then such Successor Borrower Transaction shall be prohibited hereunder until such time that the Parent replaces each such Objecting Lender with one or more replacement Lenders pursuant to Section 2.19(c);</w:t>
      </w:r>
    </w:p>
    <w:p>
      <w:pPr>
        <w:spacing w:after="0" w:line="112" w:lineRule="exact"/>
        <w:rPr>
          <w:sz w:val="20"/>
          <w:szCs w:val="20"/>
          <w:color w:val="auto"/>
        </w:rPr>
      </w:pPr>
    </w:p>
    <w:p>
      <w:pPr>
        <w:ind w:right="20" w:firstLine="920"/>
        <w:spacing w:after="0" w:line="248" w:lineRule="auto"/>
        <w:tabs>
          <w:tab w:leader="none" w:pos="1361"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grant of any license (or any similar disposition in connection with a joint development or co-commercialization agreement) of Patents, Trademarks, know-how or any other Intellectual Property, in each case, in the ordinary course of business;</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property subject to any casualty event;</w:t>
      </w:r>
    </w:p>
    <w:p>
      <w:pPr>
        <w:spacing w:after="0" w:line="134"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Investments in joint ventures to the extent required by, or made pursuant to customary buy/sell arrangements among, the joint venture parties set forth in joint venture or similar agreements or arrangements;</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(including issuances or sales) of Equity Interests in, or Indebtedness owing to, or of other securities of, an Unrestricted Subsidiary, other than Unrestricted Subsidiaries the primary assets of which are cash and Permitted Investments;</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unwinding of any Hedging Agreement;</w:t>
      </w:r>
    </w:p>
    <w:p>
      <w:pPr>
        <w:spacing w:after="0" w:line="134"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swap of assets, or lease, assignment or sublease of any real or personal property, in exchange for services (including in connection with any outsourcing arrangements) of comparable or greater value or usefulness to the business of the Parent and the Subsidiaries as a whole, as determined in good faith by the Parent; and</w:t>
      </w:r>
    </w:p>
    <w:p>
      <w:pPr>
        <w:spacing w:after="0" w:line="105" w:lineRule="exact"/>
        <w:rPr>
          <w:rFonts w:ascii="Times New Roman" w:cs="Times New Roman" w:eastAsia="Times New Roman" w:hAnsi="Times New Roman"/>
          <w:sz w:val="14"/>
          <w:szCs w:val="14"/>
          <w:color w:val="auto"/>
        </w:rPr>
      </w:pPr>
    </w:p>
    <w:p>
      <w:pPr>
        <w:ind w:right="40" w:firstLine="920"/>
        <w:spacing w:after="0" w:line="248" w:lineRule="auto"/>
        <w:tabs>
          <w:tab w:leader="none" w:pos="1361"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by the Parent or any of the Subsidiaries to charitable foundations, not-for-profits or other similar organizations with an aggregate Fair Market Value not to exceed $10,000,000 in any calendar year.</w:t>
      </w:r>
    </w:p>
    <w:p>
      <w:pPr>
        <w:spacing w:after="0" w:line="114" w:lineRule="exact"/>
        <w:rPr>
          <w:rFonts w:ascii="Times New Roman" w:cs="Times New Roman" w:eastAsia="Times New Roman" w:hAnsi="Times New Roman"/>
          <w:sz w:val="14"/>
          <w:szCs w:val="14"/>
          <w:color w:val="auto"/>
        </w:rPr>
      </w:pPr>
    </w:p>
    <w:p>
      <w:pPr>
        <w:ind w:firstLine="6"/>
        <w:spacing w:after="0" w:line="258" w:lineRule="auto"/>
        <w:tabs>
          <w:tab w:leader="none" w:pos="447" w:val="left"/>
        </w:tabs>
        <w:numPr>
          <w:ilvl w:val="0"/>
          <w:numId w:val="7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Section 6.05, no Disposition of assets under Section 6.05(g) shall in each case be permitted unless (i) such Disposition is for Fair Market Value, and (ii) at least 75% of the proceeds of such Disposition (except to Loan Parties) consist of cash or Permitted Investments;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provisions of this clause (ii) shall not apply to any individual transaction or series of related transactions involving assets with a Fair Market Value of less than $25,000,000;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for purposes of this clause (ii), each of the following shall be deemed to be cash: (a) the amount of any liabilities (as shown on the Parent’s or such Subsidiary’s most recent balance sheet or in the notes thereto) that are assumed by the transferee of any such assets or are otherwise cancelled in connection with such transaction, (b) any notes or other obligations or other securities or assets received by the Parent or such Subsidiary from the transferee that are converted by the Parent or such Subsidiary into cash or Permitted Investments within 180 days after receipt thereof, (c) any Designated Non-Cash Consideration received by the Parent or any of the Subsidiaries in such Disposition or any series of related Dispositions, having an aggregate Fair Market Value not to exceed, in the aggregate, the greater of $450,000,000 and 3.6% of Consolidated Total Assets when received (with the Fair Market Value of each item of Designated Non-Cash Consideration being measured at the time received and without giving effect to subsequent changes in value), (d) Indebtedness of any Subsidiary that is no longer a Subsidiary as a result of such Disposition, to the extent that the Parent and each Subsidiary are released from any guarantee of payment of such Indebtedness in connection with the Disposition, (e) consideration consisting of Indebtedness of the Parent or any Subsidiary (other than Junior Financing) received after the Closing Date from persons who are not the Parent or any Subsidiary and (f) in the case of a Disposition involving Intellectual Property and for which 100% of the consideration therefor received by the Parent or such Subsidiary, as the case may be, is in the form of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25" w:name="page626"/>
    <w:bookmarkEnd w:id="625"/>
    <w:p>
      <w:pPr>
        <w:spacing w:after="0" w:line="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 xml:space="preserve">cash or Permitted Investments (including, for the avoidance of doubt, any consideration that is deemed to be cash pursuant to the foregoing clauses (a) through (e) or this clause (f)), consideration comprising undertakings to pay cash or Permitted Investments or Marketable Securities over time or at future dates, whether such payments are fixed, contingent or otherwise (including, without limitation, licensing payments, royalties, earnouts, milestone payments, contingent payments, back-end payments or any other deferred payments or any payments related to revenue, profit or expense sharing arrangements or co-commercialization or similar arrangements);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when received, such cash, Permitted Investments or Marketable Securities shall be included in determining Net Proceeds from such Disposition for purposes of this Agreement.</w:t>
      </w:r>
    </w:p>
    <w:p>
      <w:pPr>
        <w:spacing w:after="0" w:line="114" w:lineRule="exact"/>
        <w:rPr>
          <w:sz w:val="20"/>
          <w:szCs w:val="20"/>
          <w:color w:val="auto"/>
        </w:rPr>
      </w:pPr>
    </w:p>
    <w:p>
      <w:pPr>
        <w:jc w:val="both"/>
        <w:ind w:right="40" w:firstLine="914"/>
        <w:spacing w:after="0" w:line="218" w:lineRule="auto"/>
        <w:rPr>
          <w:sz w:val="20"/>
          <w:szCs w:val="20"/>
          <w:color w:val="auto"/>
        </w:rPr>
      </w:pPr>
      <w:r>
        <w:rPr>
          <w:rFonts w:ascii="Times New Roman" w:cs="Times New Roman" w:eastAsia="Times New Roman" w:hAnsi="Times New Roman"/>
          <w:sz w:val="14"/>
          <w:szCs w:val="14"/>
          <w:color w:val="auto"/>
        </w:rPr>
        <w:t>SECTION 6.06.</w:t>
      </w:r>
      <w:r>
        <w:rPr>
          <w:rFonts w:ascii="Times New Roman" w:cs="Times New Roman" w:eastAsia="Times New Roman" w:hAnsi="Times New Roman"/>
          <w:sz w:val="14"/>
          <w:szCs w:val="14"/>
          <w:u w:val="single" w:color="auto"/>
          <w:color w:val="auto"/>
        </w:rPr>
        <w:t>Restricted Payments</w:t>
      </w:r>
      <w:r>
        <w:rPr>
          <w:rFonts w:ascii="Times New Roman" w:cs="Times New Roman" w:eastAsia="Times New Roman" w:hAnsi="Times New Roman"/>
          <w:sz w:val="14"/>
          <w:szCs w:val="14"/>
          <w:color w:val="auto"/>
        </w:rPr>
        <w:t>. (i)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(ii) directly or indirectly redeem, purchase, retire or otherwise acquire for value (or permit any Subsidiary to purchase or acquire) any of the Parent’s Equity Interests or set aside any amount for any such purpose (other than through the issuance of Qualified Equity Interests) or</w:t>
      </w:r>
    </w:p>
    <w:p>
      <w:pPr>
        <w:spacing w:after="0" w:line="2" w:lineRule="exact"/>
        <w:rPr>
          <w:sz w:val="20"/>
          <w:szCs w:val="20"/>
          <w:color w:val="auto"/>
        </w:rPr>
      </w:pPr>
    </w:p>
    <w:p>
      <w:pPr>
        <w:ind w:left="260" w:hanging="254"/>
        <w:spacing w:after="0"/>
        <w:tabs>
          <w:tab w:leader="none" w:pos="260" w:val="left"/>
        </w:tabs>
        <w:numPr>
          <w:ilvl w:val="0"/>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Junior Debt Restricted Payment, (all of the foregoing, “</w:t>
      </w:r>
      <w:r>
        <w:rPr>
          <w:rFonts w:ascii="Times New Roman" w:cs="Times New Roman" w:eastAsia="Times New Roman" w:hAnsi="Times New Roman"/>
          <w:sz w:val="14"/>
          <w:szCs w:val="14"/>
          <w:u w:val="single" w:color="auto"/>
          <w:color w:val="auto"/>
        </w:rPr>
        <w:t>Restricted Payments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w:t>
      </w:r>
    </w:p>
    <w:p>
      <w:pPr>
        <w:spacing w:after="0" w:line="118"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70" w:val="left"/>
        </w:tabs>
        <w:numPr>
          <w:ilvl w:val="1"/>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Restricted Payments may be made to the Parent or any Subsidiary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Restricted Payments made by a non-Wholly Owned Subsidiary to the Parent or any Subsidiary that is a direct or indirect parent of such Subsidiary must be made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(or more favorable basis from the perspective of the Parent or such Subsidiary) based on its ownership interests in such non-Wholly Owned Subsidiary);</w:t>
      </w:r>
    </w:p>
    <w:p>
      <w:pPr>
        <w:spacing w:after="0" w:line="111" w:lineRule="exact"/>
        <w:rPr>
          <w:rFonts w:ascii="Times New Roman" w:cs="Times New Roman" w:eastAsia="Times New Roman" w:hAnsi="Times New Roman"/>
          <w:sz w:val="14"/>
          <w:szCs w:val="14"/>
          <w:color w:val="auto"/>
        </w:rPr>
      </w:pPr>
    </w:p>
    <w:p>
      <w:pPr>
        <w:ind w:firstLine="920"/>
        <w:spacing w:after="0" w:line="219" w:lineRule="auto"/>
        <w:tabs>
          <w:tab w:leader="none" w:pos="1361" w:val="left"/>
        </w:tabs>
        <w:numPr>
          <w:ilvl w:val="1"/>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Restricted Payments may be made by the Parent to purchase or redeem the Equity Interests of the Parent (including related stock appreciation rights or similar securities) held by then present or former directors, consultants, officers or employees of the Parent or any of the Subsidiaries or by any Plan or any shareholders’ agreement then in effect upon such person’s death, disability, retirement or termination of employment or under the terms of any such Plan or any other agreement under which such shares of stock or related rights were issued;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amount of such purchases or redemptions under this clause (b) shall not exceed in any fiscal year $15,000,000 (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(x) the amount of net proceeds contributed to the Parent that were received by the Parent during such fiscal year from sales of Qualified Equity Interests of the Parent to directors, consultants, officers or employees of the Parent or any Subsidiary in connection with permitted employee compensation and incentive arrangements;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proceeds are not included in any determination of the Available Amount or the amount of Indebtedness that is permitted to be incurred pursuant to Section 6.01(ee) and (y) the amount of net proceeds of any key-man life insurance policies received during such fiscal year, which, if not used in any year, may be carried forward to any subsequent fiscal year);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cancellation of Indebtedness owing to the Parent or any Subsidiary from members of management of the Parent or the Subsidiaries in connection with a repurchase of Equity Interests of the Parent will not be deemed to constitute a Restricted Payment for purposes of this Section 6.06;</w:t>
      </w:r>
    </w:p>
    <w:p>
      <w:pPr>
        <w:spacing w:after="0" w:line="110"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1"/>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may make non-cash repurchases of Equity Interests deemed to occur upon exercise or settlement of stock options or other Equity Interests if such Equity Interests represent a portion of the exercise price of or withholding obligation with respect to such options or other Equity Interests;</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1"/>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at the time any such Restricted Payment is made and immediately after giving effect thereto (x) no Event of Default shall have occurred and is continuing and (y) the Total Net Leverage Ratio is not greater than 2.80 to 1.00, Restricted Payments may be made in an aggregate amount equal to a portion of the Available Amount on the date of such election that the Parent elects to apply to this Section 6.06(d), which such election shall be set forth in a written notice of a Responsible</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163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26" w:name="page627"/>
    <w:bookmarkEnd w:id="626"/>
    <w:p>
      <w:pPr>
        <w:spacing w:after="0" w:line="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Officer of the Parent, which notice shall set forth calculations in reasonable detail of the Available Amount immediately prior to such election and the amount thereof elected to be so applied;</w:t>
      </w:r>
    </w:p>
    <w:p>
      <w:pPr>
        <w:spacing w:after="0" w:line="105" w:lineRule="exact"/>
        <w:rPr>
          <w:sz w:val="20"/>
          <w:szCs w:val="20"/>
          <w:color w:val="auto"/>
        </w:rPr>
      </w:pPr>
    </w:p>
    <w:p>
      <w:pPr>
        <w:ind w:right="40" w:firstLine="920"/>
        <w:spacing w:after="0" w:line="248" w:lineRule="auto"/>
        <w:tabs>
          <w:tab w:leader="none" w:pos="137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may be made in connection with the consummation of the Offer (as defined in the Transaction Agreement) or the Acquisition to the extent contemplated by the Transaction Agreement;</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may be made to make payments, in cash, in lieu of the issuance of fractional shares, upon the exercise of warrants or upon the conversion or exchange of Equity Interests of any such person;</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Restricted Payments may be made in an aggregate amount, when taken together with all other Restricted Payments made pursuant to this clause (g), not to exceed the greater of $525,000,000 and 4.2% of Consolidated Total Assets when made;</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Restricted Payments, so long as, at the time any such Restricted Payment is made and immediately after giving effect thereto, (x) no Event of Default shall have occurred and is continuing and (y) the Total Net Leverage Ratio is not greater than 2.55 to 1.00;</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Debt Restricted Payments, so long as, at the time any such Restricted Payment is made and immediately after giving effect thereto, (x) no Event of Default shall have occurred and is continuing and (y) the Total Net Leverage Ratio on is not greater than 2.80 to 1.00;</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jc w:val="both"/>
        <w:ind w:firstLine="920"/>
        <w:spacing w:after="0" w:line="228" w:lineRule="auto"/>
        <w:tabs>
          <w:tab w:leader="none" w:pos="1361"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Restricted Payments to pay for the repurchase, retirement or other acquisition for value of Qualified Equity Interests of the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Restricted Payments made under this clause (k) do not exceed in any fiscal year the greater of $150,000,000 and 1.2% of Consolidated Total Assets as of the date such Restricted Payment is made, with unused amounts in any fiscal year (calculated as of the last day of such fiscal year once the balance sheet of the Parent for such date is available) being permitted to be carried over to any future fiscal year;</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constituting a Restricted Payment or Restricted Payments, mergers, dissolutions, liquidations and consolidations permitted under Section 6.05 (other than a merger or consolidation involving the Parent) or transactions permitted under Section 6.07 (other than Section 6.07(b)(vii));</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making of cash payments in satisfaction of the conversion obligation upon conversion of convertible Indebtedness permitted to be incurred pursuant to Section 6.01, in an aggregate amount since the Closing Date not to exceed the sum of (i) the principal amount of such convertible Indebtedness plus (ii) any payment received by the Parent or a Subsidiary pursuant to the exercise, settlement or termination of any related hedge or warrant option transactions; and</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of any call option, purchase option or other similar contract in respect of Equity Interests of the Parent in connection with the issuance of convertible Indebtedness permitted to be incurred pursuant to Section 6.01.</w:t>
      </w:r>
    </w:p>
    <w:p>
      <w:pPr>
        <w:spacing w:after="0" w:line="115" w:lineRule="exact"/>
        <w:rPr>
          <w:sz w:val="20"/>
          <w:szCs w:val="20"/>
          <w:color w:val="auto"/>
        </w:rPr>
      </w:pPr>
    </w:p>
    <w:p>
      <w:pPr>
        <w:jc w:val="both"/>
        <w:ind w:firstLine="914"/>
        <w:spacing w:after="0" w:line="264" w:lineRule="auto"/>
        <w:rPr>
          <w:sz w:val="20"/>
          <w:szCs w:val="20"/>
          <w:color w:val="auto"/>
        </w:rPr>
      </w:pPr>
      <w:r>
        <w:rPr>
          <w:rFonts w:ascii="Times New Roman" w:cs="Times New Roman" w:eastAsia="Times New Roman" w:hAnsi="Times New Roman"/>
          <w:sz w:val="14"/>
          <w:szCs w:val="14"/>
          <w:color w:val="auto"/>
        </w:rPr>
        <w:t>Notwithstanding anything herein to the contrary, the foregoing provisions of this Section 6.06 will not prohibit the payment of any Restricted Payment or the consummation of any redemption, purchase, defeasance or other payment within 60 days after the date of declaration thereof or the giving of notice, as applicable, if at the date of declaration or the giving of such notice such payment would have complied with the provisions of this Section 6.06 (it being understood that such Restricted Payment shall be deemed to have been made on the date of declaration or notice for purposes of such provision). The amount of any Restricted Payment made other than in the form of cash or cash equivalents shall be the Fair Market Value thereof.</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27" w:name="page628"/>
    <w:bookmarkEnd w:id="627"/>
    <w:p>
      <w:pPr>
        <w:spacing w:after="0" w:line="34" w:lineRule="exact"/>
        <w:rPr>
          <w:sz w:val="20"/>
          <w:szCs w:val="20"/>
          <w:color w:val="auto"/>
        </w:rPr>
      </w:pPr>
    </w:p>
    <w:p>
      <w:pPr>
        <w:jc w:val="both"/>
        <w:ind w:firstLine="914"/>
        <w:spacing w:after="0" w:line="262" w:lineRule="auto"/>
        <w:rPr>
          <w:sz w:val="20"/>
          <w:szCs w:val="20"/>
          <w:color w:val="auto"/>
        </w:rPr>
      </w:pPr>
      <w:r>
        <w:rPr>
          <w:rFonts w:ascii="Times New Roman" w:cs="Times New Roman" w:eastAsia="Times New Roman" w:hAnsi="Times New Roman"/>
          <w:sz w:val="14"/>
          <w:szCs w:val="14"/>
          <w:color w:val="auto"/>
        </w:rPr>
        <w:t>For purposes of determining compliance with this Section 6.06, (A) a Restricted Payment need not be permitted solely by reference to one category of permitted Restricted Payments (or any portion thereof) described in Sections 6.06(a) through (n) but may be permitted in part under any relevant combination thereof and (B) in the event that a Restricted Payment (or any portion thereof) meets the criteria of one or more of the categories of Restricted Payments (or any portion thereof) described in Sections 6.06(a) through (n), the Parent may, in its sole discretion, classify or divide such Restricted Payment (or any portion thereof) in any manner that complies with this Section 6.06 and will be entitled to only include the amount and type of such Restricted Payment (or any portion thereof) in one or more (as relevant) of the above clauses (or any portion thereof) and such Restricted Payment (or any portion thereof) shall be treated as having been made or existing pursuant to only such clause or clauses (or any portion thereof).</w:t>
      </w:r>
    </w:p>
    <w:p>
      <w:pPr>
        <w:spacing w:after="0" w:line="116" w:lineRule="exact"/>
        <w:rPr>
          <w:sz w:val="20"/>
          <w:szCs w:val="20"/>
          <w:color w:val="auto"/>
        </w:rPr>
      </w:pPr>
    </w:p>
    <w:p>
      <w:pPr>
        <w:jc w:val="both"/>
        <w:ind w:right="20" w:firstLine="914"/>
        <w:spacing w:after="0" w:line="220" w:lineRule="auto"/>
        <w:rPr>
          <w:sz w:val="20"/>
          <w:szCs w:val="20"/>
          <w:color w:val="auto"/>
        </w:rPr>
      </w:pPr>
      <w:r>
        <w:rPr>
          <w:rFonts w:ascii="Times New Roman" w:cs="Times New Roman" w:eastAsia="Times New Roman" w:hAnsi="Times New Roman"/>
          <w:sz w:val="14"/>
          <w:szCs w:val="14"/>
          <w:color w:val="auto"/>
        </w:rPr>
        <w:t>SECTION 6.07.</w:t>
      </w:r>
      <w:r>
        <w:rPr>
          <w:rFonts w:ascii="Times New Roman" w:cs="Times New Roman" w:eastAsia="Times New Roman" w:hAnsi="Times New Roman"/>
          <w:sz w:val="14"/>
          <w:szCs w:val="14"/>
          <w:u w:val="single" w:color="auto"/>
          <w:color w:val="auto"/>
        </w:rPr>
        <w:t>Transactions with Affiliates</w:t>
      </w:r>
      <w:r>
        <w:rPr>
          <w:rFonts w:ascii="Times New Roman" w:cs="Times New Roman" w:eastAsia="Times New Roman" w:hAnsi="Times New Roman"/>
          <w:sz w:val="14"/>
          <w:szCs w:val="14"/>
          <w:color w:val="auto"/>
        </w:rPr>
        <w:t xml:space="preserve"> . (a) Sell or transfer any property or assets to, or purchase or acquire any property or assets from, or otherwise engage in any other transaction with, any of its Affiliates (other than the Parent, and the Subsidiaries or any person that becomes a Subsidiary as a result of such transaction) in a transaction (or series of related transactions) involving aggregate payments or consideration in excess of $75,000,000 unless such transaction is (i) otherwise permitted (or required) under this Agreement; or</w:t>
      </w:r>
    </w:p>
    <w:p>
      <w:pPr>
        <w:spacing w:after="0" w:line="2" w:lineRule="exact"/>
        <w:rPr>
          <w:sz w:val="20"/>
          <w:szCs w:val="20"/>
          <w:color w:val="auto"/>
        </w:rPr>
      </w:pPr>
    </w:p>
    <w:p>
      <w:pPr>
        <w:jc w:val="both"/>
        <w:ind w:right="20" w:firstLine="6"/>
        <w:spacing w:after="0" w:line="225" w:lineRule="auto"/>
        <w:tabs>
          <w:tab w:leader="none" w:pos="211" w:val="left"/>
        </w:tabs>
        <w:numPr>
          <w:ilvl w:val="0"/>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terms that are substantially no less favorable to the Parent or such Subsidiary, as applicable, than would be obtained in a comparable arm’s-length transaction with a person that is not an Affiliate and, with respect to any such transaction involving aggregate payments or consideration in excess of $150,000,000, as determined by the Board of Directors of the Parent in good faith.</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clause (a) shall not prohibit, to the extent otherwise permitted under this Agreement,</w:t>
      </w:r>
    </w:p>
    <w:p>
      <w:pPr>
        <w:spacing w:after="0" w:line="134" w:lineRule="exact"/>
        <w:rPr>
          <w:sz w:val="20"/>
          <w:szCs w:val="20"/>
          <w:color w:val="auto"/>
        </w:rPr>
      </w:pPr>
    </w:p>
    <w:p>
      <w:pPr>
        <w:jc w:val="both"/>
        <w:ind w:left="460" w:right="20" w:firstLine="460"/>
        <w:spacing w:after="0" w:line="233" w:lineRule="auto"/>
        <w:tabs>
          <w:tab w:leader="none" w:pos="1374" w:val="left"/>
        </w:tabs>
        <w:numPr>
          <w:ilvl w:val="0"/>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issuance of securities, or other payments, awards or grants in cash, securities or otherwise pursuant to, or the funding of, employment arrangements, equity purchase agreements, stock options and stock ownership plans approved by the Board of Directors of the Parent, the Board of Directors of any direct or indirect parent entity of the Parent or the Board of Directors of a Subsidiary, as appropriate, in good faith,</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Equity Interests (other than Disqualified Stock) of the Parent or any direct or indirect parent entity of the Parent to any Person,</w:t>
      </w:r>
    </w:p>
    <w:p>
      <w:pPr>
        <w:spacing w:after="0" w:line="134" w:lineRule="exact"/>
        <w:rPr>
          <w:rFonts w:ascii="Times New Roman" w:cs="Times New Roman" w:eastAsia="Times New Roman" w:hAnsi="Times New Roman"/>
          <w:sz w:val="14"/>
          <w:szCs w:val="14"/>
          <w:color w:val="auto"/>
        </w:rPr>
      </w:pPr>
    </w:p>
    <w:p>
      <w:pPr>
        <w:jc w:val="both"/>
        <w:ind w:left="460" w:right="20" w:firstLine="460"/>
        <w:spacing w:after="0" w:line="228" w:lineRule="auto"/>
        <w:tabs>
          <w:tab w:leader="none" w:pos="1374" w:val="left"/>
        </w:tabs>
        <w:numPr>
          <w:ilvl w:val="0"/>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transactions among the Parent, any direct or indirect parent entity of the Parent or any Subsidiary or any entity that becomes a Subsidiary as a result of such transaction (including via merger, consolidation or amalgamation in which the Parent or a Subsidiary is the surviving entity) or (ii) any merger, consolidation or amalgamation of the Parent and any direct or indirect parent entity of the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merger, consolidation or amalgamation of the Parent is otherwise in compliance with the terms of this Agreement,</w:t>
      </w:r>
    </w:p>
    <w:p>
      <w:pPr>
        <w:spacing w:after="0" w:line="111"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fees, reasonable out-of-pocket costs and indemnities to directors, officers, consultants and employees of the Parent, any direct or indirect parent entity of the Parent and the Subsidiaries in the ordinary course of business,</w:t>
      </w:r>
    </w:p>
    <w:p>
      <w:pPr>
        <w:spacing w:after="0" w:line="105" w:lineRule="exact"/>
        <w:rPr>
          <w:rFonts w:ascii="Times New Roman" w:cs="Times New Roman" w:eastAsia="Times New Roman" w:hAnsi="Times New Roman"/>
          <w:sz w:val="14"/>
          <w:szCs w:val="14"/>
          <w:color w:val="auto"/>
        </w:rPr>
      </w:pPr>
    </w:p>
    <w:p>
      <w:pPr>
        <w:jc w:val="both"/>
        <w:ind w:left="460" w:firstLine="460"/>
        <w:spacing w:after="0" w:line="228" w:lineRule="auto"/>
        <w:tabs>
          <w:tab w:leader="none" w:pos="1364" w:val="left"/>
        </w:tabs>
        <w:numPr>
          <w:ilvl w:val="0"/>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Transactions (including the payment of all fees, expenses, bonuses and awards relating thereto) and any transactions pursuant to the Transaction Documents and permitted transactions, agreements and arrangements in existence on the Closing Date and, to the extent involving aggregate consideration in excess of $50,000,000 set forth on </w:t>
      </w:r>
      <w:r>
        <w:rPr>
          <w:rFonts w:ascii="Times New Roman" w:cs="Times New Roman" w:eastAsia="Times New Roman" w:hAnsi="Times New Roman"/>
          <w:sz w:val="14"/>
          <w:szCs w:val="14"/>
          <w:u w:val="single" w:color="auto"/>
          <w:color w:val="auto"/>
        </w:rPr>
        <w:t>Schedule 6.07</w:t>
      </w:r>
      <w:r>
        <w:rPr>
          <w:rFonts w:ascii="Times New Roman" w:cs="Times New Roman" w:eastAsia="Times New Roman" w:hAnsi="Times New Roman"/>
          <w:sz w:val="14"/>
          <w:szCs w:val="14"/>
          <w:color w:val="auto"/>
        </w:rPr>
        <w:t xml:space="preserve"> or any amendment thereto or replacement thereof or similar arrangement to the extent such amendment, replacement or arrangement is not adverse to the Lenders when taken as a whole in any material respect (as determined by the Parent in good faith),</w:t>
      </w:r>
    </w:p>
    <w:p>
      <w:pPr>
        <w:spacing w:after="0" w:line="111"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employment agreements entered into by the Parent, any direct or indirect parent entity of the Parent or any of the Subsidiaries in the ordinary course of business, (B) any</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28" w:name="page629"/>
    <w:bookmarkEnd w:id="628"/>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subscription agreement or similar agreement pertaining to the repurchase of Equity Interests pursuant to put/call rights or similar rights with employees, officers or directors, and</w:t>
      </w:r>
    </w:p>
    <w:p>
      <w:pPr>
        <w:ind w:left="460" w:right="20" w:firstLine="3"/>
        <w:spacing w:after="0" w:line="232" w:lineRule="auto"/>
        <w:tabs>
          <w:tab w:leader="none" w:pos="690" w:val="left"/>
        </w:tabs>
        <w:numPr>
          <w:ilvl w:val="0"/>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employee compensation, benefit plan or arrangement, any health, disability or similar insurance plan which covers employees, and any reasonable employment contract and transactions pursuant thereto,</w:t>
      </w:r>
    </w:p>
    <w:p>
      <w:pPr>
        <w:spacing w:after="0" w:line="110"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permitted under Section 6.06 and Investments permitted under Section 6.04,</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for the purchase or sale of goods, equipment, products, parts and services entered into in the ordinary course of business,</w:t>
      </w:r>
    </w:p>
    <w:p>
      <w:pPr>
        <w:spacing w:after="0" w:line="134" w:lineRule="exact"/>
        <w:rPr>
          <w:rFonts w:ascii="Times New Roman" w:cs="Times New Roman" w:eastAsia="Times New Roman" w:hAnsi="Times New Roman"/>
          <w:sz w:val="14"/>
          <w:szCs w:val="14"/>
          <w:color w:val="auto"/>
        </w:rPr>
      </w:pPr>
    </w:p>
    <w:p>
      <w:pPr>
        <w:jc w:val="both"/>
        <w:ind w:left="460" w:right="40" w:firstLine="460"/>
        <w:spacing w:after="0" w:line="228" w:lineRule="auto"/>
        <w:tabs>
          <w:tab w:leader="none" w:pos="1374"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 respect of which the Parent delivers to the Administrative Agent a letter addressed to the Board of Directors of the Parent from an accounting, appraisal or investment banking firm, in each case of nationally recognized standing that is in the good faith determination of the Parent qualified to render such letter, which letter states that (i) such transaction is on terms that are substantially no less favorable to the Parent or such Subsidiary, as applicable, than would be obtained in a comparable arm’s-length transaction with a person that is not an Affiliate or (ii) such transaction is fair to the Parent or such Subsidiary, as applicable, from a financial point of view,</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joint ventures for the purchase or sale of goods, equipment, products, parts and services entered into in the ordinary course of business,</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pursuant to any Qualified Receivables Facility,</w:t>
      </w:r>
    </w:p>
    <w:p>
      <w:pPr>
        <w:spacing w:after="0" w:line="134" w:lineRule="exact"/>
        <w:rPr>
          <w:rFonts w:ascii="Times New Roman" w:cs="Times New Roman" w:eastAsia="Times New Roman" w:hAnsi="Times New Roman"/>
          <w:sz w:val="14"/>
          <w:szCs w:val="14"/>
          <w:color w:val="auto"/>
        </w:rPr>
      </w:pPr>
    </w:p>
    <w:p>
      <w:pPr>
        <w:jc w:val="both"/>
        <w:ind w:left="460" w:firstLine="460"/>
        <w:spacing w:after="0" w:line="233" w:lineRule="auto"/>
        <w:tabs>
          <w:tab w:leader="none" w:pos="1374"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transactions between the Parent, any direct or indirect parent entity of the Parent or any of the Subsidiaries and any person, a director of which is also a director of the Parent or any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 such director abstains from voting as a director of the Parent, such direct or indirect parent entity of the Parent or such Subsidiary on any matter involving such other person and (B) such person is not an Affiliate of the Parent for any reason other than such director’s acting in such capacity,</w:t>
      </w:r>
    </w:p>
    <w:p>
      <w:pPr>
        <w:spacing w:after="0" w:line="111"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permitted by, and complying with, the provisions of Section 6.05,</w:t>
      </w:r>
    </w:p>
    <w:p>
      <w:pPr>
        <w:spacing w:after="0" w:line="134"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transactions undertaken in good faith (as certified by a Responsible Officer of the Parent) for the purpose of improving the consolidated Tax efficiency of the Parent and the Subsidiaries and not for the purpose of circumventing any covenant set forth herein,</w:t>
      </w:r>
    </w:p>
    <w:p>
      <w:pPr>
        <w:spacing w:after="0" w:line="105" w:lineRule="exact"/>
        <w:rPr>
          <w:rFonts w:ascii="Times New Roman" w:cs="Times New Roman" w:eastAsia="Times New Roman" w:hAnsi="Times New Roman"/>
          <w:sz w:val="14"/>
          <w:szCs w:val="14"/>
          <w:color w:val="auto"/>
        </w:rPr>
      </w:pPr>
    </w:p>
    <w:p>
      <w:pPr>
        <w:ind w:left="460" w:right="40" w:firstLine="460"/>
        <w:spacing w:after="0" w:line="248" w:lineRule="auto"/>
        <w:tabs>
          <w:tab w:leader="none" w:pos="1374"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loans (or cancellation of loans) or advances to employees or consultants that are (A) approved by a majority of the Disinterested Directors of the Parent in good faith and (B) made in compliance with applicable law,</w:t>
      </w:r>
    </w:p>
    <w:p>
      <w:pPr>
        <w:spacing w:after="0" w:line="105"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customers, clients or suppliers, or purchasers or sellers of goods or services, in each case in the ordinary course of business that are fair to the Parent or the Subsidiaries; and</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pledges of Equity Interests of Unrestricted Subsidiaries.</w:t>
      </w:r>
    </w:p>
    <w:p>
      <w:pPr>
        <w:spacing w:after="0" w:line="134" w:lineRule="exact"/>
        <w:rPr>
          <w:sz w:val="20"/>
          <w:szCs w:val="20"/>
          <w:color w:val="auto"/>
        </w:rPr>
      </w:pPr>
    </w:p>
    <w:p>
      <w:pPr>
        <w:jc w:val="both"/>
        <w:ind w:right="40" w:firstLine="914"/>
        <w:spacing w:after="0" w:line="233" w:lineRule="auto"/>
        <w:rPr>
          <w:sz w:val="20"/>
          <w:szCs w:val="20"/>
          <w:color w:val="auto"/>
        </w:rPr>
      </w:pPr>
      <w:r>
        <w:rPr>
          <w:rFonts w:ascii="Times New Roman" w:cs="Times New Roman" w:eastAsia="Times New Roman" w:hAnsi="Times New Roman"/>
          <w:sz w:val="14"/>
          <w:szCs w:val="14"/>
          <w:color w:val="auto"/>
        </w:rPr>
        <w:t>SECTION 6.08.</w:t>
      </w:r>
      <w:r>
        <w:rPr>
          <w:rFonts w:ascii="Times New Roman" w:cs="Times New Roman" w:eastAsia="Times New Roman" w:hAnsi="Times New Roman"/>
          <w:sz w:val="14"/>
          <w:szCs w:val="14"/>
          <w:u w:val="single" w:color="auto"/>
          <w:color w:val="auto"/>
        </w:rPr>
        <w:t>Business of the Parent and the Subsidiaries; Etc</w:t>
      </w:r>
      <w:r>
        <w:rPr>
          <w:rFonts w:ascii="Times New Roman" w:cs="Times New Roman" w:eastAsia="Times New Roman" w:hAnsi="Times New Roman"/>
          <w:sz w:val="14"/>
          <w:szCs w:val="14"/>
          <w:color w:val="auto"/>
        </w:rPr>
        <w:t>. Notwithstanding any other provisions hereof, engage at any time in any material respect in any business or business activity substantially different from any business or business activity conducted by any of them on the Closing Date or any Similar Business, and in the case of a Receivables Entity, Qualified Receivables Facilities and related activities.</w:t>
      </w:r>
    </w:p>
    <w:p>
      <w:pPr>
        <w:spacing w:after="0" w:line="112" w:lineRule="exact"/>
        <w:rPr>
          <w:sz w:val="20"/>
          <w:szCs w:val="20"/>
          <w:color w:val="auto"/>
        </w:rPr>
      </w:pPr>
    </w:p>
    <w:p>
      <w:pPr>
        <w:jc w:val="both"/>
        <w:ind w:right="20" w:firstLine="914"/>
        <w:spacing w:after="0" w:line="248" w:lineRule="auto"/>
        <w:rPr>
          <w:sz w:val="20"/>
          <w:szCs w:val="20"/>
          <w:color w:val="auto"/>
        </w:rPr>
      </w:pPr>
      <w:r>
        <w:rPr>
          <w:rFonts w:ascii="Times New Roman" w:cs="Times New Roman" w:eastAsia="Times New Roman" w:hAnsi="Times New Roman"/>
          <w:sz w:val="14"/>
          <w:szCs w:val="14"/>
          <w:color w:val="auto"/>
        </w:rPr>
        <w:t>SECTION 6.09.</w:t>
      </w:r>
      <w:r>
        <w:rPr>
          <w:rFonts w:ascii="Times New Roman" w:cs="Times New Roman" w:eastAsia="Times New Roman" w:hAnsi="Times New Roman"/>
          <w:sz w:val="14"/>
          <w:szCs w:val="14"/>
          <w:u w:val="single" w:color="auto"/>
          <w:color w:val="auto"/>
        </w:rPr>
        <w:t>Restrictions on Subsidiary Distributions and Negative Pledge Clauses</w:t>
      </w:r>
      <w:r>
        <w:rPr>
          <w:rFonts w:ascii="Times New Roman" w:cs="Times New Roman" w:eastAsia="Times New Roman" w:hAnsi="Times New Roman"/>
          <w:sz w:val="14"/>
          <w:szCs w:val="14"/>
          <w:color w:val="auto"/>
        </w:rPr>
        <w:t xml:space="preserve"> . Permit the Parent or any Subsidiary to enter into any agreement or instrument that by its terms restricts</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166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29" w:name="page630"/>
    <w:bookmarkEnd w:id="629"/>
    <w:p>
      <w:pPr>
        <w:spacing w:after="0" w:line="24" w:lineRule="exact"/>
        <w:rPr>
          <w:sz w:val="20"/>
          <w:szCs w:val="20"/>
          <w:color w:val="auto"/>
        </w:rPr>
      </w:pPr>
    </w:p>
    <w:p>
      <w:pPr>
        <w:jc w:val="both"/>
        <w:ind w:right="20" w:firstLine="6"/>
        <w:spacing w:after="0" w:line="233" w:lineRule="auto"/>
        <w:tabs>
          <w:tab w:leader="none" w:pos="234" w:val="left"/>
        </w:tabs>
        <w:numPr>
          <w:ilvl w:val="0"/>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dividends or other distributions or the making of cash advances to the Parent or any Subsidiary that is a direct or indirect parent of such Subsidiary or (B) the granting of Liens by the Parent or any Guarantor pursuant to the Security Documents (any restriction described in clause (A) or (B), a “</w:t>
      </w:r>
      <w:r>
        <w:rPr>
          <w:rFonts w:ascii="Times New Roman" w:cs="Times New Roman" w:eastAsia="Times New Roman" w:hAnsi="Times New Roman"/>
          <w:sz w:val="14"/>
          <w:szCs w:val="14"/>
          <w:u w:val="single" w:color="auto"/>
          <w:color w:val="auto"/>
        </w:rPr>
        <w:t>Burdensome Restriction</w:t>
      </w:r>
      <w:r>
        <w:rPr>
          <w:rFonts w:ascii="Times New Roman" w:cs="Times New Roman" w:eastAsia="Times New Roman" w:hAnsi="Times New Roman"/>
          <w:sz w:val="14"/>
          <w:szCs w:val="14"/>
          <w:color w:val="auto"/>
        </w:rPr>
        <w:t>”), in each case other than those arising under any Loan Document, except, in each case, restrictions existing by reason of:</w:t>
      </w:r>
    </w:p>
    <w:p>
      <w:pPr>
        <w:spacing w:after="0" w:line="111"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applicable law, rule, regulation or order or are required by any Governmental Authority having or purporting to have jurisdiction over the Parent or any Subsidiary;</w:t>
      </w:r>
    </w:p>
    <w:p>
      <w:pPr>
        <w:spacing w:after="0" w:line="10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contractual encumbrances or restrictions in effect on the Closing Date under Indebtedness existing on the Closing Date and set forth on </w:t>
      </w:r>
      <w:r>
        <w:rPr>
          <w:rFonts w:ascii="Times New Roman" w:cs="Times New Roman" w:eastAsia="Times New Roman" w:hAnsi="Times New Roman"/>
          <w:sz w:val="14"/>
          <w:szCs w:val="14"/>
          <w:u w:val="single" w:color="auto"/>
          <w:color w:val="auto"/>
        </w:rPr>
        <w:t>Schedule 6.01(a)</w:t>
      </w:r>
      <w:r>
        <w:rPr>
          <w:rFonts w:ascii="Times New Roman" w:cs="Times New Roman" w:eastAsia="Times New Roman" w:hAnsi="Times New Roman"/>
          <w:sz w:val="14"/>
          <w:szCs w:val="14"/>
          <w:color w:val="auto"/>
        </w:rPr>
        <w:t xml:space="preserve"> or the Senior Notes or contained in any Indebtedness outstanding pursuant to Section 6.01(z), or any agreements related to any Permitted Refinancing Indebtedness in respect of any such Indebtedness that does not materially expand the scope of any such encumbrance or restriction (as determined in good faith by the Parent);</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on a Subsidiary imposed pursuant to an agreement entered into for the sale or disposition of the Equity Interests or assets of a Subsidiary pending the closing of such sale or disposition;</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in joint venture agreements and other similar agreements applicable to joint ventures entered into in the ordinary course of business;</w:t>
      </w:r>
    </w:p>
    <w:p>
      <w:pPr>
        <w:spacing w:after="0" w:line="134"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imposed by any agreement relating to secured Indebtedness permitted by this Agreement to the extent that such restrictions apply only to the specific property or assets securing such Indebtedness;</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imposed by any agreement relating to Indebtedness incurred pursuant to Section 6.01, to the extent such restrictions are not materially more restrictive, taken as a whole, than the restrictions contained in this Agreement (in each case, as determined in good faith by the Parent);</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contained in leases or licenses of Intellectual Property and other similar agreements entered into in the ordinary course of business;</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restricting subletting or assignment of any lease governing a leasehold interest;</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restricting assignment, mortgaging or hypothecation of any agreement entered into in the ordinary course of business;</w:t>
      </w:r>
    </w:p>
    <w:p>
      <w:pPr>
        <w:spacing w:after="0" w:line="134" w:lineRule="exact"/>
        <w:rPr>
          <w:rFonts w:ascii="Times New Roman" w:cs="Times New Roman" w:eastAsia="Times New Roman" w:hAnsi="Times New Roman"/>
          <w:sz w:val="14"/>
          <w:szCs w:val="14"/>
          <w:color w:val="auto"/>
        </w:rPr>
      </w:pPr>
    </w:p>
    <w:p>
      <w:pPr>
        <w:ind w:firstLine="920"/>
        <w:spacing w:after="0" w:line="248" w:lineRule="auto"/>
        <w:tabs>
          <w:tab w:leader="none" w:pos="137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restrictions and conditions contained in any agreement relating to the sale, transfer, lease or other disposition of any asset permitted under Section 6.05 pending the consummation of such sale, transfer, lease or other disposition;</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Liens and customary restrictions and conditions contained in the document relating thereto, so long as (i) such restrictions or conditions relate only to the specific asset subject to such Lien, and (ii) such restrictions and conditions are not created for the purpose of avoiding the restrictions imposed by this Section 6.09;</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net worth provisions contained in Real Property leases entered into by Subsidiaries, so long as the Parent has determined in good faith that such net worth provisions would not reasonably be expected to impair the ability of the Parent and the Subsidiaries to meet their ongoing obligations;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30" w:name="page631"/>
    <w:bookmarkEnd w:id="630"/>
    <w:p>
      <w:pPr>
        <w:spacing w:after="0" w:line="24" w:lineRule="exact"/>
        <w:rPr>
          <w:sz w:val="20"/>
          <w:szCs w:val="20"/>
          <w:color w:val="auto"/>
        </w:rPr>
      </w:pPr>
    </w:p>
    <w:p>
      <w:pPr>
        <w:ind w:right="20" w:firstLine="920"/>
        <w:spacing w:after="0" w:line="248" w:lineRule="auto"/>
        <w:tabs>
          <w:tab w:leader="none" w:pos="137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agreement in effect at the time a subsidiary becomes a Subsidiary or is acquired in connection with an Investment permitted hereunder, so long as such agreement was not entered into in contemplation of such person becoming a Subsidiary;</w:t>
      </w:r>
    </w:p>
    <w:p>
      <w:pPr>
        <w:spacing w:after="0" w:line="105" w:lineRule="exact"/>
        <w:rPr>
          <w:rFonts w:ascii="Times New Roman" w:cs="Times New Roman" w:eastAsia="Times New Roman" w:hAnsi="Times New Roman"/>
          <w:sz w:val="14"/>
          <w:szCs w:val="14"/>
          <w:color w:val="auto"/>
        </w:rPr>
      </w:pPr>
    </w:p>
    <w:p>
      <w:pPr>
        <w:ind w:firstLine="920"/>
        <w:spacing w:after="0" w:line="248" w:lineRule="auto"/>
        <w:tabs>
          <w:tab w:leader="none" w:pos="1361"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in agreements representing Indebtedness permitted under Section 6.01 of a Subsidiary that is not a Guarantor that apply only to such Subsidiary and its Subsidiaries that are not Guarantors;</w:t>
      </w:r>
    </w:p>
    <w:p>
      <w:pPr>
        <w:spacing w:after="0" w:line="105"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restrictions contained in leases, subleases, licenses or Equity Interests or asset sale agreements otherwise permitted hereby as long as such restrictions relate to the Equity Interests and assets subject thereto;</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cash or other deposits imposed by customers under contracts entered into in the ordinary course of business;</w:t>
      </w:r>
    </w:p>
    <w:p>
      <w:pPr>
        <w:spacing w:after="0" w:line="13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contained in any Permitted Receivables Facility Documents with respect to any Receivables Entity;</w:t>
      </w:r>
    </w:p>
    <w:p>
      <w:pPr>
        <w:spacing w:after="0" w:line="134"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restricting assignment of any Contractual Obligation entered into in the ordinary course of business;</w:t>
      </w:r>
    </w:p>
    <w:p>
      <w:pPr>
        <w:spacing w:after="0" w:line="134" w:lineRule="exact"/>
        <w:rPr>
          <w:rFonts w:ascii="Times New Roman" w:cs="Times New Roman" w:eastAsia="Times New Roman" w:hAnsi="Times New Roman"/>
          <w:sz w:val="14"/>
          <w:szCs w:val="14"/>
          <w:color w:val="auto"/>
        </w:rPr>
      </w:pPr>
    </w:p>
    <w:p>
      <w:pPr>
        <w:jc w:val="both"/>
        <w:ind w:firstLine="920"/>
        <w:spacing w:after="0"/>
        <w:tabs>
          <w:tab w:leader="none" w:pos="137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encumbrances or restrictions of the type referred to in clause (A) of the definition of “Burdensome Restrictions” imposed by any other instrument or agreement entered into after the Closing Date that, as determined by the Parent in good faith, will not materially adversely affect either Borrower’s ability to make payments on the Loans; and</w:t>
      </w:r>
    </w:p>
    <w:p>
      <w:pPr>
        <w:spacing w:after="0" w:line="258"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7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Burdensome Restriction imposed by any amendment, modification, restatement, renewal, increase, supplement, refunding, replacement or refinancing of or similar arrangement to a contract, instrument or obligation referred to in clauses (a) through (s)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Burdensome Restriction is, in the good faith judgment of the Parent, no more restrictive (taken as a whole) than the Burdensome Restriction contained in the applicable contract, instrument or obligation prior to such amendment, modification, restatement, renewal, increase, supplement, refunding, replacement, refinancing or similar arrangement.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6.10.</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14"/>
        <w:spacing w:after="0" w:line="228" w:lineRule="auto"/>
        <w:rPr>
          <w:sz w:val="20"/>
          <w:szCs w:val="20"/>
          <w:color w:val="auto"/>
        </w:rPr>
      </w:pPr>
      <w:r>
        <w:rPr>
          <w:rFonts w:ascii="Times New Roman" w:cs="Times New Roman" w:eastAsia="Times New Roman" w:hAnsi="Times New Roman"/>
          <w:sz w:val="14"/>
          <w:szCs w:val="14"/>
          <w:color w:val="auto"/>
        </w:rPr>
        <w:t>SECTION 6.11.</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xml:space="preserve">. In the case of the Parent, permit any change to its fiscal year;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Parent and the Subsidiaries may change their fiscal year end one or more times, subject to such adjustments to this Agreement as the Parent and Administrative Agent shall reasonably agree are necessary or appropriate in connection with such change (and the parties hereto hereby authorize the Parent and the Administrative Agent to make any such amendments to this Agreement as they jointly deem necessary to give effect to the foregoing).</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6.12.</w:t>
      </w:r>
      <w:r>
        <w:rPr>
          <w:rFonts w:ascii="Times New Roman" w:cs="Times New Roman" w:eastAsia="Times New Roman" w:hAnsi="Times New Roman"/>
          <w:sz w:val="14"/>
          <w:szCs w:val="14"/>
          <w:u w:val="single" w:color="auto"/>
          <w:color w:val="auto"/>
        </w:rPr>
        <w:t>Financial Covenants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right="60" w:firstLine="920"/>
        <w:spacing w:after="0" w:line="248" w:lineRule="auto"/>
        <w:tabs>
          <w:tab w:leader="none" w:pos="1370" w:val="left"/>
        </w:tabs>
        <w:numPr>
          <w:ilvl w:val="0"/>
          <w:numId w:val="7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Initial Revolving Facility and the Initial Term A Facility only, permit the First Lien Secured Net Leverage Ratio as of the last day of any fiscal quarter (beginning with the end of the first full fiscal quarter after the Closing Date) to exceed the ratio set forth opposite such fiscal quarter below.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31" w:name="page632"/>
    <w:bookmarkEnd w:id="631"/>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800" w:type="dxa"/>
            <w:vAlign w:val="bottom"/>
            <w:gridSpan w:val="3"/>
          </w:tcPr>
          <w:p>
            <w:pPr>
              <w:jc w:val="center"/>
              <w:ind w:left="3059"/>
              <w:spacing w:after="0"/>
              <w:rPr>
                <w:sz w:val="20"/>
                <w:szCs w:val="20"/>
                <w:color w:val="auto"/>
              </w:rPr>
            </w:pPr>
            <w:r>
              <w:rPr>
                <w:rFonts w:ascii="Times New Roman" w:cs="Times New Roman" w:eastAsia="Times New Roman" w:hAnsi="Times New Roman"/>
                <w:sz w:val="11"/>
                <w:szCs w:val="11"/>
                <w:b w:val="1"/>
                <w:bCs w:val="1"/>
                <w:color w:val="auto"/>
              </w:rPr>
              <w:t>Maximum First Lien Secured</w:t>
            </w:r>
          </w:p>
        </w:tc>
      </w:tr>
      <w:tr>
        <w:trPr>
          <w:trHeight w:val="125"/>
        </w:trPr>
        <w:tc>
          <w:tcPr>
            <w:tcW w:w="430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Quarter Ended</w:t>
            </w:r>
          </w:p>
        </w:tc>
        <w:tc>
          <w:tcPr>
            <w:tcW w:w="4800" w:type="dxa"/>
            <w:vAlign w:val="bottom"/>
            <w:gridSpan w:val="3"/>
          </w:tcPr>
          <w:p>
            <w:pPr>
              <w:jc w:val="center"/>
              <w:ind w:left="3059"/>
              <w:spacing w:after="0" w:line="105" w:lineRule="exact"/>
              <w:rPr>
                <w:sz w:val="20"/>
                <w:szCs w:val="20"/>
                <w:color w:val="auto"/>
              </w:rPr>
            </w:pPr>
            <w:r>
              <w:rPr>
                <w:rFonts w:ascii="Times New Roman" w:cs="Times New Roman" w:eastAsia="Times New Roman" w:hAnsi="Times New Roman"/>
                <w:sz w:val="11"/>
                <w:szCs w:val="11"/>
                <w:b w:val="1"/>
                <w:bCs w:val="1"/>
                <w:color w:val="auto"/>
              </w:rPr>
              <w:t>Net Leverage Ratio</w:t>
            </w:r>
          </w:p>
        </w:tc>
      </w:tr>
      <w:tr>
        <w:trPr>
          <w:trHeight w:val="180"/>
        </w:trPr>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31, 2026</w:t>
            </w:r>
          </w:p>
        </w:tc>
        <w:tc>
          <w:tcPr>
            <w:tcW w:w="200" w:type="dxa"/>
            <w:vAlign w:val="bottom"/>
            <w:tcBorders>
              <w:top w:val="single" w:sz="8" w:color="auto"/>
            </w:tcBorders>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1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2"/>
                <w:szCs w:val="12"/>
                <w:color w:val="auto"/>
              </w:rPr>
              <w:t>4.50:1.00</w:t>
            </w:r>
          </w:p>
        </w:tc>
        <w:tc>
          <w:tcPr>
            <w:tcW w:w="2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60"/>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0, 2026</w:t>
            </w:r>
          </w:p>
        </w:tc>
        <w:tc>
          <w:tcPr>
            <w:tcW w:w="2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4160" w:type="dxa"/>
            <w:vAlign w:val="bottom"/>
          </w:tcPr>
          <w:p>
            <w:pPr>
              <w:jc w:val="right"/>
              <w:ind w:right="359"/>
              <w:spacing w:after="0"/>
              <w:rPr>
                <w:sz w:val="20"/>
                <w:szCs w:val="20"/>
                <w:color w:val="auto"/>
              </w:rPr>
            </w:pPr>
            <w:r>
              <w:rPr>
                <w:rFonts w:ascii="Times New Roman" w:cs="Times New Roman" w:eastAsia="Times New Roman" w:hAnsi="Times New Roman"/>
                <w:sz w:val="12"/>
                <w:szCs w:val="12"/>
                <w:color w:val="auto"/>
              </w:rPr>
              <w:t>4.50:1.00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1"/>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ber 30, 2026</w:t>
            </w:r>
          </w:p>
        </w:tc>
        <w:tc>
          <w:tcPr>
            <w:tcW w:w="4160" w:type="dxa"/>
            <w:vAlign w:val="bottom"/>
          </w:tcPr>
          <w:p>
            <w:pPr>
              <w:jc w:val="right"/>
              <w:ind w:right="359"/>
              <w:spacing w:after="0"/>
              <w:rPr>
                <w:sz w:val="20"/>
                <w:szCs w:val="20"/>
                <w:color w:val="auto"/>
              </w:rPr>
            </w:pPr>
            <w:r>
              <w:rPr>
                <w:rFonts w:ascii="Times New Roman" w:cs="Times New Roman" w:eastAsia="Times New Roman" w:hAnsi="Times New Roman"/>
                <w:sz w:val="12"/>
                <w:szCs w:val="12"/>
                <w:color w:val="auto"/>
              </w:rPr>
              <w:t>4.50:1.00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ber 31, 2026</w:t>
            </w:r>
          </w:p>
        </w:tc>
        <w:tc>
          <w:tcPr>
            <w:tcW w:w="4160" w:type="dxa"/>
            <w:vAlign w:val="bottom"/>
          </w:tcPr>
          <w:p>
            <w:pPr>
              <w:jc w:val="right"/>
              <w:ind w:right="359"/>
              <w:spacing w:after="0"/>
              <w:rPr>
                <w:sz w:val="20"/>
                <w:szCs w:val="20"/>
                <w:color w:val="auto"/>
              </w:rPr>
            </w:pPr>
            <w:r>
              <w:rPr>
                <w:rFonts w:ascii="Times New Roman" w:cs="Times New Roman" w:eastAsia="Times New Roman" w:hAnsi="Times New Roman"/>
                <w:sz w:val="12"/>
                <w:szCs w:val="12"/>
                <w:color w:val="auto"/>
              </w:rPr>
              <w:t>4.50:1.00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4"/>
        </w:trPr>
        <w:tc>
          <w:tcPr>
            <w:tcW w:w="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31, 2027</w:t>
            </w:r>
          </w:p>
        </w:tc>
        <w:tc>
          <w:tcPr>
            <w:tcW w:w="2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41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2"/>
                <w:szCs w:val="12"/>
                <w:color w:val="auto"/>
              </w:rPr>
              <w:t>4.50:1.00</w:t>
            </w: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0"/>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88"/>
              </w:rPr>
              <w:t>0, 2027 and</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thereafter</w:t>
            </w:r>
          </w:p>
        </w:tc>
        <w:tc>
          <w:tcPr>
            <w:tcW w:w="4160" w:type="dxa"/>
            <w:vAlign w:val="bottom"/>
          </w:tcPr>
          <w:p>
            <w:pPr>
              <w:jc w:val="right"/>
              <w:ind w:right="359"/>
              <w:spacing w:after="0"/>
              <w:rPr>
                <w:sz w:val="20"/>
                <w:szCs w:val="20"/>
                <w:color w:val="auto"/>
              </w:rPr>
            </w:pPr>
            <w:r>
              <w:rPr>
                <w:rFonts w:ascii="Times New Roman" w:cs="Times New Roman" w:eastAsia="Times New Roman" w:hAnsi="Times New Roman"/>
                <w:sz w:val="12"/>
                <w:szCs w:val="12"/>
                <w:color w:val="auto"/>
              </w:rPr>
              <w:t>3.75:1.00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-409575</wp:posOffset>
            </wp:positionV>
            <wp:extent cx="5445125" cy="1028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544512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40" w:firstLine="920"/>
        <w:spacing w:after="0" w:line="248" w:lineRule="auto"/>
        <w:tabs>
          <w:tab w:leader="none" w:pos="1421" w:val="left"/>
        </w:tabs>
        <w:numPr>
          <w:ilvl w:val="0"/>
          <w:numId w:val="7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Initial Revolving Facility and the Initial Term A Facility only, permit the Interest Coverage Ratio as of the last day of any fiscal quarter (beginning with the end of the first full fiscal quarter after the Closing Date) to be less than the ratio set forth opposite such period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780" w:type="dxa"/>
            <w:vAlign w:val="bottom"/>
            <w:gridSpan w:val="5"/>
          </w:tcPr>
          <w:p>
            <w:pPr>
              <w:ind w:left="3220"/>
              <w:spacing w:after="0"/>
              <w:rPr>
                <w:sz w:val="20"/>
                <w:szCs w:val="20"/>
                <w:color w:val="auto"/>
              </w:rPr>
            </w:pPr>
            <w:r>
              <w:rPr>
                <w:rFonts w:ascii="Times New Roman" w:cs="Times New Roman" w:eastAsia="Times New Roman" w:hAnsi="Times New Roman"/>
                <w:sz w:val="11"/>
                <w:szCs w:val="11"/>
                <w:b w:val="1"/>
                <w:bCs w:val="1"/>
                <w:color w:val="auto"/>
              </w:rPr>
              <w:t>Minimum Interest Coverage</w:t>
            </w:r>
          </w:p>
        </w:tc>
      </w:tr>
      <w:tr>
        <w:trPr>
          <w:trHeight w:val="113"/>
        </w:trPr>
        <w:tc>
          <w:tcPr>
            <w:tcW w:w="4500" w:type="dxa"/>
            <w:vAlign w:val="bottom"/>
            <w:gridSpan w:val="3"/>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arter Ended</w:t>
            </w:r>
          </w:p>
        </w:tc>
        <w:tc>
          <w:tcPr>
            <w:tcW w:w="3780" w:type="dxa"/>
            <w:vAlign w:val="bottom"/>
          </w:tcPr>
          <w:p>
            <w:pPr>
              <w:spacing w:after="0"/>
              <w:rPr>
                <w:sz w:val="9"/>
                <w:szCs w:val="9"/>
                <w:color w:val="auto"/>
              </w:rPr>
            </w:pPr>
          </w:p>
        </w:tc>
        <w:tc>
          <w:tcPr>
            <w:tcW w:w="36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Ratio</w:t>
            </w:r>
          </w:p>
        </w:tc>
        <w:tc>
          <w:tcPr>
            <w:tcW w:w="4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80"/>
        </w:trPr>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1, 2026</w:t>
            </w:r>
          </w:p>
        </w:tc>
        <w:tc>
          <w:tcPr>
            <w:tcW w:w="120" w:type="dxa"/>
            <w:vAlign w:val="bottom"/>
            <w:tcBorders>
              <w:top w:val="single" w:sz="8" w:color="auto"/>
            </w:tcBorders>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3780" w:type="dxa"/>
            <w:vAlign w:val="bottom"/>
            <w:shd w:val="clear" w:color="auto" w:fill="CCEEFF"/>
          </w:tcPr>
          <w:p>
            <w:pPr>
              <w:ind w:left="3220"/>
              <w:spacing w:after="0"/>
              <w:rPr>
                <w:sz w:val="20"/>
                <w:szCs w:val="20"/>
                <w:color w:val="auto"/>
              </w:rPr>
            </w:pPr>
            <w:r>
              <w:rPr>
                <w:rFonts w:ascii="Times New Roman" w:cs="Times New Roman" w:eastAsia="Times New Roman" w:hAnsi="Times New Roman"/>
                <w:sz w:val="12"/>
                <w:szCs w:val="12"/>
                <w:color w:val="auto"/>
              </w:rPr>
              <w:t>2.00:1.00</w:t>
            </w: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60"/>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 2026</w:t>
            </w:r>
          </w:p>
        </w:tc>
        <w:tc>
          <w:tcPr>
            <w:tcW w:w="1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2"/>
                <w:szCs w:val="12"/>
                <w:color w:val="auto"/>
              </w:rPr>
              <w:t>2.00:1.00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1"/>
        </w:trPr>
        <w:tc>
          <w:tcPr>
            <w:tcW w:w="4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ber 30,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2"/>
                <w:szCs w:val="12"/>
                <w:color w:val="auto"/>
              </w:rPr>
              <w:t>2.00:1.00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er 31,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2"/>
                <w:szCs w:val="12"/>
                <w:color w:val="auto"/>
              </w:rPr>
              <w:t>2.00:1.00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4"/>
        </w:trPr>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1, 2027</w:t>
            </w:r>
          </w:p>
        </w:tc>
        <w:tc>
          <w:tcPr>
            <w:tcW w:w="12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3780" w:type="dxa"/>
            <w:vAlign w:val="bottom"/>
            <w:shd w:val="clear" w:color="auto" w:fill="CCEEFF"/>
          </w:tcPr>
          <w:p>
            <w:pPr>
              <w:ind w:left="3220"/>
              <w:spacing w:after="0"/>
              <w:rPr>
                <w:sz w:val="20"/>
                <w:szCs w:val="20"/>
                <w:color w:val="auto"/>
              </w:rPr>
            </w:pPr>
            <w:r>
              <w:rPr>
                <w:rFonts w:ascii="Times New Roman" w:cs="Times New Roman" w:eastAsia="Times New Roman" w:hAnsi="Times New Roman"/>
                <w:sz w:val="12"/>
                <w:szCs w:val="12"/>
                <w:color w:val="auto"/>
              </w:rPr>
              <w:t>2.00 1.00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0"/>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 2027</w:t>
            </w:r>
          </w:p>
        </w:tc>
        <w:tc>
          <w:tcPr>
            <w:tcW w:w="1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2"/>
                <w:szCs w:val="12"/>
                <w:color w:val="auto"/>
              </w:rPr>
              <w:t>2.50:1.00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1"/>
        </w:trPr>
        <w:tc>
          <w:tcPr>
            <w:tcW w:w="4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ber 30, 2027</w:t>
            </w:r>
          </w:p>
        </w:tc>
        <w:tc>
          <w:tcPr>
            <w:tcW w:w="3780" w:type="dxa"/>
            <w:vAlign w:val="bottom"/>
          </w:tcPr>
          <w:p>
            <w:pPr>
              <w:ind w:left="3220"/>
              <w:spacing w:after="0"/>
              <w:rPr>
                <w:sz w:val="20"/>
                <w:szCs w:val="20"/>
                <w:color w:val="auto"/>
              </w:rPr>
            </w:pPr>
            <w:r>
              <w:rPr>
                <w:rFonts w:ascii="Times New Roman" w:cs="Times New Roman" w:eastAsia="Times New Roman" w:hAnsi="Times New Roman"/>
                <w:sz w:val="12"/>
                <w:szCs w:val="12"/>
                <w:color w:val="auto"/>
              </w:rPr>
              <w:t>2.50:1.00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er 31, 2027 and thereafter</w:t>
            </w:r>
          </w:p>
        </w:tc>
        <w:tc>
          <w:tcPr>
            <w:tcW w:w="3780" w:type="dxa"/>
            <w:vAlign w:val="bottom"/>
          </w:tcPr>
          <w:p>
            <w:pPr>
              <w:ind w:left="3220"/>
              <w:spacing w:after="0"/>
              <w:rPr>
                <w:sz w:val="20"/>
                <w:szCs w:val="20"/>
                <w:color w:val="auto"/>
              </w:rPr>
            </w:pPr>
            <w:r>
              <w:rPr>
                <w:rFonts w:ascii="Times New Roman" w:cs="Times New Roman" w:eastAsia="Times New Roman" w:hAnsi="Times New Roman"/>
                <w:sz w:val="12"/>
                <w:szCs w:val="12"/>
                <w:color w:val="auto"/>
              </w:rPr>
              <w:t>3.00:1.00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-614680</wp:posOffset>
            </wp:positionV>
            <wp:extent cx="5602605" cy="1028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5602605" cy="10287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-203835</wp:posOffset>
            </wp:positionV>
            <wp:extent cx="5602605"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560260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ARTICLE VII</w:t>
      </w:r>
    </w:p>
    <w:p>
      <w:pPr>
        <w:spacing w:after="0" w:line="1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u w:val="single" w:color="auto"/>
          <w:color w:val="auto"/>
        </w:rPr>
        <w:t>Events of Default</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SECTION 7.01.</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 In case of the happening of any of the following events (each, an “</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60" w:firstLine="920"/>
        <w:spacing w:after="0" w:line="233" w:lineRule="auto"/>
        <w:tabs>
          <w:tab w:leader="none" w:pos="1430" w:val="left"/>
        </w:tabs>
        <w:numPr>
          <w:ilvl w:val="0"/>
          <w:numId w:val="7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representation or warranty made or deemed made by the Parent or any Guarantor herein or in any other Loan Document or any certificate or document delivered pursuant hereto or thereto shall prove to have been false or misleading in any material respect when so made or deemed made (subject, in the case of any representation or warranty (other than any Specified Representation) that is capable of being cured, to a grace period of 30 days after written notice thereof from the Administrative Agent to the Parent);</w:t>
      </w:r>
    </w:p>
    <w:p>
      <w:pPr>
        <w:spacing w:after="0" w:line="111" w:lineRule="exact"/>
        <w:rPr>
          <w:rFonts w:ascii="Times New Roman" w:cs="Times New Roman" w:eastAsia="Times New Roman" w:hAnsi="Times New Roman"/>
          <w:sz w:val="14"/>
          <w:szCs w:val="14"/>
          <w:color w:val="auto"/>
        </w:rPr>
      </w:pPr>
    </w:p>
    <w:p>
      <w:pPr>
        <w:ind w:left="60" w:firstLine="920"/>
        <w:spacing w:after="0" w:line="248" w:lineRule="auto"/>
        <w:tabs>
          <w:tab w:leader="none" w:pos="1421" w:val="left"/>
        </w:tabs>
        <w:numPr>
          <w:ilvl w:val="0"/>
          <w:numId w:val="7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shall be made in the payment of any principal of any Loan when and as the same shall become due and payable, whether at the due date thereof or at a date fixed for prepayment thereof or by acceleration thereof or otherwise, and in the currency required hereunder;</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169</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60"/>
          </w:cols>
          <w:pgMar w:left="580" w:top="1440" w:right="660" w:bottom="1440" w:gutter="0" w:footer="0" w:header="0"/>
        </w:sectPr>
      </w:pPr>
    </w:p>
    <w:bookmarkStart w:id="632" w:name="page633"/>
    <w:bookmarkEnd w:id="632"/>
    <w:p>
      <w:pPr>
        <w:spacing w:after="0" w:line="24" w:lineRule="exact"/>
        <w:rPr>
          <w:sz w:val="20"/>
          <w:szCs w:val="20"/>
          <w:color w:val="auto"/>
        </w:rPr>
      </w:pPr>
    </w:p>
    <w:p>
      <w:pPr>
        <w:jc w:val="both"/>
        <w:ind w:right="40" w:firstLine="920"/>
        <w:spacing w:after="0" w:line="233" w:lineRule="auto"/>
        <w:tabs>
          <w:tab w:leader="none" w:pos="137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shall be made in the payment of any interest on any Loan or in the payment of any Fee or any other amount (other than an amount referred to in clause (b) above) due under any Loan Document, when and as the same shall become due and payable, and in the currency required hereunder and such default shall continue unremedied for a period of five (5) Business Days;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5" w:lineRule="auto"/>
        <w:tabs>
          <w:tab w:leader="none" w:pos="1361"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default shall be made in the due observance or performance by the Parent of any covenant, condition or agreement contained in Section 5.01(a) (solely with respect to the Parent’s or the U.S. Co-Borrower’s existence), 5.05(a) or 5.08 or in Article VI;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to observe or perform any Financial Covenant shall not in and of itself constitute an Event of Default with respect to any Term B Loans unless the Required TLA/RCF Lenders have terminated the commitments under the Revolving Facilities and accelerated any Term A Loans and Revolving Loans then outstanding as a result of such breach and such declaration has not been rescinded on or before the date on which the Term B Lenders declare an Event of Default in connection therewith;</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7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shall be made in the due observance or performance by the Parent or any of the Guarantors of any covenant, condition or agreement contained in any Loan Document (other than those specified in clauses (b), (c) and (d) above) and such default shall continue unremedied for a period of 30 days after written notice thereof from the Administrative Agent to the Parent;</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18" w:lineRule="auto"/>
        <w:tabs>
          <w:tab w:leader="none" w:pos="137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any event or condition occurs that (A) results in any Material Indebtedness becoming due prior to its scheduled maturity or (B) enables or permits (with all applicable grace periods having expired) the holder or holders of any Material Indebtedness or any trustee or agent on its or their behalf to cause any such Material Indebtedness to become due, or to require the prepayment, repurchase, redemption or defeasance thereof, prior to its scheduled maturity, in each case without such Material Indebtedness having been discharged, or any such event of or condition having been cured promptly (in each case, other than as a result of a sale, pledge or other disposition or encumbrance of Unrestricted Margin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breach of any Financial Covenant giving rise to an event described in clause (B) above shall not, by itself, constitute an Event of Default in respect of any Term B Loans unless the Required TLA/RCF Lenders have terminated the commitments under the Revolving Facilities and accelerated any Term A Loans and Revolving Loans then outstanding as a result of such breach and such declaration has not been rescinded on or before the date on which the Term B Lenders declare an Event of Default in connection therewith; or (ii) the Parent or any Material Subsidiary (or a group of Subsidiaries that together would constitute a Material Subsidiary) shall fail to pay the principal of any of their Material Indebtedness at the stated final maturity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this clause (f) shall not apply to any secured Indebtedness that becomes due as a result of the voluntary sale or transfer of the property or assets securing such Indebtedness if (x) such sale or transfer is permitted hereunder and under the documents providing for such Indebtedness and (y) repayments are made as required by the terms of the respective Indebtedness;</w:t>
      </w:r>
    </w:p>
    <w:p>
      <w:pPr>
        <w:spacing w:after="0" w:line="114"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have occurred a Change of Control;</w:t>
      </w:r>
    </w:p>
    <w:p>
      <w:pPr>
        <w:spacing w:after="0" w:line="134" w:lineRule="exact"/>
        <w:rPr>
          <w:rFonts w:ascii="Times New Roman" w:cs="Times New Roman" w:eastAsia="Times New Roman" w:hAnsi="Times New Roman"/>
          <w:sz w:val="14"/>
          <w:szCs w:val="14"/>
          <w:color w:val="auto"/>
        </w:rPr>
      </w:pPr>
    </w:p>
    <w:p>
      <w:pPr>
        <w:ind w:right="20" w:firstLine="920"/>
        <w:spacing w:after="0" w:line="223" w:lineRule="auto"/>
        <w:tabs>
          <w:tab w:leader="none" w:pos="1361"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proceeding shall be commenced or an involuntary petition shall be filed in a court of competent jurisdiction seeking (i) relief in respect of the Parent or any of the Material Subsidiaries, or of a substantial part of the property or assets of the Parent or any Material Subsidiary, under the Bankruptcy Code, or any other federal, state or foreign bankruptcy, insolvency, receivership or any other Debtor Relief Law, (ii) the appointment of a receiver, trustee, custodian, sequestrator, conservator, examiner, liquidator or similar official for the Parent or any of the Material Subsidiaries or for a substantial part of the property or assets of the Parent or any of the Material Subsidiaries or (iii) the winding-up, liquidation, reorganization, dissolution, compromise, arrangement or other relief of the Parent or any Material Subsidiary (except in a transaction permitted hereunder); and such proceeding or petition shall continue undismissed for sixty (60) days or an order or decree approving or ordering any of the foregoing shall be entered;</w:t>
      </w:r>
    </w:p>
    <w:p>
      <w:pPr>
        <w:spacing w:after="0" w:line="111" w:lineRule="exact"/>
        <w:rPr>
          <w:rFonts w:ascii="Times New Roman" w:cs="Times New Roman" w:eastAsia="Times New Roman" w:hAnsi="Times New Roman"/>
          <w:sz w:val="14"/>
          <w:szCs w:val="14"/>
          <w:color w:val="auto"/>
        </w:rPr>
      </w:pPr>
    </w:p>
    <w:p>
      <w:pPr>
        <w:jc w:val="both"/>
        <w:ind w:right="40" w:firstLine="920"/>
        <w:spacing w:after="0" w:line="233" w:lineRule="auto"/>
        <w:tabs>
          <w:tab w:leader="none" w:pos="137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or any Material Subsidiary shall (i) voluntarily commence any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proceeding or the filing of any petition described in clause (h) above, (iii) apply for or consent to the</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33" w:name="page634"/>
    <w:bookmarkEnd w:id="633"/>
    <w:p>
      <w:pPr>
        <w:spacing w:after="0" w:line="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appointment of a receiver, trustee, custodian, sequestrator, conservator, examiner, liquidator or similar official for the Parent or any of the Material Subsidiaries or for a substantial part of the property or assets of the Parent or any Material Subsidiary, (iv) file an answer admitting the material allegations of a petition filed against it in any such proceeding, (v) make a general assignment for the benefit of creditors or (vi) become unable or fail generally to pay its debts as they become due;</w:t>
      </w:r>
    </w:p>
    <w:p>
      <w:pPr>
        <w:spacing w:after="0" w:line="112" w:lineRule="exact"/>
        <w:rPr>
          <w:sz w:val="20"/>
          <w:szCs w:val="20"/>
          <w:color w:val="auto"/>
        </w:rPr>
      </w:pPr>
    </w:p>
    <w:p>
      <w:pPr>
        <w:jc w:val="both"/>
        <w:ind w:right="40" w:firstLine="920"/>
        <w:spacing w:after="0" w:line="228" w:lineRule="auto"/>
        <w:tabs>
          <w:tab w:leader="none" w:pos="1370" w:val="left"/>
        </w:tabs>
        <w:numPr>
          <w:ilvl w:val="1"/>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Parent or any Material Subsidiary (or a group of Subsidiaries that together would constitute a Material Subsidiary) to pay one or more final judgments (to the extent not covered by insurance or other indemnity) aggregating in excess of $125,000,000, which judgments are not discharged or effectively waived or stayed for a period of sixty (60) consecutive days, or any action shall be legally taken by a judgment creditor to attach or levy upon assets or properties of the Parent or any Material Subsidiary to enforce any such judgment;</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61" w:val="left"/>
        </w:tabs>
        <w:numPr>
          <w:ilvl w:val="1"/>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 ERISA Event shall have occurred, (ii) the PBGC shall institute proceedings (including giving notice of intent thereof) to terminate any Plan or Plans, or (iii) the Parent or any Subsidiary or any ERISA Affiliate shall have been notified by the sponsor of a Multiemployer Plan that such Multiemployer Plan is in reorganization or is being terminated, within the meaning of Title IV of ERISA; and in each case in clauses (i) through (iii) above, such event or condition, together with all other such events or conditions, if any, would reasonably be expected to have a Material Adverse Effect; or</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19" w:lineRule="auto"/>
        <w:tabs>
          <w:tab w:leader="none" w:pos="1370" w:val="left"/>
        </w:tabs>
        <w:numPr>
          <w:ilvl w:val="1"/>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Loan Document shall for any reason be asserted in writing by the Parent, the U.S. Co-Borrower or any Guarantor not to be a legal, valid and binding obligation of any party thereto, (ii) any security interest purported to be created by any Security Document and to extend to assets that constitute a material portion of the Collateral shall cease to be, or shall be asserted in writing by the Parent or any other Loan Party not to be, a valid and perfected security interest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the limitations of foreign laws, rules and regulations as they apply to pledges of Equity Interests in Foreign Subsidiaries that are organized outside of the jurisdictions of organization of the Loan Parties or the application thereof or from failure of the Collateral Agent to maintain possession of certificates actually delivered to it representing securities pledged under the Security Documents (so long as such failure does not result from the breach or non-compliance with the Loan Documents by any Loan Party), or (iii) a material portion of the Guarantees pursuant to the Loan Documents by the Guarantors guaranteeing the Obligations, shall cease to be in full force and effect (other than in accordance with the terms thereof), or shall be asserted in writing by the Parent, the U.S. Co-Borrower or any Guarantor not to be in effect or not to be legal, valid and binding obligations (other than in accordance with the terms thereof),</w:t>
      </w:r>
    </w:p>
    <w:p>
      <w:pPr>
        <w:spacing w:after="0" w:line="120" w:lineRule="exact"/>
        <w:rPr>
          <w:rFonts w:ascii="Times New Roman" w:cs="Times New Roman" w:eastAsia="Times New Roman" w:hAnsi="Times New Roman"/>
          <w:sz w:val="14"/>
          <w:szCs w:val="14"/>
          <w:color w:val="auto"/>
        </w:rPr>
      </w:pPr>
    </w:p>
    <w:p>
      <w:pPr>
        <w:jc w:val="both"/>
        <w:ind w:firstLine="6"/>
        <w:spacing w:after="0" w:line="257" w:lineRule="auto"/>
        <w:tabs>
          <w:tab w:leader="none" w:pos="457"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then, and in every such event (other than an event with respect to the Parent and/or the U.S. Co-Borrower described in clause (h) or (i) above), and at any time thereafter during the continuance of such event, the Administrative Agent, at the request of the Required Lenders (or in the case of a termination of the Revolving Commitments pursuant to clause (i) below, the Required TLA/RCF Lenders or, in the case of a failure to observe or perform any Financial Covenant, unless the Required TLA/RCF Lenders have accelerated any Term A Loans and Revolving Loans then outstanding as a result of such breach and such declaration has not been rescinded on or before the date on which the Term B Lenders declare an Event of Default in connection therewith, the Required TLA/RCF Lenders), shall, by notice to the Parent,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and any unpaid accrued Fees and all other liabilities of the Borrowers accrued hereunder and under any other Loan Document, shall become forthwith due and payable, without presentment, demand, protest or any other notice of any kind, all of which are hereby expressly waived by the Borrowers, anything contained herein or in any other Loan Document to the contrary notwithstanding and</w:t>
      </w:r>
    </w:p>
    <w:p>
      <w:pPr>
        <w:spacing w:after="0" w:line="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Loans have been declared due and payable pursuant to clause (ii) above, demand Cash Collateral pursuant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34" w:name="page635"/>
    <w:bookmarkEnd w:id="634"/>
    <w:p>
      <w:pPr>
        <w:spacing w:after="0" w:line="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Section 2.05(k); and in any event with respect to the Parent and/or the U.S. Co-Borrower described in clause (h) or (i) above, the Commitments shall automatically terminate and the principal of the Loans then outstanding, together with accrued interest thereon and any unpaid accrued Fees and all other liabilities of the Borrowers accrued hereunder and under any other Loan Document, shall automatically become due and payable and the Administrative Agent shall be deemed to have made a demand for Cash Collateral to the full extent permitted under Section 2.05(k), without presentment, demand, protest or any other notice of any kind, all of which are hereby expressly waived by the Borrowers, anything contained herein or in any other Loan Document to the contrary notwithstanding.</w:t>
      </w:r>
    </w:p>
    <w:p>
      <w:pPr>
        <w:spacing w:after="0" w:line="123" w:lineRule="exact"/>
        <w:rPr>
          <w:sz w:val="20"/>
          <w:szCs w:val="20"/>
          <w:color w:val="auto"/>
        </w:rPr>
      </w:pPr>
    </w:p>
    <w:p>
      <w:pPr>
        <w:ind w:right="20" w:firstLine="914"/>
        <w:spacing w:after="0" w:line="291" w:lineRule="auto"/>
        <w:rPr>
          <w:sz w:val="20"/>
          <w:szCs w:val="20"/>
          <w:color w:val="auto"/>
        </w:rPr>
      </w:pPr>
      <w:r>
        <w:rPr>
          <w:rFonts w:ascii="Times New Roman" w:cs="Times New Roman" w:eastAsia="Times New Roman" w:hAnsi="Times New Roman"/>
          <w:sz w:val="14"/>
          <w:szCs w:val="14"/>
          <w:color w:val="auto"/>
        </w:rPr>
        <w:t>Without limiting the foregoing, upon the occurrence of an Event of Default if and for so long as the same is continuing, each Agent may exercise on behalf of itself, the Lenders and the other Secured Parties all rights and remedies available to it, the Lenders and the other Secured Parties under the Loan Documents and applicable law.</w:t>
      </w:r>
    </w:p>
    <w:p>
      <w:pPr>
        <w:spacing w:after="0" w:line="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7.02.</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14"/>
        <w:spacing w:after="0" w:line="230" w:lineRule="auto"/>
        <w:rPr>
          <w:sz w:val="20"/>
          <w:szCs w:val="20"/>
          <w:color w:val="auto"/>
        </w:rPr>
      </w:pPr>
      <w:r>
        <w:rPr>
          <w:rFonts w:ascii="Times New Roman" w:cs="Times New Roman" w:eastAsia="Times New Roman" w:hAnsi="Times New Roman"/>
          <w:sz w:val="14"/>
          <w:szCs w:val="14"/>
          <w:color w:val="auto"/>
        </w:rPr>
        <w:t>SECTION 7.03.</w:t>
      </w:r>
      <w:r>
        <w:rPr>
          <w:rFonts w:ascii="Times New Roman" w:cs="Times New Roman" w:eastAsia="Times New Roman" w:hAnsi="Times New Roman"/>
          <w:sz w:val="14"/>
          <w:szCs w:val="14"/>
          <w:u w:val="single" w:color="auto"/>
          <w:color w:val="auto"/>
        </w:rPr>
        <w:t>Application of Proceeds</w:t>
      </w:r>
      <w:r>
        <w:rPr>
          <w:rFonts w:ascii="Times New Roman" w:cs="Times New Roman" w:eastAsia="Times New Roman" w:hAnsi="Times New Roman"/>
          <w:sz w:val="14"/>
          <w:szCs w:val="14"/>
          <w:color w:val="auto"/>
        </w:rPr>
        <w:t xml:space="preserve">. Any proceeds of Collateral received by the Administrative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pro rata basis among the relevant Lenders under the Class of Loans being prepaid as specified by the Parent) or (B) a mandatory prepayment (which shall be applied in accordance with Section 2.11) or (ii) after an Event of Default has occurred and is continuing and the Administrative Agent so elects or the Required Lenders so direct, and after the exercise of remedies pursuant to Section 7.01, all payments in respect of the Obligations shall be applied, subject to the provisions of any Intercreditor Agreement: first, to pay any fees, indemnities, expense reimbursements and other amounts then due to the Administrative Agent, in its capacity as such; second, to pay any fees, indemnities or expense reimbursements then due to the Lenders and the Issuing Banks from the Borrowers ratably among the applicable Lenders and Issuing Banks; third, to pay interest (including post-petition interest, whether or not an allowed claim in any claim or proceeding under any Debtor Relief Laws) then due and payable on the Loans and unreimbursed L/C Disbursements ratably among the Lenders and the Issuing Banks; and fourth, to repay principal on the Loans and unreimbursed L/C Disbursements, to Cash Collateralize all outstanding Letters of Credit, any other amounts owing with respect to Secured Cash Management Agreements and Secured Hedge Agreements, and any other Obligations ratably among the applicable Secured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amounts which are applied to Cash Collateralize outstanding Letters of Credit that remain available after expiry of the applicable Letter of Credit shall be applied in the manner set forth herein. 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each Agent as its agent pursuant to the terms of Article VIII hereof for itself and its Affiliates as if it were a “Lender” party hereto.</w:t>
      </w:r>
    </w:p>
    <w:p>
      <w:pPr>
        <w:spacing w:after="0" w:line="1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VIII</w:t>
      </w:r>
    </w:p>
    <w:p>
      <w:pPr>
        <w:spacing w:after="0" w:line="1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u w:val="single" w:color="auto"/>
          <w:color w:val="auto"/>
        </w:rPr>
        <w:t>The Agents</w:t>
      </w:r>
    </w:p>
    <w:p>
      <w:pPr>
        <w:spacing w:after="0" w:line="134" w:lineRule="exact"/>
        <w:rPr>
          <w:sz w:val="20"/>
          <w:szCs w:val="20"/>
          <w:color w:val="auto"/>
        </w:rPr>
      </w:pPr>
    </w:p>
    <w:p>
      <w:pPr>
        <w:jc w:val="both"/>
        <w:ind w:firstLine="914"/>
        <w:spacing w:after="0" w:line="233" w:lineRule="auto"/>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Appointment</w:t>
      </w:r>
      <w:r>
        <w:rPr>
          <w:rFonts w:ascii="Times New Roman" w:cs="Times New Roman" w:eastAsia="Times New Roman" w:hAnsi="Times New Roman"/>
          <w:sz w:val="14"/>
          <w:szCs w:val="14"/>
          <w:color w:val="auto"/>
        </w:rPr>
        <w:t>. Each Lender (in its capacities as a Lender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(i) the Administrative Agent as the agent of such</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35" w:name="page636"/>
    <w:bookmarkEnd w:id="635"/>
    <w:p>
      <w:pPr>
        <w:spacing w:after="0" w:line="24"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4"/>
          <w:szCs w:val="14"/>
          <w:color w:val="auto"/>
        </w:rPr>
        <w:t>Lender or Issuing Bank, as applicable, under this Agreement and the other Loan Documents and each such Lender and Issuing Bank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and</w:t>
      </w:r>
    </w:p>
    <w:p>
      <w:pPr>
        <w:spacing w:after="0" w:line="2" w:lineRule="exact"/>
        <w:rPr>
          <w:sz w:val="20"/>
          <w:szCs w:val="20"/>
          <w:color w:val="auto"/>
        </w:rPr>
      </w:pPr>
    </w:p>
    <w:p>
      <w:pPr>
        <w:jc w:val="both"/>
        <w:ind w:firstLine="6"/>
        <w:spacing w:after="0" w:line="216" w:lineRule="auto"/>
        <w:tabs>
          <w:tab w:leader="none" w:pos="214" w:val="left"/>
        </w:tabs>
        <w:numPr>
          <w:ilvl w:val="0"/>
          <w:numId w:val="7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Collateral Agent to act as the agent, security trustee and collateral agent of such Lender or Issuing Bank, as applicable, for purposes of acquiring, holding and enforcing any and all Liens on Collateral granted by any of the Loan Parties to secure any of the Obligations, and exercising such powers and performing such duties as are expressly delegated to the Collateral Agent under the Loan Documents, together with such powers and discretion as are reasonably incidental thereto. In furtherance of the foregoing, the Collateral Agent is authorized to enter into the Security Documents on behalf of the Secured Parties and to take such actions which may be necessary to create, perfect and maintain perfected the security interest in and Liens upon the Collateral granted pursuant to the Security Documents for the benefit of the Secured Parties. Notwithstanding any provision to the contrary elsewhere in this Agreement, no Agent shall have any duties or responsibilities, except those expressly set forth herein, or any fiduciary relationship with any Lender or Issuing Bank, and no implied covenants, functions, responsibilities, duties, obligations or liabilities shall be read into this Agreement or any other Loan Document or otherwise exist against any Agent. The provisions of this Article VIII (other than the final paragraph of Section 8.13 hereof) are solely for the benefit of the Administrative Agent, the Collateral Agent, the Lenders and the Issuing Banks, and neither the Borrowers nor any other Loan Party shall have any rights as a third-party beneficiary of any such provisions. It is understood and agreed that the use of the term “agent” herein or in any other Loan Documents (or any other similar term) with reference to the Administrative Agent or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8.02.</w:t>
      </w:r>
      <w:r>
        <w:rPr>
          <w:rFonts w:ascii="Times New Roman" w:cs="Times New Roman" w:eastAsia="Times New Roman" w:hAnsi="Times New Roman"/>
          <w:sz w:val="14"/>
          <w:szCs w:val="14"/>
          <w:u w:val="single" w:color="auto"/>
          <w:color w:val="auto"/>
        </w:rPr>
        <w:t>Appointment of the Administrative Agent and the Collateral Agent under Danish law</w:t>
      </w:r>
      <w:r>
        <w:rPr>
          <w:rFonts w:ascii="Times New Roman" w:cs="Times New Roman" w:eastAsia="Times New Roman" w:hAnsi="Times New Roman"/>
          <w:sz w:val="14"/>
          <w:szCs w:val="14"/>
          <w:color w:val="auto"/>
        </w:rPr>
        <w:t xml:space="preserve"> .</w:t>
      </w:r>
    </w:p>
    <w:p>
      <w:pPr>
        <w:spacing w:after="0" w:line="134" w:lineRule="exact"/>
        <w:rPr>
          <w:sz w:val="20"/>
          <w:szCs w:val="20"/>
          <w:color w:val="auto"/>
        </w:rPr>
      </w:pPr>
    </w:p>
    <w:p>
      <w:pPr>
        <w:jc w:val="both"/>
        <w:ind w:firstLine="920"/>
        <w:spacing w:after="0" w:line="228" w:lineRule="auto"/>
        <w:tabs>
          <w:tab w:leader="none" w:pos="1370"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Section 8.01 above, each Secured Party (other than the Administrative Agent and the Collateral Agent, as applicable, in respect of itself) appoints each of the Administrative Agent and the Collateral Agent as agent and representative (in Danish: </w:t>
      </w:r>
      <w:r>
        <w:rPr>
          <w:rFonts w:ascii="Times New Roman" w:cs="Times New Roman" w:eastAsia="Times New Roman" w:hAnsi="Times New Roman"/>
          <w:sz w:val="14"/>
          <w:szCs w:val="14"/>
          <w:i w:val="1"/>
          <w:iCs w:val="1"/>
          <w:color w:val="auto"/>
        </w:rPr>
        <w:t>fuldmægtig og repræsentant</w:t>
      </w:r>
      <w:r>
        <w:rPr>
          <w:rFonts w:ascii="Times New Roman" w:cs="Times New Roman" w:eastAsia="Times New Roman" w:hAnsi="Times New Roman"/>
          <w:sz w:val="14"/>
          <w:szCs w:val="14"/>
          <w:color w:val="auto"/>
        </w:rPr>
        <w:t>) for the Secured Parties in accordance with Section 18(1), cf. Section 1(2), of the Danish Capital Markets Act, and, in each case, on the terms contained in this Agreement and each of the Administrative Agent and the Collateral Agent accepts such appointment.</w:t>
      </w:r>
    </w:p>
    <w:p>
      <w:pPr>
        <w:spacing w:after="0" w:line="111"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respect of any Collateral subject to the Danish Security Documents and any other Collateral to the extent that Danish law may be applied to such Collateral, the Collateral Agent shall represent the Secured Parties as agent. Such Collateral shall be granted in favor of the Collateral Agent as agent (in Danish: </w:t>
      </w:r>
      <w:r>
        <w:rPr>
          <w:rFonts w:ascii="Times New Roman" w:cs="Times New Roman" w:eastAsia="Times New Roman" w:hAnsi="Times New Roman"/>
          <w:sz w:val="14"/>
          <w:szCs w:val="14"/>
          <w:i w:val="1"/>
          <w:iCs w:val="1"/>
          <w:color w:val="auto"/>
        </w:rPr>
        <w:t>fuldmægtig og repræsentant</w:t>
      </w:r>
      <w:r>
        <w:rPr>
          <w:rFonts w:ascii="Times New Roman" w:cs="Times New Roman" w:eastAsia="Times New Roman" w:hAnsi="Times New Roman"/>
          <w:sz w:val="14"/>
          <w:szCs w:val="14"/>
          <w:color w:val="auto"/>
        </w:rPr>
        <w:t>) for and on behalf of the Secured Parties in accordance with Section 1(2) and Section 18(1) of the Danish Capital Markets Act.</w:t>
      </w:r>
    </w:p>
    <w:p>
      <w:pPr>
        <w:spacing w:after="0" w:line="111"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the Guarantee Agreement, the Administrative Agent shall represent the Secured Parties as agent (in Danish: fuldmægtig og repræsentant) for and on behalf of the Secured Parties in accordance with Section 1(2) and Section 18(1) of the Danish Capital Markets Act.</w:t>
      </w:r>
    </w:p>
    <w:p>
      <w:pPr>
        <w:spacing w:after="0" w:line="105"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person appointed and replacing the Administrative Agent or the Collateral Agent (or a successor Administrative Agent or Collateral Agent) shall automatically act as agent and representative (in Danish: </w:t>
      </w:r>
      <w:r>
        <w:rPr>
          <w:rFonts w:ascii="Times New Roman" w:cs="Times New Roman" w:eastAsia="Times New Roman" w:hAnsi="Times New Roman"/>
          <w:sz w:val="14"/>
          <w:szCs w:val="14"/>
          <w:i w:val="1"/>
          <w:iCs w:val="1"/>
          <w:color w:val="auto"/>
        </w:rPr>
        <w:t>fuldmægtig og repræsentant</w:t>
      </w:r>
      <w:r>
        <w:rPr>
          <w:rFonts w:ascii="Times New Roman" w:cs="Times New Roman" w:eastAsia="Times New Roman" w:hAnsi="Times New Roman"/>
          <w:sz w:val="14"/>
          <w:szCs w:val="14"/>
          <w:color w:val="auto"/>
        </w:rPr>
        <w:t>) in accordance with Section 18(1), cf. Section 1(2), of the Danish Capital Markets Act and be entitled to exercise all rights and remedies under and in accordance with this Agreement in its own name or in the name of any of the Secured Parties.</w:t>
      </w:r>
    </w:p>
    <w:p>
      <w:pPr>
        <w:spacing w:after="0" w:line="112" w:lineRule="exact"/>
        <w:rPr>
          <w:sz w:val="20"/>
          <w:szCs w:val="20"/>
          <w:color w:val="auto"/>
        </w:rPr>
      </w:pPr>
    </w:p>
    <w:p>
      <w:pPr>
        <w:jc w:val="both"/>
        <w:ind w:right="20" w:firstLine="914"/>
        <w:spacing w:after="0" w:line="233" w:lineRule="auto"/>
        <w:rPr>
          <w:sz w:val="20"/>
          <w:szCs w:val="20"/>
          <w:color w:val="auto"/>
        </w:rPr>
      </w:pPr>
      <w:r>
        <w:rPr>
          <w:rFonts w:ascii="Times New Roman" w:cs="Times New Roman" w:eastAsia="Times New Roman" w:hAnsi="Times New Roman"/>
          <w:sz w:val="14"/>
          <w:szCs w:val="14"/>
          <w:color w:val="auto"/>
        </w:rPr>
        <w:t>SECTION 8.03.</w:t>
      </w:r>
      <w:r>
        <w:rPr>
          <w:rFonts w:ascii="Times New Roman" w:cs="Times New Roman" w:eastAsia="Times New Roman" w:hAnsi="Times New Roman"/>
          <w:sz w:val="14"/>
          <w:szCs w:val="14"/>
          <w:u w:val="single" w:color="auto"/>
          <w:color w:val="auto"/>
        </w:rPr>
        <w:t>Delegation of Duties</w:t>
      </w:r>
      <w:r>
        <w:rPr>
          <w:rFonts w:ascii="Times New Roman" w:cs="Times New Roman" w:eastAsia="Times New Roman" w:hAnsi="Times New Roman"/>
          <w:sz w:val="14"/>
          <w:szCs w:val="14"/>
          <w:color w:val="auto"/>
        </w:rPr>
        <w:t xml:space="preserve"> . Any Agent may perform any and all of its duties and exercise its rights and powers hereunder or under any other Loan Document by or through any one or more sub-agents appointed by such Agent. Such Agent and any such sub-agent may perform any and all of its duties and exercise its rights and powers by or through their respective Related Parties. The exculpatory provisions of this Article VIII shall apply to any such sub-agent and to the Related Parties of</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36" w:name="page637"/>
    <w:bookmarkEnd w:id="636"/>
    <w:p>
      <w:pPr>
        <w:spacing w:after="0" w:line="24"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4"/>
          <w:szCs w:val="14"/>
          <w:color w:val="auto"/>
        </w:rPr>
        <w:t>each Agent and any such sub -agent, and shall apply to their respective activities in connection with the syndication of the credit facilities provided for herein as well as activities as Agent. An Agent shall not be responsible for the negligence or misconduct of any of its sub- agents except to the extent that a court of competent jurisdiction determines in a final and nonappealable judgment that such Agent acted with gross negligence or willful misconduct in the selection of such sub-agents.</w:t>
      </w:r>
    </w:p>
    <w:p>
      <w:pPr>
        <w:spacing w:after="0" w:line="112" w:lineRule="exact"/>
        <w:rPr>
          <w:sz w:val="20"/>
          <w:szCs w:val="20"/>
          <w:color w:val="auto"/>
        </w:rPr>
      </w:pPr>
    </w:p>
    <w:p>
      <w:pPr>
        <w:jc w:val="both"/>
        <w:ind w:firstLine="914"/>
        <w:spacing w:after="0" w:line="222" w:lineRule="auto"/>
        <w:rPr>
          <w:sz w:val="20"/>
          <w:szCs w:val="20"/>
          <w:color w:val="auto"/>
        </w:rPr>
      </w:pPr>
      <w:r>
        <w:rPr>
          <w:rFonts w:ascii="Times New Roman" w:cs="Times New Roman" w:eastAsia="Times New Roman" w:hAnsi="Times New Roman"/>
          <w:sz w:val="14"/>
          <w:szCs w:val="14"/>
          <w:color w:val="auto"/>
        </w:rPr>
        <w:t>SECTION 8.04.</w:t>
      </w:r>
      <w:r>
        <w:rPr>
          <w:rFonts w:ascii="Times New Roman" w:cs="Times New Roman" w:eastAsia="Times New Roman" w:hAnsi="Times New Roman"/>
          <w:sz w:val="14"/>
          <w:szCs w:val="14"/>
          <w:u w:val="single" w:color="auto"/>
          <w:color w:val="auto"/>
        </w:rPr>
        <w:t>Exculpatory Provisions</w:t>
      </w:r>
      <w:r>
        <w:rPr>
          <w:rFonts w:ascii="Times New Roman" w:cs="Times New Roman" w:eastAsia="Times New Roman" w:hAnsi="Times New Roman"/>
          <w:sz w:val="14"/>
          <w:szCs w:val="14"/>
          <w:color w:val="auto"/>
        </w:rPr>
        <w:t xml:space="preserve">. None of the Agents or Arrangers or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or Issuing Banks for any recitals, statements, representations or warranties made by any Loan Party or any officer thereof contained in this Agreement or any other Loan Document or in any certificate, report, statement or other document referred to or provided for in, or received by any Agent or Arranger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No Agent or Arranger shall be under any obligation to any Lender to ascertain or to inquire as to the observance or performance of any of the agreements contained in, or conditions of, this Agreement or any other Loan Document, or to inspect the properties, books or records of any Loan Party. No Agent or Arranger shall have any duties or obligations except those expressly set forth herein and in the other Loan Documents, and its duties hereunder shall be administrative in nature. Without limiting the generality of the foregoing, the Agents, the Arrangers, their respective Affiliates and each of the foregoing’s respective officers, partners, directors, employees and agents (a) shall not be subject to any fiduciary or other implied duties, regardless of whether a Default or Event of Default has occurred and is continuing, (b) shall not have any duty to take any discretionary action or exercise any discretionary powers, except discretionary rights and powers expressly contemplated hereby or by the other Loan Documents that an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 Agent may seek clarification or direction from the Required Lenders prior to the exercise of any such instructed action and may refrain from acting until such clarification or direction has been provided;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 Agent shall not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Debtor Relief Laws or that may effect a forfeiture, modification or termination of property of a Defaulting Lender in violation of any Debtor Relief Laws, (c)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any Agent, any Arranger or any of their Related Parties in any capacity, except for notices, reports and other documents expressly required to be furnished to the Lenders by the Administrative Agent herein and (d) shall not be liable for any action taken or not taken by it or any of its Affiliates or any of the foregoing’s respective officers, partners, directors, employees or agents (i) with the consent or at the request of the Required Lenders (or such other number or percentage of the Lenders as shall be necessary, or as such Agent shall believe in good faith shall be necessary, under the circumstances as provided in Sections 7.01 and 9.08) or (ii) in the absence of its own gross negligence or willful misconduct, as determined by a court of competent jurisdiction by a final and nonappealable judgment. No Agent shall be deemed to have knowledge of any Default or Event of Default unless and until written notice describing such Default or Event of Default is given to the Administrative Agent in accordance with Section 8.06.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w:t>
      </w: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37" w:name="page638"/>
    <w:bookmarkEnd w:id="637"/>
    <w:p>
      <w:pPr>
        <w:spacing w:after="0" w:line="24"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4"/>
          <w:szCs w:val="14"/>
          <w:color w:val="auto"/>
        </w:rPr>
        <w:t>Security Documents, (v) the value or the sufficiency of any Collateral, or (vi) the satisfaction of any condition set forth in Article IV or elsewhere herein, other than to confirm receipt of items expressly required to be delivered to the Administrative Agent.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and/or Commitments, or disclosure of confidential information, to any Disqualified Lender.</w:t>
      </w:r>
    </w:p>
    <w:p>
      <w:pPr>
        <w:spacing w:after="0" w:line="121" w:lineRule="exact"/>
        <w:rPr>
          <w:sz w:val="20"/>
          <w:szCs w:val="20"/>
          <w:color w:val="auto"/>
        </w:rPr>
      </w:pPr>
    </w:p>
    <w:p>
      <w:pPr>
        <w:jc w:val="both"/>
        <w:ind w:firstLine="914"/>
        <w:spacing w:after="0" w:line="257" w:lineRule="auto"/>
        <w:rPr>
          <w:sz w:val="20"/>
          <w:szCs w:val="20"/>
          <w:color w:val="auto"/>
        </w:rPr>
      </w:pPr>
      <w:r>
        <w:rPr>
          <w:rFonts w:ascii="Times New Roman" w:cs="Times New Roman" w:eastAsia="Times New Roman" w:hAnsi="Times New Roman"/>
          <w:sz w:val="14"/>
          <w:szCs w:val="14"/>
          <w:color w:val="auto"/>
        </w:rPr>
        <w:t xml:space="preserve">The parties hereto acknowledge that the Administrative Agent, together with its respective affiliated companies (collectively, the “ </w:t>
      </w:r>
      <w:r>
        <w:rPr>
          <w:rFonts w:ascii="Times New Roman" w:cs="Times New Roman" w:eastAsia="Times New Roman" w:hAnsi="Times New Roman"/>
          <w:sz w:val="14"/>
          <w:szCs w:val="14"/>
          <w:u w:val="single" w:color="auto"/>
          <w:color w:val="auto"/>
        </w:rPr>
        <w:t>MS Group</w:t>
      </w:r>
      <w:r>
        <w:rPr>
          <w:rFonts w:ascii="Times New Roman" w:cs="Times New Roman" w:eastAsia="Times New Roman" w:hAnsi="Times New Roman"/>
          <w:sz w:val="14"/>
          <w:szCs w:val="14"/>
          <w:color w:val="auto"/>
        </w:rPr>
        <w:t>”), is a member of a global financial services firm engaged in the securities, investment management, credit services businesses and individual wealth management businesses involving, without limitation, the provision of securities underwriting, hedging, trading, brokerage activities, foreign exchange, commodities and derivatives trading, as well as providing investment banking, financing and financial advisory services. As a result, members of the MS Group and their respective Related Parties may also at any time (i) invest on a principal basis or manage funds that invest on a principal basis, in the loans or debt or equity securities of the Parent, the other Loan Parties or any other company that may be involved in any of the transactions contemplated herein, or in any currency, commodity or instrument that may be involved in any of the transactions contemplated herein, or in any related derivative instrument, (ii) carry out ordinary course investment and wealth management or brokerage activities for any the Parent, the other Loan Parties or any other company (or their respective Related Parties) that may be involved in any of the transactions contemplated herein, and (iii) perform various investment banking, commercial banking and financial advisory services for other clients and customers who may have conflicting interests with respect to the Parent, the other Loan Parties and their respective Related Parties. The parties hereto therefore acknowledge that (i) in the course of such activities and relationships, one or more members of the MS Group, other than the Administrative Agent performing its duties and responsibilities expressly set forth in this Agreement, may acquire information about the Parent, the other Loan Parties, their respective Related Parties or other entities and persons which may be the subject of any transaction contemplated hereunder, and (ii) any such member of the MS Group are doing so in their respective capacities (including, without limitation, as investment manager, hedge counterparty, financial advisor, Lender or Arranger), which are separate from and independent of the function and duties of the Administrative Agent. The Lenders party hereto further acknowledge that no other member of the MS Group (or the Administrative Agent to the extent it receives any such information from another member of the MS Group) shall have any obligation to disclose (or any liability for failing to disclose) such information, or the fact that any of them are in possession of such information, to any Lender or to use such information on behalf of any of them.</w:t>
      </w:r>
    </w:p>
    <w:p>
      <w:pPr>
        <w:spacing w:after="0" w:line="298" w:lineRule="exact"/>
        <w:rPr>
          <w:sz w:val="20"/>
          <w:szCs w:val="20"/>
          <w:color w:val="auto"/>
        </w:rPr>
      </w:pPr>
    </w:p>
    <w:p>
      <w:pPr>
        <w:jc w:val="both"/>
        <w:ind w:right="20" w:firstLine="914"/>
        <w:spacing w:after="0" w:line="219" w:lineRule="auto"/>
        <w:rPr>
          <w:sz w:val="20"/>
          <w:szCs w:val="20"/>
          <w:color w:val="auto"/>
        </w:rPr>
      </w:pPr>
      <w:r>
        <w:rPr>
          <w:rFonts w:ascii="Times New Roman" w:cs="Times New Roman" w:eastAsia="Times New Roman" w:hAnsi="Times New Roman"/>
          <w:sz w:val="14"/>
          <w:szCs w:val="14"/>
          <w:color w:val="auto"/>
        </w:rPr>
        <w:t>SECTION 8.05.</w:t>
      </w:r>
      <w:r>
        <w:rPr>
          <w:rFonts w:ascii="Times New Roman" w:cs="Times New Roman" w:eastAsia="Times New Roman" w:hAnsi="Times New Roman"/>
          <w:sz w:val="14"/>
          <w:szCs w:val="14"/>
          <w:u w:val="single" w:color="auto"/>
          <w:color w:val="auto"/>
        </w:rPr>
        <w:t>Reliance by Agents</w:t>
      </w:r>
      <w:r>
        <w:rPr>
          <w:rFonts w:ascii="Times New Roman" w:cs="Times New Roman" w:eastAsia="Times New Roman" w:hAnsi="Times New Roman"/>
          <w:sz w:val="14"/>
          <w:szCs w:val="14"/>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or conversation believed by it to be genuine and to have been signed, sent or otherwise authenticated by the proper person.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the Parent), independent accountants and other experts selected by it, and shall not be liable for any action taken or</w:t>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38" w:name="page639"/>
    <w:bookmarkEnd w:id="638"/>
    <w:p>
      <w:pPr>
        <w:spacing w:after="0" w:line="24"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4"/>
          <w:szCs w:val="14"/>
          <w:color w:val="auto"/>
        </w:rPr>
        <w:t>not taken by it in accordance with the advice of any such counsel, accountants or experts. Each Agent may deem and treat the Lender specified in the Register with respect to any amount owing hereunder as the owner thereof for all purposes unless a written notice of assignment, negotiation or transfer thereof shall have been filed with such Agent in accordance with Section 9.04. Each Agent shall be fully justified in failing or refusing to take any action under this Agreement or any other Loan Document unless it shall first receive such advice or concurrence of the Required Lenders (or such other number or percentage of the Lenders as shall be expressly provided for herein or in the other Loan Documents)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such other number or percentage of the Lenders as shall be expressly provided for herein or in the other Loan Documents), and such request and any action taken or failure to act pursuant thereto shall be binding upon all the Lenders and all future holders of the Loans.</w:t>
      </w:r>
    </w:p>
    <w:p>
      <w:pPr>
        <w:spacing w:after="0" w:line="114" w:lineRule="exact"/>
        <w:rPr>
          <w:sz w:val="20"/>
          <w:szCs w:val="20"/>
          <w:color w:val="auto"/>
        </w:rPr>
      </w:pPr>
    </w:p>
    <w:p>
      <w:pPr>
        <w:jc w:val="both"/>
        <w:ind w:right="40" w:firstLine="914"/>
        <w:spacing w:after="0" w:line="223" w:lineRule="auto"/>
        <w:rPr>
          <w:sz w:val="20"/>
          <w:szCs w:val="20"/>
          <w:color w:val="auto"/>
        </w:rPr>
      </w:pPr>
      <w:r>
        <w:rPr>
          <w:rFonts w:ascii="Times New Roman" w:cs="Times New Roman" w:eastAsia="Times New Roman" w:hAnsi="Times New Roman"/>
          <w:sz w:val="14"/>
          <w:szCs w:val="14"/>
          <w:color w:val="auto"/>
        </w:rPr>
        <w:t>SECTION 8.06.</w:t>
      </w:r>
      <w:r>
        <w:rPr>
          <w:rFonts w:ascii="Times New Roman" w:cs="Times New Roman" w:eastAsia="Times New Roman" w:hAnsi="Times New Roman"/>
          <w:sz w:val="14"/>
          <w:szCs w:val="14"/>
          <w:u w:val="single" w:color="auto"/>
          <w:color w:val="auto"/>
        </w:rPr>
        <w:t>Notice of Default</w:t>
      </w:r>
      <w:r>
        <w:rPr>
          <w:rFonts w:ascii="Times New Roman" w:cs="Times New Roman" w:eastAsia="Times New Roman" w:hAnsi="Times New Roman"/>
          <w:sz w:val="14"/>
          <w:szCs w:val="14"/>
          <w:color w:val="auto"/>
        </w:rPr>
        <w:t>. No Agent shall be deemed to have knowledge or notice of the occurrence of any Default or Event of Default unless such Agent has received written notice from a Lender or the Parent referring to this Agreement, describing such Default or Event of Default and stating that such notice is a “</w:t>
      </w:r>
      <w:r>
        <w:rPr>
          <w:rFonts w:ascii="Times New Roman" w:cs="Times New Roman" w:eastAsia="Times New Roman" w:hAnsi="Times New Roman"/>
          <w:sz w:val="14"/>
          <w:szCs w:val="14"/>
          <w:u w:val="single" w:color="auto"/>
          <w:color w:val="auto"/>
        </w:rPr>
        <w:t>Notice of Default</w:t>
      </w:r>
      <w:r>
        <w:rPr>
          <w:rFonts w:ascii="Times New Roman" w:cs="Times New Roman" w:eastAsia="Times New Roman" w:hAnsi="Times New Roman"/>
          <w:sz w:val="14"/>
          <w:szCs w:val="14"/>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such other number or percentage of the Lenders as shall be expressly provided for herein or in the other Loan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1" w:lineRule="exact"/>
        <w:rPr>
          <w:sz w:val="20"/>
          <w:szCs w:val="20"/>
          <w:color w:val="auto"/>
        </w:rPr>
      </w:pPr>
    </w:p>
    <w:p>
      <w:pPr>
        <w:ind w:firstLine="914"/>
        <w:spacing w:after="0" w:line="216" w:lineRule="auto"/>
        <w:rPr>
          <w:sz w:val="20"/>
          <w:szCs w:val="20"/>
          <w:color w:val="auto"/>
        </w:rPr>
      </w:pPr>
      <w:r>
        <w:rPr>
          <w:rFonts w:ascii="Times New Roman" w:cs="Times New Roman" w:eastAsia="Times New Roman" w:hAnsi="Times New Roman"/>
          <w:sz w:val="14"/>
          <w:szCs w:val="14"/>
          <w:color w:val="auto"/>
        </w:rPr>
        <w:t>SECTION 8.07.</w:t>
      </w:r>
      <w:r>
        <w:rPr>
          <w:rFonts w:ascii="Times New Roman" w:cs="Times New Roman" w:eastAsia="Times New Roman" w:hAnsi="Times New Roman"/>
          <w:sz w:val="14"/>
          <w:szCs w:val="14"/>
          <w:u w:val="single" w:color="auto"/>
          <w:color w:val="auto"/>
        </w:rPr>
        <w:t>Non -Reliance on Agents, Arrangers and Other Lenders</w:t>
      </w:r>
      <w:r>
        <w:rPr>
          <w:rFonts w:ascii="Times New Roman" w:cs="Times New Roman" w:eastAsia="Times New Roman" w:hAnsi="Times New Roman"/>
          <w:sz w:val="14"/>
          <w:szCs w:val="14"/>
          <w:color w:val="auto"/>
        </w:rPr>
        <w:t>. Each Lender and Issuing Bank expressly acknowledges that none of the Agents or Arrangers has made any representation or warranty to it, and that no act by any Agent or Arranger hereafter taken, including any consent to, and acceptance of any assignment or review of the affairs of any Loan Party of any Affiliate thereof, shall be deemed to constitute any representation or warranty by such Agent or Arranger to any Lender or each Issuing Bank as to any matter, including whether any Agent or Arranger has disclosed material information in their (or their Related Parties’) possession. Each Lender and each Issuing Bank represents to the Agents and Arrangers that it has, independently and without reliance upon the Agents,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Issuing Bank also acknowledges that it will, independently and without reliance upon the Agents,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purchasing or holding commercial loans in the ordinary course and is entering into this Agreement and the other Loan Documents to which it is a party as a Lender or Issuing Bank for the purpose of making, acquiring, purchasing and/or holding commercial loans and providing other facilities set forth herein as may be applicable to such Lender or Issuing Bank, and not for the purpose of investing in the general performance or operations of the Parent and/or any Loan Party, or for the purpose of making, acquiring, purchasing or holding any other type of financial instrument such as security, and each Lender and each Issuing Bank agrees not to assert a claim under federal or state securities laws or otherwise in contravention of the foregoing. Each Lender and each Issuing Bank represents and warrants that it is sophisticated with respect to decisions to make, acquire and/or hold commercial loans and to</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39" w:name="page640"/>
    <w:bookmarkEnd w:id="639"/>
    <w:p>
      <w:pPr>
        <w:spacing w:after="0" w:line="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8.08.</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14"/>
        <w:spacing w:after="0" w:line="221" w:lineRule="auto"/>
        <w:rPr>
          <w:sz w:val="20"/>
          <w:szCs w:val="20"/>
          <w:color w:val="auto"/>
        </w:rPr>
      </w:pPr>
      <w:r>
        <w:rPr>
          <w:rFonts w:ascii="Times New Roman" w:cs="Times New Roman" w:eastAsia="Times New Roman" w:hAnsi="Times New Roman"/>
          <w:sz w:val="14"/>
          <w:szCs w:val="14"/>
          <w:color w:val="auto"/>
        </w:rPr>
        <w:t>SECTION 8.09.</w:t>
      </w:r>
      <w:r>
        <w:rPr>
          <w:rFonts w:ascii="Times New Roman" w:cs="Times New Roman" w:eastAsia="Times New Roman" w:hAnsi="Times New Roman"/>
          <w:sz w:val="14"/>
          <w:szCs w:val="14"/>
          <w:u w:val="single" w:color="auto"/>
          <w:color w:val="auto"/>
        </w:rPr>
        <w:t>Agent in Its Individual Capacity</w:t>
      </w:r>
      <w:r>
        <w:rPr>
          <w:rFonts w:ascii="Times New Roman" w:cs="Times New Roman" w:eastAsia="Times New Roman" w:hAnsi="Times New Roman"/>
          <w:sz w:val="14"/>
          <w:szCs w:val="14"/>
          <w:color w:val="auto"/>
        </w:rPr>
        <w:t xml:space="preserve"> . Each Agent and its affiliates may make loans to, accept deposits from, and generally engage in any kind of business with any Loan Party as though such Agent were not an agent hereunder. With respect to its Loans made or renewed by it and with respect to any Letter of Credit issued, or Letter of Credit participated in, by it, each Agent shall have the same rights and powers under this Agreement and the other Loan Documents as any Lender and may exercise the same as though it were not an agent hereunder, and the terms “Lender” and “Lenders” shall, unless otherwise expressly indicated or unless the context otherwise requires, include each person servicing as an agent hereunder in its individual capacity. Such person and its Affiliates may accept deposits from, lend money to, own securities of, act as the financial advisor or in any other advisory capacity for and generally engage in any kind of business with the Parent or any Subsidiary or other Affiliate thereof as if such person were not an agent hereunder and without any duty to account therefor to the Lenders.</w:t>
      </w:r>
    </w:p>
    <w:p>
      <w:pPr>
        <w:spacing w:after="0" w:line="114" w:lineRule="exact"/>
        <w:rPr>
          <w:sz w:val="20"/>
          <w:szCs w:val="20"/>
          <w:color w:val="auto"/>
        </w:rPr>
      </w:pPr>
    </w:p>
    <w:p>
      <w:pPr>
        <w:jc w:val="both"/>
        <w:ind w:right="20" w:firstLine="914"/>
        <w:spacing w:after="0" w:line="225" w:lineRule="auto"/>
        <w:rPr>
          <w:sz w:val="20"/>
          <w:szCs w:val="20"/>
          <w:color w:val="auto"/>
        </w:rPr>
      </w:pPr>
      <w:r>
        <w:rPr>
          <w:rFonts w:ascii="Times New Roman" w:cs="Times New Roman" w:eastAsia="Times New Roman" w:hAnsi="Times New Roman"/>
          <w:sz w:val="14"/>
          <w:szCs w:val="14"/>
          <w:color w:val="auto"/>
        </w:rPr>
        <w:t>SECTION 8.10.</w:t>
      </w:r>
      <w:r>
        <w:rPr>
          <w:rFonts w:ascii="Times New Roman" w:cs="Times New Roman" w:eastAsia="Times New Roman" w:hAnsi="Times New Roman"/>
          <w:sz w:val="14"/>
          <w:szCs w:val="14"/>
          <w:u w:val="single" w:color="auto"/>
          <w:color w:val="auto"/>
        </w:rPr>
        <w:t>Successor Agent</w:t>
      </w:r>
      <w:r>
        <w:rPr>
          <w:rFonts w:ascii="Times New Roman" w:cs="Times New Roman" w:eastAsia="Times New Roman" w:hAnsi="Times New Roman"/>
          <w:sz w:val="14"/>
          <w:szCs w:val="14"/>
          <w:color w:val="auto"/>
        </w:rPr>
        <w:t xml:space="preserve"> . The Administrative Agent or the Collateral Agent may resign as Administrative Agent or Collateral Agent, as applicable, under this Agreement and the other Loan Documents upon 30 days’ written notice to the Lenders and the Parent. Any such resignation by an Agent hereunder shall also constitute its resignation as an Issuing Bank, in which case the resigning Agent (x) shall not be required to issue any further Letters of Credit and (y) shall maintain all of its rights as Issuing Bank with respect to any Letters of Credit issued by it prior to the date of such resignation. Upon any notice of such resignation, then the Required Lenders shall have the right, subject to the reasonable consent of the Parent (so long as no Event of Default under Section 7.01(b), 7.01(c), 7.01(h) or 7.01(i) shall have occurred and be continuing), to appoint a successor which shall be a bank with an office in the United States, or an Affiliate of any such bank with an office in the United States, whereupon such successor agent shall succeed to the rights, powers and duties of the Administrative Agent or the Collateral Agent, as applicable, and the term “Administrative Agent” or “Collateral Agent”, as appliable, shall mean such successor agent effective upon such appointment and approval, and the former Agent’s rights, powers, obligations and duties as Administrative Agent or Collateral Agent, as applicable, shall be terminated, without any other or further act or deed on the part of such former Agent or any of the parties to this Agreement or any holders of the Loans. If no successor agent has accepted appointment as Administrative Agent or Collateral Agent, as applicable, by the date that is 30 days following a retiring Agent’s notice of resignation, the retiring Agent’s resignation shall nevertheless thereupon become effective, and the Lenders shall assume and perform all of the duties of the Administrative Agent or Collateral Agent, as applicable, hereunder until such time, if any, as the Required Lenders appoint a successor agent as provided for above. After any retiring Agent’s resignation as Administrative Agent or Collateral Agent, as applicable, the provisions of this Article VIII and Section 9.05 shall inure to its benefit as to any actions taken or omitted to be taken by it, its subagents and their respective Related Parties while it was an Agent under this Agreement and the other Loan Documents. Upon the acceptance of a successor’s appointment as Administrative Agent or Collateral Agent, as applicable, hereunder, such successor shall succeed to and become vested with all of the rights, powers, privileges and duties of the retiring Agent (other than as provided in Section 2.17 and other than any rights to indemnity payments or other amounts owed to the retiring Agent as of the resignation effective date), and the retiring Agent shall be discharged from all of its duties and obligations hereunder or under the other Loan Documents (if not already discharged therefrom as provided above in this Section 8.10) . Upon the appointment by the Parent of a successor Issuing Bank hereunder (which successor shall in all cases be a Lender other than a Defaulting Lender), (a) such successor shall succeed to and become vested with all of the rights, powers, privileges and duties of the retiring Issuing Bank, (b) the retiring Issuing Bank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40" w:name="page641"/>
    <w:bookmarkEnd w:id="640"/>
    <w:p>
      <w:pPr>
        <w:spacing w:after="0" w:line="24" w:lineRule="exact"/>
        <w:rPr>
          <w:sz w:val="20"/>
          <w:szCs w:val="20"/>
          <w:color w:val="auto"/>
        </w:rPr>
      </w:pPr>
    </w:p>
    <w:p>
      <w:pPr>
        <w:jc w:val="both"/>
        <w:ind w:right="40" w:firstLine="914"/>
        <w:spacing w:after="0" w:line="225" w:lineRule="auto"/>
        <w:rPr>
          <w:sz w:val="20"/>
          <w:szCs w:val="20"/>
          <w:color w:val="auto"/>
        </w:rPr>
      </w:pPr>
      <w:r>
        <w:rPr>
          <w:rFonts w:ascii="Times New Roman" w:cs="Times New Roman" w:eastAsia="Times New Roman" w:hAnsi="Times New Roman"/>
          <w:sz w:val="14"/>
          <w:szCs w:val="14"/>
          <w:color w:val="auto"/>
        </w:rPr>
        <w:t xml:space="preserve">SECTION 8.11. </w:t>
      </w:r>
      <w:r>
        <w:rPr>
          <w:rFonts w:ascii="Times New Roman" w:cs="Times New Roman" w:eastAsia="Times New Roman" w:hAnsi="Times New Roman"/>
          <w:sz w:val="14"/>
          <w:szCs w:val="14"/>
          <w:u w:val="single" w:color="auto"/>
          <w:color w:val="auto"/>
        </w:rPr>
        <w:t>Arrangers, Etc</w:t>
      </w:r>
      <w:r>
        <w:rPr>
          <w:rFonts w:ascii="Times New Roman" w:cs="Times New Roman" w:eastAsia="Times New Roman" w:hAnsi="Times New Roman"/>
          <w:sz w:val="14"/>
          <w:szCs w:val="14"/>
          <w:color w:val="auto"/>
        </w:rPr>
        <w:t>. Notwithstanding any other provision of this Agreement or any provision of any other Loan Document, each Arranger and each of the persons named on the cover page hereof as syndication agent, documentation agent or co-manager is named as such for recognition purposes only, and in its capacity as such shall have no rights, duties, responsibilities or liabilities with respect to this Agreement or any other Loan Document, except in its capacity, as applicable, as an Agent, Lender or Issuing Bank hereunder and except that each such person and its Affiliates shall be entitled to the rights expressly stated to be applicable to them in Section 9.05 (subject to the applicable obligations and limitations as set forth therein).</w:t>
      </w:r>
    </w:p>
    <w:p>
      <w:pPr>
        <w:spacing w:after="0" w:line="111" w:lineRule="exact"/>
        <w:rPr>
          <w:sz w:val="20"/>
          <w:szCs w:val="20"/>
          <w:color w:val="auto"/>
        </w:rPr>
      </w:pPr>
    </w:p>
    <w:p>
      <w:pPr>
        <w:jc w:val="both"/>
        <w:ind w:right="20" w:firstLine="914"/>
        <w:spacing w:after="0" w:line="214" w:lineRule="auto"/>
        <w:rPr>
          <w:sz w:val="20"/>
          <w:szCs w:val="20"/>
          <w:color w:val="auto"/>
        </w:rPr>
      </w:pPr>
      <w:r>
        <w:rPr>
          <w:rFonts w:ascii="Times New Roman" w:cs="Times New Roman" w:eastAsia="Times New Roman" w:hAnsi="Times New Roman"/>
          <w:sz w:val="14"/>
          <w:szCs w:val="14"/>
          <w:color w:val="auto"/>
        </w:rPr>
        <w:t>SECTION 8.12.</w:t>
      </w:r>
      <w:r>
        <w:rPr>
          <w:rFonts w:ascii="Times New Roman" w:cs="Times New Roman" w:eastAsia="Times New Roman" w:hAnsi="Times New Roman"/>
          <w:sz w:val="14"/>
          <w:szCs w:val="14"/>
          <w:u w:val="single" w:color="auto"/>
          <w:color w:val="auto"/>
        </w:rPr>
        <w:t>Security Documents and Collateral Agent</w:t>
      </w:r>
      <w:r>
        <w:rPr>
          <w:rFonts w:ascii="Times New Roman" w:cs="Times New Roman" w:eastAsia="Times New Roman" w:hAnsi="Times New Roman"/>
          <w:sz w:val="14"/>
          <w:szCs w:val="14"/>
          <w:color w:val="auto"/>
        </w:rPr>
        <w:t xml:space="preserve"> . The Lenders and the other Secured Parties authorize the Collateral Agent to release any Collateral in accordance with Section 9.18 or if approved, authorized or ratified in accordance with Section 9.08. The Lenders and the other Secured Parties hereby irrevocably authorize the Collateral Agent to, without any further consent of any Lender or any other Secured Party, enter into (or acknowledge and consent to) or, subject to Section 9.08(b)(ix), amend, renew, extend, supplement, restate, replace, waive or otherwise modify the Closing Date Intercreditor Agreement and any other Acceptable Intercreditor Agreement with the collateral agent or other representative of holders of Indebtedness secured (and permitted to be secured) by a Lien on assets constituting a portion of the Collateral under any provision of Section 6.02 so long as such Lien is junior or equal and ratable with the liens securing the Obligations (it being acknowledged and agreed that the Collateral Agent shall be under no obligation to execute any agreement pursuant to this sentence, and may elect to do so, or not do so, in its sole and absolute discretion). Furthermore, the Lenders and the other Secured Parties hereby authorize the Collateral Agent to (i) release or subordinate any Lien on any property granted to or held by the Collateral Agent under any Loan Document in favor of the holder of any Lien on such property that is permitted by clauses 6.02(c), 6.02(i), 6.02(j), 6.02(v) or 6.02(z) in each case to the extent the contract or agreement pursuant to which such Lien is granted prohibits, or requires the subordination of, any other Liens on such property or (ii) release any Lien on any property granted to or held by the Collateral Agent under any Loan Document that is or becomes Excluded Property; and the Collateral Agent shall do so upon request of the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prior to any such request, the Parent shall have in each case delivered to the Administrative Agent a certificate of a Responsible Officer of the Parent certifying (x) in the case of a request pursuant to clause (i) of this sentence, that such Lien is permitted under this Agreement and that the contract or agreement pursuant to which such Lien is granted prohibits, or requires the subordination of, any other Lien on such property and</w:t>
      </w:r>
    </w:p>
    <w:p>
      <w:pPr>
        <w:spacing w:after="0" w:line="6" w:lineRule="exact"/>
        <w:rPr>
          <w:sz w:val="20"/>
          <w:szCs w:val="20"/>
          <w:color w:val="auto"/>
        </w:rPr>
      </w:pPr>
    </w:p>
    <w:p>
      <w:pPr>
        <w:jc w:val="both"/>
        <w:ind w:right="40" w:firstLine="6"/>
        <w:spacing w:after="0" w:line="220" w:lineRule="auto"/>
        <w:tabs>
          <w:tab w:leader="none" w:pos="202" w:val="left"/>
        </w:tabs>
        <w:numPr>
          <w:ilvl w:val="0"/>
          <w:numId w:val="7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request pursuant to clause (ii) of this sentence, that (A) such property is or has become Excluded Property and (B) if such property has become Excluded Property as a result of a contractual restriction, such restriction does not violate Section 6.09. Notwithstanding any of the foregoing or any other terms of the Loan Documents, (A) any release of Collateral relating to (i) the Closing Date Intercompany Loan and/or (ii) if granted, any Equity Interests in a Danish entity, and (B) following the occurrence of an Event of Default and solely to the extent that such Event of Default is continuing, any release of any Collateral, will, in each case, to the extent required under applicable law to ensure the maintained perfection, validity and enforceability of such Collateral, always be subject to the prior written consent of the Collateral Agent.</w:t>
      </w:r>
    </w:p>
    <w:p>
      <w:pPr>
        <w:spacing w:after="0" w:line="112" w:lineRule="exact"/>
        <w:rPr>
          <w:sz w:val="20"/>
          <w:szCs w:val="20"/>
          <w:color w:val="auto"/>
        </w:rPr>
      </w:pPr>
    </w:p>
    <w:p>
      <w:pPr>
        <w:ind w:firstLine="914"/>
        <w:spacing w:after="0" w:line="219" w:lineRule="auto"/>
        <w:rPr>
          <w:sz w:val="20"/>
          <w:szCs w:val="20"/>
          <w:color w:val="auto"/>
        </w:rPr>
      </w:pPr>
      <w:r>
        <w:rPr>
          <w:rFonts w:ascii="Times New Roman" w:cs="Times New Roman" w:eastAsia="Times New Roman" w:hAnsi="Times New Roman"/>
          <w:sz w:val="14"/>
          <w:szCs w:val="14"/>
          <w:color w:val="auto"/>
        </w:rPr>
        <w:t>SECTION 8.13.</w:t>
      </w:r>
      <w:r>
        <w:rPr>
          <w:rFonts w:ascii="Times New Roman" w:cs="Times New Roman" w:eastAsia="Times New Roman" w:hAnsi="Times New Roman"/>
          <w:sz w:val="14"/>
          <w:szCs w:val="14"/>
          <w:u w:val="single" w:color="auto"/>
          <w:color w:val="auto"/>
        </w:rPr>
        <w:t>Right to Realize on Collateral, Enforce Guarantees and Credit Bidding</w:t>
      </w:r>
      <w:r>
        <w:rPr>
          <w:rFonts w:ascii="Times New Roman" w:cs="Times New Roman" w:eastAsia="Times New Roman" w:hAnsi="Times New Roman"/>
          <w:sz w:val="14"/>
          <w:szCs w:val="14"/>
          <w:color w:val="auto"/>
        </w:rPr>
        <w:t>. In case of the pendency of any proceeding under any Debtor Relief Laws or other judicial proceeding relative to any Loan Party, (a) the Administrative Agent (irrespective of whether the principal of any Obligation shall then be due and payable as herein expressed or by declaration or otherwise and irrespective of whether the Administrative Agent shall have made any demand on the Parent) shall be entitled and empowered, by intervention in such proceeding or otherwise (i) to file and prove a claim for the whole amount of the principal and interest owing and unpaid in respect of any or all of the Obligations that are owing and unpaid and to file such other documents as may be necessary or advisable in order to have the claims of the Lenders, the Issuing Banks and the Agents and any subagents allowed in such judicial proceeding, and (ii) to collect and receive any monies or other property payable or deliverable on any such claims and to distribute the same, and (b) any custodian, receiver, examiner,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Agents any amount due for the reasonable compensation, expenses, disbursements and advances of the Agents and their agents and counsel, and any other amounts due the Agents under the Loan Documents. Nothing contained herein shall be deemed to authorize the</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41" w:name="page642"/>
    <w:bookmarkEnd w:id="641"/>
    <w:p>
      <w:pPr>
        <w:spacing w:after="0" w:line="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15" w:lineRule="exact"/>
        <w:rPr>
          <w:sz w:val="20"/>
          <w:szCs w:val="20"/>
          <w:color w:val="auto"/>
        </w:rPr>
      </w:pPr>
    </w:p>
    <w:p>
      <w:pPr>
        <w:jc w:val="both"/>
        <w:ind w:right="20" w:firstLine="914"/>
        <w:spacing w:after="0" w:line="259" w:lineRule="auto"/>
        <w:rPr>
          <w:sz w:val="20"/>
          <w:szCs w:val="20"/>
          <w:color w:val="auto"/>
        </w:rPr>
      </w:pPr>
      <w:r>
        <w:rPr>
          <w:rFonts w:ascii="Times New Roman" w:cs="Times New Roman" w:eastAsia="Times New Roman" w:hAnsi="Times New Roman"/>
          <w:sz w:val="14"/>
          <w:szCs w:val="14"/>
          <w:color w:val="auto"/>
        </w:rPr>
        <w:t xml:space="preserve">Anything contained in any of the Loan Documents to the contrary notwithstanding, the Parent,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and the Collateral Agent, on behalf of the Secured Parties in accordance with the terms hereof and all powers, rights and remedies under the Security Documents may be exercised solely by the Collateral Agent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the Lenders may exercise the set-off rights contained in Section 9.06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302" w:lineRule="exact"/>
        <w:rPr>
          <w:sz w:val="20"/>
          <w:szCs w:val="20"/>
          <w:color w:val="auto"/>
        </w:rPr>
      </w:pPr>
    </w:p>
    <w:p>
      <w:pPr>
        <w:jc w:val="both"/>
        <w:ind w:firstLine="914"/>
        <w:spacing w:after="0" w:line="257" w:lineRule="auto"/>
        <w:rPr>
          <w:sz w:val="20"/>
          <w:szCs w:val="20"/>
          <w:color w:val="auto"/>
        </w:rPr>
      </w:pPr>
      <w:r>
        <w:rPr>
          <w:rFonts w:ascii="Times New Roman" w:cs="Times New Roman" w:eastAsia="Times New Roman" w:hAnsi="Times New Roman"/>
          <w:sz w:val="14"/>
          <w:szCs w:val="14"/>
          <w:color w:val="auto"/>
        </w:rPr>
        <w:t>The Secured Parties hereby irrevocably authorize each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or foreclosure or acceptance of Collateral in lieu of debt conducted by (or with the consent or at the direction of) an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each Agent shall be authorized (x) to form one or more acquisition vehicles to make a bid, (y) to adopt documents providing for the governance of the acquisition vehicle or vehicles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actions by such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(i) through (ix) of Section 9.08(b) of this Agreement), and (z) each Agent shall be authorized to assign the relevant Obligations to any such acquisition vehicle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by the Lenders, as a result of which each of the Lenders shall be deemed to have received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42" w:name="page643"/>
    <w:bookmarkEnd w:id="642"/>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12" w:lineRule="exact"/>
        <w:rPr>
          <w:sz w:val="20"/>
          <w:szCs w:val="20"/>
          <w:color w:val="auto"/>
        </w:rPr>
      </w:pPr>
    </w:p>
    <w:p>
      <w:pPr>
        <w:jc w:val="both"/>
        <w:ind w:right="20" w:firstLine="914"/>
        <w:spacing w:after="0" w:line="219" w:lineRule="auto"/>
        <w:rPr>
          <w:sz w:val="20"/>
          <w:szCs w:val="20"/>
          <w:color w:val="auto"/>
        </w:rPr>
      </w:pPr>
      <w:r>
        <w:rPr>
          <w:rFonts w:ascii="Times New Roman" w:cs="Times New Roman" w:eastAsia="Times New Roman" w:hAnsi="Times New Roman"/>
          <w:sz w:val="14"/>
          <w:szCs w:val="14"/>
          <w:color w:val="auto"/>
        </w:rPr>
        <w:t>SECTION 8.14.</w:t>
      </w:r>
      <w:r>
        <w:rPr>
          <w:rFonts w:ascii="Times New Roman" w:cs="Times New Roman" w:eastAsia="Times New Roman" w:hAnsi="Times New Roman"/>
          <w:sz w:val="14"/>
          <w:szCs w:val="14"/>
          <w:u w:val="single" w:color="auto"/>
          <w:color w:val="auto"/>
        </w:rPr>
        <w:t>Withholding Tax</w:t>
      </w:r>
      <w:r>
        <w:rPr>
          <w:rFonts w:ascii="Times New Roman" w:cs="Times New Roman" w:eastAsia="Times New Roman" w:hAnsi="Times New Roman"/>
          <w:sz w:val="14"/>
          <w:szCs w:val="14"/>
          <w:color w:val="auto"/>
        </w:rPr>
        <w:t xml:space="preserve"> . To the extent required by applicable law, the Administrative Agent may deduct or withhold from any payment to any Lender Party an amount equivalent to any applicable withholding Tax. If any taxing authority asserts a claim that the Administrative Agent did not properly withhold Tax from amounts paid to or for the account of any Lender Party for any reason (including, without limitation, because the appropriate documentation was not delivered or was not properly executed, or because such Lender Party failed to notify the Administrative Agent of a change in circumstances that rendered the applicable exemption from, or reduction of, withholding Tax ineffective), such Lender Party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A certificate as to the amount of such payment or liability delivered to any Lender Party by the Administrative Agent shall be conclusive absent manifest error. Each Lender Party hereby authorizes the Administrative Agent to set off and apply any and all amounts at any time owing to such Lender Party under this Agreement, any other Loan Document or otherwise against any amount due to the Administrative Agent under this Section 8.14.</w:t>
      </w:r>
    </w:p>
    <w:p>
      <w:pPr>
        <w:spacing w:after="0" w:line="111" w:lineRule="exact"/>
        <w:rPr>
          <w:sz w:val="20"/>
          <w:szCs w:val="20"/>
          <w:color w:val="auto"/>
        </w:rPr>
      </w:pPr>
    </w:p>
    <w:p>
      <w:pPr>
        <w:jc w:val="both"/>
        <w:ind w:firstLine="914"/>
        <w:spacing w:after="0" w:line="221" w:lineRule="auto"/>
        <w:rPr>
          <w:sz w:val="20"/>
          <w:szCs w:val="20"/>
          <w:color w:val="auto"/>
        </w:rPr>
      </w:pPr>
      <w:r>
        <w:rPr>
          <w:rFonts w:ascii="Times New Roman" w:cs="Times New Roman" w:eastAsia="Times New Roman" w:hAnsi="Times New Roman"/>
          <w:sz w:val="14"/>
          <w:szCs w:val="14"/>
          <w:color w:val="auto"/>
        </w:rPr>
        <w:t>SECTION 8.15.</w:t>
      </w:r>
      <w:r>
        <w:rPr>
          <w:rFonts w:ascii="Times New Roman" w:cs="Times New Roman" w:eastAsia="Times New Roman" w:hAnsi="Times New Roman"/>
          <w:sz w:val="14"/>
          <w:szCs w:val="14"/>
          <w:u w:val="single" w:color="auto"/>
          <w:color w:val="auto"/>
        </w:rPr>
        <w:t>Secured Cash Management Agreements and Secured Hedge Agreements</w:t>
      </w:r>
      <w:r>
        <w:rPr>
          <w:rFonts w:ascii="Times New Roman" w:cs="Times New Roman" w:eastAsia="Times New Roman" w:hAnsi="Times New Roman"/>
          <w:sz w:val="14"/>
          <w:szCs w:val="14"/>
          <w:color w:val="auto"/>
        </w:rPr>
        <w:t>. No Cash Management Bank or Hedge Bank that obtains the benefits of Section 7.03, any Guarantee or any Collateral by virtue of the provisions hereof or of the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reasonably request, from the applicable Cash Management Bank or Hedge Bank, as the case may be.</w:t>
      </w:r>
    </w:p>
    <w:p>
      <w:pPr>
        <w:spacing w:after="0" w:line="1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8.16.</w:t>
      </w:r>
      <w:r>
        <w:rPr>
          <w:rFonts w:ascii="Times New Roman" w:cs="Times New Roman" w:eastAsia="Times New Roman" w:hAnsi="Times New Roman"/>
          <w:sz w:val="14"/>
          <w:szCs w:val="14"/>
          <w:u w:val="single" w:color="auto"/>
          <w:color w:val="auto"/>
        </w:rPr>
        <w:t>Certain ERISA Matters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33" w:lineRule="auto"/>
        <w:tabs>
          <w:tab w:leader="none" w:pos="1370" w:val="left"/>
        </w:tabs>
        <w:numPr>
          <w:ilvl w:val="0"/>
          <w:numId w:val="7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or any other Loan Party, that at least one of the following is and will be true:</w:t>
      </w:r>
    </w:p>
    <w:p>
      <w:pPr>
        <w:spacing w:after="0" w:line="112" w:lineRule="exact"/>
        <w:rPr>
          <w:sz w:val="20"/>
          <w:szCs w:val="20"/>
          <w:color w:val="auto"/>
        </w:rPr>
      </w:pPr>
    </w:p>
    <w:p>
      <w:pPr>
        <w:ind w:left="460" w:right="20" w:firstLine="460"/>
        <w:spacing w:after="0" w:line="248" w:lineRule="auto"/>
        <w:tabs>
          <w:tab w:leader="none" w:pos="1374" w:val="left"/>
        </w:tabs>
        <w:numPr>
          <w:ilvl w:val="0"/>
          <w:numId w:val="7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05" w:lineRule="exact"/>
        <w:rPr>
          <w:rFonts w:ascii="Times New Roman" w:cs="Times New Roman" w:eastAsia="Times New Roman" w:hAnsi="Times New Roman"/>
          <w:sz w:val="14"/>
          <w:szCs w:val="14"/>
          <w:color w:val="auto"/>
        </w:rPr>
      </w:pPr>
    </w:p>
    <w:p>
      <w:pPr>
        <w:jc w:val="both"/>
        <w:ind w:left="460" w:right="20" w:firstLine="460"/>
        <w:spacing w:after="0" w:line="233" w:lineRule="auto"/>
        <w:tabs>
          <w:tab w:leader="none" w:pos="1374" w:val="left"/>
        </w:tabs>
        <w:numPr>
          <w:ilvl w:val="0"/>
          <w:numId w:val="7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43" w:name="page644"/>
    <w:bookmarkEnd w:id="643"/>
    <w:p>
      <w:pPr>
        <w:spacing w:after="0" w:line="24" w:lineRule="exact"/>
        <w:rPr>
          <w:sz w:val="20"/>
          <w:szCs w:val="20"/>
          <w:color w:val="auto"/>
        </w:rPr>
      </w:pPr>
    </w:p>
    <w:p>
      <w:pPr>
        <w:ind w:left="460" w:right="20"/>
        <w:spacing w:after="0" w:line="248" w:lineRule="auto"/>
        <w:rPr>
          <w:sz w:val="20"/>
          <w:szCs w:val="20"/>
          <w:color w:val="auto"/>
        </w:rPr>
      </w:pPr>
      <w:r>
        <w:rPr>
          <w:rFonts w:ascii="Times New Roman" w:cs="Times New Roman" w:eastAsia="Times New Roman" w:hAnsi="Times New Roman"/>
          <w:sz w:val="14"/>
          <w:szCs w:val="14"/>
          <w:color w:val="auto"/>
        </w:rPr>
        <w:t>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05" w:lineRule="exact"/>
        <w:rPr>
          <w:sz w:val="20"/>
          <w:szCs w:val="20"/>
          <w:color w:val="auto"/>
        </w:rPr>
      </w:pPr>
    </w:p>
    <w:p>
      <w:pPr>
        <w:jc w:val="both"/>
        <w:ind w:left="460" w:right="20" w:firstLine="460"/>
        <w:spacing w:after="0" w:line="218" w:lineRule="auto"/>
        <w:tabs>
          <w:tab w:leader="none" w:pos="1374" w:val="left"/>
        </w:tabs>
        <w:numPr>
          <w:ilvl w:val="1"/>
          <w:numId w:val="7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Section I of PTE 84-14 and (D) to the best knowledge of such Lender, the requirements of subsection</w:t>
      </w:r>
    </w:p>
    <w:p>
      <w:pPr>
        <w:spacing w:after="0" w:line="2" w:lineRule="exact"/>
        <w:rPr>
          <w:rFonts w:ascii="Times New Roman" w:cs="Times New Roman" w:eastAsia="Times New Roman" w:hAnsi="Times New Roman"/>
          <w:sz w:val="14"/>
          <w:szCs w:val="14"/>
          <w:color w:val="auto"/>
        </w:rPr>
      </w:pPr>
    </w:p>
    <w:p>
      <w:pPr>
        <w:ind w:left="460" w:right="20" w:firstLine="3"/>
        <w:spacing w:after="0" w:line="232" w:lineRule="auto"/>
        <w:tabs>
          <w:tab w:leader="none" w:pos="656" w:val="left"/>
        </w:tabs>
        <w:numPr>
          <w:ilvl w:val="0"/>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Section I of PTE 84-14 are satisfied with respect to such Lender’s entrance into, participation in, administration of and performance of the Loans, the Letters of Credit, the Commitments and this Agreement, or</w:t>
      </w:r>
    </w:p>
    <w:p>
      <w:pPr>
        <w:spacing w:after="0" w:line="111" w:lineRule="exact"/>
        <w:rPr>
          <w:sz w:val="20"/>
          <w:szCs w:val="20"/>
          <w:color w:val="auto"/>
        </w:rPr>
      </w:pPr>
    </w:p>
    <w:p>
      <w:pPr>
        <w:ind w:left="1380" w:hanging="460"/>
        <w:spacing w:after="0"/>
        <w:tabs>
          <w:tab w:leader="none" w:pos="1380" w:val="left"/>
        </w:tabs>
        <w:numPr>
          <w:ilvl w:val="0"/>
          <w:numId w:val="7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representation, warranty and covenant as may be agreed in writing between the Administrative Agent, in its sole discretion, and such Lender.</w:t>
      </w:r>
    </w:p>
    <w:p>
      <w:pPr>
        <w:spacing w:after="0" w:line="134" w:lineRule="exact"/>
        <w:rPr>
          <w:sz w:val="20"/>
          <w:szCs w:val="20"/>
          <w:color w:val="auto"/>
        </w:rPr>
      </w:pPr>
    </w:p>
    <w:p>
      <w:pPr>
        <w:ind w:firstLine="920"/>
        <w:spacing w:after="0"/>
        <w:tabs>
          <w:tab w:leader="none" w:pos="1361" w:val="left"/>
        </w:tabs>
        <w:numPr>
          <w:ilvl w:val="0"/>
          <w:numId w:val="7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8.17.</w:t>
      </w:r>
      <w:r>
        <w:rPr>
          <w:rFonts w:ascii="Times New Roman" w:cs="Times New Roman" w:eastAsia="Times New Roman" w:hAnsi="Times New Roman"/>
          <w:sz w:val="14"/>
          <w:szCs w:val="14"/>
          <w:u w:val="single" w:color="auto"/>
          <w:color w:val="auto"/>
        </w:rPr>
        <w:t>Erroneous Payments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32" w:lineRule="auto"/>
        <w:tabs>
          <w:tab w:leader="none" w:pos="1370" w:val="left"/>
        </w:tabs>
        <w:numPr>
          <w:ilvl w:val="0"/>
          <w:numId w:val="7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cs="Times New Roman" w:eastAsia="Times New Roman" w:hAnsi="Times New Roman"/>
          <w:sz w:val="14"/>
          <w:szCs w:val="14"/>
          <w:u w:val="single" w:color="auto"/>
          <w:color w:val="auto"/>
        </w:rPr>
        <w:t>Payment Recipient</w:t>
      </w:r>
      <w:r>
        <w:rPr>
          <w:rFonts w:ascii="Times New Roman" w:cs="Times New Roman" w:eastAsia="Times New Roman" w:hAnsi="Times New Roman"/>
          <w:sz w:val="14"/>
          <w:szCs w:val="14"/>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4"/>
          <w:szCs w:val="14"/>
          <w:u w:val="single" w:color="auto"/>
          <w:color w:val="auto"/>
        </w:rPr>
        <w:t>Erroneous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and (y) demands in writing the return of such Erroneous Payment (or a portion thereof), such Erroneous Payment shall at all times remain the property of the Administrative Agent pending its return or repayment as contemplated below in this Section 8.17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applicable Overnight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44" w:name="page645"/>
    <w:bookmarkEnd w:id="644"/>
    <w:p>
      <w:pPr>
        <w:spacing w:after="0" w:line="24" w:lineRule="exact"/>
        <w:rPr>
          <w:sz w:val="20"/>
          <w:szCs w:val="20"/>
          <w:color w:val="auto"/>
        </w:rPr>
      </w:pPr>
    </w:p>
    <w:p>
      <w:pPr>
        <w:jc w:val="both"/>
        <w:ind w:right="20" w:firstLine="920"/>
        <w:spacing w:after="0" w:line="221" w:lineRule="auto"/>
        <w:tabs>
          <w:tab w:leader="none" w:pos="1361"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immediately preceding clause (a),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spacing w:after="0" w:line="133" w:lineRule="exact"/>
        <w:rPr>
          <w:sz w:val="20"/>
          <w:szCs w:val="20"/>
          <w:color w:val="auto"/>
        </w:rPr>
      </w:pPr>
    </w:p>
    <w:p>
      <w:pPr>
        <w:jc w:val="both"/>
        <w:ind w:left="460" w:right="20" w:firstLine="460"/>
        <w:spacing w:after="0" w:line="264" w:lineRule="auto"/>
        <w:tabs>
          <w:tab w:leader="none" w:pos="1364" w:val="left"/>
        </w:tabs>
        <w:numPr>
          <w:ilvl w:val="0"/>
          <w:numId w:val="731"/>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31" w:lineRule="exact"/>
        <w:rPr>
          <w:rFonts w:ascii="Times New Roman" w:cs="Times New Roman" w:eastAsia="Times New Roman" w:hAnsi="Times New Roman"/>
          <w:sz w:val="15"/>
          <w:szCs w:val="15"/>
          <w:color w:val="auto"/>
        </w:rPr>
      </w:pPr>
    </w:p>
    <w:p>
      <w:pPr>
        <w:jc w:val="both"/>
        <w:ind w:left="460" w:firstLine="460"/>
        <w:spacing w:after="0" w:line="261" w:lineRule="auto"/>
        <w:tabs>
          <w:tab w:leader="none" w:pos="1374" w:val="left"/>
        </w:tabs>
        <w:numPr>
          <w:ilvl w:val="0"/>
          <w:numId w:val="731"/>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8.17(b).</w:t>
      </w:r>
    </w:p>
    <w:p>
      <w:pPr>
        <w:spacing w:after="0" w:line="125"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For the avoidance of doubt, the failure to deliver a notice to the Administrative Agent pursuant to this Section 8.17(b) shall not have any effect on a Payment Recipient’s obligations pursuant to Section 8.17(a) or on whether or not an Erroneous Payment has been made.</w:t>
      </w:r>
    </w:p>
    <w:p>
      <w:pPr>
        <w:spacing w:after="0" w:line="95" w:lineRule="exact"/>
        <w:rPr>
          <w:sz w:val="20"/>
          <w:szCs w:val="20"/>
          <w:color w:val="auto"/>
        </w:rPr>
      </w:pPr>
    </w:p>
    <w:p>
      <w:pPr>
        <w:jc w:val="both"/>
        <w:ind w:firstLine="920"/>
        <w:spacing w:after="0" w:line="228" w:lineRule="auto"/>
        <w:tabs>
          <w:tab w:leader="none" w:pos="1370"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Section 8.17(a).</w:t>
      </w:r>
    </w:p>
    <w:p>
      <w:pPr>
        <w:spacing w:after="0" w:line="111" w:lineRule="exact"/>
        <w:rPr>
          <w:rFonts w:ascii="Times New Roman" w:cs="Times New Roman" w:eastAsia="Times New Roman" w:hAnsi="Times New Roman"/>
          <w:sz w:val="14"/>
          <w:szCs w:val="14"/>
          <w:color w:val="auto"/>
        </w:rPr>
      </w:pPr>
    </w:p>
    <w:p>
      <w:pPr>
        <w:jc w:val="both"/>
        <w:ind w:firstLine="920"/>
        <w:spacing w:after="0" w:line="219" w:lineRule="auto"/>
        <w:tabs>
          <w:tab w:leader="none" w:pos="1361"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and (y) an Erroneous Payment shall not pay, prepay, repay, discharge or otherwise satisfy any Obligations owed by the Parent or any other Loan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Section 8.17 shall not be interpreted to increase (or accelerate the due date for), or have the effect of increasing (or accelerating the due date for), the Obligations of the Parent or any other Loan Party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Parent or the U.S. Co-Borrower for the purpose of making a payment on the Obligations.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45" w:name="page646"/>
    <w:bookmarkEnd w:id="645"/>
    <w:p>
      <w:pPr>
        <w:spacing w:after="0" w:line="24" w:lineRule="exact"/>
        <w:rPr>
          <w:sz w:val="20"/>
          <w:szCs w:val="20"/>
          <w:color w:val="auto"/>
        </w:rPr>
      </w:pPr>
    </w:p>
    <w:p>
      <w:pPr>
        <w:jc w:val="both"/>
        <w:ind w:right="20" w:firstLine="920"/>
        <w:spacing w:after="0" w:line="233" w:lineRule="auto"/>
        <w:tabs>
          <w:tab w:leader="none" w:pos="1370" w:val="left"/>
        </w:tabs>
        <w:numPr>
          <w:ilvl w:val="1"/>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21" w:lineRule="exact"/>
        <w:rPr>
          <w:rFonts w:ascii="Times New Roman" w:cs="Times New Roman" w:eastAsia="Times New Roman" w:hAnsi="Times New Roman"/>
          <w:sz w:val="14"/>
          <w:szCs w:val="14"/>
          <w:color w:val="auto"/>
        </w:rPr>
      </w:pPr>
    </w:p>
    <w:p>
      <w:pPr>
        <w:jc w:val="both"/>
        <w:ind w:right="20" w:firstLine="6"/>
        <w:spacing w:after="0" w:line="273" w:lineRule="auto"/>
        <w:tabs>
          <w:tab w:leader="none" w:pos="457" w:val="left"/>
        </w:tabs>
        <w:numPr>
          <w:ilvl w:val="0"/>
          <w:numId w:val="7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party’s obligations, agreements and waivers under this Section 8.17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ARTICLE IX</w:t>
      </w:r>
    </w:p>
    <w:p>
      <w:pPr>
        <w:spacing w:after="0" w:line="1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u w:val="single" w:color="auto"/>
          <w:color w:val="auto"/>
        </w:rPr>
        <w:t>Miscellaneous</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9.01.</w:t>
      </w:r>
      <w:r>
        <w:rPr>
          <w:rFonts w:ascii="Times New Roman" w:cs="Times New Roman" w:eastAsia="Times New Roman" w:hAnsi="Times New Roman"/>
          <w:sz w:val="14"/>
          <w:szCs w:val="14"/>
          <w:u w:val="single" w:color="auto"/>
          <w:color w:val="auto"/>
        </w:rPr>
        <w:t>Notices; Communications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28" w:lineRule="auto"/>
        <w:tabs>
          <w:tab w:leader="none" w:pos="1370" w:val="left"/>
        </w:tabs>
        <w:numPr>
          <w:ilvl w:val="0"/>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spacing w:after="0" w:line="112" w:lineRule="exact"/>
        <w:rPr>
          <w:sz w:val="20"/>
          <w:szCs w:val="20"/>
          <w:color w:val="auto"/>
        </w:rPr>
      </w:pPr>
    </w:p>
    <w:p>
      <w:pPr>
        <w:ind w:left="460" w:right="40" w:firstLine="460"/>
        <w:spacing w:after="0" w:line="248" w:lineRule="auto"/>
        <w:tabs>
          <w:tab w:leader="none" w:pos="1374" w:val="left"/>
        </w:tabs>
        <w:numPr>
          <w:ilvl w:val="0"/>
          <w:numId w:val="7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to any Loan Party or the Administrative Agent or the Collateral Agent, any Issuing Banks as of the Closing Date to the address, telecopier number, electronic mail address or telephone number specified for such person on </w:t>
      </w:r>
      <w:r>
        <w:rPr>
          <w:rFonts w:ascii="Times New Roman" w:cs="Times New Roman" w:eastAsia="Times New Roman" w:hAnsi="Times New Roman"/>
          <w:sz w:val="14"/>
          <w:szCs w:val="14"/>
          <w:u w:val="single" w:color="auto"/>
          <w:color w:val="auto"/>
        </w:rPr>
        <w:t>Schedule 9.01</w:t>
      </w:r>
      <w:r>
        <w:rPr>
          <w:rFonts w:ascii="Times New Roman" w:cs="Times New Roman" w:eastAsia="Times New Roman" w:hAnsi="Times New Roman"/>
          <w:sz w:val="14"/>
          <w:szCs w:val="14"/>
          <w:color w:val="auto"/>
        </w:rPr>
        <w:t>; and</w:t>
      </w:r>
    </w:p>
    <w:p>
      <w:pPr>
        <w:spacing w:after="0" w:line="102"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any other Lender or Issuing Bank, to the address, telecopier number, electronic mail address or telephone number specified in its Administrative</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Questionnaire.</w:t>
      </w:r>
    </w:p>
    <w:p>
      <w:pPr>
        <w:spacing w:after="0" w:line="118" w:lineRule="exact"/>
        <w:rPr>
          <w:sz w:val="20"/>
          <w:szCs w:val="20"/>
          <w:color w:val="auto"/>
        </w:rPr>
      </w:pPr>
    </w:p>
    <w:p>
      <w:pPr>
        <w:jc w:val="both"/>
        <w:ind w:firstLine="920"/>
        <w:spacing w:after="0" w:line="225" w:lineRule="auto"/>
        <w:tabs>
          <w:tab w:leader="none" w:pos="1361" w:val="left"/>
        </w:tabs>
        <w:numPr>
          <w:ilvl w:val="0"/>
          <w:numId w:val="7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Administrative Agent or the Parent may, in their discretion, agree to accept notices and other communications to it hereunder by electronic communications pursuant to procedures approved by them,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approval of such procedures may be limited to particular notices or communications.</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28" w:lineRule="auto"/>
        <w:tabs>
          <w:tab w:leader="none" w:pos="1370" w:val="left"/>
        </w:tabs>
        <w:numPr>
          <w:ilvl w:val="0"/>
          <w:numId w:val="7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party hereto may change its address or telecopy number for notices and other communications hereunder by notice to the other parties hereto.</w:t>
      </w:r>
    </w:p>
    <w:p>
      <w:pPr>
        <w:spacing w:after="0" w:line="134" w:lineRule="exact"/>
        <w:rPr>
          <w:rFonts w:ascii="Times New Roman" w:cs="Times New Roman" w:eastAsia="Times New Roman" w:hAnsi="Times New Roman"/>
          <w:sz w:val="14"/>
          <w:szCs w:val="14"/>
          <w:color w:val="auto"/>
        </w:rPr>
      </w:pPr>
    </w:p>
    <w:p>
      <w:pPr>
        <w:jc w:val="both"/>
        <w:ind w:firstLine="920"/>
        <w:spacing w:after="0" w:line="228" w:lineRule="auto"/>
        <w:tabs>
          <w:tab w:leader="none" w:pos="1370" w:val="left"/>
        </w:tabs>
        <w:numPr>
          <w:ilvl w:val="0"/>
          <w:numId w:val="7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Documents required to be delivered pursuant to Section 5.04 (to the extent any such documents are included in materials otherwise filed with the SEC) may be delivered electronically (including as set forth in Section 9.17) and if so delivered, shall be deemed to have been delivered on the date (i) on which the Parent posts such documents, or provides a link thereto on the Parent’s website on the Internet at the website address listed on </w:t>
      </w:r>
      <w:r>
        <w:rPr>
          <w:rFonts w:ascii="Times New Roman" w:cs="Times New Roman" w:eastAsia="Times New Roman" w:hAnsi="Times New Roman"/>
          <w:sz w:val="14"/>
          <w:szCs w:val="14"/>
          <w:u w:val="single" w:color="auto"/>
          <w:color w:val="auto"/>
        </w:rPr>
        <w:t>Schedule 9.01</w:t>
      </w:r>
      <w:r>
        <w:rPr>
          <w:rFonts w:ascii="Times New Roman" w:cs="Times New Roman" w:eastAsia="Times New Roman" w:hAnsi="Times New Roman"/>
          <w:sz w:val="14"/>
          <w:szCs w:val="14"/>
          <w:color w:val="auto"/>
        </w:rPr>
        <w:t>, or (ii) on which such documents are posted on the Parent’s behalf on an Internet or intranet website, if any, to which each Lender and the Administrative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46" w:name="page647"/>
    <w:bookmarkEnd w:id="646"/>
    <w:p>
      <w:pPr>
        <w:spacing w:after="0" w:line="2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 xml:space="preserve">Agent have access (whether a commercial, third-party website or whether sponsored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the Parent shall deliver paper copies of such documents to the Administrative Agent or any Lender that requests the Parent to deliver such paper copies until a written request to cease delivering paper copies is given by the Administrative Agent or such Lender, (B) the Parent shall notify the Administrative Agent (by telecopier or electronic mail) of the posting of any such documents and provide to the Administrative Agent by electronic mail electronic versions (</w:t>
      </w:r>
      <w:r>
        <w:rPr>
          <w:rFonts w:ascii="Times New Roman" w:cs="Times New Roman" w:eastAsia="Times New Roman" w:hAnsi="Times New Roman"/>
          <w:sz w:val="14"/>
          <w:szCs w:val="14"/>
          <w:u w:val="single" w:color="auto"/>
          <w:color w:val="auto"/>
        </w:rPr>
        <w:t>i.e.</w:t>
      </w:r>
      <w:r>
        <w:rPr>
          <w:rFonts w:ascii="Times New Roman" w:cs="Times New Roman" w:eastAsia="Times New Roman" w:hAnsi="Times New Roman"/>
          <w:sz w:val="14"/>
          <w:szCs w:val="14"/>
          <w:color w:val="auto"/>
        </w:rPr>
        <w:t>, soft copies) of such documents, and (C) if any financial statement, certificate or other information required to be delivered pursuant to Section 5.04 shall be required to be delivered on any date that is not a Business Day, such financial statement, certificate or other information may be delivered to the Administrative Agent on the next succeeding Business Day after such date. Except for such certificates required by Section 5.04(c), the Administrative Agent shall have no obligation to request the delivery or to maintain copies of the documents referred to above, and in any event shall have no responsibility to monitor compliance by the Parent with any such request for delivery, and each Lender shall be solely responsible for requesting delivery to it or maintaining its copies of such documents.</w:t>
      </w:r>
    </w:p>
    <w:p>
      <w:pPr>
        <w:spacing w:after="0" w:line="114" w:lineRule="exact"/>
        <w:rPr>
          <w:sz w:val="20"/>
          <w:szCs w:val="20"/>
          <w:color w:val="auto"/>
        </w:rPr>
      </w:pPr>
    </w:p>
    <w:p>
      <w:pPr>
        <w:jc w:val="both"/>
        <w:ind w:right="20" w:firstLine="914"/>
        <w:spacing w:after="0" w:line="221" w:lineRule="auto"/>
        <w:rPr>
          <w:sz w:val="20"/>
          <w:szCs w:val="20"/>
          <w:color w:val="auto"/>
        </w:rPr>
      </w:pPr>
      <w:r>
        <w:rPr>
          <w:rFonts w:ascii="Times New Roman" w:cs="Times New Roman" w:eastAsia="Times New Roman" w:hAnsi="Times New Roman"/>
          <w:sz w:val="14"/>
          <w:szCs w:val="14"/>
          <w:color w:val="auto"/>
        </w:rPr>
        <w:t>SECTION 9.02.</w:t>
      </w:r>
      <w:r>
        <w:rPr>
          <w:rFonts w:ascii="Times New Roman" w:cs="Times New Roman" w:eastAsia="Times New Roman" w:hAnsi="Times New Roman"/>
          <w:sz w:val="14"/>
          <w:szCs w:val="14"/>
          <w:u w:val="single" w:color="auto"/>
          <w:color w:val="auto"/>
        </w:rPr>
        <w:t>Survival of Agreement</w:t>
      </w:r>
      <w:r>
        <w:rPr>
          <w:rFonts w:ascii="Times New Roman" w:cs="Times New Roman" w:eastAsia="Times New Roman" w:hAnsi="Times New Roman"/>
          <w:sz w:val="14"/>
          <w:szCs w:val="14"/>
          <w:color w:val="auto"/>
        </w:rPr>
        <w:t>.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Sections 2.15, 2.16, 2.17 and 9.05 and Article VIII shall survive and remain in full force and effect regardless of the consummation of the transactions contemplated hereby, the repayment of the Loans, the occurrence of the Termination Date, the termination of this Agreement or any other Loan Document or any provision hereof or thereof, the resignation of the Administrative Agent or the replacement of any Lender.</w:t>
      </w:r>
    </w:p>
    <w:p>
      <w:pPr>
        <w:spacing w:after="0" w:line="114" w:lineRule="exact"/>
        <w:rPr>
          <w:sz w:val="20"/>
          <w:szCs w:val="20"/>
          <w:color w:val="auto"/>
        </w:rPr>
      </w:pPr>
    </w:p>
    <w:p>
      <w:pPr>
        <w:jc w:val="both"/>
        <w:ind w:right="40" w:firstLine="914"/>
        <w:spacing w:after="0" w:line="233" w:lineRule="auto"/>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Binding Effect</w:t>
      </w:r>
      <w:r>
        <w:rPr>
          <w:rFonts w:ascii="Times New Roman" w:cs="Times New Roman" w:eastAsia="Times New Roman" w:hAnsi="Times New Roman"/>
          <w:sz w:val="14"/>
          <w:szCs w:val="14"/>
          <w:color w:val="auto"/>
        </w:rPr>
        <w:t>. This Agreement shall become effective when it shall have been executed by the Parent and the Administrative Agent and when the Administrative Agent shall have received copies hereof which, when taken together, bear the signatures of each of the other parties hereto, and thereafter shall be binding upon and inure to the benefit of Parent, the Administrative Agent, the Collateral Agent, each Issuing Bank and each Lender and their respective permitted successors and assigns.</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9.04.</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19" w:lineRule="auto"/>
        <w:tabs>
          <w:tab w:leader="none" w:pos="1370" w:val="left"/>
        </w:tabs>
        <w:numPr>
          <w:ilvl w:val="0"/>
          <w:numId w:val="7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Agreement shall be binding upon and inure to the benefit of the parties hereto and their respective successors and assigns permitted hereby (including any Affiliate of the Issuing Bank that issues any Letter of Credit), except that (i) other than as permitted by Section 6.05, no Borrower may assign or otherwise transfer any of its respective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9.04. Any transfer of rights or obligations under this Agreement or any other Loan Document shall be carried out as a transfer or assignment of the relevant rights and obligations and not as a novation. Each assignment or transfer shall include a proportionate part of the security interests granted under each Security Document.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clause (c) of this Section 9.04), and, to the extent expressly contemplated hereby, the Related Parties of each of the Agents, the Issuing Bank and the Lenders) any legal or equitable right, remedy or claim under or by reason of this Agreement or the other Loan Documents.</w:t>
      </w:r>
    </w:p>
    <w:p>
      <w:pPr>
        <w:spacing w:after="0" w:line="115"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7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Subject to the conditions set forth in subclause (ii) below, any Lender may assign to one or more assignees (each, an “ </w:t>
      </w:r>
      <w:r>
        <w:rPr>
          <w:rFonts w:ascii="Times New Roman" w:cs="Times New Roman" w:eastAsia="Times New Roman" w:hAnsi="Times New Roman"/>
          <w:sz w:val="14"/>
          <w:szCs w:val="14"/>
          <w:u w:val="single" w:color="auto"/>
          <w:color w:val="auto"/>
        </w:rPr>
        <w:t>Assignee</w:t>
      </w:r>
      <w:r>
        <w:rPr>
          <w:rFonts w:ascii="Times New Roman" w:cs="Times New Roman" w:eastAsia="Times New Roman" w:hAnsi="Times New Roman"/>
          <w:sz w:val="14"/>
          <w:szCs w:val="14"/>
          <w:color w:val="auto"/>
        </w:rPr>
        <w:t>”) all or a portion of its rights and obligations under this Agreement (including all or a portion of its Commitments and the Loans at the time owing to it) with the prior written consent of:</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47" w:name="page648"/>
    <w:bookmarkEnd w:id="647"/>
    <w:p>
      <w:pPr>
        <w:spacing w:after="0" w:line="24" w:lineRule="exact"/>
        <w:rPr>
          <w:sz w:val="20"/>
          <w:szCs w:val="20"/>
          <w:color w:val="auto"/>
        </w:rPr>
      </w:pPr>
    </w:p>
    <w:p>
      <w:pPr>
        <w:jc w:val="both"/>
        <w:ind w:left="920" w:firstLine="457"/>
        <w:spacing w:after="0"/>
        <w:tabs>
          <w:tab w:leader="none" w:pos="1824" w:val="left"/>
        </w:tabs>
        <w:numPr>
          <w:ilvl w:val="1"/>
          <w:numId w:val="7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(such consent not to be unreasonably withheld, delayed or conditioned);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consent of the Parent shall be required (x) for (I) an assignment of a Term B Loan to a Lender or an Affiliate or Approved Fund thereof, (II) an assignment of a Term A Loan to a Term A Lender or an Affiliate or Approved Fund thereof or (III) an assignment of a Revolving Commitment or Revolving Loan to a Revolving Lender or an Affiliate or Approved Fund thereof or (y) if an Event of Default under Section 7.01(b), 7.01(c), 7.01(h) or 7.01(i) has occurred and is continuing, for an assignment to any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Parent shall be deemed to have consented to an assignment of Term Loans if the Parent has not responded within ten (10) Business Days after the delivery of a written request for such consent;</w:t>
      </w:r>
    </w:p>
    <w:p>
      <w:pPr>
        <w:spacing w:after="0" w:line="203" w:lineRule="exact"/>
        <w:rPr>
          <w:rFonts w:ascii="Times New Roman" w:cs="Times New Roman" w:eastAsia="Times New Roman" w:hAnsi="Times New Roman"/>
          <w:sz w:val="14"/>
          <w:szCs w:val="14"/>
          <w:color w:val="auto"/>
        </w:rPr>
      </w:pPr>
    </w:p>
    <w:p>
      <w:pPr>
        <w:jc w:val="both"/>
        <w:ind w:left="920" w:right="20" w:firstLine="457"/>
        <w:spacing w:after="0" w:line="228" w:lineRule="auto"/>
        <w:tabs>
          <w:tab w:leader="none" w:pos="1824" w:val="left"/>
        </w:tabs>
        <w:numPr>
          <w:ilvl w:val="1"/>
          <w:numId w:val="7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Administrative Agent (such consent not to be unreasonably withheld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consent of the Administrative Agent shall be required (x) for (I) an assignment of a Term B Loan to a Lender or an Affiliate or Approved Fund thereof, (II) an assignment of a Term A Loan to a Term A Lender or an Affiliate or Approved Fund thereof or (III) an assignment of a Revolving Commitment or Revolving Loan to a Revolving Lender or an Affiliate or Approved Fund thereof or (y) for an assignment of all or any portion of a Term Loan to the Parent or an Affiliate of the Parent made in accordance with Section 2.25; and</w:t>
      </w:r>
    </w:p>
    <w:p>
      <w:pPr>
        <w:spacing w:after="0" w:line="111" w:lineRule="exact"/>
        <w:rPr>
          <w:rFonts w:ascii="Times New Roman" w:cs="Times New Roman" w:eastAsia="Times New Roman" w:hAnsi="Times New Roman"/>
          <w:sz w:val="14"/>
          <w:szCs w:val="14"/>
          <w:color w:val="auto"/>
        </w:rPr>
      </w:pPr>
    </w:p>
    <w:p>
      <w:pPr>
        <w:ind w:left="920" w:firstLine="457"/>
        <w:spacing w:after="0" w:line="248" w:lineRule="auto"/>
        <w:tabs>
          <w:tab w:leader="none" w:pos="1824" w:val="left"/>
        </w:tabs>
        <w:numPr>
          <w:ilvl w:val="1"/>
          <w:numId w:val="7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Issuing Bank (such consent not to be unreasonably withheld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consent of each Issuing Bank shall be required for an assignment of all or any portion of a Term Loan.</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Assignments (other than pursuant to Section 2.25) shall be subject to the following additional conditions:</w:t>
      </w:r>
    </w:p>
    <w:p>
      <w:pPr>
        <w:spacing w:after="0" w:line="134" w:lineRule="exact"/>
        <w:rPr>
          <w:rFonts w:ascii="Times New Roman" w:cs="Times New Roman" w:eastAsia="Times New Roman" w:hAnsi="Times New Roman"/>
          <w:sz w:val="14"/>
          <w:szCs w:val="14"/>
          <w:color w:val="auto"/>
        </w:rPr>
      </w:pPr>
    </w:p>
    <w:p>
      <w:pPr>
        <w:jc w:val="both"/>
        <w:ind w:left="920" w:firstLine="457"/>
        <w:spacing w:after="0" w:line="220" w:lineRule="auto"/>
        <w:tabs>
          <w:tab w:leader="none" w:pos="1824" w:val="left"/>
        </w:tabs>
        <w:numPr>
          <w:ilvl w:val="1"/>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the Dollar Equivalent of $1,000,000 or an integral multiple of the Dollar Equivalent of $1,000,000 in excess thereof in the case of Term Loans and (y) the Dollar Equivalent of $5,000,000 or an integral multiple of the Dollar Equivalent of $1,000,000 in excess thereof in the case of Revolving Loans or Revolving Commitments, unless each of the Parent and the Administrative Agent otherwise consent;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consent of the Parent shall be required if an Event of Default under Section 7.01(b), 7.01(c), 7.01(h) or 7.01(i) has occurred and is continuing;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such amounts shall be aggregated in respect of each Lender and its Affiliates or Approved Funds (with simultaneous assignments to or by two or more Related Funds being treated as one assignment), if any;</w:t>
      </w:r>
    </w:p>
    <w:p>
      <w:pPr>
        <w:spacing w:after="0" w:line="113" w:lineRule="exact"/>
        <w:rPr>
          <w:rFonts w:ascii="Times New Roman" w:cs="Times New Roman" w:eastAsia="Times New Roman" w:hAnsi="Times New Roman"/>
          <w:sz w:val="14"/>
          <w:szCs w:val="14"/>
          <w:color w:val="auto"/>
        </w:rPr>
      </w:pPr>
    </w:p>
    <w:p>
      <w:pPr>
        <w:jc w:val="both"/>
        <w:ind w:left="920" w:right="20" w:firstLine="457"/>
        <w:spacing w:after="0" w:line="233" w:lineRule="auto"/>
        <w:tabs>
          <w:tab w:leader="none" w:pos="1824" w:val="left"/>
        </w:tabs>
        <w:numPr>
          <w:ilvl w:val="1"/>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this clause shall not be construed to prohibit the assignment of a proportionate part of all the assigning Lender’s rights and obligations in respect of one Class of Commitments or Loans;</w:t>
      </w:r>
    </w:p>
    <w:p>
      <w:pPr>
        <w:spacing w:after="0" w:line="111" w:lineRule="exact"/>
        <w:rPr>
          <w:rFonts w:ascii="Times New Roman" w:cs="Times New Roman" w:eastAsia="Times New Roman" w:hAnsi="Times New Roman"/>
          <w:sz w:val="14"/>
          <w:szCs w:val="14"/>
          <w:color w:val="auto"/>
        </w:rPr>
      </w:pPr>
    </w:p>
    <w:p>
      <w:pPr>
        <w:jc w:val="both"/>
        <w:ind w:left="920" w:right="40" w:firstLine="457"/>
        <w:spacing w:after="0" w:line="228" w:lineRule="auto"/>
        <w:tabs>
          <w:tab w:leader="none" w:pos="1824" w:val="left"/>
        </w:tabs>
        <w:numPr>
          <w:ilvl w:val="1"/>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to each assignment shall (I) execute and deliver to the Administrative Agent an Assignment and Acceptance and any form required to be delivered pursuant to Section 2.17 via an electronic settlement system acceptable to the Administrative Agent or (II)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48" w:name="page649"/>
    <w:bookmarkEnd w:id="648"/>
    <w:p>
      <w:pPr>
        <w:spacing w:after="0" w:line="24" w:lineRule="exact"/>
        <w:rPr>
          <w:sz w:val="20"/>
          <w:szCs w:val="20"/>
          <w:color w:val="auto"/>
        </w:rPr>
      </w:pPr>
    </w:p>
    <w:p>
      <w:pPr>
        <w:jc w:val="both"/>
        <w:ind w:left="920" w:right="20" w:firstLine="457"/>
        <w:spacing w:after="0" w:line="233" w:lineRule="auto"/>
        <w:tabs>
          <w:tab w:leader="none" w:pos="1824" w:val="left"/>
        </w:tabs>
        <w:numPr>
          <w:ilvl w:val="0"/>
          <w:numId w:val="7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Assignee, if it is not an existing Lender, shall deliver to the Administrative Agent an Administrative Questionnaire in which the assignee designates one or more credit contacts to whom all syndicate-level information (which may contain Private Side Information) will be made available and who may receive such information in accordance with the assignee’s compliance procedures and applicable laws, including Federal and state securities laws; and</w:t>
      </w:r>
    </w:p>
    <w:p>
      <w:pPr>
        <w:spacing w:after="0" w:line="111" w:lineRule="exact"/>
        <w:rPr>
          <w:rFonts w:ascii="Times New Roman" w:cs="Times New Roman" w:eastAsia="Times New Roman" w:hAnsi="Times New Roman"/>
          <w:sz w:val="14"/>
          <w:szCs w:val="14"/>
          <w:color w:val="auto"/>
        </w:rPr>
      </w:pPr>
    </w:p>
    <w:p>
      <w:pPr>
        <w:jc w:val="both"/>
        <w:ind w:left="920" w:right="20" w:firstLine="457"/>
        <w:spacing w:after="0" w:line="233" w:lineRule="auto"/>
        <w:tabs>
          <w:tab w:leader="none" w:pos="1824" w:val="left"/>
        </w:tabs>
        <w:numPr>
          <w:ilvl w:val="0"/>
          <w:numId w:val="7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Assignee shall not be (i) the Parent or any of the Parent’s Affiliates or Subsidiaries except with respect to assignments to a Borrower in accordance with Section 2.25, (ii) any Disqualified Lender subject to Section 9.04(i), (iii) a natural person (or a holding company, investment vehicle or trust for, owned and operated by or for the primary benefit of one or more natural persons) or (iv) a Defaulting Lender.</w:t>
      </w:r>
    </w:p>
    <w:p>
      <w:pPr>
        <w:spacing w:after="0" w:line="121" w:lineRule="exact"/>
        <w:rPr>
          <w:sz w:val="20"/>
          <w:szCs w:val="20"/>
          <w:color w:val="auto"/>
        </w:rPr>
      </w:pPr>
    </w:p>
    <w:p>
      <w:pPr>
        <w:jc w:val="both"/>
        <w:ind w:right="20" w:firstLine="914"/>
        <w:spacing w:after="0" w:line="273" w:lineRule="auto"/>
        <w:rPr>
          <w:sz w:val="20"/>
          <w:szCs w:val="20"/>
          <w:color w:val="auto"/>
        </w:rPr>
      </w:pPr>
      <w:r>
        <w:rPr>
          <w:rFonts w:ascii="Times New Roman" w:cs="Times New Roman" w:eastAsia="Times New Roman" w:hAnsi="Times New Roman"/>
          <w:sz w:val="14"/>
          <w:szCs w:val="14"/>
          <w:color w:val="auto"/>
        </w:rPr>
        <w:t xml:space="preserve">For the purposes of this Section 9.04, “ </w:t>
      </w:r>
      <w:r>
        <w:rPr>
          <w:rFonts w:ascii="Times New Roman" w:cs="Times New Roman" w:eastAsia="Times New Roman" w:hAnsi="Times New Roman"/>
          <w:sz w:val="14"/>
          <w:szCs w:val="14"/>
          <w:u w:val="single" w:color="auto"/>
          <w:color w:val="auto"/>
        </w:rPr>
        <w:t>Approved Fund</w:t>
      </w:r>
      <w:r>
        <w:rPr>
          <w:rFonts w:ascii="Times New Roman" w:cs="Times New Roman" w:eastAsia="Times New Roman" w:hAnsi="Times New Roman"/>
          <w:sz w:val="14"/>
          <w:szCs w:val="14"/>
          <w:color w:val="auto"/>
        </w:rPr>
        <w:t>” means any person (other than a natural person) that is engaged in making, purchasing or holding bank loans and similar extensions of credit in the ordinary course and that is administered or managed by (a) a Lender, (b) an Affiliate of a Lender or (c) an entity or an Affiliate of an entity that administers or manages a Lender.</w:t>
      </w:r>
    </w:p>
    <w:p>
      <w:pPr>
        <w:spacing w:after="0" w:line="117" w:lineRule="exact"/>
        <w:rPr>
          <w:sz w:val="20"/>
          <w:szCs w:val="20"/>
          <w:color w:val="auto"/>
        </w:rPr>
      </w:pPr>
    </w:p>
    <w:p>
      <w:pPr>
        <w:jc w:val="both"/>
        <w:ind w:right="20" w:firstLine="914"/>
        <w:spacing w:after="0" w:line="291" w:lineRule="auto"/>
        <w:rPr>
          <w:sz w:val="20"/>
          <w:szCs w:val="20"/>
          <w:color w:val="auto"/>
        </w:rPr>
      </w:pPr>
      <w:r>
        <w:rPr>
          <w:rFonts w:ascii="Times New Roman" w:cs="Times New Roman" w:eastAsia="Times New Roman" w:hAnsi="Times New Roman"/>
          <w:sz w:val="14"/>
          <w:szCs w:val="14"/>
          <w:color w:val="auto"/>
        </w:rPr>
        <w:t>Any assigning Lender shall, in connection with any potential assignment, provide to the Parent a copy of its request (including the name of the prospective assignee) concurrently with its delivery of the same request to the Administrative Agent irrespective of whether or not a Default or an Event of Default has occurred and is continuing.</w:t>
      </w:r>
    </w:p>
    <w:p>
      <w:pPr>
        <w:spacing w:after="0" w:line="95" w:lineRule="exact"/>
        <w:rPr>
          <w:sz w:val="20"/>
          <w:szCs w:val="20"/>
          <w:color w:val="auto"/>
        </w:rPr>
      </w:pPr>
    </w:p>
    <w:p>
      <w:pPr>
        <w:jc w:val="both"/>
        <w:ind w:left="460" w:firstLine="460"/>
        <w:spacing w:after="0" w:line="216" w:lineRule="auto"/>
        <w:tabs>
          <w:tab w:leader="none" w:pos="1411" w:val="left"/>
        </w:tabs>
        <w:numPr>
          <w:ilvl w:val="1"/>
          <w:numId w:val="7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2.15, 2.16, 2.17 and 9.05 (subject to the limitations and requirements of those Sections)). Any assignment or transfer by a Lender of rights or obligations under this Agreement that does not comply with this Section 9.04 shall be treated for purposes of this Agreement as a sale by such Lender of a participation in such rights and obligations in accordance with clause (c) of this Section 9.04 (except to the extent such participation is not permitted by such clause</w:t>
      </w:r>
    </w:p>
    <w:p>
      <w:pPr>
        <w:spacing w:after="0" w:line="1" w:lineRule="exact"/>
        <w:rPr>
          <w:rFonts w:ascii="Times New Roman" w:cs="Times New Roman" w:eastAsia="Times New Roman" w:hAnsi="Times New Roman"/>
          <w:sz w:val="14"/>
          <w:szCs w:val="14"/>
          <w:color w:val="auto"/>
        </w:rPr>
      </w:pPr>
    </w:p>
    <w:p>
      <w:pPr>
        <w:ind w:left="660" w:hanging="197"/>
        <w:spacing w:after="0"/>
        <w:tabs>
          <w:tab w:leader="none" w:pos="660" w:val="left"/>
        </w:tabs>
        <w:numPr>
          <w:ilvl w:val="0"/>
          <w:numId w:val="7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Section 9.04, in which case such assignment or transfer shall be null and void).</w:t>
      </w:r>
    </w:p>
    <w:p>
      <w:pPr>
        <w:spacing w:after="0" w:line="118" w:lineRule="exact"/>
        <w:rPr>
          <w:rFonts w:ascii="Times New Roman" w:cs="Times New Roman" w:eastAsia="Times New Roman" w:hAnsi="Times New Roman"/>
          <w:sz w:val="14"/>
          <w:szCs w:val="14"/>
          <w:color w:val="auto"/>
        </w:rPr>
      </w:pPr>
    </w:p>
    <w:p>
      <w:pPr>
        <w:jc w:val="both"/>
        <w:ind w:left="460" w:firstLine="460"/>
        <w:spacing w:after="0" w:line="223" w:lineRule="auto"/>
        <w:tabs>
          <w:tab w:leader="none" w:pos="1374" w:val="left"/>
        </w:tabs>
        <w:numPr>
          <w:ilvl w:val="1"/>
          <w:numId w:val="7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acting solely for this purpose as a non-fiduciary agent of the Parent, shall maintain at one of its offices in the United States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The entries in the Register shall be conclusive absent manifest error, and the Parent, the Administrative Agent, each Issuing Bank and the Lenders shall treat each person whose name is recorded in the Register pursuant to the terms hereof as a Lender hereunder for all purposes of this Agreement, notwithstanding notice to the contrary. The Register shall be available for inspection by each Borrower, any Issuing Bank and any Lender, at any reasonable time and from time to time upon reasonable prior notice.</w:t>
      </w:r>
    </w:p>
    <w:p>
      <w:pPr>
        <w:spacing w:after="0" w:line="111" w:lineRule="exact"/>
        <w:rPr>
          <w:sz w:val="20"/>
          <w:szCs w:val="20"/>
          <w:color w:val="auto"/>
        </w:rPr>
      </w:pPr>
    </w:p>
    <w:p>
      <w:pPr>
        <w:jc w:val="both"/>
        <w:ind w:left="460" w:right="20" w:firstLine="460"/>
        <w:spacing w:after="0" w:line="233" w:lineRule="auto"/>
        <w:tabs>
          <w:tab w:leader="none" w:pos="1374" w:val="left"/>
        </w:tabs>
        <w:numPr>
          <w:ilvl w:val="0"/>
          <w:numId w:val="7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 clause (b)(ii)(3) of this Section 9.04, if applicable, and any written consent to such assignment required by clause (b) of this Section 9.04, the Administrative Agent shall accept such</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49" w:name="page650"/>
    <w:bookmarkEnd w:id="649"/>
    <w:p>
      <w:pPr>
        <w:spacing w:after="0" w:line="24" w:lineRule="exact"/>
        <w:rPr>
          <w:sz w:val="20"/>
          <w:szCs w:val="20"/>
          <w:color w:val="auto"/>
        </w:rPr>
      </w:pPr>
    </w:p>
    <w:p>
      <w:pPr>
        <w:jc w:val="both"/>
        <w:ind w:left="460"/>
        <w:spacing w:after="0"/>
        <w:rPr>
          <w:sz w:val="20"/>
          <w:szCs w:val="20"/>
          <w:color w:val="auto"/>
        </w:rPr>
      </w:pPr>
      <w:r>
        <w:rPr>
          <w:rFonts w:ascii="Times New Roman" w:cs="Times New Roman" w:eastAsia="Times New Roman" w:hAnsi="Times New Roman"/>
          <w:sz w:val="14"/>
          <w:szCs w:val="14"/>
          <w:color w:val="auto"/>
        </w:rPr>
        <w:t xml:space="preserve">Assignment and Acceptance and promptly record the information contained therein in the Register;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either the assigning Lender or the assignee shall have failed to make any payment required to be made by it pursuant to Section 2.05(c), 2.05(d), 2.06 or 2.18(c),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subclause (v).</w:t>
      </w:r>
    </w:p>
    <w:p>
      <w:pPr>
        <w:spacing w:after="0" w:line="222" w:lineRule="exact"/>
        <w:rPr>
          <w:sz w:val="20"/>
          <w:szCs w:val="20"/>
          <w:color w:val="auto"/>
        </w:rPr>
      </w:pPr>
    </w:p>
    <w:p>
      <w:pPr>
        <w:jc w:val="both"/>
        <w:ind w:firstLine="920"/>
        <w:spacing w:after="0" w:line="216" w:lineRule="auto"/>
        <w:tabs>
          <w:tab w:leader="none" w:pos="1370"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Lender may, without the consent of, or notice to, the Parent, the Administrative Agent or any Issuing Bank, sell participations in Loans and Commitments to one or more banks or other entities other than any person that, at the time of such participation, is (I) a natural person (or a holding company, investment vehicle or trust for, owned and operated by or for the primary benefit of one or more natural persons), (II) the Parent or any of the Subsidiaries or any of their respective Affiliates, (III) a Disqualified Lender subject to Section 9.04(i) or (IV) a Defaulting Lender (a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Lender’s obligations under this Agreement shall remain unchanged, (B) such Lender shall remain solely responsible to the other parties hereto for the performance of such obligations and (C) the Parent, the Administrative Agent, each Issuing Bank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such agreement may provide that such Lender will not, without the consent of the Participant, agree to any amendment, modification or waiver that both (1) requires the consent of each Lender directly and adversely affected thereby, adversely affected thereby or the consent of each Lender pursuant to the first proviso to Section 9.08(b) and (2) directly affects such Participant (but, for the avoidance of doubt, not any waiver of any Default or Event of Default) and (y) no other agreement with respect to amendment, modification or waiver may exist between such Lender and such Participant. Subject to clause (c)(iii) of this Section 9.04, the Borrowers agree that each Participant shall be entitled to the benefits of Sections 2.15, 2.16 and 2.17 (subject to the limitations and requirements of those Sections and Section 2.19 (it being understood that the documentation required under Section 2.17 shall be delivered to the Lender who sells the participation on or before the date on which such sale occurs)) to the same extent as if it were a Lender and had acquired its interest by assignment pursuant to clause (b) of this Section 9.04. To the extent permitted by law, each Participant also shall be entitled to the benefits of Section 9.06 as though it were a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Participant shall be subject to Section 2.18(c) as though it were a Lender.</w:t>
      </w:r>
    </w:p>
    <w:p>
      <w:pPr>
        <w:spacing w:after="0" w:line="118" w:lineRule="exact"/>
        <w:rPr>
          <w:sz w:val="20"/>
          <w:szCs w:val="20"/>
          <w:color w:val="auto"/>
        </w:rPr>
      </w:pPr>
    </w:p>
    <w:p>
      <w:pPr>
        <w:ind w:left="460" w:firstLine="460"/>
        <w:spacing w:after="0"/>
        <w:tabs>
          <w:tab w:leader="none" w:pos="1374"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that sells a participation shall, acting solely for this purpose as a non-fiduciary agent of the Parent, maintain a register on which it enters the name and address of each Participant to which it sells a participation and the principal amounts and interest amounts of each such Participant’s interest in the Loans or other obligations under the Loan Documents (the “</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Section 9.04(c),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w:t>
      </w:r>
    </w:p>
    <w:p>
      <w:pPr>
        <w:spacing w:after="0" w:line="149"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 shall not be entitled to receive any greater payment under Section 2.15, 2.16 or 2.17 than the applicable Lender would have been entitled to receive with respect to the participation sold to such Participant, unless the sale of the participation to such Participant is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50" w:name="page651"/>
    <w:bookmarkEnd w:id="650"/>
    <w:p>
      <w:pPr>
        <w:spacing w:after="0" w:line="24" w:lineRule="exact"/>
        <w:rPr>
          <w:sz w:val="20"/>
          <w:szCs w:val="20"/>
          <w:color w:val="auto"/>
        </w:rPr>
      </w:pPr>
    </w:p>
    <w:p>
      <w:pPr>
        <w:jc w:val="both"/>
        <w:ind w:left="460"/>
        <w:spacing w:after="0" w:line="233" w:lineRule="auto"/>
        <w:rPr>
          <w:sz w:val="20"/>
          <w:szCs w:val="20"/>
          <w:color w:val="auto"/>
        </w:rPr>
      </w:pPr>
      <w:r>
        <w:rPr>
          <w:rFonts w:ascii="Times New Roman" w:cs="Times New Roman" w:eastAsia="Times New Roman" w:hAnsi="Times New Roman"/>
          <w:sz w:val="14"/>
          <w:szCs w:val="14"/>
          <w:color w:val="auto"/>
        </w:rPr>
        <w:t xml:space="preserve">made with the Parent’s prior written consent (not to be unreasonably withheld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each potential Participant shall provide such information as is reasonably requested by the Parent in order for the Parent to determine whether to provide its consent) or the right to receive a greater payment results from a Change in Law after such participant becomes a Participant.</w:t>
      </w:r>
    </w:p>
    <w:p>
      <w:pPr>
        <w:spacing w:after="0" w:line="112" w:lineRule="exact"/>
        <w:rPr>
          <w:sz w:val="20"/>
          <w:szCs w:val="20"/>
          <w:color w:val="auto"/>
        </w:rPr>
      </w:pPr>
    </w:p>
    <w:p>
      <w:pPr>
        <w:jc w:val="both"/>
        <w:ind w:firstLine="920"/>
        <w:spacing w:after="0" w:line="225" w:lineRule="auto"/>
        <w:tabs>
          <w:tab w:leader="none" w:pos="1361"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 such pledge or assignment of a security interest shall release a Lender from any of its obligations hereunder or substitute any such pledgee or Assignee for such Lender as a party hereto.</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upon receipt of written notice from the relevant Lender, agree to issue Notes to any Lender requiring Notes to facilitate transactions of the type described in clause (d) above.</w:t>
      </w:r>
    </w:p>
    <w:p>
      <w:pPr>
        <w:spacing w:after="0" w:line="10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jc w:val="both"/>
        <w:ind w:right="20" w:firstLine="920"/>
        <w:spacing w:after="0" w:line="233" w:lineRule="auto"/>
        <w:tabs>
          <w:tab w:leader="none" w:pos="1361"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purchase of Term Loans pursuant to Section 2.25 shall, for purposes of this Agreement, be deemed to be an automatic and immediate cancellation and extinguishment of such Term Loans and the Parent shall, upon consummation of any such purchase, notify the Administrative Agent that the Register should be updated to record such event as if it were a prepayment of such Loans.</w:t>
      </w:r>
    </w:p>
    <w:p>
      <w:pPr>
        <w:spacing w:after="0" w:line="111" w:lineRule="exact"/>
        <w:rPr>
          <w:rFonts w:ascii="Times New Roman" w:cs="Times New Roman" w:eastAsia="Times New Roman" w:hAnsi="Times New Roman"/>
          <w:sz w:val="14"/>
          <w:szCs w:val="14"/>
          <w:color w:val="auto"/>
        </w:rPr>
      </w:pPr>
    </w:p>
    <w:p>
      <w:pPr>
        <w:jc w:val="both"/>
        <w:ind w:firstLine="920"/>
        <w:spacing w:after="0" w:line="219" w:lineRule="auto"/>
        <w:tabs>
          <w:tab w:leader="none" w:pos="1361"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Parent and the Administrative Agent, the applicable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or any other Lender hereunder (and interest accrued thereon) and (y) acquire (and fund as appropriate) its full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all Loans and participations in Letters of Credit in accordance with its Revolving Facility Percentage;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5" w:lineRule="exact"/>
        <w:rPr>
          <w:rFonts w:ascii="Times New Roman" w:cs="Times New Roman" w:eastAsia="Times New Roman" w:hAnsi="Times New Roman"/>
          <w:sz w:val="14"/>
          <w:szCs w:val="14"/>
          <w:color w:val="auto"/>
        </w:rPr>
      </w:pPr>
    </w:p>
    <w:p>
      <w:pPr>
        <w:ind w:left="1380" w:hanging="460"/>
        <w:spacing w:after="0"/>
        <w:tabs>
          <w:tab w:leader="none" w:pos="1380"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Disqualified Lenders.</w:t>
      </w:r>
    </w:p>
    <w:p>
      <w:pPr>
        <w:spacing w:after="0" w:line="134" w:lineRule="exact"/>
        <w:rPr>
          <w:sz w:val="20"/>
          <w:szCs w:val="20"/>
          <w:color w:val="auto"/>
        </w:rPr>
      </w:pPr>
    </w:p>
    <w:p>
      <w:pPr>
        <w:jc w:val="both"/>
        <w:ind w:left="460" w:right="20" w:firstLine="460"/>
        <w:spacing w:after="0" w:line="220" w:lineRule="auto"/>
        <w:tabs>
          <w:tab w:leader="none" w:pos="1374" w:val="left"/>
        </w:tabs>
        <w:numPr>
          <w:ilvl w:val="0"/>
          <w:numId w:val="7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assignment or, to the extent the DQ List has been posted on the Platform for all Lenders, participation shall be made to any person that was a Disqualified Lender as of the date (the “</w:t>
      </w:r>
      <w:r>
        <w:rPr>
          <w:rFonts w:ascii="Times New Roman" w:cs="Times New Roman" w:eastAsia="Times New Roman" w:hAnsi="Times New Roman"/>
          <w:sz w:val="14"/>
          <w:szCs w:val="14"/>
          <w:u w:val="single" w:color="auto"/>
          <w:color w:val="auto"/>
        </w:rPr>
        <w:t>Trade Date</w:t>
      </w:r>
      <w:r>
        <w:rPr>
          <w:rFonts w:ascii="Times New Roman" w:cs="Times New Roman" w:eastAsia="Times New Roman" w:hAnsi="Times New Roman"/>
          <w:sz w:val="14"/>
          <w:szCs w:val="14"/>
          <w:color w:val="auto"/>
        </w:rPr>
        <w:t>”) on which the applicable Lender entered into a binding agreement to sell and assign or participate all or a portion of its rights and obligations under this Agreement to such person (unless the Parent has consented to such assignment as otherwise contemplated by this Section 9.04, in which case such person will not be considered a Disqualified Lender for the purpose of such assignment or participation). For the avoidance of doubt, with respect to any assignee or participant that becomes a Disqualified Lender after the applicable Trade Date (as a result of the delivery of a notice in accordance with the definition of “Disqualified Lender”), (x) such assignee shall not retroactively be disqualified from becoming a Lender or participant and (y) the execution by the Parent of an Assignment and Acceptance with respect to such assignee will not by itself result in such assignee no longer being considered a Disqualified Lender. Any assignment in violation of this clause (i)(i) shall not be void, but the other provisions of this clause (i) shall apply.</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51" w:name="page652"/>
    <w:bookmarkEnd w:id="651"/>
    <w:p>
      <w:pPr>
        <w:spacing w:after="0" w:line="24" w:lineRule="exact"/>
        <w:rPr>
          <w:sz w:val="20"/>
          <w:szCs w:val="20"/>
          <w:color w:val="auto"/>
        </w:rPr>
      </w:pPr>
    </w:p>
    <w:p>
      <w:pPr>
        <w:jc w:val="both"/>
        <w:ind w:left="460" w:right="20" w:firstLine="460"/>
        <w:spacing w:after="0" w:line="215" w:lineRule="auto"/>
        <w:tabs>
          <w:tab w:leader="none" w:pos="1374" w:val="left"/>
        </w:tabs>
        <w:numPr>
          <w:ilvl w:val="1"/>
          <w:numId w:val="7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assignment or participation is made to any Disqualified Lender without the Parent’s prior written consent in violation of clause (i) above, or if any person becomes a Disqualified Lender after the applicable Trade Date, the Parent may, at its sole expense and effort, upon notice to the applicable Disqualified Lender and the Administrative Agent, (A) terminate any Revolving Commitment of such Disqualified Lender and repay all obligations of the Borrowers owing to such Disqualified Lender in connection with such Revolving Commitment;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proceeds of Revolving Loans may not be used for such purpose,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proceeds of Revolving Loans may not be used for such purpose, and/or (C) require such Disqualified Lender to assign, without recourse (in accordance with and subject to the restrictions contained in this Section 9.04) all of its interest, rights and obligations under this Agreement to one or more eligible assignees at the lesser of (x) the principal amount thereof and</w:t>
      </w:r>
    </w:p>
    <w:p>
      <w:pPr>
        <w:spacing w:after="0" w:line="4" w:lineRule="exact"/>
        <w:rPr>
          <w:rFonts w:ascii="Times New Roman" w:cs="Times New Roman" w:eastAsia="Times New Roman" w:hAnsi="Times New Roman"/>
          <w:sz w:val="14"/>
          <w:szCs w:val="14"/>
          <w:color w:val="auto"/>
        </w:rPr>
      </w:pPr>
    </w:p>
    <w:p>
      <w:pPr>
        <w:ind w:left="460" w:right="20" w:firstLine="3"/>
        <w:spacing w:after="0" w:line="232" w:lineRule="auto"/>
        <w:tabs>
          <w:tab w:leader="none" w:pos="669" w:val="left"/>
        </w:tabs>
        <w:numPr>
          <w:ilvl w:val="0"/>
          <w:numId w:val="7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that such Disqualified Lender paid to acquire such interests, rights and obligations, in each case plus accrued interest, accrued fees and all other amounts (other than principal amounts) payable to it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clause (C) such assignment does not conflict with applicable laws.</w:t>
      </w:r>
    </w:p>
    <w:p>
      <w:pPr>
        <w:spacing w:after="0" w:line="110" w:lineRule="exact"/>
        <w:rPr>
          <w:rFonts w:ascii="Times New Roman" w:cs="Times New Roman" w:eastAsia="Times New Roman" w:hAnsi="Times New Roman"/>
          <w:sz w:val="14"/>
          <w:szCs w:val="14"/>
          <w:color w:val="auto"/>
        </w:rPr>
      </w:pPr>
    </w:p>
    <w:p>
      <w:pPr>
        <w:jc w:val="both"/>
        <w:ind w:left="460" w:firstLine="460"/>
        <w:spacing w:after="0" w:line="218" w:lineRule="auto"/>
        <w:tabs>
          <w:tab w:leader="none" w:pos="1374" w:val="left"/>
        </w:tabs>
        <w:numPr>
          <w:ilvl w:val="1"/>
          <w:numId w:val="7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in this Agreement, Disqualified Lenders (A) will not (x) have the right to receive information, reports or other materials provided to Lenders by the Parent,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Bankruptcy Laws (a “</w:t>
      </w:r>
      <w:r>
        <w:rPr>
          <w:rFonts w:ascii="Times New Roman" w:cs="Times New Roman" w:eastAsia="Times New Roman" w:hAnsi="Times New Roman"/>
          <w:sz w:val="14"/>
          <w:szCs w:val="14"/>
          <w:u w:val="single" w:color="auto"/>
          <w:color w:val="auto"/>
        </w:rPr>
        <w:t>Bankruptcy Plan</w:t>
      </w:r>
      <w:r>
        <w:rPr>
          <w:rFonts w:ascii="Times New Roman" w:cs="Times New Roman" w:eastAsia="Times New Roman" w:hAnsi="Times New Roman"/>
          <w:sz w:val="14"/>
          <w:szCs w:val="14"/>
          <w:color w:val="auto"/>
        </w:rPr>
        <w:t>”), each Disqualified Lender party hereto hereby agrees (1) not to vote on such Bankruptcy Plan, (2) if such Disqualified Lender does vote on such Bankruptcy Plan notwithstanding the restriction in the foregoing clause (1), such vote will be deemed not to be in good faith and shall be “designated” pursuant to Section 1126(e) of the Bankruptcy Code (or any similar provision in any other Bankruptcy Laws), and such vote shall not be counted in determining whether the applicable class has accepted or rejected such Bankruptcy Plan in accordance with Section 1126(c) of the Bankruptcy Code (or any similar provision in any other Bankruptcy Laws) and (3) not to contest any request by any party for a determination by the court hearing such proceeding (or other applicable court of competent jurisdiction) effectuating the foregoing clause (2).</w:t>
      </w:r>
    </w:p>
    <w:p>
      <w:pPr>
        <w:spacing w:after="0" w:line="111" w:lineRule="exact"/>
        <w:rPr>
          <w:sz w:val="20"/>
          <w:szCs w:val="20"/>
          <w:color w:val="auto"/>
        </w:rPr>
      </w:pPr>
    </w:p>
    <w:p>
      <w:pPr>
        <w:jc w:val="both"/>
        <w:ind w:left="460" w:right="40" w:firstLine="460"/>
        <w:spacing w:after="0" w:line="233" w:lineRule="auto"/>
        <w:tabs>
          <w:tab w:leader="none" w:pos="1374" w:val="left"/>
        </w:tabs>
        <w:numPr>
          <w:ilvl w:val="0"/>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the right, and the Parent hereby expressly authorizes the Administrative Agent, to (A) post the list of Disqualified Lenders provided by the Parent and any updates thereto from time to time (collectively, the “</w:t>
      </w:r>
      <w:r>
        <w:rPr>
          <w:rFonts w:ascii="Times New Roman" w:cs="Times New Roman" w:eastAsia="Times New Roman" w:hAnsi="Times New Roman"/>
          <w:sz w:val="14"/>
          <w:szCs w:val="14"/>
          <w:u w:val="single" w:color="auto"/>
          <w:color w:val="auto"/>
        </w:rPr>
        <w:t>DQ List</w:t>
      </w:r>
      <w:r>
        <w:rPr>
          <w:rFonts w:ascii="Times New Roman" w:cs="Times New Roman" w:eastAsia="Times New Roman" w:hAnsi="Times New Roman"/>
          <w:sz w:val="14"/>
          <w:szCs w:val="14"/>
          <w:color w:val="auto"/>
        </w:rPr>
        <w:t>”) on the Platform, including that portion of the Platform that is designated for “public side” Lenders and/or (B) provide the DQ List to each Lender requesting the same.</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9.05.</w:t>
      </w:r>
      <w:r>
        <w:rPr>
          <w:rFonts w:ascii="Times New Roman" w:cs="Times New Roman" w:eastAsia="Times New Roman" w:hAnsi="Times New Roman"/>
          <w:sz w:val="14"/>
          <w:szCs w:val="14"/>
          <w:u w:val="single" w:color="auto"/>
          <w:color w:val="auto"/>
        </w:rPr>
        <w:t>Expenses; Limitation of Liability; Indemnity</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40" w:firstLine="920"/>
        <w:spacing w:after="0" w:line="225" w:lineRule="auto"/>
        <w:tabs>
          <w:tab w:leader="none" w:pos="1370" w:val="left"/>
        </w:tabs>
        <w:numPr>
          <w:ilvl w:val="0"/>
          <w:numId w:val="7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agrees to pay (i) all reasonable and documented out-of-pocket expenses (including, subject to Section 9.05(f), Other Taxes) incurred by the Administrative Agent, the Collateral Agent, the Arrangers and their respective Affiliates in connection with the syndication and distribution (including, without limitation, via the internet or through a service such as Intralinks) of the credit facilities provided for herein, the preparation and administration (other than routine administrative procedures and excluding costs and expenses relating to assignments and participations of lenders) of this Agreement and the other Loan Documents, or any amendments, modifications or waivers of the provisions hereof or thereof (whether or not the transactions contemplated hereby or thereby shall be</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189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52" w:name="page653"/>
    <w:bookmarkEnd w:id="652"/>
    <w:p>
      <w:pPr>
        <w:spacing w:after="0" w:line="24"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4"/>
          <w:szCs w:val="14"/>
          <w:color w:val="auto"/>
        </w:rPr>
        <w:t>consummated), including the reasonable fees, charges and disbursements of one primary counsel for the Administrative Agent, the Collateral Agent and the Arrangers, and, if deemed reasonably necessary by such parties, the reasonable fees, charges and disbursements of one firm of local counsel per appropriate jurisdiction, (ii) all reasonable and documented out-of-pocket expenses incurred by each Issuing Bank in connection with the issuance, amendment or extension of any Letter of Credit or any demand for payment thereunder and (iii) all out-of-pocket expenses (including Other Taxes) incurred by the Agents, any Issuing Bank or any Lender in connection with the enforcement of their rights in connection with this Agreement and any other Loan Document, in connection with the Loans made or the Letters of Credit issued hereunder, including all such out-of-pocket expenses incurred during any workout, restructuring or negotiations in respect of such Loans or Letters of Credit and including the fees, charges and disbursements of a single counsel for all such persons, taken as a whole, and, if deemed reasonably necessary by such persons, a single local counsel in each appropriate jurisdiction and/or (if appropriate) a single regulatory counsel for all such persons, taken as a whole (and, in the case of an actual or perceived conflict of interest where such person affected by such conflict informs the Parent of such conflict and thereafter retains its own counsel, of another firm of such for such affected person, and, if deemed reasonably necessary by such affected person, a single local counsel in each appropriate jurisdiction and/or (if appropriate) a single regulatory counsel).</w:t>
      </w:r>
    </w:p>
    <w:p>
      <w:pPr>
        <w:spacing w:after="0" w:line="111" w:lineRule="exact"/>
        <w:rPr>
          <w:sz w:val="20"/>
          <w:szCs w:val="20"/>
          <w:color w:val="auto"/>
        </w:rPr>
      </w:pPr>
    </w:p>
    <w:p>
      <w:pPr>
        <w:ind w:right="20" w:firstLine="920"/>
        <w:spacing w:after="0" w:line="230" w:lineRule="auto"/>
        <w:tabs>
          <w:tab w:leader="none" w:pos="1361" w:val="left"/>
        </w:tabs>
        <w:numPr>
          <w:ilvl w:val="0"/>
          <w:numId w:val="7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agrees to indemnify the Administrative Agent, the Collateral Agent, the Arrangers, each Issuing Bank, each Lender, each of their respective Affiliates, successors and assigns, and each of their respective Related Parties, (each such person being called an “</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xml:space="preserve">”) against, and to hold each Indemnitee harmless from, any and all Liabilities and reasonable and documented out-of-pocket expenses reasonably related thereto, including reasonable counsel fees, charges and disbursements (but limited, in the case of legal fees and expenses, to not more than one counsel for all such Indemnitees, taken as a whole, and, if deemed reasonably necessary by such parties, a single local counsel in each appropriate jurisdiction and/or a single regulatory counsel for all such Indemnitees, taken as a whole (and, in the case of an actual or perceived conflict of interest where the Indemnitee affected by such conflict informs the Parent of such conflict and thereafter retains its own counsel, of another firm of counsel for such affected Indemnitee, and, if deemed reasonably necessary by such Indemnitee, a single local counsel in each appropriate jurisdiction and/or a single regulatory counsel for such Indemnitee)), incurred by or asserted against any Indemnitee arising out of, in connection with or as a result of (i) the execution or delivery of this Agreement or any other Loan Document or any agreement or instrument contemplated hereby or thereby, (ii) the performance by the parties hereto and thereto of their respective obligations thereunder or the consummation of the Transactions and the other transactions contemplated hereby, (iii)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or (iv) any Proceeding relating to any of the foregoing (whether or not any Indemnitee is a party thereto and regardless of whether such matter is initiated by a third party or by the Parent or Merus or any of their respective subsidiaries or Affiliates;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indemnity shall not, as to any Indemnitee, be available to the extent that such Liabilities and/or related costs or expenses (x) are determined by a final, non-appealable judgment of a court of competent jurisdiction to have resulted from the gross negligence or willful misconduct of such Indemnitee or any of its Related Parties or a material breach of this Agreement or any of the Loan Documents by such Indemnitee or any of its Related Parties or (y) arose from any Proceeding that does not involve an act or omission of the Parent or any of its Affiliates and is brought by an Indemnitee against another Indemnitee (other than any Proceeding against any Agent or an Arranger in its capacity as such)).</w:t>
      </w:r>
    </w:p>
    <w:p>
      <w:pPr>
        <w:spacing w:after="0" w:line="110" w:lineRule="exact"/>
        <w:rPr>
          <w:rFonts w:ascii="Times New Roman" w:cs="Times New Roman" w:eastAsia="Times New Roman" w:hAnsi="Times New Roman"/>
          <w:sz w:val="14"/>
          <w:szCs w:val="14"/>
          <w:color w:val="auto"/>
        </w:rPr>
      </w:pPr>
    </w:p>
    <w:p>
      <w:pPr>
        <w:ind w:firstLine="920"/>
        <w:spacing w:after="0" w:line="223" w:lineRule="auto"/>
        <w:tabs>
          <w:tab w:leader="none" w:pos="1370" w:val="left"/>
        </w:tabs>
        <w:numPr>
          <w:ilvl w:val="0"/>
          <w:numId w:val="7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agrees that (i) in no event shall any Arranger, the Administrative Agent, the Collateral Agent, any Issuing Bank or any Lender, their respective Affiliates and their respective officers, directors, employees, advisors, and agents (each, and including, without limitation, each Arranger, the Administrative Agent, the Collateral Agent, each Issuing Bank and each Lender, a “</w:t>
      </w:r>
      <w:r>
        <w:rPr>
          <w:rFonts w:ascii="Times New Roman" w:cs="Times New Roman" w:eastAsia="Times New Roman" w:hAnsi="Times New Roman"/>
          <w:sz w:val="14"/>
          <w:szCs w:val="14"/>
          <w:u w:val="single" w:color="auto"/>
          <w:color w:val="auto"/>
        </w:rPr>
        <w:t>Lender-Related Person</w:t>
      </w:r>
      <w:r>
        <w:rPr>
          <w:rFonts w:ascii="Times New Roman" w:cs="Times New Roman" w:eastAsia="Times New Roman" w:hAnsi="Times New Roman"/>
          <w:sz w:val="14"/>
          <w:szCs w:val="14"/>
          <w:color w:val="auto"/>
        </w:rPr>
        <w:t>”) or any Borrower (or any of their subsidiaries or Affiliates) have any Liabilities, on any theory of liability, for any special, indirect, consequential or punitive damages arising out of, in connection with, or as a result of, this Agreement, any other Loan Document, or any other agreement or instrument contemplated hereby or thereby and (ii) no Lender-Related Person shall have any Liabilities arising from, or be responsible for, the use by others of information or other materials (including, without limitation, any personal data) obtained through electronic, telecommunications or other information</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53" w:name="page654"/>
    <w:bookmarkEnd w:id="653"/>
    <w:p>
      <w:pPr>
        <w:spacing w:after="0" w:line="24"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4"/>
          <w:szCs w:val="14"/>
          <w:color w:val="auto"/>
        </w:rPr>
        <w:t xml:space="preserve">transmission systems, including an electronic platform or otherwise via the internet (except to the extent such damages are determined by a final, non-appealable judgment of a court of competent jurisdiction to have resulted from the willful misconduct or gross negligence, of any Lender-Related Person or any of its Related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in this clause</w:t>
      </w:r>
    </w:p>
    <w:p>
      <w:pPr>
        <w:spacing w:after="0" w:line="1" w:lineRule="exact"/>
        <w:rPr>
          <w:sz w:val="20"/>
          <w:szCs w:val="20"/>
          <w:color w:val="auto"/>
        </w:rPr>
      </w:pPr>
    </w:p>
    <w:p>
      <w:pPr>
        <w:jc w:val="both"/>
        <w:ind w:firstLine="6"/>
        <w:spacing w:after="0" w:line="225" w:lineRule="auto"/>
        <w:tabs>
          <w:tab w:leader="none" w:pos="219" w:val="left"/>
        </w:tabs>
        <w:numPr>
          <w:ilvl w:val="0"/>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relieve the Borrowers of any obligation they may have to indemnify an Indemnitee, as provided in the immediately preceding clause (b), against any special, indirect, consequential or punitive damages asserted against such Indemnitee by a third party. Each Borrower agrees, to the extent permitted by applicable law, to not assert any claims against any Lender-Related Person with respect to any of the foregoing.</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17" w:lineRule="auto"/>
        <w:tabs>
          <w:tab w:leader="none" w:pos="1361" w:val="left"/>
        </w:tabs>
        <w:numPr>
          <w:ilvl w:val="1"/>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severally agrees to pay any amount required to be paid by any Loan Party under clauses (a), (b) or (c) of this Section 9.05 to the Administrative Agent, the Collateral Agent and each Issuing Bank, and each Related Party of any of the foregoing persons (each, an “</w:t>
      </w:r>
      <w:r>
        <w:rPr>
          <w:rFonts w:ascii="Times New Roman" w:cs="Times New Roman" w:eastAsia="Times New Roman" w:hAnsi="Times New Roman"/>
          <w:sz w:val="14"/>
          <w:szCs w:val="14"/>
          <w:u w:val="single" w:color="auto"/>
          <w:color w:val="auto"/>
        </w:rPr>
        <w:t>Agent-Related Person</w:t>
      </w:r>
      <w:r>
        <w:rPr>
          <w:rFonts w:ascii="Times New Roman" w:cs="Times New Roman" w:eastAsia="Times New Roman" w:hAnsi="Times New Roman"/>
          <w:sz w:val="14"/>
          <w:szCs w:val="14"/>
          <w:color w:val="auto"/>
        </w:rPr>
        <w:t xml:space="preserve">”) (to the extent not reimbursed by such Loan Party and without limiting the obligation of such Loan Party to do so), ratably according to their respective Applicable Percentage in effect on the date on which such payment is sought under this Section 9.05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the Loans,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failure of any Lender to reimburse any Agent-Related Person promptly upon demand for its Applicable Percentage of any amount required to be paid by the Lenders to such Agent-Related Person as provided herein shall not relieve any other Lender of its obligation hereunder to reimburse such Agent-Related Person for its Applicable Percentage of such amount, but no Lender shall be responsible for the failure of any other Lender to reimburse such Agent-Related Person for such other Lender’s Applicable Percentage of such amount.</w:t>
      </w:r>
    </w:p>
    <w:p>
      <w:pPr>
        <w:spacing w:after="0" w:line="113" w:lineRule="exact"/>
        <w:rPr>
          <w:rFonts w:ascii="Times New Roman" w:cs="Times New Roman" w:eastAsia="Times New Roman" w:hAnsi="Times New Roman"/>
          <w:sz w:val="14"/>
          <w:szCs w:val="14"/>
          <w:color w:val="auto"/>
        </w:rPr>
      </w:pPr>
    </w:p>
    <w:p>
      <w:pPr>
        <w:ind w:right="20" w:firstLine="920"/>
        <w:spacing w:after="0" w:line="225" w:lineRule="auto"/>
        <w:tabs>
          <w:tab w:leader="none" w:pos="1370" w:val="left"/>
        </w:tabs>
        <w:numPr>
          <w:ilvl w:val="1"/>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Section 9.05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the Collateral Agent, any Issuing Bank or any Lender. All amounts due under this Section 9.05 shall be payable within 15 days after written demand therefor accompanied by reasonable documentation with respect to any reimbursement, indemnification or other amount requested.</w:t>
      </w:r>
    </w:p>
    <w:p>
      <w:pPr>
        <w:spacing w:after="0" w:line="111" w:lineRule="exact"/>
        <w:rPr>
          <w:rFonts w:ascii="Times New Roman" w:cs="Times New Roman" w:eastAsia="Times New Roman" w:hAnsi="Times New Roman"/>
          <w:sz w:val="14"/>
          <w:szCs w:val="14"/>
          <w:color w:val="auto"/>
        </w:rPr>
      </w:pPr>
    </w:p>
    <w:p>
      <w:pPr>
        <w:ind w:right="40" w:firstLine="920"/>
        <w:spacing w:after="0" w:line="248" w:lineRule="auto"/>
        <w:tabs>
          <w:tab w:leader="none" w:pos="1370" w:val="left"/>
        </w:tabs>
        <w:numPr>
          <w:ilvl w:val="1"/>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provided in Section 9.05(a) with respect to Other Taxes, which shall not be duplicative with any amounts paid pursuant to Section 2.17, this Section 9.05 shall not apply to any Taxes (other than Taxes that represent Liabilities, etc. resulting from a non-Tax claim).</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34" w:lineRule="exact"/>
        <w:rPr>
          <w:rFonts w:ascii="Times New Roman" w:cs="Times New Roman" w:eastAsia="Times New Roman" w:hAnsi="Times New Roman"/>
          <w:sz w:val="14"/>
          <w:szCs w:val="14"/>
          <w:color w:val="auto"/>
        </w:rPr>
      </w:pPr>
    </w:p>
    <w:p>
      <w:pPr>
        <w:jc w:val="both"/>
        <w:ind w:right="60" w:firstLine="920"/>
        <w:spacing w:after="0" w:line="233" w:lineRule="auto"/>
        <w:tabs>
          <w:tab w:leader="none" w:pos="1361" w:val="left"/>
        </w:tabs>
        <w:numPr>
          <w:ilvl w:val="1"/>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agreements in this Section 9.05 shall survive the resignation or removal of the Administrative Agent, the Collateral Agent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w:t>
      </w:r>
    </w:p>
    <w:p>
      <w:pPr>
        <w:spacing w:after="0" w:line="112" w:lineRule="exact"/>
        <w:rPr>
          <w:sz w:val="20"/>
          <w:szCs w:val="20"/>
          <w:color w:val="auto"/>
        </w:rPr>
      </w:pPr>
    </w:p>
    <w:p>
      <w:pPr>
        <w:ind w:right="40" w:firstLine="914"/>
        <w:spacing w:after="0" w:line="248" w:lineRule="auto"/>
        <w:rPr>
          <w:sz w:val="20"/>
          <w:szCs w:val="20"/>
          <w:color w:val="auto"/>
        </w:rPr>
      </w:pPr>
      <w:r>
        <w:rPr>
          <w:rFonts w:ascii="Times New Roman" w:cs="Times New Roman" w:eastAsia="Times New Roman" w:hAnsi="Times New Roman"/>
          <w:sz w:val="14"/>
          <w:szCs w:val="14"/>
          <w:color w:val="auto"/>
        </w:rPr>
        <w:t>SECTION 9.06.</w:t>
      </w:r>
      <w:r>
        <w:rPr>
          <w:rFonts w:ascii="Times New Roman" w:cs="Times New Roman" w:eastAsia="Times New Roman" w:hAnsi="Times New Roman"/>
          <w:sz w:val="14"/>
          <w:szCs w:val="14"/>
          <w:u w:val="single" w:color="auto"/>
          <w:color w:val="auto"/>
        </w:rPr>
        <w:t>Right of Set -off</w:t>
      </w:r>
      <w:r>
        <w:rPr>
          <w:rFonts w:ascii="Times New Roman" w:cs="Times New Roman" w:eastAsia="Times New Roman" w:hAnsi="Times New Roman"/>
          <w:sz w:val="14"/>
          <w:szCs w:val="14"/>
          <w:color w:val="auto"/>
        </w:rPr>
        <w:t>. If an Event of Default shall have occurred and be continuing, each Lender, each Issuing Bank and each of their respective Affiliates is hereby authorized at any time and from time to time, to the fullest extent permitted by law, to set off and apply any and all</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54" w:name="page655"/>
    <w:bookmarkEnd w:id="654"/>
    <w:p>
      <w:pPr>
        <w:spacing w:after="0" w:line="24"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4"/>
          <w:szCs w:val="14"/>
          <w:color w:val="auto"/>
        </w:rPr>
        <w:t xml:space="preserve">deposits (general or special, time or demand, provisional or final and in whatever currency denominated) at any time held and other obligations at any time owing by such Lender or such Issuing Bank to or for the credit or the account of the Parent or any Subsidiary against any of and all the obligations of the Parent and the other Loan Parties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recovery by any Lender or any Affiliate pursuant to its setoff rights under this Section 9.06 is subject to the provisions of Section 2.18(c);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in the event that any Defaulting Lender shall exercise any such right of setoff,</w:t>
      </w:r>
    </w:p>
    <w:p>
      <w:pPr>
        <w:spacing w:after="0" w:line="2" w:lineRule="exact"/>
        <w:rPr>
          <w:sz w:val="20"/>
          <w:szCs w:val="20"/>
          <w:color w:val="auto"/>
        </w:rPr>
      </w:pPr>
    </w:p>
    <w:p>
      <w:pPr>
        <w:jc w:val="both"/>
        <w:ind w:firstLine="6"/>
        <w:spacing w:after="0" w:line="220" w:lineRule="auto"/>
        <w:tabs>
          <w:tab w:leader="none" w:pos="221" w:val="left"/>
        </w:tabs>
        <w:numPr>
          <w:ilvl w:val="0"/>
          <w:numId w:val="7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so set 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w:t>
      </w:r>
    </w:p>
    <w:p>
      <w:pPr>
        <w:spacing w:after="0" w:line="112" w:lineRule="exact"/>
        <w:rPr>
          <w:sz w:val="20"/>
          <w:szCs w:val="20"/>
          <w:color w:val="auto"/>
        </w:rPr>
      </w:pPr>
    </w:p>
    <w:p>
      <w:pPr>
        <w:jc w:val="both"/>
        <w:ind w:right="40" w:firstLine="914"/>
        <w:spacing w:after="0"/>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Applicable Law</w:t>
      </w:r>
      <w:r>
        <w:rPr>
          <w:rFonts w:ascii="Times New Roman" w:cs="Times New Roman" w:eastAsia="Times New Roman" w:hAnsi="Times New Roman"/>
          <w:sz w:val="14"/>
          <w:szCs w:val="14"/>
          <w:color w:val="auto"/>
        </w:rPr>
        <w:t xml:space="preserve">. THIS AGREEMENT AND ANY CLAIMS, CONTROVERSY, DISPUTE OR CAUSES OF ACTION (WHETHER IN CONTRACT OR TORT OR OTHERWISE) BASED UPON, ARISING OUT OF OR RELATING TO THIS AGREEMENT SHALL BE CONSTRUED IN ACCORDANCE WITH AND GOVERNED BY THE LAWS OF THE STATE OF NEW YORK;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interpretation of the definition of “Company Material Adverse Effect” (as defined in the Transaction Agreement as in effect on the Transaction Agreement Date) and whether or not there shall have occurred a Company Material Adverse Effect since the Transaction Agreement Date (in each case solely for purposes of the conditions to the availability and funding of the Initial Facilities on the Closing Date), (b) the determination of the accuracy of the Transaction Agreement Representations and whether as a result of any inaccuracy thereof the Parent or its applicable Affiliate has a right to terminate its obligations under the Transaction Agreement or a right to refuse to consummate the Offer (as defined in the Transaction Agreement) as a result of a breach of any such representations in the Transaction Agreement and (c) whether the Offer (as defined in the Transaction Agreement) or the Acquisition has been consummated on the terms described in the Transaction Agreement shall, in each case, be governed by and construed in accordance with the law governing the Transaction Agreement, regardless of laws that might otherwise govern under applicable principles of conflicts of laws thereof.</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9.08.</w:t>
      </w:r>
      <w:r>
        <w:rPr>
          <w:rFonts w:ascii="Times New Roman" w:cs="Times New Roman" w:eastAsia="Times New Roman" w:hAnsi="Times New Roman"/>
          <w:sz w:val="14"/>
          <w:szCs w:val="14"/>
          <w:u w:val="single" w:color="auto"/>
          <w:color w:val="auto"/>
        </w:rPr>
        <w:t>Waivers; Amendment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40" w:firstLine="920"/>
        <w:spacing w:after="0" w:line="219" w:lineRule="auto"/>
        <w:tabs>
          <w:tab w:leader="none" w:pos="1370" w:val="left"/>
        </w:tabs>
        <w:numPr>
          <w:ilvl w:val="0"/>
          <w:numId w:val="7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failure or delay of the Administrative Agent, the Collateral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Parent or any other Loan Party therefrom shall in any event be effective unless the same shall be permitted by clause (b) below, and then such waiver or consent shall be effective only in the specific instance and for the purpose for which given. No notice or demand on the Parent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any Lender or the Issuing Bank may have had notice or knowledge of such Default or Event of Default at the time.</w:t>
      </w:r>
    </w:p>
    <w:p>
      <w:pPr>
        <w:spacing w:after="0" w:line="115" w:lineRule="exact"/>
        <w:rPr>
          <w:rFonts w:ascii="Times New Roman" w:cs="Times New Roman" w:eastAsia="Times New Roman" w:hAnsi="Times New Roman"/>
          <w:sz w:val="14"/>
          <w:szCs w:val="14"/>
          <w:color w:val="auto"/>
        </w:rPr>
      </w:pPr>
    </w:p>
    <w:p>
      <w:pPr>
        <w:jc w:val="both"/>
        <w:ind w:firstLine="920"/>
        <w:spacing w:after="0" w:line="233" w:lineRule="auto"/>
        <w:tabs>
          <w:tab w:leader="none" w:pos="1361" w:val="left"/>
        </w:tabs>
        <w:numPr>
          <w:ilvl w:val="0"/>
          <w:numId w:val="7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this Agreement nor any other Loan Document nor any provision hereof or thereof may be waived, amended or modified except (x) as provided in Section 2.21, 2.22, 2.23 or 2.28, (y) in the case of this Agreement, pursuant to an agreement or agreements in writing entered into by the Parent and the Required Lenders (except that any waiver, amendment or modification of the Financial</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55" w:name="page656"/>
    <w:bookmarkEnd w:id="655"/>
    <w:p>
      <w:pPr>
        <w:spacing w:after="0" w:line="2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 xml:space="preserve">Covenants or of any defined term (or component defined term) used therein (but only to the extent as used therein) (or any Default or Event of Default or exercise of remedies by the Required TLA/RCF Lenders in respect or as a result thereof) shall require the consent of the Required TLA/RCF Lenders, rather than the Required Lenders) and (z) in the case of any other Loan Document, pursuant to an agreement or agreements in writing entered into by each Loan Party party thereto and the Administrative Agent and consented to by the Required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agreement shall:</w:t>
      </w:r>
    </w:p>
    <w:p>
      <w:pPr>
        <w:spacing w:after="0" w:line="112" w:lineRule="exact"/>
        <w:rPr>
          <w:sz w:val="20"/>
          <w:szCs w:val="20"/>
          <w:color w:val="auto"/>
        </w:rPr>
      </w:pPr>
    </w:p>
    <w:p>
      <w:pPr>
        <w:jc w:val="both"/>
        <w:ind w:left="460" w:firstLine="460"/>
        <w:spacing w:after="0" w:line="221" w:lineRule="auto"/>
        <w:tabs>
          <w:tab w:leader="none" w:pos="137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decrease or forgive the principal amount of, or extend the final maturity of, or decrease the rate of interest on, any Loan or any reimbursement obligation with respect to any L/C Disbursement, or extend the stated expiration of any Letter of Credit beyond the Maturity Date for the applicable Revolving Facility,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any amendment to the financial definitions in this Agreement shall not constitute a reduction in the rate of interest for purposes of this clause (i) even if the effect of such amendment would be to reduce the rate of interest on any Loan or any reimbursement obligation with respect to any L/C Disbursement or to reduce any fee payable hereunder and (y) only the consent of the Required Lenders shall be necessary to reduce or waive any obligation of the Borrowers to pay interest or Fees at the applicable default rate set forth in Section 2.13(c);</w:t>
      </w:r>
    </w:p>
    <w:p>
      <w:pPr>
        <w:spacing w:after="0" w:line="113" w:lineRule="exact"/>
        <w:rPr>
          <w:rFonts w:ascii="Times New Roman" w:cs="Times New Roman" w:eastAsia="Times New Roman" w:hAnsi="Times New Roman"/>
          <w:sz w:val="14"/>
          <w:szCs w:val="14"/>
          <w:color w:val="auto"/>
        </w:rPr>
      </w:pPr>
    </w:p>
    <w:p>
      <w:pPr>
        <w:jc w:val="both"/>
        <w:ind w:left="460" w:firstLine="460"/>
        <w:spacing w:after="0"/>
        <w:tabs>
          <w:tab w:leader="none" w:pos="137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increase or extend the Commitment of any Lender, or decrease the Commitment Fees, L/C Participation Fees or any other Fees of any Lender without the prior written consent of such Lender (which, notwithstanding the foregoing, with respect to any such extension or decrease, such consent of such Lender shall be the only consent required hereunder to make such modification);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waivers or modifications of conditions precedent, covenants, Defaults or Events of Default, mandatory prepayments or of a mandatory reduction in the aggregate Commitments shall not constitute an increase or extension of the Commitments of any Lender for purposes of this clause (ii);</w:t>
      </w:r>
    </w:p>
    <w:p>
      <w:pPr>
        <w:spacing w:after="0" w:line="222" w:lineRule="exact"/>
        <w:rPr>
          <w:rFonts w:ascii="Times New Roman" w:cs="Times New Roman" w:eastAsia="Times New Roman" w:hAnsi="Times New Roman"/>
          <w:sz w:val="14"/>
          <w:szCs w:val="14"/>
          <w:color w:val="auto"/>
        </w:rPr>
      </w:pPr>
    </w:p>
    <w:p>
      <w:pPr>
        <w:jc w:val="both"/>
        <w:ind w:left="460" w:right="20" w:firstLine="460"/>
        <w:spacing w:after="0" w:line="228" w:lineRule="auto"/>
        <w:tabs>
          <w:tab w:leader="none" w:pos="137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or waive any Term Loan Installment Date or reduce the amount due on any Term Loan Installment Date, extend or waive any Maturity Date or reduce the amount due on any Maturity Date or extend any date on which payment of interest (other than interest payable at the applicable default rate of interest set forth in Section 2.13(c))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w:t>
      </w:r>
    </w:p>
    <w:p>
      <w:pPr>
        <w:spacing w:after="0" w:line="109" w:lineRule="exact"/>
        <w:rPr>
          <w:rFonts w:ascii="Times New Roman" w:cs="Times New Roman" w:eastAsia="Times New Roman" w:hAnsi="Times New Roman"/>
          <w:sz w:val="14"/>
          <w:szCs w:val="14"/>
          <w:color w:val="auto"/>
        </w:rPr>
      </w:pPr>
    </w:p>
    <w:p>
      <w:pPr>
        <w:ind w:left="460" w:firstLine="460"/>
        <w:spacing w:after="0" w:line="251" w:lineRule="auto"/>
        <w:tabs>
          <w:tab w:leader="none" w:pos="137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 the provisions of Section 2.18(c) in a manner that would by its terms alter the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sharing of payments required thereby or Section 7.03 without the prior written consent of each Lender adversely affected thereby;</w:t>
      </w:r>
    </w:p>
    <w:p>
      <w:pPr>
        <w:spacing w:after="0" w:line="103" w:lineRule="exact"/>
        <w:rPr>
          <w:rFonts w:ascii="Times New Roman" w:cs="Times New Roman" w:eastAsia="Times New Roman" w:hAnsi="Times New Roman"/>
          <w:sz w:val="14"/>
          <w:szCs w:val="14"/>
          <w:color w:val="auto"/>
        </w:rPr>
      </w:pPr>
    </w:p>
    <w:p>
      <w:pPr>
        <w:jc w:val="both"/>
        <w:ind w:left="460" w:firstLine="460"/>
        <w:spacing w:after="0"/>
        <w:tabs>
          <w:tab w:leader="none" w:pos="136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modify the provisions of this Section 9.08 or the definition of the terms “Required Lenders,” “Required Facility Lenders”, “Required TLA/RCF Lenders” or any other provision hereof specifying the number or percentage of Lenders required to waive, amend or modify any rights hereunder or make any determination or grant any consent hereunder, without the prior written consent of each Lender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222"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Section 9.18, release all or substantially all of the Collateral or all or substantially all of the Guarantors from their respective Guarantees without the prior written consent of each Lender;</w:t>
      </w:r>
    </w:p>
    <w:p>
      <w:pPr>
        <w:spacing w:after="0" w:line="105" w:lineRule="exact"/>
        <w:rPr>
          <w:rFonts w:ascii="Times New Roman" w:cs="Times New Roman" w:eastAsia="Times New Roman" w:hAnsi="Times New Roman"/>
          <w:sz w:val="14"/>
          <w:szCs w:val="14"/>
          <w:color w:val="auto"/>
        </w:rPr>
      </w:pPr>
    </w:p>
    <w:p>
      <w:pPr>
        <w:ind w:left="460" w:right="20" w:firstLine="460"/>
        <w:spacing w:after="0" w:line="248" w:lineRule="auto"/>
        <w:tabs>
          <w:tab w:leader="none" w:pos="137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any waiver, amendment or modification that by its terms adversely affects the rights in respect of payments or collateral of Lenders participating in any Facility differently</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56" w:name="page657"/>
    <w:bookmarkEnd w:id="656"/>
    <w:p>
      <w:pPr>
        <w:spacing w:after="0" w:line="24" w:lineRule="exact"/>
        <w:rPr>
          <w:sz w:val="20"/>
          <w:szCs w:val="20"/>
          <w:color w:val="auto"/>
        </w:rPr>
      </w:pPr>
    </w:p>
    <w:p>
      <w:pPr>
        <w:jc w:val="both"/>
        <w:ind w:left="460" w:right="20"/>
        <w:spacing w:after="0" w:line="233" w:lineRule="auto"/>
        <w:rPr>
          <w:sz w:val="20"/>
          <w:szCs w:val="20"/>
          <w:color w:val="auto"/>
        </w:rPr>
      </w:pPr>
      <w:r>
        <w:rPr>
          <w:rFonts w:ascii="Times New Roman" w:cs="Times New Roman" w:eastAsia="Times New Roman" w:hAnsi="Times New Roman"/>
          <w:sz w:val="14"/>
          <w:szCs w:val="14"/>
          <w:color w:val="auto"/>
        </w:rPr>
        <w:t>from those of Lenders participating in another Facility, without the consent of the Required Facility Lenders under the affected Facility (it being agreed that the Required Lenders may waive, in whole or in part, any prepayment or Commitment reduction required by Section 2.11 so long as the application of any prepayment or Commitment reduction still required to be made is not changed);</w:t>
      </w:r>
    </w:p>
    <w:p>
      <w:pPr>
        <w:spacing w:after="0" w:line="112" w:lineRule="exact"/>
        <w:rPr>
          <w:sz w:val="20"/>
          <w:szCs w:val="20"/>
          <w:color w:val="auto"/>
        </w:rPr>
      </w:pPr>
    </w:p>
    <w:p>
      <w:pPr>
        <w:ind w:left="460" w:right="20" w:firstLine="460"/>
        <w:spacing w:after="0" w:line="248" w:lineRule="auto"/>
        <w:tabs>
          <w:tab w:leader="none" w:pos="1374" w:val="left"/>
        </w:tabs>
        <w:numPr>
          <w:ilvl w:val="0"/>
          <w:numId w:val="7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any waiver of the provisions of Section 4.02 with respect to the funding of Revolving Loans of any Class without the prior consent of the Required Facility Lenders of such Class; or</w:t>
      </w:r>
    </w:p>
    <w:p>
      <w:pPr>
        <w:spacing w:after="0" w:line="105" w:lineRule="exact"/>
        <w:rPr>
          <w:rFonts w:ascii="Times New Roman" w:cs="Times New Roman" w:eastAsia="Times New Roman" w:hAnsi="Times New Roman"/>
          <w:sz w:val="14"/>
          <w:szCs w:val="14"/>
          <w:color w:val="auto"/>
        </w:rPr>
      </w:pPr>
    </w:p>
    <w:p>
      <w:pPr>
        <w:ind w:left="460" w:firstLine="460"/>
        <w:spacing w:after="0" w:line="248" w:lineRule="auto"/>
        <w:tabs>
          <w:tab w:leader="none" w:pos="1374" w:val="left"/>
        </w:tabs>
        <w:numPr>
          <w:ilvl w:val="0"/>
          <w:numId w:val="7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expressly subordinate the Obligations or any Guarantee (or Liens on the Collateral securing the Obligations or any Guarantee) to any other Indebtedness of any Borrower or Guarantor (or the Liens on the Collateral securing any such Indebtedness) without the prior written consent of each Lender adversely affected thereby;</w:t>
      </w:r>
    </w:p>
    <w:p>
      <w:pPr>
        <w:spacing w:after="0" w:line="115"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such agreement shall amend, modify or otherwise affect the rights or duties of the Administrative Agent, the Collateral Agent or the Issuing Banks hereunder without the prior written consent of the Administrative Agent, the Collateral Agent or each Issuing Bank affected thereby, as applicable. Each Lender shall be bound by any waiver, amendment or modification authorized by this Section 9.08 and any consent by any Lender pursuant to this Section 9.08 shall bind any Assignee of such Lender.</w:t>
      </w:r>
    </w:p>
    <w:p>
      <w:pPr>
        <w:spacing w:after="0" w:line="117" w:lineRule="exact"/>
        <w:rPr>
          <w:sz w:val="20"/>
          <w:szCs w:val="20"/>
          <w:color w:val="auto"/>
        </w:rPr>
      </w:pPr>
    </w:p>
    <w:p>
      <w:pPr>
        <w:jc w:val="both"/>
        <w:ind w:right="20" w:firstLine="914"/>
        <w:spacing w:after="0" w:line="264" w:lineRule="auto"/>
        <w:rPr>
          <w:sz w:val="20"/>
          <w:szCs w:val="20"/>
          <w:color w:val="auto"/>
        </w:rPr>
      </w:pPr>
      <w:r>
        <w:rPr>
          <w:rFonts w:ascii="Times New Roman" w:cs="Times New Roman" w:eastAsia="Times New Roman" w:hAnsi="Times New Roman"/>
          <w:sz w:val="14"/>
          <w:szCs w:val="14"/>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14" w:lineRule="exact"/>
        <w:rPr>
          <w:sz w:val="20"/>
          <w:szCs w:val="20"/>
          <w:color w:val="auto"/>
        </w:rPr>
      </w:pPr>
    </w:p>
    <w:p>
      <w:pPr>
        <w:jc w:val="both"/>
        <w:ind w:firstLine="920"/>
        <w:spacing w:after="0" w:line="221" w:lineRule="auto"/>
        <w:tabs>
          <w:tab w:leader="none" w:pos="1370" w:val="left"/>
        </w:tabs>
        <w:numPr>
          <w:ilvl w:val="0"/>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consent of any Lender or Issuing Bank, the Loan Parties and the Administrative Agent and the Collateral Agent may (in their respective sole discretion, or shall, to the extent required or contemplated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Junior Liens (to the extent necessary or advisable under applicable local law)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13" w:lineRule="exact"/>
        <w:rPr>
          <w:rFonts w:ascii="Times New Roman" w:cs="Times New Roman" w:eastAsia="Times New Roman" w:hAnsi="Times New Roman"/>
          <w:sz w:val="14"/>
          <w:szCs w:val="14"/>
          <w:color w:val="auto"/>
        </w:rPr>
      </w:pPr>
    </w:p>
    <w:p>
      <w:pPr>
        <w:jc w:val="both"/>
        <w:ind w:right="20" w:firstLine="920"/>
        <w:spacing w:after="0" w:line="225" w:lineRule="auto"/>
        <w:tabs>
          <w:tab w:leader="none" w:pos="1361" w:val="left"/>
        </w:tabs>
        <w:numPr>
          <w:ilvl w:val="0"/>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this Agreement may be amended (or amended and restated) with the written consent of the Required Lenders, the Administrative Agent and the Parent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Loans and the accrued interest and fees and other obligations in respect thereof and (ii) to include appropriately the holders of such extensions of credit in any determination of the requisite lenders required hereunder, including the Required Lenders, the Required Facility Lenders and the Required TLA/RCF Lenders, and for purposes of the relevant provisions of Section 7.03.</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57" w:name="page658"/>
    <w:bookmarkEnd w:id="657"/>
    <w:p>
      <w:pPr>
        <w:spacing w:after="0" w:line="24" w:lineRule="exact"/>
        <w:rPr>
          <w:sz w:val="20"/>
          <w:szCs w:val="20"/>
          <w:color w:val="auto"/>
        </w:rPr>
      </w:pPr>
    </w:p>
    <w:p>
      <w:pPr>
        <w:jc w:val="both"/>
        <w:ind w:firstLine="920"/>
        <w:spacing w:after="0"/>
        <w:tabs>
          <w:tab w:leader="none" w:pos="1370"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technical and conforming modifications to the Loan Documents may be made with the consent of the Parent and the Administrative Agent (but without the consent of any Lender) to the extent necessary (A) to give effect to the provisions of Sections 2.21, 2.22 and 2.23, including (x) to establish such Other Term Commitments, Other Revolving Commitments, Other Term Loans or Other Revolving Loans as a separate Class or tranche from the existing Term Commitments, Revolving Commitments, Term Loans or Revolving Loans, as applicable, (y) in the case of any Term Loans incurred or established pursuant to any such Section that are intended to be “fungible” with any then-existing Class of Term Loans, providing scheduled amortization in such other percentages or amounts as may be agreed by the Parent and the Administrative Agent to ensure that such Term Loans are “fungible” with such then-existing Class of Term Loans and (z) in the case of Extended Term Loans, to reduce the amortization schedule of the related existing Class of Term Loans proportionately, (B) to integrate any Other First Lien Debt or (C) to cure any ambiguity, omission, error, defect or inconsistency. In addition, notwithstanding the foregoing, this Agreement may be amended (or amended and restated) with the written consent of the Parent and the Administrative Agent (but without the consent of any Lender or Issuing Bank) to include any additional financial maintenance covenant (or any financial maintenance covenant that is already included in this Agreement but with covenant levels and component definitions that are more restrictive to the Parent) for the benefit of the Lenders of all of the Facilities (but not fewer than all of the Facilities) then existing.</w:t>
      </w:r>
    </w:p>
    <w:p>
      <w:pPr>
        <w:spacing w:after="0" w:line="112" w:lineRule="exact"/>
        <w:rPr>
          <w:rFonts w:ascii="Times New Roman" w:cs="Times New Roman" w:eastAsia="Times New Roman" w:hAnsi="Times New Roman"/>
          <w:sz w:val="14"/>
          <w:szCs w:val="14"/>
          <w:color w:val="auto"/>
        </w:rPr>
      </w:pPr>
    </w:p>
    <w:p>
      <w:pPr>
        <w:jc w:val="both"/>
        <w:ind w:firstLine="920"/>
        <w:spacing w:after="0"/>
        <w:tabs>
          <w:tab w:leader="none" w:pos="1370"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Times New Roman" w:cs="Times New Roman" w:eastAsia="Times New Roman" w:hAnsi="Times New Roman"/>
          <w:sz w:val="14"/>
          <w:szCs w:val="14"/>
          <w:u w:val="single" w:color="auto"/>
          <w:color w:val="auto"/>
        </w:rPr>
        <w:t>Applicable Date</w:t>
      </w:r>
      <w:r>
        <w:rPr>
          <w:rFonts w:ascii="Times New Roman" w:cs="Times New Roman" w:eastAsia="Times New Roman" w:hAnsi="Times New Roman"/>
          <w:sz w:val="14"/>
          <w:szCs w:val="14"/>
          <w:color w:val="auto"/>
        </w:rPr>
        <w:t>”), when originally made, are included in each Borrowing of outstanding Term Loans of such Class (the “</w:t>
      </w:r>
      <w:r>
        <w:rPr>
          <w:rFonts w:ascii="Times New Roman" w:cs="Times New Roman" w:eastAsia="Times New Roman" w:hAnsi="Times New Roman"/>
          <w:sz w:val="14"/>
          <w:szCs w:val="14"/>
          <w:u w:val="single" w:color="auto"/>
          <w:color w:val="auto"/>
        </w:rPr>
        <w:t>Existing Class Loans</w:t>
      </w:r>
      <w:r>
        <w:rPr>
          <w:rFonts w:ascii="Times New Roman" w:cs="Times New Roman" w:eastAsia="Times New Roman" w:hAnsi="Times New Roman"/>
          <w:sz w:val="14"/>
          <w:szCs w:val="14"/>
          <w:color w:val="auto"/>
        </w:rPr>
        <w:t xml:space="preserve">”),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and/or to ensure that, immediately after giving effect to such new Term Loans (the “</w:t>
      </w:r>
      <w:r>
        <w:rPr>
          <w:rFonts w:ascii="Times New Roman" w:cs="Times New Roman" w:eastAsia="Times New Roman" w:hAnsi="Times New Roman"/>
          <w:sz w:val="14"/>
          <w:szCs w:val="14"/>
          <w:u w:val="single" w:color="auto"/>
          <w:color w:val="auto"/>
        </w:rPr>
        <w:t>New Class Loans</w:t>
      </w:r>
      <w:r>
        <w:rPr>
          <w:rFonts w:ascii="Times New Roman" w:cs="Times New Roman" w:eastAsia="Times New Roman" w:hAnsi="Times New Roman"/>
          <w:sz w:val="14"/>
          <w:szCs w:val="14"/>
          <w:color w:val="auto"/>
        </w:rPr>
        <w:t>” and, together with the Existing Class Loans, the “</w:t>
      </w:r>
      <w:r>
        <w:rPr>
          <w:rFonts w:ascii="Times New Roman" w:cs="Times New Roman" w:eastAsia="Times New Roman" w:hAnsi="Times New Roman"/>
          <w:sz w:val="14"/>
          <w:szCs w:val="14"/>
          <w:u w:val="single" w:color="auto"/>
          <w:color w:val="auto"/>
        </w:rPr>
        <w:t>Class Loans</w:t>
      </w:r>
      <w:r>
        <w:rPr>
          <w:rFonts w:ascii="Times New Roman" w:cs="Times New Roman" w:eastAsia="Times New Roman" w:hAnsi="Times New Roman"/>
          <w:sz w:val="14"/>
          <w:szCs w:val="14"/>
          <w:color w:val="auto"/>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Times New Roman" w:cs="Times New Roman" w:eastAsia="Times New Roman" w:hAnsi="Times New Roman"/>
          <w:sz w:val="14"/>
          <w:szCs w:val="14"/>
          <w:u w:val="single" w:color="auto"/>
          <w:color w:val="auto"/>
        </w:rPr>
        <w:t>Pro Rata Share</w:t>
      </w:r>
      <w:r>
        <w:rPr>
          <w:rFonts w:ascii="Times New Roman" w:cs="Times New Roman" w:eastAsia="Times New Roman" w:hAnsi="Times New Roman"/>
          <w:sz w:val="14"/>
          <w:szCs w:val="14"/>
          <w:color w:val="auto"/>
        </w:rPr>
        <w:t>” of any Lender on the Applicable Date is the ratio of (1) the sum of such Lender’s Existing Class Loans immediately prior to the Applicable Date plus the amount of New Class Loans made by such Lender on the Applicable Date over (2) the aggregate principal amount of all Class Loans on the Applicable Date.</w:t>
      </w:r>
    </w:p>
    <w:p>
      <w:pPr>
        <w:spacing w:after="0" w:line="167" w:lineRule="exact"/>
        <w:rPr>
          <w:rFonts w:ascii="Times New Roman" w:cs="Times New Roman" w:eastAsia="Times New Roman" w:hAnsi="Times New Roman"/>
          <w:sz w:val="14"/>
          <w:szCs w:val="14"/>
          <w:color w:val="auto"/>
        </w:rPr>
      </w:pPr>
    </w:p>
    <w:p>
      <w:pPr>
        <w:jc w:val="both"/>
        <w:ind w:firstLine="920"/>
        <w:spacing w:after="0" w:line="225" w:lineRule="auto"/>
        <w:tabs>
          <w:tab w:leader="none" w:pos="1361"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in this Section 9.08, guarantees, collateral or security documents and related documents executed by Foreign Subsidiaries in connection with this Agreement may be, together with this Agreement, amended or modified (and any provisions therein may be waived) with the consent of the Administrative Agent at the request of the Parent without the need to obtain the consent of any other Lender if such amendment, modification or waiver is intended (i) to comply with the local law or advice of local counsel, (ii) to cure ambiguities or defects or (iii) to cause such guarantee, collateral or security document or other document to be consistent with this Agreement and the other Loan Documents (including, without limitation, the Agreed Guarantee and Security Principles).</w:t>
      </w:r>
    </w:p>
    <w:p>
      <w:pPr>
        <w:spacing w:after="0" w:line="111" w:lineRule="exact"/>
        <w:rPr>
          <w:rFonts w:ascii="Times New Roman" w:cs="Times New Roman" w:eastAsia="Times New Roman" w:hAnsi="Times New Roman"/>
          <w:sz w:val="14"/>
          <w:szCs w:val="14"/>
          <w:color w:val="auto"/>
        </w:rPr>
      </w:pPr>
    </w:p>
    <w:p>
      <w:pPr>
        <w:jc w:val="both"/>
        <w:ind w:firstLine="920"/>
        <w:spacing w:after="0"/>
        <w:tabs>
          <w:tab w:leader="none" w:pos="1361"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in this Section 9.08, any amendment, waiver or modification of any term or provision of this Agreement or any other Loan Document that by its terms directly affects Lenders under one or more Classes and does not directly and adversely affect Lenders under one or more other Classes, including any waiver of any condition precedent set forth in Section 4.02, may be effected by an agreement or agreements in writing entered into by the Parent and the requisite number or percentage in interest of each affected Class of Lenders that would be required to consent thereto under Section 9.08(b) if such Class of Lenders were the only Class of Lenders hereunder at the time.</w:t>
      </w:r>
    </w:p>
    <w:p>
      <w:pPr>
        <w:spacing w:after="0" w:line="222" w:lineRule="exact"/>
        <w:rPr>
          <w:sz w:val="20"/>
          <w:szCs w:val="20"/>
          <w:color w:val="auto"/>
        </w:rPr>
      </w:pPr>
    </w:p>
    <w:p>
      <w:pPr>
        <w:jc w:val="both"/>
        <w:ind w:right="20" w:firstLine="914"/>
        <w:spacing w:after="0" w:line="228" w:lineRule="auto"/>
        <w:rPr>
          <w:sz w:val="20"/>
          <w:szCs w:val="20"/>
          <w:color w:val="auto"/>
        </w:rPr>
      </w:pPr>
      <w:r>
        <w:rPr>
          <w:rFonts w:ascii="Times New Roman" w:cs="Times New Roman" w:eastAsia="Times New Roman" w:hAnsi="Times New Roman"/>
          <w:sz w:val="14"/>
          <w:szCs w:val="14"/>
          <w:color w:val="auto"/>
        </w:rPr>
        <w:t xml:space="preserve">SECTION 9.09. </w:t>
      </w:r>
      <w:r>
        <w:rPr>
          <w:rFonts w:ascii="Times New Roman" w:cs="Times New Roman" w:eastAsia="Times New Roman" w:hAnsi="Times New Roman"/>
          <w:sz w:val="14"/>
          <w:szCs w:val="14"/>
          <w:u w:val="single" w:color="auto"/>
          <w:color w:val="auto"/>
        </w:rPr>
        <w:t>Interest Rate Limitation</w:t>
      </w:r>
      <w:r>
        <w:rPr>
          <w:rFonts w:ascii="Times New Roman" w:cs="Times New Roman" w:eastAsia="Times New Roman" w:hAnsi="Times New Roman"/>
          <w:sz w:val="14"/>
          <w:szCs w:val="14"/>
          <w:color w:val="auto"/>
        </w:rPr>
        <w:t>. Notwithstanding anything herein to the contrary, if at any time the applicable interest rate, together with all fees and charges that are treated as interest under applicable law (collectively, the “</w:t>
      </w:r>
      <w:r>
        <w:rPr>
          <w:rFonts w:ascii="Times New Roman" w:cs="Times New Roman" w:eastAsia="Times New Roman" w:hAnsi="Times New Roman"/>
          <w:sz w:val="14"/>
          <w:szCs w:val="14"/>
          <w:u w:val="single" w:color="auto"/>
          <w:color w:val="auto"/>
        </w:rPr>
        <w:t>Charges</w:t>
      </w:r>
      <w:r>
        <w:rPr>
          <w:rFonts w:ascii="Times New Roman" w:cs="Times New Roman" w:eastAsia="Times New Roman" w:hAnsi="Times New Roman"/>
          <w:sz w:val="14"/>
          <w:szCs w:val="14"/>
          <w:color w:val="auto"/>
        </w:rPr>
        <w:t>”), as provided for herein or in any other document executed in connection herewith, or otherwise contracted for, charged, received, taken or reserved by any Lender or any Issuing Bank, shall exceed the maximum lawful rate (the “</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that may be contracted for, charged, taken, received or reserved by such Lender or Issuing Bank in</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58" w:name="page659"/>
    <w:bookmarkEnd w:id="658"/>
    <w:p>
      <w:pPr>
        <w:spacing w:after="0" w:line="24"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4"/>
          <w:szCs w:val="14"/>
          <w:color w:val="auto"/>
        </w:rPr>
        <w:t xml:space="preserve">accordance with applicable law, the rate of interest payable hereunder, together with all Charges payable to such Lender or such Issuing Bank, shall be limited to the Maximum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1" w:lineRule="exact"/>
        <w:rPr>
          <w:sz w:val="20"/>
          <w:szCs w:val="20"/>
          <w:color w:val="auto"/>
        </w:rPr>
      </w:pPr>
    </w:p>
    <w:p>
      <w:pPr>
        <w:jc w:val="both"/>
        <w:ind w:right="20" w:firstLine="914"/>
        <w:spacing w:after="0" w:line="223" w:lineRule="auto"/>
        <w:rPr>
          <w:sz w:val="20"/>
          <w:szCs w:val="20"/>
          <w:color w:val="auto"/>
        </w:rPr>
      </w:pPr>
      <w:r>
        <w:rPr>
          <w:rFonts w:ascii="Times New Roman" w:cs="Times New Roman" w:eastAsia="Times New Roman" w:hAnsi="Times New Roman"/>
          <w:sz w:val="14"/>
          <w:szCs w:val="14"/>
          <w:color w:val="auto"/>
        </w:rPr>
        <w:t>SECTION 9.10.</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the other Loan Documents and such agreements regarding Fees. Notwithstanding the foregoing, the Fee Letters shall survive the execution and delivery of this Agreement and remain in full force and effect. Nothing in this Agreement or in the other Loan Documents, expressed or implied, is intended to confer upon any party other than the parties hereto and thereto (and the Indemnitees, the Agent -Related Persons, the Cash Management Banks under any Secured Cash Management Agreement and the Hedge Banks under any Secured Hedge Agreement) rights, remedies, obligations or liabilities under or by reason of this Agreement or the other Loan Documents.</w:t>
      </w:r>
    </w:p>
    <w:p>
      <w:pPr>
        <w:spacing w:after="0" w:line="111" w:lineRule="exact"/>
        <w:rPr>
          <w:sz w:val="20"/>
          <w:szCs w:val="20"/>
          <w:color w:val="auto"/>
        </w:rPr>
      </w:pPr>
    </w:p>
    <w:p>
      <w:pPr>
        <w:ind w:right="100" w:firstLine="914"/>
        <w:spacing w:after="0" w:line="221" w:lineRule="auto"/>
        <w:rPr>
          <w:sz w:val="20"/>
          <w:szCs w:val="20"/>
          <w:color w:val="auto"/>
        </w:rPr>
      </w:pPr>
      <w:r>
        <w:rPr>
          <w:rFonts w:ascii="Times New Roman" w:cs="Times New Roman" w:eastAsia="Times New Roman" w:hAnsi="Times New Roman"/>
          <w:sz w:val="14"/>
          <w:szCs w:val="14"/>
          <w:color w:val="auto"/>
        </w:rPr>
        <w:t xml:space="preserve">SECTION 9.11. </w:t>
      </w: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xml:space="preserve"> .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14" w:lineRule="exact"/>
        <w:rPr>
          <w:sz w:val="20"/>
          <w:szCs w:val="20"/>
          <w:color w:val="auto"/>
        </w:rPr>
      </w:pPr>
    </w:p>
    <w:p>
      <w:pPr>
        <w:jc w:val="both"/>
        <w:ind w:right="20" w:firstLine="914"/>
        <w:spacing w:after="0" w:line="225" w:lineRule="auto"/>
        <w:rPr>
          <w:sz w:val="20"/>
          <w:szCs w:val="20"/>
          <w:color w:val="auto"/>
        </w:rPr>
      </w:pPr>
      <w:r>
        <w:rPr>
          <w:rFonts w:ascii="Times New Roman" w:cs="Times New Roman" w:eastAsia="Times New Roman" w:hAnsi="Times New Roman"/>
          <w:sz w:val="14"/>
          <w:szCs w:val="14"/>
          <w:color w:val="auto"/>
        </w:rPr>
        <w:t xml:space="preserve">SECTION 9.12.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 - faith negotiations to replace the invalid, illegal or unenforceable provisions with valid provisions the economic effect of which comes as close as possible to that of the invalid, illegal or unenforceable provisions.</w:t>
      </w:r>
    </w:p>
    <w:p>
      <w:pPr>
        <w:spacing w:after="0" w:line="111" w:lineRule="exact"/>
        <w:rPr>
          <w:sz w:val="20"/>
          <w:szCs w:val="20"/>
          <w:color w:val="auto"/>
        </w:rPr>
      </w:pPr>
    </w:p>
    <w:p>
      <w:pPr>
        <w:jc w:val="both"/>
        <w:ind w:firstLine="914"/>
        <w:spacing w:after="0" w:line="220" w:lineRule="auto"/>
        <w:rPr>
          <w:sz w:val="20"/>
          <w:szCs w:val="20"/>
          <w:color w:val="auto"/>
        </w:rPr>
      </w:pPr>
      <w:r>
        <w:rPr>
          <w:rFonts w:ascii="Times New Roman" w:cs="Times New Roman" w:eastAsia="Times New Roman" w:hAnsi="Times New Roman"/>
          <w:sz w:val="14"/>
          <w:szCs w:val="14"/>
          <w:color w:val="auto"/>
        </w:rPr>
        <w:t>SECTION 9.13.</w:t>
      </w:r>
      <w:r>
        <w:rPr>
          <w:rFonts w:ascii="Times New Roman" w:cs="Times New Roman" w:eastAsia="Times New Roman" w:hAnsi="Times New Roman"/>
          <w:sz w:val="14"/>
          <w:szCs w:val="14"/>
          <w:u w:val="single" w:color="auto"/>
          <w:color w:val="auto"/>
        </w:rPr>
        <w:t>Counterparts; Electronic Execution of Assignments and Certain Other Documents</w:t>
      </w:r>
      <w:r>
        <w:rPr>
          <w:rFonts w:ascii="Times New Roman" w:cs="Times New Roman" w:eastAsia="Times New Roman" w:hAnsi="Times New Roman"/>
          <w:sz w:val="14"/>
          <w:szCs w:val="14"/>
          <w:color w:val="auto"/>
        </w:rPr>
        <w:t xml:space="preserve"> . 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facsimile transmission (or other electronic transmission pursuant to procedures approved by the Administrative Agent) shall be as effective as delivery of a manually signed original. This Agreement and any document, amendment, approval, consent, information, notice, certificate, request, statement, disclosure or authorization related to this Agreement (each a “</w:t>
      </w:r>
      <w:r>
        <w:rPr>
          <w:rFonts w:ascii="Times New Roman" w:cs="Times New Roman" w:eastAsia="Times New Roman" w:hAnsi="Times New Roman"/>
          <w:sz w:val="14"/>
          <w:szCs w:val="14"/>
          <w:u w:val="single" w:color="auto"/>
          <w:color w:val="auto"/>
        </w:rPr>
        <w:t>Communication</w:t>
      </w:r>
      <w:r>
        <w:rPr>
          <w:rFonts w:ascii="Times New Roman" w:cs="Times New Roman" w:eastAsia="Times New Roman" w:hAnsi="Times New Roman"/>
          <w:sz w:val="14"/>
          <w:szCs w:val="14"/>
          <w:color w:val="auto"/>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59" w:name="page660"/>
    <w:bookmarkEnd w:id="659"/>
    <w:p>
      <w:pPr>
        <w:spacing w:after="0" w:line="2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Loan Parties, the Administrative Agent and each of the Secured Parties of a manually signed paper Communication which has been converted into electronic form (such as scanned into PDF format), or an electronically signed Communication converted into another format, for transmission, delivery and/or retention. Each of the Loan Parties, the Administrative Agent and each of the Secured Parties may, at its option, create one or more copies of any Communication in the form of an imaged Electronic Record (“</w:t>
      </w:r>
      <w:r>
        <w:rPr>
          <w:rFonts w:ascii="Times New Roman" w:cs="Times New Roman" w:eastAsia="Times New Roman" w:hAnsi="Times New Roman"/>
          <w:sz w:val="14"/>
          <w:szCs w:val="14"/>
          <w:u w:val="single" w:color="auto"/>
          <w:color w:val="auto"/>
        </w:rPr>
        <w:t>Electronic Copy</w:t>
      </w:r>
      <w:r>
        <w:rPr>
          <w:rFonts w:ascii="Times New Roman" w:cs="Times New Roman" w:eastAsia="Times New Roman" w:hAnsi="Times New Roman"/>
          <w:sz w:val="14"/>
          <w:szCs w:val="14"/>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Neither the Administrative Agent nor the Collateral Agent shall have any duty to confirm that the person sending any notice, instruction or other communication (a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xml:space="preserve"> ”) by electronic transmission (including by e-mail, facsimile transmission, web portal or other electronic methods) is, in fact, a person authorized to do so. Each other party assumes all risks arising out of the use of electronic signatures and electronic methods to send Notices to the Administrative Agent or Collateral Agent, including without limitation the risk of the Administrative Agent or Collateral Agent acting on an unauthorized Notice, and the risk of interception or misuse by third parties. Notwithstanding anything contained herein to the contrary, neither the Administrative Agent nor the Collateral Agent is under any obligation to accept an Electronic Signature in any form or in any format unless expressly agreed to by the Administrative Agent or the Collateral Agent, as applicable, pursuant to procedures approved by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without limiting the foregoing, (a) to the extent the Administrative Agent or the Collateral Agent, as applicable, has agreed to accept such Electronic Signature, the Administrative Agent, the Collateral Agent and each of the Secured Parties shall be entitled to rely on any such Electronic Signature purportedly given by or on behalf of any Loan Party without further verification and (b) upon the request of the Administrative Agent, the Collateral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16" w:lineRule="exact"/>
        <w:rPr>
          <w:sz w:val="20"/>
          <w:szCs w:val="20"/>
          <w:color w:val="auto"/>
        </w:rPr>
      </w:pPr>
    </w:p>
    <w:p>
      <w:pPr>
        <w:ind w:right="40" w:firstLine="914"/>
        <w:spacing w:after="0" w:line="248" w:lineRule="auto"/>
        <w:rPr>
          <w:sz w:val="20"/>
          <w:szCs w:val="20"/>
          <w:color w:val="auto"/>
        </w:rPr>
      </w:pPr>
      <w:r>
        <w:rPr>
          <w:rFonts w:ascii="Times New Roman" w:cs="Times New Roman" w:eastAsia="Times New Roman" w:hAnsi="Times New Roman"/>
          <w:sz w:val="14"/>
          <w:szCs w:val="14"/>
          <w:color w:val="auto"/>
        </w:rPr>
        <w:t>SECTION 9.14.</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9.15.</w:t>
      </w:r>
      <w:r>
        <w:rPr>
          <w:rFonts w:ascii="Times New Roman" w:cs="Times New Roman" w:eastAsia="Times New Roman" w:hAnsi="Times New Roman"/>
          <w:sz w:val="14"/>
          <w:szCs w:val="14"/>
          <w:u w:val="single" w:color="auto"/>
          <w:color w:val="auto"/>
        </w:rPr>
        <w:t>Jurisdiction; Consent to Service of Process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firstLine="920"/>
        <w:spacing w:after="0" w:line="218" w:lineRule="auto"/>
        <w:tabs>
          <w:tab w:leader="none" w:pos="1370" w:val="left"/>
        </w:tabs>
        <w:numPr>
          <w:ilvl w:val="0"/>
          <w:numId w:val="7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Arranger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(unless otherwise provided in any Loan Documents that are not governed by the federal law of the United States or the law of any State of the United States or the District of Columbia).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the Collateral Agent, any Issuing Bank or any Lender may otherwise have to bring any action or proceeding relating to this Agreement or any other Loan Document against the Parent or any other Loan Party or its properties in the courts of any jurisdiction.</w:t>
      </w:r>
    </w:p>
    <w:p>
      <w:pPr>
        <w:spacing w:after="0" w:line="114" w:lineRule="exact"/>
        <w:rPr>
          <w:rFonts w:ascii="Times New Roman" w:cs="Times New Roman" w:eastAsia="Times New Roman" w:hAnsi="Times New Roman"/>
          <w:sz w:val="14"/>
          <w:szCs w:val="14"/>
          <w:color w:val="auto"/>
        </w:rPr>
      </w:pPr>
    </w:p>
    <w:p>
      <w:pPr>
        <w:ind w:right="20" w:firstLine="920"/>
        <w:spacing w:after="0" w:line="248" w:lineRule="auto"/>
        <w:tabs>
          <w:tab w:leader="none" w:pos="1361" w:val="left"/>
        </w:tabs>
        <w:numPr>
          <w:ilvl w:val="0"/>
          <w:numId w:val="7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60" w:name="page661"/>
    <w:bookmarkEnd w:id="660"/>
    <w:p>
      <w:pPr>
        <w:spacing w:after="0" w:line="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Loan Documents in any court referred to in clause (a) of this Section 9.15. Each of the parties hereto hereby irrevocably waives, to the fullest extent permitted by law, the defense of an inconvenient forum to the maintenance of such action or proceeding in any such court.</w:t>
      </w:r>
    </w:p>
    <w:p>
      <w:pPr>
        <w:spacing w:after="0" w:line="105" w:lineRule="exact"/>
        <w:rPr>
          <w:sz w:val="20"/>
          <w:szCs w:val="20"/>
          <w:color w:val="auto"/>
        </w:rPr>
      </w:pPr>
    </w:p>
    <w:p>
      <w:pPr>
        <w:jc w:val="both"/>
        <w:ind w:right="40" w:firstLine="920"/>
        <w:spacing w:after="0" w:line="233" w:lineRule="auto"/>
        <w:tabs>
          <w:tab w:leader="none" w:pos="1370" w:val="left"/>
        </w:tabs>
        <w:numPr>
          <w:ilvl w:val="0"/>
          <w:numId w:val="7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to this Agreement irrevocably consents to service of process in the manner provided for notices in Section 9.01. The Borrowers hereby agree to appoint and maintain Genmab US, Inc. as its agent for service of process with respect to all of the Loan Documents and all other related agreements to which it is a party. Nothing in this Agreement will affect the right of any party to this Agreement or any other Loan Document to serve process in any other manner permitted by law.</w:t>
      </w:r>
    </w:p>
    <w:p>
      <w:pPr>
        <w:spacing w:after="0" w:line="112" w:lineRule="exact"/>
        <w:rPr>
          <w:sz w:val="20"/>
          <w:szCs w:val="20"/>
          <w:color w:val="auto"/>
        </w:rPr>
      </w:pPr>
    </w:p>
    <w:p>
      <w:pPr>
        <w:ind w:firstLine="914"/>
        <w:spacing w:after="0" w:line="215" w:lineRule="auto"/>
        <w:rPr>
          <w:sz w:val="20"/>
          <w:szCs w:val="20"/>
          <w:color w:val="auto"/>
        </w:rPr>
      </w:pPr>
      <w:r>
        <w:rPr>
          <w:rFonts w:ascii="Times New Roman" w:cs="Times New Roman" w:eastAsia="Times New Roman" w:hAnsi="Times New Roman"/>
          <w:sz w:val="14"/>
          <w:szCs w:val="14"/>
          <w:color w:val="auto"/>
        </w:rPr>
        <w:t>SECTION 9.16.</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Each of the Lenders, each Issuing Bank and each of the Agents agrees that it shall maintain in confidence any information relating to the Parent and any Subsidiary or their respective businesses furnished to it by or on behalf of the Parent or any Subsidiary (other than information that (a) has become generally available to the public other than as a result of a disclosure by such party in breach of this Section 9.16, (b) has been independently developed by such Lender, such Issuing Bank or such Agent without violating this Section 9.16 or (c) was available to such Lender, such Issuing Bank or such Agent from a third party having, to such person’s knowledge, no obligations of confidentiality to the Parent or any other Loan Party) and shall not reveal the same other than to its Related Parties and any numbering, administration or settlement service providers or to any person that approves or administers the Loans on behalf of such Lender (so long as each such person shall have been instructed to keep the same confidential in accordance with this Section 9.16), except: (A) to the extent compelled by legal process in, or reasonably necessary to, the defense of any legal, judicial or administrative proceeding or otherwise as required by applicable laws or the requirements of any Governmental Authority purporting to have jurisdiction over such person or its Related Parties, the National Association of Insurance Commissioners or of any securities exchange on which securities of the disclosing party or any Affiliate of the disclosing party are listed or traded, (B) as part of reporting or review procedures to, or examinations by, Governmental Authorities or self- regulatory authorities, including the National Association of Insurance Commissioners or the Financial Industry Regulatory Authority, Inc., (C) to its parent companies, Affiliates and their Related Parties including auditors, accountants, legal counsel and other advisors (so long as each such person shall have been instructed to keep the same confidential in accordance with this Section 9.16), (D) to the extent applicable to establish a due diligence defense, (E) in connection with the exercise of any remedies under this Agreement or any other Loan Document or any suit, action or proceeding relating to this Agreement or any other Loan Document or the enforcement of rights hereunder or thereunder, (F) to any pledgee under Section 9.04(d) or any other prospective assignee of, or prospective Participant in, any of its rights under this Agreement (so long as such person shall have been instructed to keep the same confidential in accordance with this Section 9.16), (G) to any direct or indirect contractual counterparty (or its Related Parties) in Hedging Agreements or such contractual counterparty’s professional advisor (so long as such contractual counterparty or professional advisor to such contractual counterparty agrees to be bound by the provisions of this Section 9.16), (H) on a confidential basis to (i) any rating agency in connection with rating the Parent or its Subsidiaries or the facilities evidenced by this Agreement, (ii) the provider of any Platform or other electronic delivery service used by the Administrative Agent, any Issuing Bank to deliver the Borrower Materials or notices to the Lenders or (iii) the CUSIP Service Bureau or any similar agency in connection with the issuance and monitoring of CUSIP numbers with respect to the facilities evidenced by this Agreement, (I) with the prior written consent of the Parent, (J) to any other party to this Agreement and (K) to the extent required by a potential or actual insurer or reinsurer in connection with providing insurance, reinsurance or credit risk mitigation coverage under which payments are to be made or may be made by reference to this Agreement. In addition, the Administrative Agent, the Issuing Banks and the Lenders may disclose the existence of this Agreement and information about this Agreement to market data collectors, similar service providers to the lending industry and service providers to the Agents or any Issuing Bank or Lender in connection with the administration and management of this Agreement, the other Loan Documents, and the Commitments. For the avoidance of doubt, nothing herein prohibits any person from voluntarily disclosing or providing any information within the scope of such confidentiality provisions to any governmental, regulatory or self-regulatory organization, in each case without any notification to any person, to the extent that any such prohibition on disclosure set forth in such confidentiality provisions shall be prohibited by the laws or regulations applicable to such organization.</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61" w:name="page662"/>
    <w:bookmarkEnd w:id="661"/>
    <w:p>
      <w:pPr>
        <w:spacing w:after="0" w:line="24" w:lineRule="exact"/>
        <w:rPr>
          <w:sz w:val="20"/>
          <w:szCs w:val="20"/>
          <w:color w:val="auto"/>
        </w:rPr>
      </w:pPr>
    </w:p>
    <w:p>
      <w:pPr>
        <w:ind w:right="120" w:firstLine="914"/>
        <w:spacing w:after="0" w:line="223" w:lineRule="auto"/>
        <w:rPr>
          <w:sz w:val="20"/>
          <w:szCs w:val="20"/>
          <w:color w:val="auto"/>
        </w:rPr>
      </w:pPr>
      <w:r>
        <w:rPr>
          <w:rFonts w:ascii="Times New Roman" w:cs="Times New Roman" w:eastAsia="Times New Roman" w:hAnsi="Times New Roman"/>
          <w:sz w:val="14"/>
          <w:szCs w:val="14"/>
          <w:color w:val="auto"/>
        </w:rPr>
        <w:t>SECTION 9.17.</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THE PLATFORM IS PROVIDED “AS IS” AND “AS AVAILABLE”. THE ADMINISTRATIVE AGENT, ITS RELATED PARTIES AND THE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OF ITS RELATED PARTIES OR ANY ARRANGER IN CONNECTION WITH THE BORROWER MATERIALS OR THE PLATFORM.</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9.18.</w:t>
      </w:r>
      <w:r>
        <w:rPr>
          <w:rFonts w:ascii="Times New Roman" w:cs="Times New Roman" w:eastAsia="Times New Roman" w:hAnsi="Times New Roman"/>
          <w:sz w:val="14"/>
          <w:szCs w:val="14"/>
          <w:u w:val="single" w:color="auto"/>
          <w:color w:val="auto"/>
        </w:rPr>
        <w:t>Release of Liens and Guarantees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firstLine="920"/>
        <w:spacing w:after="0" w:line="215" w:lineRule="auto"/>
        <w:tabs>
          <w:tab w:leader="none" w:pos="1370" w:val="left"/>
        </w:tabs>
        <w:numPr>
          <w:ilvl w:val="0"/>
          <w:numId w:val="7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Lenders, the Issuing Banks and the other Secured Parties hereby irrevocably agree that the Liens granted to the Collateral Agent by the Loan Parties on any Collateral shall (1) be automatically released: (i) in full upon the occurrence of the Termination Date as set forth in Section 9.18(d) below, (ii) (x) upon the Disposition (other than any lease or license) of such Collateral by any Loan Party in a transaction permitted by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Collateral is Disposed of to another Loan Party or a person that is required to become a Loan Party, such other Loan Party or person grants a Lien on such Collateral in favor of the Collateral Agent, in form and substance reasonably satisfactory to the Administrative Agent and the Collateral Agent, substantially concurrently (or at such later time as may be agreed by the Administrative Agent) with receipt of such Collateral, (y) in order to effect a merger, amalgamation, consolidation, liquidation, dissolution or change in form conducted in compliance with Section 6.05 to the extent such assets no longer constitute (and are no longer required to constitute) Collateral after giving effect to such merger, amalgamation, consolidation, liquidation, dissolution or change in form (unless the applicable Loan Party or person grants a Lien on such Collateral in favor of the Collateral Agent in form and substance reasonably satisfactory to the Administrative Agent and the Collateral Agent, substantially concurrently (or at such later time as may be agreed by the Administrative Agent) with such merger, amalgamation, consolidation, liquidation, dissolution or change in form), or (z) with respect to any such Lien on Equity Interests of a Subsidiary, upon the repurchase, termination or cancellation of such Equity Interests (including any reduction of the share capital) in a transaction permitted by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Collateral Agent has a lien (in form and substance reasonably satisfactory to the Administrative Agent) on any remaining Equity Interests after giving effect to such repurchase, termination or cancellation or the applicable Loan Party grants a Lien on such remaining Equity Interests in favor of the Collateral Agent, in form and substance reasonably satisfactory to the Administrative Agent and the Collateral Agent, substantially concurrently (or at such later time as may be agreed by the Administrative Agent) with such repurchase, termination or cancellation (and, in the case of each of clauses (x), (y) and (z), the Administrative Agent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Administrative Agent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clause (b) below (and the Administrative Agent and the Collateral Agent may rely conclusively on a certificate to that effect provided to it by any Loan Party upon its reasonable request without further inquiry), (vi) as required by the Collateral Agent to effect any Disposition of Collateral in connection with any exercise of remedies of the Collateral Agent pursuant to the Security Documents or (vii) in the case of Permitted Receivables Facility Assets, upon the Disposition thereof permitted under this Agreement by any Loan Party to a Receivables Entity of such Permitted Receivables Facility Assets pursuant to a Qualified Receivables Facility and (2) be released in the circumstances, and subject to the terms and conditions, provided in Section 8.12 (and the Administrative Agent and the Collateral Agent may rely conclusively on a certificate to that effect provided to it by any Loan Party upon its reasonable request without any further inquiry). Any such release shall not in any manner discharge, affect, or impair the Obligations or any Liens (other than those</w:t>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62" w:name="page663"/>
    <w:bookmarkEnd w:id="662"/>
    <w:p>
      <w:pPr>
        <w:spacing w:after="0" w:line="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being released) upon (or obligations (other than those being released) of the Loan Parties in respect of) any interests retained by the Loan Parties, including the proceeds of any Disposition, all of which shall continue to constitute part of the Collateral except to the extent otherwise released in accordance with the provisions of the Loan Documents. Notwithstanding any of the foregoing or any other terms of the Loan Documents, (A) any release of Collateral relating to (i) the Closing Date Intercompany Loan and/or (ii) if granted, any Equity Interests in a Danish entity, and (B) following the occurrence of an Event of Default and solely to the extent that such Event of Default is continuing, any release of any Collateral, will, in each case, to the extent required under applicable law to ensure the maintained perfection, validity and enforceability of such Collateral, always be subject to the prior written consent of the Collateral Agent.</w:t>
      </w:r>
    </w:p>
    <w:p>
      <w:pPr>
        <w:spacing w:after="0" w:line="204" w:lineRule="exact"/>
        <w:rPr>
          <w:sz w:val="20"/>
          <w:szCs w:val="20"/>
          <w:color w:val="auto"/>
        </w:rPr>
      </w:pPr>
    </w:p>
    <w:p>
      <w:pPr>
        <w:jc w:val="both"/>
        <w:ind w:firstLine="920"/>
        <w:spacing w:after="0" w:line="214" w:lineRule="auto"/>
        <w:tabs>
          <w:tab w:leader="none" w:pos="1361" w:val="left"/>
        </w:tabs>
        <w:numPr>
          <w:ilvl w:val="1"/>
          <w:numId w:val="7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Lenders, the Issuing Banks and the other Secured Parties hereby irrevocably agree that any Guarantor (other than the Parent or the U.S. Co-Borrower) shall be released from its Guarantee (i) upon consummation of any transaction permitted hereunder (x) resulting in such Subsidiary ceasing to constitute a Subsidiary (including because such Subsidiary is designated an “</w:t>
      </w:r>
      <w:r>
        <w:rPr>
          <w:rFonts w:ascii="Times New Roman" w:cs="Times New Roman" w:eastAsia="Times New Roman" w:hAnsi="Times New Roman"/>
          <w:sz w:val="14"/>
          <w:szCs w:val="14"/>
          <w:u w:val="single" w:color="auto"/>
          <w:color w:val="auto"/>
        </w:rPr>
        <w:t>Unrestricted Subsidiary</w:t>
      </w:r>
      <w:r>
        <w:rPr>
          <w:rFonts w:ascii="Times New Roman" w:cs="Times New Roman" w:eastAsia="Times New Roman" w:hAnsi="Times New Roman"/>
          <w:sz w:val="14"/>
          <w:szCs w:val="14"/>
          <w:color w:val="auto"/>
        </w:rPr>
        <w:t xml:space="preserve">”) or (y) in the case of any Guarantor which would not be required to be a Guarantor because it is or has become an Excluded Subsidiary, in each case following a written request by the Parent to the Administrative Agent requesting that such person no longer constitute a Guarantor and certifying its entitlement to the requested release (and the Administrative Agent may rely conclusively on a certificate to the foregoing effect without further inquiry);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release pursuant to preceding clause (y) shall only be effective if (A) no Default or Event of Default has occurred and is continuing or would result therefrom, (B) at the time of such release (and after giving effect thereto), all outstanding Indebtedness of such Subsidiary would then be permitted to be made in accordance with the relevant provisions of Sections 6.01 and 6.04 (for this purpose, with the Parent being required to reclassify any such items made in reliance upon the respective Subsidiary being a Guarantor on another basis as would be permitted by such applicable Section), and any previous Dispositions thereto pursuant to Section 6.05 shall be re-characterized and would then be permitted as if same were made to a Subsidiary that was not a Guarantor (and all items described above in this clause (B) shall thereafter be deemed recharacterized as provided above in this clause (B)), (C) such Subsidiary shall not be (or shall simultaneously be released as) a guarantor (if applicable) with respect to any Permitted Debt or any Permitted Refinancing Indebtedness with respect to the foregoing and (D) such Subsidiary does not own or exclusively license any Material Intellectual Property (in the case of this clause (D), unless the transaction giving rise to the release of such Subsidiary is a bona fide transaction with a person that is not an Affiliate of the Parent or any of its subsidiaries and the purpose of which is not the incurrence of Indebtedness) or</w:t>
      </w:r>
    </w:p>
    <w:p>
      <w:pPr>
        <w:spacing w:after="0" w:line="5" w:lineRule="exact"/>
        <w:rPr>
          <w:rFonts w:ascii="Times New Roman" w:cs="Times New Roman" w:eastAsia="Times New Roman" w:hAnsi="Times New Roman"/>
          <w:sz w:val="14"/>
          <w:szCs w:val="14"/>
          <w:color w:val="auto"/>
        </w:rPr>
      </w:pPr>
    </w:p>
    <w:p>
      <w:pPr>
        <w:ind w:firstLine="6"/>
        <w:spacing w:after="0" w:line="232" w:lineRule="auto"/>
        <w:tabs>
          <w:tab w:leader="none" w:pos="225" w:val="left"/>
        </w:tabs>
        <w:numPr>
          <w:ilvl w:val="0"/>
          <w:numId w:val="7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release of such Guarantor is approved, authorized or ratified by the Required Lenders (or such other percentage of Lenders whose consent is required in accordance with Section 9.08).</w:t>
      </w:r>
    </w:p>
    <w:p>
      <w:pPr>
        <w:spacing w:after="0" w:line="110" w:lineRule="exact"/>
        <w:rPr>
          <w:rFonts w:ascii="Times New Roman" w:cs="Times New Roman" w:eastAsia="Times New Roman" w:hAnsi="Times New Roman"/>
          <w:sz w:val="14"/>
          <w:szCs w:val="14"/>
          <w:color w:val="auto"/>
        </w:rPr>
      </w:pPr>
    </w:p>
    <w:p>
      <w:pPr>
        <w:jc w:val="both"/>
        <w:ind w:firstLine="920"/>
        <w:spacing w:after="0" w:line="218" w:lineRule="auto"/>
        <w:tabs>
          <w:tab w:leader="none" w:pos="1370" w:val="left"/>
        </w:tabs>
        <w:numPr>
          <w:ilvl w:val="1"/>
          <w:numId w:val="7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9.18,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The Administrative Agent and the Collateral Agent shall promptly (and the Secured Parties hereby authorize the Administrative Agent and the Collateral Agent to) take such action and execute any such documents as may be reasonably requested by the Parent and at the Parent’s expense in connection with the release of any Lien on the Collateral or Guarantor under the Loan Documents pursuant to the foregoing provisions of this Section 9.18;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Administrative Agent shall have received a certificate of a Responsible Officer of the Parent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Any execution and delivery of documents pursuant to this Section 9.18(c) shall be without recourse to or warranty by the Administrative Agent or Collateral Agent.</w:t>
      </w:r>
    </w:p>
    <w:p>
      <w:pPr>
        <w:spacing w:after="0" w:line="111"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1"/>
          <w:numId w:val="7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or any other Loan Document, on the Termination Date, upon request of the Parent, the Administrative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Agent and/or the</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63" w:name="page664"/>
    <w:bookmarkEnd w:id="663"/>
    <w:p>
      <w:pPr>
        <w:spacing w:after="0" w:line="24" w:lineRule="exact"/>
        <w:rPr>
          <w:sz w:val="20"/>
          <w:szCs w:val="20"/>
          <w:color w:val="auto"/>
        </w:rPr>
      </w:pPr>
    </w:p>
    <w:p>
      <w:pPr>
        <w:jc w:val="both"/>
        <w:ind w:right="40"/>
        <w:spacing w:after="0" w:line="219" w:lineRule="auto"/>
        <w:rPr>
          <w:sz w:val="20"/>
          <w:szCs w:val="20"/>
          <w:color w:val="auto"/>
        </w:rPr>
      </w:pPr>
      <w:r>
        <w:rPr>
          <w:rFonts w:ascii="Times New Roman" w:cs="Times New Roman" w:eastAsia="Times New Roman" w:hAnsi="Times New Roman"/>
          <w:sz w:val="14"/>
          <w:szCs w:val="14"/>
          <w:color w:val="auto"/>
        </w:rPr>
        <w:t xml:space="preserve">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or any Secured Cash Management Agreements and (ii) contingent indemnification obligations or expense reimbursement claims not then due;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Administrative Agent shall have received a certificate of a Responsible Officer of the Parent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the insolvency, bankruptcy, dissolution, liquidation or reorganization of the Parent, the U.S. Co -Borrower or any Guarantor, or upon or as a result of the appointment of a receiver, intervenor or conservator of, or trustee or similar officer for, the Parent, the U.S. Co -Borrower or any Guarantor or any substantial part of its property, or otherwise, all as though such payment had not been made. The Parent agrees to pay all reasonable and documented out-of-pocket expenses incurred by the Administrative Agent or the Collateral Agent (and their respective representatives) in connection with taking such actions to release security interests in all Collateral and all obligations under the Loan Documents as contemplated by this Section 9.18(d).</w:t>
      </w:r>
    </w:p>
    <w:p>
      <w:pPr>
        <w:spacing w:after="0" w:line="111" w:lineRule="exact"/>
        <w:rPr>
          <w:sz w:val="20"/>
          <w:szCs w:val="20"/>
          <w:color w:val="auto"/>
        </w:rPr>
      </w:pPr>
    </w:p>
    <w:p>
      <w:pPr>
        <w:jc w:val="both"/>
        <w:ind w:right="40" w:firstLine="920"/>
        <w:spacing w:after="0" w:line="225" w:lineRule="auto"/>
        <w:tabs>
          <w:tab w:leader="none" w:pos="1370" w:val="left"/>
        </w:tabs>
        <w:numPr>
          <w:ilvl w:val="0"/>
          <w:numId w:val="7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the Parent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effected in the manner permitted by this Agreement shall require the consent of any holder of obligations under Secured Hedge Agreements or any Secured Cash Management Agreements.</w:t>
      </w:r>
    </w:p>
    <w:p>
      <w:pPr>
        <w:spacing w:after="0" w:line="111" w:lineRule="exact"/>
        <w:rPr>
          <w:sz w:val="20"/>
          <w:szCs w:val="20"/>
          <w:color w:val="auto"/>
        </w:rPr>
      </w:pPr>
    </w:p>
    <w:p>
      <w:pPr>
        <w:jc w:val="both"/>
        <w:ind w:right="40" w:firstLine="914"/>
        <w:spacing w:after="0" w:line="220" w:lineRule="auto"/>
        <w:rPr>
          <w:sz w:val="20"/>
          <w:szCs w:val="20"/>
          <w:color w:val="auto"/>
        </w:rPr>
      </w:pPr>
      <w:r>
        <w:rPr>
          <w:rFonts w:ascii="Times New Roman" w:cs="Times New Roman" w:eastAsia="Times New Roman" w:hAnsi="Times New Roman"/>
          <w:sz w:val="14"/>
          <w:szCs w:val="14"/>
          <w:color w:val="auto"/>
        </w:rPr>
        <w:t>SECTION 9.19.USA PATRIOT Act and Beneficial Ownership Regulation Notice . Each Lender that is subject to the USA PATRIOT Act and/or the Beneficial Ownership Regulation and the Administrative Agent and the Collateral Agent (for themselves and not on behalf of any Lender)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or the Administrative Agent or the Collateral Agent, as applicable, to identify each Loan Party in accordance with the USA PATRIOT Act and the Beneficial Ownership Regulation. Each of the other Loan Parties hereby appoints the Parent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 This notice is given in accordance with the requirements of the USA PATRIOT Act and the Beneficial Ownership Regulation and is effective as to the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-652145</wp:posOffset>
            </wp:positionV>
            <wp:extent cx="252603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2526030" cy="6350"/>
                    </a:xfrm>
                    <a:prstGeom prst="rect">
                      <a:avLst/>
                    </a:prstGeom>
                    <a:noFill/>
                  </pic:spPr>
                </pic:pic>
              </a:graphicData>
            </a:graphic>
          </wp:anchor>
        </w:drawing>
      </w:r>
    </w:p>
    <w:p>
      <w:pPr>
        <w:spacing w:after="0" w:line="94" w:lineRule="exact"/>
        <w:rPr>
          <w:sz w:val="20"/>
          <w:szCs w:val="20"/>
          <w:color w:val="auto"/>
        </w:rPr>
      </w:pPr>
    </w:p>
    <w:p>
      <w:pPr>
        <w:jc w:val="both"/>
        <w:ind w:firstLine="914"/>
        <w:spacing w:after="0" w:line="219" w:lineRule="auto"/>
        <w:rPr>
          <w:sz w:val="20"/>
          <w:szCs w:val="20"/>
          <w:color w:val="auto"/>
        </w:rPr>
      </w:pPr>
      <w:r>
        <w:rPr>
          <w:rFonts w:ascii="Times New Roman" w:cs="Times New Roman" w:eastAsia="Times New Roman" w:hAnsi="Times New Roman"/>
          <w:sz w:val="14"/>
          <w:szCs w:val="14"/>
          <w:color w:val="auto"/>
        </w:rPr>
        <w:t>SECTION 9.20.</w:t>
      </w:r>
      <w:r>
        <w:rPr>
          <w:rFonts w:ascii="Times New Roman" w:cs="Times New Roman" w:eastAsia="Times New Roman" w:hAnsi="Times New Roman"/>
          <w:sz w:val="14"/>
          <w:szCs w:val="14"/>
          <w:u w:val="single" w:color="auto"/>
          <w:color w:val="auto"/>
        </w:rPr>
        <w:t>No Advisory or Fiduciary Responsibility</w:t>
      </w:r>
      <w:r>
        <w:rPr>
          <w:rFonts w:ascii="Times New Roman" w:cs="Times New Roman" w:eastAsia="Times New Roman" w:hAnsi="Times New Roman"/>
          <w:sz w:val="14"/>
          <w:szCs w:val="14"/>
          <w:color w:val="auto"/>
        </w:rPr>
        <w:t>. In connection with all aspects of each transaction contemplated hereby (including in connection with any amendment, waiver or other modification hereof or of any other Loan Document) (the “</w:t>
      </w:r>
      <w:r>
        <w:rPr>
          <w:rFonts w:ascii="Times New Roman" w:cs="Times New Roman" w:eastAsia="Times New Roman" w:hAnsi="Times New Roman"/>
          <w:sz w:val="14"/>
          <w:szCs w:val="14"/>
          <w:u w:val="single" w:color="auto"/>
          <w:color w:val="auto"/>
        </w:rPr>
        <w:t>Applicable Transactions</w:t>
      </w:r>
      <w:r>
        <w:rPr>
          <w:rFonts w:ascii="Times New Roman" w:cs="Times New Roman" w:eastAsia="Times New Roman" w:hAnsi="Times New Roman"/>
          <w:sz w:val="14"/>
          <w:szCs w:val="14"/>
          <w:color w:val="auto"/>
        </w:rPr>
        <w:t>”), each Loan Party acknowledges and agrees that: (a) (i) the arranging and other services regarding this Agreement provided by the Administrative Agent, the Collateral Agent, the Arrangers, the Issuing Banks and the Lenders are arm’s - length commercial transactions between the Loan Parties, on the one hand, and the Administrative Agent, the Collateral Agent, the Arrangers, the Lenders and the Issuing Banks, on the other hand, (ii) the Loan Parties have consulted their own legal, accounting, regulatory and tax advisors to the extent they have deemed appropriate, and (iii) the Loan Parties are capable of evaluating, and understand and accept, the terms, risks and conditions of the Applicable Transactions; (b) (i) each of the Administrative Agent, the Collateral Agent, the Arrangers, the Issuing Banks and the Lenders is and has been acting solely as a principal and, except as expressly agreed in writing by the relevant parties, has not been, is not, and will not be acting as an advisor, agent or fiduciary for the Loan Parties, or any other person and (ii) neither the Administrative Agent nor the Collateral Agent nor the Arrangers nor the Issuing Banks nor any of the Lenders has any obligation to the Loan Parties with respect to the Applicable Transactions except those obligations expressly set forth herein and in the other Loan Documents; and (c) the Administrative Agent,</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201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64" w:name="page665"/>
    <w:bookmarkEnd w:id="664"/>
    <w:p>
      <w:pPr>
        <w:spacing w:after="0" w:line="24" w:lineRule="exact"/>
        <w:rPr>
          <w:sz w:val="20"/>
          <w:szCs w:val="20"/>
          <w:color w:val="auto"/>
        </w:rPr>
      </w:pPr>
    </w:p>
    <w:p>
      <w:pPr>
        <w:jc w:val="both"/>
        <w:ind w:right="60"/>
        <w:spacing w:after="0" w:line="225" w:lineRule="auto"/>
        <w:rPr>
          <w:sz w:val="20"/>
          <w:szCs w:val="20"/>
          <w:color w:val="auto"/>
        </w:rPr>
      </w:pPr>
      <w:r>
        <w:rPr>
          <w:rFonts w:ascii="Times New Roman" w:cs="Times New Roman" w:eastAsia="Times New Roman" w:hAnsi="Times New Roman"/>
          <w:sz w:val="14"/>
          <w:szCs w:val="14"/>
          <w:color w:val="auto"/>
        </w:rPr>
        <w:t>the Collateral Agent, the Arrangers, the Issuing Banks, the Lenders and their respective Affiliates may be engaged in a broad range of transactions that involve interests that differ from those of the Loan Parties and their Affiliates, and neither the Administrative Agent nor the Collateral Agent nor the Arrangers nor any of the Issuing Banks nor any of the Lenders has any obligation to disclose any of such interests to the Loan Parties or their Affiliates. To the fullest extent permitted by law, the Loan Parties hereby agree and covenant that they will not assert any claims that it may have against the Administrative Agent, the Collateral Agent, the Arrangers, the Issuing Banks and the Lenders with respect to any breach or alleged breach of agency or fiduciary duty in connection with any aspect of the Applicable Transactions.</w:t>
      </w:r>
    </w:p>
    <w:p>
      <w:pPr>
        <w:spacing w:after="0" w:line="111" w:lineRule="exact"/>
        <w:rPr>
          <w:sz w:val="20"/>
          <w:szCs w:val="20"/>
          <w:color w:val="auto"/>
        </w:rPr>
      </w:pPr>
    </w:p>
    <w:p>
      <w:pPr>
        <w:jc w:val="both"/>
        <w:ind w:right="20" w:firstLine="914"/>
        <w:spacing w:after="0" w:line="219" w:lineRule="auto"/>
        <w:rPr>
          <w:sz w:val="20"/>
          <w:szCs w:val="20"/>
          <w:color w:val="auto"/>
        </w:rPr>
      </w:pPr>
      <w:r>
        <w:rPr>
          <w:rFonts w:ascii="Times New Roman" w:cs="Times New Roman" w:eastAsia="Times New Roman" w:hAnsi="Times New Roman"/>
          <w:sz w:val="14"/>
          <w:szCs w:val="14"/>
          <w:color w:val="auto"/>
        </w:rPr>
        <w:t>SECTION 9.21.</w:t>
      </w:r>
      <w:r>
        <w:rPr>
          <w:rFonts w:ascii="Times New Roman" w:cs="Times New Roman" w:eastAsia="Times New Roman" w:hAnsi="Times New Roman"/>
          <w:sz w:val="14"/>
          <w:szCs w:val="14"/>
          <w:u w:val="single" w:color="auto"/>
          <w:color w:val="auto"/>
        </w:rPr>
        <w:t>Payments Set Aside</w:t>
      </w:r>
      <w:r>
        <w:rPr>
          <w:rFonts w:ascii="Times New Roman" w:cs="Times New Roman" w:eastAsia="Times New Roman" w:hAnsi="Times New Roman"/>
          <w:sz w:val="14"/>
          <w:szCs w:val="14"/>
          <w:color w:val="auto"/>
        </w:rPr>
        <w:t>. To the extent that any payment by or on behalf of a Borrower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Loan Obligations and the termination of this Agreement.</w:t>
      </w:r>
    </w:p>
    <w:p>
      <w:pPr>
        <w:spacing w:after="0" w:line="115" w:lineRule="exact"/>
        <w:rPr>
          <w:sz w:val="20"/>
          <w:szCs w:val="20"/>
          <w:color w:val="auto"/>
        </w:rPr>
      </w:pPr>
    </w:p>
    <w:p>
      <w:pPr>
        <w:jc w:val="both"/>
        <w:ind w:right="40" w:firstLine="914"/>
        <w:spacing w:after="0" w:line="228" w:lineRule="auto"/>
        <w:rPr>
          <w:sz w:val="20"/>
          <w:szCs w:val="20"/>
          <w:color w:val="auto"/>
        </w:rPr>
      </w:pPr>
      <w:r>
        <w:rPr>
          <w:rFonts w:ascii="Times New Roman" w:cs="Times New Roman" w:eastAsia="Times New Roman" w:hAnsi="Times New Roman"/>
          <w:sz w:val="14"/>
          <w:szCs w:val="14"/>
          <w:color w:val="auto"/>
        </w:rPr>
        <w:t>SECTION 9.22.</w:t>
      </w:r>
      <w:r>
        <w:rPr>
          <w:rFonts w:ascii="Times New Roman" w:cs="Times New Roman" w:eastAsia="Times New Roman" w:hAnsi="Times New Roman"/>
          <w:sz w:val="14"/>
          <w:szCs w:val="14"/>
          <w:u w:val="single" w:color="auto"/>
          <w:color w:val="auto"/>
        </w:rPr>
        <w:t>Acknowledgement and Consent to Bail-In of Affected Financial Institutions</w:t>
      </w:r>
      <w:r>
        <w:rPr>
          <w:rFonts w:ascii="Times New Roman" w:cs="Times New Roman" w:eastAsia="Times New Roman" w:hAnsi="Times New Roman"/>
          <w:sz w:val="14"/>
          <w:szCs w:val="14"/>
          <w:color w:val="auto"/>
        </w:rPr>
        <w:t xml:space="preserve"> .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 Down and Conversion powers of the applicable Resolution Authority and agrees and consents to, and acknowledges and agrees to be bound by:</w:t>
      </w:r>
    </w:p>
    <w:p>
      <w:pPr>
        <w:spacing w:after="0" w:line="112" w:lineRule="exact"/>
        <w:rPr>
          <w:sz w:val="20"/>
          <w:szCs w:val="20"/>
          <w:color w:val="auto"/>
        </w:rPr>
      </w:pPr>
    </w:p>
    <w:p>
      <w:pPr>
        <w:ind w:right="20" w:firstLine="920"/>
        <w:spacing w:after="0" w:line="248" w:lineRule="auto"/>
        <w:tabs>
          <w:tab w:leader="none" w:pos="1370" w:val="left"/>
        </w:tabs>
        <w:numPr>
          <w:ilvl w:val="0"/>
          <w:numId w:val="7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any Bail-in Action on any such liability, including, if applicable:</w:t>
      </w:r>
    </w:p>
    <w:p>
      <w:pPr>
        <w:spacing w:after="0" w:line="134"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7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full or in part or cancellation of any such liability;</w:t>
      </w:r>
    </w:p>
    <w:p>
      <w:pPr>
        <w:spacing w:after="0" w:line="134" w:lineRule="exact"/>
        <w:rPr>
          <w:rFonts w:ascii="Times New Roman" w:cs="Times New Roman" w:eastAsia="Times New Roman" w:hAnsi="Times New Roman"/>
          <w:sz w:val="14"/>
          <w:szCs w:val="14"/>
          <w:color w:val="auto"/>
        </w:rPr>
      </w:pPr>
    </w:p>
    <w:p>
      <w:pPr>
        <w:jc w:val="both"/>
        <w:ind w:left="920" w:right="20" w:firstLine="457"/>
        <w:spacing w:after="0" w:line="233" w:lineRule="auto"/>
        <w:tabs>
          <w:tab w:leader="none" w:pos="1824" w:val="left"/>
        </w:tabs>
        <w:numPr>
          <w:ilvl w:val="1"/>
          <w:numId w:val="7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9" w:lineRule="exact"/>
        <w:rPr>
          <w:rFonts w:ascii="Times New Roman" w:cs="Times New Roman" w:eastAsia="Times New Roman" w:hAnsi="Times New Roman"/>
          <w:sz w:val="14"/>
          <w:szCs w:val="14"/>
          <w:color w:val="auto"/>
        </w:rPr>
      </w:pPr>
    </w:p>
    <w:p>
      <w:pPr>
        <w:ind w:left="1820" w:hanging="443"/>
        <w:spacing w:after="0"/>
        <w:tabs>
          <w:tab w:leader="none" w:pos="1820" w:val="left"/>
        </w:tabs>
        <w:numPr>
          <w:ilvl w:val="1"/>
          <w:numId w:val="7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variation of the terms of such liability in connection with the exercise of the Write-Down and Conversion powers of the applicable Resolution</w:t>
      </w:r>
    </w:p>
    <w:p>
      <w:pPr>
        <w:ind w:left="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w:t>
      </w:r>
    </w:p>
    <w:p>
      <w:pPr>
        <w:spacing w:after="0" w:line="118" w:lineRule="exact"/>
        <w:rPr>
          <w:sz w:val="20"/>
          <w:szCs w:val="20"/>
          <w:color w:val="auto"/>
        </w:rPr>
      </w:pPr>
    </w:p>
    <w:p>
      <w:pPr>
        <w:jc w:val="both"/>
        <w:ind w:firstLine="914"/>
        <w:spacing w:after="0" w:line="228" w:lineRule="auto"/>
        <w:rPr>
          <w:sz w:val="20"/>
          <w:szCs w:val="20"/>
          <w:color w:val="auto"/>
        </w:rPr>
      </w:pPr>
      <w:r>
        <w:rPr>
          <w:rFonts w:ascii="Times New Roman" w:cs="Times New Roman" w:eastAsia="Times New Roman" w:hAnsi="Times New Roman"/>
          <w:sz w:val="14"/>
          <w:szCs w:val="14"/>
          <w:color w:val="auto"/>
        </w:rPr>
        <w:t>SECTION 9.23.</w:t>
      </w:r>
      <w:r>
        <w:rPr>
          <w:rFonts w:ascii="Times New Roman" w:cs="Times New Roman" w:eastAsia="Times New Roman" w:hAnsi="Times New Roman"/>
          <w:sz w:val="14"/>
          <w:szCs w:val="14"/>
          <w:u w:val="single" w:color="auto"/>
          <w:color w:val="auto"/>
        </w:rPr>
        <w:t>Acknowledgement Regarding Any Supported QFCs</w:t>
      </w:r>
      <w:r>
        <w:rPr>
          <w:rFonts w:ascii="Times New Roman" w:cs="Times New Roman" w:eastAsia="Times New Roman" w:hAnsi="Times New Roman"/>
          <w:sz w:val="14"/>
          <w:szCs w:val="14"/>
          <w:color w:val="auto"/>
        </w:rPr>
        <w:t xml:space="preserve"> . To the extent that the Loan Documents provide support, through a guarantee or otherwise, for any Swap Contracts or any other agreement or instrument that is a QFC (such support, “QFC Credit Support”, and each such QFC, a “</w:t>
      </w:r>
      <w:r>
        <w:rPr>
          <w:rFonts w:ascii="Times New Roman" w:cs="Times New Roman" w:eastAsia="Times New Roman" w:hAnsi="Times New Roman"/>
          <w:sz w:val="14"/>
          <w:szCs w:val="14"/>
          <w:u w:val="single" w:color="auto"/>
          <w:color w:val="auto"/>
        </w:rPr>
        <w:t>Supported QFC</w:t>
      </w:r>
      <w:r>
        <w:rPr>
          <w:rFonts w:ascii="Times New Roman" w:cs="Times New Roman" w:eastAsia="Times New Roman" w:hAnsi="Times New Roman"/>
          <w:sz w:val="14"/>
          <w:szCs w:val="14"/>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in respect of such Supported QFC and QFC Credit</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65" w:name="page666"/>
    <w:bookmarkEnd w:id="665"/>
    <w:p>
      <w:pPr>
        <w:spacing w:after="0" w:line="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05" w:lineRule="exact"/>
        <w:rPr>
          <w:sz w:val="20"/>
          <w:szCs w:val="20"/>
          <w:color w:val="auto"/>
        </w:rPr>
      </w:pPr>
    </w:p>
    <w:p>
      <w:pPr>
        <w:jc w:val="both"/>
        <w:ind w:right="20" w:firstLine="920"/>
        <w:spacing w:after="0" w:line="219" w:lineRule="auto"/>
        <w:tabs>
          <w:tab w:leader="none" w:pos="1370" w:val="left"/>
        </w:tabs>
        <w:numPr>
          <w:ilvl w:val="0"/>
          <w:numId w:val="7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a Covered Entity that is party to a Supported QFC (each, a “ </w:t>
      </w:r>
      <w:r>
        <w:rPr>
          <w:rFonts w:ascii="Times New Roman" w:cs="Times New Roman" w:eastAsia="Times New Roman" w:hAnsi="Times New Roman"/>
          <w:sz w:val="14"/>
          <w:szCs w:val="14"/>
          <w:u w:val="single" w:color="auto"/>
          <w:color w:val="auto"/>
        </w:rPr>
        <w:t>Covered Party</w:t>
      </w:r>
      <w:r>
        <w:rPr>
          <w:rFonts w:ascii="Times New Roman" w:cs="Times New Roman" w:eastAsia="Times New Roman" w:hAnsi="Times New Roman"/>
          <w:sz w:val="14"/>
          <w:szCs w:val="14"/>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5" w:lineRule="exact"/>
        <w:rPr>
          <w:rFonts w:ascii="Times New Roman" w:cs="Times New Roman" w:eastAsia="Times New Roman" w:hAnsi="Times New Roman"/>
          <w:sz w:val="14"/>
          <w:szCs w:val="14"/>
          <w:color w:val="auto"/>
        </w:rPr>
      </w:pPr>
    </w:p>
    <w:p>
      <w:pPr>
        <w:ind w:left="1360" w:hanging="440"/>
        <w:spacing w:after="0"/>
        <w:tabs>
          <w:tab w:leader="none" w:pos="1360" w:val="left"/>
        </w:tabs>
        <w:numPr>
          <w:ilvl w:val="0"/>
          <w:numId w:val="7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Section 9.23, the following terms have the following meanings:</w:t>
      </w:r>
    </w:p>
    <w:p>
      <w:pPr>
        <w:spacing w:after="0" w:line="1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BHC Act Affiliate</w:t>
      </w:r>
      <w:r>
        <w:rPr>
          <w:rFonts w:ascii="Times New Roman" w:cs="Times New Roman" w:eastAsia="Times New Roman" w:hAnsi="Times New Roman"/>
          <w:sz w:val="14"/>
          <w:szCs w:val="14"/>
          <w:color w:val="auto"/>
        </w:rPr>
        <w:t>” of a party means an “affiliate” (as such term is defined under, and interpreted in accordance with, 12 U.S.C. 1841(k)) of such party.</w:t>
      </w:r>
    </w:p>
    <w:p>
      <w:pPr>
        <w:spacing w:after="0" w:line="163" w:lineRule="exact"/>
        <w:rPr>
          <w:sz w:val="20"/>
          <w:szCs w:val="20"/>
          <w:color w:val="auto"/>
        </w:rPr>
      </w:pPr>
    </w:p>
    <w:p>
      <w:pPr>
        <w:jc w:val="both"/>
        <w:ind w:firstLine="91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Entity</w:t>
      </w:r>
      <w:r>
        <w:rPr>
          <w:rFonts w:ascii="Times New Roman" w:cs="Times New Roman" w:eastAsia="Times New Roman" w:hAnsi="Times New Roman"/>
          <w:sz w:val="14"/>
          <w:szCs w:val="14"/>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 Right</w:t>
      </w:r>
      <w:r>
        <w:rPr>
          <w:rFonts w:ascii="Times New Roman" w:cs="Times New Roman" w:eastAsia="Times New Roman" w:hAnsi="Times New Roman"/>
          <w:sz w:val="14"/>
          <w:szCs w:val="14"/>
          <w:color w:val="auto"/>
        </w:rPr>
        <w:t>” has the meaning assigned to that term in, and shall be interpreted in accordance with, 12 C.F.R. §§ 252.81, 47.2 or 382.1, as applicable.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w:t>
      </w:r>
      <w:r>
        <w:rPr>
          <w:rFonts w:ascii="Times New Roman" w:cs="Times New Roman" w:eastAsia="Times New Roman" w:hAnsi="Times New Roman"/>
          <w:sz w:val="14"/>
          <w:szCs w:val="14"/>
          <w:color w:val="auto"/>
        </w:rPr>
        <w:t>” has the meaning assigned to the term “qualified financial contract” in, and shall be interpreted in accordance with, 12 U.S.C. 5390(c)(8) (D).</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9.24.</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9.25.</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right="20" w:firstLine="920"/>
        <w:spacing w:after="0" w:line="220" w:lineRule="auto"/>
        <w:tabs>
          <w:tab w:leader="none" w:pos="1370" w:val="left"/>
        </w:tabs>
        <w:numPr>
          <w:ilvl w:val="0"/>
          <w:numId w:val="7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obligations of the Loan Parties hereunder and under the other Loan Documents to make payments in a specified currency (the “ </w:t>
      </w:r>
      <w:r>
        <w:rPr>
          <w:rFonts w:ascii="Times New Roman" w:cs="Times New Roman" w:eastAsia="Times New Roman" w:hAnsi="Times New Roman"/>
          <w:sz w:val="14"/>
          <w:szCs w:val="14"/>
          <w:u w:val="single" w:color="auto"/>
          <w:color w:val="auto"/>
        </w:rPr>
        <w:t>Obligation Currency</w:t>
      </w:r>
      <w:r>
        <w:rPr>
          <w:rFonts w:ascii="Times New Roman" w:cs="Times New Roman" w:eastAsia="Times New Roman" w:hAnsi="Times New Roman"/>
          <w:sz w:val="14"/>
          <w:szCs w:val="14"/>
          <w:color w:val="auto"/>
        </w:rPr>
        <w:t>”) shall not be discharged or satisfied by any tender or recovery pursuant to any judgment expressed in or converted into any currency other than the Obligation Currency, except to the extent that such tender or recovery results in the effective receipt by a Secured Party of the full amount of the Obligation Currency expressed to be payable to it under this Agreement or another Loan Document.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 an amount due in the Obligation Currency, the conversion shall be made, at the rate of exchange (as quoted by the Administrative Agent or if the Administrative Agent does not quote a rate of exchange on such currency, by a known dealer in such currency designated by the Administrative Agent) determined, in each case, as of the Business Day immediately preceding the date on which the judgment is given (such Business Day being hereinafter referred to as the “</w:t>
      </w:r>
      <w:r>
        <w:rPr>
          <w:rFonts w:ascii="Times New Roman" w:cs="Times New Roman" w:eastAsia="Times New Roman" w:hAnsi="Times New Roman"/>
          <w:sz w:val="14"/>
          <w:szCs w:val="14"/>
          <w:u w:val="single" w:color="auto"/>
          <w:color w:val="auto"/>
        </w:rPr>
        <w:t>Judgment Currency Conversion Date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203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40"/>
          </w:cols>
          <w:pgMar w:left="640" w:top="1440" w:right="620" w:bottom="1440" w:gutter="0" w:footer="0" w:header="0"/>
        </w:sectPr>
      </w:pPr>
    </w:p>
    <w:bookmarkStart w:id="666" w:name="page667"/>
    <w:bookmarkEnd w:id="666"/>
    <w:p>
      <w:pPr>
        <w:spacing w:after="0" w:line="24" w:lineRule="exact"/>
        <w:rPr>
          <w:sz w:val="20"/>
          <w:szCs w:val="20"/>
          <w:color w:val="auto"/>
        </w:rPr>
      </w:pPr>
    </w:p>
    <w:p>
      <w:pPr>
        <w:jc w:val="both"/>
        <w:ind w:right="20" w:firstLine="920"/>
        <w:spacing w:after="0" w:line="225" w:lineRule="auto"/>
        <w:tabs>
          <w:tab w:leader="none" w:pos="1361" w:val="left"/>
        </w:tabs>
        <w:numPr>
          <w:ilvl w:val="0"/>
          <w:numId w:val="7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a change in the rate of exchange prevailing between the Judgment Currency Conversion Date and the date of actual payment of the amount due, the Borrowers covenant and agree to pay, or cause to be paid, or remit, or cause to be remitted,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11" w:lineRule="exact"/>
        <w:rPr>
          <w:rFonts w:ascii="Times New Roman" w:cs="Times New Roman" w:eastAsia="Times New Roman" w:hAnsi="Times New Roman"/>
          <w:sz w:val="14"/>
          <w:szCs w:val="14"/>
          <w:color w:val="auto"/>
        </w:rPr>
      </w:pPr>
    </w:p>
    <w:p>
      <w:pPr>
        <w:ind w:right="20" w:firstLine="920"/>
        <w:spacing w:after="0" w:line="248" w:lineRule="auto"/>
        <w:tabs>
          <w:tab w:leader="none" w:pos="1370" w:val="left"/>
        </w:tabs>
        <w:numPr>
          <w:ilvl w:val="0"/>
          <w:numId w:val="7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determining any rate of exchange or currency equivalent for this </w:t>
      </w:r>
      <w:r>
        <w:rPr>
          <w:rFonts w:ascii="Times New Roman" w:cs="Times New Roman" w:eastAsia="Times New Roman" w:hAnsi="Times New Roman"/>
          <w:sz w:val="14"/>
          <w:szCs w:val="14"/>
          <w:u w:val="single" w:color="auto"/>
          <w:color w:val="auto"/>
        </w:rPr>
        <w:t>Section 9.25</w:t>
      </w:r>
      <w:r>
        <w:rPr>
          <w:rFonts w:ascii="Times New Roman" w:cs="Times New Roman" w:eastAsia="Times New Roman" w:hAnsi="Times New Roman"/>
          <w:sz w:val="14"/>
          <w:szCs w:val="14"/>
          <w:color w:val="auto"/>
        </w:rPr>
        <w:t>, such amounts shall include any premium and costs payable in connection with the purchase of the Obligation Currency.</w:t>
      </w:r>
    </w:p>
    <w:p>
      <w:pPr>
        <w:spacing w:after="0" w:line="1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SECTION 9.26.</w:t>
      </w:r>
      <w:r>
        <w:rPr>
          <w:rFonts w:ascii="Times New Roman" w:cs="Times New Roman" w:eastAsia="Times New Roman" w:hAnsi="Times New Roman"/>
          <w:sz w:val="14"/>
          <w:szCs w:val="14"/>
          <w:u w:val="single" w:color="auto"/>
          <w:color w:val="auto"/>
        </w:rPr>
        <w:t>Borrowers’ Obligations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920"/>
        <w:spacing w:after="0" w:line="233" w:lineRule="auto"/>
        <w:tabs>
          <w:tab w:leader="none" w:pos="1370" w:val="left"/>
        </w:tabs>
        <w:numPr>
          <w:ilvl w:val="0"/>
          <w:numId w:val="7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accepts joint and several liability hereunder and under the other Loan Documents, in consideration of the financial accommodation to be provided by the Agents, the Lenders and the Issuing Banks under this Agreement and the other Loan Documents, for the mutual benefit, directly and indirectly, of each Borrower and in consideration of the undertakings of each Borrower to accept joint and several liability for the obligations of the other Borrower.</w:t>
      </w:r>
    </w:p>
    <w:p>
      <w:pPr>
        <w:spacing w:after="0" w:line="111" w:lineRule="exact"/>
        <w:rPr>
          <w:rFonts w:ascii="Times New Roman" w:cs="Times New Roman" w:eastAsia="Times New Roman" w:hAnsi="Times New Roman"/>
          <w:sz w:val="14"/>
          <w:szCs w:val="14"/>
          <w:color w:val="auto"/>
        </w:rPr>
      </w:pPr>
    </w:p>
    <w:p>
      <w:pPr>
        <w:jc w:val="both"/>
        <w:ind w:firstLine="920"/>
        <w:spacing w:after="0" w:line="223" w:lineRule="auto"/>
        <w:tabs>
          <w:tab w:leader="none" w:pos="1361" w:val="left"/>
        </w:tabs>
        <w:numPr>
          <w:ilvl w:val="0"/>
          <w:numId w:val="7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shall be jointly and severally liable for the Obligations of the Borrowers or any Borrower, including any Obligations in respect of the principal of or interest on any Loans, any Letters of Credit and any fees, in each case, regardless of which Borrower actually receives the Loans hereunder or the amount of the Obligations received or the manner in which any Agent, any Lender or any Issuing Bank accounts for the Obligations on its books and records. Each Borrower’s obligations with respect to Loans funded to it or Letters of Credit issued on its behalf, and each Borrower’s obligations arising as a result of the joint and several liability of such Borrower hereunder with respect to Loans made to, Letters of Credit issued on behalf of and other Obligations owing by the Borrowers hereunder, shall be separate and distinct obligations, but all such obligations shall be primary obligations of each Borrower.</w:t>
      </w:r>
    </w:p>
    <w:p>
      <w:pPr>
        <w:spacing w:after="0" w:line="111" w:lineRule="exact"/>
        <w:rPr>
          <w:rFonts w:ascii="Times New Roman" w:cs="Times New Roman" w:eastAsia="Times New Roman" w:hAnsi="Times New Roman"/>
          <w:sz w:val="14"/>
          <w:szCs w:val="14"/>
          <w:color w:val="auto"/>
        </w:rPr>
      </w:pPr>
    </w:p>
    <w:p>
      <w:pPr>
        <w:jc w:val="both"/>
        <w:ind w:right="20" w:firstLine="920"/>
        <w:spacing w:after="0" w:line="217" w:lineRule="auto"/>
        <w:tabs>
          <w:tab w:leader="none" w:pos="1370" w:val="left"/>
        </w:tabs>
        <w:numPr>
          <w:ilvl w:val="0"/>
          <w:numId w:val="7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Borrower’s obligations arising as a result of the joint and several liability of such Borrower hereunder with respect to Loans made to, Letters of Credit issued on behalf of, and other Obligations owing by the Borrowers hereunder shall, to the fullest extent permitted by law, be unconditional irrespective of (i) the validity or enforceability, avoidance or subordination of the Obligations of the other Borrower or of any promissory note or other document evidencing all or any part of the Obligations of the other Borrower, (ii) the absence of any attempt to collect the Obligations from the other Borrower, any other Guarantor, or any other security therefor, or the absence of any other action to enforce the same, (iii) the waiver, consent, extension, forbearance or granting of any indulgence by any Agent, any Lender or any Issuing Bank with respect to any provision of any instrument evidencing the obligations of the other Borrower, or any part thereof, or any other agreement now or hereafter executed by the other Borrower and delivered to any Agent, any Lender or any Issuing Bank, (iv) the failure by any Agent, any Lender or any Issuing Bank to take any steps to perfect and maintain its security interest in, or to preserve its rights to, any security or collateral for the Obligations of the other Borrower, (v) any Agent’s, any Lender’s or any Issuing Bank’s election, in any proceeding instituted under the Bankruptcy Code, of the application of Section 1111(b)(2) of the Bankruptcy Code of the United States, (vi) any borrowing or grant of a security interest by the other Borrower, as Debtor In Possession under Section 364 of the Bankruptcy Code of the United States, (vii) the disallowance of all or any portion of any Agent’s, any Lender’s or any Issuing Bank’s claim(s) for the repayment of the Obligations of the other Borrower under Section 502 of the Bankruptcy Code of the United States, or (viii) any other circumstances which might constitute a legal or equitable discharge or defense of a Guarantor or of the other Borrower. With respect to each Borrower’s obligations arising as a result of the joint and several liability of such Borrower hereunder with respect to Loans made to, Letters of Credit issued on behalf of or other Obligations owing by the Borrowers hereunder, such Borrower waives, until the Termination Date, any right to enforce any right of subrogation or any remedy which the Administrative Agent, any Lender or any Issuing Bank now has or may hereafter have against such Borrower, any endorser or any Guarantor of all or any part of the Obligations, and any benefit of, and any right to participate in, any</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67" w:name="page668"/>
    <w:bookmarkEnd w:id="667"/>
    <w:p>
      <w:pPr>
        <w:spacing w:after="0" w:line="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security or collateral given to any Agent, any Lender or any Issuing Bank to secure payment of the Obligations or any other liability of either Borrower to any Agent, any Lender or any Issuing Bank.</w:t>
      </w:r>
    </w:p>
    <w:p>
      <w:pPr>
        <w:spacing w:after="0" w:line="105" w:lineRule="exact"/>
        <w:rPr>
          <w:sz w:val="20"/>
          <w:szCs w:val="20"/>
          <w:color w:val="auto"/>
        </w:rPr>
      </w:pPr>
    </w:p>
    <w:p>
      <w:pPr>
        <w:jc w:val="both"/>
        <w:ind w:firstLine="920"/>
        <w:spacing w:after="0" w:line="225" w:lineRule="auto"/>
        <w:tabs>
          <w:tab w:leader="none" w:pos="1361" w:val="left"/>
        </w:tabs>
        <w:numPr>
          <w:ilvl w:val="0"/>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and during the continuation of any Event of Default, any Agent, the Lenders and the Issuing Banks may proceed in accordance with the Loan Documents directly and at once, without notice (except as otherwise expressly required hereunder or under any other Loan Document), against any Borrower to collect and recover the full amount, or any portion, of the Obligations, without first proceeding against the other Borrower or any other Person, or against any security or collateral for the Obligations. Each Borrower consents and agrees that the Agents, the Lenders and the Issuing Banks shall be under no obligation to marshal any assets in favor of any Borrower or against or in payment of any or all of the Obligations.</w:t>
      </w:r>
    </w:p>
    <w:p>
      <w:pPr>
        <w:spacing w:after="0" w:line="111" w:lineRule="exact"/>
        <w:rPr>
          <w:rFonts w:ascii="Times New Roman" w:cs="Times New Roman" w:eastAsia="Times New Roman" w:hAnsi="Times New Roman"/>
          <w:sz w:val="14"/>
          <w:szCs w:val="14"/>
          <w:color w:val="auto"/>
        </w:rPr>
      </w:pPr>
    </w:p>
    <w:p>
      <w:pPr>
        <w:jc w:val="both"/>
        <w:ind w:firstLine="920"/>
        <w:spacing w:after="0"/>
        <w:tabs>
          <w:tab w:leader="none" w:pos="1370" w:val="left"/>
        </w:tabs>
        <w:numPr>
          <w:ilvl w:val="0"/>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hereby designates the other Borrower as its representative and agent for all purposes under the Loan Documents, including requests for Loans and Letters of Credit, designation of interest rates, delivery or receipt of communications, preparation and delivery of financial reports, receipt and payment of Obligations, requests for waivers, amendments or other accommodations, actions under the Loan Documents (including in respect of compliance with covenants), and all other dealings any Agent, any Lender or any Issuing Bank. Each Borrower hereby accepts such appointment. The Agents, the Lenders and the Issuing Banks shall be entitled to rely upon, and shall be fully protected in relying upon, any notice or communication (including any telephonic notice or communication) delivered by a Borrower on behalf of the other Borrower, including any Borrowing Request and any Letter of Credit Request. The Agents, the Lenders and the Issuing Banks may give any notice or communication to a Borrower on behalf of the other Borrower. Each of the Agents, the Lenders and the Issuing Banks shall have the right, in its discretion, to deal exclusively with either Borrower for any or all purposes under the Loan Documents. Each Borrower agrees that any notice, election, communication, representation, agreement or undertaking made on its behalf by the other Borrower shall be binding upon and enforceable against such Borrower.</w:t>
      </w:r>
    </w:p>
    <w:p>
      <w:pPr>
        <w:spacing w:after="0" w:line="149" w:lineRule="exact"/>
        <w:rPr>
          <w:sz w:val="20"/>
          <w:szCs w:val="20"/>
          <w:color w:val="auto"/>
        </w:rPr>
      </w:pPr>
    </w:p>
    <w:p>
      <w:pPr>
        <w:jc w:val="both"/>
        <w:ind w:right="20" w:firstLine="914"/>
        <w:spacing w:after="0"/>
        <w:rPr>
          <w:sz w:val="20"/>
          <w:szCs w:val="20"/>
          <w:color w:val="auto"/>
        </w:rPr>
      </w:pPr>
      <w:r>
        <w:rPr>
          <w:rFonts w:ascii="Times New Roman" w:cs="Times New Roman" w:eastAsia="Times New Roman" w:hAnsi="Times New Roman"/>
          <w:sz w:val="14"/>
          <w:szCs w:val="14"/>
          <w:color w:val="auto"/>
        </w:rPr>
        <w:t xml:space="preserve">SECTION 9.27. </w:t>
      </w:r>
      <w:r>
        <w:rPr>
          <w:rFonts w:ascii="Times New Roman" w:cs="Times New Roman" w:eastAsia="Times New Roman" w:hAnsi="Times New Roman"/>
          <w:sz w:val="14"/>
          <w:szCs w:val="14"/>
          <w:u w:val="single" w:color="auto"/>
          <w:color w:val="auto"/>
        </w:rPr>
        <w:t>Intercreditor Agreements</w:t>
      </w:r>
      <w:r>
        <w:rPr>
          <w:rFonts w:ascii="Times New Roman" w:cs="Times New Roman" w:eastAsia="Times New Roman" w:hAnsi="Times New Roman"/>
          <w:sz w:val="14"/>
          <w:szCs w:val="14"/>
          <w:color w:val="auto"/>
        </w:rPr>
        <w:t xml:space="preserve"> . Reference is made to the Closing Date Intercreditor Agreement and each other Acceptable Intercreditor Agreement (if any). Each Lender and Issuing Bank hereunder agrees that it will be bound by and will take no actions contrary to the provisions of the Closing Date Intercreditor Agreement and any Acceptable Intercreditor Agreement and authorizes and instructs the Collateral Agent to enter into the Closing Date Intercreditor Agreement and any Acceptable Intercreditor Agreement in the capacity otherwise permitted hereunder and on behalf of such Lender or Issuing Bank. The provisions of this Section 9.20 are not intended to summarize all relevant provisions of the Closing Date Intercreditor Agreement or any Acceptable Intercreditor Agreement. Reference must be made to the Closing Date Intercreditor Agreement and such Acceptable Intercreditor Agreement to understand all terms and conditions thereof. Each Lender and Issuing Bank is responsible for making its own analysis and review of the Closing Date Intercreditor Agreement and any such Acceptable Intercreditor Agreement and the terms and provisions thereof, and neither the Collateral Agent nor any of its Affiliates makes any representation to any Lender or Issuing Bank as to the sufficiency or advisability of the provisions contained in the Closing Date Intercreditor Agreement and any Acceptable Intercreditor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[[DMS:8132210v39:12/11/2025--06:37 PM]]</w:t>
      </w:r>
    </w:p>
    <w:p>
      <w:pPr>
        <w:sectPr>
          <w:pgSz w:w="11900" w:h="16840" w:orient="portrait"/>
          <w:cols w:equalWidth="0" w:num="1">
            <w:col w:w="10620"/>
          </w:cols>
          <w:pgMar w:left="640" w:top="1440" w:right="640" w:bottom="1440" w:gutter="0" w:footer="0" w:header="0"/>
        </w:sectPr>
      </w:pPr>
    </w:p>
    <w:bookmarkStart w:id="668" w:name="page669"/>
    <w:bookmarkEnd w:id="668"/>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Agreement to be duly executed by their respective authorized signatories as of the day and year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written.</w:t>
      </w:r>
    </w:p>
    <w:p>
      <w:pPr>
        <w:spacing w:after="0" w:line="200" w:lineRule="exact"/>
        <w:rPr>
          <w:sz w:val="20"/>
          <w:szCs w:val="20"/>
          <w:color w:val="auto"/>
        </w:rPr>
      </w:pPr>
    </w:p>
    <w:p>
      <w:pPr>
        <w:spacing w:after="0" w:line="28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GENMAB A/S,</w:t>
      </w:r>
    </w:p>
    <w:p>
      <w:pPr>
        <w:spacing w:after="0" w:line="2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as the Parent</w:t>
      </w:r>
    </w:p>
    <w:p>
      <w:pPr>
        <w:spacing w:after="0" w:line="330" w:lineRule="exact"/>
        <w:rPr>
          <w:sz w:val="20"/>
          <w:szCs w:val="20"/>
          <w:color w:val="auto"/>
        </w:rPr>
      </w:pPr>
    </w:p>
    <w:p>
      <w:pPr>
        <w:ind w:left="3200"/>
        <w:spacing w:after="0"/>
        <w:tabs>
          <w:tab w:leader="none" w:pos="3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Jan van de Winkel</w:t>
      </w:r>
    </w:p>
    <w:p>
      <w:pPr>
        <w:spacing w:after="0" w:line="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Name: Jan van de Winkel</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49" w:lineRule="exact"/>
        <w:rPr>
          <w:sz w:val="20"/>
          <w:szCs w:val="20"/>
          <w:color w:val="auto"/>
        </w:rPr>
      </w:pPr>
    </w:p>
    <w:p>
      <w:pPr>
        <w:ind w:left="3200"/>
        <w:spacing w:after="0"/>
        <w:tabs>
          <w:tab w:leader="none" w:pos="3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Anthony Pagano</w:t>
      </w:r>
    </w:p>
    <w:p>
      <w:pPr>
        <w:spacing w:after="0" w:line="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Name: Anthony Pagano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Title: Executive Vice President and Chief Financial Officer</w:t>
      </w:r>
    </w:p>
    <w:p>
      <w:pPr>
        <w:spacing w:after="0" w:line="149" w:lineRule="exact"/>
        <w:rPr>
          <w:sz w:val="20"/>
          <w:szCs w:val="20"/>
          <w:color w:val="auto"/>
        </w:rPr>
      </w:pPr>
    </w:p>
    <w:p>
      <w:pPr>
        <w:ind w:left="3200"/>
        <w:spacing w:after="0"/>
        <w:tabs>
          <w:tab w:leader="none" w:pos="3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Greg Mueller</w:t>
      </w:r>
    </w:p>
    <w:p>
      <w:pPr>
        <w:spacing w:after="0" w:line="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Name: Greg Mueller</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Title: Executive Vice President, General Counsel and Chief Legal Officer</w:t>
      </w:r>
    </w:p>
    <w:p>
      <w:pPr>
        <w:spacing w:after="0" w:line="200" w:lineRule="exact"/>
        <w:rPr>
          <w:sz w:val="20"/>
          <w:szCs w:val="20"/>
          <w:color w:val="auto"/>
        </w:rPr>
      </w:pPr>
    </w:p>
    <w:p>
      <w:pPr>
        <w:spacing w:after="0" w:line="28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GENMAB FINANCE LLC,</w:t>
      </w:r>
    </w:p>
    <w:p>
      <w:pPr>
        <w:spacing w:after="0" w:line="2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as the U.S. Co-Borrower</w:t>
      </w:r>
    </w:p>
    <w:p>
      <w:pPr>
        <w:spacing w:after="0" w:line="330" w:lineRule="exact"/>
        <w:rPr>
          <w:sz w:val="20"/>
          <w:szCs w:val="20"/>
          <w:color w:val="auto"/>
        </w:rPr>
      </w:pPr>
    </w:p>
    <w:p>
      <w:pPr>
        <w:ind w:left="3200"/>
        <w:spacing w:after="0"/>
        <w:tabs>
          <w:tab w:leader="none" w:pos="3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Anthony Pagano</w:t>
      </w:r>
    </w:p>
    <w:p>
      <w:pPr>
        <w:spacing w:after="0" w:line="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Name: Anthony Pagano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Title: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10600"/>
          </w:cols>
          <w:pgMar w:left="640" w:top="1440" w:right="660" w:bottom="1440" w:gutter="0" w:footer="0" w:header="0"/>
        </w:sectPr>
      </w:pPr>
    </w:p>
    <w:bookmarkStart w:id="669" w:name="page670"/>
    <w:bookmarkEnd w:id="669"/>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MORGAN STANLEY SENIOR FUNDING, INC., as the Administrative Agent and the Collateral Agent</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Jennifer DeFazio</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Jennifer DeFazio</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020"/>
          </w:cols>
          <w:pgMar w:left="1440" w:top="1440" w:right="1440" w:bottom="1440" w:gutter="0" w:footer="0" w:header="0"/>
        </w:sectPr>
      </w:pPr>
    </w:p>
    <w:bookmarkStart w:id="670" w:name="page671"/>
    <w:bookmarkEnd w:id="670"/>
    <w:p>
      <w:pPr>
        <w:spacing w:after="0" w:line="34" w:lineRule="exact"/>
        <w:rPr>
          <w:sz w:val="20"/>
          <w:szCs w:val="20"/>
          <w:color w:val="auto"/>
        </w:rPr>
      </w:pPr>
    </w:p>
    <w:p>
      <w:pPr>
        <w:ind w:left="2400"/>
        <w:spacing w:after="0" w:line="291" w:lineRule="auto"/>
        <w:rPr>
          <w:sz w:val="20"/>
          <w:szCs w:val="20"/>
          <w:color w:val="auto"/>
        </w:rPr>
      </w:pPr>
      <w:r>
        <w:rPr>
          <w:rFonts w:ascii="Times New Roman" w:cs="Times New Roman" w:eastAsia="Times New Roman" w:hAnsi="Times New Roman"/>
          <w:sz w:val="14"/>
          <w:szCs w:val="14"/>
          <w:color w:val="auto"/>
        </w:rPr>
        <w:t>MORGAN STANLEY BANK, N.A., as an Initial Term A Lender, an Initial Term B Lender, an Initial Revolving Lender and an Issuing Bank</w:t>
      </w:r>
    </w:p>
    <w:p>
      <w:pPr>
        <w:spacing w:after="0" w:line="285"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Mark Scioscia</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Mark Scioscia</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740"/>
          </w:cols>
          <w:pgMar w:left="1440" w:top="1440" w:right="720" w:bottom="1440" w:gutter="0" w:footer="0" w:header="0"/>
        </w:sectPr>
      </w:pPr>
    </w:p>
    <w:bookmarkStart w:id="671" w:name="page672"/>
    <w:bookmarkEnd w:id="671"/>
    <w:p>
      <w:pPr>
        <w:spacing w:after="0" w:line="34" w:lineRule="exact"/>
        <w:rPr>
          <w:sz w:val="20"/>
          <w:szCs w:val="20"/>
          <w:color w:val="auto"/>
        </w:rPr>
      </w:pPr>
    </w:p>
    <w:p>
      <w:pPr>
        <w:ind w:left="2400"/>
        <w:spacing w:after="0" w:line="291" w:lineRule="auto"/>
        <w:rPr>
          <w:sz w:val="20"/>
          <w:szCs w:val="20"/>
          <w:color w:val="auto"/>
        </w:rPr>
      </w:pPr>
      <w:r>
        <w:rPr>
          <w:rFonts w:ascii="Times New Roman" w:cs="Times New Roman" w:eastAsia="Times New Roman" w:hAnsi="Times New Roman"/>
          <w:sz w:val="14"/>
          <w:szCs w:val="14"/>
          <w:color w:val="auto"/>
        </w:rPr>
        <w:t>BANK OF AMERICA EUROPE DESIGNATED ACTIVITY COMPANY, as an Initial Term A Lender, an Initial Revolving Lender and an Issuing Bank</w:t>
      </w:r>
    </w:p>
    <w:p>
      <w:pPr>
        <w:spacing w:after="0" w:line="285"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Riddhima Khanna</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Riddhima Khanna</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580"/>
          </w:cols>
          <w:pgMar w:left="1440" w:top="1440" w:right="880" w:bottom="1440" w:gutter="0" w:footer="0" w:header="0"/>
        </w:sectPr>
      </w:pPr>
    </w:p>
    <w:bookmarkStart w:id="672" w:name="page673"/>
    <w:bookmarkEnd w:id="672"/>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GOLDMAN SACHS BANK USA, as an Initial Term A Lender, an Initial Revolving Lender and an Issuing Bank</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Robert Ehudin</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Robert Ehudin</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020"/>
          </w:cols>
          <w:pgMar w:left="1440" w:top="1440" w:right="1440" w:bottom="1440" w:gutter="0" w:footer="0" w:header="0"/>
        </w:sectPr>
      </w:pPr>
    </w:p>
    <w:bookmarkStart w:id="673" w:name="page674"/>
    <w:bookmarkEnd w:id="673"/>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DANSKE BANK A/S, as an Initial Term A Lender, an Initial Revolving Lender and an Issuing Bank</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Andreas Langfeldt</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Andreas Langfeldt</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82"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Morten Søegård</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Morten Søegård</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020"/>
          </w:cols>
          <w:pgMar w:left="1440" w:top="1440" w:right="1440" w:bottom="1440" w:gutter="0" w:footer="0" w:header="0"/>
        </w:sectPr>
      </w:pPr>
    </w:p>
    <w:bookmarkStart w:id="674" w:name="page675"/>
    <w:bookmarkEnd w:id="674"/>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DNB CAPITAL LLC, as an Initial Term A Lender, an Initial Revolving Lender</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Dania Hinedi</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Dania Hinedi</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Senior Vice President</w:t>
      </w:r>
    </w:p>
    <w:p>
      <w:pPr>
        <w:spacing w:after="0" w:line="200" w:lineRule="exact"/>
        <w:rPr>
          <w:sz w:val="20"/>
          <w:szCs w:val="20"/>
          <w:color w:val="auto"/>
        </w:rPr>
      </w:pPr>
    </w:p>
    <w:p>
      <w:pPr>
        <w:spacing w:after="0" w:line="282"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Bret Douglas</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Bret Douglas</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DNB BANK ASA, NEW YORK BRANCH, as an Issuing Bank and as an affiliate of DNB Capital LLC</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Dania Hinedi</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Dania Hinedi</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Senior Vice President</w:t>
      </w:r>
    </w:p>
    <w:p>
      <w:pPr>
        <w:spacing w:after="0" w:line="200" w:lineRule="exact"/>
        <w:rPr>
          <w:sz w:val="20"/>
          <w:szCs w:val="20"/>
          <w:color w:val="auto"/>
        </w:rPr>
      </w:pPr>
    </w:p>
    <w:p>
      <w:pPr>
        <w:spacing w:after="0" w:line="282"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Bret Douglas</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Bret Douglas</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020"/>
          </w:cols>
          <w:pgMar w:left="1440" w:top="1440" w:right="1440" w:bottom="1440" w:gutter="0" w:footer="0" w:header="0"/>
        </w:sectPr>
      </w:pPr>
    </w:p>
    <w:bookmarkStart w:id="675" w:name="page676"/>
    <w:bookmarkEnd w:id="675"/>
    <w:p>
      <w:pPr>
        <w:spacing w:after="0" w:line="34" w:lineRule="exact"/>
        <w:rPr>
          <w:sz w:val="20"/>
          <w:szCs w:val="20"/>
          <w:color w:val="auto"/>
        </w:rPr>
      </w:pPr>
    </w:p>
    <w:p>
      <w:pPr>
        <w:ind w:left="2400"/>
        <w:spacing w:after="0" w:line="291" w:lineRule="auto"/>
        <w:rPr>
          <w:sz w:val="20"/>
          <w:szCs w:val="20"/>
          <w:color w:val="auto"/>
        </w:rPr>
      </w:pPr>
      <w:r>
        <w:rPr>
          <w:rFonts w:ascii="Times New Roman" w:cs="Times New Roman" w:eastAsia="Times New Roman" w:hAnsi="Times New Roman"/>
          <w:sz w:val="14"/>
          <w:szCs w:val="14"/>
          <w:color w:val="auto"/>
        </w:rPr>
        <w:t>NORDEA DANMARK, FILIAL AF NORDEA BANK ABP, FINLAND, as an Initial Term A Lender, an Initial Revolving Lender and an Issuing Bank</w:t>
      </w:r>
    </w:p>
    <w:p>
      <w:pPr>
        <w:spacing w:after="0" w:line="285"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Thomas Skovboe</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Thomas Skovboe</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Heidi Hammer</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Heidi Hammer</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460"/>
          </w:cols>
          <w:pgMar w:left="1440" w:top="1440" w:right="1000" w:bottom="1440" w:gutter="0" w:footer="0" w:header="0"/>
        </w:sectPr>
      </w:pPr>
    </w:p>
    <w:bookmarkStart w:id="676" w:name="page677"/>
    <w:bookmarkEnd w:id="676"/>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PNC BANK, NATIONAL ASSOCIATION, as an Initial Term A Lender, an Initial Revolving Lender and an Issuing Bank</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Robert Novak</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Robert Novak</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420"/>
          </w:cols>
          <w:pgMar w:left="1440" w:top="1440" w:right="1040" w:bottom="1440" w:gutter="0" w:footer="0" w:header="0"/>
        </w:sectPr>
      </w:pPr>
    </w:p>
    <w:bookmarkStart w:id="677" w:name="page678"/>
    <w:bookmarkEnd w:id="677"/>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TRUIST BANK, as an Initial Term A Lender, an Initial Revolving Lender and an Issuing Bank</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Katie Lundin</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Katie Lundin</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020"/>
          </w:cols>
          <w:pgMar w:left="1440" w:top="1440" w:right="1440" w:bottom="1440" w:gutter="0" w:footer="0" w:header="0"/>
        </w:sectPr>
      </w:pPr>
    </w:p>
    <w:bookmarkStart w:id="678" w:name="page679"/>
    <w:bookmarkEnd w:id="678"/>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JPMORGAN CHASE BANK, N.A., LONDON BRANCH, as an Initial Term A Lender and an Initial Revolving Lender</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Wayomi Hemantha</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Wayomi Hemantha</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280"/>
          </w:cols>
          <w:pgMar w:left="1440" w:top="1440" w:right="1180" w:bottom="1440" w:gutter="0" w:footer="0" w:header="0"/>
        </w:sectPr>
      </w:pPr>
    </w:p>
    <w:bookmarkStart w:id="679" w:name="page680"/>
    <w:bookmarkEnd w:id="679"/>
    <w:p>
      <w:pPr>
        <w:spacing w:after="0" w:line="3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JYSKE BANK A/S, as an Initial Term A Lender</w:t>
      </w:r>
    </w:p>
    <w:p>
      <w:pPr>
        <w:spacing w:after="0" w:line="343"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Knud Jacobsen</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Knud Jacobsen</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Director</w:t>
      </w:r>
    </w:p>
    <w:p>
      <w:pPr>
        <w:spacing w:after="0" w:line="149"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Mads Mouritzen</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Mads Mouritzen</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Genmab A/S Credit Agreement</w:t>
      </w:r>
      <w:r>
        <w:rPr>
          <w:rFonts w:ascii="Times New Roman" w:cs="Times New Roman" w:eastAsia="Times New Roman" w:hAnsi="Times New Roman"/>
          <w:sz w:val="14"/>
          <w:szCs w:val="14"/>
          <w:color w:val="auto"/>
        </w:rPr>
        <w:t xml:space="preserve"> ]</w:t>
      </w:r>
    </w:p>
    <w:p>
      <w:pPr>
        <w:sectPr>
          <w:pgSz w:w="11900" w:h="16840" w:orient="portrait"/>
          <w:cols w:equalWidth="0" w:num="1">
            <w:col w:w="9020"/>
          </w:cols>
          <w:pgMar w:left="1440" w:top="1440" w:right="1440" w:bottom="1440" w:gutter="0" w:footer="0" w:header="0"/>
        </w:sectPr>
      </w:pPr>
    </w:p>
    <w:bookmarkStart w:id="680" w:name="page681"/>
    <w:bookmarkEnd w:id="680"/>
    <w:p>
      <w:pPr>
        <w:jc w:val="right"/>
        <w:spacing w:after="0"/>
        <w:rPr>
          <w:sz w:val="20"/>
          <w:szCs w:val="20"/>
          <w:color w:val="auto"/>
        </w:rPr>
      </w:pPr>
      <w:r>
        <w:rPr>
          <w:rFonts w:ascii="Times New Roman" w:cs="Times New Roman" w:eastAsia="Times New Roman" w:hAnsi="Times New Roman"/>
          <w:sz w:val="11"/>
          <w:szCs w:val="11"/>
          <w:b w:val="1"/>
          <w:bCs w:val="1"/>
          <w:color w:val="auto"/>
        </w:rPr>
        <w:t>Exhibit 8.1</w:t>
      </w:r>
    </w:p>
    <w:p>
      <w:pPr>
        <w:spacing w:after="0" w:line="3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1"/>
          <w:szCs w:val="11"/>
          <w:b w:val="1"/>
          <w:bCs w:val="1"/>
          <w:color w:val="auto"/>
        </w:rPr>
        <w:t>Genmab A/S</w:t>
      </w:r>
    </w:p>
    <w:p>
      <w:pPr>
        <w:spacing w:after="0" w:line="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1"/>
          <w:szCs w:val="11"/>
          <w:b w:val="1"/>
          <w:bCs w:val="1"/>
          <w:color w:val="auto"/>
        </w:rPr>
        <w:t>Subsidiaries of the Registrant</w:t>
      </w:r>
    </w:p>
    <w:p>
      <w:pPr>
        <w:sectPr>
          <w:pgSz w:w="11900" w:h="16840" w:orient="portrait"/>
          <w:cols w:equalWidth="0" w:num="1">
            <w:col w:w="10500"/>
          </w:cols>
          <w:pgMar w:left="680" w:top="1405" w:right="720" w:bottom="1440" w:gutter="0" w:footer="0" w:header="0"/>
        </w:sectPr>
      </w:pP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Name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Jurisdiction of Incorporation</w:t>
      </w:r>
    </w:p>
    <w:p>
      <w:pPr>
        <w:spacing w:after="0" w:line="47" w:lineRule="exact"/>
        <w:rPr>
          <w:sz w:val="20"/>
          <w:szCs w:val="20"/>
          <w:color w:val="auto"/>
        </w:rPr>
      </w:pPr>
    </w:p>
    <w:p>
      <w:pPr>
        <w:sectPr>
          <w:pgSz w:w="11900" w:h="16840" w:orient="portrait"/>
          <w:cols w:equalWidth="0" w:num="2">
            <w:col w:w="4460" w:space="720"/>
            <w:col w:w="5320"/>
          </w:cols>
          <w:pgMar w:left="680" w:top="1405" w:right="720"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Genmab B.V.</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Genmab Holding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Utrecht, The Netherlands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Utrecht, The Netherlands</w:t>
      </w:r>
    </w:p>
    <w:p>
      <w:pPr>
        <w:spacing w:after="0" w:line="23" w:lineRule="exact"/>
        <w:rPr>
          <w:sz w:val="20"/>
          <w:szCs w:val="20"/>
          <w:color w:val="auto"/>
        </w:rPr>
      </w:pPr>
    </w:p>
    <w:p>
      <w:pPr>
        <w:sectPr>
          <w:pgSz w:w="11900" w:h="16840" w:orient="portrait"/>
          <w:cols w:equalWidth="0" w:num="2">
            <w:col w:w="4460" w:space="720"/>
            <w:col w:w="5320"/>
          </w:cols>
          <w:pgMar w:left="680" w:top="1405" w:right="72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1"/>
          <w:szCs w:val="11"/>
          <w:color w:val="auto"/>
        </w:rPr>
        <w:t>Genmab Holding II B.V.</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Times New Roman" w:cs="Times New Roman" w:eastAsia="Times New Roman" w:hAnsi="Times New Roman"/>
          <w:sz w:val="11"/>
          <w:szCs w:val="11"/>
          <w:color w:val="auto"/>
        </w:rPr>
        <w:t>Utrecht, The Netherlands</w:t>
      </w:r>
    </w:p>
    <w:p>
      <w:pPr>
        <w:spacing w:after="0" w:line="35" w:lineRule="exact"/>
        <w:rPr>
          <w:sz w:val="20"/>
          <w:szCs w:val="20"/>
          <w:color w:val="auto"/>
        </w:rPr>
      </w:pPr>
    </w:p>
    <w:p>
      <w:pPr>
        <w:sectPr>
          <w:pgSz w:w="11900" w:h="16840" w:orient="portrait"/>
          <w:cols w:equalWidth="0" w:num="2">
            <w:col w:w="4460" w:space="720"/>
            <w:col w:w="5320"/>
          </w:cols>
          <w:pgMar w:left="680" w:top="1405" w:right="720"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Merus B.V.</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Genmab K.K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Utrecht, The Netherlands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Tokyo, Japan</w:t>
      </w:r>
    </w:p>
    <w:p>
      <w:pPr>
        <w:spacing w:after="0" w:line="23" w:lineRule="exact"/>
        <w:rPr>
          <w:sz w:val="20"/>
          <w:szCs w:val="20"/>
          <w:color w:val="auto"/>
        </w:rPr>
      </w:pPr>
    </w:p>
    <w:p>
      <w:pPr>
        <w:sectPr>
          <w:pgSz w:w="11900" w:h="16840" w:orient="portrait"/>
          <w:cols w:equalWidth="0" w:num="2">
            <w:col w:w="4460" w:space="720"/>
            <w:col w:w="5320"/>
          </w:cols>
          <w:pgMar w:left="680" w:top="1405" w:right="72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1"/>
          <w:szCs w:val="11"/>
          <w:color w:val="auto"/>
        </w:rPr>
        <w:t>Genmab US, Inc.</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1"/>
          <w:szCs w:val="11"/>
          <w:color w:val="auto"/>
        </w:rPr>
        <w:t>New Jersey, United States</w:t>
      </w:r>
    </w:p>
    <w:p>
      <w:pPr>
        <w:sectPr>
          <w:pgSz w:w="11900" w:h="16840" w:orient="portrait"/>
          <w:cols w:equalWidth="0" w:num="2">
            <w:col w:w="4460" w:space="720"/>
            <w:col w:w="5320"/>
          </w:cols>
          <w:pgMar w:left="680" w:top="1405" w:right="720" w:bottom="1440" w:gutter="0" w:footer="0" w:header="0"/>
          <w:type w:val="continuous"/>
        </w:sectPr>
      </w:pPr>
    </w:p>
    <w:bookmarkStart w:id="681" w:name="page682"/>
    <w:bookmarkEnd w:id="681"/>
    <w:p>
      <w:pPr>
        <w:ind w:left="9820"/>
        <w:spacing w:after="0"/>
        <w:rPr>
          <w:sz w:val="20"/>
          <w:szCs w:val="20"/>
          <w:color w:val="auto"/>
        </w:rPr>
      </w:pPr>
      <w:r>
        <w:rPr>
          <w:rFonts w:ascii="Times New Roman" w:cs="Times New Roman" w:eastAsia="Times New Roman" w:hAnsi="Times New Roman"/>
          <w:sz w:val="12"/>
          <w:szCs w:val="12"/>
          <w:b w:val="1"/>
          <w:bCs w:val="1"/>
          <w:color w:val="auto"/>
        </w:rPr>
        <w:t>EXHIBIT 12.1</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CERTIFICATION OF THE PRINCIPAL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Jan G. van de Winkel, certify that:</w:t>
      </w:r>
    </w:p>
    <w:p>
      <w:pPr>
        <w:spacing w:after="0" w:line="157" w:lineRule="exact"/>
        <w:rPr>
          <w:sz w:val="20"/>
          <w:szCs w:val="20"/>
          <w:color w:val="auto"/>
        </w:rPr>
      </w:pPr>
    </w:p>
    <w:p>
      <w:pPr>
        <w:ind w:left="460" w:hanging="225"/>
        <w:spacing w:after="0"/>
        <w:tabs>
          <w:tab w:leader="none" w:pos="460"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Genmab A/S;</w:t>
      </w:r>
    </w:p>
    <w:p>
      <w:pPr>
        <w:spacing w:after="0" w:line="157" w:lineRule="exact"/>
        <w:rPr>
          <w:rFonts w:ascii="Times New Roman" w:cs="Times New Roman" w:eastAsia="Times New Roman" w:hAnsi="Times New Roman"/>
          <w:sz w:val="12"/>
          <w:szCs w:val="12"/>
          <w:color w:val="auto"/>
        </w:rPr>
      </w:pPr>
    </w:p>
    <w:p>
      <w:pPr>
        <w:ind w:right="320" w:firstLine="235"/>
        <w:spacing w:after="0" w:line="287" w:lineRule="auto"/>
        <w:tabs>
          <w:tab w:leader="none" w:pos="457"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2"/>
          <w:szCs w:val="12"/>
          <w:color w:val="auto"/>
        </w:rPr>
      </w:pPr>
    </w:p>
    <w:p>
      <w:pPr>
        <w:ind w:firstLine="235"/>
        <w:spacing w:after="0" w:line="287" w:lineRule="auto"/>
        <w:tabs>
          <w:tab w:leader="none" w:pos="457"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07" w:lineRule="exact"/>
        <w:rPr>
          <w:rFonts w:ascii="Times New Roman" w:cs="Times New Roman" w:eastAsia="Times New Roman" w:hAnsi="Times New Roman"/>
          <w:sz w:val="12"/>
          <w:szCs w:val="12"/>
          <w:color w:val="auto"/>
        </w:rPr>
      </w:pPr>
    </w:p>
    <w:p>
      <w:pPr>
        <w:ind w:right="320" w:firstLine="235"/>
        <w:spacing w:after="0" w:line="287" w:lineRule="auto"/>
        <w:tabs>
          <w:tab w:leader="none" w:pos="457"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certifying officer of Genmab A/S and I are responsible for establishing and maintaining disclosure controls and procedures (as defined in Exchange Act Rules 13a-15(e) and 15d-15(e)) and internal control over financial reporting (as defined in Exchange Act Rules 13a-15(f) and 15d-15(f)) for Genmab A/S and have:</w:t>
      </w:r>
    </w:p>
    <w:p>
      <w:pPr>
        <w:spacing w:after="0" w:line="107" w:lineRule="exact"/>
        <w:rPr>
          <w:rFonts w:ascii="Times New Roman" w:cs="Times New Roman" w:eastAsia="Times New Roman" w:hAnsi="Times New Roman"/>
          <w:sz w:val="12"/>
          <w:szCs w:val="12"/>
          <w:color w:val="auto"/>
        </w:rPr>
      </w:pPr>
    </w:p>
    <w:p>
      <w:pPr>
        <w:ind w:left="420" w:right="60" w:firstLine="224"/>
        <w:spacing w:after="0" w:line="287" w:lineRule="auto"/>
        <w:tabs>
          <w:tab w:leader="none" w:pos="915" w:val="left"/>
        </w:tabs>
        <w:numPr>
          <w:ilvl w:val="1"/>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2"/>
          <w:szCs w:val="12"/>
          <w:color w:val="auto"/>
        </w:rPr>
      </w:pPr>
    </w:p>
    <w:p>
      <w:pPr>
        <w:ind w:left="420" w:right="20" w:firstLine="224"/>
        <w:spacing w:after="0" w:line="287" w:lineRule="auto"/>
        <w:tabs>
          <w:tab w:leader="none" w:pos="915" w:val="left"/>
        </w:tabs>
        <w:numPr>
          <w:ilvl w:val="1"/>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Times New Roman" w:cs="Times New Roman" w:eastAsia="Times New Roman" w:hAnsi="Times New Roman"/>
          <w:sz w:val="12"/>
          <w:szCs w:val="12"/>
          <w:color w:val="auto"/>
        </w:rPr>
      </w:pPr>
    </w:p>
    <w:p>
      <w:pPr>
        <w:ind w:left="420" w:right="80" w:firstLine="224"/>
        <w:spacing w:after="0" w:line="287" w:lineRule="auto"/>
        <w:tabs>
          <w:tab w:leader="none" w:pos="915" w:val="left"/>
        </w:tabs>
        <w:numPr>
          <w:ilvl w:val="1"/>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2"/>
          <w:szCs w:val="12"/>
          <w:color w:val="auto"/>
        </w:rPr>
      </w:pPr>
    </w:p>
    <w:p>
      <w:pPr>
        <w:ind w:left="420" w:right="360" w:firstLine="224"/>
        <w:spacing w:after="0" w:line="287" w:lineRule="auto"/>
        <w:tabs>
          <w:tab w:leader="none" w:pos="915" w:val="left"/>
        </w:tabs>
        <w:numPr>
          <w:ilvl w:val="1"/>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07" w:lineRule="exact"/>
        <w:rPr>
          <w:rFonts w:ascii="Times New Roman" w:cs="Times New Roman" w:eastAsia="Times New Roman" w:hAnsi="Times New Roman"/>
          <w:sz w:val="12"/>
          <w:szCs w:val="12"/>
          <w:color w:val="auto"/>
        </w:rPr>
      </w:pPr>
    </w:p>
    <w:p>
      <w:pPr>
        <w:ind w:right="40" w:firstLine="235"/>
        <w:spacing w:after="0" w:line="287" w:lineRule="auto"/>
        <w:tabs>
          <w:tab w:leader="none" w:pos="457"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07" w:lineRule="exact"/>
        <w:rPr>
          <w:rFonts w:ascii="Times New Roman" w:cs="Times New Roman" w:eastAsia="Times New Roman" w:hAnsi="Times New Roman"/>
          <w:sz w:val="12"/>
          <w:szCs w:val="12"/>
          <w:color w:val="auto"/>
        </w:rPr>
      </w:pPr>
    </w:p>
    <w:p>
      <w:pPr>
        <w:ind w:left="420" w:right="20" w:firstLine="224"/>
        <w:spacing w:after="0" w:line="287" w:lineRule="auto"/>
        <w:tabs>
          <w:tab w:leader="none" w:pos="915" w:val="left"/>
        </w:tabs>
        <w:numPr>
          <w:ilvl w:val="1"/>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07"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2"/>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internal control over financial reporting of Genmab A/S.</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February 17, 2026</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Jan G. van de Winkel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AMERICAS/2017215015.2</w:t>
      </w:r>
    </w:p>
    <w:p>
      <w:pPr>
        <w:sectPr>
          <w:pgSz w:w="11900" w:h="16840" w:orient="portrait"/>
          <w:cols w:equalWidth="0" w:num="1">
            <w:col w:w="10600"/>
          </w:cols>
          <w:pgMar w:left="640" w:top="1281" w:right="660" w:bottom="1440" w:gutter="0" w:footer="0" w:header="0"/>
        </w:sectPr>
      </w:pPr>
    </w:p>
    <w:bookmarkStart w:id="682" w:name="page683"/>
    <w:bookmarkEnd w:id="682"/>
    <w:p>
      <w:pPr>
        <w:ind w:left="9820"/>
        <w:spacing w:after="0"/>
        <w:rPr>
          <w:sz w:val="20"/>
          <w:szCs w:val="20"/>
          <w:color w:val="auto"/>
        </w:rPr>
      </w:pPr>
      <w:r>
        <w:rPr>
          <w:rFonts w:ascii="Times New Roman" w:cs="Times New Roman" w:eastAsia="Times New Roman" w:hAnsi="Times New Roman"/>
          <w:sz w:val="12"/>
          <w:szCs w:val="12"/>
          <w:b w:val="1"/>
          <w:bCs w:val="1"/>
          <w:color w:val="auto"/>
        </w:rPr>
        <w:t>EXHIBIT 12.2</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OF THE PRINCIPAL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Anthony Pagano, certify that:</w:t>
      </w:r>
    </w:p>
    <w:p>
      <w:pPr>
        <w:spacing w:after="0" w:line="157" w:lineRule="exact"/>
        <w:rPr>
          <w:sz w:val="20"/>
          <w:szCs w:val="20"/>
          <w:color w:val="auto"/>
        </w:rPr>
      </w:pPr>
    </w:p>
    <w:p>
      <w:pPr>
        <w:ind w:left="460" w:hanging="225"/>
        <w:spacing w:after="0"/>
        <w:tabs>
          <w:tab w:leader="none" w:pos="460" w:val="left"/>
        </w:tabs>
        <w:numPr>
          <w:ilvl w:val="0"/>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Genmab A/S;</w:t>
      </w:r>
    </w:p>
    <w:p>
      <w:pPr>
        <w:spacing w:after="0" w:line="157" w:lineRule="exact"/>
        <w:rPr>
          <w:rFonts w:ascii="Times New Roman" w:cs="Times New Roman" w:eastAsia="Times New Roman" w:hAnsi="Times New Roman"/>
          <w:sz w:val="12"/>
          <w:szCs w:val="12"/>
          <w:color w:val="auto"/>
        </w:rPr>
      </w:pPr>
    </w:p>
    <w:p>
      <w:pPr>
        <w:ind w:right="320" w:firstLine="235"/>
        <w:spacing w:after="0" w:line="287" w:lineRule="auto"/>
        <w:tabs>
          <w:tab w:leader="none" w:pos="457" w:val="left"/>
        </w:tabs>
        <w:numPr>
          <w:ilvl w:val="0"/>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2"/>
          <w:szCs w:val="12"/>
          <w:color w:val="auto"/>
        </w:rPr>
      </w:pPr>
    </w:p>
    <w:p>
      <w:pPr>
        <w:ind w:firstLine="235"/>
        <w:spacing w:after="0" w:line="287" w:lineRule="auto"/>
        <w:tabs>
          <w:tab w:leader="none" w:pos="457" w:val="left"/>
        </w:tabs>
        <w:numPr>
          <w:ilvl w:val="0"/>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07" w:lineRule="exact"/>
        <w:rPr>
          <w:rFonts w:ascii="Times New Roman" w:cs="Times New Roman" w:eastAsia="Times New Roman" w:hAnsi="Times New Roman"/>
          <w:sz w:val="12"/>
          <w:szCs w:val="12"/>
          <w:color w:val="auto"/>
        </w:rPr>
      </w:pPr>
    </w:p>
    <w:p>
      <w:pPr>
        <w:ind w:right="320" w:firstLine="235"/>
        <w:spacing w:after="0" w:line="287" w:lineRule="auto"/>
        <w:tabs>
          <w:tab w:leader="none" w:pos="457" w:val="left"/>
        </w:tabs>
        <w:numPr>
          <w:ilvl w:val="0"/>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certifying officer of Genmab A/S and I are responsible for establishing and maintaining disclosure controls and procedures (as defined in Exchange Act Rules 13a-15(e) and 15d-15(e)) and internal control over financial reporting (as defined in Exchange Act Rules 13a-15(f) and 15d-15(f)) for Genmab A/S and have:</w:t>
      </w:r>
    </w:p>
    <w:p>
      <w:pPr>
        <w:spacing w:after="0" w:line="107" w:lineRule="exact"/>
        <w:rPr>
          <w:rFonts w:ascii="Times New Roman" w:cs="Times New Roman" w:eastAsia="Times New Roman" w:hAnsi="Times New Roman"/>
          <w:sz w:val="12"/>
          <w:szCs w:val="12"/>
          <w:color w:val="auto"/>
        </w:rPr>
      </w:pPr>
    </w:p>
    <w:p>
      <w:pPr>
        <w:ind w:left="420" w:right="60" w:firstLine="224"/>
        <w:spacing w:after="0" w:line="287" w:lineRule="auto"/>
        <w:tabs>
          <w:tab w:leader="none" w:pos="915"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2"/>
          <w:szCs w:val="12"/>
          <w:color w:val="auto"/>
        </w:rPr>
      </w:pPr>
    </w:p>
    <w:p>
      <w:pPr>
        <w:ind w:left="420" w:right="20" w:firstLine="224"/>
        <w:spacing w:after="0" w:line="287" w:lineRule="auto"/>
        <w:tabs>
          <w:tab w:leader="none" w:pos="915"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Times New Roman" w:cs="Times New Roman" w:eastAsia="Times New Roman" w:hAnsi="Times New Roman"/>
          <w:sz w:val="12"/>
          <w:szCs w:val="12"/>
          <w:color w:val="auto"/>
        </w:rPr>
      </w:pPr>
    </w:p>
    <w:p>
      <w:pPr>
        <w:ind w:left="420" w:right="80" w:firstLine="224"/>
        <w:spacing w:after="0" w:line="287" w:lineRule="auto"/>
        <w:tabs>
          <w:tab w:leader="none" w:pos="915"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2"/>
          <w:szCs w:val="12"/>
          <w:color w:val="auto"/>
        </w:rPr>
      </w:pPr>
    </w:p>
    <w:p>
      <w:pPr>
        <w:ind w:left="420" w:right="360" w:firstLine="224"/>
        <w:spacing w:after="0" w:line="287" w:lineRule="auto"/>
        <w:tabs>
          <w:tab w:leader="none" w:pos="915"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07" w:lineRule="exact"/>
        <w:rPr>
          <w:rFonts w:ascii="Times New Roman" w:cs="Times New Roman" w:eastAsia="Times New Roman" w:hAnsi="Times New Roman"/>
          <w:sz w:val="12"/>
          <w:szCs w:val="12"/>
          <w:color w:val="auto"/>
        </w:rPr>
      </w:pPr>
    </w:p>
    <w:p>
      <w:pPr>
        <w:ind w:right="40" w:firstLine="235"/>
        <w:spacing w:after="0" w:line="287" w:lineRule="auto"/>
        <w:tabs>
          <w:tab w:leader="none" w:pos="457" w:val="left"/>
        </w:tabs>
        <w:numPr>
          <w:ilvl w:val="0"/>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07" w:lineRule="exact"/>
        <w:rPr>
          <w:rFonts w:ascii="Times New Roman" w:cs="Times New Roman" w:eastAsia="Times New Roman" w:hAnsi="Times New Roman"/>
          <w:sz w:val="12"/>
          <w:szCs w:val="12"/>
          <w:color w:val="auto"/>
        </w:rPr>
      </w:pPr>
    </w:p>
    <w:p>
      <w:pPr>
        <w:ind w:left="420" w:right="20" w:firstLine="224"/>
        <w:spacing w:after="0" w:line="287" w:lineRule="auto"/>
        <w:tabs>
          <w:tab w:leader="none" w:pos="915"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07" w:lineRule="exact"/>
        <w:rPr>
          <w:rFonts w:ascii="Times New Roman" w:cs="Times New Roman" w:eastAsia="Times New Roman" w:hAnsi="Times New Roman"/>
          <w:sz w:val="12"/>
          <w:szCs w:val="12"/>
          <w:color w:val="auto"/>
        </w:rPr>
      </w:pPr>
    </w:p>
    <w:p>
      <w:pPr>
        <w:ind w:left="940" w:hanging="296"/>
        <w:spacing w:after="0"/>
        <w:tabs>
          <w:tab w:leader="none" w:pos="940" w:val="left"/>
        </w:tabs>
        <w:numPr>
          <w:ilvl w:val="1"/>
          <w:numId w:val="7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internal control over financial reporting of Genmab A/S.</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February 17, 2026</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Anthony Pagano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AMERICAS/2017215013.2</w:t>
      </w:r>
    </w:p>
    <w:p>
      <w:pPr>
        <w:sectPr>
          <w:pgSz w:w="11900" w:h="16840" w:orient="portrait"/>
          <w:cols w:equalWidth="0" w:num="1">
            <w:col w:w="10600"/>
          </w:cols>
          <w:pgMar w:left="640" w:top="1281" w:right="660" w:bottom="1440" w:gutter="0" w:footer="0" w:header="0"/>
        </w:sectPr>
      </w:pPr>
    </w:p>
    <w:bookmarkStart w:id="683" w:name="page684"/>
    <w:bookmarkEnd w:id="683"/>
    <w:p>
      <w:pPr>
        <w:ind w:left="9820"/>
        <w:spacing w:after="0"/>
        <w:rPr>
          <w:sz w:val="20"/>
          <w:szCs w:val="20"/>
          <w:color w:val="auto"/>
        </w:rPr>
      </w:pPr>
      <w:r>
        <w:rPr>
          <w:rFonts w:ascii="Times New Roman" w:cs="Times New Roman" w:eastAsia="Times New Roman" w:hAnsi="Times New Roman"/>
          <w:sz w:val="12"/>
          <w:szCs w:val="12"/>
          <w:b w:val="1"/>
          <w:bCs w:val="1"/>
          <w:color w:val="auto"/>
        </w:rPr>
        <w:t>EXHIBIT 13.1</w:t>
      </w:r>
    </w:p>
    <w:p>
      <w:pPr>
        <w:spacing w:after="0" w:line="157"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2"/>
          <w:szCs w:val="12"/>
          <w:b w:val="1"/>
          <w:bCs w:val="1"/>
          <w:color w:val="auto"/>
        </w:rPr>
        <w:t>PRINCIPAL EXECUTIVE OFFICER CERTIFICATION PURSUANT TO 18 U.S.C. SECTION 1350, AS ADOPTED PURSUANT TO SECTION 906 OF THE SARBANES-OXLEY ACT OF 2002</w:t>
      </w:r>
    </w:p>
    <w:p>
      <w:pPr>
        <w:spacing w:after="0" w:line="26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2"/>
          <w:szCs w:val="12"/>
          <w:color w:val="auto"/>
        </w:rPr>
        <w:t>I, Jan G. van de Winkel, President and Chief Executive Officer of Genmab A/S, certify, pursuant to 18 U.S.C. §1350, as adopted pursuant to §906 of the Sarbanes-Oxley Act of 2002, that, to the best of my knowledge:</w:t>
      </w:r>
    </w:p>
    <w:p>
      <w:pPr>
        <w:spacing w:after="0" w:line="108" w:lineRule="exact"/>
        <w:rPr>
          <w:sz w:val="20"/>
          <w:szCs w:val="20"/>
          <w:color w:val="auto"/>
        </w:rPr>
      </w:pPr>
    </w:p>
    <w:p>
      <w:pPr>
        <w:ind w:left="460" w:firstLine="231"/>
        <w:spacing w:after="0" w:line="287" w:lineRule="auto"/>
        <w:tabs>
          <w:tab w:leader="none" w:pos="907" w:val="left"/>
        </w:tabs>
        <w:numPr>
          <w:ilvl w:val="0"/>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on Form 20-F of Genmab A/S for the period ended December 31, 2025 (the “Report”) fully complies with the requirements of Section 13(a) or 15(d) of the Securities Exchange Act of 1934, as amended; and</w:t>
      </w:r>
    </w:p>
    <w:p>
      <w:pPr>
        <w:spacing w:after="0" w:line="107"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0"/>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Genmab A/S.</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February 17, 2026</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Jan G. van de Winkel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AMERICAS/2017215013.2</w:t>
      </w:r>
    </w:p>
    <w:p>
      <w:pPr>
        <w:sectPr>
          <w:pgSz w:w="11900" w:h="16840" w:orient="portrait"/>
          <w:cols w:equalWidth="0" w:num="1">
            <w:col w:w="10620"/>
          </w:cols>
          <w:pgMar w:left="640" w:top="1281" w:right="640" w:bottom="1440" w:gutter="0" w:footer="0" w:header="0"/>
        </w:sectPr>
      </w:pPr>
    </w:p>
    <w:bookmarkStart w:id="684" w:name="page685"/>
    <w:bookmarkEnd w:id="684"/>
    <w:p>
      <w:pPr>
        <w:ind w:left="9820"/>
        <w:spacing w:after="0"/>
        <w:rPr>
          <w:sz w:val="20"/>
          <w:szCs w:val="20"/>
          <w:color w:val="auto"/>
        </w:rPr>
      </w:pPr>
      <w:r>
        <w:rPr>
          <w:rFonts w:ascii="Times New Roman" w:cs="Times New Roman" w:eastAsia="Times New Roman" w:hAnsi="Times New Roman"/>
          <w:sz w:val="12"/>
          <w:szCs w:val="12"/>
          <w:b w:val="1"/>
          <w:bCs w:val="1"/>
          <w:color w:val="auto"/>
        </w:rPr>
        <w:t>EXHIBIT 13.2</w:t>
      </w:r>
    </w:p>
    <w:p>
      <w:pPr>
        <w:spacing w:after="0" w:line="157"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2"/>
          <w:szCs w:val="12"/>
          <w:b w:val="1"/>
          <w:bCs w:val="1"/>
          <w:color w:val="auto"/>
        </w:rPr>
        <w:t>PRINCIPAL FINANCIAL OFFICER CERTIFICATION PURSUANT TO 18 U.S.C. SECTION 1350, AS ADOPTED PURSUANT TO SECTION 906 OF THE SARBANES-OXLEY ACT OF 2002</w:t>
      </w:r>
    </w:p>
    <w:p>
      <w:pPr>
        <w:spacing w:after="0" w:line="26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2"/>
          <w:szCs w:val="12"/>
          <w:color w:val="auto"/>
        </w:rPr>
        <w:t>I, Anthony Pagano, Executive Vice President and Chief Financial Officer of Genmab A/S, hereby certify, pursuant to 18 U.S.C. § 1350, as adopted pursuant to § 906 of the Sarbanes-Oxley Act of 2002, that, to the best of my knowledge:</w:t>
      </w:r>
    </w:p>
    <w:p>
      <w:pPr>
        <w:spacing w:after="0" w:line="108" w:lineRule="exact"/>
        <w:rPr>
          <w:sz w:val="20"/>
          <w:szCs w:val="20"/>
          <w:color w:val="auto"/>
        </w:rPr>
      </w:pPr>
    </w:p>
    <w:p>
      <w:pPr>
        <w:ind w:left="460" w:firstLine="231"/>
        <w:spacing w:after="0" w:line="287" w:lineRule="auto"/>
        <w:tabs>
          <w:tab w:leader="none" w:pos="907" w:val="left"/>
        </w:tabs>
        <w:numPr>
          <w:ilvl w:val="0"/>
          <w:numId w:val="7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on Form 20-F of Genmab A/S for the period ended December 31, 2025 (the “Report”) fully complies with the requirements of Section 13(a) or 15(d) of the Securities Exchange Act of 1934, as amended; and</w:t>
      </w:r>
    </w:p>
    <w:p>
      <w:pPr>
        <w:spacing w:after="0" w:line="107" w:lineRule="exact"/>
        <w:rPr>
          <w:rFonts w:ascii="Times New Roman" w:cs="Times New Roman" w:eastAsia="Times New Roman" w:hAnsi="Times New Roman"/>
          <w:sz w:val="12"/>
          <w:szCs w:val="12"/>
          <w:color w:val="auto"/>
        </w:rPr>
      </w:pPr>
    </w:p>
    <w:p>
      <w:pPr>
        <w:ind w:left="920" w:hanging="229"/>
        <w:spacing w:after="0"/>
        <w:tabs>
          <w:tab w:leader="none" w:pos="920" w:val="left"/>
        </w:tabs>
        <w:numPr>
          <w:ilvl w:val="0"/>
          <w:numId w:val="7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Genmab A/S.</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February 17, 2026</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Anthony Pagano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AMERICAS/2017215013.2</w:t>
      </w:r>
    </w:p>
    <w:p>
      <w:pPr>
        <w:sectPr>
          <w:pgSz w:w="11900" w:h="16840" w:orient="portrait"/>
          <w:cols w:equalWidth="0" w:num="1">
            <w:col w:w="10620"/>
          </w:cols>
          <w:pgMar w:left="640" w:top="1281" w:right="640" w:bottom="1440" w:gutter="0" w:footer="0" w:header="0"/>
        </w:sectPr>
      </w:pPr>
    </w:p>
    <w:bookmarkStart w:id="685" w:name="page686"/>
    <w:bookmarkEnd w:id="685"/>
    <w:p>
      <w:pPr>
        <w:jc w:val="right"/>
        <w:spacing w:after="0"/>
        <w:rPr>
          <w:sz w:val="20"/>
          <w:szCs w:val="20"/>
          <w:color w:val="auto"/>
        </w:rPr>
      </w:pPr>
      <w:r>
        <w:rPr>
          <w:rFonts w:ascii="Times New Roman" w:cs="Times New Roman" w:eastAsia="Times New Roman" w:hAnsi="Times New Roman"/>
          <w:sz w:val="12"/>
          <w:szCs w:val="12"/>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2"/>
          <w:szCs w:val="12"/>
          <w:color w:val="auto"/>
        </w:rPr>
        <w:t>We consent to the incorporation by reference in Registration Statement Nos. 333-232693, 333-253519, 333-262970, 333-277273 and 333-284876 on Form S -8 of our reports dated February 17, 2026, relating to the financial statements of Genmab A/S and the effectiveness of Genmab A/S internal control over financial reporting appearing in this Annual Report on Form 20-F for the year ended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Statsautoriseret Revisionspartnerselskab</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Copenhagen, Denmark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17, 2026</w:t>
      </w:r>
    </w:p>
    <w:p>
      <w:pPr>
        <w:sectPr>
          <w:pgSz w:w="11900" w:h="16840" w:orient="portrait"/>
          <w:cols w:equalWidth="0" w:num="1">
            <w:col w:w="10600"/>
          </w:cols>
          <w:pgMar w:left="640" w:top="557" w:right="660" w:bottom="1440" w:gutter="0" w:footer="0" w:header="0"/>
        </w:sectPr>
      </w:pPr>
    </w:p>
    <w:bookmarkStart w:id="686" w:name="page687"/>
    <w:bookmarkEnd w:id="686"/>
    <w:p>
      <w:pPr>
        <w:jc w:val="right"/>
        <w:spacing w:after="0"/>
        <w:rPr>
          <w:sz w:val="20"/>
          <w:szCs w:val="20"/>
          <w:color w:val="auto"/>
        </w:rPr>
      </w:pPr>
      <w:r>
        <w:rPr>
          <w:rFonts w:ascii="Times New Roman" w:cs="Times New Roman" w:eastAsia="Times New Roman" w:hAnsi="Times New Roman"/>
          <w:sz w:val="12"/>
          <w:szCs w:val="12"/>
          <w:b w:val="1"/>
          <w:bCs w:val="1"/>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Statements on Form S-8 (Nos. 333 -232693, 333-253519, 333-262970, 333-277273 and 333-284876) of Genmab A/S of our report dated February 14, 2024, except for the revisions in Notes 1.4 and 4.5, as to which the date is February 12, 2025, and the changes in presentation currency and reclassifications in Notes 1.1, 1.4, 4.2 and 4.5, as to which the date is November 6, 2025, relating to the consolidated financial statements, which appears in this Form 20-F.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Statsautoriseret Revisionspartnerselskab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Hellerup, Denmark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17, 2026</w:t>
      </w:r>
    </w:p>
    <w:p>
      <w:pPr>
        <w:sectPr>
          <w:pgSz w:w="11900" w:h="16840" w:orient="portrait"/>
          <w:cols w:equalWidth="0" w:num="1">
            <w:col w:w="10600"/>
          </w:cols>
          <w:pgMar w:left="640" w:top="557" w:right="660" w:bottom="1440" w:gutter="0" w:footer="0" w:header="0"/>
        </w:sectPr>
      </w:pPr>
    </w:p>
    <w:bookmarkStart w:id="687" w:name="page688"/>
    <w:bookmarkEnd w:id="68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8FA8D0D"/>
    <w:multiLevelType w:val="hybridMultilevel"/>
    <w:lvl w:ilvl="0">
      <w:lvlJc w:val="left"/>
      <w:lvlText w:val="S"/>
      <w:numFmt w:val="bullet"/>
      <w:start w:val="1"/>
    </w:lvl>
  </w:abstractNum>
  <w:abstractNum w:abstractNumId="1">
    <w:nsid w:val="40F2CBD2"/>
    <w:multiLevelType w:val="hybridMultilevel"/>
    <w:lvl w:ilvl="0">
      <w:lvlJc w:val="left"/>
      <w:lvlText w:val="*"/>
      <w:numFmt w:val="bullet"/>
      <w:start w:val="1"/>
    </w:lvl>
  </w:abstractNum>
  <w:abstractNum w:abstractNumId="2">
    <w:nsid w:val="3BD615EB"/>
    <w:multiLevelType w:val="hybridMultilevel"/>
    <w:lvl w:ilvl="0">
      <w:lvlJc w:val="left"/>
      <w:lvlText w:val="†"/>
      <w:numFmt w:val="bullet"/>
      <w:start w:val="1"/>
    </w:lvl>
  </w:abstractNum>
  <w:abstractNum w:abstractNumId="3">
    <w:nsid w:val="A045AB2"/>
    <w:multiLevelType w:val="hybridMultilevel"/>
    <w:lvl w:ilvl="0">
      <w:lvlJc w:val="left"/>
      <w:lvlText w:val="%1."/>
      <w:numFmt w:val="upperLetter"/>
      <w:start w:val="4"/>
    </w:lvl>
  </w:abstractNum>
  <w:abstractNum w:abstractNumId="4">
    <w:nsid w:val="1872261F"/>
    <w:multiLevelType w:val="hybridMultilevel"/>
    <w:lvl w:ilvl="0">
      <w:lvlJc w:val="left"/>
      <w:lvlText w:val="%1"/>
      <w:numFmt w:val="upperLetter"/>
      <w:start w:val="61"/>
    </w:lvl>
  </w:abstractNum>
  <w:abstractNum w:abstractNumId="5">
    <w:nsid w:val="3DE8306C"/>
    <w:multiLevelType w:val="hybridMultilevel"/>
    <w:lvl w:ilvl="0">
      <w:lvlJc w:val="left"/>
      <w:lvlText w:val="(%1)"/>
      <w:numFmt w:val="lowerRoman"/>
      <w:start w:val="1"/>
    </w:lvl>
  </w:abstractNum>
  <w:abstractNum w:abstractNumId="6">
    <w:nsid w:val="7631573A"/>
    <w:multiLevelType w:val="hybridMultilevel"/>
    <w:lvl w:ilvl="0">
      <w:lvlJc w:val="left"/>
      <w:lvlText w:val="\endash "/>
      <w:numFmt w:val="bullet"/>
      <w:start w:val="1"/>
    </w:lvl>
  </w:abstractNum>
  <w:abstractNum w:abstractNumId="7">
    <w:nsid w:val="58DF53B"/>
    <w:multiLevelType w:val="hybridMultilevel"/>
    <w:lvl w:ilvl="0">
      <w:lvlJc w:val="left"/>
      <w:lvlText w:val="%1."/>
      <w:numFmt w:val="upperLetter"/>
      <w:start w:val="2"/>
    </w:lvl>
  </w:abstractNum>
  <w:abstractNum w:abstractNumId="8">
    <w:nsid w:val="ACDFAC0"/>
    <w:multiLevelType w:val="hybridMultilevel"/>
    <w:lvl w:ilvl="0">
      <w:lvlJc w:val="left"/>
      <w:lvlText w:val="•"/>
      <w:numFmt w:val="bullet"/>
      <w:start w:val="1"/>
    </w:lvl>
  </w:abstractNum>
  <w:abstractNum w:abstractNumId="9">
    <w:nsid w:val="1F578454"/>
    <w:multiLevelType w:val="hybridMultilevel"/>
    <w:lvl w:ilvl="0">
      <w:lvlJc w:val="left"/>
      <w:lvlText w:val="•"/>
      <w:numFmt w:val="bullet"/>
      <w:start w:val="1"/>
    </w:lvl>
  </w:abstractNum>
  <w:abstractNum w:abstractNumId="10">
    <w:nsid w:val="5B0DAD2A"/>
    <w:multiLevelType w:val="hybridMultilevel"/>
    <w:lvl w:ilvl="0">
      <w:lvlJc w:val="left"/>
      <w:lvlText w:val="%1."/>
      <w:numFmt w:val="upperLetter"/>
      <w:start w:val="2"/>
    </w:lvl>
  </w:abstractNum>
  <w:abstractNum w:abstractNumId="11">
    <w:nsid w:val="4E3D26AB"/>
    <w:multiLevelType w:val="hybridMultilevel"/>
    <w:lvl w:ilvl="0">
      <w:lvlJc w:val="left"/>
      <w:lvlText w:val="%1."/>
      <w:numFmt w:val="upperLetter"/>
      <w:start w:val="5"/>
    </w:lvl>
  </w:abstractNum>
  <w:abstractNum w:abstractNumId="12">
    <w:nsid w:val="BE2C8BA"/>
    <w:multiLevelType w:val="hybridMultilevel"/>
    <w:lvl w:ilvl="0">
      <w:lvlJc w:val="left"/>
      <w:lvlText w:val="%1."/>
      <w:numFmt w:val="upperLetter"/>
      <w:start w:val="1"/>
    </w:lvl>
  </w:abstractNum>
  <w:abstractNum w:abstractNumId="13">
    <w:nsid w:val="7B14914E"/>
    <w:multiLevelType w:val="hybridMultilevel"/>
    <w:lvl w:ilvl="0">
      <w:lvlJc w:val="left"/>
      <w:lvlText w:val="%1."/>
      <w:numFmt w:val="upperLetter"/>
      <w:start w:val="3"/>
    </w:lvl>
  </w:abstractNum>
  <w:abstractNum w:abstractNumId="14">
    <w:nsid w:val="6F0939F8"/>
    <w:multiLevelType w:val="hybridMultilevel"/>
    <w:lvl w:ilvl="0">
      <w:lvlJc w:val="left"/>
      <w:lvlText w:val="(%1)"/>
      <w:numFmt w:val="lowerRoman"/>
      <w:start w:val="3"/>
    </w:lvl>
  </w:abstractNum>
  <w:abstractNum w:abstractNumId="15">
    <w:nsid w:val="154291F6"/>
    <w:multiLevelType w:val="hybridMultilevel"/>
    <w:lvl w:ilvl="0">
      <w:lvlJc w:val="left"/>
      <w:lvlText w:val="%1."/>
      <w:numFmt w:val="upperLetter"/>
      <w:start w:val="6"/>
    </w:lvl>
  </w:abstractNum>
  <w:abstractNum w:abstractNumId="16">
    <w:nsid w:val="3CEBD7C7"/>
    <w:multiLevelType w:val="hybridMultilevel"/>
    <w:lvl w:ilvl="0">
      <w:lvlJc w:val="left"/>
      <w:lvlText w:val="%1."/>
      <w:numFmt w:val="upperLetter"/>
      <w:start w:val="3"/>
    </w:lvl>
  </w:abstractNum>
  <w:abstractNum w:abstractNumId="17">
    <w:nsid w:val="60EE9C16"/>
    <w:multiLevelType w:val="hybridMultilevel"/>
    <w:lvl w:ilvl="0">
      <w:lvlJc w:val="left"/>
      <w:lvlText w:val="%1."/>
      <w:numFmt w:val="upperLetter"/>
      <w:start w:val="1"/>
    </w:lvl>
  </w:abstractNum>
  <w:abstractNum w:abstractNumId="18">
    <w:nsid w:val="6385489E"/>
    <w:multiLevelType w:val="hybridMultilevel"/>
    <w:lvl w:ilvl="0">
      <w:lvlJc w:val="left"/>
      <w:lvlText w:val="%1."/>
      <w:numFmt w:val="upperLetter"/>
      <w:start w:val="2"/>
    </w:lvl>
  </w:abstractNum>
  <w:abstractNum w:abstractNumId="19">
    <w:nsid w:val="E4B973"/>
    <w:multiLevelType w:val="hybridMultilevel"/>
    <w:lvl w:ilvl="0">
      <w:lvlJc w:val="left"/>
      <w:lvlText w:val="%1."/>
      <w:numFmt w:val="upperLetter"/>
      <w:start w:val="4"/>
    </w:lvl>
  </w:abstractNum>
  <w:abstractNum w:abstractNumId="20">
    <w:nsid w:val="4A0FFA11"/>
    <w:multiLevelType w:val="hybridMultilevel"/>
    <w:lvl w:ilvl="0">
      <w:lvlJc w:val="left"/>
      <w:lvlText w:val="%1."/>
      <w:numFmt w:val="upperLetter"/>
      <w:start w:val="6"/>
    </w:lvl>
  </w:abstractNum>
  <w:abstractNum w:abstractNumId="21">
    <w:nsid w:val="5E446208"/>
    <w:multiLevelType w:val="hybridMultilevel"/>
    <w:lvl w:ilvl="0">
      <w:lvlJc w:val="left"/>
      <w:lvlText w:val="%1."/>
      <w:numFmt w:val="upperLetter"/>
      <w:start w:val="5"/>
    </w:lvl>
  </w:abstractNum>
  <w:abstractNum w:abstractNumId="22">
    <w:nsid w:val="5F3272DB"/>
    <w:multiLevelType w:val="hybridMultilevel"/>
    <w:lvl w:ilvl="0">
      <w:lvlJc w:val="left"/>
      <w:lvlText w:val="%1."/>
      <w:numFmt w:val="upperLetter"/>
      <w:start w:val="6"/>
    </w:lvl>
  </w:abstractNum>
  <w:abstractNum w:abstractNumId="23">
    <w:nsid w:val="7616D704"/>
    <w:multiLevelType w:val="hybridMultilevel"/>
    <w:lvl w:ilvl="0">
      <w:lvlJc w:val="left"/>
      <w:lvlText w:val="%1."/>
      <w:numFmt w:val="upperLetter"/>
      <w:start w:val="9"/>
    </w:lvl>
  </w:abstractNum>
  <w:abstractNum w:abstractNumId="24">
    <w:nsid w:val="C56F860"/>
    <w:multiLevelType w:val="hybridMultilevel"/>
    <w:lvl w:ilvl="0">
      <w:lvlJc w:val="left"/>
      <w:lvlText w:val="†"/>
      <w:numFmt w:val="bullet"/>
      <w:start w:val="1"/>
    </w:lvl>
  </w:abstractNum>
  <w:abstractNum w:abstractNumId="25">
    <w:nsid w:val="64D17722"/>
    <w:multiLevelType w:val="hybridMultilevel"/>
    <w:lvl w:ilvl="0">
      <w:lvlJc w:val="left"/>
      <w:lvlText w:val="%1."/>
      <w:numFmt w:val="decimal"/>
      <w:start w:val="1"/>
    </w:lvl>
  </w:abstractNum>
  <w:abstractNum w:abstractNumId="26">
    <w:nsid w:val="7924CA0A"/>
    <w:multiLevelType w:val="hybridMultilevel"/>
    <w:lvl w:ilvl="0">
      <w:lvlJc w:val="left"/>
      <w:lvlText w:val="%1:"/>
      <w:numFmt w:val="upperLetter"/>
      <w:start w:val="20"/>
    </w:lvl>
  </w:abstractNum>
  <w:abstractNum w:abstractNumId="27">
    <w:nsid w:val="CFD4EA7"/>
    <w:multiLevelType w:val="hybridMultilevel"/>
    <w:lvl w:ilvl="0">
      <w:lvlJc w:val="left"/>
      <w:lvlText w:val="%1:"/>
      <w:numFmt w:val="upperLetter"/>
      <w:start w:val="20"/>
    </w:lvl>
  </w:abstractNum>
  <w:abstractNum w:abstractNumId="28">
    <w:nsid w:val="232FCF4D"/>
    <w:multiLevelType w:val="hybridMultilevel"/>
    <w:lvl w:ilvl="0">
      <w:lvlJc w:val="left"/>
      <w:lvlText w:val="%1."/>
      <w:numFmt w:val="decimal"/>
      <w:start w:val="1"/>
    </w:lvl>
  </w:abstractNum>
  <w:abstractNum w:abstractNumId="29">
    <w:nsid w:val="1EA21031"/>
    <w:multiLevelType w:val="hybridMultilevel"/>
    <w:lvl w:ilvl="0">
      <w:lvlJc w:val="left"/>
      <w:lvlText w:val="%1."/>
      <w:numFmt w:val="decimal"/>
      <w:start w:val="1"/>
    </w:lvl>
  </w:abstractNum>
  <w:abstractNum w:abstractNumId="30">
    <w:nsid w:val="67A5A6B5"/>
    <w:multiLevelType w:val="hybridMultilevel"/>
    <w:lvl w:ilvl="0">
      <w:lvlJc w:val="left"/>
      <w:lvlText w:val="%1."/>
      <w:numFmt w:val="decimal"/>
      <w:start w:val="1"/>
    </w:lvl>
  </w:abstractNum>
  <w:abstractNum w:abstractNumId="31">
    <w:nsid w:val="C2A5C5B"/>
    <w:multiLevelType w:val="hybridMultilevel"/>
    <w:lvl w:ilvl="0">
      <w:lvlJc w:val="left"/>
      <w:lvlText w:val="%1."/>
      <w:numFmt w:val="decimal"/>
      <w:start w:val="1"/>
    </w:lvl>
  </w:abstractNum>
  <w:abstractNum w:abstractNumId="32">
    <w:nsid w:val="5F94DC03"/>
    <w:multiLevelType w:val="hybridMultilevel"/>
    <w:lvl w:ilvl="0">
      <w:lvlJc w:val="left"/>
      <w:lvlText w:val="%1."/>
      <w:numFmt w:val="decimal"/>
      <w:start w:val="1"/>
    </w:lvl>
  </w:abstractNum>
  <w:abstractNum w:abstractNumId="33">
    <w:nsid w:val="237BBCA0"/>
    <w:multiLevelType w:val="hybridMultilevel"/>
    <w:lvl w:ilvl="0">
      <w:lvlJc w:val="left"/>
      <w:lvlText w:val="%1."/>
      <w:numFmt w:val="decimal"/>
      <w:start w:val="1"/>
    </w:lvl>
  </w:abstractNum>
  <w:abstractNum w:abstractNumId="34">
    <w:nsid w:val="162EB70D"/>
    <w:multiLevelType w:val="hybridMultilevel"/>
    <w:lvl w:ilvl="0">
      <w:lvlJc w:val="left"/>
      <w:lvlText w:val="%1."/>
      <w:numFmt w:val="decimal"/>
      <w:start w:val="1"/>
    </w:lvl>
  </w:abstractNum>
  <w:abstractNum w:abstractNumId="35">
    <w:nsid w:val="78070222"/>
    <w:multiLevelType w:val="hybridMultilevel"/>
    <w:lvl w:ilvl="0">
      <w:lvlJc w:val="left"/>
      <w:lvlText w:val="%1."/>
      <w:numFmt w:val="decimal"/>
      <w:start w:val="1"/>
    </w:lvl>
  </w:abstractNum>
  <w:abstractNum w:abstractNumId="36">
    <w:nsid w:val="6163ED0D"/>
    <w:multiLevelType w:val="hybridMultilevel"/>
    <w:lvl w:ilvl="0">
      <w:lvlJc w:val="left"/>
      <w:lvlText w:val="%1."/>
      <w:numFmt w:val="decimal"/>
      <w:start w:val="1"/>
    </w:lvl>
  </w:abstractNum>
  <w:abstractNum w:abstractNumId="37">
    <w:nsid w:val="C600E47"/>
    <w:multiLevelType w:val="hybridMultilevel"/>
    <w:lvl w:ilvl="0">
      <w:lvlJc w:val="left"/>
      <w:lvlText w:val="%1."/>
      <w:numFmt w:val="decimal"/>
      <w:start w:val="1"/>
    </w:lvl>
  </w:abstractNum>
  <w:abstractNum w:abstractNumId="38">
    <w:nsid w:val="7D94F75D"/>
    <w:multiLevelType w:val="hybridMultilevel"/>
    <w:lvl w:ilvl="0">
      <w:lvlJc w:val="left"/>
      <w:lvlText w:val="a"/>
      <w:numFmt w:val="bullet"/>
      <w:start w:val="1"/>
    </w:lvl>
  </w:abstractNum>
  <w:abstractNum w:abstractNumId="39">
    <w:nsid w:val="6C31E7CD"/>
    <w:multiLevelType w:val="hybridMultilevel"/>
    <w:lvl w:ilvl="0">
      <w:lvlJc w:val="left"/>
      <w:lvlText w:val="%1."/>
      <w:numFmt w:val="decimal"/>
      <w:start w:val="1"/>
    </w:lvl>
  </w:abstractNum>
  <w:abstractNum w:abstractNumId="40">
    <w:nsid w:val="2BB7929B"/>
    <w:multiLevelType w:val="hybridMultilevel"/>
    <w:lvl w:ilvl="0">
      <w:lvlJc w:val="left"/>
      <w:lvlText w:val="%1."/>
      <w:numFmt w:val="decimal"/>
      <w:start w:val="1"/>
    </w:lvl>
  </w:abstractNum>
  <w:abstractNum w:abstractNumId="41">
    <w:nsid w:val="58A2A487"/>
    <w:multiLevelType w:val="hybridMultilevel"/>
    <w:lvl w:ilvl="0">
      <w:lvlJc w:val="left"/>
      <w:lvlText w:val="%1."/>
      <w:numFmt w:val="decimal"/>
      <w:start w:val="1"/>
    </w:lvl>
  </w:abstractNum>
  <w:abstractNum w:abstractNumId="42">
    <w:nsid w:val="3A6F0E78"/>
    <w:multiLevelType w:val="hybridMultilevel"/>
    <w:lvl w:ilvl="0">
      <w:lvlJc w:val="left"/>
      <w:lvlText w:val="%1."/>
      <w:numFmt w:val="decimal"/>
      <w:start w:val="1"/>
    </w:lvl>
  </w:abstractNum>
  <w:abstractNum w:abstractNumId="43">
    <w:nsid w:val="379A5B56"/>
    <w:multiLevelType w:val="hybridMultilevel"/>
    <w:lvl w:ilvl="0">
      <w:lvlJc w:val="left"/>
      <w:lvlText w:val="%1."/>
      <w:numFmt w:val="decimal"/>
      <w:start w:val="1"/>
    </w:lvl>
  </w:abstractNum>
  <w:abstractNum w:abstractNumId="44">
    <w:nsid w:val="53B735D5"/>
    <w:multiLevelType w:val="hybridMultilevel"/>
    <w:lvl w:ilvl="0">
      <w:lvlJc w:val="left"/>
      <w:lvlText w:val="\endash "/>
      <w:numFmt w:val="bullet"/>
      <w:start w:val="1"/>
    </w:lvl>
  </w:abstractNum>
  <w:abstractNum w:abstractNumId="45">
    <w:nsid w:val="29784870"/>
    <w:multiLevelType w:val="hybridMultilevel"/>
    <w:lvl w:ilvl="0">
      <w:lvlJc w:val="left"/>
      <w:lvlText w:val="(%1)"/>
      <w:numFmt w:val="decimal"/>
      <w:start w:val="1"/>
    </w:lvl>
  </w:abstractNum>
  <w:abstractNum w:abstractNumId="46">
    <w:nsid w:val="4CDCED4C"/>
    <w:multiLevelType w:val="hybridMultilevel"/>
    <w:lvl w:ilvl="0">
      <w:lvlJc w:val="left"/>
      <w:lvlText w:val="(%1)"/>
      <w:numFmt w:val="decimal"/>
      <w:start w:val="2"/>
    </w:lvl>
  </w:abstractNum>
  <w:abstractNum w:abstractNumId="47">
    <w:nsid w:val="10A30D9C"/>
    <w:multiLevelType w:val="hybridMultilevel"/>
    <w:lvl w:ilvl="0">
      <w:lvlJc w:val="left"/>
      <w:lvlText w:val="(%1)"/>
      <w:numFmt w:val="decimal"/>
      <w:start w:val="3"/>
    </w:lvl>
  </w:abstractNum>
  <w:abstractNum w:abstractNumId="48">
    <w:nsid w:val="A66E486"/>
    <w:multiLevelType w:val="hybridMultilevel"/>
    <w:lvl w:ilvl="0">
      <w:lvlJc w:val="left"/>
      <w:lvlText w:val="(%1)"/>
      <w:numFmt w:val="decimal"/>
      <w:start w:val="4"/>
    </w:lvl>
    <w:lvl w:ilvl="1">
      <w:lvlJc w:val="left"/>
      <w:lvlText w:val="(%2)"/>
      <w:numFmt w:val="lowerLetter"/>
      <w:start w:val="1"/>
    </w:lvl>
  </w:abstractNum>
  <w:abstractNum w:abstractNumId="49">
    <w:nsid w:val="306235EA"/>
    <w:multiLevelType w:val="hybridMultilevel"/>
    <w:lvl w:ilvl="0">
      <w:lvlJc w:val="left"/>
      <w:lvlText w:val="(%1)"/>
      <w:numFmt w:val="decimal"/>
      <w:start w:val="1"/>
    </w:lvl>
  </w:abstractNum>
  <w:abstractNum w:abstractNumId="50">
    <w:nsid w:val="1187C70F"/>
    <w:multiLevelType w:val="hybridMultilevel"/>
    <w:lvl w:ilvl="0">
      <w:lvlJc w:val="left"/>
      <w:lvlText w:val="(%1)"/>
      <w:numFmt w:val="lowerLetter"/>
      <w:start w:val="1"/>
    </w:lvl>
  </w:abstractNum>
  <w:abstractNum w:abstractNumId="51">
    <w:nsid w:val="5476DE98"/>
    <w:multiLevelType w:val="hybridMultilevel"/>
    <w:lvl w:ilvl="0">
      <w:lvlJc w:val="left"/>
      <w:lvlText w:val="(%1)"/>
      <w:numFmt w:val="lowerLetter"/>
      <w:start w:val="3"/>
    </w:lvl>
  </w:abstractNum>
  <w:abstractNum w:abstractNumId="52">
    <w:nsid w:val="EA697F2"/>
    <w:multiLevelType w:val="hybridMultilevel"/>
    <w:lvl w:ilvl="0">
      <w:lvlJc w:val="left"/>
      <w:lvlText w:val="(%1)"/>
      <w:numFmt w:val="lowerLetter"/>
      <w:start w:val="13"/>
    </w:lvl>
  </w:abstractNum>
  <w:abstractNum w:abstractNumId="53">
    <w:nsid w:val="70BA39EB"/>
    <w:multiLevelType w:val="hybridMultilevel"/>
    <w:lvl w:ilvl="0">
      <w:lvlJc w:val="left"/>
      <w:lvlText w:val="(%1)"/>
      <w:numFmt w:val="decimal"/>
      <w:start w:val="1"/>
    </w:lvl>
  </w:abstractNum>
  <w:abstractNum w:abstractNumId="54">
    <w:nsid w:val="4A8DB59C"/>
    <w:multiLevelType w:val="hybridMultilevel"/>
    <w:lvl w:ilvl="0">
      <w:lvlJc w:val="left"/>
      <w:lvlText w:val="(%1)"/>
      <w:numFmt w:val="decimal"/>
      <w:start w:val="5"/>
    </w:lvl>
  </w:abstractNum>
  <w:abstractNum w:abstractNumId="55">
    <w:nsid w:val="1AFD9053"/>
    <w:multiLevelType w:val="hybridMultilevel"/>
    <w:lvl w:ilvl="0">
      <w:lvlJc w:val="left"/>
      <w:lvlText w:val="(%1)"/>
      <w:numFmt w:val="decimal"/>
      <w:start w:val="8"/>
    </w:lvl>
  </w:abstractNum>
  <w:abstractNum w:abstractNumId="56">
    <w:nsid w:val="558BB10D"/>
    <w:multiLevelType w:val="hybridMultilevel"/>
    <w:lvl w:ilvl="0">
      <w:lvlJc w:val="left"/>
      <w:lvlText w:val="(%1)"/>
      <w:numFmt w:val="decimal"/>
      <w:start w:val="15"/>
    </w:lvl>
  </w:abstractNum>
  <w:abstractNum w:abstractNumId="57">
    <w:nsid w:val="43B27FA7"/>
    <w:multiLevelType w:val="hybridMultilevel"/>
    <w:lvl w:ilvl="0">
      <w:lvlJc w:val="left"/>
      <w:lvlText w:val="(%1)"/>
      <w:numFmt w:val="decimal"/>
      <w:start w:val="17"/>
    </w:lvl>
  </w:abstractNum>
  <w:abstractNum w:abstractNumId="58">
    <w:nsid w:val="27FADEFA"/>
    <w:multiLevelType w:val="hybridMultilevel"/>
    <w:lvl w:ilvl="0">
      <w:lvlJc w:val="left"/>
      <w:lvlText w:val="%1"/>
      <w:numFmt w:val="lowerLetter"/>
      <w:start w:val="1"/>
    </w:lvl>
    <w:lvl w:ilvl="1">
      <w:lvlJc w:val="left"/>
      <w:lvlText w:val="(%2)"/>
      <w:numFmt w:val="decimal"/>
      <w:start w:val="20"/>
    </w:lvl>
  </w:abstractNum>
  <w:abstractNum w:abstractNumId="59">
    <w:nsid w:val="78BB805A"/>
    <w:multiLevelType w:val="hybridMultilevel"/>
    <w:lvl w:ilvl="0">
      <w:lvlJc w:val="left"/>
      <w:lvlText w:val="(%1)"/>
      <w:numFmt w:val="lowerLetter"/>
      <w:start w:val="2"/>
    </w:lvl>
    <w:lvl w:ilvl="1">
      <w:lvlJc w:val="left"/>
      <w:lvlText w:val="(%2)"/>
      <w:numFmt w:val="decimal"/>
      <w:start w:val="24"/>
    </w:lvl>
  </w:abstractNum>
  <w:abstractNum w:abstractNumId="60">
    <w:nsid w:val="62548FD8"/>
    <w:multiLevelType w:val="hybridMultilevel"/>
    <w:lvl w:ilvl="0">
      <w:lvlJc w:val="left"/>
      <w:lvlText w:val="(%1)"/>
      <w:numFmt w:val="decimal"/>
      <w:start w:val="26"/>
    </w:lvl>
  </w:abstractNum>
  <w:abstractNum w:abstractNumId="61">
    <w:nsid w:val="FA085B0"/>
    <w:multiLevelType w:val="hybridMultilevel"/>
    <w:lvl w:ilvl="0">
      <w:lvlJc w:val="left"/>
      <w:lvlText w:val="(%1)"/>
      <w:numFmt w:val="upperLetter"/>
      <w:start w:val="3"/>
    </w:lvl>
  </w:abstractNum>
  <w:abstractNum w:abstractNumId="62">
    <w:nsid w:val="4E5DCB5"/>
    <w:multiLevelType w:val="hybridMultilevel"/>
    <w:lvl w:ilvl="0">
      <w:lvlJc w:val="left"/>
      <w:lvlText w:val="(%1)"/>
      <w:numFmt w:val="decimal"/>
      <w:start w:val="35"/>
    </w:lvl>
  </w:abstractNum>
  <w:abstractNum w:abstractNumId="63">
    <w:nsid w:val="41E96BDB"/>
    <w:multiLevelType w:val="hybridMultilevel"/>
    <w:lvl w:ilvl="0">
      <w:lvlJc w:val="left"/>
      <w:lvlText w:val="(%1)"/>
      <w:numFmt w:val="decimal"/>
      <w:start w:val="36"/>
    </w:lvl>
    <w:lvl w:ilvl="1">
      <w:lvlJc w:val="left"/>
      <w:lvlText w:val="(%2)"/>
      <w:numFmt w:val="upperLetter"/>
      <w:start w:val="1"/>
    </w:lvl>
  </w:abstractNum>
  <w:abstractNum w:abstractNumId="64">
    <w:nsid w:val="331C4250"/>
    <w:multiLevelType w:val="hybridMultilevel"/>
    <w:lvl w:ilvl="0">
      <w:lvlJc w:val="left"/>
      <w:lvlText w:val="(%1)"/>
      <w:numFmt w:val="decimal"/>
      <w:start w:val="40"/>
    </w:lvl>
  </w:abstractNum>
  <w:abstractNum w:abstractNumId="65">
    <w:nsid w:val="1B1493C2"/>
    <w:multiLevelType w:val="hybridMultilevel"/>
    <w:lvl w:ilvl="0">
      <w:lvlJc w:val="left"/>
      <w:lvlText w:val="(%1)"/>
      <w:numFmt w:val="decimal"/>
      <w:start w:val="42"/>
    </w:lvl>
  </w:abstractNum>
  <w:abstractNum w:abstractNumId="66">
    <w:nsid w:val="39F06DFD"/>
    <w:multiLevelType w:val="hybridMultilevel"/>
    <w:lvl w:ilvl="0">
      <w:lvlJc w:val="left"/>
      <w:lvlText w:val="(%1)"/>
      <w:numFmt w:val="decimal"/>
      <w:start w:val="45"/>
    </w:lvl>
    <w:lvl w:ilvl="1">
      <w:lvlJc w:val="left"/>
      <w:lvlText w:val="(%2)"/>
      <w:numFmt w:val="lowerLetter"/>
      <w:start w:val="1"/>
    </w:lvl>
  </w:abstractNum>
  <w:abstractNum w:abstractNumId="67">
    <w:nsid w:val="14802F5D"/>
    <w:multiLevelType w:val="hybridMultilevel"/>
    <w:lvl w:ilvl="0">
      <w:lvlJc w:val="left"/>
      <w:lvlText w:val="(%1)"/>
      <w:numFmt w:val="lowerLetter"/>
      <w:start w:val="2"/>
    </w:lvl>
  </w:abstractNum>
  <w:abstractNum w:abstractNumId="68">
    <w:nsid w:val="2774A209"/>
    <w:multiLevelType w:val="hybridMultilevel"/>
    <w:lvl w:ilvl="0">
      <w:lvlJc w:val="left"/>
      <w:lvlText w:val="%1"/>
      <w:numFmt w:val="decimal"/>
      <w:start w:val="1"/>
    </w:lvl>
    <w:lvl w:ilvl="1">
      <w:lvlJc w:val="left"/>
      <w:lvlText w:val="(%2)"/>
      <w:numFmt w:val="lowerLetter"/>
      <w:start w:val="14"/>
    </w:lvl>
  </w:abstractNum>
  <w:abstractNum w:abstractNumId="69">
    <w:nsid w:val="3785655A"/>
    <w:multiLevelType w:val="hybridMultilevel"/>
    <w:lvl w:ilvl="0">
      <w:lvlJc w:val="left"/>
      <w:lvlText w:val="(%1)"/>
      <w:numFmt w:val="decimal"/>
      <w:start w:val="46"/>
    </w:lvl>
    <w:lvl w:ilvl="1">
      <w:lvlJc w:val="left"/>
      <w:lvlText w:val="(%2)"/>
      <w:numFmt w:val="lowerLetter"/>
      <w:start w:val="1"/>
    </w:lvl>
  </w:abstractNum>
  <w:abstractNum w:abstractNumId="70">
    <w:nsid w:val="B2172A"/>
    <w:multiLevelType w:val="hybridMultilevel"/>
    <w:lvl w:ilvl="0">
      <w:lvlJc w:val="left"/>
      <w:lvlText w:val="(%1)"/>
      <w:numFmt w:val="decimal"/>
      <w:start w:val="1"/>
    </w:lvl>
  </w:abstractNum>
  <w:abstractNum w:abstractNumId="71">
    <w:nsid w:val="532C34A5"/>
    <w:multiLevelType w:val="hybridMultilevel"/>
    <w:lvl w:ilvl="0">
      <w:lvlJc w:val="left"/>
      <w:lvlText w:val="(%1)"/>
      <w:numFmt w:val="decimal"/>
      <w:start w:val="4"/>
    </w:lvl>
  </w:abstractNum>
  <w:abstractNum w:abstractNumId="72">
    <w:nsid w:val="102809E2"/>
    <w:multiLevelType w:val="hybridMultilevel"/>
    <w:lvl w:ilvl="0">
      <w:lvlJc w:val="left"/>
      <w:lvlText w:val="(%1)"/>
      <w:numFmt w:val="lowerLetter"/>
      <w:start w:val="1"/>
    </w:lvl>
  </w:abstractNum>
  <w:abstractNum w:abstractNumId="73">
    <w:nsid w:val="3B2125A3"/>
    <w:multiLevelType w:val="hybridMultilevel"/>
    <w:lvl w:ilvl="0">
      <w:lvlJc w:val="left"/>
      <w:lvlText w:val="(%1)"/>
      <w:numFmt w:val="lowerLetter"/>
      <w:start w:val="5"/>
    </w:lvl>
  </w:abstractNum>
  <w:abstractNum w:abstractNumId="74">
    <w:nsid w:val="AC68FFB"/>
    <w:multiLevelType w:val="hybridMultilevel"/>
    <w:lvl w:ilvl="0">
      <w:lvlJc w:val="left"/>
      <w:lvlText w:val="(%1)"/>
      <w:numFmt w:val="decimal"/>
      <w:start w:val="7"/>
    </w:lvl>
  </w:abstractNum>
  <w:abstractNum w:abstractNumId="75">
    <w:nsid w:val="63DF3FB7"/>
    <w:multiLevelType w:val="hybridMultilevel"/>
    <w:lvl w:ilvl="0">
      <w:lvlJc w:val="left"/>
      <w:lvlText w:val="(%1)"/>
      <w:numFmt w:val="lowerRoman"/>
      <w:start w:val="3"/>
    </w:lvl>
  </w:abstractNum>
  <w:abstractNum w:abstractNumId="76">
    <w:nsid w:val="64996E13"/>
    <w:multiLevelType w:val="hybridMultilevel"/>
    <w:lvl w:ilvl="0">
      <w:lvlJc w:val="left"/>
      <w:lvlText w:val="(%1)"/>
      <w:numFmt w:val="decimal"/>
      <w:start w:val="1"/>
    </w:lvl>
    <w:lvl w:ilvl="1">
      <w:lvlJc w:val="left"/>
      <w:lvlText w:val="(%2)"/>
      <w:numFmt w:val="lowerLetter"/>
      <w:start w:val="1"/>
    </w:lvl>
  </w:abstractNum>
  <w:abstractNum w:abstractNumId="77">
    <w:nsid w:val="57A37D47"/>
    <w:multiLevelType w:val="hybridMultilevel"/>
    <w:lvl w:ilvl="0">
      <w:lvlJc w:val="left"/>
      <w:lvlText w:val="(%1)"/>
      <w:numFmt w:val="lowerLetter"/>
      <w:start w:val="25"/>
    </w:lvl>
  </w:abstractNum>
  <w:abstractNum w:abstractNumId="78">
    <w:nsid w:val="74824D54"/>
    <w:multiLevelType w:val="hybridMultilevel"/>
    <w:lvl w:ilvl="0">
      <w:lvlJc w:val="left"/>
      <w:lvlText w:val="(%1)"/>
      <w:numFmt w:val="decimal"/>
      <w:start w:val="3"/>
    </w:lvl>
  </w:abstractNum>
  <w:abstractNum w:abstractNumId="79">
    <w:nsid w:val="6F00529A"/>
    <w:multiLevelType w:val="hybridMultilevel"/>
    <w:lvl w:ilvl="0">
      <w:lvlJc w:val="left"/>
      <w:lvlText w:val="%1"/>
      <w:numFmt w:val="lowerRoman"/>
      <w:start w:val="1"/>
    </w:lvl>
    <w:lvl w:ilvl="1">
      <w:lvlJc w:val="left"/>
      <w:lvlText w:val="(%2)"/>
      <w:numFmt w:val="decimal"/>
      <w:start w:val="8"/>
    </w:lvl>
  </w:abstractNum>
  <w:abstractNum w:abstractNumId="80">
    <w:nsid w:val="805B331"/>
    <w:multiLevelType w:val="hybridMultilevel"/>
    <w:lvl w:ilvl="0">
      <w:lvlJc w:val="left"/>
      <w:lvlText w:val="(%1)"/>
      <w:numFmt w:val="lowerRoman"/>
      <w:start w:val="15"/>
    </w:lvl>
    <w:lvl w:ilvl="1">
      <w:lvlJc w:val="left"/>
      <w:lvlText w:val="(%2)"/>
      <w:numFmt w:val="decimal"/>
      <w:start w:val="16"/>
    </w:lvl>
  </w:abstractNum>
  <w:abstractNum w:abstractNumId="81">
    <w:nsid w:val="60A1463"/>
    <w:multiLevelType w:val="hybridMultilevel"/>
    <w:lvl w:ilvl="0">
      <w:lvlJc w:val="left"/>
      <w:lvlText w:val="(%1)"/>
      <w:numFmt w:val="decimal"/>
      <w:start w:val="21"/>
    </w:lvl>
  </w:abstractNum>
  <w:abstractNum w:abstractNumId="82">
    <w:nsid w:val="43773132"/>
    <w:multiLevelType w:val="hybridMultilevel"/>
    <w:lvl w:ilvl="0">
      <w:lvlJc w:val="left"/>
      <w:lvlText w:val="(%1)"/>
      <w:numFmt w:val="decimal"/>
      <w:start w:val="31"/>
    </w:lvl>
  </w:abstractNum>
  <w:abstractNum w:abstractNumId="83">
    <w:nsid w:val="16AC4B23"/>
    <w:multiLevelType w:val="hybridMultilevel"/>
    <w:lvl w:ilvl="0">
      <w:lvlJc w:val="left"/>
      <w:lvlText w:val="(%1)"/>
      <w:numFmt w:val="decimal"/>
      <w:start w:val="32"/>
    </w:lvl>
    <w:lvl w:ilvl="1">
      <w:lvlJc w:val="left"/>
      <w:lvlText w:val="(%2)"/>
      <w:numFmt w:val="upperLetter"/>
      <w:start w:val="1"/>
    </w:lvl>
  </w:abstractNum>
  <w:abstractNum w:abstractNumId="84">
    <w:nsid w:val="76C44E4E"/>
    <w:multiLevelType w:val="hybridMultilevel"/>
    <w:lvl w:ilvl="0">
      <w:lvlJc w:val="left"/>
      <w:lvlText w:val="(%1)"/>
      <w:numFmt w:val="decimal"/>
      <w:start w:val="40"/>
    </w:lvl>
  </w:abstractNum>
  <w:abstractNum w:abstractNumId="85">
    <w:nsid w:val="E04E6CE"/>
    <w:multiLevelType w:val="hybridMultilevel"/>
    <w:lvl w:ilvl="0">
      <w:lvlJc w:val="left"/>
      <w:lvlText w:val="(%1)"/>
      <w:numFmt w:val="decimal"/>
      <w:start w:val="55"/>
    </w:lvl>
  </w:abstractNum>
  <w:abstractNum w:abstractNumId="86">
    <w:nsid w:val="31A9DB76"/>
    <w:multiLevelType w:val="hybridMultilevel"/>
    <w:lvl w:ilvl="0">
      <w:lvlJc w:val="left"/>
      <w:lvlText w:val="(%1)"/>
      <w:numFmt w:val="decimal"/>
      <w:start w:val="69"/>
    </w:lvl>
  </w:abstractNum>
  <w:abstractNum w:abstractNumId="87">
    <w:nsid w:val="4C4FFF5B"/>
    <w:multiLevelType w:val="hybridMultilevel"/>
    <w:lvl w:ilvl="0">
      <w:lvlJc w:val="left"/>
      <w:lvlText w:val="(%1)"/>
      <w:numFmt w:val="lowerRoman"/>
      <w:start w:val="1"/>
    </w:lvl>
  </w:abstractNum>
  <w:abstractNum w:abstractNumId="88">
    <w:nsid w:val="51B76675"/>
    <w:multiLevelType w:val="hybridMultilevel"/>
    <w:lvl w:ilvl="0">
      <w:lvlJc w:val="left"/>
      <w:lvlText w:val="(%1)"/>
      <w:numFmt w:val="lowerRoman"/>
      <w:start w:val="2"/>
    </w:lvl>
  </w:abstractNum>
  <w:abstractNum w:abstractNumId="89">
    <w:nsid w:val="59A4BA71"/>
    <w:multiLevelType w:val="hybridMultilevel"/>
    <w:lvl w:ilvl="0">
      <w:lvlJc w:val="left"/>
      <w:lvlText w:val="(%1)"/>
      <w:numFmt w:val="lowerRoman"/>
      <w:start w:val="5"/>
    </w:lvl>
  </w:abstractNum>
  <w:abstractNum w:abstractNumId="90">
    <w:nsid w:val="450B7FB6"/>
    <w:multiLevelType w:val="hybridMultilevel"/>
    <w:lvl w:ilvl="0">
      <w:lvlJc w:val="left"/>
      <w:lvlText w:val="(%1)"/>
      <w:numFmt w:val="lowerRoman"/>
      <w:start w:val="4"/>
    </w:lvl>
  </w:abstractNum>
  <w:abstractNum w:abstractNumId="91">
    <w:nsid w:val="340BF64D"/>
    <w:multiLevelType w:val="hybridMultilevel"/>
    <w:lvl w:ilvl="0">
      <w:lvlJc w:val="left"/>
      <w:lvlText w:val="(%1)"/>
      <w:numFmt w:val="decimal"/>
      <w:start w:val="1"/>
    </w:lvl>
  </w:abstractNum>
  <w:abstractNum w:abstractNumId="92">
    <w:nsid w:val="69454021"/>
    <w:multiLevelType w:val="hybridMultilevel"/>
    <w:lvl w:ilvl="0">
      <w:lvlJc w:val="left"/>
      <w:lvlText w:val="(%1)"/>
      <w:numFmt w:val="decimal"/>
      <w:start w:val="2"/>
    </w:lvl>
  </w:abstractNum>
  <w:abstractNum w:abstractNumId="93">
    <w:nsid w:val="49F15C6B"/>
    <w:multiLevelType w:val="hybridMultilevel"/>
    <w:lvl w:ilvl="0">
      <w:lvlJc w:val="left"/>
      <w:lvlText w:val="(%1)"/>
      <w:numFmt w:val="lowerLetter"/>
      <w:start w:val="24"/>
    </w:lvl>
  </w:abstractNum>
  <w:abstractNum w:abstractNumId="94">
    <w:nsid w:val="75F56228"/>
    <w:multiLevelType w:val="hybridMultilevel"/>
    <w:lvl w:ilvl="0">
      <w:lvlJc w:val="left"/>
      <w:lvlText w:val="(%1)"/>
      <w:numFmt w:val="decimal"/>
      <w:start w:val="3"/>
    </w:lvl>
  </w:abstractNum>
  <w:abstractNum w:abstractNumId="95">
    <w:nsid w:val="1C618271"/>
    <w:multiLevelType w:val="hybridMultilevel"/>
    <w:lvl w:ilvl="0">
      <w:lvlJc w:val="left"/>
      <w:lvlText w:val="(%1)"/>
      <w:numFmt w:val="lowerLetter"/>
      <w:start w:val="1"/>
    </w:lvl>
  </w:abstractNum>
  <w:abstractNum w:abstractNumId="96">
    <w:nsid w:val="6505F02E"/>
    <w:multiLevelType w:val="hybridMultilevel"/>
    <w:lvl w:ilvl="0">
      <w:lvlJc w:val="left"/>
      <w:lvlText w:val="(%1)"/>
      <w:numFmt w:val="lowerLetter"/>
      <w:start w:val="6"/>
    </w:lvl>
  </w:abstractNum>
  <w:abstractNum w:abstractNumId="97">
    <w:nsid w:val="2FE5D025"/>
    <w:multiLevelType w:val="hybridMultilevel"/>
    <w:lvl w:ilvl="0">
      <w:lvlJc w:val="left"/>
      <w:lvlText w:val="(%1)"/>
      <w:numFmt w:val="lowerLetter"/>
      <w:start w:val="1"/>
    </w:lvl>
  </w:abstractNum>
  <w:abstractNum w:abstractNumId="98">
    <w:nsid w:val="30E1B1CF"/>
    <w:multiLevelType w:val="hybridMultilevel"/>
    <w:lvl w:ilvl="0">
      <w:lvlJc w:val="left"/>
      <w:lvlText w:val="(%1)"/>
      <w:numFmt w:val="lowerRoman"/>
      <w:start w:val="2"/>
    </w:lvl>
    <w:lvl w:ilvl="1">
      <w:lvlJc w:val="left"/>
      <w:lvlText w:val="(%2)"/>
      <w:numFmt w:val="decimal"/>
      <w:start w:val="1"/>
    </w:lvl>
  </w:abstractNum>
  <w:abstractNum w:abstractNumId="99">
    <w:nsid w:val="C7A9237"/>
    <w:multiLevelType w:val="hybridMultilevel"/>
    <w:lvl w:ilvl="0">
      <w:lvlJc w:val="left"/>
      <w:lvlText w:val="(%1)"/>
      <w:numFmt w:val="lowerLetter"/>
      <w:start w:val="1"/>
    </w:lvl>
  </w:abstractNum>
  <w:abstractNum w:abstractNumId="100">
    <w:nsid w:val="676B3580"/>
    <w:multiLevelType w:val="hybridMultilevel"/>
    <w:lvl w:ilvl="0">
      <w:lvlJc w:val="left"/>
      <w:lvlText w:val="%1"/>
      <w:numFmt w:val="lowerRoman"/>
      <w:start w:val="1"/>
    </w:lvl>
    <w:lvl w:ilvl="1">
      <w:lvlJc w:val="left"/>
      <w:lvlText w:val="(%2)"/>
      <w:numFmt w:val="decimal"/>
      <w:start w:val="1"/>
    </w:lvl>
  </w:abstractNum>
  <w:abstractNum w:abstractNumId="101">
    <w:nsid w:val="3193C8F9"/>
    <w:multiLevelType w:val="hybridMultilevel"/>
    <w:lvl w:ilvl="0">
      <w:lvlJc w:val="left"/>
      <w:lvlText w:val="(%1)"/>
      <w:numFmt w:val="lowerRoman"/>
      <w:start w:val="2"/>
    </w:lvl>
    <w:lvl w:ilvl="1">
      <w:lvlJc w:val="left"/>
      <w:lvlText w:val="%2"/>
      <w:numFmt w:val="decimal"/>
      <w:start w:val="1"/>
    </w:lvl>
  </w:abstractNum>
  <w:abstractNum w:abstractNumId="102">
    <w:nsid w:val="5FA6C6DC"/>
    <w:multiLevelType w:val="hybridMultilevel"/>
    <w:lvl w:ilvl="0">
      <w:lvlJc w:val="left"/>
      <w:lvlText w:val="(%1)"/>
      <w:numFmt w:val="decimal"/>
      <w:start w:val="9"/>
    </w:lvl>
  </w:abstractNum>
  <w:abstractNum w:abstractNumId="103">
    <w:nsid w:val="77933F62"/>
    <w:multiLevelType w:val="hybridMultilevel"/>
    <w:lvl w:ilvl="0">
      <w:lvlJc w:val="left"/>
      <w:lvlText w:val="(%1)"/>
      <w:numFmt w:val="lowerLetter"/>
      <w:start w:val="1"/>
    </w:lvl>
  </w:abstractNum>
  <w:abstractNum w:abstractNumId="104">
    <w:nsid w:val="6CB4EE9C"/>
    <w:multiLevelType w:val="hybridMultilevel"/>
    <w:lvl w:ilvl="0">
      <w:lvlJc w:val="left"/>
      <w:lvlText w:val="(%1)"/>
      <w:numFmt w:val="lowerRoman"/>
      <w:start w:val="1"/>
    </w:lvl>
  </w:abstractNum>
  <w:abstractNum w:abstractNumId="105">
    <w:nsid w:val="6A6D56D7"/>
    <w:multiLevelType w:val="hybridMultilevel"/>
    <w:lvl w:ilvl="0">
      <w:lvlJc w:val="left"/>
      <w:lvlText w:val="%1"/>
      <w:numFmt w:val="lowerLetter"/>
      <w:start w:val="1"/>
    </w:lvl>
    <w:lvl w:ilvl="1">
      <w:lvlJc w:val="left"/>
      <w:lvlText w:val="(%2)"/>
      <w:numFmt w:val="lowerRoman"/>
      <w:start w:val="9"/>
    </w:lvl>
  </w:abstractNum>
  <w:abstractNum w:abstractNumId="106">
    <w:nsid w:val="5B727F19"/>
    <w:multiLevelType w:val="hybridMultilevel"/>
    <w:lvl w:ilvl="0">
      <w:lvlJc w:val="left"/>
      <w:lvlText w:val="(%1)"/>
      <w:numFmt w:val="lowerLetter"/>
      <w:start w:val="2"/>
    </w:lvl>
    <w:lvl w:ilvl="1">
      <w:lvlJc w:val="left"/>
      <w:lvlText w:val="%2"/>
      <w:numFmt w:val="lowerRoman"/>
      <w:start w:val="1"/>
    </w:lvl>
  </w:abstractNum>
  <w:abstractNum w:abstractNumId="107">
    <w:nsid w:val="514E5CB0"/>
    <w:multiLevelType w:val="hybridMultilevel"/>
    <w:lvl w:ilvl="0">
      <w:lvlJc w:val="left"/>
      <w:lvlText w:val="(%1)"/>
      <w:numFmt w:val="lowerLetter"/>
      <w:start w:val="1"/>
    </w:lvl>
  </w:abstractNum>
  <w:abstractNum w:abstractNumId="108">
    <w:nsid w:val="4210D41E"/>
    <w:multiLevelType w:val="hybridMultilevel"/>
    <w:lvl w:ilvl="0">
      <w:lvlJc w:val="left"/>
      <w:lvlText w:val="(%1)"/>
      <w:numFmt w:val="lowerLetter"/>
      <w:start w:val="1"/>
    </w:lvl>
  </w:abstractNum>
  <w:abstractNum w:abstractNumId="109">
    <w:nsid w:val="4FF4CC6D"/>
    <w:multiLevelType w:val="hybridMultilevel"/>
    <w:lvl w:ilvl="0">
      <w:lvlJc w:val="left"/>
      <w:lvlText w:val="(%1)"/>
      <w:numFmt w:val="lowerLetter"/>
      <w:start w:val="2"/>
    </w:lvl>
  </w:abstractNum>
  <w:abstractNum w:abstractNumId="110">
    <w:nsid w:val="404EAF4A"/>
    <w:multiLevelType w:val="hybridMultilevel"/>
    <w:lvl w:ilvl="0">
      <w:lvlJc w:val="left"/>
      <w:lvlText w:val="(%1)"/>
      <w:numFmt w:val="lowerLetter"/>
      <w:start w:val="1"/>
    </w:lvl>
    <w:lvl w:ilvl="1">
      <w:lvlJc w:val="left"/>
      <w:lvlText w:val="(%2)"/>
      <w:numFmt w:val="lowerRoman"/>
      <w:start w:val="1"/>
    </w:lvl>
  </w:abstractNum>
  <w:abstractNum w:abstractNumId="111">
    <w:nsid w:val="4A16874F"/>
    <w:multiLevelType w:val="hybridMultilevel"/>
    <w:lvl w:ilvl="0">
      <w:lvlJc w:val="left"/>
      <w:lvlText w:val="(%1)"/>
      <w:numFmt w:val="lowerRoman"/>
      <w:start w:val="3"/>
    </w:lvl>
  </w:abstractNum>
  <w:abstractNum w:abstractNumId="112">
    <w:nsid w:val="55FEE0D1"/>
    <w:multiLevelType w:val="hybridMultilevel"/>
    <w:lvl w:ilvl="0">
      <w:lvlJc w:val="left"/>
      <w:lvlText w:val="(%1)"/>
      <w:numFmt w:val="lowerLetter"/>
      <w:start w:val="2"/>
    </w:lvl>
  </w:abstractNum>
  <w:abstractNum w:abstractNumId="113">
    <w:nsid w:val="3C5E0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4">
    <w:nsid w:val="60C2D27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15">
    <w:nsid w:val="4CC32F1F"/>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2"/>
    </w:lvl>
  </w:abstractNum>
  <w:abstractNum w:abstractNumId="116">
    <w:nsid w:val="11CAC74A"/>
    <w:multiLevelType w:val="hybridMultilevel"/>
    <w:lvl w:ilvl="0">
      <w:lvlJc w:val="left"/>
      <w:lvlText w:val="(%1)"/>
      <w:numFmt w:val="lowerRoman"/>
      <w:start w:val="5"/>
    </w:lvl>
  </w:abstractNum>
  <w:abstractNum w:abstractNumId="117">
    <w:nsid w:val="126CADE9"/>
    <w:multiLevelType w:val="hybridMultilevel"/>
    <w:lvl w:ilvl="0">
      <w:lvlJc w:val="left"/>
      <w:lvlText w:val="(%1)"/>
      <w:numFmt w:val="lowerRoman"/>
      <w:start w:val="12"/>
    </w:lvl>
    <w:lvl w:ilvl="1">
      <w:lvlJc w:val="left"/>
      <w:lvlText w:val="(%2)"/>
      <w:numFmt w:val="decimal"/>
      <w:start w:val="1"/>
    </w:lvl>
  </w:abstractNum>
  <w:abstractNum w:abstractNumId="118">
    <w:nsid w:val="19132E7B"/>
    <w:multiLevelType w:val="hybridMultilevel"/>
    <w:lvl w:ilvl="0">
      <w:lvlJc w:val="left"/>
      <w:lvlText w:val="(%1)"/>
      <w:numFmt w:val="lowerRoman"/>
      <w:start w:val="10"/>
    </w:lvl>
    <w:lvl w:ilvl="1">
      <w:lvlJc w:val="left"/>
      <w:lvlText w:val="(%2)"/>
      <w:numFmt w:val="lowerRoman"/>
      <w:start w:val="16"/>
    </w:lvl>
  </w:abstractNum>
  <w:abstractNum w:abstractNumId="119">
    <w:nsid w:val="63822DC0"/>
    <w:multiLevelType w:val="hybridMultilevel"/>
    <w:lvl w:ilvl="0">
      <w:lvlJc w:val="left"/>
      <w:lvlText w:val="(%1)"/>
      <w:numFmt w:val="lowerRoman"/>
      <w:start w:val="18"/>
    </w:lvl>
  </w:abstractNum>
  <w:abstractNum w:abstractNumId="120">
    <w:nsid w:val="6C11685A"/>
    <w:multiLevelType w:val="hybridMultilevel"/>
    <w:lvl w:ilvl="0">
      <w:lvlJc w:val="left"/>
      <w:lvlText w:val="(%1)"/>
      <w:numFmt w:val="lowerRoman"/>
      <w:start w:val="25"/>
    </w:lvl>
  </w:abstractNum>
  <w:abstractNum w:abstractNumId="121">
    <w:nsid w:val="5E1EAE31"/>
    <w:multiLevelType w:val="hybridMultilevel"/>
    <w:lvl w:ilvl="0">
      <w:lvlJc w:val="left"/>
      <w:lvlText w:val="%1"/>
      <w:numFmt w:val="lowerLetter"/>
      <w:start w:val="1"/>
    </w:lvl>
    <w:lvl w:ilvl="1">
      <w:lvlJc w:val="left"/>
      <w:lvlText w:val="(%2)"/>
      <w:numFmt w:val="lowerRoman"/>
      <w:start w:val="35"/>
    </w:lvl>
  </w:abstractNum>
  <w:abstractNum w:abstractNumId="122">
    <w:nsid w:val="178E240D"/>
    <w:multiLevelType w:val="hybridMultilevel"/>
    <w:lvl w:ilvl="0">
      <w:lvlJc w:val="left"/>
      <w:lvlText w:val="(%1)"/>
      <w:numFmt w:val="lowerLetter"/>
      <w:start w:val="3"/>
    </w:lvl>
    <w:lvl w:ilvl="1">
      <w:lvlJc w:val="left"/>
      <w:lvlText w:val="%2"/>
      <w:numFmt w:val="lowerRoman"/>
      <w:start w:val="1"/>
    </w:lvl>
  </w:abstractNum>
  <w:abstractNum w:abstractNumId="123">
    <w:nsid w:val="5556A87B"/>
    <w:multiLevelType w:val="hybridMultilevel"/>
    <w:lvl w:ilvl="0">
      <w:lvlJc w:val="left"/>
      <w:lvlText w:val="(%1)"/>
      <w:numFmt w:val="decimal"/>
      <w:start w:val="1"/>
    </w:lvl>
  </w:abstractNum>
  <w:abstractNum w:abstractNumId="124">
    <w:nsid w:val="28100A9C"/>
    <w:multiLevelType w:val="hybridMultilevel"/>
    <w:lvl w:ilvl="0">
      <w:lvlJc w:val="left"/>
      <w:lvlText w:val="(%1)"/>
      <w:numFmt w:val="lowerLetter"/>
      <w:start w:val="1"/>
    </w:lvl>
    <w:lvl w:ilvl="1">
      <w:lvlJc w:val="left"/>
      <w:lvlText w:val="(%2)"/>
      <w:numFmt w:val="lowerRoman"/>
      <w:start w:val="1"/>
    </w:lvl>
  </w:abstractNum>
  <w:abstractNum w:abstractNumId="125">
    <w:nsid w:val="D838636"/>
    <w:multiLevelType w:val="hybridMultilevel"/>
    <w:lvl w:ilvl="0">
      <w:lvlJc w:val="left"/>
      <w:lvlText w:val="(%1)"/>
      <w:numFmt w:val="decimal"/>
      <w:start w:val="1"/>
    </w:lvl>
  </w:abstractNum>
  <w:abstractNum w:abstractNumId="126">
    <w:nsid w:val="71B82AED"/>
    <w:multiLevelType w:val="hybridMultilevel"/>
    <w:lvl w:ilvl="0">
      <w:lvlJc w:val="left"/>
      <w:lvlText w:val="%1"/>
      <w:numFmt w:val="lowerLetter"/>
      <w:start w:val="1"/>
    </w:lvl>
    <w:lvl w:ilvl="1">
      <w:lvlJc w:val="left"/>
      <w:lvlText w:val="(%2)"/>
      <w:numFmt w:val="decimal"/>
      <w:start w:val="3"/>
    </w:lvl>
  </w:abstractNum>
  <w:abstractNum w:abstractNumId="127">
    <w:nsid w:val="D15FACA"/>
    <w:multiLevelType w:val="hybridMultilevel"/>
    <w:lvl w:ilvl="0">
      <w:lvlJc w:val="left"/>
      <w:lvlText w:val="(%1)"/>
      <w:numFmt w:val="lowerLetter"/>
      <w:start w:val="2"/>
    </w:lvl>
    <w:lvl w:ilvl="1">
      <w:lvlJc w:val="left"/>
      <w:lvlText w:val="%2"/>
      <w:numFmt w:val="decimal"/>
      <w:start w:val="1"/>
    </w:lvl>
  </w:abstractNum>
  <w:abstractNum w:abstractNumId="128">
    <w:nsid w:val="3D69565B"/>
    <w:multiLevelType w:val="hybridMultilevel"/>
    <w:lvl w:ilvl="0">
      <w:lvlJc w:val="left"/>
      <w:lvlText w:val="(%1)"/>
      <w:numFmt w:val="lowerRoman"/>
      <w:start w:val="1"/>
    </w:lvl>
    <w:lvl w:ilvl="1">
      <w:lvlJc w:val="left"/>
      <w:lvlText w:val="(%2)"/>
      <w:numFmt w:val="upperLetter"/>
      <w:start w:val="1"/>
    </w:lvl>
  </w:abstractNum>
  <w:abstractNum w:abstractNumId="129">
    <w:nsid w:val="2299DCBC"/>
    <w:multiLevelType w:val="hybridMultilevel"/>
    <w:lvl w:ilvl="0">
      <w:lvlJc w:val="left"/>
      <w:lvlText w:val="(%1)"/>
      <w:numFmt w:val="upperLetter"/>
      <w:start w:val="1"/>
    </w:lvl>
  </w:abstractNum>
  <w:abstractNum w:abstractNumId="130">
    <w:nsid w:val="19908D02"/>
    <w:multiLevelType w:val="hybridMultilevel"/>
    <w:lvl w:ilvl="0">
      <w:lvlJc w:val="left"/>
      <w:lvlText w:val="(%1)"/>
      <w:numFmt w:val="lowerRoman"/>
      <w:start w:val="5"/>
    </w:lvl>
    <w:lvl w:ilvl="1">
      <w:lvlJc w:val="left"/>
      <w:lvlText w:val="(%2)"/>
      <w:numFmt w:val="upperLetter"/>
      <w:start w:val="1"/>
    </w:lvl>
  </w:abstractNum>
  <w:abstractNum w:abstractNumId="131">
    <w:nsid w:val="24D48BDB"/>
    <w:multiLevelType w:val="hybridMultilevel"/>
    <w:lvl w:ilvl="0">
      <w:lvlJc w:val="left"/>
      <w:lvlText w:val="(%1)"/>
      <w:numFmt w:val="lowerRoman"/>
      <w:start w:val="7"/>
    </w:lvl>
  </w:abstractNum>
  <w:abstractNum w:abstractNumId="132">
    <w:nsid w:val="542DA5B5"/>
    <w:multiLevelType w:val="hybridMultilevel"/>
    <w:lvl w:ilvl="0">
      <w:lvlJc w:val="left"/>
      <w:lvlText w:val="(%1)"/>
      <w:numFmt w:val="lowerRoman"/>
      <w:start w:val="12"/>
    </w:lvl>
  </w:abstractNum>
  <w:abstractNum w:abstractNumId="133">
    <w:nsid w:val="793753DE"/>
    <w:multiLevelType w:val="hybridMultilevel"/>
    <w:lvl w:ilvl="0">
      <w:lvlJc w:val="left"/>
      <w:lvlText w:val="(%1)"/>
      <w:numFmt w:val="lowerLetter"/>
      <w:start w:val="3"/>
    </w:lvl>
  </w:abstractNum>
  <w:abstractNum w:abstractNumId="134">
    <w:nsid w:val="1C67CB3D"/>
    <w:multiLevelType w:val="hybridMultilevel"/>
    <w:lvl w:ilvl="0">
      <w:lvlJc w:val="left"/>
      <w:lvlText w:val="(%1)"/>
      <w:numFmt w:val="lowerLetter"/>
      <w:start w:val="1"/>
    </w:lvl>
  </w:abstractNum>
  <w:abstractNum w:abstractNumId="135">
    <w:nsid w:val="40E29452"/>
    <w:multiLevelType w:val="hybridMultilevel"/>
    <w:lvl w:ilvl="0">
      <w:lvlJc w:val="left"/>
      <w:lvlText w:val="(%1)"/>
      <w:numFmt w:val="decimal"/>
      <w:start w:val="1"/>
    </w:lvl>
  </w:abstractNum>
  <w:abstractNum w:abstractNumId="136">
    <w:nsid w:val="63A4AAB6"/>
    <w:multiLevelType w:val="hybridMultilevel"/>
    <w:lvl w:ilvl="0">
      <w:lvlJc w:val="left"/>
      <w:lvlText w:val="(%1)"/>
      <w:numFmt w:val="decimal"/>
      <w:start w:val="7"/>
    </w:lvl>
  </w:abstractNum>
  <w:abstractNum w:abstractNumId="137">
    <w:nsid w:val="77DA4A57"/>
    <w:multiLevelType w:val="hybridMultilevel"/>
    <w:lvl w:ilvl="0">
      <w:lvlJc w:val="left"/>
      <w:lvlText w:val="(%1)"/>
      <w:numFmt w:val="lowerLetter"/>
      <w:start w:val="1"/>
    </w:lvl>
    <w:lvl w:ilvl="1">
      <w:lvlJc w:val="left"/>
      <w:lvlText w:val="(%2)"/>
      <w:numFmt w:val="lowerRoman"/>
      <w:start w:val="1"/>
    </w:lvl>
  </w:abstractNum>
  <w:abstractNum w:abstractNumId="138">
    <w:nsid w:val="1230F102"/>
    <w:multiLevelType w:val="hybridMultilevel"/>
    <w:lvl w:ilvl="0">
      <w:lvlJc w:val="left"/>
      <w:lvlText w:val="%1"/>
      <w:numFmt w:val="lowerLetter"/>
      <w:start w:val="1"/>
    </w:lvl>
    <w:lvl w:ilvl="1">
      <w:lvlJc w:val="left"/>
      <w:lvlText w:val="(%2)"/>
      <w:numFmt w:val="lowerRoman"/>
      <w:start w:val="3"/>
    </w:lvl>
  </w:abstractNum>
  <w:abstractNum w:abstractNumId="139">
    <w:nsid w:val="25B57ED4"/>
    <w:multiLevelType w:val="hybridMultilevel"/>
    <w:lvl w:ilvl="0">
      <w:lvlJc w:val="left"/>
      <w:lvlText w:val="(%1)"/>
      <w:numFmt w:val="lowerLetter"/>
      <w:start w:val="2"/>
    </w:lvl>
    <w:lvl w:ilvl="1">
      <w:lvlJc w:val="left"/>
      <w:lvlText w:val="(%2)"/>
      <w:numFmt w:val="lowerRoman"/>
      <w:start w:val="1"/>
    </w:lvl>
  </w:abstractNum>
  <w:abstractNum w:abstractNumId="140">
    <w:nsid w:val="47CF16C4"/>
    <w:multiLevelType w:val="hybridMultilevel"/>
    <w:lvl w:ilvl="0">
      <w:lvlJc w:val="left"/>
      <w:lvlText w:val="(%1)"/>
      <w:numFmt w:val="lowerLetter"/>
      <w:start w:val="3"/>
    </w:lvl>
  </w:abstractNum>
  <w:abstractNum w:abstractNumId="141">
    <w:nsid w:val="527FA04C"/>
    <w:multiLevelType w:val="hybridMultilevel"/>
    <w:lvl w:ilvl="0">
      <w:lvlJc w:val="left"/>
      <w:lvlText w:val="(%1)"/>
      <w:numFmt w:val="lowerLetter"/>
      <w:start w:val="6"/>
    </w:lvl>
  </w:abstractNum>
  <w:abstractNum w:abstractNumId="142">
    <w:nsid w:val="6FCC0624"/>
    <w:multiLevelType w:val="hybridMultilevel"/>
    <w:lvl w:ilvl="0">
      <w:lvlJc w:val="left"/>
      <w:lvlText w:val="(%1)"/>
      <w:numFmt w:val="lowerLetter"/>
      <w:start w:val="1"/>
    </w:lvl>
    <w:lvl w:ilvl="1">
      <w:lvlJc w:val="left"/>
      <w:lvlText w:val="(%2)"/>
      <w:numFmt w:val="lowerRoman"/>
      <w:start w:val="1"/>
    </w:lvl>
  </w:abstractNum>
  <w:abstractNum w:abstractNumId="143">
    <w:nsid w:val="1DCDF795"/>
    <w:multiLevelType w:val="hybridMultilevel"/>
    <w:lvl w:ilvl="0">
      <w:lvlJc w:val="left"/>
      <w:lvlText w:val="(%1)"/>
      <w:numFmt w:val="lowerRoman"/>
      <w:start w:val="7"/>
    </w:lvl>
  </w:abstractNum>
  <w:abstractNum w:abstractNumId="144">
    <w:nsid w:val="564580C8"/>
    <w:multiLevelType w:val="hybridMultilevel"/>
    <w:lvl w:ilvl="0">
      <w:lvlJc w:val="left"/>
      <w:lvlText w:val="(%1)"/>
      <w:numFmt w:val="lowerRoman"/>
      <w:start w:val="22"/>
    </w:lvl>
  </w:abstractNum>
  <w:abstractNum w:abstractNumId="145">
    <w:nsid w:val="508ED897"/>
    <w:multiLevelType w:val="hybridMultilevel"/>
    <w:lvl w:ilvl="0">
      <w:lvlJc w:val="left"/>
      <w:lvlText w:val="(%1)"/>
      <w:numFmt w:val="lowerLetter"/>
      <w:start w:val="1"/>
    </w:lvl>
    <w:lvl w:ilvl="1">
      <w:lvlJc w:val="left"/>
      <w:lvlText w:val="(%2)"/>
      <w:numFmt w:val="lowerRoman"/>
      <w:start w:val="1"/>
    </w:lvl>
  </w:abstractNum>
  <w:abstractNum w:abstractNumId="146">
    <w:nsid w:val="6A9126B5"/>
    <w:multiLevelType w:val="hybridMultilevel"/>
    <w:lvl w:ilvl="0">
      <w:lvlJc w:val="left"/>
      <w:lvlText w:val="(%1)"/>
      <w:numFmt w:val="lowerRoman"/>
      <w:start w:val="1"/>
    </w:lvl>
  </w:abstractNum>
  <w:abstractNum w:abstractNumId="147">
    <w:nsid w:val="68104812"/>
    <w:multiLevelType w:val="hybridMultilevel"/>
    <w:lvl w:ilvl="0">
      <w:lvlJc w:val="left"/>
      <w:lvlText w:val="(%1)"/>
      <w:numFmt w:val="lowerLetter"/>
      <w:start w:val="2"/>
    </w:lvl>
  </w:abstractNum>
  <w:abstractNum w:abstractNumId="148">
    <w:nsid w:val="62FB8680"/>
    <w:multiLevelType w:val="hybridMultilevel"/>
    <w:lvl w:ilvl="0">
      <w:lvlJc w:val="left"/>
      <w:lvlText w:val="(%1)"/>
      <w:numFmt w:val="lowerLetter"/>
      <w:start w:val="1"/>
    </w:lvl>
  </w:abstractNum>
  <w:abstractNum w:abstractNumId="149">
    <w:nsid w:val="3A45530"/>
    <w:multiLevelType w:val="hybridMultilevel"/>
    <w:lvl w:ilvl="0">
      <w:lvlJc w:val="left"/>
      <w:lvlText w:val="(%1)"/>
      <w:numFmt w:val="lowerLetter"/>
      <w:start w:val="1"/>
    </w:lvl>
  </w:abstractNum>
  <w:abstractNum w:abstractNumId="150">
    <w:nsid w:val="4B9275D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1">
    <w:nsid w:val="4F0CEEDB"/>
    <w:multiLevelType w:val="hybridMultilevel"/>
    <w:lvl w:ilvl="0">
      <w:lvlJc w:val="left"/>
      <w:lvlText w:val="(%1)"/>
      <w:numFmt w:val="lowerRoman"/>
      <w:start w:val="6"/>
    </w:lvl>
  </w:abstractNum>
  <w:abstractNum w:abstractNumId="152">
    <w:nsid w:val="61C30361"/>
    <w:multiLevelType w:val="hybridMultilevel"/>
    <w:lvl w:ilvl="0">
      <w:lvlJc w:val="left"/>
      <w:lvlText w:val="(%1)"/>
      <w:numFmt w:val="lowerLetter"/>
      <w:start w:val="2"/>
    </w:lvl>
    <w:lvl w:ilvl="1">
      <w:lvlJc w:val="left"/>
      <w:lvlText w:val="(%2)"/>
      <w:numFmt w:val="lowerRoman"/>
      <w:start w:val="1"/>
    </w:lvl>
  </w:abstractNum>
  <w:abstractNum w:abstractNumId="153">
    <w:nsid w:val="632099E0"/>
    <w:multiLevelType w:val="hybridMultilevel"/>
    <w:lvl w:ilvl="0">
      <w:lvlJc w:val="left"/>
      <w:lvlText w:val="(%1)"/>
      <w:numFmt w:val="lowerLetter"/>
      <w:start w:val="1"/>
    </w:lvl>
    <w:lvl w:ilvl="1">
      <w:lvlJc w:val="left"/>
      <w:lvlText w:val="(%2)"/>
      <w:numFmt w:val="lowerRoman"/>
      <w:start w:val="1"/>
    </w:lvl>
  </w:abstractNum>
  <w:abstractNum w:abstractNumId="154">
    <w:nsid w:val="24639756"/>
    <w:multiLevelType w:val="hybridMultilevel"/>
    <w:lvl w:ilvl="0">
      <w:lvlJc w:val="left"/>
      <w:lvlText w:val="(%1)"/>
      <w:numFmt w:val="lowerLetter"/>
      <w:start w:val="1"/>
    </w:lvl>
  </w:abstractNum>
  <w:abstractNum w:abstractNumId="155">
    <w:nsid w:val="9D30DFD"/>
    <w:multiLevelType w:val="hybridMultilevel"/>
    <w:lvl w:ilvl="0">
      <w:lvlJc w:val="left"/>
      <w:lvlText w:val="(%1)"/>
      <w:numFmt w:val="lowerRoman"/>
      <w:start w:val="10"/>
    </w:lvl>
  </w:abstractNum>
  <w:abstractNum w:abstractNumId="156">
    <w:nsid w:val="70A42016"/>
    <w:multiLevelType w:val="hybridMultilevel"/>
    <w:lvl w:ilvl="0">
      <w:lvlJc w:val="left"/>
      <w:lvlText w:val="(%1)"/>
      <w:numFmt w:val="lowerLetter"/>
      <w:start w:val="1"/>
    </w:lvl>
    <w:lvl w:ilvl="1">
      <w:lvlJc w:val="left"/>
      <w:lvlText w:val="(%2)"/>
      <w:numFmt w:val="lowerRoman"/>
      <w:start w:val="1"/>
    </w:lvl>
  </w:abstractNum>
  <w:abstractNum w:abstractNumId="157">
    <w:nsid w:val="161BC243"/>
    <w:multiLevelType w:val="hybridMultilevel"/>
    <w:lvl w:ilvl="0">
      <w:lvlJc w:val="left"/>
      <w:lvlText w:val="(%1)"/>
      <w:numFmt w:val="lowerLetter"/>
      <w:start w:val="1"/>
    </w:lvl>
  </w:abstractNum>
  <w:abstractNum w:abstractNumId="158">
    <w:nsid w:val="16E908C8"/>
    <w:multiLevelType w:val="hybridMultilevel"/>
    <w:lvl w:ilvl="0">
      <w:lvlJc w:val="left"/>
      <w:lvlText w:val="(%1)"/>
      <w:numFmt w:val="lowerLetter"/>
      <w:start w:val="3"/>
    </w:lvl>
  </w:abstractNum>
  <w:abstractNum w:abstractNumId="159">
    <w:nsid w:val="2E0D7671"/>
    <w:multiLevelType w:val="hybridMultilevel"/>
    <w:lvl w:ilvl="0">
      <w:lvlJc w:val="left"/>
      <w:lvlText w:val="(%1)"/>
      <w:numFmt w:val="lowerLetter"/>
      <w:start w:val="1"/>
    </w:lvl>
    <w:lvl w:ilvl="1">
      <w:lvlJc w:val="left"/>
      <w:lvlText w:val="(%2)"/>
      <w:numFmt w:val="lowerRoman"/>
      <w:start w:val="1"/>
    </w:lvl>
  </w:abstractNum>
  <w:abstractNum w:abstractNumId="160">
    <w:nsid w:val="38B59EFF"/>
    <w:multiLevelType w:val="hybridMultilevel"/>
    <w:lvl w:ilvl="0">
      <w:lvlJc w:val="left"/>
      <w:lvlText w:val="(%1)"/>
      <w:numFmt w:val="lowerLetter"/>
      <w:start w:val="3"/>
    </w:lvl>
    <w:lvl w:ilvl="1">
      <w:lvlJc w:val="left"/>
      <w:lvlText w:val="(%2)"/>
      <w:numFmt w:val="lowerRoman"/>
      <w:start w:val="1"/>
    </w:lvl>
  </w:abstractNum>
  <w:abstractNum w:abstractNumId="161">
    <w:nsid w:val="307995CA"/>
    <w:multiLevelType w:val="hybridMultilevel"/>
    <w:lvl w:ilvl="0">
      <w:lvlJc w:val="left"/>
      <w:lvlText w:val="(%1)"/>
      <w:numFmt w:val="lowerLetter"/>
      <w:start w:val="1"/>
    </w:lvl>
  </w:abstractNum>
  <w:abstractNum w:abstractNumId="162">
    <w:nsid w:val="52E2024D"/>
    <w:multiLevelType w:val="hybridMultilevel"/>
    <w:lvl w:ilvl="0">
      <w:lvlJc w:val="left"/>
      <w:lvlText w:val="(%1)"/>
      <w:numFmt w:val="lowerLetter"/>
      <w:start w:val="6"/>
    </w:lvl>
  </w:abstractNum>
  <w:abstractNum w:abstractNumId="163">
    <w:nsid w:val="CE344B5"/>
    <w:multiLevelType w:val="hybridMultilevel"/>
    <w:lvl w:ilvl="0">
      <w:lvlJc w:val="left"/>
      <w:lvlText w:val="(%1)"/>
      <w:numFmt w:val="lowerLetter"/>
      <w:start w:val="1"/>
    </w:lvl>
    <w:lvl w:ilvl="1">
      <w:lvlJc w:val="left"/>
      <w:lvlText w:val="(%2)"/>
      <w:numFmt w:val="lowerRoman"/>
      <w:start w:val="1"/>
    </w:lvl>
  </w:abstractNum>
  <w:abstractNum w:abstractNumId="164">
    <w:nsid w:val="29B0E9A8"/>
    <w:multiLevelType w:val="hybridMultilevel"/>
    <w:lvl w:ilvl="0">
      <w:lvlJc w:val="left"/>
      <w:lvlText w:val="(%1)"/>
      <w:numFmt w:val="lowerLetter"/>
      <w:start w:val="1"/>
    </w:lvl>
    <w:lvl w:ilvl="1">
      <w:lvlJc w:val="left"/>
      <w:lvlText w:val="(%2)"/>
      <w:numFmt w:val="lowerRoman"/>
      <w:start w:val="1"/>
    </w:lvl>
  </w:abstractNum>
  <w:abstractNum w:abstractNumId="165">
    <w:nsid w:val="6F49CD8A"/>
    <w:multiLevelType w:val="hybridMultilevel"/>
    <w:lvl w:ilvl="0">
      <w:lvlJc w:val="left"/>
      <w:lvlText w:val="(%1)"/>
      <w:numFmt w:val="lowerLetter"/>
      <w:start w:val="3"/>
    </w:lvl>
  </w:abstractNum>
  <w:abstractNum w:abstractNumId="166">
    <w:nsid w:val="4DC5D907"/>
    <w:multiLevelType w:val="hybridMultilevel"/>
    <w:lvl w:ilvl="0">
      <w:lvlJc w:val="left"/>
      <w:lvlText w:val="(%1)"/>
      <w:numFmt w:val="lowerLetter"/>
      <w:start w:val="1"/>
    </w:lvl>
    <w:lvl w:ilvl="1">
      <w:lvlJc w:val="left"/>
      <w:lvlText w:val="(%2)"/>
      <w:numFmt w:val="lowerRoman"/>
      <w:start w:val="1"/>
    </w:lvl>
  </w:abstractNum>
  <w:abstractNum w:abstractNumId="167">
    <w:nsid w:val="D55945E"/>
    <w:multiLevelType w:val="hybridMultilevel"/>
    <w:lvl w:ilvl="0">
      <w:lvlJc w:val="left"/>
      <w:lvlText w:val="(%1)"/>
      <w:numFmt w:val="lowerLetter"/>
      <w:start w:val="1"/>
    </w:lvl>
    <w:lvl w:ilvl="1">
      <w:lvlJc w:val="left"/>
      <w:lvlText w:val="(%2)"/>
      <w:numFmt w:val="lowerRoman"/>
      <w:start w:val="1"/>
    </w:lvl>
  </w:abstractNum>
  <w:abstractNum w:abstractNumId="168">
    <w:nsid w:val="672417E1"/>
    <w:multiLevelType w:val="hybridMultilevel"/>
    <w:lvl w:ilvl="0">
      <w:lvlJc w:val="left"/>
      <w:lvlText w:val="(%1)"/>
      <w:numFmt w:val="lowerLetter"/>
      <w:start w:val="2"/>
    </w:lvl>
  </w:abstractNum>
  <w:abstractNum w:abstractNumId="169">
    <w:nsid w:val="5FF6CA09"/>
    <w:multiLevelType w:val="hybridMultilevel"/>
    <w:lvl w:ilvl="0">
      <w:lvlJc w:val="left"/>
      <w:lvlText w:val="(%1)"/>
      <w:numFmt w:val="decimal"/>
      <w:start w:val="1"/>
    </w:lvl>
  </w:abstractNum>
  <w:abstractNum w:abstractNumId="170">
    <w:nsid w:val="330B1333"/>
    <w:multiLevelType w:val="hybridMultilevel"/>
    <w:lvl w:ilvl="0">
      <w:lvlJc w:val="left"/>
      <w:lvlText w:val="(%1)"/>
      <w:numFmt w:val="lowerLetter"/>
      <w:start w:val="1"/>
    </w:lvl>
  </w:abstractNum>
  <w:abstractNum w:abstractNumId="171">
    <w:nsid w:val="2EF32EA6"/>
    <w:multiLevelType w:val="hybridMultilevel"/>
    <w:lvl w:ilvl="0">
      <w:lvlJc w:val="left"/>
      <w:lvlText w:val="(%1)"/>
      <w:numFmt w:val="lowerLetter"/>
      <w:start w:val="1"/>
    </w:lvl>
  </w:abstractNum>
  <w:abstractNum w:abstractNumId="172">
    <w:nsid w:val="32766A55"/>
    <w:multiLevelType w:val="hybridMultilevel"/>
    <w:lvl w:ilvl="0">
      <w:lvlJc w:val="left"/>
      <w:lvlText w:val="(%1)"/>
      <w:numFmt w:val="lowerRoman"/>
      <w:start w:val="4"/>
    </w:lvl>
    <w:lvl w:ilvl="1">
      <w:lvlJc w:val="left"/>
      <w:lvlText w:val="(%2)"/>
      <w:numFmt w:val="lowerLetter"/>
      <w:start w:val="3"/>
    </w:lvl>
  </w:abstractNum>
  <w:abstractNum w:abstractNumId="173">
    <w:nsid w:val="22D71957"/>
    <w:multiLevelType w:val="hybridMultilevel"/>
    <w:lvl w:ilvl="0">
      <w:lvlJc w:val="left"/>
      <w:lvlText w:val="%1"/>
      <w:numFmt w:val="lowerRoman"/>
      <w:start w:val="1"/>
    </w:lvl>
    <w:lvl w:ilvl="1">
      <w:lvlJc w:val="left"/>
      <w:lvlText w:val="(%2)"/>
      <w:numFmt w:val="lowerRoman"/>
      <w:start w:val="1"/>
    </w:lvl>
  </w:abstractNum>
  <w:abstractNum w:abstractNumId="174">
    <w:nsid w:val="4CC1263B"/>
    <w:multiLevelType w:val="hybridMultilevel"/>
    <w:lvl w:ilvl="0">
      <w:lvlJc w:val="left"/>
      <w:lvlText w:val="(%1)"/>
      <w:numFmt w:val="lowerRoman"/>
      <w:start w:val="2"/>
    </w:lvl>
    <w:lvl w:ilvl="1">
      <w:lvlJc w:val="left"/>
      <w:lvlText w:val="(%2)"/>
      <w:numFmt w:val="lowerRoman"/>
      <w:start w:val="4"/>
    </w:lvl>
  </w:abstractNum>
  <w:abstractNum w:abstractNumId="175">
    <w:nsid w:val="8BBEB1D"/>
    <w:multiLevelType w:val="hybridMultilevel"/>
    <w:lvl w:ilvl="0">
      <w:lvlJc w:val="left"/>
      <w:lvlText w:val="(%1)"/>
      <w:numFmt w:val="lowerLetter"/>
      <w:start w:val="1"/>
    </w:lvl>
  </w:abstractNum>
  <w:abstractNum w:abstractNumId="176">
    <w:nsid w:val="7365F1EE"/>
    <w:multiLevelType w:val="hybridMultilevel"/>
    <w:lvl w:ilvl="0">
      <w:lvlJc w:val="left"/>
      <w:lvlText w:val="(%1)"/>
      <w:numFmt w:val="lowerLetter"/>
      <w:start w:val="2"/>
    </w:lvl>
  </w:abstractNum>
  <w:abstractNum w:abstractNumId="177">
    <w:nsid w:val="37524CF0"/>
    <w:multiLevelType w:val="hybridMultilevel"/>
    <w:lvl w:ilvl="0">
      <w:lvlJc w:val="left"/>
      <w:lvlText w:val="(%1)"/>
      <w:numFmt w:val="lowerLetter"/>
      <w:start w:val="1"/>
    </w:lvl>
  </w:abstractNum>
  <w:abstractNum w:abstractNumId="178">
    <w:nsid w:val="70CC332F"/>
    <w:multiLevelType w:val="hybridMultilevel"/>
    <w:lvl w:ilvl="0">
      <w:lvlJc w:val="left"/>
      <w:lvlText w:val="(%1)"/>
      <w:numFmt w:val="lowerLetter"/>
      <w:start w:val="1"/>
    </w:lvl>
  </w:abstractNum>
  <w:abstractNum w:abstractNumId="179">
    <w:nsid w:val="5661786E"/>
    <w:multiLevelType w:val="hybridMultilevel"/>
    <w:lvl w:ilvl="0">
      <w:lvlJc w:val="left"/>
      <w:lvlText w:val="%1."/>
      <w:numFmt w:val="decimal"/>
      <w:start w:val="1"/>
    </w:lvl>
  </w:abstractNum>
  <w:abstractNum w:abstractNumId="180">
    <w:nsid w:val="3AF6A220"/>
    <w:multiLevelType w:val="hybridMultilevel"/>
    <w:lvl w:ilvl="0">
      <w:lvlJc w:val="left"/>
      <w:lvlText w:val="%1."/>
      <w:numFmt w:val="decimal"/>
      <w:start w:val="2"/>
    </w:lvl>
    <w:lvl w:ilvl="1">
      <w:lvlJc w:val="left"/>
      <w:lvlText w:val="(%2)"/>
      <w:numFmt w:val="lowerLetter"/>
      <w:start w:val="1"/>
    </w:lvl>
  </w:abstractNum>
  <w:abstractNum w:abstractNumId="181">
    <w:nsid w:val="3C5EA902"/>
    <w:multiLevelType w:val="hybridMultilevel"/>
    <w:lvl w:ilvl="0">
      <w:lvlJc w:val="left"/>
      <w:lvlText w:val="%1"/>
      <w:numFmt w:val="lowerRoman"/>
      <w:start w:val="1"/>
    </w:lvl>
    <w:lvl w:ilvl="1">
      <w:lvlJc w:val="left"/>
      <w:lvlText w:val="(%2)"/>
      <w:numFmt w:val="lowerRoman"/>
      <w:start w:val="1"/>
    </w:lvl>
  </w:abstractNum>
  <w:abstractNum w:abstractNumId="182">
    <w:nsid w:val="256E6749"/>
    <w:multiLevelType w:val="hybridMultilevel"/>
    <w:lvl w:ilvl="0">
      <w:lvlJc w:val="left"/>
      <w:lvlText w:val="(%1)"/>
      <w:numFmt w:val="lowerRoman"/>
      <w:start w:val="10"/>
    </w:lvl>
    <w:lvl w:ilvl="1">
      <w:lvlJc w:val="left"/>
      <w:lvlText w:val="(%2)"/>
      <w:numFmt w:val="lowerRoman"/>
      <w:start w:val="2"/>
    </w:lvl>
  </w:abstractNum>
  <w:abstractNum w:abstractNumId="183">
    <w:nsid w:val="1CB9A581"/>
    <w:multiLevelType w:val="hybridMultilevel"/>
    <w:lvl w:ilvl="0">
      <w:lvlJc w:val="left"/>
      <w:lvlText w:val="(%1)"/>
      <w:numFmt w:val="lowerLetter"/>
      <w:start w:val="1"/>
    </w:lvl>
  </w:abstractNum>
  <w:abstractNum w:abstractNumId="184">
    <w:nsid w:val="1F7F42E2"/>
    <w:multiLevelType w:val="hybridMultilevel"/>
    <w:lvl w:ilvl="0">
      <w:lvlJc w:val="left"/>
      <w:lvlText w:val="(%1)"/>
      <w:numFmt w:val="lowerRoman"/>
      <w:start w:val="1"/>
    </w:lvl>
    <w:lvl w:ilvl="1">
      <w:lvlJc w:val="left"/>
      <w:lvlText w:val="(%2)"/>
      <w:numFmt w:val="upperLetter"/>
      <w:start w:val="1"/>
    </w:lvl>
  </w:abstractNum>
  <w:abstractNum w:abstractNumId="185">
    <w:nsid w:val="49D1FEA0"/>
    <w:multiLevelType w:val="hybridMultilevel"/>
    <w:lvl w:ilvl="0">
      <w:lvlJc w:val="left"/>
      <w:lvlText w:val="(%1)"/>
      <w:numFmt w:val="lowerRoman"/>
      <w:start w:val="4"/>
    </w:lvl>
    <w:lvl w:ilvl="1">
      <w:lvlJc w:val="left"/>
      <w:lvlText w:val="(%2)"/>
      <w:numFmt w:val="upperLetter"/>
      <w:start w:val="1"/>
    </w:lvl>
  </w:abstractNum>
  <w:abstractNum w:abstractNumId="186">
    <w:nsid w:val="268CB37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87">
    <w:nsid w:val="102362F8"/>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88">
    <w:nsid w:val="5FEDC0E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89">
    <w:nsid w:val="3D75BC47"/>
    <w:multiLevelType w:val="hybridMultilevel"/>
    <w:lvl w:ilvl="0">
      <w:lvlJc w:val="left"/>
      <w:lvlText w:val="(%1)"/>
      <w:numFmt w:val="lowerRoman"/>
      <w:start w:val="2"/>
    </w:lvl>
  </w:abstractNum>
  <w:abstractNum w:abstractNumId="190">
    <w:nsid w:val="3E30D9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1">
    <w:nsid w:val="18A35FE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92">
    <w:nsid w:val="6DEF521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93">
    <w:nsid w:val="1112DBB6"/>
    <w:multiLevelType w:val="hybridMultilevel"/>
    <w:lvl w:ilvl="0">
      <w:lvlJc w:val="left"/>
      <w:lvlText w:val="%1"/>
      <w:numFmt w:val="lowerRoman"/>
      <w:start w:val="1"/>
    </w:lvl>
    <w:lvl w:ilvl="1">
      <w:lvlJc w:val="left"/>
      <w:lvlText w:val="(%2)"/>
      <w:numFmt w:val="upperLetter"/>
      <w:start w:val="4"/>
    </w:lvl>
  </w:abstractNum>
  <w:abstractNum w:abstractNumId="194">
    <w:nsid w:val="2586A498"/>
    <w:multiLevelType w:val="hybridMultilevel"/>
    <w:lvl w:ilvl="0">
      <w:lvlJc w:val="left"/>
      <w:lvlText w:val="(%1)"/>
      <w:numFmt w:val="lowerRoman"/>
      <w:start w:val="2"/>
    </w:lvl>
    <w:lvl w:ilvl="1">
      <w:lvlJc w:val="left"/>
      <w:lvlText w:val="(%2)"/>
      <w:numFmt w:val="upperLetter"/>
      <w:start w:val="1"/>
    </w:lvl>
  </w:abstractNum>
  <w:abstractNum w:abstractNumId="195">
    <w:nsid w:val="17A03BB9"/>
    <w:multiLevelType w:val="hybridMultilevel"/>
    <w:lvl w:ilvl="0">
      <w:lvlJc w:val="left"/>
      <w:lvlText w:val="(%1)"/>
      <w:numFmt w:val="lowerLetter"/>
      <w:start w:val="6"/>
    </w:lvl>
    <w:lvl w:ilvl="1">
      <w:lvlJc w:val="left"/>
      <w:lvlText w:val="(%2)"/>
      <w:numFmt w:val="lowerLetter"/>
      <w:start w:val="9"/>
    </w:lvl>
  </w:abstractNum>
  <w:abstractNum w:abstractNumId="196">
    <w:nsid w:val="5CA941"/>
    <w:multiLevelType w:val="hybridMultilevel"/>
    <w:lvl w:ilvl="0">
      <w:lvlJc w:val="left"/>
      <w:lvlText w:val="%1"/>
      <w:numFmt w:val="lowerLetter"/>
      <w:start w:val="1"/>
    </w:lvl>
    <w:lvl w:ilvl="1">
      <w:lvlJc w:val="left"/>
      <w:lvlText w:val="(%2)"/>
      <w:numFmt w:val="lowerRoman"/>
      <w:start w:val="2"/>
    </w:lvl>
  </w:abstractNum>
  <w:abstractNum w:abstractNumId="197">
    <w:nsid w:val="734C7D9F"/>
    <w:multiLevelType w:val="hybridMultilevel"/>
    <w:lvl w:ilvl="0">
      <w:lvlJc w:val="left"/>
      <w:lvlText w:val="(%1)"/>
      <w:numFmt w:val="lowerLetter"/>
      <w:start w:val="7"/>
    </w:lvl>
    <w:lvl w:ilvl="1">
      <w:lvlJc w:val="left"/>
      <w:lvlText w:val="(%2)"/>
      <w:numFmt w:val="lowerRoman"/>
      <w:start w:val="1"/>
    </w:lvl>
  </w:abstractNum>
  <w:abstractNum w:abstractNumId="198">
    <w:nsid w:val="24F5D018"/>
    <w:multiLevelType w:val="hybridMultilevel"/>
    <w:lvl w:ilvl="0">
      <w:lvlJc w:val="left"/>
      <w:lvlText w:val="(%1)"/>
      <w:numFmt w:val="lowerRoman"/>
      <w:start w:val="2"/>
    </w:lvl>
  </w:abstractNum>
  <w:abstractNum w:abstractNumId="199">
    <w:nsid w:val="6780C122"/>
    <w:multiLevelType w:val="hybridMultilevel"/>
    <w:lvl w:ilvl="0">
      <w:lvlJc w:val="left"/>
      <w:lvlText w:val="%1."/>
      <w:numFmt w:val="decimal"/>
      <w:start w:val="1"/>
    </w:lvl>
  </w:abstractNum>
  <w:abstractNum w:abstractNumId="200">
    <w:nsid w:val="534347A8"/>
    <w:multiLevelType w:val="hybridMultilevel"/>
    <w:lvl w:ilvl="0">
      <w:lvlJc w:val="left"/>
      <w:lvlText w:val="%1."/>
      <w:numFmt w:val="decimal"/>
      <w:start w:val="2"/>
    </w:lvl>
  </w:abstractNum>
  <w:abstractNum w:abstractNumId="201">
    <w:nsid w:val="5800E34B"/>
    <w:multiLevelType w:val="hybridMultilevel"/>
    <w:lvl w:ilvl="0">
      <w:lvlJc w:val="left"/>
      <w:lvlText w:val="%1."/>
      <w:numFmt w:val="decimal"/>
      <w:start w:val="3"/>
    </w:lvl>
  </w:abstractNum>
  <w:abstractNum w:abstractNumId="202">
    <w:nsid w:val="1673EFC8"/>
    <w:multiLevelType w:val="hybridMultilevel"/>
    <w:lvl w:ilvl="0">
      <w:lvlJc w:val="left"/>
      <w:lvlText w:val="%1."/>
      <w:numFmt w:val="decimal"/>
      <w:start w:val="4"/>
    </w:lvl>
  </w:abstractNum>
  <w:abstractNum w:abstractNumId="203">
    <w:nsid w:val="5B9B1FD"/>
    <w:multiLevelType w:val="hybridMultilevel"/>
    <w:lvl w:ilvl="0">
      <w:lvlJc w:val="left"/>
      <w:lvlText w:val="%1."/>
      <w:numFmt w:val="decimal"/>
      <w:start w:val="5"/>
    </w:lvl>
  </w:abstractNum>
  <w:abstractNum w:abstractNumId="204">
    <w:nsid w:val="7AD7FCA2"/>
    <w:multiLevelType w:val="hybridMultilevel"/>
    <w:lvl w:ilvl="0">
      <w:lvlJc w:val="left"/>
      <w:lvlText w:val="%1."/>
      <w:numFmt w:val="decimal"/>
      <w:start w:val="6"/>
    </w:lvl>
  </w:abstractNum>
  <w:abstractNum w:abstractNumId="205">
    <w:nsid w:val="63351604"/>
    <w:multiLevelType w:val="hybridMultilevel"/>
    <w:lvl w:ilvl="0">
      <w:lvlJc w:val="left"/>
      <w:lvlText w:val="%1."/>
      <w:numFmt w:val="decimal"/>
      <w:start w:val="8"/>
    </w:lvl>
  </w:abstractNum>
  <w:abstractNum w:abstractNumId="206">
    <w:nsid w:val="E759D1A"/>
    <w:multiLevelType w:val="hybridMultilevel"/>
    <w:lvl w:ilvl="0">
      <w:lvlJc w:val="left"/>
      <w:lvlText w:val="%1."/>
      <w:numFmt w:val="decimal"/>
      <w:start w:val="9"/>
    </w:lvl>
  </w:abstractNum>
  <w:abstractNum w:abstractNumId="207">
    <w:nsid w:val="6E3DEE90"/>
    <w:multiLevelType w:val="hybridMultilevel"/>
    <w:lvl w:ilvl="0">
      <w:lvlJc w:val="left"/>
      <w:lvlText w:val="%1."/>
      <w:numFmt w:val="decimal"/>
      <w:start w:val="10"/>
    </w:lvl>
  </w:abstractNum>
  <w:abstractNum w:abstractNumId="208">
    <w:nsid w:val="1A8762F4"/>
    <w:multiLevelType w:val="hybridMultilevel"/>
    <w:lvl w:ilvl="0">
      <w:lvlJc w:val="left"/>
      <w:lvlText w:val="%1."/>
      <w:numFmt w:val="decimal"/>
      <w:start w:val="12"/>
    </w:lvl>
  </w:abstractNum>
  <w:abstractNum w:abstractNumId="209">
    <w:nsid w:val="7F41D049"/>
    <w:multiLevelType w:val="hybridMultilevel"/>
    <w:lvl w:ilvl="0">
      <w:lvlJc w:val="left"/>
      <w:lvlText w:val="%1."/>
      <w:numFmt w:val="decimal"/>
      <w:start w:val="13"/>
    </w:lvl>
  </w:abstractNum>
  <w:abstractNum w:abstractNumId="210">
    <w:nsid w:val="449F66FE"/>
    <w:multiLevelType w:val="hybridMultilevel"/>
    <w:lvl w:ilvl="0">
      <w:lvlJc w:val="left"/>
      <w:lvlText w:val="%1."/>
      <w:numFmt w:val="decimal"/>
      <w:start w:val="14"/>
    </w:lvl>
  </w:abstractNum>
  <w:abstractNum w:abstractNumId="211">
    <w:nsid w:val="557E0515"/>
    <w:multiLevelType w:val="hybridMultilevel"/>
    <w:lvl w:ilvl="0">
      <w:lvlJc w:val="left"/>
      <w:lvlText w:val="%1."/>
      <w:numFmt w:val="decimal"/>
      <w:start w:val="15"/>
    </w:lvl>
  </w:abstractNum>
  <w:abstractNum w:abstractNumId="212">
    <w:nsid w:val="3BA0794B"/>
    <w:multiLevelType w:val="hybridMultilevel"/>
    <w:lvl w:ilvl="0">
      <w:lvlJc w:val="left"/>
      <w:lvlText w:val="%1."/>
      <w:numFmt w:val="decimal"/>
      <w:start w:val="16"/>
    </w:lvl>
  </w:abstractNum>
  <w:abstractNum w:abstractNumId="213">
    <w:nsid w:val="6A0DCE48"/>
    <w:multiLevelType w:val="hybridMultilevel"/>
    <w:lvl w:ilvl="0">
      <w:lvlJc w:val="left"/>
      <w:lvlText w:val="(%1)"/>
      <w:numFmt w:val="lowerLetter"/>
      <w:start w:val="1"/>
    </w:lvl>
  </w:abstractNum>
  <w:abstractNum w:abstractNumId="214">
    <w:nsid w:val="7237AA96"/>
    <w:multiLevelType w:val="hybridMultilevel"/>
    <w:lvl w:ilvl="0">
      <w:lvlJc w:val="left"/>
      <w:lvlText w:val="%1."/>
      <w:numFmt w:val="decimal"/>
      <w:start w:val="17"/>
    </w:lvl>
  </w:abstractNum>
  <w:abstractNum w:abstractNumId="215">
    <w:nsid w:val="5B1FBC2D"/>
    <w:multiLevelType w:val="hybridMultilevel"/>
    <w:lvl w:ilvl="0">
      <w:lvlJc w:val="left"/>
      <w:lvlText w:val="%1."/>
      <w:numFmt w:val="decimal"/>
      <w:start w:val="18"/>
    </w:lvl>
  </w:abstractNum>
  <w:abstractNum w:abstractNumId="216">
    <w:nsid w:val="33DFCCE8"/>
    <w:multiLevelType w:val="hybridMultilevel"/>
    <w:lvl w:ilvl="0">
      <w:lvlJc w:val="left"/>
      <w:lvlText w:val="%1."/>
      <w:numFmt w:val="decimal"/>
      <w:start w:val="19"/>
    </w:lvl>
  </w:abstractNum>
  <w:abstractNum w:abstractNumId="217">
    <w:nsid w:val="18C45E15"/>
    <w:multiLevelType w:val="hybridMultilevel"/>
    <w:lvl w:ilvl="0">
      <w:lvlJc w:val="left"/>
      <w:lvlText w:val="%1."/>
      <w:numFmt w:val="decimal"/>
      <w:start w:val="20"/>
    </w:lvl>
  </w:abstractNum>
  <w:abstractNum w:abstractNumId="218">
    <w:nsid w:val="6B431F25"/>
    <w:multiLevelType w:val="hybridMultilevel"/>
    <w:lvl w:ilvl="0">
      <w:lvlJc w:val="left"/>
      <w:lvlText w:val="%1."/>
      <w:numFmt w:val="decimal"/>
      <w:start w:val="21"/>
    </w:lvl>
  </w:abstractNum>
  <w:abstractNum w:abstractNumId="219">
    <w:nsid w:val="13CD8DCB"/>
    <w:multiLevelType w:val="hybridMultilevel"/>
    <w:lvl w:ilvl="0">
      <w:lvlJc w:val="left"/>
      <w:lvlText w:val="☐"/>
      <w:numFmt w:val="bullet"/>
      <w:start w:val="1"/>
    </w:lvl>
  </w:abstractNum>
  <w:abstractNum w:abstractNumId="220">
    <w:nsid w:val="563A1A5C"/>
    <w:multiLevelType w:val="hybridMultilevel"/>
    <w:lvl w:ilvl="0">
      <w:lvlJc w:val="left"/>
      <w:lvlText w:val="(%1)"/>
      <w:numFmt w:val="decimal"/>
      <w:start w:val="1"/>
    </w:lvl>
  </w:abstractNum>
  <w:abstractNum w:abstractNumId="221">
    <w:nsid w:val="2973F88F"/>
    <w:multiLevelType w:val="hybridMultilevel"/>
    <w:lvl w:ilvl="0">
      <w:lvlJc w:val="left"/>
      <w:lvlText w:val="(%1)"/>
      <w:numFmt w:val="decimal"/>
      <w:start w:val="5"/>
    </w:lvl>
  </w:abstractNum>
  <w:abstractNum w:abstractNumId="222">
    <w:nsid w:val="2C70EDAE"/>
    <w:multiLevelType w:val="hybridMultilevel"/>
    <w:lvl w:ilvl="0">
      <w:lvlJc w:val="left"/>
      <w:lvlText w:val="%1."/>
      <w:numFmt w:val="decimal"/>
      <w:start w:val="1"/>
    </w:lvl>
    <w:lvl w:ilvl="1">
      <w:lvlJc w:val="left"/>
      <w:lvlText w:val="%2."/>
      <w:numFmt w:val="decimal"/>
      <w:start w:val="2"/>
    </w:lvl>
  </w:abstractNum>
  <w:abstractNum w:abstractNumId="223">
    <w:nsid w:val="44296C6D"/>
    <w:multiLevelType w:val="hybridMultilevel"/>
    <w:lvl w:ilvl="0">
      <w:lvlJc w:val="left"/>
      <w:lvlText w:val="%1."/>
      <w:numFmt w:val="decimal"/>
      <w:start w:val="3"/>
    </w:lvl>
    <w:lvl w:ilvl="1">
      <w:lvlJc w:val="left"/>
      <w:lvlText w:val="%2."/>
      <w:numFmt w:val="decimal"/>
      <w:start w:val="4"/>
    </w:lvl>
  </w:abstractNum>
  <w:abstractNum w:abstractNumId="224">
    <w:nsid w:val="3A86D445"/>
    <w:multiLevelType w:val="hybridMultilevel"/>
    <w:lvl w:ilvl="0">
      <w:lvlJc w:val="left"/>
      <w:lvlText w:val="%1."/>
      <w:numFmt w:val="decimal"/>
      <w:start w:val="7"/>
    </w:lvl>
    <w:lvl w:ilvl="1">
      <w:lvlJc w:val="left"/>
      <w:lvlText w:val="%2."/>
      <w:numFmt w:val="decimal"/>
      <w:start w:val="9"/>
    </w:lvl>
  </w:abstractNum>
  <w:abstractNum w:abstractNumId="225">
    <w:nsid w:val="51F79246"/>
    <w:multiLevelType w:val="hybridMultilevel"/>
    <w:lvl w:ilvl="0">
      <w:lvlJc w:val="left"/>
      <w:lvlText w:val="%1."/>
      <w:numFmt w:val="decimal"/>
      <w:start w:val="1"/>
    </w:lvl>
    <w:lvl w:ilvl="1">
      <w:lvlJc w:val="left"/>
      <w:lvlText w:val="%2."/>
      <w:numFmt w:val="decimal"/>
      <w:start w:val="2"/>
    </w:lvl>
  </w:abstractNum>
  <w:abstractNum w:abstractNumId="226">
    <w:nsid w:val="5BC9A827"/>
    <w:multiLevelType w:val="hybridMultilevel"/>
    <w:lvl w:ilvl="0">
      <w:lvlJc w:val="left"/>
      <w:lvlText w:val="%1."/>
      <w:numFmt w:val="decimal"/>
      <w:start w:val="3"/>
    </w:lvl>
    <w:lvl w:ilvl="1">
      <w:lvlJc w:val="left"/>
      <w:lvlText w:val="%2."/>
      <w:numFmt w:val="decimal"/>
      <w:start w:val="4"/>
    </w:lvl>
  </w:abstractNum>
  <w:abstractNum w:abstractNumId="227">
    <w:nsid w:val="3AE37D86"/>
    <w:multiLevelType w:val="hybridMultilevel"/>
    <w:lvl w:ilvl="0">
      <w:lvlJc w:val="left"/>
      <w:lvlText w:val="%1."/>
      <w:numFmt w:val="decimal"/>
      <w:start w:val="5"/>
    </w:lvl>
    <w:lvl w:ilvl="1">
      <w:lvlJc w:val="left"/>
      <w:lvlText w:val="%2."/>
      <w:numFmt w:val="decimal"/>
      <w:start w:val="6"/>
    </w:lvl>
  </w:abstractNum>
  <w:abstractNum w:abstractNumId="228">
    <w:nsid w:val="45440FE5"/>
    <w:multiLevelType w:val="hybridMultilevel"/>
    <w:lvl w:ilvl="0">
      <w:lvlJc w:val="left"/>
      <w:lvlText w:val="(%1)"/>
      <w:numFmt w:val="lowerRoman"/>
      <w:start w:val="3"/>
    </w:lvl>
    <w:lvl w:ilvl="1">
      <w:lvlJc w:val="left"/>
      <w:lvlText w:val="%2."/>
      <w:numFmt w:val="decimal"/>
      <w:start w:val="7"/>
    </w:lvl>
  </w:abstractNum>
  <w:abstractNum w:abstractNumId="229">
    <w:nsid w:val="BF783F"/>
    <w:multiLevelType w:val="hybridMultilevel"/>
    <w:lvl w:ilvl="0">
      <w:lvlJc w:val="left"/>
      <w:lvlText w:val="(%1)"/>
      <w:numFmt w:val="decimal"/>
      <w:start w:val="1"/>
    </w:lvl>
  </w:abstractNum>
  <w:abstractNum w:abstractNumId="230">
    <w:nsid w:val="22643EA9"/>
    <w:multiLevelType w:val="hybridMultilevel"/>
    <w:lvl w:ilvl="0">
      <w:lvlJc w:val="left"/>
      <w:lvlText w:val="(%1)"/>
      <w:numFmt w:val="decimal"/>
      <w:start w:val="2"/>
    </w:lvl>
  </w:abstractNum>
  <w:abstractNum w:abstractNumId="231">
    <w:nsid w:val="1887578D"/>
    <w:multiLevelType w:val="hybridMultilevel"/>
    <w:lvl w:ilvl="0">
      <w:lvlJc w:val="left"/>
      <w:lvlText w:val="(%1)"/>
      <w:numFmt w:val="decimal"/>
      <w:start w:val="3"/>
    </w:lvl>
    <w:lvl w:ilvl="1">
      <w:lvlJc w:val="left"/>
      <w:lvlText w:val="(%2)"/>
      <w:numFmt w:val="lowerLetter"/>
      <w:start w:val="1"/>
    </w:lvl>
  </w:abstractNum>
  <w:abstractNum w:abstractNumId="232">
    <w:nsid w:val="58C05B8A"/>
    <w:multiLevelType w:val="hybridMultilevel"/>
    <w:lvl w:ilvl="0">
      <w:lvlJc w:val="left"/>
      <w:lvlText w:val="(%1)"/>
      <w:numFmt w:val="decimal"/>
      <w:start w:val="1"/>
    </w:lvl>
  </w:abstractNum>
  <w:abstractNum w:abstractNumId="233">
    <w:nsid w:val="38D82E71"/>
    <w:multiLevelType w:val="hybridMultilevel"/>
    <w:lvl w:ilvl="0">
      <w:lvlJc w:val="left"/>
      <w:lvlText w:val="(%1)"/>
      <w:numFmt w:val="lowerLetter"/>
      <w:start w:val="1"/>
    </w:lvl>
  </w:abstractNum>
  <w:abstractNum w:abstractNumId="234">
    <w:nsid w:val="1E41098A"/>
    <w:multiLevelType w:val="hybridMultilevel"/>
    <w:lvl w:ilvl="0">
      <w:lvlJc w:val="left"/>
      <w:lvlText w:val="(%1)"/>
      <w:numFmt w:val="lowerLetter"/>
      <w:start w:val="3"/>
    </w:lvl>
  </w:abstractNum>
  <w:abstractNum w:abstractNumId="235">
    <w:nsid w:val="5398582C"/>
    <w:multiLevelType w:val="hybridMultilevel"/>
    <w:lvl w:ilvl="0">
      <w:lvlJc w:val="left"/>
      <w:lvlText w:val="(%1)"/>
      <w:numFmt w:val="lowerLetter"/>
      <w:start w:val="6"/>
    </w:lvl>
  </w:abstractNum>
  <w:abstractNum w:abstractNumId="236">
    <w:nsid w:val="1C0D4475"/>
    <w:multiLevelType w:val="hybridMultilevel"/>
    <w:lvl w:ilvl="0">
      <w:lvlJc w:val="left"/>
      <w:lvlText w:val="(%1)"/>
      <w:numFmt w:val="decimal"/>
      <w:start w:val="1"/>
    </w:lvl>
  </w:abstractNum>
  <w:abstractNum w:abstractNumId="237">
    <w:nsid w:val="2CB6A6A4"/>
    <w:multiLevelType w:val="hybridMultilevel"/>
    <w:lvl w:ilvl="0">
      <w:lvlJc w:val="left"/>
      <w:lvlText w:val="(%1)"/>
      <w:numFmt w:val="decimal"/>
      <w:start w:val="5"/>
    </w:lvl>
  </w:abstractNum>
  <w:abstractNum w:abstractNumId="238">
    <w:nsid w:val="41D646BC"/>
    <w:multiLevelType w:val="hybridMultilevel"/>
    <w:lvl w:ilvl="0">
      <w:lvlJc w:val="left"/>
      <w:lvlText w:val="(%1)"/>
      <w:numFmt w:val="decimal"/>
      <w:start w:val="15"/>
    </w:lvl>
  </w:abstractNum>
  <w:abstractNum w:abstractNumId="239">
    <w:nsid w:val="3694A76A"/>
    <w:multiLevelType w:val="hybridMultilevel"/>
    <w:lvl w:ilvl="0">
      <w:lvlJc w:val="left"/>
      <w:lvlText w:val="(%1)"/>
      <w:numFmt w:val="decimal"/>
      <w:start w:val="16"/>
    </w:lvl>
  </w:abstractNum>
  <w:abstractNum w:abstractNumId="240">
    <w:nsid w:val="2BF876EE"/>
    <w:multiLevelType w:val="hybridMultilevel"/>
    <w:lvl w:ilvl="0">
      <w:lvlJc w:val="left"/>
      <w:lvlText w:val="(%1)"/>
      <w:numFmt w:val="decimal"/>
      <w:start w:val="17"/>
    </w:lvl>
  </w:abstractNum>
  <w:abstractNum w:abstractNumId="241">
    <w:nsid w:val="675ADBA"/>
    <w:multiLevelType w:val="hybridMultilevel"/>
    <w:lvl w:ilvl="0">
      <w:lvlJc w:val="left"/>
      <w:lvlText w:val="(%1)"/>
      <w:numFmt w:val="decimal"/>
      <w:start w:val="19"/>
    </w:lvl>
  </w:abstractNum>
  <w:abstractNum w:abstractNumId="242">
    <w:nsid w:val="C12AC7F"/>
    <w:multiLevelType w:val="hybridMultilevel"/>
    <w:lvl w:ilvl="0">
      <w:lvlJc w:val="left"/>
      <w:lvlText w:val="%1"/>
      <w:numFmt w:val="lowerLetter"/>
      <w:start w:val="1"/>
    </w:lvl>
    <w:lvl w:ilvl="1">
      <w:lvlJc w:val="left"/>
      <w:lvlText w:val="(%2)"/>
      <w:numFmt w:val="decimal"/>
      <w:start w:val="20"/>
    </w:lvl>
  </w:abstractNum>
  <w:abstractNum w:abstractNumId="243">
    <w:nsid w:val="6798F039"/>
    <w:multiLevelType w:val="hybridMultilevel"/>
    <w:lvl w:ilvl="0">
      <w:lvlJc w:val="left"/>
      <w:lvlText w:val="(%1)"/>
      <w:numFmt w:val="lowerLetter"/>
      <w:start w:val="2"/>
    </w:lvl>
    <w:lvl w:ilvl="1">
      <w:lvlJc w:val="left"/>
      <w:lvlText w:val="(%2)"/>
      <w:numFmt w:val="decimal"/>
      <w:start w:val="24"/>
    </w:lvl>
  </w:abstractNum>
  <w:abstractNum w:abstractNumId="244">
    <w:nsid w:val="70837C02"/>
    <w:multiLevelType w:val="hybridMultilevel"/>
    <w:lvl w:ilvl="0">
      <w:lvlJc w:val="left"/>
      <w:lvlText w:val="(%1)"/>
      <w:numFmt w:val="decimal"/>
      <w:start w:val="29"/>
    </w:lvl>
  </w:abstractNum>
  <w:abstractNum w:abstractNumId="245">
    <w:nsid w:val="7E4A5715"/>
    <w:multiLevelType w:val="hybridMultilevel"/>
    <w:lvl w:ilvl="0">
      <w:lvlJc w:val="left"/>
      <w:lvlText w:val="(%1)"/>
      <w:numFmt w:val="upperLetter"/>
      <w:start w:val="3"/>
    </w:lvl>
  </w:abstractNum>
  <w:abstractNum w:abstractNumId="246">
    <w:nsid w:val="42B8AC67"/>
    <w:multiLevelType w:val="hybridMultilevel"/>
    <w:lvl w:ilvl="0">
      <w:lvlJc w:val="left"/>
      <w:lvlText w:val="(%1)"/>
      <w:numFmt w:val="decimal"/>
      <w:start w:val="35"/>
    </w:lvl>
  </w:abstractNum>
  <w:abstractNum w:abstractNumId="247">
    <w:nsid w:val="246348EA"/>
    <w:multiLevelType w:val="hybridMultilevel"/>
    <w:lvl w:ilvl="0">
      <w:lvlJc w:val="left"/>
      <w:lvlText w:val="(%1)"/>
      <w:numFmt w:val="decimal"/>
      <w:start w:val="38"/>
    </w:lvl>
    <w:lvl w:ilvl="1">
      <w:lvlJc w:val="left"/>
      <w:lvlText w:val="(%2)"/>
      <w:numFmt w:val="upperLetter"/>
      <w:start w:val="1"/>
    </w:lvl>
  </w:abstractNum>
  <w:abstractNum w:abstractNumId="248">
    <w:nsid w:val="170EB52B"/>
    <w:multiLevelType w:val="hybridMultilevel"/>
    <w:lvl w:ilvl="0">
      <w:lvlJc w:val="left"/>
      <w:lvlText w:val="(%1)"/>
      <w:numFmt w:val="decimal"/>
      <w:start w:val="40"/>
    </w:lvl>
  </w:abstractNum>
  <w:abstractNum w:abstractNumId="249">
    <w:nsid w:val="2DFBCB8C"/>
    <w:multiLevelType w:val="hybridMultilevel"/>
    <w:lvl w:ilvl="0">
      <w:lvlJc w:val="left"/>
      <w:lvlText w:val="(%1)"/>
      <w:numFmt w:val="decimal"/>
      <w:start w:val="42"/>
    </w:lvl>
  </w:abstractNum>
  <w:abstractNum w:abstractNumId="250">
    <w:nsid w:val="3830D6B6"/>
    <w:multiLevelType w:val="hybridMultilevel"/>
    <w:lvl w:ilvl="0">
      <w:lvlJc w:val="left"/>
      <w:lvlText w:val="(%1)"/>
      <w:numFmt w:val="decimal"/>
      <w:start w:val="45"/>
    </w:lvl>
    <w:lvl w:ilvl="1">
      <w:lvlJc w:val="left"/>
      <w:lvlText w:val="(%2)"/>
      <w:numFmt w:val="lowerLetter"/>
      <w:start w:val="1"/>
    </w:lvl>
  </w:abstractNum>
  <w:abstractNum w:abstractNumId="251">
    <w:nsid w:val="6D48CF87"/>
    <w:multiLevelType w:val="hybridMultilevel"/>
    <w:lvl w:ilvl="0">
      <w:lvlJc w:val="left"/>
      <w:lvlText w:val="(%1)"/>
      <w:numFmt w:val="lowerLetter"/>
      <w:start w:val="4"/>
    </w:lvl>
  </w:abstractNum>
  <w:abstractNum w:abstractNumId="252">
    <w:nsid w:val="576FC41B"/>
    <w:multiLevelType w:val="hybridMultilevel"/>
    <w:lvl w:ilvl="0">
      <w:lvlJc w:val="left"/>
      <w:lvlText w:val="%1"/>
      <w:numFmt w:val="decimal"/>
      <w:start w:val="1"/>
    </w:lvl>
    <w:lvl w:ilvl="1">
      <w:lvlJc w:val="left"/>
      <w:lvlText w:val="(%2)"/>
      <w:numFmt w:val="lowerLetter"/>
      <w:start w:val="15"/>
    </w:lvl>
  </w:abstractNum>
  <w:abstractNum w:abstractNumId="253">
    <w:nsid w:val="64A1C464"/>
    <w:multiLevelType w:val="hybridMultilevel"/>
    <w:lvl w:ilvl="0">
      <w:lvlJc w:val="left"/>
      <w:lvlText w:val="(%1)"/>
      <w:numFmt w:val="decimal"/>
      <w:start w:val="46"/>
    </w:lvl>
    <w:lvl w:ilvl="1">
      <w:lvlJc w:val="left"/>
      <w:lvlText w:val="(%2)"/>
      <w:numFmt w:val="lowerLetter"/>
      <w:start w:val="1"/>
    </w:lvl>
  </w:abstractNum>
  <w:abstractNum w:abstractNumId="254">
    <w:nsid w:val="31723BF5"/>
    <w:multiLevelType w:val="hybridMultilevel"/>
    <w:lvl w:ilvl="0">
      <w:lvlJc w:val="left"/>
      <w:lvlText w:val="(%1)"/>
      <w:numFmt w:val="decimal"/>
      <w:start w:val="1"/>
    </w:lvl>
  </w:abstractNum>
  <w:abstractNum w:abstractNumId="255">
    <w:nsid w:val="11F69861"/>
    <w:multiLevelType w:val="hybridMultilevel"/>
    <w:lvl w:ilvl="0">
      <w:lvlJc w:val="left"/>
      <w:lvlText w:val="(%1)"/>
      <w:numFmt w:val="decimal"/>
      <w:start w:val="4"/>
    </w:lvl>
  </w:abstractNum>
  <w:abstractNum w:abstractNumId="256">
    <w:nsid w:val="369956AB"/>
    <w:multiLevelType w:val="hybridMultilevel"/>
    <w:lvl w:ilvl="0">
      <w:lvlJc w:val="left"/>
      <w:lvlText w:val="(%1)"/>
      <w:numFmt w:val="lowerLetter"/>
      <w:start w:val="1"/>
    </w:lvl>
  </w:abstractNum>
  <w:abstractNum w:abstractNumId="257">
    <w:nsid w:val="D3BE41C"/>
    <w:multiLevelType w:val="hybridMultilevel"/>
    <w:lvl w:ilvl="0">
      <w:lvlJc w:val="left"/>
      <w:lvlText w:val="(%1)"/>
      <w:numFmt w:val="lowerLetter"/>
      <w:start w:val="3"/>
    </w:lvl>
  </w:abstractNum>
  <w:abstractNum w:abstractNumId="258">
    <w:nsid w:val="4CDA15E7"/>
    <w:multiLevelType w:val="hybridMultilevel"/>
    <w:lvl w:ilvl="0">
      <w:lvlJc w:val="left"/>
      <w:lvlText w:val="(%1)"/>
      <w:numFmt w:val="decimal"/>
      <w:start w:val="7"/>
    </w:lvl>
  </w:abstractNum>
  <w:abstractNum w:abstractNumId="259">
    <w:nsid w:val="7BDD6690"/>
    <w:multiLevelType w:val="hybridMultilevel"/>
    <w:lvl w:ilvl="0">
      <w:lvlJc w:val="left"/>
      <w:lvlText w:val="(%1)"/>
      <w:numFmt w:val="lowerRoman"/>
      <w:start w:val="3"/>
    </w:lvl>
  </w:abstractNum>
  <w:abstractNum w:abstractNumId="260">
    <w:nsid w:val="DFB5C5B"/>
    <w:multiLevelType w:val="hybridMultilevel"/>
    <w:lvl w:ilvl="0">
      <w:lvlJc w:val="left"/>
      <w:lvlText w:val="(%1)"/>
      <w:numFmt w:val="decimal"/>
      <w:start w:val="1"/>
    </w:lvl>
  </w:abstractNum>
  <w:abstractNum w:abstractNumId="261">
    <w:nsid w:val="6F3E5490"/>
    <w:multiLevelType w:val="hybridMultilevel"/>
    <w:lvl w:ilvl="0">
      <w:lvlJc w:val="left"/>
      <w:lvlText w:val="%1"/>
      <w:numFmt w:val="decimal"/>
      <w:start w:val="1"/>
    </w:lvl>
    <w:lvl w:ilvl="1">
      <w:lvlJc w:val="left"/>
      <w:lvlText w:val="(%2)"/>
      <w:numFmt w:val="lowerLetter"/>
      <w:start w:val="1"/>
    </w:lvl>
  </w:abstractNum>
  <w:abstractNum w:abstractNumId="262">
    <w:nsid w:val="1464BE1E"/>
    <w:multiLevelType w:val="hybridMultilevel"/>
    <w:lvl w:ilvl="0">
      <w:lvlJc w:val="left"/>
      <w:lvlText w:val="(%1)"/>
      <w:numFmt w:val="decimal"/>
      <w:start w:val="2"/>
    </w:lvl>
    <w:lvl w:ilvl="1">
      <w:lvlJc w:val="left"/>
      <w:lvlText w:val="%2"/>
      <w:numFmt w:val="lowerLetter"/>
      <w:start w:val="1"/>
    </w:lvl>
  </w:abstractNum>
  <w:abstractNum w:abstractNumId="263">
    <w:nsid w:val="66BBB7E5"/>
    <w:multiLevelType w:val="hybridMultilevel"/>
    <w:lvl w:ilvl="0">
      <w:lvlJc w:val="left"/>
      <w:lvlText w:val="(%1)"/>
      <w:numFmt w:val="lowerLetter"/>
      <w:start w:val="25"/>
    </w:lvl>
  </w:abstractNum>
  <w:abstractNum w:abstractNumId="264">
    <w:nsid w:val="28168302"/>
    <w:multiLevelType w:val="hybridMultilevel"/>
    <w:lvl w:ilvl="0">
      <w:lvlJc w:val="left"/>
      <w:lvlText w:val="(%1)"/>
      <w:numFmt w:val="lowerRoman"/>
      <w:start w:val="2"/>
    </w:lvl>
  </w:abstractNum>
  <w:abstractNum w:abstractNumId="265">
    <w:nsid w:val="32A5C7A8"/>
    <w:multiLevelType w:val="hybridMultilevel"/>
    <w:lvl w:ilvl="0">
      <w:lvlJc w:val="left"/>
      <w:lvlText w:val="(%1)"/>
      <w:numFmt w:val="decimal"/>
      <w:start w:val="3"/>
    </w:lvl>
  </w:abstractNum>
  <w:abstractNum w:abstractNumId="266">
    <w:nsid w:val="3A541011"/>
    <w:multiLevelType w:val="hybridMultilevel"/>
    <w:lvl w:ilvl="0">
      <w:lvlJc w:val="left"/>
      <w:lvlText w:val="(%1)"/>
      <w:numFmt w:val="decimal"/>
      <w:start w:val="4"/>
    </w:lvl>
  </w:abstractNum>
  <w:abstractNum w:abstractNumId="267">
    <w:nsid w:val="4423C777"/>
    <w:multiLevelType w:val="hybridMultilevel"/>
    <w:lvl w:ilvl="0">
      <w:lvlJc w:val="left"/>
      <w:lvlText w:val="%1"/>
      <w:numFmt w:val="lowerRoman"/>
      <w:start w:val="1"/>
    </w:lvl>
    <w:lvl w:ilvl="1">
      <w:lvlJc w:val="left"/>
      <w:lvlText w:val="(%2)"/>
      <w:numFmt w:val="decimal"/>
      <w:start w:val="15"/>
    </w:lvl>
  </w:abstractNum>
  <w:abstractNum w:abstractNumId="268">
    <w:nsid w:val="5F5C6E4D"/>
    <w:multiLevelType w:val="hybridMultilevel"/>
    <w:lvl w:ilvl="0">
      <w:lvlJc w:val="left"/>
      <w:lvlText w:val="(%1)"/>
      <w:numFmt w:val="lowerRoman"/>
      <w:start w:val="15"/>
    </w:lvl>
    <w:lvl w:ilvl="1">
      <w:lvlJc w:val="left"/>
      <w:lvlText w:val="(%2)"/>
      <w:numFmt w:val="decimal"/>
      <w:start w:val="16"/>
    </w:lvl>
  </w:abstractNum>
  <w:abstractNum w:abstractNumId="269">
    <w:nsid w:val="7C2A56CD"/>
    <w:multiLevelType w:val="hybridMultilevel"/>
    <w:lvl w:ilvl="0">
      <w:lvlJc w:val="left"/>
      <w:lvlText w:val="(%1)"/>
      <w:numFmt w:val="decimal"/>
      <w:start w:val="29"/>
    </w:lvl>
  </w:abstractNum>
  <w:abstractNum w:abstractNumId="270">
    <w:nsid w:val="7AB86EE1"/>
    <w:multiLevelType w:val="hybridMultilevel"/>
    <w:lvl w:ilvl="0">
      <w:lvlJc w:val="left"/>
      <w:lvlText w:val="(%1)"/>
      <w:numFmt w:val="decimal"/>
      <w:start w:val="31"/>
    </w:lvl>
    <w:lvl w:ilvl="1">
      <w:lvlJc w:val="left"/>
      <w:lvlText w:val="(%2)"/>
      <w:numFmt w:val="upperLetter"/>
      <w:start w:val="1"/>
    </w:lvl>
  </w:abstractNum>
  <w:abstractNum w:abstractNumId="271">
    <w:nsid w:val="B54E53B"/>
    <w:multiLevelType w:val="hybridMultilevel"/>
    <w:lvl w:ilvl="0">
      <w:lvlJc w:val="left"/>
      <w:lvlText w:val="%1"/>
      <w:numFmt w:val="decimal"/>
      <w:start w:val="1"/>
    </w:lvl>
    <w:lvl w:ilvl="1">
      <w:lvlJc w:val="left"/>
      <w:lvlText w:val="(%2)"/>
      <w:numFmt w:val="upperLetter"/>
      <w:start w:val="2"/>
    </w:lvl>
  </w:abstractNum>
  <w:abstractNum w:abstractNumId="272">
    <w:nsid w:val="2A00487"/>
    <w:multiLevelType w:val="hybridMultilevel"/>
    <w:lvl w:ilvl="0">
      <w:lvlJc w:val="left"/>
      <w:lvlText w:val="(%1)"/>
      <w:numFmt w:val="decimal"/>
      <w:start w:val="37"/>
    </w:lvl>
    <w:lvl w:ilvl="1">
      <w:lvlJc w:val="left"/>
      <w:lvlText w:val="%2"/>
      <w:numFmt w:val="upperLetter"/>
      <w:start w:val="1"/>
    </w:lvl>
  </w:abstractNum>
  <w:abstractNum w:abstractNumId="273">
    <w:nsid w:val="6CB1B60"/>
    <w:multiLevelType w:val="hybridMultilevel"/>
    <w:lvl w:ilvl="0">
      <w:lvlJc w:val="left"/>
      <w:lvlText w:val="(%1)"/>
      <w:numFmt w:val="decimal"/>
      <w:start w:val="49"/>
    </w:lvl>
  </w:abstractNum>
  <w:abstractNum w:abstractNumId="274">
    <w:nsid w:val="72EDD574"/>
    <w:multiLevelType w:val="hybridMultilevel"/>
    <w:lvl w:ilvl="0">
      <w:lvlJc w:val="left"/>
      <w:lvlText w:val="(%1)"/>
      <w:numFmt w:val="decimal"/>
      <w:start w:val="59"/>
    </w:lvl>
  </w:abstractNum>
  <w:abstractNum w:abstractNumId="275">
    <w:nsid w:val="7323808A"/>
    <w:multiLevelType w:val="hybridMultilevel"/>
    <w:lvl w:ilvl="0">
      <w:lvlJc w:val="left"/>
      <w:lvlText w:val="(%1)"/>
      <w:numFmt w:val="lowerRoman"/>
      <w:start w:val="1"/>
    </w:lvl>
  </w:abstractNum>
  <w:abstractNum w:abstractNumId="276">
    <w:nsid w:val="5157276"/>
    <w:multiLevelType w:val="hybridMultilevel"/>
    <w:lvl w:ilvl="0">
      <w:lvlJc w:val="left"/>
      <w:lvlText w:val="(%1)"/>
      <w:numFmt w:val="lowerRoman"/>
      <w:start w:val="4"/>
    </w:lvl>
  </w:abstractNum>
  <w:abstractNum w:abstractNumId="277">
    <w:nsid w:val="35A681DB"/>
    <w:multiLevelType w:val="hybridMultilevel"/>
    <w:lvl w:ilvl="0">
      <w:lvlJc w:val="left"/>
      <w:lvlText w:val="(%1)"/>
      <w:numFmt w:val="lowerRoman"/>
      <w:start w:val="5"/>
    </w:lvl>
  </w:abstractNum>
  <w:abstractNum w:abstractNumId="278">
    <w:nsid w:val="1786C974"/>
    <w:multiLevelType w:val="hybridMultilevel"/>
    <w:lvl w:ilvl="0">
      <w:lvlJc w:val="left"/>
      <w:lvlText w:val="(%1)"/>
      <w:numFmt w:val="lowerRoman"/>
      <w:start w:val="4"/>
    </w:lvl>
  </w:abstractNum>
  <w:abstractNum w:abstractNumId="279">
    <w:nsid w:val="1C2427A1"/>
    <w:multiLevelType w:val="hybridMultilevel"/>
    <w:lvl w:ilvl="0">
      <w:lvlJc w:val="left"/>
      <w:lvlText w:val="(%1)"/>
      <w:numFmt w:val="decimal"/>
      <w:start w:val="2"/>
    </w:lvl>
  </w:abstractNum>
  <w:abstractNum w:abstractNumId="280">
    <w:nsid w:val="63A24D68"/>
    <w:multiLevelType w:val="hybridMultilevel"/>
    <w:lvl w:ilvl="0">
      <w:lvlJc w:val="left"/>
      <w:lvlText w:val="(%1)"/>
      <w:numFmt w:val="decimal"/>
      <w:start w:val="1"/>
    </w:lvl>
  </w:abstractNum>
  <w:abstractNum w:abstractNumId="281">
    <w:nsid w:val="4FB7A02A"/>
    <w:multiLevelType w:val="hybridMultilevel"/>
    <w:lvl w:ilvl="0">
      <w:lvlJc w:val="left"/>
      <w:lvlText w:val="(%1)"/>
      <w:numFmt w:val="decimal"/>
      <w:start w:val="2"/>
    </w:lvl>
  </w:abstractNum>
  <w:abstractNum w:abstractNumId="282">
    <w:nsid w:val="96CF728"/>
    <w:multiLevelType w:val="hybridMultilevel"/>
    <w:lvl w:ilvl="0">
      <w:lvlJc w:val="left"/>
      <w:lvlText w:val="(%1)"/>
      <w:numFmt w:val="lowerLetter"/>
      <w:start w:val="24"/>
    </w:lvl>
  </w:abstractNum>
  <w:abstractNum w:abstractNumId="283">
    <w:nsid w:val="3B121183"/>
    <w:multiLevelType w:val="hybridMultilevel"/>
    <w:lvl w:ilvl="0">
      <w:lvlJc w:val="left"/>
      <w:lvlText w:val="(%1)"/>
      <w:numFmt w:val="decimal"/>
      <w:start w:val="3"/>
    </w:lvl>
  </w:abstractNum>
  <w:abstractNum w:abstractNumId="284">
    <w:nsid w:val="3459648F"/>
    <w:multiLevelType w:val="hybridMultilevel"/>
    <w:lvl w:ilvl="0">
      <w:lvlJc w:val="left"/>
      <w:lvlText w:val="(%1)"/>
      <w:numFmt w:val="lowerLetter"/>
      <w:start w:val="1"/>
    </w:lvl>
  </w:abstractNum>
  <w:abstractNum w:abstractNumId="285">
    <w:nsid w:val="3ADF331D"/>
    <w:multiLevelType w:val="hybridMultilevel"/>
    <w:lvl w:ilvl="0">
      <w:lvlJc w:val="left"/>
      <w:lvlText w:val="(%1)"/>
      <w:numFmt w:val="lowerLetter"/>
      <w:start w:val="1"/>
    </w:lvl>
  </w:abstractNum>
  <w:abstractNum w:abstractNumId="286">
    <w:nsid w:val="4D08A9E4"/>
    <w:multiLevelType w:val="hybridMultilevel"/>
    <w:lvl w:ilvl="0">
      <w:lvlJc w:val="left"/>
      <w:lvlText w:val="(%1)"/>
      <w:numFmt w:val="lowerLetter"/>
      <w:start w:val="2"/>
    </w:lvl>
  </w:abstractNum>
  <w:abstractNum w:abstractNumId="287">
    <w:nsid w:val="6AF2BB3A"/>
    <w:multiLevelType w:val="hybridMultilevel"/>
    <w:lvl w:ilvl="0">
      <w:lvlJc w:val="left"/>
      <w:lvlText w:val="(%1)"/>
      <w:numFmt w:val="decimal"/>
      <w:start w:val="1"/>
    </w:lvl>
  </w:abstractNum>
  <w:abstractNum w:abstractNumId="288">
    <w:nsid w:val="481B1739"/>
    <w:multiLevelType w:val="hybridMultilevel"/>
    <w:lvl w:ilvl="0">
      <w:lvlJc w:val="left"/>
      <w:lvlText w:val="(%1)"/>
      <w:numFmt w:val="lowerLetter"/>
      <w:start w:val="1"/>
    </w:lvl>
  </w:abstractNum>
  <w:abstractNum w:abstractNumId="289">
    <w:nsid w:val="19E2BFCC"/>
    <w:multiLevelType w:val="hybridMultilevel"/>
    <w:lvl w:ilvl="0">
      <w:lvlJc w:val="left"/>
      <w:lvlText w:val="(%1)"/>
      <w:numFmt w:val="lowerLetter"/>
      <w:start w:val="4"/>
    </w:lvl>
  </w:abstractNum>
  <w:abstractNum w:abstractNumId="290">
    <w:nsid w:val="66D021CA"/>
    <w:multiLevelType w:val="hybridMultilevel"/>
    <w:lvl w:ilvl="0">
      <w:lvlJc w:val="left"/>
      <w:lvlText w:val="(%1)"/>
      <w:numFmt w:val="decimal"/>
      <w:start w:val="1"/>
    </w:lvl>
  </w:abstractNum>
  <w:abstractNum w:abstractNumId="291">
    <w:nsid w:val="56167394"/>
    <w:multiLevelType w:val="hybridMultilevel"/>
    <w:lvl w:ilvl="0">
      <w:lvlJc w:val="left"/>
      <w:lvlText w:val="%1"/>
      <w:numFmt w:val="lowerRoman"/>
      <w:start w:val="1"/>
    </w:lvl>
    <w:lvl w:ilvl="1">
      <w:lvlJc w:val="left"/>
      <w:lvlText w:val="(%2)"/>
      <w:numFmt w:val="decimal"/>
      <w:start w:val="5"/>
    </w:lvl>
  </w:abstractNum>
  <w:abstractNum w:abstractNumId="292">
    <w:nsid w:val="921145C"/>
    <w:multiLevelType w:val="hybridMultilevel"/>
    <w:lvl w:ilvl="0">
      <w:lvlJc w:val="left"/>
      <w:lvlText w:val="(%1)"/>
      <w:numFmt w:val="lowerRoman"/>
      <w:start w:val="2"/>
    </w:lvl>
    <w:lvl w:ilvl="1">
      <w:lvlJc w:val="left"/>
      <w:lvlText w:val="(%2)"/>
      <w:numFmt w:val="decimal"/>
      <w:start w:val="9"/>
    </w:lvl>
  </w:abstractNum>
  <w:abstractNum w:abstractNumId="293">
    <w:nsid w:val="7B34DFE8"/>
    <w:multiLevelType w:val="hybridMultilevel"/>
    <w:lvl w:ilvl="0">
      <w:lvlJc w:val="left"/>
      <w:lvlText w:val="(%1)"/>
      <w:numFmt w:val="lowerLetter"/>
      <w:start w:val="1"/>
    </w:lvl>
  </w:abstractNum>
  <w:abstractNum w:abstractNumId="294">
    <w:nsid w:val="3CD22B79"/>
    <w:multiLevelType w:val="hybridMultilevel"/>
    <w:lvl w:ilvl="0">
      <w:lvlJc w:val="left"/>
      <w:lvlText w:val="(%1)"/>
      <w:numFmt w:val="lowerRoman"/>
      <w:start w:val="1"/>
    </w:lvl>
  </w:abstractNum>
  <w:abstractNum w:abstractNumId="295">
    <w:nsid w:val="3137975E"/>
    <w:multiLevelType w:val="hybridMultilevel"/>
    <w:lvl w:ilvl="0">
      <w:lvlJc w:val="left"/>
      <w:lvlText w:val="%1"/>
      <w:numFmt w:val="lowerLetter"/>
      <w:start w:val="1"/>
    </w:lvl>
    <w:lvl w:ilvl="1">
      <w:lvlJc w:val="left"/>
      <w:lvlText w:val="(%2)"/>
      <w:numFmt w:val="lowerRoman"/>
      <w:start w:val="2"/>
    </w:lvl>
  </w:abstractNum>
  <w:abstractNum w:abstractNumId="296">
    <w:nsid w:val="2DDAA791"/>
    <w:multiLevelType w:val="hybridMultilevel"/>
    <w:lvl w:ilvl="0">
      <w:lvlJc w:val="left"/>
      <w:lvlText w:val="(%1)"/>
      <w:numFmt w:val="lowerLetter"/>
      <w:start w:val="2"/>
    </w:lvl>
    <w:lvl w:ilvl="1">
      <w:lvlJc w:val="left"/>
      <w:lvlText w:val="%2"/>
      <w:numFmt w:val="lowerRoman"/>
      <w:start w:val="1"/>
    </w:lvl>
  </w:abstractNum>
  <w:abstractNum w:abstractNumId="297">
    <w:nsid w:val="77263B8A"/>
    <w:multiLevelType w:val="hybridMultilevel"/>
    <w:lvl w:ilvl="0">
      <w:lvlJc w:val="left"/>
      <w:lvlText w:val="(%1)"/>
      <w:numFmt w:val="lowerLetter"/>
      <w:start w:val="1"/>
    </w:lvl>
  </w:abstractNum>
  <w:abstractNum w:abstractNumId="298">
    <w:nsid w:val="755B5ED6"/>
    <w:multiLevelType w:val="hybridMultilevel"/>
    <w:lvl w:ilvl="0">
      <w:lvlJc w:val="left"/>
      <w:lvlText w:val="(%1)"/>
      <w:numFmt w:val="lowerLetter"/>
      <w:start w:val="1"/>
    </w:lvl>
  </w:abstractNum>
  <w:abstractNum w:abstractNumId="299">
    <w:nsid w:val="D3715DE"/>
    <w:multiLevelType w:val="hybridMultilevel"/>
    <w:lvl w:ilvl="0">
      <w:lvlJc w:val="left"/>
      <w:lvlText w:val="(%1)"/>
      <w:numFmt w:val="lowerLetter"/>
      <w:start w:val="1"/>
    </w:lvl>
    <w:lvl w:ilvl="1">
      <w:lvlJc w:val="left"/>
      <w:lvlText w:val="(%2)"/>
      <w:numFmt w:val="lowerRoman"/>
      <w:start w:val="1"/>
    </w:lvl>
  </w:abstractNum>
  <w:abstractNum w:abstractNumId="300">
    <w:nsid w:val="73509257"/>
    <w:multiLevelType w:val="hybridMultilevel"/>
    <w:lvl w:ilvl="0">
      <w:lvlJc w:val="left"/>
      <w:lvlText w:val="(%1)"/>
      <w:numFmt w:val="lowerLetter"/>
      <w:start w:val="2"/>
    </w:lvl>
  </w:abstractNum>
  <w:abstractNum w:abstractNumId="301">
    <w:nsid w:val="7013CDB7"/>
    <w:multiLevelType w:val="hybridMultilevel"/>
    <w:lvl w:ilvl="0">
      <w:lvlJc w:val="left"/>
      <w:lvlText w:val="(%1)"/>
      <w:numFmt w:val="lowerLetter"/>
      <w:start w:val="5"/>
    </w:lvl>
  </w:abstractNum>
  <w:abstractNum w:abstractNumId="302">
    <w:nsid w:val="188BFB19"/>
    <w:multiLevelType w:val="hybridMultilevel"/>
    <w:lvl w:ilvl="0">
      <w:lvlJc w:val="left"/>
      <w:lvlText w:val="%1"/>
      <w:numFmt w:val="lowerLetter"/>
      <w:start w:val="1"/>
    </w:lvl>
    <w:lvl w:ilvl="1">
      <w:lvlJc w:val="left"/>
      <w:lvlText w:val="(%2)"/>
      <w:numFmt w:val="lowerLetter"/>
      <w:start w:val="1"/>
    </w:lvl>
  </w:abstractNum>
  <w:abstractNum w:abstractNumId="303">
    <w:nsid w:val="75F096DF"/>
    <w:multiLevelType w:val="hybridMultilevel"/>
    <w:lvl w:ilvl="0">
      <w:lvlJc w:val="left"/>
      <w:lvlText w:val="(%1)"/>
      <w:numFmt w:val="lowerLetter"/>
      <w:start w:val="35"/>
    </w:lvl>
    <w:lvl w:ilvl="1">
      <w:lvlJc w:val="left"/>
      <w:lvlText w:val="%2"/>
      <w:numFmt w:val="lowerLetter"/>
      <w:start w:val="1"/>
    </w:lvl>
  </w:abstractNum>
  <w:abstractNum w:abstractNumId="304">
    <w:nsid w:val="76DEE918"/>
    <w:multiLevelType w:val="hybridMultilevel"/>
    <w:lvl w:ilvl="0">
      <w:lvlJc w:val="left"/>
      <w:lvlText w:val="(%1)"/>
      <w:numFmt w:val="lowerLetter"/>
      <w:start w:val="2"/>
    </w:lvl>
    <w:lvl w:ilvl="1">
      <w:lvlJc w:val="left"/>
      <w:lvlText w:val="(%2)"/>
      <w:numFmt w:val="lowerRoman"/>
      <w:start w:val="1"/>
    </w:lvl>
  </w:abstractNum>
  <w:abstractNum w:abstractNumId="305">
    <w:nsid w:val="B79D08D"/>
    <w:multiLevelType w:val="hybridMultilevel"/>
    <w:lvl w:ilvl="0">
      <w:lvlJc w:val="left"/>
      <w:lvlText w:val="(%1)"/>
      <w:numFmt w:val="lowerLetter"/>
      <w:start w:val="24"/>
    </w:lvl>
    <w:lvl w:ilvl="1">
      <w:lvlJc w:val="left"/>
      <w:lvlText w:val="(%2)"/>
      <w:numFmt w:val="lowerRoman"/>
      <w:start w:val="2"/>
    </w:lvl>
  </w:abstractNum>
  <w:abstractNum w:abstractNumId="306">
    <w:nsid w:val="69141769"/>
    <w:multiLevelType w:val="hybridMultilevel"/>
    <w:lvl w:ilvl="0">
      <w:lvlJc w:val="left"/>
      <w:lvlText w:val="(%1)"/>
      <w:numFmt w:val="lowerRoman"/>
      <w:start w:val="8"/>
    </w:lvl>
  </w:abstractNum>
  <w:abstractNum w:abstractNumId="307">
    <w:nsid w:val="7BF45B8E"/>
    <w:multiLevelType w:val="hybridMultilevel"/>
    <w:lvl w:ilvl="0">
      <w:lvlJc w:val="left"/>
      <w:lvlText w:val="(%1)"/>
      <w:numFmt w:val="lowerRoman"/>
      <w:start w:val="14"/>
    </w:lvl>
    <w:lvl w:ilvl="1">
      <w:lvlJc w:val="left"/>
      <w:lvlText w:val="(%2)"/>
      <w:numFmt w:val="decimal"/>
      <w:start w:val="1"/>
    </w:lvl>
  </w:abstractNum>
  <w:abstractNum w:abstractNumId="308">
    <w:nsid w:val="41205269"/>
    <w:multiLevelType w:val="hybridMultilevel"/>
    <w:lvl w:ilvl="0">
      <w:lvlJc w:val="left"/>
      <w:lvlText w:val="%1"/>
      <w:numFmt w:val="lowerRoman"/>
      <w:start w:val="1"/>
    </w:lvl>
    <w:lvl w:ilvl="1">
      <w:lvlJc w:val="left"/>
      <w:lvlText w:val="(%2)"/>
      <w:numFmt w:val="lowerRoman"/>
      <w:start w:val="16"/>
    </w:lvl>
  </w:abstractNum>
  <w:abstractNum w:abstractNumId="309">
    <w:nsid w:val="9AE0DD"/>
    <w:multiLevelType w:val="hybridMultilevel"/>
    <w:lvl w:ilvl="0">
      <w:lvlJc w:val="left"/>
      <w:lvlText w:val="(%1)"/>
      <w:numFmt w:val="lowerRoman"/>
      <w:start w:val="18"/>
    </w:lvl>
    <w:lvl w:ilvl="1">
      <w:lvlJc w:val="left"/>
      <w:lvlText w:val="%2"/>
      <w:numFmt w:val="lowerRoman"/>
      <w:start w:val="1"/>
    </w:lvl>
  </w:abstractNum>
  <w:abstractNum w:abstractNumId="310">
    <w:nsid w:val="1818832F"/>
    <w:multiLevelType w:val="hybridMultilevel"/>
    <w:lvl w:ilvl="0">
      <w:lvlJc w:val="left"/>
      <w:lvlText w:val="(%1)"/>
      <w:numFmt w:val="lowerRoman"/>
      <w:start w:val="19"/>
    </w:lvl>
  </w:abstractNum>
  <w:abstractNum w:abstractNumId="311">
    <w:nsid w:val="24C29FD1"/>
    <w:multiLevelType w:val="hybridMultilevel"/>
    <w:lvl w:ilvl="0">
      <w:lvlJc w:val="left"/>
      <w:lvlText w:val="%1"/>
      <w:numFmt w:val="lowerLetter"/>
      <w:start w:val="1"/>
    </w:lvl>
    <w:lvl w:ilvl="1">
      <w:lvlJc w:val="left"/>
      <w:lvlText w:val="(%2)"/>
      <w:numFmt w:val="lowerRoman"/>
      <w:start w:val="30"/>
    </w:lvl>
  </w:abstractNum>
  <w:abstractNum w:abstractNumId="312">
    <w:nsid w:val="50528108"/>
    <w:multiLevelType w:val="hybridMultilevel"/>
    <w:lvl w:ilvl="0">
      <w:lvlJc w:val="left"/>
      <w:lvlText w:val="(%1)"/>
      <w:numFmt w:val="lowerLetter"/>
      <w:start w:val="3"/>
    </w:lvl>
    <w:lvl w:ilvl="1">
      <w:lvlJc w:val="left"/>
      <w:lvlText w:val="%2"/>
      <w:numFmt w:val="lowerRoman"/>
      <w:start w:val="1"/>
    </w:lvl>
  </w:abstractNum>
  <w:abstractNum w:abstractNumId="313">
    <w:nsid w:val="21857A57"/>
    <w:multiLevelType w:val="hybridMultilevel"/>
    <w:lvl w:ilvl="0">
      <w:lvlJc w:val="left"/>
      <w:lvlText w:val="(%1)"/>
      <w:numFmt w:val="decimal"/>
      <w:start w:val="1"/>
    </w:lvl>
  </w:abstractNum>
  <w:abstractNum w:abstractNumId="314">
    <w:nsid w:val="5FD4B154"/>
    <w:multiLevelType w:val="hybridMultilevel"/>
    <w:lvl w:ilvl="0">
      <w:lvlJc w:val="left"/>
      <w:lvlText w:val="(%1)"/>
      <w:numFmt w:val="upperLetter"/>
      <w:start w:val="2"/>
    </w:lvl>
    <w:lvl w:ilvl="1">
      <w:lvlJc w:val="left"/>
      <w:lvlText w:val="(%2)"/>
      <w:numFmt w:val="decimal"/>
      <w:start w:val="3"/>
    </w:lvl>
  </w:abstractNum>
  <w:abstractNum w:abstractNumId="315">
    <w:nsid w:val="4ABE597"/>
    <w:multiLevelType w:val="hybridMultilevel"/>
    <w:lvl w:ilvl="0">
      <w:lvlJc w:val="left"/>
      <w:lvlText w:val="(%1)"/>
      <w:numFmt w:val="lowerLetter"/>
      <w:start w:val="1"/>
    </w:lvl>
  </w:abstractNum>
  <w:abstractNum w:abstractNumId="316">
    <w:nsid w:val="5C64AD75"/>
    <w:multiLevelType w:val="hybridMultilevel"/>
    <w:lvl w:ilvl="0">
      <w:lvlJc w:val="left"/>
      <w:lvlText w:val="%1"/>
      <w:numFmt w:val="upperLetter"/>
      <w:start w:val="1"/>
    </w:lvl>
    <w:lvl w:ilvl="1">
      <w:lvlJc w:val="left"/>
      <w:lvlText w:val="(%2)"/>
      <w:numFmt w:val="lowerRoman"/>
      <w:start w:val="1"/>
    </w:lvl>
  </w:abstractNum>
  <w:abstractNum w:abstractNumId="317">
    <w:nsid w:val="2CDD5B39"/>
    <w:multiLevelType w:val="hybridMultilevel"/>
    <w:lvl w:ilvl="0">
      <w:lvlJc w:val="left"/>
      <w:lvlText w:val="(%1)"/>
      <w:numFmt w:val="upperLetter"/>
      <w:start w:val="2"/>
    </w:lvl>
    <w:lvl w:ilvl="1">
      <w:lvlJc w:val="left"/>
      <w:lvlText w:val="(%2)"/>
      <w:numFmt w:val="lowerRoman"/>
      <w:start w:val="4"/>
    </w:lvl>
  </w:abstractNum>
  <w:abstractNum w:abstractNumId="318">
    <w:nsid w:val="6F9EA0D1"/>
    <w:multiLevelType w:val="hybridMultilevel"/>
    <w:lvl w:ilvl="0">
      <w:lvlJc w:val="left"/>
      <w:lvlText w:val="%1"/>
      <w:numFmt w:val="lowerLetter"/>
      <w:start w:val="1"/>
    </w:lvl>
    <w:lvl w:ilvl="1">
      <w:lvlJc w:val="left"/>
      <w:lvlText w:val="(%2)"/>
      <w:numFmt w:val="decimal"/>
      <w:start w:val="1"/>
    </w:lvl>
  </w:abstractNum>
  <w:abstractNum w:abstractNumId="319">
    <w:nsid w:val="247FC4AE"/>
    <w:multiLevelType w:val="hybridMultilevel"/>
    <w:lvl w:ilvl="0">
      <w:lvlJc w:val="left"/>
      <w:lvlText w:val="(%1)"/>
      <w:numFmt w:val="lowerLetter"/>
      <w:start w:val="2"/>
    </w:lvl>
    <w:lvl w:ilvl="1">
      <w:lvlJc w:val="left"/>
      <w:lvlText w:val="%2"/>
      <w:numFmt w:val="decimal"/>
      <w:start w:val="1"/>
    </w:lvl>
  </w:abstractNum>
  <w:abstractNum w:abstractNumId="320">
    <w:nsid w:val="46C01B05"/>
    <w:multiLevelType w:val="hybridMultilevel"/>
    <w:lvl w:ilvl="0">
      <w:lvlJc w:val="left"/>
      <w:lvlText w:val="(%1)"/>
      <w:numFmt w:val="lowerRoman"/>
      <w:start w:val="1"/>
    </w:lvl>
    <w:lvl w:ilvl="1">
      <w:lvlJc w:val="left"/>
      <w:lvlText w:val="(%2)"/>
      <w:numFmt w:val="upperLetter"/>
      <w:start w:val="1"/>
    </w:lvl>
  </w:abstractNum>
  <w:abstractNum w:abstractNumId="321">
    <w:nsid w:val="566EC29B"/>
    <w:multiLevelType w:val="hybridMultilevel"/>
    <w:lvl w:ilvl="0">
      <w:lvlJc w:val="left"/>
      <w:lvlText w:val="(%1)"/>
      <w:numFmt w:val="lowerRoman"/>
      <w:start w:val="3"/>
    </w:lvl>
    <w:lvl w:ilvl="1">
      <w:lvlJc w:val="left"/>
      <w:lvlText w:val="(%2)"/>
      <w:numFmt w:val="upperLetter"/>
      <w:start w:val="1"/>
    </w:lvl>
  </w:abstractNum>
  <w:abstractNum w:abstractNumId="322">
    <w:nsid w:val="7A963843"/>
    <w:multiLevelType w:val="hybridMultilevel"/>
    <w:lvl w:ilvl="0">
      <w:lvlJc w:val="left"/>
      <w:lvlText w:val="(%1)"/>
      <w:numFmt w:val="lowerRoman"/>
      <w:start w:val="5"/>
    </w:lvl>
  </w:abstractNum>
  <w:abstractNum w:abstractNumId="323">
    <w:nsid w:val="4FE12F61"/>
    <w:multiLevelType w:val="hybridMultilevel"/>
    <w:lvl w:ilvl="0">
      <w:lvlJc w:val="left"/>
      <w:lvlText w:val="(%1)"/>
      <w:numFmt w:val="upperLetter"/>
      <w:start w:val="1"/>
    </w:lvl>
  </w:abstractNum>
  <w:abstractNum w:abstractNumId="324">
    <w:nsid w:val="51A3A284"/>
    <w:multiLevelType w:val="hybridMultilevel"/>
    <w:lvl w:ilvl="0">
      <w:lvlJc w:val="left"/>
      <w:lvlText w:val="(%1)"/>
      <w:numFmt w:val="lowerRoman"/>
      <w:start w:val="7"/>
    </w:lvl>
  </w:abstractNum>
  <w:abstractNum w:abstractNumId="325">
    <w:nsid w:val="376863BC"/>
    <w:multiLevelType w:val="hybridMultilevel"/>
    <w:lvl w:ilvl="0">
      <w:lvlJc w:val="left"/>
      <w:lvlText w:val="(%1)"/>
      <w:numFmt w:val="lowerRoman"/>
      <w:start w:val="19"/>
    </w:lvl>
  </w:abstractNum>
  <w:abstractNum w:abstractNumId="326">
    <w:nsid w:val="118C6C0"/>
    <w:multiLevelType w:val="hybridMultilevel"/>
    <w:lvl w:ilvl="0">
      <w:lvlJc w:val="left"/>
      <w:lvlText w:val="(%1)"/>
      <w:numFmt w:val="lowerLetter"/>
      <w:start w:val="3"/>
    </w:lvl>
  </w:abstractNum>
  <w:abstractNum w:abstractNumId="327">
    <w:nsid w:val="7F7E4A15"/>
    <w:multiLevelType w:val="hybridMultilevel"/>
    <w:lvl w:ilvl="0">
      <w:lvlJc w:val="left"/>
      <w:lvlText w:val="(%1)"/>
      <w:numFmt w:val="lowerLetter"/>
      <w:start w:val="1"/>
    </w:lvl>
  </w:abstractNum>
  <w:abstractNum w:abstractNumId="328">
    <w:nsid w:val="2E8E9F47"/>
    <w:multiLevelType w:val="hybridMultilevel"/>
    <w:lvl w:ilvl="0">
      <w:lvlJc w:val="left"/>
      <w:lvlText w:val="(%1)"/>
      <w:numFmt w:val="lowerLetter"/>
      <w:start w:val="2"/>
    </w:lvl>
  </w:abstractNum>
  <w:abstractNum w:abstractNumId="329">
    <w:nsid w:val="76742596"/>
    <w:multiLevelType w:val="hybridMultilevel"/>
    <w:lvl w:ilvl="0">
      <w:lvlJc w:val="left"/>
      <w:lvlText w:val="(%1)"/>
      <w:numFmt w:val="decimal"/>
      <w:start w:val="1"/>
    </w:lvl>
  </w:abstractNum>
  <w:abstractNum w:abstractNumId="330">
    <w:nsid w:val="CB55FF3"/>
    <w:multiLevelType w:val="hybridMultilevel"/>
    <w:lvl w:ilvl="0">
      <w:lvlJc w:val="left"/>
      <w:lvlText w:val="(%1)"/>
      <w:numFmt w:val="decimal"/>
      <w:start w:val="15"/>
    </w:lvl>
  </w:abstractNum>
  <w:abstractNum w:abstractNumId="331">
    <w:nsid w:val="21DF319E"/>
    <w:multiLevelType w:val="hybridMultilevel"/>
    <w:lvl w:ilvl="0">
      <w:lvlJc w:val="left"/>
      <w:lvlText w:val="(%1)"/>
      <w:numFmt w:val="lowerLetter"/>
      <w:start w:val="1"/>
    </w:lvl>
    <w:lvl w:ilvl="1">
      <w:lvlJc w:val="left"/>
      <w:lvlText w:val="(%2)"/>
      <w:numFmt w:val="lowerRoman"/>
      <w:start w:val="1"/>
    </w:lvl>
  </w:abstractNum>
  <w:abstractNum w:abstractNumId="332">
    <w:nsid w:val="6687F34D"/>
    <w:multiLevelType w:val="hybridMultilevel"/>
    <w:lvl w:ilvl="0">
      <w:lvlJc w:val="left"/>
      <w:lvlText w:val="(%1)"/>
      <w:numFmt w:val="lowerLetter"/>
      <w:start w:val="2"/>
    </w:lvl>
    <w:lvl w:ilvl="1">
      <w:lvlJc w:val="left"/>
      <w:lvlText w:val="(%2)"/>
      <w:numFmt w:val="lowerRoman"/>
      <w:start w:val="1"/>
    </w:lvl>
  </w:abstractNum>
  <w:abstractNum w:abstractNumId="333">
    <w:nsid w:val="25415B0C"/>
    <w:multiLevelType w:val="hybridMultilevel"/>
    <w:lvl w:ilvl="0">
      <w:lvlJc w:val="left"/>
      <w:lvlText w:val="(%1)"/>
      <w:numFmt w:val="lowerLetter"/>
      <w:start w:val="3"/>
    </w:lvl>
  </w:abstractNum>
  <w:abstractNum w:abstractNumId="334">
    <w:nsid w:val="17CFC87D"/>
    <w:multiLevelType w:val="hybridMultilevel"/>
    <w:lvl w:ilvl="0">
      <w:lvlJc w:val="left"/>
      <w:lvlText w:val="(%1)"/>
      <w:numFmt w:val="lowerLetter"/>
      <w:start w:val="1"/>
    </w:lvl>
    <w:lvl w:ilvl="1">
      <w:lvlJc w:val="left"/>
      <w:lvlText w:val="(%2)"/>
      <w:numFmt w:val="lowerLetter"/>
      <w:start w:val="9"/>
    </w:lvl>
  </w:abstractNum>
  <w:abstractNum w:abstractNumId="335">
    <w:nsid w:val="5D66DC65"/>
    <w:multiLevelType w:val="hybridMultilevel"/>
    <w:lvl w:ilvl="0">
      <w:lvlJc w:val="left"/>
      <w:lvlText w:val="%1"/>
      <w:numFmt w:val="lowerLetter"/>
      <w:start w:val="1"/>
    </w:lvl>
    <w:lvl w:ilvl="1">
      <w:lvlJc w:val="left"/>
      <w:lvlText w:val="(%2)"/>
      <w:numFmt w:val="lowerLetter"/>
      <w:start w:val="35"/>
    </w:lvl>
  </w:abstractNum>
  <w:abstractNum w:abstractNumId="336">
    <w:nsid w:val="30BB2B99"/>
    <w:multiLevelType w:val="hybridMultilevel"/>
    <w:lvl w:ilvl="0">
      <w:lvlJc w:val="left"/>
      <w:lvlText w:val="(%1)"/>
      <w:numFmt w:val="lowerLetter"/>
      <w:start w:val="2"/>
    </w:lvl>
    <w:lvl w:ilvl="1">
      <w:lvlJc w:val="left"/>
      <w:lvlText w:val="(%2)"/>
      <w:numFmt w:val="lowerLetter"/>
      <w:start w:val="9"/>
    </w:lvl>
  </w:abstractNum>
  <w:abstractNum w:abstractNumId="337">
    <w:nsid w:val="E3DFE6"/>
    <w:multiLevelType w:val="hybridMultilevel"/>
    <w:lvl w:ilvl="0">
      <w:lvlJc w:val="left"/>
      <w:lvlText w:val="(%1)"/>
      <w:numFmt w:val="lowerRoman"/>
      <w:start w:val="2"/>
    </w:lvl>
  </w:abstractNum>
  <w:abstractNum w:abstractNumId="338">
    <w:nsid w:val="595B37F3"/>
    <w:multiLevelType w:val="hybridMultilevel"/>
    <w:lvl w:ilvl="0">
      <w:lvlJc w:val="left"/>
      <w:lvlText w:val="(%1)"/>
      <w:numFmt w:val="lowerRoman"/>
      <w:start w:val="10"/>
    </w:lvl>
  </w:abstractNum>
  <w:abstractNum w:abstractNumId="339">
    <w:nsid w:val="71DB7E02"/>
    <w:multiLevelType w:val="hybridMultilevel"/>
    <w:lvl w:ilvl="0">
      <w:lvlJc w:val="left"/>
      <w:lvlText w:val="(%1)"/>
      <w:numFmt w:val="lowerLetter"/>
      <w:start w:val="1"/>
    </w:lvl>
    <w:lvl w:ilvl="1">
      <w:lvlJc w:val="left"/>
      <w:lvlText w:val="(%2)"/>
      <w:numFmt w:val="lowerRoman"/>
      <w:start w:val="1"/>
    </w:lvl>
  </w:abstractNum>
  <w:abstractNum w:abstractNumId="340">
    <w:nsid w:val="17EC0C4"/>
    <w:multiLevelType w:val="hybridMultilevel"/>
    <w:lvl w:ilvl="0">
      <w:lvlJc w:val="left"/>
      <w:lvlText w:val="%1"/>
      <w:numFmt w:val="lowerLetter"/>
      <w:start w:val="1"/>
    </w:lvl>
    <w:lvl w:ilvl="1">
      <w:lvlJc w:val="left"/>
      <w:lvlText w:val="(%2)"/>
      <w:numFmt w:val="lowerRoman"/>
      <w:start w:val="3"/>
    </w:lvl>
  </w:abstractNum>
  <w:abstractNum w:abstractNumId="341">
    <w:nsid w:val="7173BB22"/>
    <w:multiLevelType w:val="hybridMultilevel"/>
    <w:lvl w:ilvl="0">
      <w:lvlJc w:val="left"/>
      <w:lvlText w:val="(%1)"/>
      <w:numFmt w:val="lowerLetter"/>
      <w:start w:val="3"/>
    </w:lvl>
    <w:lvl w:ilvl="1">
      <w:lvlJc w:val="left"/>
      <w:lvlText w:val="%2"/>
      <w:numFmt w:val="lowerRoman"/>
      <w:start w:val="1"/>
    </w:lvl>
  </w:abstractNum>
  <w:abstractNum w:abstractNumId="342">
    <w:nsid w:val="169E1DD3"/>
    <w:multiLevelType w:val="hybridMultilevel"/>
    <w:lvl w:ilvl="0">
      <w:lvlJc w:val="left"/>
      <w:lvlText w:val="(%1)"/>
      <w:numFmt w:val="lowerLetter"/>
      <w:start w:val="1"/>
    </w:lvl>
  </w:abstractNum>
  <w:abstractNum w:abstractNumId="343">
    <w:nsid w:val="51D141CC"/>
    <w:multiLevelType w:val="hybridMultilevel"/>
    <w:lvl w:ilvl="0">
      <w:lvlJc w:val="left"/>
      <w:lvlText w:val="(%1)"/>
      <w:numFmt w:val="lowerLetter"/>
      <w:start w:val="1"/>
    </w:lvl>
  </w:abstractNum>
  <w:abstractNum w:abstractNumId="344">
    <w:nsid w:val="12F9357A"/>
    <w:multiLevelType w:val="hybridMultilevel"/>
    <w:lvl w:ilvl="0">
      <w:lvlJc w:val="left"/>
      <w:lvlText w:val="(%1)"/>
      <w:numFmt w:val="lowerLetter"/>
      <w:start w:val="1"/>
    </w:lvl>
  </w:abstractNum>
  <w:abstractNum w:abstractNumId="345">
    <w:nsid w:val="7672CF28"/>
    <w:multiLevelType w:val="hybridMultilevel"/>
    <w:lvl w:ilvl="0">
      <w:lvlJc w:val="left"/>
      <w:lvlText w:val="(%1)"/>
      <w:numFmt w:val="lowerLetter"/>
      <w:start w:val="2"/>
    </w:lvl>
  </w:abstractNum>
  <w:abstractNum w:abstractNumId="346">
    <w:nsid w:val="567D2763"/>
    <w:multiLevelType w:val="hybridMultilevel"/>
    <w:lvl w:ilvl="0">
      <w:lvlJc w:val="left"/>
      <w:lvlText w:val="(%1)"/>
      <w:numFmt w:val="lowerLetter"/>
      <w:start w:val="1"/>
    </w:lvl>
    <w:lvl w:ilvl="1">
      <w:lvlJc w:val="left"/>
      <w:lvlText w:val="(%2)"/>
      <w:numFmt w:val="lowerLetter"/>
      <w:start w:val="9"/>
    </w:lvl>
  </w:abstractNum>
  <w:abstractNum w:abstractNumId="347">
    <w:nsid w:val="6F5DE2EF"/>
    <w:multiLevelType w:val="hybridMultilevel"/>
    <w:lvl w:ilvl="0">
      <w:lvlJc w:val="left"/>
      <w:lvlText w:val="(%1)"/>
      <w:numFmt w:val="lowerRoman"/>
      <w:start w:val="2"/>
    </w:lvl>
    <w:lvl w:ilvl="1">
      <w:lvlJc w:val="left"/>
      <w:lvlText w:val="(%2)"/>
      <w:numFmt w:val="decimal"/>
      <w:start w:val="1"/>
    </w:lvl>
  </w:abstractNum>
  <w:abstractNum w:abstractNumId="348">
    <w:nsid w:val="23502A61"/>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9"/>
    </w:lvl>
  </w:abstractNum>
  <w:abstractNum w:abstractNumId="349">
    <w:nsid w:val="461BC834"/>
    <w:multiLevelType w:val="hybridMultilevel"/>
    <w:lvl w:ilvl="0">
      <w:lvlJc w:val="left"/>
      <w:lvlText w:val="(%1)"/>
      <w:numFmt w:val="lowerRoman"/>
      <w:start w:val="2"/>
    </w:lvl>
  </w:abstractNum>
  <w:abstractNum w:abstractNumId="350">
    <w:nsid w:val="13DDA79D"/>
    <w:multiLevelType w:val="hybridMultilevel"/>
    <w:lvl w:ilvl="0">
      <w:lvlJc w:val="left"/>
      <w:lvlText w:val="(%1)"/>
      <w:numFmt w:val="lowerLetter"/>
      <w:start w:val="1"/>
    </w:lvl>
    <w:lvl w:ilvl="1">
      <w:lvlJc w:val="left"/>
      <w:lvlText w:val="(%2)"/>
      <w:numFmt w:val="lowerRoman"/>
      <w:start w:val="1"/>
    </w:lvl>
  </w:abstractNum>
  <w:abstractNum w:abstractNumId="351">
    <w:nsid w:val="6A104566"/>
    <w:multiLevelType w:val="hybridMultilevel"/>
    <w:lvl w:ilvl="0">
      <w:lvlJc w:val="left"/>
      <w:lvlText w:val="%1"/>
      <w:numFmt w:val="lowerLetter"/>
      <w:start w:val="1"/>
    </w:lvl>
    <w:lvl w:ilvl="1">
      <w:lvlJc w:val="left"/>
      <w:lvlText w:val="(%2)"/>
      <w:numFmt w:val="lowerRoman"/>
      <w:start w:val="4"/>
    </w:lvl>
  </w:abstractNum>
  <w:abstractNum w:abstractNumId="352">
    <w:nsid w:val="1C8A8ACF"/>
    <w:multiLevelType w:val="hybridMultilevel"/>
    <w:lvl w:ilvl="0">
      <w:lvlJc w:val="left"/>
      <w:lvlText w:val="(%1)"/>
      <w:numFmt w:val="lowerLetter"/>
      <w:start w:val="7"/>
    </w:lvl>
    <w:lvl w:ilvl="1">
      <w:lvlJc w:val="left"/>
      <w:lvlText w:val="(%2)"/>
      <w:numFmt w:val="lowerRoman"/>
      <w:start w:val="1"/>
    </w:lvl>
  </w:abstractNum>
  <w:abstractNum w:abstractNumId="353">
    <w:nsid w:val="E73DFE0"/>
    <w:multiLevelType w:val="hybridMultilevel"/>
    <w:lvl w:ilvl="0">
      <w:lvlJc w:val="left"/>
      <w:lvlText w:val="(%1)"/>
      <w:numFmt w:val="lowerLetter"/>
      <w:start w:val="1"/>
    </w:lvl>
  </w:abstractNum>
  <w:abstractNum w:abstractNumId="354">
    <w:nsid w:val="39F174C7"/>
    <w:multiLevelType w:val="hybridMultilevel"/>
    <w:lvl w:ilvl="0">
      <w:lvlJc w:val="left"/>
      <w:lvlText w:val="(%1)"/>
      <w:numFmt w:val="lowerRoman"/>
      <w:start w:val="10"/>
    </w:lvl>
  </w:abstractNum>
  <w:abstractNum w:abstractNumId="355">
    <w:nsid w:val="6E2E2D53"/>
    <w:multiLevelType w:val="hybridMultilevel"/>
    <w:lvl w:ilvl="0">
      <w:lvlJc w:val="left"/>
      <w:lvlText w:val="(%1)"/>
      <w:numFmt w:val="lowerLetter"/>
      <w:start w:val="1"/>
    </w:lvl>
    <w:lvl w:ilvl="1">
      <w:lvlJc w:val="left"/>
      <w:lvlText w:val="(%2)"/>
      <w:numFmt w:val="lowerRoman"/>
      <w:start w:val="1"/>
    </w:lvl>
  </w:abstractNum>
  <w:abstractNum w:abstractNumId="356">
    <w:nsid w:val="45DC439D"/>
    <w:multiLevelType w:val="hybridMultilevel"/>
    <w:lvl w:ilvl="0">
      <w:lvlJc w:val="left"/>
      <w:lvlText w:val="(%1)"/>
      <w:numFmt w:val="lowerRoman"/>
      <w:start w:val="4"/>
    </w:lvl>
  </w:abstractNum>
  <w:abstractNum w:abstractNumId="357">
    <w:nsid w:val="3B0A3B87"/>
    <w:multiLevelType w:val="hybridMultilevel"/>
    <w:lvl w:ilvl="0">
      <w:lvlJc w:val="left"/>
      <w:lvlText w:val="(%1)"/>
      <w:numFmt w:val="lowerLetter"/>
      <w:start w:val="2"/>
    </w:lvl>
  </w:abstractNum>
  <w:abstractNum w:abstractNumId="358">
    <w:nsid w:val="6DAC7768"/>
    <w:multiLevelType w:val="hybridMultilevel"/>
    <w:lvl w:ilvl="0">
      <w:lvlJc w:val="left"/>
      <w:lvlText w:val="(%1)"/>
      <w:numFmt w:val="lowerLetter"/>
      <w:start w:val="1"/>
    </w:lvl>
  </w:abstractNum>
  <w:abstractNum w:abstractNumId="359">
    <w:nsid w:val="746AE2E4"/>
    <w:multiLevelType w:val="hybridMultilevel"/>
    <w:lvl w:ilvl="0">
      <w:lvlJc w:val="left"/>
      <w:lvlText w:val="(%1)"/>
      <w:numFmt w:val="lowerLetter"/>
      <w:start w:val="3"/>
    </w:lvl>
  </w:abstractNum>
  <w:abstractNum w:abstractNumId="360">
    <w:nsid w:val="317E611D"/>
    <w:multiLevelType w:val="hybridMultilevel"/>
    <w:lvl w:ilvl="0">
      <w:lvlJc w:val="left"/>
      <w:lvlText w:val="(%1)"/>
      <w:numFmt w:val="lowerLetter"/>
      <w:start w:val="1"/>
    </w:lvl>
    <w:lvl w:ilvl="1">
      <w:lvlJc w:val="left"/>
      <w:lvlText w:val="(%2)"/>
      <w:numFmt w:val="lowerRoman"/>
      <w:start w:val="1"/>
    </w:lvl>
  </w:abstractNum>
  <w:abstractNum w:abstractNumId="361">
    <w:nsid w:val="7A61D75B"/>
    <w:multiLevelType w:val="hybridMultilevel"/>
    <w:lvl w:ilvl="0">
      <w:lvlJc w:val="left"/>
      <w:lvlText w:val="%1"/>
      <w:numFmt w:val="lowerLetter"/>
      <w:start w:val="1"/>
    </w:lvl>
    <w:lvl w:ilvl="1">
      <w:lvlJc w:val="left"/>
      <w:lvlText w:val="(%2)"/>
      <w:numFmt w:val="lowerRoman"/>
      <w:start w:val="1"/>
    </w:lvl>
  </w:abstractNum>
  <w:abstractNum w:abstractNumId="362">
    <w:nsid w:val="164A1482"/>
    <w:multiLevelType w:val="hybridMultilevel"/>
    <w:lvl w:ilvl="0">
      <w:lvlJc w:val="left"/>
      <w:lvlText w:val="(%1)"/>
      <w:numFmt w:val="lowerLetter"/>
      <w:start w:val="4"/>
    </w:lvl>
    <w:lvl w:ilvl="1">
      <w:lvlJc w:val="left"/>
      <w:lvlText w:val="%2"/>
      <w:numFmt w:val="lowerRoman"/>
      <w:start w:val="1"/>
    </w:lvl>
  </w:abstractNum>
  <w:abstractNum w:abstractNumId="363">
    <w:nsid w:val="1806546B"/>
    <w:multiLevelType w:val="hybridMultilevel"/>
    <w:lvl w:ilvl="0">
      <w:lvlJc w:val="left"/>
      <w:lvlText w:val="(%1)"/>
      <w:numFmt w:val="lowerLetter"/>
      <w:start w:val="1"/>
    </w:lvl>
  </w:abstractNum>
  <w:abstractNum w:abstractNumId="364">
    <w:nsid w:val="1FA33267"/>
    <w:multiLevelType w:val="hybridMultilevel"/>
    <w:lvl w:ilvl="0">
      <w:lvlJc w:val="left"/>
      <w:lvlText w:val="(%1)"/>
      <w:numFmt w:val="lowerLetter"/>
      <w:start w:val="6"/>
    </w:lvl>
  </w:abstractNum>
  <w:abstractNum w:abstractNumId="365">
    <w:nsid w:val="2E19DD00"/>
    <w:multiLevelType w:val="hybridMultilevel"/>
    <w:lvl w:ilvl="0">
      <w:lvlJc w:val="left"/>
      <w:lvlText w:val="(%1)"/>
      <w:numFmt w:val="lowerLetter"/>
      <w:start w:val="1"/>
    </w:lvl>
    <w:lvl w:ilvl="1">
      <w:lvlJc w:val="left"/>
      <w:lvlText w:val="(%2)"/>
      <w:numFmt w:val="lowerRoman"/>
      <w:start w:val="1"/>
    </w:lvl>
  </w:abstractNum>
  <w:abstractNum w:abstractNumId="366">
    <w:nsid w:val="756D30D0"/>
    <w:multiLevelType w:val="hybridMultilevel"/>
    <w:lvl w:ilvl="0">
      <w:lvlJc w:val="left"/>
      <w:lvlText w:val="(%1)"/>
      <w:numFmt w:val="lowerLetter"/>
      <w:start w:val="1"/>
    </w:lvl>
    <w:lvl w:ilvl="1">
      <w:lvlJc w:val="left"/>
      <w:lvlText w:val="(%2)"/>
      <w:numFmt w:val="lowerRoman"/>
      <w:start w:val="1"/>
    </w:lvl>
  </w:abstractNum>
  <w:abstractNum w:abstractNumId="367">
    <w:nsid w:val="505E5E01"/>
    <w:multiLevelType w:val="hybridMultilevel"/>
    <w:lvl w:ilvl="0">
      <w:lvlJc w:val="left"/>
      <w:lvlText w:val="(%1)"/>
      <w:numFmt w:val="lowerLetter"/>
      <w:start w:val="3"/>
    </w:lvl>
  </w:abstractNum>
  <w:abstractNum w:abstractNumId="368">
    <w:nsid w:val="2EFDBCE6"/>
    <w:multiLevelType w:val="hybridMultilevel"/>
    <w:lvl w:ilvl="0">
      <w:lvlJc w:val="left"/>
      <w:lvlText w:val="(%1)"/>
      <w:numFmt w:val="lowerLetter"/>
      <w:start w:val="1"/>
    </w:lvl>
    <w:lvl w:ilvl="1">
      <w:lvlJc w:val="left"/>
      <w:lvlText w:val="(%2)"/>
      <w:numFmt w:val="lowerRoman"/>
      <w:start w:val="1"/>
    </w:lvl>
  </w:abstractNum>
  <w:abstractNum w:abstractNumId="369">
    <w:nsid w:val="4EC868C4"/>
    <w:multiLevelType w:val="hybridMultilevel"/>
    <w:lvl w:ilvl="0">
      <w:lvlJc w:val="left"/>
      <w:lvlText w:val="(%1)"/>
      <w:numFmt w:val="lowerLetter"/>
      <w:start w:val="1"/>
    </w:lvl>
    <w:lvl w:ilvl="1">
      <w:lvlJc w:val="left"/>
      <w:lvlText w:val="(%2)"/>
      <w:numFmt w:val="lowerRoman"/>
      <w:start w:val="1"/>
    </w:lvl>
  </w:abstractNum>
  <w:abstractNum w:abstractNumId="370">
    <w:nsid w:val="4239DC03"/>
    <w:multiLevelType w:val="hybridMultilevel"/>
    <w:lvl w:ilvl="0">
      <w:lvlJc w:val="left"/>
      <w:lvlText w:val="(%1)"/>
      <w:numFmt w:val="lowerRoman"/>
      <w:start w:val="11"/>
    </w:lvl>
  </w:abstractNum>
  <w:abstractNum w:abstractNumId="371">
    <w:nsid w:val="307C7DAA"/>
    <w:multiLevelType w:val="hybridMultilevel"/>
    <w:lvl w:ilvl="0">
      <w:lvlJc w:val="left"/>
      <w:lvlText w:val="(%1)"/>
      <w:numFmt w:val="lowerLetter"/>
      <w:start w:val="2"/>
    </w:lvl>
  </w:abstractNum>
  <w:abstractNum w:abstractNumId="372">
    <w:nsid w:val="403C23E6"/>
    <w:multiLevelType w:val="hybridMultilevel"/>
    <w:lvl w:ilvl="0">
      <w:lvlJc w:val="left"/>
      <w:lvlText w:val="(%1)"/>
      <w:numFmt w:val="decimal"/>
      <w:start w:val="1"/>
    </w:lvl>
  </w:abstractNum>
  <w:abstractNum w:abstractNumId="373">
    <w:nsid w:val="58D7F9D7"/>
    <w:multiLevelType w:val="hybridMultilevel"/>
    <w:lvl w:ilvl="0">
      <w:lvlJc w:val="left"/>
      <w:lvlText w:val="(%1)"/>
      <w:numFmt w:val="lowerLetter"/>
      <w:start w:val="1"/>
    </w:lvl>
  </w:abstractNum>
  <w:abstractNum w:abstractNumId="374">
    <w:nsid w:val="24DBF76"/>
    <w:multiLevelType w:val="hybridMultilevel"/>
    <w:lvl w:ilvl="0">
      <w:lvlJc w:val="left"/>
      <w:lvlText w:val="(%1)"/>
      <w:numFmt w:val="lowerLetter"/>
      <w:start w:val="1"/>
    </w:lvl>
  </w:abstractNum>
  <w:abstractNum w:abstractNumId="375">
    <w:nsid w:val="53355960"/>
    <w:multiLevelType w:val="hybridMultilevel"/>
    <w:lvl w:ilvl="0">
      <w:lvlJc w:val="left"/>
      <w:lvlText w:val="(%1)"/>
      <w:numFmt w:val="lowerLetter"/>
      <w:start w:val="1"/>
    </w:lvl>
  </w:abstractNum>
  <w:abstractNum w:abstractNumId="376">
    <w:nsid w:val="4F4AC8FF"/>
    <w:multiLevelType w:val="hybridMultilevel"/>
    <w:lvl w:ilvl="0">
      <w:lvlJc w:val="left"/>
      <w:lvlText w:val="(%1)"/>
      <w:numFmt w:val="lowerLetter"/>
      <w:start w:val="2"/>
    </w:lvl>
  </w:abstractNum>
  <w:abstractNum w:abstractNumId="377">
    <w:nsid w:val="58CAE6D9"/>
    <w:multiLevelType w:val="hybridMultilevel"/>
    <w:lvl w:ilvl="0">
      <w:lvlJc w:val="left"/>
      <w:lvlText w:val="(%1)"/>
      <w:numFmt w:val="lowerLetter"/>
      <w:start w:val="1"/>
    </w:lvl>
    <w:lvl w:ilvl="1">
      <w:lvlJc w:val="left"/>
      <w:lvlText w:val="(%2)"/>
      <w:numFmt w:val="lowerLetter"/>
      <w:start w:val="1"/>
    </w:lvl>
  </w:abstractNum>
  <w:abstractNum w:abstractNumId="378">
    <w:nsid w:val="42933C4F"/>
    <w:multiLevelType w:val="hybridMultilevel"/>
    <w:lvl w:ilvl="0">
      <w:lvlJc w:val="left"/>
      <w:lvlText w:val="(%1)"/>
      <w:numFmt w:val="lowerRoman"/>
      <w:start w:val="1"/>
    </w:lvl>
  </w:abstractNum>
  <w:abstractNum w:abstractNumId="379">
    <w:nsid w:val="729AF36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380">
    <w:nsid w:val="1EE6AF0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81">
    <w:nsid w:val="5670E3ED"/>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82">
    <w:nsid w:val="5CAB38C6"/>
    <w:multiLevelType w:val="hybridMultilevel"/>
    <w:lvl w:ilvl="0">
      <w:lvlJc w:val="left"/>
      <w:lvlText w:val="(%1)"/>
      <w:numFmt w:val="lowerLetter"/>
      <w:start w:val="6"/>
    </w:lvl>
  </w:abstractNum>
  <w:abstractNum w:abstractNumId="383">
    <w:nsid w:val="3B7139DD"/>
    <w:multiLevelType w:val="hybridMultilevel"/>
    <w:lvl w:ilvl="0">
      <w:lvlJc w:val="left"/>
      <w:lvlText w:val="(%1)"/>
      <w:numFmt w:val="lowerLetter"/>
      <w:start w:val="14"/>
    </w:lvl>
  </w:abstractNum>
  <w:abstractNum w:abstractNumId="384">
    <w:nsid w:val="64E4C3CD"/>
    <w:multiLevelType w:val="hybridMultilevel"/>
    <w:lvl w:ilvl="0">
      <w:lvlJc w:val="left"/>
      <w:lvlText w:val="%1"/>
      <w:numFmt w:val="upperLetter"/>
      <w:start w:val="1"/>
    </w:lvl>
    <w:lvl w:ilvl="1">
      <w:lvlJc w:val="left"/>
      <w:lvlText w:val="(%2)"/>
      <w:numFmt w:val="decimal"/>
      <w:start w:val="1"/>
    </w:lvl>
  </w:abstractNum>
  <w:abstractNum w:abstractNumId="385">
    <w:nsid w:val="169CAD8D"/>
    <w:multiLevelType w:val="hybridMultilevel"/>
    <w:lvl w:ilvl="0">
      <w:lvlJc w:val="left"/>
      <w:lvlText w:val="(%1)"/>
      <w:numFmt w:val="upperLetter"/>
      <w:start w:val="2"/>
    </w:lvl>
    <w:lvl w:ilvl="1">
      <w:lvlJc w:val="left"/>
      <w:lvlText w:val="(%2)"/>
      <w:numFmt w:val="decimal"/>
      <w:start w:val="4"/>
    </w:lvl>
  </w:abstractNum>
  <w:abstractNum w:abstractNumId="386">
    <w:nsid w:val="299F6730"/>
    <w:multiLevelType w:val="hybridMultilevel"/>
    <w:lvl w:ilvl="0">
      <w:lvlJc w:val="left"/>
      <w:lvlText w:val="(%1)"/>
      <w:numFmt w:val="decimal"/>
      <w:start w:val="7"/>
    </w:lvl>
  </w:abstractNum>
  <w:abstractNum w:abstractNumId="387">
    <w:nsid w:val="2AC1076A"/>
    <w:multiLevelType w:val="hybridMultilevel"/>
    <w:lvl w:ilvl="0">
      <w:lvlJc w:val="left"/>
      <w:lvlText w:val="(%1)"/>
      <w:numFmt w:val="lowerLetter"/>
      <w:start w:val="1"/>
    </w:lvl>
  </w:abstractNum>
  <w:abstractNum w:abstractNumId="388">
    <w:nsid w:val="51A6E915"/>
    <w:multiLevelType w:val="hybridMultilevel"/>
    <w:lvl w:ilvl="0">
      <w:lvlJc w:val="left"/>
      <w:lvlText w:val="(%1)"/>
      <w:numFmt w:val="lowerLetter"/>
      <w:start w:val="3"/>
    </w:lvl>
  </w:abstractNum>
  <w:abstractNum w:abstractNumId="389">
    <w:nsid w:val="174BDE99"/>
    <w:multiLevelType w:val="hybridMultilevel"/>
    <w:lvl w:ilvl="0">
      <w:lvlJc w:val="left"/>
      <w:lvlText w:val="%1"/>
      <w:numFmt w:val="lowerRoman"/>
      <w:start w:val="1"/>
    </w:lvl>
    <w:lvl w:ilvl="1">
      <w:lvlJc w:val="left"/>
      <w:lvlText w:val="(%2)"/>
      <w:numFmt w:val="lowerRoman"/>
      <w:start w:val="1"/>
    </w:lvl>
  </w:abstractNum>
  <w:abstractNum w:abstractNumId="390">
    <w:nsid w:val="1F2BEA4E"/>
    <w:multiLevelType w:val="hybridMultilevel"/>
    <w:lvl w:ilvl="0">
      <w:lvlJc w:val="left"/>
      <w:lvlText w:val="(%1)"/>
      <w:numFmt w:val="lowerRoman"/>
      <w:start w:val="2"/>
    </w:lvl>
    <w:lvl w:ilvl="1">
      <w:lvlJc w:val="left"/>
      <w:lvlText w:val="(%2)"/>
      <w:numFmt w:val="lowerRoman"/>
      <w:start w:val="4"/>
    </w:lvl>
  </w:abstractNum>
  <w:abstractNum w:abstractNumId="391">
    <w:nsid w:val="3254A32"/>
    <w:multiLevelType w:val="hybridMultilevel"/>
    <w:lvl w:ilvl="0">
      <w:lvlJc w:val="left"/>
      <w:lvlText w:val="(%1)"/>
      <w:numFmt w:val="lowerLetter"/>
      <w:start w:val="1"/>
    </w:lvl>
  </w:abstractNum>
  <w:abstractNum w:abstractNumId="392">
    <w:nsid w:val="11ADB5F4"/>
    <w:multiLevelType w:val="hybridMultilevel"/>
    <w:lvl w:ilvl="0">
      <w:lvlJc w:val="left"/>
      <w:lvlText w:val="(%1)"/>
      <w:numFmt w:val="lowerLetter"/>
      <w:start w:val="2"/>
    </w:lvl>
  </w:abstractNum>
  <w:abstractNum w:abstractNumId="393">
    <w:nsid w:val="3575FED1"/>
    <w:multiLevelType w:val="hybridMultilevel"/>
    <w:lvl w:ilvl="0">
      <w:lvlJc w:val="left"/>
      <w:lvlText w:val="(%1)"/>
      <w:numFmt w:val="lowerLetter"/>
      <w:start w:val="1"/>
    </w:lvl>
  </w:abstractNum>
  <w:abstractNum w:abstractNumId="394">
    <w:nsid w:val="1B2B9E9D"/>
    <w:multiLevelType w:val="hybridMultilevel"/>
    <w:lvl w:ilvl="0">
      <w:lvlJc w:val="left"/>
      <w:lvlText w:val="(%1)"/>
      <w:numFmt w:val="lowerLetter"/>
      <w:start w:val="2"/>
    </w:lvl>
  </w:abstractNum>
  <w:abstractNum w:abstractNumId="395">
    <w:nsid w:val="3150E85C"/>
    <w:multiLevelType w:val="hybridMultilevel"/>
    <w:lvl w:ilvl="0">
      <w:lvlJc w:val="left"/>
      <w:lvlText w:val="(%1)"/>
      <w:numFmt w:val="lowerLetter"/>
      <w:start w:val="1"/>
    </w:lvl>
  </w:abstractNum>
  <w:abstractNum w:abstractNumId="396">
    <w:nsid w:val="638FDBD1"/>
    <w:multiLevelType w:val="hybridMultilevel"/>
    <w:lvl w:ilvl="0">
      <w:lvlJc w:val="left"/>
      <w:lvlText w:val="(%1)"/>
      <w:numFmt w:val="lowerLetter"/>
      <w:start w:val="1"/>
    </w:lvl>
  </w:abstractNum>
  <w:abstractNum w:abstractNumId="397">
    <w:nsid w:val="1098CF6E"/>
    <w:multiLevelType w:val="hybridMultilevel"/>
    <w:lvl w:ilvl="0">
      <w:lvlJc w:val="left"/>
      <w:lvlText w:val="(%1)"/>
      <w:numFmt w:val="lowerLetter"/>
      <w:start w:val="2"/>
    </w:lvl>
  </w:abstractNum>
  <w:abstractNum w:abstractNumId="398">
    <w:nsid w:val="1AF465D"/>
    <w:multiLevelType w:val="hybridMultilevel"/>
    <w:lvl w:ilvl="0">
      <w:lvlJc w:val="left"/>
      <w:lvlText w:val="%1."/>
      <w:numFmt w:val="decimal"/>
      <w:start w:val="1"/>
    </w:lvl>
  </w:abstractNum>
  <w:abstractNum w:abstractNumId="399">
    <w:nsid w:val="128D98B7"/>
    <w:multiLevelType w:val="hybridMultilevel"/>
    <w:lvl w:ilvl="0">
      <w:lvlJc w:val="left"/>
      <w:lvlText w:val="%1."/>
      <w:numFmt w:val="decimal"/>
      <w:start w:val="2"/>
    </w:lvl>
    <w:lvl w:ilvl="1">
      <w:lvlJc w:val="left"/>
      <w:lvlText w:val="(%2)"/>
      <w:numFmt w:val="lowerLetter"/>
      <w:start w:val="1"/>
    </w:lvl>
  </w:abstractNum>
  <w:abstractNum w:abstractNumId="400">
    <w:nsid w:val="5F613832"/>
    <w:multiLevelType w:val="hybridMultilevel"/>
    <w:lvl w:ilvl="0">
      <w:lvlJc w:val="left"/>
      <w:lvlText w:val="%1"/>
      <w:numFmt w:val="lowerRoman"/>
      <w:start w:val="1"/>
    </w:lvl>
    <w:lvl w:ilvl="1">
      <w:lvlJc w:val="left"/>
      <w:lvlText w:val="(%2)"/>
      <w:numFmt w:val="lowerRoman"/>
      <w:start w:val="1"/>
    </w:lvl>
  </w:abstractNum>
  <w:abstractNum w:abstractNumId="401">
    <w:nsid w:val="43E92260"/>
    <w:multiLevelType w:val="hybridMultilevel"/>
    <w:lvl w:ilvl="0">
      <w:lvlJc w:val="left"/>
      <w:lvlText w:val="(%1)"/>
      <w:numFmt w:val="lowerRoman"/>
      <w:start w:val="10"/>
    </w:lvl>
    <w:lvl w:ilvl="1">
      <w:lvlJc w:val="left"/>
      <w:lvlText w:val="(%2)"/>
      <w:numFmt w:val="lowerRoman"/>
      <w:start w:val="2"/>
    </w:lvl>
  </w:abstractNum>
  <w:abstractNum w:abstractNumId="402">
    <w:nsid w:val="430A1662"/>
    <w:multiLevelType w:val="hybridMultilevel"/>
    <w:lvl w:ilvl="0">
      <w:lvlJc w:val="left"/>
      <w:lvlText w:val="(%1)"/>
      <w:numFmt w:val="lowerLetter"/>
      <w:start w:val="1"/>
    </w:lvl>
  </w:abstractNum>
  <w:abstractNum w:abstractNumId="403">
    <w:nsid w:val="1F9D5C18"/>
    <w:multiLevelType w:val="hybridMultilevel"/>
    <w:lvl w:ilvl="0">
      <w:lvlJc w:val="left"/>
      <w:lvlText w:val="(%1)"/>
      <w:numFmt w:val="lowerRoman"/>
      <w:start w:val="1"/>
    </w:lvl>
    <w:lvl w:ilvl="1">
      <w:lvlJc w:val="left"/>
      <w:lvlText w:val="(%2)"/>
      <w:numFmt w:val="upperLetter"/>
      <w:start w:val="1"/>
    </w:lvl>
  </w:abstractNum>
  <w:abstractNum w:abstractNumId="404">
    <w:nsid w:val="1CC11C37"/>
    <w:multiLevelType w:val="hybridMultilevel"/>
    <w:lvl w:ilvl="0">
      <w:lvlJc w:val="left"/>
      <w:lvlText w:val="(%1)"/>
      <w:numFmt w:val="lowerRoman"/>
      <w:start w:val="4"/>
    </w:lvl>
    <w:lvl w:ilvl="1">
      <w:lvlJc w:val="left"/>
      <w:lvlText w:val="(%2)"/>
      <w:numFmt w:val="upperLetter"/>
      <w:start w:val="1"/>
    </w:lvl>
  </w:abstractNum>
  <w:abstractNum w:abstractNumId="405">
    <w:nsid w:val="4557D5D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06">
    <w:nsid w:val="72D2B579"/>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407">
    <w:nsid w:val="6C0BE536"/>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408">
    <w:nsid w:val="1E22BCB2"/>
    <w:multiLevelType w:val="hybridMultilevel"/>
    <w:lvl w:ilvl="0">
      <w:lvlJc w:val="left"/>
      <w:lvlText w:val="(%1)"/>
      <w:numFmt w:val="lowerRoman"/>
      <w:start w:val="2"/>
    </w:lvl>
  </w:abstractNum>
  <w:abstractNum w:abstractNumId="409">
    <w:nsid w:val="3565F1C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0">
    <w:nsid w:val="5EA6D89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11">
    <w:nsid w:val="3D096BB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12">
    <w:nsid w:val="BD6D5B5"/>
    <w:multiLevelType w:val="hybridMultilevel"/>
    <w:lvl w:ilvl="0">
      <w:lvlJc w:val="left"/>
      <w:lvlText w:val="%1"/>
      <w:numFmt w:val="lowerRoman"/>
      <w:start w:val="1"/>
    </w:lvl>
    <w:lvl w:ilvl="1">
      <w:lvlJc w:val="left"/>
      <w:lvlText w:val="(%2)"/>
      <w:numFmt w:val="upperLetter"/>
      <w:start w:val="4"/>
    </w:lvl>
  </w:abstractNum>
  <w:abstractNum w:abstractNumId="413">
    <w:nsid w:val="3B52115C"/>
    <w:multiLevelType w:val="hybridMultilevel"/>
    <w:lvl w:ilvl="0">
      <w:lvlJc w:val="left"/>
      <w:lvlText w:val="(%1)"/>
      <w:numFmt w:val="lowerRoman"/>
      <w:start w:val="2"/>
    </w:lvl>
    <w:lvl w:ilvl="1">
      <w:lvlJc w:val="left"/>
      <w:lvlText w:val="(%2)"/>
      <w:numFmt w:val="upperLetter"/>
      <w:start w:val="1"/>
    </w:lvl>
  </w:abstractNum>
  <w:abstractNum w:abstractNumId="414">
    <w:nsid w:val="787AA59C"/>
    <w:multiLevelType w:val="hybridMultilevel"/>
    <w:lvl w:ilvl="0">
      <w:lvlJc w:val="left"/>
      <w:lvlText w:val="(%1)"/>
      <w:numFmt w:val="lowerLetter"/>
      <w:start w:val="6"/>
    </w:lvl>
    <w:lvl w:ilvl="1">
      <w:lvlJc w:val="left"/>
      <w:lvlText w:val="(%2)"/>
      <w:numFmt w:val="lowerLetter"/>
      <w:start w:val="9"/>
    </w:lvl>
  </w:abstractNum>
  <w:abstractNum w:abstractNumId="415">
    <w:nsid w:val="70BB9983"/>
    <w:multiLevelType w:val="hybridMultilevel"/>
    <w:lvl w:ilvl="0">
      <w:lvlJc w:val="left"/>
      <w:lvlText w:val="%1"/>
      <w:numFmt w:val="lowerLetter"/>
      <w:start w:val="1"/>
    </w:lvl>
    <w:lvl w:ilvl="1">
      <w:lvlJc w:val="left"/>
      <w:lvlText w:val="(%2)"/>
      <w:numFmt w:val="lowerRoman"/>
      <w:start w:val="2"/>
    </w:lvl>
  </w:abstractNum>
  <w:abstractNum w:abstractNumId="416">
    <w:nsid w:val="51EEBEEA"/>
    <w:multiLevelType w:val="hybridMultilevel"/>
    <w:lvl w:ilvl="0">
      <w:lvlJc w:val="left"/>
      <w:lvlText w:val="(%1)"/>
      <w:numFmt w:val="lowerLetter"/>
      <w:start w:val="7"/>
    </w:lvl>
    <w:lvl w:ilvl="1">
      <w:lvlJc w:val="left"/>
      <w:lvlText w:val="(%2)"/>
      <w:numFmt w:val="lowerRoman"/>
      <w:start w:val="1"/>
    </w:lvl>
  </w:abstractNum>
  <w:abstractNum w:abstractNumId="417">
    <w:nsid w:val="221A0CCD"/>
    <w:multiLevelType w:val="hybridMultilevel"/>
    <w:lvl w:ilvl="0">
      <w:lvlJc w:val="left"/>
      <w:lvlText w:val="(%1)"/>
      <w:numFmt w:val="lowerRoman"/>
      <w:start w:val="2"/>
    </w:lvl>
  </w:abstractNum>
  <w:abstractNum w:abstractNumId="418">
    <w:nsid w:val="1B7CA0ED"/>
    <w:multiLevelType w:val="hybridMultilevel"/>
    <w:lvl w:ilvl="0">
      <w:lvlJc w:val="left"/>
      <w:lvlText w:val="%1."/>
      <w:numFmt w:val="decimal"/>
      <w:start w:val="1"/>
    </w:lvl>
  </w:abstractNum>
  <w:abstractNum w:abstractNumId="419">
    <w:nsid w:val="2395A7FF"/>
    <w:multiLevelType w:val="hybridMultilevel"/>
    <w:lvl w:ilvl="0">
      <w:lvlJc w:val="left"/>
      <w:lvlText w:val="%1."/>
      <w:numFmt w:val="decimal"/>
      <w:start w:val="2"/>
    </w:lvl>
  </w:abstractNum>
  <w:abstractNum w:abstractNumId="420">
    <w:nsid w:val="3965EB66"/>
    <w:multiLevelType w:val="hybridMultilevel"/>
    <w:lvl w:ilvl="0">
      <w:lvlJc w:val="left"/>
      <w:lvlText w:val="%1."/>
      <w:numFmt w:val="decimal"/>
      <w:start w:val="3"/>
    </w:lvl>
  </w:abstractNum>
  <w:abstractNum w:abstractNumId="421">
    <w:nsid w:val="3AA88B3C"/>
    <w:multiLevelType w:val="hybridMultilevel"/>
    <w:lvl w:ilvl="0">
      <w:lvlJc w:val="left"/>
      <w:lvlText w:val="%1."/>
      <w:numFmt w:val="decimal"/>
      <w:start w:val="4"/>
    </w:lvl>
  </w:abstractNum>
  <w:abstractNum w:abstractNumId="422">
    <w:nsid w:val="26BAF231"/>
    <w:multiLevelType w:val="hybridMultilevel"/>
    <w:lvl w:ilvl="0">
      <w:lvlJc w:val="left"/>
      <w:lvlText w:val="%1."/>
      <w:numFmt w:val="decimal"/>
      <w:start w:val="5"/>
    </w:lvl>
  </w:abstractNum>
  <w:abstractNum w:abstractNumId="423">
    <w:nsid w:val="4B13A15A"/>
    <w:multiLevelType w:val="hybridMultilevel"/>
    <w:lvl w:ilvl="0">
      <w:lvlJc w:val="left"/>
      <w:lvlText w:val="%1."/>
      <w:numFmt w:val="decimal"/>
      <w:start w:val="6"/>
    </w:lvl>
  </w:abstractNum>
  <w:abstractNum w:abstractNumId="424">
    <w:nsid w:val="701E8A0D"/>
    <w:multiLevelType w:val="hybridMultilevel"/>
    <w:lvl w:ilvl="0">
      <w:lvlJc w:val="left"/>
      <w:lvlText w:val="%1."/>
      <w:numFmt w:val="decimal"/>
      <w:start w:val="8"/>
    </w:lvl>
  </w:abstractNum>
  <w:abstractNum w:abstractNumId="425">
    <w:nsid w:val="41E690CF"/>
    <w:multiLevelType w:val="hybridMultilevel"/>
    <w:lvl w:ilvl="0">
      <w:lvlJc w:val="left"/>
      <w:lvlText w:val="%1."/>
      <w:numFmt w:val="decimal"/>
      <w:start w:val="9"/>
    </w:lvl>
  </w:abstractNum>
  <w:abstractNum w:abstractNumId="426">
    <w:nsid w:val="7C6489B6"/>
    <w:multiLevelType w:val="hybridMultilevel"/>
    <w:lvl w:ilvl="0">
      <w:lvlJc w:val="left"/>
      <w:lvlText w:val="%1."/>
      <w:numFmt w:val="decimal"/>
      <w:start w:val="10"/>
    </w:lvl>
  </w:abstractNum>
  <w:abstractNum w:abstractNumId="427">
    <w:nsid w:val="53AE65DE"/>
    <w:multiLevelType w:val="hybridMultilevel"/>
    <w:lvl w:ilvl="0">
      <w:lvlJc w:val="left"/>
      <w:lvlText w:val="%1."/>
      <w:numFmt w:val="decimal"/>
      <w:start w:val="12"/>
    </w:lvl>
  </w:abstractNum>
  <w:abstractNum w:abstractNumId="428">
    <w:nsid w:val="527F603D"/>
    <w:multiLevelType w:val="hybridMultilevel"/>
    <w:lvl w:ilvl="0">
      <w:lvlJc w:val="left"/>
      <w:lvlText w:val="%1."/>
      <w:numFmt w:val="decimal"/>
      <w:start w:val="13"/>
    </w:lvl>
  </w:abstractNum>
  <w:abstractNum w:abstractNumId="429">
    <w:nsid w:val="7E13D013"/>
    <w:multiLevelType w:val="hybridMultilevel"/>
    <w:lvl w:ilvl="0">
      <w:lvlJc w:val="left"/>
      <w:lvlText w:val="%1."/>
      <w:numFmt w:val="decimal"/>
      <w:start w:val="14"/>
    </w:lvl>
  </w:abstractNum>
  <w:abstractNum w:abstractNumId="430">
    <w:nsid w:val="663BFE95"/>
    <w:multiLevelType w:val="hybridMultilevel"/>
    <w:lvl w:ilvl="0">
      <w:lvlJc w:val="left"/>
      <w:lvlText w:val="%1."/>
      <w:numFmt w:val="decimal"/>
      <w:start w:val="15"/>
    </w:lvl>
  </w:abstractNum>
  <w:abstractNum w:abstractNumId="431">
    <w:nsid w:val="31E0986F"/>
    <w:multiLevelType w:val="hybridMultilevel"/>
    <w:lvl w:ilvl="0">
      <w:lvlJc w:val="left"/>
      <w:lvlText w:val="(%1)"/>
      <w:numFmt w:val="lowerRoman"/>
      <w:start w:val="6"/>
    </w:lvl>
  </w:abstractNum>
  <w:abstractNum w:abstractNumId="432">
    <w:nsid w:val="41FCF274"/>
    <w:multiLevelType w:val="hybridMultilevel"/>
    <w:lvl w:ilvl="0">
      <w:lvlJc w:val="left"/>
      <w:lvlText w:val="%1."/>
      <w:numFmt w:val="decimal"/>
      <w:start w:val="16"/>
    </w:lvl>
  </w:abstractNum>
  <w:abstractNum w:abstractNumId="433">
    <w:nsid w:val="294614F7"/>
    <w:multiLevelType w:val="hybridMultilevel"/>
    <w:lvl w:ilvl="0">
      <w:lvlJc w:val="left"/>
      <w:lvlText w:val="(%1)"/>
      <w:numFmt w:val="lowerLetter"/>
      <w:start w:val="1"/>
    </w:lvl>
  </w:abstractNum>
  <w:abstractNum w:abstractNumId="434">
    <w:nsid w:val="517DF487"/>
    <w:multiLevelType w:val="hybridMultilevel"/>
    <w:lvl w:ilvl="0">
      <w:lvlJc w:val="left"/>
      <w:lvlText w:val="(%1)"/>
      <w:numFmt w:val="lowerRoman"/>
      <w:start w:val="5"/>
    </w:lvl>
  </w:abstractNum>
  <w:abstractNum w:abstractNumId="435">
    <w:nsid w:val="5EBE0EAB"/>
    <w:multiLevelType w:val="hybridMultilevel"/>
    <w:lvl w:ilvl="0">
      <w:lvlJc w:val="left"/>
      <w:lvlText w:val="%1."/>
      <w:numFmt w:val="decimal"/>
      <w:start w:val="17"/>
    </w:lvl>
  </w:abstractNum>
  <w:abstractNum w:abstractNumId="436">
    <w:nsid w:val="6E9DEAD0"/>
    <w:multiLevelType w:val="hybridMultilevel"/>
    <w:lvl w:ilvl="0">
      <w:lvlJc w:val="left"/>
      <w:lvlText w:val="%1."/>
      <w:numFmt w:val="decimal"/>
      <w:start w:val="18"/>
    </w:lvl>
  </w:abstractNum>
  <w:abstractNum w:abstractNumId="437">
    <w:nsid w:val="4450AA00"/>
    <w:multiLevelType w:val="hybridMultilevel"/>
    <w:lvl w:ilvl="0">
      <w:lvlJc w:val="left"/>
      <w:lvlText w:val="%1."/>
      <w:numFmt w:val="decimal"/>
      <w:start w:val="19"/>
    </w:lvl>
  </w:abstractNum>
  <w:abstractNum w:abstractNumId="438">
    <w:nsid w:val="4AC9F3E2"/>
    <w:multiLevelType w:val="hybridMultilevel"/>
    <w:lvl w:ilvl="0">
      <w:lvlJc w:val="left"/>
      <w:lvlText w:val="%1."/>
      <w:numFmt w:val="decimal"/>
      <w:start w:val="20"/>
    </w:lvl>
  </w:abstractNum>
  <w:abstractNum w:abstractNumId="439">
    <w:nsid w:val="CC0A782"/>
    <w:multiLevelType w:val="hybridMultilevel"/>
    <w:lvl w:ilvl="0">
      <w:lvlJc w:val="left"/>
      <w:lvlText w:val="%1."/>
      <w:numFmt w:val="decimal"/>
      <w:start w:val="21"/>
    </w:lvl>
  </w:abstractNum>
  <w:abstractNum w:abstractNumId="440">
    <w:nsid w:val="79B69BC9"/>
    <w:multiLevelType w:val="hybridMultilevel"/>
    <w:lvl w:ilvl="0">
      <w:lvlJc w:val="left"/>
      <w:lvlText w:val="☐"/>
      <w:numFmt w:val="bullet"/>
      <w:start w:val="1"/>
    </w:lvl>
  </w:abstractNum>
  <w:abstractNum w:abstractNumId="441">
    <w:nsid w:val="2970CC78"/>
    <w:multiLevelType w:val="hybridMultilevel"/>
    <w:lvl w:ilvl="0">
      <w:lvlJc w:val="left"/>
      <w:lvlText w:val="(%1)"/>
      <w:numFmt w:val="decimal"/>
      <w:start w:val="1"/>
    </w:lvl>
  </w:abstractNum>
  <w:abstractNum w:abstractNumId="442">
    <w:nsid w:val="49CA1341"/>
    <w:multiLevelType w:val="hybridMultilevel"/>
    <w:lvl w:ilvl="0">
      <w:lvlJc w:val="left"/>
      <w:lvlText w:val="(%1)"/>
      <w:numFmt w:val="decimal"/>
      <w:start w:val="5"/>
    </w:lvl>
  </w:abstractNum>
  <w:abstractNum w:abstractNumId="443">
    <w:nsid w:val="58D717E"/>
    <w:multiLevelType w:val="hybridMultilevel"/>
    <w:lvl w:ilvl="0">
      <w:lvlJc w:val="left"/>
      <w:lvlText w:val="%1."/>
      <w:numFmt w:val="decimal"/>
      <w:start w:val="1"/>
    </w:lvl>
    <w:lvl w:ilvl="1">
      <w:lvlJc w:val="left"/>
      <w:lvlText w:val="%2."/>
      <w:numFmt w:val="decimal"/>
      <w:start w:val="2"/>
    </w:lvl>
  </w:abstractNum>
  <w:abstractNum w:abstractNumId="444">
    <w:nsid w:val="64C2DDD5"/>
    <w:multiLevelType w:val="hybridMultilevel"/>
    <w:lvl w:ilvl="0">
      <w:lvlJc w:val="left"/>
      <w:lvlText w:val="%1."/>
      <w:numFmt w:val="decimal"/>
      <w:start w:val="3"/>
    </w:lvl>
    <w:lvl w:ilvl="1">
      <w:lvlJc w:val="left"/>
      <w:lvlText w:val="%2."/>
      <w:numFmt w:val="decimal"/>
      <w:start w:val="4"/>
    </w:lvl>
  </w:abstractNum>
  <w:abstractNum w:abstractNumId="445">
    <w:nsid w:val="4244B8DE"/>
    <w:multiLevelType w:val="hybridMultilevel"/>
    <w:lvl w:ilvl="0">
      <w:lvlJc w:val="left"/>
      <w:lvlText w:val="%1."/>
      <w:numFmt w:val="decimal"/>
      <w:start w:val="7"/>
    </w:lvl>
    <w:lvl w:ilvl="1">
      <w:lvlJc w:val="left"/>
      <w:lvlText w:val="%2."/>
      <w:numFmt w:val="decimal"/>
      <w:start w:val="9"/>
    </w:lvl>
  </w:abstractNum>
  <w:abstractNum w:abstractNumId="446">
    <w:nsid w:val="76490B01"/>
    <w:multiLevelType w:val="hybridMultilevel"/>
    <w:lvl w:ilvl="0">
      <w:lvlJc w:val="left"/>
      <w:lvlText w:val="%1."/>
      <w:numFmt w:val="decimal"/>
      <w:start w:val="1"/>
    </w:lvl>
    <w:lvl w:ilvl="1">
      <w:lvlJc w:val="left"/>
      <w:lvlText w:val="%2."/>
      <w:numFmt w:val="decimal"/>
      <w:start w:val="2"/>
    </w:lvl>
  </w:abstractNum>
  <w:abstractNum w:abstractNumId="447">
    <w:nsid w:val="36B19CBF"/>
    <w:multiLevelType w:val="hybridMultilevel"/>
    <w:lvl w:ilvl="0">
      <w:lvlJc w:val="left"/>
      <w:lvlText w:val="%1."/>
      <w:numFmt w:val="decimal"/>
      <w:start w:val="3"/>
    </w:lvl>
    <w:lvl w:ilvl="1">
      <w:lvlJc w:val="left"/>
      <w:lvlText w:val="%2."/>
      <w:numFmt w:val="decimal"/>
      <w:start w:val="4"/>
    </w:lvl>
  </w:abstractNum>
  <w:abstractNum w:abstractNumId="448">
    <w:nsid w:val="645EC5AB"/>
    <w:multiLevelType w:val="hybridMultilevel"/>
    <w:lvl w:ilvl="0">
      <w:lvlJc w:val="left"/>
      <w:lvlText w:val="%1."/>
      <w:numFmt w:val="decimal"/>
      <w:start w:val="5"/>
    </w:lvl>
    <w:lvl w:ilvl="1">
      <w:lvlJc w:val="left"/>
      <w:lvlText w:val="%2."/>
      <w:numFmt w:val="decimal"/>
      <w:start w:val="6"/>
    </w:lvl>
  </w:abstractNum>
  <w:abstractNum w:abstractNumId="449">
    <w:nsid w:val="11C5ABEF"/>
    <w:multiLevelType w:val="hybridMultilevel"/>
    <w:lvl w:ilvl="0">
      <w:lvlJc w:val="left"/>
      <w:lvlText w:val="(%1)"/>
      <w:numFmt w:val="lowerRoman"/>
      <w:start w:val="4"/>
    </w:lvl>
    <w:lvl w:ilvl="1">
      <w:lvlJc w:val="left"/>
      <w:lvlText w:val="%2."/>
      <w:numFmt w:val="decimal"/>
      <w:start w:val="7"/>
    </w:lvl>
  </w:abstractNum>
  <w:abstractNum w:abstractNumId="450">
    <w:nsid w:val="5A4744BE"/>
    <w:multiLevelType w:val="hybridMultilevel"/>
    <w:lvl w:ilvl="0">
      <w:lvlJc w:val="left"/>
      <w:lvlText w:val="•"/>
      <w:numFmt w:val="bullet"/>
      <w:start w:val="1"/>
    </w:lvl>
  </w:abstractNum>
  <w:abstractNum w:abstractNumId="451">
    <w:nsid w:val="1DC4B111"/>
    <w:multiLevelType w:val="hybridMultilevel"/>
    <w:lvl w:ilvl="0">
      <w:lvlJc w:val="left"/>
      <w:lvlText w:val="•"/>
      <w:numFmt w:val="bullet"/>
      <w:start w:val="1"/>
    </w:lvl>
  </w:abstractNum>
  <w:abstractNum w:abstractNumId="452">
    <w:nsid w:val="4C6E372B"/>
    <w:multiLevelType w:val="hybridMultilevel"/>
    <w:lvl w:ilvl="0">
      <w:lvlJc w:val="left"/>
      <w:lvlText w:val="•"/>
      <w:numFmt w:val="bullet"/>
      <w:start w:val="1"/>
    </w:lvl>
  </w:abstractNum>
  <w:abstractNum w:abstractNumId="453">
    <w:nsid w:val="10236EF"/>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454">
    <w:nsid w:val="68D8526B"/>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455">
    <w:nsid w:val="3C8CC138"/>
    <w:multiLevelType w:val="hybridMultilevel"/>
    <w:lvl w:ilvl="0">
      <w:lvlJc w:val="left"/>
      <w:lvlText w:val="•"/>
      <w:numFmt w:val="bullet"/>
      <w:start w:val="1"/>
    </w:lvl>
  </w:abstractNum>
  <w:abstractNum w:abstractNumId="456">
    <w:nsid w:val="42E8C7BE"/>
    <w:multiLevelType w:val="hybridMultilevel"/>
    <w:lvl w:ilvl="0">
      <w:lvlJc w:val="left"/>
      <w:lvlText w:val="•"/>
      <w:numFmt w:val="bullet"/>
      <w:start w:val="1"/>
    </w:lvl>
  </w:abstractNum>
  <w:abstractNum w:abstractNumId="457">
    <w:nsid w:val="653CDC22"/>
    <w:multiLevelType w:val="hybridMultilevel"/>
    <w:lvl w:ilvl="0">
      <w:lvlJc w:val="left"/>
      <w:lvlText w:val="•"/>
      <w:numFmt w:val="bullet"/>
      <w:start w:val="1"/>
    </w:lvl>
  </w:abstractNum>
  <w:abstractNum w:abstractNumId="458">
    <w:nsid w:val="103B2716"/>
    <w:multiLevelType w:val="hybridMultilevel"/>
    <w:lvl w:ilvl="0">
      <w:lvlJc w:val="left"/>
      <w:lvlText w:val="•"/>
      <w:numFmt w:val="bullet"/>
      <w:start w:val="1"/>
    </w:lvl>
  </w:abstractNum>
  <w:abstractNum w:abstractNumId="459">
    <w:nsid w:val="156827FB"/>
    <w:multiLevelType w:val="hybridMultilevel"/>
    <w:lvl w:ilvl="0">
      <w:lvlJc w:val="left"/>
      <w:lvlText w:val="(%1)"/>
      <w:numFmt w:val="lowerRoman"/>
      <w:start w:val="5"/>
    </w:lvl>
  </w:abstractNum>
  <w:abstractNum w:abstractNumId="460">
    <w:nsid w:val="6350AC35"/>
    <w:multiLevelType w:val="hybridMultilevel"/>
    <w:lvl w:ilvl="0">
      <w:lvlJc w:val="left"/>
      <w:lvlText w:val="(%1)"/>
      <w:numFmt w:val="upperLetter"/>
      <w:start w:val="1"/>
    </w:lvl>
  </w:abstractNum>
  <w:abstractNum w:abstractNumId="461">
    <w:nsid w:val="767725AB"/>
    <w:multiLevelType w:val="hybridMultilevel"/>
    <w:lvl w:ilvl="0">
      <w:lvlJc w:val="left"/>
      <w:lvlText w:val="(%1)"/>
      <w:numFmt w:val="upperLetter"/>
      <w:start w:val="4"/>
    </w:lvl>
  </w:abstractNum>
  <w:abstractNum w:abstractNumId="462">
    <w:nsid w:val="4748C06A"/>
    <w:multiLevelType w:val="hybridMultilevel"/>
    <w:lvl w:ilvl="0">
      <w:lvlJc w:val="left"/>
      <w:lvlText w:val="•"/>
      <w:numFmt w:val="bullet"/>
      <w:start w:val="1"/>
    </w:lvl>
  </w:abstractNum>
  <w:abstractNum w:abstractNumId="463">
    <w:nsid w:val="254D9EA9"/>
    <w:multiLevelType w:val="hybridMultilevel"/>
    <w:lvl w:ilvl="0">
      <w:lvlJc w:val="left"/>
      <w:lvlText w:val="•"/>
      <w:numFmt w:val="bullet"/>
      <w:start w:val="1"/>
    </w:lvl>
  </w:abstractNum>
  <w:abstractNum w:abstractNumId="464">
    <w:nsid w:val="1FBD3AA3"/>
    <w:multiLevelType w:val="hybridMultilevel"/>
    <w:lvl w:ilvl="0">
      <w:lvlJc w:val="left"/>
      <w:lvlText w:val="•"/>
      <w:numFmt w:val="bullet"/>
      <w:start w:val="1"/>
    </w:lvl>
  </w:abstractNum>
  <w:abstractNum w:abstractNumId="465">
    <w:nsid w:val="18C6B4F2"/>
    <w:multiLevelType w:val="hybridMultilevel"/>
    <w:lvl w:ilvl="0">
      <w:lvlJc w:val="left"/>
      <w:lvlText w:val="•"/>
      <w:numFmt w:val="bullet"/>
      <w:start w:val="1"/>
    </w:lvl>
  </w:abstractNum>
  <w:abstractNum w:abstractNumId="466">
    <w:nsid w:val="40BAD55"/>
    <w:multiLevelType w:val="hybridMultilevel"/>
    <w:lvl w:ilvl="0">
      <w:lvlJc w:val="left"/>
      <w:lvlText w:val="(%1)"/>
      <w:numFmt w:val="lowerRoman"/>
      <w:start w:val="1"/>
    </w:lvl>
  </w:abstractNum>
  <w:abstractNum w:abstractNumId="467">
    <w:nsid w:val="E5B2573"/>
    <w:multiLevelType w:val="hybridMultilevel"/>
    <w:lvl w:ilvl="0">
      <w:lvlJc w:val="left"/>
      <w:lvlText w:val="•"/>
      <w:numFmt w:val="bullet"/>
      <w:start w:val="1"/>
    </w:lvl>
  </w:abstractNum>
  <w:abstractNum w:abstractNumId="468">
    <w:nsid w:val="5D175EF2"/>
    <w:multiLevelType w:val="hybridMultilevel"/>
    <w:lvl w:ilvl="0">
      <w:lvlJc w:val="left"/>
      <w:lvlText w:val="(%1)"/>
      <w:numFmt w:val="lowerLetter"/>
      <w:start w:val="1"/>
    </w:lvl>
  </w:abstractNum>
  <w:abstractNum w:abstractNumId="469">
    <w:nsid w:val="4ED5A137"/>
    <w:multiLevelType w:val="hybridMultilevel"/>
    <w:lvl w:ilvl="0">
      <w:lvlJc w:val="left"/>
      <w:lvlText w:val="(%1)"/>
      <w:numFmt w:val="lowerRoman"/>
      <w:start w:val="1"/>
    </w:lvl>
  </w:abstractNum>
  <w:abstractNum w:abstractNumId="470">
    <w:nsid w:val="1B1BCCF5"/>
    <w:multiLevelType w:val="hybridMultilevel"/>
    <w:lvl w:ilvl="0">
      <w:lvlJc w:val="left"/>
      <w:lvlText w:val="(%1)"/>
      <w:numFmt w:val="lowerRoman"/>
      <w:start w:val="7"/>
    </w:lvl>
  </w:abstractNum>
  <w:abstractNum w:abstractNumId="471">
    <w:nsid w:val="56CDFABB"/>
    <w:multiLevelType w:val="hybridMultilevel"/>
    <w:lvl w:ilvl="0">
      <w:lvlJc w:val="left"/>
      <w:lvlText w:val="(%1)"/>
      <w:numFmt w:val="lowerRoman"/>
      <w:start w:val="17"/>
    </w:lvl>
  </w:abstractNum>
  <w:abstractNum w:abstractNumId="472">
    <w:nsid w:val="78466DAF"/>
    <w:multiLevelType w:val="hybridMultilevel"/>
    <w:lvl w:ilvl="0">
      <w:lvlJc w:val="left"/>
      <w:lvlText w:val="(%1)"/>
      <w:numFmt w:val="lowerLetter"/>
      <w:start w:val="2"/>
    </w:lvl>
  </w:abstractNum>
  <w:abstractNum w:abstractNumId="473">
    <w:nsid w:val="64E5E036"/>
    <w:multiLevelType w:val="hybridMultilevel"/>
    <w:lvl w:ilvl="0">
      <w:lvlJc w:val="left"/>
      <w:lvlText w:val="(%1)"/>
      <w:numFmt w:val="lowerRoman"/>
      <w:start w:val="1"/>
    </w:lvl>
  </w:abstractNum>
  <w:abstractNum w:abstractNumId="474">
    <w:nsid w:val="5C5B6C3A"/>
    <w:multiLevelType w:val="hybridMultilevel"/>
    <w:lvl w:ilvl="0">
      <w:lvlJc w:val="left"/>
      <w:lvlText w:val="(%1)"/>
      <w:numFmt w:val="lowerLetter"/>
      <w:start w:val="1"/>
    </w:lvl>
  </w:abstractNum>
  <w:abstractNum w:abstractNumId="475">
    <w:nsid w:val="5D094B84"/>
    <w:multiLevelType w:val="hybridMultilevel"/>
    <w:lvl w:ilvl="0">
      <w:lvlJc w:val="left"/>
      <w:lvlText w:val="(%1)"/>
      <w:numFmt w:val="lowerLetter"/>
      <w:start w:val="3"/>
    </w:lvl>
  </w:abstractNum>
  <w:abstractNum w:abstractNumId="476">
    <w:nsid w:val="272A9914"/>
    <w:multiLevelType w:val="hybridMultilevel"/>
    <w:lvl w:ilvl="0">
      <w:lvlJc w:val="left"/>
      <w:lvlText w:val="(%1)"/>
      <w:numFmt w:val="lowerRoman"/>
      <w:start w:val="1"/>
    </w:lvl>
  </w:abstractNum>
  <w:abstractNum w:abstractNumId="477">
    <w:nsid w:val="52A4773B"/>
    <w:multiLevelType w:val="hybridMultilevel"/>
    <w:lvl w:ilvl="0">
      <w:lvlJc w:val="left"/>
      <w:lvlText w:val="(%1)"/>
      <w:numFmt w:val="lowerLetter"/>
      <w:start w:val="6"/>
    </w:lvl>
  </w:abstractNum>
  <w:abstractNum w:abstractNumId="478">
    <w:nsid w:val="13BAE843"/>
    <w:multiLevelType w:val="hybridMultilevel"/>
    <w:lvl w:ilvl="0">
      <w:lvlJc w:val="left"/>
      <w:lvlText w:val="(%1)"/>
      <w:numFmt w:val="lowerLetter"/>
      <w:start w:val="1"/>
    </w:lvl>
  </w:abstractNum>
  <w:abstractNum w:abstractNumId="479">
    <w:nsid w:val="B895EBF"/>
    <w:multiLevelType w:val="hybridMultilevel"/>
    <w:lvl w:ilvl="0">
      <w:lvlJc w:val="left"/>
      <w:lvlText w:val="(%1)"/>
      <w:numFmt w:val="lowerLetter"/>
      <w:start w:val="1"/>
    </w:lvl>
  </w:abstractNum>
  <w:abstractNum w:abstractNumId="480">
    <w:nsid w:val="646A232A"/>
    <w:multiLevelType w:val="hybridMultilevel"/>
    <w:lvl w:ilvl="0">
      <w:lvlJc w:val="left"/>
      <w:lvlText w:val="(%1)"/>
      <w:numFmt w:val="lowerLetter"/>
      <w:start w:val="1"/>
    </w:lvl>
  </w:abstractNum>
  <w:abstractNum w:abstractNumId="481">
    <w:nsid w:val="6E022D01"/>
    <w:multiLevelType w:val="hybridMultilevel"/>
    <w:lvl w:ilvl="0">
      <w:lvlJc w:val="left"/>
      <w:lvlText w:val="(%1)"/>
      <w:numFmt w:val="lowerLetter"/>
      <w:start w:val="1"/>
    </w:lvl>
  </w:abstractNum>
  <w:abstractNum w:abstractNumId="482">
    <w:nsid w:val="294E0FD0"/>
    <w:multiLevelType w:val="hybridMultilevel"/>
    <w:lvl w:ilvl="0">
      <w:lvlJc w:val="left"/>
      <w:lvlText w:val="(%1)"/>
      <w:numFmt w:val="lowerLetter"/>
      <w:start w:val="6"/>
    </w:lvl>
  </w:abstractNum>
  <w:abstractNum w:abstractNumId="483">
    <w:nsid w:val="30D85A55"/>
    <w:multiLevelType w:val="hybridMultilevel"/>
    <w:lvl w:ilvl="0">
      <w:lvlJc w:val="left"/>
      <w:lvlText w:val="(%1)"/>
      <w:numFmt w:val="lowerRoman"/>
      <w:start w:val="10"/>
    </w:lvl>
  </w:abstractNum>
  <w:abstractNum w:abstractNumId="484">
    <w:nsid w:val="6F0463F1"/>
    <w:multiLevelType w:val="hybridMultilevel"/>
    <w:lvl w:ilvl="0">
      <w:lvlJc w:val="left"/>
      <w:lvlText w:val="%1"/>
      <w:numFmt w:val="lowerLetter"/>
      <w:start w:val="1"/>
    </w:lvl>
    <w:lvl w:ilvl="1">
      <w:lvlJc w:val="left"/>
      <w:lvlText w:val="(%2)"/>
      <w:numFmt w:val="lowerLetter"/>
      <w:start w:val="1"/>
    </w:lvl>
  </w:abstractNum>
  <w:abstractNum w:abstractNumId="485">
    <w:nsid w:val="1226623C"/>
    <w:multiLevelType w:val="hybridMultilevel"/>
    <w:lvl w:ilvl="0">
      <w:lvlJc w:val="left"/>
      <w:lvlText w:val="(%1)"/>
      <w:numFmt w:val="lowerLetter"/>
      <w:start w:val="25"/>
    </w:lvl>
    <w:lvl w:ilvl="1">
      <w:lvlJc w:val="left"/>
      <w:lvlText w:val="(%2)"/>
      <w:numFmt w:val="lowerLetter"/>
      <w:start w:val="6"/>
    </w:lvl>
  </w:abstractNum>
  <w:abstractNum w:abstractNumId="486">
    <w:nsid w:val="6D651B8D"/>
    <w:multiLevelType w:val="hybridMultilevel"/>
    <w:lvl w:ilvl="0">
      <w:lvlJc w:val="left"/>
      <w:lvlText w:val="(%1)"/>
      <w:numFmt w:val="lowerLetter"/>
      <w:start w:val="7"/>
    </w:lvl>
  </w:abstractNum>
  <w:abstractNum w:abstractNumId="487">
    <w:nsid w:val="31ED2BAF"/>
    <w:multiLevelType w:val="hybridMultilevel"/>
    <w:lvl w:ilvl="0">
      <w:lvlJc w:val="left"/>
      <w:lvlText w:val="(%1)"/>
      <w:numFmt w:val="lowerRoman"/>
      <w:start w:val="1"/>
    </w:lvl>
  </w:abstractNum>
  <w:abstractNum w:abstractNumId="488">
    <w:nsid w:val="77633E5E"/>
    <w:multiLevelType w:val="hybridMultilevel"/>
    <w:lvl w:ilvl="0">
      <w:lvlJc w:val="left"/>
      <w:lvlText w:val="(%1)"/>
      <w:numFmt w:val="lowerLetter"/>
      <w:start w:val="1"/>
    </w:lvl>
  </w:abstractNum>
  <w:abstractNum w:abstractNumId="489">
    <w:nsid w:val="7DA042A3"/>
    <w:multiLevelType w:val="hybridMultilevel"/>
    <w:lvl w:ilvl="0">
      <w:lvlJc w:val="left"/>
      <w:lvlText w:val="(%1)"/>
      <w:numFmt w:val="lowerLetter"/>
      <w:start w:val="10"/>
    </w:lvl>
  </w:abstractNum>
  <w:abstractNum w:abstractNumId="490">
    <w:nsid w:val="475553AB"/>
    <w:multiLevelType w:val="hybridMultilevel"/>
    <w:lvl w:ilvl="0">
      <w:lvlJc w:val="left"/>
      <w:lvlText w:val="(%1)"/>
      <w:numFmt w:val="lowerLetter"/>
      <w:start w:val="4"/>
    </w:lvl>
  </w:abstractNum>
  <w:abstractNum w:abstractNumId="491">
    <w:nsid w:val="5AB3EA93"/>
    <w:multiLevelType w:val="hybridMultilevel"/>
    <w:lvl w:ilvl="0">
      <w:lvlJc w:val="left"/>
      <w:lvlText w:val="(%1)"/>
      <w:numFmt w:val="decimal"/>
      <w:start w:val="91"/>
    </w:lvl>
  </w:abstractNum>
  <w:abstractNum w:abstractNumId="492">
    <w:nsid w:val="7417684F"/>
    <w:multiLevelType w:val="hybridMultilevel"/>
    <w:lvl w:ilvl="0">
      <w:lvlJc w:val="left"/>
      <w:lvlText w:val="(%1)"/>
      <w:numFmt w:val="lowerLetter"/>
      <w:start w:val="1"/>
    </w:lvl>
  </w:abstractNum>
  <w:abstractNum w:abstractNumId="493">
    <w:nsid w:val="E9E1415"/>
    <w:multiLevelType w:val="hybridMultilevel"/>
    <w:lvl w:ilvl="0">
      <w:lvlJc w:val="left"/>
      <w:lvlText w:val="(%1)"/>
      <w:numFmt w:val="lowerLetter"/>
      <w:start w:val="1"/>
    </w:lvl>
  </w:abstractNum>
  <w:abstractNum w:abstractNumId="494">
    <w:nsid w:val="1893D"/>
    <w:multiLevelType w:val="hybridMultilevel"/>
    <w:lvl w:ilvl="0">
      <w:lvlJc w:val="left"/>
      <w:lvlText w:val="(%1)"/>
      <w:numFmt w:val="lowerRoman"/>
      <w:start w:val="1"/>
    </w:lvl>
  </w:abstractNum>
  <w:abstractNum w:abstractNumId="495">
    <w:nsid w:val="13D4A2F2"/>
    <w:multiLevelType w:val="hybridMultilevel"/>
    <w:lvl w:ilvl="0">
      <w:lvlJc w:val="left"/>
      <w:lvlText w:val="%1"/>
      <w:numFmt w:val="lowerLetter"/>
      <w:start w:val="1"/>
    </w:lvl>
    <w:lvl w:ilvl="1">
      <w:lvlJc w:val="left"/>
      <w:lvlText w:val="(%2)"/>
      <w:numFmt w:val="lowerLetter"/>
      <w:start w:val="9"/>
    </w:lvl>
  </w:abstractNum>
  <w:abstractNum w:abstractNumId="496">
    <w:nsid w:val="2764C907"/>
    <w:multiLevelType w:val="hybridMultilevel"/>
    <w:lvl w:ilvl="0">
      <w:lvlJc w:val="left"/>
      <w:lvlText w:val="(%1)"/>
      <w:numFmt w:val="lowerLetter"/>
      <w:start w:val="10"/>
    </w:lvl>
    <w:lvl w:ilvl="1">
      <w:lvlJc w:val="left"/>
      <w:lvlText w:val="(%2)"/>
      <w:numFmt w:val="lowerLetter"/>
      <w:start w:val="35"/>
    </w:lvl>
  </w:abstractNum>
  <w:abstractNum w:abstractNumId="497">
    <w:nsid w:val="40D3692"/>
    <w:multiLevelType w:val="hybridMultilevel"/>
    <w:lvl w:ilvl="0">
      <w:lvlJc w:val="left"/>
      <w:lvlText w:val="(%1)"/>
      <w:numFmt w:val="lowerRoman"/>
      <w:start w:val="3"/>
    </w:lvl>
  </w:abstractNum>
  <w:abstractNum w:abstractNumId="498">
    <w:nsid w:val="222FC865"/>
    <w:multiLevelType w:val="hybridMultilevel"/>
    <w:lvl w:ilvl="0">
      <w:lvlJc w:val="left"/>
      <w:lvlText w:val="(%1)"/>
      <w:numFmt w:val="lowerRoman"/>
      <w:start w:val="10"/>
    </w:lvl>
  </w:abstractNum>
  <w:abstractNum w:abstractNumId="499">
    <w:nsid w:val="47C27FA"/>
    <w:multiLevelType w:val="hybridMultilevel"/>
    <w:lvl w:ilvl="0">
      <w:lvlJc w:val="left"/>
      <w:lvlText w:val="(%1)"/>
      <w:numFmt w:val="lowerLetter"/>
      <w:start w:val="25"/>
    </w:lvl>
  </w:abstractNum>
  <w:abstractNum w:abstractNumId="500">
    <w:nsid w:val="52E2D7C9"/>
    <w:multiLevelType w:val="hybridMultilevel"/>
    <w:lvl w:ilvl="0">
      <w:lvlJc w:val="left"/>
      <w:lvlText w:val="(%1)"/>
      <w:numFmt w:val="lowerLetter"/>
      <w:start w:val="1"/>
    </w:lvl>
  </w:abstractNum>
  <w:abstractNum w:abstractNumId="501">
    <w:nsid w:val="3D4B955A"/>
    <w:multiLevelType w:val="hybridMultilevel"/>
    <w:lvl w:ilvl="0">
      <w:lvlJc w:val="left"/>
      <w:lvlText w:val="(%1)"/>
      <w:numFmt w:val="lowerLetter"/>
      <w:start w:val="11"/>
    </w:lvl>
  </w:abstractNum>
  <w:abstractNum w:abstractNumId="502">
    <w:nsid w:val="5B4A22B5"/>
    <w:multiLevelType w:val="hybridMultilevel"/>
    <w:lvl w:ilvl="0">
      <w:lvlJc w:val="left"/>
      <w:lvlText w:val="(%1)"/>
      <w:numFmt w:val="lowerLetter"/>
      <w:start w:val="1"/>
    </w:lvl>
  </w:abstractNum>
  <w:abstractNum w:abstractNumId="503">
    <w:nsid w:val="4B294578"/>
    <w:multiLevelType w:val="hybridMultilevel"/>
    <w:lvl w:ilvl="0">
      <w:lvlJc w:val="left"/>
      <w:lvlText w:val="(%1)"/>
      <w:numFmt w:val="lowerLetter"/>
      <w:start w:val="4"/>
    </w:lvl>
  </w:abstractNum>
  <w:abstractNum w:abstractNumId="504">
    <w:nsid w:val="22317590"/>
    <w:multiLevelType w:val="hybridMultilevel"/>
    <w:lvl w:ilvl="0">
      <w:lvlJc w:val="left"/>
      <w:lvlText w:val="(%1)"/>
      <w:numFmt w:val="lowerLetter"/>
      <w:start w:val="1"/>
    </w:lvl>
  </w:abstractNum>
  <w:abstractNum w:abstractNumId="505">
    <w:nsid w:val="37A58EEF"/>
    <w:multiLevelType w:val="hybridMultilevel"/>
    <w:lvl w:ilvl="0">
      <w:lvlJc w:val="left"/>
      <w:lvlText w:val="(%1)"/>
      <w:numFmt w:val="lowerLetter"/>
      <w:start w:val="2"/>
    </w:lvl>
  </w:abstractNum>
  <w:abstractNum w:abstractNumId="506">
    <w:nsid w:val="283290FD"/>
    <w:multiLevelType w:val="hybridMultilevel"/>
    <w:lvl w:ilvl="0">
      <w:lvlJc w:val="left"/>
      <w:lvlText w:val="(%1)"/>
      <w:numFmt w:val="lowerRoman"/>
      <w:start w:val="1"/>
    </w:lvl>
  </w:abstractNum>
  <w:abstractNum w:abstractNumId="507">
    <w:nsid w:val="495C0EA5"/>
    <w:multiLevelType w:val="hybridMultilevel"/>
    <w:lvl w:ilvl="0">
      <w:lvlJc w:val="left"/>
      <w:lvlText w:val="(%1)"/>
      <w:numFmt w:val="lowerRoman"/>
      <w:start w:val="3"/>
    </w:lvl>
  </w:abstractNum>
  <w:abstractNum w:abstractNumId="508">
    <w:nsid w:val="A4A062B"/>
    <w:multiLevelType w:val="hybridMultilevel"/>
    <w:lvl w:ilvl="0">
      <w:lvlJc w:val="left"/>
      <w:lvlText w:val="%1"/>
      <w:numFmt w:val="lowerLetter"/>
      <w:start w:val="1"/>
    </w:lvl>
    <w:lvl w:ilvl="1">
      <w:lvlJc w:val="left"/>
      <w:lvlText w:val="(%2)"/>
      <w:numFmt w:val="lowerLetter"/>
      <w:start w:val="1"/>
    </w:lvl>
  </w:abstractNum>
  <w:abstractNum w:abstractNumId="509">
    <w:nsid w:val="3BED7940"/>
    <w:multiLevelType w:val="hybridMultilevel"/>
    <w:lvl w:ilvl="0">
      <w:lvlJc w:val="left"/>
      <w:lvlText w:val="(%1)"/>
      <w:numFmt w:val="lowerLetter"/>
      <w:start w:val="12"/>
    </w:lvl>
    <w:lvl w:ilvl="1">
      <w:lvlJc w:val="left"/>
      <w:lvlText w:val="%2"/>
      <w:numFmt w:val="lowerLetter"/>
      <w:start w:val="1"/>
    </w:lvl>
  </w:abstractNum>
  <w:abstractNum w:abstractNumId="510">
    <w:nsid w:val="54E56D64"/>
    <w:multiLevelType w:val="hybridMultilevel"/>
    <w:lvl w:ilvl="0">
      <w:lvlJc w:val="left"/>
      <w:lvlText w:val="(%1)"/>
      <w:numFmt w:val="lowerLetter"/>
      <w:start w:val="3"/>
    </w:lvl>
  </w:abstractNum>
  <w:abstractNum w:abstractNumId="511">
    <w:nsid w:val="6EB42955"/>
    <w:multiLevelType w:val="hybridMultilevel"/>
    <w:lvl w:ilvl="0">
      <w:lvlJc w:val="left"/>
      <w:lvlText w:val="(%1)"/>
      <w:numFmt w:val="lowerLetter"/>
      <w:start w:val="1"/>
    </w:lvl>
  </w:abstractNum>
  <w:abstractNum w:abstractNumId="512">
    <w:nsid w:val="29EFA642"/>
    <w:multiLevelType w:val="hybridMultilevel"/>
    <w:lvl w:ilvl="0">
      <w:lvlJc w:val="left"/>
      <w:lvlText w:val="(%1)"/>
      <w:numFmt w:val="lowerLetter"/>
      <w:start w:val="1"/>
    </w:lvl>
  </w:abstractNum>
  <w:abstractNum w:abstractNumId="513">
    <w:nsid w:val="7E337D35"/>
    <w:multiLevelType w:val="hybridMultilevel"/>
    <w:lvl w:ilvl="0">
      <w:lvlJc w:val="left"/>
      <w:lvlText w:val="(%1)"/>
      <w:numFmt w:val="lowerLetter"/>
      <w:start w:val="3"/>
    </w:lvl>
  </w:abstractNum>
  <w:abstractNum w:abstractNumId="514">
    <w:nsid w:val="1F8C83AB"/>
    <w:multiLevelType w:val="hybridMultilevel"/>
    <w:lvl w:ilvl="0">
      <w:lvlJc w:val="left"/>
      <w:lvlText w:val="(%1)"/>
      <w:numFmt w:val="lowerLetter"/>
      <w:start w:val="1"/>
    </w:lvl>
  </w:abstractNum>
  <w:abstractNum w:abstractNumId="515">
    <w:nsid w:val="18F40A33"/>
    <w:multiLevelType w:val="hybridMultilevel"/>
    <w:lvl w:ilvl="0">
      <w:lvlJc w:val="left"/>
      <w:lvlText w:val="(%1)"/>
      <w:numFmt w:val="lowerLetter"/>
      <w:start w:val="3"/>
    </w:lvl>
  </w:abstractNum>
  <w:abstractNum w:abstractNumId="516">
    <w:nsid w:val="1059DF71"/>
    <w:multiLevelType w:val="hybridMultilevel"/>
    <w:lvl w:ilvl="0">
      <w:lvlJc w:val="left"/>
      <w:lvlText w:val="(%1)"/>
      <w:numFmt w:val="lowerLetter"/>
      <w:start w:val="1"/>
    </w:lvl>
  </w:abstractNum>
  <w:abstractNum w:abstractNumId="517">
    <w:nsid w:val="CF19F38"/>
    <w:multiLevelType w:val="hybridMultilevel"/>
    <w:lvl w:ilvl="0">
      <w:lvlJc w:val="left"/>
      <w:lvlText w:val="(%1)"/>
      <w:numFmt w:val="lowerLetter"/>
      <w:start w:val="3"/>
    </w:lvl>
  </w:abstractNum>
  <w:abstractNum w:abstractNumId="518">
    <w:nsid w:val="4AE135E2"/>
    <w:multiLevelType w:val="hybridMultilevel"/>
    <w:lvl w:ilvl="0">
      <w:lvlJc w:val="left"/>
      <w:lvlText w:val="(%1)"/>
      <w:numFmt w:val="lowerLetter"/>
      <w:start w:val="1"/>
    </w:lvl>
  </w:abstractNum>
  <w:abstractNum w:abstractNumId="519">
    <w:nsid w:val="7BD1DCF"/>
    <w:multiLevelType w:val="hybridMultilevel"/>
    <w:lvl w:ilvl="0">
      <w:lvlJc w:val="left"/>
      <w:lvlText w:val="(%1)"/>
      <w:numFmt w:val="lowerLetter"/>
      <w:start w:val="2"/>
    </w:lvl>
  </w:abstractNum>
  <w:abstractNum w:abstractNumId="520">
    <w:nsid w:val="A91E1DC"/>
    <w:multiLevelType w:val="hybridMultilevel"/>
    <w:lvl w:ilvl="0">
      <w:lvlJc w:val="left"/>
      <w:lvlText w:val="(%1)"/>
      <w:numFmt w:val="lowerLetter"/>
      <w:start w:val="1"/>
    </w:lvl>
  </w:abstractNum>
  <w:abstractNum w:abstractNumId="521">
    <w:nsid w:val="1236898D"/>
    <w:multiLevelType w:val="hybridMultilevel"/>
    <w:lvl w:ilvl="0">
      <w:lvlJc w:val="left"/>
      <w:lvlText w:val="(%1)"/>
      <w:numFmt w:val="lowerLetter"/>
      <w:start w:val="2"/>
    </w:lvl>
  </w:abstractNum>
  <w:abstractNum w:abstractNumId="522">
    <w:nsid w:val="62710862"/>
    <w:multiLevelType w:val="hybridMultilevel"/>
    <w:lvl w:ilvl="0">
      <w:lvlJc w:val="left"/>
      <w:lvlText w:val="(%1)"/>
      <w:numFmt w:val="lowerLetter"/>
      <w:start w:val="1"/>
    </w:lvl>
  </w:abstractNum>
  <w:abstractNum w:abstractNumId="523">
    <w:nsid w:val="7EA94A2B"/>
    <w:multiLevelType w:val="hybridMultilevel"/>
    <w:lvl w:ilvl="0">
      <w:lvlJc w:val="left"/>
      <w:lvlText w:val="(%1)"/>
      <w:numFmt w:val="lowerLetter"/>
      <w:start w:val="2"/>
    </w:lvl>
  </w:abstractNum>
  <w:abstractNum w:abstractNumId="524">
    <w:nsid w:val="20D49DA3"/>
    <w:multiLevelType w:val="hybridMultilevel"/>
    <w:lvl w:ilvl="0">
      <w:lvlJc w:val="left"/>
      <w:lvlText w:val="%1"/>
      <w:numFmt w:val="lowerLetter"/>
      <w:start w:val="1"/>
    </w:lvl>
    <w:lvl w:ilvl="1">
      <w:lvlJc w:val="left"/>
      <w:lvlText w:val="(%2)"/>
      <w:numFmt w:val="lowerRoman"/>
      <w:start w:val="1"/>
    </w:lvl>
  </w:abstractNum>
  <w:abstractNum w:abstractNumId="525">
    <w:nsid w:val="6272919F"/>
    <w:multiLevelType w:val="hybridMultilevel"/>
    <w:lvl w:ilvl="0">
      <w:lvlJc w:val="left"/>
      <w:lvlText w:val="(%1)"/>
      <w:numFmt w:val="lowerLetter"/>
      <w:start w:val="4"/>
    </w:lvl>
    <w:lvl w:ilvl="1">
      <w:lvlJc w:val="left"/>
      <w:lvlText w:val="%2"/>
      <w:numFmt w:val="lowerRoman"/>
      <w:start w:val="1"/>
    </w:lvl>
  </w:abstractNum>
  <w:abstractNum w:abstractNumId="526">
    <w:nsid w:val="127DED1D"/>
    <w:multiLevelType w:val="hybridMultilevel"/>
    <w:lvl w:ilvl="0">
      <w:lvlJc w:val="left"/>
      <w:lvlText w:val="(%1)"/>
      <w:numFmt w:val="lowerLetter"/>
      <w:start w:val="24"/>
    </w:lvl>
    <w:lvl w:ilvl="1">
      <w:lvlJc w:val="left"/>
      <w:lvlText w:val="(%2)"/>
      <w:numFmt w:val="lowerLetter"/>
      <w:start w:val="5"/>
    </w:lvl>
  </w:abstractNum>
  <w:abstractNum w:abstractNumId="527">
    <w:nsid w:val="483966AA"/>
    <w:multiLevelType w:val="hybridMultilevel"/>
    <w:lvl w:ilvl="0">
      <w:lvlJc w:val="left"/>
      <w:lvlText w:val="(%1)"/>
      <w:numFmt w:val="lowerLetter"/>
      <w:start w:val="1"/>
    </w:lvl>
  </w:abstractNum>
  <w:abstractNum w:abstractNumId="528">
    <w:nsid w:val="667FC831"/>
    <w:multiLevelType w:val="hybridMultilevel"/>
    <w:lvl w:ilvl="0">
      <w:lvlJc w:val="left"/>
      <w:lvlText w:val="(%1)"/>
      <w:numFmt w:val="lowerLetter"/>
      <w:start w:val="10"/>
    </w:lvl>
  </w:abstractNum>
  <w:abstractNum w:abstractNumId="529">
    <w:nsid w:val="34ADB582"/>
    <w:multiLevelType w:val="hybridMultilevel"/>
    <w:lvl w:ilvl="0">
      <w:lvlJc w:val="left"/>
      <w:lvlText w:val="(%1)"/>
      <w:numFmt w:val="lowerLetter"/>
      <w:start w:val="1"/>
    </w:lvl>
  </w:abstractNum>
  <w:abstractNum w:abstractNumId="530">
    <w:nsid w:val="4CB58EA4"/>
    <w:multiLevelType w:val="hybridMultilevel"/>
    <w:lvl w:ilvl="0">
      <w:lvlJc w:val="left"/>
      <w:lvlText w:val="(%1)"/>
      <w:numFmt w:val="lowerLetter"/>
      <w:start w:val="1"/>
    </w:lvl>
  </w:abstractNum>
  <w:abstractNum w:abstractNumId="531">
    <w:nsid w:val="39629FFA"/>
    <w:multiLevelType w:val="hybridMultilevel"/>
    <w:lvl w:ilvl="0">
      <w:lvlJc w:val="left"/>
      <w:lvlText w:val="(%1)"/>
      <w:numFmt w:val="lowerLetter"/>
      <w:start w:val="3"/>
    </w:lvl>
  </w:abstractNum>
  <w:abstractNum w:abstractNumId="532">
    <w:nsid w:val="71F94ADC"/>
    <w:multiLevelType w:val="hybridMultilevel"/>
    <w:lvl w:ilvl="0">
      <w:lvlJc w:val="left"/>
      <w:lvlText w:val="(%1)"/>
      <w:numFmt w:val="lowerLetter"/>
      <w:start w:val="1"/>
    </w:lvl>
  </w:abstractNum>
  <w:abstractNum w:abstractNumId="533">
    <w:nsid w:val="27FFB15A"/>
    <w:multiLevelType w:val="hybridMultilevel"/>
    <w:lvl w:ilvl="0">
      <w:lvlJc w:val="left"/>
      <w:lvlText w:val="(%1)"/>
      <w:numFmt w:val="lowerRoman"/>
      <w:start w:val="1"/>
    </w:lvl>
  </w:abstractNum>
  <w:abstractNum w:abstractNumId="534">
    <w:nsid w:val="48BE573"/>
    <w:multiLevelType w:val="hybridMultilevel"/>
    <w:lvl w:ilvl="0">
      <w:lvlJc w:val="left"/>
      <w:lvlText w:val="(%1)"/>
      <w:numFmt w:val="lowerRoman"/>
      <w:start w:val="5"/>
    </w:lvl>
  </w:abstractNum>
  <w:abstractNum w:abstractNumId="535">
    <w:nsid w:val="142AC06C"/>
    <w:multiLevelType w:val="hybridMultilevel"/>
    <w:lvl w:ilvl="0">
      <w:lvlJc w:val="left"/>
      <w:lvlText w:val="(%1)"/>
      <w:numFmt w:val="lowerLetter"/>
      <w:start w:val="2"/>
    </w:lvl>
  </w:abstractNum>
  <w:abstractNum w:abstractNumId="536">
    <w:nsid w:val="5FA54049"/>
    <w:multiLevelType w:val="hybridMultilevel"/>
    <w:lvl w:ilvl="0">
      <w:lvlJc w:val="left"/>
      <w:lvlText w:val="(%1)"/>
      <w:numFmt w:val="lowerLetter"/>
      <w:start w:val="1"/>
    </w:lvl>
  </w:abstractNum>
  <w:abstractNum w:abstractNumId="537">
    <w:nsid w:val="2CBE7670"/>
    <w:multiLevelType w:val="hybridMultilevel"/>
    <w:lvl w:ilvl="0">
      <w:lvlJc w:val="left"/>
      <w:lvlText w:val="(%1)"/>
      <w:numFmt w:val="lowerRoman"/>
      <w:start w:val="1"/>
    </w:lvl>
    <w:lvl w:ilvl="1">
      <w:lvlJc w:val="left"/>
      <w:lvlText w:val="(%2)"/>
      <w:numFmt w:val="upperLetter"/>
      <w:start w:val="1"/>
    </w:lvl>
  </w:abstractNum>
  <w:abstractNum w:abstractNumId="538">
    <w:nsid w:val="5D86CF1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
    </w:lvl>
  </w:abstractNum>
  <w:abstractNum w:abstractNumId="539">
    <w:nsid w:val="69EF4674"/>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540">
    <w:nsid w:val="68ABEFB0"/>
    <w:multiLevelType w:val="hybridMultilevel"/>
    <w:lvl w:ilvl="0">
      <w:lvlJc w:val="left"/>
      <w:lvlText w:val="(%1)"/>
      <w:numFmt w:val="upperLetter"/>
      <w:start w:val="1"/>
    </w:lvl>
    <w:lvl w:ilvl="1">
      <w:lvlJc w:val="left"/>
      <w:lvlText w:val="(%2)"/>
      <w:numFmt w:val="lowerRoman"/>
      <w:start w:val="6"/>
    </w:lvl>
    <w:lvl w:ilvl="2">
      <w:lvlJc w:val="left"/>
      <w:lvlText w:val="%3"/>
      <w:numFmt w:val="upperLetter"/>
      <w:start w:val="1"/>
    </w:lvl>
  </w:abstractNum>
  <w:abstractNum w:abstractNumId="541">
    <w:nsid w:val="326C3C76"/>
    <w:multiLevelType w:val="hybridMultilevel"/>
    <w:lvl w:ilvl="0">
      <w:lvlJc w:val="left"/>
      <w:lvlText w:val="(%1)"/>
      <w:numFmt w:val="lowerLetter"/>
      <w:start w:val="2"/>
    </w:lvl>
  </w:abstractNum>
  <w:abstractNum w:abstractNumId="542">
    <w:nsid w:val="58A36FCA"/>
    <w:multiLevelType w:val="hybridMultilevel"/>
    <w:lvl w:ilvl="0">
      <w:lvlJc w:val="left"/>
      <w:lvlText w:val="%1"/>
      <w:numFmt w:val="upperLetter"/>
      <w:start w:val="1"/>
    </w:lvl>
    <w:lvl w:ilvl="1">
      <w:lvlJc w:val="left"/>
      <w:lvlText w:val="(%2)"/>
      <w:numFmt w:val="lowerRoman"/>
      <w:start w:val="1"/>
    </w:lvl>
  </w:abstractNum>
  <w:abstractNum w:abstractNumId="543">
    <w:nsid w:val="129B95F2"/>
    <w:multiLevelType w:val="hybridMultilevel"/>
    <w:lvl w:ilvl="0">
      <w:lvlJc w:val="left"/>
      <w:lvlText w:val="(%1)"/>
      <w:numFmt w:val="upperLetter"/>
      <w:start w:val="5"/>
    </w:lvl>
    <w:lvl w:ilvl="1">
      <w:lvlJc w:val="left"/>
      <w:lvlText w:val="%2"/>
      <w:numFmt w:val="lowerRoman"/>
      <w:start w:val="1"/>
    </w:lvl>
  </w:abstractNum>
  <w:abstractNum w:abstractNumId="544">
    <w:nsid w:val="309FB9AB"/>
    <w:multiLevelType w:val="hybridMultilevel"/>
    <w:lvl w:ilvl="0">
      <w:lvlJc w:val="left"/>
      <w:lvlText w:val="(%1)"/>
      <w:numFmt w:val="lowerRoman"/>
      <w:start w:val="2"/>
    </w:lvl>
  </w:abstractNum>
  <w:abstractNum w:abstractNumId="545">
    <w:nsid w:val="782FF375"/>
    <w:multiLevelType w:val="hybridMultilevel"/>
    <w:lvl w:ilvl="0">
      <w:lvlJc w:val="left"/>
      <w:lvlText w:val="(%1)"/>
      <w:numFmt w:val="lowerLetter"/>
      <w:start w:val="3"/>
    </w:lvl>
  </w:abstractNum>
  <w:abstractNum w:abstractNumId="546">
    <w:nsid w:val="2B8FA025"/>
    <w:multiLevelType w:val="hybridMultilevel"/>
    <w:lvl w:ilvl="0">
      <w:lvlJc w:val="left"/>
      <w:lvlText w:val="(%1)"/>
      <w:numFmt w:val="lowerRoman"/>
      <w:start w:val="1"/>
    </w:lvl>
  </w:abstractNum>
  <w:abstractNum w:abstractNumId="547">
    <w:nsid w:val="40F9991C"/>
    <w:multiLevelType w:val="hybridMultilevel"/>
    <w:lvl w:ilvl="0">
      <w:lvlJc w:val="left"/>
      <w:lvlText w:val="(%1)"/>
      <w:numFmt w:val="lowerRoman"/>
      <w:start w:val="6"/>
    </w:lvl>
  </w:abstractNum>
  <w:abstractNum w:abstractNumId="548">
    <w:nsid w:val="52192AD"/>
    <w:multiLevelType w:val="hybridMultilevel"/>
    <w:lvl w:ilvl="0">
      <w:lvlJc w:val="left"/>
      <w:lvlText w:val="(%1)"/>
      <w:numFmt w:val="lowerLetter"/>
      <w:start w:val="4"/>
    </w:lvl>
  </w:abstractNum>
  <w:abstractNum w:abstractNumId="549">
    <w:nsid w:val="7670D608"/>
    <w:multiLevelType w:val="hybridMultilevel"/>
    <w:lvl w:ilvl="0">
      <w:lvlJc w:val="left"/>
      <w:lvlText w:val="(%1)"/>
      <w:numFmt w:val="lowerRoman"/>
      <w:start w:val="1"/>
    </w:lvl>
  </w:abstractNum>
  <w:abstractNum w:abstractNumId="550">
    <w:nsid w:val="48B6B6EB"/>
    <w:multiLevelType w:val="hybridMultilevel"/>
    <w:lvl w:ilvl="0">
      <w:lvlJc w:val="left"/>
      <w:lvlText w:val="(%1)"/>
      <w:numFmt w:val="lowerLetter"/>
      <w:start w:val="5"/>
    </w:lvl>
  </w:abstractNum>
  <w:abstractNum w:abstractNumId="551">
    <w:nsid w:val="FB37489"/>
    <w:multiLevelType w:val="hybridMultilevel"/>
    <w:lvl w:ilvl="0">
      <w:lvlJc w:val="left"/>
      <w:lvlText w:val="(%1)"/>
      <w:numFmt w:val="lowerRoman"/>
      <w:start w:val="1"/>
    </w:lvl>
  </w:abstractNum>
  <w:abstractNum w:abstractNumId="552">
    <w:nsid w:val="8A75F95"/>
    <w:multiLevelType w:val="hybridMultilevel"/>
    <w:lvl w:ilvl="0">
      <w:lvlJc w:val="left"/>
      <w:lvlText w:val="(%1)"/>
      <w:numFmt w:val="lowerRoman"/>
      <w:start w:val="3"/>
    </w:lvl>
  </w:abstractNum>
  <w:abstractNum w:abstractNumId="553">
    <w:nsid w:val="2B27BF4D"/>
    <w:multiLevelType w:val="hybridMultilevel"/>
    <w:lvl w:ilvl="0">
      <w:lvlJc w:val="left"/>
      <w:lvlText w:val="(%1)"/>
      <w:numFmt w:val="lowerLetter"/>
      <w:start w:val="6"/>
    </w:lvl>
  </w:abstractNum>
  <w:abstractNum w:abstractNumId="554">
    <w:nsid w:val="E5CBEB4"/>
    <w:multiLevelType w:val="hybridMultilevel"/>
    <w:lvl w:ilvl="0">
      <w:lvlJc w:val="left"/>
      <w:lvlText w:val="(%1)"/>
      <w:numFmt w:val="lowerLetter"/>
      <w:start w:val="7"/>
    </w:lvl>
  </w:abstractNum>
  <w:abstractNum w:abstractNumId="555">
    <w:nsid w:val="297BFD38"/>
    <w:multiLevelType w:val="hybridMultilevel"/>
    <w:lvl w:ilvl="0">
      <w:lvlJc w:val="left"/>
      <w:lvlText w:val="(%1)"/>
      <w:numFmt w:val="lowerLetter"/>
      <w:start w:val="11"/>
    </w:lvl>
  </w:abstractNum>
  <w:abstractNum w:abstractNumId="556">
    <w:nsid w:val="D9A50ED"/>
    <w:multiLevelType w:val="hybridMultilevel"/>
    <w:lvl w:ilvl="0">
      <w:lvlJc w:val="left"/>
      <w:lvlText w:val="(%1)"/>
      <w:numFmt w:val="lowerLetter"/>
      <w:start w:val="1"/>
    </w:lvl>
  </w:abstractNum>
  <w:abstractNum w:abstractNumId="557">
    <w:nsid w:val="20DAABD1"/>
    <w:multiLevelType w:val="hybridMultilevel"/>
    <w:lvl w:ilvl="0">
      <w:lvlJc w:val="left"/>
      <w:lvlText w:val="(%1)"/>
      <w:numFmt w:val="lowerLetter"/>
      <w:start w:val="1"/>
    </w:lvl>
  </w:abstractNum>
  <w:abstractNum w:abstractNumId="558">
    <w:nsid w:val="71B563E3"/>
    <w:multiLevelType w:val="hybridMultilevel"/>
    <w:lvl w:ilvl="0">
      <w:lvlJc w:val="left"/>
      <w:lvlText w:val="(%1)"/>
      <w:numFmt w:val="lowerLetter"/>
      <w:start w:val="3"/>
    </w:lvl>
  </w:abstractNum>
  <w:abstractNum w:abstractNumId="559">
    <w:nsid w:val="741A191E"/>
    <w:multiLevelType w:val="hybridMultilevel"/>
    <w:lvl w:ilvl="0">
      <w:lvlJc w:val="left"/>
      <w:lvlText w:val="(%1)"/>
      <w:numFmt w:val="lowerRoman"/>
      <w:start w:val="1"/>
    </w:lvl>
  </w:abstractNum>
  <w:abstractNum w:abstractNumId="560">
    <w:nsid w:val="55886153"/>
    <w:multiLevelType w:val="hybridMultilevel"/>
    <w:lvl w:ilvl="0">
      <w:lvlJc w:val="left"/>
      <w:lvlText w:val="(%1)"/>
      <w:numFmt w:val="lowerLetter"/>
      <w:start w:val="4"/>
    </w:lvl>
  </w:abstractNum>
  <w:abstractNum w:abstractNumId="561">
    <w:nsid w:val="3E6AF287"/>
    <w:multiLevelType w:val="hybridMultilevel"/>
    <w:lvl w:ilvl="0">
      <w:lvlJc w:val="left"/>
      <w:lvlText w:val="(%1)"/>
      <w:numFmt w:val="lowerLetter"/>
      <w:start w:val="1"/>
    </w:lvl>
  </w:abstractNum>
  <w:abstractNum w:abstractNumId="562">
    <w:nsid w:val="2D7CB919"/>
    <w:multiLevelType w:val="hybridMultilevel"/>
    <w:lvl w:ilvl="0">
      <w:lvlJc w:val="left"/>
      <w:lvlText w:val="(%1)"/>
      <w:numFmt w:val="lowerLetter"/>
      <w:start w:val="3"/>
    </w:lvl>
  </w:abstractNum>
  <w:abstractNum w:abstractNumId="563">
    <w:nsid w:val="4781AC2F"/>
    <w:multiLevelType w:val="hybridMultilevel"/>
    <w:lvl w:ilvl="0">
      <w:lvlJc w:val="left"/>
      <w:lvlText w:val="%1"/>
      <w:numFmt w:val="lowerLetter"/>
      <w:start w:val="1"/>
    </w:lvl>
    <w:lvl w:ilvl="1">
      <w:lvlJc w:val="left"/>
      <w:lvlText w:val="(%2)"/>
      <w:numFmt w:val="lowerLetter"/>
      <w:start w:val="1"/>
    </w:lvl>
  </w:abstractNum>
  <w:abstractNum w:abstractNumId="564">
    <w:nsid w:val="666AA3E1"/>
    <w:multiLevelType w:val="hybridMultilevel"/>
    <w:lvl w:ilvl="0">
      <w:lvlJc w:val="left"/>
      <w:lvlText w:val="(%1)"/>
      <w:numFmt w:val="lowerLetter"/>
      <w:start w:val="61"/>
    </w:lvl>
    <w:lvl w:ilvl="1">
      <w:lvlJc w:val="left"/>
      <w:lvlText w:val="(%2)"/>
      <w:numFmt w:val="lowerLetter"/>
      <w:start w:val="4"/>
    </w:lvl>
  </w:abstractNum>
  <w:abstractNum w:abstractNumId="565">
    <w:nsid w:val="32089E8C"/>
    <w:multiLevelType w:val="hybridMultilevel"/>
    <w:lvl w:ilvl="0">
      <w:lvlJc w:val="left"/>
      <w:lvlText w:val="(%1)"/>
      <w:numFmt w:val="lowerLetter"/>
      <w:start w:val="1"/>
    </w:lvl>
  </w:abstractNum>
  <w:abstractNum w:abstractNumId="566">
    <w:nsid w:val="5BAC6C9C"/>
    <w:multiLevelType w:val="hybridMultilevel"/>
    <w:lvl w:ilvl="0">
      <w:lvlJc w:val="left"/>
      <w:lvlText w:val="(%1)"/>
      <w:numFmt w:val="lowerRoman"/>
      <w:start w:val="1"/>
    </w:lvl>
  </w:abstractNum>
  <w:abstractNum w:abstractNumId="567">
    <w:nsid w:val="460FE42B"/>
    <w:multiLevelType w:val="hybridMultilevel"/>
    <w:lvl w:ilvl="0">
      <w:lvlJc w:val="left"/>
      <w:lvlText w:val="%1"/>
      <w:numFmt w:val="lowerRoman"/>
      <w:start w:val="1"/>
    </w:lvl>
    <w:lvl w:ilvl="1">
      <w:lvlJc w:val="left"/>
      <w:lvlText w:val="(%2)"/>
      <w:numFmt w:val="lowerRoman"/>
      <w:start w:val="2"/>
    </w:lvl>
  </w:abstractNum>
  <w:abstractNum w:abstractNumId="568">
    <w:nsid w:val="5EC714FC"/>
    <w:multiLevelType w:val="hybridMultilevel"/>
    <w:lvl w:ilvl="0">
      <w:lvlJc w:val="left"/>
      <w:lvlText w:val="(%1)"/>
      <w:numFmt w:val="lowerRoman"/>
      <w:start w:val="3"/>
    </w:lvl>
    <w:lvl w:ilvl="1">
      <w:lvlJc w:val="left"/>
      <w:lvlText w:val="%2"/>
      <w:numFmt w:val="lowerRoman"/>
      <w:start w:val="1"/>
    </w:lvl>
  </w:abstractNum>
  <w:abstractNum w:abstractNumId="569">
    <w:nsid w:val="39333BAD"/>
    <w:multiLevelType w:val="hybridMultilevel"/>
    <w:lvl w:ilvl="0">
      <w:lvlJc w:val="left"/>
      <w:lvlText w:val="(%1)"/>
      <w:numFmt w:val="lowerRoman"/>
      <w:start w:val="5"/>
    </w:lvl>
    <w:lvl w:ilvl="1">
      <w:lvlJc w:val="left"/>
      <w:lvlText w:val="(%2)"/>
      <w:numFmt w:val="lowerRoman"/>
      <w:start w:val="6"/>
    </w:lvl>
  </w:abstractNum>
  <w:abstractNum w:abstractNumId="570">
    <w:nsid w:val="2FFF2A9F"/>
    <w:multiLevelType w:val="hybridMultilevel"/>
    <w:lvl w:ilvl="0">
      <w:lvlJc w:val="left"/>
      <w:lvlText w:val="(%1)"/>
      <w:numFmt w:val="lowerLetter"/>
      <w:start w:val="2"/>
    </w:lvl>
  </w:abstractNum>
  <w:abstractNum w:abstractNumId="571">
    <w:nsid w:val="477304AC"/>
    <w:multiLevelType w:val="hybridMultilevel"/>
    <w:lvl w:ilvl="0">
      <w:lvlJc w:val="left"/>
      <w:lvlText w:val="(%1)"/>
      <w:numFmt w:val="lowerLetter"/>
      <w:start w:val="4"/>
    </w:lvl>
  </w:abstractNum>
  <w:abstractNum w:abstractNumId="572">
    <w:nsid w:val="6B9F7823"/>
    <w:multiLevelType w:val="hybridMultilevel"/>
    <w:lvl w:ilvl="0">
      <w:lvlJc w:val="left"/>
      <w:lvlText w:val="%1"/>
      <w:numFmt w:val="decimal"/>
      <w:start w:val="1"/>
    </w:lvl>
    <w:lvl w:ilvl="1">
      <w:lvlJc w:val="left"/>
      <w:lvlText w:val="(%2)"/>
      <w:numFmt w:val="lowerLetter"/>
      <w:start w:val="1"/>
    </w:lvl>
  </w:abstractNum>
  <w:abstractNum w:abstractNumId="573">
    <w:nsid w:val="8A29A69"/>
    <w:multiLevelType w:val="hybridMultilevel"/>
    <w:lvl w:ilvl="0">
      <w:lvlJc w:val="left"/>
      <w:lvlText w:val="(%1)"/>
      <w:numFmt w:val="decimal"/>
      <w:start w:val="5"/>
    </w:lvl>
    <w:lvl w:ilvl="1">
      <w:lvlJc w:val="left"/>
      <w:lvlText w:val="(%2)"/>
      <w:numFmt w:val="lowerLetter"/>
      <w:start w:val="3"/>
    </w:lvl>
  </w:abstractNum>
  <w:abstractNum w:abstractNumId="574">
    <w:nsid w:val="5A0E9A9F"/>
    <w:multiLevelType w:val="hybridMultilevel"/>
    <w:lvl w:ilvl="0">
      <w:lvlJc w:val="left"/>
      <w:lvlText w:val="(%1)"/>
      <w:numFmt w:val="lowerLetter"/>
      <w:start w:val="5"/>
    </w:lvl>
  </w:abstractNum>
  <w:abstractNum w:abstractNumId="575">
    <w:nsid w:val="1C3F31CE"/>
    <w:multiLevelType w:val="hybridMultilevel"/>
    <w:lvl w:ilvl="0">
      <w:lvlJc w:val="left"/>
      <w:lvlText w:val="(%1)"/>
      <w:numFmt w:val="lowerLetter"/>
      <w:start w:val="1"/>
    </w:lvl>
  </w:abstractNum>
  <w:abstractNum w:abstractNumId="576">
    <w:nsid w:val="D28DDE"/>
    <w:multiLevelType w:val="hybridMultilevel"/>
    <w:lvl w:ilvl="0">
      <w:lvlJc w:val="left"/>
      <w:lvlText w:val="(%1)"/>
      <w:numFmt w:val="lowerLetter"/>
      <w:start w:val="3"/>
    </w:lvl>
  </w:abstractNum>
  <w:abstractNum w:abstractNumId="577">
    <w:nsid w:val="59E3AC4"/>
    <w:multiLevelType w:val="hybridMultilevel"/>
    <w:lvl w:ilvl="0">
      <w:lvlJc w:val="left"/>
      <w:lvlText w:val="(%1)"/>
      <w:numFmt w:val="lowerLetter"/>
      <w:start w:val="1"/>
    </w:lvl>
  </w:abstractNum>
  <w:abstractNum w:abstractNumId="578">
    <w:nsid w:val="5D38CAEA"/>
    <w:multiLevelType w:val="hybridMultilevel"/>
    <w:lvl w:ilvl="0">
      <w:lvlJc w:val="left"/>
      <w:lvlText w:val="(%1)"/>
      <w:numFmt w:val="lowerLetter"/>
      <w:start w:val="5"/>
    </w:lvl>
  </w:abstractNum>
  <w:abstractNum w:abstractNumId="579">
    <w:nsid w:val="5F4208C"/>
    <w:multiLevelType w:val="hybridMultilevel"/>
    <w:lvl w:ilvl="0">
      <w:lvlJc w:val="left"/>
      <w:lvlText w:val="(%1)"/>
      <w:numFmt w:val="lowerLetter"/>
      <w:start w:val="1"/>
    </w:lvl>
  </w:abstractNum>
  <w:abstractNum w:abstractNumId="580">
    <w:nsid w:val="7C0F10CC"/>
    <w:multiLevelType w:val="hybridMultilevel"/>
    <w:lvl w:ilvl="0">
      <w:lvlJc w:val="left"/>
      <w:lvlText w:val="(%1)"/>
      <w:numFmt w:val="lowerRoman"/>
      <w:start w:val="1"/>
    </w:lvl>
    <w:lvl w:ilvl="1">
      <w:lvlJc w:val="left"/>
      <w:lvlText w:val="(%2)"/>
      <w:numFmt w:val="decimal"/>
      <w:start w:val="1"/>
    </w:lvl>
  </w:abstractNum>
  <w:abstractNum w:abstractNumId="581">
    <w:nsid w:val="25EF81D5"/>
    <w:multiLevelType w:val="hybridMultilevel"/>
    <w:lvl w:ilvl="0">
      <w:lvlJc w:val="left"/>
      <w:lvlText w:val="(%1)"/>
      <w:numFmt w:val="lowerRoman"/>
      <w:start w:val="4"/>
    </w:lvl>
  </w:abstractNum>
  <w:abstractNum w:abstractNumId="582">
    <w:nsid w:val="15A79515"/>
    <w:multiLevelType w:val="hybridMultilevel"/>
    <w:lvl w:ilvl="0">
      <w:lvlJc w:val="left"/>
      <w:lvlText w:val="(%1)"/>
      <w:numFmt w:val="lowerLetter"/>
      <w:start w:val="2"/>
    </w:lvl>
  </w:abstractNum>
  <w:abstractNum w:abstractNumId="583">
    <w:nsid w:val="4B67062"/>
    <w:multiLevelType w:val="hybridMultilevel"/>
    <w:lvl w:ilvl="0">
      <w:lvlJc w:val="left"/>
      <w:lvlText w:val="(%1)"/>
      <w:numFmt w:val="lowerRoman"/>
      <w:start w:val="1"/>
    </w:lvl>
  </w:abstractNum>
  <w:abstractNum w:abstractNumId="584">
    <w:nsid w:val="51174123"/>
    <w:multiLevelType w:val="hybridMultilevel"/>
    <w:lvl w:ilvl="0">
      <w:lvlJc w:val="left"/>
      <w:lvlText w:val="(%1)"/>
      <w:numFmt w:val="lowerLetter"/>
      <w:start w:val="3"/>
    </w:lvl>
  </w:abstractNum>
  <w:abstractNum w:abstractNumId="585">
    <w:nsid w:val="240453CA"/>
    <w:multiLevelType w:val="hybridMultilevel"/>
    <w:lvl w:ilvl="0">
      <w:lvlJc w:val="left"/>
      <w:lvlText w:val="(%1)"/>
      <w:numFmt w:val="lowerRoman"/>
      <w:start w:val="1"/>
    </w:lvl>
  </w:abstractNum>
  <w:abstractNum w:abstractNumId="586">
    <w:nsid w:val="2E326D9A"/>
    <w:multiLevelType w:val="hybridMultilevel"/>
    <w:lvl w:ilvl="0">
      <w:lvlJc w:val="left"/>
      <w:lvlText w:val="%1"/>
      <w:numFmt w:val="lowerRoman"/>
      <w:start w:val="1"/>
    </w:lvl>
    <w:lvl w:ilvl="1">
      <w:lvlJc w:val="left"/>
      <w:lvlText w:val="(%2)"/>
      <w:numFmt w:val="lowerRoman"/>
      <w:start w:val="2"/>
    </w:lvl>
  </w:abstractNum>
  <w:abstractNum w:abstractNumId="587">
    <w:nsid w:val="5EB19210"/>
    <w:multiLevelType w:val="hybridMultilevel"/>
    <w:lvl w:ilvl="0">
      <w:lvlJc w:val="left"/>
      <w:lvlText w:val="(%1)"/>
      <w:numFmt w:val="lowerRoman"/>
      <w:start w:val="10"/>
    </w:lvl>
    <w:lvl w:ilvl="1">
      <w:lvlJc w:val="left"/>
      <w:lvlText w:val="(%2)"/>
      <w:numFmt w:val="lowerRoman"/>
      <w:start w:val="5"/>
    </w:lvl>
  </w:abstractNum>
  <w:abstractNum w:abstractNumId="588">
    <w:nsid w:val="44DEFF9B"/>
    <w:multiLevelType w:val="hybridMultilevel"/>
    <w:lvl w:ilvl="0">
      <w:lvlJc w:val="left"/>
      <w:lvlText w:val="(%1)"/>
      <w:numFmt w:val="lowerLetter"/>
      <w:start w:val="4"/>
    </w:lvl>
  </w:abstractNum>
  <w:abstractNum w:abstractNumId="589">
    <w:nsid w:val="1FE7D17D"/>
    <w:multiLevelType w:val="hybridMultilevel"/>
    <w:lvl w:ilvl="0">
      <w:lvlJc w:val="left"/>
      <w:lvlText w:val="(%1)"/>
      <w:numFmt w:val="lowerRoman"/>
      <w:start w:val="1"/>
    </w:lvl>
  </w:abstractNum>
  <w:abstractNum w:abstractNumId="590">
    <w:nsid w:val="52CBAB2E"/>
    <w:multiLevelType w:val="hybridMultilevel"/>
    <w:lvl w:ilvl="0">
      <w:lvlJc w:val="left"/>
      <w:lvlText w:val="(%1)"/>
      <w:numFmt w:val="lowerLetter"/>
      <w:start w:val="7"/>
    </w:lvl>
  </w:abstractNum>
  <w:abstractNum w:abstractNumId="591">
    <w:nsid w:val="1A6760EF"/>
    <w:multiLevelType w:val="hybridMultilevel"/>
    <w:lvl w:ilvl="0">
      <w:lvlJc w:val="left"/>
      <w:lvlText w:val="(%1)"/>
      <w:numFmt w:val="lowerRoman"/>
      <w:start w:val="1"/>
    </w:lvl>
  </w:abstractNum>
  <w:abstractNum w:abstractNumId="592">
    <w:nsid w:val="5E52C405"/>
    <w:multiLevelType w:val="hybridMultilevel"/>
    <w:lvl w:ilvl="0">
      <w:lvlJc w:val="left"/>
      <w:lvlText w:val="(%1)"/>
      <w:numFmt w:val="lowerRoman"/>
      <w:start w:val="2"/>
    </w:lvl>
  </w:abstractNum>
  <w:abstractNum w:abstractNumId="593">
    <w:nsid w:val="486447"/>
    <w:multiLevelType w:val="hybridMultilevel"/>
    <w:lvl w:ilvl="0">
      <w:lvlJc w:val="left"/>
      <w:lvlText w:val="(%1)"/>
      <w:numFmt w:val="lowerLetter"/>
      <w:start w:val="1"/>
    </w:lvl>
  </w:abstractNum>
  <w:abstractNum w:abstractNumId="594">
    <w:nsid w:val="61E90D1E"/>
    <w:multiLevelType w:val="hybridMultilevel"/>
    <w:lvl w:ilvl="0">
      <w:lvlJc w:val="left"/>
      <w:lvlText w:val="(%1)"/>
      <w:numFmt w:val="lowerRoman"/>
      <w:start w:val="1"/>
    </w:lvl>
  </w:abstractNum>
  <w:abstractNum w:abstractNumId="595">
    <w:nsid w:val="44BD67E6"/>
    <w:multiLevelType w:val="hybridMultilevel"/>
    <w:lvl w:ilvl="0">
      <w:lvlJc w:val="left"/>
      <w:lvlText w:val="(%1)"/>
      <w:numFmt w:val="lowerLetter"/>
      <w:start w:val="2"/>
    </w:lvl>
  </w:abstractNum>
  <w:abstractNum w:abstractNumId="596">
    <w:nsid w:val="325102D3"/>
    <w:multiLevelType w:val="hybridMultilevel"/>
    <w:lvl w:ilvl="0">
      <w:lvlJc w:val="left"/>
      <w:lvlText w:val="(%1)"/>
      <w:numFmt w:val="lowerLetter"/>
      <w:start w:val="1"/>
    </w:lvl>
  </w:abstractNum>
  <w:abstractNum w:abstractNumId="597">
    <w:nsid w:val="3D9579BA"/>
    <w:multiLevelType w:val="hybridMultilevel"/>
    <w:lvl w:ilvl="0">
      <w:lvlJc w:val="left"/>
      <w:lvlText w:val="(%1)"/>
      <w:numFmt w:val="lowerLetter"/>
      <w:start w:val="6"/>
    </w:lvl>
  </w:abstractNum>
  <w:abstractNum w:abstractNumId="598">
    <w:nsid w:val="ACD4C11"/>
    <w:multiLevelType w:val="hybridMultilevel"/>
    <w:lvl w:ilvl="0">
      <w:lvlJc w:val="left"/>
      <w:lvlText w:val="(%1)"/>
      <w:numFmt w:val="lowerRoman"/>
      <w:start w:val="1"/>
    </w:lvl>
    <w:lvl w:ilvl="1">
      <w:lvlJc w:val="left"/>
      <w:lvlText w:val="(%2)"/>
      <w:numFmt w:val="upperLetter"/>
      <w:start w:val="1"/>
    </w:lvl>
  </w:abstractNum>
  <w:abstractNum w:abstractNumId="599">
    <w:nsid w:val="111817CF"/>
    <w:multiLevelType w:val="hybridMultilevel"/>
    <w:lvl w:ilvl="0">
      <w:lvlJc w:val="left"/>
      <w:lvlText w:val="%1"/>
      <w:numFmt w:val="lowerRoman"/>
      <w:start w:val="1"/>
    </w:lvl>
    <w:lvl w:ilvl="1">
      <w:lvlJc w:val="left"/>
      <w:lvlText w:val="(%2)"/>
      <w:numFmt w:val="upperLetter"/>
      <w:start w:val="5"/>
    </w:lvl>
  </w:abstractNum>
  <w:abstractNum w:abstractNumId="600">
    <w:nsid w:val="76C8B568"/>
    <w:multiLevelType w:val="hybridMultilevel"/>
    <w:lvl w:ilvl="0">
      <w:lvlJc w:val="left"/>
      <w:lvlText w:val="(%1)"/>
      <w:numFmt w:val="lowerRoman"/>
      <w:start w:val="3"/>
    </w:lvl>
    <w:lvl w:ilvl="1">
      <w:lvlJc w:val="left"/>
      <w:lvlText w:val="%2"/>
      <w:numFmt w:val="upperLetter"/>
      <w:start w:val="1"/>
    </w:lvl>
  </w:abstractNum>
  <w:abstractNum w:abstractNumId="601">
    <w:nsid w:val="3ACC76B1"/>
    <w:multiLevelType w:val="hybridMultilevel"/>
    <w:lvl w:ilvl="0">
      <w:lvlJc w:val="left"/>
      <w:lvlText w:val="(%1)"/>
      <w:numFmt w:val="lowerLetter"/>
      <w:start w:val="7"/>
    </w:lvl>
  </w:abstractNum>
  <w:abstractNum w:abstractNumId="602">
    <w:nsid w:val="588B1C7C"/>
    <w:multiLevelType w:val="hybridMultilevel"/>
    <w:lvl w:ilvl="0">
      <w:lvlJc w:val="left"/>
      <w:lvlText w:val="(%1)"/>
      <w:numFmt w:val="lowerRoman"/>
      <w:start w:val="1"/>
    </w:lvl>
    <w:lvl w:ilvl="1">
      <w:lvlJc w:val="left"/>
      <w:lvlText w:val="(%2)"/>
      <w:numFmt w:val="upperLetter"/>
      <w:start w:val="1"/>
    </w:lvl>
  </w:abstractNum>
  <w:abstractNum w:abstractNumId="603">
    <w:nsid w:val="62682D8B"/>
    <w:multiLevelType w:val="hybridMultilevel"/>
    <w:lvl w:ilvl="0">
      <w:lvlJc w:val="left"/>
      <w:lvlText w:val="%1"/>
      <w:numFmt w:val="lowerRoman"/>
      <w:start w:val="1"/>
    </w:lvl>
    <w:lvl w:ilvl="1">
      <w:lvlJc w:val="left"/>
      <w:lvlText w:val="(%2)"/>
      <w:numFmt w:val="upperLetter"/>
      <w:start w:val="2"/>
    </w:lvl>
  </w:abstractNum>
  <w:abstractNum w:abstractNumId="604">
    <w:nsid w:val="436F111A"/>
    <w:multiLevelType w:val="hybridMultilevel"/>
    <w:lvl w:ilvl="0">
      <w:lvlJc w:val="left"/>
      <w:lvlText w:val="(%1)"/>
      <w:numFmt w:val="lowerRoman"/>
      <w:start w:val="3"/>
    </w:lvl>
    <w:lvl w:ilvl="1">
      <w:lvlJc w:val="left"/>
      <w:lvlText w:val="%2"/>
      <w:numFmt w:val="upperLetter"/>
      <w:start w:val="1"/>
    </w:lvl>
  </w:abstractNum>
  <w:abstractNum w:abstractNumId="605">
    <w:nsid w:val="3299B71B"/>
    <w:multiLevelType w:val="hybridMultilevel"/>
    <w:lvl w:ilvl="0">
      <w:lvlJc w:val="left"/>
      <w:lvlText w:val="(%1)"/>
      <w:numFmt w:val="lowerLetter"/>
      <w:start w:val="1"/>
    </w:lvl>
  </w:abstractNum>
  <w:abstractNum w:abstractNumId="606">
    <w:nsid w:val="7EA75F5A"/>
    <w:multiLevelType w:val="hybridMultilevel"/>
    <w:lvl w:ilvl="0">
      <w:lvlJc w:val="left"/>
      <w:lvlText w:val="(%1)"/>
      <w:numFmt w:val="lowerLetter"/>
      <w:start w:val="2"/>
    </w:lvl>
  </w:abstractNum>
  <w:abstractNum w:abstractNumId="607">
    <w:nsid w:val="44419EF9"/>
    <w:multiLevelType w:val="hybridMultilevel"/>
    <w:lvl w:ilvl="0">
      <w:lvlJc w:val="left"/>
      <w:lvlText w:val="(%1)"/>
      <w:numFmt w:val="lowerLetter"/>
      <w:start w:val="1"/>
    </w:lvl>
  </w:abstractNum>
  <w:abstractNum w:abstractNumId="608">
    <w:nsid w:val="3837F1DF"/>
    <w:multiLevelType w:val="hybridMultilevel"/>
    <w:lvl w:ilvl="0">
      <w:lvlJc w:val="left"/>
      <w:lvlText w:val="(%1)"/>
      <w:numFmt w:val="lowerLetter"/>
      <w:start w:val="2"/>
    </w:lvl>
  </w:abstractNum>
  <w:abstractNum w:abstractNumId="609">
    <w:nsid w:val="5BE02A44"/>
    <w:multiLevelType w:val="hybridMultilevel"/>
    <w:lvl w:ilvl="0">
      <w:lvlJc w:val="left"/>
      <w:lvlText w:val="(%1)"/>
      <w:numFmt w:val="lowerLetter"/>
      <w:start w:val="1"/>
    </w:lvl>
  </w:abstractNum>
  <w:abstractNum w:abstractNumId="610">
    <w:nsid w:val="4A35BF85"/>
    <w:multiLevelType w:val="hybridMultilevel"/>
    <w:lvl w:ilvl="0">
      <w:lvlJc w:val="left"/>
      <w:lvlText w:val="(%1)"/>
      <w:numFmt w:val="lowerLetter"/>
      <w:start w:val="2"/>
    </w:lvl>
  </w:abstractNum>
  <w:abstractNum w:abstractNumId="611">
    <w:nsid w:val="344702AC"/>
    <w:multiLevelType w:val="hybridMultilevel"/>
    <w:lvl w:ilvl="0">
      <w:lvlJc w:val="left"/>
      <w:lvlText w:val="(%1)"/>
      <w:numFmt w:val="lowerRoman"/>
      <w:start w:val="1"/>
    </w:lvl>
  </w:abstractNum>
  <w:abstractNum w:abstractNumId="612">
    <w:nsid w:val="1CFAC1A"/>
    <w:multiLevelType w:val="hybridMultilevel"/>
    <w:lvl w:ilvl="0">
      <w:lvlJc w:val="left"/>
      <w:lvlText w:val="(%1)"/>
      <w:numFmt w:val="lowerRoman"/>
      <w:start w:val="5"/>
    </w:lvl>
  </w:abstractNum>
  <w:abstractNum w:abstractNumId="613">
    <w:nsid w:val="5FDD549A"/>
    <w:multiLevelType w:val="hybridMultilevel"/>
    <w:lvl w:ilvl="0">
      <w:lvlJc w:val="left"/>
      <w:lvlText w:val="%1"/>
      <w:numFmt w:val="lowerLetter"/>
      <w:start w:val="1"/>
    </w:lvl>
    <w:lvl w:ilvl="1">
      <w:lvlJc w:val="left"/>
      <w:lvlText w:val="(%2)"/>
      <w:numFmt w:val="lowerLetter"/>
      <w:start w:val="3"/>
    </w:lvl>
  </w:abstractNum>
  <w:abstractNum w:abstractNumId="614">
    <w:nsid w:val="38FD730E"/>
    <w:multiLevelType w:val="hybridMultilevel"/>
    <w:lvl w:ilvl="0">
      <w:lvlJc w:val="left"/>
      <w:lvlText w:val="(%1)"/>
      <w:numFmt w:val="lowerLetter"/>
      <w:start w:val="35"/>
    </w:lvl>
    <w:lvl w:ilvl="1">
      <w:lvlJc w:val="left"/>
      <w:lvlText w:val="%2"/>
      <w:numFmt w:val="lowerLetter"/>
      <w:start w:val="1"/>
    </w:lvl>
  </w:abstractNum>
  <w:abstractNum w:abstractNumId="615">
    <w:nsid w:val="52E6ED3D"/>
    <w:multiLevelType w:val="hybridMultilevel"/>
    <w:lvl w:ilvl="0">
      <w:lvlJc w:val="left"/>
      <w:lvlText w:val="(%1)"/>
      <w:numFmt w:val="lowerLetter"/>
      <w:start w:val="4"/>
    </w:lvl>
  </w:abstractNum>
  <w:abstractNum w:abstractNumId="616">
    <w:nsid w:val="3E1A864"/>
    <w:multiLevelType w:val="hybridMultilevel"/>
    <w:lvl w:ilvl="0">
      <w:lvlJc w:val="left"/>
      <w:lvlText w:val="(%1)"/>
      <w:numFmt w:val="lowerLetter"/>
      <w:start w:val="1"/>
    </w:lvl>
  </w:abstractNum>
  <w:abstractNum w:abstractNumId="617">
    <w:nsid w:val="672FE0A8"/>
    <w:multiLevelType w:val="hybridMultilevel"/>
    <w:lvl w:ilvl="0">
      <w:lvlJc w:val="left"/>
      <w:lvlText w:val="(%1)"/>
      <w:numFmt w:val="lowerLetter"/>
      <w:start w:val="3"/>
    </w:lvl>
  </w:abstractNum>
  <w:abstractNum w:abstractNumId="618">
    <w:nsid w:val="31987F4D"/>
    <w:multiLevelType w:val="hybridMultilevel"/>
    <w:lvl w:ilvl="0">
      <w:lvlJc w:val="left"/>
      <w:lvlText w:val="(%1)"/>
      <w:numFmt w:val="lowerLetter"/>
      <w:start w:val="1"/>
    </w:lvl>
  </w:abstractNum>
  <w:abstractNum w:abstractNumId="619">
    <w:nsid w:val="48C0A800"/>
    <w:multiLevelType w:val="hybridMultilevel"/>
    <w:lvl w:ilvl="0">
      <w:lvlJc w:val="left"/>
      <w:lvlText w:val="(%1)"/>
      <w:numFmt w:val="lowerRoman"/>
      <w:start w:val="1"/>
    </w:lvl>
  </w:abstractNum>
  <w:abstractNum w:abstractNumId="620">
    <w:nsid w:val="717B226"/>
    <w:multiLevelType w:val="hybridMultilevel"/>
    <w:lvl w:ilvl="0">
      <w:lvlJc w:val="left"/>
      <w:lvlText w:val="(%1)"/>
      <w:numFmt w:val="lowerRoman"/>
      <w:start w:val="10"/>
    </w:lvl>
  </w:abstractNum>
  <w:abstractNum w:abstractNumId="621">
    <w:nsid w:val="4642A7B"/>
    <w:multiLevelType w:val="hybridMultilevel"/>
    <w:lvl w:ilvl="0">
      <w:lvlJc w:val="left"/>
      <w:lvlText w:val="(%1)"/>
      <w:numFmt w:val="lowerLetter"/>
      <w:start w:val="2"/>
    </w:lvl>
  </w:abstractNum>
  <w:abstractNum w:abstractNumId="622">
    <w:nsid w:val="632808EF"/>
    <w:multiLevelType w:val="hybridMultilevel"/>
    <w:lvl w:ilvl="0">
      <w:lvlJc w:val="left"/>
      <w:lvlText w:val="(%1)"/>
      <w:numFmt w:val="lowerRoman"/>
      <w:start w:val="1"/>
    </w:lvl>
  </w:abstractNum>
  <w:abstractNum w:abstractNumId="623">
    <w:nsid w:val="656A762B"/>
    <w:multiLevelType w:val="hybridMultilevel"/>
    <w:lvl w:ilvl="0">
      <w:lvlJc w:val="left"/>
      <w:lvlText w:val="(%1)"/>
      <w:numFmt w:val="lowerRoman"/>
      <w:start w:val="5"/>
    </w:lvl>
  </w:abstractNum>
  <w:abstractNum w:abstractNumId="624">
    <w:nsid w:val="4AC8EC3"/>
    <w:multiLevelType w:val="hybridMultilevel"/>
    <w:lvl w:ilvl="0">
      <w:lvlJc w:val="left"/>
      <w:lvlText w:val="(%1)"/>
      <w:numFmt w:val="lowerLetter"/>
      <w:start w:val="4"/>
    </w:lvl>
  </w:abstractNum>
  <w:abstractNum w:abstractNumId="625">
    <w:nsid w:val="4511160D"/>
    <w:multiLevelType w:val="hybridMultilevel"/>
    <w:lvl w:ilvl="0">
      <w:lvlJc w:val="left"/>
      <w:lvlText w:val="(%1)"/>
      <w:numFmt w:val="lowerRoman"/>
      <w:start w:val="1"/>
    </w:lvl>
  </w:abstractNum>
  <w:abstractNum w:abstractNumId="626">
    <w:nsid w:val="2A27DE11"/>
    <w:multiLevelType w:val="hybridMultilevel"/>
    <w:lvl w:ilvl="0">
      <w:lvlJc w:val="left"/>
      <w:lvlText w:val="(%1)"/>
      <w:numFmt w:val="lowerRoman"/>
      <w:start w:val="8"/>
    </w:lvl>
  </w:abstractNum>
  <w:abstractNum w:abstractNumId="627">
    <w:nsid w:val="36FD9196"/>
    <w:multiLevelType w:val="hybridMultilevel"/>
    <w:lvl w:ilvl="0">
      <w:lvlJc w:val="left"/>
      <w:lvlText w:val="(%1)"/>
      <w:numFmt w:val="lowerLetter"/>
      <w:start w:val="5"/>
    </w:lvl>
  </w:abstractNum>
  <w:abstractNum w:abstractNumId="628">
    <w:nsid w:val="2A68FC8"/>
    <w:multiLevelType w:val="hybridMultilevel"/>
    <w:lvl w:ilvl="0">
      <w:lvlJc w:val="left"/>
      <w:lvlText w:val="(%1)"/>
      <w:numFmt w:val="lowerLetter"/>
      <w:start w:val="1"/>
    </w:lvl>
  </w:abstractNum>
  <w:abstractNum w:abstractNumId="629">
    <w:nsid w:val="34F52A23"/>
    <w:multiLevelType w:val="hybridMultilevel"/>
    <w:lvl w:ilvl="0">
      <w:lvlJc w:val="left"/>
      <w:lvlText w:val="(%1)"/>
      <w:numFmt w:val="lowerRoman"/>
      <w:start w:val="1"/>
    </w:lvl>
  </w:abstractNum>
  <w:abstractNum w:abstractNumId="630">
    <w:nsid w:val="4815A966"/>
    <w:multiLevelType w:val="hybridMultilevel"/>
    <w:lvl w:ilvl="0">
      <w:lvlJc w:val="left"/>
      <w:lvlText w:val="(%1)"/>
      <w:numFmt w:val="lowerRoman"/>
      <w:start w:val="3"/>
    </w:lvl>
    <w:lvl w:ilvl="1">
      <w:lvlJc w:val="left"/>
      <w:lvlText w:val="(%2)"/>
      <w:numFmt w:val="upperLetter"/>
      <w:start w:val="1"/>
    </w:lvl>
  </w:abstractNum>
  <w:abstractNum w:abstractNumId="631">
    <w:nsid w:val="796F4530"/>
    <w:multiLevelType w:val="hybridMultilevel"/>
    <w:lvl w:ilvl="0">
      <w:lvlJc w:val="left"/>
      <w:lvlText w:val="(%1)"/>
      <w:numFmt w:val="lowerLetter"/>
      <w:start w:val="2"/>
    </w:lvl>
  </w:abstractNum>
  <w:abstractNum w:abstractNumId="632">
    <w:nsid w:val="6FC1A0D4"/>
    <w:multiLevelType w:val="hybridMultilevel"/>
    <w:lvl w:ilvl="0">
      <w:lvlJc w:val="left"/>
      <w:lvlText w:val="(%1)"/>
      <w:numFmt w:val="lowerLetter"/>
      <w:start w:val="1"/>
    </w:lvl>
  </w:abstractNum>
  <w:abstractNum w:abstractNumId="633">
    <w:nsid w:val="20A0C5E2"/>
    <w:multiLevelType w:val="hybridMultilevel"/>
    <w:lvl w:ilvl="0">
      <w:lvlJc w:val="left"/>
      <w:lvlText w:val="(%1)"/>
      <w:numFmt w:val="lowerRoman"/>
      <w:start w:val="1"/>
    </w:lvl>
  </w:abstractNum>
  <w:abstractNum w:abstractNumId="634">
    <w:nsid w:val="5BD772BB"/>
    <w:multiLevelType w:val="hybridMultilevel"/>
    <w:lvl w:ilvl="0">
      <w:lvlJc w:val="left"/>
      <w:lvlText w:val="(%1)"/>
      <w:numFmt w:val="lowerRoman"/>
      <w:start w:val="5"/>
    </w:lvl>
  </w:abstractNum>
  <w:abstractNum w:abstractNumId="635">
    <w:nsid w:val="3330B1EE"/>
    <w:multiLevelType w:val="hybridMultilevel"/>
    <w:lvl w:ilvl="0">
      <w:lvlJc w:val="left"/>
      <w:lvlText w:val="(%1)"/>
      <w:numFmt w:val="lowerLetter"/>
      <w:start w:val="2"/>
    </w:lvl>
  </w:abstractNum>
  <w:abstractNum w:abstractNumId="636">
    <w:nsid w:val="533A7CFD"/>
    <w:multiLevelType w:val="hybridMultilevel"/>
    <w:lvl w:ilvl="0">
      <w:lvlJc w:val="left"/>
      <w:lvlText w:val="(%1)"/>
      <w:numFmt w:val="lowerLetter"/>
      <w:start w:val="4"/>
    </w:lvl>
  </w:abstractNum>
  <w:abstractNum w:abstractNumId="637">
    <w:nsid w:val="5A7ED215"/>
    <w:multiLevelType w:val="hybridMultilevel"/>
    <w:lvl w:ilvl="0">
      <w:lvlJc w:val="left"/>
      <w:lvlText w:val="(%1)"/>
      <w:numFmt w:val="lowerLetter"/>
      <w:start w:val="1"/>
    </w:lvl>
  </w:abstractNum>
  <w:abstractNum w:abstractNumId="638">
    <w:nsid w:val="777250E7"/>
    <w:multiLevelType w:val="hybridMultilevel"/>
    <w:lvl w:ilvl="0">
      <w:lvlJc w:val="left"/>
      <w:lvlText w:val="(%1)"/>
      <w:numFmt w:val="lowerLetter"/>
      <w:start w:val="3"/>
    </w:lvl>
  </w:abstractNum>
  <w:abstractNum w:abstractNumId="639">
    <w:nsid w:val="B726EDC"/>
    <w:multiLevelType w:val="hybridMultilevel"/>
    <w:lvl w:ilvl="0">
      <w:lvlJc w:val="left"/>
      <w:lvlText w:val="(%1)"/>
      <w:numFmt w:val="lowerLetter"/>
      <w:start w:val="1"/>
    </w:lvl>
  </w:abstractNum>
  <w:abstractNum w:abstractNumId="640">
    <w:nsid w:val="365EFC5A"/>
    <w:multiLevelType w:val="hybridMultilevel"/>
    <w:lvl w:ilvl="0">
      <w:lvlJc w:val="left"/>
      <w:lvlText w:val="(%1)"/>
      <w:numFmt w:val="lowerRoman"/>
      <w:start w:val="1"/>
    </w:lvl>
  </w:abstractNum>
  <w:abstractNum w:abstractNumId="641">
    <w:nsid w:val="41A8106C"/>
    <w:multiLevelType w:val="hybridMultilevel"/>
    <w:lvl w:ilvl="0">
      <w:lvlJc w:val="left"/>
      <w:lvlText w:val="(%1)"/>
      <w:numFmt w:val="lowerLetter"/>
      <w:start w:val="2"/>
    </w:lvl>
  </w:abstractNum>
  <w:abstractNum w:abstractNumId="642">
    <w:nsid w:val="3FB97188"/>
    <w:multiLevelType w:val="hybridMultilevel"/>
    <w:lvl w:ilvl="0">
      <w:lvlJc w:val="left"/>
      <w:lvlText w:val="(%1)"/>
      <w:numFmt w:val="upperLetter"/>
      <w:start w:val="35"/>
    </w:lvl>
  </w:abstractNum>
  <w:abstractNum w:abstractNumId="643">
    <w:nsid w:val="382EA874"/>
    <w:multiLevelType w:val="hybridMultilevel"/>
    <w:lvl w:ilvl="0">
      <w:lvlJc w:val="left"/>
      <w:lvlText w:val="(%1)"/>
      <w:numFmt w:val="lowerLetter"/>
      <w:start w:val="1"/>
    </w:lvl>
  </w:abstractNum>
  <w:abstractNum w:abstractNumId="644">
    <w:nsid w:val="21856507"/>
    <w:multiLevelType w:val="hybridMultilevel"/>
    <w:lvl w:ilvl="0">
      <w:lvlJc w:val="left"/>
      <w:lvlText w:val="%1"/>
      <w:numFmt w:val="upperLetter"/>
      <w:start w:val="1"/>
    </w:lvl>
    <w:lvl w:ilvl="1">
      <w:lvlJc w:val="left"/>
      <w:lvlText w:val="(%2)"/>
      <w:numFmt w:val="lowerLetter"/>
      <w:start w:val="4"/>
    </w:lvl>
  </w:abstractNum>
  <w:abstractNum w:abstractNumId="645">
    <w:nsid w:val="78B6E496"/>
    <w:multiLevelType w:val="hybridMultilevel"/>
    <w:lvl w:ilvl="0">
      <w:lvlJc w:val="left"/>
      <w:lvlText w:val="(%1)"/>
      <w:numFmt w:val="upperLetter"/>
      <w:start w:val="1"/>
    </w:lvl>
    <w:lvl w:ilvl="1">
      <w:lvlJc w:val="left"/>
      <w:lvlText w:val="(%2)"/>
      <w:numFmt w:val="lowerLetter"/>
      <w:start w:val="5"/>
    </w:lvl>
  </w:abstractNum>
  <w:abstractNum w:abstractNumId="646">
    <w:nsid w:val="B1595B1"/>
    <w:multiLevelType w:val="hybridMultilevel"/>
    <w:lvl w:ilvl="0">
      <w:lvlJc w:val="left"/>
      <w:lvlText w:val="(%1)"/>
      <w:numFmt w:val="lowerLetter"/>
      <w:start w:val="1"/>
    </w:lvl>
  </w:abstractNum>
  <w:abstractNum w:abstractNumId="647">
    <w:nsid w:val="25670D6B"/>
    <w:multiLevelType w:val="hybridMultilevel"/>
    <w:lvl w:ilvl="0">
      <w:lvlJc w:val="left"/>
      <w:lvlText w:val="(%1)"/>
      <w:numFmt w:val="lowerLetter"/>
      <w:start w:val="1"/>
    </w:lvl>
  </w:abstractNum>
  <w:abstractNum w:abstractNumId="648">
    <w:nsid w:val="5FE6C53F"/>
    <w:multiLevelType w:val="hybridMultilevel"/>
    <w:lvl w:ilvl="0">
      <w:lvlJc w:val="left"/>
      <w:lvlText w:val="(%1)"/>
      <w:numFmt w:val="lowerLetter"/>
      <w:start w:val="2"/>
    </w:lvl>
  </w:abstractNum>
  <w:abstractNum w:abstractNumId="649">
    <w:nsid w:val="3CAE14FE"/>
    <w:multiLevelType w:val="hybridMultilevel"/>
    <w:lvl w:ilvl="0">
      <w:lvlJc w:val="left"/>
      <w:lvlText w:val="(%1)"/>
      <w:numFmt w:val="lowerLetter"/>
      <w:start w:val="1"/>
    </w:lvl>
  </w:abstractNum>
  <w:abstractNum w:abstractNumId="650">
    <w:nsid w:val="6E27B56B"/>
    <w:multiLevelType w:val="hybridMultilevel"/>
    <w:lvl w:ilvl="0">
      <w:lvlJc w:val="left"/>
      <w:lvlText w:val="(%1)"/>
      <w:numFmt w:val="lowerLetter"/>
      <w:start w:val="1"/>
    </w:lvl>
  </w:abstractNum>
  <w:abstractNum w:abstractNumId="651">
    <w:nsid w:val="66FE7765"/>
    <w:multiLevelType w:val="hybridMultilevel"/>
    <w:lvl w:ilvl="0">
      <w:lvlJc w:val="left"/>
      <w:lvlText w:val="(%1)"/>
      <w:numFmt w:val="lowerLetter"/>
      <w:start w:val="1"/>
    </w:lvl>
  </w:abstractNum>
  <w:abstractNum w:abstractNumId="652">
    <w:nsid w:val="41123F79"/>
    <w:multiLevelType w:val="hybridMultilevel"/>
    <w:lvl w:ilvl="0">
      <w:lvlJc w:val="left"/>
      <w:lvlText w:val="(%1)"/>
      <w:numFmt w:val="lowerLetter"/>
      <w:start w:val="1"/>
    </w:lvl>
  </w:abstractNum>
  <w:abstractNum w:abstractNumId="653">
    <w:nsid w:val="514FBE5A"/>
    <w:multiLevelType w:val="hybridMultilevel"/>
    <w:lvl w:ilvl="0">
      <w:lvlJc w:val="left"/>
      <w:lvlText w:val="(%1)"/>
      <w:numFmt w:val="lowerLetter"/>
      <w:start w:val="1"/>
    </w:lvl>
  </w:abstractNum>
  <w:abstractNum w:abstractNumId="654">
    <w:nsid w:val="4C68ED90"/>
    <w:multiLevelType w:val="hybridMultilevel"/>
    <w:lvl w:ilvl="0">
      <w:lvlJc w:val="left"/>
      <w:lvlText w:val="(%1)"/>
      <w:numFmt w:val="lowerLetter"/>
      <w:start w:val="1"/>
    </w:lvl>
  </w:abstractNum>
  <w:abstractNum w:abstractNumId="655">
    <w:nsid w:val="45BECE3C"/>
    <w:multiLevelType w:val="hybridMultilevel"/>
    <w:lvl w:ilvl="0">
      <w:lvlJc w:val="left"/>
      <w:lvlText w:val="(%1)"/>
      <w:numFmt w:val="lowerLetter"/>
      <w:start w:val="1"/>
    </w:lvl>
  </w:abstractNum>
  <w:abstractNum w:abstractNumId="656">
    <w:nsid w:val="1660D468"/>
    <w:multiLevelType w:val="hybridMultilevel"/>
    <w:lvl w:ilvl="0">
      <w:lvlJc w:val="left"/>
      <w:lvlText w:val="(%1)"/>
      <w:numFmt w:val="lowerLetter"/>
      <w:start w:val="6"/>
    </w:lvl>
  </w:abstractNum>
  <w:abstractNum w:abstractNumId="657">
    <w:nsid w:val="7690CBA1"/>
    <w:multiLevelType w:val="hybridMultilevel"/>
    <w:lvl w:ilvl="0">
      <w:lvlJc w:val="left"/>
      <w:lvlText w:val="(%1)"/>
      <w:numFmt w:val="lowerRoman"/>
      <w:start w:val="1"/>
    </w:lvl>
    <w:lvl w:ilvl="1">
      <w:lvlJc w:val="left"/>
      <w:lvlText w:val="(%2)"/>
      <w:numFmt w:val="decimal"/>
      <w:start w:val="1"/>
    </w:lvl>
  </w:abstractNum>
  <w:abstractNum w:abstractNumId="658">
    <w:nsid w:val="7CBC5FD3"/>
    <w:multiLevelType w:val="hybridMultilevel"/>
    <w:lvl w:ilvl="0">
      <w:lvlJc w:val="left"/>
      <w:lvlText w:val="%1"/>
      <w:numFmt w:val="lowerLetter"/>
      <w:start w:val="1"/>
    </w:lvl>
    <w:lvl w:ilvl="1">
      <w:lvlJc w:val="left"/>
      <w:lvlText w:val="(%2)"/>
      <w:numFmt w:val="lowerRoman"/>
      <w:start w:val="4"/>
    </w:lvl>
  </w:abstractNum>
  <w:abstractNum w:abstractNumId="659">
    <w:nsid w:val="19076430"/>
    <w:multiLevelType w:val="hybridMultilevel"/>
    <w:lvl w:ilvl="0">
      <w:lvlJc w:val="left"/>
      <w:lvlText w:val="(%1)"/>
      <w:numFmt w:val="lowerLetter"/>
      <w:start w:val="25"/>
    </w:lvl>
    <w:lvl w:ilvl="1">
      <w:lvlJc w:val="left"/>
      <w:lvlText w:val="(%2)"/>
      <w:numFmt w:val="lowerRoman"/>
      <w:start w:val="5"/>
    </w:lvl>
  </w:abstractNum>
  <w:abstractNum w:abstractNumId="660">
    <w:nsid w:val="2B85F5C4"/>
    <w:multiLevelType w:val="hybridMultilevel"/>
    <w:lvl w:ilvl="0">
      <w:lvlJc w:val="left"/>
      <w:lvlText w:val="(%1)"/>
      <w:numFmt w:val="lowerLetter"/>
      <w:start w:val="8"/>
    </w:lvl>
  </w:abstractNum>
  <w:abstractNum w:abstractNumId="661">
    <w:nsid w:val="44D20939"/>
    <w:multiLevelType w:val="hybridMultilevel"/>
    <w:lvl w:ilvl="0">
      <w:lvlJc w:val="left"/>
      <w:lvlText w:val="(%1)"/>
      <w:numFmt w:val="lowerLetter"/>
      <w:start w:val="13"/>
    </w:lvl>
  </w:abstractNum>
  <w:abstractNum w:abstractNumId="662">
    <w:nsid w:val="1276A960"/>
    <w:multiLevelType w:val="hybridMultilevel"/>
    <w:lvl w:ilvl="0">
      <w:lvlJc w:val="left"/>
      <w:lvlText w:val="(%1)"/>
      <w:numFmt w:val="lowerLetter"/>
      <w:start w:val="1"/>
    </w:lvl>
  </w:abstractNum>
  <w:abstractNum w:abstractNumId="663">
    <w:nsid w:val="1B479698"/>
    <w:multiLevelType w:val="hybridMultilevel"/>
    <w:lvl w:ilvl="0">
      <w:lvlJc w:val="left"/>
      <w:lvlText w:val="(%1)"/>
      <w:numFmt w:val="lowerLetter"/>
      <w:start w:val="1"/>
    </w:lvl>
  </w:abstractNum>
  <w:abstractNum w:abstractNumId="664">
    <w:nsid w:val="6572CF1B"/>
    <w:multiLevelType w:val="hybridMultilevel"/>
    <w:lvl w:ilvl="0">
      <w:lvlJc w:val="left"/>
      <w:lvlText w:val="(%1)"/>
      <w:numFmt w:val="lowerLetter"/>
      <w:start w:val="1"/>
    </w:lvl>
  </w:abstractNum>
  <w:abstractNum w:abstractNumId="665">
    <w:nsid w:val="6E4E1C1B"/>
    <w:multiLevelType w:val="hybridMultilevel"/>
    <w:lvl w:ilvl="0">
      <w:lvlJc w:val="left"/>
      <w:lvlText w:val="(%1)"/>
      <w:numFmt w:val="lowerRoman"/>
      <w:start w:val="1"/>
    </w:lvl>
  </w:abstractNum>
  <w:abstractNum w:abstractNumId="666">
    <w:nsid w:val="4E784887"/>
    <w:multiLevelType w:val="hybridMultilevel"/>
    <w:lvl w:ilvl="0">
      <w:lvlJc w:val="left"/>
      <w:lvlText w:val="(%1)"/>
      <w:numFmt w:val="lowerRoman"/>
      <w:start w:val="2"/>
    </w:lvl>
  </w:abstractNum>
  <w:abstractNum w:abstractNumId="667">
    <w:nsid w:val="38AD4C18"/>
    <w:multiLevelType w:val="hybridMultilevel"/>
    <w:lvl w:ilvl="0">
      <w:lvlJc w:val="left"/>
      <w:lvlText w:val="(%1)"/>
      <w:numFmt w:val="lowerLetter"/>
      <w:start w:val="1"/>
    </w:lvl>
  </w:abstractNum>
  <w:abstractNum w:abstractNumId="668">
    <w:nsid w:val="48CCEE31"/>
    <w:multiLevelType w:val="hybridMultilevel"/>
    <w:lvl w:ilvl="0">
      <w:lvlJc w:val="left"/>
      <w:lvlText w:val="(%1)"/>
      <w:numFmt w:val="lowerLetter"/>
      <w:start w:val="1"/>
    </w:lvl>
  </w:abstractNum>
  <w:abstractNum w:abstractNumId="669">
    <w:nsid w:val="45EA996E"/>
    <w:multiLevelType w:val="hybridMultilevel"/>
    <w:lvl w:ilvl="0">
      <w:lvlJc w:val="left"/>
      <w:lvlText w:val="%1"/>
      <w:numFmt w:val="lowerLetter"/>
      <w:start w:val="1"/>
    </w:lvl>
    <w:lvl w:ilvl="1">
      <w:lvlJc w:val="left"/>
      <w:lvlText w:val="(%2)"/>
      <w:numFmt w:val="lowerLetter"/>
      <w:start w:val="3"/>
    </w:lvl>
  </w:abstractNum>
  <w:abstractNum w:abstractNumId="670">
    <w:nsid w:val="441FBAF4"/>
    <w:multiLevelType w:val="hybridMultilevel"/>
    <w:lvl w:ilvl="0">
      <w:lvlJc w:val="left"/>
      <w:lvlText w:val="(%1)"/>
      <w:numFmt w:val="lowerLetter"/>
      <w:start w:val="9"/>
    </w:lvl>
    <w:lvl w:ilvl="1">
      <w:lvlJc w:val="left"/>
      <w:lvlText w:val="(%2)"/>
      <w:numFmt w:val="lowerLetter"/>
      <w:start w:val="4"/>
    </w:lvl>
  </w:abstractNum>
  <w:abstractNum w:abstractNumId="671">
    <w:nsid w:val="7F2BEA8B"/>
    <w:multiLevelType w:val="hybridMultilevel"/>
    <w:lvl w:ilvl="0">
      <w:lvlJc w:val="left"/>
      <w:lvlText w:val="(%1)"/>
      <w:numFmt w:val="lowerLetter"/>
      <w:start w:val="4"/>
    </w:lvl>
    <w:lvl w:ilvl="1">
      <w:lvlJc w:val="left"/>
      <w:lvlText w:val="(%2)"/>
      <w:numFmt w:val="lowerLetter"/>
      <w:start w:val="5"/>
    </w:lvl>
  </w:abstractNum>
  <w:abstractNum w:abstractNumId="672">
    <w:nsid w:val="792A9DB"/>
    <w:multiLevelType w:val="hybridMultilevel"/>
    <w:lvl w:ilvl="0">
      <w:lvlJc w:val="left"/>
      <w:lvlText w:val="(%1)"/>
      <w:numFmt w:val="lowerLetter"/>
      <w:start w:val="8"/>
    </w:lvl>
  </w:abstractNum>
  <w:abstractNum w:abstractNumId="673">
    <w:nsid w:val="3D92C7D"/>
    <w:multiLevelType w:val="hybridMultilevel"/>
    <w:lvl w:ilvl="0">
      <w:lvlJc w:val="left"/>
      <w:lvlText w:val="(%1)"/>
      <w:numFmt w:val="lowerLetter"/>
      <w:start w:val="1"/>
    </w:lvl>
  </w:abstractNum>
  <w:abstractNum w:abstractNumId="674">
    <w:nsid w:val="375A92FF"/>
    <w:multiLevelType w:val="hybridMultilevel"/>
    <w:lvl w:ilvl="0">
      <w:lvlJc w:val="left"/>
      <w:lvlText w:val="(%1)"/>
      <w:numFmt w:val="lowerLetter"/>
      <w:start w:val="1"/>
    </w:lvl>
  </w:abstractNum>
  <w:abstractNum w:abstractNumId="675">
    <w:nsid w:val="29180EE2"/>
    <w:multiLevelType w:val="hybridMultilevel"/>
    <w:lvl w:ilvl="0">
      <w:lvlJc w:val="left"/>
      <w:lvlText w:val="(%1)"/>
      <w:numFmt w:val="lowerLetter"/>
      <w:start w:val="1"/>
    </w:lvl>
  </w:abstractNum>
  <w:abstractNum w:abstractNumId="676">
    <w:nsid w:val="7C901113"/>
    <w:multiLevelType w:val="hybridMultilevel"/>
    <w:lvl w:ilvl="0">
      <w:lvlJc w:val="left"/>
      <w:lvlText w:val="(%1)"/>
      <w:numFmt w:val="lowerLetter"/>
      <w:start w:val="4"/>
    </w:lvl>
  </w:abstractNum>
  <w:abstractNum w:abstractNumId="677">
    <w:nsid w:val="427028B0"/>
    <w:multiLevelType w:val="hybridMultilevel"/>
    <w:lvl w:ilvl="0">
      <w:lvlJc w:val="left"/>
      <w:lvlText w:val="(%1)"/>
      <w:numFmt w:val="lowerRoman"/>
      <w:start w:val="1"/>
    </w:lvl>
  </w:abstractNum>
  <w:abstractNum w:abstractNumId="678">
    <w:nsid w:val="4E7F1C4D"/>
    <w:multiLevelType w:val="hybridMultilevel"/>
    <w:lvl w:ilvl="0">
      <w:lvlJc w:val="left"/>
      <w:lvlText w:val="(%1)"/>
      <w:numFmt w:val="lowerLetter"/>
      <w:start w:val="2"/>
    </w:lvl>
  </w:abstractNum>
  <w:abstractNum w:abstractNumId="679">
    <w:nsid w:val="5C76D652"/>
    <w:multiLevelType w:val="hybridMultilevel"/>
    <w:lvl w:ilvl="0">
      <w:lvlJc w:val="left"/>
      <w:lvlText w:val="(%1)"/>
      <w:numFmt w:val="lowerLetter"/>
      <w:start w:val="1"/>
    </w:lvl>
  </w:abstractNum>
  <w:abstractNum w:abstractNumId="680">
    <w:nsid w:val="7F1E3DAE"/>
    <w:multiLevelType w:val="hybridMultilevel"/>
    <w:lvl w:ilvl="0">
      <w:lvlJc w:val="left"/>
      <w:lvlText w:val="(%1)"/>
      <w:numFmt w:val="lowerLetter"/>
      <w:start w:val="2"/>
    </w:lvl>
  </w:abstractNum>
  <w:abstractNum w:abstractNumId="681">
    <w:nsid w:val="3CA6D1B9"/>
    <w:multiLevelType w:val="hybridMultilevel"/>
    <w:lvl w:ilvl="0">
      <w:lvlJc w:val="left"/>
      <w:lvlText w:val="(%1)"/>
      <w:numFmt w:val="lowerLetter"/>
      <w:start w:val="1"/>
    </w:lvl>
  </w:abstractNum>
  <w:abstractNum w:abstractNumId="682">
    <w:nsid w:val="43754DB7"/>
    <w:multiLevelType w:val="hybridMultilevel"/>
    <w:lvl w:ilvl="0">
      <w:lvlJc w:val="left"/>
      <w:lvlText w:val="(%1)"/>
      <w:numFmt w:val="lowerLetter"/>
      <w:start w:val="7"/>
    </w:lvl>
  </w:abstractNum>
  <w:abstractNum w:abstractNumId="683">
    <w:nsid w:val="40307D27"/>
    <w:multiLevelType w:val="hybridMultilevel"/>
    <w:lvl w:ilvl="0">
      <w:lvlJc w:val="left"/>
      <w:lvlText w:val="%1"/>
      <w:numFmt w:val="upperLetter"/>
      <w:start w:val="1"/>
    </w:lvl>
    <w:lvl w:ilvl="1">
      <w:lvlJc w:val="left"/>
      <w:lvlText w:val="(%2)"/>
      <w:numFmt w:val="lowerLetter"/>
      <w:start w:val="15"/>
    </w:lvl>
  </w:abstractNum>
  <w:abstractNum w:abstractNumId="684">
    <w:nsid w:val="DF69013"/>
    <w:multiLevelType w:val="hybridMultilevel"/>
    <w:lvl w:ilvl="0">
      <w:lvlJc w:val="left"/>
      <w:lvlText w:val="(%1)"/>
      <w:numFmt w:val="upperLetter"/>
      <w:start w:val="35"/>
    </w:lvl>
    <w:lvl w:ilvl="1">
      <w:lvlJc w:val="left"/>
      <w:lvlText w:val="(%2)"/>
      <w:numFmt w:val="lowerLetter"/>
      <w:start w:val="17"/>
    </w:lvl>
  </w:abstractNum>
  <w:abstractNum w:abstractNumId="685">
    <w:nsid w:val="FDE3B47"/>
    <w:multiLevelType w:val="hybridMultilevel"/>
    <w:lvl w:ilvl="0">
      <w:lvlJc w:val="left"/>
      <w:lvlText w:val="(%1)"/>
      <w:numFmt w:val="lowerLetter"/>
      <w:start w:val="24"/>
    </w:lvl>
  </w:abstractNum>
  <w:abstractNum w:abstractNumId="686">
    <w:nsid w:val="5EF4B64"/>
    <w:multiLevelType w:val="hybridMultilevel"/>
    <w:lvl w:ilvl="0">
      <w:lvlJc w:val="left"/>
      <w:lvlText w:val="(%1)"/>
      <w:numFmt w:val="lowerLetter"/>
      <w:start w:val="27"/>
    </w:lvl>
  </w:abstractNum>
  <w:abstractNum w:abstractNumId="687">
    <w:nsid w:val="2457647B"/>
    <w:multiLevelType w:val="hybridMultilevel"/>
    <w:lvl w:ilvl="0">
      <w:lvlJc w:val="left"/>
      <w:lvlText w:val="(%1)"/>
      <w:numFmt w:val="lowerLetter"/>
      <w:start w:val="1"/>
    </w:lvl>
  </w:abstractNum>
  <w:abstractNum w:abstractNumId="688">
    <w:nsid w:val="66F06E9"/>
    <w:multiLevelType w:val="hybridMultilevel"/>
    <w:lvl w:ilvl="0">
      <w:lvlJc w:val="left"/>
      <w:lvlText w:val="(%1)"/>
      <w:numFmt w:val="lowerLetter"/>
      <w:start w:val="9"/>
    </w:lvl>
  </w:abstractNum>
  <w:abstractNum w:abstractNumId="689">
    <w:nsid w:val="2ABAB37"/>
    <w:multiLevelType w:val="hybridMultilevel"/>
    <w:lvl w:ilvl="0">
      <w:lvlJc w:val="left"/>
      <w:lvlText w:val="%1"/>
      <w:numFmt w:val="upperLetter"/>
      <w:start w:val="1"/>
    </w:lvl>
    <w:lvl w:ilvl="1">
      <w:lvlJc w:val="left"/>
      <w:lvlText w:val="(%2)"/>
      <w:numFmt w:val="lowerLetter"/>
      <w:start w:val="17"/>
    </w:lvl>
  </w:abstractNum>
  <w:abstractNum w:abstractNumId="690">
    <w:nsid w:val="3D5EC8AB"/>
    <w:multiLevelType w:val="hybridMultilevel"/>
    <w:lvl w:ilvl="0">
      <w:lvlJc w:val="left"/>
      <w:lvlText w:val="(%1)"/>
      <w:numFmt w:val="upperLetter"/>
      <w:start w:val="2"/>
    </w:lvl>
    <w:lvl w:ilvl="1">
      <w:lvlJc w:val="left"/>
      <w:lvlText w:val="(%2)"/>
      <w:numFmt w:val="lowerLetter"/>
      <w:start w:val="25"/>
    </w:lvl>
  </w:abstractNum>
  <w:abstractNum w:abstractNumId="691">
    <w:nsid w:val="31F4FCAD"/>
    <w:multiLevelType w:val="hybridMultilevel"/>
    <w:lvl w:ilvl="0">
      <w:lvlJc w:val="left"/>
      <w:lvlText w:val="(%1)"/>
      <w:numFmt w:val="lowerLetter"/>
      <w:start w:val="27"/>
    </w:lvl>
  </w:abstractNum>
  <w:abstractNum w:abstractNumId="692">
    <w:nsid w:val="477DB470"/>
    <w:multiLevelType w:val="hybridMultilevel"/>
    <w:lvl w:ilvl="0">
      <w:lvlJc w:val="left"/>
      <w:lvlText w:val="(%1)"/>
      <w:numFmt w:val="lowerLetter"/>
      <w:start w:val="1"/>
    </w:lvl>
  </w:abstractNum>
  <w:abstractNum w:abstractNumId="693">
    <w:nsid w:val="4FD5720B"/>
    <w:multiLevelType w:val="hybridMultilevel"/>
    <w:lvl w:ilvl="0">
      <w:lvlJc w:val="left"/>
      <w:lvlText w:val="%1"/>
      <w:numFmt w:val="lowerLetter"/>
      <w:start w:val="1"/>
    </w:lvl>
    <w:lvl w:ilvl="1">
      <w:lvlJc w:val="left"/>
      <w:lvlText w:val="(%2)"/>
      <w:numFmt w:val="lowerLetter"/>
      <w:start w:val="1"/>
    </w:lvl>
  </w:abstractNum>
  <w:abstractNum w:abstractNumId="694">
    <w:nsid w:val="4D3C9346"/>
    <w:multiLevelType w:val="hybridMultilevel"/>
    <w:lvl w:ilvl="0">
      <w:lvlJc w:val="left"/>
      <w:lvlText w:val="(%1)"/>
      <w:numFmt w:val="lowerLetter"/>
      <w:start w:val="25"/>
    </w:lvl>
    <w:lvl w:ilvl="1">
      <w:lvlJc w:val="left"/>
      <w:lvlText w:val="%2"/>
      <w:numFmt w:val="lowerLetter"/>
      <w:start w:val="1"/>
    </w:lvl>
  </w:abstractNum>
  <w:abstractNum w:abstractNumId="695">
    <w:nsid w:val="2CF0838B"/>
    <w:multiLevelType w:val="hybridMultilevel"/>
    <w:lvl w:ilvl="0">
      <w:lvlJc w:val="left"/>
      <w:lvlText w:val="(%1)"/>
      <w:numFmt w:val="lowerLetter"/>
      <w:start w:val="24"/>
    </w:lvl>
    <w:lvl w:ilvl="1">
      <w:lvlJc w:val="left"/>
      <w:lvlText w:val="(%2)"/>
      <w:numFmt w:val="lowerLetter"/>
      <w:start w:val="3"/>
    </w:lvl>
  </w:abstractNum>
  <w:abstractNum w:abstractNumId="696">
    <w:nsid w:val="3E238E27"/>
    <w:multiLevelType w:val="hybridMultilevel"/>
    <w:lvl w:ilvl="0">
      <w:lvlJc w:val="left"/>
      <w:lvlText w:val="(%1)"/>
      <w:numFmt w:val="lowerLetter"/>
      <w:start w:val="11"/>
    </w:lvl>
  </w:abstractNum>
  <w:abstractNum w:abstractNumId="697">
    <w:nsid w:val="1BB4DBCD"/>
    <w:multiLevelType w:val="hybridMultilevel"/>
    <w:lvl w:ilvl="0">
      <w:lvlJc w:val="left"/>
      <w:lvlText w:val="(%1)"/>
      <w:numFmt w:val="lowerLetter"/>
      <w:start w:val="19"/>
    </w:lvl>
  </w:abstractNum>
  <w:abstractNum w:abstractNumId="698">
    <w:nsid w:val="659DCFA3"/>
    <w:multiLevelType w:val="hybridMultilevel"/>
    <w:lvl w:ilvl="0">
      <w:lvlJc w:val="left"/>
      <w:lvlText w:val="(%1)"/>
      <w:numFmt w:val="lowerLetter"/>
      <w:start w:val="20"/>
    </w:lvl>
  </w:abstractNum>
  <w:abstractNum w:abstractNumId="699">
    <w:nsid w:val="6F07C58"/>
    <w:multiLevelType w:val="hybridMultilevel"/>
    <w:lvl w:ilvl="0">
      <w:lvlJc w:val="left"/>
      <w:lvlText w:val="(%1)"/>
      <w:numFmt w:val="lowerLetter"/>
      <w:start w:val="27"/>
    </w:lvl>
  </w:abstractNum>
  <w:abstractNum w:abstractNumId="700">
    <w:nsid w:val="619F753B"/>
    <w:multiLevelType w:val="hybridMultilevel"/>
    <w:lvl w:ilvl="0">
      <w:lvlJc w:val="left"/>
      <w:lvlText w:val="(%1)"/>
      <w:numFmt w:val="lowerLetter"/>
      <w:start w:val="1"/>
    </w:lvl>
  </w:abstractNum>
  <w:abstractNum w:abstractNumId="701">
    <w:nsid w:val="29BD8A97"/>
    <w:multiLevelType w:val="hybridMultilevel"/>
    <w:lvl w:ilvl="0">
      <w:lvlJc w:val="left"/>
      <w:lvlText w:val="(%1)"/>
      <w:numFmt w:val="lowerLetter"/>
      <w:start w:val="2"/>
    </w:lvl>
  </w:abstractNum>
  <w:abstractNum w:abstractNumId="702">
    <w:nsid w:val="61C66E3"/>
    <w:multiLevelType w:val="hybridMultilevel"/>
    <w:lvl w:ilvl="0">
      <w:lvlJc w:val="left"/>
      <w:lvlText w:val="(%1)"/>
      <w:numFmt w:val="lowerLetter"/>
      <w:start w:val="8"/>
    </w:lvl>
  </w:abstractNum>
  <w:abstractNum w:abstractNumId="703">
    <w:nsid w:val="69321F16"/>
    <w:multiLevelType w:val="hybridMultilevel"/>
    <w:lvl w:ilvl="0">
      <w:lvlJc w:val="left"/>
      <w:lvlText w:val="%1"/>
      <w:numFmt w:val="lowerLetter"/>
      <w:start w:val="1"/>
    </w:lvl>
    <w:lvl w:ilvl="1">
      <w:lvlJc w:val="left"/>
      <w:lvlText w:val="(%2)"/>
      <w:numFmt w:val="lowerLetter"/>
      <w:start w:val="15"/>
    </w:lvl>
  </w:abstractNum>
  <w:abstractNum w:abstractNumId="704">
    <w:nsid w:val="2D96B714"/>
    <w:multiLevelType w:val="hybridMultilevel"/>
    <w:lvl w:ilvl="0">
      <w:lvlJc w:val="left"/>
      <w:lvlText w:val="(%1)"/>
      <w:numFmt w:val="lowerLetter"/>
      <w:start w:val="22"/>
    </w:lvl>
    <w:lvl w:ilvl="1">
      <w:lvlJc w:val="left"/>
      <w:lvlText w:val="%2"/>
      <w:numFmt w:val="lowerLetter"/>
      <w:start w:val="1"/>
    </w:lvl>
  </w:abstractNum>
  <w:abstractNum w:abstractNumId="705">
    <w:nsid w:val="3D76F9E2"/>
    <w:multiLevelType w:val="hybridMultilevel"/>
    <w:lvl w:ilvl="0">
      <w:lvlJc w:val="left"/>
      <w:lvlText w:val="(%1)"/>
      <w:numFmt w:val="lowerLetter"/>
      <w:start w:val="61"/>
    </w:lvl>
    <w:lvl w:ilvl="1">
      <w:lvlJc w:val="left"/>
      <w:lvlText w:val="(%2)"/>
      <w:numFmt w:val="lowerLetter"/>
      <w:start w:val="1"/>
    </w:lvl>
  </w:abstractNum>
  <w:abstractNum w:abstractNumId="706">
    <w:nsid w:val="124A2DF8"/>
    <w:multiLevelType w:val="hybridMultilevel"/>
    <w:lvl w:ilvl="0">
      <w:lvlJc w:val="left"/>
      <w:lvlText w:val="(%1)"/>
      <w:numFmt w:val="lowerLetter"/>
      <w:start w:val="5"/>
    </w:lvl>
  </w:abstractNum>
  <w:abstractNum w:abstractNumId="707">
    <w:nsid w:val="2A26C828"/>
    <w:multiLevelType w:val="hybridMultilevel"/>
    <w:lvl w:ilvl="0">
      <w:lvlJc w:val="left"/>
      <w:lvlText w:val="(%1)"/>
      <w:numFmt w:val="lowerLetter"/>
      <w:start w:val="35"/>
    </w:lvl>
    <w:lvl w:ilvl="1">
      <w:lvlJc w:val="left"/>
      <w:lvlText w:val="(%2)"/>
      <w:numFmt w:val="lowerLetter"/>
      <w:start w:val="1"/>
    </w:lvl>
  </w:abstractNum>
  <w:abstractNum w:abstractNumId="708">
    <w:nsid w:val="7FE72292"/>
    <w:multiLevelType w:val="hybridMultilevel"/>
    <w:lvl w:ilvl="0">
      <w:lvlJc w:val="left"/>
      <w:lvlText w:val="(%1)"/>
      <w:numFmt w:val="lowerRoman"/>
      <w:start w:val="1"/>
    </w:lvl>
  </w:abstractNum>
  <w:abstractNum w:abstractNumId="709">
    <w:nsid w:val="60C94A46"/>
    <w:multiLevelType w:val="hybridMultilevel"/>
    <w:lvl w:ilvl="0">
      <w:lvlJc w:val="left"/>
      <w:lvlText w:val="(%1)"/>
      <w:numFmt w:val="upperLetter"/>
      <w:start w:val="3"/>
    </w:lvl>
    <w:lvl w:ilvl="1">
      <w:lvlJc w:val="left"/>
      <w:lvlText w:val="(%2)"/>
      <w:numFmt w:val="lowerRoman"/>
      <w:start w:val="7"/>
    </w:lvl>
  </w:abstractNum>
  <w:abstractNum w:abstractNumId="710">
    <w:nsid w:val="69D9E7A"/>
    <w:multiLevelType w:val="hybridMultilevel"/>
    <w:lvl w:ilvl="0">
      <w:lvlJc w:val="left"/>
      <w:lvlText w:val="(%1)"/>
      <w:numFmt w:val="upperLetter"/>
      <w:start w:val="1"/>
    </w:lvl>
    <w:lvl w:ilvl="1">
      <w:lvlJc w:val="left"/>
      <w:lvlText w:val="(%2)"/>
      <w:numFmt w:val="lowerLetter"/>
      <w:start w:val="1"/>
    </w:lvl>
  </w:abstractNum>
  <w:abstractNum w:abstractNumId="711">
    <w:nsid w:val="7F056040"/>
    <w:multiLevelType w:val="hybridMultilevel"/>
    <w:lvl w:ilvl="0">
      <w:lvlJc w:val="left"/>
      <w:lvlText w:val="(%1)"/>
      <w:numFmt w:val="lowerLetter"/>
      <w:start w:val="13"/>
    </w:lvl>
  </w:abstractNum>
  <w:abstractNum w:abstractNumId="712">
    <w:nsid w:val="1D701BFF"/>
    <w:multiLevelType w:val="hybridMultilevel"/>
    <w:lvl w:ilvl="0">
      <w:lvlJc w:val="left"/>
      <w:lvlText w:val="(%1)"/>
      <w:numFmt w:val="lowerLetter"/>
      <w:start w:val="1"/>
    </w:lvl>
  </w:abstractNum>
  <w:abstractNum w:abstractNumId="713">
    <w:nsid w:val="4A12EC32"/>
    <w:multiLevelType w:val="hybridMultilevel"/>
    <w:lvl w:ilvl="0">
      <w:lvlJc w:val="left"/>
      <w:lvlText w:val="(%1)"/>
      <w:numFmt w:val="lowerLetter"/>
      <w:start w:val="2"/>
    </w:lvl>
  </w:abstractNum>
  <w:abstractNum w:abstractNumId="714">
    <w:nsid w:val="3F35DD67"/>
    <w:multiLevelType w:val="hybridMultilevel"/>
    <w:lvl w:ilvl="0">
      <w:lvlJc w:val="left"/>
      <w:lvlText w:val="(%1)"/>
      <w:numFmt w:val="lowerLetter"/>
      <w:start w:val="1"/>
    </w:lvl>
  </w:abstractNum>
  <w:abstractNum w:abstractNumId="715">
    <w:nsid w:val="2B66AC12"/>
    <w:multiLevelType w:val="hybridMultilevel"/>
    <w:lvl w:ilvl="0">
      <w:lvlJc w:val="left"/>
      <w:lvlText w:val="(%1)"/>
      <w:numFmt w:val="lowerLetter"/>
      <w:start w:val="3"/>
    </w:lvl>
  </w:abstractNum>
  <w:abstractNum w:abstractNumId="716">
    <w:nsid w:val="59F12779"/>
    <w:multiLevelType w:val="hybridMultilevel"/>
    <w:lvl w:ilvl="0">
      <w:lvlJc w:val="left"/>
      <w:lvlText w:val="%1"/>
      <w:numFmt w:val="lowerLetter"/>
      <w:start w:val="1"/>
    </w:lvl>
    <w:lvl w:ilvl="1">
      <w:lvlJc w:val="left"/>
      <w:lvlText w:val="(%2)"/>
      <w:numFmt w:val="lowerLetter"/>
      <w:start w:val="10"/>
    </w:lvl>
  </w:abstractNum>
  <w:abstractNum w:abstractNumId="717">
    <w:nsid w:val="452528CB"/>
    <w:multiLevelType w:val="hybridMultilevel"/>
    <w:lvl w:ilvl="0">
      <w:lvlJc w:val="left"/>
      <w:lvlText w:val="(%1)"/>
      <w:numFmt w:val="lowerLetter"/>
      <w:start w:val="13"/>
    </w:lvl>
    <w:lvl w:ilvl="1">
      <w:lvlJc w:val="left"/>
      <w:lvlText w:val="%2"/>
      <w:numFmt w:val="lowerLetter"/>
      <w:start w:val="1"/>
    </w:lvl>
  </w:abstractNum>
  <w:abstractNum w:abstractNumId="718">
    <w:nsid w:val="4FBE108E"/>
    <w:multiLevelType w:val="hybridMultilevel"/>
    <w:lvl w:ilvl="0">
      <w:lvlJc w:val="left"/>
      <w:lvlText w:val="(%1)"/>
      <w:numFmt w:val="lowerLetter"/>
      <w:start w:val="61"/>
    </w:lvl>
    <w:lvl w:ilvl="1">
      <w:lvlJc w:val="left"/>
      <w:lvlText w:val="%2"/>
      <w:numFmt w:val="lowerLetter"/>
      <w:start w:val="1"/>
    </w:lvl>
  </w:abstractNum>
  <w:abstractNum w:abstractNumId="719">
    <w:nsid w:val="60602E62"/>
    <w:multiLevelType w:val="hybridMultilevel"/>
    <w:lvl w:ilvl="0">
      <w:lvlJc w:val="left"/>
      <w:lvlText w:val="(%1)"/>
      <w:numFmt w:val="lowerRoman"/>
      <w:start w:val="2"/>
    </w:lvl>
  </w:abstractNum>
  <w:abstractNum w:abstractNumId="720">
    <w:nsid w:val="47D0D402"/>
    <w:multiLevelType w:val="hybridMultilevel"/>
    <w:lvl w:ilvl="0">
      <w:lvlJc w:val="left"/>
      <w:lvlText w:val="(%1)"/>
      <w:numFmt w:val="lowerLetter"/>
      <w:start w:val="1"/>
    </w:lvl>
  </w:abstractNum>
  <w:abstractNum w:abstractNumId="721">
    <w:nsid w:val="D1CD939"/>
    <w:multiLevelType w:val="hybridMultilevel"/>
    <w:lvl w:ilvl="0">
      <w:lvlJc w:val="left"/>
      <w:lvlText w:val="(%1)"/>
      <w:numFmt w:val="lowerLetter"/>
      <w:start w:val="25"/>
    </w:lvl>
  </w:abstractNum>
  <w:abstractNum w:abstractNumId="722">
    <w:nsid w:val="12552B10"/>
    <w:multiLevelType w:val="hybridMultilevel"/>
    <w:lvl w:ilvl="0">
      <w:lvlJc w:val="left"/>
      <w:lvlText w:val="(%1)"/>
      <w:numFmt w:val="lowerLetter"/>
      <w:start w:val="1"/>
    </w:lvl>
  </w:abstractNum>
  <w:abstractNum w:abstractNumId="723">
    <w:nsid w:val="F4E8872"/>
    <w:multiLevelType w:val="hybridMultilevel"/>
    <w:lvl w:ilvl="0">
      <w:lvlJc w:val="left"/>
      <w:lvlText w:val="(%1)"/>
      <w:numFmt w:val="lowerRoman"/>
      <w:start w:val="1"/>
    </w:lvl>
  </w:abstractNum>
  <w:abstractNum w:abstractNumId="724">
    <w:nsid w:val="5CF24B45"/>
    <w:multiLevelType w:val="hybridMultilevel"/>
    <w:lvl w:ilvl="0">
      <w:lvlJc w:val="left"/>
      <w:lvlText w:val="%1"/>
      <w:numFmt w:val="lowerLetter"/>
      <w:start w:val="1"/>
    </w:lvl>
    <w:lvl w:ilvl="1">
      <w:lvlJc w:val="left"/>
      <w:lvlText w:val="(%2)"/>
      <w:numFmt w:val="lowerLetter"/>
      <w:start w:val="61"/>
    </w:lvl>
  </w:abstractNum>
  <w:abstractNum w:abstractNumId="725">
    <w:nsid w:val="5F91BE56"/>
    <w:multiLevelType w:val="hybridMultilevel"/>
    <w:lvl w:ilvl="0">
      <w:lvlJc w:val="left"/>
      <w:lvlText w:val="(%1)"/>
      <w:numFmt w:val="lowerLetter"/>
      <w:start w:val="1"/>
    </w:lvl>
    <w:lvl w:ilvl="1">
      <w:lvlJc w:val="left"/>
      <w:lvlText w:val="%2"/>
      <w:numFmt w:val="lowerLetter"/>
      <w:start w:val="1"/>
    </w:lvl>
  </w:abstractNum>
  <w:abstractNum w:abstractNumId="726">
    <w:nsid w:val="3C3F0BFD"/>
    <w:multiLevelType w:val="hybridMultilevel"/>
    <w:lvl w:ilvl="0">
      <w:lvlJc w:val="left"/>
      <w:lvlText w:val="(%1)"/>
      <w:numFmt w:val="lowerRoman"/>
      <w:start w:val="4"/>
    </w:lvl>
  </w:abstractNum>
  <w:abstractNum w:abstractNumId="727">
    <w:nsid w:val="1B15D96C"/>
    <w:multiLevelType w:val="hybridMultilevel"/>
    <w:lvl w:ilvl="0">
      <w:lvlJc w:val="left"/>
      <w:lvlText w:val="(%1)"/>
      <w:numFmt w:val="lowerLetter"/>
      <w:start w:val="2"/>
    </w:lvl>
  </w:abstractNum>
  <w:abstractNum w:abstractNumId="728">
    <w:nsid w:val="7B469A23"/>
    <w:multiLevelType w:val="hybridMultilevel"/>
    <w:lvl w:ilvl="0">
      <w:lvlJc w:val="left"/>
      <w:lvlText w:val="(%1)"/>
      <w:numFmt w:val="lowerLetter"/>
      <w:start w:val="1"/>
    </w:lvl>
  </w:abstractNum>
  <w:abstractNum w:abstractNumId="729">
    <w:nsid w:val="21DCDBA0"/>
    <w:multiLevelType w:val="hybridMultilevel"/>
    <w:lvl w:ilvl="0">
      <w:lvlJc w:val="left"/>
      <w:lvlText w:val="(%1)"/>
      <w:numFmt w:val="lowerLetter"/>
      <w:start w:val="2"/>
    </w:lvl>
  </w:abstractNum>
  <w:abstractNum w:abstractNumId="730">
    <w:nsid w:val="220655C4"/>
    <w:multiLevelType w:val="hybridMultilevel"/>
    <w:lvl w:ilvl="0">
      <w:lvlJc w:val="left"/>
      <w:lvlText w:val="(%1)"/>
      <w:numFmt w:val="lowerRoman"/>
      <w:start w:val="1"/>
    </w:lvl>
  </w:abstractNum>
  <w:abstractNum w:abstractNumId="731">
    <w:nsid w:val="5CE60F5E"/>
    <w:multiLevelType w:val="hybridMultilevel"/>
    <w:lvl w:ilvl="0">
      <w:lvlJc w:val="left"/>
      <w:lvlText w:val="(%1)"/>
      <w:numFmt w:val="lowerLetter"/>
      <w:start w:val="3"/>
    </w:lvl>
  </w:abstractNum>
  <w:abstractNum w:abstractNumId="732">
    <w:nsid w:val="4B9A6638"/>
    <w:multiLevelType w:val="hybridMultilevel"/>
    <w:lvl w:ilvl="0">
      <w:lvlJc w:val="left"/>
      <w:lvlText w:val="%1"/>
      <w:numFmt w:val="lowerLetter"/>
      <w:start w:val="1"/>
    </w:lvl>
    <w:lvl w:ilvl="1">
      <w:lvlJc w:val="left"/>
      <w:lvlText w:val="(%2)"/>
      <w:numFmt w:val="lowerLetter"/>
      <w:start w:val="5"/>
    </w:lvl>
  </w:abstractNum>
  <w:abstractNum w:abstractNumId="733">
    <w:nsid w:val="2822BCA7"/>
    <w:multiLevelType w:val="hybridMultilevel"/>
    <w:lvl w:ilvl="0">
      <w:lvlJc w:val="left"/>
      <w:lvlText w:val="(%1)"/>
      <w:numFmt w:val="lowerLetter"/>
      <w:start w:val="6"/>
    </w:lvl>
    <w:lvl w:ilvl="1">
      <w:lvlJc w:val="left"/>
      <w:lvlText w:val="%2"/>
      <w:numFmt w:val="lowerLetter"/>
      <w:start w:val="1"/>
    </w:lvl>
  </w:abstractNum>
  <w:abstractNum w:abstractNumId="734">
    <w:nsid w:val="46182E75"/>
    <w:multiLevelType w:val="hybridMultilevel"/>
    <w:lvl w:ilvl="0">
      <w:lvlJc w:val="left"/>
      <w:lvlText w:val="(%1)"/>
      <w:numFmt w:val="lowerLetter"/>
      <w:start w:val="1"/>
    </w:lvl>
  </w:abstractNum>
  <w:abstractNum w:abstractNumId="735">
    <w:nsid w:val="79311D4C"/>
    <w:multiLevelType w:val="hybridMultilevel"/>
    <w:lvl w:ilvl="0">
      <w:lvlJc w:val="left"/>
      <w:lvlText w:val="(%1)"/>
      <w:numFmt w:val="lowerRoman"/>
      <w:start w:val="1"/>
    </w:lvl>
  </w:abstractNum>
  <w:abstractNum w:abstractNumId="736">
    <w:nsid w:val="6599B689"/>
    <w:multiLevelType w:val="hybridMultilevel"/>
    <w:lvl w:ilvl="0">
      <w:lvlJc w:val="left"/>
      <w:lvlText w:val="(%1)"/>
      <w:numFmt w:val="lowerLetter"/>
      <w:start w:val="2"/>
    </w:lvl>
  </w:abstractNum>
  <w:abstractNum w:abstractNumId="737">
    <w:nsid w:val="58625C6D"/>
    <w:multiLevelType w:val="hybridMultilevel"/>
    <w:lvl w:ilvl="0">
      <w:lvlJc w:val="left"/>
      <w:lvlText w:val="(%1)"/>
      <w:numFmt w:val="lowerLetter"/>
      <w:start w:val="1"/>
    </w:lvl>
  </w:abstractNum>
  <w:abstractNum w:abstractNumId="738">
    <w:nsid w:val="2357E574"/>
    <w:multiLevelType w:val="hybridMultilevel"/>
    <w:lvl w:ilvl="0">
      <w:lvlJc w:val="left"/>
      <w:lvlText w:val="%1"/>
      <w:numFmt w:val="lowerRoman"/>
      <w:start w:val="1"/>
    </w:lvl>
    <w:lvl w:ilvl="1">
      <w:lvlJc w:val="left"/>
      <w:lvlText w:val="(%2)"/>
      <w:numFmt w:val="decimal"/>
      <w:start w:val="1"/>
    </w:lvl>
  </w:abstractNum>
  <w:abstractNum w:abstractNumId="739">
    <w:nsid w:val="6580D91B"/>
    <w:multiLevelType w:val="hybridMultilevel"/>
    <w:lvl w:ilvl="0">
      <w:lvlJc w:val="left"/>
      <w:lvlText w:val="(%1)"/>
      <w:numFmt w:val="lowerRoman"/>
      <w:start w:val="1"/>
    </w:lvl>
    <w:lvl w:ilvl="1">
      <w:lvlJc w:val="left"/>
      <w:lvlText w:val="(%2)"/>
      <w:numFmt w:val="decimal"/>
      <w:start w:val="1"/>
    </w:lvl>
  </w:abstractNum>
  <w:abstractNum w:abstractNumId="740">
    <w:nsid w:val="392BA6B3"/>
    <w:multiLevelType w:val="hybridMultilevel"/>
    <w:lvl w:ilvl="0">
      <w:lvlJc w:val="left"/>
      <w:lvlText w:val="(%1)"/>
      <w:numFmt w:val="decimal"/>
      <w:start w:val="4"/>
    </w:lvl>
  </w:abstractNum>
  <w:abstractNum w:abstractNumId="741">
    <w:nsid w:val="29F583EF"/>
    <w:multiLevelType w:val="hybridMultilevel"/>
    <w:lvl w:ilvl="0">
      <w:lvlJc w:val="left"/>
      <w:lvlText w:val="%1"/>
      <w:numFmt w:val="lowerLetter"/>
      <w:start w:val="1"/>
    </w:lvl>
    <w:lvl w:ilvl="1">
      <w:lvlJc w:val="left"/>
      <w:lvlText w:val="(%2)"/>
      <w:numFmt w:val="lowerLetter"/>
      <w:start w:val="35"/>
    </w:lvl>
  </w:abstractNum>
  <w:abstractNum w:abstractNumId="742">
    <w:nsid w:val="6486395B"/>
    <w:multiLevelType w:val="hybridMultilevel"/>
    <w:lvl w:ilvl="0">
      <w:lvlJc w:val="left"/>
      <w:lvlText w:val="(%1)"/>
      <w:numFmt w:val="lowerLetter"/>
      <w:start w:val="3"/>
    </w:lvl>
    <w:lvl w:ilvl="1">
      <w:lvlJc w:val="left"/>
      <w:lvlText w:val="(%2)"/>
      <w:numFmt w:val="lowerLetter"/>
      <w:start w:val="61"/>
    </w:lvl>
  </w:abstractNum>
  <w:abstractNum w:abstractNumId="743">
    <w:nsid w:val="569BC2B2"/>
    <w:multiLevelType w:val="hybridMultilevel"/>
    <w:lvl w:ilvl="0">
      <w:lvlJc w:val="left"/>
      <w:lvlText w:val="(%1)"/>
      <w:numFmt w:val="lowerRoman"/>
      <w:start w:val="4"/>
    </w:lvl>
  </w:abstractNum>
  <w:abstractNum w:abstractNumId="744">
    <w:nsid w:val="74087021"/>
    <w:multiLevelType w:val="hybridMultilevel"/>
    <w:lvl w:ilvl="0">
      <w:lvlJc w:val="left"/>
      <w:lvlText w:val="(%1)"/>
      <w:numFmt w:val="lowerLetter"/>
      <w:start w:val="3"/>
    </w:lvl>
  </w:abstractNum>
  <w:abstractNum w:abstractNumId="745">
    <w:nsid w:val="23BC16C2"/>
    <w:multiLevelType w:val="hybridMultilevel"/>
    <w:lvl w:ilvl="0">
      <w:lvlJc w:val="left"/>
      <w:lvlText w:val="(%1)"/>
      <w:numFmt w:val="lowerRoman"/>
      <w:start w:val="1"/>
    </w:lvl>
  </w:abstractNum>
  <w:abstractNum w:abstractNumId="746">
    <w:nsid w:val="2026EC5"/>
    <w:multiLevelType w:val="hybridMultilevel"/>
    <w:lvl w:ilvl="0">
      <w:lvlJc w:val="left"/>
      <w:lvlText w:val="(%1)"/>
      <w:numFmt w:val="lowerLetter"/>
      <w:start w:val="4"/>
    </w:lvl>
  </w:abstractNum>
  <w:abstractNum w:abstractNumId="747">
    <w:nsid w:val="4DF9979A"/>
    <w:multiLevelType w:val="hybridMultilevel"/>
    <w:lvl w:ilvl="0">
      <w:lvlJc w:val="left"/>
      <w:lvlText w:val="(%1)"/>
      <w:numFmt w:val="lowerRoman"/>
      <w:start w:val="1"/>
    </w:lvl>
  </w:abstractNum>
  <w:abstractNum w:abstractNumId="748">
    <w:nsid w:val="68E13F8E"/>
    <w:multiLevelType w:val="hybridMultilevel"/>
    <w:lvl w:ilvl="0">
      <w:lvlJc w:val="left"/>
      <w:lvlText w:val="%1"/>
      <w:numFmt w:val="lowerLetter"/>
      <w:start w:val="1"/>
    </w:lvl>
    <w:lvl w:ilvl="1">
      <w:lvlJc w:val="left"/>
      <w:lvlText w:val="(%2)"/>
      <w:numFmt w:val="lowerLetter"/>
      <w:start w:val="35"/>
    </w:lvl>
  </w:abstractNum>
  <w:abstractNum w:abstractNumId="749">
    <w:nsid w:val="51C07F53"/>
    <w:multiLevelType w:val="hybridMultilevel"/>
    <w:lvl w:ilvl="0">
      <w:lvlJc w:val="left"/>
      <w:lvlText w:val="(%1)"/>
      <w:numFmt w:val="lowerLetter"/>
      <w:start w:val="25"/>
    </w:lvl>
    <w:lvl w:ilvl="1">
      <w:lvlJc w:val="left"/>
      <w:lvlText w:val="(%2)"/>
      <w:numFmt w:val="lowerLetter"/>
      <w:start w:val="61"/>
    </w:lvl>
  </w:abstractNum>
  <w:abstractNum w:abstractNumId="750">
    <w:nsid w:val="2E59C5FD"/>
    <w:multiLevelType w:val="hybridMultilevel"/>
    <w:lvl w:ilvl="0">
      <w:lvlJc w:val="left"/>
      <w:lvlText w:val="(%1)"/>
      <w:numFmt w:val="lowerRoman"/>
      <w:start w:val="4"/>
    </w:lvl>
  </w:abstractNum>
  <w:abstractNum w:abstractNumId="751">
    <w:nsid w:val="30B21390"/>
    <w:multiLevelType w:val="hybridMultilevel"/>
    <w:lvl w:ilvl="0">
      <w:lvlJc w:val="left"/>
      <w:lvlText w:val="(%1)"/>
      <w:numFmt w:val="lowerLetter"/>
      <w:start w:val="1"/>
    </w:lvl>
  </w:abstractNum>
  <w:abstractNum w:abstractNumId="752">
    <w:nsid w:val="5EDD588C"/>
    <w:multiLevelType w:val="hybridMultilevel"/>
    <w:lvl w:ilvl="0">
      <w:lvlJc w:val="left"/>
      <w:lvlText w:val="(%1)"/>
      <w:numFmt w:val="lowerLetter"/>
      <w:start w:val="2"/>
    </w:lvl>
  </w:abstractNum>
  <w:abstractNum w:abstractNumId="753">
    <w:nsid w:val="40AEF10D"/>
    <w:multiLevelType w:val="hybridMultilevel"/>
    <w:lvl w:ilvl="0">
      <w:lvlJc w:val="left"/>
      <w:lvlText w:val="(%1)"/>
      <w:numFmt w:val="lowerLetter"/>
      <w:start w:val="3"/>
    </w:lvl>
    <w:lvl w:ilvl="1">
      <w:lvlJc w:val="left"/>
      <w:lvlText w:val="(%2)"/>
      <w:numFmt w:val="lowerLetter"/>
      <w:start w:val="4"/>
    </w:lvl>
  </w:abstractNum>
  <w:abstractNum w:abstractNumId="754">
    <w:nsid w:val="40009C03"/>
    <w:multiLevelType w:val="hybridMultilevel"/>
    <w:lvl w:ilvl="0">
      <w:lvlJc w:val="left"/>
      <w:lvlText w:val="(%1)"/>
      <w:numFmt w:val="lowerRoman"/>
      <w:start w:val="10"/>
    </w:lvl>
  </w:abstractNum>
  <w:abstractNum w:abstractNumId="755">
    <w:nsid w:val="3BCFA3D1"/>
    <w:multiLevelType w:val="hybridMultilevel"/>
    <w:lvl w:ilvl="0">
      <w:lvlJc w:val="left"/>
      <w:lvlText w:val="(%1)"/>
      <w:numFmt w:val="lowerLetter"/>
      <w:start w:val="1"/>
    </w:lvl>
  </w:abstractNum>
  <w:abstractNum w:abstractNumId="756">
    <w:nsid w:val="2040AF63"/>
    <w:multiLevelType w:val="hybridMultilevel"/>
    <w:lvl w:ilvl="0">
      <w:lvlJc w:val="left"/>
      <w:lvlText w:val="(%1)"/>
      <w:numFmt w:val="lowerRoman"/>
      <w:start w:val="1"/>
    </w:lvl>
  </w:abstractNum>
  <w:abstractNum w:abstractNumId="757">
    <w:nsid w:val="7C3FA800"/>
    <w:multiLevelType w:val="hybridMultilevel"/>
    <w:lvl w:ilvl="0">
      <w:lvlJc w:val="left"/>
      <w:lvlText w:val="(%1)"/>
      <w:numFmt w:val="lowerRoman"/>
      <w:start w:val="8"/>
    </w:lvl>
  </w:abstractNum>
  <w:abstractNum w:abstractNumId="758">
    <w:nsid w:val="56E57D3D"/>
    <w:multiLevelType w:val="hybridMultilevel"/>
    <w:lvl w:ilvl="0">
      <w:lvlJc w:val="left"/>
      <w:lvlText w:val="(%1)"/>
      <w:numFmt w:val="lowerLetter"/>
      <w:start w:val="3"/>
    </w:lvl>
  </w:abstractNum>
  <w:abstractNum w:abstractNumId="759">
    <w:nsid w:val="1B874986"/>
    <w:multiLevelType w:val="hybridMultilevel"/>
    <w:lvl w:ilvl="0">
      <w:lvlJc w:val="left"/>
      <w:lvlText w:val="(%1)"/>
      <w:numFmt w:val="lowerLetter"/>
      <w:start w:val="5"/>
    </w:lvl>
  </w:abstractNum>
  <w:abstractNum w:abstractNumId="760">
    <w:nsid w:val="1E1C83A1"/>
    <w:multiLevelType w:val="hybridMultilevel"/>
    <w:lvl w:ilvl="0">
      <w:lvlJc w:val="left"/>
      <w:lvlText w:val="(%1)"/>
      <w:numFmt w:val="lowerLetter"/>
      <w:start w:val="1"/>
    </w:lvl>
  </w:abstractNum>
  <w:abstractNum w:abstractNumId="761">
    <w:nsid w:val="78EBD301"/>
    <w:multiLevelType w:val="hybridMultilevel"/>
    <w:lvl w:ilvl="0">
      <w:lvlJc w:val="left"/>
      <w:lvlText w:val="(%1)"/>
      <w:numFmt w:val="lowerLetter"/>
      <w:start w:val="3"/>
    </w:lvl>
  </w:abstractNum>
  <w:abstractNum w:abstractNumId="762">
    <w:nsid w:val="786D58E4"/>
    <w:multiLevelType w:val="hybridMultilevel"/>
    <w:lvl w:ilvl="0">
      <w:lvlJc w:val="left"/>
      <w:lvlText w:val="(%1)"/>
      <w:numFmt w:val="lowerLetter"/>
      <w:start w:val="1"/>
    </w:lvl>
  </w:abstractNum>
  <w:abstractNum w:abstractNumId="763">
    <w:nsid w:val="69B6E9D9"/>
    <w:multiLevelType w:val="hybridMultilevel"/>
    <w:lvl w:ilvl="0">
      <w:lvlJc w:val="left"/>
      <w:lvlText w:val="%1"/>
      <w:numFmt w:val="lowerLetter"/>
      <w:start w:val="1"/>
    </w:lvl>
    <w:lvl w:ilvl="1">
      <w:lvlJc w:val="left"/>
      <w:lvlText w:val="(%2)"/>
      <w:numFmt w:val="lowerLetter"/>
      <w:start w:val="2"/>
    </w:lvl>
  </w:abstractNum>
  <w:abstractNum w:abstractNumId="764">
    <w:nsid w:val="210E8FA8"/>
    <w:multiLevelType w:val="hybridMultilevel"/>
    <w:lvl w:ilvl="0">
      <w:lvlJc w:val="left"/>
      <w:lvlText w:val="(%1)"/>
      <w:numFmt w:val="lowerLetter"/>
      <w:start w:val="35"/>
    </w:lvl>
    <w:lvl w:ilvl="1">
      <w:lvlJc w:val="left"/>
      <w:lvlText w:val="(%2)"/>
      <w:numFmt w:val="lowerLetter"/>
      <w:start w:val="3"/>
    </w:lvl>
  </w:abstractNum>
  <w:abstractNum w:abstractNumId="765">
    <w:nsid w:val="3E858759"/>
    <w:multiLevelType w:val="hybridMultilevel"/>
    <w:lvl w:ilvl="0">
      <w:lvlJc w:val="left"/>
      <w:lvlText w:val="(%1)"/>
      <w:numFmt w:val="lowerLetter"/>
      <w:start w:val="5"/>
    </w:lvl>
  </w:abstractNum>
  <w:abstractNum w:abstractNumId="766">
    <w:nsid w:val="62E80725"/>
    <w:multiLevelType w:val="hybridMultilevel"/>
    <w:lvl w:ilvl="0">
      <w:lvlJc w:val="left"/>
      <w:lvlText w:val="(%1)"/>
      <w:numFmt w:val="lowerLetter"/>
      <w:start w:val="1"/>
    </w:lvl>
    <w:lvl w:ilvl="1">
      <w:lvlJc w:val="left"/>
      <w:lvlText w:val="(%2)"/>
      <w:numFmt w:val="decimal"/>
      <w:start w:val="1"/>
    </w:lvl>
  </w:abstractNum>
  <w:abstractNum w:abstractNumId="767">
    <w:nsid w:val="6A84631"/>
    <w:multiLevelType w:val="hybridMultilevel"/>
    <w:lvl w:ilvl="0">
      <w:lvlJc w:val="left"/>
      <w:lvlText w:val="(%1)"/>
      <w:numFmt w:val="lowerLetter"/>
      <w:start w:val="1"/>
    </w:lvl>
  </w:abstractNum>
  <w:abstractNum w:abstractNumId="768">
    <w:nsid w:val="16E7E3C7"/>
    <w:multiLevelType w:val="hybridMultilevel"/>
    <w:lvl w:ilvl="0">
      <w:lvlJc w:val="left"/>
      <w:lvlText w:val="(%1)"/>
      <w:numFmt w:val="lowerLetter"/>
      <w:start w:val="1"/>
    </w:lvl>
  </w:abstractNum>
  <w:abstractNum w:abstractNumId="769">
    <w:nsid w:val="63FEC9A"/>
    <w:multiLevelType w:val="hybridMultilevel"/>
    <w:lvl w:ilvl="0">
      <w:lvlJc w:val="left"/>
      <w:lvlText w:val="(%1)"/>
      <w:numFmt w:val="lowerLetter"/>
      <w:start w:val="2"/>
    </w:lvl>
  </w:abstractNum>
  <w:abstractNum w:abstractNumId="770">
    <w:nsid w:val="6C291F4C"/>
    <w:multiLevelType w:val="hybridMultilevel"/>
    <w:lvl w:ilvl="0">
      <w:lvlJc w:val="left"/>
      <w:lvlText w:val="(%1)"/>
      <w:numFmt w:val="lowerLetter"/>
      <w:start w:val="1"/>
    </w:lvl>
  </w:abstractNum>
  <w:abstractNum w:abstractNumId="771">
    <w:nsid w:val="50138A7A"/>
    <w:multiLevelType w:val="hybridMultilevel"/>
    <w:lvl w:ilvl="0">
      <w:lvlJc w:val="left"/>
      <w:lvlText w:val="(%1)"/>
      <w:numFmt w:val="lowerLetter"/>
      <w:start w:val="4"/>
    </w:lvl>
  </w:abstractNum>
  <w:abstractNum w:abstractNumId="772">
    <w:nsid w:val="303570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73">
    <w:nsid w:val="50AF58A7"/>
    <w:multiLevelType w:val="hybridMultilevel"/>
    <w:lvl w:ilvl="0">
      <w:lvlJc w:val="left"/>
      <w:lvlText w:val="%1."/>
      <w:numFmt w:val="decimal"/>
      <w:start w:val="1"/>
    </w:lvl>
    <w:lvl w:ilvl="1">
      <w:lvlJc w:val="left"/>
      <w:lvlText w:val="(%2)"/>
      <w:numFmt w:val="lowerLetter"/>
      <w:start w:val="1"/>
    </w:lvl>
  </w:abstractNum>
  <w:abstractNum w:abstractNumId="774">
    <w:nsid w:val="26AF4D2D"/>
    <w:multiLevelType w:val="hybridMultilevel"/>
    <w:lvl w:ilvl="0">
      <w:lvlJc w:val="left"/>
      <w:lvlText w:val="(%1)"/>
      <w:numFmt w:val="decimal"/>
      <w:start w:val="1"/>
    </w:lvl>
  </w:abstractNum>
  <w:abstractNum w:abstractNumId="775">
    <w:nsid w:val="243DE0A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jpeg"/><Relationship Id="rId45" Type="http://schemas.openxmlformats.org/officeDocument/2006/relationships/image" Target="media/image22.png"/><Relationship Id="rId46" Type="http://schemas.openxmlformats.org/officeDocument/2006/relationships/image" Target="media/image23.jpeg"/><Relationship Id="rId47" Type="http://schemas.openxmlformats.org/officeDocument/2006/relationships/image" Target="media/image24.jpeg"/><Relationship Id="rId48" Type="http://schemas.openxmlformats.org/officeDocument/2006/relationships/image" Target="media/image25.png"/><Relationship Id="rId49" Type="http://schemas.openxmlformats.org/officeDocument/2006/relationships/image" Target="media/image26.jpeg"/><Relationship Id="rId50" Type="http://schemas.openxmlformats.org/officeDocument/2006/relationships/image" Target="media/image27.jpe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jpeg"/><Relationship Id="rId62" Type="http://schemas.openxmlformats.org/officeDocument/2006/relationships/image" Target="media/image39.png"/><Relationship Id="rId63" Type="http://schemas.openxmlformats.org/officeDocument/2006/relationships/image" Target="media/image40.jpeg"/><Relationship Id="rId64" Type="http://schemas.openxmlformats.org/officeDocument/2006/relationships/image" Target="media/image41.png"/><Relationship Id="rId65" Type="http://schemas.openxmlformats.org/officeDocument/2006/relationships/image" Target="media/image42.jpeg"/><Relationship Id="rId66" Type="http://schemas.openxmlformats.org/officeDocument/2006/relationships/image" Target="media/image43.png"/><Relationship Id="rId67" Type="http://schemas.openxmlformats.org/officeDocument/2006/relationships/image" Target="media/image44.jpeg"/><Relationship Id="rId68" Type="http://schemas.openxmlformats.org/officeDocument/2006/relationships/image" Target="media/image45.png"/><Relationship Id="rId69" Type="http://schemas.openxmlformats.org/officeDocument/2006/relationships/image" Target="media/image46.jpeg"/><Relationship Id="rId70" Type="http://schemas.openxmlformats.org/officeDocument/2006/relationships/image" Target="media/image47.png"/><Relationship Id="rId71" Type="http://schemas.openxmlformats.org/officeDocument/2006/relationships/image" Target="media/image48.jpeg"/><Relationship Id="rId72" Type="http://schemas.openxmlformats.org/officeDocument/2006/relationships/image" Target="media/image49.png"/><Relationship Id="rId73" Type="http://schemas.openxmlformats.org/officeDocument/2006/relationships/image" Target="media/image50.jpeg"/><Relationship Id="rId74" Type="http://schemas.openxmlformats.org/officeDocument/2006/relationships/image" Target="media/image51.png"/><Relationship Id="rId75" Type="http://schemas.openxmlformats.org/officeDocument/2006/relationships/image" Target="media/image52.jpeg"/><Relationship Id="rId76" Type="http://schemas.openxmlformats.org/officeDocument/2006/relationships/image" Target="media/image53.png"/><Relationship Id="rId77" Type="http://schemas.openxmlformats.org/officeDocument/2006/relationships/image" Target="media/image54.jpeg"/><Relationship Id="rId78" Type="http://schemas.openxmlformats.org/officeDocument/2006/relationships/image" Target="media/image55.png"/><Relationship Id="rId79" Type="http://schemas.openxmlformats.org/officeDocument/2006/relationships/image" Target="media/image56.jpe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jpeg"/><Relationship Id="rId84" Type="http://schemas.openxmlformats.org/officeDocument/2006/relationships/image" Target="media/image61.png"/><Relationship Id="rId85" Type="http://schemas.openxmlformats.org/officeDocument/2006/relationships/image" Target="media/image62.jpeg"/><Relationship Id="rId86" Type="http://schemas.openxmlformats.org/officeDocument/2006/relationships/image" Target="media/image63.png"/><Relationship Id="rId87" Type="http://schemas.openxmlformats.org/officeDocument/2006/relationships/image" Target="media/image64.jpeg"/><Relationship Id="rId88" Type="http://schemas.openxmlformats.org/officeDocument/2006/relationships/image" Target="media/image65.jpe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jpeg"/><Relationship Id="rId92" Type="http://schemas.openxmlformats.org/officeDocument/2006/relationships/image" Target="media/image69.png"/><Relationship Id="rId93" Type="http://schemas.openxmlformats.org/officeDocument/2006/relationships/image" Target="media/image70.jpeg"/><Relationship Id="rId94" Type="http://schemas.openxmlformats.org/officeDocument/2006/relationships/image" Target="media/image71.png"/><Relationship Id="rId95" Type="http://schemas.openxmlformats.org/officeDocument/2006/relationships/image" Target="media/image72.jpeg"/><Relationship Id="rId96" Type="http://schemas.openxmlformats.org/officeDocument/2006/relationships/image" Target="media/image73.jpeg"/><Relationship Id="rId97" Type="http://schemas.openxmlformats.org/officeDocument/2006/relationships/image" Target="media/image74.png"/><Relationship Id="rId98" Type="http://schemas.openxmlformats.org/officeDocument/2006/relationships/image" Target="media/image75.jpeg"/><Relationship Id="rId99" Type="http://schemas.openxmlformats.org/officeDocument/2006/relationships/image" Target="media/image76.jpeg"/><Relationship Id="rId100" Type="http://schemas.openxmlformats.org/officeDocument/2006/relationships/image" Target="media/image77.png"/><Relationship Id="rId101" Type="http://schemas.openxmlformats.org/officeDocument/2006/relationships/image" Target="media/image78.jpeg"/><Relationship Id="rId102" Type="http://schemas.openxmlformats.org/officeDocument/2006/relationships/image" Target="media/image79.png"/><Relationship Id="rId103" Type="http://schemas.openxmlformats.org/officeDocument/2006/relationships/image" Target="media/image80.jpeg"/><Relationship Id="rId104" Type="http://schemas.openxmlformats.org/officeDocument/2006/relationships/image" Target="media/image81.png"/><Relationship Id="rId105" Type="http://schemas.openxmlformats.org/officeDocument/2006/relationships/image" Target="media/image82.jpe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jpeg"/><Relationship Id="rId113" Type="http://schemas.openxmlformats.org/officeDocument/2006/relationships/image" Target="media/image90.png"/><Relationship Id="rId114" Type="http://schemas.openxmlformats.org/officeDocument/2006/relationships/image" Target="media/image91.jpe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jpeg"/><Relationship Id="rId121" Type="http://schemas.openxmlformats.org/officeDocument/2006/relationships/image" Target="media/image98.png"/><Relationship Id="rId122" Type="http://schemas.openxmlformats.org/officeDocument/2006/relationships/image" Target="media/image99.jpeg"/><Relationship Id="rId123" Type="http://schemas.openxmlformats.org/officeDocument/2006/relationships/image" Target="media/image100.jpeg"/><Relationship Id="rId124" Type="http://schemas.openxmlformats.org/officeDocument/2006/relationships/image" Target="media/image101.png"/><Relationship Id="rId125" Type="http://schemas.openxmlformats.org/officeDocument/2006/relationships/image" Target="media/image102.jpeg"/><Relationship Id="rId126" Type="http://schemas.openxmlformats.org/officeDocument/2006/relationships/image" Target="media/image103.jpeg"/><Relationship Id="rId127" Type="http://schemas.openxmlformats.org/officeDocument/2006/relationships/image" Target="media/image104.png"/><Relationship Id="rId128" Type="http://schemas.openxmlformats.org/officeDocument/2006/relationships/image" Target="media/image105.jpeg"/><Relationship Id="rId129" Type="http://schemas.openxmlformats.org/officeDocument/2006/relationships/image" Target="media/image106.png"/><Relationship Id="rId130" Type="http://schemas.openxmlformats.org/officeDocument/2006/relationships/image" Target="media/image107.jpeg"/><Relationship Id="rId131" Type="http://schemas.openxmlformats.org/officeDocument/2006/relationships/image" Target="media/image108.png"/><Relationship Id="rId132" Type="http://schemas.openxmlformats.org/officeDocument/2006/relationships/image" Target="media/image109.jpeg"/><Relationship Id="rId133" Type="http://schemas.openxmlformats.org/officeDocument/2006/relationships/image" Target="media/image110.png"/><Relationship Id="rId134" Type="http://schemas.openxmlformats.org/officeDocument/2006/relationships/image" Target="media/image111.jpeg"/><Relationship Id="rId135" Type="http://schemas.openxmlformats.org/officeDocument/2006/relationships/image" Target="media/image112.jpeg"/><Relationship Id="rId136" Type="http://schemas.openxmlformats.org/officeDocument/2006/relationships/image" Target="media/image113.png"/><Relationship Id="rId137" Type="http://schemas.openxmlformats.org/officeDocument/2006/relationships/image" Target="media/image114.jpeg"/><Relationship Id="rId138" Type="http://schemas.openxmlformats.org/officeDocument/2006/relationships/image" Target="media/image115.png"/><Relationship Id="rId139" Type="http://schemas.openxmlformats.org/officeDocument/2006/relationships/image" Target="media/image116.jpeg"/><Relationship Id="rId140" Type="http://schemas.openxmlformats.org/officeDocument/2006/relationships/image" Target="media/image117.png"/><Relationship Id="rId141" Type="http://schemas.openxmlformats.org/officeDocument/2006/relationships/image" Target="media/image118.jpe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jpeg"/><Relationship Id="rId147" Type="http://schemas.openxmlformats.org/officeDocument/2006/relationships/image" Target="media/image124.jpeg"/><Relationship Id="rId148" Type="http://schemas.openxmlformats.org/officeDocument/2006/relationships/image" Target="media/image125.png"/><Relationship Id="rId149" Type="http://schemas.openxmlformats.org/officeDocument/2006/relationships/image" Target="media/image126.jpeg"/><Relationship Id="rId150" Type="http://schemas.openxmlformats.org/officeDocument/2006/relationships/image" Target="media/image127.png"/><Relationship Id="rId151" Type="http://schemas.openxmlformats.org/officeDocument/2006/relationships/image" Target="media/image128.jpeg"/><Relationship Id="rId152" Type="http://schemas.openxmlformats.org/officeDocument/2006/relationships/image" Target="media/image129.png"/><Relationship Id="rId153" Type="http://schemas.openxmlformats.org/officeDocument/2006/relationships/image" Target="media/image130.jpeg"/><Relationship Id="rId154" Type="http://schemas.openxmlformats.org/officeDocument/2006/relationships/image" Target="media/image131.jpeg"/><Relationship Id="rId155" Type="http://schemas.openxmlformats.org/officeDocument/2006/relationships/image" Target="media/image132.png"/><Relationship Id="rId156" Type="http://schemas.openxmlformats.org/officeDocument/2006/relationships/image" Target="media/image133.jpeg"/><Relationship Id="rId157" Type="http://schemas.openxmlformats.org/officeDocument/2006/relationships/image" Target="media/image134.png"/><Relationship Id="rId158" Type="http://schemas.openxmlformats.org/officeDocument/2006/relationships/image" Target="media/image135.jpeg"/><Relationship Id="rId159" Type="http://schemas.openxmlformats.org/officeDocument/2006/relationships/image" Target="media/image136.png"/><Relationship Id="rId160" Type="http://schemas.openxmlformats.org/officeDocument/2006/relationships/image" Target="media/image137.jpeg"/><Relationship Id="rId161" Type="http://schemas.openxmlformats.org/officeDocument/2006/relationships/image" Target="media/image138.png"/><Relationship Id="rId162" Type="http://schemas.openxmlformats.org/officeDocument/2006/relationships/image" Target="media/image139.jpe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jpe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jpeg"/><Relationship Id="rId169" Type="http://schemas.openxmlformats.org/officeDocument/2006/relationships/image" Target="media/image146.png"/><Relationship Id="rId170" Type="http://schemas.openxmlformats.org/officeDocument/2006/relationships/image" Target="media/image147.jpeg"/><Relationship Id="rId171" Type="http://schemas.openxmlformats.org/officeDocument/2006/relationships/image" Target="media/image148.png"/><Relationship Id="rId172" Type="http://schemas.openxmlformats.org/officeDocument/2006/relationships/image" Target="media/image149.jpeg"/><Relationship Id="rId173" Type="http://schemas.openxmlformats.org/officeDocument/2006/relationships/image" Target="media/image150.jpeg"/><Relationship Id="rId174" Type="http://schemas.openxmlformats.org/officeDocument/2006/relationships/image" Target="media/image151.png"/><Relationship Id="rId175" Type="http://schemas.openxmlformats.org/officeDocument/2006/relationships/image" Target="media/image152.jpeg"/><Relationship Id="rId176" Type="http://schemas.openxmlformats.org/officeDocument/2006/relationships/image" Target="media/image153.png"/><Relationship Id="rId177" Type="http://schemas.openxmlformats.org/officeDocument/2006/relationships/image" Target="media/image154.jpeg"/><Relationship Id="rId178" Type="http://schemas.openxmlformats.org/officeDocument/2006/relationships/image" Target="media/image155.png"/><Relationship Id="rId179" Type="http://schemas.openxmlformats.org/officeDocument/2006/relationships/image" Target="media/image156.jpe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jpeg"/><Relationship Id="rId183" Type="http://schemas.openxmlformats.org/officeDocument/2006/relationships/image" Target="media/image160.jpe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jpeg"/><Relationship Id="rId188" Type="http://schemas.openxmlformats.org/officeDocument/2006/relationships/image" Target="media/image165.png"/><Relationship Id="rId189" Type="http://schemas.openxmlformats.org/officeDocument/2006/relationships/image" Target="media/image166.jpeg"/><Relationship Id="rId190" Type="http://schemas.openxmlformats.org/officeDocument/2006/relationships/image" Target="media/image167.png"/><Relationship Id="rId191" Type="http://schemas.openxmlformats.org/officeDocument/2006/relationships/image" Target="media/image168.jpeg"/><Relationship Id="rId192" Type="http://schemas.openxmlformats.org/officeDocument/2006/relationships/image" Target="media/image169.png"/><Relationship Id="rId193" Type="http://schemas.openxmlformats.org/officeDocument/2006/relationships/image" Target="media/image170.jpeg"/><Relationship Id="rId194" Type="http://schemas.openxmlformats.org/officeDocument/2006/relationships/image" Target="media/image171.jpeg"/><Relationship Id="rId195" Type="http://schemas.openxmlformats.org/officeDocument/2006/relationships/image" Target="media/image172.png"/><Relationship Id="rId196" Type="http://schemas.openxmlformats.org/officeDocument/2006/relationships/image" Target="media/image173.jpeg"/><Relationship Id="rId197" Type="http://schemas.openxmlformats.org/officeDocument/2006/relationships/image" Target="media/image174.png"/><Relationship Id="rId198" Type="http://schemas.openxmlformats.org/officeDocument/2006/relationships/image" Target="media/image175.jpe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jpeg"/><Relationship Id="rId202" Type="http://schemas.openxmlformats.org/officeDocument/2006/relationships/image" Target="media/image179.png"/><Relationship Id="rId203" Type="http://schemas.openxmlformats.org/officeDocument/2006/relationships/image" Target="media/image180.jpeg"/><Relationship Id="rId204" Type="http://schemas.openxmlformats.org/officeDocument/2006/relationships/image" Target="media/image181.png"/><Relationship Id="rId205" Type="http://schemas.openxmlformats.org/officeDocument/2006/relationships/image" Target="media/image182.jpeg"/><Relationship Id="rId206" Type="http://schemas.openxmlformats.org/officeDocument/2006/relationships/image" Target="media/image183.jpeg"/><Relationship Id="rId207" Type="http://schemas.openxmlformats.org/officeDocument/2006/relationships/image" Target="media/image184.jpeg"/><Relationship Id="rId208" Type="http://schemas.openxmlformats.org/officeDocument/2006/relationships/image" Target="media/image185.jpeg"/><Relationship Id="rId209" Type="http://schemas.openxmlformats.org/officeDocument/2006/relationships/image" Target="media/image186.png"/><Relationship Id="rId210" Type="http://schemas.openxmlformats.org/officeDocument/2006/relationships/image" Target="media/image187.jpeg"/><Relationship Id="rId211" Type="http://schemas.openxmlformats.org/officeDocument/2006/relationships/image" Target="media/image188.jpeg"/><Relationship Id="rId212" Type="http://schemas.openxmlformats.org/officeDocument/2006/relationships/image" Target="media/image189.png"/><Relationship Id="rId213" Type="http://schemas.openxmlformats.org/officeDocument/2006/relationships/image" Target="media/image190.jpeg"/><Relationship Id="rId214" Type="http://schemas.openxmlformats.org/officeDocument/2006/relationships/image" Target="media/image191.jpeg"/><Relationship Id="rId215" Type="http://schemas.openxmlformats.org/officeDocument/2006/relationships/image" Target="media/image192.png"/><Relationship Id="rId216" Type="http://schemas.openxmlformats.org/officeDocument/2006/relationships/image" Target="media/image193.jpeg"/><Relationship Id="rId217" Type="http://schemas.openxmlformats.org/officeDocument/2006/relationships/image" Target="media/image194.png"/><Relationship Id="rId218" Type="http://schemas.openxmlformats.org/officeDocument/2006/relationships/image" Target="media/image195.jpeg"/><Relationship Id="rId219" Type="http://schemas.openxmlformats.org/officeDocument/2006/relationships/image" Target="media/image196.jpeg"/><Relationship Id="rId220" Type="http://schemas.openxmlformats.org/officeDocument/2006/relationships/image" Target="media/image197.jpeg"/><Relationship Id="rId221" Type="http://schemas.openxmlformats.org/officeDocument/2006/relationships/image" Target="media/image198.jpeg"/><Relationship Id="rId222" Type="http://schemas.openxmlformats.org/officeDocument/2006/relationships/image" Target="media/image199.png"/><Relationship Id="rId223" Type="http://schemas.openxmlformats.org/officeDocument/2006/relationships/image" Target="media/image200.jpeg"/><Relationship Id="rId224" Type="http://schemas.openxmlformats.org/officeDocument/2006/relationships/image" Target="media/image201.jpeg"/><Relationship Id="rId225" Type="http://schemas.openxmlformats.org/officeDocument/2006/relationships/image" Target="media/image202.png"/><Relationship Id="rId226" Type="http://schemas.openxmlformats.org/officeDocument/2006/relationships/image" Target="media/image203.jpeg"/><Relationship Id="rId227" Type="http://schemas.openxmlformats.org/officeDocument/2006/relationships/image" Target="media/image204.jpeg"/><Relationship Id="rId228" Type="http://schemas.openxmlformats.org/officeDocument/2006/relationships/image" Target="media/image205.jpeg"/><Relationship Id="rId229" Type="http://schemas.openxmlformats.org/officeDocument/2006/relationships/image" Target="media/image206.jpeg"/><Relationship Id="rId230" Type="http://schemas.openxmlformats.org/officeDocument/2006/relationships/image" Target="media/image207.png"/><Relationship Id="rId231" Type="http://schemas.openxmlformats.org/officeDocument/2006/relationships/image" Target="media/image208.jpeg"/><Relationship Id="rId232" Type="http://schemas.openxmlformats.org/officeDocument/2006/relationships/image" Target="media/image209.jpeg"/><Relationship Id="rId233" Type="http://schemas.openxmlformats.org/officeDocument/2006/relationships/image" Target="media/image210.png"/><Relationship Id="rId234" Type="http://schemas.openxmlformats.org/officeDocument/2006/relationships/image" Target="media/image211.jpeg"/><Relationship Id="rId235" Type="http://schemas.openxmlformats.org/officeDocument/2006/relationships/image" Target="media/image212.jpeg"/><Relationship Id="rId236" Type="http://schemas.openxmlformats.org/officeDocument/2006/relationships/image" Target="media/image213.jpeg"/><Relationship Id="rId237" Type="http://schemas.openxmlformats.org/officeDocument/2006/relationships/image" Target="media/image214.png"/><Relationship Id="rId238" Type="http://schemas.openxmlformats.org/officeDocument/2006/relationships/image" Target="media/image215.jpeg"/><Relationship Id="rId239" Type="http://schemas.openxmlformats.org/officeDocument/2006/relationships/image" Target="media/image216.jpeg"/><Relationship Id="rId240" Type="http://schemas.openxmlformats.org/officeDocument/2006/relationships/image" Target="media/image217.png"/><Relationship Id="rId241" Type="http://schemas.openxmlformats.org/officeDocument/2006/relationships/image" Target="media/image218.jpeg"/><Relationship Id="rId242" Type="http://schemas.openxmlformats.org/officeDocument/2006/relationships/image" Target="media/image219.jpeg"/><Relationship Id="rId243" Type="http://schemas.openxmlformats.org/officeDocument/2006/relationships/image" Target="media/image220.jpeg"/><Relationship Id="rId244" Type="http://schemas.openxmlformats.org/officeDocument/2006/relationships/image" Target="media/image221.png"/><Relationship Id="rId245" Type="http://schemas.openxmlformats.org/officeDocument/2006/relationships/image" Target="media/image222.jpeg"/><Relationship Id="rId246" Type="http://schemas.openxmlformats.org/officeDocument/2006/relationships/image" Target="media/image223.png"/><Relationship Id="rId247" Type="http://schemas.openxmlformats.org/officeDocument/2006/relationships/image" Target="media/image224.jpeg"/><Relationship Id="rId248" Type="http://schemas.openxmlformats.org/officeDocument/2006/relationships/image" Target="media/image225.jpeg"/><Relationship Id="rId249" Type="http://schemas.openxmlformats.org/officeDocument/2006/relationships/image" Target="media/image226.jpeg"/><Relationship Id="rId250" Type="http://schemas.openxmlformats.org/officeDocument/2006/relationships/image" Target="media/image227.png"/><Relationship Id="rId251" Type="http://schemas.openxmlformats.org/officeDocument/2006/relationships/image" Target="media/image228.jpe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jpeg"/><Relationship Id="rId255" Type="http://schemas.openxmlformats.org/officeDocument/2006/relationships/image" Target="media/image232.jpeg"/><Relationship Id="rId256" Type="http://schemas.openxmlformats.org/officeDocument/2006/relationships/image" Target="media/image233.png"/><Relationship Id="rId257" Type="http://schemas.openxmlformats.org/officeDocument/2006/relationships/image" Target="media/image234.jpeg"/><Relationship Id="rId258" Type="http://schemas.openxmlformats.org/officeDocument/2006/relationships/image" Target="media/image235.jpeg"/><Relationship Id="rId259" Type="http://schemas.openxmlformats.org/officeDocument/2006/relationships/image" Target="media/image236.png"/><Relationship Id="rId260" Type="http://schemas.openxmlformats.org/officeDocument/2006/relationships/image" Target="media/image237.jpeg"/><Relationship Id="rId261" Type="http://schemas.openxmlformats.org/officeDocument/2006/relationships/image" Target="media/image238.png"/><Relationship Id="rId262" Type="http://schemas.openxmlformats.org/officeDocument/2006/relationships/image" Target="media/image239.jpeg"/><Relationship Id="rId263" Type="http://schemas.openxmlformats.org/officeDocument/2006/relationships/image" Target="media/image240.png"/><Relationship Id="rId264" Type="http://schemas.openxmlformats.org/officeDocument/2006/relationships/image" Target="media/image241.jpeg"/><Relationship Id="rId265" Type="http://schemas.openxmlformats.org/officeDocument/2006/relationships/image" Target="media/image242.png"/><Relationship Id="rId266" Type="http://schemas.openxmlformats.org/officeDocument/2006/relationships/image" Target="media/image243.jpeg"/><Relationship Id="rId267" Type="http://schemas.openxmlformats.org/officeDocument/2006/relationships/image" Target="media/image244.png"/><Relationship Id="rId268" Type="http://schemas.openxmlformats.org/officeDocument/2006/relationships/image" Target="media/image245.jpeg"/><Relationship Id="rId269" Type="http://schemas.openxmlformats.org/officeDocument/2006/relationships/image" Target="media/image246.jpeg"/><Relationship Id="rId270" Type="http://schemas.openxmlformats.org/officeDocument/2006/relationships/image" Target="media/image247.jpeg"/><Relationship Id="rId271" Type="http://schemas.openxmlformats.org/officeDocument/2006/relationships/image" Target="media/image248.png"/><Relationship Id="rId272" Type="http://schemas.openxmlformats.org/officeDocument/2006/relationships/image" Target="media/image249.jpeg"/><Relationship Id="rId273" Type="http://schemas.openxmlformats.org/officeDocument/2006/relationships/image" Target="media/image250.jpeg"/><Relationship Id="rId274" Type="http://schemas.openxmlformats.org/officeDocument/2006/relationships/image" Target="media/image251.png"/><Relationship Id="rId275" Type="http://schemas.openxmlformats.org/officeDocument/2006/relationships/image" Target="media/image252.jpeg"/><Relationship Id="rId276" Type="http://schemas.openxmlformats.org/officeDocument/2006/relationships/image" Target="media/image253.jpeg"/><Relationship Id="rId277" Type="http://schemas.openxmlformats.org/officeDocument/2006/relationships/image" Target="media/image254.jpeg"/><Relationship Id="rId278" Type="http://schemas.openxmlformats.org/officeDocument/2006/relationships/image" Target="media/image255.png"/><Relationship Id="rId279" Type="http://schemas.openxmlformats.org/officeDocument/2006/relationships/image" Target="media/image256.jpeg"/><Relationship Id="rId280" Type="http://schemas.openxmlformats.org/officeDocument/2006/relationships/image" Target="media/image257.png"/><Relationship Id="rId281" Type="http://schemas.openxmlformats.org/officeDocument/2006/relationships/image" Target="media/image258.jpeg"/><Relationship Id="rId282" Type="http://schemas.openxmlformats.org/officeDocument/2006/relationships/image" Target="media/image259.png"/><Relationship Id="rId283" Type="http://schemas.openxmlformats.org/officeDocument/2006/relationships/image" Target="media/image260.jpeg"/><Relationship Id="rId284" Type="http://schemas.openxmlformats.org/officeDocument/2006/relationships/image" Target="media/image261.png"/><Relationship Id="rId285" Type="http://schemas.openxmlformats.org/officeDocument/2006/relationships/image" Target="media/image262.jpeg"/><Relationship Id="rId286" Type="http://schemas.openxmlformats.org/officeDocument/2006/relationships/image" Target="media/image263.png"/><Relationship Id="rId287" Type="http://schemas.openxmlformats.org/officeDocument/2006/relationships/image" Target="media/image264.jpeg"/><Relationship Id="rId288" Type="http://schemas.openxmlformats.org/officeDocument/2006/relationships/image" Target="media/image265.png"/><Relationship Id="rId289" Type="http://schemas.openxmlformats.org/officeDocument/2006/relationships/image" Target="media/image266.jpeg"/><Relationship Id="rId290" Type="http://schemas.openxmlformats.org/officeDocument/2006/relationships/image" Target="media/image267.jpeg"/><Relationship Id="rId291" Type="http://schemas.openxmlformats.org/officeDocument/2006/relationships/image" Target="media/image268.png"/><Relationship Id="rId292" Type="http://schemas.openxmlformats.org/officeDocument/2006/relationships/image" Target="media/image269.jpeg"/><Relationship Id="rId293" Type="http://schemas.openxmlformats.org/officeDocument/2006/relationships/image" Target="media/image270.jpeg"/><Relationship Id="rId294" Type="http://schemas.openxmlformats.org/officeDocument/2006/relationships/image" Target="media/image271.png"/><Relationship Id="rId295" Type="http://schemas.openxmlformats.org/officeDocument/2006/relationships/image" Target="media/image272.jpeg"/><Relationship Id="rId296" Type="http://schemas.openxmlformats.org/officeDocument/2006/relationships/image" Target="media/image273.png"/><Relationship Id="rId297" Type="http://schemas.openxmlformats.org/officeDocument/2006/relationships/image" Target="media/image274.jpeg"/><Relationship Id="rId298" Type="http://schemas.openxmlformats.org/officeDocument/2006/relationships/image" Target="media/image275.png"/><Relationship Id="rId299" Type="http://schemas.openxmlformats.org/officeDocument/2006/relationships/image" Target="media/image276.jpe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jpeg"/><Relationship Id="rId303" Type="http://schemas.openxmlformats.org/officeDocument/2006/relationships/image" Target="media/image280.png"/><Relationship Id="rId304" Type="http://schemas.openxmlformats.org/officeDocument/2006/relationships/image" Target="media/image281.jpeg"/><Relationship Id="rId305" Type="http://schemas.openxmlformats.org/officeDocument/2006/relationships/image" Target="media/image282.jpeg"/><Relationship Id="rId306" Type="http://schemas.openxmlformats.org/officeDocument/2006/relationships/image" Target="media/image283.png"/><Relationship Id="rId307" Type="http://schemas.openxmlformats.org/officeDocument/2006/relationships/image" Target="media/image284.jpeg"/><Relationship Id="rId308" Type="http://schemas.openxmlformats.org/officeDocument/2006/relationships/image" Target="media/image285.png"/><Relationship Id="rId309" Type="http://schemas.openxmlformats.org/officeDocument/2006/relationships/image" Target="media/image286.jpeg"/><Relationship Id="rId310" Type="http://schemas.openxmlformats.org/officeDocument/2006/relationships/image" Target="media/image287.png"/><Relationship Id="rId311" Type="http://schemas.openxmlformats.org/officeDocument/2006/relationships/image" Target="media/image288.jpeg"/><Relationship Id="rId312" Type="http://schemas.openxmlformats.org/officeDocument/2006/relationships/image" Target="media/image289.jpeg"/><Relationship Id="rId313" Type="http://schemas.openxmlformats.org/officeDocument/2006/relationships/image" Target="media/image290.png"/><Relationship Id="rId314" Type="http://schemas.openxmlformats.org/officeDocument/2006/relationships/image" Target="media/image291.jpeg"/><Relationship Id="rId315" Type="http://schemas.openxmlformats.org/officeDocument/2006/relationships/image" Target="media/image292.jpeg"/><Relationship Id="rId316" Type="http://schemas.openxmlformats.org/officeDocument/2006/relationships/image" Target="media/image293.png"/><Relationship Id="rId317" Type="http://schemas.openxmlformats.org/officeDocument/2006/relationships/image" Target="media/image294.jpeg"/><Relationship Id="rId318" Type="http://schemas.openxmlformats.org/officeDocument/2006/relationships/image" Target="media/image295.jpeg"/><Relationship Id="rId319" Type="http://schemas.openxmlformats.org/officeDocument/2006/relationships/image" Target="media/image296.png"/><Relationship Id="rId320" Type="http://schemas.openxmlformats.org/officeDocument/2006/relationships/image" Target="media/image297.jpeg"/><Relationship Id="rId321" Type="http://schemas.openxmlformats.org/officeDocument/2006/relationships/image" Target="media/image298.png"/><Relationship Id="rId322" Type="http://schemas.openxmlformats.org/officeDocument/2006/relationships/image" Target="media/image299.jpeg"/><Relationship Id="rId323" Type="http://schemas.openxmlformats.org/officeDocument/2006/relationships/image" Target="media/image300.png"/><Relationship Id="rId324" Type="http://schemas.openxmlformats.org/officeDocument/2006/relationships/image" Target="media/image301.jpeg"/><Relationship Id="rId325" Type="http://schemas.openxmlformats.org/officeDocument/2006/relationships/image" Target="media/image302.png"/><Relationship Id="rId326" Type="http://schemas.openxmlformats.org/officeDocument/2006/relationships/image" Target="media/image303.jpeg"/><Relationship Id="rId327" Type="http://schemas.openxmlformats.org/officeDocument/2006/relationships/image" Target="media/image304.png"/><Relationship Id="rId328" Type="http://schemas.openxmlformats.org/officeDocument/2006/relationships/image" Target="media/image305.jpe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jpeg"/><Relationship Id="rId333" Type="http://schemas.openxmlformats.org/officeDocument/2006/relationships/image" Target="media/image310.png"/><Relationship Id="rId334" Type="http://schemas.openxmlformats.org/officeDocument/2006/relationships/image" Target="media/image311.jpeg"/><Relationship Id="rId335" Type="http://schemas.openxmlformats.org/officeDocument/2006/relationships/image" Target="media/image312.png"/><Relationship Id="rId336" Type="http://schemas.openxmlformats.org/officeDocument/2006/relationships/image" Target="media/image313.jpeg"/><Relationship Id="rId337" Type="http://schemas.openxmlformats.org/officeDocument/2006/relationships/image" Target="media/image314.png"/><Relationship Id="rId338" Type="http://schemas.openxmlformats.org/officeDocument/2006/relationships/image" Target="media/image315.jpeg"/><Relationship Id="rId339" Type="http://schemas.openxmlformats.org/officeDocument/2006/relationships/image" Target="media/image316.png"/><Relationship Id="rId340" Type="http://schemas.openxmlformats.org/officeDocument/2006/relationships/image" Target="media/image317.jpeg"/><Relationship Id="rId341" Type="http://schemas.openxmlformats.org/officeDocument/2006/relationships/image" Target="media/image318.jpe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0"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1"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5" Type="http://schemas.openxmlformats.org/officeDocument/2006/relationships/image" Target="media/image352.png"/><Relationship Id="rId376" Type="http://schemas.openxmlformats.org/officeDocument/2006/relationships/image" Target="media/image353.png"/><Relationship Id="rId377"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20" Type="http://schemas.openxmlformats.org/officeDocument/2006/relationships/hyperlink" Target="https://www.sec.gov/Archives/edgar/data/1434265/000143426526000008/gmab_20260203xex3d1.htm" TargetMode="External"/><Relationship Id="rId21" Type="http://schemas.openxmlformats.org/officeDocument/2006/relationships/hyperlink" Target="https://www.sec.gov/Archives/edgar/data/1434265/000110465925065682/tm2518843d1_exa.htm" TargetMode="External"/><Relationship Id="rId22" Type="http://schemas.openxmlformats.org/officeDocument/2006/relationships/hyperlink" Target="https://www.sec.gov/Archives/edgar/data/1434265/000104746919003334/a2238822zex-10_1.htm" TargetMode="External"/><Relationship Id="rId23" Type="http://schemas.openxmlformats.org/officeDocument/2006/relationships/hyperlink" Target="https://www.sec.gov/Archives/edgar/data/1434265/000104746919003334/a2238822zex-10_2.htm" TargetMode="External"/><Relationship Id="rId24" Type="http://schemas.openxmlformats.org/officeDocument/2006/relationships/hyperlink" Target="https://www.sec.gov/Archives/edgar/data/1434265/000104746919003334/a2238822zex-10_3.htm" TargetMode="External"/><Relationship Id="rId25" Type="http://schemas.openxmlformats.org/officeDocument/2006/relationships/hyperlink" Target="https://www.sec.gov/Archives/edgar/data/1434265/000104746919003334/a2238822zex-10_5.htm" TargetMode="External"/><Relationship Id="rId26" Type="http://schemas.openxmlformats.org/officeDocument/2006/relationships/hyperlink" Target="https://www.sec.gov/Archives/edgar/data/1434265/000104746919003334/a2238822zex-10_6.htm" TargetMode="External"/><Relationship Id="rId27" Type="http://schemas.openxmlformats.org/officeDocument/2006/relationships/hyperlink" Target="https://www.sec.gov/Archives/edgar/data/1434265/000104746919003334/a2238822zex-10_7.htm" TargetMode="External"/><Relationship Id="rId28" Type="http://schemas.openxmlformats.org/officeDocument/2006/relationships/hyperlink" Target="https://www.sec.gov/Archives/edgar/data/1434265/000104746919003334/a2238822zex-10_8.htm" TargetMode="External"/><Relationship Id="rId29" Type="http://schemas.openxmlformats.org/officeDocument/2006/relationships/hyperlink" Target="https://www.sec.gov/Archives/edgar/data/1434265/000104746919003334/a2238822zex-10_9.htm" TargetMode="External"/><Relationship Id="rId30" Type="http://schemas.openxmlformats.org/officeDocument/2006/relationships/hyperlink" Target="https://www.sec.gov/Archives/edgar/data/1434265/000104746919003334/a2238822zex-10_10.htm" TargetMode="External"/><Relationship Id="rId31" Type="http://schemas.openxmlformats.org/officeDocument/2006/relationships/hyperlink" Target="https://www.sec.gov/Archives/edgar/data/1434265/000104746919003334/a2238822zex-10_11.htm" TargetMode="External"/><Relationship Id="rId32" Type="http://schemas.openxmlformats.org/officeDocument/2006/relationships/hyperlink" Target="https://www.sec.gov/Archives/edgar/data/1434265/000104746919003334/a2238822zex-10_12.htm" TargetMode="External"/><Relationship Id="rId33" Type="http://schemas.openxmlformats.org/officeDocument/2006/relationships/hyperlink" Target="https://www.sec.gov/Archives/edgar/data/1434265/000155837023001716/gmab-20221231xex4d15.htm" TargetMode="External"/><Relationship Id="rId34" Type="http://schemas.openxmlformats.org/officeDocument/2006/relationships/hyperlink" Target="https://www.sec.gov/Archives/edgar/data/1434265/000155837024001137/gmab-20231231xex97.htm" TargetMode="External"/><Relationship Id="rId35" Type="http://schemas.openxmlformats.org/officeDocument/2006/relationships/hyperlink" Target="https://www.sec.gov/Archives/edgar/data/1434265/000155837025000846/gmab-20241231xex11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2026-02-17T10:32:22Z</dcterms:created>
  <dcterms:modified xsi:type="dcterms:W3CDTF">2026-02-17T10:32:22Z</dcterms:modified>
</cp:coreProperties>
</file>